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C1D707" w14:textId="30CA202E" w:rsidR="00FB6D7C" w:rsidRPr="00FE183D" w:rsidRDefault="00FB6D7C" w:rsidP="00FB6D7C">
      <w:pPr>
        <w:rPr>
          <w:b/>
        </w:rPr>
      </w:pPr>
      <w:r w:rsidRPr="00FE183D">
        <w:rPr>
          <w:b/>
        </w:rPr>
        <w:t xml:space="preserve">Learning from </w:t>
      </w:r>
      <w:r w:rsidR="00257F56">
        <w:rPr>
          <w:b/>
        </w:rPr>
        <w:t>Near-miss</w:t>
      </w:r>
      <w:r w:rsidRPr="00FE183D">
        <w:rPr>
          <w:b/>
        </w:rPr>
        <w:t xml:space="preserve"> Events: An Organizational Learning Perspective on Supply Chain Disruption Response</w:t>
      </w:r>
    </w:p>
    <w:p w14:paraId="2D3FEF95" w14:textId="4F82470B" w:rsidR="00352EDF" w:rsidRDefault="00352EDF" w:rsidP="003C515F">
      <w:pPr>
        <w:rPr>
          <w:b/>
        </w:rPr>
      </w:pPr>
    </w:p>
    <w:p w14:paraId="53EC5387" w14:textId="2C4D366A" w:rsidR="00805454" w:rsidRDefault="00805454" w:rsidP="003C515F">
      <w:pPr>
        <w:rPr>
          <w:b/>
        </w:rPr>
      </w:pPr>
    </w:p>
    <w:p w14:paraId="292D4837" w14:textId="527D7357" w:rsidR="00805454" w:rsidRDefault="00805454" w:rsidP="00805454">
      <w:pPr>
        <w:rPr>
          <w:b/>
        </w:rPr>
      </w:pPr>
      <w:proofErr w:type="spellStart"/>
      <w:r w:rsidRPr="00805454">
        <w:rPr>
          <w:b/>
        </w:rPr>
        <w:t>Arash</w:t>
      </w:r>
      <w:proofErr w:type="spellEnd"/>
      <w:r>
        <w:rPr>
          <w:b/>
        </w:rPr>
        <w:t xml:space="preserve"> </w:t>
      </w:r>
      <w:proofErr w:type="spellStart"/>
      <w:r w:rsidRPr="00805454">
        <w:rPr>
          <w:b/>
        </w:rPr>
        <w:t>Azadegan</w:t>
      </w:r>
      <w:proofErr w:type="spellEnd"/>
      <w:r>
        <w:rPr>
          <w:b/>
        </w:rPr>
        <w:t xml:space="preserve">, </w:t>
      </w:r>
      <w:r w:rsidRPr="00805454">
        <w:rPr>
          <w:b/>
        </w:rPr>
        <w:t>Ravi</w:t>
      </w:r>
      <w:r>
        <w:rPr>
          <w:b/>
        </w:rPr>
        <w:t xml:space="preserve"> </w:t>
      </w:r>
      <w:r w:rsidRPr="00805454">
        <w:rPr>
          <w:b/>
        </w:rPr>
        <w:t>Srinivasan</w:t>
      </w:r>
      <w:r>
        <w:rPr>
          <w:b/>
        </w:rPr>
        <w:t xml:space="preserve">, </w:t>
      </w:r>
      <w:r w:rsidRPr="00805454">
        <w:rPr>
          <w:b/>
        </w:rPr>
        <w:t>Constantin</w:t>
      </w:r>
      <w:r>
        <w:rPr>
          <w:b/>
        </w:rPr>
        <w:t xml:space="preserve"> </w:t>
      </w:r>
      <w:proofErr w:type="spellStart"/>
      <w:r w:rsidRPr="00805454">
        <w:rPr>
          <w:b/>
        </w:rPr>
        <w:t>Blome</w:t>
      </w:r>
      <w:r>
        <w:rPr>
          <w:b/>
        </w:rPr>
        <w:t xml:space="preserve">, </w:t>
      </w:r>
      <w:r w:rsidRPr="00805454">
        <w:rPr>
          <w:b/>
        </w:rPr>
        <w:t>Kayhan</w:t>
      </w:r>
      <w:r>
        <w:rPr>
          <w:b/>
        </w:rPr>
        <w:t xml:space="preserve"> </w:t>
      </w:r>
      <w:r w:rsidRPr="00805454">
        <w:rPr>
          <w:b/>
        </w:rPr>
        <w:t>Tajeddini</w:t>
      </w:r>
      <w:proofErr w:type="spellEnd"/>
    </w:p>
    <w:p w14:paraId="0CFB1837" w14:textId="17DCB646" w:rsidR="00805454" w:rsidRDefault="00805454" w:rsidP="003C515F">
      <w:pPr>
        <w:rPr>
          <w:b/>
        </w:rPr>
      </w:pPr>
    </w:p>
    <w:p w14:paraId="09494911" w14:textId="77777777" w:rsidR="00805454" w:rsidRPr="0092728B" w:rsidRDefault="00805454" w:rsidP="003C515F">
      <w:pPr>
        <w:rPr>
          <w:b/>
        </w:rPr>
      </w:pPr>
    </w:p>
    <w:p w14:paraId="05D90AEE" w14:textId="33F3EA04" w:rsidR="00E52A44" w:rsidRDefault="008F2AF7" w:rsidP="00E52A44">
      <w:pPr>
        <w:rPr>
          <w:rFonts w:eastAsia="Times New Roman"/>
        </w:rPr>
      </w:pPr>
      <w:r>
        <w:rPr>
          <w:b/>
        </w:rPr>
        <w:t xml:space="preserve">Abstract </w:t>
      </w:r>
      <w:r w:rsidR="00E52A44" w:rsidRPr="00E52A44">
        <w:t xml:space="preserve">– Studying </w:t>
      </w:r>
      <w:r w:rsidR="00257F56">
        <w:t>near-miss</w:t>
      </w:r>
      <w:r w:rsidR="00E52A44" w:rsidRPr="00E52A44">
        <w:t xml:space="preserve"> events – occasions when a company comes close to </w:t>
      </w:r>
      <w:r w:rsidR="00E52A44" w:rsidRPr="00AA3879">
        <w:rPr>
          <w:noProof/>
        </w:rPr>
        <w:t>being negatively impacted</w:t>
      </w:r>
      <w:r w:rsidR="00E52A44" w:rsidRPr="00E52A44">
        <w:t xml:space="preserve"> – can help identify systemic issues and thereby enhance organizational resilience. However, what is not known is how firms learn from </w:t>
      </w:r>
      <w:r w:rsidR="00257F56">
        <w:t>near-miss</w:t>
      </w:r>
      <w:r w:rsidR="00E52A44" w:rsidRPr="00E52A44">
        <w:t xml:space="preserve"> events, and how their learning </w:t>
      </w:r>
      <w:r w:rsidR="00E52A44" w:rsidRPr="00AA3879">
        <w:rPr>
          <w:noProof/>
        </w:rPr>
        <w:t>is translated</w:t>
      </w:r>
      <w:r w:rsidR="00E52A44" w:rsidRPr="00E52A44">
        <w:t xml:space="preserve"> into response strategies</w:t>
      </w:r>
      <w:r w:rsidR="00B6777E">
        <w:t xml:space="preserve"> in the face of supply chain disruptions</w:t>
      </w:r>
      <w:r w:rsidR="00E52A44" w:rsidRPr="00E52A44">
        <w:t>.</w:t>
      </w:r>
      <w:r w:rsidR="00D50615">
        <w:t xml:space="preserve"> </w:t>
      </w:r>
      <w:r>
        <w:t xml:space="preserve">In this study, we address the following research questions - </w:t>
      </w:r>
      <w:r w:rsidR="00D50615" w:rsidRPr="00183F36">
        <w:t xml:space="preserve">How does exposure to </w:t>
      </w:r>
      <w:r w:rsidR="00D50615">
        <w:t>near-misses</w:t>
      </w:r>
      <w:r w:rsidR="00D50615" w:rsidRPr="00183F36">
        <w:t xml:space="preserve"> reflect in </w:t>
      </w:r>
      <w:r w:rsidR="00D50615">
        <w:t>organizational</w:t>
      </w:r>
      <w:r w:rsidR="00D50615" w:rsidRPr="00183F36">
        <w:t xml:space="preserve"> response strategies</w:t>
      </w:r>
      <w:r w:rsidR="00D50615">
        <w:t xml:space="preserve"> to</w:t>
      </w:r>
      <w:r w:rsidR="00465F24">
        <w:t xml:space="preserve"> supply chain </w:t>
      </w:r>
      <w:r w:rsidR="00D50615">
        <w:t>disruptions</w:t>
      </w:r>
      <w:r w:rsidR="00D50615" w:rsidRPr="00183F36">
        <w:t>?</w:t>
      </w:r>
      <w:r w:rsidR="00D50615">
        <w:t xml:space="preserve"> </w:t>
      </w:r>
      <w:r>
        <w:t xml:space="preserve">Using </w:t>
      </w:r>
      <w:r w:rsidR="00E52A44" w:rsidRPr="00E52A44">
        <w:t xml:space="preserve">single and </w:t>
      </w:r>
      <w:r w:rsidR="00B07E92">
        <w:t>double-loop</w:t>
      </w:r>
      <w:r w:rsidR="00E52A44" w:rsidRPr="00E52A44">
        <w:t xml:space="preserve"> learning from organizational learning theory</w:t>
      </w:r>
      <w:r>
        <w:t>, we examine how firms implement response strategies based on near-miss events</w:t>
      </w:r>
      <w:r w:rsidR="00E52A44" w:rsidRPr="00E52A44">
        <w:t xml:space="preserve">. </w:t>
      </w:r>
      <w:r w:rsidRPr="00AA3879">
        <w:rPr>
          <w:noProof/>
        </w:rPr>
        <w:t>In addition</w:t>
      </w:r>
      <w:r>
        <w:t xml:space="preserve">, we examine the moderating </w:t>
      </w:r>
      <w:r w:rsidR="00E52A44" w:rsidRPr="00E52A44">
        <w:t xml:space="preserve">effects of institutional pressures (from regulatory bodies and industry associations) into </w:t>
      </w:r>
      <w:r w:rsidR="00C77431">
        <w:t>the model</w:t>
      </w:r>
      <w:r w:rsidR="00E52A44" w:rsidRPr="00E52A44">
        <w:t xml:space="preserve">. We test the hypotheses using responses from 448 organizations in Germany, Switzerland </w:t>
      </w:r>
      <w:r w:rsidR="00E52A44" w:rsidRPr="00AA3879">
        <w:rPr>
          <w:noProof/>
        </w:rPr>
        <w:t>and</w:t>
      </w:r>
      <w:r w:rsidR="00E52A44" w:rsidRPr="00E52A44">
        <w:t xml:space="preserve"> Sweden.</w:t>
      </w:r>
      <w:r>
        <w:t xml:space="preserve"> Our results indicate that e</w:t>
      </w:r>
      <w:r w:rsidR="00E52A44" w:rsidRPr="00E52A44">
        <w:t xml:space="preserve">xposure to </w:t>
      </w:r>
      <w:r w:rsidR="00257F56">
        <w:t>near-miss</w:t>
      </w:r>
      <w:r w:rsidR="00E52A44" w:rsidRPr="00E52A44">
        <w:t xml:space="preserve"> events leads firms to strengthen their focus on procedural response strategies and to lower their focus on flexible response strategies. Industry pressure furthers the effects of </w:t>
      </w:r>
      <w:r w:rsidR="00257F56">
        <w:t>near-miss</w:t>
      </w:r>
      <w:r w:rsidR="00E52A44" w:rsidRPr="00E52A44">
        <w:t xml:space="preserve"> exposure in applying procedural strategies and limiting the application of flexible strategies. </w:t>
      </w:r>
      <w:r w:rsidR="00B6777E">
        <w:t>R</w:t>
      </w:r>
      <w:r w:rsidR="00E52A44" w:rsidRPr="00E52A44">
        <w:t xml:space="preserve">egulatory pressure furthers the effects of </w:t>
      </w:r>
      <w:r w:rsidR="00257F56">
        <w:t>near-miss</w:t>
      </w:r>
      <w:r w:rsidR="00E52A44" w:rsidRPr="00E52A44">
        <w:t xml:space="preserve"> exposure in limiting the application of flexible strategies.</w:t>
      </w:r>
      <w:r w:rsidR="00BE4D15">
        <w:t xml:space="preserve"> </w:t>
      </w:r>
      <w:r w:rsidR="00E52A44">
        <w:t xml:space="preserve">This study extends the body of supply chain disruption management to the concept of </w:t>
      </w:r>
      <w:r w:rsidR="00257F56">
        <w:t>near-miss</w:t>
      </w:r>
      <w:r w:rsidR="00E52A44">
        <w:t xml:space="preserve">es and </w:t>
      </w:r>
      <w:r w:rsidR="00527726">
        <w:t xml:space="preserve">explains how institutional context play a major role </w:t>
      </w:r>
      <w:r w:rsidR="00AA3879">
        <w:rPr>
          <w:noProof/>
        </w:rPr>
        <w:t>in</w:t>
      </w:r>
      <w:r w:rsidR="00527726">
        <w:t xml:space="preserve"> learning of</w:t>
      </w:r>
      <w:r w:rsidR="00465F24">
        <w:t xml:space="preserve"> supply chain </w:t>
      </w:r>
      <w:r w:rsidR="00527726">
        <w:t>disruption responses</w:t>
      </w:r>
      <w:r w:rsidR="00703F0A">
        <w:t>.</w:t>
      </w:r>
    </w:p>
    <w:p w14:paraId="6913714B" w14:textId="77777777" w:rsidR="00E52A44" w:rsidRDefault="00E52A44" w:rsidP="00E52A44"/>
    <w:p w14:paraId="43595A05" w14:textId="04E298AC" w:rsidR="00703F0A" w:rsidRPr="00BE4D15" w:rsidRDefault="00BE4D15" w:rsidP="00E52A44">
      <w:pPr>
        <w:rPr>
          <w:b/>
        </w:rPr>
      </w:pPr>
      <w:r w:rsidRPr="00BE4D15">
        <w:rPr>
          <w:b/>
        </w:rPr>
        <w:t>Highlights</w:t>
      </w:r>
    </w:p>
    <w:p w14:paraId="11B503EA" w14:textId="714BBEA4" w:rsidR="00BE4D15" w:rsidRDefault="00BE4D15" w:rsidP="00BE4D15">
      <w:pPr>
        <w:pStyle w:val="ListParagraph"/>
        <w:numPr>
          <w:ilvl w:val="0"/>
          <w:numId w:val="10"/>
        </w:numPr>
      </w:pPr>
      <w:r>
        <w:t xml:space="preserve">Near-miss events strengthen </w:t>
      </w:r>
      <w:r w:rsidR="00AA3879">
        <w:t xml:space="preserve">the </w:t>
      </w:r>
      <w:r w:rsidRPr="00AA3879">
        <w:rPr>
          <w:noProof/>
        </w:rPr>
        <w:t>firm’s</w:t>
      </w:r>
      <w:r>
        <w:t xml:space="preserve"> procedural response strategies and lower focus on flexible response strategies.</w:t>
      </w:r>
    </w:p>
    <w:p w14:paraId="3D2FEB31" w14:textId="5CAA1B35" w:rsidR="00BE4D15" w:rsidRDefault="00BE4D15" w:rsidP="00BE4D15">
      <w:pPr>
        <w:pStyle w:val="ListParagraph"/>
        <w:numPr>
          <w:ilvl w:val="0"/>
          <w:numId w:val="10"/>
        </w:numPr>
      </w:pPr>
      <w:r>
        <w:t>Industry pressure moderates the relationship between near-miss events and procedural response strategies (strengthens) and flexible response strategies (weakens).</w:t>
      </w:r>
    </w:p>
    <w:p w14:paraId="574A68FA" w14:textId="3E19EB7B" w:rsidR="00BE4D15" w:rsidRDefault="00AE25F6" w:rsidP="00BE4D15">
      <w:pPr>
        <w:pStyle w:val="ListParagraph"/>
        <w:numPr>
          <w:ilvl w:val="0"/>
          <w:numId w:val="10"/>
        </w:numPr>
      </w:pPr>
      <w:r>
        <w:t>Regulatory pressure weakens the relationship between near-miss exposure and flexible response strategies.</w:t>
      </w:r>
    </w:p>
    <w:p w14:paraId="55DF4C2E" w14:textId="77777777" w:rsidR="00703F0A" w:rsidRDefault="00703F0A" w:rsidP="00E52A44"/>
    <w:p w14:paraId="727A5CCC" w14:textId="6A0956BE" w:rsidR="00703F0A" w:rsidRDefault="00DD1C34" w:rsidP="00E52A44">
      <w:r w:rsidRPr="00C54046">
        <w:rPr>
          <w:b/>
        </w:rPr>
        <w:t>Keywords</w:t>
      </w:r>
      <w:r>
        <w:t xml:space="preserve">: Near-miss; Flexible response strategy; Procedural response strategy; Single-loop learning; Double-loop learning; Regulatory pressure; </w:t>
      </w:r>
      <w:r w:rsidR="00D03483">
        <w:t>Industry</w:t>
      </w:r>
      <w:r>
        <w:t xml:space="preserve"> pressure</w:t>
      </w:r>
    </w:p>
    <w:p w14:paraId="5B46E103" w14:textId="77777777" w:rsidR="00703F0A" w:rsidRDefault="00703F0A" w:rsidP="00E52A44"/>
    <w:p w14:paraId="4933274D" w14:textId="77777777" w:rsidR="00703F0A" w:rsidRDefault="00703F0A" w:rsidP="00E52A44"/>
    <w:p w14:paraId="4A778E70" w14:textId="77777777" w:rsidR="00703F0A" w:rsidRDefault="00703F0A" w:rsidP="00E52A44"/>
    <w:p w14:paraId="67A033E1" w14:textId="77777777" w:rsidR="00703F0A" w:rsidRDefault="00703F0A" w:rsidP="00E52A44"/>
    <w:p w14:paraId="07F32CBD" w14:textId="77777777" w:rsidR="00703F0A" w:rsidRDefault="00703F0A" w:rsidP="00E52A44"/>
    <w:p w14:paraId="1707F4A7" w14:textId="77777777" w:rsidR="00703F0A" w:rsidRDefault="00703F0A" w:rsidP="00E52A44"/>
    <w:p w14:paraId="274161AB" w14:textId="77777777" w:rsidR="00703F0A" w:rsidRDefault="00703F0A" w:rsidP="00E52A44"/>
    <w:p w14:paraId="53427C3E" w14:textId="77777777" w:rsidR="001E02D4" w:rsidRDefault="001E02D4" w:rsidP="00E52A44"/>
    <w:p w14:paraId="38A526D9" w14:textId="77777777" w:rsidR="001E02D4" w:rsidRDefault="001E02D4" w:rsidP="00E52A44"/>
    <w:p w14:paraId="32D021E2" w14:textId="77777777" w:rsidR="001E02D4" w:rsidRDefault="001E02D4" w:rsidP="00E52A44"/>
    <w:p w14:paraId="124C9D0A" w14:textId="77777777" w:rsidR="00703F0A" w:rsidRDefault="00703F0A" w:rsidP="00E52A44"/>
    <w:p w14:paraId="203139CA" w14:textId="77777777" w:rsidR="00703F0A" w:rsidRDefault="00703F0A" w:rsidP="00E52A44"/>
    <w:p w14:paraId="1B82B3DB" w14:textId="77777777" w:rsidR="00703F0A" w:rsidRDefault="00703F0A" w:rsidP="00E52A44"/>
    <w:p w14:paraId="003A9840" w14:textId="77777777" w:rsidR="00703F0A" w:rsidRDefault="00703F0A" w:rsidP="00E52A44"/>
    <w:p w14:paraId="72979348" w14:textId="31BEB217" w:rsidR="00CF795C" w:rsidRDefault="00CF795C">
      <w:pPr>
        <w:rPr>
          <w:b/>
        </w:rPr>
      </w:pPr>
      <w:bookmarkStart w:id="0" w:name="_GoBack"/>
      <w:bookmarkEnd w:id="0"/>
    </w:p>
    <w:p w14:paraId="185603CE" w14:textId="06D3EAE3" w:rsidR="00AB4090" w:rsidRDefault="00AB4090" w:rsidP="00E52A44">
      <w:pPr>
        <w:rPr>
          <w:b/>
        </w:rPr>
      </w:pPr>
      <w:r w:rsidRPr="0092728B">
        <w:rPr>
          <w:b/>
        </w:rPr>
        <w:lastRenderedPageBreak/>
        <w:t>Introduction</w:t>
      </w:r>
    </w:p>
    <w:p w14:paraId="0AE6BF90" w14:textId="77777777" w:rsidR="00CF795C" w:rsidRPr="0092728B" w:rsidRDefault="00CF795C" w:rsidP="00E52A44">
      <w:pPr>
        <w:rPr>
          <w:b/>
        </w:rPr>
      </w:pPr>
    </w:p>
    <w:p w14:paraId="3BA9DDB9" w14:textId="352ED873" w:rsidR="00A353E6" w:rsidRDefault="00CF795C" w:rsidP="009177A3">
      <w:pPr>
        <w:spacing w:line="480" w:lineRule="auto"/>
        <w:rPr>
          <w:szCs w:val="22"/>
        </w:rPr>
      </w:pPr>
      <w:r w:rsidRPr="00CF795C">
        <w:rPr>
          <w:szCs w:val="22"/>
        </w:rPr>
        <w:t>Today’s ever more complicated and global business environment has led many companies to be</w:t>
      </w:r>
      <w:r w:rsidR="00B72FC5">
        <w:rPr>
          <w:szCs w:val="22"/>
        </w:rPr>
        <w:t xml:space="preserve">come </w:t>
      </w:r>
      <w:r w:rsidRPr="00CF795C">
        <w:rPr>
          <w:szCs w:val="22"/>
        </w:rPr>
        <w:t>concerned about risk</w:t>
      </w:r>
      <w:r w:rsidR="00B72FC5">
        <w:rPr>
          <w:szCs w:val="22"/>
        </w:rPr>
        <w:t>s</w:t>
      </w:r>
      <w:r w:rsidRPr="00CF795C">
        <w:rPr>
          <w:szCs w:val="22"/>
        </w:rPr>
        <w:t xml:space="preserve"> and disruptions</w:t>
      </w:r>
      <w:r w:rsidR="00B72FC5">
        <w:rPr>
          <w:szCs w:val="22"/>
        </w:rPr>
        <w:t xml:space="preserve"> in their supply chains</w:t>
      </w:r>
      <w:r w:rsidRPr="00CF795C">
        <w:rPr>
          <w:szCs w:val="22"/>
        </w:rPr>
        <w:t xml:space="preserve"> </w:t>
      </w:r>
      <w:r w:rsidR="00627756">
        <w:rPr>
          <w:szCs w:val="22"/>
        </w:rPr>
        <w:fldChar w:fldCharType="begin"/>
      </w:r>
      <w:r w:rsidR="00F75ACF">
        <w:rPr>
          <w:szCs w:val="22"/>
        </w:rPr>
        <w:instrText xml:space="preserve"> ADDIN EN.CITE &lt;EndNote&gt;&lt;Cite&gt;&lt;Author&gt;Shaheen&lt;/Author&gt;&lt;Year&gt;2017&lt;/Year&gt;&lt;RecNum&gt;1424&lt;/RecNum&gt;&lt;DisplayText&gt;(Azadegan and Jayaram, 2018; Shaheen et al., 2017)&lt;/DisplayText&gt;&lt;record&gt;&lt;rec-number&gt;1424&lt;/rec-number&gt;&lt;foreign-keys&gt;&lt;key app="EN" db-id="0w05zrd59zdxwmexsxlxa0purxdzd2svavae" timestamp="1550937305"&gt;1424&lt;/key&gt;&lt;/foreign-keys&gt;&lt;ref-type name="Journal Article"&gt;17&lt;/ref-type&gt;&lt;contributors&gt;&lt;authors&gt;&lt;author&gt;Shaheen, Iana&lt;/author&gt;&lt;author&gt;Azadegan, Arash&lt;/author&gt;&lt;author&gt;Lucianetti, Lorenzo&lt;/author&gt;&lt;author&gt;Qi, Lian&lt;/author&gt;&lt;/authors&gt;&lt;/contributors&gt;&lt;titles&gt;&lt;title&gt;Leading organizations through supply chain disruptions: An exploratory study of necessary traits&lt;/title&gt;&lt;secondary-title&gt;Rutgers Business Review&lt;/secondary-title&gt;&lt;/titles&gt;&lt;periodical&gt;&lt;full-title&gt;Rutgers Business Review&lt;/full-title&gt;&lt;/periodical&gt;&lt;pages&gt;322-337&lt;/pages&gt;&lt;volume&gt;2&lt;/volume&gt;&lt;number&gt;3&lt;/number&gt;&lt;dates&gt;&lt;year&gt;2017&lt;/year&gt;&lt;/dates&gt;&lt;urls&gt;&lt;/urls&gt;&lt;/record&gt;&lt;/Cite&gt;&lt;Cite&gt;&lt;Author&gt;Azadegan&lt;/Author&gt;&lt;Year&gt;2018&lt;/Year&gt;&lt;RecNum&gt;1418&lt;/RecNum&gt;&lt;record&gt;&lt;rec-number&gt;1418&lt;/rec-number&gt;&lt;foreign-keys&gt;&lt;key app="EN" db-id="0w05zrd59zdxwmexsxlxa0purxdzd2svavae" timestamp="1550933534"&gt;1418&lt;/key&gt;&lt;/foreign-keys&gt;&lt;ref-type name="Book Section"&gt;5&lt;/ref-type&gt;&lt;contributors&gt;&lt;authors&gt;&lt;author&gt;Azadegan, Arash&lt;/author&gt;&lt;author&gt;Jayaram, Jayanth&lt;/author&gt;&lt;/authors&gt;&lt;/contributors&gt;&lt;titles&gt;&lt;title&gt;Resiliency in supply chain systems: a triadic framework using family resilience model&lt;/title&gt;&lt;secondary-title&gt;Supply Chain Risk Management&lt;/secondary-title&gt;&lt;/titles&gt;&lt;pages&gt;269-288&lt;/pages&gt;&lt;dates&gt;&lt;year&gt;2018&lt;/year&gt;&lt;/dates&gt;&lt;publisher&gt;Springer&lt;/publisher&gt;&lt;urls&gt;&lt;/urls&gt;&lt;/record&gt;&lt;/Cite&gt;&lt;/EndNote&gt;</w:instrText>
      </w:r>
      <w:r w:rsidR="00627756">
        <w:rPr>
          <w:szCs w:val="22"/>
        </w:rPr>
        <w:fldChar w:fldCharType="separate"/>
      </w:r>
      <w:r w:rsidR="00F75ACF">
        <w:rPr>
          <w:noProof/>
          <w:szCs w:val="22"/>
        </w:rPr>
        <w:t>(</w:t>
      </w:r>
      <w:hyperlink w:anchor="_ENREF_5" w:tooltip="Azadegan, 2018 #1418" w:history="1">
        <w:r w:rsidR="00F75ACF" w:rsidRPr="004C6DEC">
          <w:rPr>
            <w:rStyle w:val="Hyperlink"/>
            <w:noProof/>
            <w:szCs w:val="22"/>
          </w:rPr>
          <w:t>Azadegan and Jayaram, 2018</w:t>
        </w:r>
      </w:hyperlink>
      <w:r w:rsidR="00F75ACF">
        <w:rPr>
          <w:noProof/>
          <w:szCs w:val="22"/>
        </w:rPr>
        <w:t xml:space="preserve">; </w:t>
      </w:r>
      <w:hyperlink w:anchor="_ENREF_82" w:tooltip="Shaheen, 2017 #1424" w:history="1">
        <w:r w:rsidR="00F75ACF" w:rsidRPr="004C6DEC">
          <w:rPr>
            <w:rStyle w:val="Hyperlink"/>
            <w:noProof/>
            <w:szCs w:val="22"/>
          </w:rPr>
          <w:t>Shaheen et al., 2017</w:t>
        </w:r>
      </w:hyperlink>
      <w:r w:rsidR="00F75ACF">
        <w:rPr>
          <w:noProof/>
          <w:szCs w:val="22"/>
        </w:rPr>
        <w:t>)</w:t>
      </w:r>
      <w:r w:rsidR="00627756">
        <w:rPr>
          <w:szCs w:val="22"/>
        </w:rPr>
        <w:fldChar w:fldCharType="end"/>
      </w:r>
      <w:r w:rsidR="00F75ACF">
        <w:rPr>
          <w:szCs w:val="22"/>
        </w:rPr>
        <w:t xml:space="preserve">. </w:t>
      </w:r>
      <w:r w:rsidRPr="00CF795C">
        <w:rPr>
          <w:szCs w:val="22"/>
        </w:rPr>
        <w:t xml:space="preserve">As </w:t>
      </w:r>
      <w:r w:rsidR="00B72FC5">
        <w:rPr>
          <w:szCs w:val="22"/>
        </w:rPr>
        <w:t xml:space="preserve">supply chain </w:t>
      </w:r>
      <w:r w:rsidRPr="00CF795C">
        <w:rPr>
          <w:szCs w:val="22"/>
        </w:rPr>
        <w:t xml:space="preserve">disruptions become seemingly more </w:t>
      </w:r>
      <w:r w:rsidR="001C622D">
        <w:rPr>
          <w:szCs w:val="22"/>
        </w:rPr>
        <w:t>damaging</w:t>
      </w:r>
      <w:r w:rsidRPr="00CF795C">
        <w:rPr>
          <w:szCs w:val="22"/>
        </w:rPr>
        <w:t xml:space="preserve"> and prevalent, </w:t>
      </w:r>
      <w:r w:rsidR="00BA57C6">
        <w:rPr>
          <w:szCs w:val="22"/>
        </w:rPr>
        <w:t xml:space="preserve">company </w:t>
      </w:r>
      <w:r w:rsidRPr="00CF795C">
        <w:rPr>
          <w:szCs w:val="22"/>
        </w:rPr>
        <w:t xml:space="preserve">preparedness and </w:t>
      </w:r>
      <w:r w:rsidRPr="00AA3879">
        <w:rPr>
          <w:noProof/>
          <w:szCs w:val="22"/>
        </w:rPr>
        <w:t>response</w:t>
      </w:r>
      <w:r w:rsidRPr="00CF795C">
        <w:rPr>
          <w:szCs w:val="22"/>
        </w:rPr>
        <w:t xml:space="preserve"> </w:t>
      </w:r>
      <w:r w:rsidR="00BA57C6" w:rsidRPr="00AA3879">
        <w:rPr>
          <w:noProof/>
          <w:szCs w:val="22"/>
        </w:rPr>
        <w:t>ha</w:t>
      </w:r>
      <w:r w:rsidR="00AA3879">
        <w:rPr>
          <w:noProof/>
          <w:szCs w:val="22"/>
        </w:rPr>
        <w:t>ve</w:t>
      </w:r>
      <w:r w:rsidR="00BA57C6">
        <w:rPr>
          <w:szCs w:val="22"/>
        </w:rPr>
        <w:t xml:space="preserve"> also </w:t>
      </w:r>
      <w:r w:rsidR="00075F69">
        <w:rPr>
          <w:szCs w:val="22"/>
        </w:rPr>
        <w:t>raised</w:t>
      </w:r>
      <w:r w:rsidRPr="00CF795C">
        <w:rPr>
          <w:szCs w:val="22"/>
        </w:rPr>
        <w:t xml:space="preserve"> </w:t>
      </w:r>
      <w:r w:rsidR="00075F69">
        <w:rPr>
          <w:szCs w:val="22"/>
        </w:rPr>
        <w:t xml:space="preserve">in </w:t>
      </w:r>
      <w:r w:rsidRPr="00CF795C">
        <w:rPr>
          <w:szCs w:val="22"/>
        </w:rPr>
        <w:t>importan</w:t>
      </w:r>
      <w:r w:rsidR="00075F69">
        <w:rPr>
          <w:szCs w:val="22"/>
        </w:rPr>
        <w:t>ce</w:t>
      </w:r>
      <w:r w:rsidR="00F75ACF">
        <w:rPr>
          <w:szCs w:val="22"/>
        </w:rPr>
        <w:t xml:space="preserve"> </w:t>
      </w:r>
      <w:r w:rsidR="00F75ACF">
        <w:rPr>
          <w:szCs w:val="22"/>
        </w:rPr>
        <w:fldChar w:fldCharType="begin"/>
      </w:r>
      <w:r w:rsidR="00F75ACF">
        <w:rPr>
          <w:szCs w:val="22"/>
        </w:rPr>
        <w:instrText xml:space="preserve"> ADDIN EN.CITE &lt;EndNote&gt;&lt;Cite&gt;&lt;Author&gt;Culp&lt;/Author&gt;&lt;Year&gt;2013&lt;/Year&gt;&lt;RecNum&gt;1419&lt;/RecNum&gt;&lt;DisplayText&gt;(Culp, 2013; Scott, 2016)&lt;/DisplayText&gt;&lt;record&gt;&lt;rec-number&gt;1419&lt;/rec-number&gt;&lt;foreign-keys&gt;&lt;key app="EN" db-id="0w05zrd59zdxwmexsxlxa0purxdzd2svavae" timestamp="1550933734"&gt;1419&lt;/key&gt;&lt;/foreign-keys&gt;&lt;ref-type name="Journal Article"&gt;17&lt;/ref-type&gt;&lt;contributors&gt;&lt;authors&gt;&lt;author&gt;Culp, S&lt;/author&gt;&lt;/authors&gt;&lt;/contributors&gt;&lt;titles&gt;&lt;title&gt;Supply Chain Disruption—A Major Threat to Business&lt;/title&gt;&lt;secondary-title&gt;Forbes. Published on Feburary&lt;/secondary-title&gt;&lt;/titles&gt;&lt;periodical&gt;&lt;full-title&gt;Forbes. Published on Feburary&lt;/full-title&gt;&lt;/periodical&gt;&lt;pages&gt;2013&lt;/pages&gt;&lt;volume&gt;15&lt;/volume&gt;&lt;dates&gt;&lt;year&gt;2013&lt;/year&gt;&lt;/dates&gt;&lt;urls&gt;&lt;/urls&gt;&lt;/record&gt;&lt;/Cite&gt;&lt;Cite&gt;&lt;Author&gt;Scott&lt;/Author&gt;&lt;Year&gt;2016&lt;/Year&gt;&lt;RecNum&gt;1420&lt;/RecNum&gt;&lt;record&gt;&lt;rec-number&gt;1420&lt;/rec-number&gt;&lt;foreign-keys&gt;&lt;key app="EN" db-id="0w05zrd59zdxwmexsxlxa0purxdzd2svavae" timestamp="1550933881"&gt;1420&lt;/key&gt;&lt;/foreign-keys&gt;&lt;ref-type name="Report"&gt;27&lt;/ref-type&gt;&lt;contributors&gt;&lt;authors&gt;&lt;author&gt;Scott, A.&lt;/author&gt;&lt;/authors&gt;&lt;/contributors&gt;&lt;titles&gt;&lt;title&gt;The top 10 causes of supply chain disruption loss&lt;/title&gt;&lt;secondary-title&gt;Supply Management&lt;/secondary-title&gt;&lt;/titles&gt;&lt;dates&gt;&lt;year&gt;2016&lt;/year&gt;&lt;/dates&gt;&lt;publisher&gt;Chartered Institute of Procurement and Supply&lt;/publisher&gt;&lt;urls&gt;&lt;/urls&gt;&lt;/record&gt;&lt;/Cite&gt;&lt;/EndNote&gt;</w:instrText>
      </w:r>
      <w:r w:rsidR="00F75ACF">
        <w:rPr>
          <w:szCs w:val="22"/>
        </w:rPr>
        <w:fldChar w:fldCharType="separate"/>
      </w:r>
      <w:r w:rsidR="00F75ACF">
        <w:rPr>
          <w:noProof/>
          <w:szCs w:val="22"/>
        </w:rPr>
        <w:t>(</w:t>
      </w:r>
      <w:hyperlink w:anchor="_ENREF_23" w:tooltip="Culp, 2013 #1419" w:history="1">
        <w:r w:rsidR="00F75ACF" w:rsidRPr="004C6DEC">
          <w:rPr>
            <w:rStyle w:val="Hyperlink"/>
            <w:noProof/>
            <w:szCs w:val="22"/>
          </w:rPr>
          <w:t>Culp, 2013</w:t>
        </w:r>
      </w:hyperlink>
      <w:r w:rsidR="00F75ACF">
        <w:rPr>
          <w:noProof/>
          <w:szCs w:val="22"/>
        </w:rPr>
        <w:t xml:space="preserve">; </w:t>
      </w:r>
      <w:hyperlink w:anchor="_ENREF_78" w:tooltip="Scott, 2016 #1420" w:history="1">
        <w:r w:rsidR="00F75ACF" w:rsidRPr="004C6DEC">
          <w:rPr>
            <w:rStyle w:val="Hyperlink"/>
            <w:noProof/>
            <w:szCs w:val="22"/>
          </w:rPr>
          <w:t>Scott, 2016</w:t>
        </w:r>
      </w:hyperlink>
      <w:r w:rsidR="00F75ACF">
        <w:rPr>
          <w:noProof/>
          <w:szCs w:val="22"/>
        </w:rPr>
        <w:t>)</w:t>
      </w:r>
      <w:r w:rsidR="00F75ACF">
        <w:rPr>
          <w:szCs w:val="22"/>
        </w:rPr>
        <w:fldChar w:fldCharType="end"/>
      </w:r>
      <w:r w:rsidR="00F75ACF">
        <w:rPr>
          <w:szCs w:val="22"/>
        </w:rPr>
        <w:t xml:space="preserve">. </w:t>
      </w:r>
    </w:p>
    <w:p w14:paraId="307319C0" w14:textId="0DA29566" w:rsidR="00CB6CDA" w:rsidRDefault="00CE17B6" w:rsidP="0089596F">
      <w:pPr>
        <w:spacing w:line="480" w:lineRule="auto"/>
        <w:ind w:firstLine="720"/>
        <w:rPr>
          <w:szCs w:val="22"/>
        </w:rPr>
      </w:pPr>
      <w:r>
        <w:rPr>
          <w:szCs w:val="22"/>
        </w:rPr>
        <w:t>Management scholars postulated</w:t>
      </w:r>
      <w:r w:rsidR="005E5EA9">
        <w:rPr>
          <w:szCs w:val="22"/>
        </w:rPr>
        <w:t xml:space="preserve"> different theoretical lenses to e</w:t>
      </w:r>
      <w:r w:rsidR="00D10BA2">
        <w:rPr>
          <w:szCs w:val="22"/>
        </w:rPr>
        <w:t xml:space="preserve">xamine risk in organizations and ways to mitigate them. </w:t>
      </w:r>
      <w:r w:rsidR="00774579">
        <w:rPr>
          <w:szCs w:val="22"/>
        </w:rPr>
        <w:t xml:space="preserve">For instance, </w:t>
      </w:r>
      <w:r w:rsidR="00465F24">
        <w:rPr>
          <w:szCs w:val="22"/>
        </w:rPr>
        <w:t xml:space="preserve">normal </w:t>
      </w:r>
      <w:r w:rsidR="00E31FE1">
        <w:rPr>
          <w:szCs w:val="22"/>
        </w:rPr>
        <w:t xml:space="preserve">accident theory </w:t>
      </w:r>
      <w:r w:rsidR="00F557CC">
        <w:rPr>
          <w:szCs w:val="22"/>
        </w:rPr>
        <w:t xml:space="preserve">(NAT) </w:t>
      </w:r>
      <w:r w:rsidR="00E31FE1">
        <w:rPr>
          <w:szCs w:val="22"/>
        </w:rPr>
        <w:t>suggests th</w:t>
      </w:r>
      <w:r w:rsidR="008978DC">
        <w:rPr>
          <w:szCs w:val="22"/>
        </w:rPr>
        <w:t xml:space="preserve">at accidents are inevitable and occur due to tight coupling between components and also due to </w:t>
      </w:r>
      <w:r w:rsidR="00AA3879">
        <w:rPr>
          <w:szCs w:val="22"/>
        </w:rPr>
        <w:t xml:space="preserve">the </w:t>
      </w:r>
      <w:r w:rsidR="008978DC" w:rsidRPr="00AA3879">
        <w:rPr>
          <w:noProof/>
          <w:szCs w:val="22"/>
        </w:rPr>
        <w:t>complexity</w:t>
      </w:r>
      <w:r w:rsidR="008978DC">
        <w:rPr>
          <w:szCs w:val="22"/>
        </w:rPr>
        <w:t xml:space="preserve"> of systems</w:t>
      </w:r>
      <w:r w:rsidR="00627756" w:rsidRPr="00627756">
        <w:t xml:space="preserve"> </w:t>
      </w:r>
      <w:r w:rsidR="00627756">
        <w:rPr>
          <w:szCs w:val="22"/>
        </w:rPr>
        <w:fldChar w:fldCharType="begin"/>
      </w:r>
      <w:r w:rsidR="00627756">
        <w:rPr>
          <w:szCs w:val="22"/>
        </w:rPr>
        <w:instrText xml:space="preserve"> ADDIN EN.CITE &lt;EndNote&gt;&lt;Cite&gt;&lt;Author&gt;Perrow&lt;/Author&gt;&lt;Year&gt;1994&lt;/Year&gt;&lt;RecNum&gt;1380&lt;/RecNum&gt;&lt;DisplayText&gt;(Perrow, 1994)&lt;/DisplayText&gt;&lt;record&gt;&lt;rec-number&gt;1380&lt;/rec-number&gt;&lt;foreign-keys&gt;&lt;key app="EN" db-id="0w05zrd59zdxwmexsxlxa0purxdzd2svavae" timestamp="1550889970"&gt;1380&lt;/key&gt;&lt;/foreign-keys&gt;&lt;ref-type name="Journal Article"&gt;17&lt;/ref-type&gt;&lt;contributors&gt;&lt;authors&gt;&lt;author&gt;Perrow, Charles&lt;/author&gt;&lt;/authors&gt;&lt;/contributors&gt;&lt;titles&gt;&lt;title&gt;The limits of safety: the enhancement of a theory of accidents&lt;/title&gt;&lt;secondary-title&gt;Journal of contingencies and crisis management&lt;/secondary-title&gt;&lt;/titles&gt;&lt;periodical&gt;&lt;full-title&gt;Journal of contingencies and crisis management&lt;/full-title&gt;&lt;/periodical&gt;&lt;pages&gt;212-220&lt;/pages&gt;&lt;volume&gt;2&lt;/volume&gt;&lt;number&gt;4&lt;/number&gt;&lt;dates&gt;&lt;year&gt;1994&lt;/year&gt;&lt;/dates&gt;&lt;isbn&gt;0966-0879&lt;/isbn&gt;&lt;urls&gt;&lt;/urls&gt;&lt;/record&gt;&lt;/Cite&gt;&lt;/EndNote&gt;</w:instrText>
      </w:r>
      <w:r w:rsidR="00627756">
        <w:rPr>
          <w:szCs w:val="22"/>
        </w:rPr>
        <w:fldChar w:fldCharType="separate"/>
      </w:r>
      <w:r w:rsidR="00627756">
        <w:rPr>
          <w:noProof/>
          <w:szCs w:val="22"/>
        </w:rPr>
        <w:t>(</w:t>
      </w:r>
      <w:hyperlink w:anchor="_ENREF_65" w:tooltip="Perrow, 1994 #1380" w:history="1">
        <w:r w:rsidR="00627756" w:rsidRPr="004C6DEC">
          <w:rPr>
            <w:rStyle w:val="Hyperlink"/>
            <w:noProof/>
            <w:szCs w:val="22"/>
          </w:rPr>
          <w:t>Perrow, 1994</w:t>
        </w:r>
      </w:hyperlink>
      <w:r w:rsidR="00627756">
        <w:rPr>
          <w:noProof/>
          <w:szCs w:val="22"/>
        </w:rPr>
        <w:t>)</w:t>
      </w:r>
      <w:r w:rsidR="00627756">
        <w:rPr>
          <w:szCs w:val="22"/>
        </w:rPr>
        <w:fldChar w:fldCharType="end"/>
      </w:r>
      <w:r w:rsidR="008978DC">
        <w:rPr>
          <w:szCs w:val="22"/>
        </w:rPr>
        <w:t xml:space="preserve">. </w:t>
      </w:r>
      <w:r w:rsidR="00627756">
        <w:rPr>
          <w:szCs w:val="22"/>
        </w:rPr>
        <w:t xml:space="preserve">The </w:t>
      </w:r>
      <w:r w:rsidR="008978DC">
        <w:rPr>
          <w:szCs w:val="22"/>
        </w:rPr>
        <w:t>Swiss cheese model suggests that firms can minimize risks by incorporating both hard (systems based) and soft (people based) countermeasures</w:t>
      </w:r>
      <w:r w:rsidR="00627756">
        <w:rPr>
          <w:szCs w:val="22"/>
        </w:rPr>
        <w:t xml:space="preserve"> </w:t>
      </w:r>
      <w:r w:rsidR="00627756">
        <w:rPr>
          <w:szCs w:val="22"/>
        </w:rPr>
        <w:fldChar w:fldCharType="begin"/>
      </w:r>
      <w:r w:rsidR="00627756">
        <w:rPr>
          <w:szCs w:val="22"/>
        </w:rPr>
        <w:instrText xml:space="preserve"> ADDIN EN.CITE &lt;EndNote&gt;&lt;Cite&gt;&lt;Author&gt;Reason&lt;/Author&gt;&lt;Year&gt;1990&lt;/Year&gt;&lt;RecNum&gt;1388&lt;/RecNum&gt;&lt;DisplayText&gt;(Reason, 1990)&lt;/DisplayText&gt;&lt;record&gt;&lt;rec-number&gt;1388&lt;/rec-number&gt;&lt;foreign-keys&gt;&lt;key app="EN" db-id="0w05zrd59zdxwmexsxlxa0purxdzd2svavae" timestamp="1550890594"&gt;1388&lt;/key&gt;&lt;/foreign-keys&gt;&lt;ref-type name="Book"&gt;6&lt;/ref-type&gt;&lt;contributors&gt;&lt;authors&gt;&lt;author&gt;Reason, James&lt;/author&gt;&lt;/authors&gt;&lt;/contributors&gt;&lt;titles&gt;&lt;title&gt;Human error&lt;/title&gt;&lt;/titles&gt;&lt;dates&gt;&lt;year&gt;1990&lt;/year&gt;&lt;/dates&gt;&lt;pub-location&gt;UK&lt;/pub-location&gt;&lt;publisher&gt;Cambridge university press&lt;/publisher&gt;&lt;isbn&gt;0521314194&lt;/isbn&gt;&lt;urls&gt;&lt;/urls&gt;&lt;/record&gt;&lt;/Cite&gt;&lt;/EndNote&gt;</w:instrText>
      </w:r>
      <w:r w:rsidR="00627756">
        <w:rPr>
          <w:szCs w:val="22"/>
        </w:rPr>
        <w:fldChar w:fldCharType="separate"/>
      </w:r>
      <w:r w:rsidR="00627756">
        <w:rPr>
          <w:noProof/>
          <w:szCs w:val="22"/>
        </w:rPr>
        <w:t>(</w:t>
      </w:r>
      <w:hyperlink w:anchor="_ENREF_69" w:tooltip="Reason, 1990 #1388" w:history="1">
        <w:r w:rsidR="00627756" w:rsidRPr="004C6DEC">
          <w:rPr>
            <w:rStyle w:val="Hyperlink"/>
            <w:noProof/>
            <w:szCs w:val="22"/>
          </w:rPr>
          <w:t>Reason, 1990</w:t>
        </w:r>
      </w:hyperlink>
      <w:r w:rsidR="00627756">
        <w:rPr>
          <w:noProof/>
          <w:szCs w:val="22"/>
        </w:rPr>
        <w:t>)</w:t>
      </w:r>
      <w:r w:rsidR="00627756">
        <w:rPr>
          <w:szCs w:val="22"/>
        </w:rPr>
        <w:fldChar w:fldCharType="end"/>
      </w:r>
      <w:r w:rsidR="008978DC">
        <w:rPr>
          <w:szCs w:val="22"/>
        </w:rPr>
        <w:t xml:space="preserve">. </w:t>
      </w:r>
      <w:r w:rsidR="008978DC" w:rsidRPr="00AA3879">
        <w:rPr>
          <w:noProof/>
          <w:szCs w:val="22"/>
        </w:rPr>
        <w:t>Yet,</w:t>
      </w:r>
      <w:r w:rsidR="008978DC">
        <w:rPr>
          <w:szCs w:val="22"/>
        </w:rPr>
        <w:t xml:space="preserve"> there will be instances where the countermeasures may fail due to </w:t>
      </w:r>
      <w:r w:rsidR="00AA3879">
        <w:rPr>
          <w:szCs w:val="22"/>
        </w:rPr>
        <w:t xml:space="preserve">the </w:t>
      </w:r>
      <w:r w:rsidR="008978DC" w:rsidRPr="00AA3879">
        <w:rPr>
          <w:noProof/>
          <w:szCs w:val="22"/>
        </w:rPr>
        <w:t>perfect</w:t>
      </w:r>
      <w:r w:rsidR="008978DC">
        <w:rPr>
          <w:szCs w:val="22"/>
        </w:rPr>
        <w:t xml:space="preserve"> alignment of events and conditions. </w:t>
      </w:r>
      <w:r w:rsidR="008978DC" w:rsidRPr="00AA3879">
        <w:rPr>
          <w:noProof/>
          <w:szCs w:val="22"/>
        </w:rPr>
        <w:t>High</w:t>
      </w:r>
      <w:r w:rsidR="00AA3879">
        <w:rPr>
          <w:noProof/>
          <w:szCs w:val="22"/>
        </w:rPr>
        <w:t>-</w:t>
      </w:r>
      <w:r w:rsidR="008978DC" w:rsidRPr="00AA3879">
        <w:rPr>
          <w:noProof/>
          <w:szCs w:val="22"/>
        </w:rPr>
        <w:t>reliability</w:t>
      </w:r>
      <w:r w:rsidR="008978DC">
        <w:rPr>
          <w:szCs w:val="22"/>
        </w:rPr>
        <w:t xml:space="preserve"> organization </w:t>
      </w:r>
      <w:r w:rsidR="00465F24">
        <w:rPr>
          <w:szCs w:val="22"/>
        </w:rPr>
        <w:t xml:space="preserve">(HRO) </w:t>
      </w:r>
      <w:r w:rsidR="008978DC">
        <w:rPr>
          <w:szCs w:val="22"/>
        </w:rPr>
        <w:t xml:space="preserve">researchers posit that we can learn a lot from organizations that are prone to catastrophic failures but do not manifest as frequently, such as aircraft carriers, air traffic control or nuclear </w:t>
      </w:r>
      <w:r w:rsidR="00F557CC">
        <w:rPr>
          <w:szCs w:val="22"/>
        </w:rPr>
        <w:t>power plants</w:t>
      </w:r>
      <w:r w:rsidR="00465F24">
        <w:rPr>
          <w:szCs w:val="22"/>
        </w:rPr>
        <w:t xml:space="preserve"> </w:t>
      </w:r>
      <w:r w:rsidR="00465F24">
        <w:rPr>
          <w:szCs w:val="22"/>
        </w:rPr>
        <w:fldChar w:fldCharType="begin"/>
      </w:r>
      <w:r w:rsidR="00465F24">
        <w:rPr>
          <w:szCs w:val="22"/>
        </w:rPr>
        <w:instrText xml:space="preserve"> ADDIN EN.CITE &lt;EndNote&gt;&lt;Cite&gt;&lt;Author&gt;Roberts&lt;/Author&gt;&lt;Year&gt;1990&lt;/Year&gt;&lt;RecNum&gt;1386&lt;/RecNum&gt;&lt;DisplayText&gt;(Roberts, 1990; Speier et al., 2011)&lt;/DisplayText&gt;&lt;record&gt;&lt;rec-number&gt;1386&lt;/rec-number&gt;&lt;foreign-keys&gt;&lt;key app="EN" db-id="0w05zrd59zdxwmexsxlxa0purxdzd2svavae" timestamp="1550890530"&gt;1386&lt;/key&gt;&lt;/foreign-keys&gt;&lt;ref-type name="Journal Article"&gt;17&lt;/ref-type&gt;&lt;contributors&gt;&lt;authors&gt;&lt;author&gt;Roberts, Karlene H&lt;/author&gt;&lt;/authors&gt;&lt;/contributors&gt;&lt;titles&gt;&lt;title&gt;Some characteristics of one type of high reliability organization&lt;/title&gt;&lt;secondary-title&gt;Organization Science&lt;/secondary-title&gt;&lt;/titles&gt;&lt;periodical&gt;&lt;full-title&gt;Organization Science&lt;/full-title&gt;&lt;/periodical&gt;&lt;pages&gt;160-176&lt;/pages&gt;&lt;volume&gt;1&lt;/volume&gt;&lt;number&gt;2&lt;/number&gt;&lt;dates&gt;&lt;year&gt;1990&lt;/year&gt;&lt;/dates&gt;&lt;isbn&gt;1047-7039&lt;/isbn&gt;&lt;urls&gt;&lt;/urls&gt;&lt;/record&gt;&lt;/Cite&gt;&lt;Cite&gt;&lt;Author&gt;Speier&lt;/Author&gt;&lt;Year&gt;2011&lt;/Year&gt;&lt;RecNum&gt;1390&lt;/RecNum&gt;&lt;record&gt;&lt;rec-number&gt;1390&lt;/rec-number&gt;&lt;foreign-keys&gt;&lt;key app="EN" db-id="0w05zrd59zdxwmexsxlxa0purxdzd2svavae" timestamp="1550890744"&gt;1390&lt;/key&gt;&lt;/foreign-keys&gt;&lt;ref-type name="Journal Article"&gt;17&lt;/ref-type&gt;&lt;contributors&gt;&lt;authors&gt;&lt;author&gt;Speier, Cheri&lt;/author&gt;&lt;author&gt;Whipple, Judith M&lt;/author&gt;&lt;author&gt;Closs, David J&lt;/author&gt;&lt;author&gt;Voss, M Douglas&lt;/author&gt;&lt;/authors&gt;&lt;/contributors&gt;&lt;titles&gt;&lt;title&gt;Global supply chain design considerations: Mitigating product safety and security risks&lt;/title&gt;&lt;secondary-title&gt;Journal of Operations Management&lt;/secondary-title&gt;&lt;/titles&gt;&lt;periodical&gt;&lt;full-title&gt;Journal of Operations Management&lt;/full-title&gt;&lt;/periodical&gt;&lt;pages&gt;721-736&lt;/pages&gt;&lt;volume&gt;29&lt;/volume&gt;&lt;number&gt;7-8&lt;/number&gt;&lt;dates&gt;&lt;year&gt;2011&lt;/year&gt;&lt;/dates&gt;&lt;isbn&gt;0272-6963&lt;/isbn&gt;&lt;urls&gt;&lt;/urls&gt;&lt;/record&gt;&lt;/Cite&gt;&lt;/EndNote&gt;</w:instrText>
      </w:r>
      <w:r w:rsidR="00465F24">
        <w:rPr>
          <w:szCs w:val="22"/>
        </w:rPr>
        <w:fldChar w:fldCharType="separate"/>
      </w:r>
      <w:r w:rsidR="00465F24">
        <w:rPr>
          <w:noProof/>
          <w:szCs w:val="22"/>
        </w:rPr>
        <w:t>(</w:t>
      </w:r>
      <w:hyperlink w:anchor="_ENREF_73" w:tooltip="Roberts, 1990 #1386" w:history="1">
        <w:r w:rsidR="00465F24" w:rsidRPr="004C6DEC">
          <w:rPr>
            <w:rStyle w:val="Hyperlink"/>
            <w:noProof/>
            <w:szCs w:val="22"/>
          </w:rPr>
          <w:t>Roberts, 1990</w:t>
        </w:r>
      </w:hyperlink>
      <w:r w:rsidR="00465F24">
        <w:rPr>
          <w:noProof/>
          <w:szCs w:val="22"/>
        </w:rPr>
        <w:t xml:space="preserve">; </w:t>
      </w:r>
      <w:hyperlink w:anchor="_ENREF_89" w:tooltip="Speier, 2011 #1390" w:history="1">
        <w:r w:rsidR="00465F24" w:rsidRPr="004C6DEC">
          <w:rPr>
            <w:rStyle w:val="Hyperlink"/>
            <w:noProof/>
            <w:szCs w:val="22"/>
          </w:rPr>
          <w:t>Speier et al., 2011</w:t>
        </w:r>
      </w:hyperlink>
      <w:r w:rsidR="00465F24">
        <w:rPr>
          <w:noProof/>
          <w:szCs w:val="22"/>
        </w:rPr>
        <w:t>)</w:t>
      </w:r>
      <w:r w:rsidR="00465F24">
        <w:rPr>
          <w:szCs w:val="22"/>
        </w:rPr>
        <w:fldChar w:fldCharType="end"/>
      </w:r>
      <w:r w:rsidR="008978DC">
        <w:rPr>
          <w:szCs w:val="22"/>
        </w:rPr>
        <w:t xml:space="preserve">. These theories were postulated to </w:t>
      </w:r>
      <w:r w:rsidR="00465F24">
        <w:rPr>
          <w:szCs w:val="22"/>
        </w:rPr>
        <w:t xml:space="preserve">help </w:t>
      </w:r>
      <w:r w:rsidR="008978DC">
        <w:rPr>
          <w:szCs w:val="22"/>
        </w:rPr>
        <w:t xml:space="preserve">manage </w:t>
      </w:r>
      <w:r w:rsidR="00F75ACF">
        <w:rPr>
          <w:szCs w:val="22"/>
        </w:rPr>
        <w:t>major</w:t>
      </w:r>
      <w:r w:rsidR="008978DC">
        <w:rPr>
          <w:szCs w:val="22"/>
        </w:rPr>
        <w:t xml:space="preserve"> failures. </w:t>
      </w:r>
      <w:r w:rsidR="008978DC" w:rsidRPr="001A54B5">
        <w:rPr>
          <w:noProof/>
          <w:szCs w:val="22"/>
        </w:rPr>
        <w:t>Yet,</w:t>
      </w:r>
      <w:r w:rsidR="008978DC">
        <w:rPr>
          <w:szCs w:val="22"/>
        </w:rPr>
        <w:t xml:space="preserve"> </w:t>
      </w:r>
      <w:r w:rsidR="00F75ACF">
        <w:rPr>
          <w:szCs w:val="22"/>
        </w:rPr>
        <w:t>major</w:t>
      </w:r>
      <w:r w:rsidR="008978DC">
        <w:rPr>
          <w:szCs w:val="22"/>
        </w:rPr>
        <w:t xml:space="preserve"> failures </w:t>
      </w:r>
      <w:r w:rsidR="00465F24">
        <w:rPr>
          <w:szCs w:val="22"/>
        </w:rPr>
        <w:t xml:space="preserve">do not occur </w:t>
      </w:r>
      <w:r w:rsidR="008978DC">
        <w:rPr>
          <w:szCs w:val="22"/>
        </w:rPr>
        <w:t>frequent</w:t>
      </w:r>
      <w:r w:rsidR="00465F24">
        <w:rPr>
          <w:szCs w:val="22"/>
        </w:rPr>
        <w:t xml:space="preserve">ly enough </w:t>
      </w:r>
      <w:r w:rsidR="008978DC">
        <w:rPr>
          <w:szCs w:val="22"/>
        </w:rPr>
        <w:t xml:space="preserve">to gain substantial understanding from them. Further, </w:t>
      </w:r>
      <w:r w:rsidR="00F75ACF">
        <w:rPr>
          <w:szCs w:val="22"/>
        </w:rPr>
        <w:t xml:space="preserve">while </w:t>
      </w:r>
      <w:r w:rsidR="008978DC">
        <w:rPr>
          <w:szCs w:val="22"/>
        </w:rPr>
        <w:t xml:space="preserve">these theories are </w:t>
      </w:r>
      <w:r w:rsidR="00997878">
        <w:rPr>
          <w:szCs w:val="22"/>
        </w:rPr>
        <w:t>effective</w:t>
      </w:r>
      <w:r w:rsidR="008978DC">
        <w:rPr>
          <w:szCs w:val="22"/>
        </w:rPr>
        <w:t xml:space="preserve"> in analyzing the reasons </w:t>
      </w:r>
      <w:r w:rsidR="00F75ACF">
        <w:rPr>
          <w:szCs w:val="22"/>
        </w:rPr>
        <w:t>behind failures, they may not be able to provide</w:t>
      </w:r>
      <w:r w:rsidR="006A1253">
        <w:rPr>
          <w:szCs w:val="22"/>
        </w:rPr>
        <w:t xml:space="preserve"> insights on how to </w:t>
      </w:r>
      <w:r w:rsidR="008978DC">
        <w:rPr>
          <w:szCs w:val="22"/>
        </w:rPr>
        <w:t>prevent these failures</w:t>
      </w:r>
      <w:r w:rsidR="009B619A" w:rsidRPr="009B619A">
        <w:t xml:space="preserve"> </w:t>
      </w:r>
      <w:r w:rsidR="009B619A">
        <w:rPr>
          <w:szCs w:val="22"/>
        </w:rPr>
        <w:fldChar w:fldCharType="begin"/>
      </w:r>
      <w:r w:rsidR="00627756">
        <w:rPr>
          <w:szCs w:val="22"/>
        </w:rPr>
        <w:instrText xml:space="preserve"> ADDIN EN.CITE &lt;EndNote&gt;&lt;Cite&gt;&lt;Author&gt;Reason&lt;/Author&gt;&lt;Year&gt;1990&lt;/Year&gt;&lt;RecNum&gt;1388&lt;/RecNum&gt;&lt;DisplayText&gt;(Reason, 1990)&lt;/DisplayText&gt;&lt;record&gt;&lt;rec-number&gt;1388&lt;/rec-number&gt;&lt;foreign-keys&gt;&lt;key app="EN" db-id="0w05zrd59zdxwmexsxlxa0purxdzd2svavae" timestamp="1550890594"&gt;1388&lt;/key&gt;&lt;/foreign-keys&gt;&lt;ref-type name="Book"&gt;6&lt;/ref-type&gt;&lt;contributors&gt;&lt;authors&gt;&lt;author&gt;Reason, James&lt;/author&gt;&lt;/authors&gt;&lt;/contributors&gt;&lt;titles&gt;&lt;title&gt;Human error&lt;/title&gt;&lt;/titles&gt;&lt;dates&gt;&lt;year&gt;1990&lt;/year&gt;&lt;/dates&gt;&lt;pub-location&gt;UK&lt;/pub-location&gt;&lt;publisher&gt;Cambridge university press&lt;/publisher&gt;&lt;isbn&gt;0521314194&lt;/isbn&gt;&lt;urls&gt;&lt;/urls&gt;&lt;/record&gt;&lt;/Cite&gt;&lt;/EndNote&gt;</w:instrText>
      </w:r>
      <w:r w:rsidR="009B619A">
        <w:rPr>
          <w:szCs w:val="22"/>
        </w:rPr>
        <w:fldChar w:fldCharType="separate"/>
      </w:r>
      <w:r w:rsidR="009B619A">
        <w:rPr>
          <w:noProof/>
          <w:szCs w:val="22"/>
        </w:rPr>
        <w:t>(</w:t>
      </w:r>
      <w:hyperlink w:anchor="_ENREF_69" w:tooltip="Reason, 1990 #1388" w:history="1">
        <w:r w:rsidR="009B619A" w:rsidRPr="004C6DEC">
          <w:rPr>
            <w:rStyle w:val="Hyperlink"/>
            <w:noProof/>
            <w:szCs w:val="22"/>
          </w:rPr>
          <w:t>Reason, 1990</w:t>
        </w:r>
      </w:hyperlink>
      <w:r w:rsidR="009B619A">
        <w:rPr>
          <w:noProof/>
          <w:szCs w:val="22"/>
        </w:rPr>
        <w:t>)</w:t>
      </w:r>
      <w:r w:rsidR="009B619A">
        <w:rPr>
          <w:szCs w:val="22"/>
        </w:rPr>
        <w:fldChar w:fldCharType="end"/>
      </w:r>
      <w:r w:rsidR="008978DC">
        <w:rPr>
          <w:szCs w:val="22"/>
        </w:rPr>
        <w:t xml:space="preserve">. </w:t>
      </w:r>
      <w:r w:rsidR="00B20A6B">
        <w:rPr>
          <w:szCs w:val="22"/>
        </w:rPr>
        <w:t>HRO researchers</w:t>
      </w:r>
      <w:r w:rsidR="008978DC">
        <w:rPr>
          <w:szCs w:val="22"/>
        </w:rPr>
        <w:t xml:space="preserve"> and proponents of </w:t>
      </w:r>
      <w:r w:rsidR="00AA3879">
        <w:rPr>
          <w:szCs w:val="22"/>
        </w:rPr>
        <w:t xml:space="preserve">the </w:t>
      </w:r>
      <w:r w:rsidR="008978DC" w:rsidRPr="00AA3879">
        <w:rPr>
          <w:noProof/>
          <w:szCs w:val="22"/>
        </w:rPr>
        <w:t>Swiss</w:t>
      </w:r>
      <w:r w:rsidR="008978DC">
        <w:rPr>
          <w:szCs w:val="22"/>
        </w:rPr>
        <w:t xml:space="preserve"> cheese model</w:t>
      </w:r>
      <w:r w:rsidR="00B20A6B">
        <w:rPr>
          <w:szCs w:val="22"/>
        </w:rPr>
        <w:t xml:space="preserve"> recommended </w:t>
      </w:r>
      <w:r w:rsidR="00AA3879">
        <w:rPr>
          <w:szCs w:val="22"/>
        </w:rPr>
        <w:t xml:space="preserve">the </w:t>
      </w:r>
      <w:r w:rsidR="00B20A6B" w:rsidRPr="00AA3879">
        <w:rPr>
          <w:noProof/>
          <w:szCs w:val="22"/>
        </w:rPr>
        <w:t>use</w:t>
      </w:r>
      <w:r w:rsidR="00B20A6B">
        <w:rPr>
          <w:szCs w:val="22"/>
        </w:rPr>
        <w:t xml:space="preserve"> of </w:t>
      </w:r>
      <w:r w:rsidR="00B20A6B" w:rsidRPr="003070DF">
        <w:rPr>
          <w:i/>
          <w:szCs w:val="22"/>
        </w:rPr>
        <w:t>near-misses</w:t>
      </w:r>
      <w:r w:rsidR="00B20A6B">
        <w:rPr>
          <w:szCs w:val="22"/>
        </w:rPr>
        <w:t xml:space="preserve"> in large-scale systems as an alternative reporting mechanism to understand vulnerabilities in the operational processes and routines</w:t>
      </w:r>
      <w:r w:rsidR="009B619A">
        <w:rPr>
          <w:szCs w:val="22"/>
        </w:rPr>
        <w:t xml:space="preserve"> </w:t>
      </w:r>
      <w:r w:rsidR="009B619A">
        <w:rPr>
          <w:szCs w:val="22"/>
        </w:rPr>
        <w:fldChar w:fldCharType="begin"/>
      </w:r>
      <w:r w:rsidR="009B619A">
        <w:rPr>
          <w:szCs w:val="22"/>
        </w:rPr>
        <w:instrText xml:space="preserve"> ADDIN EN.CITE &lt;EndNote&gt;&lt;Cite&gt;&lt;Author&gt;Grabowski&lt;/Author&gt;&lt;Year&gt;1997&lt;/Year&gt;&lt;RecNum&gt;1394&lt;/RecNum&gt;&lt;DisplayText&gt;(Grabowski and Roberts, 1997)&lt;/DisplayText&gt;&lt;record&gt;&lt;rec-number&gt;1394&lt;/rec-number&gt;&lt;foreign-keys&gt;&lt;key app="EN" db-id="0w05zrd59zdxwmexsxlxa0purxdzd2svavae" timestamp="1550928429"&gt;1394&lt;/key&gt;&lt;/foreign-keys&gt;&lt;ref-type name="Journal Article"&gt;17&lt;/ref-type&gt;&lt;contributors&gt;&lt;authors&gt;&lt;author&gt;Grabowski, Martha&lt;/author&gt;&lt;author&gt;Roberts, Karlene&lt;/author&gt;&lt;/authors&gt;&lt;/contributors&gt;&lt;titles&gt;&lt;title&gt;Risk mitigation in large-scale systems: Lessons from high reliability organizations&lt;/title&gt;&lt;secondary-title&gt;California management review&lt;/secondary-title&gt;&lt;/titles&gt;&lt;periodical&gt;&lt;full-title&gt;California management review&lt;/full-title&gt;&lt;/periodical&gt;&lt;pages&gt;152-161&lt;/pages&gt;&lt;volume&gt;39&lt;/volume&gt;&lt;number&gt;4&lt;/number&gt;&lt;dates&gt;&lt;year&gt;1997&lt;/year&gt;&lt;/dates&gt;&lt;isbn&gt;0008-1256&lt;/isbn&gt;&lt;urls&gt;&lt;/urls&gt;&lt;/record&gt;&lt;/Cite&gt;&lt;/EndNote&gt;</w:instrText>
      </w:r>
      <w:r w:rsidR="009B619A">
        <w:rPr>
          <w:szCs w:val="22"/>
        </w:rPr>
        <w:fldChar w:fldCharType="separate"/>
      </w:r>
      <w:r w:rsidR="009B619A">
        <w:rPr>
          <w:noProof/>
          <w:szCs w:val="22"/>
        </w:rPr>
        <w:t>(</w:t>
      </w:r>
      <w:hyperlink w:anchor="_ENREF_37" w:tooltip="Grabowski, 1997 #1394" w:history="1">
        <w:r w:rsidR="009B619A" w:rsidRPr="004C6DEC">
          <w:rPr>
            <w:rStyle w:val="Hyperlink"/>
            <w:noProof/>
            <w:szCs w:val="22"/>
          </w:rPr>
          <w:t>Grabowski and Roberts, 1997</w:t>
        </w:r>
      </w:hyperlink>
      <w:r w:rsidR="009B619A">
        <w:rPr>
          <w:noProof/>
          <w:szCs w:val="22"/>
        </w:rPr>
        <w:t>)</w:t>
      </w:r>
      <w:r w:rsidR="009B619A">
        <w:rPr>
          <w:szCs w:val="22"/>
        </w:rPr>
        <w:fldChar w:fldCharType="end"/>
      </w:r>
      <w:r w:rsidR="00CB3C8D">
        <w:rPr>
          <w:szCs w:val="22"/>
        </w:rPr>
        <w:t>.</w:t>
      </w:r>
    </w:p>
    <w:p w14:paraId="139C8C41" w14:textId="5F15C65D" w:rsidR="003B1C0E" w:rsidRDefault="00CF795C" w:rsidP="00627756">
      <w:pPr>
        <w:pStyle w:val="ListParagraph"/>
        <w:spacing w:line="480" w:lineRule="auto"/>
        <w:ind w:left="0" w:firstLine="720"/>
      </w:pPr>
      <w:r w:rsidRPr="00CF795C">
        <w:t xml:space="preserve">Near-misses are occasions when a company comes close to </w:t>
      </w:r>
      <w:r w:rsidRPr="001A54B5">
        <w:rPr>
          <w:noProof/>
        </w:rPr>
        <w:t>being negatively impacted</w:t>
      </w:r>
      <w:r w:rsidRPr="00CF795C">
        <w:t xml:space="preserve"> but </w:t>
      </w:r>
      <w:r w:rsidRPr="001A54B5">
        <w:rPr>
          <w:noProof/>
        </w:rPr>
        <w:t>is</w:t>
      </w:r>
      <w:r w:rsidRPr="00CF795C">
        <w:t xml:space="preserve"> not </w:t>
      </w:r>
      <w:r w:rsidR="00F15BD0">
        <w:fldChar w:fldCharType="begin"/>
      </w:r>
      <w:r w:rsidR="00F15BD0">
        <w:instrText xml:space="preserve"> ADDIN EN.CITE &lt;EndNote&gt;&lt;Cite&gt;&lt;Author&gt;Habermann&lt;/Author&gt;&lt;Year&gt;2015&lt;/Year&gt;&lt;RecNum&gt;1054&lt;/RecNum&gt;&lt;DisplayText&gt;(Habermann et al., 2015)&lt;/DisplayText&gt;&lt;record&gt;&lt;rec-number&gt;1054&lt;/rec-number&gt;&lt;foreign-keys&gt;&lt;key app="EN" db-id="0w05zrd59zdxwmexsxlxa0purxdzd2svavae" timestamp="0"&gt;1054&lt;/key&gt;&lt;/foreign-keys&gt;&lt;ref-type name="Journal Article"&gt;17&lt;/ref-type&gt;&lt;contributors&gt;&lt;authors&gt;&lt;author&gt;Habermann, M.&lt;/author&gt;&lt;author&gt;Blackhurst, J.&lt;/author&gt;&lt;author&gt;Metcalf, A. Y.&lt;/author&gt;&lt;/authors&gt;&lt;/contributors&gt;&lt;titles&gt;&lt;title&gt;Keep your friends close? Supply chain design and disruption risk&lt;/title&gt;&lt;secondary-title&gt;Decision Sciences&lt;/secondary-title&gt;&lt;/titles&gt;&lt;pages&gt;491-526&lt;/pages&gt;&lt;volume&gt;46&lt;/volume&gt;&lt;number&gt;3&lt;/number&gt;&lt;dates&gt;&lt;year&gt;2015&lt;/year&gt;&lt;pub-dates&gt;&lt;date&gt;Jun&lt;/date&gt;&lt;/pub-dates&gt;&lt;/dates&gt;&lt;isbn&gt;0011-7315&lt;/isbn&gt;&lt;accession-num&gt;WOS:000356007800002&lt;/accession-num&gt;&lt;urls&gt;&lt;related-urls&gt;&lt;url&gt;&amp;lt;Go to ISI&amp;gt;://WOS:000356007800002&lt;/url&gt;&lt;/related-urls&gt;&lt;/urls&gt;&lt;electronic-resource-num&gt;10.1111/deci.12138&lt;/electronic-resource-num&gt;&lt;/record&gt;&lt;/Cite&gt;&lt;/EndNote&gt;</w:instrText>
      </w:r>
      <w:r w:rsidR="00F15BD0">
        <w:fldChar w:fldCharType="separate"/>
      </w:r>
      <w:r w:rsidR="00F15BD0">
        <w:rPr>
          <w:noProof/>
        </w:rPr>
        <w:t>(</w:t>
      </w:r>
      <w:hyperlink w:anchor="_ENREF_41" w:tooltip="Habermann, 2015 #1054" w:history="1">
        <w:r w:rsidR="00F15BD0" w:rsidRPr="004C6DEC">
          <w:rPr>
            <w:rStyle w:val="Hyperlink"/>
            <w:noProof/>
          </w:rPr>
          <w:t>Habermann et al., 2015</w:t>
        </w:r>
      </w:hyperlink>
      <w:r w:rsidR="00F15BD0">
        <w:rPr>
          <w:noProof/>
        </w:rPr>
        <w:t>)</w:t>
      </w:r>
      <w:r w:rsidR="00F15BD0">
        <w:fldChar w:fldCharType="end"/>
      </w:r>
      <w:r w:rsidR="00F15BD0">
        <w:t xml:space="preserve">. </w:t>
      </w:r>
      <w:r w:rsidRPr="00CF795C">
        <w:t>Whereas deviations from operational norm</w:t>
      </w:r>
      <w:r w:rsidR="00075F69">
        <w:t>s</w:t>
      </w:r>
      <w:r w:rsidRPr="00CF795C">
        <w:t xml:space="preserve"> may propagate across the supply chain and cause breakdowns</w:t>
      </w:r>
      <w:r w:rsidR="007376D5">
        <w:t xml:space="preserve">, </w:t>
      </w:r>
      <w:r w:rsidRPr="00CF795C">
        <w:t xml:space="preserve">identifying and studying near-misses can help </w:t>
      </w:r>
      <w:r w:rsidRPr="00CF795C">
        <w:lastRenderedPageBreak/>
        <w:t>deter such damaging occurrences</w:t>
      </w:r>
      <w:r w:rsidR="00823523">
        <w:t xml:space="preserve"> </w:t>
      </w:r>
      <w:r w:rsidR="00F15BD0">
        <w:fldChar w:fldCharType="begin"/>
      </w:r>
      <w:r w:rsidR="00627756">
        <w:instrText xml:space="preserve"> ADDIN EN.CITE &lt;EndNote&gt;&lt;Cite&gt;&lt;Author&gt;Pettit&lt;/Author&gt;&lt;Year&gt;2010&lt;/Year&gt;&lt;RecNum&gt;1200&lt;/RecNum&gt;&lt;DisplayText&gt;(Pettit et al., 2010)&lt;/DisplayText&gt;&lt;record&gt;&lt;rec-number&gt;1200&lt;/rec-number&gt;&lt;foreign-keys&gt;&lt;key app="EN" db-id="0w05zrd59zdxwmexsxlxa0purxdzd2svavae" timestamp="0"&gt;1200&lt;/key&gt;&lt;/foreign-keys&gt;&lt;ref-type name="Journal Article"&gt;17&lt;/ref-type&gt;&lt;contributors&gt;&lt;authors&gt;&lt;author&gt;Pettit, T. J.&lt;/author&gt;&lt;author&gt;Fiksel, J.&lt;/author&gt;&lt;author&gt;Croxton, K. L.&lt;/author&gt;&lt;/authors&gt;&lt;/contributors&gt;&lt;titles&gt;&lt;title&gt;Ensuring supply chain resilience: Development of a conceptual framework&lt;/title&gt;&lt;secondary-title&gt;Journal of Business Logistics&lt;/secondary-title&gt;&lt;/titles&gt;&lt;pages&gt;1-21&lt;/pages&gt;&lt;volume&gt;31&lt;/volume&gt;&lt;number&gt;1&lt;/number&gt;&lt;dates&gt;&lt;year&gt;2010&lt;/year&gt;&lt;/dates&gt;&lt;isbn&gt;0735-3766&lt;/isbn&gt;&lt;accession-num&gt;WOS:000277368500001&lt;/accession-num&gt;&lt;urls&gt;&lt;related-urls&gt;&lt;url&gt;&amp;lt;Go to ISI&amp;gt;://WOS:000277368500001&lt;/url&gt;&lt;/related-urls&gt;&lt;/urls&gt;&lt;/record&gt;&lt;/Cite&gt;&lt;/EndNote&gt;</w:instrText>
      </w:r>
      <w:r w:rsidR="00F15BD0">
        <w:fldChar w:fldCharType="separate"/>
      </w:r>
      <w:r w:rsidR="00F15BD0">
        <w:rPr>
          <w:noProof/>
        </w:rPr>
        <w:t>(</w:t>
      </w:r>
      <w:hyperlink w:anchor="_ENREF_67" w:tooltip="Pettit, 2010 #1200" w:history="1">
        <w:r w:rsidR="00F15BD0" w:rsidRPr="004C6DEC">
          <w:rPr>
            <w:rStyle w:val="Hyperlink"/>
            <w:noProof/>
          </w:rPr>
          <w:t>Pettit et al., 2010</w:t>
        </w:r>
      </w:hyperlink>
      <w:r w:rsidR="00F15BD0">
        <w:rPr>
          <w:noProof/>
        </w:rPr>
        <w:t>)</w:t>
      </w:r>
      <w:r w:rsidR="00F15BD0">
        <w:fldChar w:fldCharType="end"/>
      </w:r>
      <w:r w:rsidR="00F15BD0">
        <w:t xml:space="preserve">. </w:t>
      </w:r>
      <w:r w:rsidR="00CB3C8D">
        <w:t xml:space="preserve">Near-miss events </w:t>
      </w:r>
      <w:r w:rsidR="00CB3C8D" w:rsidRPr="00CF795C">
        <w:t xml:space="preserve">raise awareness and preparedness </w:t>
      </w:r>
      <w:r w:rsidR="00CB3C8D">
        <w:t>in</w:t>
      </w:r>
      <w:r w:rsidR="00CB3C8D" w:rsidRPr="00CF795C">
        <w:t xml:space="preserve"> </w:t>
      </w:r>
      <w:r w:rsidR="00CB3C8D">
        <w:t>facing</w:t>
      </w:r>
      <w:r w:rsidR="00465F24">
        <w:t xml:space="preserve"> supply chain </w:t>
      </w:r>
      <w:r w:rsidR="00CB3C8D" w:rsidRPr="00CF795C">
        <w:t>disruptions</w:t>
      </w:r>
      <w:r w:rsidR="00627756" w:rsidRPr="00627756">
        <w:t xml:space="preserve"> </w:t>
      </w:r>
      <w:r w:rsidR="00627756">
        <w:fldChar w:fldCharType="begin"/>
      </w:r>
      <w:r w:rsidR="00627756">
        <w:instrText xml:space="preserve"> ADDIN EN.CITE &lt;EndNote&gt;&lt;Cite&gt;&lt;Author&gt;Sheaffer&lt;/Author&gt;&lt;Year&gt;1998&lt;/Year&gt;&lt;RecNum&gt;1423&lt;/RecNum&gt;&lt;DisplayText&gt;(Sheaffer et al., 1998)&lt;/DisplayText&gt;&lt;record&gt;&lt;rec-number&gt;1423&lt;/rec-number&gt;&lt;foreign-keys&gt;&lt;key app="EN" db-id="0w05zrd59zdxwmexsxlxa0purxdzd2svavae" timestamp="1550936845"&gt;1423&lt;/key&gt;&lt;/foreign-keys&gt;&lt;ref-type name="Journal Article"&gt;17&lt;/ref-type&gt;&lt;contributors&gt;&lt;authors&gt;&lt;author&gt;Sheaffer, Zachary&lt;/author&gt;&lt;author&gt;Richardson, Bill&lt;/author&gt;&lt;author&gt;Rosenblatt, Zehava&lt;/author&gt;&lt;/authors&gt;&lt;/contributors&gt;&lt;titles&gt;&lt;title&gt;Early warning signals management: A lesson from the Barings crisis&lt;/title&gt;&lt;secondary-title&gt;Journal of Contingencies and Crisis Management&lt;/secondary-title&gt;&lt;/titles&gt;&lt;periodical&gt;&lt;full-title&gt;Journal of contingencies and crisis management&lt;/full-title&gt;&lt;/periodical&gt;&lt;pages&gt;1-22&lt;/pages&gt;&lt;volume&gt;6&lt;/volume&gt;&lt;number&gt;1&lt;/number&gt;&lt;dates&gt;&lt;year&gt;1998&lt;/year&gt;&lt;/dates&gt;&lt;isbn&gt;0966-0879&lt;/isbn&gt;&lt;urls&gt;&lt;/urls&gt;&lt;/record&gt;&lt;/Cite&gt;&lt;/EndNote&gt;</w:instrText>
      </w:r>
      <w:r w:rsidR="00627756">
        <w:fldChar w:fldCharType="separate"/>
      </w:r>
      <w:r w:rsidR="00627756">
        <w:rPr>
          <w:noProof/>
        </w:rPr>
        <w:t>(</w:t>
      </w:r>
      <w:hyperlink w:anchor="_ENREF_83" w:tooltip="Sheaffer, 1998 #1423" w:history="1">
        <w:r w:rsidR="00627756" w:rsidRPr="004C6DEC">
          <w:rPr>
            <w:rStyle w:val="Hyperlink"/>
            <w:noProof/>
          </w:rPr>
          <w:t>Sheaffer et al., 1998</w:t>
        </w:r>
      </w:hyperlink>
      <w:r w:rsidR="00627756">
        <w:rPr>
          <w:noProof/>
        </w:rPr>
        <w:t>)</w:t>
      </w:r>
      <w:r w:rsidR="00627756">
        <w:fldChar w:fldCharType="end"/>
      </w:r>
      <w:r w:rsidR="00627756">
        <w:t xml:space="preserve">. </w:t>
      </w:r>
      <w:r w:rsidR="00B72FC5">
        <w:t xml:space="preserve">Across an assortment of scientific fields, there </w:t>
      </w:r>
      <w:r w:rsidR="00B03F6E">
        <w:t>are</w:t>
      </w:r>
      <w:r w:rsidRPr="00CF795C">
        <w:t xml:space="preserve"> strong theoretically based argument</w:t>
      </w:r>
      <w:r w:rsidR="00B03F6E">
        <w:t>s</w:t>
      </w:r>
      <w:r w:rsidRPr="00CF795C">
        <w:t xml:space="preserve"> and empirical evidence on </w:t>
      </w:r>
      <w:r w:rsidR="00B03F6E">
        <w:t xml:space="preserve">how </w:t>
      </w:r>
      <w:r w:rsidR="003D5CF2">
        <w:t xml:space="preserve">attention to </w:t>
      </w:r>
      <w:r w:rsidRPr="00CF795C">
        <w:t>near-misses</w:t>
      </w:r>
      <w:r w:rsidR="003B1C0E">
        <w:t xml:space="preserve"> </w:t>
      </w:r>
      <w:r w:rsidR="00B03F6E">
        <w:t xml:space="preserve">can be </w:t>
      </w:r>
      <w:r w:rsidR="003D5CF2">
        <w:t xml:space="preserve">a viable approach to error </w:t>
      </w:r>
      <w:r w:rsidR="003D5CF2" w:rsidRPr="00183F36">
        <w:rPr>
          <w:rFonts w:eastAsia="Times New Roman"/>
          <w:szCs w:val="24"/>
        </w:rPr>
        <w:t xml:space="preserve">identification </w:t>
      </w:r>
      <w:r w:rsidR="00F15BD0">
        <w:rPr>
          <w:rFonts w:eastAsia="Times New Roman"/>
          <w:szCs w:val="24"/>
        </w:rPr>
        <w:fldChar w:fldCharType="begin"/>
      </w:r>
      <w:r w:rsidR="00F15BD0">
        <w:rPr>
          <w:rFonts w:eastAsia="Times New Roman"/>
          <w:szCs w:val="24"/>
        </w:rPr>
        <w:instrText xml:space="preserve"> ADDIN EN.CITE &lt;EndNote&gt;&lt;Cite&gt;&lt;Author&gt;Kleindorfer&lt;/Author&gt;&lt;Year&gt;2012&lt;/Year&gt;&lt;RecNum&gt;1113&lt;/RecNum&gt;&lt;DisplayText&gt;(Baumard and Starbuck, 2005; Kleindorfer et al., 2012)&lt;/DisplayText&gt;&lt;record&gt;&lt;rec-number&gt;1113&lt;/rec-number&gt;&lt;foreign-keys&gt;&lt;key app="EN" db-id="0w05zrd59zdxwmexsxlxa0purxdzd2svavae" timestamp="0"&gt;1113&lt;/key&gt;&lt;/foreign-keys&gt;&lt;ref-type name="Journal Article"&gt;17&lt;/ref-type&gt;&lt;contributors&gt;&lt;authors&gt;&lt;author&gt;Kleindorfer, Paul&lt;/author&gt;&lt;author&gt;Oktem, Ulku G.&lt;/author&gt;&lt;author&gt;Pariyani, Ankur&lt;/author&gt;&lt;author&gt;Seider, Warren D.&lt;/author&gt;&lt;/authors&gt;&lt;/contributors&gt;&lt;titles&gt;&lt;title&gt;Assessment of catastrophe risk and potential losses in industry&lt;/title&gt;&lt;secondary-title&gt;Computers &amp;amp; Chemical Engineering&lt;/secondary-title&gt;&lt;/titles&gt;&lt;pages&gt;85-96&lt;/pages&gt;&lt;volume&gt;47&lt;/volume&gt;&lt;number&gt;1&lt;/number&gt;&lt;dates&gt;&lt;year&gt;2012&lt;/year&gt;&lt;pub-dates&gt;&lt;date&gt;2012/12&lt;/date&gt;&lt;/pub-dates&gt;&lt;/dates&gt;&lt;publisher&gt;Elsevier BV&lt;/publisher&gt;&lt;isbn&gt;0098-1354&lt;/isbn&gt;&lt;urls&gt;&lt;/urls&gt;&lt;electronic-resource-num&gt;10.1016/j.compchemeng.2012.06.033&lt;/electronic-resource-num&gt;&lt;/record&gt;&lt;/Cite&gt;&lt;Cite&gt;&lt;Author&gt;Baumard&lt;/Author&gt;&lt;Year&gt;2005&lt;/Year&gt;&lt;RecNum&gt;932&lt;/RecNum&gt;&lt;record&gt;&lt;rec-number&gt;932&lt;/rec-number&gt;&lt;foreign-keys&gt;&lt;key app="EN" db-id="0w05zrd59zdxwmexsxlxa0purxdzd2svavae" timestamp="0"&gt;932&lt;/key&gt;&lt;/foreign-keys&gt;&lt;ref-type name="Journal Article"&gt;17&lt;/ref-type&gt;&lt;contributors&gt;&lt;authors&gt;&lt;author&gt;Philippe Baumard&lt;/author&gt;&lt;author&gt;William H. Starbuck&lt;/author&gt;&lt;/authors&gt;&lt;/contributors&gt;&lt;titles&gt;&lt;title&gt;Learning from failures: Why it may not happen&lt;/title&gt;&lt;secondary-title&gt;Long Range Planning&lt;/secondary-title&gt;&lt;/titles&gt;&lt;pages&gt;281-298&lt;/pages&gt;&lt;volume&gt;38&lt;/volume&gt;&lt;number&gt;3&lt;/number&gt;&lt;dates&gt;&lt;year&gt;2005&lt;/year&gt;&lt;/dates&gt;&lt;urls&gt;&lt;/urls&gt;&lt;/record&gt;&lt;/Cite&gt;&lt;/EndNote&gt;</w:instrText>
      </w:r>
      <w:r w:rsidR="00F15BD0">
        <w:rPr>
          <w:rFonts w:eastAsia="Times New Roman"/>
          <w:szCs w:val="24"/>
        </w:rPr>
        <w:fldChar w:fldCharType="separate"/>
      </w:r>
      <w:r w:rsidR="00F15BD0">
        <w:rPr>
          <w:rFonts w:eastAsia="Times New Roman"/>
          <w:noProof/>
          <w:szCs w:val="24"/>
        </w:rPr>
        <w:t>(</w:t>
      </w:r>
      <w:hyperlink w:anchor="_ENREF_9" w:tooltip="Baumard, 2005 #932" w:history="1">
        <w:r w:rsidR="00F15BD0" w:rsidRPr="004C6DEC">
          <w:rPr>
            <w:rStyle w:val="Hyperlink"/>
            <w:rFonts w:eastAsia="Times New Roman"/>
            <w:noProof/>
            <w:szCs w:val="24"/>
          </w:rPr>
          <w:t>Baumard and Starbuck, 2005</w:t>
        </w:r>
      </w:hyperlink>
      <w:r w:rsidR="00F15BD0">
        <w:rPr>
          <w:rFonts w:eastAsia="Times New Roman"/>
          <w:noProof/>
          <w:szCs w:val="24"/>
        </w:rPr>
        <w:t xml:space="preserve">; </w:t>
      </w:r>
      <w:hyperlink w:anchor="_ENREF_53" w:tooltip="Kleindorfer, 2012 #1113" w:history="1">
        <w:r w:rsidR="00F15BD0" w:rsidRPr="004C6DEC">
          <w:rPr>
            <w:rStyle w:val="Hyperlink"/>
            <w:rFonts w:eastAsia="Times New Roman"/>
            <w:noProof/>
            <w:szCs w:val="24"/>
          </w:rPr>
          <w:t>Kleindorfer et al., 2012</w:t>
        </w:r>
      </w:hyperlink>
      <w:r w:rsidR="00F15BD0">
        <w:rPr>
          <w:rFonts w:eastAsia="Times New Roman"/>
          <w:noProof/>
          <w:szCs w:val="24"/>
        </w:rPr>
        <w:t>)</w:t>
      </w:r>
      <w:r w:rsidR="00F15BD0">
        <w:rPr>
          <w:rFonts w:eastAsia="Times New Roman"/>
          <w:szCs w:val="24"/>
        </w:rPr>
        <w:fldChar w:fldCharType="end"/>
      </w:r>
      <w:r w:rsidR="00F15BD0">
        <w:rPr>
          <w:rFonts w:eastAsia="Times New Roman"/>
          <w:szCs w:val="24"/>
        </w:rPr>
        <w:t xml:space="preserve">. </w:t>
      </w:r>
      <w:r w:rsidRPr="00CF795C">
        <w:t xml:space="preserve">As </w:t>
      </w:r>
      <w:r w:rsidR="00970320">
        <w:t>we will</w:t>
      </w:r>
      <w:r w:rsidRPr="00CF795C">
        <w:t xml:space="preserve"> </w:t>
      </w:r>
      <w:r w:rsidR="007376D5" w:rsidRPr="00CF795C">
        <w:t>detail</w:t>
      </w:r>
      <w:r w:rsidRPr="00CF795C">
        <w:t xml:space="preserve"> in upcoming sections, literature in medical research, psychology, safety science, healthcare</w:t>
      </w:r>
      <w:r w:rsidR="00AA3879">
        <w:t>,</w:t>
      </w:r>
      <w:r w:rsidRPr="00CF795C">
        <w:t xml:space="preserve"> </w:t>
      </w:r>
      <w:r w:rsidRPr="00AA3879">
        <w:rPr>
          <w:noProof/>
        </w:rPr>
        <w:t>and</w:t>
      </w:r>
      <w:r w:rsidRPr="00CF795C">
        <w:t xml:space="preserve"> transportation have all offered substantial evidence on the potential benefits of tracking near-misses. </w:t>
      </w:r>
      <w:r w:rsidR="003B1C0E">
        <w:t>In organization science</w:t>
      </w:r>
      <w:r w:rsidRPr="00CF795C">
        <w:t xml:space="preserve">, </w:t>
      </w:r>
      <w:hyperlink w:anchor="_ENREF_66" w:tooltip="Perrow, 2011 #1407" w:history="1">
        <w:r w:rsidR="00F15BD0" w:rsidRPr="004C6DEC">
          <w:rPr>
            <w:rStyle w:val="Hyperlink"/>
          </w:rPr>
          <w:fldChar w:fldCharType="begin"/>
        </w:r>
        <w:r w:rsidR="00F15BD0" w:rsidRPr="004C6DEC">
          <w:rPr>
            <w:rStyle w:val="Hyperlink"/>
          </w:rPr>
          <w:instrText xml:space="preserve"> ADDIN EN.CITE &lt;EndNote&gt;&lt;Cite AuthorYear="1"&gt;&lt;Author&gt;Perrow&lt;/Author&gt;&lt;Year&gt;2011&lt;/Year&gt;&lt;RecNum&gt;1407&lt;/RecNum&gt;&lt;DisplayText&gt;Perrow (2011)&lt;/DisplayText&gt;&lt;record&gt;&lt;rec-number&gt;1407&lt;/rec-number&gt;&lt;foreign-keys&gt;&lt;key app="EN" db-id="0w05zrd59zdxwmexsxlxa0purxdzd2svavae" timestamp="1550929857"&gt;1407&lt;/key&gt;&lt;/foreign-keys&gt;&lt;ref-type name="Book"&gt;6&lt;/ref-type&gt;&lt;contributors&gt;&lt;authors&gt;&lt;author&gt;Perrow, Charles&lt;/author&gt;&lt;/authors&gt;&lt;/contributors&gt;&lt;titles&gt;&lt;title&gt;Normal accidents: Living with high risk technologies-Updated edition&lt;/title&gt;&lt;/titles&gt;&lt;dates&gt;&lt;year&gt;2011&lt;/year&gt;&lt;/dates&gt;&lt;publisher&gt;Princeton university press&lt;/publisher&gt;&lt;isbn&gt;140082849X&lt;/isbn&gt;&lt;urls&gt;&lt;/urls&gt;&lt;/record&gt;&lt;/Cite&gt;&lt;/EndNote&gt;</w:instrText>
        </w:r>
        <w:r w:rsidR="00F15BD0" w:rsidRPr="004C6DEC">
          <w:rPr>
            <w:rStyle w:val="Hyperlink"/>
          </w:rPr>
          <w:fldChar w:fldCharType="separate"/>
        </w:r>
        <w:r w:rsidR="00F15BD0" w:rsidRPr="004C6DEC">
          <w:rPr>
            <w:rStyle w:val="Hyperlink"/>
            <w:noProof/>
          </w:rPr>
          <w:t>Perrow (2011)</w:t>
        </w:r>
        <w:r w:rsidR="00F15BD0" w:rsidRPr="004C6DEC">
          <w:rPr>
            <w:rStyle w:val="Hyperlink"/>
          </w:rPr>
          <w:fldChar w:fldCharType="end"/>
        </w:r>
      </w:hyperlink>
      <w:r w:rsidR="00F15BD0">
        <w:t xml:space="preserve"> </w:t>
      </w:r>
      <w:r w:rsidRPr="00CF795C">
        <w:t>suggests that “</w:t>
      </w:r>
      <w:r w:rsidRPr="009177A3">
        <w:rPr>
          <w:i/>
        </w:rPr>
        <w:t>almost disruptions</w:t>
      </w:r>
      <w:r w:rsidRPr="00CF795C">
        <w:t xml:space="preserve">” are a good indicator of risks in systems. Others suggest that near-misses provide opportunities </w:t>
      </w:r>
      <w:r w:rsidRPr="001A54B5">
        <w:rPr>
          <w:noProof/>
        </w:rPr>
        <w:t>to better understand the resilience of a</w:t>
      </w:r>
      <w:r w:rsidR="00970320" w:rsidRPr="001A54B5">
        <w:rPr>
          <w:noProof/>
        </w:rPr>
        <w:t>n organization</w:t>
      </w:r>
      <w:r w:rsidR="00970320">
        <w:t xml:space="preserve"> </w:t>
      </w:r>
      <w:r w:rsidRPr="001A54B5">
        <w:rPr>
          <w:noProof/>
        </w:rPr>
        <w:t xml:space="preserve">to </w:t>
      </w:r>
      <w:r w:rsidR="00970320" w:rsidRPr="001A54B5">
        <w:rPr>
          <w:noProof/>
        </w:rPr>
        <w:t xml:space="preserve">better </w:t>
      </w:r>
      <w:r w:rsidRPr="001A54B5">
        <w:rPr>
          <w:noProof/>
        </w:rPr>
        <w:t>detect</w:t>
      </w:r>
      <w:r w:rsidRPr="00CF795C">
        <w:t xml:space="preserve"> and prioritize risks</w:t>
      </w:r>
      <w:r w:rsidR="00A21374">
        <w:t xml:space="preserve"> </w:t>
      </w:r>
      <w:r w:rsidR="00F15BD0">
        <w:fldChar w:fldCharType="begin"/>
      </w:r>
      <w:r w:rsidR="00F15BD0">
        <w:instrText xml:space="preserve"> ADDIN EN.CITE &lt;EndNote&gt;&lt;Cite&gt;&lt;Author&gt;Sheffi&lt;/Author&gt;&lt;Year&gt;2015&lt;/Year&gt;&lt;RecNum&gt;1249&lt;/RecNum&gt;&lt;DisplayText&gt;(Dillon and Tinsley, 2008; Sheffi, 2015)&lt;/DisplayText&gt;&lt;record&gt;&lt;rec-number&gt;1249&lt;/rec-number&gt;&lt;foreign-keys&gt;&lt;key app="EN" db-id="0w05zrd59zdxwmexsxlxa0purxdzd2svavae" timestamp="0"&gt;1249&lt;/key&gt;&lt;/foreign-keys&gt;&lt;ref-type name="Book"&gt;6&lt;/ref-type&gt;&lt;contributors&gt;&lt;authors&gt;&lt;author&gt;Sheffi, Yossi&lt;/author&gt;&lt;/authors&gt;&lt;/contributors&gt;&lt;titles&gt;&lt;title&gt;The Power of Resilience: How the Best Companies Manage the Unexpected&lt;/title&gt;&lt;/titles&gt;&lt;dates&gt;&lt;year&gt;2015&lt;/year&gt;&lt;pub-dates&gt;&lt;date&gt;2007/04/30&lt;/date&gt;&lt;/pub-dates&gt;&lt;/dates&gt;&lt;pub-location&gt;Cambridge, MA&lt;/pub-location&gt;&lt;publisher&gt;The MIT Press&lt;/publisher&gt;&lt;isbn&gt;9780262693493&lt;/isbn&gt;&lt;urls&gt;&lt;/urls&gt;&lt;/record&gt;&lt;/Cite&gt;&lt;Cite&gt;&lt;Author&gt;Dillon&lt;/Author&gt;&lt;Year&gt;2008&lt;/Year&gt;&lt;RecNum&gt;1009&lt;/RecNum&gt;&lt;record&gt;&lt;rec-number&gt;1009&lt;/rec-number&gt;&lt;foreign-keys&gt;&lt;key app="EN" db-id="0w05zrd59zdxwmexsxlxa0purxdzd2svavae" timestamp="0"&gt;1009&lt;/key&gt;&lt;/foreign-keys&gt;&lt;ref-type name="Journal Article"&gt;17&lt;/ref-type&gt;&lt;contributors&gt;&lt;authors&gt;&lt;author&gt;Dillon, Robin L.&lt;/author&gt;&lt;author&gt;Tinsley, Catherine H.&lt;/author&gt;&lt;/authors&gt;&lt;/contributors&gt;&lt;titles&gt;&lt;title&gt;How near-misses influence decision making under risk: A missed opportunity for learning&lt;/title&gt;&lt;secondary-title&gt;Management Science&lt;/secondary-title&gt;&lt;/titles&gt;&lt;pages&gt;1425-1440&lt;/pages&gt;&lt;volume&gt;54&lt;/volume&gt;&lt;number&gt;8&lt;/number&gt;&lt;dates&gt;&lt;year&gt;2008&lt;/year&gt;&lt;pub-dates&gt;&lt;date&gt;2008/08&lt;/date&gt;&lt;/pub-dates&gt;&lt;/dates&gt;&lt;publisher&gt;Institute for Operations Research and the Management Sciences (INFORMS)&lt;/publisher&gt;&lt;isbn&gt;0025-1909&lt;/isbn&gt;&lt;urls&gt;&lt;/urls&gt;&lt;electronic-resource-num&gt;10.1287/mnsc.1080.0869&lt;/electronic-resource-num&gt;&lt;/record&gt;&lt;/Cite&gt;&lt;/EndNote&gt;</w:instrText>
      </w:r>
      <w:r w:rsidR="00F15BD0">
        <w:fldChar w:fldCharType="separate"/>
      </w:r>
      <w:r w:rsidR="00F15BD0">
        <w:rPr>
          <w:noProof/>
        </w:rPr>
        <w:t>(</w:t>
      </w:r>
      <w:hyperlink w:anchor="_ENREF_29" w:tooltip="Dillon, 2008 #1009" w:history="1">
        <w:r w:rsidR="00F15BD0" w:rsidRPr="004C6DEC">
          <w:rPr>
            <w:rStyle w:val="Hyperlink"/>
            <w:noProof/>
          </w:rPr>
          <w:t>Dillon and Tinsley, 2008</w:t>
        </w:r>
      </w:hyperlink>
      <w:r w:rsidR="00F15BD0">
        <w:rPr>
          <w:noProof/>
        </w:rPr>
        <w:t xml:space="preserve">; </w:t>
      </w:r>
      <w:hyperlink w:anchor="_ENREF_84" w:tooltip="Sheffi, 2015 #1249" w:history="1">
        <w:r w:rsidR="00F15BD0" w:rsidRPr="004C6DEC">
          <w:rPr>
            <w:rStyle w:val="Hyperlink"/>
            <w:noProof/>
          </w:rPr>
          <w:t>Sheffi, 2015</w:t>
        </w:r>
      </w:hyperlink>
      <w:r w:rsidR="00F15BD0">
        <w:rPr>
          <w:noProof/>
        </w:rPr>
        <w:t>)</w:t>
      </w:r>
      <w:r w:rsidR="00F15BD0">
        <w:fldChar w:fldCharType="end"/>
      </w:r>
      <w:r w:rsidR="00F15BD0">
        <w:t xml:space="preserve">. </w:t>
      </w:r>
      <w:r w:rsidR="007376D5">
        <w:t xml:space="preserve"> </w:t>
      </w:r>
    </w:p>
    <w:p w14:paraId="7D2C3796" w14:textId="0EEBEDBA" w:rsidR="00CF795C" w:rsidRDefault="003B1C0E">
      <w:pPr>
        <w:pStyle w:val="ListParagraph"/>
        <w:spacing w:line="480" w:lineRule="auto"/>
        <w:ind w:left="0" w:firstLine="720"/>
        <w:rPr>
          <w:szCs w:val="24"/>
        </w:rPr>
      </w:pPr>
      <w:r>
        <w:t xml:space="preserve">Studying the effect of near-misses on organizational </w:t>
      </w:r>
      <w:r w:rsidR="00B03F6E">
        <w:t>behavior</w:t>
      </w:r>
      <w:r>
        <w:t xml:space="preserve"> in supply chain context</w:t>
      </w:r>
      <w:r w:rsidR="00BA57C6">
        <w:t>s</w:t>
      </w:r>
      <w:r>
        <w:t xml:space="preserve"> is </w:t>
      </w:r>
      <w:r w:rsidR="00CF795C" w:rsidRPr="00CF795C">
        <w:t xml:space="preserve">particularly important given the growing dependency of companies on </w:t>
      </w:r>
      <w:r w:rsidR="00B03F6E">
        <w:t xml:space="preserve">upstream </w:t>
      </w:r>
      <w:r w:rsidR="00CF795C" w:rsidRPr="00CF795C">
        <w:t>suppliers</w:t>
      </w:r>
      <w:r w:rsidR="00B03F6E">
        <w:t xml:space="preserve"> </w:t>
      </w:r>
      <w:r w:rsidR="00F15BD0">
        <w:fldChar w:fldCharType="begin"/>
      </w:r>
      <w:r w:rsidR="00F15BD0">
        <w:instrText xml:space="preserve"> ADDIN EN.CITE &lt;EndNote&gt;&lt;Cite&gt;&lt;Author&gt;Sheffi&lt;/Author&gt;&lt;Year&gt;2015&lt;/Year&gt;&lt;RecNum&gt;1249&lt;/RecNum&gt;&lt;DisplayText&gt;(Sheffi, 2015)&lt;/DisplayText&gt;&lt;record&gt;&lt;rec-number&gt;1249&lt;/rec-number&gt;&lt;foreign-keys&gt;&lt;key app="EN" db-id="0w05zrd59zdxwmexsxlxa0purxdzd2svavae" timestamp="0"&gt;1249&lt;/key&gt;&lt;/foreign-keys&gt;&lt;ref-type name="Book"&gt;6&lt;/ref-type&gt;&lt;contributors&gt;&lt;authors&gt;&lt;author&gt;Sheffi, Yossi&lt;/author&gt;&lt;/authors&gt;&lt;/contributors&gt;&lt;titles&gt;&lt;title&gt;The Power of Resilience: How the Best Companies Manage the Unexpected&lt;/title&gt;&lt;/titles&gt;&lt;dates&gt;&lt;year&gt;2015&lt;/year&gt;&lt;pub-dates&gt;&lt;date&gt;2007/04/30&lt;/date&gt;&lt;/pub-dates&gt;&lt;/dates&gt;&lt;pub-location&gt;Cambridge, MA&lt;/pub-location&gt;&lt;publisher&gt;The MIT Press&lt;/publisher&gt;&lt;isbn&gt;9780262693493&lt;/isbn&gt;&lt;urls&gt;&lt;/urls&gt;&lt;/record&gt;&lt;/Cite&gt;&lt;/EndNote&gt;</w:instrText>
      </w:r>
      <w:r w:rsidR="00F15BD0">
        <w:fldChar w:fldCharType="separate"/>
      </w:r>
      <w:r w:rsidR="00F15BD0">
        <w:rPr>
          <w:noProof/>
        </w:rPr>
        <w:t>(</w:t>
      </w:r>
      <w:hyperlink w:anchor="_ENREF_84" w:tooltip="Sheffi, 2015 #1249" w:history="1">
        <w:r w:rsidR="00F15BD0" w:rsidRPr="004C6DEC">
          <w:rPr>
            <w:rStyle w:val="Hyperlink"/>
            <w:noProof/>
          </w:rPr>
          <w:t>Sheffi, 2015</w:t>
        </w:r>
      </w:hyperlink>
      <w:r w:rsidR="00F15BD0">
        <w:rPr>
          <w:noProof/>
        </w:rPr>
        <w:t>)</w:t>
      </w:r>
      <w:r w:rsidR="00F15BD0">
        <w:fldChar w:fldCharType="end"/>
      </w:r>
      <w:r w:rsidR="00F15BD0">
        <w:t xml:space="preserve">. </w:t>
      </w:r>
      <w:r w:rsidR="00BA57C6">
        <w:t>T</w:t>
      </w:r>
      <w:r>
        <w:t>oday’s</w:t>
      </w:r>
      <w:r w:rsidR="00CF795C" w:rsidRPr="00CF795C">
        <w:t xml:space="preserve"> fast-moving </w:t>
      </w:r>
      <w:r>
        <w:t xml:space="preserve">business </w:t>
      </w:r>
      <w:r w:rsidR="00CF795C" w:rsidRPr="00CF795C">
        <w:t xml:space="preserve">environment </w:t>
      </w:r>
      <w:r>
        <w:t xml:space="preserve">requires </w:t>
      </w:r>
      <w:r w:rsidR="00CF795C" w:rsidRPr="00CF795C">
        <w:t xml:space="preserve">organizations to be diligent </w:t>
      </w:r>
      <w:r w:rsidRPr="001A54B5">
        <w:rPr>
          <w:noProof/>
        </w:rPr>
        <w:t>so as to</w:t>
      </w:r>
      <w:r>
        <w:t xml:space="preserve"> quickly respond to </w:t>
      </w:r>
      <w:r w:rsidR="00CF795C" w:rsidRPr="00CF795C">
        <w:t xml:space="preserve">harmful events in their operating environment </w:t>
      </w:r>
      <w:r w:rsidR="00F15BD0">
        <w:fldChar w:fldCharType="begin"/>
      </w:r>
      <w:r w:rsidR="00F15BD0">
        <w:instrText xml:space="preserve"> ADDIN EN.CITE &lt;EndNote&gt;&lt;Cite&gt;&lt;Author&gt;Dabhilkar&lt;/Author&gt;&lt;Year&gt;2016&lt;/Year&gt;&lt;RecNum&gt;1408&lt;/RecNum&gt;&lt;DisplayText&gt;(Dabhilkar et al., 2016)&lt;/DisplayText&gt;&lt;record&gt;&lt;rec-number&gt;1408&lt;/rec-number&gt;&lt;foreign-keys&gt;&lt;key app="EN" db-id="0w05zrd59zdxwmexsxlxa0purxdzd2svavae" timestamp="1550930005"&gt;1408&lt;/key&gt;&lt;/foreign-keys&gt;&lt;ref-type name="Journal Article"&gt;17&lt;/ref-type&gt;&lt;contributors&gt;&lt;authors&gt;&lt;author&gt;Dabhilkar, Mandar&lt;/author&gt;&lt;author&gt;Birkie, Seyoum Eshetu&lt;/author&gt;&lt;author&gt;Kaulio, Matti&lt;/author&gt;&lt;/authors&gt;&lt;/contributors&gt;&lt;titles&gt;&lt;title&gt;Supply-side resilience as practice bundles: a critical incident study&lt;/title&gt;&lt;secondary-title&gt;International Journal of Operations &amp;amp; Production Management&lt;/secondary-title&gt;&lt;/titles&gt;&lt;periodical&gt;&lt;full-title&gt;International Journal of Operations &amp;amp; Production Management&lt;/full-title&gt;&lt;/periodical&gt;&lt;pages&gt;948-970&lt;/pages&gt;&lt;volume&gt;36&lt;/volume&gt;&lt;number&gt;8&lt;/number&gt;&lt;dates&gt;&lt;year&gt;2016&lt;/year&gt;&lt;/dates&gt;&lt;isbn&gt;0144-3577&lt;/isbn&gt;&lt;urls&gt;&lt;/urls&gt;&lt;/record&gt;&lt;/Cite&gt;&lt;/EndNote&gt;</w:instrText>
      </w:r>
      <w:r w:rsidR="00F15BD0">
        <w:fldChar w:fldCharType="separate"/>
      </w:r>
      <w:r w:rsidR="00F15BD0">
        <w:rPr>
          <w:noProof/>
        </w:rPr>
        <w:t>(</w:t>
      </w:r>
      <w:hyperlink w:anchor="_ENREF_25" w:tooltip="Dabhilkar, 2016 #1408" w:history="1">
        <w:r w:rsidR="00F15BD0" w:rsidRPr="004C6DEC">
          <w:rPr>
            <w:rStyle w:val="Hyperlink"/>
            <w:noProof/>
          </w:rPr>
          <w:t>Dabhilkar et al., 2016</w:t>
        </w:r>
      </w:hyperlink>
      <w:r w:rsidR="00F15BD0">
        <w:rPr>
          <w:noProof/>
        </w:rPr>
        <w:t>)</w:t>
      </w:r>
      <w:r w:rsidR="00F15BD0">
        <w:fldChar w:fldCharType="end"/>
      </w:r>
      <w:r>
        <w:t xml:space="preserve">. </w:t>
      </w:r>
      <w:r w:rsidR="00CF795C" w:rsidRPr="00CF795C">
        <w:t xml:space="preserve">Detecting </w:t>
      </w:r>
      <w:r>
        <w:t xml:space="preserve">and analyzing near-misses </w:t>
      </w:r>
      <w:r w:rsidR="00CF795C" w:rsidRPr="00CF795C">
        <w:t xml:space="preserve">is one way to prepare for, and </w:t>
      </w:r>
      <w:r w:rsidR="00B03F6E">
        <w:t xml:space="preserve">even </w:t>
      </w:r>
      <w:r w:rsidR="00CF795C" w:rsidRPr="00CF795C">
        <w:t>prevent</w:t>
      </w:r>
      <w:r w:rsidR="00BA57C6">
        <w:t>,</w:t>
      </w:r>
      <w:r w:rsidR="00465F24">
        <w:t xml:space="preserve"> supply chain </w:t>
      </w:r>
      <w:r w:rsidR="00CF795C" w:rsidRPr="00CF795C">
        <w:rPr>
          <w:noProof/>
        </w:rPr>
        <w:t>disruptions</w:t>
      </w:r>
      <w:r>
        <w:rPr>
          <w:noProof/>
        </w:rPr>
        <w:t xml:space="preserve"> </w:t>
      </w:r>
      <w:r w:rsidR="00F15BD0">
        <w:fldChar w:fldCharType="begin"/>
      </w:r>
      <w:r w:rsidR="00F15BD0">
        <w:instrText xml:space="preserve"> ADDIN EN.CITE &lt;EndNote&gt;&lt;Cite&gt;&lt;Author&gt;Sheffi&lt;/Author&gt;&lt;Year&gt;2015&lt;/Year&gt;&lt;RecNum&gt;1249&lt;/RecNum&gt;&lt;DisplayText&gt;(Sheffi, 2015)&lt;/DisplayText&gt;&lt;record&gt;&lt;rec-number&gt;1249&lt;/rec-number&gt;&lt;foreign-keys&gt;&lt;key app="EN" db-id="0w05zrd59zdxwmexsxlxa0purxdzd2svavae" timestamp="0"&gt;1249&lt;/key&gt;&lt;/foreign-keys&gt;&lt;ref-type name="Book"&gt;6&lt;/ref-type&gt;&lt;contributors&gt;&lt;authors&gt;&lt;author&gt;Sheffi, Yossi&lt;/author&gt;&lt;/authors&gt;&lt;/contributors&gt;&lt;titles&gt;&lt;title&gt;The Power of Resilience: How the Best Companies Manage the Unexpected&lt;/title&gt;&lt;/titles&gt;&lt;dates&gt;&lt;year&gt;2015&lt;/year&gt;&lt;pub-dates&gt;&lt;date&gt;2007/04/30&lt;/date&gt;&lt;/pub-dates&gt;&lt;/dates&gt;&lt;pub-location&gt;Cambridge, MA&lt;/pub-location&gt;&lt;publisher&gt;The MIT Press&lt;/publisher&gt;&lt;isbn&gt;9780262693493&lt;/isbn&gt;&lt;urls&gt;&lt;/urls&gt;&lt;/record&gt;&lt;/Cite&gt;&lt;/EndNote&gt;</w:instrText>
      </w:r>
      <w:r w:rsidR="00F15BD0">
        <w:fldChar w:fldCharType="separate"/>
      </w:r>
      <w:r w:rsidR="00F15BD0">
        <w:rPr>
          <w:noProof/>
        </w:rPr>
        <w:t>(</w:t>
      </w:r>
      <w:hyperlink w:anchor="_ENREF_84" w:tooltip="Sheffi, 2015 #1249" w:history="1">
        <w:r w:rsidR="00F15BD0" w:rsidRPr="004C6DEC">
          <w:rPr>
            <w:rStyle w:val="Hyperlink"/>
            <w:noProof/>
          </w:rPr>
          <w:t>Sheffi, 2015</w:t>
        </w:r>
      </w:hyperlink>
      <w:r w:rsidR="00F15BD0">
        <w:rPr>
          <w:noProof/>
        </w:rPr>
        <w:t>)</w:t>
      </w:r>
      <w:r w:rsidR="00F15BD0">
        <w:fldChar w:fldCharType="end"/>
      </w:r>
      <w:r w:rsidR="00F15BD0">
        <w:t xml:space="preserve">. </w:t>
      </w:r>
      <w:r w:rsidR="00B72FC5">
        <w:rPr>
          <w:noProof/>
        </w:rPr>
        <w:t xml:space="preserve">Risk management experts suggest that </w:t>
      </w:r>
      <w:r w:rsidR="00B72FC5" w:rsidRPr="009177A3">
        <w:rPr>
          <w:noProof/>
        </w:rPr>
        <w:t xml:space="preserve">near-misses </w:t>
      </w:r>
      <w:r w:rsidR="001C622D">
        <w:rPr>
          <w:noProof/>
        </w:rPr>
        <w:t xml:space="preserve">could be </w:t>
      </w:r>
      <w:r w:rsidR="00B72FC5" w:rsidRPr="009177A3">
        <w:rPr>
          <w:noProof/>
        </w:rPr>
        <w:t xml:space="preserve">opportunities </w:t>
      </w:r>
      <w:r w:rsidR="001C622D">
        <w:rPr>
          <w:noProof/>
        </w:rPr>
        <w:t>that</w:t>
      </w:r>
      <w:r w:rsidR="00B72FC5" w:rsidRPr="009177A3">
        <w:rPr>
          <w:noProof/>
        </w:rPr>
        <w:t xml:space="preserve"> remind top management </w:t>
      </w:r>
      <w:r w:rsidR="008B5249">
        <w:rPr>
          <w:noProof/>
        </w:rPr>
        <w:t xml:space="preserve">on taking </w:t>
      </w:r>
      <w:r w:rsidR="00B72FC5" w:rsidRPr="009177A3">
        <w:rPr>
          <w:noProof/>
        </w:rPr>
        <w:t xml:space="preserve">the necessary steps to </w:t>
      </w:r>
      <w:r w:rsidR="008B5249">
        <w:rPr>
          <w:noProof/>
        </w:rPr>
        <w:t xml:space="preserve">avert </w:t>
      </w:r>
      <w:r w:rsidR="00B72FC5" w:rsidRPr="009177A3">
        <w:rPr>
          <w:noProof/>
        </w:rPr>
        <w:t>the</w:t>
      </w:r>
      <w:r w:rsidR="008B5249">
        <w:rPr>
          <w:noProof/>
        </w:rPr>
        <w:t xml:space="preserve">ir </w:t>
      </w:r>
      <w:r w:rsidR="00B72FC5" w:rsidRPr="009177A3">
        <w:rPr>
          <w:noProof/>
        </w:rPr>
        <w:t>supply chain</w:t>
      </w:r>
      <w:r w:rsidR="008B5249">
        <w:rPr>
          <w:noProof/>
        </w:rPr>
        <w:t xml:space="preserve"> from major disruptions </w:t>
      </w:r>
      <w:r w:rsidR="004561C7">
        <w:rPr>
          <w:noProof/>
        </w:rPr>
        <w:fldChar w:fldCharType="begin"/>
      </w:r>
      <w:r w:rsidR="004561C7">
        <w:rPr>
          <w:noProof/>
        </w:rPr>
        <w:instrText xml:space="preserve"> ADDIN EN.CITE &lt;EndNote&gt;&lt;Cite&gt;&lt;Author&gt;Rothman&lt;/Author&gt;&lt;Year&gt;2014&lt;/Year&gt;&lt;RecNum&gt;1421&lt;/RecNum&gt;&lt;DisplayText&gt;(Rothman, 2014)&lt;/DisplayText&gt;&lt;record&gt;&lt;rec-number&gt;1421&lt;/rec-number&gt;&lt;foreign-keys&gt;&lt;key app="EN" db-id="0w05zrd59zdxwmexsxlxa0purxdzd2svavae" timestamp="1550934000"&gt;1421&lt;/key&gt;&lt;/foreign-keys&gt;&lt;ref-type name="Report"&gt;27&lt;/ref-type&gt;&lt;contributors&gt;&lt;authors&gt;&lt;author&gt;Rothman, E.&lt;/author&gt;&lt;/authors&gt;&lt;/contributors&gt;&lt;titles&gt;&lt;title&gt; How to learn from supply chain mistakes. &lt;/title&gt;&lt;secondary-title&gt;World Economic Forum&lt;/secondary-title&gt;&lt;/titles&gt;&lt;dates&gt;&lt;year&gt;2014&lt;/year&gt;&lt;/dates&gt;&lt;urls&gt;&lt;/urls&gt;&lt;/record&gt;&lt;/Cite&gt;&lt;/EndNote&gt;</w:instrText>
      </w:r>
      <w:r w:rsidR="004561C7">
        <w:rPr>
          <w:noProof/>
        </w:rPr>
        <w:fldChar w:fldCharType="separate"/>
      </w:r>
      <w:r w:rsidR="004561C7">
        <w:rPr>
          <w:noProof/>
        </w:rPr>
        <w:t>(</w:t>
      </w:r>
      <w:hyperlink w:anchor="_ENREF_74" w:tooltip="Rothman, 2014 #1421" w:history="1">
        <w:r w:rsidR="004561C7" w:rsidRPr="004C6DEC">
          <w:rPr>
            <w:rStyle w:val="Hyperlink"/>
            <w:noProof/>
          </w:rPr>
          <w:t>Rothman, 2014</w:t>
        </w:r>
      </w:hyperlink>
      <w:r w:rsidR="004561C7">
        <w:rPr>
          <w:noProof/>
        </w:rPr>
        <w:t>)</w:t>
      </w:r>
      <w:r w:rsidR="004561C7">
        <w:rPr>
          <w:noProof/>
        </w:rPr>
        <w:fldChar w:fldCharType="end"/>
      </w:r>
      <w:r w:rsidR="004561C7">
        <w:rPr>
          <w:noProof/>
        </w:rPr>
        <w:t xml:space="preserve">. </w:t>
      </w:r>
      <w:r w:rsidR="00CF795C" w:rsidRPr="00CF795C">
        <w:t>The following example</w:t>
      </w:r>
      <w:r w:rsidR="00693822">
        <w:t>s</w:t>
      </w:r>
      <w:r w:rsidR="00CF795C" w:rsidRPr="00CF795C">
        <w:t xml:space="preserve"> </w:t>
      </w:r>
      <w:r w:rsidR="00CF795C" w:rsidRPr="00AA3879">
        <w:rPr>
          <w:noProof/>
        </w:rPr>
        <w:t>illustrate</w:t>
      </w:r>
      <w:r w:rsidR="00CF795C" w:rsidRPr="00CF795C">
        <w:t xml:space="preserve"> such a case in the supply chain context.</w:t>
      </w:r>
      <w:r w:rsidR="008B5249">
        <w:t xml:space="preserve"> </w:t>
      </w:r>
      <w:bookmarkStart w:id="1" w:name="OLE_LINK5"/>
    </w:p>
    <w:p w14:paraId="56EC27CA" w14:textId="682EF956" w:rsidR="00693822" w:rsidRPr="00183F36" w:rsidRDefault="00192C12">
      <w:pPr>
        <w:pStyle w:val="ListParagraph"/>
        <w:spacing w:line="480" w:lineRule="auto"/>
        <w:ind w:left="0" w:firstLine="720"/>
        <w:rPr>
          <w:szCs w:val="24"/>
        </w:rPr>
      </w:pPr>
      <w:r w:rsidRPr="00183F36">
        <w:rPr>
          <w:szCs w:val="24"/>
        </w:rPr>
        <w:t>In e</w:t>
      </w:r>
      <w:r w:rsidR="00224ACD" w:rsidRPr="00183F36">
        <w:rPr>
          <w:szCs w:val="24"/>
        </w:rPr>
        <w:t>arly February 2016</w:t>
      </w:r>
      <w:r w:rsidR="00447E59" w:rsidRPr="00183F36">
        <w:rPr>
          <w:szCs w:val="24"/>
        </w:rPr>
        <w:t xml:space="preserve">, a </w:t>
      </w:r>
      <w:r w:rsidR="00BA57C6">
        <w:rPr>
          <w:szCs w:val="24"/>
        </w:rPr>
        <w:t>strong</w:t>
      </w:r>
      <w:r w:rsidR="00447E59" w:rsidRPr="00183F36">
        <w:rPr>
          <w:szCs w:val="24"/>
        </w:rPr>
        <w:t xml:space="preserve"> earthquake shook </w:t>
      </w:r>
      <w:r w:rsidR="00860F8E" w:rsidRPr="00183F36">
        <w:rPr>
          <w:szCs w:val="24"/>
        </w:rPr>
        <w:t xml:space="preserve">production facilities belonging to </w:t>
      </w:r>
      <w:r w:rsidR="00447E59" w:rsidRPr="00183F36">
        <w:rPr>
          <w:szCs w:val="24"/>
        </w:rPr>
        <w:t xml:space="preserve">TSMC in southern Taiwan. </w:t>
      </w:r>
      <w:r w:rsidR="005318B0" w:rsidRPr="00183F36">
        <w:rPr>
          <w:szCs w:val="24"/>
        </w:rPr>
        <w:t xml:space="preserve">TSMC is the sole supplier of the A10 </w:t>
      </w:r>
      <w:r w:rsidR="006D15DB">
        <w:rPr>
          <w:szCs w:val="24"/>
        </w:rPr>
        <w:t>processor for Apple’s iPhone 7.</w:t>
      </w:r>
      <w:r w:rsidR="005318B0" w:rsidRPr="00183F36">
        <w:rPr>
          <w:szCs w:val="24"/>
        </w:rPr>
        <w:t xml:space="preserve"> </w:t>
      </w:r>
      <w:r w:rsidR="00447E59" w:rsidRPr="00183F36">
        <w:rPr>
          <w:szCs w:val="24"/>
        </w:rPr>
        <w:t xml:space="preserve">TSMC and Apple were </w:t>
      </w:r>
      <w:r w:rsidR="00BA57C6">
        <w:rPr>
          <w:szCs w:val="24"/>
        </w:rPr>
        <w:t>lucky. S</w:t>
      </w:r>
      <w:r w:rsidR="00447E59" w:rsidRPr="00183F36">
        <w:rPr>
          <w:szCs w:val="24"/>
        </w:rPr>
        <w:t xml:space="preserve">ensitive production </w:t>
      </w:r>
      <w:r w:rsidR="001206D0" w:rsidRPr="00AA3879">
        <w:rPr>
          <w:noProof/>
          <w:szCs w:val="24"/>
        </w:rPr>
        <w:t>machinery</w:t>
      </w:r>
      <w:r w:rsidR="00447E59" w:rsidRPr="00183F36">
        <w:rPr>
          <w:szCs w:val="24"/>
        </w:rPr>
        <w:t xml:space="preserve"> and the </w:t>
      </w:r>
      <w:r w:rsidR="001206D0" w:rsidRPr="00183F36">
        <w:rPr>
          <w:szCs w:val="24"/>
        </w:rPr>
        <w:t>inventories</w:t>
      </w:r>
      <w:r w:rsidR="00447E59" w:rsidRPr="00183F36">
        <w:rPr>
          <w:szCs w:val="24"/>
        </w:rPr>
        <w:t xml:space="preserve"> of silicon wafers used in producing the processors were </w:t>
      </w:r>
      <w:r w:rsidR="00860F8E" w:rsidRPr="00183F36">
        <w:rPr>
          <w:szCs w:val="24"/>
        </w:rPr>
        <w:t>left unharmed</w:t>
      </w:r>
      <w:r w:rsidR="005318B0" w:rsidRPr="00183F36">
        <w:rPr>
          <w:szCs w:val="24"/>
        </w:rPr>
        <w:t xml:space="preserve"> </w:t>
      </w:r>
      <w:r w:rsidR="002B4FD1">
        <w:rPr>
          <w:szCs w:val="24"/>
        </w:rPr>
        <w:fldChar w:fldCharType="begin"/>
      </w:r>
      <w:r w:rsidR="00627756">
        <w:rPr>
          <w:szCs w:val="24"/>
        </w:rPr>
        <w:instrText xml:space="preserve"> ADDIN EN.CITE &lt;EndNote&gt;&lt;Cite&gt;&lt;Author&gt;Webb&lt;/Author&gt;&lt;Year&gt;2016&lt;/Year&gt;&lt;RecNum&gt;1326&lt;/RecNum&gt;&lt;DisplayText&gt;(Webb, 2016)&lt;/DisplayText&gt;&lt;record&gt;&lt;rec-number&gt;1326&lt;/rec-number&gt;&lt;foreign-keys&gt;&lt;key app="EN" db-id="0w05zrd59zdxwmexsxlxa0purxdzd2svavae" timestamp="0"&gt;1326&lt;/key&gt;&lt;/foreign-keys&gt;&lt;ref-type name="Journal Article"&gt;17&lt;/ref-type&gt;&lt;contributors&gt;&lt;authors&gt;&lt;author&gt;Jonathan Webb&lt;/author&gt;&lt;/authors&gt;&lt;/contributors&gt;&lt;titles&gt;&lt;title&gt;The Taiwanese Earthquake That Nearly Flattened The Apple iPhone 7&lt;/title&gt;&lt;secondary-title&gt;Forbes.com&lt;/secondary-title&gt;&lt;/titles&gt;&lt;periodical&gt;&lt;full-title&gt;Forbes.com&lt;/full-title&gt;&lt;/periodical&gt;&lt;volume&gt;February 29, 2016&lt;/volume&gt;&lt;dates&gt;&lt;year&gt;2016&lt;/year&gt;&lt;pub-dates&gt;&lt;date&gt;February 29, 2016&lt;/date&gt;&lt;/pub-dates&gt;&lt;/dates&gt;&lt;urls&gt;&lt;/urls&gt;&lt;/record&gt;&lt;/Cite&gt;&lt;/EndNote&gt;</w:instrText>
      </w:r>
      <w:r w:rsidR="002B4FD1">
        <w:rPr>
          <w:szCs w:val="24"/>
        </w:rPr>
        <w:fldChar w:fldCharType="separate"/>
      </w:r>
      <w:r w:rsidR="002B4FD1">
        <w:rPr>
          <w:noProof/>
          <w:szCs w:val="24"/>
        </w:rPr>
        <w:t>(</w:t>
      </w:r>
      <w:hyperlink w:anchor="_ENREF_100" w:tooltip="Webb, 2016 #1326" w:history="1">
        <w:r w:rsidR="002B4FD1" w:rsidRPr="004C6DEC">
          <w:rPr>
            <w:rStyle w:val="Hyperlink"/>
            <w:noProof/>
            <w:szCs w:val="24"/>
          </w:rPr>
          <w:t>Webb, 2016</w:t>
        </w:r>
      </w:hyperlink>
      <w:r w:rsidR="002B4FD1">
        <w:rPr>
          <w:noProof/>
          <w:szCs w:val="24"/>
        </w:rPr>
        <w:t>)</w:t>
      </w:r>
      <w:r w:rsidR="002B4FD1">
        <w:rPr>
          <w:szCs w:val="24"/>
        </w:rPr>
        <w:fldChar w:fldCharType="end"/>
      </w:r>
      <w:r w:rsidR="002B4FD1">
        <w:rPr>
          <w:szCs w:val="24"/>
        </w:rPr>
        <w:t xml:space="preserve">. </w:t>
      </w:r>
      <w:r w:rsidR="005B22F4">
        <w:rPr>
          <w:szCs w:val="24"/>
        </w:rPr>
        <w:t>T</w:t>
      </w:r>
      <w:r w:rsidR="005318B0" w:rsidRPr="00183F36">
        <w:rPr>
          <w:szCs w:val="24"/>
        </w:rPr>
        <w:t xml:space="preserve">SMC </w:t>
      </w:r>
      <w:r w:rsidR="001F06B3" w:rsidRPr="00183F36">
        <w:rPr>
          <w:szCs w:val="24"/>
        </w:rPr>
        <w:t xml:space="preserve">and its downstream customers </w:t>
      </w:r>
      <w:r w:rsidR="005318B0" w:rsidRPr="00183F36">
        <w:rPr>
          <w:szCs w:val="24"/>
        </w:rPr>
        <w:t xml:space="preserve">did not take the issue lightly. </w:t>
      </w:r>
      <w:r w:rsidR="001C622D">
        <w:rPr>
          <w:szCs w:val="24"/>
        </w:rPr>
        <w:t>Shortly after the event</w:t>
      </w:r>
      <w:r w:rsidR="00257F56">
        <w:rPr>
          <w:szCs w:val="24"/>
        </w:rPr>
        <w:t>, t</w:t>
      </w:r>
      <w:r w:rsidR="001F06B3" w:rsidRPr="00183F36">
        <w:rPr>
          <w:szCs w:val="24"/>
        </w:rPr>
        <w:t>hey</w:t>
      </w:r>
      <w:r w:rsidR="005318B0" w:rsidRPr="00183F36">
        <w:rPr>
          <w:szCs w:val="24"/>
        </w:rPr>
        <w:t xml:space="preserve"> </w:t>
      </w:r>
      <w:r w:rsidR="00447E59" w:rsidRPr="00183F36">
        <w:rPr>
          <w:szCs w:val="24"/>
        </w:rPr>
        <w:t xml:space="preserve">developed procedures </w:t>
      </w:r>
      <w:r w:rsidR="00BA57C6">
        <w:rPr>
          <w:szCs w:val="24"/>
        </w:rPr>
        <w:t>for</w:t>
      </w:r>
      <w:r w:rsidR="00257F56">
        <w:rPr>
          <w:szCs w:val="24"/>
        </w:rPr>
        <w:t xml:space="preserve"> alternate </w:t>
      </w:r>
      <w:r w:rsidR="00447E59" w:rsidRPr="00183F36">
        <w:rPr>
          <w:szCs w:val="24"/>
        </w:rPr>
        <w:t xml:space="preserve">sources of supply </w:t>
      </w:r>
      <w:r w:rsidR="00257F56">
        <w:rPr>
          <w:szCs w:val="24"/>
        </w:rPr>
        <w:t xml:space="preserve">and </w:t>
      </w:r>
      <w:r w:rsidR="00BA57C6">
        <w:rPr>
          <w:szCs w:val="24"/>
        </w:rPr>
        <w:t xml:space="preserve">for </w:t>
      </w:r>
      <w:r w:rsidR="00111CFF" w:rsidRPr="00183F36">
        <w:rPr>
          <w:szCs w:val="24"/>
        </w:rPr>
        <w:t xml:space="preserve">improving </w:t>
      </w:r>
      <w:r w:rsidR="00257F56">
        <w:rPr>
          <w:szCs w:val="24"/>
        </w:rPr>
        <w:t>their responsiveness to similar</w:t>
      </w:r>
      <w:r w:rsidR="00465F24">
        <w:rPr>
          <w:szCs w:val="24"/>
        </w:rPr>
        <w:t xml:space="preserve"> </w:t>
      </w:r>
      <w:r w:rsidR="00465F24">
        <w:rPr>
          <w:szCs w:val="24"/>
        </w:rPr>
        <w:lastRenderedPageBreak/>
        <w:t xml:space="preserve">supply chain </w:t>
      </w:r>
      <w:r w:rsidR="00257F56">
        <w:rPr>
          <w:szCs w:val="24"/>
        </w:rPr>
        <w:t>disruptions</w:t>
      </w:r>
      <w:r w:rsidR="00860F8E" w:rsidRPr="00183F36">
        <w:rPr>
          <w:szCs w:val="24"/>
        </w:rPr>
        <w:t xml:space="preserve">. </w:t>
      </w:r>
      <w:r w:rsidR="00693822">
        <w:rPr>
          <w:szCs w:val="24"/>
        </w:rPr>
        <w:t>For Cisco Systems</w:t>
      </w:r>
      <w:r w:rsidR="00693822" w:rsidRPr="00183F36">
        <w:t xml:space="preserve">, the impetus to improve its </w:t>
      </w:r>
      <w:r w:rsidR="00693822" w:rsidRPr="001A54B5">
        <w:rPr>
          <w:noProof/>
        </w:rPr>
        <w:t>supply chain risk management infrastructure</w:t>
      </w:r>
      <w:r w:rsidR="00693822" w:rsidRPr="00183F36">
        <w:t xml:space="preserve"> was the </w:t>
      </w:r>
      <w:r w:rsidR="00693822" w:rsidRPr="001A54B5">
        <w:rPr>
          <w:noProof/>
        </w:rPr>
        <w:t>company’s close call</w:t>
      </w:r>
      <w:r w:rsidR="00693822" w:rsidRPr="00183F36">
        <w:t xml:space="preserve"> with Hurricane Rita in 2005 </w:t>
      </w:r>
      <w:r w:rsidR="002B4FD1">
        <w:fldChar w:fldCharType="begin"/>
      </w:r>
      <w:r w:rsidR="002B4FD1">
        <w:instrText xml:space="preserve"> ADDIN EN.CITE &lt;EndNote&gt;&lt;Cite&gt;&lt;Author&gt;Conway&lt;/Author&gt;&lt;Year&gt;2015&lt;/Year&gt;&lt;RecNum&gt;1374&lt;/RecNum&gt;&lt;DisplayText&gt;(Conway et al., 2015)&lt;/DisplayText&gt;&lt;record&gt;&lt;rec-number&gt;1374&lt;/rec-number&gt;&lt;foreign-keys&gt;&lt;key app="EN" db-id="0w05zrd59zdxwmexsxlxa0purxdzd2svavae" timestamp="0"&gt;1374&lt;/key&gt;&lt;/foreign-keys&gt;&lt;ref-type name="Conference Proceedings"&gt;10&lt;/ref-type&gt;&lt;contributors&gt;&lt;authors&gt;&lt;author&gt;Edna Conway&lt;/author&gt;&lt;author&gt;Nghi Luu&lt;/author&gt;&lt;author&gt;Erich Shaffer&lt;/author&gt;&lt;/authors&gt;&lt;/contributors&gt;&lt;titles&gt;&lt;title&gt;Cisco - Managing Supply Chain Risks End-to-End&lt;/title&gt;&lt;secondary-title&gt;Best practices in cyber supply chain risk management &lt;/secondary-title&gt;&lt;/titles&gt;&lt;dates&gt;&lt;year&gt;2015&lt;/year&gt;&lt;/dates&gt;&lt;pub-location&gt;Gaithersburg, MD&lt;/pub-location&gt;&lt;publisher&gt;National Institute of Standards and Technology&lt;/publisher&gt;&lt;urls&gt;&lt;/urls&gt;&lt;/record&gt;&lt;/Cite&gt;&lt;/EndNote&gt;</w:instrText>
      </w:r>
      <w:r w:rsidR="002B4FD1">
        <w:fldChar w:fldCharType="separate"/>
      </w:r>
      <w:r w:rsidR="002B4FD1">
        <w:rPr>
          <w:noProof/>
        </w:rPr>
        <w:t>(</w:t>
      </w:r>
      <w:hyperlink w:anchor="_ENREF_20" w:tooltip="Conway, 2015 #1374" w:history="1">
        <w:r w:rsidR="002B4FD1" w:rsidRPr="004C6DEC">
          <w:rPr>
            <w:rStyle w:val="Hyperlink"/>
            <w:noProof/>
          </w:rPr>
          <w:t>Conway et al., 2015</w:t>
        </w:r>
      </w:hyperlink>
      <w:r w:rsidR="002B4FD1">
        <w:rPr>
          <w:noProof/>
        </w:rPr>
        <w:t>)</w:t>
      </w:r>
      <w:r w:rsidR="002B4FD1">
        <w:fldChar w:fldCharType="end"/>
      </w:r>
      <w:r w:rsidR="002B4FD1">
        <w:t xml:space="preserve">. </w:t>
      </w:r>
      <w:r w:rsidR="00693822" w:rsidRPr="00183F36">
        <w:t xml:space="preserve">Because </w:t>
      </w:r>
      <w:r w:rsidR="00693822">
        <w:t xml:space="preserve">of the </w:t>
      </w:r>
      <w:r w:rsidR="003D5CF2">
        <w:t>near-miss</w:t>
      </w:r>
      <w:r w:rsidR="00693822" w:rsidRPr="00183F36">
        <w:t xml:space="preserve">, company executives </w:t>
      </w:r>
      <w:r w:rsidR="00693822">
        <w:t xml:space="preserve">recognized that </w:t>
      </w:r>
      <w:r w:rsidR="00693822" w:rsidRPr="00183F36">
        <w:t>“they were not full</w:t>
      </w:r>
      <w:r w:rsidR="00693822">
        <w:t>y</w:t>
      </w:r>
      <w:r w:rsidR="00693822" w:rsidRPr="00183F36">
        <w:t xml:space="preserve"> prepared to respond systematically to a major event</w:t>
      </w:r>
      <w:r w:rsidR="00693822">
        <w:t xml:space="preserve">” </w:t>
      </w:r>
      <w:r w:rsidR="002B4FD1">
        <w:fldChar w:fldCharType="begin"/>
      </w:r>
      <w:r w:rsidR="002B4FD1">
        <w:instrText xml:space="preserve"> ADDIN EN.CITE &lt;EndNote&gt;&lt;Cite&gt;&lt;Author&gt;Sowinski&lt;/Author&gt;&lt;Year&gt;2011&lt;/Year&gt;&lt;RecNum&gt;1370&lt;/RecNum&gt;&lt;Suffix&gt;`; pp 3&lt;/Suffix&gt;&lt;DisplayText&gt;(Sowinski, 2011; pp 3)&lt;/DisplayText&gt;&lt;record&gt;&lt;rec-number&gt;1370&lt;/rec-number&gt;&lt;foreign-keys&gt;&lt;key app="EN" db-id="0w05zrd59zdxwmexsxlxa0purxdzd2svavae" timestamp="0"&gt;1370&lt;/key&gt;&lt;/foreign-keys&gt;&lt;ref-type name="Journal Article"&gt;17&lt;/ref-type&gt;&lt;contributors&gt;&lt;authors&gt;&lt;author&gt;Sowinski, Lara L. &lt;/author&gt;&lt;/authors&gt;&lt;/contributors&gt;&lt;titles&gt;&lt;title&gt;Turning A Close Call Into A Sure Bet: How quick thinking and collaboration by two logistics partners saved the day for one lucky manufacturer&lt;/title&gt;&lt;secondary-title&gt;World Trade&lt;/secondary-title&gt;&lt;/titles&gt;&lt;pages&gt;30-32&lt;/pages&gt;&lt;volume&gt;24&lt;/volume&gt;&lt;number&gt;2&lt;/number&gt;&lt;dates&gt;&lt;year&gt;2011&lt;/year&gt;&lt;/dates&gt;&lt;urls&gt;&lt;/urls&gt;&lt;/record&gt;&lt;/Cite&gt;&lt;/EndNote&gt;</w:instrText>
      </w:r>
      <w:r w:rsidR="002B4FD1">
        <w:fldChar w:fldCharType="separate"/>
      </w:r>
      <w:r w:rsidR="002B4FD1">
        <w:rPr>
          <w:noProof/>
        </w:rPr>
        <w:t>(</w:t>
      </w:r>
      <w:hyperlink w:anchor="_ENREF_88" w:tooltip="Sowinski, 2011 #1370" w:history="1">
        <w:r w:rsidR="002B4FD1" w:rsidRPr="004C6DEC">
          <w:rPr>
            <w:rStyle w:val="Hyperlink"/>
            <w:noProof/>
          </w:rPr>
          <w:t>Sowinski, 2011; pp 3</w:t>
        </w:r>
      </w:hyperlink>
      <w:r w:rsidR="002B4FD1">
        <w:rPr>
          <w:noProof/>
        </w:rPr>
        <w:t>)</w:t>
      </w:r>
      <w:r w:rsidR="002B4FD1">
        <w:fldChar w:fldCharType="end"/>
      </w:r>
      <w:r w:rsidR="002B4FD1">
        <w:t xml:space="preserve">. </w:t>
      </w:r>
    </w:p>
    <w:p w14:paraId="049056CC" w14:textId="6029A935" w:rsidR="00A83E9C" w:rsidRDefault="00BA57C6" w:rsidP="009177A3">
      <w:pPr>
        <w:widowControl w:val="0"/>
        <w:spacing w:line="480" w:lineRule="auto"/>
        <w:ind w:firstLine="720"/>
      </w:pPr>
      <w:r>
        <w:t>N</w:t>
      </w:r>
      <w:r w:rsidR="00B03F6E">
        <w:t xml:space="preserve">ot all companies take near-misses as seriously as TSMC </w:t>
      </w:r>
      <w:r w:rsidR="00693822">
        <w:t xml:space="preserve">or Cisco Systems </w:t>
      </w:r>
      <w:r w:rsidR="00B03F6E">
        <w:t xml:space="preserve">do. </w:t>
      </w:r>
      <w:r w:rsidR="007376D5">
        <w:t>D</w:t>
      </w:r>
      <w:r w:rsidR="00B17E44">
        <w:t>e</w:t>
      </w:r>
      <w:r w:rsidR="006F349C" w:rsidRPr="00183F36">
        <w:t xml:space="preserve">spite </w:t>
      </w:r>
      <w:r w:rsidR="00B17E44">
        <w:t xml:space="preserve">the copious </w:t>
      </w:r>
      <w:r w:rsidR="007376D5">
        <w:t>theoretical</w:t>
      </w:r>
      <w:r w:rsidR="007376D5" w:rsidRPr="007376D5">
        <w:t xml:space="preserve"> </w:t>
      </w:r>
      <w:r w:rsidR="007376D5">
        <w:t xml:space="preserve">support and empirical evidence </w:t>
      </w:r>
      <w:r w:rsidR="00B17E44">
        <w:t xml:space="preserve">for </w:t>
      </w:r>
      <w:r w:rsidR="003B1C0E">
        <w:t>the usefulness</w:t>
      </w:r>
      <w:r w:rsidR="00B17E44">
        <w:t xml:space="preserve"> of near-misses, many companies </w:t>
      </w:r>
      <w:r w:rsidR="00B17E44" w:rsidRPr="00183F36">
        <w:t>are</w:t>
      </w:r>
      <w:r w:rsidR="00B17E44">
        <w:t xml:space="preserve"> apathetic to their </w:t>
      </w:r>
      <w:r w:rsidR="004561C7">
        <w:t>utility</w:t>
      </w:r>
      <w:r w:rsidR="00B17E44">
        <w:t>.</w:t>
      </w:r>
      <w:r w:rsidR="007376D5">
        <w:t xml:space="preserve"> </w:t>
      </w:r>
      <w:r>
        <w:t>Som</w:t>
      </w:r>
      <w:r w:rsidR="006F349C">
        <w:t xml:space="preserve">e consider near-misses </w:t>
      </w:r>
      <w:r w:rsidR="006F349C" w:rsidRPr="00183F36">
        <w:t>as “transitory events” that result in “superstitious learning”</w:t>
      </w:r>
      <w:r w:rsidR="007A0133">
        <w:t xml:space="preserve"> </w:t>
      </w:r>
      <w:r w:rsidR="000B4186">
        <w:fldChar w:fldCharType="begin"/>
      </w:r>
      <w:r w:rsidR="000B4186">
        <w:instrText xml:space="preserve"> ADDIN EN.CITE &lt;EndNote&gt;&lt;Cite&gt;&lt;Author&gt;Lampel&lt;/Author&gt;&lt;Year&gt;2009&lt;/Year&gt;&lt;RecNum&gt;1126&lt;/RecNum&gt;&lt;DisplayText&gt;(Lampel et al., 2009)&lt;/DisplayText&gt;&lt;record&gt;&lt;rec-number&gt;1126&lt;/rec-number&gt;&lt;foreign-keys&gt;&lt;key app="EN" db-id="0w05zrd59zdxwmexsxlxa0purxdzd2svavae" timestamp="0"&gt;1126&lt;/key&gt;&lt;/foreign-keys&gt;&lt;ref-type name="Journal Article"&gt;17&lt;/ref-type&gt;&lt;contributors&gt;&lt;authors&gt;&lt;author&gt;Lampel, J.&lt;/author&gt;&lt;author&gt;Shamsie, J.&lt;/author&gt;&lt;author&gt;Shapira, Z.&lt;/author&gt;&lt;/authors&gt;&lt;/contributors&gt;&lt;titles&gt;&lt;title&gt;Experiencing the improbable: Rare events and organizational learning&lt;/title&gt;&lt;secondary-title&gt;Organization Science&lt;/secondary-title&gt;&lt;/titles&gt;&lt;periodical&gt;&lt;full-title&gt;Organization Science&lt;/full-title&gt;&lt;/periodical&gt;&lt;pages&gt;835-845&lt;/pages&gt;&lt;volume&gt;20&lt;/volume&gt;&lt;number&gt;5&lt;/number&gt;&lt;dates&gt;&lt;year&gt;2009&lt;/year&gt;&lt;pub-dates&gt;&lt;date&gt;Sep-Oct&lt;/date&gt;&lt;/pub-dates&gt;&lt;/dates&gt;&lt;isbn&gt;1047-7039&lt;/isbn&gt;&lt;accession-num&gt;WOS:000270304200001&lt;/accession-num&gt;&lt;urls&gt;&lt;related-urls&gt;&lt;url&gt;&amp;lt;Go to ISI&amp;gt;://WOS:000270304200001&lt;/url&gt;&lt;/related-urls&gt;&lt;/urls&gt;&lt;electronic-resource-num&gt;10.1287/orsc.1090.0479&lt;/electronic-resource-num&gt;&lt;/record&gt;&lt;/Cite&gt;&lt;/EndNote&gt;</w:instrText>
      </w:r>
      <w:r w:rsidR="000B4186">
        <w:fldChar w:fldCharType="separate"/>
      </w:r>
      <w:r w:rsidR="000B4186">
        <w:rPr>
          <w:noProof/>
        </w:rPr>
        <w:t>(</w:t>
      </w:r>
      <w:hyperlink w:anchor="_ENREF_55" w:tooltip="Lampel, 2009 #1126" w:history="1">
        <w:r w:rsidR="000B4186" w:rsidRPr="004C6DEC">
          <w:rPr>
            <w:rStyle w:val="Hyperlink"/>
            <w:noProof/>
          </w:rPr>
          <w:t>Lampel et al., 2009</w:t>
        </w:r>
      </w:hyperlink>
      <w:r w:rsidR="000B4186">
        <w:rPr>
          <w:noProof/>
        </w:rPr>
        <w:t>)</w:t>
      </w:r>
      <w:r w:rsidR="000B4186">
        <w:fldChar w:fldCharType="end"/>
      </w:r>
      <w:r w:rsidR="004561C7">
        <w:t xml:space="preserve">. </w:t>
      </w:r>
      <w:r w:rsidR="006F349C" w:rsidRPr="00183F36">
        <w:t xml:space="preserve">Others </w:t>
      </w:r>
      <w:r w:rsidR="006F349C" w:rsidRPr="00183F36">
        <w:rPr>
          <w:rFonts w:eastAsia="Times New Roman"/>
        </w:rPr>
        <w:t xml:space="preserve">view </w:t>
      </w:r>
      <w:r w:rsidR="006F349C">
        <w:rPr>
          <w:rFonts w:eastAsia="Times New Roman"/>
        </w:rPr>
        <w:t>near-misses</w:t>
      </w:r>
      <w:r w:rsidR="006F349C" w:rsidRPr="00183F36">
        <w:rPr>
          <w:rFonts w:eastAsia="Times New Roman"/>
        </w:rPr>
        <w:t xml:space="preserve"> as too minor and inconsequential </w:t>
      </w:r>
      <w:r w:rsidR="000B4186">
        <w:rPr>
          <w:rFonts w:eastAsia="Times New Roman"/>
        </w:rPr>
        <w:fldChar w:fldCharType="begin"/>
      </w:r>
      <w:r w:rsidR="000B4186">
        <w:rPr>
          <w:rFonts w:eastAsia="Times New Roman"/>
        </w:rPr>
        <w:instrText xml:space="preserve"> ADDIN EN.CITE &lt;EndNote&gt;&lt;Cite&gt;&lt;Author&gt;Wright&lt;/Author&gt;&lt;Year&gt;2004&lt;/Year&gt;&lt;RecNum&gt;1343&lt;/RecNum&gt;&lt;DisplayText&gt;(Wright and van der Schaaf, 2004)&lt;/DisplayText&gt;&lt;record&gt;&lt;rec-number&gt;1343&lt;/rec-number&gt;&lt;foreign-keys&gt;&lt;key app="EN" db-id="0w05zrd59zdxwmexsxlxa0purxdzd2svavae" timestamp="0"&gt;1343&lt;/key&gt;&lt;/foreign-keys&gt;&lt;ref-type name="Journal Article"&gt;17&lt;/ref-type&gt;&lt;contributors&gt;&lt;authors&gt;&lt;author&gt;Wright, Linda&lt;/author&gt;&lt;author&gt;van der Schaaf, Tjerk&lt;/author&gt;&lt;/authors&gt;&lt;/contributors&gt;&lt;titles&gt;&lt;title&gt;Accident versus near miss causation: A critical review of the literature, an empirical test in the UK railway domain, and their implications for other sectors&lt;/title&gt;&lt;secondary-title&gt;Journal of Hazardous Materials&lt;/secondary-title&gt;&lt;/titles&gt;&lt;pages&gt;105-110&lt;/pages&gt;&lt;volume&gt;111&lt;/volume&gt;&lt;number&gt;1-3&lt;/number&gt;&lt;dates&gt;&lt;year&gt;2004&lt;/year&gt;&lt;pub-dates&gt;&lt;date&gt;2004/07&lt;/date&gt;&lt;/pub-dates&gt;&lt;/dates&gt;&lt;publisher&gt;Elsevier BV&lt;/publisher&gt;&lt;isbn&gt;0304-3894&lt;/isbn&gt;&lt;urls&gt;&lt;/urls&gt;&lt;electronic-resource-num&gt;10.1016/j.jhazmat.2004.02.049&lt;/electronic-resource-num&gt;&lt;/record&gt;&lt;/Cite&gt;&lt;/EndNote&gt;</w:instrText>
      </w:r>
      <w:r w:rsidR="000B4186">
        <w:rPr>
          <w:rFonts w:eastAsia="Times New Roman"/>
        </w:rPr>
        <w:fldChar w:fldCharType="separate"/>
      </w:r>
      <w:r w:rsidR="000B4186">
        <w:rPr>
          <w:rFonts w:eastAsia="Times New Roman"/>
          <w:noProof/>
        </w:rPr>
        <w:t>(</w:t>
      </w:r>
      <w:hyperlink w:anchor="_ENREF_108" w:tooltip="Wright, 2004 #1343" w:history="1">
        <w:r w:rsidR="000B4186" w:rsidRPr="004C6DEC">
          <w:rPr>
            <w:rStyle w:val="Hyperlink"/>
            <w:rFonts w:eastAsia="Times New Roman"/>
            <w:noProof/>
          </w:rPr>
          <w:t>Wright and van der Schaaf, 2004</w:t>
        </w:r>
      </w:hyperlink>
      <w:r w:rsidR="000B4186">
        <w:rPr>
          <w:rFonts w:eastAsia="Times New Roman"/>
          <w:noProof/>
        </w:rPr>
        <w:t>)</w:t>
      </w:r>
      <w:r w:rsidR="000B4186">
        <w:rPr>
          <w:rFonts w:eastAsia="Times New Roman"/>
        </w:rPr>
        <w:fldChar w:fldCharType="end"/>
      </w:r>
      <w:r w:rsidR="002B4FD1">
        <w:rPr>
          <w:rFonts w:eastAsia="Times New Roman"/>
        </w:rPr>
        <w:t xml:space="preserve">. </w:t>
      </w:r>
      <w:r w:rsidR="00970320">
        <w:t xml:space="preserve">Such </w:t>
      </w:r>
      <w:r w:rsidR="003B1C0E">
        <w:t>apprehension</w:t>
      </w:r>
      <w:r w:rsidR="0004502A">
        <w:t>s</w:t>
      </w:r>
      <w:r w:rsidR="003B1C0E">
        <w:t xml:space="preserve"> </w:t>
      </w:r>
      <w:r>
        <w:t xml:space="preserve">may </w:t>
      </w:r>
      <w:r w:rsidRPr="001A54B5">
        <w:rPr>
          <w:noProof/>
        </w:rPr>
        <w:t>be caused</w:t>
      </w:r>
      <w:r>
        <w:t xml:space="preserve"> by a</w:t>
      </w:r>
      <w:r w:rsidR="003B1C0E">
        <w:t xml:space="preserve"> lack of </w:t>
      </w:r>
      <w:r>
        <w:t xml:space="preserve">recognition </w:t>
      </w:r>
      <w:r w:rsidR="003B1C0E">
        <w:t xml:space="preserve">of the </w:t>
      </w:r>
      <w:r>
        <w:t xml:space="preserve">lessons that </w:t>
      </w:r>
      <w:r w:rsidR="003B1C0E">
        <w:t>near-misses</w:t>
      </w:r>
      <w:r>
        <w:t xml:space="preserve"> can offer</w:t>
      </w:r>
      <w:r w:rsidR="003B1C0E">
        <w:t>. Indeed</w:t>
      </w:r>
      <w:r w:rsidR="00CF795C" w:rsidRPr="00183F36">
        <w:t xml:space="preserve">, how learning from </w:t>
      </w:r>
      <w:r w:rsidR="00CF795C">
        <w:t>near-misses</w:t>
      </w:r>
      <w:r w:rsidR="00CF795C" w:rsidRPr="00183F36">
        <w:t xml:space="preserve"> leads to organizational behaviors </w:t>
      </w:r>
      <w:r w:rsidR="00970320">
        <w:t xml:space="preserve">in facing disruptions </w:t>
      </w:r>
      <w:r w:rsidR="00CF795C">
        <w:t xml:space="preserve">has </w:t>
      </w:r>
      <w:r w:rsidR="00970320">
        <w:t>yet to be studied</w:t>
      </w:r>
      <w:r w:rsidR="004561C7">
        <w:t xml:space="preserve"> in supply chain management research</w:t>
      </w:r>
      <w:r w:rsidR="00CF795C">
        <w:t xml:space="preserve">. </w:t>
      </w:r>
      <w:r w:rsidR="00CF177E">
        <w:t>Hence, o</w:t>
      </w:r>
      <w:r w:rsidR="00CF795C">
        <w:t xml:space="preserve">ur </w:t>
      </w:r>
      <w:r w:rsidR="00672259">
        <w:t xml:space="preserve">primary </w:t>
      </w:r>
      <w:r w:rsidR="00CF795C">
        <w:t xml:space="preserve">research question is: </w:t>
      </w:r>
      <w:r w:rsidR="00CF795C" w:rsidRPr="00183F36">
        <w:t xml:space="preserve">How does exposure to </w:t>
      </w:r>
      <w:r w:rsidR="00CF795C">
        <w:t>near-misses</w:t>
      </w:r>
      <w:r w:rsidR="00CF795C" w:rsidRPr="00183F36">
        <w:t xml:space="preserve"> reflect in </w:t>
      </w:r>
      <w:r w:rsidR="00CF795C">
        <w:t>organizational</w:t>
      </w:r>
      <w:r w:rsidR="00CF795C" w:rsidRPr="00183F36">
        <w:t xml:space="preserve"> response strategies</w:t>
      </w:r>
      <w:r w:rsidR="00CF795C">
        <w:t xml:space="preserve"> to</w:t>
      </w:r>
      <w:r w:rsidR="00465F24">
        <w:t xml:space="preserve"> supply chain </w:t>
      </w:r>
      <w:r w:rsidR="00CF795C">
        <w:t>disruptions</w:t>
      </w:r>
      <w:r w:rsidR="00CF795C" w:rsidRPr="00183F36">
        <w:t>?</w:t>
      </w:r>
      <w:r w:rsidR="00CF795C">
        <w:t xml:space="preserve"> </w:t>
      </w:r>
      <w:bookmarkStart w:id="2" w:name="OLE_LINK41"/>
      <w:bookmarkStart w:id="3" w:name="OLE_LINK42"/>
      <w:bookmarkStart w:id="4" w:name="OLE_LINK43"/>
    </w:p>
    <w:bookmarkEnd w:id="2"/>
    <w:bookmarkEnd w:id="3"/>
    <w:bookmarkEnd w:id="4"/>
    <w:p w14:paraId="3346A1B6" w14:textId="31696B48" w:rsidR="004561C7" w:rsidRDefault="00A83E9C" w:rsidP="004561C7">
      <w:pPr>
        <w:widowControl w:val="0"/>
        <w:spacing w:line="480" w:lineRule="auto"/>
        <w:ind w:firstLine="720"/>
      </w:pPr>
      <w:r>
        <w:t>W</w:t>
      </w:r>
      <w:r w:rsidRPr="00183F36">
        <w:t xml:space="preserve">hen faced with disruptions, companies orient their response efforts in two </w:t>
      </w:r>
      <w:r>
        <w:t xml:space="preserve">strategic </w:t>
      </w:r>
      <w:r w:rsidRPr="00183F36">
        <w:t xml:space="preserve">directions: </w:t>
      </w:r>
      <w:r w:rsidR="00F83917">
        <w:t xml:space="preserve">some use a </w:t>
      </w:r>
      <w:r w:rsidR="006003DA">
        <w:t xml:space="preserve">procedural strategy while others use a </w:t>
      </w:r>
      <w:r w:rsidR="00F83917">
        <w:t xml:space="preserve">flexible strategy </w:t>
      </w:r>
      <w:r w:rsidR="000B4186">
        <w:fldChar w:fldCharType="begin"/>
      </w:r>
      <w:r w:rsidR="004561C7">
        <w:instrText xml:space="preserve"> ADDIN EN.CITE &lt;EndNote&gt;&lt;Cite&gt;&lt;Author&gt;Harrald&lt;/Author&gt;&lt;Year&gt;2006&lt;/Year&gt;&lt;RecNum&gt;1059&lt;/RecNum&gt;&lt;DisplayText&gt;(Deverell and Olsson, 2010; Harrald, 2006)&lt;/DisplayText&gt;&lt;record&gt;&lt;rec-number&gt;1059&lt;/rec-number&gt;&lt;foreign-keys&gt;&lt;key app="EN" db-id="0w05zrd59zdxwmexsxlxa0purxdzd2svavae" timestamp="0"&gt;1059&lt;/key&gt;&lt;/foreign-keys&gt;&lt;ref-type name="Journal Article"&gt;17&lt;/ref-type&gt;&lt;contributors&gt;&lt;authors&gt;&lt;author&gt;John R. Harrald&lt;/author&gt;&lt;/authors&gt;&lt;/contributors&gt;&lt;titles&gt;&lt;title&gt;Agility and discipline: Critical success factors for disaster response&lt;/title&gt;&lt;secondary-title&gt;ANNALS of the American Academy of Political and Social Science&lt;/secondary-title&gt;&lt;/titles&gt;&lt;pages&gt;256-272&lt;/pages&gt;&lt;volume&gt;604&lt;/volume&gt;&lt;number&gt;1&lt;/number&gt;&lt;dates&gt;&lt;year&gt;2006&lt;/year&gt;&lt;/dates&gt;&lt;urls&gt;&lt;/urls&gt;&lt;/record&gt;&lt;/Cite&gt;&lt;Cite&gt;&lt;Author&gt;Deverell&lt;/Author&gt;&lt;Year&gt;2010&lt;/Year&gt;&lt;RecNum&gt;1007&lt;/RecNum&gt;&lt;record&gt;&lt;rec-number&gt;1007&lt;/rec-number&gt;&lt;foreign-keys&gt;&lt;key app="EN" db-id="0w05zrd59zdxwmexsxlxa0purxdzd2svavae" timestamp="0"&gt;1007&lt;/key&gt;&lt;/foreign-keys&gt;&lt;ref-type name="Journal Article"&gt;17&lt;/ref-type&gt;&lt;contributors&gt;&lt;authors&gt;&lt;author&gt;Deverell, E.&lt;/author&gt;&lt;author&gt;Olsson, E. K.&lt;/author&gt;&lt;/authors&gt;&lt;/contributors&gt;&lt;titles&gt;&lt;title&gt;Organizational culture effects on strategy and adaptability in crisis management&lt;/title&gt;&lt;secondary-title&gt;Risk Management-an International Journal&lt;/secondary-title&gt;&lt;/titles&gt;&lt;pages&gt;116-134&lt;/pages&gt;&lt;volume&gt;12&lt;/volume&gt;&lt;number&gt;2&lt;/number&gt;&lt;dates&gt;&lt;year&gt;2010&lt;/year&gt;&lt;pub-dates&gt;&lt;date&gt;Apr&lt;/date&gt;&lt;/pub-dates&gt;&lt;/dates&gt;&lt;isbn&gt;1460-3799&lt;/isbn&gt;&lt;accession-num&gt;WOS:000286338000002&lt;/accession-num&gt;&lt;urls&gt;&lt;related-urls&gt;&lt;url&gt;&amp;lt;Go to ISI&amp;gt;://WOS:000286338000002&lt;/url&gt;&lt;/related-urls&gt;&lt;/urls&gt;&lt;electronic-resource-num&gt;10.1057/rm.2009.18&lt;/electronic-resource-num&gt;&lt;/record&gt;&lt;/Cite&gt;&lt;/EndNote&gt;</w:instrText>
      </w:r>
      <w:r w:rsidR="000B4186">
        <w:fldChar w:fldCharType="separate"/>
      </w:r>
      <w:r w:rsidR="004561C7">
        <w:rPr>
          <w:noProof/>
        </w:rPr>
        <w:t>(</w:t>
      </w:r>
      <w:hyperlink w:anchor="_ENREF_27" w:tooltip="Deverell, 2010 #1007" w:history="1">
        <w:r w:rsidR="004561C7" w:rsidRPr="004C6DEC">
          <w:rPr>
            <w:rStyle w:val="Hyperlink"/>
            <w:noProof/>
          </w:rPr>
          <w:t>Deverell and Olsson, 2010</w:t>
        </w:r>
      </w:hyperlink>
      <w:r w:rsidR="004561C7">
        <w:rPr>
          <w:noProof/>
        </w:rPr>
        <w:t xml:space="preserve">; </w:t>
      </w:r>
      <w:hyperlink w:anchor="_ENREF_43" w:tooltip="Harrald, 2006 #1059" w:history="1">
        <w:r w:rsidR="004561C7" w:rsidRPr="004C6DEC">
          <w:rPr>
            <w:rStyle w:val="Hyperlink"/>
            <w:noProof/>
          </w:rPr>
          <w:t>Harrald, 2006</w:t>
        </w:r>
      </w:hyperlink>
      <w:r w:rsidR="004561C7">
        <w:rPr>
          <w:noProof/>
        </w:rPr>
        <w:t>)</w:t>
      </w:r>
      <w:r w:rsidR="000B4186">
        <w:fldChar w:fldCharType="end"/>
      </w:r>
      <w:r w:rsidR="002B4FD1">
        <w:t xml:space="preserve">. </w:t>
      </w:r>
      <w:bookmarkStart w:id="5" w:name="OLE_LINK37"/>
      <w:bookmarkStart w:id="6" w:name="OLE_LINK38"/>
      <w:bookmarkStart w:id="7" w:name="OLE_LINK39"/>
      <w:r w:rsidR="006003DA" w:rsidRPr="00183F36">
        <w:t xml:space="preserve">We define procedural response strategy as formal protocols followed by organizations when managing disruptions. </w:t>
      </w:r>
      <w:r w:rsidR="006003DA" w:rsidRPr="001A54B5">
        <w:rPr>
          <w:noProof/>
        </w:rPr>
        <w:t>This</w:t>
      </w:r>
      <w:r w:rsidR="006003DA" w:rsidRPr="00183F36">
        <w:t xml:space="preserve"> may include formal policies and procedures, assigned roles and responsibilities and resources allocated appropriately.</w:t>
      </w:r>
      <w:r w:rsidR="006003DA">
        <w:t xml:space="preserve"> From an organizational standpoint, procedural strategy entails identifying </w:t>
      </w:r>
      <w:r w:rsidR="006003DA" w:rsidRPr="00AA3879">
        <w:rPr>
          <w:noProof/>
        </w:rPr>
        <w:t>system</w:t>
      </w:r>
      <w:r w:rsidR="00AA3879">
        <w:rPr>
          <w:noProof/>
        </w:rPr>
        <w:t>-</w:t>
      </w:r>
      <w:r w:rsidR="006003DA" w:rsidRPr="00AA3879">
        <w:rPr>
          <w:noProof/>
        </w:rPr>
        <w:t>level</w:t>
      </w:r>
      <w:r w:rsidR="006003DA">
        <w:t xml:space="preserve"> procedures that </w:t>
      </w:r>
      <w:r w:rsidR="006003DA" w:rsidRPr="001A54B5">
        <w:rPr>
          <w:noProof/>
        </w:rPr>
        <w:t>are established</w:t>
      </w:r>
      <w:r w:rsidR="00AA3879" w:rsidRPr="00AA3879">
        <w:rPr>
          <w:noProof/>
        </w:rPr>
        <w:t>,</w:t>
      </w:r>
      <w:r w:rsidR="006003DA">
        <w:t xml:space="preserve"> </w:t>
      </w:r>
      <w:r w:rsidR="006003DA" w:rsidRPr="00AA3879">
        <w:rPr>
          <w:noProof/>
        </w:rPr>
        <w:t>and</w:t>
      </w:r>
      <w:r w:rsidR="006003DA">
        <w:t xml:space="preserve"> the operators are expected to adhere to these processes </w:t>
      </w:r>
      <w:r w:rsidR="009B619A" w:rsidRPr="009B619A">
        <w:t xml:space="preserve"> </w:t>
      </w:r>
      <w:r w:rsidR="009B619A">
        <w:fldChar w:fldCharType="begin"/>
      </w:r>
      <w:r w:rsidR="00627756">
        <w:instrText xml:space="preserve"> ADDIN EN.CITE &lt;EndNote&gt;&lt;Cite&gt;&lt;Author&gt;Leveson&lt;/Author&gt;&lt;Year&gt;2009&lt;/Year&gt;&lt;RecNum&gt;1395&lt;/RecNum&gt;&lt;DisplayText&gt;(Leveson et al., 2009)&lt;/DisplayText&gt;&lt;record&gt;&lt;rec-number&gt;1395&lt;/rec-number&gt;&lt;foreign-keys&gt;&lt;key app="EN" db-id="0w05zrd59zdxwmexsxlxa0purxdzd2svavae" timestamp="1550928496"&gt;1395&lt;/key&gt;&lt;/foreign-keys&gt;&lt;ref-type name="Journal Article"&gt;17&lt;/ref-type&gt;&lt;contributors&gt;&lt;authors&gt;&lt;author&gt;Leveson, Nancy&lt;/author&gt;&lt;author&gt;Dulac, Nicolas&lt;/author&gt;&lt;author&gt;Marais, Karen&lt;/author&gt;&lt;author&gt;Carroll, John&lt;/author&gt;&lt;/authors&gt;&lt;/contributors&gt;&lt;titles&gt;&lt;title&gt;Moving beyond normal accidents and high reliability organizations: A systems approach to safety in complex systems&lt;/title&gt;&lt;secondary-title&gt;Organization Studies&lt;/secondary-title&gt;&lt;/titles&gt;&lt;periodical&gt;&lt;full-title&gt;Organization studies&lt;/full-title&gt;&lt;/periodical&gt;&lt;pages&gt;227-249&lt;/pages&gt;&lt;volume&gt;30&lt;/volume&gt;&lt;number&gt;2-3&lt;/number&gt;&lt;dates&gt;&lt;year&gt;2009&lt;/year&gt;&lt;/dates&gt;&lt;isbn&gt;0170-8406&lt;/isbn&gt;&lt;urls&gt;&lt;/urls&gt;&lt;/record&gt;&lt;/Cite&gt;&lt;/EndNote&gt;</w:instrText>
      </w:r>
      <w:r w:rsidR="009B619A">
        <w:fldChar w:fldCharType="separate"/>
      </w:r>
      <w:r w:rsidR="009B619A">
        <w:rPr>
          <w:noProof/>
        </w:rPr>
        <w:t>(</w:t>
      </w:r>
      <w:hyperlink w:anchor="_ENREF_56" w:tooltip="Leveson, 2009 #1395" w:history="1">
        <w:r w:rsidR="009B619A" w:rsidRPr="004C6DEC">
          <w:rPr>
            <w:rStyle w:val="Hyperlink"/>
            <w:noProof/>
          </w:rPr>
          <w:t>Leveson et al., 2009</w:t>
        </w:r>
      </w:hyperlink>
      <w:r w:rsidR="009B619A">
        <w:rPr>
          <w:noProof/>
        </w:rPr>
        <w:t>)</w:t>
      </w:r>
      <w:r w:rsidR="009B619A">
        <w:fldChar w:fldCharType="end"/>
      </w:r>
      <w:r w:rsidR="006003DA">
        <w:t xml:space="preserve">. </w:t>
      </w:r>
      <w:r w:rsidR="00F812EE">
        <w:t>F</w:t>
      </w:r>
      <w:r w:rsidR="00F812EE" w:rsidRPr="00183F36">
        <w:t xml:space="preserve">lexible response strategy </w:t>
      </w:r>
      <w:r w:rsidR="00F812EE">
        <w:t>is</w:t>
      </w:r>
      <w:r w:rsidR="00F812EE" w:rsidRPr="00183F36">
        <w:t xml:space="preserve"> the ability of the firm to make decisions that may deviate from established plans and protocols to suit the needs of the situation. </w:t>
      </w:r>
      <w:r w:rsidR="006003DA">
        <w:t xml:space="preserve">Flexible response strategy expects that operators </w:t>
      </w:r>
      <w:r w:rsidR="004561C7">
        <w:t xml:space="preserve">may </w:t>
      </w:r>
      <w:r w:rsidR="006003DA">
        <w:t xml:space="preserve">deviate from predetermined plans and adapt to </w:t>
      </w:r>
      <w:r w:rsidR="005A1C19">
        <w:t>the situation on the ground</w:t>
      </w:r>
      <w:r w:rsidR="00D1705C">
        <w:t xml:space="preserve"> </w:t>
      </w:r>
      <w:r w:rsidR="009B619A">
        <w:fldChar w:fldCharType="begin"/>
      </w:r>
      <w:r w:rsidR="00627756">
        <w:instrText xml:space="preserve"> ADDIN EN.CITE &lt;EndNote&gt;&lt;Cite&gt;&lt;Author&gt;Leveson&lt;/Author&gt;&lt;Year&gt;2009&lt;/Year&gt;&lt;RecNum&gt;1395&lt;/RecNum&gt;&lt;DisplayText&gt;(Leveson et al., 2009)&lt;/DisplayText&gt;&lt;record&gt;&lt;rec-number&gt;1395&lt;/rec-number&gt;&lt;foreign-keys&gt;&lt;key app="EN" db-id="0w05zrd59zdxwmexsxlxa0purxdzd2svavae" timestamp="1550928496"&gt;1395&lt;/key&gt;&lt;/foreign-keys&gt;&lt;ref-type name="Journal Article"&gt;17&lt;/ref-type&gt;&lt;contributors&gt;&lt;authors&gt;&lt;author&gt;Leveson, Nancy&lt;/author&gt;&lt;author&gt;Dulac, Nicolas&lt;/author&gt;&lt;author&gt;Marais, Karen&lt;/author&gt;&lt;author&gt;Carroll, John&lt;/author&gt;&lt;/authors&gt;&lt;/contributors&gt;&lt;titles&gt;&lt;title&gt;Moving beyond normal accidents and high reliability organizations: A systems approach to safety in complex systems&lt;/title&gt;&lt;secondary-title&gt;Organization Studies&lt;/secondary-title&gt;&lt;/titles&gt;&lt;periodical&gt;&lt;full-title&gt;Organization studies&lt;/full-title&gt;&lt;/periodical&gt;&lt;pages&gt;227-249&lt;/pages&gt;&lt;volume&gt;30&lt;/volume&gt;&lt;number&gt;2-3&lt;/number&gt;&lt;dates&gt;&lt;year&gt;2009&lt;/year&gt;&lt;/dates&gt;&lt;isbn&gt;0170-8406&lt;/isbn&gt;&lt;urls&gt;&lt;/urls&gt;&lt;/record&gt;&lt;/Cite&gt;&lt;/EndNote&gt;</w:instrText>
      </w:r>
      <w:r w:rsidR="009B619A">
        <w:fldChar w:fldCharType="separate"/>
      </w:r>
      <w:r w:rsidR="009B619A">
        <w:rPr>
          <w:noProof/>
        </w:rPr>
        <w:t>(</w:t>
      </w:r>
      <w:hyperlink w:anchor="_ENREF_56" w:tooltip="Leveson, 2009 #1395" w:history="1">
        <w:r w:rsidR="009B619A" w:rsidRPr="004C6DEC">
          <w:rPr>
            <w:rStyle w:val="Hyperlink"/>
            <w:noProof/>
          </w:rPr>
          <w:t>Leveson et al., 2009</w:t>
        </w:r>
      </w:hyperlink>
      <w:r w:rsidR="009B619A">
        <w:rPr>
          <w:noProof/>
        </w:rPr>
        <w:t>)</w:t>
      </w:r>
      <w:r w:rsidR="009B619A">
        <w:fldChar w:fldCharType="end"/>
      </w:r>
      <w:r w:rsidR="005A1C19">
        <w:t xml:space="preserve">. </w:t>
      </w:r>
      <w:r w:rsidR="004561C7" w:rsidRPr="00183F36">
        <w:t xml:space="preserve">Literature has shown that both responses might be effective. However, as of yet, how exposure to and learning from </w:t>
      </w:r>
      <w:r w:rsidR="004561C7" w:rsidRPr="00AA3879">
        <w:rPr>
          <w:noProof/>
        </w:rPr>
        <w:t>near</w:t>
      </w:r>
      <w:r w:rsidR="004561C7">
        <w:rPr>
          <w:noProof/>
        </w:rPr>
        <w:t>-</w:t>
      </w:r>
      <w:r w:rsidR="004561C7" w:rsidRPr="00AA3879">
        <w:rPr>
          <w:noProof/>
        </w:rPr>
        <w:t>miss</w:t>
      </w:r>
      <w:r w:rsidR="004561C7" w:rsidRPr="00183F36">
        <w:t xml:space="preserve"> events leads to organizational </w:t>
      </w:r>
      <w:r w:rsidR="004561C7" w:rsidRPr="00183F36">
        <w:lastRenderedPageBreak/>
        <w:t>behaviors in facing disruptions has not been studied</w:t>
      </w:r>
      <w:r w:rsidR="004561C7">
        <w:t xml:space="preserve"> </w:t>
      </w:r>
      <w:r w:rsidR="004561C7">
        <w:fldChar w:fldCharType="begin"/>
      </w:r>
      <w:r w:rsidR="004561C7">
        <w:instrText xml:space="preserve"> ADDIN EN.CITE &lt;EndNote&gt;&lt;Cite&gt;&lt;Author&gt;Drupsteen&lt;/Author&gt;&lt;Year&gt;2015&lt;/Year&gt;&lt;RecNum&gt;843&lt;/RecNum&gt;&lt;DisplayText&gt;(Drupsteen and Wybo, 2015)&lt;/DisplayText&gt;&lt;record&gt;&lt;rec-number&gt;843&lt;/rec-number&gt;&lt;foreign-keys&gt;&lt;key app="EN" db-id="0w05zrd59zdxwmexsxlxa0purxdzd2svavae" timestamp="0"&gt;843&lt;/key&gt;&lt;/foreign-keys&gt;&lt;ref-type name="Journal Article"&gt;17&lt;/ref-type&gt;&lt;contributors&gt;&lt;authors&gt;&lt;author&gt;Drupsteen, L.&lt;/author&gt;&lt;author&gt;Wybo, J. L.&lt;/author&gt;&lt;/authors&gt;&lt;/contributors&gt;&lt;titles&gt;&lt;title&gt;Assessing propensity to learn from safety-related events&lt;/title&gt;&lt;secondary-title&gt;Safety Science&lt;/secondary-title&gt;&lt;/titles&gt;&lt;periodical&gt;&lt;full-title&gt;Safety Science&lt;/full-title&gt;&lt;/periodical&gt;&lt;pages&gt;28-38&lt;/pages&gt;&lt;volume&gt;71&lt;/volume&gt;&lt;dates&gt;&lt;year&gt;2015&lt;/year&gt;&lt;pub-dates&gt;&lt;date&gt;Jan&lt;/date&gt;&lt;/pub-dates&gt;&lt;/dates&gt;&lt;isbn&gt;0925-7535&lt;/isbn&gt;&lt;accession-num&gt;WOS:000347754200004&lt;/accession-num&gt;&lt;urls&gt;&lt;related-urls&gt;&lt;url&gt;&amp;lt;Go to ISI&amp;gt;://WOS:000347754200004&lt;/url&gt;&lt;/related-urls&gt;&lt;/urls&gt;&lt;electronic-resource-num&gt;10.1016/j.ssci.2014.02.024&lt;/electronic-resource-num&gt;&lt;/record&gt;&lt;/Cite&gt;&lt;/EndNote&gt;</w:instrText>
      </w:r>
      <w:r w:rsidR="004561C7">
        <w:fldChar w:fldCharType="separate"/>
      </w:r>
      <w:r w:rsidR="004561C7">
        <w:rPr>
          <w:noProof/>
        </w:rPr>
        <w:t>(</w:t>
      </w:r>
      <w:hyperlink w:anchor="_ENREF_32" w:tooltip="Drupsteen, 2015 #843" w:history="1">
        <w:r w:rsidR="004561C7" w:rsidRPr="004C6DEC">
          <w:rPr>
            <w:rStyle w:val="Hyperlink"/>
            <w:noProof/>
          </w:rPr>
          <w:t>Drupsteen and Wybo, 2015</w:t>
        </w:r>
      </w:hyperlink>
      <w:r w:rsidR="004561C7">
        <w:rPr>
          <w:noProof/>
        </w:rPr>
        <w:t>)</w:t>
      </w:r>
      <w:r w:rsidR="004561C7">
        <w:fldChar w:fldCharType="end"/>
      </w:r>
      <w:r w:rsidR="004561C7">
        <w:t>.</w:t>
      </w:r>
    </w:p>
    <w:p w14:paraId="1D1A3D91" w14:textId="10C4C4D7" w:rsidR="00DD3963" w:rsidRPr="00183F36" w:rsidRDefault="00705571" w:rsidP="00DD3963">
      <w:pPr>
        <w:widowControl w:val="0"/>
        <w:spacing w:line="480" w:lineRule="auto"/>
        <w:ind w:firstLine="720"/>
      </w:pPr>
      <w:r>
        <w:t xml:space="preserve">We apply </w:t>
      </w:r>
      <w:r w:rsidRPr="00183F36">
        <w:t xml:space="preserve">organizational learning theory as related to single and </w:t>
      </w:r>
      <w:r>
        <w:t>double-loop</w:t>
      </w:r>
      <w:r w:rsidRPr="00183F36">
        <w:t xml:space="preserve"> learning</w:t>
      </w:r>
      <w:r w:rsidRPr="006D1A7C">
        <w:t xml:space="preserve"> </w:t>
      </w:r>
      <w:r w:rsidR="000B4186">
        <w:fldChar w:fldCharType="begin"/>
      </w:r>
      <w:r w:rsidR="00627756">
        <w:instrText xml:space="preserve"> ADDIN EN.CITE &lt;EndNote&gt;&lt;Cite&gt;&lt;Author&gt;Argyris&lt;/Author&gt;&lt;Year&gt;1976&lt;/Year&gt;&lt;RecNum&gt;823&lt;/RecNum&gt;&lt;DisplayText&gt;(Argyris, 1976)&lt;/DisplayText&gt;&lt;record&gt;&lt;rec-number&gt;823&lt;/rec-number&gt;&lt;foreign-keys&gt;&lt;key app="EN" db-id="0w05zrd59zdxwmexsxlxa0purxdzd2svavae" timestamp="0"&gt;823&lt;/key&gt;&lt;/foreign-keys&gt;&lt;ref-type name="Journal Article"&gt;17&lt;/ref-type&gt;&lt;contributors&gt;&lt;authors&gt;&lt;author&gt;Argyris, Chris&lt;/author&gt;&lt;/authors&gt;&lt;/contributors&gt;&lt;titles&gt;&lt;title&gt;Single-loop and double-loop models in research on decision making&lt;/title&gt;&lt;secondary-title&gt;Administrative Science Quarterly&lt;/secondary-title&gt;&lt;/titles&gt;&lt;pages&gt;363-375&lt;/pages&gt;&lt;volume&gt;21&lt;/volume&gt;&lt;number&gt;3&lt;/number&gt;&lt;dates&gt;&lt;year&gt;1976&lt;/year&gt;&lt;pub-dates&gt;&lt;date&gt;1976/09&lt;/date&gt;&lt;/pub-dates&gt;&lt;/dates&gt;&lt;publisher&gt;JSTOR&lt;/publisher&gt;&lt;isbn&gt;0001-8392&lt;/isbn&gt;&lt;urls&gt;&lt;/urls&gt;&lt;electronic-resource-num&gt;10.2307/2391848&lt;/electronic-resource-num&gt;&lt;/record&gt;&lt;/Cite&gt;&lt;/EndNote&gt;</w:instrText>
      </w:r>
      <w:r w:rsidR="000B4186">
        <w:fldChar w:fldCharType="separate"/>
      </w:r>
      <w:r w:rsidR="000B4186">
        <w:rPr>
          <w:noProof/>
        </w:rPr>
        <w:t>(</w:t>
      </w:r>
      <w:hyperlink w:anchor="_ENREF_2" w:tooltip="Argyris, 1976 #823" w:history="1">
        <w:r w:rsidR="000B4186" w:rsidRPr="004C6DEC">
          <w:rPr>
            <w:rStyle w:val="Hyperlink"/>
            <w:noProof/>
          </w:rPr>
          <w:t>Argyris, 1976</w:t>
        </w:r>
      </w:hyperlink>
      <w:r w:rsidR="000B4186">
        <w:rPr>
          <w:noProof/>
        </w:rPr>
        <w:t>)</w:t>
      </w:r>
      <w:r w:rsidR="000B4186">
        <w:fldChar w:fldCharType="end"/>
      </w:r>
      <w:r w:rsidR="002B4FD1" w:rsidRPr="002B4FD1">
        <w:t xml:space="preserve"> </w:t>
      </w:r>
      <w:r w:rsidR="003E1ABB">
        <w:t xml:space="preserve">to </w:t>
      </w:r>
      <w:r w:rsidR="00D938C7">
        <w:t>explain how near-misses result in either flexible or procedural response strategies</w:t>
      </w:r>
      <w:r w:rsidRPr="00183F36">
        <w:t>.</w:t>
      </w:r>
      <w:r w:rsidR="00D938C7">
        <w:t xml:space="preserve"> </w:t>
      </w:r>
      <w:bookmarkEnd w:id="5"/>
      <w:bookmarkEnd w:id="6"/>
      <w:bookmarkEnd w:id="7"/>
      <w:r w:rsidR="00D938C7">
        <w:t>Single-loop learning</w:t>
      </w:r>
      <w:r w:rsidR="00D938C7" w:rsidRPr="00183F36">
        <w:t xml:space="preserve"> focuses on correcting errors using existing behaviors and norms </w:t>
      </w:r>
      <w:r w:rsidR="000B4186">
        <w:fldChar w:fldCharType="begin"/>
      </w:r>
      <w:r w:rsidR="000B4186">
        <w:instrText xml:space="preserve"> ADDIN EN.CITE &lt;EndNote&gt;&lt;Cite&gt;&lt;Author&gt;Jeffs&lt;/Author&gt;&lt;Year&gt;2012&lt;/Year&gt;&lt;RecNum&gt;1090&lt;/RecNum&gt;&lt;DisplayText&gt;(Jeffs et al., 2012)&lt;/DisplayText&gt;&lt;record&gt;&lt;rec-number&gt;1090&lt;/rec-number&gt;&lt;foreign-keys&gt;&lt;key app="EN" db-id="0w05zrd59zdxwmexsxlxa0purxdzd2svavae" timestamp="0"&gt;1090&lt;/key&gt;&lt;/foreign-keys&gt;&lt;ref-type name="Journal Article"&gt;17&lt;/ref-type&gt;&lt;contributors&gt;&lt;authors&gt;&lt;author&gt;Jeffs, L.&lt;/author&gt;&lt;author&gt;Berta, W.&lt;/author&gt;&lt;author&gt;Lingard, L.&lt;/author&gt;&lt;author&gt;Baker, G. R.&lt;/author&gt;&lt;/authors&gt;&lt;/contributors&gt;&lt;titles&gt;&lt;title&gt;Learning from near misses: From quick fixes to closing off the Swiss-cheese holes&lt;/title&gt;&lt;secondary-title&gt;BMJ Quality &amp;amp; Safety&lt;/secondary-title&gt;&lt;/titles&gt;&lt;pages&gt;287-294&lt;/pages&gt;&lt;volume&gt;21&lt;/volume&gt;&lt;number&gt;4&lt;/number&gt;&lt;dates&gt;&lt;year&gt;2012&lt;/year&gt;&lt;pub-dates&gt;&lt;date&gt;2012/02/22&lt;/date&gt;&lt;/pub-dates&gt;&lt;/dates&gt;&lt;publisher&gt;BMJ&lt;/publisher&gt;&lt;isbn&gt;2044-5415&lt;/isbn&gt;&lt;urls&gt;&lt;/urls&gt;&lt;electronic-resource-num&gt;10.1136/bmjqs-2011-000256&lt;/electronic-resource-num&gt;&lt;/record&gt;&lt;/Cite&gt;&lt;/EndNote&gt;</w:instrText>
      </w:r>
      <w:r w:rsidR="000B4186">
        <w:fldChar w:fldCharType="separate"/>
      </w:r>
      <w:r w:rsidR="000B4186">
        <w:rPr>
          <w:noProof/>
        </w:rPr>
        <w:t>(</w:t>
      </w:r>
      <w:hyperlink w:anchor="_ENREF_48" w:tooltip="Jeffs, 2012 #1090" w:history="1">
        <w:r w:rsidR="000B4186" w:rsidRPr="004C6DEC">
          <w:rPr>
            <w:rStyle w:val="Hyperlink"/>
            <w:noProof/>
          </w:rPr>
          <w:t>Jeffs et al., 2012</w:t>
        </w:r>
      </w:hyperlink>
      <w:r w:rsidR="000B4186">
        <w:rPr>
          <w:noProof/>
        </w:rPr>
        <w:t>)</w:t>
      </w:r>
      <w:r w:rsidR="000B4186">
        <w:fldChar w:fldCharType="end"/>
      </w:r>
      <w:r w:rsidR="002B4FD1" w:rsidRPr="001A54B5">
        <w:rPr>
          <w:noProof/>
        </w:rPr>
        <w:t>.</w:t>
      </w:r>
      <w:r w:rsidR="00AA3879" w:rsidRPr="001A54B5">
        <w:rPr>
          <w:noProof/>
        </w:rPr>
        <w:t xml:space="preserve"> </w:t>
      </w:r>
      <w:r w:rsidR="00D938C7" w:rsidRPr="001A54B5">
        <w:rPr>
          <w:noProof/>
        </w:rPr>
        <w:t>In contrast</w:t>
      </w:r>
      <w:r w:rsidR="00D938C7">
        <w:t>, double-loop</w:t>
      </w:r>
      <w:r w:rsidR="00D938C7" w:rsidRPr="00183F36">
        <w:t xml:space="preserve"> learning aims to modify and adapt firm-wide behaviors</w:t>
      </w:r>
      <w:r w:rsidR="00D938C7">
        <w:t xml:space="preserve"> </w:t>
      </w:r>
      <w:r w:rsidR="00D938C7" w:rsidRPr="001A54B5">
        <w:rPr>
          <w:noProof/>
        </w:rPr>
        <w:t>to effectively treat the underlying cause</w:t>
      </w:r>
      <w:r w:rsidR="00D938C7">
        <w:t xml:space="preserve">. We expect that firms may use </w:t>
      </w:r>
      <w:r w:rsidR="00AA3879">
        <w:t xml:space="preserve">a </w:t>
      </w:r>
      <w:r w:rsidR="00D938C7" w:rsidRPr="00AA3879">
        <w:rPr>
          <w:noProof/>
        </w:rPr>
        <w:t>flexible</w:t>
      </w:r>
      <w:r w:rsidR="00D938C7">
        <w:t xml:space="preserve"> response strategy when the number of near-misses </w:t>
      </w:r>
      <w:r w:rsidR="00D938C7" w:rsidRPr="001A54B5">
        <w:rPr>
          <w:noProof/>
        </w:rPr>
        <w:t>are</w:t>
      </w:r>
      <w:r w:rsidR="00D938C7">
        <w:t xml:space="preserve"> low. As the number of near-misses increase, the number of exceptions increases and the managers may look for underlying reasons as to why these near-misses may happen. Consequently, we expect a shift in strategy to procedural response strategy as the number of near-misses increase.</w:t>
      </w:r>
    </w:p>
    <w:p w14:paraId="7838298B" w14:textId="0360C4B1" w:rsidR="00713205" w:rsidRDefault="00792D70" w:rsidP="009177A3">
      <w:pPr>
        <w:spacing w:line="480" w:lineRule="auto"/>
        <w:ind w:firstLine="720"/>
        <w:rPr>
          <w:bCs/>
        </w:rPr>
      </w:pPr>
      <w:r>
        <w:t>O</w:t>
      </w:r>
      <w:r w:rsidR="009E22B9" w:rsidRPr="00183F36">
        <w:t xml:space="preserve">rganizational learning </w:t>
      </w:r>
      <w:r w:rsidR="008048B6" w:rsidRPr="00183F36">
        <w:t>does not take</w:t>
      </w:r>
      <w:r w:rsidR="009E22B9" w:rsidRPr="00183F36">
        <w:t xml:space="preserve"> place in </w:t>
      </w:r>
      <w:r w:rsidR="009E22B9" w:rsidRPr="00AA3879">
        <w:rPr>
          <w:noProof/>
        </w:rPr>
        <w:t>isolation</w:t>
      </w:r>
      <w:r w:rsidR="009E22B9" w:rsidRPr="00183F36">
        <w:t xml:space="preserve"> but </w:t>
      </w:r>
      <w:r w:rsidR="009E22B9" w:rsidRPr="001A54B5">
        <w:rPr>
          <w:noProof/>
        </w:rPr>
        <w:t xml:space="preserve">is </w:t>
      </w:r>
      <w:r w:rsidR="004631CA" w:rsidRPr="001A54B5">
        <w:rPr>
          <w:noProof/>
        </w:rPr>
        <w:t>heavily influenced</w:t>
      </w:r>
      <w:r w:rsidR="004631CA" w:rsidRPr="00183F36">
        <w:t xml:space="preserve"> </w:t>
      </w:r>
      <w:r w:rsidR="00A523C8" w:rsidRPr="00183F36">
        <w:t xml:space="preserve">by </w:t>
      </w:r>
      <w:r w:rsidR="009E22B9" w:rsidRPr="00183F36">
        <w:t>institutional context</w:t>
      </w:r>
      <w:r w:rsidR="004631CA" w:rsidRPr="00183F36">
        <w:t>s</w:t>
      </w:r>
      <w:r w:rsidR="00F72E08" w:rsidRPr="00183F36">
        <w:t>.</w:t>
      </w:r>
      <w:r w:rsidR="00F83917">
        <w:t xml:space="preserve"> </w:t>
      </w:r>
      <w:r w:rsidR="00F72E08" w:rsidRPr="00183F36">
        <w:t>We</w:t>
      </w:r>
      <w:r w:rsidR="003D14E5" w:rsidRPr="00183F36">
        <w:t xml:space="preserve"> investigate </w:t>
      </w:r>
      <w:r w:rsidR="008A3486" w:rsidRPr="00183F36">
        <w:t xml:space="preserve">the role played by </w:t>
      </w:r>
      <w:r w:rsidR="003D14E5" w:rsidRPr="00183F36">
        <w:t xml:space="preserve">institutional pressures </w:t>
      </w:r>
      <w:r w:rsidR="00B07E92">
        <w:t>o</w:t>
      </w:r>
      <w:r w:rsidR="008A3486" w:rsidRPr="00183F36">
        <w:t xml:space="preserve">n </w:t>
      </w:r>
      <w:r w:rsidR="003D14E5" w:rsidRPr="00183F36">
        <w:t xml:space="preserve">the </w:t>
      </w:r>
      <w:r w:rsidR="00F72E08" w:rsidRPr="00183F36">
        <w:t xml:space="preserve">effects </w:t>
      </w:r>
      <w:r w:rsidR="003D14E5" w:rsidRPr="00183F36">
        <w:t xml:space="preserve">of </w:t>
      </w:r>
      <w:r w:rsidR="00F72E08" w:rsidRPr="00183F36">
        <w:t xml:space="preserve">exposure to </w:t>
      </w:r>
      <w:r w:rsidR="00412442">
        <w:t>near-misses</w:t>
      </w:r>
      <w:r w:rsidR="005900ED">
        <w:t xml:space="preserve"> </w:t>
      </w:r>
      <w:r w:rsidR="000B4186">
        <w:fldChar w:fldCharType="begin"/>
      </w:r>
      <w:r w:rsidR="000B4186">
        <w:instrText xml:space="preserve"> ADDIN EN.CITE &lt;EndNote&gt;&lt;Cite&gt;&lt;Author&gt;DiMaggio&lt;/Author&gt;&lt;Year&gt;1983&lt;/Year&gt;&lt;RecNum&gt;1014&lt;/RecNum&gt;&lt;DisplayText&gt;(DiMaggio and Powell, 1983)&lt;/DisplayText&gt;&lt;record&gt;&lt;rec-number&gt;1014&lt;/rec-number&gt;&lt;foreign-keys&gt;&lt;key app="EN" db-id="0w05zrd59zdxwmexsxlxa0purxdzd2svavae" timestamp="0"&gt;1014&lt;/key&gt;&lt;/foreign-keys&gt;&lt;ref-type name="Journal Article"&gt;17&lt;/ref-type&gt;&lt;contributors&gt;&lt;authors&gt;&lt;author&gt;DiMaggio, Paul J.&lt;/author&gt;&lt;author&gt;Powell, Walter W.&lt;/author&gt;&lt;/authors&gt;&lt;/contributors&gt;&lt;titles&gt;&lt;title&gt;The iron cage revisited: Institutional Isomorphism and collective rationality in organizational fields&lt;/title&gt;&lt;secondary-title&gt;American Sociological Review&lt;/secondary-title&gt;&lt;/titles&gt;&lt;pages&gt;147&lt;/pages&gt;&lt;volume&gt;48&lt;/volume&gt;&lt;number&gt;2&lt;/number&gt;&lt;dates&gt;&lt;year&gt;1983&lt;/year&gt;&lt;pub-dates&gt;&lt;date&gt;1983/04&lt;/date&gt;&lt;/pub-dates&gt;&lt;/dates&gt;&lt;publisher&gt;SAGE Publications&lt;/publisher&gt;&lt;isbn&gt;0003-1224&lt;/isbn&gt;&lt;urls&gt;&lt;/urls&gt;&lt;electronic-resource-num&gt;10.2307/2095101&lt;/electronic-resource-num&gt;&lt;/record&gt;&lt;/Cite&gt;&lt;/EndNote&gt;</w:instrText>
      </w:r>
      <w:r w:rsidR="000B4186">
        <w:fldChar w:fldCharType="separate"/>
      </w:r>
      <w:r w:rsidR="000B4186">
        <w:rPr>
          <w:noProof/>
        </w:rPr>
        <w:t>(</w:t>
      </w:r>
      <w:hyperlink w:anchor="_ENREF_31" w:tooltip="DiMaggio, 1983 #1014" w:history="1">
        <w:r w:rsidR="000B4186" w:rsidRPr="004C6DEC">
          <w:rPr>
            <w:rStyle w:val="Hyperlink"/>
            <w:noProof/>
          </w:rPr>
          <w:t>DiMaggio and Powell, 1983</w:t>
        </w:r>
      </w:hyperlink>
      <w:r w:rsidR="000B4186">
        <w:rPr>
          <w:noProof/>
        </w:rPr>
        <w:t>)</w:t>
      </w:r>
      <w:r w:rsidR="000B4186">
        <w:fldChar w:fldCharType="end"/>
      </w:r>
      <w:r w:rsidR="0058524B" w:rsidRPr="00183F36">
        <w:t xml:space="preserve">. </w:t>
      </w:r>
      <w:bookmarkEnd w:id="1"/>
      <w:r w:rsidR="00713205">
        <w:rPr>
          <w:bCs/>
        </w:rPr>
        <w:t xml:space="preserve">We </w:t>
      </w:r>
      <w:r w:rsidR="00F47769">
        <w:rPr>
          <w:bCs/>
        </w:rPr>
        <w:t>combine the</w:t>
      </w:r>
      <w:r w:rsidR="00713205">
        <w:rPr>
          <w:bCs/>
        </w:rPr>
        <w:t xml:space="preserve"> th</w:t>
      </w:r>
      <w:r w:rsidR="00F47769">
        <w:rPr>
          <w:bCs/>
        </w:rPr>
        <w:t>eoretical arguments noted above</w:t>
      </w:r>
      <w:r w:rsidR="00713205">
        <w:rPr>
          <w:bCs/>
        </w:rPr>
        <w:t xml:space="preserve"> with empirical r</w:t>
      </w:r>
      <w:r w:rsidR="00B07E92">
        <w:rPr>
          <w:bCs/>
        </w:rPr>
        <w:t>esults using statistical analyse</w:t>
      </w:r>
      <w:r w:rsidR="00713205">
        <w:rPr>
          <w:bCs/>
        </w:rPr>
        <w:t>s</w:t>
      </w:r>
      <w:r w:rsidR="00F83917">
        <w:rPr>
          <w:bCs/>
        </w:rPr>
        <w:t xml:space="preserve"> to offer empirical evidence on the research question</w:t>
      </w:r>
      <w:r w:rsidR="00713205">
        <w:rPr>
          <w:bCs/>
        </w:rPr>
        <w:t xml:space="preserve">. </w:t>
      </w:r>
      <w:r w:rsidR="005900ED">
        <w:rPr>
          <w:bCs/>
        </w:rPr>
        <w:t xml:space="preserve">By doing so, we </w:t>
      </w:r>
      <w:r w:rsidR="00713205">
        <w:rPr>
          <w:bCs/>
        </w:rPr>
        <w:t>assess</w:t>
      </w:r>
      <w:r w:rsidR="00D1657D">
        <w:rPr>
          <w:bCs/>
        </w:rPr>
        <w:t xml:space="preserve"> the general and nuanced effects of considering near-misses in managing</w:t>
      </w:r>
      <w:r w:rsidR="00465F24">
        <w:rPr>
          <w:bCs/>
        </w:rPr>
        <w:t xml:space="preserve"> supply chain </w:t>
      </w:r>
      <w:r w:rsidR="00D1657D">
        <w:rPr>
          <w:bCs/>
        </w:rPr>
        <w:t xml:space="preserve">disruptions and thereby </w:t>
      </w:r>
      <w:r w:rsidR="00713205">
        <w:rPr>
          <w:bCs/>
        </w:rPr>
        <w:t>determine its effectiveness as a</w:t>
      </w:r>
      <w:r w:rsidR="00D1657D">
        <w:rPr>
          <w:bCs/>
        </w:rPr>
        <w:t xml:space="preserve"> mitigation strategy </w:t>
      </w:r>
      <w:r w:rsidR="00713205">
        <w:rPr>
          <w:bCs/>
        </w:rPr>
        <w:t>in enhancing</w:t>
      </w:r>
      <w:r w:rsidR="00D1657D">
        <w:rPr>
          <w:bCs/>
        </w:rPr>
        <w:t xml:space="preserve"> supply chain resilience</w:t>
      </w:r>
      <w:r w:rsidR="0011403A">
        <w:rPr>
          <w:bCs/>
        </w:rPr>
        <w:t xml:space="preserve"> </w:t>
      </w:r>
      <w:r w:rsidR="000B4186">
        <w:rPr>
          <w:bCs/>
        </w:rPr>
        <w:fldChar w:fldCharType="begin">
          <w:fldData xml:space="preserve">PEVuZE5vdGU+PENpdGU+PEF1dGhvcj5Ub21saW48L0F1dGhvcj48WWVhcj4yMDA2PC9ZZWFyPjxS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</w:fldData>
        </w:fldChar>
      </w:r>
      <w:r w:rsidR="000B4186">
        <w:rPr>
          <w:bCs/>
        </w:rPr>
        <w:instrText xml:space="preserve"> ADDIN EN.CITE </w:instrText>
      </w:r>
      <w:r w:rsidR="000B4186">
        <w:rPr>
          <w:bCs/>
        </w:rPr>
        <w:fldChar w:fldCharType="begin">
          <w:fldData xml:space="preserve">PEVuZE5vdGU+PENpdGU+PEF1dGhvcj5Ub21saW48L0F1dGhvcj48WWVhcj4yMDA2PC9ZZWFyPjxS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</w:fldData>
        </w:fldChar>
      </w:r>
      <w:r w:rsidR="000B4186">
        <w:rPr>
          <w:bCs/>
        </w:rPr>
        <w:instrText xml:space="preserve"> ADDIN EN.CITE.DATA </w:instrText>
      </w:r>
      <w:r w:rsidR="000B4186">
        <w:rPr>
          <w:bCs/>
        </w:rPr>
      </w:r>
      <w:r w:rsidR="000B4186">
        <w:rPr>
          <w:bCs/>
        </w:rPr>
        <w:fldChar w:fldCharType="end"/>
      </w:r>
      <w:r w:rsidR="000B4186">
        <w:rPr>
          <w:bCs/>
        </w:rPr>
      </w:r>
      <w:r w:rsidR="000B4186">
        <w:rPr>
          <w:bCs/>
        </w:rPr>
        <w:fldChar w:fldCharType="separate"/>
      </w:r>
      <w:r w:rsidR="000B4186">
        <w:rPr>
          <w:bCs/>
          <w:noProof/>
        </w:rPr>
        <w:t>(</w:t>
      </w:r>
      <w:hyperlink w:anchor="_ENREF_15" w:tooltip="Bode, 2011 #946" w:history="1">
        <w:r w:rsidR="000B4186" w:rsidRPr="004C6DEC">
          <w:rPr>
            <w:rStyle w:val="Hyperlink"/>
            <w:bCs/>
            <w:noProof/>
          </w:rPr>
          <w:t>Bode et al., 2011</w:t>
        </w:r>
      </w:hyperlink>
      <w:r w:rsidR="000B4186">
        <w:rPr>
          <w:bCs/>
          <w:noProof/>
        </w:rPr>
        <w:t xml:space="preserve">; </w:t>
      </w:r>
      <w:hyperlink w:anchor="_ENREF_72" w:tooltip="Riley, 2014 #1373" w:history="1">
        <w:r w:rsidR="000B4186" w:rsidRPr="004C6DEC">
          <w:rPr>
            <w:rStyle w:val="Hyperlink"/>
            <w:bCs/>
            <w:noProof/>
          </w:rPr>
          <w:t>Riley et al., 2014</w:t>
        </w:r>
      </w:hyperlink>
      <w:r w:rsidR="000B4186">
        <w:rPr>
          <w:bCs/>
          <w:noProof/>
        </w:rPr>
        <w:t xml:space="preserve">; </w:t>
      </w:r>
      <w:hyperlink w:anchor="_ENREF_95" w:tooltip="Tomlin, 2006 #1295" w:history="1">
        <w:r w:rsidR="000B4186" w:rsidRPr="004C6DEC">
          <w:rPr>
            <w:rStyle w:val="Hyperlink"/>
            <w:bCs/>
            <w:noProof/>
          </w:rPr>
          <w:t>Tomlin, 2006</w:t>
        </w:r>
      </w:hyperlink>
      <w:r w:rsidR="000B4186">
        <w:rPr>
          <w:bCs/>
          <w:noProof/>
        </w:rPr>
        <w:t>)</w:t>
      </w:r>
      <w:r w:rsidR="000B4186">
        <w:rPr>
          <w:bCs/>
        </w:rPr>
        <w:fldChar w:fldCharType="end"/>
      </w:r>
      <w:r w:rsidR="002B4FD1">
        <w:rPr>
          <w:bCs/>
        </w:rPr>
        <w:t xml:space="preserve">. </w:t>
      </w:r>
      <w:r w:rsidR="00F83917">
        <w:rPr>
          <w:bCs/>
        </w:rPr>
        <w:t xml:space="preserve">The next section offers background information on near-misses </w:t>
      </w:r>
      <w:r w:rsidR="005900ED">
        <w:rPr>
          <w:bCs/>
        </w:rPr>
        <w:t xml:space="preserve">from </w:t>
      </w:r>
      <w:r w:rsidR="005900ED" w:rsidRPr="001A54B5">
        <w:rPr>
          <w:bCs/>
          <w:noProof/>
        </w:rPr>
        <w:t>a broad</w:t>
      </w:r>
      <w:r w:rsidR="005900ED">
        <w:rPr>
          <w:bCs/>
        </w:rPr>
        <w:t xml:space="preserve"> and focused perspective. </w:t>
      </w:r>
      <w:r w:rsidR="00F83917">
        <w:rPr>
          <w:bCs/>
        </w:rPr>
        <w:t xml:space="preserve"> </w:t>
      </w:r>
    </w:p>
    <w:p w14:paraId="55B60A2B" w14:textId="24B6F795" w:rsidR="00D25CFF" w:rsidRPr="0089596F" w:rsidRDefault="00D25CFF" w:rsidP="00F557CC">
      <w:pPr>
        <w:spacing w:line="480" w:lineRule="auto"/>
        <w:rPr>
          <w:b/>
          <w:szCs w:val="22"/>
        </w:rPr>
      </w:pPr>
      <w:r w:rsidRPr="0089596F">
        <w:rPr>
          <w:b/>
          <w:szCs w:val="22"/>
        </w:rPr>
        <w:t>Risk management theoretical lenses</w:t>
      </w:r>
      <w:r w:rsidR="00F557CC">
        <w:rPr>
          <w:b/>
          <w:szCs w:val="22"/>
        </w:rPr>
        <w:t xml:space="preserve"> – A review</w:t>
      </w:r>
    </w:p>
    <w:p w14:paraId="54AD7CEC" w14:textId="4A878E68" w:rsidR="00B20A6B" w:rsidRDefault="00D25CFF" w:rsidP="00D25CFF">
      <w:pPr>
        <w:spacing w:line="480" w:lineRule="auto"/>
        <w:ind w:firstLine="720"/>
        <w:rPr>
          <w:szCs w:val="22"/>
        </w:rPr>
      </w:pPr>
      <w:r>
        <w:rPr>
          <w:szCs w:val="22"/>
        </w:rPr>
        <w:t xml:space="preserve">Organizational </w:t>
      </w:r>
      <w:r w:rsidR="00B20A6B">
        <w:rPr>
          <w:szCs w:val="22"/>
        </w:rPr>
        <w:t>scholars and engineering researchers have examined risk management and proposed different theoretical lenses. Whereas we cannot summarize all the theoretical lenses, we provide background on three main theoretical lenses that have been employed by management scholars</w:t>
      </w:r>
      <w:r w:rsidR="00A33141">
        <w:rPr>
          <w:szCs w:val="22"/>
        </w:rPr>
        <w:t xml:space="preserve"> –</w:t>
      </w:r>
      <w:r w:rsidR="002D2546">
        <w:rPr>
          <w:szCs w:val="22"/>
        </w:rPr>
        <w:t xml:space="preserve"> </w:t>
      </w:r>
      <w:r w:rsidR="00AA3879">
        <w:rPr>
          <w:szCs w:val="22"/>
        </w:rPr>
        <w:t>NAT</w:t>
      </w:r>
      <w:r w:rsidR="002D2546">
        <w:rPr>
          <w:szCs w:val="22"/>
        </w:rPr>
        <w:t xml:space="preserve">, </w:t>
      </w:r>
      <w:r w:rsidR="00A33141">
        <w:rPr>
          <w:szCs w:val="22"/>
        </w:rPr>
        <w:t>Swiss cheese model</w:t>
      </w:r>
      <w:r w:rsidR="001A54B5">
        <w:rPr>
          <w:szCs w:val="22"/>
        </w:rPr>
        <w:t>,</w:t>
      </w:r>
      <w:r w:rsidR="002D2546">
        <w:rPr>
          <w:szCs w:val="22"/>
        </w:rPr>
        <w:t xml:space="preserve"> </w:t>
      </w:r>
      <w:r w:rsidR="002D2546" w:rsidRPr="001A54B5">
        <w:rPr>
          <w:noProof/>
          <w:szCs w:val="22"/>
        </w:rPr>
        <w:t>and</w:t>
      </w:r>
      <w:r w:rsidR="002D2546">
        <w:rPr>
          <w:szCs w:val="22"/>
        </w:rPr>
        <w:t xml:space="preserve"> </w:t>
      </w:r>
      <w:r w:rsidR="00AA3879">
        <w:rPr>
          <w:noProof/>
          <w:szCs w:val="22"/>
        </w:rPr>
        <w:t>HROs</w:t>
      </w:r>
      <w:r w:rsidR="00B20A6B">
        <w:rPr>
          <w:szCs w:val="22"/>
        </w:rPr>
        <w:t xml:space="preserve">. </w:t>
      </w:r>
    </w:p>
    <w:p w14:paraId="276189CF" w14:textId="0C9C4F88" w:rsidR="00B20A6B" w:rsidRDefault="00AA3879" w:rsidP="00D25CFF">
      <w:pPr>
        <w:spacing w:line="480" w:lineRule="auto"/>
        <w:ind w:firstLine="720"/>
        <w:rPr>
          <w:szCs w:val="22"/>
        </w:rPr>
      </w:pPr>
      <w:r>
        <w:rPr>
          <w:szCs w:val="22"/>
        </w:rPr>
        <w:lastRenderedPageBreak/>
        <w:t>NAT</w:t>
      </w:r>
      <w:r w:rsidR="00B20A6B">
        <w:rPr>
          <w:szCs w:val="22"/>
        </w:rPr>
        <w:t xml:space="preserve">, proposed by </w:t>
      </w:r>
      <w:hyperlink w:anchor="_ENREF_65" w:tooltip="Perrow, 1994 #1380" w:history="1">
        <w:r w:rsidR="009B619A" w:rsidRPr="004C6DEC">
          <w:rPr>
            <w:rStyle w:val="Hyperlink"/>
          </w:rPr>
          <w:fldChar w:fldCharType="begin"/>
        </w:r>
        <w:r w:rsidR="000B4186" w:rsidRPr="004C6DEC">
          <w:rPr>
            <w:rStyle w:val="Hyperlink"/>
          </w:rPr>
          <w:instrText xml:space="preserve"> ADDIN EN.CITE &lt;EndNote&gt;&lt;Cite AuthorYear="1"&gt;&lt;Author&gt;Perrow&lt;/Author&gt;&lt;Year&gt;1994&lt;/Year&gt;&lt;RecNum&gt;1380&lt;/RecNum&gt;&lt;DisplayText&gt;Perrow (1994)&lt;/DisplayText&gt;&lt;record&gt;&lt;rec-number&gt;1380&lt;/rec-number&gt;&lt;foreign-keys&gt;&lt;key app="EN" db-id="0w05zrd59zdxwmexsxlxa0purxdzd2svavae" timestamp="1550889970"&gt;1380&lt;/key&gt;&lt;/foreign-keys&gt;&lt;ref-type name="Journal Article"&gt;17&lt;/ref-type&gt;&lt;contributors&gt;&lt;authors&gt;&lt;author&gt;Perrow, Charles&lt;/author&gt;&lt;/authors&gt;&lt;/contributors&gt;&lt;titles&gt;&lt;title&gt;The limits of safety: the enhancement of a theory of accidents&lt;/title&gt;&lt;secondary-title&gt;Journal of contingencies and crisis management&lt;/secondary-title&gt;&lt;/titles&gt;&lt;periodical&gt;&lt;full-title&gt;Journal of contingencies and crisis management&lt;/full-title&gt;&lt;/periodical&gt;&lt;pages&gt;212-220&lt;/pages&gt;&lt;volume&gt;2&lt;/volume&gt;&lt;number&gt;4&lt;/number&gt;&lt;dates&gt;&lt;year&gt;1994&lt;/year&gt;&lt;/dates&gt;&lt;isbn&gt;0966-0879&lt;/isbn&gt;&lt;urls&gt;&lt;/urls&gt;&lt;/record&gt;&lt;/Cite&gt;&lt;/EndNote&gt;</w:instrText>
        </w:r>
        <w:r w:rsidR="009B619A" w:rsidRPr="004C6DEC">
          <w:rPr>
            <w:rStyle w:val="Hyperlink"/>
          </w:rPr>
          <w:fldChar w:fldCharType="separate"/>
        </w:r>
        <w:r w:rsidR="000B4186" w:rsidRPr="004C6DEC">
          <w:rPr>
            <w:rStyle w:val="Hyperlink"/>
          </w:rPr>
          <w:t>Perrow (1994)</w:t>
        </w:r>
        <w:r w:rsidR="009B619A" w:rsidRPr="004C6DEC">
          <w:rPr>
            <w:rStyle w:val="Hyperlink"/>
          </w:rPr>
          <w:fldChar w:fldCharType="end"/>
        </w:r>
      </w:hyperlink>
      <w:r w:rsidR="00E37BD6">
        <w:rPr>
          <w:szCs w:val="22"/>
        </w:rPr>
        <w:t xml:space="preserve"> </w:t>
      </w:r>
      <w:r w:rsidR="00B20A6B" w:rsidRPr="00914104">
        <w:rPr>
          <w:szCs w:val="22"/>
        </w:rPr>
        <w:t xml:space="preserve">and </w:t>
      </w:r>
      <w:hyperlink w:anchor="_ENREF_75" w:tooltip="Sagan, 1995 #1396" w:history="1">
        <w:r w:rsidR="009B619A" w:rsidRPr="004C6DEC">
          <w:rPr>
            <w:rStyle w:val="Hyperlink"/>
          </w:rPr>
          <w:fldChar w:fldCharType="begin"/>
        </w:r>
        <w:r w:rsidR="000B4186" w:rsidRPr="004C6DEC">
          <w:rPr>
            <w:rStyle w:val="Hyperlink"/>
          </w:rPr>
          <w:instrText xml:space="preserve"> ADDIN EN.CITE &lt;EndNote&gt;&lt;Cite AuthorYear="1"&gt;&lt;Author&gt;Sagan&lt;/Author&gt;&lt;Year&gt;1995&lt;/Year&gt;&lt;RecNum&gt;1396&lt;/RecNum&gt;&lt;DisplayText&gt;Sagan (1995)&lt;/DisplayText&gt;&lt;record&gt;&lt;rec-number&gt;1396&lt;/rec-number&gt;&lt;foreign-keys&gt;&lt;key app="EN" db-id="0w05zrd59zdxwmexsxlxa0purxdzd2svavae" timestamp="1550928553"&gt;1396&lt;/key&gt;&lt;/foreign-keys&gt;&lt;ref-type name="Book"&gt;6&lt;/ref-type&gt;&lt;contributors&gt;&lt;authors&gt;&lt;author&gt;Sagan, Scott Douglas&lt;/author&gt;&lt;/authors&gt;&lt;/contributors&gt;&lt;titles&gt;&lt;title&gt;The limits of safety: Organizations, accidents, and nuclear weapons&lt;/title&gt;&lt;/titles&gt;&lt;dates&gt;&lt;year&gt;1995&lt;/year&gt;&lt;/dates&gt;&lt;publisher&gt;Princeton University Press&lt;/publisher&gt;&lt;isbn&gt;0691021015&lt;/isbn&gt;&lt;urls&gt;&lt;/urls&gt;&lt;/record&gt;&lt;/Cite&gt;&lt;/EndNote&gt;</w:instrText>
        </w:r>
        <w:r w:rsidR="009B619A" w:rsidRPr="004C6DEC">
          <w:rPr>
            <w:rStyle w:val="Hyperlink"/>
          </w:rPr>
          <w:fldChar w:fldCharType="separate"/>
        </w:r>
        <w:r w:rsidR="000B4186" w:rsidRPr="004C6DEC">
          <w:rPr>
            <w:rStyle w:val="Hyperlink"/>
          </w:rPr>
          <w:t>Sagan (1995)</w:t>
        </w:r>
        <w:r w:rsidR="009B619A" w:rsidRPr="004C6DEC">
          <w:rPr>
            <w:rStyle w:val="Hyperlink"/>
          </w:rPr>
          <w:fldChar w:fldCharType="end"/>
        </w:r>
      </w:hyperlink>
      <w:r w:rsidR="00B20A6B" w:rsidRPr="00914104">
        <w:rPr>
          <w:szCs w:val="22"/>
        </w:rPr>
        <w:t>,</w:t>
      </w:r>
      <w:r w:rsidR="00B20A6B">
        <w:rPr>
          <w:szCs w:val="22"/>
        </w:rPr>
        <w:t xml:space="preserve"> postulates that accidents should </w:t>
      </w:r>
      <w:r w:rsidR="00B20A6B" w:rsidRPr="001A54B5">
        <w:rPr>
          <w:noProof/>
          <w:szCs w:val="22"/>
        </w:rPr>
        <w:t>be expected</w:t>
      </w:r>
      <w:r w:rsidR="004561C7">
        <w:rPr>
          <w:szCs w:val="22"/>
        </w:rPr>
        <w:t xml:space="preserve"> in any system. Moreover, </w:t>
      </w:r>
      <w:r w:rsidR="00B20A6B">
        <w:rPr>
          <w:szCs w:val="22"/>
        </w:rPr>
        <w:t xml:space="preserve">the rate and the magnitude of accidents are dependent on </w:t>
      </w:r>
      <w:r w:rsidR="0007607E">
        <w:rPr>
          <w:szCs w:val="22"/>
        </w:rPr>
        <w:t>the degree of coupling between the</w:t>
      </w:r>
      <w:r w:rsidR="00B20A6B">
        <w:rPr>
          <w:szCs w:val="22"/>
        </w:rPr>
        <w:t xml:space="preserve"> system’s components</w:t>
      </w:r>
      <w:r w:rsidR="0074781C">
        <w:rPr>
          <w:szCs w:val="22"/>
        </w:rPr>
        <w:t xml:space="preserve"> and the complexity of the system</w:t>
      </w:r>
      <w:r w:rsidR="00B20A6B">
        <w:rPr>
          <w:szCs w:val="22"/>
        </w:rPr>
        <w:t xml:space="preserve">. </w:t>
      </w:r>
      <w:r w:rsidR="0074781C">
        <w:rPr>
          <w:szCs w:val="22"/>
        </w:rPr>
        <w:t xml:space="preserve">Tight coupling between components contributes to </w:t>
      </w:r>
      <w:r w:rsidR="00F127A2" w:rsidRPr="00F127A2">
        <w:rPr>
          <w:noProof/>
          <w:szCs w:val="22"/>
        </w:rPr>
        <w:t xml:space="preserve">the </w:t>
      </w:r>
      <w:r w:rsidR="0074781C" w:rsidRPr="00F127A2">
        <w:rPr>
          <w:noProof/>
          <w:szCs w:val="22"/>
        </w:rPr>
        <w:t>propagation</w:t>
      </w:r>
      <w:r w:rsidR="0074781C">
        <w:rPr>
          <w:szCs w:val="22"/>
        </w:rPr>
        <w:t xml:space="preserve"> of failures. In a complex system with a large number of potential interactions, the potential for unanticipated failures increases dramatically </w:t>
      </w:r>
      <w:r w:rsidR="009B619A">
        <w:rPr>
          <w:szCs w:val="22"/>
        </w:rPr>
        <w:fldChar w:fldCharType="begin"/>
      </w:r>
      <w:r w:rsidR="0052048A">
        <w:rPr>
          <w:szCs w:val="22"/>
        </w:rPr>
        <w:instrText xml:space="preserve"> ADDIN EN.CITE &lt;EndNote&gt;&lt;Cite&gt;&lt;Author&gt;Sagan&lt;/Author&gt;&lt;Year&gt;1995&lt;/Year&gt;&lt;RecNum&gt;1396&lt;/RecNum&gt;&lt;DisplayText&gt;(Sagan, 1995; Wolf, 2001)&lt;/DisplayText&gt;&lt;record&gt;&lt;rec-number&gt;1396&lt;/rec-number&gt;&lt;foreign-keys&gt;&lt;key app="EN" db-id="0w05zrd59zdxwmexsxlxa0purxdzd2svavae" timestamp="1550928553"&gt;1396&lt;/key&gt;&lt;/foreign-keys&gt;&lt;ref-type name="Book"&gt;6&lt;/ref-type&gt;&lt;contributors&gt;&lt;authors&gt;&lt;author&gt;Sagan, Scott Douglas&lt;/author&gt;&lt;/authors&gt;&lt;/contributors&gt;&lt;titles&gt;&lt;title&gt;The limits of safety: Organizations, accidents, and nuclear weapons&lt;/title&gt;&lt;/titles&gt;&lt;dates&gt;&lt;year&gt;1995&lt;/year&gt;&lt;/dates&gt;&lt;publisher&gt;Princeton University Press&lt;/publisher&gt;&lt;isbn&gt;0691021015&lt;/isbn&gt;&lt;urls&gt;&lt;/urls&gt;&lt;/record&gt;&lt;/Cite&gt;&lt;Cite&gt;&lt;Author&gt;Wolf&lt;/Author&gt;&lt;Year&gt;2001&lt;/Year&gt;&lt;RecNum&gt;1397&lt;/RecNum&gt;&lt;record&gt;&lt;rec-number&gt;1397&lt;/rec-number&gt;&lt;foreign-keys&gt;&lt;key app="EN" db-id="0w05zrd59zdxwmexsxlxa0purxdzd2svavae" timestamp="1550928595"&gt;1397&lt;/key&gt;&lt;/foreign-keys&gt;&lt;ref-type name="Journal Article"&gt;17&lt;/ref-type&gt;&lt;contributors&gt;&lt;authors&gt;&lt;author&gt;Wolf, Frederick G&lt;/author&gt;&lt;/authors&gt;&lt;/contributors&gt;&lt;titles&gt;&lt;title&gt;Operationalizing and testing normal accident theory in petrochemical plants and refineries&lt;/title&gt;&lt;secondary-title&gt;Production and Operations Management&lt;/secondary-title&gt;&lt;/titles&gt;&lt;periodical&gt;&lt;full-title&gt;Production and Operations Management&lt;/full-title&gt;&lt;/periodical&gt;&lt;pages&gt;292-305&lt;/pages&gt;&lt;volume&gt;10&lt;/volume&gt;&lt;number&gt;3&lt;/number&gt;&lt;dates&gt;&lt;year&gt;2001&lt;/year&gt;&lt;/dates&gt;&lt;isbn&gt;1059-1478&lt;/isbn&gt;&lt;urls&gt;&lt;/urls&gt;&lt;/record&gt;&lt;/Cite&gt;&lt;/EndNote&gt;</w:instrText>
      </w:r>
      <w:r w:rsidR="009B619A">
        <w:rPr>
          <w:szCs w:val="22"/>
        </w:rPr>
        <w:fldChar w:fldCharType="separate"/>
      </w:r>
      <w:r w:rsidR="0052048A">
        <w:rPr>
          <w:noProof/>
          <w:szCs w:val="22"/>
        </w:rPr>
        <w:t>(</w:t>
      </w:r>
      <w:hyperlink w:anchor="_ENREF_75" w:tooltip="Sagan, 1995 #1396" w:history="1">
        <w:r w:rsidR="0052048A" w:rsidRPr="004C6DEC">
          <w:rPr>
            <w:rStyle w:val="Hyperlink"/>
            <w:noProof/>
            <w:szCs w:val="22"/>
          </w:rPr>
          <w:t>Sagan, 1995</w:t>
        </w:r>
      </w:hyperlink>
      <w:r w:rsidR="0052048A">
        <w:rPr>
          <w:noProof/>
          <w:szCs w:val="22"/>
        </w:rPr>
        <w:t xml:space="preserve">; </w:t>
      </w:r>
      <w:hyperlink w:anchor="_ENREF_107" w:tooltip="Wolf, 2001 #1397" w:history="1">
        <w:r w:rsidR="0052048A" w:rsidRPr="004C6DEC">
          <w:rPr>
            <w:rStyle w:val="Hyperlink"/>
            <w:noProof/>
            <w:szCs w:val="22"/>
          </w:rPr>
          <w:t>Wolf, 2001</w:t>
        </w:r>
      </w:hyperlink>
      <w:r w:rsidR="0052048A">
        <w:rPr>
          <w:noProof/>
          <w:szCs w:val="22"/>
        </w:rPr>
        <w:t>)</w:t>
      </w:r>
      <w:r w:rsidR="009B619A">
        <w:rPr>
          <w:szCs w:val="22"/>
        </w:rPr>
        <w:fldChar w:fldCharType="end"/>
      </w:r>
      <w:r w:rsidR="0074781C">
        <w:rPr>
          <w:szCs w:val="22"/>
        </w:rPr>
        <w:t xml:space="preserve">. </w:t>
      </w:r>
      <w:r w:rsidR="004561C7">
        <w:rPr>
          <w:szCs w:val="22"/>
        </w:rPr>
        <w:t xml:space="preserve">NAT has been applied in supply chain research when examining the </w:t>
      </w:r>
      <w:r w:rsidR="004561C7" w:rsidRPr="001A54B5">
        <w:rPr>
          <w:noProof/>
          <w:szCs w:val="22"/>
        </w:rPr>
        <w:t>traceability</w:t>
      </w:r>
      <w:r w:rsidR="004561C7">
        <w:rPr>
          <w:szCs w:val="22"/>
        </w:rPr>
        <w:t xml:space="preserve"> of adverse events in complex supply chains and supply chain disruption propagation</w:t>
      </w:r>
      <w:r w:rsidR="004561C7" w:rsidRPr="009B619A">
        <w:t xml:space="preserve"> </w:t>
      </w:r>
      <w:r w:rsidR="004561C7">
        <w:rPr>
          <w:szCs w:val="22"/>
        </w:rPr>
        <w:fldChar w:fldCharType="begin"/>
      </w:r>
      <w:r w:rsidR="004561C7">
        <w:rPr>
          <w:szCs w:val="22"/>
        </w:rPr>
        <w:instrText xml:space="preserve"> ADDIN EN.CITE &lt;EndNote&gt;&lt;Cite&gt;&lt;Author&gt;Skilton&lt;/Author&gt;&lt;Year&gt;2009&lt;/Year&gt;&lt;RecNum&gt;1381&lt;/RecNum&gt;&lt;DisplayText&gt;(Scheibe and Blackhurst, 2018; Skilton and Robinson, 2009)&lt;/DisplayText&gt;&lt;record&gt;&lt;rec-number&gt;1381&lt;/rec-number&gt;&lt;foreign-keys&gt;&lt;key app="EN" db-id="0w05zrd59zdxwmexsxlxa0purxdzd2svavae" timestamp="1550889992"&gt;1381&lt;/key&gt;&lt;/foreign-keys&gt;&lt;ref-type name="Journal Article"&gt;17&lt;/ref-type&gt;&lt;contributors&gt;&lt;authors&gt;&lt;author&gt;Skilton, Paul F&lt;/author&gt;&lt;author&gt;Robinson, Jessica L&lt;/author&gt;&lt;/authors&gt;&lt;/contributors&gt;&lt;titles&gt;&lt;title&gt;Traceability and normal accident theory: how does supply network complexity influence the traceability of adverse events?&lt;/title&gt;&lt;secondary-title&gt;Journal of Supply Chain Management&lt;/secondary-title&gt;&lt;/titles&gt;&lt;periodical&gt;&lt;full-title&gt;Journal of Supply Chain Management&lt;/full-title&gt;&lt;/periodical&gt;&lt;pages&gt;40-53&lt;/pages&gt;&lt;volume&gt;45&lt;/volume&gt;&lt;number&gt;3&lt;/number&gt;&lt;dates&gt;&lt;year&gt;2009&lt;/year&gt;&lt;/dates&gt;&lt;isbn&gt;1523-2409&lt;/isbn&gt;&lt;urls&gt;&lt;/urls&gt;&lt;/record&gt;&lt;/Cite&gt;&lt;Cite&gt;&lt;Author&gt;Scheibe&lt;/Author&gt;&lt;Year&gt;2018&lt;/Year&gt;&lt;RecNum&gt;1383&lt;/RecNum&gt;&lt;record&gt;&lt;rec-number&gt;1383&lt;/rec-number&gt;&lt;foreign-keys&gt;&lt;key app="EN" db-id="0w05zrd59zdxwmexsxlxa0purxdzd2svavae" timestamp="1550890162"&gt;1383&lt;/key&gt;&lt;/foreign-keys&gt;&lt;ref-type name="Journal Article"&gt;17&lt;/ref-type&gt;&lt;contributors&gt;&lt;authors&gt;&lt;author&gt;Scheibe, Kevin P&lt;/author&gt;&lt;author&gt;Blackhurst, Jennifer&lt;/author&gt;&lt;/authors&gt;&lt;/contributors&gt;&lt;titles&gt;&lt;title&gt;Supply chain disruption propagation: a systemic risk and normal accident theory perspective&lt;/title&gt;&lt;secondary-title&gt;International Journal of Production Research&lt;/secondary-title&gt;&lt;/titles&gt;&lt;periodical&gt;&lt;full-title&gt;International Journal of Production Research&lt;/full-title&gt;&lt;/periodical&gt;&lt;pages&gt;43-59&lt;/pages&gt;&lt;volume&gt;56&lt;/volume&gt;&lt;number&gt;1-2&lt;/number&gt;&lt;dates&gt;&lt;year&gt;2018&lt;/year&gt;&lt;/dates&gt;&lt;isbn&gt;0020-7543&lt;/isbn&gt;&lt;urls&gt;&lt;/urls&gt;&lt;/record&gt;&lt;/Cite&gt;&lt;/EndNote&gt;</w:instrText>
      </w:r>
      <w:r w:rsidR="004561C7">
        <w:rPr>
          <w:szCs w:val="22"/>
        </w:rPr>
        <w:fldChar w:fldCharType="separate"/>
      </w:r>
      <w:r w:rsidR="004561C7">
        <w:rPr>
          <w:noProof/>
          <w:szCs w:val="22"/>
        </w:rPr>
        <w:t>(</w:t>
      </w:r>
      <w:hyperlink w:anchor="_ENREF_77" w:tooltip="Scheibe, 2018 #1383" w:history="1">
        <w:r w:rsidR="004561C7" w:rsidRPr="004C6DEC">
          <w:rPr>
            <w:rStyle w:val="Hyperlink"/>
            <w:noProof/>
            <w:szCs w:val="22"/>
          </w:rPr>
          <w:t>Scheibe and Blackhurst, 2018</w:t>
        </w:r>
      </w:hyperlink>
      <w:r w:rsidR="004561C7">
        <w:rPr>
          <w:noProof/>
          <w:szCs w:val="22"/>
        </w:rPr>
        <w:t xml:space="preserve">; </w:t>
      </w:r>
      <w:hyperlink w:anchor="_ENREF_87" w:tooltip="Skilton, 2009 #1381" w:history="1">
        <w:r w:rsidR="004561C7" w:rsidRPr="004C6DEC">
          <w:rPr>
            <w:rStyle w:val="Hyperlink"/>
            <w:noProof/>
            <w:szCs w:val="22"/>
          </w:rPr>
          <w:t>Skilton and Robinson, 2009</w:t>
        </w:r>
      </w:hyperlink>
      <w:r w:rsidR="004561C7">
        <w:rPr>
          <w:noProof/>
          <w:szCs w:val="22"/>
        </w:rPr>
        <w:t>)</w:t>
      </w:r>
      <w:r w:rsidR="004561C7">
        <w:rPr>
          <w:szCs w:val="22"/>
        </w:rPr>
        <w:fldChar w:fldCharType="end"/>
      </w:r>
      <w:r w:rsidR="004561C7">
        <w:rPr>
          <w:szCs w:val="22"/>
        </w:rPr>
        <w:t xml:space="preserve">. However, some </w:t>
      </w:r>
      <w:r w:rsidR="0074781C">
        <w:rPr>
          <w:szCs w:val="22"/>
        </w:rPr>
        <w:t xml:space="preserve">have </w:t>
      </w:r>
      <w:r w:rsidR="00A673AE">
        <w:rPr>
          <w:szCs w:val="22"/>
        </w:rPr>
        <w:t>called into question</w:t>
      </w:r>
      <w:r w:rsidR="0074781C">
        <w:rPr>
          <w:szCs w:val="22"/>
        </w:rPr>
        <w:t xml:space="preserve"> the applicability of </w:t>
      </w:r>
      <w:r w:rsidR="00A673AE">
        <w:rPr>
          <w:szCs w:val="22"/>
        </w:rPr>
        <w:t>this theoretical lens in contexts where failures occur in systems with loose coupling or low complexity environments</w:t>
      </w:r>
      <w:r w:rsidR="009B619A" w:rsidRPr="009B619A">
        <w:t xml:space="preserve"> </w:t>
      </w:r>
      <w:r w:rsidR="009B619A">
        <w:rPr>
          <w:szCs w:val="22"/>
        </w:rPr>
        <w:fldChar w:fldCharType="begin">
          <w:fldData xml:space="preserve">PEVuZE5vdGU+PENpdGU+PEF1dGhvcj5Ib3BraW5zPC9BdXRob3I+PFllYXI+MTk5OTwvWWVhcj48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</w:fldData>
        </w:fldChar>
      </w:r>
      <w:r w:rsidR="00627756">
        <w:rPr>
          <w:szCs w:val="22"/>
        </w:rPr>
        <w:instrText xml:space="preserve"> ADDIN EN.CITE </w:instrText>
      </w:r>
      <w:r w:rsidR="00627756">
        <w:rPr>
          <w:szCs w:val="22"/>
        </w:rPr>
        <w:fldChar w:fldCharType="begin">
          <w:fldData xml:space="preserve">PEVuZE5vdGU+PENpdGU+PEF1dGhvcj5Ib3BraW5zPC9BdXRob3I+PFllYXI+MTk5OTwvWWVhcj48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</w:fldData>
        </w:fldChar>
      </w:r>
      <w:r w:rsidR="00627756">
        <w:rPr>
          <w:szCs w:val="22"/>
        </w:rPr>
        <w:instrText xml:space="preserve"> ADDIN EN.CITE.DATA </w:instrText>
      </w:r>
      <w:r w:rsidR="00627756">
        <w:rPr>
          <w:szCs w:val="22"/>
        </w:rPr>
      </w:r>
      <w:r w:rsidR="00627756">
        <w:rPr>
          <w:szCs w:val="22"/>
        </w:rPr>
        <w:fldChar w:fldCharType="end"/>
      </w:r>
      <w:r w:rsidR="009B619A">
        <w:rPr>
          <w:szCs w:val="22"/>
        </w:rPr>
      </w:r>
      <w:r w:rsidR="009B619A">
        <w:rPr>
          <w:szCs w:val="22"/>
        </w:rPr>
        <w:fldChar w:fldCharType="separate"/>
      </w:r>
      <w:r w:rsidR="00627756">
        <w:rPr>
          <w:noProof/>
          <w:szCs w:val="22"/>
        </w:rPr>
        <w:t>(</w:t>
      </w:r>
      <w:hyperlink w:anchor="_ENREF_45" w:tooltip="Hopkins, 1999 #1379" w:history="1">
        <w:r w:rsidR="00627756" w:rsidRPr="004C6DEC">
          <w:rPr>
            <w:rStyle w:val="Hyperlink"/>
            <w:noProof/>
            <w:szCs w:val="22"/>
          </w:rPr>
          <w:t>Hopkins, 1999</w:t>
        </w:r>
      </w:hyperlink>
      <w:r w:rsidR="00627756">
        <w:rPr>
          <w:noProof/>
          <w:szCs w:val="22"/>
        </w:rPr>
        <w:t xml:space="preserve">; </w:t>
      </w:r>
      <w:hyperlink w:anchor="_ENREF_54" w:tooltip="La Porte, 1994 #1398" w:history="1">
        <w:r w:rsidR="00627756" w:rsidRPr="004C6DEC">
          <w:rPr>
            <w:rStyle w:val="Hyperlink"/>
            <w:noProof/>
            <w:szCs w:val="22"/>
          </w:rPr>
          <w:t>La Porte and Rochlin, 1994</w:t>
        </w:r>
      </w:hyperlink>
      <w:r w:rsidR="00627756">
        <w:rPr>
          <w:noProof/>
          <w:szCs w:val="22"/>
        </w:rPr>
        <w:t xml:space="preserve">; </w:t>
      </w:r>
      <w:hyperlink w:anchor="_ENREF_56" w:tooltip="Leveson, 2009 #1395" w:history="1">
        <w:r w:rsidR="00627756" w:rsidRPr="004C6DEC">
          <w:rPr>
            <w:rStyle w:val="Hyperlink"/>
            <w:noProof/>
            <w:szCs w:val="22"/>
          </w:rPr>
          <w:t>Leveson et al., 2009</w:t>
        </w:r>
      </w:hyperlink>
      <w:r w:rsidR="00627756">
        <w:rPr>
          <w:noProof/>
          <w:szCs w:val="22"/>
        </w:rPr>
        <w:t>)</w:t>
      </w:r>
      <w:r w:rsidR="009B619A">
        <w:rPr>
          <w:szCs w:val="22"/>
        </w:rPr>
        <w:fldChar w:fldCharType="end"/>
      </w:r>
      <w:r w:rsidR="00A673AE">
        <w:rPr>
          <w:szCs w:val="22"/>
        </w:rPr>
        <w:t xml:space="preserve">. </w:t>
      </w:r>
    </w:p>
    <w:p w14:paraId="6020A1D3" w14:textId="1410B46C" w:rsidR="00D2790A" w:rsidRPr="004561C7" w:rsidRDefault="004561C7" w:rsidP="008D64DB">
      <w:pPr>
        <w:spacing w:line="480" w:lineRule="auto"/>
        <w:ind w:firstLine="720"/>
      </w:pPr>
      <w:r>
        <w:t xml:space="preserve">The </w:t>
      </w:r>
      <w:r w:rsidR="00D2790A" w:rsidRPr="003070DF">
        <w:t xml:space="preserve">Swiss cheese model, proposed by </w:t>
      </w:r>
      <w:hyperlink w:anchor="_ENREF_71" w:tooltip="Reason, 1977 #1399" w:history="1">
        <w:r w:rsidR="009B619A" w:rsidRPr="004C6DEC">
          <w:rPr>
            <w:rStyle w:val="Hyperlink"/>
          </w:rPr>
          <w:fldChar w:fldCharType="begin"/>
        </w:r>
        <w:r w:rsidR="000B4186" w:rsidRPr="004C6DEC">
          <w:rPr>
            <w:rStyle w:val="Hyperlink"/>
          </w:rPr>
          <w:instrText xml:space="preserve"> ADDIN EN.CITE &lt;EndNote&gt;&lt;Cite AuthorYear="1"&gt;&lt;Author&gt;Reason&lt;/Author&gt;&lt;Year&gt;1977&lt;/Year&gt;&lt;RecNum&gt;1399&lt;/RecNum&gt;&lt;DisplayText&gt;Reason (1977)&lt;/DisplayText&gt;&lt;record&gt;&lt;rec-number&gt;1399&lt;/rec-number&gt;&lt;foreign-keys&gt;&lt;key app="EN" db-id="0w05zrd59zdxwmexsxlxa0purxdzd2svavae" timestamp="1550928814"&gt;1399&lt;/key&gt;&lt;/foreign-keys&gt;&lt;ref-type name="Journal Article"&gt;17&lt;/ref-type&gt;&lt;contributors&gt;&lt;authors&gt;&lt;author&gt;Reason, James T&lt;/author&gt;&lt;/authors&gt;&lt;/contributors&gt;&lt;titles&gt;&lt;title&gt;Skill and error in everyday life&lt;/title&gt;&lt;secondary-title&gt;Adult learning. London: Wiley&lt;/secondary-title&gt;&lt;/titles&gt;&lt;periodical&gt;&lt;full-title&gt;Adult learning. London: Wiley&lt;/full-title&gt;&lt;/periodical&gt;&lt;pages&gt;21&lt;/pages&gt;&lt;dates&gt;&lt;year&gt;1977&lt;/year&gt;&lt;/dates&gt;&lt;urls&gt;&lt;/urls&gt;&lt;/record&gt;&lt;/Cite&gt;&lt;/EndNote&gt;</w:instrText>
        </w:r>
        <w:r w:rsidR="009B619A" w:rsidRPr="004C6DEC">
          <w:rPr>
            <w:rStyle w:val="Hyperlink"/>
          </w:rPr>
          <w:fldChar w:fldCharType="separate"/>
        </w:r>
        <w:r w:rsidR="000B4186" w:rsidRPr="004C6DEC">
          <w:rPr>
            <w:rStyle w:val="Hyperlink"/>
            <w:noProof/>
          </w:rPr>
          <w:t>Reason (1977)</w:t>
        </w:r>
        <w:r w:rsidR="009B619A" w:rsidRPr="004C6DEC">
          <w:rPr>
            <w:rStyle w:val="Hyperlink"/>
          </w:rPr>
          <w:fldChar w:fldCharType="end"/>
        </w:r>
      </w:hyperlink>
      <w:r w:rsidR="00D2790A" w:rsidRPr="003070DF">
        <w:t xml:space="preserve">, postulates that </w:t>
      </w:r>
      <w:r w:rsidR="00D2790A">
        <w:t xml:space="preserve">systems </w:t>
      </w:r>
      <w:r>
        <w:t xml:space="preserve">can </w:t>
      </w:r>
      <w:r w:rsidR="00D2790A">
        <w:t xml:space="preserve">have </w:t>
      </w:r>
      <w:r>
        <w:t xml:space="preserve">multiple </w:t>
      </w:r>
      <w:r w:rsidR="00D2790A">
        <w:t xml:space="preserve">defensive layers </w:t>
      </w:r>
      <w:r>
        <w:t xml:space="preserve">to protect against potential failures. These defensive layers can </w:t>
      </w:r>
      <w:r w:rsidR="00D2790A">
        <w:t>either</w:t>
      </w:r>
      <w:r w:rsidR="00D2790A">
        <w:rPr>
          <w:szCs w:val="22"/>
        </w:rPr>
        <w:t xml:space="preserve"> </w:t>
      </w:r>
      <w:r>
        <w:rPr>
          <w:szCs w:val="22"/>
        </w:rPr>
        <w:t xml:space="preserve">rely on the </w:t>
      </w:r>
      <w:r w:rsidR="00D2790A">
        <w:rPr>
          <w:szCs w:val="22"/>
        </w:rPr>
        <w:t>systems</w:t>
      </w:r>
      <w:r>
        <w:rPr>
          <w:szCs w:val="22"/>
        </w:rPr>
        <w:t>’ infrastructure or (</w:t>
      </w:r>
      <w:r w:rsidR="00D2790A">
        <w:rPr>
          <w:szCs w:val="22"/>
        </w:rPr>
        <w:t xml:space="preserve">constituting hard defenses) or </w:t>
      </w:r>
      <w:r>
        <w:rPr>
          <w:szCs w:val="22"/>
        </w:rPr>
        <w:t xml:space="preserve">rely on </w:t>
      </w:r>
      <w:r w:rsidR="00D2790A">
        <w:rPr>
          <w:szCs w:val="22"/>
        </w:rPr>
        <w:t xml:space="preserve">people </w:t>
      </w:r>
      <w:r>
        <w:rPr>
          <w:szCs w:val="22"/>
        </w:rPr>
        <w:t>(constituting soft defenses)</w:t>
      </w:r>
      <w:r w:rsidRPr="009B619A">
        <w:t xml:space="preserve"> </w:t>
      </w:r>
      <w:r>
        <w:rPr>
          <w:szCs w:val="22"/>
        </w:rPr>
        <w:t xml:space="preserve">to determine ways to address potential issues that can lead to failures </w:t>
      </w:r>
      <w:r w:rsidR="009B619A">
        <w:fldChar w:fldCharType="begin"/>
      </w:r>
      <w:r w:rsidR="00627756">
        <w:instrText xml:space="preserve"> ADDIN EN.CITE &lt;EndNote&gt;&lt;Cite&gt;&lt;Author&gt;Reason&lt;/Author&gt;&lt;Year&gt;1977&lt;/Year&gt;&lt;RecNum&gt;1399&lt;/RecNum&gt;&lt;DisplayText&gt;(Hosseinian and Torghabeh, 2012; Reason, 1977)&lt;/DisplayText&gt;&lt;record&gt;&lt;rec-number&gt;1399&lt;/rec-number&gt;&lt;foreign-keys&gt;&lt;key app="EN" db-id="0w05zrd59zdxwmexsxlxa0purxdzd2svavae" timestamp="1550928814"&gt;1399&lt;/key&gt;&lt;/foreign-keys&gt;&lt;ref-type name="Journal Article"&gt;17&lt;/ref-type&gt;&lt;contributors&gt;&lt;authors&gt;&lt;author&gt;Reason, James T&lt;/author&gt;&lt;/authors&gt;&lt;/contributors&gt;&lt;titles&gt;&lt;title&gt;Skill and error in everyday life&lt;/title&gt;&lt;secondary-title&gt;Adult learning. London: Wiley&lt;/secondary-title&gt;&lt;/titles&gt;&lt;periodical&gt;&lt;full-title&gt;Adult learning. London: Wiley&lt;/full-title&gt;&lt;/periodical&gt;&lt;pages&gt;21&lt;/pages&gt;&lt;dates&gt;&lt;year&gt;1977&lt;/year&gt;&lt;/dates&gt;&lt;urls&gt;&lt;/urls&gt;&lt;/record&gt;&lt;/Cite&gt;&lt;Cite&gt;&lt;Author&gt;Hosseinian&lt;/Author&gt;&lt;Year&gt;2012&lt;/Year&gt;&lt;RecNum&gt;1400&lt;/RecNum&gt;&lt;record&gt;&lt;rec-number&gt;1400&lt;/rec-number&gt;&lt;foreign-keys&gt;&lt;key app="EN" db-id="0w05zrd59zdxwmexsxlxa0purxdzd2svavae" timestamp="1550928857"&gt;1400&lt;/key&gt;&lt;/foreign-keys&gt;&lt;ref-type name="Journal Article"&gt;17&lt;/ref-type&gt;&lt;contributors&gt;&lt;authors&gt;&lt;author&gt;Hosseinian, Seyyed Shahab&lt;/author&gt;&lt;author&gt;Torghabeh, Zahra Jabbarani&lt;/author&gt;&lt;/authors&gt;&lt;/contributors&gt;&lt;titles&gt;&lt;title&gt;Major theories of construction accident causation models: A literature review&lt;/title&gt;&lt;secondary-title&gt;International Journal of Advances in Engineering &amp;amp; Technology&lt;/secondary-title&gt;&lt;/titles&gt;&lt;periodical&gt;&lt;full-title&gt;International Journal of Advances in Engineering &amp;amp; Technology&lt;/full-title&gt;&lt;/periodical&gt;&lt;pages&gt;53-66&lt;/pages&gt;&lt;volume&gt;4&lt;/volume&gt;&lt;number&gt;2&lt;/number&gt;&lt;dates&gt;&lt;year&gt;2012&lt;/year&gt;&lt;/dates&gt;&lt;isbn&gt;2231-1963&lt;/isbn&gt;&lt;urls&gt;&lt;/urls&gt;&lt;/record&gt;&lt;/Cite&gt;&lt;/EndNote&gt;</w:instrText>
      </w:r>
      <w:r w:rsidR="009B619A">
        <w:fldChar w:fldCharType="separate"/>
      </w:r>
      <w:r w:rsidR="00465F24">
        <w:rPr>
          <w:noProof/>
        </w:rPr>
        <w:t>(</w:t>
      </w:r>
      <w:hyperlink w:anchor="_ENREF_46" w:tooltip="Hosseinian, 2012 #1400" w:history="1">
        <w:r w:rsidR="00465F24" w:rsidRPr="004C6DEC">
          <w:rPr>
            <w:rStyle w:val="Hyperlink"/>
            <w:noProof/>
          </w:rPr>
          <w:t>Hosseinian and Torghabeh, 2012</w:t>
        </w:r>
      </w:hyperlink>
      <w:r w:rsidR="00465F24">
        <w:rPr>
          <w:noProof/>
        </w:rPr>
        <w:t xml:space="preserve">; </w:t>
      </w:r>
      <w:hyperlink w:anchor="_ENREF_71" w:tooltip="Reason, 1977 #1399" w:history="1">
        <w:r w:rsidR="00465F24" w:rsidRPr="004C6DEC">
          <w:rPr>
            <w:rStyle w:val="Hyperlink"/>
            <w:noProof/>
          </w:rPr>
          <w:t>Reason, 1977</w:t>
        </w:r>
      </w:hyperlink>
      <w:r w:rsidR="00465F24">
        <w:rPr>
          <w:noProof/>
        </w:rPr>
        <w:t>)</w:t>
      </w:r>
      <w:r w:rsidR="009B619A">
        <w:fldChar w:fldCharType="end"/>
      </w:r>
      <w:r w:rsidR="000B4186">
        <w:t xml:space="preserve">. </w:t>
      </w:r>
      <w:r w:rsidR="008D64DB">
        <w:t xml:space="preserve">While no defense layer is perfect on its own, the combination of layers helps compensate for any particular layer’s shortcoming. </w:t>
      </w:r>
      <w:r w:rsidR="008D64DB">
        <w:rPr>
          <w:szCs w:val="22"/>
        </w:rPr>
        <w:t>Similar to layers in Swiss cheese, weaknesses (or holes) are covered by other layers. However, s</w:t>
      </w:r>
      <w:r w:rsidR="00D2790A">
        <w:rPr>
          <w:szCs w:val="22"/>
        </w:rPr>
        <w:t xml:space="preserve">ometimes, the </w:t>
      </w:r>
      <w:r w:rsidR="008D64DB">
        <w:rPr>
          <w:szCs w:val="22"/>
        </w:rPr>
        <w:t>errors</w:t>
      </w:r>
      <w:r w:rsidR="00D2790A">
        <w:rPr>
          <w:szCs w:val="22"/>
        </w:rPr>
        <w:t xml:space="preserve"> in </w:t>
      </w:r>
      <w:r w:rsidR="008D64DB">
        <w:rPr>
          <w:szCs w:val="22"/>
        </w:rPr>
        <w:t>all</w:t>
      </w:r>
      <w:r w:rsidR="00D2790A">
        <w:rPr>
          <w:szCs w:val="22"/>
        </w:rPr>
        <w:t xml:space="preserve"> layer</w:t>
      </w:r>
      <w:r w:rsidR="008D64DB">
        <w:rPr>
          <w:szCs w:val="22"/>
        </w:rPr>
        <w:t>s</w:t>
      </w:r>
      <w:r w:rsidR="00D2790A">
        <w:rPr>
          <w:szCs w:val="22"/>
        </w:rPr>
        <w:t xml:space="preserve"> can align perfectly to cause a </w:t>
      </w:r>
      <w:r w:rsidR="008D64DB">
        <w:rPr>
          <w:szCs w:val="22"/>
        </w:rPr>
        <w:t>major</w:t>
      </w:r>
      <w:r w:rsidR="00D2790A">
        <w:rPr>
          <w:szCs w:val="22"/>
        </w:rPr>
        <w:t xml:space="preserve"> failure.</w:t>
      </w:r>
      <w:r w:rsidR="00742CAE">
        <w:rPr>
          <w:szCs w:val="22"/>
        </w:rPr>
        <w:t xml:space="preserve"> </w:t>
      </w:r>
      <w:r w:rsidR="008D64DB">
        <w:rPr>
          <w:szCs w:val="22"/>
        </w:rPr>
        <w:t>C</w:t>
      </w:r>
      <w:r w:rsidR="00742CAE" w:rsidRPr="001A54B5">
        <w:rPr>
          <w:noProof/>
          <w:szCs w:val="22"/>
        </w:rPr>
        <w:t xml:space="preserve">onditions for such alignment can lay dormant for many years “before they combine with active failures and local triggers to create and accident opportunity” </w:t>
      </w:r>
      <w:r w:rsidR="009B619A" w:rsidRPr="001A54B5">
        <w:rPr>
          <w:noProof/>
          <w:szCs w:val="22"/>
        </w:rPr>
        <w:fldChar w:fldCharType="begin"/>
      </w:r>
      <w:r w:rsidR="00627756">
        <w:rPr>
          <w:noProof/>
          <w:szCs w:val="22"/>
        </w:rPr>
        <w:instrText xml:space="preserve"> ADDIN EN.CITE &lt;EndNote&gt;&lt;Cite&gt;&lt;Author&gt;Reason&lt;/Author&gt;&lt;Year&gt;2000&lt;/Year&gt;&lt;RecNum&gt;1401&lt;/RecNum&gt;&lt;Suffix&gt;`; pp 769&lt;/Suffix&gt;&lt;DisplayText&gt;(Reason, 2000; pp 769)&lt;/DisplayText&gt;&lt;record&gt;&lt;rec-number&gt;1401&lt;/rec-number&gt;&lt;foreign-keys&gt;&lt;key app="EN" db-id="0w05zrd59zdxwmexsxlxa0purxdzd2svavae" timestamp="1550928891"&gt;1401&lt;/key&gt;&lt;/foreign-keys&gt;&lt;ref-type name="Journal Article"&gt;17&lt;/ref-type&gt;&lt;contributors&gt;&lt;authors&gt;&lt;author&gt;Reason, James&lt;/author&gt;&lt;/authors&gt;&lt;/contributors&gt;&lt;titles&gt;&lt;title&gt;Human error: models and management&lt;/title&gt;&lt;secondary-title&gt;British Management Journal&lt;/secondary-title&gt;&lt;/titles&gt;&lt;periodical&gt;&lt;full-title&gt;British Management Journal&lt;/full-title&gt;&lt;/periodical&gt;&lt;pages&gt;768-770&lt;/pages&gt;&lt;volume&gt;320&lt;/volume&gt;&lt;number&gt;7237&lt;/number&gt;&lt;dates&gt;&lt;year&gt;2000&lt;/year&gt;&lt;/dates&gt;&lt;isbn&gt;0959-8138&lt;/isbn&gt;&lt;urls&gt;&lt;/urls&gt;&lt;/record&gt;&lt;/Cite&gt;&lt;/EndNote&gt;</w:instrText>
      </w:r>
      <w:r w:rsidR="009B619A" w:rsidRPr="001A54B5">
        <w:rPr>
          <w:noProof/>
          <w:szCs w:val="22"/>
        </w:rPr>
        <w:fldChar w:fldCharType="separate"/>
      </w:r>
      <w:r w:rsidR="009B619A" w:rsidRPr="001A54B5">
        <w:rPr>
          <w:noProof/>
          <w:szCs w:val="22"/>
        </w:rPr>
        <w:t>(</w:t>
      </w:r>
      <w:hyperlink w:anchor="_ENREF_70" w:tooltip="Reason, 2000 #1401" w:history="1">
        <w:r w:rsidR="009B619A" w:rsidRPr="004C6DEC">
          <w:rPr>
            <w:rStyle w:val="Hyperlink"/>
            <w:noProof/>
            <w:szCs w:val="22"/>
          </w:rPr>
          <w:t>Reason, 2000; pp 769</w:t>
        </w:r>
      </w:hyperlink>
      <w:r w:rsidR="009B619A" w:rsidRPr="001A54B5">
        <w:rPr>
          <w:noProof/>
          <w:szCs w:val="22"/>
        </w:rPr>
        <w:t>)</w:t>
      </w:r>
      <w:r w:rsidR="009B619A" w:rsidRPr="001A54B5">
        <w:rPr>
          <w:noProof/>
          <w:szCs w:val="22"/>
        </w:rPr>
        <w:fldChar w:fldCharType="end"/>
      </w:r>
      <w:r w:rsidR="008D64DB">
        <w:rPr>
          <w:noProof/>
          <w:szCs w:val="22"/>
        </w:rPr>
        <w:t>. P</w:t>
      </w:r>
      <w:r w:rsidR="00D2790A" w:rsidRPr="001A54B5">
        <w:rPr>
          <w:noProof/>
          <w:szCs w:val="22"/>
        </w:rPr>
        <w:t>roponents of this model point to famous accident in Chernobyl nuclear disaster to illustrate that each layer on its own could have localized the damage</w:t>
      </w:r>
      <w:r w:rsidR="001A54B5" w:rsidRPr="001A54B5">
        <w:rPr>
          <w:noProof/>
          <w:szCs w:val="22"/>
        </w:rPr>
        <w:t>,</w:t>
      </w:r>
      <w:r w:rsidR="00D2790A" w:rsidRPr="001A54B5">
        <w:rPr>
          <w:noProof/>
          <w:szCs w:val="22"/>
        </w:rPr>
        <w:t xml:space="preserve"> but it was the perfect alignment of the layers that resulted in a disaster of such magnitude.</w:t>
      </w:r>
    </w:p>
    <w:p w14:paraId="6641FB49" w14:textId="073E152B" w:rsidR="002D2546" w:rsidRDefault="002D2546" w:rsidP="002D2546">
      <w:pPr>
        <w:spacing w:line="480" w:lineRule="auto"/>
        <w:ind w:firstLine="720"/>
        <w:rPr>
          <w:szCs w:val="22"/>
        </w:rPr>
      </w:pPr>
      <w:r>
        <w:rPr>
          <w:szCs w:val="22"/>
        </w:rPr>
        <w:lastRenderedPageBreak/>
        <w:t xml:space="preserve">An interesting paradox of the above theories is that they help in recreating the causes that lead to </w:t>
      </w:r>
      <w:r w:rsidRPr="001A54B5">
        <w:rPr>
          <w:noProof/>
          <w:szCs w:val="22"/>
        </w:rPr>
        <w:t>catastrophic disasters</w:t>
      </w:r>
      <w:r w:rsidR="00DD6ABA">
        <w:rPr>
          <w:szCs w:val="22"/>
        </w:rPr>
        <w:t xml:space="preserve"> </w:t>
      </w:r>
      <w:r w:rsidR="00E22E14">
        <w:rPr>
          <w:szCs w:val="22"/>
        </w:rPr>
        <w:t xml:space="preserve">but do not </w:t>
      </w:r>
      <w:r w:rsidR="00DF1311">
        <w:rPr>
          <w:szCs w:val="22"/>
        </w:rPr>
        <w:t>provide direction on how to avoid conditions that can lead to these failures</w:t>
      </w:r>
      <w:r w:rsidR="009B619A" w:rsidRPr="009B619A">
        <w:t xml:space="preserve"> </w:t>
      </w:r>
      <w:r w:rsidR="00465F24">
        <w:rPr>
          <w:szCs w:val="22"/>
        </w:rPr>
        <w:fldChar w:fldCharType="begin"/>
      </w:r>
      <w:r w:rsidR="00627756">
        <w:rPr>
          <w:szCs w:val="22"/>
        </w:rPr>
        <w:instrText xml:space="preserve"> ADDIN EN.CITE &lt;EndNote&gt;&lt;Cite&gt;&lt;Author&gt;Reason&lt;/Author&gt;&lt;Year&gt;2000&lt;/Year&gt;&lt;RecNum&gt;1401&lt;/RecNum&gt;&lt;DisplayText&gt;(Reason, 2000)&lt;/DisplayText&gt;&lt;record&gt;&lt;rec-number&gt;1401&lt;/rec-number&gt;&lt;foreign-keys&gt;&lt;key app="EN" db-id="0w05zrd59zdxwmexsxlxa0purxdzd2svavae" timestamp="1550928891"&gt;1401&lt;/key&gt;&lt;/foreign-keys&gt;&lt;ref-type name="Journal Article"&gt;17&lt;/ref-type&gt;&lt;contributors&gt;&lt;authors&gt;&lt;author&gt;Reason, James&lt;/author&gt;&lt;/authors&gt;&lt;/contributors&gt;&lt;titles&gt;&lt;title&gt;Human error: models and management&lt;/title&gt;&lt;secondary-title&gt;British Management Journal&lt;/secondary-title&gt;&lt;/titles&gt;&lt;periodical&gt;&lt;full-title&gt;British Management Journal&lt;/full-title&gt;&lt;/periodical&gt;&lt;pages&gt;768-770&lt;/pages&gt;&lt;volume&gt;320&lt;/volume&gt;&lt;number&gt;7237&lt;/number&gt;&lt;dates&gt;&lt;year&gt;2000&lt;/year&gt;&lt;/dates&gt;&lt;isbn&gt;0959-8138&lt;/isbn&gt;&lt;urls&gt;&lt;/urls&gt;&lt;/record&gt;&lt;/Cite&gt;&lt;/EndNote&gt;</w:instrText>
      </w:r>
      <w:r w:rsidR="00465F24">
        <w:rPr>
          <w:szCs w:val="22"/>
        </w:rPr>
        <w:fldChar w:fldCharType="separate"/>
      </w:r>
      <w:r w:rsidR="00465F24">
        <w:rPr>
          <w:noProof/>
          <w:szCs w:val="22"/>
        </w:rPr>
        <w:t>(</w:t>
      </w:r>
      <w:hyperlink w:anchor="_ENREF_70" w:tooltip="Reason, 2000 #1401" w:history="1">
        <w:r w:rsidR="00465F24" w:rsidRPr="004C6DEC">
          <w:rPr>
            <w:rStyle w:val="Hyperlink"/>
            <w:noProof/>
            <w:szCs w:val="22"/>
          </w:rPr>
          <w:t>Reason, 2000</w:t>
        </w:r>
      </w:hyperlink>
      <w:r w:rsidR="00465F24">
        <w:rPr>
          <w:noProof/>
          <w:szCs w:val="22"/>
        </w:rPr>
        <w:t>)</w:t>
      </w:r>
      <w:r w:rsidR="00465F24">
        <w:rPr>
          <w:szCs w:val="22"/>
        </w:rPr>
        <w:fldChar w:fldCharType="end"/>
      </w:r>
      <w:r>
        <w:rPr>
          <w:szCs w:val="22"/>
        </w:rPr>
        <w:t xml:space="preserve">. </w:t>
      </w:r>
      <w:r w:rsidR="00DD6ABA">
        <w:rPr>
          <w:szCs w:val="22"/>
        </w:rPr>
        <w:t>Consequently, m</w:t>
      </w:r>
      <w:r>
        <w:rPr>
          <w:szCs w:val="22"/>
        </w:rPr>
        <w:t xml:space="preserve">anagement </w:t>
      </w:r>
      <w:r w:rsidR="00DD6ABA">
        <w:rPr>
          <w:szCs w:val="22"/>
        </w:rPr>
        <w:t>scholars</w:t>
      </w:r>
      <w:r>
        <w:rPr>
          <w:szCs w:val="22"/>
        </w:rPr>
        <w:t xml:space="preserve"> studied risk management by examining how HRO</w:t>
      </w:r>
      <w:r w:rsidR="001A54B5">
        <w:rPr>
          <w:szCs w:val="22"/>
        </w:rPr>
        <w:t>s</w:t>
      </w:r>
      <w:r>
        <w:rPr>
          <w:szCs w:val="22"/>
        </w:rPr>
        <w:t xml:space="preserve"> perform</w:t>
      </w:r>
      <w:r w:rsidR="009B619A" w:rsidRPr="009B619A">
        <w:t xml:space="preserve"> </w:t>
      </w:r>
      <w:r w:rsidR="00465F24">
        <w:rPr>
          <w:szCs w:val="22"/>
        </w:rPr>
        <w:fldChar w:fldCharType="begin"/>
      </w:r>
      <w:r w:rsidR="00627756">
        <w:rPr>
          <w:szCs w:val="22"/>
        </w:rPr>
        <w:instrText xml:space="preserve"> ADDIN EN.CITE &lt;EndNote&gt;&lt;Cite&gt;&lt;Author&gt;Coutu&lt;/Author&gt;&lt;Year&gt;2003&lt;/Year&gt;&lt;RecNum&gt;1402&lt;/RecNum&gt;&lt;DisplayText&gt;(Coutu, 2003; Roberts, 1990)&lt;/DisplayText&gt;&lt;record&gt;&lt;rec-number&gt;1402&lt;/rec-number&gt;&lt;foreign-keys&gt;&lt;key app="EN" db-id="0w05zrd59zdxwmexsxlxa0purxdzd2svavae" timestamp="1550929041"&gt;1402&lt;/key&gt;&lt;/foreign-keys&gt;&lt;ref-type name="Journal Article"&gt;17&lt;/ref-type&gt;&lt;contributors&gt;&lt;authors&gt;&lt;author&gt;Coutu, Diane L&lt;/author&gt;&lt;/authors&gt;&lt;/contributors&gt;&lt;titles&gt;&lt;title&gt;Sense and reliability&lt;/title&gt;&lt;secondary-title&gt;Harvard Business Review&lt;/secondary-title&gt;&lt;/titles&gt;&lt;periodical&gt;&lt;full-title&gt;Harvard business review&lt;/full-title&gt;&lt;/periodical&gt;&lt;pages&gt;84-90&lt;/pages&gt;&lt;volume&gt;81&lt;/volume&gt;&lt;number&gt;4&lt;/number&gt;&lt;dates&gt;&lt;year&gt;2003&lt;/year&gt;&lt;/dates&gt;&lt;urls&gt;&lt;/urls&gt;&lt;/record&gt;&lt;/Cite&gt;&lt;Cite&gt;&lt;Author&gt;Roberts&lt;/Author&gt;&lt;Year&gt;1990&lt;/Year&gt;&lt;RecNum&gt;1386&lt;/RecNum&gt;&lt;record&gt;&lt;rec-number&gt;1386&lt;/rec-number&gt;&lt;foreign-keys&gt;&lt;key app="EN" db-id="0w05zrd59zdxwmexsxlxa0purxdzd2svavae" timestamp="1550890530"&gt;1386&lt;/key&gt;&lt;/foreign-keys&gt;&lt;ref-type name="Journal Article"&gt;17&lt;/ref-type&gt;&lt;contributors&gt;&lt;authors&gt;&lt;author&gt;Roberts, Karlene H&lt;/author&gt;&lt;/authors&gt;&lt;/contributors&gt;&lt;titles&gt;&lt;title&gt;Some characteristics of one type of high reliability organization&lt;/title&gt;&lt;secondary-title&gt;Organization Science&lt;/secondary-title&gt;&lt;/titles&gt;&lt;periodical&gt;&lt;full-title&gt;Organization Science&lt;/full-title&gt;&lt;/periodical&gt;&lt;pages&gt;160-176&lt;/pages&gt;&lt;volume&gt;1&lt;/volume&gt;&lt;number&gt;2&lt;/number&gt;&lt;dates&gt;&lt;year&gt;1990&lt;/year&gt;&lt;/dates&gt;&lt;isbn&gt;1047-7039&lt;/isbn&gt;&lt;urls&gt;&lt;/urls&gt;&lt;/record&gt;&lt;/Cite&gt;&lt;/EndNote&gt;</w:instrText>
      </w:r>
      <w:r w:rsidR="00465F24">
        <w:rPr>
          <w:szCs w:val="22"/>
        </w:rPr>
        <w:fldChar w:fldCharType="separate"/>
      </w:r>
      <w:r w:rsidR="0052048A">
        <w:rPr>
          <w:noProof/>
          <w:szCs w:val="22"/>
        </w:rPr>
        <w:t>(</w:t>
      </w:r>
      <w:hyperlink w:anchor="_ENREF_21" w:tooltip="Coutu, 2003 #1402" w:history="1">
        <w:r w:rsidR="0052048A" w:rsidRPr="004C6DEC">
          <w:rPr>
            <w:rStyle w:val="Hyperlink"/>
            <w:noProof/>
            <w:szCs w:val="22"/>
          </w:rPr>
          <w:t>Coutu, 2003</w:t>
        </w:r>
      </w:hyperlink>
      <w:r w:rsidR="0052048A">
        <w:rPr>
          <w:noProof/>
          <w:szCs w:val="22"/>
        </w:rPr>
        <w:t xml:space="preserve">; </w:t>
      </w:r>
      <w:hyperlink w:anchor="_ENREF_73" w:tooltip="Roberts, 1990 #1386" w:history="1">
        <w:r w:rsidR="0052048A" w:rsidRPr="004C6DEC">
          <w:rPr>
            <w:rStyle w:val="Hyperlink"/>
            <w:noProof/>
            <w:szCs w:val="22"/>
          </w:rPr>
          <w:t>Roberts, 1990</w:t>
        </w:r>
      </w:hyperlink>
      <w:r w:rsidR="0052048A">
        <w:rPr>
          <w:noProof/>
          <w:szCs w:val="22"/>
        </w:rPr>
        <w:t>)</w:t>
      </w:r>
      <w:r w:rsidR="00465F24">
        <w:rPr>
          <w:szCs w:val="22"/>
        </w:rPr>
        <w:fldChar w:fldCharType="end"/>
      </w:r>
      <w:r>
        <w:rPr>
          <w:szCs w:val="22"/>
        </w:rPr>
        <w:t xml:space="preserve">. </w:t>
      </w:r>
      <w:r w:rsidR="001A54B5">
        <w:rPr>
          <w:noProof/>
          <w:szCs w:val="22"/>
        </w:rPr>
        <w:t>HROs</w:t>
      </w:r>
      <w:r>
        <w:rPr>
          <w:szCs w:val="22"/>
        </w:rPr>
        <w:t xml:space="preserve">, such as nuclear power plants, air traffic control, aircraft carriers during </w:t>
      </w:r>
      <w:r w:rsidRPr="001A54B5">
        <w:rPr>
          <w:noProof/>
          <w:szCs w:val="22"/>
        </w:rPr>
        <w:t>peace time</w:t>
      </w:r>
      <w:r>
        <w:rPr>
          <w:szCs w:val="22"/>
        </w:rPr>
        <w:t xml:space="preserve">, </w:t>
      </w:r>
      <w:r w:rsidR="000B4186">
        <w:rPr>
          <w:szCs w:val="22"/>
        </w:rPr>
        <w:t>firefighting</w:t>
      </w:r>
      <w:r>
        <w:rPr>
          <w:szCs w:val="22"/>
        </w:rPr>
        <w:t xml:space="preserve"> teams, focus on </w:t>
      </w:r>
      <w:r w:rsidR="001A54B5">
        <w:rPr>
          <w:szCs w:val="22"/>
        </w:rPr>
        <w:t xml:space="preserve">the </w:t>
      </w:r>
      <w:r w:rsidRPr="001A54B5">
        <w:rPr>
          <w:noProof/>
          <w:szCs w:val="22"/>
        </w:rPr>
        <w:t>safety</w:t>
      </w:r>
      <w:r>
        <w:rPr>
          <w:szCs w:val="22"/>
        </w:rPr>
        <w:t xml:space="preserve"> of operations that can result in highly reliable operations</w:t>
      </w:r>
      <w:r w:rsidR="0052048A" w:rsidRPr="0052048A">
        <w:t xml:space="preserve"> </w:t>
      </w:r>
      <w:r w:rsidR="0052048A">
        <w:fldChar w:fldCharType="begin"/>
      </w:r>
      <w:r w:rsidR="00627756">
        <w:instrText xml:space="preserve"> ADDIN EN.CITE &lt;EndNote&gt;&lt;Cite&gt;&lt;Author&gt;Roberts&lt;/Author&gt;&lt;Year&gt;1990&lt;/Year&gt;&lt;RecNum&gt;1386&lt;/RecNum&gt;&lt;DisplayText&gt;(Leveson et al., 2009; Roberts, 1990)&lt;/DisplayText&gt;&lt;record&gt;&lt;rec-number&gt;1386&lt;/rec-number&gt;&lt;foreign-keys&gt;&lt;key app="EN" db-id="0w05zrd59zdxwmexsxlxa0purxdzd2svavae" timestamp="1550890530"&gt;1386&lt;/key&gt;&lt;/foreign-keys&gt;&lt;ref-type name="Journal Article"&gt;17&lt;/ref-type&gt;&lt;contributors&gt;&lt;authors&gt;&lt;author&gt;Roberts, Karlene H&lt;/author&gt;&lt;/authors&gt;&lt;/contributors&gt;&lt;titles&gt;&lt;title&gt;Some characteristics of one type of high reliability organization&lt;/title&gt;&lt;secondary-title&gt;Organization Science&lt;/secondary-title&gt;&lt;/titles&gt;&lt;periodical&gt;&lt;full-title&gt;Organization Science&lt;/full-title&gt;&lt;/periodical&gt;&lt;pages&gt;160-176&lt;/pages&gt;&lt;volume&gt;1&lt;/volume&gt;&lt;number&gt;2&lt;/number&gt;&lt;dates&gt;&lt;year&gt;1990&lt;/year&gt;&lt;/dates&gt;&lt;isbn&gt;1047-7039&lt;/isbn&gt;&lt;urls&gt;&lt;/urls&gt;&lt;/record&gt;&lt;/Cite&gt;&lt;Cite&gt;&lt;Author&gt;Leveson&lt;/Author&gt;&lt;Year&gt;2009&lt;/Year&gt;&lt;RecNum&gt;1395&lt;/RecNum&gt;&lt;record&gt;&lt;rec-number&gt;1395&lt;/rec-number&gt;&lt;foreign-keys&gt;&lt;key app="EN" db-id="0w05zrd59zdxwmexsxlxa0purxdzd2svavae" timestamp="1550928496"&gt;1395&lt;/key&gt;&lt;/foreign-keys&gt;&lt;ref-type name="Journal Article"&gt;17&lt;/ref-type&gt;&lt;contributors&gt;&lt;authors&gt;&lt;author&gt;Leveson, Nancy&lt;/author&gt;&lt;author&gt;Dulac, Nicolas&lt;/author&gt;&lt;author&gt;Marais, Karen&lt;/author&gt;&lt;author&gt;Carroll, John&lt;/author&gt;&lt;/authors&gt;&lt;/contributors&gt;&lt;titles&gt;&lt;title&gt;Moving beyond normal accidents and high reliability organizations: A systems approach to safety in complex systems&lt;/title&gt;&lt;secondary-title&gt;Organization Studies&lt;/secondary-title&gt;&lt;/titles&gt;&lt;periodical&gt;&lt;full-title&gt;Organization studies&lt;/full-title&gt;&lt;/periodical&gt;&lt;pages&gt;227-249&lt;/pages&gt;&lt;volume&gt;30&lt;/volume&gt;&lt;number&gt;2-3&lt;/number&gt;&lt;dates&gt;&lt;year&gt;2009&lt;/year&gt;&lt;/dates&gt;&lt;isbn&gt;0170-8406&lt;/isbn&gt;&lt;urls&gt;&lt;/urls&gt;&lt;/record&gt;&lt;/Cite&gt;&lt;/EndNote&gt;</w:instrText>
      </w:r>
      <w:r w:rsidR="0052048A">
        <w:fldChar w:fldCharType="separate"/>
      </w:r>
      <w:r w:rsidR="0052048A">
        <w:rPr>
          <w:noProof/>
        </w:rPr>
        <w:t>(</w:t>
      </w:r>
      <w:hyperlink w:anchor="_ENREF_56" w:tooltip="Leveson, 2009 #1395" w:history="1">
        <w:r w:rsidR="0052048A" w:rsidRPr="004C6DEC">
          <w:rPr>
            <w:rStyle w:val="Hyperlink"/>
            <w:noProof/>
          </w:rPr>
          <w:t>Leveson et al., 2009</w:t>
        </w:r>
      </w:hyperlink>
      <w:r w:rsidR="0052048A">
        <w:rPr>
          <w:noProof/>
        </w:rPr>
        <w:t xml:space="preserve">; </w:t>
      </w:r>
      <w:hyperlink w:anchor="_ENREF_73" w:tooltip="Roberts, 1990 #1386" w:history="1">
        <w:r w:rsidR="0052048A" w:rsidRPr="004C6DEC">
          <w:rPr>
            <w:rStyle w:val="Hyperlink"/>
            <w:noProof/>
          </w:rPr>
          <w:t>Roberts, 1990</w:t>
        </w:r>
      </w:hyperlink>
      <w:r w:rsidR="0052048A">
        <w:rPr>
          <w:noProof/>
        </w:rPr>
        <w:t>)</w:t>
      </w:r>
      <w:r w:rsidR="0052048A">
        <w:fldChar w:fldCharType="end"/>
      </w:r>
      <w:r>
        <w:rPr>
          <w:szCs w:val="22"/>
        </w:rPr>
        <w:t xml:space="preserve">. </w:t>
      </w:r>
      <w:r w:rsidR="005B42F7">
        <w:rPr>
          <w:szCs w:val="22"/>
        </w:rPr>
        <w:t xml:space="preserve">The accident rates in these organizations are very low, despite operating in conditions where we should expect high incidences of failures. </w:t>
      </w:r>
      <w:r w:rsidR="00790581">
        <w:rPr>
          <w:szCs w:val="22"/>
        </w:rPr>
        <w:t>Researchers found that</w:t>
      </w:r>
      <w:r>
        <w:rPr>
          <w:szCs w:val="22"/>
        </w:rPr>
        <w:t xml:space="preserve"> HROs incorporate redundancies, loose-coupling and simulated drills to hone their ability to detect and manage failures</w:t>
      </w:r>
      <w:r w:rsidR="00EB6920" w:rsidRPr="00EB6920">
        <w:t xml:space="preserve"> </w:t>
      </w:r>
      <w:r w:rsidR="00465F24">
        <w:rPr>
          <w:szCs w:val="22"/>
        </w:rPr>
        <w:fldChar w:fldCharType="begin"/>
      </w:r>
      <w:r w:rsidR="00627756">
        <w:rPr>
          <w:szCs w:val="22"/>
        </w:rPr>
        <w:instrText xml:space="preserve"> ADDIN EN.CITE &lt;EndNote&gt;&lt;Cite&gt;&lt;Author&gt;Leveson&lt;/Author&gt;&lt;Year&gt;2009&lt;/Year&gt;&lt;RecNum&gt;1395&lt;/RecNum&gt;&lt;DisplayText&gt;(Leveson et al., 2009)&lt;/DisplayText&gt;&lt;record&gt;&lt;rec-number&gt;1395&lt;/rec-number&gt;&lt;foreign-keys&gt;&lt;key app="EN" db-id="0w05zrd59zdxwmexsxlxa0purxdzd2svavae" timestamp="1550928496"&gt;1395&lt;/key&gt;&lt;/foreign-keys&gt;&lt;ref-type name="Journal Article"&gt;17&lt;/ref-type&gt;&lt;contributors&gt;&lt;authors&gt;&lt;author&gt;Leveson, Nancy&lt;/author&gt;&lt;author&gt;Dulac, Nicolas&lt;/author&gt;&lt;author&gt;Marais, Karen&lt;/author&gt;&lt;author&gt;Carroll, John&lt;/author&gt;&lt;/authors&gt;&lt;/contributors&gt;&lt;titles&gt;&lt;title&gt;Moving beyond normal accidents and high reliability organizations: A systems approach to safety in complex systems&lt;/title&gt;&lt;secondary-title&gt;Organization Studies&lt;/secondary-title&gt;&lt;/titles&gt;&lt;periodical&gt;&lt;full-title&gt;Organization studies&lt;/full-title&gt;&lt;/periodical&gt;&lt;pages&gt;227-249&lt;/pages&gt;&lt;volume&gt;30&lt;/volume&gt;&lt;number&gt;2-3&lt;/number&gt;&lt;dates&gt;&lt;year&gt;2009&lt;/year&gt;&lt;/dates&gt;&lt;isbn&gt;0170-8406&lt;/isbn&gt;&lt;urls&gt;&lt;/urls&gt;&lt;/record&gt;&lt;/Cite&gt;&lt;/EndNote&gt;</w:instrText>
      </w:r>
      <w:r w:rsidR="00465F24">
        <w:rPr>
          <w:szCs w:val="22"/>
        </w:rPr>
        <w:fldChar w:fldCharType="separate"/>
      </w:r>
      <w:r w:rsidR="00465F24">
        <w:rPr>
          <w:noProof/>
          <w:szCs w:val="22"/>
        </w:rPr>
        <w:t>(</w:t>
      </w:r>
      <w:hyperlink w:anchor="_ENREF_56" w:tooltip="Leveson, 2009 #1395" w:history="1">
        <w:r w:rsidR="00465F24" w:rsidRPr="004C6DEC">
          <w:rPr>
            <w:rStyle w:val="Hyperlink"/>
            <w:noProof/>
            <w:szCs w:val="22"/>
          </w:rPr>
          <w:t>Leveson et al., 2009</w:t>
        </w:r>
      </w:hyperlink>
      <w:r w:rsidR="00465F24">
        <w:rPr>
          <w:noProof/>
          <w:szCs w:val="22"/>
        </w:rPr>
        <w:t>)</w:t>
      </w:r>
      <w:r w:rsidR="00465F24">
        <w:rPr>
          <w:szCs w:val="22"/>
        </w:rPr>
        <w:fldChar w:fldCharType="end"/>
      </w:r>
      <w:r>
        <w:rPr>
          <w:szCs w:val="22"/>
        </w:rPr>
        <w:t xml:space="preserve">. </w:t>
      </w:r>
      <w:hyperlink w:anchor="_ENREF_56" w:tooltip="Leveson, 2009 #1395" w:history="1">
        <w:r w:rsidR="000B4186" w:rsidRPr="004C6DEC">
          <w:rPr>
            <w:rStyle w:val="Hyperlink"/>
            <w:szCs w:val="22"/>
          </w:rPr>
          <w:fldChar w:fldCharType="begin"/>
        </w:r>
        <w:r w:rsidR="00627756" w:rsidRPr="004C6DEC">
          <w:rPr>
            <w:rStyle w:val="Hyperlink"/>
            <w:szCs w:val="22"/>
          </w:rPr>
          <w:instrText xml:space="preserve"> ADDIN EN.CITE &lt;EndNote&gt;&lt;Cite AuthorYear="1"&gt;&lt;Author&gt;Leveson&lt;/Author&gt;&lt;Year&gt;2009&lt;/Year&gt;&lt;RecNum&gt;1395&lt;/RecNum&gt;&lt;DisplayText&gt;Leveson et al. (2009)&lt;/DisplayText&gt;&lt;record&gt;&lt;rec-number&gt;1395&lt;/rec-number&gt;&lt;foreign-keys&gt;&lt;key app="EN" db-id="0w05zrd59zdxwmexsxlxa0purxdzd2svavae" timestamp="1550928496"&gt;1395&lt;/key&gt;&lt;/foreign-keys&gt;&lt;ref-type name="Journal Article"&gt;17&lt;/ref-type&gt;&lt;contributors&gt;&lt;authors&gt;&lt;author&gt;Leveson, Nancy&lt;/author&gt;&lt;author&gt;Dulac, Nicolas&lt;/author&gt;&lt;author&gt;Marais, Karen&lt;/author&gt;&lt;author&gt;Carroll, John&lt;/author&gt;&lt;/authors&gt;&lt;/contributors&gt;&lt;titles&gt;&lt;title&gt;Moving beyond normal accidents and high reliability organizations: A systems approach to safety in complex systems&lt;/title&gt;&lt;secondary-title&gt;Organization Studies&lt;/secondary-title&gt;&lt;/titles&gt;&lt;periodical&gt;&lt;full-title&gt;Organization studies&lt;/full-title&gt;&lt;/periodical&gt;&lt;pages&gt;227-249&lt;/pages&gt;&lt;volume&gt;30&lt;/volume&gt;&lt;number&gt;2-3&lt;/number&gt;&lt;dates&gt;&lt;year&gt;2009&lt;/year&gt;&lt;/dates&gt;&lt;isbn&gt;0170-8406&lt;/isbn&gt;&lt;urls&gt;&lt;/urls&gt;&lt;/record&gt;&lt;/Cite&gt;&lt;/EndNote&gt;</w:instrText>
        </w:r>
        <w:r w:rsidR="000B4186" w:rsidRPr="004C6DEC">
          <w:rPr>
            <w:rStyle w:val="Hyperlink"/>
            <w:szCs w:val="22"/>
          </w:rPr>
          <w:fldChar w:fldCharType="separate"/>
        </w:r>
        <w:r w:rsidR="000B4186" w:rsidRPr="004C6DEC">
          <w:rPr>
            <w:rStyle w:val="Hyperlink"/>
            <w:noProof/>
            <w:szCs w:val="22"/>
          </w:rPr>
          <w:t>Leveson et al. (2009)</w:t>
        </w:r>
        <w:r w:rsidR="000B4186" w:rsidRPr="004C6DEC">
          <w:rPr>
            <w:rStyle w:val="Hyperlink"/>
            <w:szCs w:val="22"/>
          </w:rPr>
          <w:fldChar w:fldCharType="end"/>
        </w:r>
      </w:hyperlink>
      <w:r w:rsidR="000B4186">
        <w:rPr>
          <w:szCs w:val="22"/>
        </w:rPr>
        <w:t xml:space="preserve"> </w:t>
      </w:r>
      <w:r>
        <w:rPr>
          <w:szCs w:val="22"/>
        </w:rPr>
        <w:t xml:space="preserve">argue that HRO routines may not be applicable to other organizations because HRO processes are stable and the focus of an HRO organization is not on improving efficiencies but rather on ensuring safety. Although firms can learn from these organizations, the lessons </w:t>
      </w:r>
      <w:r w:rsidR="00130E5D">
        <w:rPr>
          <w:szCs w:val="22"/>
        </w:rPr>
        <w:t>may</w:t>
      </w:r>
      <w:r>
        <w:rPr>
          <w:szCs w:val="22"/>
        </w:rPr>
        <w:t xml:space="preserve"> not</w:t>
      </w:r>
      <w:r w:rsidR="00130E5D">
        <w:rPr>
          <w:szCs w:val="22"/>
        </w:rPr>
        <w:t xml:space="preserve"> be</w:t>
      </w:r>
      <w:r>
        <w:rPr>
          <w:szCs w:val="22"/>
        </w:rPr>
        <w:t xml:space="preserve"> directly applicable to firms that do not emphasize safety as their main mission</w:t>
      </w:r>
      <w:r w:rsidR="00EB6920" w:rsidRPr="00EB6920">
        <w:t xml:space="preserve"> </w:t>
      </w:r>
      <w:r w:rsidR="00465F24">
        <w:rPr>
          <w:szCs w:val="22"/>
        </w:rPr>
        <w:fldChar w:fldCharType="begin"/>
      </w:r>
      <w:r w:rsidR="00465F24">
        <w:rPr>
          <w:szCs w:val="22"/>
        </w:rPr>
        <w:instrText xml:space="preserve"> ADDIN EN.CITE &lt;EndNote&gt;&lt;Cite&gt;&lt;Author&gt;Weick&lt;/Author&gt;&lt;Year&gt;2008&lt;/Year&gt;&lt;RecNum&gt;1404&lt;/RecNum&gt;&lt;DisplayText&gt;(Weick et al., 2008)&lt;/DisplayText&gt;&lt;record&gt;&lt;rec-number&gt;1404&lt;/rec-number&gt;&lt;foreign-keys&gt;&lt;key app="EN" db-id="0w05zrd59zdxwmexsxlxa0purxdzd2svavae" timestamp="1550929151"&gt;1404&lt;/key&gt;&lt;/foreign-keys&gt;&lt;ref-type name="Journal Article"&gt;17&lt;/ref-type&gt;&lt;contributors&gt;&lt;authors&gt;&lt;author&gt;Weick, Karl E&lt;/author&gt;&lt;author&gt;Sutcliffe, Kathleen M&lt;/author&gt;&lt;author&gt;Obstfeld, David&lt;/author&gt;&lt;/authors&gt;&lt;/contributors&gt;&lt;titles&gt;&lt;title&gt;Organizing for high reliability: Processes of collective mindfulness&lt;/title&gt;&lt;secondary-title&gt;Crisis management&lt;/secondary-title&gt;&lt;/titles&gt;&lt;periodical&gt;&lt;full-title&gt;Crisis management&lt;/full-title&gt;&lt;/periodical&gt;&lt;pages&gt;81-123&lt;/pages&gt;&lt;volume&gt;3&lt;/volume&gt;&lt;number&gt;1&lt;/number&gt;&lt;dates&gt;&lt;year&gt;2008&lt;/year&gt;&lt;/dates&gt;&lt;urls&gt;&lt;/urls&gt;&lt;/record&gt;&lt;/Cite&gt;&lt;/EndNote&gt;</w:instrText>
      </w:r>
      <w:r w:rsidR="00465F24">
        <w:rPr>
          <w:szCs w:val="22"/>
        </w:rPr>
        <w:fldChar w:fldCharType="separate"/>
      </w:r>
      <w:r w:rsidR="00465F24">
        <w:rPr>
          <w:noProof/>
          <w:szCs w:val="22"/>
        </w:rPr>
        <w:t>(</w:t>
      </w:r>
      <w:hyperlink w:anchor="_ENREF_104" w:tooltip="Weick, 2008 #1404" w:history="1">
        <w:r w:rsidR="00465F24" w:rsidRPr="004C6DEC">
          <w:rPr>
            <w:rStyle w:val="Hyperlink"/>
            <w:noProof/>
            <w:szCs w:val="22"/>
          </w:rPr>
          <w:t>Weick et al., 2008</w:t>
        </w:r>
      </w:hyperlink>
      <w:r w:rsidR="00465F24">
        <w:rPr>
          <w:noProof/>
          <w:szCs w:val="22"/>
        </w:rPr>
        <w:t>)</w:t>
      </w:r>
      <w:r w:rsidR="00465F24">
        <w:rPr>
          <w:szCs w:val="22"/>
        </w:rPr>
        <w:fldChar w:fldCharType="end"/>
      </w:r>
      <w:r>
        <w:rPr>
          <w:szCs w:val="22"/>
        </w:rPr>
        <w:t>. Further, some HRO researchers have argued that typical organizational processes proposed by organizational researchers may not be applicable to HROs because they are fundamentally different from typical firms</w:t>
      </w:r>
      <w:r w:rsidR="00EB6920" w:rsidRPr="00EB6920">
        <w:t xml:space="preserve"> </w:t>
      </w:r>
      <w:r w:rsidR="00465F24">
        <w:rPr>
          <w:szCs w:val="22"/>
        </w:rPr>
        <w:fldChar w:fldCharType="begin"/>
      </w:r>
      <w:r w:rsidR="00465F24">
        <w:rPr>
          <w:szCs w:val="22"/>
        </w:rPr>
        <w:instrText xml:space="preserve"> ADDIN EN.CITE &lt;EndNote&gt;&lt;Cite&gt;&lt;Author&gt;Roberts&lt;/Author&gt;&lt;Year&gt;1990&lt;/Year&gt;&lt;RecNum&gt;1386&lt;/RecNum&gt;&lt;DisplayText&gt;(Roberts, 1990)&lt;/DisplayText&gt;&lt;record&gt;&lt;rec-number&gt;1386&lt;/rec-number&gt;&lt;foreign-keys&gt;&lt;key app="EN" db-id="0w05zrd59zdxwmexsxlxa0purxdzd2svavae" timestamp="1550890530"&gt;1386&lt;/key&gt;&lt;/foreign-keys&gt;&lt;ref-type name="Journal Article"&gt;17&lt;/ref-type&gt;&lt;contributors&gt;&lt;authors&gt;&lt;author&gt;Roberts, Karlene H&lt;/author&gt;&lt;/authors&gt;&lt;/contributors&gt;&lt;titles&gt;&lt;title&gt;Some characteristics of one type of high reliability organization&lt;/title&gt;&lt;secondary-title&gt;Organization Science&lt;/secondary-title&gt;&lt;/titles&gt;&lt;periodical&gt;&lt;full-title&gt;Organization Science&lt;/full-title&gt;&lt;/periodical&gt;&lt;pages&gt;160-176&lt;/pages&gt;&lt;volume&gt;1&lt;/volume&gt;&lt;number&gt;2&lt;/number&gt;&lt;dates&gt;&lt;year&gt;1990&lt;/year&gt;&lt;/dates&gt;&lt;isbn&gt;1047-7039&lt;/isbn&gt;&lt;urls&gt;&lt;/urls&gt;&lt;/record&gt;&lt;/Cite&gt;&lt;/EndNote&gt;</w:instrText>
      </w:r>
      <w:r w:rsidR="00465F24">
        <w:rPr>
          <w:szCs w:val="22"/>
        </w:rPr>
        <w:fldChar w:fldCharType="separate"/>
      </w:r>
      <w:r w:rsidR="00465F24">
        <w:rPr>
          <w:noProof/>
          <w:szCs w:val="22"/>
        </w:rPr>
        <w:t>(</w:t>
      </w:r>
      <w:hyperlink w:anchor="_ENREF_73" w:tooltip="Roberts, 1990 #1386" w:history="1">
        <w:r w:rsidR="00465F24" w:rsidRPr="004C6DEC">
          <w:rPr>
            <w:rStyle w:val="Hyperlink"/>
            <w:noProof/>
            <w:szCs w:val="22"/>
          </w:rPr>
          <w:t>Roberts, 1990</w:t>
        </w:r>
      </w:hyperlink>
      <w:r w:rsidR="00465F24">
        <w:rPr>
          <w:noProof/>
          <w:szCs w:val="22"/>
        </w:rPr>
        <w:t>)</w:t>
      </w:r>
      <w:r w:rsidR="00465F24">
        <w:rPr>
          <w:szCs w:val="22"/>
        </w:rPr>
        <w:fldChar w:fldCharType="end"/>
      </w:r>
      <w:r>
        <w:rPr>
          <w:szCs w:val="22"/>
        </w:rPr>
        <w:t xml:space="preserve">. </w:t>
      </w:r>
    </w:p>
    <w:p w14:paraId="5FC76C82" w14:textId="750D3F9B" w:rsidR="00F13957" w:rsidRDefault="006478A4" w:rsidP="00FF2D0E">
      <w:pPr>
        <w:spacing w:line="480" w:lineRule="auto"/>
        <w:ind w:firstLine="720"/>
      </w:pPr>
      <w:r>
        <w:rPr>
          <w:szCs w:val="22"/>
        </w:rPr>
        <w:t>The above theories focus on catastrophic failures. Although they are inevitable, they are not as common as other indicators of failures such as near-misses</w:t>
      </w:r>
      <w:r w:rsidR="00EB6920" w:rsidRPr="00EB6920">
        <w:t xml:space="preserve"> </w:t>
      </w:r>
      <w:r w:rsidR="00465F24">
        <w:fldChar w:fldCharType="begin"/>
      </w:r>
      <w:r w:rsidR="00465F24">
        <w:instrText xml:space="preserve"> ADDIN EN.CITE &lt;EndNote&gt;&lt;Cite&gt;&lt;Author&gt;Skilton&lt;/Author&gt;&lt;Year&gt;2009&lt;/Year&gt;&lt;RecNum&gt;1381&lt;/RecNum&gt;&lt;DisplayText&gt;(Sagan, 1993; Skilton and Robinson, 2009)&lt;/DisplayText&gt;&lt;record&gt;&lt;rec-number&gt;1381&lt;/rec-number&gt;&lt;foreign-keys&gt;&lt;key app="EN" db-id="0w05zrd59zdxwmexsxlxa0purxdzd2svavae" timestamp="1550889992"&gt;1381&lt;/key&gt;&lt;/foreign-keys&gt;&lt;ref-type name="Journal Article"&gt;17&lt;/ref-type&gt;&lt;contributors&gt;&lt;authors&gt;&lt;author&gt;Skilton, Paul F&lt;/author&gt;&lt;author&gt;Robinson, Jessica L&lt;/author&gt;&lt;/authors&gt;&lt;/contributors&gt;&lt;titles&gt;&lt;title&gt;Traceability and normal accident theory: how does supply network complexity influence the traceability of adverse events?&lt;/title&gt;&lt;secondary-title&gt;Journal of Supply Chain Management&lt;/secondary-title&gt;&lt;/titles&gt;&lt;periodical&gt;&lt;full-title&gt;Journal of Supply Chain Management&lt;/full-title&gt;&lt;/periodical&gt;&lt;pages&gt;40-53&lt;/pages&gt;&lt;volume&gt;45&lt;/volume&gt;&lt;number&gt;3&lt;/number&gt;&lt;dates&gt;&lt;year&gt;2009&lt;/year&gt;&lt;/dates&gt;&lt;isbn&gt;1523-2409&lt;/isbn&gt;&lt;urls&gt;&lt;/urls&gt;&lt;/record&gt;&lt;/Cite&gt;&lt;Cite&gt;&lt;Author&gt;Sagan&lt;/Author&gt;&lt;Year&gt;1993&lt;/Year&gt;&lt;RecNum&gt;832&lt;/RecNum&gt;&lt;record&gt;&lt;rec-number&gt;832&lt;/rec-number&gt;&lt;foreign-keys&gt;&lt;key app="EN" db-id="0w05zrd59zdxwmexsxlxa0purxdzd2svavae" timestamp="0"&gt;832&lt;/key&gt;&lt;/foreign-keys&gt;&lt;ref-type name="Book"&gt;6&lt;/ref-type&gt;&lt;contributors&gt;&lt;authors&gt;&lt;author&gt;Sagan, Scott Douglas D.&lt;/author&gt;&lt;/authors&gt;&lt;/contributors&gt;&lt;titles&gt;&lt;title&gt;The limits of safety: Organizations, accidents, and nuclear weapons&lt;/title&gt;&lt;/titles&gt;&lt;edition&gt;4&lt;/edition&gt;&lt;dates&gt;&lt;year&gt;1993&lt;/year&gt;&lt;pub-dates&gt;&lt;date&gt;1993/08/19&lt;/date&gt;&lt;/pub-dates&gt;&lt;/dates&gt;&lt;pub-location&gt;United States&lt;/pub-location&gt;&lt;publisher&gt;Princeton University Press&lt;/publisher&gt;&lt;isbn&gt;9780691032214&lt;/isbn&gt;&lt;urls&gt;&lt;/urls&gt;&lt;/record&gt;&lt;/Cite&gt;&lt;/EndNote&gt;</w:instrText>
      </w:r>
      <w:r w:rsidR="00465F24">
        <w:fldChar w:fldCharType="separate"/>
      </w:r>
      <w:r w:rsidR="00465F24">
        <w:rPr>
          <w:noProof/>
        </w:rPr>
        <w:t>(</w:t>
      </w:r>
      <w:hyperlink w:anchor="_ENREF_76" w:tooltip="Sagan, 1993 #832" w:history="1">
        <w:r w:rsidR="00465F24" w:rsidRPr="004C6DEC">
          <w:rPr>
            <w:rStyle w:val="Hyperlink"/>
            <w:noProof/>
          </w:rPr>
          <w:t>Sagan, 1993</w:t>
        </w:r>
      </w:hyperlink>
      <w:r w:rsidR="00465F24">
        <w:rPr>
          <w:noProof/>
        </w:rPr>
        <w:t xml:space="preserve">; </w:t>
      </w:r>
      <w:hyperlink w:anchor="_ENREF_87" w:tooltip="Skilton, 2009 #1381" w:history="1">
        <w:r w:rsidR="00465F24" w:rsidRPr="004C6DEC">
          <w:rPr>
            <w:rStyle w:val="Hyperlink"/>
            <w:noProof/>
          </w:rPr>
          <w:t>Skilton and Robinson, 2009</w:t>
        </w:r>
      </w:hyperlink>
      <w:r w:rsidR="00465F24">
        <w:rPr>
          <w:noProof/>
        </w:rPr>
        <w:t>)</w:t>
      </w:r>
      <w:r w:rsidR="00465F24">
        <w:fldChar w:fldCharType="end"/>
      </w:r>
      <w:r>
        <w:rPr>
          <w:szCs w:val="22"/>
        </w:rPr>
        <w:t xml:space="preserve">. </w:t>
      </w:r>
      <w:bookmarkStart w:id="8" w:name="OLE_LINK4"/>
      <w:bookmarkStart w:id="9" w:name="OLE_LINK6"/>
      <w:bookmarkStart w:id="10" w:name="OLE_LINK7"/>
      <w:r w:rsidR="003D5CF2">
        <w:t xml:space="preserve">Table 1 </w:t>
      </w:r>
      <w:r w:rsidR="00FC5A86">
        <w:t xml:space="preserve">(Part 1) </w:t>
      </w:r>
      <w:bookmarkEnd w:id="8"/>
      <w:bookmarkEnd w:id="9"/>
      <w:bookmarkEnd w:id="10"/>
      <w:r w:rsidR="003966AA">
        <w:t xml:space="preserve">provides a summary of </w:t>
      </w:r>
      <w:r w:rsidR="001A54B5">
        <w:t xml:space="preserve">the </w:t>
      </w:r>
      <w:r w:rsidR="003D5CF2" w:rsidRPr="001A54B5">
        <w:rPr>
          <w:noProof/>
        </w:rPr>
        <w:t>literature</w:t>
      </w:r>
      <w:r w:rsidR="003D5CF2">
        <w:t xml:space="preserve"> </w:t>
      </w:r>
      <w:r w:rsidR="003966AA">
        <w:t xml:space="preserve">on near-misses across different fields of scientific </w:t>
      </w:r>
      <w:r w:rsidR="001A54B5">
        <w:rPr>
          <w:noProof/>
        </w:rPr>
        <w:t>i</w:t>
      </w:r>
      <w:r w:rsidR="003966AA" w:rsidRPr="001A54B5">
        <w:rPr>
          <w:noProof/>
        </w:rPr>
        <w:t>nquiry</w:t>
      </w:r>
      <w:r w:rsidR="003966AA">
        <w:t xml:space="preserve">. As can be seen, </w:t>
      </w:r>
      <w:r w:rsidR="001C622D">
        <w:t>a substantial</w:t>
      </w:r>
      <w:r w:rsidR="003966AA">
        <w:t xml:space="preserve"> </w:t>
      </w:r>
      <w:r w:rsidR="001C622D">
        <w:t>number of publications</w:t>
      </w:r>
      <w:r w:rsidR="003966AA">
        <w:t xml:space="preserve"> on near-misses is in medical </w:t>
      </w:r>
      <w:r w:rsidR="003D5CF2">
        <w:t>science</w:t>
      </w:r>
      <w:r w:rsidR="0004502A">
        <w:t>s</w:t>
      </w:r>
      <w:r w:rsidR="003D5CF2">
        <w:t xml:space="preserve">, followed by psychology/neurology, engineering </w:t>
      </w:r>
      <w:r w:rsidR="003D5CF2" w:rsidRPr="001A54B5">
        <w:rPr>
          <w:noProof/>
        </w:rPr>
        <w:t>and</w:t>
      </w:r>
      <w:r w:rsidR="003D5CF2">
        <w:t xml:space="preserve"> healthcare operations</w:t>
      </w:r>
      <w:r w:rsidR="00F13957">
        <w:t xml:space="preserve">. </w:t>
      </w:r>
      <w:r w:rsidR="003D5CF2">
        <w:t>A c</w:t>
      </w:r>
      <w:r w:rsidR="00F13957">
        <w:t xml:space="preserve">ommon </w:t>
      </w:r>
      <w:r w:rsidR="003D5CF2" w:rsidRPr="001A54B5">
        <w:rPr>
          <w:noProof/>
        </w:rPr>
        <w:t>acknowledgment</w:t>
      </w:r>
      <w:r w:rsidR="003D5CF2">
        <w:t xml:space="preserve"> across </w:t>
      </w:r>
      <w:r w:rsidR="00F13957">
        <w:t xml:space="preserve">these scientific streams is </w:t>
      </w:r>
      <w:r w:rsidR="0004502A">
        <w:t xml:space="preserve">that the </w:t>
      </w:r>
      <w:r w:rsidR="00F13957">
        <w:t>study of near-misses can improve</w:t>
      </w:r>
      <w:r w:rsidR="003D5CF2">
        <w:t xml:space="preserve"> error identification</w:t>
      </w:r>
      <w:r w:rsidR="00F13957">
        <w:t xml:space="preserve">. </w:t>
      </w:r>
      <w:r w:rsidR="0004502A">
        <w:t xml:space="preserve">Major </w:t>
      </w:r>
      <w:r w:rsidR="00FC5A86">
        <w:t>errors</w:t>
      </w:r>
      <w:r w:rsidR="00FC5A86" w:rsidRPr="00183F36">
        <w:t xml:space="preserve"> happen too infrequently to develo</w:t>
      </w:r>
      <w:r w:rsidR="0004502A">
        <w:t>p reliable generalizations from</w:t>
      </w:r>
      <w:r w:rsidR="00C20019">
        <w:t xml:space="preserve"> them</w:t>
      </w:r>
      <w:r w:rsidR="0004502A">
        <w:t xml:space="preserve">. Instead, </w:t>
      </w:r>
      <w:r w:rsidR="00FC5A86" w:rsidRPr="00183F36">
        <w:t xml:space="preserve">the fact that </w:t>
      </w:r>
      <w:r w:rsidR="00FC5A86">
        <w:t>near-miss</w:t>
      </w:r>
      <w:r w:rsidR="00FC5A86" w:rsidRPr="00183F36">
        <w:t xml:space="preserve">es happen more frequently provides </w:t>
      </w:r>
      <w:r w:rsidR="001A54B5">
        <w:t xml:space="preserve">an </w:t>
      </w:r>
      <w:r w:rsidR="00FC5A86" w:rsidRPr="001A54B5">
        <w:rPr>
          <w:noProof/>
        </w:rPr>
        <w:lastRenderedPageBreak/>
        <w:t>opportunity</w:t>
      </w:r>
      <w:r w:rsidR="00FC5A86" w:rsidRPr="00183F36">
        <w:t xml:space="preserve"> for identifying patterns and root cause</w:t>
      </w:r>
      <w:r w:rsidR="002D1F45">
        <w:t>s</w:t>
      </w:r>
      <w:r w:rsidR="00FC5A86" w:rsidRPr="00183F36">
        <w:t xml:space="preserve"> of potential systems related issues. </w:t>
      </w:r>
      <w:r w:rsidR="005E6D8D">
        <w:t xml:space="preserve">A second </w:t>
      </w:r>
      <w:r w:rsidR="00F13957">
        <w:t>common</w:t>
      </w:r>
      <w:r w:rsidR="005E6D8D">
        <w:t xml:space="preserve">ly noted matter across these fields </w:t>
      </w:r>
      <w:r w:rsidR="00F13957">
        <w:t>is that e</w:t>
      </w:r>
      <w:r w:rsidR="00F13957" w:rsidRPr="009177A3">
        <w:t xml:space="preserve">ffectively identifying and reporting </w:t>
      </w:r>
      <w:r w:rsidR="0004502A">
        <w:t xml:space="preserve">of </w:t>
      </w:r>
      <w:r w:rsidR="00F13957" w:rsidRPr="009177A3">
        <w:t xml:space="preserve">near-misses </w:t>
      </w:r>
      <w:r w:rsidR="001C622D">
        <w:t xml:space="preserve">is a </w:t>
      </w:r>
      <w:r w:rsidR="00F13957" w:rsidRPr="009177A3">
        <w:t>challeng</w:t>
      </w:r>
      <w:r w:rsidR="00F1614F">
        <w:t>e</w:t>
      </w:r>
      <w:r w:rsidR="00F13957" w:rsidRPr="009177A3">
        <w:t xml:space="preserve"> in </w:t>
      </w:r>
      <w:r w:rsidR="001C622D">
        <w:t xml:space="preserve">almost all </w:t>
      </w:r>
      <w:r w:rsidR="00F13957" w:rsidRPr="009177A3">
        <w:t>settings</w:t>
      </w:r>
      <w:r w:rsidR="001C622D">
        <w:t>.</w:t>
      </w:r>
      <w:r w:rsidR="00F13957" w:rsidRPr="009177A3">
        <w:t xml:space="preserve"> </w:t>
      </w:r>
      <w:r w:rsidR="0004502A">
        <w:t>To start, i</w:t>
      </w:r>
      <w:r w:rsidR="00F13957" w:rsidRPr="009177A3">
        <w:t>dentifying near-misses requires a subjective interpretation of a series of events that resulted in no observable negative outcome. It is the observer who has to interpret these events as a sign of potentially larger issues.</w:t>
      </w:r>
      <w:r w:rsidR="005E6D8D">
        <w:t xml:space="preserve"> </w:t>
      </w:r>
      <w:r w:rsidR="0004502A">
        <w:t xml:space="preserve">Literature in safety science suggests that it </w:t>
      </w:r>
      <w:r w:rsidR="005E6D8D" w:rsidRPr="009177A3">
        <w:t xml:space="preserve">is not uncommon for </w:t>
      </w:r>
      <w:r w:rsidR="005321B3">
        <w:t xml:space="preserve">plant </w:t>
      </w:r>
      <w:r w:rsidR="005E6D8D" w:rsidRPr="009177A3">
        <w:t>manage</w:t>
      </w:r>
      <w:r w:rsidR="005321B3">
        <w:t>ment</w:t>
      </w:r>
      <w:r w:rsidR="005E6D8D" w:rsidRPr="009177A3">
        <w:t xml:space="preserve"> to dismiss near-misses as ‘unique</w:t>
      </w:r>
      <w:r w:rsidR="001A54B5">
        <w:rPr>
          <w:noProof/>
        </w:rPr>
        <w:t>,’</w:t>
      </w:r>
      <w:r w:rsidR="005E6D8D" w:rsidRPr="009177A3">
        <w:t xml:space="preserve"> and ‘nonreplicable’ events </w:t>
      </w:r>
      <w:r w:rsidR="008A3004">
        <w:fldChar w:fldCharType="begin"/>
      </w:r>
      <w:r w:rsidR="008A3004">
        <w:instrText xml:space="preserve"> ADDIN EN.CITE &lt;EndNote&gt;&lt;Cite&gt;&lt;Author&gt;Baumard&lt;/Author&gt;&lt;Year&gt;2005&lt;/Year&gt;&lt;RecNum&gt;932&lt;/RecNum&gt;&lt;DisplayText&gt;(Baumard and Starbuck, 2005)&lt;/DisplayText&gt;&lt;record&gt;&lt;rec-number&gt;932&lt;/rec-number&gt;&lt;foreign-keys&gt;&lt;key app="EN" db-id="0w05zrd59zdxwmexsxlxa0purxdzd2svavae" timestamp="0"&gt;932&lt;/key&gt;&lt;/foreign-keys&gt;&lt;ref-type name="Journal Article"&gt;17&lt;/ref-type&gt;&lt;contributors&gt;&lt;authors&gt;&lt;author&gt;Philippe Baumard&lt;/author&gt;&lt;author&gt;William H. Starbuck&lt;/author&gt;&lt;/authors&gt;&lt;/contributors&gt;&lt;titles&gt;&lt;title&gt;Learning from failures: Why it may not happen&lt;/title&gt;&lt;secondary-title&gt;Long Range Planning&lt;/secondary-title&gt;&lt;/titles&gt;&lt;pages&gt;281-298&lt;/pages&gt;&lt;volume&gt;38&lt;/volume&gt;&lt;number&gt;3&lt;/number&gt;&lt;dates&gt;&lt;year&gt;2005&lt;/year&gt;&lt;/dates&gt;&lt;urls&gt;&lt;/urls&gt;&lt;/record&gt;&lt;/Cite&gt;&lt;/EndNote&gt;</w:instrText>
      </w:r>
      <w:r w:rsidR="008A3004">
        <w:fldChar w:fldCharType="separate"/>
      </w:r>
      <w:r w:rsidR="008A3004">
        <w:rPr>
          <w:noProof/>
        </w:rPr>
        <w:t>(</w:t>
      </w:r>
      <w:hyperlink w:anchor="_ENREF_9" w:tooltip="Baumard, 2005 #932" w:history="1">
        <w:r w:rsidR="008A3004" w:rsidRPr="004C6DEC">
          <w:rPr>
            <w:rStyle w:val="Hyperlink"/>
            <w:noProof/>
          </w:rPr>
          <w:t>Baumard and Starbuck, 2005</w:t>
        </w:r>
      </w:hyperlink>
      <w:r w:rsidR="008A3004">
        <w:rPr>
          <w:noProof/>
        </w:rPr>
        <w:t>)</w:t>
      </w:r>
      <w:r w:rsidR="008A3004">
        <w:fldChar w:fldCharType="end"/>
      </w:r>
      <w:r w:rsidR="008A3004">
        <w:t xml:space="preserve">. </w:t>
      </w:r>
      <w:r w:rsidR="0004502A">
        <w:t xml:space="preserve">Another important observation </w:t>
      </w:r>
      <w:r w:rsidR="00C4485C">
        <w:t xml:space="preserve">from safety science and crisis management is that </w:t>
      </w:r>
      <w:r w:rsidR="005E6D8D">
        <w:t xml:space="preserve">near-miss reporting is discouraged as a result of organizational </w:t>
      </w:r>
      <w:bookmarkStart w:id="11" w:name="OLE_LINK40"/>
      <w:r w:rsidR="005E6D8D">
        <w:t xml:space="preserve">culture </w:t>
      </w:r>
      <w:bookmarkEnd w:id="11"/>
      <w:r w:rsidR="005E6D8D">
        <w:t xml:space="preserve">and organizational bureaucracies </w:t>
      </w:r>
      <w:r w:rsidR="008A3004">
        <w:fldChar w:fldCharType="begin"/>
      </w:r>
      <w:r w:rsidR="00627756">
        <w:instrText xml:space="preserve"> ADDIN EN.CITE &lt;EndNote&gt;&lt;Cite&gt;&lt;Author&gt;Barach&lt;/Author&gt;&lt;Year&gt;2000&lt;/Year&gt;&lt;RecNum&gt;926&lt;/RecNum&gt;&lt;DisplayText&gt;(Barach, 2000)&lt;/DisplayText&gt;&lt;record&gt;&lt;rec-number&gt;926&lt;/rec-number&gt;&lt;foreign-keys&gt;&lt;key app="EN" db-id="0w05zrd59zdxwmexsxlxa0purxdzd2svavae" timestamp="0"&gt;926&lt;/key&gt;&lt;/foreign-keys&gt;&lt;ref-type name="Journal Article"&gt;17&lt;/ref-type&gt;&lt;contributors&gt;&lt;authors&gt;&lt;author&gt;Barach, P.&lt;/author&gt;&lt;/authors&gt;&lt;/contributors&gt;&lt;titles&gt;&lt;title&gt;Reporting and preventing medical mishaps: Lessons from non-medical near miss reporting systems&lt;/title&gt;&lt;secondary-title&gt;British Management Journal&lt;/secondary-title&gt;&lt;/titles&gt;&lt;periodical&gt;&lt;full-title&gt;British Management Journal&lt;/full-title&gt;&lt;/periodical&gt;&lt;pages&gt;759-763&lt;/pages&gt;&lt;volume&gt;320&lt;/volume&gt;&lt;number&gt;7237&lt;/number&gt;&lt;dates&gt;&lt;year&gt;2000&lt;/year&gt;&lt;pub-dates&gt;&lt;date&gt;2000/03/18&lt;/date&gt;&lt;/pub-dates&gt;&lt;/dates&gt;&lt;isbn&gt;0959-8138&lt;/isbn&gt;&lt;urls&gt;&lt;/urls&gt;&lt;electronic-resource-num&gt;10.1136/bmj.320.7237.759&lt;/electronic-resource-num&gt;&lt;/record&gt;&lt;/Cite&gt;&lt;/EndNote&gt;</w:instrText>
      </w:r>
      <w:r w:rsidR="008A3004">
        <w:fldChar w:fldCharType="separate"/>
      </w:r>
      <w:r w:rsidR="008A3004">
        <w:rPr>
          <w:noProof/>
        </w:rPr>
        <w:t>(</w:t>
      </w:r>
      <w:hyperlink w:anchor="_ENREF_7" w:tooltip="Barach, 2000 #926" w:history="1">
        <w:r w:rsidR="008A3004" w:rsidRPr="004C6DEC">
          <w:rPr>
            <w:rStyle w:val="Hyperlink"/>
            <w:noProof/>
          </w:rPr>
          <w:t>Barach, 2000</w:t>
        </w:r>
      </w:hyperlink>
      <w:r w:rsidR="008A3004">
        <w:rPr>
          <w:noProof/>
        </w:rPr>
        <w:t>)</w:t>
      </w:r>
      <w:r w:rsidR="008A3004">
        <w:fldChar w:fldCharType="end"/>
      </w:r>
      <w:r w:rsidR="008A3004">
        <w:t xml:space="preserve">. </w:t>
      </w:r>
    </w:p>
    <w:p w14:paraId="46FD8C13" w14:textId="77777777" w:rsidR="00FC5A86" w:rsidRPr="00183F36" w:rsidRDefault="00FC5A86" w:rsidP="00FC5A86">
      <w:pPr>
        <w:pStyle w:val="NoSpacing"/>
        <w:spacing w:line="480" w:lineRule="auto"/>
        <w:jc w:val="center"/>
        <w:rPr>
          <w:bCs/>
          <w:sz w:val="24"/>
          <w:szCs w:val="24"/>
        </w:rPr>
      </w:pPr>
      <w:r w:rsidRPr="00183F36">
        <w:rPr>
          <w:sz w:val="24"/>
          <w:szCs w:val="24"/>
        </w:rPr>
        <w:t xml:space="preserve">--- Insert Table 1 </w:t>
      </w:r>
      <w:r w:rsidRPr="00183F36">
        <w:rPr>
          <w:rFonts w:eastAsia="Times New Roman"/>
          <w:sz w:val="24"/>
          <w:szCs w:val="24"/>
        </w:rPr>
        <w:t>About</w:t>
      </w:r>
      <w:r w:rsidRPr="00183F36">
        <w:rPr>
          <w:sz w:val="24"/>
          <w:szCs w:val="24"/>
        </w:rPr>
        <w:t xml:space="preserve"> Here ---</w:t>
      </w:r>
    </w:p>
    <w:p w14:paraId="6831364F" w14:textId="1A4F04DB" w:rsidR="002C6CD3" w:rsidRPr="00183F36" w:rsidRDefault="00FC5A86">
      <w:pPr>
        <w:pStyle w:val="NoSpacing"/>
        <w:spacing w:line="480" w:lineRule="auto"/>
        <w:ind w:firstLine="720"/>
        <w:rPr>
          <w:rFonts w:eastAsia="Times New Roman"/>
          <w:sz w:val="24"/>
          <w:szCs w:val="24"/>
        </w:rPr>
      </w:pPr>
      <w:r w:rsidRPr="00F06631">
        <w:rPr>
          <w:rFonts w:eastAsia="Times New Roman"/>
          <w:sz w:val="24"/>
          <w:szCs w:val="24"/>
        </w:rPr>
        <w:t xml:space="preserve">Table 1 (Part 2) </w:t>
      </w:r>
      <w:r w:rsidRPr="00F40F94">
        <w:rPr>
          <w:rFonts w:eastAsia="Times New Roman"/>
          <w:sz w:val="24"/>
          <w:szCs w:val="24"/>
        </w:rPr>
        <w:t xml:space="preserve">provides </w:t>
      </w:r>
      <w:r w:rsidR="0004502A" w:rsidRPr="00F40F94">
        <w:rPr>
          <w:rFonts w:eastAsia="Times New Roman"/>
          <w:sz w:val="24"/>
          <w:szCs w:val="24"/>
        </w:rPr>
        <w:t xml:space="preserve">a focused view </w:t>
      </w:r>
      <w:r w:rsidRPr="00F40F94">
        <w:rPr>
          <w:rFonts w:eastAsia="Times New Roman"/>
          <w:sz w:val="24"/>
          <w:szCs w:val="24"/>
        </w:rPr>
        <w:t xml:space="preserve">of the literature on near-misses </w:t>
      </w:r>
      <w:r w:rsidR="0004502A" w:rsidRPr="00F40F94">
        <w:rPr>
          <w:rFonts w:eastAsia="Times New Roman"/>
          <w:sz w:val="24"/>
          <w:szCs w:val="24"/>
        </w:rPr>
        <w:t>as related to</w:t>
      </w:r>
      <w:r w:rsidR="00465F24">
        <w:rPr>
          <w:rFonts w:eastAsia="Times New Roman"/>
          <w:sz w:val="24"/>
          <w:szCs w:val="24"/>
        </w:rPr>
        <w:t xml:space="preserve"> supply chain </w:t>
      </w:r>
      <w:r w:rsidR="0004502A" w:rsidRPr="00F40F94">
        <w:rPr>
          <w:rFonts w:eastAsia="Times New Roman"/>
          <w:sz w:val="24"/>
          <w:szCs w:val="24"/>
        </w:rPr>
        <w:t>disruptions</w:t>
      </w:r>
      <w:r w:rsidRPr="00F40F94">
        <w:rPr>
          <w:rFonts w:eastAsia="Times New Roman"/>
          <w:sz w:val="24"/>
          <w:szCs w:val="24"/>
        </w:rPr>
        <w:t xml:space="preserve">. </w:t>
      </w:r>
      <w:r w:rsidR="00F13957" w:rsidRPr="00F06631">
        <w:rPr>
          <w:rFonts w:eastAsia="Times New Roman"/>
          <w:sz w:val="24"/>
          <w:szCs w:val="24"/>
        </w:rPr>
        <w:t>In</w:t>
      </w:r>
      <w:r w:rsidR="00F13957" w:rsidRPr="00183F36">
        <w:rPr>
          <w:rFonts w:eastAsia="Times New Roman"/>
          <w:sz w:val="24"/>
          <w:szCs w:val="24"/>
        </w:rPr>
        <w:t xml:space="preserve"> a supply chain context, the focus is on events that pertain to </w:t>
      </w:r>
      <w:r w:rsidR="001A54B5">
        <w:rPr>
          <w:rFonts w:eastAsia="Times New Roman"/>
          <w:sz w:val="24"/>
          <w:szCs w:val="24"/>
        </w:rPr>
        <w:t xml:space="preserve">the </w:t>
      </w:r>
      <w:r w:rsidR="00F13957" w:rsidRPr="001A54B5">
        <w:rPr>
          <w:rFonts w:eastAsia="Times New Roman"/>
          <w:noProof/>
          <w:sz w:val="24"/>
          <w:szCs w:val="24"/>
        </w:rPr>
        <w:t>inter-organizational</w:t>
      </w:r>
      <w:r w:rsidR="00F13957" w:rsidRPr="00183F36">
        <w:rPr>
          <w:rFonts w:eastAsia="Times New Roman"/>
          <w:sz w:val="24"/>
          <w:szCs w:val="24"/>
        </w:rPr>
        <w:t xml:space="preserve"> exchange of goods, services, funds</w:t>
      </w:r>
      <w:r w:rsidR="001A54B5">
        <w:rPr>
          <w:rFonts w:eastAsia="Times New Roman"/>
          <w:sz w:val="24"/>
          <w:szCs w:val="24"/>
        </w:rPr>
        <w:t>,</w:t>
      </w:r>
      <w:r w:rsidR="00F13957" w:rsidRPr="00183F36">
        <w:rPr>
          <w:rFonts w:eastAsia="Times New Roman"/>
          <w:sz w:val="24"/>
          <w:szCs w:val="24"/>
        </w:rPr>
        <w:t xml:space="preserve"> </w:t>
      </w:r>
      <w:r w:rsidR="00F13957" w:rsidRPr="001A54B5">
        <w:rPr>
          <w:rFonts w:eastAsia="Times New Roman"/>
          <w:noProof/>
          <w:sz w:val="24"/>
          <w:szCs w:val="24"/>
        </w:rPr>
        <w:t>and</w:t>
      </w:r>
      <w:r w:rsidR="00F13957" w:rsidRPr="00183F36">
        <w:rPr>
          <w:rFonts w:eastAsia="Times New Roman"/>
          <w:sz w:val="24"/>
          <w:szCs w:val="24"/>
        </w:rPr>
        <w:t xml:space="preserve"> information</w:t>
      </w:r>
      <w:r w:rsidR="000B3D10">
        <w:rPr>
          <w:rFonts w:eastAsia="Times New Roman"/>
          <w:sz w:val="24"/>
          <w:szCs w:val="24"/>
        </w:rPr>
        <w:t xml:space="preserve"> </w:t>
      </w:r>
      <w:r w:rsidR="008A3004">
        <w:rPr>
          <w:rFonts w:eastAsia="Times New Roman"/>
          <w:sz w:val="24"/>
          <w:szCs w:val="24"/>
        </w:rPr>
        <w:fldChar w:fldCharType="begin"/>
      </w:r>
      <w:r w:rsidR="008A3004">
        <w:rPr>
          <w:rFonts w:eastAsia="Times New Roman"/>
          <w:sz w:val="24"/>
          <w:szCs w:val="24"/>
        </w:rPr>
        <w:instrText xml:space="preserve"> ADDIN EN.CITE &lt;EndNote&gt;&lt;Cite&gt;&lt;Author&gt;Bode&lt;/Author&gt;&lt;Year&gt;2016&lt;/Year&gt;&lt;RecNum&gt;945&lt;/RecNum&gt;&lt;DisplayText&gt;(Bode and Macdonald, 2016)&lt;/DisplayText&gt;&lt;record&gt;&lt;rec-number&gt;945&lt;/rec-number&gt;&lt;foreign-keys&gt;&lt;key app="EN" db-id="0w05zrd59zdxwmexsxlxa0purxdzd2svavae" timestamp="0"&gt;945&lt;/key&gt;&lt;/foreign-keys&gt;&lt;ref-type name="Journal Article"&gt;17&lt;/ref-type&gt;&lt;contributors&gt;&lt;authors&gt;&lt;author&gt;Christoph Bode&lt;/author&gt;&lt;author&gt;John R. Macdonald&lt;/author&gt;&lt;/authors&gt;&lt;/contributors&gt;&lt;titles&gt;&lt;title&gt;Stages of Supply Chain Disruption: Response: Direct, Constraining, and Mediating Factors for Impact Mitigation&lt;/title&gt;&lt;secondary-title&gt;Decision Sciences&lt;/secondary-title&gt;&lt;/titles&gt;&lt;volume&gt;In Press&lt;/volume&gt;&lt;dates&gt;&lt;year&gt;2016&lt;/year&gt;&lt;/dates&gt;&lt;urls&gt;&lt;/urls&gt;&lt;/record&gt;&lt;/Cite&gt;&lt;/EndNote&gt;</w:instrText>
      </w:r>
      <w:r w:rsidR="008A3004">
        <w:rPr>
          <w:rFonts w:eastAsia="Times New Roman"/>
          <w:sz w:val="24"/>
          <w:szCs w:val="24"/>
        </w:rPr>
        <w:fldChar w:fldCharType="separate"/>
      </w:r>
      <w:r w:rsidR="008A3004">
        <w:rPr>
          <w:rFonts w:eastAsia="Times New Roman"/>
          <w:noProof/>
          <w:sz w:val="24"/>
          <w:szCs w:val="24"/>
        </w:rPr>
        <w:t>(</w:t>
      </w:r>
      <w:hyperlink w:anchor="_ENREF_14" w:tooltip="Bode, 2016 #945" w:history="1">
        <w:r w:rsidR="008A3004" w:rsidRPr="004C6DEC">
          <w:rPr>
            <w:rStyle w:val="Hyperlink"/>
            <w:rFonts w:eastAsia="Times New Roman"/>
            <w:noProof/>
            <w:sz w:val="24"/>
            <w:szCs w:val="24"/>
          </w:rPr>
          <w:t>Bode and Macdonald, 2016</w:t>
        </w:r>
      </w:hyperlink>
      <w:r w:rsidR="008A3004">
        <w:rPr>
          <w:rFonts w:eastAsia="Times New Roman"/>
          <w:noProof/>
          <w:sz w:val="24"/>
          <w:szCs w:val="24"/>
        </w:rPr>
        <w:t>)</w:t>
      </w:r>
      <w:r w:rsidR="008A3004">
        <w:rPr>
          <w:rFonts w:eastAsia="Times New Roman"/>
          <w:sz w:val="24"/>
          <w:szCs w:val="24"/>
        </w:rPr>
        <w:fldChar w:fldCharType="end"/>
      </w:r>
      <w:r w:rsidR="00F13957" w:rsidRPr="00183F36">
        <w:rPr>
          <w:rFonts w:eastAsia="Times New Roman"/>
          <w:sz w:val="24"/>
          <w:szCs w:val="24"/>
        </w:rPr>
        <w:t xml:space="preserve">. </w:t>
      </w:r>
      <w:r w:rsidR="00CC0BF1" w:rsidRPr="00183F36">
        <w:rPr>
          <w:rFonts w:eastAsia="Times New Roman"/>
          <w:sz w:val="24"/>
          <w:szCs w:val="24"/>
        </w:rPr>
        <w:t xml:space="preserve">By definition, </w:t>
      </w:r>
      <w:r w:rsidR="005E6D8D">
        <w:rPr>
          <w:rFonts w:eastAsia="Times New Roman"/>
          <w:sz w:val="24"/>
          <w:szCs w:val="24"/>
        </w:rPr>
        <w:t xml:space="preserve">supply chain </w:t>
      </w:r>
      <w:r w:rsidR="00412442">
        <w:rPr>
          <w:rFonts w:eastAsia="Times New Roman"/>
          <w:sz w:val="24"/>
          <w:szCs w:val="24"/>
        </w:rPr>
        <w:t>near-misses</w:t>
      </w:r>
      <w:r w:rsidR="00CC0BF1" w:rsidRPr="00183F36">
        <w:rPr>
          <w:rFonts w:eastAsia="Times New Roman"/>
          <w:sz w:val="24"/>
          <w:szCs w:val="24"/>
        </w:rPr>
        <w:t xml:space="preserve"> leave no injuries, and no property or equipment damage</w:t>
      </w:r>
      <w:r w:rsidR="00BE67EA">
        <w:rPr>
          <w:rFonts w:eastAsia="Times New Roman"/>
          <w:sz w:val="24"/>
          <w:szCs w:val="24"/>
        </w:rPr>
        <w:t xml:space="preserve"> </w:t>
      </w:r>
      <w:r w:rsidR="008A3004">
        <w:rPr>
          <w:rFonts w:eastAsia="Times New Roman"/>
          <w:sz w:val="24"/>
          <w:szCs w:val="24"/>
        </w:rPr>
        <w:fldChar w:fldCharType="begin"/>
      </w:r>
      <w:r w:rsidR="008A3004">
        <w:rPr>
          <w:rFonts w:eastAsia="Times New Roman"/>
          <w:sz w:val="24"/>
          <w:szCs w:val="24"/>
        </w:rPr>
        <w:instrText xml:space="preserve"> ADDIN EN.CITE &lt;EndNote&gt;&lt;Cite&gt;&lt;Author&gt;Williamsen&lt;/Author&gt;&lt;Year&gt;2013&lt;/Year&gt;&lt;RecNum&gt;1335&lt;/RecNum&gt;&lt;DisplayText&gt;(Williamsen, 2013)&lt;/DisplayText&gt;&lt;record&gt;&lt;rec-number&gt;1335&lt;/rec-number&gt;&lt;foreign-keys&gt;&lt;key app="EN" db-id="0w05zrd59zdxwmexsxlxa0purxdzd2svavae" timestamp="0"&gt;1335&lt;/key&gt;&lt;/foreign-keys&gt;&lt;ref-type name="Journal Article"&gt;17&lt;/ref-type&gt;&lt;contributors&gt;&lt;authors&gt;&lt;author&gt;Mike Williamsen&lt;/author&gt;&lt;/authors&gt;&lt;/contributors&gt;&lt;titles&gt;&lt;title&gt;Near-miss reporting: A missing link in safety culture&lt;/title&gt;&lt;secondary-title&gt;Professional Safety&lt;/secondary-title&gt;&lt;/titles&gt;&lt;pages&gt;46-50&lt;/pages&gt;&lt;volume&gt;58&lt;/volume&gt;&lt;number&gt;5&lt;/number&gt;&lt;dates&gt;&lt;year&gt;2013&lt;/year&gt;&lt;/dates&gt;&lt;urls&gt;&lt;/urls&gt;&lt;/record&gt;&lt;/Cite&gt;&lt;/EndNote&gt;</w:instrText>
      </w:r>
      <w:r w:rsidR="008A3004">
        <w:rPr>
          <w:rFonts w:eastAsia="Times New Roman"/>
          <w:sz w:val="24"/>
          <w:szCs w:val="24"/>
        </w:rPr>
        <w:fldChar w:fldCharType="separate"/>
      </w:r>
      <w:r w:rsidR="008A3004">
        <w:rPr>
          <w:rFonts w:eastAsia="Times New Roman"/>
          <w:noProof/>
          <w:sz w:val="24"/>
          <w:szCs w:val="24"/>
        </w:rPr>
        <w:t>(</w:t>
      </w:r>
      <w:hyperlink w:anchor="_ENREF_106" w:tooltip="Williamsen, 2013 #1335" w:history="1">
        <w:r w:rsidR="008A3004" w:rsidRPr="004C6DEC">
          <w:rPr>
            <w:rStyle w:val="Hyperlink"/>
            <w:rFonts w:eastAsia="Times New Roman"/>
            <w:noProof/>
            <w:sz w:val="24"/>
            <w:szCs w:val="24"/>
          </w:rPr>
          <w:t>Williamsen, 2013</w:t>
        </w:r>
      </w:hyperlink>
      <w:r w:rsidR="008A3004">
        <w:rPr>
          <w:rFonts w:eastAsia="Times New Roman"/>
          <w:noProof/>
          <w:sz w:val="24"/>
          <w:szCs w:val="24"/>
        </w:rPr>
        <w:t>)</w:t>
      </w:r>
      <w:r w:rsidR="008A3004">
        <w:rPr>
          <w:rFonts w:eastAsia="Times New Roman"/>
          <w:sz w:val="24"/>
          <w:szCs w:val="24"/>
        </w:rPr>
        <w:fldChar w:fldCharType="end"/>
      </w:r>
      <w:r w:rsidR="00CC0BF1" w:rsidRPr="00183F36">
        <w:rPr>
          <w:rFonts w:eastAsia="Times New Roman"/>
          <w:sz w:val="24"/>
          <w:szCs w:val="24"/>
        </w:rPr>
        <w:t xml:space="preserve">. </w:t>
      </w:r>
      <w:r w:rsidR="0004502A">
        <w:rPr>
          <w:rFonts w:eastAsia="Times New Roman"/>
          <w:sz w:val="24"/>
          <w:szCs w:val="24"/>
        </w:rPr>
        <w:t>Given the focus on efficiency and productivity</w:t>
      </w:r>
      <w:r w:rsidR="005321B3">
        <w:rPr>
          <w:rFonts w:eastAsia="Times New Roman"/>
          <w:sz w:val="24"/>
          <w:szCs w:val="24"/>
        </w:rPr>
        <w:t xml:space="preserve"> in supply chain operations</w:t>
      </w:r>
      <w:r w:rsidR="0004502A">
        <w:rPr>
          <w:rFonts w:eastAsia="Times New Roman"/>
          <w:sz w:val="24"/>
          <w:szCs w:val="24"/>
        </w:rPr>
        <w:t>, n</w:t>
      </w:r>
      <w:r w:rsidR="0004502A" w:rsidRPr="00FD22A4">
        <w:rPr>
          <w:rFonts w:eastAsia="Times New Roman"/>
          <w:sz w:val="24"/>
          <w:szCs w:val="24"/>
        </w:rPr>
        <w:t xml:space="preserve">ear-misses are often ignored because they carry low relevance and low potential impact </w:t>
      </w:r>
      <w:r w:rsidR="008A3004">
        <w:rPr>
          <w:rFonts w:eastAsia="Times New Roman"/>
          <w:sz w:val="24"/>
          <w:szCs w:val="24"/>
        </w:rPr>
        <w:fldChar w:fldCharType="begin"/>
      </w:r>
      <w:r w:rsidR="008A3004">
        <w:rPr>
          <w:rFonts w:eastAsia="Times New Roman"/>
          <w:sz w:val="24"/>
          <w:szCs w:val="24"/>
        </w:rPr>
        <w:instrText xml:space="preserve"> ADDIN EN.CITE &lt;EndNote&gt;&lt;Cite&gt;&lt;Author&gt;Lampel&lt;/Author&gt;&lt;Year&gt;2009&lt;/Year&gt;&lt;RecNum&gt;1126&lt;/RecNum&gt;&lt;DisplayText&gt;(Lampel et al., 2009)&lt;/DisplayText&gt;&lt;record&gt;&lt;rec-number&gt;1126&lt;/rec-number&gt;&lt;foreign-keys&gt;&lt;key app="EN" db-id="0w05zrd59zdxwmexsxlxa0purxdzd2svavae" timestamp="0"&gt;1126&lt;/key&gt;&lt;/foreign-keys&gt;&lt;ref-type name="Journal Article"&gt;17&lt;/ref-type&gt;&lt;contributors&gt;&lt;authors&gt;&lt;author&gt;Lampel, J.&lt;/author&gt;&lt;author&gt;Shamsie, J.&lt;/author&gt;&lt;author&gt;Shapira, Z.&lt;/author&gt;&lt;/authors&gt;&lt;/contributors&gt;&lt;titles&gt;&lt;title&gt;Experiencing the improbable: Rare events and organizational learning&lt;/title&gt;&lt;secondary-title&gt;Organization Science&lt;/secondary-title&gt;&lt;/titles&gt;&lt;periodical&gt;&lt;full-title&gt;Organization Science&lt;/full-title&gt;&lt;/periodical&gt;&lt;pages&gt;835-845&lt;/pages&gt;&lt;volume&gt;20&lt;/volume&gt;&lt;number&gt;5&lt;/number&gt;&lt;dates&gt;&lt;year&gt;2009&lt;/year&gt;&lt;pub-dates&gt;&lt;date&gt;Sep-Oct&lt;/date&gt;&lt;/pub-dates&gt;&lt;/dates&gt;&lt;isbn&gt;1047-7039&lt;/isbn&gt;&lt;accession-num&gt;WOS:000270304200001&lt;/accession-num&gt;&lt;urls&gt;&lt;related-urls&gt;&lt;url&gt;&amp;lt;Go to ISI&amp;gt;://WOS:000270304200001&lt;/url&gt;&lt;/related-urls&gt;&lt;/urls&gt;&lt;electronic-resource-num&gt;10.1287/orsc.1090.0479&lt;/electronic-resource-num&gt;&lt;/record&gt;&lt;/Cite&gt;&lt;/EndNote&gt;</w:instrText>
      </w:r>
      <w:r w:rsidR="008A3004">
        <w:rPr>
          <w:rFonts w:eastAsia="Times New Roman"/>
          <w:sz w:val="24"/>
          <w:szCs w:val="24"/>
        </w:rPr>
        <w:fldChar w:fldCharType="separate"/>
      </w:r>
      <w:r w:rsidR="008A3004">
        <w:rPr>
          <w:rFonts w:eastAsia="Times New Roman"/>
          <w:noProof/>
          <w:sz w:val="24"/>
          <w:szCs w:val="24"/>
        </w:rPr>
        <w:t>(</w:t>
      </w:r>
      <w:hyperlink w:anchor="_ENREF_55" w:tooltip="Lampel, 2009 #1126" w:history="1">
        <w:r w:rsidR="008A3004" w:rsidRPr="004C6DEC">
          <w:rPr>
            <w:rStyle w:val="Hyperlink"/>
            <w:rFonts w:eastAsia="Times New Roman"/>
            <w:noProof/>
            <w:sz w:val="24"/>
            <w:szCs w:val="24"/>
          </w:rPr>
          <w:t>Lampel et al., 2009</w:t>
        </w:r>
      </w:hyperlink>
      <w:r w:rsidR="008A3004">
        <w:rPr>
          <w:rFonts w:eastAsia="Times New Roman"/>
          <w:noProof/>
          <w:sz w:val="24"/>
          <w:szCs w:val="24"/>
        </w:rPr>
        <w:t>)</w:t>
      </w:r>
      <w:r w:rsidR="008A3004">
        <w:rPr>
          <w:rFonts w:eastAsia="Times New Roman"/>
          <w:sz w:val="24"/>
          <w:szCs w:val="24"/>
        </w:rPr>
        <w:fldChar w:fldCharType="end"/>
      </w:r>
      <w:r w:rsidR="00142827">
        <w:rPr>
          <w:rFonts w:eastAsia="Times New Roman"/>
          <w:sz w:val="24"/>
          <w:szCs w:val="24"/>
        </w:rPr>
        <w:fldChar w:fldCharType="begin" w:fldLock="1"/>
      </w:r>
      <w:r w:rsidR="00142827">
        <w:rPr>
          <w:rFonts w:eastAsia="Times New Roman"/>
          <w:sz w:val="24"/>
          <w:szCs w:val="24"/>
        </w:rPr>
        <w:instrText>ADDIN CSL_CITATION { "citationItems" : [ { "id" : "ITEM-1", "itemData" : { "abstract" : "Organizations that go through rare and unusual events, whether they are costly or beneficial, face the challenge of interpreting and learning from these experiences. Although research suggests that organizations respond to this challenge in a variety of ways, we lack a framework for comparing and analyzing how organizational learning is affected by rare events. This paper develops such a framework. We begin by first outlining two views of rare events. The first view defines rare events as probability estimates, usually calculated from the frequency of the event. The second view defines rare events as opportunities for unique sensemaking based on the enacted salience of specific features of the rare events. We next use these definitions to explore how rare events trigger learning, and then examine the kind of learning processes that are triggered by rare events. We conclude with a discussion of promising areas of research on learning from rare events.", "author" : [ { "dropping-particle" : "", "family" : "Lampel", "given" : "Joseph", "non-dropping-particle" : "", "parse-names" : false, "suffix" : "" }, { "dropping-particle" : "", "family" : "Shamsie", "given" : "Jamal", "non-dropping-particle" : "", "parse-names" : false, "suffix" : "" }, { "dropping-particle" : "", "family" : "Shapira", "given" : "Zur", "non-dropping-particle" : "", "parse-names" : false, "suffix" : "" } ], "container-title" : "Organization Science", "id" : "ITEM-1", "issue" : "5", "issued" : { "date-parts" : [ [ "2009" ] ] }, "page" : "835-845", "publisher" : "INFORMS", "title" : "Experiencing the Improbable: Rare Events and Organizational Learning", "type" : "article-journal", "volume" : "20" }, "uris" : [ "http://www.mendeley.com/documents/?uuid=6785e686-0262-498c-a647-028cb0ea2fd5" ] } ], "mendeley" : { "formattedCitation" : "(Lampel et al., 2009)", "plainTextFormattedCitation" : "(Lampel et al., 2009)", "previouslyFormattedCitation" : "(Lampel et al., 2009)" }, "properties" : {  }, "schema" : "https://github.com/citation-style-language/schema/raw/master/csl-citation.json" }</w:instrText>
      </w:r>
      <w:r w:rsidR="00142827">
        <w:rPr>
          <w:rFonts w:eastAsia="Times New Roman"/>
          <w:sz w:val="24"/>
          <w:szCs w:val="24"/>
        </w:rPr>
        <w:fldChar w:fldCharType="end"/>
      </w:r>
      <w:r w:rsidR="0004502A" w:rsidRPr="00BD3D70">
        <w:rPr>
          <w:rFonts w:eastAsia="Times New Roman"/>
          <w:sz w:val="24"/>
          <w:szCs w:val="24"/>
        </w:rPr>
        <w:t>.</w:t>
      </w:r>
      <w:r w:rsidR="005321B3" w:rsidRPr="00BD3D70">
        <w:rPr>
          <w:rFonts w:eastAsia="Times New Roman"/>
          <w:sz w:val="24"/>
          <w:szCs w:val="24"/>
        </w:rPr>
        <w:t xml:space="preserve"> </w:t>
      </w:r>
      <w:r w:rsidR="00F7382E" w:rsidRPr="007260B4">
        <w:rPr>
          <w:rFonts w:eastAsia="Times New Roman"/>
          <w:sz w:val="24"/>
          <w:szCs w:val="24"/>
        </w:rPr>
        <w:t>For some</w:t>
      </w:r>
      <w:r w:rsidR="00B15CF0" w:rsidRPr="007260B4">
        <w:rPr>
          <w:rFonts w:eastAsia="Times New Roman"/>
          <w:sz w:val="24"/>
          <w:szCs w:val="24"/>
        </w:rPr>
        <w:t xml:space="preserve">, the potential </w:t>
      </w:r>
      <w:r w:rsidR="002D1F45" w:rsidRPr="00BD3D70">
        <w:rPr>
          <w:rFonts w:eastAsia="Times New Roman"/>
          <w:sz w:val="24"/>
          <w:szCs w:val="24"/>
        </w:rPr>
        <w:t xml:space="preserve">for near-misses </w:t>
      </w:r>
      <w:r w:rsidR="00B15CF0" w:rsidRPr="007260B4">
        <w:rPr>
          <w:rFonts w:eastAsia="Times New Roman"/>
          <w:sz w:val="24"/>
          <w:szCs w:val="24"/>
        </w:rPr>
        <w:t xml:space="preserve">is </w:t>
      </w:r>
      <w:r w:rsidR="006A6088" w:rsidRPr="007260B4">
        <w:rPr>
          <w:rFonts w:eastAsia="Times New Roman"/>
          <w:sz w:val="24"/>
          <w:szCs w:val="24"/>
        </w:rPr>
        <w:t xml:space="preserve">presumed </w:t>
      </w:r>
      <w:r w:rsidR="00B15CF0" w:rsidRPr="007260B4">
        <w:rPr>
          <w:rFonts w:eastAsia="Times New Roman"/>
          <w:sz w:val="24"/>
          <w:szCs w:val="24"/>
        </w:rPr>
        <w:t xml:space="preserve">to be part of the </w:t>
      </w:r>
      <w:r w:rsidR="006A6088" w:rsidRPr="007260B4">
        <w:rPr>
          <w:rFonts w:eastAsia="Times New Roman"/>
          <w:sz w:val="24"/>
          <w:szCs w:val="24"/>
        </w:rPr>
        <w:t xml:space="preserve">risks of doing </w:t>
      </w:r>
      <w:r w:rsidR="00F023F6" w:rsidRPr="007260B4">
        <w:rPr>
          <w:rFonts w:eastAsia="Times New Roman"/>
          <w:sz w:val="24"/>
          <w:szCs w:val="24"/>
        </w:rPr>
        <w:t>business</w:t>
      </w:r>
      <w:r w:rsidR="00B15CF0" w:rsidRPr="007260B4">
        <w:rPr>
          <w:rFonts w:eastAsia="Times New Roman"/>
          <w:sz w:val="24"/>
          <w:szCs w:val="24"/>
        </w:rPr>
        <w:t xml:space="preserve">, thereby suggesting </w:t>
      </w:r>
      <w:r w:rsidR="006A6088" w:rsidRPr="007260B4">
        <w:rPr>
          <w:rFonts w:eastAsia="Times New Roman"/>
          <w:sz w:val="24"/>
          <w:szCs w:val="24"/>
        </w:rPr>
        <w:t xml:space="preserve">that there may be </w:t>
      </w:r>
      <w:r w:rsidR="00B15CF0" w:rsidRPr="007260B4">
        <w:rPr>
          <w:rFonts w:eastAsia="Times New Roman"/>
          <w:sz w:val="24"/>
          <w:szCs w:val="24"/>
        </w:rPr>
        <w:t xml:space="preserve">no need to report </w:t>
      </w:r>
      <w:r w:rsidR="00E7740A" w:rsidRPr="007260B4">
        <w:rPr>
          <w:rFonts w:eastAsia="Times New Roman"/>
          <w:sz w:val="24"/>
          <w:szCs w:val="24"/>
        </w:rPr>
        <w:t xml:space="preserve">such </w:t>
      </w:r>
      <w:r w:rsidR="00F023F6" w:rsidRPr="007260B4">
        <w:rPr>
          <w:rFonts w:eastAsia="Times New Roman"/>
          <w:sz w:val="24"/>
          <w:szCs w:val="24"/>
        </w:rPr>
        <w:t>divergences from the norm</w:t>
      </w:r>
      <w:r w:rsidR="00BB5265" w:rsidRPr="00BD3D70">
        <w:rPr>
          <w:rFonts w:eastAsia="Times New Roman"/>
          <w:sz w:val="24"/>
          <w:szCs w:val="24"/>
        </w:rPr>
        <w:t xml:space="preserve"> </w:t>
      </w:r>
      <w:r w:rsidR="008A3004">
        <w:rPr>
          <w:rFonts w:eastAsia="Times New Roman"/>
          <w:sz w:val="24"/>
          <w:szCs w:val="24"/>
        </w:rPr>
        <w:fldChar w:fldCharType="begin"/>
      </w:r>
      <w:r w:rsidR="008A3004">
        <w:rPr>
          <w:rFonts w:eastAsia="Times New Roman"/>
          <w:sz w:val="24"/>
          <w:szCs w:val="24"/>
        </w:rPr>
        <w:instrText xml:space="preserve"> ADDIN EN.CITE &lt;EndNote&gt;&lt;Cite&gt;&lt;Author&gt;Juttner&lt;/Author&gt;&lt;Year&gt;2003&lt;/Year&gt;&lt;RecNum&gt;1097&lt;/RecNum&gt;&lt;DisplayText&gt;(Juttner et al., 2003)&lt;/DisplayText&gt;&lt;record&gt;&lt;rec-number&gt;1097&lt;/rec-number&gt;&lt;foreign-keys&gt;&lt;key app="EN" db-id="0w05zrd59zdxwmexsxlxa0purxdzd2svavae" timestamp="0"&gt;1097&lt;/key&gt;&lt;/foreign-keys&gt;&lt;ref-type name="Journal Article"&gt;17&lt;/ref-type&gt;&lt;contributors&gt;&lt;authors&gt;&lt;author&gt;Juttner, Uta&lt;/author&gt;&lt;author&gt;Peck, Helen&lt;/author&gt;&lt;author&gt;Christopher, Martin&lt;/author&gt;&lt;/authors&gt;&lt;/contributors&gt;&lt;titles&gt;&lt;title&gt;Supply chain risk management: outlining an agenda for future research&lt;/title&gt;&lt;secondary-title&gt;International Journal of Logistics Research and Applications&lt;/secondary-title&gt;&lt;/titles&gt;&lt;pages&gt;197-210&lt;/pages&gt;&lt;volume&gt;6&lt;/volume&gt;&lt;number&gt;4&lt;/number&gt;&lt;dates&gt;&lt;year&gt;2003&lt;/year&gt;&lt;pub-dates&gt;&lt;date&gt;2003/12/01&lt;/date&gt;&lt;/pub-dates&gt;&lt;/dates&gt;&lt;publisher&gt;Informa UK&lt;/publisher&gt;&lt;isbn&gt;1367-5567&lt;/isbn&gt;&lt;urls&gt;&lt;/urls&gt;&lt;electronic-resource-num&gt;10.1080/13675560310001627016&lt;/electronic-resource-num&gt;&lt;/record&gt;&lt;/Cite&gt;&lt;/EndNote&gt;</w:instrText>
      </w:r>
      <w:r w:rsidR="008A3004">
        <w:rPr>
          <w:rFonts w:eastAsia="Times New Roman"/>
          <w:sz w:val="24"/>
          <w:szCs w:val="24"/>
        </w:rPr>
        <w:fldChar w:fldCharType="separate"/>
      </w:r>
      <w:r w:rsidR="008A3004">
        <w:rPr>
          <w:rFonts w:eastAsia="Times New Roman"/>
          <w:noProof/>
          <w:sz w:val="24"/>
          <w:szCs w:val="24"/>
        </w:rPr>
        <w:t>(</w:t>
      </w:r>
      <w:hyperlink w:anchor="_ENREF_51" w:tooltip="Juttner, 2003 #1097" w:history="1">
        <w:r w:rsidR="008A3004" w:rsidRPr="004C6DEC">
          <w:rPr>
            <w:rStyle w:val="Hyperlink"/>
            <w:rFonts w:eastAsia="Times New Roman"/>
            <w:noProof/>
            <w:sz w:val="24"/>
            <w:szCs w:val="24"/>
          </w:rPr>
          <w:t>Juttner et al., 2003</w:t>
        </w:r>
      </w:hyperlink>
      <w:r w:rsidR="008A3004">
        <w:rPr>
          <w:rFonts w:eastAsia="Times New Roman"/>
          <w:noProof/>
          <w:sz w:val="24"/>
          <w:szCs w:val="24"/>
        </w:rPr>
        <w:t>)</w:t>
      </w:r>
      <w:r w:rsidR="008A3004">
        <w:rPr>
          <w:rFonts w:eastAsia="Times New Roman"/>
          <w:sz w:val="24"/>
          <w:szCs w:val="24"/>
        </w:rPr>
        <w:fldChar w:fldCharType="end"/>
      </w:r>
      <w:r w:rsidR="008A3004" w:rsidRPr="001A54B5">
        <w:rPr>
          <w:rFonts w:eastAsia="Times New Roman"/>
          <w:noProof/>
          <w:sz w:val="24"/>
          <w:szCs w:val="24"/>
        </w:rPr>
        <w:t xml:space="preserve">. </w:t>
      </w:r>
      <w:r w:rsidR="00BB5265" w:rsidRPr="001A54B5">
        <w:rPr>
          <w:rFonts w:eastAsia="Times New Roman"/>
          <w:noProof/>
          <w:sz w:val="24"/>
          <w:szCs w:val="24"/>
        </w:rPr>
        <w:t>Nevertheless</w:t>
      </w:r>
      <w:r w:rsidR="00BB5265">
        <w:rPr>
          <w:rFonts w:eastAsia="Times New Roman"/>
          <w:sz w:val="24"/>
          <w:szCs w:val="24"/>
        </w:rPr>
        <w:t xml:space="preserve">, this literature stream echoes the call made by others: </w:t>
      </w:r>
      <w:r w:rsidR="00B15CF0" w:rsidRPr="009177A3">
        <w:rPr>
          <w:rFonts w:eastAsia="Times New Roman"/>
        </w:rPr>
        <w:t xml:space="preserve"> </w:t>
      </w:r>
      <w:r w:rsidR="00564820" w:rsidRPr="00183F36">
        <w:rPr>
          <w:rFonts w:eastAsia="Times New Roman"/>
          <w:sz w:val="24"/>
          <w:szCs w:val="24"/>
        </w:rPr>
        <w:t xml:space="preserve">Information gained from </w:t>
      </w:r>
      <w:r w:rsidR="00412442">
        <w:rPr>
          <w:rFonts w:eastAsia="Times New Roman"/>
          <w:sz w:val="24"/>
          <w:szCs w:val="24"/>
        </w:rPr>
        <w:t>near-misses</w:t>
      </w:r>
      <w:r w:rsidR="00564820" w:rsidRPr="00183F36">
        <w:rPr>
          <w:rFonts w:eastAsia="Times New Roman"/>
          <w:sz w:val="24"/>
          <w:szCs w:val="24"/>
        </w:rPr>
        <w:t xml:space="preserve"> can help introduc</w:t>
      </w:r>
      <w:r w:rsidR="00DA08DB">
        <w:rPr>
          <w:rFonts w:eastAsia="Times New Roman"/>
          <w:sz w:val="24"/>
          <w:szCs w:val="24"/>
        </w:rPr>
        <w:t>e</w:t>
      </w:r>
      <w:r w:rsidR="00564820" w:rsidRPr="00183F36">
        <w:rPr>
          <w:rFonts w:eastAsia="Times New Roman"/>
          <w:sz w:val="24"/>
          <w:szCs w:val="24"/>
        </w:rPr>
        <w:t xml:space="preserve"> </w:t>
      </w:r>
      <w:r w:rsidR="002D1F45">
        <w:rPr>
          <w:rFonts w:eastAsia="Times New Roman"/>
          <w:sz w:val="24"/>
          <w:szCs w:val="24"/>
        </w:rPr>
        <w:t>structural</w:t>
      </w:r>
      <w:r w:rsidR="002D1F45" w:rsidRPr="00183F36">
        <w:rPr>
          <w:rFonts w:eastAsia="Times New Roman"/>
          <w:sz w:val="24"/>
          <w:szCs w:val="24"/>
        </w:rPr>
        <w:t xml:space="preserve"> </w:t>
      </w:r>
      <w:r w:rsidR="00564820" w:rsidRPr="00183F36">
        <w:rPr>
          <w:rFonts w:eastAsia="Times New Roman"/>
          <w:sz w:val="24"/>
          <w:szCs w:val="24"/>
        </w:rPr>
        <w:t xml:space="preserve">and behavioral changes that could prevent such catastrophes by terminating the root cause of the problem. </w:t>
      </w:r>
      <w:r w:rsidR="00BB5265">
        <w:rPr>
          <w:rFonts w:eastAsia="Times New Roman"/>
          <w:sz w:val="24"/>
          <w:szCs w:val="24"/>
        </w:rPr>
        <w:t xml:space="preserve">However, </w:t>
      </w:r>
      <w:r w:rsidR="00BB5265">
        <w:rPr>
          <w:bCs/>
          <w:sz w:val="24"/>
          <w:szCs w:val="24"/>
        </w:rPr>
        <w:t>a</w:t>
      </w:r>
      <w:r w:rsidR="00F72975" w:rsidRPr="00183F36">
        <w:rPr>
          <w:bCs/>
          <w:sz w:val="24"/>
          <w:szCs w:val="24"/>
        </w:rPr>
        <w:t>s Table 1</w:t>
      </w:r>
      <w:r w:rsidR="0004502A">
        <w:rPr>
          <w:bCs/>
          <w:sz w:val="24"/>
          <w:szCs w:val="24"/>
        </w:rPr>
        <w:t>-Part 2 suggests</w:t>
      </w:r>
      <w:r w:rsidR="00DA08DB">
        <w:rPr>
          <w:bCs/>
          <w:sz w:val="24"/>
          <w:szCs w:val="24"/>
        </w:rPr>
        <w:t>,</w:t>
      </w:r>
      <w:r w:rsidR="00F72975" w:rsidRPr="00183F36">
        <w:rPr>
          <w:bCs/>
          <w:sz w:val="24"/>
          <w:szCs w:val="24"/>
        </w:rPr>
        <w:t xml:space="preserve"> </w:t>
      </w:r>
      <w:r w:rsidR="009678E8" w:rsidRPr="00183F36">
        <w:rPr>
          <w:rFonts w:eastAsia="Times New Roman"/>
          <w:sz w:val="24"/>
          <w:szCs w:val="24"/>
        </w:rPr>
        <w:t xml:space="preserve">empirically based investigations </w:t>
      </w:r>
      <w:r w:rsidR="00333906" w:rsidRPr="00183F36">
        <w:rPr>
          <w:rFonts w:eastAsia="Times New Roman"/>
          <w:sz w:val="24"/>
          <w:szCs w:val="24"/>
        </w:rPr>
        <w:t xml:space="preserve">about </w:t>
      </w:r>
      <w:r w:rsidR="00BB5265">
        <w:rPr>
          <w:rFonts w:eastAsia="Times New Roman"/>
          <w:sz w:val="24"/>
          <w:szCs w:val="24"/>
        </w:rPr>
        <w:t xml:space="preserve">the benefits of </w:t>
      </w:r>
      <w:r w:rsidR="00412442">
        <w:rPr>
          <w:rFonts w:eastAsia="Times New Roman"/>
          <w:sz w:val="24"/>
          <w:szCs w:val="24"/>
        </w:rPr>
        <w:t>near-misses</w:t>
      </w:r>
      <w:r w:rsidR="00333906" w:rsidRPr="00183F36">
        <w:rPr>
          <w:rFonts w:eastAsia="Times New Roman"/>
          <w:sz w:val="24"/>
          <w:szCs w:val="24"/>
        </w:rPr>
        <w:t xml:space="preserve"> are scant</w:t>
      </w:r>
      <w:r w:rsidR="009678E8" w:rsidRPr="00183F36">
        <w:rPr>
          <w:rFonts w:eastAsia="Times New Roman"/>
          <w:sz w:val="24"/>
          <w:szCs w:val="24"/>
        </w:rPr>
        <w:t>.</w:t>
      </w:r>
      <w:r w:rsidR="008213B3" w:rsidRPr="00183F36">
        <w:rPr>
          <w:rFonts w:eastAsia="Times New Roman"/>
          <w:sz w:val="24"/>
          <w:szCs w:val="24"/>
        </w:rPr>
        <w:t xml:space="preserve"> </w:t>
      </w:r>
      <w:r w:rsidR="00DA08DB">
        <w:rPr>
          <w:rFonts w:eastAsia="Times New Roman"/>
          <w:sz w:val="24"/>
          <w:szCs w:val="24"/>
        </w:rPr>
        <w:t xml:space="preserve">Only a handful of </w:t>
      </w:r>
      <w:r w:rsidR="002C6CD3" w:rsidRPr="00183F36">
        <w:rPr>
          <w:rFonts w:eastAsia="Times New Roman"/>
          <w:sz w:val="24"/>
          <w:szCs w:val="24"/>
        </w:rPr>
        <w:t xml:space="preserve">studies have explored how experiencing </w:t>
      </w:r>
      <w:r w:rsidR="00412442">
        <w:rPr>
          <w:rFonts w:eastAsia="Times New Roman"/>
          <w:sz w:val="24"/>
          <w:szCs w:val="24"/>
        </w:rPr>
        <w:t>near-misses</w:t>
      </w:r>
      <w:r w:rsidR="00692DC4" w:rsidRPr="00183F36">
        <w:rPr>
          <w:rFonts w:eastAsia="Times New Roman"/>
          <w:sz w:val="24"/>
          <w:szCs w:val="24"/>
        </w:rPr>
        <w:t xml:space="preserve"> </w:t>
      </w:r>
      <w:r w:rsidR="002C6CD3" w:rsidRPr="00183F36">
        <w:rPr>
          <w:rFonts w:eastAsia="Times New Roman"/>
          <w:sz w:val="24"/>
          <w:szCs w:val="24"/>
        </w:rPr>
        <w:t>relate to firm behavior or strategy</w:t>
      </w:r>
      <w:r w:rsidR="00F72975" w:rsidRPr="00183F36">
        <w:rPr>
          <w:rFonts w:eastAsia="Times New Roman"/>
          <w:sz w:val="24"/>
          <w:szCs w:val="24"/>
        </w:rPr>
        <w:t xml:space="preserve">, </w:t>
      </w:r>
      <w:r w:rsidR="00DA08DB">
        <w:rPr>
          <w:rFonts w:eastAsia="Times New Roman"/>
          <w:sz w:val="24"/>
          <w:szCs w:val="24"/>
        </w:rPr>
        <w:t>e</w:t>
      </w:r>
      <w:r w:rsidR="00F72975" w:rsidRPr="00183F36">
        <w:rPr>
          <w:rFonts w:eastAsia="Times New Roman"/>
          <w:sz w:val="24"/>
          <w:szCs w:val="24"/>
        </w:rPr>
        <w:t xml:space="preserve">specially </w:t>
      </w:r>
      <w:r w:rsidR="00DA08DB">
        <w:rPr>
          <w:rFonts w:eastAsia="Times New Roman"/>
          <w:sz w:val="24"/>
          <w:szCs w:val="24"/>
        </w:rPr>
        <w:t>as related to</w:t>
      </w:r>
      <w:r w:rsidR="00465F24">
        <w:rPr>
          <w:rFonts w:eastAsia="Times New Roman"/>
          <w:sz w:val="24"/>
          <w:szCs w:val="24"/>
        </w:rPr>
        <w:t xml:space="preserve"> supply chain </w:t>
      </w:r>
      <w:r w:rsidR="00F72975" w:rsidRPr="00183F36">
        <w:rPr>
          <w:rFonts w:eastAsia="Times New Roman"/>
          <w:sz w:val="24"/>
          <w:szCs w:val="24"/>
        </w:rPr>
        <w:t>disruption</w:t>
      </w:r>
      <w:r w:rsidR="00DA08DB">
        <w:rPr>
          <w:rFonts w:eastAsia="Times New Roman"/>
          <w:sz w:val="24"/>
          <w:szCs w:val="24"/>
        </w:rPr>
        <w:t>s</w:t>
      </w:r>
      <w:r w:rsidR="00504686" w:rsidRPr="00183F36">
        <w:rPr>
          <w:rFonts w:eastAsia="Times New Roman"/>
          <w:sz w:val="24"/>
          <w:szCs w:val="24"/>
        </w:rPr>
        <w:t xml:space="preserve">. </w:t>
      </w:r>
    </w:p>
    <w:p w14:paraId="5B15657B" w14:textId="77777777" w:rsidR="006003DA" w:rsidRDefault="006003DA" w:rsidP="000D673B">
      <w:pPr>
        <w:rPr>
          <w:b/>
        </w:rPr>
      </w:pPr>
    </w:p>
    <w:p w14:paraId="27C740F4" w14:textId="616782E5" w:rsidR="000D673B" w:rsidRPr="00183F36" w:rsidRDefault="00E00BE7" w:rsidP="000D673B">
      <w:pPr>
        <w:rPr>
          <w:b/>
        </w:rPr>
      </w:pPr>
      <w:r>
        <w:rPr>
          <w:b/>
        </w:rPr>
        <w:t>Theory</w:t>
      </w:r>
    </w:p>
    <w:p w14:paraId="22138C96" w14:textId="77777777" w:rsidR="000D673B" w:rsidRPr="00183F36" w:rsidRDefault="000D673B" w:rsidP="000D673B"/>
    <w:p w14:paraId="5E00F9BE" w14:textId="01CEF034" w:rsidR="008B5249" w:rsidRDefault="000D673B" w:rsidP="000D673B">
      <w:pPr>
        <w:spacing w:line="480" w:lineRule="auto"/>
        <w:ind w:firstLine="720"/>
      </w:pPr>
      <w:r w:rsidRPr="00183F36">
        <w:t xml:space="preserve">Argyris and Schön differentiate between an organization’s learning approach based on two clusters, those using Model I and those using Model II </w:t>
      </w:r>
      <w:r w:rsidR="008A3004">
        <w:fldChar w:fldCharType="begin"/>
      </w:r>
      <w:r w:rsidR="008A3004">
        <w:instrText xml:space="preserve"> ADDIN EN.CITE &lt;EndNote&gt;&lt;Cite&gt;&lt;Author&gt;Argyris&lt;/Author&gt;&lt;Year&gt;1974&lt;/Year&gt;&lt;RecNum&gt;839&lt;/RecNum&gt;&lt;DisplayText&gt;(Argyris and Schön, 1974)&lt;/DisplayText&gt;&lt;record&gt;&lt;rec-number&gt;839&lt;/rec-number&gt;&lt;foreign-keys&gt;&lt;key app="EN" db-id="0w05zrd59zdxwmexsxlxa0purxdzd2svavae" timestamp="0"&gt;839&lt;/key&gt;&lt;/foreign-keys&gt;&lt;ref-type name="Book"&gt;6&lt;/ref-type&gt;&lt;contributors&gt;&lt;authors&gt;&lt;author&gt;Argyris, Chris&lt;/author&gt;&lt;author&gt;Schön, Donald A.&lt;/author&gt;&lt;/authors&gt;&lt;/contributors&gt;&lt;titles&gt;&lt;title&gt;Theory in practice: Increasing professional effectiveness&lt;/title&gt;&lt;/titles&gt;&lt;dates&gt;&lt;year&gt;1974&lt;/year&gt;&lt;pub-dates&gt;&lt;date&gt;1974/06/30&lt;/date&gt;&lt;/pub-dates&gt;&lt;/dates&gt;&lt;pub-location&gt;San Francisco&lt;/pub-location&gt;&lt;publisher&gt;Jossey-Bass Inc, Publishers&lt;/publisher&gt;&lt;isbn&gt;9780875892306&lt;/isbn&gt;&lt;urls&gt;&lt;/urls&gt;&lt;/record&gt;&lt;/Cite&gt;&lt;/EndNote&gt;</w:instrText>
      </w:r>
      <w:r w:rsidR="008A3004">
        <w:fldChar w:fldCharType="separate"/>
      </w:r>
      <w:r w:rsidR="008A3004">
        <w:rPr>
          <w:noProof/>
        </w:rPr>
        <w:t>(</w:t>
      </w:r>
      <w:hyperlink w:anchor="_ENREF_3" w:tooltip="Argyris, 1974 #839" w:history="1">
        <w:r w:rsidR="008A3004" w:rsidRPr="004C6DEC">
          <w:rPr>
            <w:rStyle w:val="Hyperlink"/>
            <w:noProof/>
          </w:rPr>
          <w:t>Argyris and Schön, 1974</w:t>
        </w:r>
      </w:hyperlink>
      <w:r w:rsidR="008A3004">
        <w:rPr>
          <w:noProof/>
        </w:rPr>
        <w:t>)</w:t>
      </w:r>
      <w:r w:rsidR="008A3004">
        <w:fldChar w:fldCharType="end"/>
      </w:r>
      <w:r w:rsidR="008A3004">
        <w:t xml:space="preserve">. </w:t>
      </w:r>
      <w:r w:rsidRPr="001A54B5">
        <w:rPr>
          <w:noProof/>
        </w:rPr>
        <w:t>Model</w:t>
      </w:r>
      <w:r w:rsidRPr="00183F36">
        <w:t xml:space="preserve"> I tends to lead to </w:t>
      </w:r>
      <w:r>
        <w:t>single-loop</w:t>
      </w:r>
      <w:r w:rsidRPr="00183F36">
        <w:t xml:space="preserve"> learning, which relies on a simple </w:t>
      </w:r>
      <w:r w:rsidRPr="001A54B5">
        <w:rPr>
          <w:noProof/>
        </w:rPr>
        <w:t>problem</w:t>
      </w:r>
      <w:r w:rsidR="001A54B5">
        <w:rPr>
          <w:noProof/>
        </w:rPr>
        <w:t>-</w:t>
      </w:r>
      <w:r w:rsidRPr="001A54B5">
        <w:rPr>
          <w:noProof/>
        </w:rPr>
        <w:t>solving</w:t>
      </w:r>
      <w:r w:rsidRPr="00183F36">
        <w:t xml:space="preserve"> process. Although </w:t>
      </w:r>
      <w:r>
        <w:t>single-loop</w:t>
      </w:r>
      <w:r w:rsidRPr="00183F36">
        <w:t xml:space="preserve"> learning is adaptive, it does not focus on treating the cause</w:t>
      </w:r>
      <w:r w:rsidR="001A54B5">
        <w:rPr>
          <w:noProof/>
        </w:rPr>
        <w:t>;</w:t>
      </w:r>
      <w:r w:rsidRPr="001A54B5">
        <w:rPr>
          <w:noProof/>
        </w:rPr>
        <w:t xml:space="preserve"> rather</w:t>
      </w:r>
      <w:r w:rsidRPr="00183F36">
        <w:t xml:space="preserve"> it </w:t>
      </w:r>
      <w:r>
        <w:t xml:space="preserve">looks </w:t>
      </w:r>
      <w:r w:rsidRPr="00183F36">
        <w:t xml:space="preserve">for an expeditious solution. </w:t>
      </w:r>
      <w:r>
        <w:t>W</w:t>
      </w:r>
      <w:r w:rsidRPr="00183F36">
        <w:t xml:space="preserve">hile errors are corrected, the underlying issues remain </w:t>
      </w:r>
      <w:r w:rsidR="008A3004">
        <w:fldChar w:fldCharType="begin"/>
      </w:r>
      <w:r w:rsidR="008A3004">
        <w:instrText xml:space="preserve"> ADDIN EN.CITE &lt;EndNote&gt;&lt;Cite&gt;&lt;Author&gt;Stead&lt;/Author&gt;&lt;Year&gt;1999&lt;/Year&gt;&lt;RecNum&gt;827&lt;/RecNum&gt;&lt;DisplayText&gt;(Stead and Smallman, 1999)&lt;/DisplayText&gt;&lt;record&gt;&lt;rec-number&gt;827&lt;/rec-number&gt;&lt;foreign-keys&gt;&lt;key app="EN" db-id="0w05zrd59zdxwmexsxlxa0purxdzd2svavae" timestamp="0"&gt;827&lt;/key&gt;&lt;/foreign-keys&gt;&lt;ref-type name="Journal Article"&gt;17&lt;/ref-type&gt;&lt;contributors&gt;&lt;authors&gt;&lt;author&gt;Eleanor Stead&lt;/author&gt;&lt;author&gt;Clive Smallman&lt;/author&gt;&lt;/authors&gt;&lt;/contributors&gt;&lt;titles&gt;&lt;title&gt;Understanding business failure: Learning and un-learning lessons from industrial crises&lt;/title&gt;&lt;secondary-title&gt;Journal Of Contingencies And Crisis Management&lt;/secondary-title&gt;&lt;/titles&gt;&lt;periodical&gt;&lt;full-title&gt;Journal of contingencies and crisis management&lt;/full-title&gt;&lt;/periodical&gt;&lt;pages&gt;1-18&lt;/pages&gt;&lt;volume&gt;7&lt;/volume&gt;&lt;number&gt;1&lt;/number&gt;&lt;dates&gt;&lt;year&gt;1999&lt;/year&gt;&lt;/dates&gt;&lt;urls&gt;&lt;/urls&gt;&lt;/record&gt;&lt;/Cite&gt;&lt;/EndNote&gt;</w:instrText>
      </w:r>
      <w:r w:rsidR="008A3004">
        <w:fldChar w:fldCharType="separate"/>
      </w:r>
      <w:r w:rsidR="008A3004">
        <w:rPr>
          <w:noProof/>
        </w:rPr>
        <w:t>(</w:t>
      </w:r>
      <w:hyperlink w:anchor="_ENREF_90" w:tooltip="Stead, 1999 #827" w:history="1">
        <w:r w:rsidR="008A3004" w:rsidRPr="004C6DEC">
          <w:rPr>
            <w:rStyle w:val="Hyperlink"/>
            <w:noProof/>
          </w:rPr>
          <w:t>Stead and Smallman, 1999</w:t>
        </w:r>
      </w:hyperlink>
      <w:r w:rsidR="008A3004">
        <w:rPr>
          <w:noProof/>
        </w:rPr>
        <w:t>)</w:t>
      </w:r>
      <w:r w:rsidR="008A3004">
        <w:fldChar w:fldCharType="end"/>
      </w:r>
      <w:r w:rsidR="00F557CC">
        <w:t xml:space="preserve">. </w:t>
      </w:r>
      <w:r w:rsidRPr="00183F36">
        <w:t xml:space="preserve">Model II leads to </w:t>
      </w:r>
      <w:r>
        <w:t>double-loop</w:t>
      </w:r>
      <w:r w:rsidRPr="00183F36">
        <w:t xml:space="preserve"> learning, which involves comparing the situation with existing organizational practices, questioning whether the</w:t>
      </w:r>
      <w:r>
        <w:t>se</w:t>
      </w:r>
      <w:r w:rsidRPr="00183F36">
        <w:t xml:space="preserve"> practices are still viable, and justifying whether </w:t>
      </w:r>
      <w:r>
        <w:t>the company should modify</w:t>
      </w:r>
      <w:r w:rsidRPr="00183F36">
        <w:t xml:space="preserve"> them. Unlike </w:t>
      </w:r>
      <w:r>
        <w:t>single-loop</w:t>
      </w:r>
      <w:r w:rsidRPr="00183F36">
        <w:t xml:space="preserve">, </w:t>
      </w:r>
      <w:r>
        <w:t>double-loop</w:t>
      </w:r>
      <w:r w:rsidRPr="00183F36">
        <w:t xml:space="preserve"> learning involves adaptation and modification of firm-specific </w:t>
      </w:r>
      <w:r w:rsidRPr="001A54B5">
        <w:rPr>
          <w:noProof/>
        </w:rPr>
        <w:t>competenc</w:t>
      </w:r>
      <w:r w:rsidR="001A54B5" w:rsidRPr="001A54B5">
        <w:rPr>
          <w:noProof/>
        </w:rPr>
        <w:t>i</w:t>
      </w:r>
      <w:r w:rsidRPr="001A54B5">
        <w:rPr>
          <w:noProof/>
        </w:rPr>
        <w:t>es</w:t>
      </w:r>
      <w:r w:rsidRPr="00183F36">
        <w:t xml:space="preserve"> and routines </w:t>
      </w:r>
      <w:r w:rsidR="008A3004">
        <w:fldChar w:fldCharType="begin"/>
      </w:r>
      <w:r w:rsidR="008A3004">
        <w:instrText xml:space="preserve"> ADDIN EN.CITE &lt;EndNote&gt;&lt;Cite&gt;&lt;Author&gt;Argyris&lt;/Author&gt;&lt;Year&gt;1974&lt;/Year&gt;&lt;RecNum&gt;839&lt;/RecNum&gt;&lt;DisplayText&gt;(Argyris and Schön, 1974)&lt;/DisplayText&gt;&lt;record&gt;&lt;rec-number&gt;839&lt;/rec-number&gt;&lt;foreign-keys&gt;&lt;key app="EN" db-id="0w05zrd59zdxwmexsxlxa0purxdzd2svavae" timestamp="0"&gt;839&lt;/key&gt;&lt;/foreign-keys&gt;&lt;ref-type name="Book"&gt;6&lt;/ref-type&gt;&lt;contributors&gt;&lt;authors&gt;&lt;author&gt;Argyris, Chris&lt;/author&gt;&lt;author&gt;Schön, Donald A.&lt;/author&gt;&lt;/authors&gt;&lt;/contributors&gt;&lt;titles&gt;&lt;title&gt;Theory in practice: Increasing professional effectiveness&lt;/title&gt;&lt;/titles&gt;&lt;dates&gt;&lt;year&gt;1974&lt;/year&gt;&lt;pub-dates&gt;&lt;date&gt;1974/06/30&lt;/date&gt;&lt;/pub-dates&gt;&lt;/dates&gt;&lt;pub-location&gt;San Francisco&lt;/pub-location&gt;&lt;publisher&gt;Jossey-Bass Inc, Publishers&lt;/publisher&gt;&lt;isbn&gt;9780875892306&lt;/isbn&gt;&lt;urls&gt;&lt;/urls&gt;&lt;/record&gt;&lt;/Cite&gt;&lt;/EndNote&gt;</w:instrText>
      </w:r>
      <w:r w:rsidR="008A3004">
        <w:fldChar w:fldCharType="separate"/>
      </w:r>
      <w:r w:rsidR="008A3004">
        <w:rPr>
          <w:noProof/>
        </w:rPr>
        <w:t>(</w:t>
      </w:r>
      <w:hyperlink w:anchor="_ENREF_3" w:tooltip="Argyris, 1974 #839" w:history="1">
        <w:r w:rsidR="008A3004" w:rsidRPr="004C6DEC">
          <w:rPr>
            <w:rStyle w:val="Hyperlink"/>
            <w:noProof/>
          </w:rPr>
          <w:t>Argyris and Schön, 1974</w:t>
        </w:r>
      </w:hyperlink>
      <w:r w:rsidR="008A3004">
        <w:rPr>
          <w:noProof/>
        </w:rPr>
        <w:t>)</w:t>
      </w:r>
      <w:r w:rsidR="008A3004">
        <w:fldChar w:fldCharType="end"/>
      </w:r>
      <w:r w:rsidR="008A3004">
        <w:t xml:space="preserve">. </w:t>
      </w:r>
      <w:r w:rsidRPr="00183F36">
        <w:t xml:space="preserve">The contrast between single and </w:t>
      </w:r>
      <w:r>
        <w:t>double-loop</w:t>
      </w:r>
      <w:r w:rsidRPr="00183F36">
        <w:t xml:space="preserve"> learning is particularly nascent for study</w:t>
      </w:r>
      <w:r>
        <w:t>ing</w:t>
      </w:r>
      <w:r w:rsidRPr="00183F36">
        <w:t xml:space="preserve"> supply chain </w:t>
      </w:r>
      <w:r>
        <w:t xml:space="preserve">risk and disruption management. </w:t>
      </w:r>
      <w:r w:rsidR="00C33FBB">
        <w:t>In</w:t>
      </w:r>
      <w:r w:rsidR="00FC5A86">
        <w:t>deed, o</w:t>
      </w:r>
      <w:r w:rsidR="00FC5A86" w:rsidRPr="00183F36">
        <w:t xml:space="preserve">rganizations improve by learning and correcting their errors </w:t>
      </w:r>
      <w:r w:rsidR="008A3004">
        <w:fldChar w:fldCharType="begin"/>
      </w:r>
      <w:r w:rsidR="00627756">
        <w:instrText xml:space="preserve"> ADDIN EN.CITE &lt;EndNote&gt;&lt;Cite&gt;&lt;Author&gt;Argyris&lt;/Author&gt;&lt;Year&gt;1976&lt;/Year&gt;&lt;RecNum&gt;823&lt;/RecNum&gt;&lt;DisplayText&gt;(Argyris, 1976)&lt;/DisplayText&gt;&lt;record&gt;&lt;rec-number&gt;823&lt;/rec-number&gt;&lt;foreign-keys&gt;&lt;key app="EN" db-id="0w05zrd59zdxwmexsxlxa0purxdzd2svavae" timestamp="0"&gt;823&lt;/key&gt;&lt;/foreign-keys&gt;&lt;ref-type name="Journal Article"&gt;17&lt;/ref-type&gt;&lt;contributors&gt;&lt;authors&gt;&lt;author&gt;Argyris, Chris&lt;/author&gt;&lt;/authors&gt;&lt;/contributors&gt;&lt;titles&gt;&lt;title&gt;Single-loop and double-loop models in research on decision making&lt;/title&gt;&lt;secondary-title&gt;Administrative Science Quarterly&lt;/secondary-title&gt;&lt;/titles&gt;&lt;pages&gt;363-375&lt;/pages&gt;&lt;volume&gt;21&lt;/volume&gt;&lt;number&gt;3&lt;/number&gt;&lt;dates&gt;&lt;year&gt;1976&lt;/year&gt;&lt;pub-dates&gt;&lt;date&gt;1976/09&lt;/date&gt;&lt;/pub-dates&gt;&lt;/dates&gt;&lt;publisher&gt;JSTOR&lt;/publisher&gt;&lt;isbn&gt;0001-8392&lt;/isbn&gt;&lt;urls&gt;&lt;/urls&gt;&lt;electronic-resource-num&gt;10.2307/2391848&lt;/electronic-resource-num&gt;&lt;/record&gt;&lt;/Cite&gt;&lt;/EndNote&gt;</w:instrText>
      </w:r>
      <w:r w:rsidR="008A3004">
        <w:fldChar w:fldCharType="separate"/>
      </w:r>
      <w:r w:rsidR="008A3004">
        <w:rPr>
          <w:noProof/>
        </w:rPr>
        <w:t>(</w:t>
      </w:r>
      <w:hyperlink w:anchor="_ENREF_2" w:tooltip="Argyris, 1976 #823" w:history="1">
        <w:r w:rsidR="008A3004" w:rsidRPr="004C6DEC">
          <w:rPr>
            <w:rStyle w:val="Hyperlink"/>
            <w:noProof/>
          </w:rPr>
          <w:t>Argyris, 1976</w:t>
        </w:r>
      </w:hyperlink>
      <w:r w:rsidR="008A3004">
        <w:rPr>
          <w:noProof/>
        </w:rPr>
        <w:t>)</w:t>
      </w:r>
      <w:r w:rsidR="008A3004">
        <w:fldChar w:fldCharType="end"/>
      </w:r>
      <w:r w:rsidR="008A3004">
        <w:t>.</w:t>
      </w:r>
      <w:r w:rsidR="008A3004" w:rsidRPr="008A3004">
        <w:t xml:space="preserve"> </w:t>
      </w:r>
      <w:r w:rsidR="00FC5A86">
        <w:t xml:space="preserve">In </w:t>
      </w:r>
      <w:r w:rsidR="00C33FBB">
        <w:t xml:space="preserve">the sections following, we will relate the theoretical explanations provided by Argyris and Schön to offer hypotheses on the effects of near-miss exposure to flexible and procedural response strategies. </w:t>
      </w:r>
    </w:p>
    <w:p w14:paraId="1C2A4DE4" w14:textId="19F1F9CB" w:rsidR="000D673B" w:rsidRPr="00183F36" w:rsidRDefault="000D673B" w:rsidP="000D673B">
      <w:pPr>
        <w:spacing w:line="480" w:lineRule="auto"/>
        <w:ind w:firstLine="720"/>
      </w:pPr>
      <w:r w:rsidRPr="00183F36">
        <w:t>What organization</w:t>
      </w:r>
      <w:r w:rsidR="00636CC7">
        <w:t>s</w:t>
      </w:r>
      <w:r w:rsidRPr="00183F36">
        <w:t xml:space="preserve"> focus on to learn </w:t>
      </w:r>
      <w:r w:rsidR="00636CC7">
        <w:t>about</w:t>
      </w:r>
      <w:r w:rsidRPr="00183F36">
        <w:t xml:space="preserve"> may be influenced by institutional forces. </w:t>
      </w:r>
      <w:r w:rsidR="00C33FBB">
        <w:t>Indeed, organizational</w:t>
      </w:r>
      <w:r w:rsidRPr="00183F36">
        <w:t xml:space="preserve"> learning can </w:t>
      </w:r>
      <w:r w:rsidRPr="001A54B5">
        <w:rPr>
          <w:noProof/>
        </w:rPr>
        <w:t>be initiated</w:t>
      </w:r>
      <w:r w:rsidRPr="00183F36">
        <w:t xml:space="preserve"> by </w:t>
      </w:r>
      <w:r>
        <w:t>disparate</w:t>
      </w:r>
      <w:r w:rsidRPr="00183F36">
        <w:t xml:space="preserve"> external </w:t>
      </w:r>
      <w:r w:rsidR="008B5249">
        <w:t>forces</w:t>
      </w:r>
      <w:r w:rsidRPr="00183F36">
        <w:t xml:space="preserve">. </w:t>
      </w:r>
      <w:r w:rsidR="001A54B5">
        <w:rPr>
          <w:noProof/>
        </w:rPr>
        <w:t>The i</w:t>
      </w:r>
      <w:r w:rsidRPr="001A54B5">
        <w:rPr>
          <w:noProof/>
        </w:rPr>
        <w:t>nstitutional</w:t>
      </w:r>
      <w:r w:rsidRPr="00183F36">
        <w:t xml:space="preserve"> theory explains how the scope for </w:t>
      </w:r>
      <w:r w:rsidR="00C33FBB">
        <w:t xml:space="preserve">organizational </w:t>
      </w:r>
      <w:r w:rsidRPr="00183F36">
        <w:t xml:space="preserve">learning can </w:t>
      </w:r>
      <w:r w:rsidRPr="001A54B5">
        <w:rPr>
          <w:noProof/>
        </w:rPr>
        <w:t>be</w:t>
      </w:r>
      <w:r w:rsidR="00C33FBB" w:rsidRPr="001A54B5">
        <w:rPr>
          <w:noProof/>
        </w:rPr>
        <w:t xml:space="preserve"> </w:t>
      </w:r>
      <w:r w:rsidRPr="001A54B5">
        <w:rPr>
          <w:noProof/>
        </w:rPr>
        <w:t>render</w:t>
      </w:r>
      <w:r w:rsidR="00C33FBB" w:rsidRPr="001A54B5">
        <w:rPr>
          <w:noProof/>
        </w:rPr>
        <w:t>ed</w:t>
      </w:r>
      <w:r w:rsidRPr="00183F36">
        <w:t xml:space="preserve"> through the influence of societal values</w:t>
      </w:r>
      <w:r w:rsidR="00C33FBB">
        <w:t xml:space="preserve"> and </w:t>
      </w:r>
      <w:r w:rsidRPr="00183F36">
        <w:t>structures</w:t>
      </w:r>
      <w:r w:rsidR="00C33FBB">
        <w:t xml:space="preserve">, which act as </w:t>
      </w:r>
      <w:r w:rsidR="00C33FBB" w:rsidRPr="00183F36">
        <w:t xml:space="preserve">“learning triggers” </w:t>
      </w:r>
      <w:r w:rsidR="008A3004">
        <w:fldChar w:fldCharType="begin">
          <w:fldData xml:space="preserve">PEVuZE5vdGU+PENpdGU+PEF1dGhvcj5ac2lkaXNpbjwvQXV0aG9yPjxZZWFyPjIwMDU8L1llYXI+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</w:fldData>
        </w:fldChar>
      </w:r>
      <w:r w:rsidR="008A3004">
        <w:instrText xml:space="preserve"> ADDIN EN.CITE </w:instrText>
      </w:r>
      <w:r w:rsidR="008A3004">
        <w:fldChar w:fldCharType="begin">
          <w:fldData xml:space="preserve">PEVuZE5vdGU+PENpdGU+PEF1dGhvcj5ac2lkaXNpbjwvQXV0aG9yPjxZZWFyPjIwMDU8L1llYXI+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</w:fldData>
        </w:fldChar>
      </w:r>
      <w:r w:rsidR="008A3004">
        <w:instrText xml:space="preserve"> ADDIN EN.CITE.DATA </w:instrText>
      </w:r>
      <w:r w:rsidR="008A3004">
        <w:fldChar w:fldCharType="end"/>
      </w:r>
      <w:r w:rsidR="008A3004">
        <w:fldChar w:fldCharType="separate"/>
      </w:r>
      <w:r w:rsidR="008A3004">
        <w:rPr>
          <w:noProof/>
        </w:rPr>
        <w:t>(</w:t>
      </w:r>
      <w:hyperlink w:anchor="_ENREF_80" w:tooltip="Scott, 1994 #1409" w:history="1">
        <w:r w:rsidR="008A3004" w:rsidRPr="004C6DEC">
          <w:rPr>
            <w:rStyle w:val="Hyperlink"/>
            <w:noProof/>
          </w:rPr>
          <w:t>Scott and Meyer, 1994</w:t>
        </w:r>
      </w:hyperlink>
      <w:r w:rsidR="008A3004">
        <w:rPr>
          <w:noProof/>
        </w:rPr>
        <w:t xml:space="preserve">; </w:t>
      </w:r>
      <w:hyperlink w:anchor="_ENREF_102" w:tooltip="Weick, 1991 #1328" w:history="1">
        <w:r w:rsidR="008A3004" w:rsidRPr="004C6DEC">
          <w:rPr>
            <w:rStyle w:val="Hyperlink"/>
            <w:noProof/>
          </w:rPr>
          <w:t>Weick, 1991</w:t>
        </w:r>
      </w:hyperlink>
      <w:r w:rsidR="008A3004">
        <w:rPr>
          <w:noProof/>
        </w:rPr>
        <w:t xml:space="preserve">; </w:t>
      </w:r>
      <w:hyperlink w:anchor="_ENREF_109" w:tooltip="Zsidisin, 2005 #1352" w:history="1">
        <w:r w:rsidR="008A3004" w:rsidRPr="004C6DEC">
          <w:rPr>
            <w:rStyle w:val="Hyperlink"/>
            <w:noProof/>
          </w:rPr>
          <w:t>Zsidisin et al., 2005</w:t>
        </w:r>
      </w:hyperlink>
      <w:r w:rsidR="008A3004">
        <w:rPr>
          <w:noProof/>
        </w:rPr>
        <w:t>)</w:t>
      </w:r>
      <w:r w:rsidR="008A3004">
        <w:fldChar w:fldCharType="end"/>
      </w:r>
      <w:r w:rsidR="008A3004">
        <w:t xml:space="preserve">. </w:t>
      </w:r>
      <w:r>
        <w:t xml:space="preserve">Often associated </w:t>
      </w:r>
      <w:r w:rsidR="00C33FBB">
        <w:t xml:space="preserve">with </w:t>
      </w:r>
      <w:r w:rsidRPr="00183F36">
        <w:t>coerc</w:t>
      </w:r>
      <w:r>
        <w:t>ive p</w:t>
      </w:r>
      <w:r w:rsidR="001A54B5">
        <w:t>ressures, government regulation</w:t>
      </w:r>
      <w:r>
        <w:t xml:space="preserve">, </w:t>
      </w:r>
      <w:r w:rsidR="001A54B5">
        <w:rPr>
          <w:noProof/>
        </w:rPr>
        <w:t>is</w:t>
      </w:r>
      <w:r>
        <w:t xml:space="preserve"> one form of institutionalization</w:t>
      </w:r>
      <w:r w:rsidRPr="00183F36">
        <w:t xml:space="preserve"> </w:t>
      </w:r>
      <w:r w:rsidR="008A3004">
        <w:fldChar w:fldCharType="begin"/>
      </w:r>
      <w:r w:rsidR="008A3004">
        <w:instrText xml:space="preserve"> ADDIN EN.CITE &lt;EndNote&gt;&lt;Cite&gt;&lt;Author&gt;Hoffman&lt;/Author&gt;&lt;Year&gt;1999&lt;/Year&gt;&lt;RecNum&gt;1077&lt;/RecNum&gt;&lt;DisplayText&gt;(Hoffman, 1999)&lt;/DisplayText&gt;&lt;record&gt;&lt;rec-number&gt;1077&lt;/rec-number&gt;&lt;foreign-keys&gt;&lt;key app="EN" db-id="0w05zrd59zdxwmexsxlxa0purxdzd2svavae" timestamp="0"&gt;1077&lt;/key&gt;&lt;/foreign-keys&gt;&lt;ref-type name="Journal Article"&gt;17&lt;/ref-type&gt;&lt;contributors&gt;&lt;authors&gt;&lt;author&gt;Hoffman, A. J.&lt;/author&gt;&lt;/authors&gt;&lt;/contributors&gt;&lt;titles&gt;&lt;title&gt;Institutional evolution and change: Environmentalism and the u.S. Chemical industry&lt;/title&gt;&lt;secondary-title&gt;Academy of Management Journal&lt;/secondary-title&gt;&lt;/titles&gt;&lt;pages&gt;351-371&lt;/pages&gt;&lt;volume&gt;42&lt;/volume&gt;&lt;number&gt;4&lt;/number&gt;&lt;dates&gt;&lt;year&gt;1999&lt;/year&gt;&lt;pub-dates&gt;&lt;date&gt;1999/08/01&lt;/date&gt;&lt;/pub-dates&gt;&lt;/dates&gt;&lt;publisher&gt;The Academy of Management&lt;/publisher&gt;&lt;isbn&gt;0001-4273&lt;/isbn&gt;&lt;urls&gt;&lt;/urls&gt;&lt;electronic-resource-num&gt;10.2307/257008&lt;/electronic-resource-num&gt;&lt;/record&gt;&lt;/Cite&gt;&lt;/EndNote&gt;</w:instrText>
      </w:r>
      <w:r w:rsidR="008A3004">
        <w:fldChar w:fldCharType="separate"/>
      </w:r>
      <w:r w:rsidR="008A3004">
        <w:rPr>
          <w:noProof/>
        </w:rPr>
        <w:t>(</w:t>
      </w:r>
      <w:hyperlink w:anchor="_ENREF_44" w:tooltip="Hoffman, 1999 #1077" w:history="1">
        <w:r w:rsidR="008A3004" w:rsidRPr="004C6DEC">
          <w:rPr>
            <w:rStyle w:val="Hyperlink"/>
            <w:noProof/>
          </w:rPr>
          <w:t>Hoffman, 1999</w:t>
        </w:r>
      </w:hyperlink>
      <w:r w:rsidR="008A3004">
        <w:rPr>
          <w:noProof/>
        </w:rPr>
        <w:t>)</w:t>
      </w:r>
      <w:r w:rsidR="008A3004">
        <w:fldChar w:fldCharType="end"/>
      </w:r>
      <w:r w:rsidR="008A3004">
        <w:t xml:space="preserve">. </w:t>
      </w:r>
      <w:r w:rsidRPr="00183F36">
        <w:t xml:space="preserve">Another learning trigger may be normative pressures in the form of industry and professional standards. Industry pressures link normative institutional forces to organizational learning because they are based on educational programs, professional requirements and often scientifically driven industry standards. </w:t>
      </w:r>
    </w:p>
    <w:p w14:paraId="60624044" w14:textId="77777777" w:rsidR="000D673B" w:rsidRDefault="000D673B" w:rsidP="003C515F">
      <w:pPr>
        <w:rPr>
          <w:b/>
        </w:rPr>
      </w:pPr>
    </w:p>
    <w:p w14:paraId="276D4040" w14:textId="4F8F4893" w:rsidR="00C33FBB" w:rsidRPr="00183F36" w:rsidRDefault="00C33FBB" w:rsidP="00C33FBB">
      <w:pPr>
        <w:rPr>
          <w:b/>
        </w:rPr>
      </w:pPr>
      <w:r w:rsidRPr="00183F36">
        <w:rPr>
          <w:b/>
        </w:rPr>
        <w:t>Hypothes</w:t>
      </w:r>
      <w:r w:rsidR="00636CC7">
        <w:rPr>
          <w:b/>
        </w:rPr>
        <w:t>es</w:t>
      </w:r>
    </w:p>
    <w:p w14:paraId="25469F7C" w14:textId="77777777" w:rsidR="00C33FBB" w:rsidRPr="00183F36" w:rsidRDefault="00C33FBB" w:rsidP="00C33FBB">
      <w:pPr>
        <w:rPr>
          <w:b/>
        </w:rPr>
      </w:pPr>
    </w:p>
    <w:p w14:paraId="21610F6C" w14:textId="0EA323AE" w:rsidR="00C33FBB" w:rsidRPr="00183F36" w:rsidRDefault="00C33FBB" w:rsidP="00C33FBB">
      <w:pPr>
        <w:rPr>
          <w:b/>
          <w:i/>
        </w:rPr>
      </w:pPr>
      <w:r>
        <w:rPr>
          <w:b/>
          <w:i/>
        </w:rPr>
        <w:lastRenderedPageBreak/>
        <w:t>Near-misses</w:t>
      </w:r>
      <w:r w:rsidRPr="00183F36">
        <w:rPr>
          <w:b/>
          <w:i/>
        </w:rPr>
        <w:t xml:space="preserve"> and</w:t>
      </w:r>
      <w:r w:rsidR="00465F24">
        <w:rPr>
          <w:b/>
          <w:i/>
        </w:rPr>
        <w:t xml:space="preserve"> </w:t>
      </w:r>
      <w:r w:rsidR="00465F24" w:rsidRPr="001A54B5">
        <w:rPr>
          <w:b/>
          <w:i/>
          <w:noProof/>
        </w:rPr>
        <w:t xml:space="preserve">supply chain </w:t>
      </w:r>
      <w:r w:rsidR="00F557CC" w:rsidRPr="001A54B5">
        <w:rPr>
          <w:b/>
          <w:i/>
          <w:noProof/>
        </w:rPr>
        <w:t>d</w:t>
      </w:r>
      <w:r w:rsidRPr="001A54B5">
        <w:rPr>
          <w:b/>
          <w:i/>
          <w:noProof/>
        </w:rPr>
        <w:t xml:space="preserve">isruption </w:t>
      </w:r>
      <w:r w:rsidR="00F557CC" w:rsidRPr="001A54B5">
        <w:rPr>
          <w:b/>
          <w:i/>
          <w:noProof/>
        </w:rPr>
        <w:t>r</w:t>
      </w:r>
      <w:r w:rsidRPr="001A54B5">
        <w:rPr>
          <w:b/>
          <w:i/>
          <w:noProof/>
        </w:rPr>
        <w:t xml:space="preserve">esponse </w:t>
      </w:r>
      <w:r w:rsidR="00F557CC" w:rsidRPr="001A54B5">
        <w:rPr>
          <w:b/>
          <w:i/>
          <w:noProof/>
        </w:rPr>
        <w:t>s</w:t>
      </w:r>
      <w:r w:rsidRPr="001A54B5">
        <w:rPr>
          <w:b/>
          <w:i/>
          <w:noProof/>
        </w:rPr>
        <w:t>trategies</w:t>
      </w:r>
    </w:p>
    <w:p w14:paraId="5BDA1A2B" w14:textId="77777777" w:rsidR="0092683E" w:rsidRPr="00183F36" w:rsidRDefault="0092683E" w:rsidP="003C515F">
      <w:pPr>
        <w:rPr>
          <w:b/>
        </w:rPr>
      </w:pPr>
    </w:p>
    <w:p w14:paraId="5467264E" w14:textId="6A1A807A" w:rsidR="00F775C8" w:rsidRDefault="00BE4293" w:rsidP="00EB6920">
      <w:pPr>
        <w:spacing w:line="480" w:lineRule="auto"/>
      </w:pPr>
      <w:r>
        <w:tab/>
      </w:r>
      <w:r w:rsidR="003714DF" w:rsidRPr="00183F36">
        <w:rPr>
          <w:bCs/>
        </w:rPr>
        <w:t>A f</w:t>
      </w:r>
      <w:r w:rsidR="003714DF" w:rsidRPr="00183F36">
        <w:t>lexib</w:t>
      </w:r>
      <w:r w:rsidR="008B5249">
        <w:t xml:space="preserve">le response </w:t>
      </w:r>
      <w:r w:rsidR="003714DF" w:rsidRPr="00183F36">
        <w:t>orient</w:t>
      </w:r>
      <w:r w:rsidR="008B5249">
        <w:t xml:space="preserve">ation </w:t>
      </w:r>
      <w:r w:rsidR="003714DF" w:rsidRPr="001A54B5">
        <w:rPr>
          <w:noProof/>
        </w:rPr>
        <w:t xml:space="preserve">is </w:t>
      </w:r>
      <w:r w:rsidR="00751AA1" w:rsidRPr="001A54B5">
        <w:rPr>
          <w:noProof/>
        </w:rPr>
        <w:t>built</w:t>
      </w:r>
      <w:r w:rsidR="00751AA1" w:rsidRPr="00183F36">
        <w:t xml:space="preserve"> </w:t>
      </w:r>
      <w:r w:rsidR="003714DF" w:rsidRPr="00183F36">
        <w:t xml:space="preserve">on the assumption that </w:t>
      </w:r>
      <w:r w:rsidR="003714DF" w:rsidRPr="00183F36">
        <w:rPr>
          <w:bCs/>
        </w:rPr>
        <w:t xml:space="preserve">disruptions are fluid and </w:t>
      </w:r>
      <w:r w:rsidR="00183F36">
        <w:rPr>
          <w:bCs/>
        </w:rPr>
        <w:t>ever-changing</w:t>
      </w:r>
      <w:r w:rsidR="001206D0" w:rsidRPr="00183F36">
        <w:rPr>
          <w:bCs/>
        </w:rPr>
        <w:t xml:space="preserve"> </w:t>
      </w:r>
      <w:r w:rsidR="003714DF" w:rsidRPr="00183F36">
        <w:rPr>
          <w:bCs/>
        </w:rPr>
        <w:t>events</w:t>
      </w:r>
      <w:r w:rsidR="00FC5A86">
        <w:rPr>
          <w:bCs/>
        </w:rPr>
        <w:t xml:space="preserve">. </w:t>
      </w:r>
      <w:r w:rsidR="00FE6B02">
        <w:rPr>
          <w:bCs/>
        </w:rPr>
        <w:t>P</w:t>
      </w:r>
      <w:r w:rsidR="00FC5A86" w:rsidRPr="00183F36">
        <w:rPr>
          <w:bCs/>
        </w:rPr>
        <w:t>lan</w:t>
      </w:r>
      <w:r w:rsidR="00FE6B02">
        <w:rPr>
          <w:bCs/>
        </w:rPr>
        <w:t>s</w:t>
      </w:r>
      <w:r w:rsidR="00636CC7">
        <w:rPr>
          <w:bCs/>
        </w:rPr>
        <w:t xml:space="preserve"> for addressing</w:t>
      </w:r>
      <w:r w:rsidR="00465F24">
        <w:rPr>
          <w:bCs/>
        </w:rPr>
        <w:t xml:space="preserve"> supply chain </w:t>
      </w:r>
      <w:r w:rsidR="00636CC7">
        <w:rPr>
          <w:bCs/>
        </w:rPr>
        <w:t>disruptions</w:t>
      </w:r>
      <w:r w:rsidR="00FC5A86">
        <w:rPr>
          <w:bCs/>
        </w:rPr>
        <w:t xml:space="preserve"> </w:t>
      </w:r>
      <w:r w:rsidR="003714DF" w:rsidRPr="00183F36">
        <w:rPr>
          <w:bCs/>
        </w:rPr>
        <w:t>need</w:t>
      </w:r>
      <w:r w:rsidR="00FC5A86">
        <w:rPr>
          <w:bCs/>
        </w:rPr>
        <w:t>s</w:t>
      </w:r>
      <w:r w:rsidR="003714DF" w:rsidRPr="00183F36">
        <w:rPr>
          <w:bCs/>
        </w:rPr>
        <w:t xml:space="preserve"> to be adjusted to </w:t>
      </w:r>
      <w:r w:rsidR="001206D0" w:rsidRPr="00183F36">
        <w:rPr>
          <w:bCs/>
        </w:rPr>
        <w:t>suit</w:t>
      </w:r>
      <w:r w:rsidR="00FC5A86">
        <w:rPr>
          <w:bCs/>
        </w:rPr>
        <w:t xml:space="preserve"> </w:t>
      </w:r>
      <w:r w:rsidR="003714DF" w:rsidRPr="00183F36">
        <w:rPr>
          <w:bCs/>
        </w:rPr>
        <w:t xml:space="preserve">the situation at hand </w:t>
      </w:r>
      <w:r w:rsidR="008A3004">
        <w:rPr>
          <w:bCs/>
        </w:rPr>
        <w:fldChar w:fldCharType="begin"/>
      </w:r>
      <w:r w:rsidR="008A3004">
        <w:rPr>
          <w:bCs/>
        </w:rPr>
        <w:instrText xml:space="preserve"> ADDIN EN.CITE &lt;EndNote&gt;&lt;Cite&gt;&lt;Author&gt;Turner&lt;/Author&gt;&lt;Year&gt;1995&lt;/Year&gt;&lt;RecNum&gt;1306&lt;/RecNum&gt;&lt;DisplayText&gt;(McEntire et al., 2013; Turner, 1995)&lt;/DisplayText&gt;&lt;record&gt;&lt;rec-number&gt;1306&lt;/rec-number&gt;&lt;foreign-keys&gt;&lt;key app="EN" db-id="0w05zrd59zdxwmexsxlxa0purxdzd2svavae" timestamp="0"&gt;1306&lt;/key&gt;&lt;/foreign-keys&gt;&lt;ref-type name="Book"&gt;6&lt;/ref-type&gt;&lt;contributors&gt;&lt;authors&gt;&lt;author&gt;B.A. Turner&lt;/author&gt;&lt;/authors&gt;&lt;secondary-authors&gt;&lt;author&gt;T. Horlick-Jones&lt;/author&gt;&lt;author&gt;A. Amendola&lt;/author&gt;&lt;author&gt;R. Casale &lt;/author&gt;&lt;/secondary-authors&gt;&lt;/contributors&gt;&lt;titles&gt;&lt;title&gt;The role of flexibility and improvisation in emergency response&lt;/title&gt;&lt;secondary-title&gt;Natural Risk and Civil Protection&lt;/secondary-title&gt;&lt;/titles&gt;&lt;section&gt;463- 475&lt;/section&gt;&lt;dates&gt;&lt;year&gt;1995&lt;/year&gt;&lt;/dates&gt;&lt;pub-location&gt;London&lt;/pub-location&gt;&lt;publisher&gt;CRC Press&lt;/publisher&gt;&lt;urls&gt;&lt;/urls&gt;&lt;/record&gt;&lt;/Cite&gt;&lt;Cite&gt;&lt;Author&gt;McEntire&lt;/Author&gt;&lt;Year&gt;2013&lt;/Year&gt;&lt;RecNum&gt;1161&lt;/RecNum&gt;&lt;record&gt;&lt;rec-number&gt;1161&lt;/rec-number&gt;&lt;foreign-keys&gt;&lt;key app="EN" db-id="0w05zrd59zdxwmexsxlxa0purxdzd2svavae" timestamp="0"&gt;1161&lt;/key&gt;&lt;/foreign-keys&gt;&lt;ref-type name="Journal Article"&gt;17&lt;/ref-type&gt;&lt;contributors&gt;&lt;authors&gt;&lt;author&gt;McEntire, D. A.&lt;/author&gt;&lt;author&gt;Kelly, J.&lt;/author&gt;&lt;author&gt;Kendra, J. M.&lt;/author&gt;&lt;author&gt;Long, L. C.&lt;/author&gt;&lt;/authors&gt;&lt;/contributors&gt;&lt;titles&gt;&lt;title&gt;Spontaneous planning after the San Bruno gas pipeline explosion: A case study of anticipation and improvisation during response and recovery operations&lt;/title&gt;&lt;secondary-title&gt;Journal of Homeland Security and Emergency Management&lt;/secondary-title&gt;&lt;/titles&gt;&lt;pages&gt;161-185&lt;/pages&gt;&lt;volume&gt;10&lt;/volume&gt;&lt;number&gt;1&lt;/number&gt;&lt;dates&gt;&lt;year&gt;2013&lt;/year&gt;&lt;/dates&gt;&lt;isbn&gt;2194-6361&lt;/isbn&gt;&lt;accession-num&gt;WOS:000324042100010&lt;/accession-num&gt;&lt;urls&gt;&lt;related-urls&gt;&lt;url&gt;&amp;lt;Go to ISI&amp;gt;://WOS:000324042100010&lt;/url&gt;&lt;/related-urls&gt;&lt;/urls&gt;&lt;electronic-resource-num&gt;10.1515/jhsem-2012-0055&lt;/electronic-resource-num&gt;&lt;/record&gt;&lt;/Cite&gt;&lt;/EndNote&gt;</w:instrText>
      </w:r>
      <w:r w:rsidR="008A3004">
        <w:rPr>
          <w:bCs/>
        </w:rPr>
        <w:fldChar w:fldCharType="separate"/>
      </w:r>
      <w:r w:rsidR="008A3004">
        <w:rPr>
          <w:bCs/>
          <w:noProof/>
        </w:rPr>
        <w:t>(</w:t>
      </w:r>
      <w:hyperlink w:anchor="_ENREF_61" w:tooltip="McEntire, 2013 #1161" w:history="1">
        <w:r w:rsidR="008A3004" w:rsidRPr="004C6DEC">
          <w:rPr>
            <w:rStyle w:val="Hyperlink"/>
            <w:bCs/>
            <w:noProof/>
          </w:rPr>
          <w:t>McEntire et al., 2013</w:t>
        </w:r>
      </w:hyperlink>
      <w:r w:rsidR="008A3004">
        <w:rPr>
          <w:bCs/>
          <w:noProof/>
        </w:rPr>
        <w:t xml:space="preserve">; </w:t>
      </w:r>
      <w:hyperlink w:anchor="_ENREF_97" w:tooltip="Turner, 1995 #1306" w:history="1">
        <w:r w:rsidR="008A3004" w:rsidRPr="004C6DEC">
          <w:rPr>
            <w:rStyle w:val="Hyperlink"/>
            <w:bCs/>
            <w:noProof/>
          </w:rPr>
          <w:t>Turner, 1995</w:t>
        </w:r>
      </w:hyperlink>
      <w:r w:rsidR="008A3004">
        <w:rPr>
          <w:bCs/>
          <w:noProof/>
        </w:rPr>
        <w:t>)</w:t>
      </w:r>
      <w:r w:rsidR="008A3004">
        <w:rPr>
          <w:bCs/>
        </w:rPr>
        <w:fldChar w:fldCharType="end"/>
      </w:r>
      <w:r w:rsidR="008A3004">
        <w:rPr>
          <w:bCs/>
        </w:rPr>
        <w:t xml:space="preserve">. </w:t>
      </w:r>
      <w:r w:rsidR="00FE6B02">
        <w:rPr>
          <w:bCs/>
        </w:rPr>
        <w:t>In f</w:t>
      </w:r>
      <w:r w:rsidR="00FE6B02">
        <w:t>irms with a flexible response orientation</w:t>
      </w:r>
      <w:r w:rsidR="00636CC7" w:rsidRPr="00183F36">
        <w:t xml:space="preserve">, </w:t>
      </w:r>
      <w:r w:rsidR="00636CC7">
        <w:t xml:space="preserve">empowered </w:t>
      </w:r>
      <w:r w:rsidR="00636CC7" w:rsidRPr="00183F36">
        <w:t xml:space="preserve">personnel </w:t>
      </w:r>
      <w:r w:rsidR="00636CC7">
        <w:t xml:space="preserve">often </w:t>
      </w:r>
      <w:r w:rsidR="00636CC7" w:rsidRPr="00183F36">
        <w:t xml:space="preserve">help find </w:t>
      </w:r>
      <w:r w:rsidR="00636CC7">
        <w:t>novel</w:t>
      </w:r>
      <w:r w:rsidR="00636CC7" w:rsidRPr="00183F36">
        <w:t xml:space="preserve"> solutions</w:t>
      </w:r>
      <w:r w:rsidR="00636CC7">
        <w:t xml:space="preserve"> to disruptions</w:t>
      </w:r>
      <w:r w:rsidR="00636CC7" w:rsidRPr="00183F36">
        <w:t xml:space="preserve">. </w:t>
      </w:r>
      <w:r w:rsidR="00FC5A86" w:rsidRPr="00183F36">
        <w:t xml:space="preserve">For instance, </w:t>
      </w:r>
      <w:r w:rsidR="00FC5A86">
        <w:t>th</w:t>
      </w:r>
      <w:r w:rsidR="00FC5A86" w:rsidRPr="00183F36">
        <w:t xml:space="preserve">e National Park Service </w:t>
      </w:r>
      <w:r w:rsidR="00FC5A86">
        <w:t xml:space="preserve">(NPS) </w:t>
      </w:r>
      <w:r w:rsidR="00FC5A86" w:rsidRPr="00183F36">
        <w:t xml:space="preserve">firefighters operate in a system that leaves ample room for frontline personnel to act independently and creatively, while still integrating </w:t>
      </w:r>
      <w:r w:rsidR="00FC5A86">
        <w:t>their</w:t>
      </w:r>
      <w:r w:rsidR="00FC5A86" w:rsidRPr="00183F36">
        <w:t xml:space="preserve"> actions into a coherent </w:t>
      </w:r>
      <w:r w:rsidR="00FC5A86">
        <w:t>and systemic</w:t>
      </w:r>
      <w:r w:rsidR="00FC5A86" w:rsidRPr="00183F36">
        <w:t xml:space="preserve"> scheme</w:t>
      </w:r>
      <w:r w:rsidR="00FC5A86">
        <w:t xml:space="preserve"> </w:t>
      </w:r>
      <w:r w:rsidR="008A3004">
        <w:fldChar w:fldCharType="begin"/>
      </w:r>
      <w:r w:rsidR="008A3004">
        <w:instrText xml:space="preserve"> ADDIN EN.CITE &lt;EndNote&gt;&lt;Cite&gt;&lt;Author&gt;Weick&lt;/Author&gt;&lt;Year&gt;1993&lt;/Year&gt;&lt;RecNum&gt;851&lt;/RecNum&gt;&lt;DisplayText&gt;(Weick, 1993)&lt;/DisplayText&gt;&lt;record&gt;&lt;rec-number&gt;851&lt;/rec-number&gt;&lt;foreign-keys&gt;&lt;key app="EN" db-id="0w05zrd59zdxwmexsxlxa0purxdzd2svavae" timestamp="0"&gt;851&lt;/key&gt;&lt;/foreign-keys&gt;&lt;ref-type name="Journal Article"&gt;17&lt;/ref-type&gt;&lt;contributors&gt;&lt;authors&gt;&lt;author&gt;Weick, Karl E.&lt;/author&gt;&lt;/authors&gt;&lt;/contributors&gt;&lt;titles&gt;&lt;title&gt;The collapse of Sensemaking in organizations: The Mann Gulch disaster&lt;/title&gt;&lt;secondary-title&gt;Administrative Science Quarterly&lt;/secondary-title&gt;&lt;/titles&gt;&lt;pages&gt;628&lt;/pages&gt;&lt;volume&gt;38&lt;/volume&gt;&lt;number&gt;4&lt;/number&gt;&lt;dates&gt;&lt;year&gt;1993&lt;/year&gt;&lt;pub-dates&gt;&lt;date&gt;1993/12&lt;/date&gt;&lt;/pub-dates&gt;&lt;/dates&gt;&lt;publisher&gt;JSTOR&lt;/publisher&gt;&lt;isbn&gt;0001-8392&lt;/isbn&gt;&lt;urls&gt;&lt;/urls&gt;&lt;electronic-resource-num&gt;10.2307/2393339&lt;/electronic-resource-num&gt;&lt;/record&gt;&lt;/Cite&gt;&lt;/EndNote&gt;</w:instrText>
      </w:r>
      <w:r w:rsidR="008A3004">
        <w:fldChar w:fldCharType="separate"/>
      </w:r>
      <w:r w:rsidR="008A3004">
        <w:rPr>
          <w:noProof/>
        </w:rPr>
        <w:t>(</w:t>
      </w:r>
      <w:hyperlink w:anchor="_ENREF_103" w:tooltip="Weick, 1993 #851" w:history="1">
        <w:r w:rsidR="008A3004" w:rsidRPr="004C6DEC">
          <w:rPr>
            <w:rStyle w:val="Hyperlink"/>
            <w:noProof/>
          </w:rPr>
          <w:t>Weick, 1993</w:t>
        </w:r>
      </w:hyperlink>
      <w:r w:rsidR="008A3004">
        <w:rPr>
          <w:noProof/>
        </w:rPr>
        <w:t>)</w:t>
      </w:r>
      <w:r w:rsidR="008A3004">
        <w:fldChar w:fldCharType="end"/>
      </w:r>
      <w:r w:rsidR="008A3004">
        <w:t xml:space="preserve">. </w:t>
      </w:r>
      <w:bookmarkStart w:id="12" w:name="OLE_LINK55"/>
      <w:bookmarkStart w:id="13" w:name="OLE_LINK56"/>
      <w:bookmarkStart w:id="14" w:name="OLE_LINK9"/>
      <w:bookmarkStart w:id="15" w:name="OLE_LINK10"/>
      <w:bookmarkStart w:id="16" w:name="OLE_LINK34"/>
      <w:bookmarkStart w:id="17" w:name="OLE_LINK11"/>
      <w:r w:rsidR="00FE6B02">
        <w:rPr>
          <w:bCs/>
        </w:rPr>
        <w:t>In f</w:t>
      </w:r>
      <w:r w:rsidR="00FE6B02">
        <w:t>irms with a flexible response orientation</w:t>
      </w:r>
      <w:r w:rsidR="00FE6B02" w:rsidRPr="00183F36">
        <w:t xml:space="preserve"> </w:t>
      </w:r>
      <w:r w:rsidR="00FE6B02">
        <w:t>e</w:t>
      </w:r>
      <w:r w:rsidR="007E3B7E" w:rsidRPr="00183F36">
        <w:t xml:space="preserve">mployees close to </w:t>
      </w:r>
      <w:r w:rsidR="00412442">
        <w:t>near-misses</w:t>
      </w:r>
      <w:r w:rsidR="007E3B7E" w:rsidRPr="00183F36">
        <w:t xml:space="preserve"> </w:t>
      </w:r>
      <w:r w:rsidR="00F775C8">
        <w:t>c</w:t>
      </w:r>
      <w:r w:rsidR="003E03A2" w:rsidRPr="00183F36">
        <w:t xml:space="preserve">ould be </w:t>
      </w:r>
      <w:r w:rsidR="00220717" w:rsidRPr="00183F36">
        <w:t>encourage</w:t>
      </w:r>
      <w:r w:rsidR="007E3B7E" w:rsidRPr="00183F36">
        <w:t>d</w:t>
      </w:r>
      <w:r w:rsidR="00220717" w:rsidRPr="00183F36">
        <w:t xml:space="preserve"> </w:t>
      </w:r>
      <w:r w:rsidR="007E3B7E" w:rsidRPr="00183F36">
        <w:t xml:space="preserve">to </w:t>
      </w:r>
      <w:r w:rsidR="00220717" w:rsidRPr="00183F36">
        <w:t xml:space="preserve">engage in </w:t>
      </w:r>
      <w:r w:rsidR="007E3B7E" w:rsidRPr="00183F36">
        <w:t xml:space="preserve">self-initiated </w:t>
      </w:r>
      <w:r w:rsidR="003E03A2" w:rsidRPr="00183F36">
        <w:t xml:space="preserve">and often </w:t>
      </w:r>
      <w:r w:rsidR="00F775C8">
        <w:t>novel</w:t>
      </w:r>
      <w:r w:rsidR="003E03A2" w:rsidRPr="00183F36">
        <w:t xml:space="preserve"> </w:t>
      </w:r>
      <w:r w:rsidR="007E3B7E" w:rsidRPr="00183F36">
        <w:t xml:space="preserve">means to address the issue, even </w:t>
      </w:r>
      <w:r w:rsidR="003E03A2" w:rsidRPr="00183F36">
        <w:t>if their solutions</w:t>
      </w:r>
      <w:r w:rsidR="007E3B7E" w:rsidRPr="00183F36">
        <w:t xml:space="preserve"> result in developing “</w:t>
      </w:r>
      <w:r w:rsidR="007E3B7E" w:rsidRPr="001A54B5">
        <w:rPr>
          <w:noProof/>
        </w:rPr>
        <w:t>work-around</w:t>
      </w:r>
      <w:r w:rsidR="007E3B7E" w:rsidRPr="00183F36">
        <w:t xml:space="preserve">” </w:t>
      </w:r>
      <w:r w:rsidR="003E03A2" w:rsidRPr="00183F36">
        <w:t xml:space="preserve">processes that are not in line with </w:t>
      </w:r>
      <w:r w:rsidR="001A54B5">
        <w:t xml:space="preserve">the </w:t>
      </w:r>
      <w:r w:rsidR="003E03A2" w:rsidRPr="001A54B5">
        <w:rPr>
          <w:noProof/>
        </w:rPr>
        <w:t>protocol</w:t>
      </w:r>
      <w:r w:rsidR="008A3004" w:rsidRPr="008A3004">
        <w:t xml:space="preserve"> </w:t>
      </w:r>
      <w:r w:rsidR="008A3004">
        <w:fldChar w:fldCharType="begin"/>
      </w:r>
      <w:r w:rsidR="008A3004">
        <w:instrText xml:space="preserve"> ADDIN EN.CITE &lt;EndNote&gt;&lt;Cite&gt;&lt;Author&gt;Weinstein&lt;/Author&gt;&lt;Year&gt;1989&lt;/Year&gt;&lt;RecNum&gt;877&lt;/RecNum&gt;&lt;DisplayText&gt;(Dillon et al., 2014; Weinstein, 1989)&lt;/DisplayText&gt;&lt;record&gt;&lt;rec-number&gt;877&lt;/rec-number&gt;&lt;foreign-keys&gt;&lt;key app="EN" db-id="0w05zrd59zdxwmexsxlxa0purxdzd2svavae" timestamp="0"&gt;877&lt;/key&gt;&lt;/foreign-keys&gt;&lt;ref-type name="Journal Article"&gt;17&lt;/ref-type&gt;&lt;contributors&gt;&lt;authors&gt;&lt;author&gt;Weinstein, Neil D.&lt;/author&gt;&lt;/authors&gt;&lt;/contributors&gt;&lt;titles&gt;&lt;title&gt;Effects of personal experience on self-protective behavior&lt;/title&gt;&lt;secondary-title&gt;Psychological Bulletin&lt;/secondary-title&gt;&lt;/titles&gt;&lt;pages&gt;31-50&lt;/pages&gt;&lt;volume&gt;105&lt;/volume&gt;&lt;number&gt;1&lt;/number&gt;&lt;dates&gt;&lt;year&gt;1989&lt;/year&gt;&lt;/dates&gt;&lt;publisher&gt;American Psychological Association (APA)&lt;/publisher&gt;&lt;isbn&gt;1939-1455&lt;/isbn&gt;&lt;urls&gt;&lt;/urls&gt;&lt;electronic-resource-num&gt;10.1037/0033-2909.105.1.31&lt;/electronic-resource-num&gt;&lt;/record&gt;&lt;/Cite&gt;&lt;Cite&gt;&lt;Author&gt;Dillon&lt;/Author&gt;&lt;Year&gt;2014&lt;/Year&gt;&lt;RecNum&gt;1010&lt;/RecNum&gt;&lt;record&gt;&lt;rec-number&gt;1010&lt;/rec-number&gt;&lt;foreign-keys&gt;&lt;key app="EN" db-id="0w05zrd59zdxwmexsxlxa0purxdzd2svavae" timestamp="0"&gt;1010&lt;/key&gt;&lt;/foreign-keys&gt;&lt;ref-type name="Journal Article"&gt;17&lt;/ref-type&gt;&lt;contributors&gt;&lt;authors&gt;&lt;author&gt;Dillon, Robin L.&lt;/author&gt;&lt;author&gt;Tinsley, Catherine H.&lt;/author&gt;&lt;author&gt;Burns, William J.&lt;/author&gt;&lt;/authors&gt;&lt;/contributors&gt;&lt;titles&gt;&lt;title&gt;Near-misses and future disaster preparedness&lt;/title&gt;&lt;secondary-title&gt;Risk Analysis&lt;/secondary-title&gt;&lt;/titles&gt;&lt;pages&gt;1907-1922&lt;/pages&gt;&lt;volume&gt;34&lt;/volume&gt;&lt;number&gt;10&lt;/number&gt;&lt;dates&gt;&lt;year&gt;2014&lt;/year&gt;&lt;pub-dates&gt;&lt;date&gt;2014/04/28&lt;/date&gt;&lt;/pub-dates&gt;&lt;/dates&gt;&lt;publisher&gt;Wiley-Blackwell&lt;/publisher&gt;&lt;isbn&gt;0272-4332&lt;/isbn&gt;&lt;urls&gt;&lt;/urls&gt;&lt;electronic-resource-num&gt;10.1111/risa.12209&lt;/electronic-resource-num&gt;&lt;/record&gt;&lt;/Cite&gt;&lt;/EndNote&gt;</w:instrText>
      </w:r>
      <w:r w:rsidR="008A3004">
        <w:fldChar w:fldCharType="separate"/>
      </w:r>
      <w:r w:rsidR="008A3004">
        <w:rPr>
          <w:noProof/>
        </w:rPr>
        <w:t>(</w:t>
      </w:r>
      <w:hyperlink w:anchor="_ENREF_30" w:tooltip="Dillon, 2014 #1010" w:history="1">
        <w:r w:rsidR="008A3004" w:rsidRPr="004C6DEC">
          <w:rPr>
            <w:rStyle w:val="Hyperlink"/>
            <w:noProof/>
          </w:rPr>
          <w:t>Dillon et al., 2014</w:t>
        </w:r>
      </w:hyperlink>
      <w:r w:rsidR="008A3004">
        <w:rPr>
          <w:noProof/>
        </w:rPr>
        <w:t xml:space="preserve">; </w:t>
      </w:r>
      <w:hyperlink w:anchor="_ENREF_105" w:tooltip="Weinstein, 1989 #877" w:history="1">
        <w:r w:rsidR="008A3004" w:rsidRPr="004C6DEC">
          <w:rPr>
            <w:rStyle w:val="Hyperlink"/>
            <w:noProof/>
          </w:rPr>
          <w:t>Weinstein, 1989</w:t>
        </w:r>
      </w:hyperlink>
      <w:r w:rsidR="008A3004">
        <w:rPr>
          <w:noProof/>
        </w:rPr>
        <w:t>)</w:t>
      </w:r>
      <w:r w:rsidR="008A3004">
        <w:fldChar w:fldCharType="end"/>
      </w:r>
      <w:r w:rsidR="008A3004">
        <w:t xml:space="preserve">. </w:t>
      </w:r>
      <w:r w:rsidR="003E03A2" w:rsidRPr="00183F36">
        <w:t xml:space="preserve">Some </w:t>
      </w:r>
      <w:r w:rsidR="00FE6B02">
        <w:t xml:space="preserve">employees </w:t>
      </w:r>
      <w:r w:rsidR="003E03A2" w:rsidRPr="00183F36">
        <w:t xml:space="preserve">may develop quick-fixes to address the issue and carry on with their work. </w:t>
      </w:r>
      <w:r w:rsidR="00E54AF2">
        <w:t>Others</w:t>
      </w:r>
      <w:r w:rsidR="00E45AEA" w:rsidRPr="00183F36">
        <w:t xml:space="preserve"> may become more confident </w:t>
      </w:r>
      <w:r w:rsidR="001206D0" w:rsidRPr="00183F36">
        <w:t>about</w:t>
      </w:r>
      <w:r w:rsidR="00E45AEA" w:rsidRPr="00183F36">
        <w:t xml:space="preserve"> their ability to address the issues </w:t>
      </w:r>
      <w:r w:rsidR="003E03A2" w:rsidRPr="00183F36">
        <w:t xml:space="preserve">independently and creatively </w:t>
      </w:r>
      <w:r w:rsidR="00BA0311" w:rsidRPr="00183F36">
        <w:t>because of</w:t>
      </w:r>
      <w:r w:rsidR="00E45AEA" w:rsidRPr="00183F36">
        <w:t xml:space="preserve"> their repeated experiences</w:t>
      </w:r>
      <w:r w:rsidR="005D185B">
        <w:t xml:space="preserve"> </w:t>
      </w:r>
      <w:r w:rsidR="008A3004">
        <w:fldChar w:fldCharType="begin"/>
      </w:r>
      <w:r w:rsidR="008A3004">
        <w:instrText xml:space="preserve"> ADDIN EN.CITE &lt;EndNote&gt;&lt;Cite&gt;&lt;Author&gt;Jeffs&lt;/Author&gt;&lt;Year&gt;2012&lt;/Year&gt;&lt;RecNum&gt;1090&lt;/RecNum&gt;&lt;DisplayText&gt;(Jeffs et al., 2012)&lt;/DisplayText&gt;&lt;record&gt;&lt;rec-number&gt;1090&lt;/rec-number&gt;&lt;foreign-keys&gt;&lt;key app="EN" db-id="0w05zrd59zdxwmexsxlxa0purxdzd2svavae" timestamp="0"&gt;1090&lt;/key&gt;&lt;/foreign-keys&gt;&lt;ref-type name="Journal Article"&gt;17&lt;/ref-type&gt;&lt;contributors&gt;&lt;authors&gt;&lt;author&gt;Jeffs, L.&lt;/author&gt;&lt;author&gt;Berta, W.&lt;/author&gt;&lt;author&gt;Lingard, L.&lt;/author&gt;&lt;author&gt;Baker, G. R.&lt;/author&gt;&lt;/authors&gt;&lt;/contributors&gt;&lt;titles&gt;&lt;title&gt;Learning from near misses: From quick fixes to closing off the Swiss-cheese holes&lt;/title&gt;&lt;secondary-title&gt;BMJ Quality &amp;amp; Safety&lt;/secondary-title&gt;&lt;/titles&gt;&lt;pages&gt;287-294&lt;/pages&gt;&lt;volume&gt;21&lt;/volume&gt;&lt;number&gt;4&lt;/number&gt;&lt;dates&gt;&lt;year&gt;2012&lt;/year&gt;&lt;pub-dates&gt;&lt;date&gt;2012/02/22&lt;/date&gt;&lt;/pub-dates&gt;&lt;/dates&gt;&lt;publisher&gt;BMJ&lt;/publisher&gt;&lt;isbn&gt;2044-5415&lt;/isbn&gt;&lt;urls&gt;&lt;/urls&gt;&lt;electronic-resource-num&gt;10.1136/bmjqs-2011-000256&lt;/electronic-resource-num&gt;&lt;/record&gt;&lt;/Cite&gt;&lt;/EndNote&gt;</w:instrText>
      </w:r>
      <w:r w:rsidR="008A3004">
        <w:fldChar w:fldCharType="separate"/>
      </w:r>
      <w:r w:rsidR="008A3004">
        <w:rPr>
          <w:noProof/>
        </w:rPr>
        <w:t>(</w:t>
      </w:r>
      <w:hyperlink w:anchor="_ENREF_48" w:tooltip="Jeffs, 2012 #1090" w:history="1">
        <w:r w:rsidR="008A3004" w:rsidRPr="004C6DEC">
          <w:rPr>
            <w:rStyle w:val="Hyperlink"/>
            <w:noProof/>
          </w:rPr>
          <w:t>Jeffs et al., 2012</w:t>
        </w:r>
      </w:hyperlink>
      <w:r w:rsidR="008A3004">
        <w:rPr>
          <w:noProof/>
        </w:rPr>
        <w:t>)</w:t>
      </w:r>
      <w:r w:rsidR="008A3004">
        <w:fldChar w:fldCharType="end"/>
      </w:r>
      <w:r w:rsidR="008A3004">
        <w:t xml:space="preserve">. </w:t>
      </w:r>
    </w:p>
    <w:p w14:paraId="47F48736" w14:textId="610BCB07" w:rsidR="003E3323" w:rsidRDefault="00F775C8" w:rsidP="00EB6920">
      <w:pPr>
        <w:spacing w:line="480" w:lineRule="auto"/>
        <w:ind w:firstLine="720"/>
      </w:pPr>
      <w:r>
        <w:t xml:space="preserve">In line with </w:t>
      </w:r>
      <w:r w:rsidR="00B07E92">
        <w:t>single-loop</w:t>
      </w:r>
      <w:r>
        <w:t xml:space="preserve"> learning, </w:t>
      </w:r>
      <w:r w:rsidR="00D04F88" w:rsidRPr="00183F36">
        <w:t xml:space="preserve">employees and managers </w:t>
      </w:r>
      <w:r w:rsidR="00FE6B02">
        <w:rPr>
          <w:bCs/>
        </w:rPr>
        <w:t>in f</w:t>
      </w:r>
      <w:r w:rsidR="00FE6B02">
        <w:t>irms with a flexible response orientation</w:t>
      </w:r>
      <w:r w:rsidR="00FE6B02" w:rsidRPr="00183F36">
        <w:t xml:space="preserve"> </w:t>
      </w:r>
      <w:r w:rsidR="00D04F88" w:rsidRPr="00183F36">
        <w:t xml:space="preserve">close to the issue </w:t>
      </w:r>
      <w:r w:rsidR="002E4EF2" w:rsidRPr="00183F36">
        <w:t xml:space="preserve">would try to </w:t>
      </w:r>
      <w:r w:rsidR="001D4995" w:rsidRPr="00183F36">
        <w:t>address the issue</w:t>
      </w:r>
      <w:r w:rsidR="002E4EF2" w:rsidRPr="00183F36">
        <w:t xml:space="preserve"> </w:t>
      </w:r>
      <w:r w:rsidR="00D04F88" w:rsidRPr="00183F36">
        <w:t xml:space="preserve">using </w:t>
      </w:r>
      <w:r w:rsidR="001206D0" w:rsidRPr="00183F36">
        <w:t xml:space="preserve">quick-fix </w:t>
      </w:r>
      <w:r w:rsidR="00D04F88" w:rsidRPr="00183F36">
        <w:t xml:space="preserve">resolutions. For instance, in cases where financial issues with </w:t>
      </w:r>
      <w:r w:rsidR="00FE6B02">
        <w:t>a</w:t>
      </w:r>
      <w:r w:rsidR="00D04F88" w:rsidRPr="00183F36">
        <w:t xml:space="preserve"> supplier </w:t>
      </w:r>
      <w:r w:rsidR="00D04F88" w:rsidRPr="001A54B5">
        <w:rPr>
          <w:noProof/>
        </w:rPr>
        <w:t>place</w:t>
      </w:r>
      <w:r w:rsidR="00D04F88" w:rsidRPr="00183F36">
        <w:t xml:space="preserve"> it close to filing for bankruptcy and </w:t>
      </w:r>
      <w:r w:rsidR="00D04F88" w:rsidRPr="001A54B5">
        <w:rPr>
          <w:noProof/>
        </w:rPr>
        <w:t>expose</w:t>
      </w:r>
      <w:r w:rsidR="00D04F88" w:rsidRPr="00183F36">
        <w:t xml:space="preserve"> the buyer company to </w:t>
      </w:r>
      <w:r w:rsidR="001206D0" w:rsidRPr="00183F36">
        <w:t xml:space="preserve">a potential </w:t>
      </w:r>
      <w:r w:rsidR="00D04F88" w:rsidRPr="00183F36">
        <w:t xml:space="preserve">shortage of material, those in charge may </w:t>
      </w:r>
      <w:r w:rsidR="00D04F88" w:rsidRPr="001A54B5">
        <w:rPr>
          <w:noProof/>
        </w:rPr>
        <w:t>simply</w:t>
      </w:r>
      <w:r w:rsidR="00D04F88" w:rsidRPr="00183F36">
        <w:t xml:space="preserve"> offer a “bridge-loan” to the supplier to fix the immediate matter</w:t>
      </w:r>
      <w:r w:rsidR="005367D8">
        <w:t xml:space="preserve"> </w:t>
      </w:r>
      <w:r w:rsidR="008A3004">
        <w:fldChar w:fldCharType="begin"/>
      </w:r>
      <w:r w:rsidR="00627756">
        <w:instrText xml:space="preserve"> ADDIN EN.CITE &lt;EndNote&gt;&lt;Cite&gt;&lt;Author&gt;Tessmer&lt;/Author&gt;&lt;Year&gt;1997&lt;/Year&gt;&lt;RecNum&gt;1291&lt;/RecNum&gt;&lt;DisplayText&gt;(Muermann and Oktem, 2002; Tessmer, 1997)&lt;/DisplayText&gt;&lt;record&gt;&lt;rec-number&gt;1291&lt;/rec-number&gt;&lt;foreign-keys&gt;&lt;key app="EN" db-id="0w05zrd59zdxwmexsxlxa0purxdzd2svavae" timestamp="0"&gt;1291&lt;/key&gt;&lt;/foreign-keys&gt;&lt;ref-type name="Journal Article"&gt;17&lt;/ref-type&gt;&lt;contributors&gt;&lt;authors&gt;&lt;author&gt;Tessmer, Antoinette Canart&lt;/author&gt;&lt;/authors&gt;&lt;/contributors&gt;&lt;titles&gt;&lt;title&gt;What to learn from near misses: An Inductive learning approach to credit risk assessment&lt;/title&gt;&lt;secondary-title&gt;Decision Sciences&lt;/secondary-title&gt;&lt;/titles&gt;&lt;pages&gt;105-120&lt;/pages&gt;&lt;volume&gt;28&lt;/volume&gt;&lt;number&gt;1&lt;/number&gt;&lt;dates&gt;&lt;year&gt;1997&lt;/year&gt;&lt;pub-dates&gt;&lt;date&gt;1997/01&lt;/date&gt;&lt;/pub-dates&gt;&lt;/dates&gt;&lt;publisher&gt;Wiley-Blackwell&lt;/publisher&gt;&lt;isbn&gt;0011-7315&lt;/isbn&gt;&lt;urls&gt;&lt;/urls&gt;&lt;electronic-resource-num&gt;10.1111/j.1540-5915.1997.tb01304.x&lt;/electronic-resource-num&gt;&lt;/record&gt;&lt;/Cite&gt;&lt;Cite&gt;&lt;Author&gt;Muermann&lt;/Author&gt;&lt;Year&gt;2002&lt;/Year&gt;&lt;RecNum&gt;1177&lt;/RecNum&gt;&lt;record&gt;&lt;rec-number&gt;1177&lt;/rec-number&gt;&lt;foreign-keys&gt;&lt;key app="EN" db-id="0w05zrd59zdxwmexsxlxa0purxdzd2svavae" timestamp="0"&gt;1177&lt;/key&gt;&lt;/foreign-keys&gt;&lt;ref-type name="Journal Article"&gt;17&lt;/ref-type&gt;&lt;contributors&gt;&lt;authors&gt;&lt;author&gt;Muermann, Alexander&lt;/author&gt;&lt;author&gt;Oktem, Ulku&lt;/author&gt;&lt;/authors&gt;&lt;/contributors&gt;&lt;titles&gt;&lt;title&gt;The Near Miss management of operational risk&lt;/title&gt;&lt;secondary-title&gt;The Journal of Risk Finance&lt;/secondary-title&gt;&lt;/titles&gt;&lt;pages&gt;25-36&lt;/pages&gt;&lt;volume&gt;4&lt;/volume&gt;&lt;number&gt;1&lt;/number&gt;&lt;dates&gt;&lt;year&gt;2002&lt;/year&gt;&lt;pub-dates&gt;&lt;date&gt;2002/04&lt;/date&gt;&lt;/pub-dates&gt;&lt;/dates&gt;&lt;publisher&gt;Emerald&lt;/publisher&gt;&lt;isbn&gt;1526-5943&lt;/isbn&gt;&lt;urls&gt;&lt;/urls&gt;&lt;electronic-resource-num&gt;10.1108/eb022951&lt;/electronic-resource-num&gt;&lt;/record&gt;&lt;/Cite&gt;&lt;/EndNote&gt;</w:instrText>
      </w:r>
      <w:r w:rsidR="008A3004">
        <w:fldChar w:fldCharType="separate"/>
      </w:r>
      <w:r w:rsidR="008A3004">
        <w:rPr>
          <w:noProof/>
        </w:rPr>
        <w:t>(</w:t>
      </w:r>
      <w:hyperlink w:anchor="_ENREF_63" w:tooltip="Muermann, 2002 #1177" w:history="1">
        <w:r w:rsidR="008A3004" w:rsidRPr="004C6DEC">
          <w:rPr>
            <w:rStyle w:val="Hyperlink"/>
            <w:noProof/>
          </w:rPr>
          <w:t>Muermann and Oktem, 2002</w:t>
        </w:r>
      </w:hyperlink>
      <w:r w:rsidR="008A3004">
        <w:rPr>
          <w:noProof/>
        </w:rPr>
        <w:t xml:space="preserve">; </w:t>
      </w:r>
      <w:hyperlink w:anchor="_ENREF_93" w:tooltip="Tessmer, 1997 #1291" w:history="1">
        <w:r w:rsidR="008A3004" w:rsidRPr="004C6DEC">
          <w:rPr>
            <w:rStyle w:val="Hyperlink"/>
            <w:noProof/>
          </w:rPr>
          <w:t>Tessmer, 1997</w:t>
        </w:r>
      </w:hyperlink>
      <w:r w:rsidR="008A3004">
        <w:rPr>
          <w:noProof/>
        </w:rPr>
        <w:t>)</w:t>
      </w:r>
      <w:r w:rsidR="008A3004">
        <w:fldChar w:fldCharType="end"/>
      </w:r>
      <w:r w:rsidR="008A3004">
        <w:t>.</w:t>
      </w:r>
    </w:p>
    <w:p w14:paraId="525E6145" w14:textId="0ACC0526" w:rsidR="00C33FBB" w:rsidRPr="00183F36" w:rsidRDefault="00A06C34" w:rsidP="0089596F">
      <w:pPr>
        <w:spacing w:line="480" w:lineRule="auto"/>
        <w:ind w:firstLine="720"/>
      </w:pPr>
      <w:r>
        <w:t xml:space="preserve">Unlike </w:t>
      </w:r>
      <w:r w:rsidR="00C33FBB" w:rsidRPr="00183F36">
        <w:t xml:space="preserve">the </w:t>
      </w:r>
      <w:r w:rsidR="00C33FBB">
        <w:t>NPS</w:t>
      </w:r>
      <w:r>
        <w:t xml:space="preserve">, </w:t>
      </w:r>
      <w:r w:rsidR="00C33FBB" w:rsidRPr="00183F36">
        <w:t xml:space="preserve">Forest Service </w:t>
      </w:r>
      <w:r w:rsidR="003E3323">
        <w:t xml:space="preserve">(FS) </w:t>
      </w:r>
      <w:r w:rsidR="00C33FBB" w:rsidRPr="00183F36">
        <w:t xml:space="preserve">firefighters </w:t>
      </w:r>
      <w:r w:rsidR="005D185B" w:rsidRPr="00183F36">
        <w:t>operat</w:t>
      </w:r>
      <w:r w:rsidR="005D185B">
        <w:t>e</w:t>
      </w:r>
      <w:r w:rsidR="005D185B" w:rsidRPr="00183F36">
        <w:t xml:space="preserve"> “by the book”</w:t>
      </w:r>
      <w:r w:rsidR="005D185B">
        <w:t xml:space="preserve"> </w:t>
      </w:r>
      <w:r w:rsidR="008A3004">
        <w:fldChar w:fldCharType="begin"/>
      </w:r>
      <w:r w:rsidR="008A3004">
        <w:instrText xml:space="preserve"> ADDIN EN.CITE &lt;EndNote&gt;&lt;Cite&gt;&lt;Author&gt;Weick&lt;/Author&gt;&lt;Year&gt;1993&lt;/Year&gt;&lt;RecNum&gt;851&lt;/RecNum&gt;&lt;DisplayText&gt;(Weick, 1993)&lt;/DisplayText&gt;&lt;record&gt;&lt;rec-number&gt;851&lt;/rec-number&gt;&lt;foreign-keys&gt;&lt;key app="EN" db-id="0w05zrd59zdxwmexsxlxa0purxdzd2svavae" timestamp="0"&gt;851&lt;/key&gt;&lt;/foreign-keys&gt;&lt;ref-type name="Journal Article"&gt;17&lt;/ref-type&gt;&lt;contributors&gt;&lt;authors&gt;&lt;author&gt;Weick, Karl E.&lt;/author&gt;&lt;/authors&gt;&lt;/contributors&gt;&lt;titles&gt;&lt;title&gt;The collapse of Sensemaking in organizations: The Mann Gulch disaster&lt;/title&gt;&lt;secondary-title&gt;Administrative Science Quarterly&lt;/secondary-title&gt;&lt;/titles&gt;&lt;pages&gt;628&lt;/pages&gt;&lt;volume&gt;38&lt;/volume&gt;&lt;number&gt;4&lt;/number&gt;&lt;dates&gt;&lt;year&gt;1993&lt;/year&gt;&lt;pub-dates&gt;&lt;date&gt;1993/12&lt;/date&gt;&lt;/pub-dates&gt;&lt;/dates&gt;&lt;publisher&gt;JSTOR&lt;/publisher&gt;&lt;isbn&gt;0001-8392&lt;/isbn&gt;&lt;urls&gt;&lt;/urls&gt;&lt;electronic-resource-num&gt;10.2307/2393339&lt;/electronic-resource-num&gt;&lt;/record&gt;&lt;/Cite&gt;&lt;/EndNote&gt;</w:instrText>
      </w:r>
      <w:r w:rsidR="008A3004">
        <w:fldChar w:fldCharType="separate"/>
      </w:r>
      <w:r w:rsidR="008A3004">
        <w:rPr>
          <w:noProof/>
        </w:rPr>
        <w:t>(</w:t>
      </w:r>
      <w:hyperlink w:anchor="_ENREF_103" w:tooltip="Weick, 1993 #851" w:history="1">
        <w:r w:rsidR="008A3004" w:rsidRPr="004C6DEC">
          <w:rPr>
            <w:rStyle w:val="Hyperlink"/>
            <w:noProof/>
          </w:rPr>
          <w:t>Weick, 1993</w:t>
        </w:r>
      </w:hyperlink>
      <w:r w:rsidR="008A3004">
        <w:rPr>
          <w:noProof/>
        </w:rPr>
        <w:t>)</w:t>
      </w:r>
      <w:r w:rsidR="008A3004">
        <w:fldChar w:fldCharType="end"/>
      </w:r>
      <w:r w:rsidR="007E5062">
        <w:t>.</w:t>
      </w:r>
      <w:r w:rsidR="00C33FBB" w:rsidRPr="00183F36">
        <w:t xml:space="preserve"> </w:t>
      </w:r>
      <w:r w:rsidR="003E3323">
        <w:t>FS</w:t>
      </w:r>
      <w:r w:rsidR="003E3323" w:rsidRPr="00183F36" w:rsidDel="003E3323">
        <w:t xml:space="preserve"> </w:t>
      </w:r>
      <w:r w:rsidR="003E3323">
        <w:t>firefighter</w:t>
      </w:r>
      <w:r w:rsidR="005D185B">
        <w:t>s</w:t>
      </w:r>
      <w:r w:rsidR="003E3323">
        <w:t xml:space="preserve"> </w:t>
      </w:r>
      <w:r w:rsidR="005D185B">
        <w:t>have a procedural response strategy</w:t>
      </w:r>
      <w:r w:rsidR="00C965C3">
        <w:t xml:space="preserve"> </w:t>
      </w:r>
      <w:r w:rsidR="008A3004">
        <w:fldChar w:fldCharType="begin"/>
      </w:r>
      <w:r w:rsidR="008A3004">
        <w:instrText xml:space="preserve"> ADDIN EN.CITE &lt;EndNote&gt;&lt;Cite&gt;&lt;Author&gt;Deverell&lt;/Author&gt;&lt;Year&gt;2010&lt;/Year&gt;&lt;RecNum&gt;1007&lt;/RecNum&gt;&lt;DisplayText&gt;(Deverell and Olsson, 2010)&lt;/DisplayText&gt;&lt;record&gt;&lt;rec-number&gt;1007&lt;/rec-number&gt;&lt;foreign-keys&gt;&lt;key app="EN" db-id="0w05zrd59zdxwmexsxlxa0purxdzd2svavae" timestamp="0"&gt;1007&lt;/key&gt;&lt;/foreign-keys&gt;&lt;ref-type name="Journal Article"&gt;17&lt;/ref-type&gt;&lt;contributors&gt;&lt;authors&gt;&lt;author&gt;Deverell, E.&lt;/author&gt;&lt;author&gt;Olsson, E. K.&lt;/author&gt;&lt;/authors&gt;&lt;/contributors&gt;&lt;titles&gt;&lt;title&gt;Organizational culture effects on strategy and adaptability in crisis management&lt;/title&gt;&lt;secondary-title&gt;Risk Management-an International Journal&lt;/secondary-title&gt;&lt;/titles&gt;&lt;pages&gt;116-134&lt;/pages&gt;&lt;volume&gt;12&lt;/volume&gt;&lt;number&gt;2&lt;/number&gt;&lt;dates&gt;&lt;year&gt;2010&lt;/year&gt;&lt;pub-dates&gt;&lt;date&gt;Apr&lt;/date&gt;&lt;/pub-dates&gt;&lt;/dates&gt;&lt;isbn&gt;1460-3799&lt;/isbn&gt;&lt;accession-num&gt;WOS:000286338000002&lt;/accession-num&gt;&lt;urls&gt;&lt;related-urls&gt;&lt;url&gt;&amp;lt;Go to ISI&amp;gt;://WOS:000286338000002&lt;/url&gt;&lt;/related-urls&gt;&lt;/urls&gt;&lt;electronic-resource-num&gt;10.1057/rm.2009.18&lt;/electronic-resource-num&gt;&lt;/record&gt;&lt;/Cite&gt;&lt;/EndNote&gt;</w:instrText>
      </w:r>
      <w:r w:rsidR="008A3004">
        <w:fldChar w:fldCharType="separate"/>
      </w:r>
      <w:r w:rsidR="008A3004">
        <w:rPr>
          <w:noProof/>
        </w:rPr>
        <w:t>(</w:t>
      </w:r>
      <w:hyperlink w:anchor="_ENREF_27" w:tooltip="Deverell, 2010 #1007" w:history="1">
        <w:r w:rsidR="008A3004" w:rsidRPr="004C6DEC">
          <w:rPr>
            <w:rStyle w:val="Hyperlink"/>
            <w:noProof/>
          </w:rPr>
          <w:t>Deverell and Olsson, 2010</w:t>
        </w:r>
      </w:hyperlink>
      <w:r w:rsidR="008A3004">
        <w:rPr>
          <w:noProof/>
        </w:rPr>
        <w:t>)</w:t>
      </w:r>
      <w:r w:rsidR="008A3004">
        <w:fldChar w:fldCharType="end"/>
      </w:r>
      <w:r w:rsidR="007E5062">
        <w:t>.</w:t>
      </w:r>
      <w:r w:rsidR="00C965C3">
        <w:t xml:space="preserve"> </w:t>
      </w:r>
      <w:r w:rsidR="003E3323" w:rsidRPr="00183F36">
        <w:t xml:space="preserve">Focusing on procedures </w:t>
      </w:r>
      <w:r w:rsidR="005D185B">
        <w:t xml:space="preserve">allows such organizations to </w:t>
      </w:r>
      <w:r w:rsidR="00636CC7">
        <w:t>develop</w:t>
      </w:r>
      <w:r w:rsidR="003E3323" w:rsidRPr="00183F36">
        <w:t xml:space="preserve"> reliable protocols </w:t>
      </w:r>
      <w:r w:rsidR="00636CC7" w:rsidRPr="001A54B5">
        <w:rPr>
          <w:noProof/>
        </w:rPr>
        <w:t xml:space="preserve">to </w:t>
      </w:r>
      <w:r w:rsidR="005D185B" w:rsidRPr="001A54B5">
        <w:rPr>
          <w:noProof/>
        </w:rPr>
        <w:t xml:space="preserve">consistently </w:t>
      </w:r>
      <w:r w:rsidR="003E3323" w:rsidRPr="001A54B5">
        <w:rPr>
          <w:noProof/>
        </w:rPr>
        <w:t>addre</w:t>
      </w:r>
      <w:r w:rsidR="005D185B" w:rsidRPr="001A54B5">
        <w:rPr>
          <w:noProof/>
        </w:rPr>
        <w:t xml:space="preserve">ss potential disruptions </w:t>
      </w:r>
      <w:r w:rsidR="00627756">
        <w:rPr>
          <w:noProof/>
        </w:rPr>
        <w:fldChar w:fldCharType="begin"/>
      </w:r>
      <w:r w:rsidR="00627756">
        <w:rPr>
          <w:noProof/>
        </w:rPr>
        <w:instrText xml:space="preserve"> ADDIN EN.CITE &lt;EndNote&gt;&lt;Cite&gt;&lt;Author&gt;Seifert&lt;/Author&gt;&lt;Year&gt;2007&lt;/Year&gt;&lt;RecNum&gt;1422&lt;/RecNum&gt;&lt;DisplayText&gt;(Seifert, 2007)&lt;/DisplayText&gt;&lt;record&gt;&lt;rec-number&gt;1422&lt;/rec-number&gt;&lt;foreign-keys&gt;&lt;key app="EN" db-id="0w05zrd59zdxwmexsxlxa0purxdzd2svavae" timestamp="1550934206"&gt;1422&lt;/key&gt;&lt;/foreign-keys&gt;&lt;ref-type name="Journal Article"&gt;17&lt;/ref-type&gt;&lt;contributors&gt;&lt;authors&gt;&lt;author&gt;Seifert, Claudia&lt;/author&gt;&lt;/authors&gt;&lt;/contributors&gt;&lt;titles&gt;&lt;title&gt;Improving disaster management through structured flexibility among frontline responders&lt;/title&gt;&lt;secondary-title&gt;Communicable crises&lt;/secondary-title&gt;&lt;/titles&gt;&lt;periodical&gt;&lt;full-title&gt;Communicable crises&lt;/full-title&gt;&lt;/periodical&gt;&lt;pages&gt;83-136&lt;/pages&gt;&lt;dates&gt;&lt;year&gt;2007&lt;/year&gt;&lt;/dates&gt;&lt;urls&gt;&lt;/urls&gt;&lt;/record&gt;&lt;/Cite&gt;&lt;/EndNote&gt;</w:instrText>
      </w:r>
      <w:r w:rsidR="00627756">
        <w:rPr>
          <w:noProof/>
        </w:rPr>
        <w:fldChar w:fldCharType="separate"/>
      </w:r>
      <w:r w:rsidR="00627756">
        <w:rPr>
          <w:noProof/>
        </w:rPr>
        <w:t>(</w:t>
      </w:r>
      <w:hyperlink w:anchor="_ENREF_81" w:tooltip="Seifert, 2007 #1422" w:history="1">
        <w:r w:rsidR="00627756" w:rsidRPr="004C6DEC">
          <w:rPr>
            <w:rStyle w:val="Hyperlink"/>
            <w:noProof/>
          </w:rPr>
          <w:t>Seifert, 2007</w:t>
        </w:r>
      </w:hyperlink>
      <w:r w:rsidR="00627756">
        <w:rPr>
          <w:noProof/>
        </w:rPr>
        <w:t>)</w:t>
      </w:r>
      <w:r w:rsidR="00627756">
        <w:rPr>
          <w:noProof/>
        </w:rPr>
        <w:fldChar w:fldCharType="end"/>
      </w:r>
      <w:r w:rsidR="007E5062">
        <w:t xml:space="preserve">. </w:t>
      </w:r>
      <w:r w:rsidR="00C33FBB" w:rsidRPr="00183F36">
        <w:rPr>
          <w:bdr w:val="none" w:sz="0" w:space="0" w:color="auto" w:frame="1"/>
        </w:rPr>
        <w:t>Activities commonly seen in procedural</w:t>
      </w:r>
      <w:r w:rsidR="005D185B">
        <w:rPr>
          <w:bdr w:val="none" w:sz="0" w:space="0" w:color="auto" w:frame="1"/>
        </w:rPr>
        <w:t xml:space="preserve">ly focused </w:t>
      </w:r>
      <w:r w:rsidR="00C33FBB" w:rsidRPr="00183F36">
        <w:rPr>
          <w:bdr w:val="none" w:sz="0" w:space="0" w:color="auto" w:frame="1"/>
        </w:rPr>
        <w:t xml:space="preserve">organizations include adhering to a </w:t>
      </w:r>
      <w:r w:rsidR="00C33FBB" w:rsidRPr="001A54B5">
        <w:rPr>
          <w:noProof/>
          <w:bdr w:val="none" w:sz="0" w:space="0" w:color="auto" w:frame="1"/>
        </w:rPr>
        <w:t>schedule</w:t>
      </w:r>
      <w:r w:rsidR="00C33FBB" w:rsidRPr="00183F36">
        <w:rPr>
          <w:bdr w:val="none" w:sz="0" w:space="0" w:color="auto" w:frame="1"/>
        </w:rPr>
        <w:t xml:space="preserve"> to complete tasks, conducting meetings with </w:t>
      </w:r>
      <w:r w:rsidR="00C33FBB" w:rsidRPr="00183F36">
        <w:rPr>
          <w:bdr w:val="none" w:sz="0" w:space="0" w:color="auto" w:frame="1"/>
        </w:rPr>
        <w:lastRenderedPageBreak/>
        <w:t xml:space="preserve">specifically defined memberships and agenda, and generating and compliance to planning documents </w:t>
      </w:r>
      <w:r w:rsidR="008A3004">
        <w:rPr>
          <w:bdr w:val="none" w:sz="0" w:space="0" w:color="auto" w:frame="1"/>
        </w:rPr>
        <w:fldChar w:fldCharType="begin"/>
      </w:r>
      <w:r w:rsidR="00627756">
        <w:rPr>
          <w:bdr w:val="none" w:sz="0" w:space="0" w:color="auto" w:frame="1"/>
        </w:rPr>
        <w:instrText xml:space="preserve"> ADDIN EN.CITE &lt;EndNote&gt;&lt;Cite&gt;&lt;Author&gt;John&lt;/Author&gt;&lt;Year&gt;1984&lt;/Year&gt;&lt;RecNum&gt;867&lt;/RecNum&gt;&lt;DisplayText&gt;(John and Martin, 1984)&lt;/DisplayText&gt;&lt;record&gt;&lt;rec-number&gt;867&lt;/rec-number&gt;&lt;foreign-keys&gt;&lt;key app="EN" db-id="0w05zrd59zdxwmexsxlxa0purxdzd2svavae" timestamp="0"&gt;867&lt;/key&gt;&lt;/foreign-keys&gt;&lt;ref-type name="Journal Article"&gt;17&lt;/ref-type&gt;&lt;contributors&gt;&lt;authors&gt;&lt;author&gt;John, George&lt;/author&gt;&lt;author&gt;Martin, John&lt;/author&gt;&lt;/authors&gt;&lt;/contributors&gt;&lt;titles&gt;&lt;title&gt;Effects of organizational structure of marketing planning on credibility and utilization of plan output&lt;/title&gt;&lt;secondary-title&gt;Journal of Marketing Research&lt;/secondary-title&gt;&lt;/titles&gt;&lt;pages&gt;170*183&lt;/pages&gt;&lt;volume&gt;21&lt;/volume&gt;&lt;number&gt;2&lt;/number&gt;&lt;dates&gt;&lt;year&gt;1984&lt;/year&gt;&lt;pub-dates&gt;&lt;date&gt;1984/05&lt;/date&gt;&lt;/pub-dates&gt;&lt;/dates&gt;&lt;publisher&gt;JSTOR&lt;/publisher&gt;&lt;isbn&gt;0022-2437&lt;/isbn&gt;&lt;urls&gt;&lt;/urls&gt;&lt;electronic-resource-num&gt;10.2307/3151699&lt;/electronic-resource-num&gt;&lt;/record&gt;&lt;/Cite&gt;&lt;/EndNote&gt;</w:instrText>
      </w:r>
      <w:r w:rsidR="008A3004">
        <w:rPr>
          <w:bdr w:val="none" w:sz="0" w:space="0" w:color="auto" w:frame="1"/>
        </w:rPr>
        <w:fldChar w:fldCharType="separate"/>
      </w:r>
      <w:r w:rsidR="008A3004">
        <w:rPr>
          <w:noProof/>
          <w:bdr w:val="none" w:sz="0" w:space="0" w:color="auto" w:frame="1"/>
        </w:rPr>
        <w:t>(</w:t>
      </w:r>
      <w:hyperlink w:anchor="_ENREF_49" w:tooltip="John, 1984 #867" w:history="1">
        <w:r w:rsidR="008A3004" w:rsidRPr="004C6DEC">
          <w:rPr>
            <w:rStyle w:val="Hyperlink"/>
            <w:noProof/>
            <w:bdr w:val="none" w:sz="0" w:space="0" w:color="auto" w:frame="1"/>
          </w:rPr>
          <w:t>John and Martin, 1984</w:t>
        </w:r>
      </w:hyperlink>
      <w:r w:rsidR="008A3004">
        <w:rPr>
          <w:noProof/>
          <w:bdr w:val="none" w:sz="0" w:space="0" w:color="auto" w:frame="1"/>
        </w:rPr>
        <w:t>)</w:t>
      </w:r>
      <w:r w:rsidR="008A3004">
        <w:rPr>
          <w:bdr w:val="none" w:sz="0" w:space="0" w:color="auto" w:frame="1"/>
        </w:rPr>
        <w:fldChar w:fldCharType="end"/>
      </w:r>
      <w:r w:rsidR="007E5062">
        <w:rPr>
          <w:bdr w:val="none" w:sz="0" w:space="0" w:color="auto" w:frame="1"/>
        </w:rPr>
        <w:t>.</w:t>
      </w:r>
      <w:r w:rsidR="00C33FBB" w:rsidRPr="00183F36">
        <w:rPr>
          <w:bdr w:val="none" w:sz="0" w:space="0" w:color="auto" w:frame="1"/>
        </w:rPr>
        <w:t xml:space="preserve"> </w:t>
      </w:r>
    </w:p>
    <w:p w14:paraId="11C38E3A" w14:textId="3B093D95" w:rsidR="00636CC7" w:rsidRPr="00BE4293" w:rsidRDefault="00FE6B02" w:rsidP="0089596F">
      <w:pPr>
        <w:pStyle w:val="CommentText"/>
        <w:spacing w:line="480" w:lineRule="auto"/>
        <w:ind w:firstLine="720"/>
      </w:pPr>
      <w:r>
        <w:rPr>
          <w:sz w:val="24"/>
          <w:szCs w:val="24"/>
        </w:rPr>
        <w:t xml:space="preserve">Rising frequency of near-misses can raise an organization’s concern about them. </w:t>
      </w:r>
      <w:r w:rsidR="00BE4293" w:rsidRPr="00BE4293">
        <w:rPr>
          <w:sz w:val="24"/>
          <w:szCs w:val="24"/>
        </w:rPr>
        <w:t xml:space="preserve">The recurrence of similar and potentially related near-misses, and more salient information about their potential </w:t>
      </w:r>
      <w:r w:rsidR="00BE4293" w:rsidRPr="001A54B5">
        <w:rPr>
          <w:noProof/>
          <w:sz w:val="24"/>
          <w:szCs w:val="24"/>
        </w:rPr>
        <w:t>damage</w:t>
      </w:r>
      <w:r w:rsidR="00BE4293" w:rsidRPr="00BE4293">
        <w:rPr>
          <w:sz w:val="24"/>
          <w:szCs w:val="24"/>
        </w:rPr>
        <w:t xml:space="preserve"> tends to raise perceptions of their seriousness and may prompt personnel to further scrutinize them </w:t>
      </w:r>
      <w:r w:rsidR="008A3004">
        <w:rPr>
          <w:sz w:val="24"/>
          <w:szCs w:val="24"/>
        </w:rPr>
        <w:fldChar w:fldCharType="begin"/>
      </w:r>
      <w:r w:rsidR="008A3004">
        <w:rPr>
          <w:sz w:val="24"/>
          <w:szCs w:val="24"/>
        </w:rPr>
        <w:instrText xml:space="preserve"> ADDIN EN.CITE &lt;EndNote&gt;&lt;Cite&gt;&lt;Author&gt;Tinsley&lt;/Author&gt;&lt;Year&gt;2012&lt;/Year&gt;&lt;RecNum&gt;1293&lt;/RecNum&gt;&lt;DisplayText&gt;(Tinsley et al., 2012)&lt;/DisplayText&gt;&lt;record&gt;&lt;rec-number&gt;1293&lt;/rec-number&gt;&lt;foreign-keys&gt;&lt;key app="EN" db-id="0w05zrd59zdxwmexsxlxa0purxdzd2svavae" timestamp="0"&gt;1293&lt;/key&gt;&lt;/foreign-keys&gt;&lt;ref-type name="Journal Article"&gt;17&lt;/ref-type&gt;&lt;contributors&gt;&lt;authors&gt;&lt;author&gt;Tinsley, Catherine H.&lt;/author&gt;&lt;author&gt;Dillon, Robin L.&lt;/author&gt;&lt;author&gt;Cronin, Matthew A.&lt;/author&gt;&lt;/authors&gt;&lt;/contributors&gt;&lt;titles&gt;&lt;title&gt;How near-miss events amplify or Attenuate risky decision making&lt;/title&gt;&lt;secondary-title&gt;Management Science&lt;/secondary-title&gt;&lt;/titles&gt;&lt;pages&gt;1596-1613&lt;/pages&gt;&lt;volume&gt;58&lt;/volume&gt;&lt;number&gt;9&lt;/number&gt;&lt;dates&gt;&lt;year&gt;2012&lt;/year&gt;&lt;pub-dates&gt;&lt;date&gt;2012/09&lt;/date&gt;&lt;/pub-dates&gt;&lt;/dates&gt;&lt;publisher&gt;Institute for Operations Research and the Management Sciences (INFORMS)&lt;/publisher&gt;&lt;isbn&gt;0025-1909&lt;/isbn&gt;&lt;urls&gt;&lt;/urls&gt;&lt;electronic-resource-num&gt;10.1287/mnsc.1120.1517&lt;/electronic-resource-num&gt;&lt;/record&gt;&lt;/Cite&gt;&lt;/EndNote&gt;</w:instrText>
      </w:r>
      <w:r w:rsidR="008A3004">
        <w:rPr>
          <w:sz w:val="24"/>
          <w:szCs w:val="24"/>
        </w:rPr>
        <w:fldChar w:fldCharType="separate"/>
      </w:r>
      <w:r w:rsidR="008A3004">
        <w:rPr>
          <w:noProof/>
          <w:sz w:val="24"/>
          <w:szCs w:val="24"/>
        </w:rPr>
        <w:t>(</w:t>
      </w:r>
      <w:hyperlink w:anchor="_ENREF_94" w:tooltip="Tinsley, 2012 #1293" w:history="1">
        <w:r w:rsidR="008A3004" w:rsidRPr="004C6DEC">
          <w:rPr>
            <w:rStyle w:val="Hyperlink"/>
            <w:noProof/>
            <w:sz w:val="24"/>
            <w:szCs w:val="24"/>
          </w:rPr>
          <w:t>Tinsley et al., 2012</w:t>
        </w:r>
      </w:hyperlink>
      <w:r w:rsidR="008A3004">
        <w:rPr>
          <w:noProof/>
          <w:sz w:val="24"/>
          <w:szCs w:val="24"/>
        </w:rPr>
        <w:t>)</w:t>
      </w:r>
      <w:r w:rsidR="008A3004">
        <w:rPr>
          <w:sz w:val="24"/>
          <w:szCs w:val="24"/>
        </w:rPr>
        <w:fldChar w:fldCharType="end"/>
      </w:r>
      <w:r w:rsidR="00BE4293" w:rsidRPr="00BE4293">
        <w:rPr>
          <w:sz w:val="24"/>
          <w:szCs w:val="24"/>
        </w:rPr>
        <w:t xml:space="preserve">. </w:t>
      </w:r>
      <w:r w:rsidR="005D185B" w:rsidRPr="001A54B5">
        <w:rPr>
          <w:noProof/>
          <w:sz w:val="24"/>
          <w:szCs w:val="24"/>
        </w:rPr>
        <w:t>To start</w:t>
      </w:r>
      <w:r w:rsidR="005D185B" w:rsidRPr="00BE4293">
        <w:rPr>
          <w:sz w:val="24"/>
          <w:szCs w:val="24"/>
        </w:rPr>
        <w:t xml:space="preserve">, frequent near-misses leads to the need for a more thorough and systematic review and analysis of </w:t>
      </w:r>
      <w:r w:rsidR="00F54645" w:rsidRPr="00BE4293">
        <w:rPr>
          <w:sz w:val="24"/>
          <w:szCs w:val="24"/>
        </w:rPr>
        <w:t>such close-calls</w:t>
      </w:r>
      <w:r w:rsidR="005D185B" w:rsidRPr="00BE4293">
        <w:rPr>
          <w:sz w:val="24"/>
          <w:szCs w:val="24"/>
        </w:rPr>
        <w:t xml:space="preserve"> </w:t>
      </w:r>
      <w:r w:rsidR="008A3004">
        <w:rPr>
          <w:sz w:val="24"/>
          <w:szCs w:val="24"/>
        </w:rPr>
        <w:fldChar w:fldCharType="begin"/>
      </w:r>
      <w:r w:rsidR="00083157">
        <w:rPr>
          <w:sz w:val="24"/>
          <w:szCs w:val="24"/>
        </w:rPr>
        <w:instrText xml:space="preserve"> ADDIN EN.CITE &lt;EndNote&gt;&lt;Cite&gt;&lt;Author&gt;Andriulo&lt;/Author&gt;&lt;Year&gt;2014&lt;/Year&gt;&lt;RecNum&gt;662&lt;/RecNum&gt;&lt;DisplayText&gt;(Andriulo and Gnoni, 2014; Lampel et al., 2009)&lt;/DisplayText&gt;&lt;record&gt;&lt;rec-number&gt;662&lt;/rec-number&gt;&lt;foreign-keys&gt;&lt;key app="EN" db-id="0w05zrd59zdxwmexsxlxa0purxdzd2svavae" timestamp="0"&gt;662&lt;/key&gt;&lt;/foreign-keys&gt;&lt;ref-type name="Journal Article"&gt;17&lt;/ref-type&gt;&lt;contributors&gt;&lt;authors&gt;&lt;author&gt;Andriulo, S&lt;/author&gt;&lt;author&gt;Gnoni, MG&lt;/author&gt;&lt;/authors&gt;&lt;/contributors&gt;&lt;titles&gt;&lt;title&gt;Measuring the effectiveness of a near-miss management system: An application in an automotive firm supplier&lt;/title&gt;&lt;secondary-title&gt;Reliability Engineering &amp;amp; System Safety&lt;/secondary-title&gt;&lt;/titles&gt;&lt;periodical&gt;&lt;full-title&gt;Reliability Engineering &amp;amp; System Safety&lt;/full-title&gt;&lt;/periodical&gt;&lt;pages&gt;154-162&lt;/pages&gt;&lt;volume&gt;132&lt;/volume&gt;&lt;dates&gt;&lt;year&gt;2014&lt;/year&gt;&lt;/dates&gt;&lt;isbn&gt;0951-8320&lt;/isbn&gt;&lt;urls&gt;&lt;/urls&gt;&lt;/record&gt;&lt;/Cite&gt;&lt;Cite&gt;&lt;Author&gt;Lampel&lt;/Author&gt;&lt;Year&gt;2009&lt;/Year&gt;&lt;RecNum&gt;1405&lt;/RecNum&gt;&lt;record&gt;&lt;rec-number&gt;1405&lt;/rec-number&gt;&lt;foreign-keys&gt;&lt;key app="EN" db-id="0w05zrd59zdxwmexsxlxa0purxdzd2svavae" timestamp="1550929306"&gt;1405&lt;/key&gt;&lt;/foreign-keys&gt;&lt;ref-type name="Journal Article"&gt;17&lt;/ref-type&gt;&lt;contributors&gt;&lt;authors&gt;&lt;author&gt;Lampel, Joseph&lt;/author&gt;&lt;author&gt;Shamsie, Jamal&lt;/author&gt;&lt;author&gt;Shapira, Zur&lt;/author&gt;&lt;/authors&gt;&lt;/contributors&gt;&lt;titles&gt;&lt;title&gt;Experiencing the improbable: Rare events and organizational learning&lt;/title&gt;&lt;secondary-title&gt;Organization science&lt;/secondary-title&gt;&lt;/titles&gt;&lt;periodical&gt;&lt;full-title&gt;Organization Science&lt;/full-title&gt;&lt;/periodical&gt;&lt;pages&gt;835-845&lt;/pages&gt;&lt;volume&gt;20&lt;/volume&gt;&lt;number&gt;5&lt;/number&gt;&lt;dates&gt;&lt;year&gt;2009&lt;/year&gt;&lt;/dates&gt;&lt;isbn&gt;1047-7039&lt;/isbn&gt;&lt;urls&gt;&lt;/urls&gt;&lt;/record&gt;&lt;/Cite&gt;&lt;/EndNote&gt;</w:instrText>
      </w:r>
      <w:r w:rsidR="008A3004">
        <w:rPr>
          <w:sz w:val="24"/>
          <w:szCs w:val="24"/>
        </w:rPr>
        <w:fldChar w:fldCharType="separate"/>
      </w:r>
      <w:r w:rsidR="008A3004">
        <w:rPr>
          <w:noProof/>
          <w:sz w:val="24"/>
          <w:szCs w:val="24"/>
        </w:rPr>
        <w:t>(</w:t>
      </w:r>
      <w:hyperlink w:anchor="_ENREF_1" w:tooltip="Andriulo, 2014 #662" w:history="1">
        <w:r w:rsidR="008A3004" w:rsidRPr="004C6DEC">
          <w:rPr>
            <w:rStyle w:val="Hyperlink"/>
            <w:noProof/>
            <w:sz w:val="24"/>
            <w:szCs w:val="24"/>
          </w:rPr>
          <w:t>Andriulo and Gnoni, 2014</w:t>
        </w:r>
      </w:hyperlink>
      <w:r w:rsidR="008A3004">
        <w:rPr>
          <w:noProof/>
          <w:sz w:val="24"/>
          <w:szCs w:val="24"/>
        </w:rPr>
        <w:t xml:space="preserve">; </w:t>
      </w:r>
      <w:hyperlink w:anchor="_ENREF_55" w:tooltip="Lampel, 2009 #1126" w:history="1">
        <w:r w:rsidR="008A3004" w:rsidRPr="004C6DEC">
          <w:rPr>
            <w:rStyle w:val="Hyperlink"/>
            <w:noProof/>
            <w:sz w:val="24"/>
            <w:szCs w:val="24"/>
          </w:rPr>
          <w:t>Lampel et al., 2009</w:t>
        </w:r>
      </w:hyperlink>
      <w:r w:rsidR="008A3004">
        <w:rPr>
          <w:noProof/>
          <w:sz w:val="24"/>
          <w:szCs w:val="24"/>
        </w:rPr>
        <w:t>)</w:t>
      </w:r>
      <w:r w:rsidR="008A3004">
        <w:rPr>
          <w:sz w:val="24"/>
          <w:szCs w:val="24"/>
        </w:rPr>
        <w:fldChar w:fldCharType="end"/>
      </w:r>
      <w:r w:rsidR="007E5062">
        <w:rPr>
          <w:sz w:val="24"/>
          <w:szCs w:val="24"/>
        </w:rPr>
        <w:t>.</w:t>
      </w:r>
      <w:r w:rsidR="005D185B" w:rsidRPr="00BE4293">
        <w:rPr>
          <w:sz w:val="24"/>
          <w:szCs w:val="24"/>
        </w:rPr>
        <w:t xml:space="preserve"> This rising pressure may require</w:t>
      </w:r>
      <w:r w:rsidR="00F54645" w:rsidRPr="00BE4293">
        <w:rPr>
          <w:sz w:val="24"/>
          <w:szCs w:val="24"/>
        </w:rPr>
        <w:t xml:space="preserve"> </w:t>
      </w:r>
      <w:r w:rsidR="005D185B" w:rsidRPr="00BE4293">
        <w:rPr>
          <w:sz w:val="24"/>
          <w:szCs w:val="24"/>
        </w:rPr>
        <w:t>those responsible for the future performance of the company to</w:t>
      </w:r>
      <w:r w:rsidR="00344A13">
        <w:rPr>
          <w:sz w:val="24"/>
          <w:szCs w:val="24"/>
        </w:rPr>
        <w:t xml:space="preserve"> carefully study the root causes of near-misses and</w:t>
      </w:r>
      <w:r w:rsidR="005D185B" w:rsidRPr="00BE4293">
        <w:rPr>
          <w:sz w:val="24"/>
          <w:szCs w:val="24"/>
        </w:rPr>
        <w:t xml:space="preserve"> apply rules and procedures to address them.</w:t>
      </w:r>
      <w:r w:rsidR="00344A13">
        <w:rPr>
          <w:sz w:val="24"/>
          <w:szCs w:val="24"/>
        </w:rPr>
        <w:t xml:space="preserve"> Further, employees may be discouraged to solve problems in an ad-hoc manner, i.e., employ </w:t>
      </w:r>
      <w:r w:rsidR="001A54B5">
        <w:rPr>
          <w:sz w:val="24"/>
          <w:szCs w:val="24"/>
        </w:rPr>
        <w:t xml:space="preserve">a </w:t>
      </w:r>
      <w:r w:rsidR="00344A13" w:rsidRPr="001A54B5">
        <w:rPr>
          <w:noProof/>
          <w:sz w:val="24"/>
          <w:szCs w:val="24"/>
        </w:rPr>
        <w:t>flexible</w:t>
      </w:r>
      <w:r w:rsidR="00344A13">
        <w:rPr>
          <w:sz w:val="24"/>
          <w:szCs w:val="24"/>
        </w:rPr>
        <w:t xml:space="preserve"> response strategy.</w:t>
      </w:r>
      <w:r w:rsidR="005D185B" w:rsidRPr="00BE4293">
        <w:rPr>
          <w:sz w:val="24"/>
          <w:szCs w:val="24"/>
        </w:rPr>
        <w:t xml:space="preserve"> </w:t>
      </w:r>
      <w:r w:rsidR="00C87A4A" w:rsidRPr="00BE4293">
        <w:rPr>
          <w:sz w:val="24"/>
          <w:szCs w:val="24"/>
        </w:rPr>
        <w:t xml:space="preserve">Increased frequency </w:t>
      </w:r>
      <w:r w:rsidR="002B639F" w:rsidRPr="00BE4293">
        <w:rPr>
          <w:sz w:val="24"/>
          <w:szCs w:val="24"/>
        </w:rPr>
        <w:t>also</w:t>
      </w:r>
      <w:r w:rsidR="00C87A4A" w:rsidRPr="00BE4293">
        <w:rPr>
          <w:sz w:val="24"/>
          <w:szCs w:val="24"/>
        </w:rPr>
        <w:t xml:space="preserve"> makes it easier to </w:t>
      </w:r>
      <w:r w:rsidR="002B639F" w:rsidRPr="00BE4293">
        <w:rPr>
          <w:sz w:val="24"/>
          <w:szCs w:val="24"/>
        </w:rPr>
        <w:t>spot commonalities</w:t>
      </w:r>
      <w:r w:rsidR="001B5F05" w:rsidRPr="00BE4293">
        <w:rPr>
          <w:sz w:val="24"/>
          <w:szCs w:val="24"/>
        </w:rPr>
        <w:t xml:space="preserve"> among </w:t>
      </w:r>
      <w:r w:rsidR="00F54645" w:rsidRPr="00BE4293">
        <w:rPr>
          <w:sz w:val="24"/>
          <w:szCs w:val="24"/>
        </w:rPr>
        <w:t xml:space="preserve">near-misses </w:t>
      </w:r>
      <w:r w:rsidR="008A3004">
        <w:rPr>
          <w:sz w:val="24"/>
          <w:szCs w:val="24"/>
        </w:rPr>
        <w:fldChar w:fldCharType="begin"/>
      </w:r>
      <w:r w:rsidR="008A3004">
        <w:rPr>
          <w:sz w:val="24"/>
          <w:szCs w:val="24"/>
        </w:rPr>
        <w:instrText xml:space="preserve"> ADDIN EN.CITE &lt;EndNote&gt;&lt;Cite&gt;&lt;Author&gt;Wright&lt;/Author&gt;&lt;Year&gt;2004&lt;/Year&gt;&lt;RecNum&gt;1343&lt;/RecNum&gt;&lt;DisplayText&gt;(Wright and van der Schaaf, 2004)&lt;/DisplayText&gt;&lt;record&gt;&lt;rec-number&gt;1343&lt;/rec-number&gt;&lt;foreign-keys&gt;&lt;key app="EN" db-id="0w05zrd59zdxwmexsxlxa0purxdzd2svavae" timestamp="0"&gt;1343&lt;/key&gt;&lt;/foreign-keys&gt;&lt;ref-type name="Journal Article"&gt;17&lt;/ref-type&gt;&lt;contributors&gt;&lt;authors&gt;&lt;author&gt;Wright, Linda&lt;/author&gt;&lt;author&gt;van der Schaaf, Tjerk&lt;/author&gt;&lt;/authors&gt;&lt;/contributors&gt;&lt;titles&gt;&lt;title&gt;Accident versus near miss causation: A critical review of the literature, an empirical test in the UK railway domain, and their implications for other sectors&lt;/title&gt;&lt;secondary-title&gt;Journal of Hazardous Materials&lt;/secondary-title&gt;&lt;/titles&gt;&lt;pages&gt;105-110&lt;/pages&gt;&lt;volume&gt;111&lt;/volume&gt;&lt;number&gt;1-3&lt;/number&gt;&lt;dates&gt;&lt;year&gt;2004&lt;/year&gt;&lt;pub-dates&gt;&lt;date&gt;2004/07&lt;/date&gt;&lt;/pub-dates&gt;&lt;/dates&gt;&lt;publisher&gt;Elsevier BV&lt;/publisher&gt;&lt;isbn&gt;0304-3894&lt;/isbn&gt;&lt;urls&gt;&lt;/urls&gt;&lt;electronic-resource-num&gt;10.1016/j.jhazmat.2004.02.049&lt;/electronic-resource-num&gt;&lt;/record&gt;&lt;/Cite&gt;&lt;/EndNote&gt;</w:instrText>
      </w:r>
      <w:r w:rsidR="008A3004">
        <w:rPr>
          <w:sz w:val="24"/>
          <w:szCs w:val="24"/>
        </w:rPr>
        <w:fldChar w:fldCharType="separate"/>
      </w:r>
      <w:r w:rsidR="008A3004">
        <w:rPr>
          <w:noProof/>
          <w:sz w:val="24"/>
          <w:szCs w:val="24"/>
        </w:rPr>
        <w:t>(</w:t>
      </w:r>
      <w:hyperlink w:anchor="_ENREF_108" w:tooltip="Wright, 2004 #1343" w:history="1">
        <w:r w:rsidR="008A3004" w:rsidRPr="004C6DEC">
          <w:rPr>
            <w:rStyle w:val="Hyperlink"/>
            <w:noProof/>
            <w:sz w:val="24"/>
            <w:szCs w:val="24"/>
          </w:rPr>
          <w:t>Wright and van der Schaaf, 2004</w:t>
        </w:r>
      </w:hyperlink>
      <w:r w:rsidR="008A3004">
        <w:rPr>
          <w:noProof/>
          <w:sz w:val="24"/>
          <w:szCs w:val="24"/>
        </w:rPr>
        <w:t>)</w:t>
      </w:r>
      <w:r w:rsidR="008A3004">
        <w:rPr>
          <w:sz w:val="24"/>
          <w:szCs w:val="24"/>
        </w:rPr>
        <w:fldChar w:fldCharType="end"/>
      </w:r>
      <w:r w:rsidR="007E5062">
        <w:rPr>
          <w:sz w:val="24"/>
          <w:szCs w:val="24"/>
        </w:rPr>
        <w:t>.</w:t>
      </w:r>
      <w:r w:rsidR="00124474" w:rsidRPr="00BE4293">
        <w:rPr>
          <w:sz w:val="24"/>
          <w:szCs w:val="24"/>
        </w:rPr>
        <w:t xml:space="preserve"> </w:t>
      </w:r>
      <w:r w:rsidR="00124474" w:rsidRPr="001A54B5">
        <w:rPr>
          <w:noProof/>
          <w:sz w:val="24"/>
          <w:szCs w:val="24"/>
        </w:rPr>
        <w:t>This</w:t>
      </w:r>
      <w:r w:rsidR="00124474" w:rsidRPr="00BE4293">
        <w:rPr>
          <w:sz w:val="24"/>
          <w:szCs w:val="24"/>
        </w:rPr>
        <w:t xml:space="preserve"> facilitates the possibility of </w:t>
      </w:r>
      <w:r w:rsidR="001B5F05" w:rsidRPr="00BE4293">
        <w:rPr>
          <w:sz w:val="24"/>
          <w:szCs w:val="24"/>
        </w:rPr>
        <w:t xml:space="preserve">systematically </w:t>
      </w:r>
      <w:r w:rsidR="00124474" w:rsidRPr="00BE4293">
        <w:rPr>
          <w:sz w:val="24"/>
          <w:szCs w:val="24"/>
        </w:rPr>
        <w:t xml:space="preserve">addressing </w:t>
      </w:r>
      <w:r w:rsidR="001B5F05" w:rsidRPr="00BE4293">
        <w:rPr>
          <w:sz w:val="24"/>
          <w:szCs w:val="24"/>
        </w:rPr>
        <w:t xml:space="preserve">the </w:t>
      </w:r>
      <w:r w:rsidR="00257F56" w:rsidRPr="00BE4293">
        <w:rPr>
          <w:sz w:val="24"/>
          <w:szCs w:val="24"/>
        </w:rPr>
        <w:t>near-miss</w:t>
      </w:r>
      <w:r w:rsidR="001B5F05" w:rsidRPr="00BE4293">
        <w:rPr>
          <w:sz w:val="24"/>
          <w:szCs w:val="24"/>
        </w:rPr>
        <w:t>es</w:t>
      </w:r>
      <w:r w:rsidR="00124474" w:rsidRPr="00BE4293">
        <w:rPr>
          <w:sz w:val="24"/>
          <w:szCs w:val="24"/>
        </w:rPr>
        <w:t xml:space="preserve"> by </w:t>
      </w:r>
      <w:r w:rsidR="00C87A4A" w:rsidRPr="00BE4293">
        <w:rPr>
          <w:sz w:val="24"/>
          <w:szCs w:val="24"/>
        </w:rPr>
        <w:t>implement</w:t>
      </w:r>
      <w:r w:rsidR="00124474" w:rsidRPr="00BE4293">
        <w:rPr>
          <w:sz w:val="24"/>
          <w:szCs w:val="24"/>
        </w:rPr>
        <w:t>ing</w:t>
      </w:r>
      <w:r w:rsidR="00C87A4A" w:rsidRPr="00BE4293">
        <w:rPr>
          <w:sz w:val="24"/>
          <w:szCs w:val="24"/>
        </w:rPr>
        <w:t xml:space="preserve"> procedures that can address several </w:t>
      </w:r>
      <w:r w:rsidR="00124474" w:rsidRPr="00BE4293">
        <w:rPr>
          <w:sz w:val="24"/>
          <w:szCs w:val="24"/>
        </w:rPr>
        <w:t>issues at once</w:t>
      </w:r>
      <w:r w:rsidR="00BC4FC5" w:rsidRPr="00BE4293">
        <w:rPr>
          <w:sz w:val="24"/>
          <w:szCs w:val="24"/>
        </w:rPr>
        <w:t xml:space="preserve"> </w:t>
      </w:r>
      <w:r w:rsidR="008A3004">
        <w:rPr>
          <w:sz w:val="24"/>
          <w:szCs w:val="24"/>
        </w:rPr>
        <w:fldChar w:fldCharType="begin"/>
      </w:r>
      <w:r w:rsidR="008A3004">
        <w:rPr>
          <w:sz w:val="24"/>
          <w:szCs w:val="24"/>
        </w:rPr>
        <w:instrText xml:space="preserve"> ADDIN EN.CITE &lt;EndNote&gt;&lt;Cite&gt;&lt;Author&gt;Peck&lt;/Author&gt;&lt;Year&gt;2005&lt;/Year&gt;&lt;RecNum&gt;1198&lt;/RecNum&gt;&lt;DisplayText&gt;(Peck, 2005)&lt;/DisplayText&gt;&lt;record&gt;&lt;rec-number&gt;1198&lt;/rec-number&gt;&lt;foreign-keys&gt;&lt;key app="EN" db-id="0w05zrd59zdxwmexsxlxa0purxdzd2svavae" timestamp="0"&gt;1198&lt;/key&gt;&lt;/foreign-keys&gt;&lt;ref-type name="Journal Article"&gt;17&lt;/ref-type&gt;&lt;contributors&gt;&lt;authors&gt;&lt;author&gt;Peck, H.&lt;/author&gt;&lt;/authors&gt;&lt;/contributors&gt;&lt;titles&gt;&lt;title&gt;Drivers of supply chain vulnerability: an integrated framework&lt;/title&gt;&lt;secondary-title&gt;International Journal of Physical Distribution &amp;amp; Logistics Management&lt;/secondary-title&gt;&lt;/titles&gt;&lt;pages&gt;210-232&lt;/pages&gt;&lt;volume&gt;35&lt;/volume&gt;&lt;number&gt;4&lt;/number&gt;&lt;dates&gt;&lt;year&gt;2005&lt;/year&gt;&lt;/dates&gt;&lt;urls&gt;&lt;/urls&gt;&lt;/record&gt;&lt;/Cite&gt;&lt;/EndNote&gt;</w:instrText>
      </w:r>
      <w:r w:rsidR="008A3004">
        <w:rPr>
          <w:sz w:val="24"/>
          <w:szCs w:val="24"/>
        </w:rPr>
        <w:fldChar w:fldCharType="separate"/>
      </w:r>
      <w:r w:rsidR="008A3004">
        <w:rPr>
          <w:noProof/>
          <w:sz w:val="24"/>
          <w:szCs w:val="24"/>
        </w:rPr>
        <w:t>(</w:t>
      </w:r>
      <w:hyperlink w:anchor="_ENREF_64" w:tooltip="Peck, 2005 #1198" w:history="1">
        <w:r w:rsidR="008A3004" w:rsidRPr="004C6DEC">
          <w:rPr>
            <w:rStyle w:val="Hyperlink"/>
            <w:noProof/>
            <w:sz w:val="24"/>
            <w:szCs w:val="24"/>
          </w:rPr>
          <w:t>Peck, 2005</w:t>
        </w:r>
      </w:hyperlink>
      <w:r w:rsidR="008A3004">
        <w:rPr>
          <w:noProof/>
          <w:sz w:val="24"/>
          <w:szCs w:val="24"/>
        </w:rPr>
        <w:t>)</w:t>
      </w:r>
      <w:r w:rsidR="008A3004">
        <w:rPr>
          <w:sz w:val="24"/>
          <w:szCs w:val="24"/>
        </w:rPr>
        <w:fldChar w:fldCharType="end"/>
      </w:r>
      <w:r w:rsidR="0052048A">
        <w:rPr>
          <w:sz w:val="24"/>
          <w:szCs w:val="24"/>
        </w:rPr>
        <w:t>,</w:t>
      </w:r>
      <w:r w:rsidR="00F433B1">
        <w:rPr>
          <w:sz w:val="24"/>
          <w:szCs w:val="24"/>
        </w:rPr>
        <w:t xml:space="preserve"> i.e., use of </w:t>
      </w:r>
      <w:r>
        <w:rPr>
          <w:sz w:val="24"/>
          <w:szCs w:val="24"/>
        </w:rPr>
        <w:t>procedurally oriented response strategy</w:t>
      </w:r>
      <w:r w:rsidR="00C87A4A" w:rsidRPr="00BE4293">
        <w:rPr>
          <w:sz w:val="24"/>
          <w:szCs w:val="24"/>
        </w:rPr>
        <w:t xml:space="preserve">. </w:t>
      </w:r>
      <w:r w:rsidR="005D185B" w:rsidRPr="00BE4293">
        <w:rPr>
          <w:sz w:val="24"/>
          <w:szCs w:val="24"/>
        </w:rPr>
        <w:t>W</w:t>
      </w:r>
      <w:r w:rsidR="000538DF" w:rsidRPr="00BE4293">
        <w:rPr>
          <w:sz w:val="24"/>
          <w:szCs w:val="24"/>
        </w:rPr>
        <w:t xml:space="preserve">hen </w:t>
      </w:r>
      <w:r w:rsidR="001B5F05" w:rsidRPr="00BE4293">
        <w:rPr>
          <w:sz w:val="24"/>
          <w:szCs w:val="24"/>
        </w:rPr>
        <w:t>addressed at the system</w:t>
      </w:r>
      <w:r w:rsidR="00102748" w:rsidRPr="00BE4293">
        <w:rPr>
          <w:sz w:val="24"/>
          <w:szCs w:val="24"/>
        </w:rPr>
        <w:t>s</w:t>
      </w:r>
      <w:r w:rsidR="001B5F05" w:rsidRPr="00BE4293">
        <w:rPr>
          <w:sz w:val="24"/>
          <w:szCs w:val="24"/>
        </w:rPr>
        <w:t xml:space="preserve"> level, lessons </w:t>
      </w:r>
      <w:r w:rsidR="005D185B" w:rsidRPr="00BE4293">
        <w:rPr>
          <w:sz w:val="24"/>
          <w:szCs w:val="24"/>
        </w:rPr>
        <w:t xml:space="preserve">can be </w:t>
      </w:r>
      <w:r w:rsidR="001B5F05" w:rsidRPr="00BE4293">
        <w:rPr>
          <w:sz w:val="24"/>
          <w:szCs w:val="24"/>
        </w:rPr>
        <w:t xml:space="preserve">disseminated beyond the local </w:t>
      </w:r>
      <w:r w:rsidR="001B5F05" w:rsidRPr="001A54B5">
        <w:rPr>
          <w:noProof/>
          <w:sz w:val="24"/>
          <w:szCs w:val="24"/>
        </w:rPr>
        <w:t>circumstance</w:t>
      </w:r>
      <w:r w:rsidR="001B5F05" w:rsidRPr="00BE4293">
        <w:rPr>
          <w:sz w:val="24"/>
          <w:szCs w:val="24"/>
        </w:rPr>
        <w:t xml:space="preserve"> and can benefit a broader circle. </w:t>
      </w:r>
    </w:p>
    <w:p w14:paraId="279F5235" w14:textId="2186D243" w:rsidR="006F4287" w:rsidRPr="00183F36" w:rsidRDefault="002B639F" w:rsidP="00293166">
      <w:pPr>
        <w:autoSpaceDE w:val="0"/>
        <w:autoSpaceDN w:val="0"/>
        <w:adjustRightInd w:val="0"/>
        <w:spacing w:line="480" w:lineRule="auto"/>
        <w:ind w:firstLine="720"/>
      </w:pPr>
      <w:r w:rsidRPr="00183F36">
        <w:t>B</w:t>
      </w:r>
      <w:r w:rsidR="006F4287" w:rsidRPr="00183F36">
        <w:t>ased on double-loop learning</w:t>
      </w:r>
      <w:r w:rsidRPr="00183F36">
        <w:t xml:space="preserve">, we argue </w:t>
      </w:r>
      <w:r w:rsidR="006F4287" w:rsidRPr="00183F36">
        <w:t xml:space="preserve">that </w:t>
      </w:r>
      <w:r w:rsidR="001B5F05" w:rsidRPr="00183F36">
        <w:t xml:space="preserve">with frequent </w:t>
      </w:r>
      <w:r w:rsidR="00FE6B02">
        <w:t>near-misses</w:t>
      </w:r>
      <w:r w:rsidR="001B5F05" w:rsidRPr="00183F36">
        <w:t>,</w:t>
      </w:r>
      <w:r w:rsidR="006F4287" w:rsidRPr="00183F36">
        <w:t xml:space="preserve"> organizations become aware </w:t>
      </w:r>
      <w:r w:rsidR="00E22BAD">
        <w:t xml:space="preserve">of </w:t>
      </w:r>
      <w:r w:rsidR="001A54B5">
        <w:t xml:space="preserve">the </w:t>
      </w:r>
      <w:r w:rsidR="00E22BAD" w:rsidRPr="001A54B5">
        <w:rPr>
          <w:noProof/>
        </w:rPr>
        <w:t>underlying</w:t>
      </w:r>
      <w:r w:rsidR="006F4287" w:rsidRPr="00183F36">
        <w:t xml:space="preserve"> causes </w:t>
      </w:r>
      <w:r w:rsidR="004F159C">
        <w:t>of potential errors</w:t>
      </w:r>
      <w:r w:rsidR="004D6EC6">
        <w:t xml:space="preserve"> and thus lean towards a procedural strategy</w:t>
      </w:r>
      <w:r w:rsidR="00183F36">
        <w:t>.</w:t>
      </w:r>
      <w:r w:rsidR="006F4287" w:rsidRPr="00183F36">
        <w:t xml:space="preserve"> </w:t>
      </w:r>
      <w:r w:rsidRPr="00183F36">
        <w:t xml:space="preserve">A </w:t>
      </w:r>
      <w:r w:rsidR="00B05E22" w:rsidRPr="00183F36">
        <w:t>highly-referenced</w:t>
      </w:r>
      <w:r w:rsidRPr="00183F36">
        <w:t xml:space="preserve"> example of lingering root causes comes from the railroad industry: </w:t>
      </w:r>
      <w:r w:rsidR="001B5F05" w:rsidRPr="00183F36">
        <w:t>t</w:t>
      </w:r>
      <w:r w:rsidRPr="00183F36">
        <w:t xml:space="preserve">he devastating Paddington </w:t>
      </w:r>
      <w:r w:rsidR="001B5F05" w:rsidRPr="00183F36">
        <w:t>rail disaster of 1</w:t>
      </w:r>
      <w:r w:rsidRPr="00183F36">
        <w:t xml:space="preserve">999. As </w:t>
      </w:r>
      <w:r w:rsidR="00220717" w:rsidRPr="00183F36">
        <w:t>explain</w:t>
      </w:r>
      <w:r w:rsidRPr="00183F36">
        <w:t xml:space="preserve">ed by </w:t>
      </w:r>
      <w:hyperlink w:anchor="_ENREF_53" w:tooltip="Kleindorfer, 2012 #1113" w:history="1">
        <w:r w:rsidR="008A3004" w:rsidRPr="004C6DEC">
          <w:rPr>
            <w:rStyle w:val="Hyperlink"/>
          </w:rPr>
          <w:fldChar w:fldCharType="begin"/>
        </w:r>
        <w:r w:rsidR="0052048A" w:rsidRPr="004C6DEC">
          <w:rPr>
            <w:rStyle w:val="Hyperlink"/>
          </w:rPr>
          <w:instrText xml:space="preserve"> ADDIN EN.CITE &lt;EndNote&gt;&lt;Cite AuthorYear="1"&gt;&lt;Author&gt;Kleindorfer&lt;/Author&gt;&lt;Year&gt;2012&lt;/Year&gt;&lt;RecNum&gt;1113&lt;/RecNum&gt;&lt;DisplayText&gt;Kleindorfer et al. (2012)&lt;/DisplayText&gt;&lt;record&gt;&lt;rec-number&gt;1113&lt;/rec-number&gt;&lt;foreign-keys&gt;&lt;key app="EN" db-id="0w05zrd59zdxwmexsxlxa0purxdzd2svavae" timestamp="0"&gt;1113&lt;/key&gt;&lt;/foreign-keys&gt;&lt;ref-type name="Journal Article"&gt;17&lt;/ref-type&gt;&lt;contributors&gt;&lt;authors&gt;&lt;author&gt;Kleindorfer, Paul&lt;/author&gt;&lt;author&gt;Oktem, Ulku G.&lt;/author&gt;&lt;author&gt;Pariyani, Ankur&lt;/author&gt;&lt;author&gt;Seider, Warren D.&lt;/author&gt;&lt;/authors&gt;&lt;/contributors&gt;&lt;titles&gt;&lt;title&gt;Assessment of catastrophe risk and potential losses in industry&lt;/title&gt;&lt;secondary-title&gt;Computers &amp;amp; Chemical Engineering&lt;/secondary-title&gt;&lt;/titles&gt;&lt;pages&gt;85-96&lt;/pages&gt;&lt;volume&gt;47&lt;/volume&gt;&lt;number&gt;1&lt;/number&gt;&lt;dates&gt;&lt;year&gt;2012&lt;/year&gt;&lt;pub-dates&gt;&lt;date&gt;2012/12&lt;/date&gt;&lt;/pub-dates&gt;&lt;/dates&gt;&lt;publisher&gt;Elsevier BV&lt;/publisher&gt;&lt;isbn&gt;0098-1354&lt;/isbn&gt;&lt;urls&gt;&lt;/urls&gt;&lt;electronic-resource-num&gt;10.1016/j.compchemeng.2012.06.033&lt;/electronic-resource-num&gt;&lt;/record&gt;&lt;/Cite&gt;&lt;/EndNote&gt;</w:instrText>
        </w:r>
        <w:r w:rsidR="008A3004" w:rsidRPr="004C6DEC">
          <w:rPr>
            <w:rStyle w:val="Hyperlink"/>
          </w:rPr>
          <w:fldChar w:fldCharType="separate"/>
        </w:r>
        <w:r w:rsidR="0052048A" w:rsidRPr="004C6DEC">
          <w:rPr>
            <w:rStyle w:val="Hyperlink"/>
            <w:noProof/>
          </w:rPr>
          <w:t>Kleindorfer et al. (2012)</w:t>
        </w:r>
        <w:r w:rsidR="008A3004" w:rsidRPr="004C6DEC">
          <w:rPr>
            <w:rStyle w:val="Hyperlink"/>
          </w:rPr>
          <w:fldChar w:fldCharType="end"/>
        </w:r>
      </w:hyperlink>
      <w:r w:rsidR="008A3004">
        <w:t>,</w:t>
      </w:r>
      <w:r w:rsidRPr="00183F36">
        <w:t xml:space="preserve"> in this</w:t>
      </w:r>
      <w:r w:rsidR="001206D0" w:rsidRPr="00183F36">
        <w:t xml:space="preserve"> case</w:t>
      </w:r>
      <w:r w:rsidR="004635C5">
        <w:t>,</w:t>
      </w:r>
      <w:r w:rsidR="001206D0" w:rsidRPr="00183F36">
        <w:t xml:space="preserve"> safety signal</w:t>
      </w:r>
      <w:r w:rsidR="00293166">
        <w:t>s</w:t>
      </w:r>
      <w:r w:rsidR="001206D0" w:rsidRPr="00183F36">
        <w:t xml:space="preserve"> </w:t>
      </w:r>
      <w:r w:rsidR="00220717" w:rsidRPr="001A54B5">
        <w:rPr>
          <w:noProof/>
        </w:rPr>
        <w:t>were ignored</w:t>
      </w:r>
      <w:r w:rsidR="00220717" w:rsidRPr="00183F36">
        <w:t xml:space="preserve"> on </w:t>
      </w:r>
      <w:r w:rsidRPr="00183F36">
        <w:t xml:space="preserve">numerous occasions, which eventually led </w:t>
      </w:r>
      <w:r w:rsidR="001B5F05" w:rsidRPr="00183F36">
        <w:t>t</w:t>
      </w:r>
      <w:r w:rsidR="00E22BAD">
        <w:t>o t</w:t>
      </w:r>
      <w:r w:rsidR="001B5F05" w:rsidRPr="00183F36">
        <w:t>he</w:t>
      </w:r>
      <w:r w:rsidR="00220717" w:rsidRPr="00183F36">
        <w:t xml:space="preserve"> fatal crash. </w:t>
      </w:r>
      <w:r w:rsidR="00124474" w:rsidRPr="00183F36">
        <w:t>Th</w:t>
      </w:r>
      <w:r w:rsidR="001B5F05" w:rsidRPr="00183F36">
        <w:t xml:space="preserve">is </w:t>
      </w:r>
      <w:r w:rsidR="001B5F05" w:rsidRPr="001A54B5">
        <w:rPr>
          <w:noProof/>
        </w:rPr>
        <w:t>event</w:t>
      </w:r>
      <w:r w:rsidRPr="00183F36">
        <w:t xml:space="preserve"> </w:t>
      </w:r>
      <w:r w:rsidR="00124474" w:rsidRPr="00183F36">
        <w:t xml:space="preserve">and similar </w:t>
      </w:r>
      <w:r w:rsidRPr="00183F36">
        <w:t>major failures</w:t>
      </w:r>
      <w:r w:rsidR="00124474" w:rsidRPr="00183F36">
        <w:t xml:space="preserve"> eventually led to broadly applied changes in the railroad industry. </w:t>
      </w:r>
      <w:r w:rsidRPr="00183F36">
        <w:t>I</w:t>
      </w:r>
      <w:r w:rsidR="00124474" w:rsidRPr="00183F36">
        <w:t xml:space="preserve">n today’s </w:t>
      </w:r>
      <w:r w:rsidR="001206D0" w:rsidRPr="00183F36">
        <w:t>Germany,</w:t>
      </w:r>
      <w:r w:rsidRPr="00183F36">
        <w:t xml:space="preserve"> for instance, </w:t>
      </w:r>
      <w:r w:rsidR="00220717" w:rsidRPr="00183F36">
        <w:t xml:space="preserve">automatic control systems and speed checks are </w:t>
      </w:r>
      <w:r w:rsidR="00124474" w:rsidRPr="00183F36">
        <w:t xml:space="preserve">commonplace </w:t>
      </w:r>
      <w:r w:rsidR="00220717" w:rsidRPr="00183F36">
        <w:t xml:space="preserve">in </w:t>
      </w:r>
      <w:r w:rsidR="00124474" w:rsidRPr="00183F36">
        <w:t xml:space="preserve">commercial and cargo </w:t>
      </w:r>
      <w:r w:rsidR="00220717" w:rsidRPr="00183F36">
        <w:t xml:space="preserve">trains. </w:t>
      </w:r>
      <w:r w:rsidR="004F40A4" w:rsidRPr="001A54B5">
        <w:rPr>
          <w:noProof/>
        </w:rPr>
        <w:t>This</w:t>
      </w:r>
      <w:r w:rsidR="00E22BAD">
        <w:t>,</w:t>
      </w:r>
      <w:r w:rsidR="004F40A4" w:rsidRPr="00183F36">
        <w:t xml:space="preserve"> in</w:t>
      </w:r>
      <w:r w:rsidR="001206D0" w:rsidRPr="00183F36">
        <w:t xml:space="preserve"> essence, </w:t>
      </w:r>
      <w:r w:rsidR="004F40A4" w:rsidRPr="00183F36">
        <w:t xml:space="preserve">is the application of </w:t>
      </w:r>
      <w:r w:rsidR="00B07E92">
        <w:t>double-loop</w:t>
      </w:r>
      <w:r w:rsidR="004F40A4" w:rsidRPr="00183F36">
        <w:t xml:space="preserve"> </w:t>
      </w:r>
      <w:r w:rsidR="004F40A4" w:rsidRPr="00183F36">
        <w:lastRenderedPageBreak/>
        <w:t>learning</w:t>
      </w:r>
      <w:r w:rsidR="00124474" w:rsidRPr="00183F36">
        <w:t xml:space="preserve"> </w:t>
      </w:r>
      <w:r w:rsidR="001B5F05" w:rsidRPr="00183F36">
        <w:t xml:space="preserve">to </w:t>
      </w:r>
      <w:r w:rsidR="00124474" w:rsidRPr="00183F36">
        <w:t xml:space="preserve">help combine </w:t>
      </w:r>
      <w:r w:rsidR="004F40A4" w:rsidRPr="00183F36">
        <w:t>lessons from anomal</w:t>
      </w:r>
      <w:r w:rsidR="00124474" w:rsidRPr="00183F36">
        <w:t>ies</w:t>
      </w:r>
      <w:r w:rsidR="004F40A4" w:rsidRPr="00183F36">
        <w:t xml:space="preserve"> to treat the underlying cause</w:t>
      </w:r>
      <w:r w:rsidR="00124474" w:rsidRPr="00183F36">
        <w:t>s of accidents</w:t>
      </w:r>
      <w:r w:rsidR="004F40A4" w:rsidRPr="00183F36">
        <w:t xml:space="preserve"> </w:t>
      </w:r>
      <w:r w:rsidR="00150558">
        <w:fldChar w:fldCharType="begin"/>
      </w:r>
      <w:r w:rsidR="00627756">
        <w:instrText xml:space="preserve"> ADDIN EN.CITE &lt;EndNote&gt;&lt;Cite&gt;&lt;Author&gt;Argyris&lt;/Author&gt;&lt;Year&gt;1976&lt;/Year&gt;&lt;RecNum&gt;823&lt;/RecNum&gt;&lt;DisplayText&gt;(Argyris, 1976)&lt;/DisplayText&gt;&lt;record&gt;&lt;rec-number&gt;823&lt;/rec-number&gt;&lt;foreign-keys&gt;&lt;key app="EN" db-id="0w05zrd59zdxwmexsxlxa0purxdzd2svavae" timestamp="0"&gt;823&lt;/key&gt;&lt;/foreign-keys&gt;&lt;ref-type name="Journal Article"&gt;17&lt;/ref-type&gt;&lt;contributors&gt;&lt;authors&gt;&lt;author&gt;Argyris, Chris&lt;/author&gt;&lt;/authors&gt;&lt;/contributors&gt;&lt;titles&gt;&lt;title&gt;Single-loop and double-loop models in research on decision making&lt;/title&gt;&lt;secondary-title&gt;Administrative Science Quarterly&lt;/secondary-title&gt;&lt;/titles&gt;&lt;pages&gt;363-375&lt;/pages&gt;&lt;volume&gt;21&lt;/volume&gt;&lt;number&gt;3&lt;/number&gt;&lt;dates&gt;&lt;year&gt;1976&lt;/year&gt;&lt;pub-dates&gt;&lt;date&gt;1976/09&lt;/date&gt;&lt;/pub-dates&gt;&lt;/dates&gt;&lt;publisher&gt;JSTOR&lt;/publisher&gt;&lt;isbn&gt;0001-8392&lt;/isbn&gt;&lt;urls&gt;&lt;/urls&gt;&lt;electronic-resource-num&gt;10.2307/2391848&lt;/electronic-resource-num&gt;&lt;/record&gt;&lt;/Cite&gt;&lt;/EndNote&gt;</w:instrText>
      </w:r>
      <w:r w:rsidR="00150558">
        <w:fldChar w:fldCharType="separate"/>
      </w:r>
      <w:r w:rsidR="00150558">
        <w:rPr>
          <w:noProof/>
        </w:rPr>
        <w:t>(</w:t>
      </w:r>
      <w:hyperlink w:anchor="_ENREF_2" w:tooltip="Argyris, 1976 #823" w:history="1">
        <w:r w:rsidR="00150558" w:rsidRPr="004C6DEC">
          <w:rPr>
            <w:rStyle w:val="Hyperlink"/>
            <w:noProof/>
          </w:rPr>
          <w:t>Argyris, 1976</w:t>
        </w:r>
      </w:hyperlink>
      <w:r w:rsidR="00150558">
        <w:rPr>
          <w:noProof/>
        </w:rPr>
        <w:t>)</w:t>
      </w:r>
      <w:r w:rsidR="00150558">
        <w:fldChar w:fldCharType="end"/>
      </w:r>
      <w:r w:rsidR="008A3004">
        <w:t>.</w:t>
      </w:r>
      <w:r w:rsidR="004F40A4" w:rsidRPr="00183F36">
        <w:t xml:space="preserve"> </w:t>
      </w:r>
      <w:r w:rsidR="004F159C">
        <w:t>Therefore</w:t>
      </w:r>
      <w:r w:rsidR="000538DF" w:rsidRPr="00183F36">
        <w:t>:</w:t>
      </w:r>
    </w:p>
    <w:p w14:paraId="7D22C6B4" w14:textId="32BC2D0E" w:rsidR="006F4287" w:rsidRDefault="00486C4E">
      <w:pPr>
        <w:ind w:left="720"/>
        <w:rPr>
          <w:i/>
        </w:rPr>
      </w:pPr>
      <w:r w:rsidRPr="0089596F">
        <w:rPr>
          <w:i/>
          <w:u w:val="single"/>
        </w:rPr>
        <w:t>H1a+b</w:t>
      </w:r>
      <w:r>
        <w:rPr>
          <w:i/>
        </w:rPr>
        <w:t>: Exposure to near-misses is a) negatively associated with flexible response strategy and b)</w:t>
      </w:r>
      <w:r w:rsidR="00E140E3" w:rsidRPr="00183F36">
        <w:rPr>
          <w:i/>
        </w:rPr>
        <w:t xml:space="preserve"> positively associated with </w:t>
      </w:r>
      <w:r w:rsidR="006F4287" w:rsidRPr="00183F36">
        <w:rPr>
          <w:i/>
        </w:rPr>
        <w:t>procedural response</w:t>
      </w:r>
      <w:r w:rsidR="00E140E3" w:rsidRPr="00183F36">
        <w:rPr>
          <w:i/>
        </w:rPr>
        <w:t xml:space="preserve"> strategy</w:t>
      </w:r>
      <w:r w:rsidR="00183F36">
        <w:rPr>
          <w:i/>
        </w:rPr>
        <w:t>.</w:t>
      </w:r>
    </w:p>
    <w:p w14:paraId="4F413EF1" w14:textId="77777777" w:rsidR="008A33D4" w:rsidRPr="00183F36" w:rsidRDefault="008A33D4" w:rsidP="00F72975">
      <w:pPr>
        <w:ind w:left="720"/>
        <w:rPr>
          <w:i/>
        </w:rPr>
      </w:pPr>
    </w:p>
    <w:p w14:paraId="0B1DE65F" w14:textId="77777777" w:rsidR="006F4287" w:rsidRPr="00183F36" w:rsidRDefault="006F4287" w:rsidP="006F4287">
      <w:pPr>
        <w:rPr>
          <w:b/>
        </w:rPr>
      </w:pPr>
    </w:p>
    <w:bookmarkEnd w:id="12"/>
    <w:bookmarkEnd w:id="13"/>
    <w:bookmarkEnd w:id="14"/>
    <w:bookmarkEnd w:id="15"/>
    <w:bookmarkEnd w:id="16"/>
    <w:bookmarkEnd w:id="17"/>
    <w:p w14:paraId="6E3DD7B8" w14:textId="403EF7EE" w:rsidR="00F72975" w:rsidRPr="00183F36" w:rsidRDefault="00005846" w:rsidP="00FA00DE">
      <w:pPr>
        <w:spacing w:line="480" w:lineRule="auto"/>
        <w:rPr>
          <w:b/>
          <w:i/>
        </w:rPr>
      </w:pPr>
      <w:r w:rsidRPr="00183F36">
        <w:rPr>
          <w:b/>
          <w:i/>
        </w:rPr>
        <w:t xml:space="preserve">Moderating </w:t>
      </w:r>
      <w:r w:rsidR="008812DC" w:rsidRPr="00183F36">
        <w:rPr>
          <w:b/>
          <w:i/>
        </w:rPr>
        <w:t>E</w:t>
      </w:r>
      <w:r w:rsidRPr="00183F36">
        <w:rPr>
          <w:b/>
          <w:i/>
        </w:rPr>
        <w:t>ffects of Institutional Pressures</w:t>
      </w:r>
    </w:p>
    <w:p w14:paraId="6E6CA3DD" w14:textId="06542F39" w:rsidR="00403219" w:rsidRPr="00183F36" w:rsidRDefault="00637602" w:rsidP="003F1B49">
      <w:pPr>
        <w:spacing w:line="480" w:lineRule="auto"/>
      </w:pPr>
      <w:bookmarkStart w:id="18" w:name="OLE_LINK32"/>
      <w:bookmarkStart w:id="19" w:name="OLE_LINK33"/>
      <w:r w:rsidRPr="00183F36">
        <w:t>R</w:t>
      </w:r>
      <w:r w:rsidR="00403219" w:rsidRPr="00183F36">
        <w:t>egulat</w:t>
      </w:r>
      <w:r w:rsidR="00E23F4D" w:rsidRPr="00183F36">
        <w:t>ory bodie</w:t>
      </w:r>
      <w:r w:rsidR="00403219" w:rsidRPr="00183F36">
        <w:t xml:space="preserve">s in </w:t>
      </w:r>
      <w:r w:rsidR="004F40A4" w:rsidRPr="001A54B5">
        <w:rPr>
          <w:noProof/>
        </w:rPr>
        <w:t>a number of</w:t>
      </w:r>
      <w:r w:rsidR="004F40A4" w:rsidRPr="00183F36">
        <w:t xml:space="preserve"> </w:t>
      </w:r>
      <w:r w:rsidR="00403219" w:rsidRPr="00183F36">
        <w:t xml:space="preserve">industries require </w:t>
      </w:r>
      <w:r w:rsidR="004F40A4" w:rsidRPr="00183F36">
        <w:t xml:space="preserve">companies </w:t>
      </w:r>
      <w:r w:rsidR="00403219" w:rsidRPr="00183F36">
        <w:t>to record, analyze and report</w:t>
      </w:r>
      <w:r w:rsidR="004F40A4" w:rsidRPr="00183F36">
        <w:t xml:space="preserve"> </w:t>
      </w:r>
      <w:r w:rsidR="00412442">
        <w:t>near-misses</w:t>
      </w:r>
      <w:r w:rsidR="00A46E52" w:rsidRPr="00183F36">
        <w:t>. F</w:t>
      </w:r>
      <w:r w:rsidR="00403219" w:rsidRPr="00183F36">
        <w:t>or</w:t>
      </w:r>
      <w:r w:rsidR="001206D0" w:rsidRPr="00183F36">
        <w:t xml:space="preserve"> example, </w:t>
      </w:r>
      <w:r w:rsidR="00403219" w:rsidRPr="00183F36">
        <w:t>in clinical trials supply chain</w:t>
      </w:r>
      <w:r w:rsidR="002B639F" w:rsidRPr="00183F36">
        <w:t>s,</w:t>
      </w:r>
      <w:r w:rsidR="004F40A4" w:rsidRPr="00183F36">
        <w:t xml:space="preserve"> </w:t>
      </w:r>
      <w:r w:rsidR="00102748">
        <w:t xml:space="preserve">pharmaceutical </w:t>
      </w:r>
      <w:r w:rsidR="004F40A4" w:rsidRPr="00183F36">
        <w:t xml:space="preserve">companies are required to demonstrate how </w:t>
      </w:r>
      <w:r w:rsidRPr="00183F36">
        <w:t xml:space="preserve">they </w:t>
      </w:r>
      <w:r w:rsidR="004F40A4" w:rsidRPr="00183F36">
        <w:t>address</w:t>
      </w:r>
      <w:r w:rsidR="00403219" w:rsidRPr="00183F36">
        <w:t xml:space="preserve"> emerging issues </w:t>
      </w:r>
      <w:r w:rsidR="004F40A4" w:rsidRPr="00183F36">
        <w:t xml:space="preserve">that can hamper their operations and their ability </w:t>
      </w:r>
      <w:r w:rsidR="00403219" w:rsidRPr="00183F36">
        <w:t xml:space="preserve">to adopt </w:t>
      </w:r>
      <w:r w:rsidR="001206D0" w:rsidRPr="00183F36">
        <w:t xml:space="preserve">a system-wide </w:t>
      </w:r>
      <w:r w:rsidR="00403219" w:rsidRPr="00183F36">
        <w:t xml:space="preserve">response </w:t>
      </w:r>
      <w:r w:rsidR="001206D0" w:rsidRPr="001A54B5">
        <w:rPr>
          <w:noProof/>
        </w:rPr>
        <w:t>protocol</w:t>
      </w:r>
      <w:r w:rsidR="004F40A4" w:rsidRPr="00183F36">
        <w:t xml:space="preserve"> </w:t>
      </w:r>
      <w:r w:rsidR="00150558">
        <w:fldChar w:fldCharType="begin"/>
      </w:r>
      <w:r w:rsidR="00F75ACF">
        <w:instrText xml:space="preserve"> ADDIN EN.CITE &lt;EndNote&gt;&lt;Cite ExcludeAuth="1"&gt;&lt;Author&gt;European Medicines Agency&lt;/Author&gt;&lt;Year&gt;2015&lt;/Year&gt;&lt;RecNum&gt;1355&lt;/RecNum&gt;&lt;Prefix&gt;European Medicines Agency`, &lt;/Prefix&gt;&lt;DisplayText&gt;(European Medicines Agency, 2015)&lt;/DisplayText&gt;&lt;record&gt;&lt;rec-number&gt;1355&lt;/rec-number&gt;&lt;foreign-keys&gt;&lt;key app="EN" db-id="0w05zrd59zdxwmexsxlxa0purxdzd2svavae" timestamp="0"&gt;1355&lt;/key&gt;&lt;/foreign-keys&gt;&lt;ref-type name="Journal Article"&gt;17&lt;/ref-type&gt;&lt;contributors&gt;&lt;authors&gt;&lt;author&gt;European Medicines Agency, &lt;/author&gt;&lt;/authors&gt;&lt;/contributors&gt;&lt;titles&gt;&lt;title&gt;Good practice guide on recording, coding, reporting and assessment of medication errors&lt;/title&gt;&lt;/titles&gt;&lt;dates&gt;&lt;year&gt;2015&lt;/year&gt;&lt;/dates&gt;&lt;urls&gt;&lt;/urls&gt;&lt;/record&gt;&lt;/Cite&gt;&lt;/EndNote&gt;</w:instrText>
      </w:r>
      <w:r w:rsidR="00150558">
        <w:fldChar w:fldCharType="separate"/>
      </w:r>
      <w:r w:rsidR="00FE6B02">
        <w:rPr>
          <w:noProof/>
        </w:rPr>
        <w:t>(</w:t>
      </w:r>
      <w:hyperlink w:anchor="_ENREF_33" w:tooltip="European Medicines Agency, 2015 #1355" w:history="1">
        <w:r w:rsidR="00FE6B02" w:rsidRPr="004C6DEC">
          <w:rPr>
            <w:rStyle w:val="Hyperlink"/>
            <w:noProof/>
          </w:rPr>
          <w:t>European Medicines Agency, 2015</w:t>
        </w:r>
      </w:hyperlink>
      <w:r w:rsidR="00FE6B02">
        <w:rPr>
          <w:noProof/>
        </w:rPr>
        <w:t>)</w:t>
      </w:r>
      <w:r w:rsidR="00150558">
        <w:fldChar w:fldCharType="end"/>
      </w:r>
      <w:r w:rsidR="0052048A">
        <w:t>.</w:t>
      </w:r>
      <w:r w:rsidR="005666B0" w:rsidRPr="00183F36">
        <w:t xml:space="preserve"> </w:t>
      </w:r>
      <w:r w:rsidR="00A8646B" w:rsidRPr="00183F36">
        <w:t>In th</w:t>
      </w:r>
      <w:r w:rsidR="008A33D4">
        <w:t>is</w:t>
      </w:r>
      <w:r w:rsidR="00A8646B" w:rsidRPr="00183F36">
        <w:t xml:space="preserve"> and other industries</w:t>
      </w:r>
      <w:r w:rsidR="00E45AEA" w:rsidRPr="00183F36">
        <w:t>,</w:t>
      </w:r>
      <w:r w:rsidR="00A8646B" w:rsidRPr="00183F36">
        <w:t xml:space="preserve"> regulations act as coercive p</w:t>
      </w:r>
      <w:r w:rsidR="004F40A4" w:rsidRPr="00183F36">
        <w:t xml:space="preserve">ressures </w:t>
      </w:r>
      <w:r w:rsidR="00A8646B" w:rsidRPr="00183F36">
        <w:t xml:space="preserve">that </w:t>
      </w:r>
      <w:r w:rsidR="002B639F" w:rsidRPr="00183F36">
        <w:t>force</w:t>
      </w:r>
      <w:r w:rsidR="00A8646B" w:rsidRPr="00183F36">
        <w:t xml:space="preserve"> companies to </w:t>
      </w:r>
      <w:r w:rsidR="00431B6E" w:rsidRPr="00183F36">
        <w:t xml:space="preserve">adjust their behaviors </w:t>
      </w:r>
      <w:r w:rsidR="00431B6E" w:rsidRPr="001A54B5">
        <w:rPr>
          <w:noProof/>
        </w:rPr>
        <w:t>in order to</w:t>
      </w:r>
      <w:r w:rsidR="00431B6E" w:rsidRPr="00183F36">
        <w:t xml:space="preserve"> avoid sanctions, prevent restrictions on their market access and to gain</w:t>
      </w:r>
      <w:r w:rsidR="0079114F" w:rsidRPr="00183F36">
        <w:t xml:space="preserve"> legitimacy</w:t>
      </w:r>
      <w:r w:rsidR="00431B6E" w:rsidRPr="00183F36">
        <w:t xml:space="preserve"> </w:t>
      </w:r>
      <w:r w:rsidR="00183F36">
        <w:t xml:space="preserve">to </w:t>
      </w:r>
      <w:r w:rsidR="00A8646B" w:rsidRPr="00183F36">
        <w:t xml:space="preserve">ensure their long term </w:t>
      </w:r>
      <w:r w:rsidR="00E45AEA" w:rsidRPr="00183F36">
        <w:t>competitiveness</w:t>
      </w:r>
      <w:r w:rsidR="00BC4FC5">
        <w:t xml:space="preserve"> </w:t>
      </w:r>
      <w:r w:rsidR="00150558">
        <w:fldChar w:fldCharType="begin"/>
      </w:r>
      <w:r w:rsidR="00627756">
        <w:instrText xml:space="preserve"> ADDIN EN.CITE &lt;EndNote&gt;&lt;Cite&gt;&lt;Author&gt;Muermann&lt;/Author&gt;&lt;Year&gt;2002&lt;/Year&gt;&lt;RecNum&gt;1177&lt;/RecNum&gt;&lt;DisplayText&gt;(Muermann and Oktem, 2002)&lt;/DisplayText&gt;&lt;record&gt;&lt;rec-number&gt;1177&lt;/rec-number&gt;&lt;foreign-keys&gt;&lt;key app="EN" db-id="0w05zrd59zdxwmexsxlxa0purxdzd2svavae" timestamp="0"&gt;1177&lt;/key&gt;&lt;/foreign-keys&gt;&lt;ref-type name="Journal Article"&gt;17&lt;/ref-type&gt;&lt;contributors&gt;&lt;authors&gt;&lt;author&gt;Muermann, Alexander&lt;/author&gt;&lt;author&gt;Oktem, Ulku&lt;/author&gt;&lt;/authors&gt;&lt;/contributors&gt;&lt;titles&gt;&lt;title&gt;The Near Miss management of operational risk&lt;/title&gt;&lt;secondary-title&gt;The Journal of Risk Finance&lt;/secondary-title&gt;&lt;/titles&gt;&lt;pages&gt;25-36&lt;/pages&gt;&lt;volume&gt;4&lt;/volume&gt;&lt;number&gt;1&lt;/number&gt;&lt;dates&gt;&lt;year&gt;2002&lt;/year&gt;&lt;pub-dates&gt;&lt;date&gt;2002/04&lt;/date&gt;&lt;/pub-dates&gt;&lt;/dates&gt;&lt;publisher&gt;Emerald&lt;/publisher&gt;&lt;isbn&gt;1526-5943&lt;/isbn&gt;&lt;urls&gt;&lt;/urls&gt;&lt;electronic-resource-num&gt;10.1108/eb022951&lt;/electronic-resource-num&gt;&lt;/record&gt;&lt;/Cite&gt;&lt;/EndNote&gt;</w:instrText>
      </w:r>
      <w:r w:rsidR="00150558">
        <w:fldChar w:fldCharType="separate"/>
      </w:r>
      <w:r w:rsidR="00150558">
        <w:rPr>
          <w:noProof/>
        </w:rPr>
        <w:t>(</w:t>
      </w:r>
      <w:hyperlink w:anchor="_ENREF_63" w:tooltip="Muermann, 2002 #1177" w:history="1">
        <w:r w:rsidR="00150558" w:rsidRPr="004C6DEC">
          <w:rPr>
            <w:rStyle w:val="Hyperlink"/>
            <w:noProof/>
          </w:rPr>
          <w:t>Muermann and Oktem, 2002</w:t>
        </w:r>
      </w:hyperlink>
      <w:r w:rsidR="00150558">
        <w:rPr>
          <w:noProof/>
        </w:rPr>
        <w:t>)</w:t>
      </w:r>
      <w:r w:rsidR="00150558">
        <w:fldChar w:fldCharType="end"/>
      </w:r>
      <w:r w:rsidR="008A3004">
        <w:t xml:space="preserve">. </w:t>
      </w:r>
    </w:p>
    <w:p w14:paraId="23DDBE31" w14:textId="2E673E91" w:rsidR="00A46E52" w:rsidRPr="00183F36" w:rsidRDefault="0079114F" w:rsidP="00403219">
      <w:pPr>
        <w:spacing w:line="480" w:lineRule="auto"/>
      </w:pPr>
      <w:r w:rsidRPr="00183F36">
        <w:tab/>
      </w:r>
      <w:r w:rsidR="00A8646B" w:rsidRPr="00183F36">
        <w:t xml:space="preserve">The coercive effects of regulatory pressures can </w:t>
      </w:r>
      <w:r w:rsidR="00A46E52" w:rsidRPr="00183F36">
        <w:t xml:space="preserve">positively augment the firm’s emphasis on strengthening their response strategies. </w:t>
      </w:r>
      <w:r w:rsidR="00A8646B" w:rsidRPr="00183F36">
        <w:t>R</w:t>
      </w:r>
      <w:r w:rsidRPr="00183F36">
        <w:t xml:space="preserve">egulatory pressures can comprise instructions </w:t>
      </w:r>
      <w:r w:rsidR="00A8646B" w:rsidRPr="00183F36">
        <w:t xml:space="preserve">that may lead to </w:t>
      </w:r>
      <w:r w:rsidRPr="00183F36">
        <w:t xml:space="preserve">flexible </w:t>
      </w:r>
      <w:r w:rsidR="00D15D41" w:rsidRPr="00183F36">
        <w:t>or</w:t>
      </w:r>
      <w:r w:rsidR="00A8646B" w:rsidRPr="00183F36">
        <w:t xml:space="preserve"> procedural </w:t>
      </w:r>
      <w:r w:rsidR="00725793" w:rsidRPr="00183F36">
        <w:t>strategies</w:t>
      </w:r>
      <w:r w:rsidR="00A8646B" w:rsidRPr="00183F36">
        <w:t xml:space="preserve">. For instance, similar to the examples provided above, companies may </w:t>
      </w:r>
      <w:r w:rsidR="003D14E5" w:rsidRPr="00183F36">
        <w:t xml:space="preserve">be required </w:t>
      </w:r>
      <w:r w:rsidRPr="00183F36">
        <w:t xml:space="preserve">to </w:t>
      </w:r>
      <w:r w:rsidR="00A8646B" w:rsidRPr="001A54B5">
        <w:rPr>
          <w:noProof/>
        </w:rPr>
        <w:t xml:space="preserve">not only </w:t>
      </w:r>
      <w:r w:rsidRPr="001A54B5">
        <w:rPr>
          <w:noProof/>
        </w:rPr>
        <w:t xml:space="preserve">install </w:t>
      </w:r>
      <w:r w:rsidR="00257F56" w:rsidRPr="001A54B5">
        <w:rPr>
          <w:noProof/>
        </w:rPr>
        <w:t>near-miss</w:t>
      </w:r>
      <w:r w:rsidRPr="00183F36">
        <w:t xml:space="preserve"> tracking </w:t>
      </w:r>
      <w:r w:rsidRPr="001A54B5">
        <w:rPr>
          <w:noProof/>
        </w:rPr>
        <w:t>systems</w:t>
      </w:r>
      <w:r w:rsidRPr="00183F36">
        <w:t xml:space="preserve"> but also </w:t>
      </w:r>
      <w:r w:rsidR="00E45AEA" w:rsidRPr="00183F36">
        <w:t xml:space="preserve">be able to </w:t>
      </w:r>
      <w:r w:rsidRPr="00183F36">
        <w:t>act quickly</w:t>
      </w:r>
      <w:r w:rsidR="00A8646B" w:rsidRPr="00183F36">
        <w:t xml:space="preserve"> </w:t>
      </w:r>
      <w:r w:rsidR="00E45AEA" w:rsidRPr="00183F36">
        <w:t xml:space="preserve">to sudden and emergent concerns </w:t>
      </w:r>
      <w:r w:rsidR="00A8646B" w:rsidRPr="00183F36">
        <w:t xml:space="preserve">such as </w:t>
      </w:r>
      <w:r w:rsidR="00E45AEA" w:rsidRPr="00183F36">
        <w:t xml:space="preserve">news of </w:t>
      </w:r>
      <w:r w:rsidR="00E45AEA" w:rsidRPr="001A54B5">
        <w:rPr>
          <w:noProof/>
        </w:rPr>
        <w:t>broad</w:t>
      </w:r>
      <w:r w:rsidR="00E45AEA" w:rsidRPr="00183F36">
        <w:t xml:space="preserve"> </w:t>
      </w:r>
      <w:r w:rsidR="00A8646B" w:rsidRPr="00183F36">
        <w:t>product contamination o</w:t>
      </w:r>
      <w:r w:rsidR="00E45AEA" w:rsidRPr="00183F36">
        <w:t>r</w:t>
      </w:r>
      <w:r w:rsidR="00A8646B" w:rsidRPr="00183F36">
        <w:t xml:space="preserve"> supply shortage</w:t>
      </w:r>
      <w:r w:rsidR="00E45AEA" w:rsidRPr="00183F36">
        <w:t xml:space="preserve"> issue</w:t>
      </w:r>
      <w:r w:rsidRPr="00183F36">
        <w:t xml:space="preserve">. </w:t>
      </w:r>
      <w:r w:rsidR="00A46E52" w:rsidRPr="00183F36">
        <w:t>P</w:t>
      </w:r>
      <w:r w:rsidR="000A098B" w:rsidRPr="00183F36">
        <w:t xml:space="preserve">ressure </w:t>
      </w:r>
      <w:r w:rsidR="00623BA0" w:rsidRPr="00183F36">
        <w:t xml:space="preserve">from regulatory </w:t>
      </w:r>
      <w:r w:rsidR="00A46E52" w:rsidRPr="00183F36">
        <w:t xml:space="preserve">entities may also lead to </w:t>
      </w:r>
      <w:r w:rsidR="0033028A" w:rsidRPr="00183F36">
        <w:t>companies</w:t>
      </w:r>
      <w:r w:rsidR="00A46E52" w:rsidRPr="00183F36">
        <w:t xml:space="preserve"> to </w:t>
      </w:r>
      <w:r w:rsidR="000A098B" w:rsidRPr="00183F36">
        <w:t xml:space="preserve">take </w:t>
      </w:r>
      <w:r w:rsidR="00412442">
        <w:t>near-misses</w:t>
      </w:r>
      <w:r w:rsidR="00A46E52" w:rsidRPr="00183F36">
        <w:t xml:space="preserve"> </w:t>
      </w:r>
      <w:r w:rsidR="000A098B" w:rsidRPr="00183F36">
        <w:t xml:space="preserve">more seriously and </w:t>
      </w:r>
      <w:r w:rsidR="00A46E52" w:rsidRPr="00183F36">
        <w:t>to reflect their experience</w:t>
      </w:r>
      <w:r w:rsidR="004F159C">
        <w:t xml:space="preserve">s </w:t>
      </w:r>
      <w:r w:rsidR="00A46E52" w:rsidRPr="00183F36">
        <w:t xml:space="preserve">with these events in their response strategies. Indeed, the positive influence of regulatory forces </w:t>
      </w:r>
      <w:r w:rsidR="000A098B" w:rsidRPr="00183F36">
        <w:t xml:space="preserve">can </w:t>
      </w:r>
      <w:r w:rsidR="000A098B" w:rsidRPr="001A54B5">
        <w:rPr>
          <w:noProof/>
        </w:rPr>
        <w:t xml:space="preserve">be </w:t>
      </w:r>
      <w:r w:rsidR="00A46E52" w:rsidRPr="001A54B5">
        <w:rPr>
          <w:noProof/>
        </w:rPr>
        <w:t>seen</w:t>
      </w:r>
      <w:r w:rsidR="00A46E52" w:rsidRPr="00183F36">
        <w:t xml:space="preserve"> in </w:t>
      </w:r>
      <w:r w:rsidR="000A098B" w:rsidRPr="00183F36">
        <w:t>industr</w:t>
      </w:r>
      <w:r w:rsidR="00623BA0" w:rsidRPr="00183F36">
        <w:t>ies</w:t>
      </w:r>
      <w:r w:rsidR="00A46E52" w:rsidRPr="00183F36">
        <w:t xml:space="preserve"> exposed to </w:t>
      </w:r>
      <w:r w:rsidR="001A54B5">
        <w:t xml:space="preserve">a </w:t>
      </w:r>
      <w:r w:rsidR="00A46E52" w:rsidRPr="001A54B5">
        <w:rPr>
          <w:noProof/>
        </w:rPr>
        <w:t>larger</w:t>
      </w:r>
      <w:r w:rsidR="00A46E52" w:rsidRPr="00183F36">
        <w:t xml:space="preserve"> level of scrutiny and governmental regulatory protocols. </w:t>
      </w:r>
      <w:r w:rsidR="00D966B7" w:rsidRPr="00183F36">
        <w:t xml:space="preserve">The discussion above leads to the following hypotheses: </w:t>
      </w:r>
    </w:p>
    <w:p w14:paraId="3DDDB09A" w14:textId="78635E96" w:rsidR="00403219" w:rsidRPr="00183F36" w:rsidRDefault="007C0997" w:rsidP="00ED4E39">
      <w:pPr>
        <w:ind w:left="720"/>
        <w:rPr>
          <w:i/>
        </w:rPr>
      </w:pPr>
      <w:r w:rsidRPr="00183F36">
        <w:rPr>
          <w:i/>
          <w:u w:val="single"/>
        </w:rPr>
        <w:t>H</w:t>
      </w:r>
      <w:r>
        <w:rPr>
          <w:i/>
          <w:u w:val="single"/>
        </w:rPr>
        <w:t>2</w:t>
      </w:r>
      <w:r w:rsidRPr="00183F36">
        <w:rPr>
          <w:i/>
          <w:u w:val="single"/>
        </w:rPr>
        <w:t>a</w:t>
      </w:r>
      <w:r w:rsidR="00403219" w:rsidRPr="00183F36">
        <w:rPr>
          <w:i/>
          <w:u w:val="single"/>
        </w:rPr>
        <w:t>+b:</w:t>
      </w:r>
      <w:r w:rsidR="00403219" w:rsidRPr="00183F36">
        <w:rPr>
          <w:i/>
        </w:rPr>
        <w:t xml:space="preserve"> Institutional pressure from regulatory bodies increases the association between exposure to </w:t>
      </w:r>
      <w:r w:rsidR="00412442">
        <w:rPr>
          <w:i/>
        </w:rPr>
        <w:t>near-misses</w:t>
      </w:r>
      <w:r w:rsidR="003378D9" w:rsidRPr="00183F36">
        <w:rPr>
          <w:i/>
        </w:rPr>
        <w:t xml:space="preserve"> </w:t>
      </w:r>
      <w:r w:rsidR="00403219" w:rsidRPr="00183F36">
        <w:rPr>
          <w:i/>
        </w:rPr>
        <w:t xml:space="preserve">and </w:t>
      </w:r>
      <w:r w:rsidR="00CC3BE8" w:rsidRPr="00183F36">
        <w:rPr>
          <w:i/>
        </w:rPr>
        <w:t>a</w:t>
      </w:r>
      <w:r w:rsidR="00403219" w:rsidRPr="00183F36">
        <w:rPr>
          <w:i/>
        </w:rPr>
        <w:t xml:space="preserve">) </w:t>
      </w:r>
      <w:r w:rsidR="00CC3BE8" w:rsidRPr="00183F36">
        <w:rPr>
          <w:i/>
        </w:rPr>
        <w:t xml:space="preserve">flexible and b) procedural response </w:t>
      </w:r>
      <w:r w:rsidR="00BA0311" w:rsidRPr="00183F36">
        <w:rPr>
          <w:i/>
        </w:rPr>
        <w:t>strategy.</w:t>
      </w:r>
    </w:p>
    <w:p w14:paraId="16D8439E" w14:textId="77777777" w:rsidR="00ED4E39" w:rsidRPr="00183F36" w:rsidRDefault="00ED4E39" w:rsidP="00ED4E39">
      <w:pPr>
        <w:ind w:left="720"/>
        <w:rPr>
          <w:i/>
        </w:rPr>
      </w:pPr>
    </w:p>
    <w:p w14:paraId="415EA960" w14:textId="4D8246C1" w:rsidR="00291C10" w:rsidRPr="00183F36" w:rsidRDefault="00A61D49" w:rsidP="00186FC2">
      <w:pPr>
        <w:spacing w:line="480" w:lineRule="auto"/>
        <w:ind w:firstLine="720"/>
      </w:pPr>
      <w:r w:rsidRPr="00183F36">
        <w:t>Industr</w:t>
      </w:r>
      <w:r w:rsidR="00D966B7" w:rsidRPr="00183F36">
        <w:t>ial associations a</w:t>
      </w:r>
      <w:r w:rsidRPr="00183F36">
        <w:t>nd professional standards</w:t>
      </w:r>
      <w:r w:rsidR="00BD3C60" w:rsidRPr="00183F36">
        <w:t xml:space="preserve"> </w:t>
      </w:r>
      <w:r w:rsidR="00B937B6" w:rsidRPr="00183F36">
        <w:t xml:space="preserve">carry </w:t>
      </w:r>
      <w:r w:rsidR="00293166">
        <w:t xml:space="preserve">normative pressures </w:t>
      </w:r>
      <w:r w:rsidR="00293166" w:rsidRPr="001A54B5">
        <w:rPr>
          <w:noProof/>
        </w:rPr>
        <w:t>on</w:t>
      </w:r>
      <w:r w:rsidR="00D966B7" w:rsidRPr="001A54B5">
        <w:rPr>
          <w:noProof/>
        </w:rPr>
        <w:t xml:space="preserve"> organizational</w:t>
      </w:r>
      <w:r w:rsidR="00D966B7" w:rsidRPr="00183F36">
        <w:t xml:space="preserve"> behavior</w:t>
      </w:r>
      <w:r w:rsidR="00BD3C60" w:rsidRPr="00183F36">
        <w:t xml:space="preserve"> </w:t>
      </w:r>
      <w:r w:rsidR="006135EF">
        <w:fldChar w:fldCharType="begin"/>
      </w:r>
      <w:r w:rsidR="006135EF">
        <w:instrText xml:space="preserve"> ADDIN EN.CITE &lt;EndNote&gt;&lt;Cite&gt;&lt;Author&gt;Scott&lt;/Author&gt;&lt;Year&gt;2001&lt;/Year&gt;&lt;RecNum&gt;1354&lt;/RecNum&gt;&lt;DisplayText&gt;(Scott, 2001)&lt;/DisplayText&gt;&lt;record&gt;&lt;rec-number&gt;1354&lt;/rec-number&gt;&lt;foreign-keys&gt;&lt;key app="EN" db-id="0w05zrd59zdxwmexsxlxa0purxdzd2svavae" timestamp="0"&gt;1354&lt;/key&gt;&lt;/foreign-keys&gt;&lt;ref-type name="Book"&gt;6&lt;/ref-type&gt;&lt;contributors&gt;&lt;authors&gt;&lt;author&gt;Scott, W.R.&lt;/author&gt;&lt;/authors&gt;&lt;/contributors&gt;&lt;titles&gt;&lt;title&gt;Institutions and organizations&lt;/title&gt;&lt;/titles&gt;&lt;dates&gt;&lt;year&gt;2001&lt;/year&gt;&lt;/dates&gt;&lt;publisher&gt;Sage&lt;/publisher&gt;&lt;urls&gt;&lt;/urls&gt;&lt;/record&gt;&lt;/Cite&gt;&lt;/EndNote&gt;</w:instrText>
      </w:r>
      <w:r w:rsidR="006135EF">
        <w:fldChar w:fldCharType="separate"/>
      </w:r>
      <w:r w:rsidR="006135EF">
        <w:rPr>
          <w:noProof/>
        </w:rPr>
        <w:t>(</w:t>
      </w:r>
      <w:hyperlink w:anchor="_ENREF_79" w:tooltip="Scott, 2001 #1354" w:history="1">
        <w:r w:rsidR="006135EF" w:rsidRPr="004C6DEC">
          <w:rPr>
            <w:rStyle w:val="Hyperlink"/>
            <w:noProof/>
          </w:rPr>
          <w:t>Scott, 2001</w:t>
        </w:r>
      </w:hyperlink>
      <w:r w:rsidR="006135EF">
        <w:rPr>
          <w:noProof/>
        </w:rPr>
        <w:t>)</w:t>
      </w:r>
      <w:r w:rsidR="006135EF">
        <w:fldChar w:fldCharType="end"/>
      </w:r>
      <w:r w:rsidR="0052048A">
        <w:t>.</w:t>
      </w:r>
      <w:r w:rsidR="00BD3C60" w:rsidRPr="00183F36">
        <w:t xml:space="preserve"> </w:t>
      </w:r>
      <w:r w:rsidR="0033028A" w:rsidRPr="00183F36">
        <w:t xml:space="preserve">Unlike coercive forces, normative pressures are </w:t>
      </w:r>
      <w:r w:rsidR="00BD3C60" w:rsidRPr="00183F36">
        <w:t xml:space="preserve">developed </w:t>
      </w:r>
      <w:r w:rsidR="00D966B7" w:rsidRPr="00183F36">
        <w:lastRenderedPageBreak/>
        <w:t xml:space="preserve">as a result of shared </w:t>
      </w:r>
      <w:r w:rsidR="00BD3C60" w:rsidRPr="00183F36">
        <w:t>education</w:t>
      </w:r>
      <w:r w:rsidR="0033028A" w:rsidRPr="00183F36">
        <w:t xml:space="preserve">, frames of mind and overall </w:t>
      </w:r>
      <w:r w:rsidR="00725793" w:rsidRPr="00183F36">
        <w:t xml:space="preserve">professional </w:t>
      </w:r>
      <w:r w:rsidR="00102748">
        <w:t>experience</w:t>
      </w:r>
      <w:r w:rsidR="0033028A" w:rsidRPr="00183F36">
        <w:t xml:space="preserve">. </w:t>
      </w:r>
      <w:r w:rsidR="00BD3C60" w:rsidRPr="00183F36">
        <w:t xml:space="preserve">For </w:t>
      </w:r>
      <w:r w:rsidR="0033028A" w:rsidRPr="00183F36">
        <w:t>instance</w:t>
      </w:r>
      <w:r w:rsidR="00BD3C60" w:rsidRPr="00183F36">
        <w:t xml:space="preserve">, the </w:t>
      </w:r>
      <w:r w:rsidR="00B937B6" w:rsidRPr="00183F36">
        <w:t>electronics i</w:t>
      </w:r>
      <w:r w:rsidR="00BD3C60" w:rsidRPr="00183F36">
        <w:t xml:space="preserve">ndustry has formed </w:t>
      </w:r>
      <w:r w:rsidR="007E5062">
        <w:t xml:space="preserve">a coalition among </w:t>
      </w:r>
      <w:r w:rsidR="007E5062" w:rsidRPr="001A54B5">
        <w:rPr>
          <w:noProof/>
        </w:rPr>
        <w:t>manufacturers</w:t>
      </w:r>
      <w:r w:rsidR="00BD3C60" w:rsidRPr="001A54B5">
        <w:rPr>
          <w:noProof/>
        </w:rPr>
        <w:t xml:space="preserve"> that</w:t>
      </w:r>
      <w:r w:rsidR="00BD3C60" w:rsidRPr="00183F36">
        <w:t xml:space="preserve"> provides </w:t>
      </w:r>
      <w:r w:rsidR="00B937B6" w:rsidRPr="00183F36">
        <w:t xml:space="preserve">a forum to discuss the </w:t>
      </w:r>
      <w:r w:rsidR="00BD3C60" w:rsidRPr="00183F36">
        <w:t>risk</w:t>
      </w:r>
      <w:r w:rsidR="00B937B6" w:rsidRPr="00183F36">
        <w:t>s</w:t>
      </w:r>
      <w:r w:rsidR="00BD3C60" w:rsidRPr="00183F36">
        <w:t xml:space="preserve"> </w:t>
      </w:r>
      <w:r w:rsidR="00B937B6" w:rsidRPr="00183F36">
        <w:t xml:space="preserve">associated with </w:t>
      </w:r>
      <w:r w:rsidR="00BD3C60" w:rsidRPr="00183F36">
        <w:t xml:space="preserve">issues </w:t>
      </w:r>
      <w:r w:rsidR="00B937B6" w:rsidRPr="00183F36">
        <w:t xml:space="preserve">such as </w:t>
      </w:r>
      <w:r w:rsidR="00BD3C60" w:rsidRPr="00183F36">
        <w:t xml:space="preserve">child labor, environmental </w:t>
      </w:r>
      <w:r w:rsidR="00B937B6" w:rsidRPr="00183F36">
        <w:t>pollutions, sustainability and other social and supply chain matters</w:t>
      </w:r>
      <w:r w:rsidR="004D7029" w:rsidRPr="00183F36">
        <w:t xml:space="preserve"> </w:t>
      </w:r>
      <w:r w:rsidR="00150558">
        <w:fldChar w:fldCharType="begin"/>
      </w:r>
      <w:r w:rsidR="00150558">
        <w:instrText xml:space="preserve"> ADDIN EN.CITE &lt;EndNote&gt;&lt;Cite&gt;&lt;Author&gt;Vogel&lt;/Author&gt;&lt;Year&gt;2010&lt;/Year&gt;&lt;RecNum&gt;1367&lt;/RecNum&gt;&lt;DisplayText&gt;(Vogel, 2010)&lt;/DisplayText&gt;&lt;record&gt;&lt;rec-number&gt;1367&lt;/rec-number&gt;&lt;foreign-keys&gt;&lt;key app="EN" db-id="0w05zrd59zdxwmexsxlxa0purxdzd2svavae" timestamp="0"&gt;1367&lt;/key&gt;&lt;/foreign-keys&gt;&lt;ref-type name="Journal Article"&gt;17&lt;/ref-type&gt;&lt;contributors&gt;&lt;authors&gt;&lt;author&gt;Vogel, D.&lt;/author&gt;&lt;/authors&gt;&lt;/contributors&gt;&lt;titles&gt;&lt;title&gt;The Private Regulation of Global Corporate Conduct Achievements and Limitations&lt;/title&gt;&lt;secondary-title&gt;Business &amp;amp; Society&lt;/secondary-title&gt;&lt;/titles&gt;&lt;pages&gt;68-87&lt;/pages&gt;&lt;volume&gt;49&lt;/volume&gt;&lt;number&gt;1&lt;/number&gt;&lt;dates&gt;&lt;year&gt;2010&lt;/year&gt;&lt;pub-dates&gt;&lt;date&gt;Mar&lt;/date&gt;&lt;/pub-dates&gt;&lt;/dates&gt;&lt;isbn&gt;0007-6503&lt;/isbn&gt;&lt;accession-num&gt;WOS:000275253700004&lt;/accession-num&gt;&lt;urls&gt;&lt;related-urls&gt;&lt;url&gt;&amp;lt;Go to ISI&amp;gt;://WOS:000275253700004&lt;/url&gt;&lt;/related-urls&gt;&lt;/urls&gt;&lt;electronic-resource-num&gt;10.1177/0007650309343407&lt;/electronic-resource-num&gt;&lt;/record&gt;&lt;/Cite&gt;&lt;/EndNote&gt;</w:instrText>
      </w:r>
      <w:r w:rsidR="00150558">
        <w:fldChar w:fldCharType="separate"/>
      </w:r>
      <w:r w:rsidR="00150558">
        <w:t>(</w:t>
      </w:r>
      <w:hyperlink w:anchor="_ENREF_98" w:tooltip="Vogel, 2010 #1367" w:history="1">
        <w:r w:rsidR="00150558" w:rsidRPr="004C6DEC">
          <w:rPr>
            <w:rStyle w:val="Hyperlink"/>
          </w:rPr>
          <w:t>Vogel, 2010</w:t>
        </w:r>
      </w:hyperlink>
      <w:r w:rsidR="00150558">
        <w:t>)</w:t>
      </w:r>
      <w:r w:rsidR="00150558">
        <w:fldChar w:fldCharType="end"/>
      </w:r>
      <w:r w:rsidR="00150558">
        <w:t xml:space="preserve">. </w:t>
      </w:r>
      <w:r w:rsidR="00102748">
        <w:t>Professionals</w:t>
      </w:r>
      <w:r w:rsidR="0033028A" w:rsidRPr="00183F36">
        <w:t xml:space="preserve"> working for companies engaged with</w:t>
      </w:r>
      <w:r w:rsidR="007E5062" w:rsidRPr="007E5062">
        <w:t> the Electronic Industry Citizenship Coalition (EICC)</w:t>
      </w:r>
      <w:r w:rsidR="0033028A" w:rsidRPr="00183F36">
        <w:t xml:space="preserve"> become acclimated with norms and protocols </w:t>
      </w:r>
      <w:r w:rsidR="004D7029" w:rsidRPr="00183F36">
        <w:t>that</w:t>
      </w:r>
      <w:r w:rsidR="0033028A" w:rsidRPr="00183F36">
        <w:t xml:space="preserve"> other companies </w:t>
      </w:r>
      <w:r w:rsidR="004D7029" w:rsidRPr="00183F36">
        <w:t xml:space="preserve">are </w:t>
      </w:r>
      <w:r w:rsidR="00102748">
        <w:t>using</w:t>
      </w:r>
      <w:r w:rsidR="0033028A" w:rsidRPr="00183F36">
        <w:t xml:space="preserve">. </w:t>
      </w:r>
      <w:r w:rsidR="00293166">
        <w:t xml:space="preserve">As a result, </w:t>
      </w:r>
      <w:r w:rsidR="00102748">
        <w:t>these professionals</w:t>
      </w:r>
      <w:r w:rsidR="00823428" w:rsidRPr="00183F36">
        <w:t xml:space="preserve"> </w:t>
      </w:r>
      <w:r w:rsidR="00293166">
        <w:t>are</w:t>
      </w:r>
      <w:r w:rsidR="00823428" w:rsidRPr="00183F36">
        <w:t xml:space="preserve"> better </w:t>
      </w:r>
      <w:r w:rsidR="000538DF" w:rsidRPr="00183F36">
        <w:t xml:space="preserve">aware of the underlying severity associated with </w:t>
      </w:r>
      <w:r w:rsidR="00412442">
        <w:t>near-misses</w:t>
      </w:r>
      <w:r w:rsidR="00293166">
        <w:t xml:space="preserve">. It follows that </w:t>
      </w:r>
      <w:r w:rsidR="000538DF" w:rsidRPr="00183F36">
        <w:t xml:space="preserve">they may be more prone to </w:t>
      </w:r>
      <w:r w:rsidR="00823428" w:rsidRPr="00183F36">
        <w:t xml:space="preserve">react to </w:t>
      </w:r>
      <w:r w:rsidR="000538DF" w:rsidRPr="00183F36">
        <w:t xml:space="preserve">these </w:t>
      </w:r>
      <w:r w:rsidR="00823428" w:rsidRPr="00183F36">
        <w:t xml:space="preserve">situations </w:t>
      </w:r>
      <w:r w:rsidR="00293166">
        <w:t xml:space="preserve">at the local level </w:t>
      </w:r>
      <w:r w:rsidR="000538DF" w:rsidRPr="00183F36">
        <w:t xml:space="preserve">by developing </w:t>
      </w:r>
      <w:r w:rsidR="001206D0" w:rsidRPr="00183F36">
        <w:t xml:space="preserve">ad-hoc </w:t>
      </w:r>
      <w:r w:rsidR="00293166">
        <w:t xml:space="preserve">disruption solutions. </w:t>
      </w:r>
    </w:p>
    <w:p w14:paraId="558598C2" w14:textId="5AF92EA6" w:rsidR="00AC1EE4" w:rsidRPr="00183F36" w:rsidRDefault="00293166" w:rsidP="00291C10">
      <w:pPr>
        <w:spacing w:line="480" w:lineRule="auto"/>
        <w:ind w:firstLine="720"/>
      </w:pPr>
      <w:r>
        <w:t>T</w:t>
      </w:r>
      <w:r w:rsidR="00D966B7" w:rsidRPr="00183F36">
        <w:t xml:space="preserve">hrough industry associations, </w:t>
      </w:r>
      <w:r w:rsidR="004D7029" w:rsidRPr="00183F36">
        <w:t xml:space="preserve">professional </w:t>
      </w:r>
      <w:r w:rsidR="00D966B7" w:rsidRPr="00183F36">
        <w:t xml:space="preserve">education </w:t>
      </w:r>
      <w:r w:rsidR="004D7029" w:rsidRPr="00183F36">
        <w:t>and</w:t>
      </w:r>
      <w:r>
        <w:t xml:space="preserve"> other related normative forces, managers may</w:t>
      </w:r>
      <w:r w:rsidR="00291C10" w:rsidRPr="00183F36">
        <w:t xml:space="preserve"> </w:t>
      </w:r>
      <w:r w:rsidR="001849E4" w:rsidRPr="00183F36">
        <w:t xml:space="preserve">be influenced </w:t>
      </w:r>
      <w:r w:rsidR="001849E4" w:rsidRPr="001A54B5">
        <w:rPr>
          <w:noProof/>
        </w:rPr>
        <w:t xml:space="preserve">to better </w:t>
      </w:r>
      <w:r w:rsidR="00291C10" w:rsidRPr="001A54B5">
        <w:rPr>
          <w:noProof/>
        </w:rPr>
        <w:t>identify</w:t>
      </w:r>
      <w:r w:rsidR="00291C10" w:rsidRPr="00183F36">
        <w:t xml:space="preserve">, analyze and make use of </w:t>
      </w:r>
      <w:r w:rsidR="00257F56">
        <w:t>near-miss</w:t>
      </w:r>
      <w:r w:rsidR="00291C10" w:rsidRPr="00183F36">
        <w:t xml:space="preserve"> incidents</w:t>
      </w:r>
      <w:r w:rsidR="004D7029" w:rsidRPr="00183F36">
        <w:t xml:space="preserve">. </w:t>
      </w:r>
      <w:r w:rsidR="00291C10" w:rsidRPr="00183F36">
        <w:t xml:space="preserve">Managers might not only </w:t>
      </w:r>
      <w:r w:rsidR="001849E4" w:rsidRPr="00183F36">
        <w:t xml:space="preserve">be influenced to carry skills and awareness as tools </w:t>
      </w:r>
      <w:r w:rsidR="00291C10" w:rsidRPr="00183F36">
        <w:t xml:space="preserve">to identify a </w:t>
      </w:r>
      <w:r w:rsidR="00257F56">
        <w:t>near-miss</w:t>
      </w:r>
      <w:r w:rsidR="00291C10" w:rsidRPr="00183F36">
        <w:t xml:space="preserve"> and to quantify them, but also have the awareness that </w:t>
      </w:r>
      <w:r w:rsidR="00412442">
        <w:t>near-misses</w:t>
      </w:r>
      <w:r w:rsidR="00291C10" w:rsidRPr="00183F36">
        <w:t xml:space="preserve"> </w:t>
      </w:r>
      <w:r w:rsidR="0033028A" w:rsidRPr="00183F36">
        <w:t xml:space="preserve">will not be left </w:t>
      </w:r>
      <w:r w:rsidR="00291C10" w:rsidRPr="00183F36">
        <w:t xml:space="preserve">unnoticed or ignored. It is also possible that </w:t>
      </w:r>
      <w:r w:rsidR="00F41B06" w:rsidRPr="00183F36">
        <w:t xml:space="preserve">managers may learn to consider </w:t>
      </w:r>
      <w:r w:rsidR="00257F56">
        <w:t>near-miss</w:t>
      </w:r>
      <w:r w:rsidR="00F41B06" w:rsidRPr="00183F36">
        <w:t xml:space="preserve">es as </w:t>
      </w:r>
      <w:r w:rsidR="00291C10" w:rsidRPr="00183F36">
        <w:t>“</w:t>
      </w:r>
      <w:r w:rsidR="00E73845">
        <w:t>complimentary</w:t>
      </w:r>
      <w:r w:rsidR="00F41B06" w:rsidRPr="00183F36">
        <w:t>”</w:t>
      </w:r>
      <w:r w:rsidR="00291C10" w:rsidRPr="00183F36">
        <w:t xml:space="preserve"> lesson</w:t>
      </w:r>
      <w:r w:rsidR="00F41B06" w:rsidRPr="00183F36">
        <w:t xml:space="preserve">s because </w:t>
      </w:r>
      <w:r w:rsidR="00291C10" w:rsidRPr="00183F36">
        <w:t xml:space="preserve">no harm </w:t>
      </w:r>
      <w:r w:rsidR="00E73845" w:rsidRPr="001A54B5">
        <w:rPr>
          <w:noProof/>
        </w:rPr>
        <w:t xml:space="preserve">was </w:t>
      </w:r>
      <w:r w:rsidR="001206D0" w:rsidRPr="001A54B5">
        <w:rPr>
          <w:noProof/>
        </w:rPr>
        <w:t>materialized</w:t>
      </w:r>
      <w:r w:rsidR="00E73845">
        <w:t xml:space="preserve"> from the event</w:t>
      </w:r>
      <w:r w:rsidR="001206D0" w:rsidRPr="00183F36">
        <w:t>,</w:t>
      </w:r>
      <w:r w:rsidR="00291C10" w:rsidRPr="00183F36">
        <w:t xml:space="preserve"> and that they actually might </w:t>
      </w:r>
      <w:r w:rsidR="00E73845">
        <w:t xml:space="preserve">help surface </w:t>
      </w:r>
      <w:r w:rsidR="00291C10" w:rsidRPr="00183F36">
        <w:t xml:space="preserve">root cause of larger </w:t>
      </w:r>
      <w:r w:rsidR="00E73845">
        <w:t>systemic</w:t>
      </w:r>
      <w:r w:rsidR="00291C10" w:rsidRPr="00183F36">
        <w:t xml:space="preserve"> issues. </w:t>
      </w:r>
      <w:r w:rsidR="00823428" w:rsidRPr="00183F36">
        <w:t xml:space="preserve">We thus argue that firms in industries with high normative pressure will </w:t>
      </w:r>
      <w:r w:rsidR="000A098B" w:rsidRPr="00183F36">
        <w:t>pursue higher levels of procedur</w:t>
      </w:r>
      <w:r w:rsidR="00823428" w:rsidRPr="00183F36">
        <w:t xml:space="preserve">al and flexible disruption responses. </w:t>
      </w:r>
    </w:p>
    <w:bookmarkEnd w:id="18"/>
    <w:bookmarkEnd w:id="19"/>
    <w:p w14:paraId="7AC8522F" w14:textId="3CBB0A99" w:rsidR="00A26E29" w:rsidRPr="00183F36" w:rsidRDefault="00403219" w:rsidP="00A26E29">
      <w:pPr>
        <w:ind w:left="720"/>
        <w:rPr>
          <w:i/>
        </w:rPr>
      </w:pPr>
      <w:r w:rsidRPr="00183F36">
        <w:rPr>
          <w:i/>
        </w:rPr>
        <w:t>H</w:t>
      </w:r>
      <w:r w:rsidR="007C0997">
        <w:rPr>
          <w:i/>
        </w:rPr>
        <w:t>3</w:t>
      </w:r>
      <w:r w:rsidR="00D143DD" w:rsidRPr="00183F36">
        <w:rPr>
          <w:i/>
        </w:rPr>
        <w:t>a</w:t>
      </w:r>
      <w:r w:rsidRPr="00183F36">
        <w:rPr>
          <w:i/>
        </w:rPr>
        <w:t xml:space="preserve">+b: Institutional pressure from industry increases the association between exposure to </w:t>
      </w:r>
      <w:r w:rsidR="00412442">
        <w:rPr>
          <w:i/>
        </w:rPr>
        <w:t>near-misses</w:t>
      </w:r>
      <w:r w:rsidR="00D143DD" w:rsidRPr="00183F36">
        <w:rPr>
          <w:i/>
        </w:rPr>
        <w:t xml:space="preserve"> </w:t>
      </w:r>
      <w:r w:rsidRPr="00183F36">
        <w:rPr>
          <w:i/>
        </w:rPr>
        <w:t xml:space="preserve">and </w:t>
      </w:r>
      <w:r w:rsidR="00A26E29" w:rsidRPr="00183F36">
        <w:rPr>
          <w:i/>
        </w:rPr>
        <w:t xml:space="preserve">a) flexible and b) procedural response </w:t>
      </w:r>
      <w:r w:rsidR="00BA0311" w:rsidRPr="00183F36">
        <w:rPr>
          <w:i/>
        </w:rPr>
        <w:t>strategy</w:t>
      </w:r>
      <w:r w:rsidR="00A26E29" w:rsidRPr="00183F36">
        <w:rPr>
          <w:i/>
        </w:rPr>
        <w:t>.</w:t>
      </w:r>
    </w:p>
    <w:p w14:paraId="151877D9" w14:textId="77777777" w:rsidR="008A33D4" w:rsidRPr="00183F36" w:rsidRDefault="008A33D4" w:rsidP="003C515F"/>
    <w:p w14:paraId="08F619AD" w14:textId="77777777" w:rsidR="00B155FA" w:rsidRPr="00183F36" w:rsidRDefault="00B155FA">
      <w:pPr>
        <w:spacing w:line="480" w:lineRule="auto"/>
        <w:rPr>
          <w:b/>
        </w:rPr>
      </w:pPr>
      <w:r w:rsidRPr="00183F36">
        <w:rPr>
          <w:b/>
        </w:rPr>
        <w:t>Research methodology</w:t>
      </w:r>
    </w:p>
    <w:p w14:paraId="5E801480" w14:textId="77777777" w:rsidR="00293166" w:rsidRPr="00183F36" w:rsidRDefault="00B155FA" w:rsidP="009177A3">
      <w:pPr>
        <w:autoSpaceDE w:val="0"/>
        <w:autoSpaceDN w:val="0"/>
        <w:adjustRightInd w:val="0"/>
        <w:spacing w:line="480" w:lineRule="auto"/>
        <w:rPr>
          <w:i/>
        </w:rPr>
      </w:pPr>
      <w:r w:rsidRPr="00183F36">
        <w:rPr>
          <w:i/>
        </w:rPr>
        <w:t>Sampling frame</w:t>
      </w:r>
      <w:r w:rsidR="00293166">
        <w:rPr>
          <w:i/>
        </w:rPr>
        <w:t xml:space="preserve"> and </w:t>
      </w:r>
      <w:r w:rsidR="00293166" w:rsidRPr="00183F36">
        <w:rPr>
          <w:i/>
        </w:rPr>
        <w:t>Non-response bias</w:t>
      </w:r>
    </w:p>
    <w:p w14:paraId="4447F399" w14:textId="10654D96" w:rsidR="00B155FA" w:rsidRPr="00183F36" w:rsidRDefault="00B155FA">
      <w:pPr>
        <w:spacing w:line="480" w:lineRule="auto"/>
      </w:pPr>
      <w:r w:rsidRPr="00183F36">
        <w:t xml:space="preserve">We targeted senior executives and </w:t>
      </w:r>
      <w:r w:rsidR="00B227DD" w:rsidRPr="00183F36">
        <w:t xml:space="preserve">managers </w:t>
      </w:r>
      <w:r w:rsidRPr="00183F36">
        <w:t xml:space="preserve">involved in supply chain partnerships in manufacturing </w:t>
      </w:r>
      <w:r w:rsidR="00B227DD" w:rsidRPr="00183F36">
        <w:t>firms</w:t>
      </w:r>
      <w:r w:rsidR="00293166">
        <w:t xml:space="preserve"> and </w:t>
      </w:r>
      <w:r w:rsidRPr="00183F36">
        <w:t xml:space="preserve">limited our respondents to NAICS industry codes in manufacturing (32 and 33). </w:t>
      </w:r>
      <w:r w:rsidR="008A4DAF" w:rsidRPr="00183F36">
        <w:t>An identical procedure was used to collect data from manufacturing firms in Sweden, Switzerland</w:t>
      </w:r>
      <w:r w:rsidR="001A54B5">
        <w:t>,</w:t>
      </w:r>
      <w:r w:rsidR="008A4DAF" w:rsidRPr="00183F36">
        <w:t xml:space="preserve"> </w:t>
      </w:r>
      <w:r w:rsidR="008A4DAF" w:rsidRPr="001A54B5">
        <w:rPr>
          <w:noProof/>
        </w:rPr>
        <w:t>and</w:t>
      </w:r>
      <w:r w:rsidR="008A4DAF" w:rsidRPr="00183F36">
        <w:t xml:space="preserve"> Germany. </w:t>
      </w:r>
      <w:r w:rsidRPr="00183F36">
        <w:t>We randomly selected 1</w:t>
      </w:r>
      <w:r w:rsidR="00B227DD" w:rsidRPr="00183F36">
        <w:t>,</w:t>
      </w:r>
      <w:r w:rsidRPr="00183F36">
        <w:t xml:space="preserve">000 firms in each country </w:t>
      </w:r>
      <w:r w:rsidR="00293166">
        <w:t xml:space="preserve">using the </w:t>
      </w:r>
      <w:r w:rsidRPr="00183F36">
        <w:lastRenderedPageBreak/>
        <w:t>following databases</w:t>
      </w:r>
      <w:r w:rsidR="001F5317">
        <w:t>:</w:t>
      </w:r>
      <w:r w:rsidRPr="00183F36">
        <w:t xml:space="preserve"> Statistics Swe</w:t>
      </w:r>
      <w:r w:rsidR="00670A48">
        <w:t xml:space="preserve">den’s register of Swedish firms: </w:t>
      </w:r>
      <w:r w:rsidRPr="00183F36">
        <w:t>Economic Statistics Department and Affärsdata</w:t>
      </w:r>
      <w:r w:rsidR="004F159C">
        <w:t xml:space="preserve">, </w:t>
      </w:r>
      <w:r w:rsidRPr="00183F36">
        <w:t>European databases EPO, the Federation of the Swiss Watch Industry (FH), German Institute for Economic Research (DIW) Berlin and the Chamber for Industry and Commerce. We excluded multinational firms from the sampling frame</w:t>
      </w:r>
      <w:r w:rsidR="00C71C9E" w:rsidRPr="00183F36">
        <w:t xml:space="preserve">. </w:t>
      </w:r>
      <w:r w:rsidR="00293166">
        <w:t xml:space="preserve">We </w:t>
      </w:r>
      <w:r w:rsidRPr="00183F36">
        <w:t xml:space="preserve">screened </w:t>
      </w:r>
      <w:r w:rsidR="00B227DD" w:rsidRPr="00183F36">
        <w:t xml:space="preserve">and eliminated </w:t>
      </w:r>
      <w:r w:rsidRPr="00183F36">
        <w:t>duplicates</w:t>
      </w:r>
      <w:r w:rsidR="00293166" w:rsidRPr="00293166">
        <w:t xml:space="preserve"> </w:t>
      </w:r>
      <w:r w:rsidR="00293166" w:rsidRPr="00183F36">
        <w:t xml:space="preserve">firms </w:t>
      </w:r>
      <w:r w:rsidR="00293166">
        <w:t xml:space="preserve">that </w:t>
      </w:r>
      <w:r w:rsidR="00293166" w:rsidRPr="00183F36">
        <w:t>may be in multiple databases.</w:t>
      </w:r>
      <w:r w:rsidR="00B227DD" w:rsidRPr="00183F36">
        <w:t xml:space="preserve"> </w:t>
      </w:r>
      <w:r w:rsidRPr="00183F36">
        <w:t xml:space="preserve">We followed the procedure recommended by </w:t>
      </w:r>
      <w:hyperlink w:anchor="_ENREF_28" w:tooltip="Dillman, 1991 #1008" w:history="1">
        <w:r w:rsidR="00150558" w:rsidRPr="004C6DEC">
          <w:rPr>
            <w:rStyle w:val="Hyperlink"/>
          </w:rPr>
          <w:fldChar w:fldCharType="begin"/>
        </w:r>
        <w:r w:rsidR="00150558" w:rsidRPr="004C6DEC">
          <w:rPr>
            <w:rStyle w:val="Hyperlink"/>
          </w:rPr>
          <w:instrText xml:space="preserve"> ADDIN EN.CITE &lt;EndNote&gt;&lt;Cite AuthorYear="1"&gt;&lt;Author&gt;Dillman&lt;/Author&gt;&lt;Year&gt;1991&lt;/Year&gt;&lt;RecNum&gt;1008&lt;/RecNum&gt;&lt;DisplayText&gt;Dillman (1991)&lt;/DisplayText&gt;&lt;record&gt;&lt;rec-number&gt;1008&lt;/rec-number&gt;&lt;foreign-keys&gt;&lt;key app="EN" db-id="0w05zrd59zdxwmexsxlxa0purxdzd2svavae" timestamp="0"&gt;1008&lt;/key&gt;&lt;/foreign-keys&gt;&lt;ref-type name="Journal Article"&gt;17&lt;/ref-type&gt;&lt;contributors&gt;&lt;authors&gt;&lt;author&gt;Dillman, D.&lt;/author&gt;&lt;/authors&gt;&lt;/contributors&gt;&lt;titles&gt;&lt;title&gt;The design and administration of mail surveys&lt;/title&gt;&lt;secondary-title&gt;Annual Review of Sociology&lt;/secondary-title&gt;&lt;/titles&gt;&lt;pages&gt;225-249&lt;/pages&gt;&lt;volume&gt;17&lt;/volume&gt;&lt;number&gt;1&lt;/number&gt;&lt;dates&gt;&lt;year&gt;1991&lt;/year&gt;&lt;pub-dates&gt;&lt;date&gt;1991/01/01&lt;/date&gt;&lt;/pub-dates&gt;&lt;/dates&gt;&lt;publisher&gt;Annual Reviews&lt;/publisher&gt;&lt;isbn&gt;0360-0572&lt;/isbn&gt;&lt;urls&gt;&lt;/urls&gt;&lt;electronic-resource-num&gt;10.1146/annurev.soc.17.1.225&lt;/electronic-resource-num&gt;&lt;/record&gt;&lt;/Cite&gt;&lt;/EndNote&gt;</w:instrText>
        </w:r>
        <w:r w:rsidR="00150558" w:rsidRPr="004C6DEC">
          <w:rPr>
            <w:rStyle w:val="Hyperlink"/>
          </w:rPr>
          <w:fldChar w:fldCharType="separate"/>
        </w:r>
        <w:r w:rsidR="00150558" w:rsidRPr="004C6DEC">
          <w:rPr>
            <w:rStyle w:val="Hyperlink"/>
            <w:noProof/>
          </w:rPr>
          <w:t>Dillman (1991)</w:t>
        </w:r>
        <w:r w:rsidR="00150558" w:rsidRPr="004C6DEC">
          <w:rPr>
            <w:rStyle w:val="Hyperlink"/>
          </w:rPr>
          <w:fldChar w:fldCharType="end"/>
        </w:r>
      </w:hyperlink>
      <w:r w:rsidR="007E1E35">
        <w:fldChar w:fldCharType="begin" w:fldLock="1"/>
      </w:r>
      <w:r w:rsidR="007E1E35">
        <w:instrText>ADDIN CSL_CITATION { "citationItems" : [ { "id" : "ITEM-1", "itemData" : { "author" : [ { "dropping-particle" : "", "family" : "Dillman", "given" : "Don A", "non-dropping-particle" : "", "parse-names" : false, "suffix" : "" } ], "container-title" : "Annual Review of Sociology", "id" : "ITEM-1", "issue" : "1", "issued" : { "date-parts" : [ [ "1991" ] ] }, "page" : "225-249", "title" : "The Design and Administration of Mail Surveys", "type" : "article-journal", "volume" : "17" }, "suppress-author" : 1, "uris" : [ "http://www.mendeley.com/documents/?uuid=37ce59ee-c2b5-4a81-aee6-bddeb8064cab" ] } ], "mendeley" : { "formattedCitation" : "(1991)", "plainTextFormattedCitation" : "(1991)", "previouslyFormattedCitation" : "(1991)" }, "properties" : {  }, "schema" : "https://github.com/citation-style-language/schema/raw/master/csl-citation.json" }</w:instrText>
      </w:r>
      <w:r w:rsidR="007E1E35">
        <w:fldChar w:fldCharType="end"/>
      </w:r>
      <w:r w:rsidR="0052048A" w:rsidRPr="00183F36">
        <w:t xml:space="preserve"> </w:t>
      </w:r>
      <w:r w:rsidR="00571EF6" w:rsidRPr="00183F36">
        <w:t xml:space="preserve"> </w:t>
      </w:r>
      <w:r w:rsidRPr="00183F36">
        <w:t>and sent direct mail questionnaire</w:t>
      </w:r>
      <w:r w:rsidR="00B937B6" w:rsidRPr="00183F36">
        <w:t>s</w:t>
      </w:r>
      <w:r w:rsidRPr="00183F36">
        <w:t>. Following a four-wave mailing, 448 usable questionnaires were produced reflecting a response rate of approximately 14.9</w:t>
      </w:r>
      <w:r w:rsidR="00A97A0A">
        <w:t xml:space="preserve"> percent</w:t>
      </w:r>
      <w:r w:rsidRPr="00183F36">
        <w:t xml:space="preserve">. </w:t>
      </w:r>
      <w:r w:rsidR="00293166">
        <w:t>As related to non-response bias</w:t>
      </w:r>
      <w:r w:rsidRPr="00183F36">
        <w:t>, we compared the first and second wave respondents on the key variables of the study. The tests did not reveal any statistically significant differences (</w:t>
      </w:r>
      <w:r w:rsidRPr="00183F36">
        <w:rPr>
          <w:i/>
        </w:rPr>
        <w:t>p</w:t>
      </w:r>
      <w:r w:rsidRPr="00183F36">
        <w:t xml:space="preserve"> &lt; 0.05), indicating that there were no </w:t>
      </w:r>
      <w:r w:rsidR="004F159C">
        <w:t>issues</w:t>
      </w:r>
      <w:r w:rsidR="004F159C" w:rsidRPr="00183F36">
        <w:t xml:space="preserve"> </w:t>
      </w:r>
      <w:r w:rsidRPr="00183F36">
        <w:t xml:space="preserve">with </w:t>
      </w:r>
      <w:r w:rsidR="00293166" w:rsidRPr="00183F36">
        <w:t>non-response</w:t>
      </w:r>
      <w:r w:rsidR="002202AA" w:rsidRPr="00183F36">
        <w:t xml:space="preserve"> </w:t>
      </w:r>
      <w:r w:rsidRPr="00183F36">
        <w:t>bias</w:t>
      </w:r>
      <w:r w:rsidR="00571EF6" w:rsidRPr="00183F36">
        <w:t xml:space="preserve">. </w:t>
      </w:r>
    </w:p>
    <w:p w14:paraId="789A6C02" w14:textId="77777777" w:rsidR="00F53482" w:rsidRPr="00183F36" w:rsidRDefault="00F53482" w:rsidP="00F53482">
      <w:pPr>
        <w:rPr>
          <w:i/>
        </w:rPr>
      </w:pPr>
      <w:r w:rsidRPr="00183F36">
        <w:rPr>
          <w:i/>
        </w:rPr>
        <w:t>Measures</w:t>
      </w:r>
    </w:p>
    <w:p w14:paraId="572E85DB" w14:textId="77777777" w:rsidR="00F53482" w:rsidRPr="00183F36" w:rsidRDefault="00F53482" w:rsidP="00F53482">
      <w:pPr>
        <w:rPr>
          <w:i/>
        </w:rPr>
      </w:pPr>
    </w:p>
    <w:p w14:paraId="4C50E65B" w14:textId="0C120845" w:rsidR="00115AA4" w:rsidRDefault="00653A12" w:rsidP="00150558">
      <w:pPr>
        <w:autoSpaceDE w:val="0"/>
        <w:autoSpaceDN w:val="0"/>
        <w:adjustRightInd w:val="0"/>
        <w:spacing w:line="480" w:lineRule="auto"/>
      </w:pPr>
      <w:bookmarkStart w:id="20" w:name="OLE_LINK16"/>
      <w:bookmarkStart w:id="21" w:name="OLE_LINK17"/>
      <w:bookmarkStart w:id="22" w:name="OLE_LINK18"/>
      <w:r w:rsidRPr="00183F36">
        <w:t xml:space="preserve">We define </w:t>
      </w:r>
      <w:r w:rsidR="001A54B5">
        <w:t xml:space="preserve">a </w:t>
      </w:r>
      <w:r w:rsidR="00257F56" w:rsidRPr="001A54B5">
        <w:rPr>
          <w:noProof/>
        </w:rPr>
        <w:t>near-miss</w:t>
      </w:r>
      <w:r w:rsidRPr="00183F36">
        <w:t xml:space="preserve"> event as </w:t>
      </w:r>
      <w:r w:rsidR="009E08AB" w:rsidRPr="00183F36">
        <w:t>an occasion where the company comes close to being affected by a</w:t>
      </w:r>
      <w:r w:rsidR="00465F24">
        <w:t xml:space="preserve"> supply chain </w:t>
      </w:r>
      <w:r w:rsidR="009E08AB" w:rsidRPr="00183F36">
        <w:t xml:space="preserve">disruption, but it was not. </w:t>
      </w:r>
      <w:r w:rsidR="00F9349F">
        <w:t>O</w:t>
      </w:r>
      <w:r w:rsidR="00F9349F" w:rsidRPr="009177A3">
        <w:t>ur questionnaire asked about the number of near-misses occurring at a facility. This premise (frequency of near-misses) is a common measure in similar studies in medical establishments</w:t>
      </w:r>
      <w:r w:rsidR="00F9349F" w:rsidRPr="005A3D2B">
        <w:t xml:space="preserve"> </w:t>
      </w:r>
      <w:r w:rsidR="00083157">
        <w:fldChar w:fldCharType="begin"/>
      </w:r>
      <w:r w:rsidR="00627756">
        <w:instrText xml:space="preserve"> ADDIN EN.CITE &lt;EndNote&gt;&lt;Cite&gt;&lt;Author&gt;Wahlberg&lt;/Author&gt;&lt;Year&gt;2013&lt;/Year&gt;&lt;RecNum&gt;1410&lt;/RecNum&gt;&lt;DisplayText&gt;(Wahlberg et al., 2013)&lt;/DisplayText&gt;&lt;record&gt;&lt;rec-number&gt;1410&lt;/rec-number&gt;&lt;foreign-keys&gt;&lt;key app="EN" db-id="0w05zrd59zdxwmexsxlxa0purxdzd2svavae" timestamp="1550932126"&gt;1410&lt;/key&gt;&lt;/foreign-keys&gt;&lt;ref-type name="Journal Article"&gt;17&lt;/ref-type&gt;&lt;contributors&gt;&lt;authors&gt;&lt;author&gt;Wahlberg, Åsa&lt;/author&gt;&lt;author&gt;Rööst, Mattias&lt;/author&gt;&lt;author&gt;Haglund, Bengt&lt;/author&gt;&lt;author&gt;Högberg, Ulf&lt;/author&gt;&lt;author&gt;Essén, Birgitta&lt;/author&gt;&lt;/authors&gt;&lt;/contributors&gt;&lt;titles&gt;&lt;title&gt;Increased risk of severe maternal morbidity (near miss) among immigrant women in Sweden: A population register based study&lt;/title&gt;&lt;secondary-title&gt;BJOG: An International Journal of Obstetrics &amp;amp; Gynaecology&lt;/secondary-title&gt;&lt;/titles&gt;&lt;periodical&gt;&lt;full-title&gt;BJOG: An International Journal of Obstetrics &amp;amp; Gynaecology&lt;/full-title&gt;&lt;/periodical&gt;&lt;pages&gt;1605-1612&lt;/pages&gt;&lt;volume&gt;120&lt;/volume&gt;&lt;number&gt;13&lt;/number&gt;&lt;dates&gt;&lt;year&gt;2013&lt;/year&gt;&lt;/dates&gt;&lt;isbn&gt;1470-0328&lt;/isbn&gt;&lt;urls&gt;&lt;/urls&gt;&lt;/record&gt;&lt;/Cite&gt;&lt;/EndNote&gt;</w:instrText>
      </w:r>
      <w:r w:rsidR="00083157">
        <w:fldChar w:fldCharType="separate"/>
      </w:r>
      <w:r w:rsidR="00083157">
        <w:rPr>
          <w:noProof/>
        </w:rPr>
        <w:t>(</w:t>
      </w:r>
      <w:hyperlink w:anchor="_ENREF_99" w:tooltip="Wahlberg, 2013 #1410" w:history="1">
        <w:r w:rsidR="00083157" w:rsidRPr="004C6DEC">
          <w:rPr>
            <w:rStyle w:val="Hyperlink"/>
            <w:noProof/>
          </w:rPr>
          <w:t>Wahlberg et al., 2013</w:t>
        </w:r>
      </w:hyperlink>
      <w:r w:rsidR="00083157">
        <w:rPr>
          <w:noProof/>
        </w:rPr>
        <w:t>)</w:t>
      </w:r>
      <w:r w:rsidR="00083157">
        <w:fldChar w:fldCharType="end"/>
      </w:r>
      <w:r w:rsidR="00F9349F" w:rsidRPr="009177A3">
        <w:t xml:space="preserve"> operational safety </w:t>
      </w:r>
      <w:r w:rsidR="00083157">
        <w:fldChar w:fldCharType="begin"/>
      </w:r>
      <w:r w:rsidR="00083157">
        <w:instrText xml:space="preserve"> ADDIN EN.CITE &lt;EndNote&gt;&lt;Cite&gt;&lt;Author&gt;Jones&lt;/Author&gt;&lt;Year&gt;1999&lt;/Year&gt;&lt;RecNum&gt;696&lt;/RecNum&gt;&lt;DisplayText&gt;(Jones et al., 1999)&lt;/DisplayText&gt;&lt;record&gt;&lt;rec-number&gt;696&lt;/rec-number&gt;&lt;foreign-keys&gt;&lt;key app="EN" db-id="0w05zrd59zdxwmexsxlxa0purxdzd2svavae" timestamp="0"&gt;696&lt;/key&gt;&lt;/foreign-keys&gt;&lt;ref-type name="Journal Article"&gt;17&lt;/ref-type&gt;&lt;contributors&gt;&lt;authors&gt;&lt;author&gt;Jones, Simon&lt;/author&gt;&lt;author&gt;Kirchsteiger, Christian&lt;/author&gt;&lt;author&gt;Bjerke, Willy&lt;/author&gt;&lt;/authors&gt;&lt;/contributors&gt;&lt;titles&gt;&lt;title&gt;The importance of near miss reporting to further improve safety performance&lt;/title&gt;&lt;secondary-title&gt;Journal of Loss Prevention in the Process Industries&lt;/secondary-title&gt;&lt;/titles&gt;&lt;pages&gt;59-67&lt;/pages&gt;&lt;volume&gt;12&lt;/volume&gt;&lt;number&gt;1&lt;/number&gt;&lt;dates&gt;&lt;year&gt;1999&lt;/year&gt;&lt;pub-dates&gt;&lt;date&gt;1999/01&lt;/date&gt;&lt;/pub-dates&gt;&lt;/dates&gt;&lt;publisher&gt;Elsevier BV&lt;/publisher&gt;&lt;isbn&gt;0950-4230&lt;/isbn&gt;&lt;urls&gt;&lt;/urls&gt;&lt;electronic-resource-num&gt;10.1016/s0950-4230(98)00038-2&lt;/electronic-resource-num&gt;&lt;/record&gt;&lt;/Cite&gt;&lt;/EndNote&gt;</w:instrText>
      </w:r>
      <w:r w:rsidR="00083157">
        <w:fldChar w:fldCharType="separate"/>
      </w:r>
      <w:r w:rsidR="00083157">
        <w:rPr>
          <w:noProof/>
        </w:rPr>
        <w:t>(</w:t>
      </w:r>
      <w:hyperlink w:anchor="_ENREF_50" w:tooltip="Jones, 1999 #696" w:history="1">
        <w:r w:rsidR="00083157" w:rsidRPr="004C6DEC">
          <w:rPr>
            <w:rStyle w:val="Hyperlink"/>
            <w:noProof/>
          </w:rPr>
          <w:t>Jones et al., 1999</w:t>
        </w:r>
      </w:hyperlink>
      <w:r w:rsidR="00083157">
        <w:rPr>
          <w:noProof/>
        </w:rPr>
        <w:t>)</w:t>
      </w:r>
      <w:r w:rsidR="00083157">
        <w:fldChar w:fldCharType="end"/>
      </w:r>
      <w:r w:rsidR="00F9349F" w:rsidRPr="009177A3">
        <w:t xml:space="preserve"> and transportation </w:t>
      </w:r>
      <w:r w:rsidR="00083157">
        <w:fldChar w:fldCharType="begin"/>
      </w:r>
      <w:r w:rsidR="00083157">
        <w:instrText xml:space="preserve"> ADDIN EN.CITE &lt;EndNote&gt;&lt;Cite&gt;&lt;Author&gt;Groeger&lt;/Author&gt;&lt;Year&gt;1996&lt;/Year&gt;&lt;RecNum&gt;1412&lt;/RecNum&gt;&lt;DisplayText&gt;(Groeger and Chapman, 1996)&lt;/DisplayText&gt;&lt;record&gt;&lt;rec-number&gt;1412&lt;/rec-number&gt;&lt;foreign-keys&gt;&lt;key app="EN" db-id="0w05zrd59zdxwmexsxlxa0purxdzd2svavae" timestamp="1550932237"&gt;1412&lt;/key&gt;&lt;/foreign-keys&gt;&lt;ref-type name="Journal Article"&gt;17&lt;/ref-type&gt;&lt;contributors&gt;&lt;authors&gt;&lt;author&gt;Groeger, John A&lt;/author&gt;&lt;author&gt;Chapman, PR&lt;/author&gt;&lt;/authors&gt;&lt;/contributors&gt;&lt;titles&gt;&lt;title&gt;Judgement of traffic scenes: The role of danger and difficulty&lt;/title&gt;&lt;secondary-title&gt;Applied Cognitive Psychology&lt;/secondary-title&gt;&lt;/titles&gt;&lt;periodical&gt;&lt;full-title&gt;Applied Cognitive Psychology&lt;/full-title&gt;&lt;/periodical&gt;&lt;pages&gt;349-364&lt;/pages&gt;&lt;volume&gt;10&lt;/volume&gt;&lt;number&gt;4&lt;/number&gt;&lt;dates&gt;&lt;year&gt;1996&lt;/year&gt;&lt;/dates&gt;&lt;isbn&gt;0888-4080&lt;/isbn&gt;&lt;urls&gt;&lt;/urls&gt;&lt;/record&gt;&lt;/Cite&gt;&lt;/EndNote&gt;</w:instrText>
      </w:r>
      <w:r w:rsidR="00083157">
        <w:fldChar w:fldCharType="separate"/>
      </w:r>
      <w:r w:rsidR="00083157">
        <w:rPr>
          <w:noProof/>
        </w:rPr>
        <w:t>(</w:t>
      </w:r>
      <w:hyperlink w:anchor="_ENREF_39" w:tooltip="Groeger, 1996 #1412" w:history="1">
        <w:r w:rsidR="00083157" w:rsidRPr="004C6DEC">
          <w:rPr>
            <w:rStyle w:val="Hyperlink"/>
            <w:noProof/>
          </w:rPr>
          <w:t>Groeger and Chapman, 1996</w:t>
        </w:r>
      </w:hyperlink>
      <w:r w:rsidR="00083157">
        <w:rPr>
          <w:noProof/>
        </w:rPr>
        <w:t>)</w:t>
      </w:r>
      <w:r w:rsidR="00083157">
        <w:fldChar w:fldCharType="end"/>
      </w:r>
      <w:r w:rsidR="00F9349F" w:rsidRPr="009177A3">
        <w:t xml:space="preserve"> among others. W</w:t>
      </w:r>
      <w:r w:rsidR="002A5CEE" w:rsidRPr="00F9349F">
        <w:t>e measure</w:t>
      </w:r>
      <w:r w:rsidR="004F159C" w:rsidRPr="009177A3">
        <w:t>d</w:t>
      </w:r>
      <w:r w:rsidR="002A5CEE" w:rsidRPr="00F9349F">
        <w:t xml:space="preserve"> the frequency of </w:t>
      </w:r>
      <w:r w:rsidR="00412442" w:rsidRPr="00F9349F">
        <w:t>near-misses</w:t>
      </w:r>
      <w:r w:rsidR="002A5CEE" w:rsidRPr="00F9349F">
        <w:t xml:space="preserve"> that were initiated by different sources </w:t>
      </w:r>
      <w:r w:rsidR="004F159C" w:rsidRPr="009177A3">
        <w:t xml:space="preserve">separately and combined them </w:t>
      </w:r>
      <w:r w:rsidR="002A5CEE" w:rsidRPr="00F9349F">
        <w:t>(upstream suppliers, internal functions, downstream customers and sources</w:t>
      </w:r>
      <w:r w:rsidR="00725793" w:rsidRPr="00F9349F">
        <w:t xml:space="preserve"> external to supply chain</w:t>
      </w:r>
      <w:r w:rsidR="002A5CEE" w:rsidRPr="00F9349F">
        <w:t>).</w:t>
      </w:r>
      <w:r w:rsidR="002A5CEE" w:rsidRPr="00183F36">
        <w:t xml:space="preserve"> </w:t>
      </w:r>
      <w:bookmarkEnd w:id="20"/>
      <w:bookmarkEnd w:id="21"/>
      <w:bookmarkEnd w:id="22"/>
      <w:r w:rsidR="007B7A59" w:rsidRPr="00183F36">
        <w:t>We measured regulatory pressure using four items to evaluate how federal and local agencies stipulate firms to develop crisis management plans and business continuity plans</w:t>
      </w:r>
      <w:r w:rsidR="00832DD4" w:rsidRPr="00183F36">
        <w:t xml:space="preserve">. We expanded on the definitions provided </w:t>
      </w:r>
      <w:r w:rsidR="003C23B8" w:rsidRPr="00183F36">
        <w:t>on regulatory pressure</w:t>
      </w:r>
      <w:r w:rsidR="00832DD4" w:rsidRPr="00183F36">
        <w:t xml:space="preserve"> and adapted it to the context of</w:t>
      </w:r>
      <w:r w:rsidR="00465F24">
        <w:t xml:space="preserve"> supply chain </w:t>
      </w:r>
      <w:r w:rsidR="00832DD4" w:rsidRPr="00183F36">
        <w:t>disruptions</w:t>
      </w:r>
      <w:r w:rsidR="002D5CBA">
        <w:t xml:space="preserve"> </w:t>
      </w:r>
      <w:bookmarkStart w:id="23" w:name="OLE_LINK27"/>
      <w:bookmarkStart w:id="24" w:name="OLE_LINK31"/>
      <w:bookmarkStart w:id="25" w:name="OLE_LINK35"/>
      <w:bookmarkStart w:id="26" w:name="OLE_LINK36"/>
      <w:r w:rsidR="00083157">
        <w:fldChar w:fldCharType="begin"/>
      </w:r>
      <w:r w:rsidR="00083157">
        <w:instrText xml:space="preserve"> ADDIN EN.CITE &lt;EndNote&gt;&lt;Cite&gt;&lt;Author&gt;Zsidisin&lt;/Author&gt;&lt;Year&gt;2005&lt;/Year&gt;&lt;RecNum&gt;1352&lt;/RecNum&gt;&lt;DisplayText&gt;(Zsidisin et al., 2005)&lt;/DisplayText&gt;&lt;record&gt;&lt;rec-number&gt;1352&lt;/rec-number&gt;&lt;foreign-keys&gt;&lt;key app="EN" db-id="0w05zrd59zdxwmexsxlxa0purxdzd2svavae" timestamp="0"&gt;1352&lt;/key&gt;&lt;/foreign-keys&gt;&lt;ref-type name="Journal Article"&gt;17&lt;/ref-type&gt;&lt;contributors&gt;&lt;authors&gt;&lt;author&gt;Zsidisin, G. A.&lt;/author&gt;&lt;author&gt;Melnyk, S. A.&lt;/author&gt;&lt;author&gt;Ragatz, G. L.&lt;/author&gt;&lt;/authors&gt;&lt;/contributors&gt;&lt;titles&gt;&lt;title&gt;An institutional theory perspective of business continuity planning for purchasing and supply management&lt;/title&gt;&lt;secondary-title&gt;International Journal of Production Research&lt;/secondary-title&gt;&lt;/titles&gt;&lt;periodical&gt;&lt;full-title&gt;International Journal of Production Research&lt;/full-title&gt;&lt;/periodical&gt;&lt;pages&gt;3401-3420&lt;/pages&gt;&lt;volume&gt;43&lt;/volume&gt;&lt;number&gt;16&lt;/number&gt;&lt;dates&gt;&lt;year&gt;2005&lt;/year&gt;&lt;pub-dates&gt;&lt;date&gt;Aug&lt;/date&gt;&lt;/pub-dates&gt;&lt;/dates&gt;&lt;isbn&gt;0020-7543&lt;/isbn&gt;&lt;accession-num&gt;WOS:000230485800006&lt;/accession-num&gt;&lt;urls&gt;&lt;related-urls&gt;&lt;url&gt;&amp;lt;Go to ISI&amp;gt;://WOS:000230485800006&lt;/url&gt;&lt;/related-urls&gt;&lt;/urls&gt;&lt;electronic-resource-num&gt;10.1080/00207540500095613&lt;/electronic-resource-num&gt;&lt;/record&gt;&lt;/Cite&gt;&lt;/EndNote&gt;</w:instrText>
      </w:r>
      <w:r w:rsidR="00083157">
        <w:fldChar w:fldCharType="separate"/>
      </w:r>
      <w:r w:rsidR="00083157">
        <w:rPr>
          <w:noProof/>
        </w:rPr>
        <w:t>(</w:t>
      </w:r>
      <w:hyperlink w:anchor="_ENREF_109" w:tooltip="Zsidisin, 2005 #1352" w:history="1">
        <w:r w:rsidR="00083157" w:rsidRPr="004C6DEC">
          <w:rPr>
            <w:rStyle w:val="Hyperlink"/>
            <w:noProof/>
          </w:rPr>
          <w:t>Zsidisin et al., 2005</w:t>
        </w:r>
      </w:hyperlink>
      <w:r w:rsidR="00083157">
        <w:rPr>
          <w:noProof/>
        </w:rPr>
        <w:t>)</w:t>
      </w:r>
      <w:r w:rsidR="00083157">
        <w:fldChar w:fldCharType="end"/>
      </w:r>
      <w:r w:rsidR="007B7A59" w:rsidRPr="00183F36">
        <w:t xml:space="preserve">. </w:t>
      </w:r>
      <w:bookmarkEnd w:id="23"/>
      <w:bookmarkEnd w:id="24"/>
      <w:bookmarkEnd w:id="25"/>
      <w:bookmarkEnd w:id="26"/>
      <w:r w:rsidR="007B7A59" w:rsidRPr="00183F36">
        <w:t>Similarly, we measured industry pressure using items to evaluate how industry standards and trade associations provide influence development of crisis management plans and business continuity plans</w:t>
      </w:r>
      <w:r w:rsidR="003C23B8" w:rsidRPr="00183F36">
        <w:t xml:space="preserve"> </w:t>
      </w:r>
      <w:r w:rsidR="00083157">
        <w:fldChar w:fldCharType="begin"/>
      </w:r>
      <w:r w:rsidR="00083157">
        <w:instrText xml:space="preserve"> ADDIN EN.CITE &lt;EndNote&gt;&lt;Cite&gt;&lt;Author&gt;Grewal&lt;/Author&gt;&lt;Year&gt;2002&lt;/Year&gt;&lt;RecNum&gt;1413&lt;/RecNum&gt;&lt;DisplayText&gt;(Grewal and Dharwadkar, 2002; Zsidisin et al., 2005)&lt;/DisplayText&gt;&lt;record&gt;&lt;rec-number&gt;1413&lt;/rec-number&gt;&lt;foreign-keys&gt;&lt;key app="EN" db-id="0w05zrd59zdxwmexsxlxa0purxdzd2svavae" timestamp="1550932307"&gt;1413&lt;/key&gt;&lt;/foreign-keys&gt;&lt;ref-type name="Journal Article"&gt;17&lt;/ref-type&gt;&lt;contributors&gt;&lt;authors&gt;&lt;author&gt;Grewal, Rajdeep&lt;/author&gt;&lt;author&gt;Dharwadkar, Ravi&lt;/author&gt;&lt;/authors&gt;&lt;/contributors&gt;&lt;titles&gt;&lt;title&gt;The role of the institutional environment in marketing channels&lt;/title&gt;&lt;secondary-title&gt;Journal of Marketing&lt;/secondary-title&gt;&lt;/titles&gt;&lt;periodical&gt;&lt;full-title&gt;Journal of Marketing&lt;/full-title&gt;&lt;/periodical&gt;&lt;pages&gt;82-97&lt;/pages&gt;&lt;volume&gt;66&lt;/volume&gt;&lt;number&gt;3&lt;/number&gt;&lt;dates&gt;&lt;year&gt;2002&lt;/year&gt;&lt;/dates&gt;&lt;isbn&gt;0022-2429&lt;/isbn&gt;&lt;urls&gt;&lt;/urls&gt;&lt;/record&gt;&lt;/Cite&gt;&lt;Cite&gt;&lt;Author&gt;Zsidisin&lt;/Author&gt;&lt;Year&gt;2005&lt;/Year&gt;&lt;RecNum&gt;1352&lt;/RecNum&gt;&lt;record&gt;&lt;rec-number&gt;1352&lt;/rec-number&gt;&lt;foreign-keys&gt;&lt;key app="EN" db-id="0w05zrd59zdxwmexsxlxa0purxdzd2svavae" timestamp="0"&gt;1352&lt;/key&gt;&lt;/foreign-keys&gt;&lt;ref-type name="Journal Article"&gt;17&lt;/ref-type&gt;&lt;contributors&gt;&lt;authors&gt;&lt;author&gt;Zsidisin, G. A.&lt;/author&gt;&lt;author&gt;Melnyk, S. A.&lt;/author&gt;&lt;author&gt;Ragatz, G. L.&lt;/author&gt;&lt;/authors&gt;&lt;/contributors&gt;&lt;titles&gt;&lt;title&gt;An institutional theory perspective of business continuity planning for purchasing and supply management&lt;/title&gt;&lt;secondary-title&gt;International Journal of Production Research&lt;/secondary-title&gt;&lt;/titles&gt;&lt;periodical&gt;&lt;full-title&gt;International Journal of Production Research&lt;/full-title&gt;&lt;/periodical&gt;&lt;pages&gt;3401-3420&lt;/pages&gt;&lt;volume&gt;43&lt;/volume&gt;&lt;number&gt;16&lt;/number&gt;&lt;dates&gt;&lt;year&gt;2005&lt;/year&gt;&lt;pub-dates&gt;&lt;date&gt;Aug&lt;/date&gt;&lt;/pub-dates&gt;&lt;/dates&gt;&lt;isbn&gt;0020-7543&lt;/isbn&gt;&lt;accession-num&gt;WOS:000230485800006&lt;/accession-num&gt;&lt;urls&gt;&lt;related-urls&gt;&lt;url&gt;&amp;lt;Go to ISI&amp;gt;://WOS:000230485800006&lt;/url&gt;&lt;/related-urls&gt;&lt;/urls&gt;&lt;electronic-resource-num&gt;10.1080/00207540500095613&lt;/electronic-resource-num&gt;&lt;/record&gt;&lt;/Cite&gt;&lt;/EndNote&gt;</w:instrText>
      </w:r>
      <w:r w:rsidR="00083157">
        <w:fldChar w:fldCharType="separate"/>
      </w:r>
      <w:r w:rsidR="00083157">
        <w:rPr>
          <w:noProof/>
        </w:rPr>
        <w:t>(</w:t>
      </w:r>
      <w:hyperlink w:anchor="_ENREF_38" w:tooltip="Grewal, 2002 #1413" w:history="1">
        <w:r w:rsidR="00083157" w:rsidRPr="004C6DEC">
          <w:rPr>
            <w:rStyle w:val="Hyperlink"/>
            <w:noProof/>
          </w:rPr>
          <w:t>Grewal and Dharwadkar, 2002</w:t>
        </w:r>
      </w:hyperlink>
      <w:r w:rsidR="00083157">
        <w:rPr>
          <w:noProof/>
        </w:rPr>
        <w:t xml:space="preserve">; </w:t>
      </w:r>
      <w:hyperlink w:anchor="_ENREF_109" w:tooltip="Zsidisin, 2005 #1352" w:history="1">
        <w:r w:rsidR="00083157" w:rsidRPr="004C6DEC">
          <w:rPr>
            <w:rStyle w:val="Hyperlink"/>
            <w:noProof/>
          </w:rPr>
          <w:t>Zsidisin et al., 2005</w:t>
        </w:r>
      </w:hyperlink>
      <w:r w:rsidR="00083157">
        <w:rPr>
          <w:noProof/>
        </w:rPr>
        <w:t>)</w:t>
      </w:r>
      <w:r w:rsidR="00083157">
        <w:fldChar w:fldCharType="end"/>
      </w:r>
      <w:r w:rsidR="00150558">
        <w:t>.</w:t>
      </w:r>
    </w:p>
    <w:p w14:paraId="4388654A" w14:textId="25369EA5" w:rsidR="00636CC7" w:rsidRPr="00183F36" w:rsidRDefault="00636CC7" w:rsidP="009177A3">
      <w:pPr>
        <w:autoSpaceDE w:val="0"/>
        <w:autoSpaceDN w:val="0"/>
        <w:adjustRightInd w:val="0"/>
        <w:spacing w:line="480" w:lineRule="auto"/>
        <w:ind w:firstLine="720"/>
      </w:pPr>
      <w:r>
        <w:lastRenderedPageBreak/>
        <w:t>W</w:t>
      </w:r>
      <w:r w:rsidRPr="00183F36">
        <w:t>e developed items</w:t>
      </w:r>
      <w:r w:rsidR="00FB1210">
        <w:t xml:space="preserve"> for flexible response strategy</w:t>
      </w:r>
      <w:r w:rsidRPr="00183F36">
        <w:t xml:space="preserve"> based on two relevant studies </w:t>
      </w:r>
      <w:r w:rsidR="00083157">
        <w:fldChar w:fldCharType="begin"/>
      </w:r>
      <w:r w:rsidR="00083157">
        <w:instrText xml:space="preserve"> ADDIN EN.CITE &lt;EndNote&gt;&lt;Cite&gt;&lt;Author&gt;Turner&lt;/Author&gt;&lt;Year&gt;1995&lt;/Year&gt;&lt;RecNum&gt;1306&lt;/RecNum&gt;&lt;DisplayText&gt;(McEntire et al., 2013; Turner, 1995)&lt;/DisplayText&gt;&lt;record&gt;&lt;rec-number&gt;1306&lt;/rec-number&gt;&lt;foreign-keys&gt;&lt;key app="EN" db-id="0w05zrd59zdxwmexsxlxa0purxdzd2svavae" timestamp="0"&gt;1306&lt;/key&gt;&lt;/foreign-keys&gt;&lt;ref-type name="Book"&gt;6&lt;/ref-type&gt;&lt;contributors&gt;&lt;authors&gt;&lt;author&gt;B.A. Turner&lt;/author&gt;&lt;/authors&gt;&lt;secondary-authors&gt;&lt;author&gt;T. Horlick-Jones&lt;/author&gt;&lt;author&gt;A. Amendola&lt;/author&gt;&lt;author&gt;R. Casale &lt;/author&gt;&lt;/secondary-authors&gt;&lt;/contributors&gt;&lt;titles&gt;&lt;title&gt;The role of flexibility and improvisation in emergency response&lt;/title&gt;&lt;secondary-title&gt;Natural Risk and Civil Protection&lt;/secondary-title&gt;&lt;/titles&gt;&lt;section&gt;463- 475&lt;/section&gt;&lt;dates&gt;&lt;year&gt;1995&lt;/year&gt;&lt;/dates&gt;&lt;pub-location&gt;London&lt;/pub-location&gt;&lt;publisher&gt;CRC Press&lt;/publisher&gt;&lt;urls&gt;&lt;/urls&gt;&lt;/record&gt;&lt;/Cite&gt;&lt;Cite&gt;&lt;Author&gt;McEntire&lt;/Author&gt;&lt;Year&gt;2013&lt;/Year&gt;&lt;RecNum&gt;1161&lt;/RecNum&gt;&lt;record&gt;&lt;rec-number&gt;1161&lt;/rec-number&gt;&lt;foreign-keys&gt;&lt;key app="EN" db-id="0w05zrd59zdxwmexsxlxa0purxdzd2svavae" timestamp="0"&gt;1161&lt;/key&gt;&lt;/foreign-keys&gt;&lt;ref-type name="Journal Article"&gt;17&lt;/ref-type&gt;&lt;contributors&gt;&lt;authors&gt;&lt;author&gt;McEntire, D. A.&lt;/author&gt;&lt;author&gt;Kelly, J.&lt;/author&gt;&lt;author&gt;Kendra, J. M.&lt;/author&gt;&lt;author&gt;Long, L. C.&lt;/author&gt;&lt;/authors&gt;&lt;/contributors&gt;&lt;titles&gt;&lt;title&gt;Spontaneous planning after the San Bruno gas pipeline explosion: A case study of anticipation and improvisation during response and recovery operations&lt;/title&gt;&lt;secondary-title&gt;Journal of Homeland Security and Emergency Management&lt;/secondary-title&gt;&lt;/titles&gt;&lt;pages&gt;161-185&lt;/pages&gt;&lt;volume&gt;10&lt;/volume&gt;&lt;number&gt;1&lt;/number&gt;&lt;dates&gt;&lt;year&gt;2013&lt;/year&gt;&lt;/dates&gt;&lt;isbn&gt;2194-6361&lt;/isbn&gt;&lt;accession-num&gt;WOS:000324042100010&lt;/accession-num&gt;&lt;urls&gt;&lt;related-urls&gt;&lt;url&gt;&amp;lt;Go to ISI&amp;gt;://WOS:000324042100010&lt;/url&gt;&lt;/related-urls&gt;&lt;/urls&gt;&lt;electronic-resource-num&gt;10.1515/jhsem-2012-0055&lt;/electronic-resource-num&gt;&lt;/record&gt;&lt;/Cite&gt;&lt;/EndNote&gt;</w:instrText>
      </w:r>
      <w:r w:rsidR="00083157">
        <w:fldChar w:fldCharType="separate"/>
      </w:r>
      <w:r w:rsidR="00083157">
        <w:rPr>
          <w:noProof/>
        </w:rPr>
        <w:t>(</w:t>
      </w:r>
      <w:hyperlink w:anchor="_ENREF_61" w:tooltip="McEntire, 2013 #1161" w:history="1">
        <w:r w:rsidR="00083157" w:rsidRPr="004C6DEC">
          <w:rPr>
            <w:rStyle w:val="Hyperlink"/>
            <w:noProof/>
          </w:rPr>
          <w:t>McEntire et al., 2013</w:t>
        </w:r>
      </w:hyperlink>
      <w:r w:rsidR="00083157">
        <w:rPr>
          <w:noProof/>
        </w:rPr>
        <w:t xml:space="preserve">; </w:t>
      </w:r>
      <w:hyperlink w:anchor="_ENREF_97" w:tooltip="Turner, 1995 #1306" w:history="1">
        <w:r w:rsidR="00083157" w:rsidRPr="004C6DEC">
          <w:rPr>
            <w:rStyle w:val="Hyperlink"/>
            <w:noProof/>
          </w:rPr>
          <w:t>Turner, 1995</w:t>
        </w:r>
      </w:hyperlink>
      <w:r w:rsidR="00083157">
        <w:rPr>
          <w:noProof/>
        </w:rPr>
        <w:t>)</w:t>
      </w:r>
      <w:r w:rsidR="00083157">
        <w:fldChar w:fldCharType="end"/>
      </w:r>
      <w:r>
        <w:t xml:space="preserve"> </w:t>
      </w:r>
      <w:r w:rsidRPr="00183F36">
        <w:t>that measure how organizations adapt and improvise existing plans based on the uncertainty of the situation. We developed measures</w:t>
      </w:r>
      <w:r w:rsidR="00FB1210">
        <w:t xml:space="preserve"> for procedural response strategy</w:t>
      </w:r>
      <w:r w:rsidRPr="00183F36">
        <w:t xml:space="preserve"> from formalization literature </w:t>
      </w:r>
      <w:r w:rsidR="00083157">
        <w:fldChar w:fldCharType="begin"/>
      </w:r>
      <w:r w:rsidR="006135EF">
        <w:instrText xml:space="preserve"> ADDIN EN.CITE &lt;EndNote&gt;&lt;Cite&gt;&lt;Author&gt;Tenhiälä&lt;/Author&gt;&lt;Year&gt;2014&lt;/Year&gt;&lt;RecNum&gt;1290&lt;/RecNum&gt;&lt;DisplayText&gt;(Sivadas and Dwyer, 2000; Tenhiälä and Salvador, 2014)&lt;/DisplayText&gt;&lt;record&gt;&lt;rec-number&gt;1290&lt;/rec-number&gt;&lt;foreign-keys&gt;&lt;key app="EN" db-id="0w05zrd59zdxwmexsxlxa0purxdzd2svavae" timestamp="0"&gt;1290&lt;/key&gt;&lt;/foreign-keys&gt;&lt;ref-type name="Journal Article"&gt;17&lt;/ref-type&gt;&lt;contributors&gt;&lt;authors&gt;&lt;author&gt;Tenhiälä, Antti&lt;/author&gt;&lt;author&gt;Salvador, Fabrizio&lt;/author&gt;&lt;/authors&gt;&lt;/contributors&gt;&lt;titles&gt;&lt;title&gt;Looking inside glitch mitigation capability: The effect of Intraorganizational communication channels&lt;/title&gt;&lt;secondary-title&gt;Decision Sciences&lt;/secondary-title&gt;&lt;/titles&gt;&lt;pages&gt;437-466&lt;/pages&gt;&lt;volume&gt;45&lt;/volume&gt;&lt;number&gt;3&lt;/number&gt;&lt;dates&gt;&lt;year&gt;2014&lt;/year&gt;&lt;pub-dates&gt;&lt;date&gt;2014/06&lt;/date&gt;&lt;/pub-dates&gt;&lt;/dates&gt;&lt;publisher&gt;Wiley-Blackwell&lt;/publisher&gt;&lt;isbn&gt;0011-7315&lt;/isbn&gt;&lt;urls&gt;&lt;/urls&gt;&lt;electronic-resource-num&gt;10.1111/deci.12076&lt;/electronic-resource-num&gt;&lt;/record&gt;&lt;/Cite&gt;&lt;Cite&gt;&lt;Author&gt;Sivadas&lt;/Author&gt;&lt;Year&gt;2000&lt;/Year&gt;&lt;RecNum&gt;1256&lt;/RecNum&gt;&lt;record&gt;&lt;rec-number&gt;1256&lt;/rec-number&gt;&lt;foreign-keys&gt;&lt;key app="EN" db-id="0w05zrd59zdxwmexsxlxa0purxdzd2svavae" timestamp="0"&gt;1256&lt;/key&gt;&lt;/foreign-keys&gt;&lt;ref-type name="Journal Article"&gt;17&lt;/ref-type&gt;&lt;contributors&gt;&lt;authors&gt;&lt;author&gt;Sivadas, E.&lt;/author&gt;&lt;author&gt;Dwyer, F. R.&lt;/author&gt;&lt;/authors&gt;&lt;/contributors&gt;&lt;titles&gt;&lt;title&gt;An examination of organizational factors influencing new product success in internal and alliance-based processes&lt;/title&gt;&lt;secondary-title&gt;Journal of Marketing&lt;/secondary-title&gt;&lt;/titles&gt;&lt;periodical&gt;&lt;full-title&gt;Journal of Marketing&lt;/full-title&gt;&lt;/periodical&gt;&lt;pages&gt;31-49&lt;/pages&gt;&lt;volume&gt;64&lt;/volume&gt;&lt;number&gt;1&lt;/number&gt;&lt;dates&gt;&lt;year&gt;2000&lt;/year&gt;&lt;pub-dates&gt;&lt;date&gt;Jan&lt;/date&gt;&lt;/pub-dates&gt;&lt;/dates&gt;&lt;isbn&gt;0022-2429&lt;/isbn&gt;&lt;accession-num&gt;WOS:000085188300003&lt;/accession-num&gt;&lt;urls&gt;&lt;related-urls&gt;&lt;url&gt;&amp;lt;Go to ISI&amp;gt;://WOS:000085188300003&lt;/url&gt;&lt;/related-urls&gt;&lt;/urls&gt;&lt;electronic-resource-num&gt;10.1509/jmkg.64.1.31.17985&lt;/electronic-resource-num&gt;&lt;/record&gt;&lt;/Cite&gt;&lt;/EndNote&gt;</w:instrText>
      </w:r>
      <w:r w:rsidR="00083157">
        <w:fldChar w:fldCharType="separate"/>
      </w:r>
      <w:r w:rsidR="006135EF">
        <w:rPr>
          <w:noProof/>
        </w:rPr>
        <w:t>(</w:t>
      </w:r>
      <w:hyperlink w:anchor="_ENREF_86" w:tooltip="Sivadas, 2000 #1256" w:history="1">
        <w:r w:rsidR="006135EF" w:rsidRPr="004C6DEC">
          <w:rPr>
            <w:rStyle w:val="Hyperlink"/>
            <w:noProof/>
          </w:rPr>
          <w:t>Sivadas and Dwyer, 2000</w:t>
        </w:r>
      </w:hyperlink>
      <w:r w:rsidR="006135EF">
        <w:rPr>
          <w:noProof/>
        </w:rPr>
        <w:t xml:space="preserve">; </w:t>
      </w:r>
      <w:hyperlink w:anchor="_ENREF_92" w:tooltip="Tenhiälä, 2014 #1290" w:history="1">
        <w:r w:rsidR="006135EF" w:rsidRPr="004C6DEC">
          <w:rPr>
            <w:rStyle w:val="Hyperlink"/>
            <w:noProof/>
          </w:rPr>
          <w:t>Tenhiälä and Salvador, 2014</w:t>
        </w:r>
      </w:hyperlink>
      <w:r w:rsidR="006135EF">
        <w:rPr>
          <w:noProof/>
        </w:rPr>
        <w:t>)</w:t>
      </w:r>
      <w:r w:rsidR="00083157">
        <w:fldChar w:fldCharType="end"/>
      </w:r>
      <w:r w:rsidRPr="00183F36">
        <w:t xml:space="preserve"> and adapted them to the context of disruption management.</w:t>
      </w:r>
      <w:r w:rsidR="00FB1210">
        <w:t xml:space="preserve"> </w:t>
      </w:r>
    </w:p>
    <w:p w14:paraId="4AC68FF7" w14:textId="1BC40F58" w:rsidR="00F53482" w:rsidRDefault="00F53482" w:rsidP="00F53482">
      <w:pPr>
        <w:jc w:val="center"/>
        <w:rPr>
          <w:rFonts w:eastAsia="Times New Roman"/>
        </w:rPr>
      </w:pPr>
      <w:r w:rsidRPr="00183F36">
        <w:rPr>
          <w:rFonts w:eastAsia="Times New Roman"/>
        </w:rPr>
        <w:t xml:space="preserve">--- Insert Tables 2 &amp; 3 </w:t>
      </w:r>
      <w:r w:rsidR="00ED6137" w:rsidRPr="00183F36">
        <w:rPr>
          <w:rFonts w:eastAsia="Times New Roman"/>
        </w:rPr>
        <w:t>About</w:t>
      </w:r>
      <w:r w:rsidRPr="00183F36">
        <w:rPr>
          <w:rFonts w:eastAsia="Times New Roman"/>
        </w:rPr>
        <w:t xml:space="preserve"> Here ---</w:t>
      </w:r>
    </w:p>
    <w:p w14:paraId="4752EEAD" w14:textId="7F2F993F" w:rsidR="001E6503" w:rsidRPr="00183F36" w:rsidRDefault="001E6503" w:rsidP="00F53482">
      <w:pPr>
        <w:rPr>
          <w:i/>
        </w:rPr>
      </w:pPr>
    </w:p>
    <w:p w14:paraId="7A8810BA" w14:textId="77777777" w:rsidR="00DB04BE" w:rsidRPr="00647FBC" w:rsidRDefault="00DB04BE" w:rsidP="00DB04BE">
      <w:pPr>
        <w:rPr>
          <w:rFonts w:eastAsia="Times New Roman"/>
          <w:i/>
        </w:rPr>
      </w:pPr>
      <w:r w:rsidRPr="00647FBC">
        <w:rPr>
          <w:rFonts w:eastAsia="Times New Roman"/>
          <w:i/>
        </w:rPr>
        <w:t>Controls</w:t>
      </w:r>
    </w:p>
    <w:p w14:paraId="6DABFFFA" w14:textId="50F6B9F6" w:rsidR="00DB04BE" w:rsidRDefault="00DB04BE" w:rsidP="00F53482">
      <w:pPr>
        <w:rPr>
          <w:i/>
        </w:rPr>
      </w:pPr>
    </w:p>
    <w:p w14:paraId="757627A9" w14:textId="1E0CB3BE" w:rsidR="00DB04BE" w:rsidRPr="004C6DEC" w:rsidRDefault="00DB04BE" w:rsidP="004C6DEC">
      <w:pPr>
        <w:spacing w:line="480" w:lineRule="auto"/>
        <w:ind w:firstLine="720"/>
      </w:pPr>
      <w:r w:rsidRPr="00183F36">
        <w:t xml:space="preserve">To control for contextual factors, we included </w:t>
      </w:r>
      <w:r>
        <w:t>several measures. We included firm age</w:t>
      </w:r>
      <w:r w:rsidR="004C6DEC" w:rsidRPr="004C6DEC">
        <w:t xml:space="preserve"> </w:t>
      </w:r>
      <w:r>
        <w:t>product maturity and f</w:t>
      </w:r>
      <w:r w:rsidRPr="00183F36">
        <w:t>irm size (</w:t>
      </w:r>
      <w:r w:rsidRPr="00183F36">
        <w:rPr>
          <w:i/>
        </w:rPr>
        <w:t>Ln</w:t>
      </w:r>
      <w:r w:rsidRPr="00183F36">
        <w:t xml:space="preserve"> Number of employees)</w:t>
      </w:r>
      <w:r>
        <w:t xml:space="preserve"> to control for the culture of the organization</w:t>
      </w:r>
      <w:r w:rsidR="004C6DEC" w:rsidRPr="004C6DEC">
        <w:t xml:space="preserve"> </w:t>
      </w:r>
      <w:r w:rsidR="004C6DEC">
        <w:fldChar w:fldCharType="begin">
          <w:fldData xml:space="preserve">PEVuZE5vdGU+PENpdGU+PEF1dGhvcj5BemFkZWdhbjwvQXV0aG9yPjxZZWFyPjIwMTE8L1llYXI+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</w:fldData>
        </w:fldChar>
      </w:r>
      <w:r w:rsidR="004C6DEC">
        <w:instrText xml:space="preserve"> ADDIN EN.CITE </w:instrText>
      </w:r>
      <w:r w:rsidR="004C6DEC">
        <w:fldChar w:fldCharType="begin">
          <w:fldData xml:space="preserve">PEVuZE5vdGU+PENpdGU+PEF1dGhvcj5BemFkZWdhbjwvQXV0aG9yPjxZZWFyPjIwMTE8L1llYXI+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</w:fldData>
        </w:fldChar>
      </w:r>
      <w:r w:rsidR="004C6DEC">
        <w:instrText xml:space="preserve"> ADDIN EN.CITE.DATA </w:instrText>
      </w:r>
      <w:r w:rsidR="004C6DEC">
        <w:fldChar w:fldCharType="end"/>
      </w:r>
      <w:r w:rsidR="004C6DEC">
        <w:fldChar w:fldCharType="separate"/>
      </w:r>
      <w:r w:rsidR="004C6DEC">
        <w:rPr>
          <w:noProof/>
        </w:rPr>
        <w:t>(</w:t>
      </w:r>
      <w:hyperlink w:anchor="_ENREF_6" w:tooltip="Azadegan, 2011 #1430" w:history="1">
        <w:r w:rsidR="004C6DEC" w:rsidRPr="004C6DEC">
          <w:rPr>
            <w:rStyle w:val="Hyperlink"/>
            <w:noProof/>
          </w:rPr>
          <w:t>Azadegan and Wagner, 2011</w:t>
        </w:r>
      </w:hyperlink>
      <w:r w:rsidR="004C6DEC">
        <w:rPr>
          <w:noProof/>
        </w:rPr>
        <w:t xml:space="preserve">; </w:t>
      </w:r>
      <w:hyperlink w:anchor="_ENREF_58" w:tooltip="Li, 2015 #1429" w:history="1">
        <w:r w:rsidR="004C6DEC" w:rsidRPr="004C6DEC">
          <w:rPr>
            <w:rStyle w:val="Hyperlink"/>
            <w:noProof/>
          </w:rPr>
          <w:t>Li et al., 2015</w:t>
        </w:r>
      </w:hyperlink>
      <w:r w:rsidR="004C6DEC">
        <w:rPr>
          <w:noProof/>
        </w:rPr>
        <w:t xml:space="preserve">; </w:t>
      </w:r>
      <w:hyperlink w:anchor="_ENREF_101" w:tooltip="Wei, 2017 #1428" w:history="1">
        <w:r w:rsidR="004C6DEC" w:rsidRPr="004C6DEC">
          <w:rPr>
            <w:rStyle w:val="Hyperlink"/>
            <w:noProof/>
          </w:rPr>
          <w:t>Wei et al., 2017</w:t>
        </w:r>
      </w:hyperlink>
      <w:r w:rsidR="004C6DEC">
        <w:rPr>
          <w:noProof/>
        </w:rPr>
        <w:t>)</w:t>
      </w:r>
      <w:r w:rsidR="004C6DEC">
        <w:fldChar w:fldCharType="end"/>
      </w:r>
      <w:r w:rsidR="004C6DEC">
        <w:t>,</w:t>
      </w:r>
      <w:r>
        <w:t>. Older firms may have established processes that have been instituted over time. Also, firms with more mature products</w:t>
      </w:r>
      <w:r w:rsidR="00137F20">
        <w:t xml:space="preserve"> are typically associated with greater cost-leadership, which requires rigid processes to control the efficiency of outputs</w:t>
      </w:r>
      <w:r w:rsidR="004C6DEC" w:rsidRPr="004C6DEC">
        <w:t xml:space="preserve"> </w:t>
      </w:r>
      <w:r w:rsidR="004C6DEC">
        <w:fldChar w:fldCharType="begin"/>
      </w:r>
      <w:r w:rsidR="004C6DEC">
        <w:instrText xml:space="preserve"> ADDIN EN.CITE &lt;EndNote&gt;&lt;Cite&gt;&lt;Author&gt;Gupta&lt;/Author&gt;&lt;Year&gt;1998&lt;/Year&gt;&lt;RecNum&gt;1431&lt;/RecNum&gt;&lt;DisplayText&gt;(Brumme et al., 2015; Gupta and Lonial, 1998)&lt;/DisplayText&gt;&lt;record&gt;&lt;rec-number&gt;1431&lt;/rec-number&gt;&lt;foreign-keys&gt;&lt;key app="EN" db-id="0w05zrd59zdxwmexsxlxa0purxdzd2svavae" timestamp="1551128607"&gt;1431&lt;/key&gt;&lt;/foreign-keys&gt;&lt;ref-type name="Journal Article"&gt;17&lt;/ref-type&gt;&lt;contributors&gt;&lt;authors&gt;&lt;author&gt;Gupta, Yash P&lt;/author&gt;&lt;author&gt;Lonial, Subhash C&lt;/author&gt;&lt;/authors&gt;&lt;/contributors&gt;&lt;titles&gt;&lt;title&gt;Exploring linkages between manufacturing strategy, business strategy, and organizational strategy&lt;/title&gt;&lt;secondary-title&gt;Production and operations management&lt;/secondary-title&gt;&lt;/titles&gt;&lt;periodical&gt;&lt;full-title&gt;Production and Operations Management&lt;/full-title&gt;&lt;/periodical&gt;&lt;pages&gt;243-264&lt;/pages&gt;&lt;volume&gt;7&lt;/volume&gt;&lt;number&gt;3&lt;/number&gt;&lt;dates&gt;&lt;year&gt;1998&lt;/year&gt;&lt;/dates&gt;&lt;isbn&gt;1059-1478&lt;/isbn&gt;&lt;urls&gt;&lt;/urls&gt;&lt;/record&gt;&lt;/Cite&gt;&lt;Cite&gt;&lt;Author&gt;Brumme&lt;/Author&gt;&lt;Year&gt;2015&lt;/Year&gt;&lt;RecNum&gt;1432&lt;/RecNum&gt;&lt;record&gt;&lt;rec-number&gt;1432&lt;/rec-number&gt;&lt;foreign-keys&gt;&lt;key app="EN" db-id="0w05zrd59zdxwmexsxlxa0purxdzd2svavae" timestamp="1551128624"&gt;1432&lt;/key&gt;&lt;/foreign-keys&gt;&lt;ref-type name="Journal Article"&gt;17&lt;/ref-type&gt;&lt;contributors&gt;&lt;authors&gt;&lt;author&gt;Brumme, Hendrik&lt;/author&gt;&lt;author&gt;Simonovich, Daniel&lt;/author&gt;&lt;author&gt;S</w:instrText>
      </w:r>
      <w:r w:rsidR="004C6DEC">
        <w:rPr>
          <w:rFonts w:hint="eastAsia"/>
        </w:rPr>
        <w:instrText>kinner, Wickham&lt;/author&gt;&lt;author&gt;Van Wassenhove, Luk N&lt;/author&gt;&lt;/authors&gt;&lt;/contributors&gt;&lt;titles&gt;&lt;title&gt;The strategy</w:instrText>
      </w:r>
      <w:r w:rsidR="004C6DEC">
        <w:rPr>
          <w:rFonts w:hint="eastAsia"/>
        </w:rPr>
        <w:instrText>‐</w:instrText>
      </w:r>
      <w:r w:rsidR="004C6DEC">
        <w:rPr>
          <w:rFonts w:hint="eastAsia"/>
        </w:rPr>
        <w:instrText>focused factory in turbulent times&lt;/title&gt;&lt;secondary-title&gt;Production and Operations Management&lt;/secondary-title&gt;&lt;/titles&gt;&lt;periodical&gt;&lt;full-</w:instrText>
      </w:r>
      <w:r w:rsidR="004C6DEC">
        <w:instrText>title&gt;Production and Operations Management&lt;/full-title&gt;&lt;/periodical&gt;&lt;pages&gt;1513-1523&lt;/pages&gt;&lt;volume&gt;24&lt;/volume&gt;&lt;number&gt;10&lt;/number&gt;&lt;dates&gt;&lt;year&gt;2015&lt;/year&gt;&lt;/dates&gt;&lt;isbn&gt;1059-1478&lt;/isbn&gt;&lt;urls&gt;&lt;/urls&gt;&lt;/record&gt;&lt;/Cite&gt;&lt;/EndNote&gt;</w:instrText>
      </w:r>
      <w:r w:rsidR="004C6DEC">
        <w:fldChar w:fldCharType="separate"/>
      </w:r>
      <w:r w:rsidR="004C6DEC">
        <w:rPr>
          <w:noProof/>
        </w:rPr>
        <w:t>(</w:t>
      </w:r>
      <w:hyperlink w:anchor="_ENREF_16" w:tooltip="Brumme, 2015 #1432" w:history="1">
        <w:r w:rsidR="004C6DEC" w:rsidRPr="004C6DEC">
          <w:rPr>
            <w:rStyle w:val="Hyperlink"/>
            <w:noProof/>
          </w:rPr>
          <w:t>Brumme et al., 2015</w:t>
        </w:r>
      </w:hyperlink>
      <w:r w:rsidR="004C6DEC">
        <w:rPr>
          <w:noProof/>
        </w:rPr>
        <w:t xml:space="preserve">; </w:t>
      </w:r>
      <w:hyperlink w:anchor="_ENREF_40" w:tooltip="Gupta, 1998 #1431" w:history="1">
        <w:r w:rsidR="004C6DEC" w:rsidRPr="004C6DEC">
          <w:rPr>
            <w:rStyle w:val="Hyperlink"/>
            <w:noProof/>
          </w:rPr>
          <w:t>Gupta and Lonial, 1998</w:t>
        </w:r>
      </w:hyperlink>
      <w:r w:rsidR="004C6DEC">
        <w:rPr>
          <w:noProof/>
        </w:rPr>
        <w:t>)</w:t>
      </w:r>
      <w:r w:rsidR="004C6DEC">
        <w:fldChar w:fldCharType="end"/>
      </w:r>
      <w:r>
        <w:t xml:space="preserve">. Similarly, larger firms tend to institute processes to address various exception scenarios during their day-to-day operations. We included </w:t>
      </w:r>
      <w:r w:rsidRPr="00183F36">
        <w:t>industry</w:t>
      </w:r>
      <w:r>
        <w:t xml:space="preserve"> to control for industry level factors that may influence firms to institute procedural response strategies. For instance, firms in pharmaceutical industries are subject to external regulatory factors that may require firms to institute procedural response strategies more than flexible response strategies. We included </w:t>
      </w:r>
      <w:r w:rsidRPr="00183F36">
        <w:t>supply chain position</w:t>
      </w:r>
      <w:r>
        <w:t xml:space="preserve"> and environmental dynamism to control for any structure related factors that may require firms to pursue one strategy over the other</w:t>
      </w:r>
      <w:r w:rsidR="004C6DEC" w:rsidRPr="004C6DEC">
        <w:t xml:space="preserve"> </w:t>
      </w:r>
      <w:r w:rsidR="004C6DEC">
        <w:fldChar w:fldCharType="begin"/>
      </w:r>
      <w:r w:rsidR="004C6DEC">
        <w:instrText xml:space="preserve"> ADDIN EN.CITE &lt;EndNote&gt;&lt;Cite&gt;&lt;Author&gt;Kinra&lt;/Author&gt;&lt;Year&gt;2008&lt;/Year&gt;&lt;RecNum&gt;1434&lt;/RecNum&gt;&lt;DisplayText&gt;(Demeter, 2014; Kinra and Kotzab, 2008)&lt;/DisplayText&gt;&lt;record&gt;&lt;rec-number&gt;1434&lt;/rec-number&gt;&lt;foreign-keys&gt;&lt;key app="EN" db-id="0w05zrd59zdxwmexsxlxa0purxdzd2svavae" timestamp="1551128662"&gt;1434&lt;/key&gt;&lt;/foreign-keys&gt;&lt;ref-type name="Journal Article"&gt;17&lt;/ref-type&gt;&lt;contributors&gt;&lt;authors&gt;&lt;author&gt;Kinra, Aseem&lt;/author&gt;&lt;author&gt;Kotzab, Herbert&lt;/author&gt;&lt;/authors&gt;&lt;/contributors&gt;&lt;titles&gt;&lt;title&gt;A macro-institutional perspective on supply chain environmental complexity&lt;/title&gt;&lt;secondary-title&gt;International Journal of Production Economics&lt;/secondary-title&gt;&lt;/titles&gt;&lt;periodical&gt;&lt;full-title&gt;International Journal of Production Economics&lt;/full-title&gt;&lt;/periodical&gt;&lt;pages&gt;283-295&lt;/pages&gt;&lt;volume&gt;115&lt;/volume&gt;&lt;number&gt;2&lt;/number&gt;&lt;dates&gt;&lt;year&gt;2008&lt;/year&gt;&lt;/dates&gt;&lt;isbn&gt;0925-5273&lt;/isbn&gt;&lt;urls&gt;&lt;/urls&gt;&lt;/record&gt;&lt;/Cite&gt;&lt;Cite&gt;&lt;Author&gt;Demeter&lt;/Author&gt;&lt;Year&gt;2014&lt;/Year&gt;&lt;RecNum&gt;1433&lt;/RecNum&gt;&lt;record&gt;&lt;rec-number&gt;1433&lt;/rec-number&gt;&lt;foreign-keys&gt;&lt;key app="EN" db-id="0w05zrd59zdxwmexsxlxa0purxdzd2svavae" timestamp="1551128641"&gt;1433&lt;/key&gt;&lt;/foreign-keys&gt;&lt;ref-type name="Journal Article"&gt;17&lt;/ref-type&gt;&lt;contributors&gt;&lt;authors&gt;&lt;author&gt;Demeter, Krisztina&lt;/author&gt;&lt;/authors&gt;&lt;/contributors&gt;&lt;titles&gt;&lt;title&gt;Operating internationally—The impact on operational performance improvement&lt;/title&gt;&lt;secondary-title&gt;International Journal of Production Economics&lt;/secondary-title&gt;&lt;/titles&gt;&lt;periodical&gt;&lt;full-title&gt;International Journal of Production Economics&lt;/full-title&gt;&lt;/periodical&gt;&lt;pages&gt;172-182&lt;/pages&gt;&lt;volume&gt;149&lt;/volume&gt;&lt;dates&gt;&lt;year&gt;2014&lt;/year&gt;&lt;/dates&gt;&lt;isbn&gt;0925-5273&lt;/isbn&gt;&lt;urls&gt;&lt;/urls&gt;&lt;/record&gt;&lt;/Cite&gt;&lt;/EndNote&gt;</w:instrText>
      </w:r>
      <w:r w:rsidR="004C6DEC">
        <w:fldChar w:fldCharType="separate"/>
      </w:r>
      <w:r w:rsidR="004C6DEC">
        <w:rPr>
          <w:noProof/>
        </w:rPr>
        <w:t>(</w:t>
      </w:r>
      <w:hyperlink w:anchor="_ENREF_26" w:tooltip="Demeter, 2014 #1433" w:history="1">
        <w:r w:rsidR="004C6DEC" w:rsidRPr="004C6DEC">
          <w:rPr>
            <w:rStyle w:val="Hyperlink"/>
            <w:noProof/>
          </w:rPr>
          <w:t>Demeter, 2014</w:t>
        </w:r>
      </w:hyperlink>
      <w:r w:rsidR="004C6DEC">
        <w:rPr>
          <w:noProof/>
        </w:rPr>
        <w:t xml:space="preserve">; </w:t>
      </w:r>
      <w:hyperlink w:anchor="_ENREF_52" w:tooltip="Kinra, 2008 #1434" w:history="1">
        <w:r w:rsidR="004C6DEC" w:rsidRPr="004C6DEC">
          <w:rPr>
            <w:rStyle w:val="Hyperlink"/>
            <w:noProof/>
          </w:rPr>
          <w:t>Kinra and Kotzab, 2008</w:t>
        </w:r>
      </w:hyperlink>
      <w:r w:rsidR="004C6DEC">
        <w:rPr>
          <w:noProof/>
        </w:rPr>
        <w:t>)</w:t>
      </w:r>
      <w:r w:rsidR="004C6DEC">
        <w:fldChar w:fldCharType="end"/>
      </w:r>
      <w:r>
        <w:t>. We used dummy variables to control for country because the data were collected in different countries. Finally, we controlled for small disruption frequency because firms with greater frequency of small disruptions may institute processes and strategies to address these issues</w:t>
      </w:r>
      <w:r w:rsidRPr="00183F36">
        <w:t>.</w:t>
      </w:r>
    </w:p>
    <w:p w14:paraId="61FFFD47" w14:textId="186B7674" w:rsidR="00F53482" w:rsidRPr="00183F36" w:rsidRDefault="00F53482" w:rsidP="00F53482">
      <w:pPr>
        <w:rPr>
          <w:i/>
        </w:rPr>
      </w:pPr>
      <w:r w:rsidRPr="00183F36">
        <w:rPr>
          <w:i/>
        </w:rPr>
        <w:t>Measure validation</w:t>
      </w:r>
    </w:p>
    <w:p w14:paraId="34A478EA" w14:textId="77777777" w:rsidR="00F53482" w:rsidRPr="00183F36" w:rsidRDefault="00F53482" w:rsidP="00F53482">
      <w:pPr>
        <w:rPr>
          <w:i/>
        </w:rPr>
      </w:pPr>
    </w:p>
    <w:p w14:paraId="24BF86F8" w14:textId="2881B856" w:rsidR="00F53482" w:rsidRPr="00183F36" w:rsidRDefault="00F53482" w:rsidP="00ED4E39">
      <w:pPr>
        <w:spacing w:after="120" w:line="480" w:lineRule="auto"/>
      </w:pPr>
      <w:r w:rsidRPr="00183F36">
        <w:lastRenderedPageBreak/>
        <w:t xml:space="preserve">We used confirmatory factor analysis (CFA) to assess </w:t>
      </w:r>
      <w:r w:rsidR="001A54B5">
        <w:t xml:space="preserve">the </w:t>
      </w:r>
      <w:r w:rsidRPr="001A54B5">
        <w:rPr>
          <w:noProof/>
        </w:rPr>
        <w:t>unidimensionality</w:t>
      </w:r>
      <w:r w:rsidRPr="00183F36">
        <w:t xml:space="preserve"> of the constructs. We assessed the measurement model fit using </w:t>
      </w:r>
      <w:r w:rsidR="001A54B5">
        <w:t xml:space="preserve">a </w:t>
      </w:r>
      <w:r w:rsidRPr="001A54B5">
        <w:rPr>
          <w:noProof/>
        </w:rPr>
        <w:t>chi-squared</w:t>
      </w:r>
      <w:r w:rsidRPr="00183F36">
        <w:t xml:space="preserve"> statistic (χ</w:t>
      </w:r>
      <w:r w:rsidRPr="00183F36">
        <w:rPr>
          <w:vertAlign w:val="superscript"/>
        </w:rPr>
        <w:t>2</w:t>
      </w:r>
      <w:r w:rsidRPr="00183F36">
        <w:t xml:space="preserve">), comparative fit index (CFI), </w:t>
      </w:r>
      <w:r w:rsidR="001A54B5">
        <w:t xml:space="preserve">the </w:t>
      </w:r>
      <w:r w:rsidRPr="001A54B5">
        <w:rPr>
          <w:noProof/>
        </w:rPr>
        <w:t>goodness</w:t>
      </w:r>
      <w:r w:rsidRPr="00183F36">
        <w:t xml:space="preserve"> of fit index (GFI), Bentler-Bonett normed fit index (NFI), Tucker-Lewis index (TLI), root mean squared error approximation (RMSEA) and standardized root mean square residual (SRMR). The confirmatory factor analysis yielded </w:t>
      </w:r>
      <w:r w:rsidRPr="00183F36">
        <w:rPr>
          <w:i/>
        </w:rPr>
        <w:t>χ</w:t>
      </w:r>
      <w:r w:rsidRPr="00183F36">
        <w:rPr>
          <w:vertAlign w:val="superscript"/>
        </w:rPr>
        <w:t>2</w:t>
      </w:r>
      <w:r w:rsidRPr="00183F36">
        <w:t xml:space="preserve"> (253) = 818.571; RMSEA = 0.071; SRMR = 0.050; CFI = 0.929; GFI = 0.873; TLI = 0.916. The model fit indices were above the recommended thresholds </w:t>
      </w:r>
      <w:r w:rsidR="00083157">
        <w:fldChar w:fldCharType="begin"/>
      </w:r>
      <w:r w:rsidR="00083157">
        <w:instrText xml:space="preserve"> ADDIN EN.CITE &lt;EndNote&gt;&lt;Cite&gt;&lt;Author&gt;Hu&lt;/Author&gt;&lt;Year&gt;1999&lt;/Year&gt;&lt;RecNum&gt;1082&lt;/RecNum&gt;&lt;DisplayText&gt;(Hu and Bentler, 1999)&lt;/DisplayText&gt;&lt;record&gt;&lt;rec-number&gt;1082&lt;/rec-number&gt;&lt;foreign-keys&gt;&lt;key app="EN" db-id="0w05zrd59zdxwmexsxlxa0purxdzd2svavae" timestamp</w:instrText>
      </w:r>
      <w:r w:rsidR="00083157">
        <w:rPr>
          <w:rFonts w:hint="eastAsia"/>
        </w:rPr>
        <w:instrText>="0"&gt;1082&lt;/key&gt;&lt;/foreign-keys&gt;&lt;ref-type name="Journal Article"&gt;17&lt;/ref-type&gt;&lt;contributors&gt;&lt;authors&gt;&lt;author&gt;Hu, Li</w:instrText>
      </w:r>
      <w:r w:rsidR="00083157">
        <w:rPr>
          <w:rFonts w:hint="eastAsia"/>
        </w:rPr>
        <w:instrText>‐</w:instrText>
      </w:r>
      <w:r w:rsidR="00083157">
        <w:rPr>
          <w:rFonts w:hint="eastAsia"/>
        </w:rPr>
        <w:instrText xml:space="preserve">tze&lt;/author&gt;&lt;author&gt;Bentler, Peter M&lt;/author&gt;&lt;/authors&gt;&lt;/contributors&gt;&lt;titles&gt;&lt;title&gt;Cutoff criteria for fit indexes in covariance structure </w:instrText>
      </w:r>
      <w:r w:rsidR="00083157">
        <w:instrText>analysis: Conventional criteria versus new alternatives&lt;/title&gt;&lt;secondary-title&gt;Structural Equation Modeling: A Multidisciplinary Journal&lt;/secondary-title&gt;&lt;/titles&gt;&lt;pages&gt;1-55&lt;/pages&gt;&lt;volume&gt;6&lt;/volume&gt;&lt;number&gt;1&lt;/number&gt;&lt;dates&gt;&lt;year&gt;1999&lt;/year&gt;&lt;/dates&gt;&lt;isbn&gt;1070-5511&lt;/isbn&gt;&lt;label&gt;Near misses paper&lt;/label&gt;&lt;urls&gt;&lt;/urls&gt;&lt;/record&gt;&lt;/Cite&gt;&lt;/EndNote&gt;</w:instrText>
      </w:r>
      <w:r w:rsidR="00083157">
        <w:fldChar w:fldCharType="separate"/>
      </w:r>
      <w:r w:rsidR="00083157">
        <w:rPr>
          <w:noProof/>
        </w:rPr>
        <w:t>(</w:t>
      </w:r>
      <w:hyperlink w:anchor="_ENREF_47" w:tooltip="Hu, 1999 #1082" w:history="1">
        <w:r w:rsidR="00083157" w:rsidRPr="004C6DEC">
          <w:rPr>
            <w:rStyle w:val="Hyperlink"/>
            <w:noProof/>
          </w:rPr>
          <w:t>Hu and Bentler, 1999</w:t>
        </w:r>
      </w:hyperlink>
      <w:r w:rsidR="00083157">
        <w:rPr>
          <w:noProof/>
        </w:rPr>
        <w:t>)</w:t>
      </w:r>
      <w:r w:rsidR="00083157">
        <w:fldChar w:fldCharType="end"/>
      </w:r>
      <w:r w:rsidR="00150558">
        <w:t xml:space="preserve">. </w:t>
      </w:r>
      <w:r w:rsidRPr="001A54B5">
        <w:rPr>
          <w:noProof/>
        </w:rPr>
        <w:t>This</w:t>
      </w:r>
      <w:r w:rsidR="006D1A7C">
        <w:t xml:space="preserve"> indicates that the measures</w:t>
      </w:r>
      <w:r w:rsidR="00793E70">
        <w:t xml:space="preserve"> for </w:t>
      </w:r>
      <w:r w:rsidRPr="00183F36">
        <w:t xml:space="preserve">latent variables </w:t>
      </w:r>
      <w:r w:rsidR="00793E70">
        <w:t xml:space="preserve">are </w:t>
      </w:r>
      <w:r w:rsidRPr="00183F36">
        <w:t xml:space="preserve">acceptable. We </w:t>
      </w:r>
      <w:r w:rsidR="00793E70">
        <w:t xml:space="preserve">also </w:t>
      </w:r>
      <w:r w:rsidRPr="00183F36">
        <w:t>assessed reliability, convergent validity and discriminant validity of the constructs</w:t>
      </w:r>
      <w:r w:rsidR="005666B0" w:rsidRPr="00183F36">
        <w:t xml:space="preserve">. </w:t>
      </w:r>
      <w:r w:rsidR="00CC5719" w:rsidRPr="00183F36">
        <w:t>Detailed statistics on loadings, reliability</w:t>
      </w:r>
      <w:r w:rsidR="001A54B5">
        <w:t>,</w:t>
      </w:r>
      <w:r w:rsidR="00CC5719" w:rsidRPr="00183F36">
        <w:t xml:space="preserve"> </w:t>
      </w:r>
      <w:r w:rsidR="00CC5719" w:rsidRPr="001A54B5">
        <w:rPr>
          <w:noProof/>
        </w:rPr>
        <w:t>and</w:t>
      </w:r>
      <w:r w:rsidR="00CC5719" w:rsidRPr="00183F36">
        <w:t xml:space="preserve"> AVEs </w:t>
      </w:r>
      <w:r w:rsidR="00CC5719" w:rsidRPr="001A54B5">
        <w:rPr>
          <w:noProof/>
        </w:rPr>
        <w:t>are presented</w:t>
      </w:r>
      <w:r w:rsidR="00CC5719" w:rsidRPr="00183F36">
        <w:t xml:space="preserve"> in Table 3.</w:t>
      </w:r>
    </w:p>
    <w:p w14:paraId="62A9A964" w14:textId="77777777" w:rsidR="00F53482" w:rsidRPr="00183F36" w:rsidRDefault="00F53482" w:rsidP="00F53482">
      <w:pPr>
        <w:autoSpaceDE w:val="0"/>
        <w:autoSpaceDN w:val="0"/>
        <w:adjustRightInd w:val="0"/>
        <w:spacing w:after="120" w:line="360" w:lineRule="auto"/>
        <w:rPr>
          <w:i/>
        </w:rPr>
      </w:pPr>
      <w:r w:rsidRPr="00183F36">
        <w:rPr>
          <w:i/>
        </w:rPr>
        <w:t>Common method bias</w:t>
      </w:r>
    </w:p>
    <w:p w14:paraId="21D43E3E" w14:textId="2343A9A7" w:rsidR="00F53482" w:rsidRPr="00183F36" w:rsidRDefault="00F53482" w:rsidP="00F53482">
      <w:pPr>
        <w:autoSpaceDE w:val="0"/>
        <w:autoSpaceDN w:val="0"/>
        <w:adjustRightInd w:val="0"/>
        <w:spacing w:after="120" w:line="480" w:lineRule="auto"/>
      </w:pPr>
      <w:r w:rsidRPr="001A54B5">
        <w:rPr>
          <w:noProof/>
        </w:rPr>
        <w:t>To dampen the effects of common method bias</w:t>
      </w:r>
      <w:r w:rsidRPr="00183F36">
        <w:t xml:space="preserve">, the survey was designed using different scale formats and anchors for the key variables. </w:t>
      </w:r>
      <w:r w:rsidRPr="001A54B5">
        <w:rPr>
          <w:noProof/>
        </w:rPr>
        <w:t>In addition</w:t>
      </w:r>
      <w:r w:rsidRPr="00183F36">
        <w:t xml:space="preserve">, we tested for common method bias in the following ways. First, we conducted a version of Harman’s </w:t>
      </w:r>
      <w:r w:rsidR="00183F36">
        <w:t>one-factor</w:t>
      </w:r>
      <w:r w:rsidR="002202AA" w:rsidRPr="00183F36">
        <w:t xml:space="preserve"> </w:t>
      </w:r>
      <w:r w:rsidRPr="00183F36">
        <w:t>test to verify that there is no bias in results</w:t>
      </w:r>
      <w:r w:rsidR="00183F36">
        <w:t xml:space="preserve"> because of a single respondent</w:t>
      </w:r>
      <w:r w:rsidRPr="00183F36">
        <w:t xml:space="preserve">. We followed the methodology suggested by </w:t>
      </w:r>
      <w:hyperlink w:anchor="_ENREF_60" w:tooltip="Malhotra, 2006 #1150" w:history="1">
        <w:r w:rsidR="00083157" w:rsidRPr="004C6DEC">
          <w:rPr>
            <w:rStyle w:val="Hyperlink"/>
          </w:rPr>
          <w:fldChar w:fldCharType="begin"/>
        </w:r>
        <w:r w:rsidR="006135EF" w:rsidRPr="004C6DEC">
          <w:rPr>
            <w:rStyle w:val="Hyperlink"/>
          </w:rPr>
          <w:instrText xml:space="preserve"> ADDIN EN.CITE &lt;EndNote&gt;&lt;Cite AuthorYear="1"&gt;&lt;Author&gt;Malhotra&lt;/Author&gt;&lt;Year&gt;2006&lt;/Year&gt;&lt;RecNum&gt;1150&lt;/RecNum&gt;&lt;DisplayText&gt;Malhotra et al. (2006)&lt;/DisplayText&gt;&lt;record&gt;&lt;rec-number&gt;1150&lt;/rec-number&gt;&lt;foreign-keys&gt;&lt;key app="EN" db-id="0w05zrd59zdxwmexsxlxa0purxdzd2svavae" timestamp="0"&gt;1150&lt;/key&gt;&lt;/foreign-keys&gt;&lt;ref-type name="Journal Article"&gt;17&lt;/ref-type&gt;&lt;contributors&gt;&lt;authors&gt;&lt;author&gt;Malhotra, Naresh K&lt;/author&gt;&lt;author&gt;Kim, Sung S&lt;/author&gt;&lt;author&gt;Patil, Ashutosh&lt;/author&gt;&lt;/authors&gt;&lt;/contributors&gt;&lt;titles&gt;&lt;title&gt;Common method variance in is research: A comparison of alternative approaches and a reanalysis of past research&lt;/title&gt;&lt;secondary-title&gt;Management Science&lt;/secondary-title&gt;&lt;/titles&gt;&lt;pages&gt;1865-1883&lt;/pages&gt;&lt;volume&gt;52&lt;/volume&gt;&lt;dates&gt;&lt;year&gt;2006&lt;/year&gt;&lt;/dates&gt;&lt;label&gt;Near misses paper&lt;/label&gt;&lt;urls&gt;&lt;/urls&gt;&lt;/record&gt;&lt;/Cite&gt;&lt;/EndNote&gt;</w:instrText>
        </w:r>
        <w:r w:rsidR="00083157" w:rsidRPr="004C6DEC">
          <w:rPr>
            <w:rStyle w:val="Hyperlink"/>
          </w:rPr>
          <w:fldChar w:fldCharType="separate"/>
        </w:r>
        <w:r w:rsidR="006135EF" w:rsidRPr="004C6DEC">
          <w:rPr>
            <w:rStyle w:val="Hyperlink"/>
            <w:noProof/>
          </w:rPr>
          <w:t>Malhotra et al. (2006)</w:t>
        </w:r>
        <w:r w:rsidR="00083157" w:rsidRPr="004C6DEC">
          <w:rPr>
            <w:rStyle w:val="Hyperlink"/>
          </w:rPr>
          <w:fldChar w:fldCharType="end"/>
        </w:r>
      </w:hyperlink>
      <w:r w:rsidR="00150558" w:rsidRPr="00150558">
        <w:t xml:space="preserve"> </w:t>
      </w:r>
      <w:r w:rsidRPr="00183F36">
        <w:t xml:space="preserve">and </w:t>
      </w:r>
      <w:r w:rsidR="00A960D5" w:rsidRPr="00183F36">
        <w:t>also</w:t>
      </w:r>
      <w:r w:rsidRPr="00183F36">
        <w:t xml:space="preserve"> used </w:t>
      </w:r>
      <w:r w:rsidR="001A54B5">
        <w:t xml:space="preserve">the </w:t>
      </w:r>
      <w:r w:rsidRPr="001A54B5">
        <w:rPr>
          <w:noProof/>
        </w:rPr>
        <w:t>marker-variable</w:t>
      </w:r>
      <w:r w:rsidRPr="00183F36">
        <w:t xml:space="preserve"> technique </w:t>
      </w:r>
      <w:r w:rsidR="00083157">
        <w:fldChar w:fldCharType="begin"/>
      </w:r>
      <w:r w:rsidR="00083157">
        <w:instrText xml:space="preserve"> ADDIN EN.CITE &lt;EndNote&gt;&lt;Cite&gt;&lt;Author&gt;Lindell&lt;/Author&gt;&lt;Year&gt;2001&lt;/Year&gt;&lt;RecNum&gt;1414&lt;/RecNum&gt;&lt;DisplayText&gt;(Lindell and Whitney, 2001)&lt;/DisplayText&gt;&lt;record&gt;&lt;rec-number&gt;1414&lt;/rec-number&gt;&lt;foreign-keys&gt;&lt;key app="EN" db-id="0w05zrd59zdxwmexsxlxa0purxdzd2svavae" timestamp="1550932478"&gt;1414&lt;/key&gt;&lt;/foreign-keys&gt;&lt;ref-type name="Journal Article"&gt;17&lt;/ref-type&gt;&lt;contributors&gt;&lt;authors&gt;&lt;author&gt;Lindell, Michael K&lt;/author&gt;&lt;author&gt;Whitney, David J&lt;/author&gt;&lt;/authors&gt;&lt;/contributors&gt;&lt;titles&gt;&lt;title&gt;Accounting for common method variance in cross-sectional research designs&lt;/title&gt;&lt;secondary-title&gt;Journal of applied psychology&lt;/secondary-title&gt;&lt;/titles&gt;&lt;periodical&gt;&lt;full-title&gt;Journal of applied psychology&lt;/full-title&gt;&lt;/periodical&gt;&lt;pages&gt;114&lt;/pages&gt;&lt;volume&gt;86&lt;/volume&gt;&lt;number&gt;1&lt;/number&gt;&lt;dates&gt;&lt;year&gt;2001&lt;/year&gt;&lt;/dates&gt;&lt;isbn&gt;1939-1854&lt;/isbn&gt;&lt;urls&gt;&lt;/urls&gt;&lt;/record&gt;&lt;/Cite&gt;&lt;/EndNote&gt;</w:instrText>
      </w:r>
      <w:r w:rsidR="00083157">
        <w:fldChar w:fldCharType="separate"/>
      </w:r>
      <w:r w:rsidR="00083157">
        <w:rPr>
          <w:noProof/>
        </w:rPr>
        <w:t>(</w:t>
      </w:r>
      <w:hyperlink w:anchor="_ENREF_59" w:tooltip="Lindell, 2001 #1414" w:history="1">
        <w:r w:rsidR="00083157" w:rsidRPr="004C6DEC">
          <w:rPr>
            <w:rStyle w:val="Hyperlink"/>
            <w:noProof/>
          </w:rPr>
          <w:t>Lindell and Whitney, 2001</w:t>
        </w:r>
      </w:hyperlink>
      <w:r w:rsidR="00083157">
        <w:rPr>
          <w:noProof/>
        </w:rPr>
        <w:t>)</w:t>
      </w:r>
      <w:r w:rsidR="00083157">
        <w:fldChar w:fldCharType="end"/>
      </w:r>
      <w:r w:rsidR="00150558" w:rsidRPr="00150558">
        <w:t xml:space="preserve"> </w:t>
      </w:r>
      <w:r w:rsidRPr="00183F36">
        <w:t xml:space="preserve">to test for common method bias. </w:t>
      </w:r>
      <w:r w:rsidR="00A960D5" w:rsidRPr="00183F36">
        <w:t xml:space="preserve">Based on these tests we conclude that </w:t>
      </w:r>
      <w:r w:rsidRPr="00183F36">
        <w:t xml:space="preserve">common method bias is </w:t>
      </w:r>
      <w:r w:rsidR="00A960D5" w:rsidRPr="00183F36">
        <w:t>not significant in our dataset</w:t>
      </w:r>
      <w:r w:rsidRPr="00183F36">
        <w:t>.</w:t>
      </w:r>
    </w:p>
    <w:p w14:paraId="44BFAA36" w14:textId="77777777" w:rsidR="00B155FA" w:rsidRPr="00183F36" w:rsidRDefault="00B155FA" w:rsidP="00B155FA">
      <w:pPr>
        <w:rPr>
          <w:b/>
        </w:rPr>
      </w:pPr>
      <w:r w:rsidRPr="00183F36">
        <w:rPr>
          <w:b/>
        </w:rPr>
        <w:t>Analysis and results</w:t>
      </w:r>
    </w:p>
    <w:p w14:paraId="07F1C0CC" w14:textId="77777777" w:rsidR="00B155FA" w:rsidRPr="00183F36" w:rsidRDefault="00B155FA" w:rsidP="00B155FA">
      <w:pPr>
        <w:rPr>
          <w:b/>
        </w:rPr>
      </w:pPr>
    </w:p>
    <w:p w14:paraId="45766D0F" w14:textId="0546A916" w:rsidR="00614D84" w:rsidRPr="00183F36" w:rsidRDefault="00294AAD" w:rsidP="008C3E54">
      <w:pPr>
        <w:spacing w:line="432" w:lineRule="auto"/>
      </w:pPr>
      <w:r w:rsidRPr="00183F36">
        <w:t xml:space="preserve">We tested our hypotheses using hierarchical regression models </w:t>
      </w:r>
      <w:r w:rsidR="00793E70">
        <w:t>(</w:t>
      </w:r>
      <w:r w:rsidRPr="00183F36">
        <w:t xml:space="preserve">Table </w:t>
      </w:r>
      <w:r w:rsidR="00ED6137" w:rsidRPr="00183F36">
        <w:t>4</w:t>
      </w:r>
      <w:r w:rsidR="00793E70">
        <w:t>)</w:t>
      </w:r>
      <w:r w:rsidRPr="00183F36">
        <w:t xml:space="preserve">. </w:t>
      </w:r>
      <w:r w:rsidR="00200A12">
        <w:t xml:space="preserve">We first introduced the </w:t>
      </w:r>
      <w:r w:rsidR="00614D84">
        <w:t xml:space="preserve">control variables (model xM1), then we introduced variables to assess the main effects (models xM2), then we introduced interaction terms (models xM3 and xM4). Finally, we introduced all the variables (model xM5). </w:t>
      </w:r>
    </w:p>
    <w:p w14:paraId="6EF3192B" w14:textId="41760E9B" w:rsidR="00ED6137" w:rsidRPr="00183F36" w:rsidRDefault="00C337E9" w:rsidP="004C6DEC">
      <w:pPr>
        <w:spacing w:line="432" w:lineRule="auto"/>
      </w:pPr>
      <w:r>
        <w:rPr>
          <w:rFonts w:eastAsia="Times New Roman"/>
        </w:rPr>
        <w:tab/>
      </w:r>
      <w:r w:rsidR="00ED6137" w:rsidRPr="001A54B5">
        <w:rPr>
          <w:noProof/>
        </w:rPr>
        <w:t xml:space="preserve">Focusing on the results </w:t>
      </w:r>
      <w:r w:rsidR="000A1700" w:rsidRPr="001A54B5">
        <w:rPr>
          <w:noProof/>
        </w:rPr>
        <w:t>on the left</w:t>
      </w:r>
      <w:r w:rsidR="001A54B5" w:rsidRPr="001A54B5">
        <w:rPr>
          <w:noProof/>
        </w:rPr>
        <w:t>-</w:t>
      </w:r>
      <w:r w:rsidR="000A1700" w:rsidRPr="001A54B5">
        <w:rPr>
          <w:noProof/>
        </w:rPr>
        <w:t xml:space="preserve">hand side of </w:t>
      </w:r>
      <w:r w:rsidR="00ED6137" w:rsidRPr="001A54B5">
        <w:rPr>
          <w:noProof/>
        </w:rPr>
        <w:t xml:space="preserve">Table </w:t>
      </w:r>
      <w:r w:rsidR="00AA78DF" w:rsidRPr="001A54B5">
        <w:rPr>
          <w:noProof/>
        </w:rPr>
        <w:t>4</w:t>
      </w:r>
      <w:r w:rsidR="00ED6137" w:rsidRPr="00183F36">
        <w:t xml:space="preserve">, model </w:t>
      </w:r>
      <w:r w:rsidR="000A1700">
        <w:t>F</w:t>
      </w:r>
      <w:r w:rsidR="00ED6137" w:rsidRPr="00183F36">
        <w:t xml:space="preserve">M2 shows that the frequency of </w:t>
      </w:r>
      <w:r w:rsidR="00412442">
        <w:t>near-misses</w:t>
      </w:r>
      <w:r w:rsidR="00ED6137" w:rsidRPr="00183F36">
        <w:t xml:space="preserve"> (</w:t>
      </w:r>
      <w:r w:rsidR="00ED6137" w:rsidRPr="00183F36">
        <w:rPr>
          <w:i/>
        </w:rPr>
        <w:t>p</w:t>
      </w:r>
      <w:r w:rsidR="00ED6137" w:rsidRPr="00183F36">
        <w:t xml:space="preserve"> &lt; 0.01) is negatively related to flexible response. </w:t>
      </w:r>
      <w:r w:rsidR="00ED6137" w:rsidRPr="001A54B5">
        <w:rPr>
          <w:noProof/>
        </w:rPr>
        <w:t>This</w:t>
      </w:r>
      <w:r w:rsidR="00ED6137" w:rsidRPr="00183F36">
        <w:t xml:space="preserve"> </w:t>
      </w:r>
      <w:r w:rsidR="00373B33">
        <w:t xml:space="preserve">supports </w:t>
      </w:r>
      <w:r w:rsidR="00ED6137" w:rsidRPr="00183F36">
        <w:t xml:space="preserve">our </w:t>
      </w:r>
      <w:r w:rsidR="00ED6137" w:rsidRPr="00183F36">
        <w:lastRenderedPageBreak/>
        <w:t>hypothesis H1</w:t>
      </w:r>
      <w:r w:rsidR="00373B33">
        <w:t>a</w:t>
      </w:r>
      <w:r w:rsidR="00ED6137" w:rsidRPr="00183F36">
        <w:t>. The interaction term “NM x Reg.</w:t>
      </w:r>
      <w:r w:rsidR="00ED4E39" w:rsidRPr="00183F36">
        <w:t xml:space="preserve"> </w:t>
      </w:r>
      <w:r w:rsidR="00ED6137" w:rsidRPr="00183F36">
        <w:t xml:space="preserve">Pressure” (model </w:t>
      </w:r>
      <w:r w:rsidR="000A1700">
        <w:t>F</w:t>
      </w:r>
      <w:r w:rsidR="00ED6137" w:rsidRPr="00183F36">
        <w:t>M3) is statistically significant prov</w:t>
      </w:r>
      <w:r w:rsidR="00760006" w:rsidRPr="00183F36">
        <w:t>iding support for hypothesis H</w:t>
      </w:r>
      <w:r w:rsidR="00373B33">
        <w:t>2</w:t>
      </w:r>
      <w:r w:rsidR="00760006" w:rsidRPr="00183F36">
        <w:t>a</w:t>
      </w:r>
      <w:r w:rsidR="00ED6137" w:rsidRPr="00183F36">
        <w:t xml:space="preserve">. Finally, the results in model </w:t>
      </w:r>
      <w:r w:rsidR="000A1700">
        <w:t>F</w:t>
      </w:r>
      <w:r w:rsidR="00ED6137" w:rsidRPr="00183F36">
        <w:t>M5 show that “NM x Ind. Pressure” is positive and statistically significant (</w:t>
      </w:r>
      <w:r w:rsidR="00ED6137" w:rsidRPr="00183F36">
        <w:rPr>
          <w:i/>
        </w:rPr>
        <w:t>p</w:t>
      </w:r>
      <w:r w:rsidR="00ED6137" w:rsidRPr="00183F36">
        <w:t xml:space="preserve"> &lt; 0.05), providing support for hypothesis H</w:t>
      </w:r>
      <w:r w:rsidR="00373B33">
        <w:t>3</w:t>
      </w:r>
      <w:r w:rsidR="006C0ED3" w:rsidRPr="00183F36">
        <w:t>a</w:t>
      </w:r>
      <w:r w:rsidR="00ED6137" w:rsidRPr="00183F36">
        <w:t xml:space="preserve">. We plotted the interaction graphs of these results in Figure </w:t>
      </w:r>
      <w:r w:rsidR="008A33D4">
        <w:t>1</w:t>
      </w:r>
      <w:r w:rsidR="00ED6137" w:rsidRPr="00183F36">
        <w:t xml:space="preserve"> </w:t>
      </w:r>
      <w:r w:rsidR="000A1700">
        <w:t xml:space="preserve">(1-1 </w:t>
      </w:r>
      <w:r w:rsidR="00ED6137" w:rsidRPr="00183F36">
        <w:t xml:space="preserve">and </w:t>
      </w:r>
      <w:r w:rsidR="000A1700">
        <w:t>1-</w:t>
      </w:r>
      <w:r w:rsidR="008A33D4">
        <w:t>2</w:t>
      </w:r>
      <w:r w:rsidR="000A1700">
        <w:t>)</w:t>
      </w:r>
      <w:r w:rsidR="00ED6137" w:rsidRPr="00183F36">
        <w:t>. We discuss the implications of these results in the next section.</w:t>
      </w:r>
    </w:p>
    <w:p w14:paraId="1FFBD13B" w14:textId="2DA06B02" w:rsidR="001C1A16" w:rsidRPr="00183F36" w:rsidRDefault="00ED4E39" w:rsidP="001C1A16">
      <w:pPr>
        <w:pStyle w:val="NoSpacing"/>
        <w:spacing w:line="480" w:lineRule="auto"/>
        <w:jc w:val="center"/>
        <w:rPr>
          <w:rFonts w:eastAsia="Times New Roman"/>
          <w:sz w:val="24"/>
          <w:szCs w:val="24"/>
        </w:rPr>
      </w:pPr>
      <w:r w:rsidRPr="00183F36">
        <w:rPr>
          <w:rFonts w:eastAsia="Times New Roman"/>
          <w:sz w:val="24"/>
          <w:szCs w:val="24"/>
        </w:rPr>
        <w:t xml:space="preserve">--- Insert Figure </w:t>
      </w:r>
      <w:r w:rsidR="008A33D4">
        <w:rPr>
          <w:rFonts w:eastAsia="Times New Roman"/>
          <w:sz w:val="24"/>
          <w:szCs w:val="24"/>
        </w:rPr>
        <w:t>1</w:t>
      </w:r>
      <w:r w:rsidR="000A1700">
        <w:rPr>
          <w:rFonts w:eastAsia="Times New Roman"/>
          <w:sz w:val="24"/>
          <w:szCs w:val="24"/>
        </w:rPr>
        <w:t xml:space="preserve"> </w:t>
      </w:r>
      <w:r w:rsidR="001C1A16" w:rsidRPr="00183F36">
        <w:rPr>
          <w:rFonts w:eastAsia="Times New Roman"/>
          <w:sz w:val="24"/>
          <w:szCs w:val="24"/>
        </w:rPr>
        <w:t>About Here ---</w:t>
      </w:r>
    </w:p>
    <w:p w14:paraId="262173D8" w14:textId="222E425C" w:rsidR="00676FD2" w:rsidRPr="00183F36" w:rsidRDefault="00FE0D4D" w:rsidP="00CF192A">
      <w:pPr>
        <w:spacing w:line="432" w:lineRule="auto"/>
        <w:ind w:firstLine="720"/>
      </w:pPr>
      <w:r w:rsidRPr="001A54B5">
        <w:rPr>
          <w:noProof/>
        </w:rPr>
        <w:t xml:space="preserve">Focusing on the results in </w:t>
      </w:r>
      <w:r w:rsidR="000A1700" w:rsidRPr="001A54B5">
        <w:rPr>
          <w:noProof/>
        </w:rPr>
        <w:t>the right</w:t>
      </w:r>
      <w:r w:rsidR="001A54B5" w:rsidRPr="001A54B5">
        <w:rPr>
          <w:noProof/>
        </w:rPr>
        <w:t>-</w:t>
      </w:r>
      <w:r w:rsidR="000A1700" w:rsidRPr="001A54B5">
        <w:rPr>
          <w:noProof/>
        </w:rPr>
        <w:t xml:space="preserve">hand side of </w:t>
      </w:r>
      <w:r w:rsidRPr="001A54B5">
        <w:rPr>
          <w:noProof/>
        </w:rPr>
        <w:t xml:space="preserve">Table </w:t>
      </w:r>
      <w:r w:rsidR="000A1700" w:rsidRPr="001A54B5">
        <w:rPr>
          <w:noProof/>
        </w:rPr>
        <w:t>4</w:t>
      </w:r>
      <w:r w:rsidRPr="00183F36">
        <w:t xml:space="preserve">, model </w:t>
      </w:r>
      <w:r w:rsidR="000A1700">
        <w:t>P</w:t>
      </w:r>
      <w:r w:rsidRPr="00183F36">
        <w:t>M2 shows that the frequenc</w:t>
      </w:r>
      <w:r w:rsidR="006F4287" w:rsidRPr="00183F36">
        <w:t xml:space="preserve">y of </w:t>
      </w:r>
      <w:r w:rsidR="00412442">
        <w:t>near-misses</w:t>
      </w:r>
      <w:r w:rsidR="006F4287" w:rsidRPr="00183F36">
        <w:t xml:space="preserve"> (</w:t>
      </w:r>
      <w:r w:rsidR="006F4287" w:rsidRPr="00183F36">
        <w:rPr>
          <w:i/>
        </w:rPr>
        <w:t>p</w:t>
      </w:r>
      <w:r w:rsidR="006F4287" w:rsidRPr="00183F36">
        <w:t xml:space="preserve"> &lt; 0.001) is</w:t>
      </w:r>
      <w:r w:rsidRPr="00183F36">
        <w:t xml:space="preserve"> positively related to procedural response.</w:t>
      </w:r>
      <w:r w:rsidR="002E3C8E" w:rsidRPr="00183F36">
        <w:t xml:space="preserve"> </w:t>
      </w:r>
      <w:r w:rsidR="005F1DCE" w:rsidRPr="00183F36">
        <w:t xml:space="preserve">Thus, </w:t>
      </w:r>
      <w:r w:rsidR="002E3C8E" w:rsidRPr="00183F36">
        <w:t xml:space="preserve">hypothesis </w:t>
      </w:r>
      <w:r w:rsidR="00832849" w:rsidRPr="00183F36">
        <w:t>H</w:t>
      </w:r>
      <w:r w:rsidR="00373B33">
        <w:t>1b</w:t>
      </w:r>
      <w:r w:rsidR="00832849" w:rsidRPr="00183F36">
        <w:t xml:space="preserve"> </w:t>
      </w:r>
      <w:r w:rsidR="005F1DCE" w:rsidRPr="001A54B5">
        <w:rPr>
          <w:noProof/>
        </w:rPr>
        <w:t>is supported</w:t>
      </w:r>
      <w:r w:rsidR="002E3C8E" w:rsidRPr="00183F36">
        <w:t xml:space="preserve">. </w:t>
      </w:r>
      <w:r w:rsidR="00CF27A7" w:rsidRPr="00183F36">
        <w:t>We tested hypothesis H</w:t>
      </w:r>
      <w:r w:rsidR="00373B33">
        <w:t>2</w:t>
      </w:r>
      <w:r w:rsidR="00026D63" w:rsidRPr="00183F36">
        <w:t>b</w:t>
      </w:r>
      <w:r w:rsidR="00CF27A7" w:rsidRPr="00183F36">
        <w:t xml:space="preserve"> by introducing the interaction term </w:t>
      </w:r>
      <w:r w:rsidR="006F4287" w:rsidRPr="00183F36">
        <w:t>“</w:t>
      </w:r>
      <w:r w:rsidR="00CF27A7" w:rsidRPr="00183F36">
        <w:t>NM x Reg.</w:t>
      </w:r>
      <w:r w:rsidR="006F4287" w:rsidRPr="00183F36">
        <w:t xml:space="preserve"> </w:t>
      </w:r>
      <w:r w:rsidR="00CF27A7" w:rsidRPr="00183F36">
        <w:t>Pressure</w:t>
      </w:r>
      <w:r w:rsidR="006F4287" w:rsidRPr="00183F36">
        <w:t>”</w:t>
      </w:r>
      <w:r w:rsidR="00CF27A7" w:rsidRPr="00183F36">
        <w:t xml:space="preserve"> (</w:t>
      </w:r>
      <w:r w:rsidR="000A1700">
        <w:t>P</w:t>
      </w:r>
      <w:r w:rsidR="00CF27A7" w:rsidRPr="00183F36">
        <w:t>M3) in the regression equation. The results show that the interaction term is not statistically s</w:t>
      </w:r>
      <w:r w:rsidR="0085363E" w:rsidRPr="00183F36">
        <w:t>ignificant</w:t>
      </w:r>
      <w:r w:rsidR="001A54B5">
        <w:rPr>
          <w:noProof/>
        </w:rPr>
        <w:t>;</w:t>
      </w:r>
      <w:r w:rsidR="0085363E" w:rsidRPr="001A54B5">
        <w:rPr>
          <w:noProof/>
        </w:rPr>
        <w:t xml:space="preserve"> thus</w:t>
      </w:r>
      <w:r w:rsidR="0085363E" w:rsidRPr="00183F36">
        <w:t>, hypothesis H</w:t>
      </w:r>
      <w:r w:rsidR="00373B33">
        <w:t>2</w:t>
      </w:r>
      <w:r w:rsidR="0085363E" w:rsidRPr="00183F36">
        <w:t>b</w:t>
      </w:r>
      <w:r w:rsidR="00CF27A7" w:rsidRPr="00183F36">
        <w:t xml:space="preserve"> </w:t>
      </w:r>
      <w:r w:rsidR="00CF27A7" w:rsidRPr="001A54B5">
        <w:rPr>
          <w:noProof/>
        </w:rPr>
        <w:t>is not supported</w:t>
      </w:r>
      <w:r w:rsidR="00CF27A7" w:rsidRPr="00183F36">
        <w:t>. The results show that the regulatory pressure has a positive effect (</w:t>
      </w:r>
      <w:r w:rsidR="00CF27A7" w:rsidRPr="00183F36">
        <w:rPr>
          <w:i/>
        </w:rPr>
        <w:t>p</w:t>
      </w:r>
      <w:r w:rsidR="00CF27A7" w:rsidRPr="00183F36">
        <w:t xml:space="preserve"> &lt; 0.05) on </w:t>
      </w:r>
      <w:r w:rsidR="001A54B5">
        <w:t xml:space="preserve">the </w:t>
      </w:r>
      <w:r w:rsidR="00CF27A7" w:rsidRPr="001A54B5">
        <w:rPr>
          <w:noProof/>
        </w:rPr>
        <w:t>procedural</w:t>
      </w:r>
      <w:r w:rsidR="00CF27A7" w:rsidRPr="00183F36">
        <w:t xml:space="preserve"> response. </w:t>
      </w:r>
      <w:r w:rsidR="004232F1" w:rsidRPr="00183F36">
        <w:t xml:space="preserve">Finally, the </w:t>
      </w:r>
      <w:r w:rsidR="003543CF" w:rsidRPr="00183F36">
        <w:t xml:space="preserve">results in model </w:t>
      </w:r>
      <w:r w:rsidR="000A1700">
        <w:t>P</w:t>
      </w:r>
      <w:r w:rsidR="003543CF" w:rsidRPr="00183F36">
        <w:t xml:space="preserve">M5 show that </w:t>
      </w:r>
      <w:r w:rsidR="006F4287" w:rsidRPr="00183F36">
        <w:t xml:space="preserve">“NM x Ind. </w:t>
      </w:r>
      <w:r w:rsidR="003543CF" w:rsidRPr="00183F36">
        <w:t>Pressure</w:t>
      </w:r>
      <w:r w:rsidR="006F4287" w:rsidRPr="00183F36">
        <w:t>”</w:t>
      </w:r>
      <w:r w:rsidR="003543CF" w:rsidRPr="00183F36">
        <w:t xml:space="preserve"> is positive and statistically significant (</w:t>
      </w:r>
      <w:r w:rsidR="003543CF" w:rsidRPr="00183F36">
        <w:rPr>
          <w:i/>
        </w:rPr>
        <w:t>p</w:t>
      </w:r>
      <w:r w:rsidR="003543CF" w:rsidRPr="00183F36">
        <w:t xml:space="preserve"> &lt; 0.05), pro</w:t>
      </w:r>
      <w:r w:rsidR="00CF192A" w:rsidRPr="00183F36">
        <w:t>viding support for hypothesis H</w:t>
      </w:r>
      <w:r w:rsidR="00373B33">
        <w:t>3</w:t>
      </w:r>
      <w:r w:rsidR="00D4437E" w:rsidRPr="00183F36">
        <w:t>b</w:t>
      </w:r>
      <w:r w:rsidR="003543CF" w:rsidRPr="00183F36">
        <w:t xml:space="preserve">. </w:t>
      </w:r>
      <w:r w:rsidR="00832904" w:rsidRPr="00183F36">
        <w:t xml:space="preserve">We </w:t>
      </w:r>
      <w:r w:rsidR="00B56074" w:rsidRPr="00183F36">
        <w:t>plotted</w:t>
      </w:r>
      <w:r w:rsidR="00832904" w:rsidRPr="00183F36">
        <w:t xml:space="preserve"> an interaction graph </w:t>
      </w:r>
      <w:r w:rsidR="00F02CE8" w:rsidRPr="00183F36">
        <w:t xml:space="preserve">(Figure </w:t>
      </w:r>
      <w:r w:rsidR="000A1700">
        <w:t>1-3</w:t>
      </w:r>
      <w:r w:rsidR="00F02CE8" w:rsidRPr="00183F36">
        <w:t xml:space="preserve">) </w:t>
      </w:r>
      <w:r w:rsidR="00832904" w:rsidRPr="00183F36">
        <w:t xml:space="preserve">to illustrate the moderating influence of industry pressure on the relationship between </w:t>
      </w:r>
      <w:r w:rsidR="00412442">
        <w:t>near-misses</w:t>
      </w:r>
      <w:r w:rsidR="00832904" w:rsidRPr="00183F36">
        <w:t xml:space="preserve"> and procedural response. </w:t>
      </w:r>
    </w:p>
    <w:p w14:paraId="66BA8091" w14:textId="691B2D24" w:rsidR="008A33D4" w:rsidRPr="00183F36" w:rsidRDefault="00997094" w:rsidP="004C6DEC">
      <w:pPr>
        <w:pStyle w:val="NoSpacing"/>
        <w:spacing w:line="480" w:lineRule="auto"/>
        <w:jc w:val="center"/>
      </w:pPr>
      <w:r w:rsidRPr="00183F36">
        <w:rPr>
          <w:rFonts w:eastAsia="Times New Roman"/>
          <w:sz w:val="24"/>
          <w:szCs w:val="24"/>
        </w:rPr>
        <w:t>--- Insert Tables 4 About Here ---</w:t>
      </w:r>
    </w:p>
    <w:p w14:paraId="6CF19D87" w14:textId="77777777" w:rsidR="00AB1C22" w:rsidRPr="00183F36" w:rsidRDefault="00AB1C22" w:rsidP="00AB1C22">
      <w:pPr>
        <w:rPr>
          <w:b/>
        </w:rPr>
      </w:pPr>
      <w:r w:rsidRPr="00183F36">
        <w:rPr>
          <w:b/>
        </w:rPr>
        <w:t>Discussion</w:t>
      </w:r>
    </w:p>
    <w:p w14:paraId="3F237F97" w14:textId="77777777" w:rsidR="00274524" w:rsidRPr="00183F36" w:rsidRDefault="00274524" w:rsidP="003C515F"/>
    <w:p w14:paraId="1C33C661" w14:textId="3B9B77A7" w:rsidR="005919A2" w:rsidRPr="00183F36" w:rsidRDefault="000A1700" w:rsidP="00735793">
      <w:pPr>
        <w:spacing w:line="480" w:lineRule="auto"/>
        <w:ind w:firstLine="720"/>
      </w:pPr>
      <w:r>
        <w:t xml:space="preserve">Our research question in this study investigates whether </w:t>
      </w:r>
      <w:r w:rsidRPr="00183F36">
        <w:t xml:space="preserve">exposure to </w:t>
      </w:r>
      <w:r>
        <w:t>near-misses</w:t>
      </w:r>
      <w:r w:rsidRPr="00183F36">
        <w:t xml:space="preserve"> </w:t>
      </w:r>
      <w:r w:rsidRPr="001A54B5">
        <w:rPr>
          <w:noProof/>
        </w:rPr>
        <w:t>reflect</w:t>
      </w:r>
      <w:r w:rsidR="001A54B5">
        <w:rPr>
          <w:noProof/>
        </w:rPr>
        <w:t>s</w:t>
      </w:r>
      <w:r w:rsidRPr="00183F36">
        <w:t xml:space="preserve"> in </w:t>
      </w:r>
      <w:r>
        <w:t>organizational</w:t>
      </w:r>
      <w:r w:rsidRPr="00183F36">
        <w:t xml:space="preserve"> response strategies</w:t>
      </w:r>
      <w:r>
        <w:t xml:space="preserve"> to</w:t>
      </w:r>
      <w:r w:rsidR="00465F24">
        <w:t xml:space="preserve"> supply chain </w:t>
      </w:r>
      <w:r>
        <w:t xml:space="preserve">disruptions. </w:t>
      </w:r>
      <w:r w:rsidR="00AB1C22" w:rsidRPr="00183F36">
        <w:t xml:space="preserve">Our results </w:t>
      </w:r>
      <w:r w:rsidR="008B2297">
        <w:t>offer empirical evidence worthy of note</w:t>
      </w:r>
      <w:r>
        <w:t xml:space="preserve">. </w:t>
      </w:r>
      <w:r w:rsidR="005C4F15" w:rsidRPr="00183F36">
        <w:t xml:space="preserve">As </w:t>
      </w:r>
      <w:r w:rsidR="00374DDA">
        <w:t>hypothesized</w:t>
      </w:r>
      <w:r w:rsidR="005C4F15" w:rsidRPr="00183F36">
        <w:t xml:space="preserve">, </w:t>
      </w:r>
      <w:r w:rsidR="00823428" w:rsidRPr="00183F36">
        <w:t xml:space="preserve">exposure to </w:t>
      </w:r>
      <w:r w:rsidR="00412442">
        <w:t>near-misses</w:t>
      </w:r>
      <w:r w:rsidR="00AB1C22" w:rsidRPr="00183F36">
        <w:t xml:space="preserve"> </w:t>
      </w:r>
      <w:r w:rsidR="00E62398" w:rsidRPr="001A54B5">
        <w:rPr>
          <w:noProof/>
        </w:rPr>
        <w:t xml:space="preserve">is </w:t>
      </w:r>
      <w:r w:rsidR="005C4F15" w:rsidRPr="001A54B5">
        <w:rPr>
          <w:noProof/>
        </w:rPr>
        <w:t>associated</w:t>
      </w:r>
      <w:r w:rsidR="005C4F15" w:rsidRPr="00183F36">
        <w:t xml:space="preserve"> with a</w:t>
      </w:r>
      <w:r w:rsidR="008B2297">
        <w:t xml:space="preserve"> rise i</w:t>
      </w:r>
      <w:r w:rsidR="00E62398" w:rsidRPr="00183F36">
        <w:t>n procedural</w:t>
      </w:r>
      <w:r w:rsidR="005C4F15" w:rsidRPr="00183F36">
        <w:t xml:space="preserve"> </w:t>
      </w:r>
      <w:r w:rsidR="00E62398" w:rsidRPr="00183F36">
        <w:t xml:space="preserve">response </w:t>
      </w:r>
      <w:r w:rsidR="005C4F15" w:rsidRPr="00183F36">
        <w:t>strategies</w:t>
      </w:r>
      <w:r w:rsidR="00823428" w:rsidRPr="00183F36">
        <w:t xml:space="preserve">. </w:t>
      </w:r>
      <w:r w:rsidR="005919A2" w:rsidRPr="001A54B5">
        <w:rPr>
          <w:noProof/>
        </w:rPr>
        <w:t>This</w:t>
      </w:r>
      <w:r w:rsidR="005919A2" w:rsidRPr="00183F36">
        <w:t xml:space="preserve"> is an interesting finding, considering th</w:t>
      </w:r>
      <w:r w:rsidR="0033028A" w:rsidRPr="00183F36">
        <w:t xml:space="preserve">at (as explored earlier </w:t>
      </w:r>
      <w:r w:rsidR="00412442">
        <w:t xml:space="preserve">in </w:t>
      </w:r>
      <w:r w:rsidR="0033028A" w:rsidRPr="00183F36">
        <w:t>the paper)</w:t>
      </w:r>
      <w:r w:rsidR="005919A2" w:rsidRPr="00183F36">
        <w:t xml:space="preserve"> strong factors challenge the reporting and institutionalization of lessons learned from </w:t>
      </w:r>
      <w:r w:rsidR="00412442">
        <w:t>near-misses</w:t>
      </w:r>
      <w:r w:rsidR="0033028A" w:rsidRPr="00183F36">
        <w:t xml:space="preserve">. </w:t>
      </w:r>
      <w:r w:rsidR="00B937B6" w:rsidRPr="00183F36">
        <w:t>It</w:t>
      </w:r>
      <w:r w:rsidR="00810B62" w:rsidRPr="00183F36">
        <w:t xml:space="preserve"> is encouraging </w:t>
      </w:r>
      <w:r w:rsidR="00A97A0A">
        <w:t>to see that</w:t>
      </w:r>
      <w:r w:rsidR="0033028A" w:rsidRPr="00183F36">
        <w:t xml:space="preserve"> in general, </w:t>
      </w:r>
      <w:r w:rsidR="00EF2C12" w:rsidRPr="00183F36">
        <w:t>firms</w:t>
      </w:r>
      <w:r w:rsidR="0033028A" w:rsidRPr="00183F36">
        <w:t xml:space="preserve"> </w:t>
      </w:r>
      <w:r w:rsidR="00EF2C12" w:rsidRPr="00183F36">
        <w:t xml:space="preserve">are able to digest this information and </w:t>
      </w:r>
      <w:r w:rsidR="008801C1">
        <w:t xml:space="preserve">develop </w:t>
      </w:r>
      <w:r w:rsidR="00EF2C12" w:rsidRPr="00183F36">
        <w:t xml:space="preserve">proactive risk mitigation processes. </w:t>
      </w:r>
      <w:r w:rsidR="00DA7A44" w:rsidRPr="00183F36">
        <w:t xml:space="preserve">This finding </w:t>
      </w:r>
      <w:r w:rsidR="00A35950">
        <w:t xml:space="preserve">is in contrast to studies in neuroscience  </w:t>
      </w:r>
      <w:r w:rsidR="00083157">
        <w:fldChar w:fldCharType="begin"/>
      </w:r>
      <w:r w:rsidR="00083157">
        <w:instrText xml:space="preserve"> ADDIN EN.CITE &lt;EndNote&gt;&lt;Cite&gt;&lt;Author&gt;Clark&lt;/Author&gt;&lt;Year&gt;2009&lt;/Year&gt;&lt;RecNum&gt;1415&lt;/RecNum&gt;&lt;DisplayText&gt;(Clark et al., 2009)&lt;/DisplayText&gt;&lt;record&gt;&lt;rec-number&gt;1415&lt;/rec-number&gt;&lt;foreign-keys&gt;&lt;key app="EN" db-id="0w05zrd59zdxwmexsxlxa0purxdzd2svavae" timestamp="1550932559"&gt;1415&lt;/key&gt;&lt;/foreign-keys&gt;&lt;ref-type name="Journal Article"&gt;17&lt;/ref-type&gt;&lt;contributors&gt;&lt;authors&gt;&lt;author&gt;Clark, Luke&lt;/author&gt;&lt;author&gt;Lawrence, Andrew J&lt;/author&gt;&lt;author&gt;Astley-Jones, Frances&lt;/author&gt;&lt;author&gt;Gray, Nicola&lt;/author&gt;&lt;/authors&gt;&lt;/contributors&gt;&lt;titles&gt;&lt;title&gt;Gambling near-misses enhance motivation to gamble and recruit win-related brain circuitry&lt;/title&gt;&lt;secondary-title&gt;Neuron&lt;/secondary-title&gt;&lt;/titles&gt;&lt;periodical&gt;&lt;full-title&gt;Neuron&lt;/full-title&gt;&lt;/periodical&gt;&lt;pages&gt;481-490&lt;/pages&gt;&lt;volume&gt;61&lt;/volume&gt;&lt;number&gt;3&lt;/number&gt;&lt;dates&gt;&lt;year&gt;2009&lt;/year&gt;&lt;/dates&gt;&lt;isbn&gt;0896-6273&lt;/isbn&gt;&lt;urls&gt;&lt;/urls&gt;&lt;/record&gt;&lt;/Cite&gt;&lt;/EndNote&gt;</w:instrText>
      </w:r>
      <w:r w:rsidR="00083157">
        <w:fldChar w:fldCharType="separate"/>
      </w:r>
      <w:r w:rsidR="00083157">
        <w:rPr>
          <w:noProof/>
        </w:rPr>
        <w:t>(</w:t>
      </w:r>
      <w:hyperlink w:anchor="_ENREF_18" w:tooltip="Clark, 2009 #1415" w:history="1">
        <w:r w:rsidR="00083157" w:rsidRPr="004C6DEC">
          <w:rPr>
            <w:rStyle w:val="Hyperlink"/>
            <w:noProof/>
          </w:rPr>
          <w:t>Clark et al., 2009</w:t>
        </w:r>
      </w:hyperlink>
      <w:r w:rsidR="00083157">
        <w:rPr>
          <w:noProof/>
        </w:rPr>
        <w:t>)</w:t>
      </w:r>
      <w:r w:rsidR="00083157">
        <w:fldChar w:fldCharType="end"/>
      </w:r>
      <w:r w:rsidR="00083157" w:rsidRPr="00083157">
        <w:t xml:space="preserve"> </w:t>
      </w:r>
      <w:r w:rsidR="00A35950">
        <w:t xml:space="preserve">and management research </w:t>
      </w:r>
      <w:r w:rsidR="00083157">
        <w:fldChar w:fldCharType="begin"/>
      </w:r>
      <w:r w:rsidR="00083157">
        <w:instrText xml:space="preserve"> ADDIN EN.CITE &lt;EndNote&gt;&lt;Cite&gt;&lt;Author&gt;Dillon&lt;/Author&gt;&lt;Year&gt;2008&lt;/Year&gt;&lt;RecNum&gt;1009&lt;/RecNum&gt;&lt;DisplayText&gt;(Dillon and Tinsley, 2008)&lt;/DisplayText&gt;&lt;record&gt;&lt;rec-number&gt;1009&lt;/rec-number&gt;&lt;foreign-keys&gt;&lt;key app="EN" db-id="0w05zrd59zdxwmexsxlxa0purxdzd2svavae" timestamp="0"&gt;1009&lt;/key&gt;&lt;/foreign-keys&gt;&lt;ref-type name="Journal Article"&gt;17&lt;/ref-type&gt;&lt;contributors&gt;&lt;authors&gt;&lt;author&gt;Dillon, Robin L.&lt;/author&gt;&lt;author&gt;Tinsley, Catherine H.&lt;/author&gt;&lt;/authors&gt;&lt;/contributors&gt;&lt;titles&gt;&lt;title&gt;How near-misses influence decision making under risk: A missed opportunity for learning&lt;/title&gt;&lt;secondary-title&gt;Management Science&lt;/secondary-title&gt;&lt;/titles&gt;&lt;pages&gt;1425-1440&lt;/pages&gt;&lt;volume&gt;54&lt;/volume&gt;&lt;number&gt;8&lt;/number&gt;&lt;dates&gt;&lt;year&gt;2008&lt;/year&gt;&lt;pub-dates&gt;&lt;date&gt;2008/08&lt;/date&gt;&lt;/pub-dates&gt;&lt;/dates&gt;&lt;publisher&gt;Institute for Operations Research and the Management Sciences (INFORMS)&lt;/publisher&gt;&lt;isbn&gt;0025-1909&lt;/isbn&gt;&lt;urls&gt;&lt;/urls&gt;&lt;electronic-resource-num&gt;10.1287/mnsc.1080.0869&lt;/electronic-resource-num&gt;&lt;/record&gt;&lt;/Cite&gt;&lt;/EndNote&gt;</w:instrText>
      </w:r>
      <w:r w:rsidR="00083157">
        <w:fldChar w:fldCharType="separate"/>
      </w:r>
      <w:r w:rsidR="00083157">
        <w:rPr>
          <w:noProof/>
        </w:rPr>
        <w:t>(</w:t>
      </w:r>
      <w:hyperlink w:anchor="_ENREF_29" w:tooltip="Dillon, 2008 #1009" w:history="1">
        <w:r w:rsidR="00083157" w:rsidRPr="004C6DEC">
          <w:rPr>
            <w:rStyle w:val="Hyperlink"/>
            <w:noProof/>
          </w:rPr>
          <w:t>Dillon and Tinsley, 2008</w:t>
        </w:r>
      </w:hyperlink>
      <w:r w:rsidR="00083157">
        <w:rPr>
          <w:noProof/>
        </w:rPr>
        <w:t>)</w:t>
      </w:r>
      <w:r w:rsidR="00083157">
        <w:fldChar w:fldCharType="end"/>
      </w:r>
      <w:r w:rsidR="00083157" w:rsidRPr="00083157">
        <w:t xml:space="preserve"> </w:t>
      </w:r>
      <w:r w:rsidR="00A35950">
        <w:t xml:space="preserve">that </w:t>
      </w:r>
      <w:r w:rsidR="005436BC" w:rsidRPr="00183F36">
        <w:t>find that</w:t>
      </w:r>
      <w:r w:rsidR="005919A2" w:rsidRPr="00183F36">
        <w:t xml:space="preserve"> following </w:t>
      </w:r>
      <w:r w:rsidR="00257F56">
        <w:t>near-miss</w:t>
      </w:r>
      <w:r w:rsidR="00D94CAC">
        <w:t xml:space="preserve"> events</w:t>
      </w:r>
      <w:r w:rsidR="005919A2" w:rsidRPr="00183F36">
        <w:t xml:space="preserve">, </w:t>
      </w:r>
      <w:r w:rsidR="00A35950">
        <w:t>individuals/</w:t>
      </w:r>
      <w:r w:rsidR="005919A2" w:rsidRPr="00183F36">
        <w:t xml:space="preserve">managers </w:t>
      </w:r>
      <w:r w:rsidR="00D94CAC">
        <w:t xml:space="preserve">tend to </w:t>
      </w:r>
      <w:r w:rsidR="005919A2" w:rsidRPr="00183F36">
        <w:t>lower their perceived risk level</w:t>
      </w:r>
      <w:r w:rsidR="00A35950">
        <w:t xml:space="preserve"> and </w:t>
      </w:r>
      <w:r w:rsidR="00A35950">
        <w:lastRenderedPageBreak/>
        <w:t>raise the desire to take risks</w:t>
      </w:r>
      <w:r w:rsidR="001E03F5" w:rsidRPr="00183F36">
        <w:t xml:space="preserve">. </w:t>
      </w:r>
      <w:r w:rsidR="00A35950" w:rsidRPr="00183F36">
        <w:t>The</w:t>
      </w:r>
      <w:r w:rsidR="00A35950">
        <w:t xml:space="preserve">se </w:t>
      </w:r>
      <w:r w:rsidR="005919A2" w:rsidRPr="00183F36">
        <w:t xml:space="preserve">findings suggest that managers may </w:t>
      </w:r>
      <w:r w:rsidR="00DA7A44" w:rsidRPr="00183F36">
        <w:t>pursue riskier alternative</w:t>
      </w:r>
      <w:r w:rsidR="005919A2" w:rsidRPr="00183F36">
        <w:t xml:space="preserve">s, as a result of exposure to </w:t>
      </w:r>
      <w:r w:rsidR="00257F56">
        <w:t>near-miss</w:t>
      </w:r>
      <w:r w:rsidR="005919A2" w:rsidRPr="00183F36">
        <w:t xml:space="preserve">es. In </w:t>
      </w:r>
      <w:r w:rsidR="00E46696" w:rsidRPr="00183F36">
        <w:t>our</w:t>
      </w:r>
      <w:r w:rsidR="005919A2" w:rsidRPr="00183F36">
        <w:t xml:space="preserve"> study, conducted at the organizational level, the results suggest that exposure to </w:t>
      </w:r>
      <w:r w:rsidR="00257F56">
        <w:t>near-miss</w:t>
      </w:r>
      <w:r w:rsidR="005919A2" w:rsidRPr="00183F36">
        <w:t xml:space="preserve">es leads to more procedural and systematized approaches to how disasters </w:t>
      </w:r>
      <w:r w:rsidR="005919A2" w:rsidRPr="001A54B5">
        <w:rPr>
          <w:noProof/>
        </w:rPr>
        <w:t>are handled</w:t>
      </w:r>
      <w:r w:rsidR="005919A2" w:rsidRPr="00183F36">
        <w:t xml:space="preserve">. In other words, at the organizational level, exposure to </w:t>
      </w:r>
      <w:r w:rsidR="00257F56">
        <w:t>near-miss</w:t>
      </w:r>
      <w:r w:rsidR="005919A2" w:rsidRPr="00183F36">
        <w:t xml:space="preserve">es </w:t>
      </w:r>
      <w:r w:rsidR="00735793">
        <w:t>may limit the propensity to choose riskier propositions. Given that organizational decisions are likely to involve discussions and resolutions to differing opinions</w:t>
      </w:r>
      <w:r w:rsidR="00735793" w:rsidRPr="00735793">
        <w:t xml:space="preserve"> </w:t>
      </w:r>
      <w:r w:rsidR="006135EF">
        <w:fldChar w:fldCharType="begin"/>
      </w:r>
      <w:r w:rsidR="006135EF">
        <w:instrText xml:space="preserve"> ADDIN EN.CITE &lt;EndNote&gt;&lt;Cite&gt;&lt;Author&gt;Cyert&lt;/Author&gt;&lt;Year&gt;1963&lt;/Year&gt;&lt;RecNum&gt;1416&lt;/RecNum&gt;&lt;DisplayText&gt;(Cyert and March, 1963)&lt;/DisplayText&gt;&lt;record&gt;&lt;rec-number&gt;1416&lt;/rec-number&gt;&lt;foreign-keys&gt;&lt;key app="EN" db-id="0w05zrd59zdxwmexsxlxa0purxdzd2svavae" timestamp="1550932641"&gt;1416&lt;/key&gt;&lt;/foreign-keys&gt;&lt;ref-type name="Journal Article"&gt;17&lt;/ref-type&gt;&lt;contributors&gt;&lt;authors&gt;&lt;author&gt;Cyert, Richard M&lt;/author&gt;&lt;author&gt;March, James G&lt;/author&gt;&lt;/authors&gt;&lt;/contributors&gt;&lt;titles&gt;&lt;title&gt;A behavioral theory of the firm&lt;/title&gt;&lt;secondary-title&gt;Englewood Cliffs, NJ&lt;/secondary-title&gt;&lt;/titles&gt;&lt;periodical&gt;&lt;full-title&gt;Englewood Cliffs, NJ&lt;/full-title&gt;&lt;/periodical&gt;&lt;pages&gt;169-187&lt;/pages&gt;&lt;volume&gt;2&lt;/volume&gt;&lt;number&gt;4&lt;/number&gt;&lt;dates&gt;&lt;year&gt;1963&lt;/year&gt;&lt;/dates&gt;&lt;urls&gt;&lt;/urls&gt;&lt;/record&gt;&lt;/Cite&gt;&lt;/EndNote&gt;</w:instrText>
      </w:r>
      <w:r w:rsidR="006135EF">
        <w:fldChar w:fldCharType="separate"/>
      </w:r>
      <w:r w:rsidR="006135EF">
        <w:rPr>
          <w:noProof/>
        </w:rPr>
        <w:t>(</w:t>
      </w:r>
      <w:hyperlink w:anchor="_ENREF_24" w:tooltip="Cyert, 1963 #1416" w:history="1">
        <w:r w:rsidR="006135EF" w:rsidRPr="004C6DEC">
          <w:rPr>
            <w:rStyle w:val="Hyperlink"/>
            <w:noProof/>
          </w:rPr>
          <w:t>Cyert and March, 1963</w:t>
        </w:r>
      </w:hyperlink>
      <w:r w:rsidR="006135EF">
        <w:rPr>
          <w:noProof/>
        </w:rPr>
        <w:t>)</w:t>
      </w:r>
      <w:r w:rsidR="006135EF">
        <w:fldChar w:fldCharType="end"/>
      </w:r>
      <w:r w:rsidR="006135EF">
        <w:t xml:space="preserve">, </w:t>
      </w:r>
      <w:r w:rsidR="00735793">
        <w:t xml:space="preserve">exposing and studying near-misses leads firms to take on more cautious, and procedural approach to potential supply chain disruptions. </w:t>
      </w:r>
    </w:p>
    <w:p w14:paraId="77D854E5" w14:textId="5A71DFCB" w:rsidR="001E2ECC" w:rsidRPr="00183F36" w:rsidRDefault="00810B62" w:rsidP="006D1A7C">
      <w:pPr>
        <w:spacing w:line="480" w:lineRule="auto"/>
        <w:ind w:firstLine="720"/>
      </w:pPr>
      <w:r w:rsidRPr="008B2297">
        <w:t xml:space="preserve">Second, </w:t>
      </w:r>
      <w:r w:rsidR="00EF2C12" w:rsidRPr="008B2297">
        <w:t xml:space="preserve">and </w:t>
      </w:r>
      <w:r w:rsidRPr="008B2297">
        <w:t xml:space="preserve">interestingly </w:t>
      </w:r>
      <w:r w:rsidR="004A164B" w:rsidRPr="008B2297">
        <w:t>different from our theoretical arguments</w:t>
      </w:r>
      <w:r w:rsidR="00EF2C12" w:rsidRPr="008B2297">
        <w:t xml:space="preserve">, </w:t>
      </w:r>
      <w:r w:rsidR="004A164B" w:rsidRPr="008B2297">
        <w:t xml:space="preserve">results suggest that with increased </w:t>
      </w:r>
      <w:r w:rsidR="005C4F15" w:rsidRPr="008B2297">
        <w:t xml:space="preserve">exposure </w:t>
      </w:r>
      <w:r w:rsidR="004A164B" w:rsidRPr="008B2297">
        <w:t>to</w:t>
      </w:r>
      <w:r w:rsidR="005C4F15" w:rsidRPr="008B2297">
        <w:t xml:space="preserve"> </w:t>
      </w:r>
      <w:r w:rsidR="00412442" w:rsidRPr="008B2297">
        <w:t>near-misses</w:t>
      </w:r>
      <w:r w:rsidR="004A164B" w:rsidRPr="008B2297">
        <w:t xml:space="preserve">, companies lower their application of </w:t>
      </w:r>
      <w:r w:rsidR="00EF2C12" w:rsidRPr="008B2297">
        <w:t xml:space="preserve">flexible </w:t>
      </w:r>
      <w:r w:rsidR="00096622" w:rsidRPr="008B2297">
        <w:t>response strategy</w:t>
      </w:r>
      <w:r w:rsidR="00EF2C12" w:rsidRPr="008B2297">
        <w:t>.</w:t>
      </w:r>
      <w:r w:rsidR="00186FC2" w:rsidRPr="008B2297">
        <w:t xml:space="preserve"> </w:t>
      </w:r>
      <w:r w:rsidR="002400B9">
        <w:t>I</w:t>
      </w:r>
      <w:r w:rsidR="004A164B" w:rsidRPr="008B2297">
        <w:t xml:space="preserve">n many </w:t>
      </w:r>
      <w:r w:rsidR="004A164B" w:rsidRPr="001A54B5">
        <w:rPr>
          <w:noProof/>
        </w:rPr>
        <w:t>cases</w:t>
      </w:r>
      <w:r w:rsidR="001A54B5">
        <w:rPr>
          <w:noProof/>
        </w:rPr>
        <w:t>,</w:t>
      </w:r>
      <w:r w:rsidR="004A164B" w:rsidRPr="008B2297">
        <w:t xml:space="preserve"> </w:t>
      </w:r>
      <w:r w:rsidR="00257F56" w:rsidRPr="008B2297">
        <w:t>near-miss</w:t>
      </w:r>
      <w:r w:rsidR="001E2ECC" w:rsidRPr="008B2297">
        <w:t xml:space="preserve">es are likely to be recognized and addressed </w:t>
      </w:r>
      <w:r w:rsidR="0033028A" w:rsidRPr="008B2297">
        <w:t xml:space="preserve">by those in the immediacy of the issue; </w:t>
      </w:r>
      <w:r w:rsidR="001E2ECC" w:rsidRPr="008B2297">
        <w:t xml:space="preserve">at the </w:t>
      </w:r>
      <w:r w:rsidR="004A164B" w:rsidRPr="008B2297">
        <w:t>departmental levels.</w:t>
      </w:r>
      <w:r w:rsidR="004A164B" w:rsidRPr="00183F36">
        <w:t xml:space="preserve"> As we explained in earlier sections, one would expect a rise in </w:t>
      </w:r>
      <w:r w:rsidR="002B1DA8" w:rsidRPr="001A54B5">
        <w:rPr>
          <w:noProof/>
        </w:rPr>
        <w:t>personnel</w:t>
      </w:r>
      <w:r w:rsidR="002B1DA8" w:rsidRPr="00183F36">
        <w:t xml:space="preserve"> awareness, which is likely to result in </w:t>
      </w:r>
      <w:r w:rsidR="001E2ECC" w:rsidRPr="00183F36">
        <w:t xml:space="preserve">ad-hoc and </w:t>
      </w:r>
      <w:r w:rsidR="004A164B" w:rsidRPr="00183F36">
        <w:t xml:space="preserve">localized solutions to rise </w:t>
      </w:r>
      <w:r w:rsidR="002B1DA8" w:rsidRPr="00183F36">
        <w:t xml:space="preserve">when facing similar </w:t>
      </w:r>
      <w:r w:rsidR="004A164B" w:rsidRPr="00183F36">
        <w:t>circumstances</w:t>
      </w:r>
      <w:r w:rsidR="001E2ECC" w:rsidRPr="00183F36">
        <w:t xml:space="preserve">. </w:t>
      </w:r>
      <w:r w:rsidR="00C806E9" w:rsidRPr="00183F36">
        <w:t xml:space="preserve">Indeed, studies related to hospital operations explore how </w:t>
      </w:r>
      <w:r w:rsidR="00257F56">
        <w:t>near-miss</w:t>
      </w:r>
      <w:r w:rsidR="002202AA" w:rsidRPr="00183F36">
        <w:t>,</w:t>
      </w:r>
      <w:r w:rsidR="00C806E9" w:rsidRPr="00183F36">
        <w:t xml:space="preserve"> and small disruptions </w:t>
      </w:r>
      <w:r w:rsidR="00C806E9" w:rsidRPr="001A54B5">
        <w:rPr>
          <w:noProof/>
        </w:rPr>
        <w:t>are more often addressed</w:t>
      </w:r>
      <w:r w:rsidR="00C806E9" w:rsidRPr="00183F36">
        <w:t xml:space="preserve"> at the local </w:t>
      </w:r>
      <w:r w:rsidR="006135EF">
        <w:t xml:space="preserve">level </w:t>
      </w:r>
      <w:r w:rsidR="006135EF">
        <w:fldChar w:fldCharType="begin"/>
      </w:r>
      <w:r w:rsidR="006135EF">
        <w:instrText xml:space="preserve"> ADDIN EN.CITE &lt;EndNote&gt;&lt;Cite&gt;&lt;Author&gt;Tucker&lt;/Author&gt;&lt;Year&gt;2002&lt;/Year&gt;&lt;RecNum&gt;858&lt;/RecNum&gt;&lt;DisplayText&gt;(Tucker and Edmondson, 2002)&lt;/DisplayText&gt;&lt;record&gt;&lt;rec-number&gt;858&lt;/rec-number&gt;&lt;foreign-keys&gt;&lt;key app="EN" db-id="0w05zrd59zdxwmexsxlxa0purxdzd2svavae" timestamp="0"&gt;858&lt;/key&gt;&lt;/foreign-keys&gt;&lt;ref-type name="Book Section"&gt;5&lt;/ref-type&gt;&lt;contributors&gt;&lt;authors&gt;&lt;author&gt;Anita L. Tucker&lt;/author&gt;&lt;author&gt;Amy C. Edmondson&lt;/author&gt;&lt;/authors&gt;&lt;secondary-authors&gt;&lt;author&gt;Leonard H. Friedman&lt;/author&gt;&lt;author&gt;Jim Goes&lt;/author&gt;&lt;author&gt;Grant T. Savage&lt;/author&gt;&lt;/secondary-authors&gt;&lt;/contributors&gt;&lt;titles&gt;&lt;title&gt;Managing routine exceptions: A model of nurse problem solving behavior&lt;/title&gt;&lt;secondary-title&gt;Advances in Health Care Management &lt;/secondary-title&gt;&lt;/titles&gt;&lt;pages&gt;87-113&lt;/pages&gt;&lt;volume&gt;3&lt;/volume&gt;&lt;dates&gt;&lt;year&gt;2002&lt;/year&gt;&lt;/dates&gt;&lt;pub-location&gt;West Yorkshire, UK&lt;/pub-location&gt;&lt;publisher&gt;Emerald Group Publishing Limited&lt;/publisher&gt;&lt;urls&gt;&lt;/urls&gt;&lt;/record&gt;&lt;/Cite&gt;&lt;/EndNote&gt;</w:instrText>
      </w:r>
      <w:r w:rsidR="006135EF">
        <w:fldChar w:fldCharType="separate"/>
      </w:r>
      <w:r w:rsidR="006135EF">
        <w:rPr>
          <w:noProof/>
        </w:rPr>
        <w:t>(</w:t>
      </w:r>
      <w:hyperlink w:anchor="_ENREF_96" w:tooltip="Tucker, 2002 #858" w:history="1">
        <w:r w:rsidR="006135EF" w:rsidRPr="004C6DEC">
          <w:rPr>
            <w:rStyle w:val="Hyperlink"/>
            <w:noProof/>
          </w:rPr>
          <w:t>Tucker and Edmondson, 2002</w:t>
        </w:r>
      </w:hyperlink>
      <w:r w:rsidR="006135EF">
        <w:rPr>
          <w:noProof/>
        </w:rPr>
        <w:t>)</w:t>
      </w:r>
      <w:r w:rsidR="006135EF">
        <w:fldChar w:fldCharType="end"/>
      </w:r>
      <w:r w:rsidR="006D1A7C">
        <w:t xml:space="preserve">. </w:t>
      </w:r>
      <w:r w:rsidR="001E2ECC" w:rsidRPr="00183F36">
        <w:t xml:space="preserve">The fact that </w:t>
      </w:r>
      <w:r w:rsidR="004D7029" w:rsidRPr="00183F36">
        <w:t xml:space="preserve">exposure to </w:t>
      </w:r>
      <w:r w:rsidR="00257F56">
        <w:t>near-miss</w:t>
      </w:r>
      <w:r w:rsidR="001E2ECC" w:rsidRPr="00183F36">
        <w:t xml:space="preserve">es is </w:t>
      </w:r>
      <w:r w:rsidR="004A164B" w:rsidRPr="00183F36">
        <w:t xml:space="preserve">significantly </w:t>
      </w:r>
      <w:r w:rsidR="001E2ECC" w:rsidRPr="00183F36">
        <w:t xml:space="preserve">related to </w:t>
      </w:r>
      <w:r w:rsidR="004D7029" w:rsidRPr="00183F36">
        <w:t xml:space="preserve">lower </w:t>
      </w:r>
      <w:r w:rsidR="0033028A" w:rsidRPr="00183F36">
        <w:t xml:space="preserve">flexible response </w:t>
      </w:r>
      <w:r w:rsidR="004A164B" w:rsidRPr="00183F36">
        <w:t>strategy</w:t>
      </w:r>
      <w:r w:rsidR="001E2ECC" w:rsidRPr="00183F36">
        <w:t xml:space="preserve"> suggests </w:t>
      </w:r>
      <w:r w:rsidR="004A164B" w:rsidRPr="00183F36">
        <w:t>that, as related to</w:t>
      </w:r>
      <w:r w:rsidR="00465F24">
        <w:t xml:space="preserve"> supply chain </w:t>
      </w:r>
      <w:r w:rsidR="004A164B" w:rsidRPr="00183F36">
        <w:t xml:space="preserve">disruptions, firms </w:t>
      </w:r>
      <w:r w:rsidR="000538DF" w:rsidRPr="00183F36">
        <w:t>tend to</w:t>
      </w:r>
      <w:r w:rsidR="002B1DA8" w:rsidRPr="00183F36">
        <w:t xml:space="preserve"> shy away from </w:t>
      </w:r>
      <w:r w:rsidR="0033028A" w:rsidRPr="00183F36">
        <w:t xml:space="preserve">emphasizing </w:t>
      </w:r>
      <w:r w:rsidR="004A164B" w:rsidRPr="00183F36">
        <w:t>localized</w:t>
      </w:r>
      <w:r w:rsidR="002B1DA8" w:rsidRPr="00183F36">
        <w:t xml:space="preserve"> and emergent</w:t>
      </w:r>
      <w:r w:rsidR="004A164B" w:rsidRPr="00183F36">
        <w:t xml:space="preserve"> resolution</w:t>
      </w:r>
      <w:r w:rsidR="002B1DA8" w:rsidRPr="00183F36">
        <w:t>s</w:t>
      </w:r>
      <w:r w:rsidR="004A164B" w:rsidRPr="00183F36">
        <w:t xml:space="preserve"> of </w:t>
      </w:r>
      <w:r w:rsidR="0033028A" w:rsidRPr="00183F36">
        <w:t>such</w:t>
      </w:r>
      <w:r w:rsidR="002B1DA8" w:rsidRPr="00183F36">
        <w:t xml:space="preserve"> </w:t>
      </w:r>
      <w:r w:rsidR="004A164B" w:rsidRPr="00183F36">
        <w:t>issues</w:t>
      </w:r>
      <w:r w:rsidR="001E2ECC" w:rsidRPr="00183F36">
        <w:t xml:space="preserve">. </w:t>
      </w:r>
    </w:p>
    <w:p w14:paraId="6B240942" w14:textId="3DAA43DE" w:rsidR="00810B62" w:rsidRPr="00183F36" w:rsidRDefault="002B1DA8" w:rsidP="00186FC2">
      <w:pPr>
        <w:spacing w:line="480" w:lineRule="auto"/>
        <w:ind w:firstLine="720"/>
      </w:pPr>
      <w:r w:rsidRPr="00183F36">
        <w:rPr>
          <w:rFonts w:hint="eastAsia"/>
        </w:rPr>
        <w:t xml:space="preserve">From an </w:t>
      </w:r>
      <w:r w:rsidRPr="00183F36">
        <w:t>organizational</w:t>
      </w:r>
      <w:r w:rsidRPr="00183F36">
        <w:rPr>
          <w:rFonts w:hint="eastAsia"/>
        </w:rPr>
        <w:t xml:space="preserve"> learning perspective,</w:t>
      </w:r>
      <w:r w:rsidRPr="00183F36">
        <w:t xml:space="preserve"> the collection of insights from this study regarding flexible and procedural response strategies can seem </w:t>
      </w:r>
      <w:r w:rsidR="00E46696" w:rsidRPr="00183F36">
        <w:t>interestingly</w:t>
      </w:r>
      <w:r w:rsidRPr="00183F36">
        <w:t xml:space="preserve"> paradoxical. Organizational learning theory often suggests that </w:t>
      </w:r>
      <w:r w:rsidRPr="001A54B5">
        <w:rPr>
          <w:noProof/>
        </w:rPr>
        <w:t>firms are more influenced by myopic and short term decision preferences</w:t>
      </w:r>
      <w:r w:rsidRPr="00183F36">
        <w:t xml:space="preserve"> and often discount the long term possibilities of their experiences </w:t>
      </w:r>
      <w:r w:rsidR="006135EF">
        <w:fldChar w:fldCharType="begin"/>
      </w:r>
      <w:r w:rsidR="006135EF">
        <w:instrText xml:space="preserve"> ADDIN EN.CITE &lt;EndNote&gt;&lt;Cite&gt;&lt;Author&gt;Azadegan&lt;/Author&gt;&lt;Year&gt;2010&lt;/Year&gt;&lt;RecNum&gt;918&lt;/RecNum&gt;&lt;DisplayText&gt;(Azadegan and Dooley, 2010; Levinthal and March, 1993)&lt;/DisplayText&gt;&lt;record&gt;&lt;rec-number&gt;918&lt;/rec-number&gt;&lt;foreign-keys&gt;&lt;key app="EN" db-id="0w05zrd59zdxwmexsxlxa0purxdzd2svavae" timestamp="0"&gt;918&lt;/key&gt;&lt;/foreign-keys&gt;&lt;ref-type name="Journal Article"&gt;17&lt;/ref-type&gt;&lt;contributors&gt;&lt;authors&gt;&lt;author&gt;Azadegan, A.&lt;/author&gt;&lt;author&gt;Dooley, K. J.&lt;/author&gt;&lt;/authors&gt;&lt;/contributors&gt;&lt;titles&gt;&lt;title&gt;Supplier innovativeness, organizational learning styles and manufacturer performance: An empirical assessment&lt;/title&gt;&lt;secondary-title&gt;Journal of Operations Management&lt;/secondary-title&gt;&lt;/titles&gt;&lt;periodical&gt;&lt;full-title&gt;Journal of Operations Management&lt;/full-title&gt;&lt;/periodical&gt;&lt;pages&gt;488-505&lt;/pages&gt;&lt;volume&gt;28&lt;/volume&gt;&lt;number&gt;6&lt;/number&gt;&lt;dates&gt;&lt;year&gt;2010&lt;/year&gt;&lt;pub-dates&gt;&lt;date&gt;Nov&lt;/date&gt;&lt;/pub-dates&gt;&lt;/dates&gt;&lt;isbn&gt;0272-6963&lt;/isbn&gt;&lt;accession-num&gt;WOS:000283525000003&lt;/accession-num&gt;&lt;urls&gt;&lt;related-urls&gt;&lt;url&gt;&amp;lt;Go to ISI&amp;gt;://WOS:000283525000003&lt;/url&gt;&lt;/related-urls&gt;&lt;/urls&gt;&lt;electronic-resource-num&gt;10.1016/j.jom.2010.02.001&lt;/electronic-resource-num&gt;&lt;/record&gt;&lt;/Cite&gt;&lt;Cite&gt;&lt;Author&gt;Levinthal&lt;/Author&gt;&lt;Year&gt;1993&lt;/Year&gt;&lt;RecNum&gt;1132&lt;/RecNum&gt;&lt;record&gt;&lt;rec-number&gt;1132&lt;/rec-number&gt;&lt;foreign-keys&gt;&lt;key app="EN" db-id="0w05zrd59zdxwmexsxlxa0purxdzd2svavae" timestamp="0"&gt;1132&lt;/key&gt;&lt;/foreign-keys&gt;&lt;ref-type name="Journal Article"&gt;17&lt;/ref-type&gt;&lt;contributors&gt;&lt;authors&gt;&lt;author&gt;Levinthal, D. A.&lt;/author&gt;&lt;author&gt;March, J. G.&lt;/author&gt;&lt;/authors&gt;&lt;/contributors&gt;&lt;titles&gt;&lt;title&gt;The myopia of learning&lt;/title&gt;&lt;secondary-title&gt;Strategic Management Journal&lt;/secondary-title&gt;&lt;/titles&gt;&lt;pages&gt;95-112&lt;/pages&gt;&lt;volume&gt;14&lt;/volume&gt;&lt;dates&gt;&lt;year&gt;1993&lt;/year&gt;&lt;pub-dates&gt;&lt;date&gt;Win&lt;/date&gt;&lt;/pub-dates&gt;&lt;/dates&gt;&lt;isbn&gt;0143-2095&lt;/isbn&gt;&lt;accession-num&gt;WOS:A1993NK89800008&lt;/accession-num&gt;&lt;urls&gt;&lt;related-urls&gt;&lt;url&gt;&amp;lt;Go to ISI&amp;gt;://WOS:A1993NK89800008&lt;/url&gt;&lt;/related-urls&gt;&lt;/urls&gt;&lt;electronic-resource-num&gt;10.1002/smj.4250141009&lt;/electronic-resource-num&gt;&lt;/record&gt;&lt;/Cite&gt;&lt;/EndNote&gt;</w:instrText>
      </w:r>
      <w:r w:rsidR="006135EF">
        <w:fldChar w:fldCharType="separate"/>
      </w:r>
      <w:r w:rsidR="006135EF">
        <w:rPr>
          <w:noProof/>
        </w:rPr>
        <w:t>(</w:t>
      </w:r>
      <w:hyperlink w:anchor="_ENREF_4" w:tooltip="Azadegan, 2010 #918" w:history="1">
        <w:r w:rsidR="006135EF" w:rsidRPr="004C6DEC">
          <w:rPr>
            <w:rStyle w:val="Hyperlink"/>
            <w:noProof/>
          </w:rPr>
          <w:t>Azadegan and Dooley, 2010</w:t>
        </w:r>
      </w:hyperlink>
      <w:r w:rsidR="006135EF">
        <w:rPr>
          <w:noProof/>
        </w:rPr>
        <w:t xml:space="preserve">; </w:t>
      </w:r>
      <w:hyperlink w:anchor="_ENREF_57" w:tooltip="Levinthal, 1993 #1132" w:history="1">
        <w:r w:rsidR="006135EF" w:rsidRPr="004C6DEC">
          <w:rPr>
            <w:rStyle w:val="Hyperlink"/>
            <w:noProof/>
          </w:rPr>
          <w:t>Levinthal and March, 1993</w:t>
        </w:r>
      </w:hyperlink>
      <w:r w:rsidR="006135EF">
        <w:rPr>
          <w:noProof/>
        </w:rPr>
        <w:t>)</w:t>
      </w:r>
      <w:r w:rsidR="006135EF">
        <w:fldChar w:fldCharType="end"/>
      </w:r>
      <w:r w:rsidR="006135EF">
        <w:t xml:space="preserve">. </w:t>
      </w:r>
      <w:r w:rsidR="00174B38" w:rsidRPr="00183F36">
        <w:t>The myopi</w:t>
      </w:r>
      <w:r w:rsidR="0033028A" w:rsidRPr="00183F36">
        <w:t>a</w:t>
      </w:r>
      <w:r w:rsidR="00174B38" w:rsidRPr="00183F36">
        <w:t xml:space="preserve"> </w:t>
      </w:r>
      <w:r w:rsidR="0033028A" w:rsidRPr="00183F36">
        <w:t>explanation</w:t>
      </w:r>
      <w:r w:rsidR="00174B38" w:rsidRPr="00183F36">
        <w:t xml:space="preserve"> on organizational learning would imply that companies would react to more </w:t>
      </w:r>
      <w:r w:rsidR="00412442">
        <w:t>near-misses</w:t>
      </w:r>
      <w:r w:rsidR="00174B38" w:rsidRPr="00183F36">
        <w:t xml:space="preserve"> by increasing the use of their </w:t>
      </w:r>
      <w:r w:rsidR="00A703FB" w:rsidRPr="00183F36">
        <w:t>short-term</w:t>
      </w:r>
      <w:r w:rsidR="00174B38" w:rsidRPr="00183F36">
        <w:t xml:space="preserve"> learnings; implying a rise in </w:t>
      </w:r>
      <w:r w:rsidR="001A54B5">
        <w:t xml:space="preserve">the </w:t>
      </w:r>
      <w:r w:rsidR="00174B38" w:rsidRPr="001A54B5">
        <w:rPr>
          <w:noProof/>
        </w:rPr>
        <w:t>use</w:t>
      </w:r>
      <w:r w:rsidR="00174B38" w:rsidRPr="00183F36">
        <w:t xml:space="preserve"> of flexible response </w:t>
      </w:r>
      <w:r w:rsidR="00174B38" w:rsidRPr="00183F36">
        <w:lastRenderedPageBreak/>
        <w:t xml:space="preserve">strategies. In contrast, we find that exposure to more </w:t>
      </w:r>
      <w:r w:rsidR="00257F56">
        <w:t>near-miss</w:t>
      </w:r>
      <w:r w:rsidR="00174B38" w:rsidRPr="00183F36">
        <w:t xml:space="preserve"> events raises considerations for a more long</w:t>
      </w:r>
      <w:r w:rsidR="00C0351D" w:rsidRPr="00183F36">
        <w:t>-</w:t>
      </w:r>
      <w:r w:rsidR="00174B38" w:rsidRPr="00183F36">
        <w:t xml:space="preserve">term and systemic view of the issues by implementing procedural response strategies. The results here suggest that, as related to disruption response and risk management, organizational behavior may be </w:t>
      </w:r>
      <w:r w:rsidR="00EF2C12" w:rsidRPr="00183F36">
        <w:t xml:space="preserve">more </w:t>
      </w:r>
      <w:r w:rsidR="00174B38" w:rsidRPr="00183F36">
        <w:t xml:space="preserve">complicated </w:t>
      </w:r>
      <w:r w:rsidR="00EF2C12" w:rsidRPr="00183F36">
        <w:t>than expected</w:t>
      </w:r>
      <w:r w:rsidR="00174B38" w:rsidRPr="00183F36">
        <w:t xml:space="preserve">. Indeed, while </w:t>
      </w:r>
      <w:r w:rsidR="00186FC2" w:rsidRPr="00183F36">
        <w:t xml:space="preserve">single and </w:t>
      </w:r>
      <w:r w:rsidR="00B07E92">
        <w:t>double-loop</w:t>
      </w:r>
      <w:r w:rsidR="00186FC2" w:rsidRPr="00183F36">
        <w:t xml:space="preserve"> learning </w:t>
      </w:r>
      <w:r w:rsidR="00174B38" w:rsidRPr="00183F36">
        <w:t xml:space="preserve">may </w:t>
      </w:r>
      <w:r w:rsidR="00186FC2" w:rsidRPr="00183F36">
        <w:t xml:space="preserve">take place at the same time, </w:t>
      </w:r>
      <w:r w:rsidR="002400B9">
        <w:t>when near-misses increase</w:t>
      </w:r>
      <w:r w:rsidR="002202AA" w:rsidRPr="00183F36">
        <w:t>,</w:t>
      </w:r>
      <w:r w:rsidR="00174B38" w:rsidRPr="00183F36">
        <w:t xml:space="preserve"> the primacy of </w:t>
      </w:r>
      <w:r w:rsidR="002400B9">
        <w:t>double-loop learning</w:t>
      </w:r>
      <w:r w:rsidR="002400B9" w:rsidRPr="00183F36">
        <w:t xml:space="preserve"> </w:t>
      </w:r>
      <w:r w:rsidR="00174B38" w:rsidRPr="00183F36">
        <w:t>can be more pronounced</w:t>
      </w:r>
      <w:r w:rsidR="00EF2C12" w:rsidRPr="00183F36">
        <w:t xml:space="preserve">. </w:t>
      </w:r>
    </w:p>
    <w:p w14:paraId="6E4B9698" w14:textId="4FD9D8C5" w:rsidR="00A703FB" w:rsidRPr="00183F36" w:rsidRDefault="00186FC2" w:rsidP="00F057D4">
      <w:pPr>
        <w:spacing w:line="480" w:lineRule="auto"/>
        <w:ind w:firstLine="720"/>
      </w:pPr>
      <w:r w:rsidRPr="00183F36">
        <w:t>O</w:t>
      </w:r>
      <w:r w:rsidR="007B31EB" w:rsidRPr="00183F36">
        <w:t xml:space="preserve">ur study </w:t>
      </w:r>
      <w:r w:rsidR="008F01F7" w:rsidRPr="00183F36">
        <w:t xml:space="preserve">clarifies how </w:t>
      </w:r>
      <w:r w:rsidR="00AC1EE4" w:rsidRPr="00183F36">
        <w:t xml:space="preserve">regulatory and industry pressures </w:t>
      </w:r>
      <w:r w:rsidR="008F01F7" w:rsidRPr="00183F36">
        <w:t xml:space="preserve">place </w:t>
      </w:r>
      <w:r w:rsidR="00AC1EE4" w:rsidRPr="00183F36">
        <w:t xml:space="preserve">a </w:t>
      </w:r>
      <w:r w:rsidRPr="00183F36">
        <w:t xml:space="preserve">significant, yet </w:t>
      </w:r>
      <w:r w:rsidR="00A97A0A">
        <w:t>distinct</w:t>
      </w:r>
      <w:r w:rsidRPr="00183F36">
        <w:t xml:space="preserve"> </w:t>
      </w:r>
      <w:r w:rsidR="008F01F7" w:rsidRPr="00183F36">
        <w:t xml:space="preserve">influence </w:t>
      </w:r>
      <w:r w:rsidR="00490695" w:rsidRPr="00183F36">
        <w:t xml:space="preserve">on the effects of exposure to </w:t>
      </w:r>
      <w:r w:rsidR="00257F56">
        <w:t>near-miss</w:t>
      </w:r>
      <w:r w:rsidR="00490695" w:rsidRPr="00183F36">
        <w:t>es</w:t>
      </w:r>
      <w:r w:rsidR="00AC1EE4" w:rsidRPr="00183F36">
        <w:t xml:space="preserve">. </w:t>
      </w:r>
      <w:r w:rsidR="00F43AFA" w:rsidRPr="00183F36">
        <w:t xml:space="preserve">With increased exposure to </w:t>
      </w:r>
      <w:r w:rsidR="00412442">
        <w:t>near-misses</w:t>
      </w:r>
      <w:r w:rsidR="00F43AFA" w:rsidRPr="00183F36">
        <w:t>, r</w:t>
      </w:r>
      <w:r w:rsidR="008F01F7" w:rsidRPr="00183F36">
        <w:t xml:space="preserve">egulatory pressure </w:t>
      </w:r>
      <w:r w:rsidR="00F43AFA" w:rsidRPr="00183F36">
        <w:t xml:space="preserve">helps </w:t>
      </w:r>
      <w:r w:rsidR="001A54B5">
        <w:t xml:space="preserve">to </w:t>
      </w:r>
      <w:r w:rsidR="00F43AFA" w:rsidRPr="001A54B5">
        <w:rPr>
          <w:noProof/>
        </w:rPr>
        <w:t>lower</w:t>
      </w:r>
      <w:r w:rsidR="00F43AFA" w:rsidRPr="00183F36">
        <w:t xml:space="preserve"> the emphasis placed by firms on flexible response strategy</w:t>
      </w:r>
      <w:r w:rsidR="000A1700">
        <w:t xml:space="preserve">. </w:t>
      </w:r>
      <w:r w:rsidR="00F43AFA" w:rsidRPr="001A54B5">
        <w:rPr>
          <w:noProof/>
        </w:rPr>
        <w:t>This</w:t>
      </w:r>
      <w:r w:rsidR="00F43AFA" w:rsidRPr="00183F36">
        <w:t xml:space="preserve"> may be explained by the fact that firms facing </w:t>
      </w:r>
      <w:r w:rsidR="001B4CEB" w:rsidRPr="00183F36">
        <w:t xml:space="preserve">substantial </w:t>
      </w:r>
      <w:r w:rsidR="00F43AFA" w:rsidRPr="00183F36">
        <w:t xml:space="preserve">regulatory </w:t>
      </w:r>
      <w:r w:rsidR="001B4CEB" w:rsidRPr="00183F36">
        <w:t>expectations</w:t>
      </w:r>
      <w:r w:rsidR="00F43AFA" w:rsidRPr="00183F36">
        <w:t xml:space="preserve"> </w:t>
      </w:r>
      <w:r w:rsidR="00C72631" w:rsidRPr="00183F36">
        <w:t>must</w:t>
      </w:r>
      <w:r w:rsidR="00F43AFA" w:rsidRPr="00183F36">
        <w:t xml:space="preserve"> </w:t>
      </w:r>
      <w:r w:rsidR="001B4CEB" w:rsidRPr="00183F36">
        <w:t xml:space="preserve">refrain from </w:t>
      </w:r>
      <w:r w:rsidR="00F43AFA" w:rsidRPr="00183F36">
        <w:t xml:space="preserve">ad hoc and emergent decisions, </w:t>
      </w:r>
      <w:r w:rsidR="001B4CEB" w:rsidRPr="00183F36">
        <w:t xml:space="preserve">perhaps </w:t>
      </w:r>
      <w:r w:rsidR="00F43AFA" w:rsidRPr="00183F36">
        <w:t xml:space="preserve">because </w:t>
      </w:r>
      <w:r w:rsidR="001B4CEB" w:rsidRPr="00183F36">
        <w:t>such response strategies</w:t>
      </w:r>
      <w:r w:rsidR="00F43AFA" w:rsidRPr="00183F36">
        <w:t xml:space="preserve"> may seem less organized </w:t>
      </w:r>
      <w:r w:rsidR="001B4CEB" w:rsidRPr="00183F36">
        <w:t>and</w:t>
      </w:r>
      <w:r w:rsidR="00F43AFA" w:rsidRPr="00183F36">
        <w:t xml:space="preserve"> in contrast to </w:t>
      </w:r>
      <w:r w:rsidR="001B4CEB" w:rsidRPr="00183F36">
        <w:t xml:space="preserve">governmental </w:t>
      </w:r>
      <w:r w:rsidR="00F43AFA" w:rsidRPr="00183F36">
        <w:t xml:space="preserve">expectations. </w:t>
      </w:r>
      <w:r w:rsidR="00F057D4" w:rsidRPr="00183F36">
        <w:t xml:space="preserve">Interestingly, the </w:t>
      </w:r>
      <w:r w:rsidR="008F01F7" w:rsidRPr="00183F36">
        <w:t xml:space="preserve">influence of regulatory pressures </w:t>
      </w:r>
      <w:r w:rsidR="00F057D4" w:rsidRPr="00183F36">
        <w:t xml:space="preserve">as </w:t>
      </w:r>
      <w:r w:rsidR="001A54B5">
        <w:t xml:space="preserve">a </w:t>
      </w:r>
      <w:r w:rsidR="00F057D4" w:rsidRPr="001A54B5">
        <w:rPr>
          <w:noProof/>
        </w:rPr>
        <w:t>moderator</w:t>
      </w:r>
      <w:r w:rsidR="00F057D4" w:rsidRPr="00183F36">
        <w:t xml:space="preserve"> </w:t>
      </w:r>
      <w:r w:rsidR="00401ED1">
        <w:t xml:space="preserve">on procedural response </w:t>
      </w:r>
      <w:r w:rsidR="00F057D4" w:rsidRPr="00183F36">
        <w:t xml:space="preserve">was not significant. This finding could </w:t>
      </w:r>
      <w:r w:rsidR="00F057D4" w:rsidRPr="001A54B5">
        <w:rPr>
          <w:noProof/>
        </w:rPr>
        <w:t>be explained</w:t>
      </w:r>
      <w:r w:rsidR="00F057D4" w:rsidRPr="00183F36">
        <w:t xml:space="preserve"> by the fact that broadly enforced regulations requiring documentation of </w:t>
      </w:r>
      <w:r w:rsidR="00412442">
        <w:t>near-misses</w:t>
      </w:r>
      <w:r w:rsidR="00F057D4" w:rsidRPr="00183F36">
        <w:t xml:space="preserve"> has yet to be </w:t>
      </w:r>
      <w:r w:rsidR="00054704">
        <w:t xml:space="preserve">broadly </w:t>
      </w:r>
      <w:r w:rsidR="00F057D4" w:rsidRPr="00183F36">
        <w:t>implemented</w:t>
      </w:r>
      <w:r w:rsidR="00490695" w:rsidRPr="00183F36">
        <w:t xml:space="preserve"> except in a handful of industries</w:t>
      </w:r>
      <w:r w:rsidR="006135EF">
        <w:t xml:space="preserve"> </w:t>
      </w:r>
      <w:r w:rsidR="006135EF">
        <w:fldChar w:fldCharType="begin"/>
      </w:r>
      <w:r w:rsidR="006135EF">
        <w:instrText xml:space="preserve"> ADDIN EN.CITE &lt;EndNote&gt;&lt;Cite&gt;&lt;Author&gt;Phimister&lt;/Author&gt;&lt;Year&gt;2003&lt;/Year&gt;&lt;RecNum&gt;1201&lt;/RecNum&gt;&lt;DisplayText&gt;(Phimister et al., 2003)&lt;/DisplayText&gt;&lt;record&gt;&lt;rec-number&gt;1201&lt;/rec-number&gt;&lt;foreign-keys&gt;&lt;key app="EN" db-id="0w05zrd59zdxwmexsxlxa0purxdzd2svavae" timestamp="0"&gt;1201&lt;/key&gt;&lt;/foreign-keys&gt;&lt;ref-type name="Journal Article"&gt;17&lt;/ref-type&gt;&lt;contributors&gt;&lt;authors&gt;&lt;author&gt;Phimister, James R.&lt;/author&gt;&lt;author&gt;Oktem, Ulku&lt;/author&gt;&lt;author&gt;Kleindorfer, Paul R.&lt;/author&gt;&lt;author&gt;Kunreuther, Howard&lt;/author&gt;&lt;/authors&gt;&lt;/contributors&gt;&lt;titles&gt;&lt;title&gt;Near-miss incident management in the chemical process industry&lt;/title&gt;&lt;secondary-title&gt;Risk Analysis&lt;/secondary-title&gt;&lt;/titles&gt;&lt;pages&gt;445-459&lt;/pages&gt;&lt;volume&gt;23&lt;/volume&gt;&lt;number&gt;3&lt;/number&gt;&lt;dates&gt;&lt;year&gt;2003&lt;/year&gt;&lt;pub-dates&gt;&lt;date&gt;2003/06&lt;/date&gt;&lt;/pub-dates&gt;&lt;/dates&gt;&lt;publisher&gt;Wiley-Blackwell&lt;/publisher&gt;&lt;isbn&gt;0272-4332&lt;/isbn&gt;&lt;urls&gt;&lt;/urls&gt;&lt;electronic-resource-num&gt;10.1111/1539-6924.00326&lt;/electronic-resource-num&gt;&lt;/record&gt;&lt;/Cite&gt;&lt;/EndNote&gt;</w:instrText>
      </w:r>
      <w:r w:rsidR="006135EF">
        <w:fldChar w:fldCharType="separate"/>
      </w:r>
      <w:r w:rsidR="006135EF">
        <w:rPr>
          <w:noProof/>
        </w:rPr>
        <w:t>(</w:t>
      </w:r>
      <w:hyperlink w:anchor="_ENREF_68" w:tooltip="Phimister, 2003 #1201" w:history="1">
        <w:r w:rsidR="006135EF" w:rsidRPr="004C6DEC">
          <w:rPr>
            <w:rStyle w:val="Hyperlink"/>
            <w:noProof/>
          </w:rPr>
          <w:t>Phimister et al., 2003</w:t>
        </w:r>
      </w:hyperlink>
      <w:r w:rsidR="006135EF">
        <w:rPr>
          <w:noProof/>
        </w:rPr>
        <w:t>)</w:t>
      </w:r>
      <w:r w:rsidR="006135EF">
        <w:fldChar w:fldCharType="end"/>
      </w:r>
      <w:r w:rsidR="006135EF">
        <w:t xml:space="preserve">. </w:t>
      </w:r>
    </w:p>
    <w:p w14:paraId="0888786B" w14:textId="1736D372" w:rsidR="00045B15" w:rsidRDefault="00401ED1" w:rsidP="00401ED1">
      <w:pPr>
        <w:spacing w:line="480" w:lineRule="auto"/>
        <w:ind w:firstLine="720"/>
      </w:pPr>
      <w:r>
        <w:t xml:space="preserve">Specific to </w:t>
      </w:r>
      <w:r w:rsidRPr="00183F36">
        <w:t xml:space="preserve">flexible response </w:t>
      </w:r>
      <w:r>
        <w:t>strategy</w:t>
      </w:r>
      <w:r w:rsidRPr="00183F36">
        <w:t xml:space="preserve"> and institutional pressure</w:t>
      </w:r>
      <w:r>
        <w:t>s</w:t>
      </w:r>
      <w:r w:rsidRPr="00183F36">
        <w:t xml:space="preserve"> as moderating factor</w:t>
      </w:r>
      <w:r w:rsidR="00412442">
        <w:t>s</w:t>
      </w:r>
      <w:r w:rsidRPr="00183F36">
        <w:t xml:space="preserve">, we see a picture consistent with that of </w:t>
      </w:r>
      <w:r w:rsidR="00412442">
        <w:t>findings from</w:t>
      </w:r>
      <w:r w:rsidRPr="00183F36">
        <w:t xml:space="preserve"> direct effects. </w:t>
      </w:r>
      <w:r>
        <w:t>Industry pressure</w:t>
      </w:r>
      <w:r w:rsidRPr="00183F36">
        <w:t xml:space="preserve"> </w:t>
      </w:r>
      <w:r>
        <w:t xml:space="preserve">thwarts </w:t>
      </w:r>
      <w:r w:rsidRPr="00183F36">
        <w:t xml:space="preserve">the negative association between </w:t>
      </w:r>
      <w:r>
        <w:t>near-miss</w:t>
      </w:r>
      <w:r w:rsidRPr="00183F36">
        <w:t xml:space="preserve"> exposure and flexible response strategy</w:t>
      </w:r>
      <w:r>
        <w:t xml:space="preserve"> (Figure </w:t>
      </w:r>
      <w:r w:rsidR="000A1700">
        <w:t>1</w:t>
      </w:r>
      <w:r>
        <w:t>)</w:t>
      </w:r>
      <w:r w:rsidRPr="00183F36">
        <w:t xml:space="preserve">. </w:t>
      </w:r>
      <w:r>
        <w:t xml:space="preserve">Whereas frequent </w:t>
      </w:r>
      <w:r w:rsidR="00412442">
        <w:t>near-misses</w:t>
      </w:r>
      <w:r w:rsidRPr="00183F36">
        <w:t xml:space="preserve"> lead to lower</w:t>
      </w:r>
      <w:r w:rsidR="00412442">
        <w:t>ed</w:t>
      </w:r>
      <w:r w:rsidRPr="00183F36">
        <w:t xml:space="preserve"> flexible response </w:t>
      </w:r>
      <w:r w:rsidRPr="001A54B5">
        <w:rPr>
          <w:noProof/>
        </w:rPr>
        <w:t>strategy</w:t>
      </w:r>
      <w:r w:rsidRPr="00183F36">
        <w:t xml:space="preserve"> </w:t>
      </w:r>
      <w:r>
        <w:t xml:space="preserve">and </w:t>
      </w:r>
      <w:r w:rsidR="00412442">
        <w:t>moving</w:t>
      </w:r>
      <w:r w:rsidRPr="00183F36">
        <w:t xml:space="preserve"> away from </w:t>
      </w:r>
      <w:r>
        <w:t>localized</w:t>
      </w:r>
      <w:r w:rsidRPr="00183F36">
        <w:t xml:space="preserve"> decision making</w:t>
      </w:r>
      <w:r>
        <w:t xml:space="preserve">, industry pressure helps maintain some of </w:t>
      </w:r>
      <w:r w:rsidR="00412442">
        <w:t>the</w:t>
      </w:r>
      <w:r>
        <w:t xml:space="preserve"> focus</w:t>
      </w:r>
      <w:r w:rsidR="00412442">
        <w:t xml:space="preserve"> on flexible response</w:t>
      </w:r>
      <w:r>
        <w:t xml:space="preserve">. </w:t>
      </w:r>
      <w:r w:rsidR="00A97A0A">
        <w:t>The</w:t>
      </w:r>
      <w:r w:rsidR="004A7BF9" w:rsidRPr="00183F36">
        <w:t xml:space="preserve"> contrast between the effects of industrial and regulatory pressures </w:t>
      </w:r>
      <w:r>
        <w:t xml:space="preserve">on </w:t>
      </w:r>
      <w:r w:rsidR="001A54B5">
        <w:t xml:space="preserve">the </w:t>
      </w:r>
      <w:r w:rsidRPr="001A54B5">
        <w:rPr>
          <w:noProof/>
        </w:rPr>
        <w:t>procedural</w:t>
      </w:r>
      <w:r>
        <w:t xml:space="preserve"> response </w:t>
      </w:r>
      <w:r w:rsidR="004A7BF9" w:rsidRPr="00183F36">
        <w:t xml:space="preserve">is </w:t>
      </w:r>
      <w:r w:rsidR="00A97A0A">
        <w:t xml:space="preserve">also </w:t>
      </w:r>
      <w:r w:rsidR="004A7BF9" w:rsidRPr="00183F36">
        <w:t xml:space="preserve">interesting. </w:t>
      </w:r>
      <w:r>
        <w:t>Unlike regulatory pressure, i</w:t>
      </w:r>
      <w:r w:rsidR="002D0F08" w:rsidRPr="00183F36">
        <w:t xml:space="preserve">ndustry pressure further attenuates </w:t>
      </w:r>
      <w:r w:rsidR="00412442">
        <w:t>using</w:t>
      </w:r>
      <w:r w:rsidR="00F057D4" w:rsidRPr="00183F36">
        <w:t xml:space="preserve"> </w:t>
      </w:r>
      <w:r w:rsidR="002D0F08" w:rsidRPr="00183F36">
        <w:t>procedural response</w:t>
      </w:r>
      <w:r w:rsidR="00700E97" w:rsidRPr="00183F36">
        <w:t xml:space="preserve"> with exposure to </w:t>
      </w:r>
      <w:r w:rsidR="00412442">
        <w:t>near-misses</w:t>
      </w:r>
      <w:r w:rsidR="00045B15">
        <w:t xml:space="preserve"> </w:t>
      </w:r>
      <w:r w:rsidR="008A33D4">
        <w:t xml:space="preserve">(Figure </w:t>
      </w:r>
      <w:r w:rsidR="000A1700">
        <w:t>1</w:t>
      </w:r>
      <w:r w:rsidR="00AF5716" w:rsidRPr="00183F36">
        <w:t xml:space="preserve">). </w:t>
      </w:r>
      <w:r w:rsidR="00174B38" w:rsidRPr="00183F36">
        <w:t>Arguably, the influence of normative pressure (</w:t>
      </w:r>
      <w:r w:rsidR="00174B38" w:rsidRPr="001A54B5">
        <w:rPr>
          <w:noProof/>
        </w:rPr>
        <w:t>i.e.</w:t>
      </w:r>
      <w:r w:rsidR="001A54B5">
        <w:rPr>
          <w:noProof/>
        </w:rPr>
        <w:t>,</w:t>
      </w:r>
      <w:r w:rsidR="00174B38" w:rsidRPr="00183F36">
        <w:t xml:space="preserve"> inclination to look to </w:t>
      </w:r>
      <w:r w:rsidR="001A54B5">
        <w:t xml:space="preserve">a </w:t>
      </w:r>
      <w:r w:rsidR="00174B38" w:rsidRPr="001A54B5">
        <w:rPr>
          <w:noProof/>
        </w:rPr>
        <w:t>network</w:t>
      </w:r>
      <w:r w:rsidR="00174B38" w:rsidRPr="00183F36">
        <w:t xml:space="preserve"> of professionals and </w:t>
      </w:r>
      <w:r w:rsidR="002202AA" w:rsidRPr="00183F36">
        <w:lastRenderedPageBreak/>
        <w:t>industry-</w:t>
      </w:r>
      <w:r w:rsidR="00793E46" w:rsidRPr="00183F36">
        <w:t>based standards</w:t>
      </w:r>
      <w:r w:rsidR="00174B38" w:rsidRPr="00183F36">
        <w:t xml:space="preserve"> for legitimacy) seems to be a more effective than the influence forced by the need to conform to regulations at the risk of sanctions and penalties. </w:t>
      </w:r>
    </w:p>
    <w:p w14:paraId="2BDDAE34" w14:textId="3330D31F" w:rsidR="0028219F" w:rsidRPr="00183F36" w:rsidRDefault="005B1FC4" w:rsidP="008C3E54">
      <w:pPr>
        <w:pStyle w:val="ListParagraph"/>
        <w:widowControl w:val="0"/>
        <w:spacing w:line="480" w:lineRule="auto"/>
        <w:ind w:left="0" w:firstLine="720"/>
        <w:rPr>
          <w:szCs w:val="24"/>
        </w:rPr>
      </w:pPr>
      <w:r w:rsidRPr="001A54B5">
        <w:rPr>
          <w:noProof/>
          <w:szCs w:val="24"/>
        </w:rPr>
        <w:t>C</w:t>
      </w:r>
      <w:r w:rsidR="00AF5716" w:rsidRPr="001A54B5">
        <w:rPr>
          <w:noProof/>
          <w:szCs w:val="24"/>
        </w:rPr>
        <w:t>ombined</w:t>
      </w:r>
      <w:r w:rsidR="00AF5716" w:rsidRPr="00183F36">
        <w:rPr>
          <w:szCs w:val="24"/>
        </w:rPr>
        <w:t>, t</w:t>
      </w:r>
      <w:r w:rsidR="0028219F" w:rsidRPr="00183F36">
        <w:rPr>
          <w:szCs w:val="24"/>
        </w:rPr>
        <w:t>h</w:t>
      </w:r>
      <w:r w:rsidR="00AF5716" w:rsidRPr="00183F36">
        <w:rPr>
          <w:szCs w:val="24"/>
        </w:rPr>
        <w:t xml:space="preserve">ese results </w:t>
      </w:r>
      <w:r w:rsidR="0028219F" w:rsidRPr="00183F36">
        <w:rPr>
          <w:szCs w:val="24"/>
        </w:rPr>
        <w:t>strongly support that</w:t>
      </w:r>
      <w:r w:rsidR="00AF5716" w:rsidRPr="00183F36">
        <w:rPr>
          <w:szCs w:val="24"/>
        </w:rPr>
        <w:t>, as related to</w:t>
      </w:r>
      <w:r w:rsidR="00465F24">
        <w:rPr>
          <w:szCs w:val="24"/>
        </w:rPr>
        <w:t xml:space="preserve"> supply chain </w:t>
      </w:r>
      <w:r w:rsidR="00AF5716" w:rsidRPr="00183F36">
        <w:rPr>
          <w:szCs w:val="24"/>
        </w:rPr>
        <w:t>disruptions,</w:t>
      </w:r>
      <w:r w:rsidR="0028219F" w:rsidRPr="00183F36">
        <w:rPr>
          <w:szCs w:val="24"/>
        </w:rPr>
        <w:t xml:space="preserve"> it is important to </w:t>
      </w:r>
      <w:r w:rsidR="00AF5716" w:rsidRPr="00183F36">
        <w:rPr>
          <w:szCs w:val="24"/>
        </w:rPr>
        <w:t xml:space="preserve">consider </w:t>
      </w:r>
      <w:r w:rsidR="0028219F" w:rsidRPr="00183F36">
        <w:rPr>
          <w:szCs w:val="24"/>
        </w:rPr>
        <w:t xml:space="preserve">the role of external </w:t>
      </w:r>
      <w:r w:rsidR="00AF5716" w:rsidRPr="00183F36">
        <w:rPr>
          <w:szCs w:val="24"/>
        </w:rPr>
        <w:t xml:space="preserve">constituents in </w:t>
      </w:r>
      <w:r w:rsidR="0028219F" w:rsidRPr="00183F36">
        <w:rPr>
          <w:szCs w:val="24"/>
        </w:rPr>
        <w:t xml:space="preserve">organizational learning. </w:t>
      </w:r>
      <w:r w:rsidR="00412442">
        <w:rPr>
          <w:szCs w:val="24"/>
        </w:rPr>
        <w:t>Results</w:t>
      </w:r>
      <w:r w:rsidR="00AF5716" w:rsidRPr="00183F36">
        <w:rPr>
          <w:szCs w:val="24"/>
        </w:rPr>
        <w:t xml:space="preserve"> </w:t>
      </w:r>
      <w:r w:rsidR="0028219F" w:rsidRPr="00183F36">
        <w:rPr>
          <w:szCs w:val="24"/>
        </w:rPr>
        <w:t xml:space="preserve">also suggest that the upcoming stream on learning and knowledge exchange in supply </w:t>
      </w:r>
      <w:r w:rsidR="00083157" w:rsidRPr="00183F36">
        <w:rPr>
          <w:szCs w:val="24"/>
        </w:rPr>
        <w:t xml:space="preserve">chains </w:t>
      </w:r>
      <w:r w:rsidR="00083157">
        <w:rPr>
          <w:szCs w:val="24"/>
        </w:rPr>
        <w:fldChar w:fldCharType="begin"/>
      </w:r>
      <w:r w:rsidR="004C6DEC">
        <w:rPr>
          <w:szCs w:val="24"/>
        </w:rPr>
        <w:instrText xml:space="preserve"> ADDIN EN.CITE &lt;EndNote&gt;&lt;Cite&gt;&lt;Author&gt;Blome&lt;/Author&gt;&lt;Year&gt;2014&lt;/Year&gt;&lt;RecNum&gt;1356&lt;/RecNum&gt;&lt;DisplayText&gt;(Blome et al., 2014; Handfield et al., 2015)&lt;/DisplayText&gt;&lt;record&gt;&lt;rec-number&gt;1356&lt;/rec-number&gt;&lt;foreign-keys&gt;&lt;key app="EN" db-id="0w05zrd59zdxwmexsxlxa0purxdzd2svavae" timestamp="0"&gt;1356&lt;/key&gt;&lt;/foreign-keys&gt;&lt;ref-type name="Journal Article"&gt;17&lt;/ref-type&gt;&lt;contributors&gt;&lt;authors&gt;&lt;author&gt;Blome, C.&lt;/author&gt;&lt;author&gt;Schoenherr, T.&lt;/author&gt;&lt;author&gt;Eckstein, D.&lt;/author&gt;&lt;/authors&gt;&lt;/contributors&gt;&lt;titles&gt;&lt;title&gt;The impact of knowledge transfer and complexity on supply chain flexibility: A knowledge-based view&lt;/title&gt;&lt;secondary-title&gt;International Journal of Production Economics&lt;/secondary-title&gt;&lt;/titles&gt;&lt;periodical&gt;&lt;full-title&gt;International Journal of Production Economics&lt;/full-title&gt;&lt;/periodical&gt;&lt;pages&gt;307-316&lt;/pages&gt;&lt;volume&gt;147&lt;/volume&gt;&lt;number&gt;Part B&lt;/number&gt;&lt;dates&gt;&lt;year&gt;2014&lt;/year&gt;&lt;/dates&gt;&lt;urls&gt;&lt;/urls&gt;&lt;/record&gt;&lt;/Cite&gt;&lt;Cite&gt;&lt;Author&gt;Handfield&lt;/Author&gt;&lt;Year&gt;2015&lt;/Year&gt;&lt;RecNum&gt;1357&lt;/RecNum&gt;&lt;record&gt;&lt;rec-number&gt;1357&lt;/rec-number&gt;&lt;foreign-keys&gt;&lt;key app="EN" db-id="0w05zrd59zdxwmexsxlxa0purxdzd2svavae" timestamp="0"&gt;1357&lt;/key&gt;&lt;/foreign-keys&gt;&lt;ref-type name="Journal Article"&gt;17&lt;/ref-type&gt;&lt;contributors&gt;&lt;authors&gt;&lt;author&gt;Handfield, R.B.&lt;/author&gt;&lt;author&gt;Cousins, P.D.&lt;/author&gt;&lt;author&gt;Lawson, B.&lt;/author&gt;&lt;author&gt;Petersen, K.J.&lt;/author&gt;&lt;/authors&gt;&lt;/contributors&gt;&lt;titles&gt;&lt;title&gt;How can supply management really improve performance? A knowledge-based model of alignment capabilities&lt;/title&gt;&lt;secondary-title&gt;Journal of Supply Chain Management&lt;/secondary-title&gt;&lt;/titles&gt;&lt;periodical&gt;&lt;full-title&gt;Journal of Supply Chain Management&lt;/full-title&gt;&lt;/periodical&gt;&lt;pages&gt;3-17&lt;/pages&gt;&lt;volume&gt;51&lt;/volume&gt;&lt;number&gt;3&lt;/number&gt;&lt;dates&gt;&lt;year&gt;2015&lt;/year&gt;&lt;/dates&gt;&lt;urls&gt;&lt;/urls&gt;&lt;/record&gt;&lt;/Cite&gt;&lt;/EndNote&gt;</w:instrText>
      </w:r>
      <w:r w:rsidR="00083157">
        <w:rPr>
          <w:szCs w:val="24"/>
        </w:rPr>
        <w:fldChar w:fldCharType="separate"/>
      </w:r>
      <w:r w:rsidR="006135EF">
        <w:rPr>
          <w:noProof/>
          <w:szCs w:val="24"/>
        </w:rPr>
        <w:t>(</w:t>
      </w:r>
      <w:hyperlink w:anchor="_ENREF_13" w:tooltip="Blome, 2014 #1356" w:history="1">
        <w:r w:rsidR="006135EF" w:rsidRPr="004C6DEC">
          <w:rPr>
            <w:rStyle w:val="Hyperlink"/>
            <w:noProof/>
            <w:szCs w:val="24"/>
          </w:rPr>
          <w:t>Blome et al., 2014</w:t>
        </w:r>
      </w:hyperlink>
      <w:r w:rsidR="006135EF">
        <w:rPr>
          <w:noProof/>
          <w:szCs w:val="24"/>
        </w:rPr>
        <w:t xml:space="preserve">; </w:t>
      </w:r>
      <w:hyperlink w:anchor="_ENREF_42" w:tooltip="Handfield, 2015 #1357" w:history="1">
        <w:r w:rsidR="006135EF" w:rsidRPr="004C6DEC">
          <w:rPr>
            <w:rStyle w:val="Hyperlink"/>
            <w:noProof/>
            <w:szCs w:val="24"/>
          </w:rPr>
          <w:t>Handfield et al., 2015</w:t>
        </w:r>
      </w:hyperlink>
      <w:r w:rsidR="006135EF">
        <w:rPr>
          <w:noProof/>
          <w:szCs w:val="24"/>
        </w:rPr>
        <w:t>)</w:t>
      </w:r>
      <w:r w:rsidR="00083157">
        <w:rPr>
          <w:szCs w:val="24"/>
        </w:rPr>
        <w:fldChar w:fldCharType="end"/>
      </w:r>
      <w:r w:rsidR="00083157" w:rsidRPr="00083157">
        <w:rPr>
          <w:szCs w:val="24"/>
        </w:rPr>
        <w:t xml:space="preserve"> </w:t>
      </w:r>
      <w:r w:rsidR="0028219F" w:rsidRPr="00183F36">
        <w:rPr>
          <w:szCs w:val="24"/>
        </w:rPr>
        <w:t>should further exten</w:t>
      </w:r>
      <w:r w:rsidR="00C0351D" w:rsidRPr="00183F36">
        <w:rPr>
          <w:szCs w:val="24"/>
        </w:rPr>
        <w:t>d</w:t>
      </w:r>
      <w:r w:rsidR="0028219F" w:rsidRPr="00183F36">
        <w:rPr>
          <w:szCs w:val="24"/>
        </w:rPr>
        <w:t xml:space="preserve"> their focus to non-traditional supply chain members (</w:t>
      </w:r>
      <w:r w:rsidR="0028219F" w:rsidRPr="001A54B5">
        <w:rPr>
          <w:noProof/>
          <w:szCs w:val="24"/>
        </w:rPr>
        <w:t>e.g.</w:t>
      </w:r>
      <w:r w:rsidR="001A54B5">
        <w:rPr>
          <w:noProof/>
          <w:szCs w:val="24"/>
        </w:rPr>
        <w:t>,</w:t>
      </w:r>
      <w:r w:rsidR="0028219F" w:rsidRPr="00183F36">
        <w:rPr>
          <w:szCs w:val="24"/>
        </w:rPr>
        <w:t xml:space="preserve"> industry bodies, regulators). </w:t>
      </w:r>
      <w:r w:rsidR="001F27FE" w:rsidRPr="00183F36">
        <w:rPr>
          <w:szCs w:val="24"/>
        </w:rPr>
        <w:t xml:space="preserve">Firms are </w:t>
      </w:r>
      <w:r w:rsidR="00CF44EB" w:rsidRPr="00183F36">
        <w:rPr>
          <w:szCs w:val="24"/>
        </w:rPr>
        <w:t xml:space="preserve">not only </w:t>
      </w:r>
      <w:r w:rsidR="001F27FE" w:rsidRPr="00183F36">
        <w:rPr>
          <w:szCs w:val="24"/>
        </w:rPr>
        <w:t>encouraged by thei</w:t>
      </w:r>
      <w:r w:rsidR="00CF44EB" w:rsidRPr="00183F36">
        <w:rPr>
          <w:szCs w:val="24"/>
        </w:rPr>
        <w:t xml:space="preserve">r </w:t>
      </w:r>
      <w:r w:rsidR="008C3E54" w:rsidRPr="00183F36">
        <w:rPr>
          <w:szCs w:val="24"/>
        </w:rPr>
        <w:t>c</w:t>
      </w:r>
      <w:r w:rsidR="00AF5716" w:rsidRPr="00183F36">
        <w:rPr>
          <w:szCs w:val="24"/>
        </w:rPr>
        <w:t xml:space="preserve">onstituents </w:t>
      </w:r>
      <w:r w:rsidR="00CF44EB" w:rsidRPr="00183F36">
        <w:rPr>
          <w:szCs w:val="24"/>
        </w:rPr>
        <w:t xml:space="preserve">to </w:t>
      </w:r>
      <w:r w:rsidR="00AF5716" w:rsidRPr="00183F36">
        <w:rPr>
          <w:szCs w:val="24"/>
        </w:rPr>
        <w:t xml:space="preserve">pay close attention to </w:t>
      </w:r>
      <w:r w:rsidR="00CF44EB" w:rsidRPr="00183F36">
        <w:rPr>
          <w:szCs w:val="24"/>
        </w:rPr>
        <w:t>learn</w:t>
      </w:r>
      <w:r w:rsidR="00AF5716" w:rsidRPr="00183F36">
        <w:rPr>
          <w:szCs w:val="24"/>
        </w:rPr>
        <w:t>ing</w:t>
      </w:r>
      <w:r w:rsidR="00CF44EB" w:rsidRPr="00183F36">
        <w:rPr>
          <w:szCs w:val="24"/>
        </w:rPr>
        <w:t xml:space="preserve"> from </w:t>
      </w:r>
      <w:r w:rsidR="00412442">
        <w:rPr>
          <w:szCs w:val="24"/>
        </w:rPr>
        <w:t>near-misses</w:t>
      </w:r>
      <w:r w:rsidR="00CF44EB" w:rsidRPr="00183F36">
        <w:rPr>
          <w:szCs w:val="24"/>
        </w:rPr>
        <w:t xml:space="preserve">, but </w:t>
      </w:r>
      <w:r w:rsidR="00AF5716" w:rsidRPr="00183F36">
        <w:rPr>
          <w:szCs w:val="24"/>
        </w:rPr>
        <w:t xml:space="preserve">those that </w:t>
      </w:r>
      <w:r w:rsidR="008C3E54" w:rsidRPr="00183F36">
        <w:rPr>
          <w:szCs w:val="24"/>
        </w:rPr>
        <w:t>do</w:t>
      </w:r>
      <w:r w:rsidR="00CF44EB" w:rsidRPr="00183F36">
        <w:rPr>
          <w:szCs w:val="24"/>
        </w:rPr>
        <w:t xml:space="preserve"> </w:t>
      </w:r>
      <w:r w:rsidR="00AF5716" w:rsidRPr="00183F36">
        <w:rPr>
          <w:szCs w:val="24"/>
        </w:rPr>
        <w:t xml:space="preserve">pay attention are likely to </w:t>
      </w:r>
      <w:r w:rsidR="00CF44EB" w:rsidRPr="00183F36">
        <w:rPr>
          <w:szCs w:val="24"/>
        </w:rPr>
        <w:t>improv</w:t>
      </w:r>
      <w:r w:rsidR="00AF5716" w:rsidRPr="00183F36">
        <w:rPr>
          <w:szCs w:val="24"/>
        </w:rPr>
        <w:t>e</w:t>
      </w:r>
      <w:r w:rsidR="00CF44EB" w:rsidRPr="00183F36">
        <w:rPr>
          <w:szCs w:val="24"/>
        </w:rPr>
        <w:t xml:space="preserve"> their crisis management </w:t>
      </w:r>
      <w:r w:rsidR="00174B38" w:rsidRPr="00183F36">
        <w:rPr>
          <w:szCs w:val="24"/>
        </w:rPr>
        <w:t>response strategies</w:t>
      </w:r>
      <w:r w:rsidR="00CF44EB" w:rsidRPr="00183F36">
        <w:rPr>
          <w:szCs w:val="24"/>
        </w:rPr>
        <w:t xml:space="preserve">. </w:t>
      </w:r>
    </w:p>
    <w:p w14:paraId="1BE3387C" w14:textId="688CDEFF" w:rsidR="008A33D4" w:rsidRPr="00183F36" w:rsidRDefault="00C258A5" w:rsidP="00D138A6">
      <w:pPr>
        <w:spacing w:line="480" w:lineRule="auto"/>
        <w:ind w:firstLine="720"/>
      </w:pPr>
      <w:r w:rsidRPr="00183F36">
        <w:t xml:space="preserve">By </w:t>
      </w:r>
      <w:r w:rsidR="00096622" w:rsidRPr="00183F36">
        <w:t>combining institutional theory and institutional learning</w:t>
      </w:r>
      <w:r w:rsidRPr="00183F36">
        <w:t xml:space="preserve">, the findings here provide interesting explanations on how </w:t>
      </w:r>
      <w:r w:rsidR="00096622" w:rsidRPr="00183F36">
        <w:t xml:space="preserve">different institutions trigger learning patterns. </w:t>
      </w:r>
      <w:r w:rsidRPr="00183F36">
        <w:t xml:space="preserve">One potential </w:t>
      </w:r>
      <w:r w:rsidR="00096622" w:rsidRPr="00183F36">
        <w:t xml:space="preserve">reason for </w:t>
      </w:r>
      <w:r w:rsidR="00D138A6">
        <w:t xml:space="preserve">these varied results </w:t>
      </w:r>
      <w:r w:rsidR="003F3286">
        <w:t xml:space="preserve">may </w:t>
      </w:r>
      <w:r w:rsidR="00096622" w:rsidRPr="00183F36">
        <w:t xml:space="preserve">be that tracking </w:t>
      </w:r>
      <w:r w:rsidR="00412442">
        <w:t>near-misses</w:t>
      </w:r>
      <w:r w:rsidRPr="00183F36">
        <w:t>, as related to</w:t>
      </w:r>
      <w:r w:rsidR="00465F24">
        <w:t xml:space="preserve"> supply chain </w:t>
      </w:r>
      <w:r w:rsidRPr="00183F36">
        <w:t xml:space="preserve">disruptions, </w:t>
      </w:r>
      <w:r w:rsidR="00C0351D" w:rsidRPr="00183F36">
        <w:t>is</w:t>
      </w:r>
      <w:r w:rsidR="00096622" w:rsidRPr="00183F36">
        <w:t xml:space="preserve"> not widely enforced</w:t>
      </w:r>
      <w:r w:rsidRPr="00183F36">
        <w:t xml:space="preserve">. Interestingly, </w:t>
      </w:r>
      <w:r w:rsidRPr="001A54B5">
        <w:rPr>
          <w:noProof/>
        </w:rPr>
        <w:t>industrial</w:t>
      </w:r>
      <w:r w:rsidRPr="00183F36">
        <w:t xml:space="preserve"> norms and practices seem more effective in this regard than </w:t>
      </w:r>
      <w:r w:rsidR="00096622" w:rsidRPr="00183F36">
        <w:t>regulation</w:t>
      </w:r>
      <w:r w:rsidRPr="00183F36">
        <w:t>s</w:t>
      </w:r>
      <w:r w:rsidR="00096622" w:rsidRPr="00183F36">
        <w:t xml:space="preserve">. This finding </w:t>
      </w:r>
      <w:r w:rsidR="00980494" w:rsidRPr="00183F36">
        <w:t>is in contrast to</w:t>
      </w:r>
      <w:r w:rsidR="00096622" w:rsidRPr="00183F36">
        <w:t xml:space="preserve"> research on environmental </w:t>
      </w:r>
      <w:r w:rsidR="002202AA" w:rsidRPr="00183F36">
        <w:t>practices,</w:t>
      </w:r>
      <w:r w:rsidR="00096622" w:rsidRPr="00183F36">
        <w:t xml:space="preserve"> which </w:t>
      </w:r>
      <w:r w:rsidR="00D138A6">
        <w:t xml:space="preserve">has </w:t>
      </w:r>
      <w:r w:rsidR="002202AA" w:rsidRPr="00183F36">
        <w:t>showcase</w:t>
      </w:r>
      <w:r w:rsidR="00D138A6">
        <w:t>d</w:t>
      </w:r>
      <w:r w:rsidR="00096622" w:rsidRPr="00183F36">
        <w:t xml:space="preserve"> </w:t>
      </w:r>
      <w:r w:rsidR="00B87A1F" w:rsidRPr="00183F36">
        <w:t>how</w:t>
      </w:r>
      <w:r w:rsidR="00096622" w:rsidRPr="00183F36">
        <w:t xml:space="preserve"> regulatory </w:t>
      </w:r>
      <w:r w:rsidR="00980494" w:rsidRPr="00183F36">
        <w:t>pressure</w:t>
      </w:r>
      <w:r w:rsidR="00096622" w:rsidRPr="00183F36">
        <w:t xml:space="preserve"> leads </w:t>
      </w:r>
      <w:r w:rsidR="00980494" w:rsidRPr="00183F36">
        <w:t>firms to implement practices that t</w:t>
      </w:r>
      <w:r w:rsidR="009513A8" w:rsidRPr="00183F36">
        <w:t>hey otherwise would only symbol</w:t>
      </w:r>
      <w:r w:rsidR="00980494" w:rsidRPr="00183F36">
        <w:t>ica</w:t>
      </w:r>
      <w:r w:rsidR="009513A8" w:rsidRPr="00183F36">
        <w:t>l</w:t>
      </w:r>
      <w:r w:rsidR="00980494" w:rsidRPr="00183F36">
        <w:t xml:space="preserve">ly </w:t>
      </w:r>
      <w:r w:rsidR="002202AA" w:rsidRPr="00183F36">
        <w:t xml:space="preserve">address </w:t>
      </w:r>
      <w:r w:rsidR="006135EF">
        <w:fldChar w:fldCharType="begin"/>
      </w:r>
      <w:r w:rsidR="006135EF">
        <w:instrText xml:space="preserve"> ADDIN EN.CITE &lt;EndNote&gt;&lt;Cite&gt;&lt;Author&gt;Short&lt;/Author&gt;&lt;Year&gt;2010&lt;/Year&gt;&lt;RecNum&gt;1358&lt;/RecNum&gt;&lt;DisplayText&gt;(Short and Toffel, 2010)&lt;/DisplayText&gt;&lt;record&gt;&lt;rec-number&gt;1358&lt;/rec-number&gt;&lt;foreign-keys&gt;&lt;key app="EN" db-id="0w05zrd59zdxwmexsxlxa0purxdzd2svavae" timestamp="0"&gt;1358&lt;/key&gt;&lt;/foreign-keys&gt;&lt;ref-type name="Journal Article"&gt;17&lt;/ref-type&gt;&lt;contributors&gt;&lt;authors&gt;&lt;author&gt;Short, J. L.&lt;/author&gt;&lt;author&gt;Toffel, M. W.&lt;/author&gt;&lt;/authors&gt;&lt;/contributors&gt;&lt;titles&gt;&lt;title&gt;Making self-regulation more than merely symbolic: The critical role of the legal environment&lt;/title&gt;&lt;secondary-title&gt;Administrative Science Quarterly&lt;/secondary-title&gt;&lt;/titles&gt;&lt;pages&gt;361-396&lt;/pages&gt;&lt;volume&gt;55&lt;/volume&gt;&lt;number&gt;3&lt;/number&gt;&lt;dates&gt;&lt;year&gt;2010&lt;/year&gt;&lt;/dates&gt;&lt;urls&gt;&lt;/urls&gt;&lt;/record&gt;&lt;/Cite&gt;&lt;/EndNote&gt;</w:instrText>
      </w:r>
      <w:r w:rsidR="006135EF">
        <w:fldChar w:fldCharType="separate"/>
      </w:r>
      <w:r w:rsidR="006135EF">
        <w:rPr>
          <w:noProof/>
        </w:rPr>
        <w:t>(</w:t>
      </w:r>
      <w:hyperlink w:anchor="_ENREF_85" w:tooltip="Short, 2010 #1358" w:history="1">
        <w:r w:rsidR="006135EF" w:rsidRPr="004C6DEC">
          <w:rPr>
            <w:rStyle w:val="Hyperlink"/>
            <w:noProof/>
          </w:rPr>
          <w:t>Short and Toffel, 2010</w:t>
        </w:r>
      </w:hyperlink>
      <w:r w:rsidR="006135EF">
        <w:rPr>
          <w:noProof/>
        </w:rPr>
        <w:t>)</w:t>
      </w:r>
      <w:r w:rsidR="006135EF">
        <w:fldChar w:fldCharType="end"/>
      </w:r>
      <w:r w:rsidR="006135EF">
        <w:t xml:space="preserve">. </w:t>
      </w:r>
      <w:r w:rsidR="00D138A6">
        <w:t>I</w:t>
      </w:r>
      <w:r w:rsidR="00980494" w:rsidRPr="00183F36">
        <w:t xml:space="preserve">t has also been shown that </w:t>
      </w:r>
      <w:r w:rsidR="002202AA" w:rsidRPr="001A54B5">
        <w:rPr>
          <w:noProof/>
        </w:rPr>
        <w:t xml:space="preserve">industry-based </w:t>
      </w:r>
      <w:r w:rsidR="00980494" w:rsidRPr="001A54B5">
        <w:rPr>
          <w:noProof/>
        </w:rPr>
        <w:t>interests</w:t>
      </w:r>
      <w:r w:rsidR="00096622" w:rsidRPr="00183F36">
        <w:t xml:space="preserve"> (</w:t>
      </w:r>
      <w:r w:rsidR="00096622" w:rsidRPr="001A54B5">
        <w:rPr>
          <w:noProof/>
        </w:rPr>
        <w:t>e.g.</w:t>
      </w:r>
      <w:r w:rsidR="001A54B5">
        <w:rPr>
          <w:noProof/>
        </w:rPr>
        <w:t>,</w:t>
      </w:r>
      <w:r w:rsidR="00096622" w:rsidRPr="00183F36">
        <w:t xml:space="preserve"> </w:t>
      </w:r>
      <w:r w:rsidR="00980494" w:rsidRPr="00183F36">
        <w:t xml:space="preserve">provided </w:t>
      </w:r>
      <w:r w:rsidR="00096622" w:rsidRPr="00183F36">
        <w:t xml:space="preserve">through contractual partners) </w:t>
      </w:r>
      <w:r w:rsidRPr="00183F36">
        <w:t xml:space="preserve">can be </w:t>
      </w:r>
      <w:r w:rsidR="00980494" w:rsidRPr="00183F36">
        <w:t>important to nurture activities that go beyond compliance and</w:t>
      </w:r>
      <w:r w:rsidR="00D138A6">
        <w:t xml:space="preserve"> lead to committed implementation</w:t>
      </w:r>
      <w:r w:rsidR="00391D15" w:rsidRPr="00183F36">
        <w:t xml:space="preserve"> </w:t>
      </w:r>
      <w:r w:rsidR="00795648">
        <w:fldChar w:fldCharType="begin" w:fldLock="1"/>
      </w:r>
      <w:r w:rsidR="00795648">
        <w:instrText>ADDIN CSL_CITATION { "citationItems" : [ { "id" : "ITEM-1", "itemData" : { "abstract" : "This study adopts the opposing theoretical views of legitimacy ? institutional and strategic ? in evaluating firm performance and top management commitment as antecedents to green procurement and green supplier development. Additionally, the impact of green procurement and green supplier development on supplier performance is analysed. Using a sample of western European companies, we develop a structural equation model to test our hypotheses. We find that the buying firm?s market performance positively relates to the adoption of green procurement. While financial performance has no effect on green procurement, top management commitment is found to be an important driver of both green procurement and green supplier development. Moreover, the relationship between green procurement and supplier performance is fully mediated by green supplier development. The paper addresses a research gap concerning firm-level antecedents for green procurement and green supplier development showing that both practices may impact supplier performance. Furthermore, it is shown that legitimacy concerns drive basic green procurement, whereas top management is decisive for advanced practices, such as green supplier development.", "author" : [ { "dropping-particle" : "", "family" : "Blome", "given" : "Constantin", "non-dropping-particle" : "", "parse-names" : false, "suffix" : "" }, { "dropping-particle" : "", "family" : "Hollos", "given" : "Daniel", "non-dropping-particle" : "", "parse-names" : false, "suffix" : "" }, { "dropping-particle" : "", "family" : "Paulraj", "given" : "Antony", "non-dropping-particle" : "", "parse-names" : false, "suffix" : "" } ], "container-title" : "International Journal of Production Research", "id" : "ITEM-1", "issue" : "1", "issued" : { "date-parts" : [ [ "2014", "1", "2" ] ] }, "note" : "doi: 10.1080/00207543.2013.825748", "page" : "32-49", "publisher" : "Taylor &amp; Francis", "title" : "Green procurement and green supplier development: antecedents and effects on supplier performance", "type" : "article-journal", "volume" : "52" }, "uris" : [ "http://www.mendeley.com/documents/?uuid=ed443a84-619f-43a7-a60f-04a6c30069c7" ] } ], "mendeley" : { "formattedCitation" : "(Blome et al., 2014a)", "plainTextFormattedCitation" : "(Blome et al., 2014a)", "previouslyFormattedCitation" : "(Blome et al., 2014a)" }, "properties" : {  }, "schema" : "https://github.com/citation-style-language/schema/raw/master/csl-citation.json" }</w:instrText>
      </w:r>
      <w:r w:rsidR="00795648">
        <w:fldChar w:fldCharType="end"/>
      </w:r>
      <w:r w:rsidR="00391D15" w:rsidRPr="00183F36">
        <w:fldChar w:fldCharType="begin"/>
      </w:r>
      <w:r w:rsidR="009B619A">
        <w:instrText xml:space="preserve"> ADDIN EN.CITE &lt;EndNote&gt;&lt;Cite&gt;&lt;Author&gt;Blome&lt;/Author&gt;&lt;Year&gt;2015&lt;/Year&gt;&lt;RecNum&gt;1359&lt;/RecNum&gt;&lt;DisplayText&gt;(Blome et al., 2015)&lt;/DisplayText&gt;&lt;record&gt;&lt;rec-number&gt;1359&lt;/rec-number&gt;&lt;foreign-keys&gt;&lt;key app="EN" db-id="0w05zrd59zdxwmexsxlxa0purxdzd2svavae" timestamp="0"&gt;1359&lt;/key&gt;&lt;/foreign-keys&gt;&lt;ref-type name="Journal Article"&gt;17&lt;/ref-type&gt;&lt;contributors&gt;&lt;authors&gt;&lt;author&gt;Blome, C.&lt;/author&gt;&lt;author&gt;Hollos, D.&lt;/author&gt;&lt;author&gt;Paulraj, A. &lt;/author&gt;&lt;/authors&gt;&lt;/contributors&gt;&lt;titles&gt;&lt;title&gt;Green procurement and green supplier development: antecedents and effects on supplier performance&lt;/title&gt;&lt;secondary-title&gt;International Journal of Production Research&lt;/secondary-title&gt;&lt;/titles&gt;&lt;periodical&gt;&lt;full-title&gt;International Journal of Production Research&lt;/full-title&gt;&lt;/periodical&gt;&lt;pages&gt;32-49&lt;/pages&gt;&lt;volume&gt;52&lt;/volume&gt;&lt;number&gt;1&lt;/number&gt;&lt;dates&gt;&lt;year&gt;2015&lt;/year&gt;&lt;/dates&gt;&lt;urls&gt;&lt;/urls&gt;&lt;/record&gt;&lt;/Cite&gt;&lt;/EndNote&gt;</w:instrText>
      </w:r>
      <w:r w:rsidR="00391D15" w:rsidRPr="00183F36">
        <w:fldChar w:fldCharType="separate"/>
      </w:r>
      <w:r w:rsidR="009B619A">
        <w:rPr>
          <w:noProof/>
        </w:rPr>
        <w:t>(</w:t>
      </w:r>
      <w:hyperlink w:anchor="_ENREF_12" w:tooltip="Blome, 2015 #1359" w:history="1">
        <w:r w:rsidR="009B619A" w:rsidRPr="004C6DEC">
          <w:rPr>
            <w:rStyle w:val="Hyperlink"/>
            <w:noProof/>
          </w:rPr>
          <w:t>Blome et al., 2015</w:t>
        </w:r>
      </w:hyperlink>
      <w:r w:rsidR="009B619A">
        <w:rPr>
          <w:noProof/>
        </w:rPr>
        <w:t>)</w:t>
      </w:r>
      <w:r w:rsidR="00391D15" w:rsidRPr="00183F36">
        <w:fldChar w:fldCharType="end"/>
      </w:r>
      <w:r w:rsidR="00391D15" w:rsidRPr="00183F36">
        <w:t xml:space="preserve">. </w:t>
      </w:r>
    </w:p>
    <w:p w14:paraId="2730F4A2" w14:textId="2BDB7864" w:rsidR="00AB1C22" w:rsidRPr="00183F36" w:rsidRDefault="00AB1C22" w:rsidP="00AB1C22">
      <w:pPr>
        <w:rPr>
          <w:b/>
        </w:rPr>
      </w:pPr>
      <w:r w:rsidRPr="00183F36">
        <w:rPr>
          <w:b/>
        </w:rPr>
        <w:t>Conclusion</w:t>
      </w:r>
      <w:r w:rsidR="001B4CEB" w:rsidRPr="00183F36">
        <w:rPr>
          <w:b/>
        </w:rPr>
        <w:t xml:space="preserve"> &amp; Contribution</w:t>
      </w:r>
    </w:p>
    <w:p w14:paraId="6EE01FCD" w14:textId="77777777" w:rsidR="00AB1C22" w:rsidRPr="00183F36" w:rsidRDefault="00AB1C22" w:rsidP="003C515F"/>
    <w:p w14:paraId="0661D9C5" w14:textId="08C80CAE" w:rsidR="00793E46" w:rsidRPr="00183F36" w:rsidRDefault="00C03296" w:rsidP="00793E46">
      <w:pPr>
        <w:spacing w:line="480" w:lineRule="auto"/>
        <w:ind w:firstLine="720"/>
      </w:pPr>
      <w:r>
        <w:t xml:space="preserve">As of late, </w:t>
      </w:r>
      <w:r w:rsidR="001A54B5">
        <w:t xml:space="preserve">the </w:t>
      </w:r>
      <w:r w:rsidRPr="001A54B5">
        <w:rPr>
          <w:noProof/>
        </w:rPr>
        <w:t>literature</w:t>
      </w:r>
      <w:r>
        <w:t xml:space="preserve"> on supply chain risk has highlighted the importance of supply chain resilience in facing disruptions </w:t>
      </w:r>
      <w:r w:rsidR="006135EF">
        <w:fldChar w:fldCharType="begin">
          <w:fldData xml:space="preserve">PEVuZE5vdGU+PENpdGU+PEF1dGhvcj5DcmFpZ2hlYWQ8L0F1dGhvcj48WWVhcj4yMDA3PC9ZZWFy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</w:fldData>
        </w:fldChar>
      </w:r>
      <w:r w:rsidR="00627756">
        <w:instrText xml:space="preserve"> ADDIN EN.CITE </w:instrText>
      </w:r>
      <w:r w:rsidR="00627756">
        <w:fldChar w:fldCharType="begin">
          <w:fldData xml:space="preserve">PEVuZE5vdGU+PENpdGU+PEF1dGhvcj5DcmFpZ2hlYWQ8L0F1dGhvcj48WWVhcj4yMDA3PC9ZZWFy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</w:fldData>
        </w:fldChar>
      </w:r>
      <w:r w:rsidR="00627756">
        <w:instrText xml:space="preserve"> ADDIN EN.CITE.DATA </w:instrText>
      </w:r>
      <w:r w:rsidR="00627756">
        <w:fldChar w:fldCharType="end"/>
      </w:r>
      <w:r w:rsidR="006135EF">
        <w:fldChar w:fldCharType="separate"/>
      </w:r>
      <w:r w:rsidR="006135EF">
        <w:rPr>
          <w:noProof/>
        </w:rPr>
        <w:t>(</w:t>
      </w:r>
      <w:hyperlink w:anchor="_ENREF_11" w:tooltip="Blackhurst, 2011 #941" w:history="1">
        <w:r w:rsidR="006135EF" w:rsidRPr="004C6DEC">
          <w:rPr>
            <w:rStyle w:val="Hyperlink"/>
            <w:noProof/>
          </w:rPr>
          <w:t>Blackhurst et al., 2011</w:t>
        </w:r>
      </w:hyperlink>
      <w:r w:rsidR="006135EF">
        <w:rPr>
          <w:noProof/>
        </w:rPr>
        <w:t xml:space="preserve">; </w:t>
      </w:r>
      <w:hyperlink w:anchor="_ENREF_22" w:tooltip="Craighead, 2007 #995" w:history="1">
        <w:r w:rsidR="006135EF" w:rsidRPr="004C6DEC">
          <w:rPr>
            <w:rStyle w:val="Hyperlink"/>
            <w:noProof/>
          </w:rPr>
          <w:t>Craighead et al., 2007</w:t>
        </w:r>
      </w:hyperlink>
      <w:r w:rsidR="006135EF">
        <w:rPr>
          <w:noProof/>
        </w:rPr>
        <w:t xml:space="preserve">; </w:t>
      </w:r>
      <w:hyperlink w:anchor="_ENREF_67" w:tooltip="Pettit, 2010 #1200" w:history="1">
        <w:r w:rsidR="006135EF" w:rsidRPr="004C6DEC">
          <w:rPr>
            <w:rStyle w:val="Hyperlink"/>
            <w:noProof/>
          </w:rPr>
          <w:t>Pettit et al., 2010</w:t>
        </w:r>
      </w:hyperlink>
      <w:r w:rsidR="006135EF">
        <w:rPr>
          <w:noProof/>
        </w:rPr>
        <w:t>)</w:t>
      </w:r>
      <w:r w:rsidR="006135EF">
        <w:fldChar w:fldCharType="end"/>
      </w:r>
      <w:r w:rsidR="006135EF">
        <w:t>.</w:t>
      </w:r>
      <w:r>
        <w:t xml:space="preserve"> In this </w:t>
      </w:r>
      <w:r w:rsidRPr="001A54B5">
        <w:rPr>
          <w:noProof/>
        </w:rPr>
        <w:t>study</w:t>
      </w:r>
      <w:r w:rsidR="001A54B5">
        <w:rPr>
          <w:noProof/>
        </w:rPr>
        <w:t>,</w:t>
      </w:r>
      <w:r>
        <w:t xml:space="preserve"> we enquired as to whether exposure to </w:t>
      </w:r>
      <w:r w:rsidR="00412442">
        <w:t>near-misses</w:t>
      </w:r>
      <w:r w:rsidR="00793E46" w:rsidRPr="00183F36">
        <w:t xml:space="preserve"> </w:t>
      </w:r>
      <w:r>
        <w:t xml:space="preserve">can help </w:t>
      </w:r>
      <w:r w:rsidR="00793E46" w:rsidRPr="00183F36">
        <w:t>companies refine their response strategies in f</w:t>
      </w:r>
      <w:r>
        <w:t>ac</w:t>
      </w:r>
      <w:r w:rsidR="00D138A6">
        <w:t>ing</w:t>
      </w:r>
      <w:r w:rsidR="00465F24">
        <w:t xml:space="preserve"> supply chain </w:t>
      </w:r>
      <w:r>
        <w:t>disruptions.</w:t>
      </w:r>
      <w:r w:rsidR="00793E46" w:rsidRPr="00183F36">
        <w:t xml:space="preserve"> Judging from the focus that many industry leaders place on </w:t>
      </w:r>
      <w:r w:rsidR="00257F56">
        <w:t>near-miss</w:t>
      </w:r>
      <w:r w:rsidR="00793E46" w:rsidRPr="00183F36">
        <w:t xml:space="preserve">es, the question should be of interest to practitioners </w:t>
      </w:r>
      <w:r w:rsidR="00793E46" w:rsidRPr="00183F36">
        <w:lastRenderedPageBreak/>
        <w:t>and researchers alike</w:t>
      </w:r>
      <w:r w:rsidR="00054704">
        <w:t xml:space="preserve">. </w:t>
      </w:r>
      <w:r w:rsidR="00793E46" w:rsidRPr="00183F36">
        <w:t xml:space="preserve">Theoretically, organizational learning scholars suggest that </w:t>
      </w:r>
      <w:r w:rsidR="00D138A6">
        <w:t xml:space="preserve">companies can learn from these </w:t>
      </w:r>
      <w:r w:rsidR="00D138A6" w:rsidRPr="00D138A6">
        <w:rPr>
          <w:i/>
        </w:rPr>
        <w:t>close-calls</w:t>
      </w:r>
      <w:r w:rsidR="00793E46" w:rsidRPr="00183F36">
        <w:t xml:space="preserve"> to better prepare for and limit the potential for larger size disruptions. While earlier studies in other fields offer mixed findings on the learning potentials from </w:t>
      </w:r>
      <w:r w:rsidR="00257F56">
        <w:t>near-miss</w:t>
      </w:r>
      <w:r w:rsidR="00793E46" w:rsidRPr="00183F36">
        <w:t xml:space="preserve">es, we find that firms do indeed learn significantly from such events. </w:t>
      </w:r>
    </w:p>
    <w:p w14:paraId="706F0A7B" w14:textId="0F3D0467" w:rsidR="00281071" w:rsidRPr="00183F36" w:rsidRDefault="00281071" w:rsidP="00281071">
      <w:pPr>
        <w:spacing w:line="480" w:lineRule="auto"/>
        <w:ind w:firstLine="720"/>
      </w:pPr>
      <w:r w:rsidRPr="00183F36">
        <w:t xml:space="preserve">Beyond </w:t>
      </w:r>
      <w:r w:rsidR="00D138A6" w:rsidRPr="00183F36">
        <w:t xml:space="preserve">extending </w:t>
      </w:r>
      <w:r w:rsidR="00D138A6">
        <w:t xml:space="preserve">previous </w:t>
      </w:r>
      <w:r w:rsidR="00E01063" w:rsidRPr="00183F36">
        <w:t xml:space="preserve">findings </w:t>
      </w:r>
      <w:r w:rsidR="00E01063" w:rsidRPr="001A54B5">
        <w:rPr>
          <w:noProof/>
        </w:rPr>
        <w:t>about</w:t>
      </w:r>
      <w:r w:rsidR="00E01063" w:rsidRPr="00183F36">
        <w:t xml:space="preserve"> </w:t>
      </w:r>
      <w:r w:rsidR="00412442">
        <w:t>near-misses</w:t>
      </w:r>
      <w:r w:rsidRPr="00183F36">
        <w:t xml:space="preserve"> to the supply chain context, th</w:t>
      </w:r>
      <w:r w:rsidR="00E01063" w:rsidRPr="00183F36">
        <w:t>is</w:t>
      </w:r>
      <w:r w:rsidRPr="00183F36">
        <w:t xml:space="preserve"> study offers other contributions to research and practitioner fields. </w:t>
      </w:r>
      <w:r w:rsidRPr="001A54B5">
        <w:rPr>
          <w:noProof/>
        </w:rPr>
        <w:t>To start</w:t>
      </w:r>
      <w:r w:rsidRPr="00183F36">
        <w:t>, th</w:t>
      </w:r>
      <w:r w:rsidR="00D138A6">
        <w:t>is</w:t>
      </w:r>
      <w:r w:rsidRPr="00183F36">
        <w:t xml:space="preserve"> work offers theoretical arguments and empirical evidence on how companies learn from and incorporate their learning.  Specifically, the fact that </w:t>
      </w:r>
      <w:r w:rsidR="00412442">
        <w:t>near-misses</w:t>
      </w:r>
      <w:r w:rsidRPr="00183F36">
        <w:t xml:space="preserve"> are important influences on </w:t>
      </w:r>
      <w:r w:rsidR="001A54B5">
        <w:t xml:space="preserve">the </w:t>
      </w:r>
      <w:r w:rsidRPr="001A54B5">
        <w:rPr>
          <w:noProof/>
        </w:rPr>
        <w:t>second</w:t>
      </w:r>
      <w:r w:rsidRPr="00183F36">
        <w:t xml:space="preserve"> order, and arguably long term, learning approaches by companies is </w:t>
      </w:r>
      <w:r w:rsidR="001A54B5">
        <w:t xml:space="preserve">a </w:t>
      </w:r>
      <w:r w:rsidRPr="001A54B5">
        <w:rPr>
          <w:noProof/>
        </w:rPr>
        <w:t>contribution</w:t>
      </w:r>
      <w:r w:rsidRPr="00183F36">
        <w:t xml:space="preserve"> that can be benefited from by researchers and practitioners in supply chain management. </w:t>
      </w:r>
    </w:p>
    <w:p w14:paraId="6EF200B3" w14:textId="5FE27D4D" w:rsidR="00281071" w:rsidRPr="00183F36" w:rsidRDefault="00E01063" w:rsidP="008C3E54">
      <w:pPr>
        <w:widowControl w:val="0"/>
        <w:spacing w:line="480" w:lineRule="auto"/>
        <w:ind w:firstLine="720"/>
      </w:pPr>
      <w:r w:rsidRPr="00183F36">
        <w:t>C</w:t>
      </w:r>
      <w:r w:rsidR="00281071" w:rsidRPr="00183F36">
        <w:t xml:space="preserve">ontribution to organizational theory stems from the effort to combine two theories often applied to explain very dissimilar phenomena in tandem. As we </w:t>
      </w:r>
      <w:r w:rsidR="00281071" w:rsidRPr="001A54B5">
        <w:rPr>
          <w:noProof/>
        </w:rPr>
        <w:t>note</w:t>
      </w:r>
      <w:r w:rsidR="001A54B5">
        <w:rPr>
          <w:noProof/>
        </w:rPr>
        <w:t>d</w:t>
      </w:r>
      <w:r w:rsidR="00281071" w:rsidRPr="00183F36">
        <w:t xml:space="preserve"> above, organizations do not learn in a vacuum and what they focus </w:t>
      </w:r>
      <w:r w:rsidR="001A54B5">
        <w:rPr>
          <w:noProof/>
        </w:rPr>
        <w:t>on learning</w:t>
      </w:r>
      <w:r w:rsidR="00281071" w:rsidRPr="001A54B5">
        <w:rPr>
          <w:noProof/>
        </w:rPr>
        <w:t xml:space="preserve"> </w:t>
      </w:r>
      <w:r w:rsidRPr="001A54B5">
        <w:rPr>
          <w:noProof/>
        </w:rPr>
        <w:t>about</w:t>
      </w:r>
      <w:r w:rsidRPr="00183F36">
        <w:t xml:space="preserve"> </w:t>
      </w:r>
      <w:r w:rsidR="00281071" w:rsidRPr="00183F36">
        <w:t>is contingent on external pressures.  With regards to institutional pressures, we extend research by highlighting how, to our surprise, forceful and coercive pressures based on authorita</w:t>
      </w:r>
      <w:r w:rsidRPr="00183F36">
        <w:t xml:space="preserve">tive </w:t>
      </w:r>
      <w:r w:rsidR="00281071" w:rsidRPr="00183F36">
        <w:t xml:space="preserve">voices may be </w:t>
      </w:r>
      <w:r w:rsidRPr="00183F36">
        <w:t>less</w:t>
      </w:r>
      <w:r w:rsidR="00281071" w:rsidRPr="00183F36">
        <w:t xml:space="preserve"> effective. </w:t>
      </w:r>
      <w:r w:rsidRPr="00183F36">
        <w:t xml:space="preserve">Instead, </w:t>
      </w:r>
      <w:r w:rsidR="001A54B5">
        <w:t xml:space="preserve">the </w:t>
      </w:r>
      <w:r w:rsidRPr="001A54B5">
        <w:rPr>
          <w:noProof/>
        </w:rPr>
        <w:t>influence</w:t>
      </w:r>
      <w:r w:rsidRPr="00183F36">
        <w:t xml:space="preserve"> of one’s industrial comrades may be more potent. </w:t>
      </w:r>
    </w:p>
    <w:p w14:paraId="47E5E1E0" w14:textId="3C91FB56" w:rsidR="005F2C88" w:rsidRPr="00183F36" w:rsidRDefault="005F2C88" w:rsidP="0092728B">
      <w:pPr>
        <w:spacing w:line="480" w:lineRule="auto"/>
        <w:rPr>
          <w:b/>
        </w:rPr>
      </w:pPr>
      <w:r w:rsidRPr="00183F36">
        <w:rPr>
          <w:b/>
        </w:rPr>
        <w:t>Limitations</w:t>
      </w:r>
      <w:r w:rsidR="00A1460D" w:rsidRPr="00183F36">
        <w:rPr>
          <w:b/>
        </w:rPr>
        <w:t xml:space="preserve"> &amp; Future Research</w:t>
      </w:r>
    </w:p>
    <w:p w14:paraId="3061DF03" w14:textId="3F4C5CFE" w:rsidR="003E43D3" w:rsidRPr="00183F36" w:rsidRDefault="001B4CEB" w:rsidP="0092728B">
      <w:pPr>
        <w:spacing w:line="480" w:lineRule="auto"/>
      </w:pPr>
      <w:r w:rsidRPr="00183F36">
        <w:t xml:space="preserve">Findings </w:t>
      </w:r>
      <w:r w:rsidR="003E43D3" w:rsidRPr="00183F36">
        <w:t xml:space="preserve">in this study should </w:t>
      </w:r>
      <w:r w:rsidR="003E43D3" w:rsidRPr="001A54B5">
        <w:rPr>
          <w:noProof/>
        </w:rPr>
        <w:t>be considered</w:t>
      </w:r>
      <w:r w:rsidR="003E43D3" w:rsidRPr="00183F36">
        <w:t xml:space="preserve"> alongside their potential limitations. First, </w:t>
      </w:r>
      <w:r w:rsidR="00412442">
        <w:t>near-misses</w:t>
      </w:r>
      <w:r w:rsidR="003E43D3" w:rsidRPr="00183F36">
        <w:t xml:space="preserve"> are ambiguous phenomena that </w:t>
      </w:r>
      <w:r w:rsidR="00006D93" w:rsidRPr="00183F36">
        <w:t xml:space="preserve">may be </w:t>
      </w:r>
      <w:r w:rsidR="003E43D3" w:rsidRPr="00183F36">
        <w:t xml:space="preserve">documented using </w:t>
      </w:r>
      <w:r w:rsidR="00006D93" w:rsidRPr="00183F36">
        <w:t>different</w:t>
      </w:r>
      <w:r w:rsidR="003E43D3" w:rsidRPr="00183F36">
        <w:t xml:space="preserve"> methods. We measured </w:t>
      </w:r>
      <w:r w:rsidR="00412442">
        <w:t>near-misses</w:t>
      </w:r>
      <w:r w:rsidR="003E43D3" w:rsidRPr="00183F36">
        <w:t xml:space="preserve"> using a count variable. </w:t>
      </w:r>
      <w:r w:rsidR="00DE05E1">
        <w:t>F</w:t>
      </w:r>
      <w:r w:rsidR="003E43D3" w:rsidRPr="00183F36">
        <w:t xml:space="preserve">uture research may consider looking at differentiating </w:t>
      </w:r>
      <w:r w:rsidR="00257F56">
        <w:t>near-miss</w:t>
      </w:r>
      <w:r w:rsidR="003E43D3" w:rsidRPr="00183F36">
        <w:t xml:space="preserve">es based on their source, level of potential impact and </w:t>
      </w:r>
      <w:r w:rsidR="001A54B5">
        <w:t xml:space="preserve">the </w:t>
      </w:r>
      <w:r w:rsidR="003E43D3" w:rsidRPr="001A54B5">
        <w:rPr>
          <w:noProof/>
        </w:rPr>
        <w:t>possible</w:t>
      </w:r>
      <w:r w:rsidR="003E43D3" w:rsidRPr="00183F36">
        <w:t xml:space="preserve"> probability of leading to actual disruptions. Second, we focused on </w:t>
      </w:r>
      <w:r w:rsidR="00DE05E1">
        <w:t xml:space="preserve">only </w:t>
      </w:r>
      <w:r w:rsidR="003E43D3" w:rsidRPr="00183F36">
        <w:t>two important institutional pressures. Future studies may consider incorporating external pressures that represent mimetic pressures, such as that related to competitors</w:t>
      </w:r>
      <w:r w:rsidR="0029759D">
        <w:t>.</w:t>
      </w:r>
    </w:p>
    <w:p w14:paraId="3E819048" w14:textId="2FA840C4" w:rsidR="005F2C88" w:rsidRDefault="005F2C88" w:rsidP="003C515F">
      <w:pPr>
        <w:rPr>
          <w:b/>
        </w:rPr>
      </w:pPr>
      <w:r w:rsidRPr="00183F36">
        <w:rPr>
          <w:b/>
        </w:rPr>
        <w:t xml:space="preserve">References </w:t>
      </w:r>
    </w:p>
    <w:p w14:paraId="17DBF2F1" w14:textId="77777777" w:rsidR="00F40F94" w:rsidRDefault="00F40F94" w:rsidP="003C515F">
      <w:pPr>
        <w:rPr>
          <w:b/>
        </w:rPr>
      </w:pPr>
    </w:p>
    <w:p w14:paraId="519DF620" w14:textId="77777777" w:rsidR="009B619A" w:rsidRDefault="009B619A"/>
    <w:p w14:paraId="3CA17F7A" w14:textId="77777777" w:rsidR="004C6DEC" w:rsidRPr="004C6DEC" w:rsidRDefault="009B619A" w:rsidP="004C6DEC">
      <w:pPr>
        <w:pStyle w:val="EndNoteBibliography"/>
      </w:pPr>
      <w:r>
        <w:fldChar w:fldCharType="begin"/>
      </w:r>
      <w:r>
        <w:instrText xml:space="preserve"> ADDIN EN.REFLIST </w:instrText>
      </w:r>
      <w:r>
        <w:fldChar w:fldCharType="separate"/>
      </w:r>
      <w:bookmarkStart w:id="27" w:name="_ENREF_1"/>
      <w:r w:rsidR="004C6DEC" w:rsidRPr="004C6DEC">
        <w:t>Andriulo, S., Gnoni, M., 2014. Measuring the effectiveness of a near-miss management system: An application in an automotive firm supplier. Reliability Engineering &amp; System Safety 132 154-162.</w:t>
      </w:r>
      <w:bookmarkEnd w:id="27"/>
    </w:p>
    <w:p w14:paraId="54E1BE7C" w14:textId="77777777" w:rsidR="004C6DEC" w:rsidRPr="004C6DEC" w:rsidRDefault="004C6DEC" w:rsidP="004C6DEC">
      <w:pPr>
        <w:pStyle w:val="EndNoteBibliography"/>
      </w:pPr>
      <w:bookmarkStart w:id="28" w:name="_ENREF_2"/>
      <w:r w:rsidRPr="004C6DEC">
        <w:t>Argyris, C., 1976. Single-loop and double-loop models in research on decision making. Administrative Science Quarterly 21 (3), 363-375.</w:t>
      </w:r>
      <w:bookmarkEnd w:id="28"/>
    </w:p>
    <w:p w14:paraId="33B95460" w14:textId="77777777" w:rsidR="004C6DEC" w:rsidRPr="004C6DEC" w:rsidRDefault="004C6DEC" w:rsidP="004C6DEC">
      <w:pPr>
        <w:pStyle w:val="EndNoteBibliography"/>
      </w:pPr>
      <w:bookmarkStart w:id="29" w:name="_ENREF_3"/>
      <w:r w:rsidRPr="004C6DEC">
        <w:t>Argyris, C., Schön, D.A., 1974. Theory in practice: Increasing professional effectiveness. Jossey-Bass Inc, Publishers, San Francisco.</w:t>
      </w:r>
      <w:bookmarkEnd w:id="29"/>
    </w:p>
    <w:p w14:paraId="6D028C8C" w14:textId="77777777" w:rsidR="004C6DEC" w:rsidRPr="004C6DEC" w:rsidRDefault="004C6DEC" w:rsidP="004C6DEC">
      <w:pPr>
        <w:pStyle w:val="EndNoteBibliography"/>
      </w:pPr>
      <w:bookmarkStart w:id="30" w:name="_ENREF_4"/>
      <w:r w:rsidRPr="004C6DEC">
        <w:t>Azadegan, A., Dooley, K.J., 2010. Supplier innovativeness, organizational learning styles and manufacturer performance: An empirical assessment. Journal of Operations Management 28 (6), 488-505.</w:t>
      </w:r>
      <w:bookmarkEnd w:id="30"/>
    </w:p>
    <w:p w14:paraId="2A329463" w14:textId="77777777" w:rsidR="004C6DEC" w:rsidRPr="004C6DEC" w:rsidRDefault="004C6DEC" w:rsidP="004C6DEC">
      <w:pPr>
        <w:pStyle w:val="EndNoteBibliography"/>
      </w:pPr>
      <w:bookmarkStart w:id="31" w:name="_ENREF_5"/>
      <w:r w:rsidRPr="004C6DEC">
        <w:t>Azadegan, A., Jayaram, J., 2018. Resiliency in supply chain systems: a triadic framework using family resilience model, Supply Chain Risk Management. Springer, pp. 269-288.</w:t>
      </w:r>
      <w:bookmarkEnd w:id="31"/>
    </w:p>
    <w:p w14:paraId="741A83EC" w14:textId="77777777" w:rsidR="004C6DEC" w:rsidRPr="004C6DEC" w:rsidRDefault="004C6DEC" w:rsidP="004C6DEC">
      <w:pPr>
        <w:pStyle w:val="EndNoteBibliography"/>
      </w:pPr>
      <w:bookmarkStart w:id="32" w:name="_ENREF_6"/>
      <w:r w:rsidRPr="004C6DEC">
        <w:t>Azadegan, A., Wagner, S.M., 2011. Industrial upgrading, exploitative innovations and explorative innovations. International Journal of Production Economics 130 (1), 54-65.</w:t>
      </w:r>
      <w:bookmarkEnd w:id="32"/>
    </w:p>
    <w:p w14:paraId="442CAC1B" w14:textId="77777777" w:rsidR="004C6DEC" w:rsidRPr="004C6DEC" w:rsidRDefault="004C6DEC" w:rsidP="004C6DEC">
      <w:pPr>
        <w:pStyle w:val="EndNoteBibliography"/>
      </w:pPr>
      <w:bookmarkStart w:id="33" w:name="_ENREF_7"/>
      <w:r w:rsidRPr="004C6DEC">
        <w:t>Barach, P., 2000. Reporting and preventing medical mishaps: Lessons from non-medical near miss reporting systems. British Management Journal 320 (7237), 759-763.</w:t>
      </w:r>
      <w:bookmarkEnd w:id="33"/>
    </w:p>
    <w:p w14:paraId="1FB1C3DF" w14:textId="77777777" w:rsidR="004C6DEC" w:rsidRPr="004C6DEC" w:rsidRDefault="004C6DEC" w:rsidP="004C6DEC">
      <w:pPr>
        <w:pStyle w:val="EndNoteBibliography"/>
      </w:pPr>
      <w:bookmarkStart w:id="34" w:name="_ENREF_8"/>
      <w:r w:rsidRPr="004C6DEC">
        <w:t>Barach, P., Small, S.D., 2000. Reporting and preventing medical mishaps: lessons from non-medical near miss reporting systems. British Medical Journal 320 (7237), 759-763.</w:t>
      </w:r>
      <w:bookmarkEnd w:id="34"/>
    </w:p>
    <w:p w14:paraId="731968D5" w14:textId="77777777" w:rsidR="004C6DEC" w:rsidRPr="004C6DEC" w:rsidRDefault="004C6DEC" w:rsidP="004C6DEC">
      <w:pPr>
        <w:pStyle w:val="EndNoteBibliography"/>
      </w:pPr>
      <w:bookmarkStart w:id="35" w:name="_ENREF_9"/>
      <w:r w:rsidRPr="004C6DEC">
        <w:t>Baumard, P., Starbuck, W.H., 2005. Learning from failures: Why it may not happen. Long Range Planning 38 (3), 281-298.</w:t>
      </w:r>
      <w:bookmarkEnd w:id="35"/>
    </w:p>
    <w:p w14:paraId="0A89C752" w14:textId="77777777" w:rsidR="004C6DEC" w:rsidRPr="004C6DEC" w:rsidRDefault="004C6DEC" w:rsidP="004C6DEC">
      <w:pPr>
        <w:pStyle w:val="EndNoteBibliography"/>
      </w:pPr>
      <w:bookmarkStart w:id="36" w:name="_ENREF_10"/>
      <w:r w:rsidRPr="004C6DEC">
        <w:t>Bier, V.M., Mosleh, A., 1990. The analysis of accident precursors and near misses: implications for risk assessment and risk management. Reliability Engineering &amp; System Safety 27 (1), 91-101.</w:t>
      </w:r>
      <w:bookmarkEnd w:id="36"/>
    </w:p>
    <w:p w14:paraId="2E79B3CC" w14:textId="77777777" w:rsidR="004C6DEC" w:rsidRPr="004C6DEC" w:rsidRDefault="004C6DEC" w:rsidP="004C6DEC">
      <w:pPr>
        <w:pStyle w:val="EndNoteBibliography"/>
      </w:pPr>
      <w:bookmarkStart w:id="37" w:name="_ENREF_11"/>
      <w:r w:rsidRPr="004C6DEC">
        <w:t>Blackhurst, J., Dunn, K.S., Craighead, C.W., 2011. An empirically derived framework of global supply resiliency. Journal of Business Logistics 32 (4), 374-391.</w:t>
      </w:r>
      <w:bookmarkEnd w:id="37"/>
    </w:p>
    <w:p w14:paraId="4D06E30C" w14:textId="77777777" w:rsidR="004C6DEC" w:rsidRPr="004C6DEC" w:rsidRDefault="004C6DEC" w:rsidP="004C6DEC">
      <w:pPr>
        <w:pStyle w:val="EndNoteBibliography"/>
      </w:pPr>
      <w:bookmarkStart w:id="38" w:name="_ENREF_12"/>
      <w:r w:rsidRPr="004C6DEC">
        <w:t>Blome, C., Hollos, D., Paulraj, A., 2015. Green procurement and green supplier development: antecedents and effects on supplier performance. International Journal of Production Research 52 (1), 32-49.</w:t>
      </w:r>
      <w:bookmarkEnd w:id="38"/>
    </w:p>
    <w:p w14:paraId="43D7A210" w14:textId="77777777" w:rsidR="004C6DEC" w:rsidRPr="004C6DEC" w:rsidRDefault="004C6DEC" w:rsidP="004C6DEC">
      <w:pPr>
        <w:pStyle w:val="EndNoteBibliography"/>
      </w:pPr>
      <w:bookmarkStart w:id="39" w:name="_ENREF_13"/>
      <w:r w:rsidRPr="004C6DEC">
        <w:t>Blome, C., Schoenherr, T., Eckstein, D., 2014. The impact of knowledge transfer and complexity on supply chain flexibility: A knowledge-based view. International Journal of Production Economics 147 (Part B), 307-316.</w:t>
      </w:r>
      <w:bookmarkEnd w:id="39"/>
    </w:p>
    <w:p w14:paraId="0B1A9CA5" w14:textId="77777777" w:rsidR="004C6DEC" w:rsidRPr="004C6DEC" w:rsidRDefault="004C6DEC" w:rsidP="004C6DEC">
      <w:pPr>
        <w:pStyle w:val="EndNoteBibliography"/>
      </w:pPr>
      <w:bookmarkStart w:id="40" w:name="_ENREF_14"/>
      <w:r w:rsidRPr="004C6DEC">
        <w:t xml:space="preserve">Bode, C., Macdonald, J.R., 2016. Stages of Supply Chain Disruption: Response: Direct, Constraining, and Mediating Factors for Impact Mitigation. Decision Sciences In Press </w:t>
      </w:r>
      <w:bookmarkEnd w:id="40"/>
    </w:p>
    <w:p w14:paraId="2CC0DF20" w14:textId="77777777" w:rsidR="004C6DEC" w:rsidRPr="004C6DEC" w:rsidRDefault="004C6DEC" w:rsidP="004C6DEC">
      <w:pPr>
        <w:pStyle w:val="EndNoteBibliography"/>
      </w:pPr>
      <w:bookmarkStart w:id="41" w:name="_ENREF_15"/>
      <w:r w:rsidRPr="004C6DEC">
        <w:t>Bode, C., Wagner, S.M., Petersen, K.J., Ellram, L.M., 2011. Understanding responses to supply chain disruptions: Insights from information processing and resource dependence perspectives. Academy of Management Journal 54 (4), 833-856.</w:t>
      </w:r>
      <w:bookmarkEnd w:id="41"/>
    </w:p>
    <w:p w14:paraId="59CC9F92" w14:textId="77777777" w:rsidR="004C6DEC" w:rsidRPr="004C6DEC" w:rsidRDefault="004C6DEC" w:rsidP="004C6DEC">
      <w:pPr>
        <w:pStyle w:val="EndNoteBibliography"/>
      </w:pPr>
      <w:bookmarkStart w:id="42" w:name="_ENREF_16"/>
      <w:r w:rsidRPr="004C6DEC">
        <w:rPr>
          <w:rFonts w:hint="eastAsia"/>
        </w:rPr>
        <w:t>Brumme, H., Simonovich, D., Skinner, W., Van Wassenhove, L.N., 2015. The strategy</w:t>
      </w:r>
      <w:r w:rsidRPr="004C6DEC">
        <w:rPr>
          <w:rFonts w:hint="eastAsia"/>
        </w:rPr>
        <w:t>‐</w:t>
      </w:r>
      <w:r w:rsidRPr="004C6DEC">
        <w:rPr>
          <w:rFonts w:hint="eastAsia"/>
        </w:rPr>
        <w:t>focused factory in turbulent times. Production and Operations Management 24 (10), 1513-</w:t>
      </w:r>
      <w:r w:rsidRPr="004C6DEC">
        <w:t>1523.</w:t>
      </w:r>
      <w:bookmarkEnd w:id="42"/>
    </w:p>
    <w:p w14:paraId="528AF160" w14:textId="77777777" w:rsidR="004C6DEC" w:rsidRPr="004C6DEC" w:rsidRDefault="004C6DEC" w:rsidP="004C6DEC">
      <w:pPr>
        <w:pStyle w:val="EndNoteBibliography"/>
      </w:pPr>
      <w:bookmarkStart w:id="43" w:name="_ENREF_17"/>
      <w:r w:rsidRPr="004C6DEC">
        <w:t>Carroll, J., Rudolph, J., Hatakenaka, S., 2002. Learning from experience in high-hazard organizations. Research in Organizational Behavior 24 87-137.</w:t>
      </w:r>
      <w:bookmarkEnd w:id="43"/>
    </w:p>
    <w:p w14:paraId="53B95557" w14:textId="77777777" w:rsidR="004C6DEC" w:rsidRPr="004C6DEC" w:rsidRDefault="004C6DEC" w:rsidP="004C6DEC">
      <w:pPr>
        <w:pStyle w:val="EndNoteBibliography"/>
      </w:pPr>
      <w:bookmarkStart w:id="44" w:name="_ENREF_18"/>
      <w:r w:rsidRPr="004C6DEC">
        <w:t>Clark, L., Lawrence, A.J., Astley-Jones, F., Gray, N., 2009. Gambling near-misses enhance motivation to gamble and recruit win-related brain circuitry. Neuron 61 (3), 481-490.</w:t>
      </w:r>
      <w:bookmarkEnd w:id="44"/>
    </w:p>
    <w:p w14:paraId="044A5740" w14:textId="77777777" w:rsidR="004C6DEC" w:rsidRPr="004C6DEC" w:rsidRDefault="004C6DEC" w:rsidP="004C6DEC">
      <w:pPr>
        <w:pStyle w:val="EndNoteBibliography"/>
      </w:pPr>
      <w:bookmarkStart w:id="45" w:name="_ENREF_19"/>
      <w:r w:rsidRPr="004C6DEC">
        <w:t>Clarke, S.P., Rockett, J.L., Sloane, D.M., Aiken, L.H., 2002. Organizational climate, staffing, and safety equipment as predictors of needlestick injuries and near-misses in hospital nurses. American journal of infection control 30 (4), 207-216.</w:t>
      </w:r>
      <w:bookmarkEnd w:id="45"/>
    </w:p>
    <w:p w14:paraId="69E8472B" w14:textId="77777777" w:rsidR="004C6DEC" w:rsidRPr="004C6DEC" w:rsidRDefault="004C6DEC" w:rsidP="004C6DEC">
      <w:pPr>
        <w:pStyle w:val="EndNoteBibliography"/>
      </w:pPr>
      <w:bookmarkStart w:id="46" w:name="_ENREF_20"/>
      <w:r w:rsidRPr="004C6DEC">
        <w:t>Conway, E., Luu, N., Shaffer, E., 2015. Cisco - Managing Supply Chain Risks End-to-End, Best practices in cyber supply chain risk management National Institute of Standards and Technology, Gaithersburg, MD</w:t>
      </w:r>
      <w:bookmarkEnd w:id="46"/>
    </w:p>
    <w:p w14:paraId="6F408E2B" w14:textId="77777777" w:rsidR="004C6DEC" w:rsidRPr="004C6DEC" w:rsidRDefault="004C6DEC" w:rsidP="004C6DEC">
      <w:pPr>
        <w:pStyle w:val="EndNoteBibliography"/>
      </w:pPr>
      <w:bookmarkStart w:id="47" w:name="_ENREF_21"/>
      <w:r w:rsidRPr="004C6DEC">
        <w:t>Coutu, D.L., 2003. Sense and reliability. Harvard business review 81 (4), 84-90.</w:t>
      </w:r>
      <w:bookmarkEnd w:id="47"/>
    </w:p>
    <w:p w14:paraId="495CA2E9" w14:textId="77777777" w:rsidR="004C6DEC" w:rsidRPr="004C6DEC" w:rsidRDefault="004C6DEC" w:rsidP="004C6DEC">
      <w:pPr>
        <w:pStyle w:val="EndNoteBibliography"/>
      </w:pPr>
      <w:bookmarkStart w:id="48" w:name="_ENREF_22"/>
      <w:r w:rsidRPr="004C6DEC">
        <w:lastRenderedPageBreak/>
        <w:t>Craighead, C.W., Blackhurst, J., Rungtusanatham, M.J., Handfield, R.B., 2007. The severity of supply chain disruptions: Design characteristics and mitigation capabilities. Decision Sciences 38 (1), 131-156.</w:t>
      </w:r>
      <w:bookmarkEnd w:id="48"/>
    </w:p>
    <w:p w14:paraId="6BE723BD" w14:textId="77777777" w:rsidR="004C6DEC" w:rsidRPr="004C6DEC" w:rsidRDefault="004C6DEC" w:rsidP="004C6DEC">
      <w:pPr>
        <w:pStyle w:val="EndNoteBibliography"/>
      </w:pPr>
      <w:bookmarkStart w:id="49" w:name="_ENREF_23"/>
      <w:r w:rsidRPr="004C6DEC">
        <w:t>Culp, S., 2013. Supply Chain Disruption—A Major Threat to Business. Forbes. Published on Feburary 15 2013.</w:t>
      </w:r>
      <w:bookmarkEnd w:id="49"/>
    </w:p>
    <w:p w14:paraId="6D384E8C" w14:textId="77777777" w:rsidR="004C6DEC" w:rsidRPr="004C6DEC" w:rsidRDefault="004C6DEC" w:rsidP="004C6DEC">
      <w:pPr>
        <w:pStyle w:val="EndNoteBibliography"/>
      </w:pPr>
      <w:bookmarkStart w:id="50" w:name="_ENREF_24"/>
      <w:r w:rsidRPr="004C6DEC">
        <w:t>Cyert, R.M., March, J.G., 1963. A behavioral theory of the firm. Englewood Cliffs, NJ 2 (4), 169-187.</w:t>
      </w:r>
      <w:bookmarkEnd w:id="50"/>
    </w:p>
    <w:p w14:paraId="023BD531" w14:textId="77777777" w:rsidR="004C6DEC" w:rsidRPr="004C6DEC" w:rsidRDefault="004C6DEC" w:rsidP="004C6DEC">
      <w:pPr>
        <w:pStyle w:val="EndNoteBibliography"/>
      </w:pPr>
      <w:bookmarkStart w:id="51" w:name="_ENREF_25"/>
      <w:r w:rsidRPr="004C6DEC">
        <w:t>Dabhilkar, M., Birkie, S.E., Kaulio, M., 2016. Supply-side resilience as practice bundles: a critical incident study. International Journal of Operations &amp; Production Management 36 (8), 948-970.</w:t>
      </w:r>
      <w:bookmarkEnd w:id="51"/>
    </w:p>
    <w:p w14:paraId="1E8E013A" w14:textId="77777777" w:rsidR="004C6DEC" w:rsidRPr="004C6DEC" w:rsidRDefault="004C6DEC" w:rsidP="004C6DEC">
      <w:pPr>
        <w:pStyle w:val="EndNoteBibliography"/>
      </w:pPr>
      <w:bookmarkStart w:id="52" w:name="_ENREF_26"/>
      <w:r w:rsidRPr="004C6DEC">
        <w:t>Demeter, K., 2014. Operating internationally—The impact on operational performance improvement. International Journal of Production Economics 149 172-182.</w:t>
      </w:r>
      <w:bookmarkEnd w:id="52"/>
    </w:p>
    <w:p w14:paraId="28FFB709" w14:textId="77777777" w:rsidR="004C6DEC" w:rsidRPr="004C6DEC" w:rsidRDefault="004C6DEC" w:rsidP="004C6DEC">
      <w:pPr>
        <w:pStyle w:val="EndNoteBibliography"/>
      </w:pPr>
      <w:bookmarkStart w:id="53" w:name="_ENREF_27"/>
      <w:r w:rsidRPr="004C6DEC">
        <w:t>Deverell, E., Olsson, E.K., 2010. Organizational culture effects on strategy and adaptability in crisis management. Risk Management-an International Journal 12 (2), 116-134.</w:t>
      </w:r>
      <w:bookmarkEnd w:id="53"/>
    </w:p>
    <w:p w14:paraId="0EC438D0" w14:textId="77777777" w:rsidR="004C6DEC" w:rsidRPr="004C6DEC" w:rsidRDefault="004C6DEC" w:rsidP="004C6DEC">
      <w:pPr>
        <w:pStyle w:val="EndNoteBibliography"/>
      </w:pPr>
      <w:bookmarkStart w:id="54" w:name="_ENREF_28"/>
      <w:r w:rsidRPr="004C6DEC">
        <w:t>Dillman, D., 1991. The design and administration of mail surveys. Annual Review of Sociology 17 (1), 225-249.</w:t>
      </w:r>
      <w:bookmarkEnd w:id="54"/>
    </w:p>
    <w:p w14:paraId="31B0464B" w14:textId="77777777" w:rsidR="004C6DEC" w:rsidRPr="004C6DEC" w:rsidRDefault="004C6DEC" w:rsidP="004C6DEC">
      <w:pPr>
        <w:pStyle w:val="EndNoteBibliography"/>
      </w:pPr>
      <w:bookmarkStart w:id="55" w:name="_ENREF_29"/>
      <w:r w:rsidRPr="004C6DEC">
        <w:t>Dillon, R.L., Tinsley, C.H., 2008. How near-misses influence decision making under risk: A missed opportunity for learning. Management Science 54 (8), 1425-1440.</w:t>
      </w:r>
      <w:bookmarkEnd w:id="55"/>
    </w:p>
    <w:p w14:paraId="63A378F4" w14:textId="77777777" w:rsidR="004C6DEC" w:rsidRPr="004C6DEC" w:rsidRDefault="004C6DEC" w:rsidP="004C6DEC">
      <w:pPr>
        <w:pStyle w:val="EndNoteBibliography"/>
      </w:pPr>
      <w:bookmarkStart w:id="56" w:name="_ENREF_30"/>
      <w:r w:rsidRPr="004C6DEC">
        <w:t>Dillon, R.L., Tinsley, C.H., Burns, W.J., 2014. Near-misses and future disaster preparedness. Risk Analysis 34 (10), 1907-1922.</w:t>
      </w:r>
      <w:bookmarkEnd w:id="56"/>
    </w:p>
    <w:p w14:paraId="7E2EB5FE" w14:textId="77777777" w:rsidR="004C6DEC" w:rsidRPr="004C6DEC" w:rsidRDefault="004C6DEC" w:rsidP="004C6DEC">
      <w:pPr>
        <w:pStyle w:val="EndNoteBibliography"/>
      </w:pPr>
      <w:bookmarkStart w:id="57" w:name="_ENREF_31"/>
      <w:r w:rsidRPr="004C6DEC">
        <w:t>DiMaggio, P.J., Powell, W.W., 1983. The iron cage revisited: Institutional Isomorphism and collective rationality in organizational fields. American Sociological Review 48 (2), 147.</w:t>
      </w:r>
      <w:bookmarkEnd w:id="57"/>
    </w:p>
    <w:p w14:paraId="2BEB74F7" w14:textId="77777777" w:rsidR="004C6DEC" w:rsidRPr="004C6DEC" w:rsidRDefault="004C6DEC" w:rsidP="004C6DEC">
      <w:pPr>
        <w:pStyle w:val="EndNoteBibliography"/>
      </w:pPr>
      <w:bookmarkStart w:id="58" w:name="_ENREF_32"/>
      <w:r w:rsidRPr="004C6DEC">
        <w:t>Drupsteen, L., Wybo, J.L., 2015. Assessing propensity to learn from safety-related events. Safety Science 71 28-38.</w:t>
      </w:r>
      <w:bookmarkEnd w:id="58"/>
    </w:p>
    <w:p w14:paraId="64518129" w14:textId="77777777" w:rsidR="004C6DEC" w:rsidRPr="004C6DEC" w:rsidRDefault="004C6DEC" w:rsidP="004C6DEC">
      <w:pPr>
        <w:pStyle w:val="EndNoteBibliography"/>
      </w:pPr>
      <w:bookmarkStart w:id="59" w:name="_ENREF_33"/>
      <w:r w:rsidRPr="004C6DEC">
        <w:t xml:space="preserve">European Medicines Agency, 2015. Good practice guide on recording, coding, reporting and assessment of medication errors.  </w:t>
      </w:r>
      <w:bookmarkEnd w:id="59"/>
    </w:p>
    <w:p w14:paraId="1566503D" w14:textId="77777777" w:rsidR="004C6DEC" w:rsidRPr="004C6DEC" w:rsidRDefault="004C6DEC" w:rsidP="004C6DEC">
      <w:pPr>
        <w:pStyle w:val="EndNoteBibliography"/>
      </w:pPr>
      <w:bookmarkStart w:id="60" w:name="_ENREF_34"/>
      <w:r w:rsidRPr="004C6DEC">
        <w:t>Fabiano, B., Currò, F., 2012. From a survey on accidents in the downstream oil industry to the development of a detailed near-miss reporting system. Process Safety and Environmental Protection 90 (5), 357-367.</w:t>
      </w:r>
      <w:bookmarkEnd w:id="60"/>
    </w:p>
    <w:p w14:paraId="051AB97E" w14:textId="77777777" w:rsidR="004C6DEC" w:rsidRPr="004C6DEC" w:rsidRDefault="004C6DEC" w:rsidP="004C6DEC">
      <w:pPr>
        <w:pStyle w:val="EndNoteBibliography"/>
      </w:pPr>
      <w:bookmarkStart w:id="61" w:name="_ENREF_35"/>
      <w:r w:rsidRPr="004C6DEC">
        <w:t>Fairbanks, R.J., Crittenden, C.N., O'Gara, K.G., Wilson, M.A., Pennington, E.C., Chin, N.P., Shah, M.N., 2008. Emergency medicat services provider perceptions of the nature of adverse events and near-misses in out-of-hospital care: An ethnographic view. Academic Emergency Medicine 15 (7), 633-640.</w:t>
      </w:r>
      <w:bookmarkEnd w:id="61"/>
    </w:p>
    <w:p w14:paraId="69072D60" w14:textId="77777777" w:rsidR="004C6DEC" w:rsidRPr="004C6DEC" w:rsidRDefault="004C6DEC" w:rsidP="004C6DEC">
      <w:pPr>
        <w:pStyle w:val="EndNoteBibliography"/>
      </w:pPr>
      <w:bookmarkStart w:id="62" w:name="_ENREF_36"/>
      <w:r w:rsidRPr="004C6DEC">
        <w:t>Goerlandt, F., Kujala, P., 2011. Traffic simulation based ship collision probability modeling. Reliability Engineering &amp; System Safety 96 (1), 91-107.</w:t>
      </w:r>
      <w:bookmarkEnd w:id="62"/>
    </w:p>
    <w:p w14:paraId="4A199AD4" w14:textId="77777777" w:rsidR="004C6DEC" w:rsidRPr="004C6DEC" w:rsidRDefault="004C6DEC" w:rsidP="004C6DEC">
      <w:pPr>
        <w:pStyle w:val="EndNoteBibliography"/>
      </w:pPr>
      <w:bookmarkStart w:id="63" w:name="_ENREF_37"/>
      <w:r w:rsidRPr="004C6DEC">
        <w:t>Grabowski, M., Roberts, K., 1997. Risk mitigation in large-scale systems: Lessons from high reliability organizations. California management review 39 (4), 152-161.</w:t>
      </w:r>
      <w:bookmarkEnd w:id="63"/>
    </w:p>
    <w:p w14:paraId="7BB8F205" w14:textId="77777777" w:rsidR="004C6DEC" w:rsidRPr="004C6DEC" w:rsidRDefault="004C6DEC" w:rsidP="004C6DEC">
      <w:pPr>
        <w:pStyle w:val="EndNoteBibliography"/>
      </w:pPr>
      <w:bookmarkStart w:id="64" w:name="_ENREF_38"/>
      <w:r w:rsidRPr="004C6DEC">
        <w:t>Grewal, R., Dharwadkar, R., 2002. The role of the institutional environment in marketing channels. Journal of Marketing 66 (3), 82-97.</w:t>
      </w:r>
      <w:bookmarkEnd w:id="64"/>
    </w:p>
    <w:p w14:paraId="363895E4" w14:textId="77777777" w:rsidR="004C6DEC" w:rsidRPr="004C6DEC" w:rsidRDefault="004C6DEC" w:rsidP="004C6DEC">
      <w:pPr>
        <w:pStyle w:val="EndNoteBibliography"/>
      </w:pPr>
      <w:bookmarkStart w:id="65" w:name="_ENREF_39"/>
      <w:r w:rsidRPr="004C6DEC">
        <w:t>Groeger, J.A., Chapman, P., 1996. Judgement of traffic scenes: The role of danger and difficulty. Applied Cognitive Psychology 10 (4), 349-364.</w:t>
      </w:r>
      <w:bookmarkEnd w:id="65"/>
    </w:p>
    <w:p w14:paraId="1F95178E" w14:textId="77777777" w:rsidR="004C6DEC" w:rsidRPr="004C6DEC" w:rsidRDefault="004C6DEC" w:rsidP="004C6DEC">
      <w:pPr>
        <w:pStyle w:val="EndNoteBibliography"/>
      </w:pPr>
      <w:bookmarkStart w:id="66" w:name="_ENREF_40"/>
      <w:r w:rsidRPr="004C6DEC">
        <w:t>Gupta, Y.P., Lonial, S.C., 1998. Exploring linkages between manufacturing strategy, business strategy, and organizational strategy. Production and Operations Management 7 (3), 243-264.</w:t>
      </w:r>
      <w:bookmarkEnd w:id="66"/>
    </w:p>
    <w:p w14:paraId="0D3141C2" w14:textId="77777777" w:rsidR="004C6DEC" w:rsidRPr="004C6DEC" w:rsidRDefault="004C6DEC" w:rsidP="004C6DEC">
      <w:pPr>
        <w:pStyle w:val="EndNoteBibliography"/>
      </w:pPr>
      <w:bookmarkStart w:id="67" w:name="_ENREF_41"/>
      <w:r w:rsidRPr="004C6DEC">
        <w:t>Habermann, M., Blackhurst, J., Metcalf, A.Y., 2015. Keep your friends close? Supply chain design and disruption risk. Decision Sciences 46 (3), 491-526.</w:t>
      </w:r>
      <w:bookmarkEnd w:id="67"/>
    </w:p>
    <w:p w14:paraId="1450855D" w14:textId="77777777" w:rsidR="004C6DEC" w:rsidRPr="004C6DEC" w:rsidRDefault="004C6DEC" w:rsidP="004C6DEC">
      <w:pPr>
        <w:pStyle w:val="EndNoteBibliography"/>
      </w:pPr>
      <w:bookmarkStart w:id="68" w:name="_ENREF_42"/>
      <w:r w:rsidRPr="004C6DEC">
        <w:t>Handfield, R.B., Cousins, P.D., Lawson, B., Petersen, K.J., 2015. How can supply management really improve performance? A knowledge-based model of alignment capabilities. Journal of Supply Chain Management 51 (3), 3-17.</w:t>
      </w:r>
      <w:bookmarkEnd w:id="68"/>
    </w:p>
    <w:p w14:paraId="17DD5E0A" w14:textId="77777777" w:rsidR="004C6DEC" w:rsidRPr="004C6DEC" w:rsidRDefault="004C6DEC" w:rsidP="004C6DEC">
      <w:pPr>
        <w:pStyle w:val="EndNoteBibliography"/>
      </w:pPr>
      <w:bookmarkStart w:id="69" w:name="_ENREF_43"/>
      <w:r w:rsidRPr="004C6DEC">
        <w:t>Harrald, J.R., 2006. Agility and discipline: Critical success factors for disaster response. ANNALS of the American Academy of Political and Social Science 604 (1), 256-272.</w:t>
      </w:r>
      <w:bookmarkEnd w:id="69"/>
    </w:p>
    <w:p w14:paraId="51BC2A0F" w14:textId="77777777" w:rsidR="004C6DEC" w:rsidRPr="004C6DEC" w:rsidRDefault="004C6DEC" w:rsidP="004C6DEC">
      <w:pPr>
        <w:pStyle w:val="EndNoteBibliography"/>
      </w:pPr>
      <w:bookmarkStart w:id="70" w:name="_ENREF_44"/>
      <w:r w:rsidRPr="004C6DEC">
        <w:lastRenderedPageBreak/>
        <w:t>Hoffman, A.J., 1999. Institutional evolution and change: Environmentalism and the u.S. Chemical industry. Academy of Management Journal 42 (4), 351-371.</w:t>
      </w:r>
      <w:bookmarkEnd w:id="70"/>
    </w:p>
    <w:p w14:paraId="1AD539E3" w14:textId="77777777" w:rsidR="004C6DEC" w:rsidRPr="004C6DEC" w:rsidRDefault="004C6DEC" w:rsidP="004C6DEC">
      <w:pPr>
        <w:pStyle w:val="EndNoteBibliography"/>
      </w:pPr>
      <w:bookmarkStart w:id="71" w:name="_ENREF_45"/>
      <w:r w:rsidRPr="004C6DEC">
        <w:t>Hopkins, A., 1999. The limits of normal accident theory. Safety Science 32 (2), 93-102.</w:t>
      </w:r>
      <w:bookmarkEnd w:id="71"/>
    </w:p>
    <w:p w14:paraId="77D07778" w14:textId="77777777" w:rsidR="004C6DEC" w:rsidRPr="004C6DEC" w:rsidRDefault="004C6DEC" w:rsidP="004C6DEC">
      <w:pPr>
        <w:pStyle w:val="EndNoteBibliography"/>
      </w:pPr>
      <w:bookmarkStart w:id="72" w:name="_ENREF_46"/>
      <w:r w:rsidRPr="004C6DEC">
        <w:t>Hosseinian, S.S., Torghabeh, Z.J., 2012. Major theories of construction accident causation models: A literature review. International Journal of Advances in Engineering &amp; Technology 4 (2), 53-66.</w:t>
      </w:r>
      <w:bookmarkEnd w:id="72"/>
    </w:p>
    <w:p w14:paraId="7C4C54C8" w14:textId="77777777" w:rsidR="004C6DEC" w:rsidRPr="004C6DEC" w:rsidRDefault="004C6DEC" w:rsidP="004C6DEC">
      <w:pPr>
        <w:pStyle w:val="EndNoteBibliography"/>
      </w:pPr>
      <w:bookmarkStart w:id="73" w:name="_ENREF_47"/>
      <w:r w:rsidRPr="004C6DEC">
        <w:t>Hu, L.t., Bentler, P.M., 1999. Cutoff criteria for fit indexes in covariance structure analysis: Conventional criteria versus new alternatives. Structural Equation Modeling: A Multidisciplinary Journal 6 (1), 1-55.</w:t>
      </w:r>
      <w:bookmarkEnd w:id="73"/>
    </w:p>
    <w:p w14:paraId="76752DB8" w14:textId="77777777" w:rsidR="004C6DEC" w:rsidRPr="004C6DEC" w:rsidRDefault="004C6DEC" w:rsidP="004C6DEC">
      <w:pPr>
        <w:pStyle w:val="EndNoteBibliography"/>
      </w:pPr>
      <w:bookmarkStart w:id="74" w:name="_ENREF_48"/>
      <w:r w:rsidRPr="004C6DEC">
        <w:t>Jeffs, L., Berta, W., Lingard, L., Baker, G.R., 2012. Learning from near misses: From quick fixes to closing off the Swiss-cheese holes. BMJ Quality &amp; Safety 21 (4), 287-294.</w:t>
      </w:r>
      <w:bookmarkEnd w:id="74"/>
    </w:p>
    <w:p w14:paraId="2CD397E1" w14:textId="77777777" w:rsidR="004C6DEC" w:rsidRPr="004C6DEC" w:rsidRDefault="004C6DEC" w:rsidP="004C6DEC">
      <w:pPr>
        <w:pStyle w:val="EndNoteBibliography"/>
      </w:pPr>
      <w:bookmarkStart w:id="75" w:name="_ENREF_49"/>
      <w:r w:rsidRPr="004C6DEC">
        <w:t>John, G., Martin, J., 1984. Effects of organizational structure of marketing planning on credibility and utilization of plan output. Journal of Marketing Research 21 (2), 170*183.</w:t>
      </w:r>
      <w:bookmarkEnd w:id="75"/>
    </w:p>
    <w:p w14:paraId="39D46BE9" w14:textId="77777777" w:rsidR="004C6DEC" w:rsidRPr="004C6DEC" w:rsidRDefault="004C6DEC" w:rsidP="004C6DEC">
      <w:pPr>
        <w:pStyle w:val="EndNoteBibliography"/>
      </w:pPr>
      <w:bookmarkStart w:id="76" w:name="_ENREF_50"/>
      <w:r w:rsidRPr="004C6DEC">
        <w:t>Jones, S., Kirchsteiger, C., Bjerke, W., 1999. The importance of near miss reporting to further improve safety performance. Journal of Loss Prevention in the Process Industries 12 (1), 59-67.</w:t>
      </w:r>
      <w:bookmarkEnd w:id="76"/>
    </w:p>
    <w:p w14:paraId="22082158" w14:textId="77777777" w:rsidR="004C6DEC" w:rsidRPr="004C6DEC" w:rsidRDefault="004C6DEC" w:rsidP="004C6DEC">
      <w:pPr>
        <w:pStyle w:val="EndNoteBibliography"/>
      </w:pPr>
      <w:bookmarkStart w:id="77" w:name="_ENREF_51"/>
      <w:r w:rsidRPr="004C6DEC">
        <w:t>Juttner, U., Peck, H., Christopher, M., 2003. Supply chain risk management: outlining an agenda for future research. International Journal of Logistics Research and Applications 6 (4), 197-210.</w:t>
      </w:r>
      <w:bookmarkEnd w:id="77"/>
    </w:p>
    <w:p w14:paraId="00851C9B" w14:textId="77777777" w:rsidR="004C6DEC" w:rsidRPr="004C6DEC" w:rsidRDefault="004C6DEC" w:rsidP="004C6DEC">
      <w:pPr>
        <w:pStyle w:val="EndNoteBibliography"/>
      </w:pPr>
      <w:bookmarkStart w:id="78" w:name="_ENREF_52"/>
      <w:r w:rsidRPr="004C6DEC">
        <w:t>Kinra, A., Kotzab, H., 2008. A macro-institutional perspective on supply chain environmental complexity. International Journal of Production Economics 115 (2), 283-295.</w:t>
      </w:r>
      <w:bookmarkEnd w:id="78"/>
    </w:p>
    <w:p w14:paraId="02A5FC3D" w14:textId="77777777" w:rsidR="004C6DEC" w:rsidRPr="004C6DEC" w:rsidRDefault="004C6DEC" w:rsidP="004C6DEC">
      <w:pPr>
        <w:pStyle w:val="EndNoteBibliography"/>
      </w:pPr>
      <w:bookmarkStart w:id="79" w:name="_ENREF_53"/>
      <w:r w:rsidRPr="004C6DEC">
        <w:t>Kleindorfer, P., Oktem, U.G., Pariyani, A., Seider, W.D., 2012. Assessment of catastrophe risk and potential losses in industry. Computers &amp; Chemical Engineering 47 (1), 85-96.</w:t>
      </w:r>
      <w:bookmarkEnd w:id="79"/>
    </w:p>
    <w:p w14:paraId="504C7932" w14:textId="77777777" w:rsidR="004C6DEC" w:rsidRPr="004C6DEC" w:rsidRDefault="004C6DEC" w:rsidP="004C6DEC">
      <w:pPr>
        <w:pStyle w:val="EndNoteBibliography"/>
      </w:pPr>
      <w:bookmarkStart w:id="80" w:name="_ENREF_54"/>
      <w:r w:rsidRPr="004C6DEC">
        <w:t>La Porte, T.R., Rochlin, G., 1994. A rejoinder to Perrow. Journal of contingencies and crisis management 2 (4), 221-227.</w:t>
      </w:r>
      <w:bookmarkEnd w:id="80"/>
    </w:p>
    <w:p w14:paraId="62718C78" w14:textId="77777777" w:rsidR="004C6DEC" w:rsidRPr="004C6DEC" w:rsidRDefault="004C6DEC" w:rsidP="004C6DEC">
      <w:pPr>
        <w:pStyle w:val="EndNoteBibliography"/>
      </w:pPr>
      <w:bookmarkStart w:id="81" w:name="_ENREF_55"/>
      <w:r w:rsidRPr="004C6DEC">
        <w:t>Lampel, J., Shamsie, J., Shapira, Z., 2009. Experiencing the improbable: Rare events and organizational learning. Organization Science 20 (5), 835-845.</w:t>
      </w:r>
      <w:bookmarkEnd w:id="81"/>
    </w:p>
    <w:p w14:paraId="56B47B0C" w14:textId="77777777" w:rsidR="004C6DEC" w:rsidRPr="004C6DEC" w:rsidRDefault="004C6DEC" w:rsidP="004C6DEC">
      <w:pPr>
        <w:pStyle w:val="EndNoteBibliography"/>
      </w:pPr>
      <w:bookmarkStart w:id="82" w:name="_ENREF_56"/>
      <w:r w:rsidRPr="004C6DEC">
        <w:t>Leveson, N., Dulac, N., Marais, K., Carroll, J., 2009. Moving beyond normal accidents and high reliability organizations: A systems approach to safety in complex systems. Organization studies 30 (2-3), 227-249.</w:t>
      </w:r>
      <w:bookmarkEnd w:id="82"/>
    </w:p>
    <w:p w14:paraId="33C214DF" w14:textId="77777777" w:rsidR="004C6DEC" w:rsidRPr="004C6DEC" w:rsidRDefault="004C6DEC" w:rsidP="004C6DEC">
      <w:pPr>
        <w:pStyle w:val="EndNoteBibliography"/>
      </w:pPr>
      <w:bookmarkStart w:id="83" w:name="_ENREF_57"/>
      <w:r w:rsidRPr="004C6DEC">
        <w:t>Levinthal, D.A., March, J.G., 1993. The myopia of learning. Strategic Management Journal 14 95-112.</w:t>
      </w:r>
      <w:bookmarkEnd w:id="83"/>
    </w:p>
    <w:p w14:paraId="24C186FA" w14:textId="77777777" w:rsidR="004C6DEC" w:rsidRPr="004C6DEC" w:rsidRDefault="004C6DEC" w:rsidP="004C6DEC">
      <w:pPr>
        <w:pStyle w:val="EndNoteBibliography"/>
      </w:pPr>
      <w:bookmarkStart w:id="84" w:name="_ENREF_58"/>
      <w:r w:rsidRPr="004C6DEC">
        <w:t>Li, G., Fan, H., Lee, P.K., Cheng, T., 2015. Joint supply chain risk management: An agency and collaboration perspective. International Journal of Production Economics 164 83-94.</w:t>
      </w:r>
      <w:bookmarkEnd w:id="84"/>
    </w:p>
    <w:p w14:paraId="2A024D02" w14:textId="77777777" w:rsidR="004C6DEC" w:rsidRPr="004C6DEC" w:rsidRDefault="004C6DEC" w:rsidP="004C6DEC">
      <w:pPr>
        <w:pStyle w:val="EndNoteBibliography"/>
      </w:pPr>
      <w:bookmarkStart w:id="85" w:name="_ENREF_59"/>
      <w:r w:rsidRPr="004C6DEC">
        <w:t>Lindell, M.K., Whitney, D.J., 2001. Accounting for common method variance in cross-sectional research designs. Journal of applied psychology 86 (1), 114.</w:t>
      </w:r>
      <w:bookmarkEnd w:id="85"/>
    </w:p>
    <w:p w14:paraId="2AA09723" w14:textId="77777777" w:rsidR="004C6DEC" w:rsidRPr="004C6DEC" w:rsidRDefault="004C6DEC" w:rsidP="004C6DEC">
      <w:pPr>
        <w:pStyle w:val="EndNoteBibliography"/>
      </w:pPr>
      <w:bookmarkStart w:id="86" w:name="_ENREF_60"/>
      <w:r w:rsidRPr="004C6DEC">
        <w:t>Malhotra, N.K., Kim, S.S., Patil, A., 2006. Common method variance in is research: A comparison of alternative approaches and a reanalysis of past research. Management Science 52 1865-1883.</w:t>
      </w:r>
      <w:bookmarkEnd w:id="86"/>
    </w:p>
    <w:p w14:paraId="1BC18ECC" w14:textId="77777777" w:rsidR="004C6DEC" w:rsidRPr="004C6DEC" w:rsidRDefault="004C6DEC" w:rsidP="004C6DEC">
      <w:pPr>
        <w:pStyle w:val="EndNoteBibliography"/>
      </w:pPr>
      <w:bookmarkStart w:id="87" w:name="_ENREF_61"/>
      <w:r w:rsidRPr="004C6DEC">
        <w:t>McEntire, D.A., Kelly, J., Kendra, J.M., Long, L.C., 2013. Spontaneous planning after the San Bruno gas pipeline explosion: A case study of anticipation and improvisation during response and recovery operations. Journal of Homeland Security and Emergency Management 10 (1), 161-185.</w:t>
      </w:r>
      <w:bookmarkEnd w:id="87"/>
    </w:p>
    <w:p w14:paraId="64E5889E" w14:textId="77777777" w:rsidR="004C6DEC" w:rsidRPr="004C6DEC" w:rsidRDefault="004C6DEC" w:rsidP="004C6DEC">
      <w:pPr>
        <w:pStyle w:val="EndNoteBibliography"/>
      </w:pPr>
      <w:bookmarkStart w:id="88" w:name="_ENREF_62"/>
      <w:r w:rsidRPr="004C6DEC">
        <w:t>Mearns, K., Flin, R., Gordon, R., Fleming, M., 1998. Measuring safety climate on offshore installations. Work &amp; Stress 12 (3), 238-254.</w:t>
      </w:r>
      <w:bookmarkEnd w:id="88"/>
    </w:p>
    <w:p w14:paraId="0D68B645" w14:textId="77777777" w:rsidR="004C6DEC" w:rsidRPr="004C6DEC" w:rsidRDefault="004C6DEC" w:rsidP="004C6DEC">
      <w:pPr>
        <w:pStyle w:val="EndNoteBibliography"/>
      </w:pPr>
      <w:bookmarkStart w:id="89" w:name="_ENREF_63"/>
      <w:r w:rsidRPr="004C6DEC">
        <w:t>Muermann, A., Oktem, U., 2002. The Near Miss management of operational risk. The Journal of Risk Finance 4 (1), 25-36.</w:t>
      </w:r>
      <w:bookmarkEnd w:id="89"/>
    </w:p>
    <w:p w14:paraId="41B81BC7" w14:textId="77777777" w:rsidR="004C6DEC" w:rsidRPr="004C6DEC" w:rsidRDefault="004C6DEC" w:rsidP="004C6DEC">
      <w:pPr>
        <w:pStyle w:val="EndNoteBibliography"/>
      </w:pPr>
      <w:bookmarkStart w:id="90" w:name="_ENREF_64"/>
      <w:r w:rsidRPr="004C6DEC">
        <w:t>Peck, H., 2005. Drivers of supply chain vulnerability: an integrated framework. International Journal of Physical Distribution &amp; Logistics Management 35 (4), 210-232.</w:t>
      </w:r>
      <w:bookmarkEnd w:id="90"/>
    </w:p>
    <w:p w14:paraId="777A3155" w14:textId="77777777" w:rsidR="004C6DEC" w:rsidRPr="004C6DEC" w:rsidRDefault="004C6DEC" w:rsidP="004C6DEC">
      <w:pPr>
        <w:pStyle w:val="EndNoteBibliography"/>
      </w:pPr>
      <w:bookmarkStart w:id="91" w:name="_ENREF_65"/>
      <w:r w:rsidRPr="004C6DEC">
        <w:t>Perrow, C., 1994. The limits of safety: the enhancement of a theory of accidents. Journal of contingencies and crisis management 2 (4), 212-220.</w:t>
      </w:r>
      <w:bookmarkEnd w:id="91"/>
    </w:p>
    <w:p w14:paraId="45D639F5" w14:textId="77777777" w:rsidR="004C6DEC" w:rsidRPr="004C6DEC" w:rsidRDefault="004C6DEC" w:rsidP="004C6DEC">
      <w:pPr>
        <w:pStyle w:val="EndNoteBibliography"/>
      </w:pPr>
      <w:bookmarkStart w:id="92" w:name="_ENREF_66"/>
      <w:r w:rsidRPr="004C6DEC">
        <w:lastRenderedPageBreak/>
        <w:t>Perrow, C., 2011. Normal accidents: Living with high risk technologies-Updated edition. Princeton university press</w:t>
      </w:r>
      <w:bookmarkEnd w:id="92"/>
    </w:p>
    <w:p w14:paraId="383D9F05" w14:textId="77777777" w:rsidR="004C6DEC" w:rsidRPr="004C6DEC" w:rsidRDefault="004C6DEC" w:rsidP="004C6DEC">
      <w:pPr>
        <w:pStyle w:val="EndNoteBibliography"/>
      </w:pPr>
      <w:bookmarkStart w:id="93" w:name="_ENREF_67"/>
      <w:r w:rsidRPr="004C6DEC">
        <w:t>Pettit, T.J., Fiksel, J., Croxton, K.L., 2010. Ensuring supply chain resilience: Development of a conceptual framework. Journal of Business Logistics 31 (1), 1-21.</w:t>
      </w:r>
      <w:bookmarkEnd w:id="93"/>
    </w:p>
    <w:p w14:paraId="3CED3B0E" w14:textId="77777777" w:rsidR="004C6DEC" w:rsidRPr="004C6DEC" w:rsidRDefault="004C6DEC" w:rsidP="004C6DEC">
      <w:pPr>
        <w:pStyle w:val="EndNoteBibliography"/>
      </w:pPr>
      <w:bookmarkStart w:id="94" w:name="_ENREF_68"/>
      <w:r w:rsidRPr="004C6DEC">
        <w:t>Phimister, J.R., Oktem, U., Kleindorfer, P.R., Kunreuther, H., 2003. Near-miss incident management in the chemical process industry. Risk Analysis 23 (3), 445-459.</w:t>
      </w:r>
      <w:bookmarkEnd w:id="94"/>
    </w:p>
    <w:p w14:paraId="274E336B" w14:textId="77777777" w:rsidR="004C6DEC" w:rsidRPr="004C6DEC" w:rsidRDefault="004C6DEC" w:rsidP="004C6DEC">
      <w:pPr>
        <w:pStyle w:val="EndNoteBibliography"/>
      </w:pPr>
      <w:bookmarkStart w:id="95" w:name="_ENREF_69"/>
      <w:r w:rsidRPr="004C6DEC">
        <w:t>Reason, J., 1990. Human error. Cambridge university press, UK.</w:t>
      </w:r>
      <w:bookmarkEnd w:id="95"/>
    </w:p>
    <w:p w14:paraId="4D7BD13B" w14:textId="77777777" w:rsidR="004C6DEC" w:rsidRPr="004C6DEC" w:rsidRDefault="004C6DEC" w:rsidP="004C6DEC">
      <w:pPr>
        <w:pStyle w:val="EndNoteBibliography"/>
      </w:pPr>
      <w:bookmarkStart w:id="96" w:name="_ENREF_70"/>
      <w:r w:rsidRPr="004C6DEC">
        <w:t>Reason, J., 2000. Human error: models and management. British Management Journal 320 (7237), 768-770.</w:t>
      </w:r>
      <w:bookmarkEnd w:id="96"/>
    </w:p>
    <w:p w14:paraId="5AAE3EFC" w14:textId="77777777" w:rsidR="004C6DEC" w:rsidRPr="004C6DEC" w:rsidRDefault="004C6DEC" w:rsidP="004C6DEC">
      <w:pPr>
        <w:pStyle w:val="EndNoteBibliography"/>
      </w:pPr>
      <w:bookmarkStart w:id="97" w:name="_ENREF_71"/>
      <w:r w:rsidRPr="004C6DEC">
        <w:t>Reason, J.T., 1977. Skill and error in everyday life. Adult learning. London: Wiley 21.</w:t>
      </w:r>
      <w:bookmarkEnd w:id="97"/>
    </w:p>
    <w:p w14:paraId="77A98BF1" w14:textId="77777777" w:rsidR="004C6DEC" w:rsidRPr="004C6DEC" w:rsidRDefault="004C6DEC" w:rsidP="004C6DEC">
      <w:pPr>
        <w:pStyle w:val="EndNoteBibliography"/>
      </w:pPr>
      <w:bookmarkStart w:id="98" w:name="_ENREF_72"/>
      <w:r w:rsidRPr="004C6DEC">
        <w:t>Riley, K., Blethen, F.A., Blethen, R., Chan, S.P., Martin, J., Smith, E., Tan, T., Blethen, W.K., Blethen, R.C., 2014. Close call on grain exports offers a lesson, Seattle Times, Seattle, WA</w:t>
      </w:r>
      <w:bookmarkEnd w:id="98"/>
    </w:p>
    <w:p w14:paraId="19DBB792" w14:textId="77777777" w:rsidR="004C6DEC" w:rsidRPr="004C6DEC" w:rsidRDefault="004C6DEC" w:rsidP="004C6DEC">
      <w:pPr>
        <w:pStyle w:val="EndNoteBibliography"/>
      </w:pPr>
      <w:bookmarkStart w:id="99" w:name="_ENREF_73"/>
      <w:r w:rsidRPr="004C6DEC">
        <w:t>Roberts, K.H., 1990. Some characteristics of one type of high reliability organization. Organization Science 1 (2), 160-176.</w:t>
      </w:r>
      <w:bookmarkEnd w:id="99"/>
    </w:p>
    <w:p w14:paraId="4FC3125A" w14:textId="77777777" w:rsidR="004C6DEC" w:rsidRPr="004C6DEC" w:rsidRDefault="004C6DEC" w:rsidP="004C6DEC">
      <w:pPr>
        <w:pStyle w:val="EndNoteBibliography"/>
      </w:pPr>
      <w:bookmarkStart w:id="100" w:name="_ENREF_74"/>
      <w:r w:rsidRPr="004C6DEC">
        <w:t>Rothman, E., 2014. How to learn from supply chain mistakes. , World Economic Forum</w:t>
      </w:r>
      <w:bookmarkEnd w:id="100"/>
    </w:p>
    <w:p w14:paraId="71ACD9A0" w14:textId="77777777" w:rsidR="004C6DEC" w:rsidRPr="004C6DEC" w:rsidRDefault="004C6DEC" w:rsidP="004C6DEC">
      <w:pPr>
        <w:pStyle w:val="EndNoteBibliography"/>
      </w:pPr>
      <w:bookmarkStart w:id="101" w:name="_ENREF_75"/>
      <w:r w:rsidRPr="004C6DEC">
        <w:t>Sagan, S.D., 1995. The limits of safety: Organizations, accidents, and nuclear weapons. Princeton University Press</w:t>
      </w:r>
      <w:bookmarkEnd w:id="101"/>
    </w:p>
    <w:p w14:paraId="7AA79230" w14:textId="77777777" w:rsidR="004C6DEC" w:rsidRPr="004C6DEC" w:rsidRDefault="004C6DEC" w:rsidP="004C6DEC">
      <w:pPr>
        <w:pStyle w:val="EndNoteBibliography"/>
      </w:pPr>
      <w:bookmarkStart w:id="102" w:name="_ENREF_76"/>
      <w:r w:rsidRPr="004C6DEC">
        <w:t>Sagan, S.D.D., 1993. The limits of safety: Organizations, accidents, and nuclear weapons, 4 ed. Princeton University Press, United States.</w:t>
      </w:r>
      <w:bookmarkEnd w:id="102"/>
    </w:p>
    <w:p w14:paraId="13DFC1F8" w14:textId="77777777" w:rsidR="004C6DEC" w:rsidRPr="004C6DEC" w:rsidRDefault="004C6DEC" w:rsidP="004C6DEC">
      <w:pPr>
        <w:pStyle w:val="EndNoteBibliography"/>
      </w:pPr>
      <w:bookmarkStart w:id="103" w:name="_ENREF_77"/>
      <w:r w:rsidRPr="004C6DEC">
        <w:t>Scheibe, K.P., Blackhurst, J., 2018. Supply chain disruption propagation: a systemic risk and normal accident theory perspective. International Journal of Production Research 56 (1-2), 43-59.</w:t>
      </w:r>
      <w:bookmarkEnd w:id="103"/>
    </w:p>
    <w:p w14:paraId="31AEDCE1" w14:textId="77777777" w:rsidR="004C6DEC" w:rsidRPr="004C6DEC" w:rsidRDefault="004C6DEC" w:rsidP="004C6DEC">
      <w:pPr>
        <w:pStyle w:val="EndNoteBibliography"/>
      </w:pPr>
      <w:bookmarkStart w:id="104" w:name="_ENREF_78"/>
      <w:r w:rsidRPr="004C6DEC">
        <w:t>Scott, A., 2016. The top 10 causes of supply chain disruption loss, Supply Management. Chartered Institute of Procurement and Supply</w:t>
      </w:r>
      <w:bookmarkEnd w:id="104"/>
    </w:p>
    <w:p w14:paraId="22BAAEE8" w14:textId="77777777" w:rsidR="004C6DEC" w:rsidRPr="004C6DEC" w:rsidRDefault="004C6DEC" w:rsidP="004C6DEC">
      <w:pPr>
        <w:pStyle w:val="EndNoteBibliography"/>
      </w:pPr>
      <w:bookmarkStart w:id="105" w:name="_ENREF_79"/>
      <w:r w:rsidRPr="004C6DEC">
        <w:t>Scott, W.R., 2001. Institutions and organizations. Sage</w:t>
      </w:r>
      <w:bookmarkEnd w:id="105"/>
    </w:p>
    <w:p w14:paraId="0F73503B" w14:textId="77777777" w:rsidR="004C6DEC" w:rsidRPr="004C6DEC" w:rsidRDefault="004C6DEC" w:rsidP="004C6DEC">
      <w:pPr>
        <w:pStyle w:val="EndNoteBibliography"/>
      </w:pPr>
      <w:bookmarkStart w:id="106" w:name="_ENREF_80"/>
      <w:r w:rsidRPr="004C6DEC">
        <w:t>Scott, W.R., Meyer, J.W., 1994. Institutional environments and organizations: Structural complexity and individualism. Sage</w:t>
      </w:r>
      <w:bookmarkEnd w:id="106"/>
    </w:p>
    <w:p w14:paraId="1749B7A1" w14:textId="77777777" w:rsidR="004C6DEC" w:rsidRPr="004C6DEC" w:rsidRDefault="004C6DEC" w:rsidP="004C6DEC">
      <w:pPr>
        <w:pStyle w:val="EndNoteBibliography"/>
      </w:pPr>
      <w:bookmarkStart w:id="107" w:name="_ENREF_81"/>
      <w:r w:rsidRPr="004C6DEC">
        <w:t>Seifert, C., 2007. Improving disaster management through structured flexibility among frontline responders. Communicable crises 83-136.</w:t>
      </w:r>
      <w:bookmarkEnd w:id="107"/>
    </w:p>
    <w:p w14:paraId="10B2F35C" w14:textId="77777777" w:rsidR="004C6DEC" w:rsidRPr="004C6DEC" w:rsidRDefault="004C6DEC" w:rsidP="004C6DEC">
      <w:pPr>
        <w:pStyle w:val="EndNoteBibliography"/>
      </w:pPr>
      <w:bookmarkStart w:id="108" w:name="_ENREF_82"/>
      <w:r w:rsidRPr="004C6DEC">
        <w:t>Shaheen, I., Azadegan, A., Lucianetti, L., Qi, L., 2017. Leading organizations through supply chain disruptions: An exploratory study of necessary traits. Rutgers Business Review 2 (3), 322-337.</w:t>
      </w:r>
      <w:bookmarkEnd w:id="108"/>
    </w:p>
    <w:p w14:paraId="7320237D" w14:textId="77777777" w:rsidR="004C6DEC" w:rsidRPr="004C6DEC" w:rsidRDefault="004C6DEC" w:rsidP="004C6DEC">
      <w:pPr>
        <w:pStyle w:val="EndNoteBibliography"/>
      </w:pPr>
      <w:bookmarkStart w:id="109" w:name="_ENREF_83"/>
      <w:r w:rsidRPr="004C6DEC">
        <w:t>Sheaffer, Z., Richardson, B., Rosenblatt, Z., 1998. Early warning signals management: A lesson from the Barings crisis. Journal of contingencies and crisis management 6 (1), 1-22.</w:t>
      </w:r>
      <w:bookmarkEnd w:id="109"/>
    </w:p>
    <w:p w14:paraId="622D14A5" w14:textId="77777777" w:rsidR="004C6DEC" w:rsidRPr="004C6DEC" w:rsidRDefault="004C6DEC" w:rsidP="004C6DEC">
      <w:pPr>
        <w:pStyle w:val="EndNoteBibliography"/>
      </w:pPr>
      <w:bookmarkStart w:id="110" w:name="_ENREF_84"/>
      <w:r w:rsidRPr="004C6DEC">
        <w:t>Sheffi, Y., 2015. The Power of Resilience: How the Best Companies Manage the Unexpected. The MIT Press, Cambridge, MA.</w:t>
      </w:r>
      <w:bookmarkEnd w:id="110"/>
    </w:p>
    <w:p w14:paraId="0B01C74B" w14:textId="77777777" w:rsidR="004C6DEC" w:rsidRPr="004C6DEC" w:rsidRDefault="004C6DEC" w:rsidP="004C6DEC">
      <w:pPr>
        <w:pStyle w:val="EndNoteBibliography"/>
      </w:pPr>
      <w:bookmarkStart w:id="111" w:name="_ENREF_85"/>
      <w:r w:rsidRPr="004C6DEC">
        <w:t>Short, J.L., Toffel, M.W., 2010. Making self-regulation more than merely symbolic: The critical role of the legal environment. Administrative Science Quarterly 55 (3), 361-396.</w:t>
      </w:r>
      <w:bookmarkEnd w:id="111"/>
    </w:p>
    <w:p w14:paraId="1890C868" w14:textId="77777777" w:rsidR="004C6DEC" w:rsidRPr="004C6DEC" w:rsidRDefault="004C6DEC" w:rsidP="004C6DEC">
      <w:pPr>
        <w:pStyle w:val="EndNoteBibliography"/>
      </w:pPr>
      <w:bookmarkStart w:id="112" w:name="_ENREF_86"/>
      <w:r w:rsidRPr="004C6DEC">
        <w:t>Sivadas, E., Dwyer, F.R., 2000. An examination of organizational factors influencing new product success in internal and alliance-based processes. Journal of Marketing 64 (1), 31-49.</w:t>
      </w:r>
      <w:bookmarkEnd w:id="112"/>
    </w:p>
    <w:p w14:paraId="0B7FCE8D" w14:textId="77777777" w:rsidR="004C6DEC" w:rsidRPr="004C6DEC" w:rsidRDefault="004C6DEC" w:rsidP="004C6DEC">
      <w:pPr>
        <w:pStyle w:val="EndNoteBibliography"/>
      </w:pPr>
      <w:bookmarkStart w:id="113" w:name="_ENREF_87"/>
      <w:r w:rsidRPr="004C6DEC">
        <w:t>Skilton, P.F., Robinson, J.L., 2009. Traceability and normal accident theory: how does supply network complexity influence the traceability of adverse events? Journal of Supply Chain Management 45 (3), 40-53.</w:t>
      </w:r>
      <w:bookmarkEnd w:id="113"/>
    </w:p>
    <w:p w14:paraId="3C416DA2" w14:textId="77777777" w:rsidR="004C6DEC" w:rsidRPr="004C6DEC" w:rsidRDefault="004C6DEC" w:rsidP="004C6DEC">
      <w:pPr>
        <w:pStyle w:val="EndNoteBibliography"/>
      </w:pPr>
      <w:bookmarkStart w:id="114" w:name="_ENREF_88"/>
      <w:r w:rsidRPr="004C6DEC">
        <w:t>Sowinski, L.L., 2011. Turning A Close Call Into A Sure Bet: How quick thinking and collaboration by two logistics partners saved the day for one lucky manufacturer. World Trade 24 (2), 30-32.</w:t>
      </w:r>
      <w:bookmarkEnd w:id="114"/>
    </w:p>
    <w:p w14:paraId="2B0930E5" w14:textId="77777777" w:rsidR="004C6DEC" w:rsidRPr="004C6DEC" w:rsidRDefault="004C6DEC" w:rsidP="004C6DEC">
      <w:pPr>
        <w:pStyle w:val="EndNoteBibliography"/>
      </w:pPr>
      <w:bookmarkStart w:id="115" w:name="_ENREF_89"/>
      <w:r w:rsidRPr="004C6DEC">
        <w:t>Speier, C., Whipple, J.M., Closs, D.J., Voss, M.D., 2011. Global supply chain design considerations: Mitigating product safety and security risks. Journal of Operations Management 29 (7-8), 721-736.</w:t>
      </w:r>
      <w:bookmarkEnd w:id="115"/>
    </w:p>
    <w:p w14:paraId="3AC7E858" w14:textId="77777777" w:rsidR="004C6DEC" w:rsidRPr="004C6DEC" w:rsidRDefault="004C6DEC" w:rsidP="004C6DEC">
      <w:pPr>
        <w:pStyle w:val="EndNoteBibliography"/>
      </w:pPr>
      <w:bookmarkStart w:id="116" w:name="_ENREF_90"/>
      <w:r w:rsidRPr="004C6DEC">
        <w:t>Stead, E., Smallman, C., 1999. Understanding business failure: Learning and un-learning lessons from industrial crises. Journal of contingencies and crisis management 7 (1), 1-18.</w:t>
      </w:r>
      <w:bookmarkEnd w:id="116"/>
    </w:p>
    <w:p w14:paraId="65F92148" w14:textId="77777777" w:rsidR="004C6DEC" w:rsidRPr="004C6DEC" w:rsidRDefault="004C6DEC" w:rsidP="004C6DEC">
      <w:pPr>
        <w:pStyle w:val="EndNoteBibliography"/>
      </w:pPr>
      <w:bookmarkStart w:id="117" w:name="_ENREF_91"/>
      <w:r w:rsidRPr="004C6DEC">
        <w:lastRenderedPageBreak/>
        <w:t>Storeng, K.T., Drabo, S., Ganaba, R., Sundby, J., Calvert, C., Filippi, V., 2012. Mortality after near-miss obstetric complications in Burkina Faso: medical, social and health-care factors. Bulletin of the World Health Organization 90 (6), 418-425b.</w:t>
      </w:r>
      <w:bookmarkEnd w:id="117"/>
    </w:p>
    <w:p w14:paraId="1323DA9A" w14:textId="77777777" w:rsidR="004C6DEC" w:rsidRPr="004C6DEC" w:rsidRDefault="004C6DEC" w:rsidP="004C6DEC">
      <w:pPr>
        <w:pStyle w:val="EndNoteBibliography"/>
      </w:pPr>
      <w:bookmarkStart w:id="118" w:name="_ENREF_92"/>
      <w:r w:rsidRPr="004C6DEC">
        <w:t>Tenhiälä, A., Salvador, F., 2014. Looking inside glitch mitigation capability: The effect of Intraorganizational communication channels. Decision Sciences 45 (3), 437-466.</w:t>
      </w:r>
      <w:bookmarkEnd w:id="118"/>
    </w:p>
    <w:p w14:paraId="317584FF" w14:textId="77777777" w:rsidR="004C6DEC" w:rsidRPr="004C6DEC" w:rsidRDefault="004C6DEC" w:rsidP="004C6DEC">
      <w:pPr>
        <w:pStyle w:val="EndNoteBibliography"/>
      </w:pPr>
      <w:bookmarkStart w:id="119" w:name="_ENREF_93"/>
      <w:r w:rsidRPr="004C6DEC">
        <w:t>Tessmer, A.C., 1997. What to learn from near misses: An Inductive learning approach to credit risk assessment. Decision Sciences 28 (1), 105-120.</w:t>
      </w:r>
      <w:bookmarkEnd w:id="119"/>
    </w:p>
    <w:p w14:paraId="06461711" w14:textId="77777777" w:rsidR="004C6DEC" w:rsidRPr="004C6DEC" w:rsidRDefault="004C6DEC" w:rsidP="004C6DEC">
      <w:pPr>
        <w:pStyle w:val="EndNoteBibliography"/>
      </w:pPr>
      <w:bookmarkStart w:id="120" w:name="_ENREF_94"/>
      <w:r w:rsidRPr="004C6DEC">
        <w:t>Tinsley, C.H., Dillon, R.L., Cronin, M.A., 2012. How near-miss events amplify or Attenuate risky decision making. Management Science 58 (9), 1596-1613.</w:t>
      </w:r>
      <w:bookmarkEnd w:id="120"/>
    </w:p>
    <w:p w14:paraId="0962DAF4" w14:textId="77777777" w:rsidR="004C6DEC" w:rsidRPr="004C6DEC" w:rsidRDefault="004C6DEC" w:rsidP="004C6DEC">
      <w:pPr>
        <w:pStyle w:val="EndNoteBibliography"/>
      </w:pPr>
      <w:bookmarkStart w:id="121" w:name="_ENREF_95"/>
      <w:r w:rsidRPr="004C6DEC">
        <w:t>Tomlin, B., 2006. On the value of mitigation and contingency strategies for managing supply chain disruption risks. Management Science 52 (5), 639-657.</w:t>
      </w:r>
      <w:bookmarkEnd w:id="121"/>
    </w:p>
    <w:p w14:paraId="494EDEF3" w14:textId="77777777" w:rsidR="004C6DEC" w:rsidRPr="004C6DEC" w:rsidRDefault="004C6DEC" w:rsidP="004C6DEC">
      <w:pPr>
        <w:pStyle w:val="EndNoteBibliography"/>
      </w:pPr>
      <w:bookmarkStart w:id="122" w:name="_ENREF_96"/>
      <w:r w:rsidRPr="004C6DEC">
        <w:t>Tucker, A.L., Edmondson, A.C., 2002. Managing routine exceptions: A model of nurse problem solving behavior, In: Friedman, L.H., Goes, J., Savage, G.T. (Eds), Advances in Health Care Management Emerald Group Publishing Limited, West Yorkshire, UK, pp. 87-113.</w:t>
      </w:r>
      <w:bookmarkEnd w:id="122"/>
    </w:p>
    <w:p w14:paraId="521AC7F4" w14:textId="77777777" w:rsidR="004C6DEC" w:rsidRPr="004C6DEC" w:rsidRDefault="004C6DEC" w:rsidP="004C6DEC">
      <w:pPr>
        <w:pStyle w:val="EndNoteBibliography"/>
      </w:pPr>
      <w:bookmarkStart w:id="123" w:name="_ENREF_97"/>
      <w:r w:rsidRPr="004C6DEC">
        <w:t>Turner, B.A., 1995. The role of flexibility and improvisation in emergency response. CRC Press, London.</w:t>
      </w:r>
      <w:bookmarkEnd w:id="123"/>
    </w:p>
    <w:p w14:paraId="08890CCC" w14:textId="77777777" w:rsidR="004C6DEC" w:rsidRPr="004C6DEC" w:rsidRDefault="004C6DEC" w:rsidP="004C6DEC">
      <w:pPr>
        <w:pStyle w:val="EndNoteBibliography"/>
      </w:pPr>
      <w:bookmarkStart w:id="124" w:name="_ENREF_98"/>
      <w:r w:rsidRPr="004C6DEC">
        <w:t>Vogel, D., 2010. The Private Regulation of Global Corporate Conduct Achievements and Limitations. Business &amp; Society 49 (1), 68-87.</w:t>
      </w:r>
      <w:bookmarkEnd w:id="124"/>
    </w:p>
    <w:p w14:paraId="5737B8C9" w14:textId="77777777" w:rsidR="004C6DEC" w:rsidRPr="004C6DEC" w:rsidRDefault="004C6DEC" w:rsidP="004C6DEC">
      <w:pPr>
        <w:pStyle w:val="EndNoteBibliography"/>
      </w:pPr>
      <w:bookmarkStart w:id="125" w:name="_ENREF_99"/>
      <w:r w:rsidRPr="004C6DEC">
        <w:t>Wahlberg, Å., Rööst, M., Haglund, B., Högberg, U., Essén, B., 2013. Increased risk of severe maternal morbidity (near miss) among immigrant women in Sweden: A population register based study. BJOG: An International Journal of Obstetrics &amp; Gynaecology 120 (13), 1605-1612.</w:t>
      </w:r>
      <w:bookmarkEnd w:id="125"/>
    </w:p>
    <w:p w14:paraId="4DD56C45" w14:textId="77777777" w:rsidR="004C6DEC" w:rsidRPr="004C6DEC" w:rsidRDefault="004C6DEC" w:rsidP="004C6DEC">
      <w:pPr>
        <w:pStyle w:val="EndNoteBibliography"/>
      </w:pPr>
      <w:bookmarkStart w:id="126" w:name="_ENREF_100"/>
      <w:r w:rsidRPr="004C6DEC">
        <w:t xml:space="preserve">Webb, J., 2016. The Taiwanese Earthquake That Nearly Flattened The Apple iPhone 7. Forbes.com February 29, 2016 </w:t>
      </w:r>
      <w:bookmarkEnd w:id="126"/>
    </w:p>
    <w:p w14:paraId="2465F954" w14:textId="77777777" w:rsidR="004C6DEC" w:rsidRPr="004C6DEC" w:rsidRDefault="004C6DEC" w:rsidP="004C6DEC">
      <w:pPr>
        <w:pStyle w:val="EndNoteBibliography"/>
      </w:pPr>
      <w:bookmarkStart w:id="127" w:name="_ENREF_101"/>
      <w:r w:rsidRPr="004C6DEC">
        <w:t>Wei, Z., Song, X., Wang, D., 2017. Manufacturing flexibility, business model design, and firm performance. International Journal of Production Economics 193 87-97.</w:t>
      </w:r>
      <w:bookmarkEnd w:id="127"/>
    </w:p>
    <w:p w14:paraId="1C059C26" w14:textId="77777777" w:rsidR="004C6DEC" w:rsidRPr="004C6DEC" w:rsidRDefault="004C6DEC" w:rsidP="004C6DEC">
      <w:pPr>
        <w:pStyle w:val="EndNoteBibliography"/>
      </w:pPr>
      <w:bookmarkStart w:id="128" w:name="_ENREF_102"/>
      <w:r w:rsidRPr="004C6DEC">
        <w:t>Weick, K.E., 1991. The nontraditional quality of organizational learning. Organization Science 2 (1), 116-124.</w:t>
      </w:r>
      <w:bookmarkEnd w:id="128"/>
    </w:p>
    <w:p w14:paraId="36D8CBFD" w14:textId="77777777" w:rsidR="004C6DEC" w:rsidRPr="004C6DEC" w:rsidRDefault="004C6DEC" w:rsidP="004C6DEC">
      <w:pPr>
        <w:pStyle w:val="EndNoteBibliography"/>
      </w:pPr>
      <w:bookmarkStart w:id="129" w:name="_ENREF_103"/>
      <w:r w:rsidRPr="004C6DEC">
        <w:t>Weick, K.E., 1993. The collapse of Sensemaking in organizations: The Mann Gulch disaster. Administrative Science Quarterly 38 (4), 628.</w:t>
      </w:r>
      <w:bookmarkEnd w:id="129"/>
    </w:p>
    <w:p w14:paraId="0BF5FDC5" w14:textId="77777777" w:rsidR="004C6DEC" w:rsidRPr="004C6DEC" w:rsidRDefault="004C6DEC" w:rsidP="004C6DEC">
      <w:pPr>
        <w:pStyle w:val="EndNoteBibliography"/>
      </w:pPr>
      <w:bookmarkStart w:id="130" w:name="_ENREF_104"/>
      <w:r w:rsidRPr="004C6DEC">
        <w:t>Weick, K.E., Sutcliffe, K.M., Obstfeld, D., 2008. Organizing for high reliability: Processes of collective mindfulness. Crisis management 3 (1), 81-123.</w:t>
      </w:r>
      <w:bookmarkEnd w:id="130"/>
    </w:p>
    <w:p w14:paraId="7FFE9AB8" w14:textId="77777777" w:rsidR="004C6DEC" w:rsidRPr="004C6DEC" w:rsidRDefault="004C6DEC" w:rsidP="004C6DEC">
      <w:pPr>
        <w:pStyle w:val="EndNoteBibliography"/>
      </w:pPr>
      <w:bookmarkStart w:id="131" w:name="_ENREF_105"/>
      <w:r w:rsidRPr="004C6DEC">
        <w:t>Weinstein, N.D., 1989. Effects of personal experience on self-protective behavior. Psychological Bulletin 105 (1), 31-50.</w:t>
      </w:r>
      <w:bookmarkEnd w:id="131"/>
    </w:p>
    <w:p w14:paraId="582F82B8" w14:textId="77777777" w:rsidR="004C6DEC" w:rsidRPr="004C6DEC" w:rsidRDefault="004C6DEC" w:rsidP="004C6DEC">
      <w:pPr>
        <w:pStyle w:val="EndNoteBibliography"/>
      </w:pPr>
      <w:bookmarkStart w:id="132" w:name="_ENREF_106"/>
      <w:r w:rsidRPr="004C6DEC">
        <w:t>Williamsen, M., 2013. Near-miss reporting: A missing link in safety culture. Professional Safety 58 (5), 46-50.</w:t>
      </w:r>
      <w:bookmarkEnd w:id="132"/>
    </w:p>
    <w:p w14:paraId="47E310B6" w14:textId="77777777" w:rsidR="004C6DEC" w:rsidRPr="004C6DEC" w:rsidRDefault="004C6DEC" w:rsidP="004C6DEC">
      <w:pPr>
        <w:pStyle w:val="EndNoteBibliography"/>
      </w:pPr>
      <w:bookmarkStart w:id="133" w:name="_ENREF_107"/>
      <w:r w:rsidRPr="004C6DEC">
        <w:t>Wolf, F.G., 2001. Operationalizing and testing normal accident theory in petrochemical plants and refineries. Production and Operations Management 10 (3), 292-305.</w:t>
      </w:r>
      <w:bookmarkEnd w:id="133"/>
    </w:p>
    <w:p w14:paraId="7E5A5312" w14:textId="77777777" w:rsidR="004C6DEC" w:rsidRPr="004C6DEC" w:rsidRDefault="004C6DEC" w:rsidP="004C6DEC">
      <w:pPr>
        <w:pStyle w:val="EndNoteBibliography"/>
      </w:pPr>
      <w:bookmarkStart w:id="134" w:name="_ENREF_108"/>
      <w:r w:rsidRPr="004C6DEC">
        <w:t>Wright, L., van der Schaaf, T., 2004. Accident versus near miss causation: A critical review of the literature, an empirical test in the UK railway domain, and their implications for other sectors. Journal of Hazardous Materials 111 (1-3), 105-110.</w:t>
      </w:r>
      <w:bookmarkEnd w:id="134"/>
    </w:p>
    <w:p w14:paraId="78C859DA" w14:textId="77777777" w:rsidR="004C6DEC" w:rsidRPr="004C6DEC" w:rsidRDefault="004C6DEC" w:rsidP="004C6DEC">
      <w:pPr>
        <w:pStyle w:val="EndNoteBibliography"/>
      </w:pPr>
      <w:bookmarkStart w:id="135" w:name="_ENREF_109"/>
      <w:r w:rsidRPr="004C6DEC">
        <w:t>Zsidisin, G.A., Melnyk, S.A., Ragatz, G.L., 2005. An institutional theory perspective of business continuity planning for purchasing and supply management. International Journal of Production Research 43 (16), 3401-3420.</w:t>
      </w:r>
      <w:bookmarkEnd w:id="135"/>
    </w:p>
    <w:p w14:paraId="78BD0D5B" w14:textId="12EBBD42" w:rsidR="006135EF" w:rsidRDefault="009B619A" w:rsidP="00FF2D0E">
      <w:pPr>
        <w:sectPr w:rsidR="006135EF" w:rsidSect="006135EF">
          <w:footerReference w:type="default" r:id="rId8"/>
          <w:pgSz w:w="11900" w:h="16840"/>
          <w:pgMar w:top="1440" w:right="1260" w:bottom="1440" w:left="1260" w:header="708" w:footer="708" w:gutter="0"/>
          <w:cols w:space="708"/>
          <w:docGrid w:linePitch="360"/>
        </w:sectPr>
      </w:pPr>
      <w:r>
        <w:fldChar w:fldCharType="end"/>
      </w:r>
    </w:p>
    <w:p w14:paraId="76A759FC" w14:textId="47C2016A" w:rsidR="00B8318D" w:rsidRDefault="00B8318D" w:rsidP="00FF2D0E"/>
    <w:p w14:paraId="1D03CDF6" w14:textId="5D0D55B6" w:rsidR="002A5DA3" w:rsidRDefault="002A5DA3" w:rsidP="002A5DA3">
      <w:pPr>
        <w:ind w:right="640"/>
        <w:rPr>
          <w:sz w:val="22"/>
        </w:rPr>
      </w:pPr>
      <w:r w:rsidRPr="00D763BD">
        <w:rPr>
          <w:b/>
        </w:rPr>
        <w:t>Table 1</w:t>
      </w:r>
      <w:r w:rsidRPr="00BC6360">
        <w:rPr>
          <w:b/>
        </w:rPr>
        <w:t xml:space="preserve"> –</w:t>
      </w:r>
      <w:r w:rsidR="00BC6360" w:rsidRPr="00BC6360">
        <w:rPr>
          <w:b/>
        </w:rPr>
        <w:t xml:space="preserve"> Part 1</w:t>
      </w:r>
      <w:r w:rsidR="00BC6360">
        <w:t xml:space="preserve">: </w:t>
      </w:r>
      <w:r>
        <w:t>L</w:t>
      </w:r>
      <w:r w:rsidRPr="004F7B34">
        <w:t>iterature on near-miss across scientific disciplines</w:t>
      </w:r>
      <w:r w:rsidR="00BC6360">
        <w:t xml:space="preserve"> (</w:t>
      </w:r>
      <w:r w:rsidR="00BC6360">
        <w:rPr>
          <w:sz w:val="22"/>
        </w:rPr>
        <w:t>The Broad View)</w:t>
      </w:r>
    </w:p>
    <w:p w14:paraId="5897AF61" w14:textId="77777777" w:rsidR="00BC6360" w:rsidRDefault="00BC6360" w:rsidP="002A5DA3">
      <w:pPr>
        <w:ind w:right="640"/>
      </w:pPr>
    </w:p>
    <w:tbl>
      <w:tblPr>
        <w:tblW w:w="14490" w:type="dxa"/>
        <w:tblBorders>
          <w:top w:val="single" w:sz="12" w:space="0" w:color="auto"/>
          <w:bottom w:val="single" w:sz="12" w:space="0" w:color="auto"/>
          <w:insideH w:val="dashed" w:sz="4" w:space="0" w:color="auto"/>
        </w:tblBorders>
        <w:tblLook w:val="04A0" w:firstRow="1" w:lastRow="0" w:firstColumn="1" w:lastColumn="0" w:noHBand="0" w:noVBand="1"/>
      </w:tblPr>
      <w:tblGrid>
        <w:gridCol w:w="2790"/>
        <w:gridCol w:w="3690"/>
        <w:gridCol w:w="630"/>
        <w:gridCol w:w="2060"/>
        <w:gridCol w:w="5320"/>
      </w:tblGrid>
      <w:tr w:rsidR="000B5D5B" w:rsidRPr="00FD30F2" w14:paraId="58D94AF4" w14:textId="77777777" w:rsidTr="00A44353">
        <w:trPr>
          <w:trHeight w:val="288"/>
        </w:trPr>
        <w:tc>
          <w:tcPr>
            <w:tcW w:w="6480" w:type="dxa"/>
            <w:gridSpan w:val="2"/>
            <w:tcBorders>
              <w:top w:val="single" w:sz="12" w:space="0" w:color="auto"/>
              <w:bottom w:val="single" w:sz="12" w:space="0" w:color="auto"/>
            </w:tcBorders>
            <w:shd w:val="clear" w:color="auto" w:fill="auto"/>
            <w:noWrap/>
            <w:vAlign w:val="bottom"/>
            <w:hideMark/>
          </w:tcPr>
          <w:p w14:paraId="5E847173" w14:textId="52E4BA6A" w:rsidR="000B5D5B" w:rsidRPr="00FD30F2" w:rsidRDefault="000B5D5B" w:rsidP="000B5D5B">
            <w:pPr>
              <w:jc w:val="center"/>
              <w:rPr>
                <w:rFonts w:eastAsia="Times New Roman"/>
                <w:b/>
                <w:color w:val="000000"/>
                <w:sz w:val="20"/>
                <w:szCs w:val="20"/>
              </w:rPr>
            </w:pPr>
            <w:r w:rsidRPr="00FD30F2">
              <w:rPr>
                <w:rFonts w:eastAsia="Times New Roman"/>
                <w:b/>
                <w:color w:val="000000"/>
                <w:sz w:val="20"/>
                <w:szCs w:val="20"/>
              </w:rPr>
              <w:t>Fields of Science and Article Count</w:t>
            </w:r>
          </w:p>
        </w:tc>
        <w:tc>
          <w:tcPr>
            <w:tcW w:w="630" w:type="dxa"/>
            <w:tcBorders>
              <w:top w:val="single" w:sz="12" w:space="0" w:color="auto"/>
              <w:bottom w:val="single" w:sz="12" w:space="0" w:color="auto"/>
            </w:tcBorders>
            <w:shd w:val="clear" w:color="auto" w:fill="auto"/>
            <w:noWrap/>
            <w:vAlign w:val="bottom"/>
            <w:hideMark/>
          </w:tcPr>
          <w:p w14:paraId="1A012F48" w14:textId="77777777" w:rsidR="000B5D5B" w:rsidRPr="00FD30F2" w:rsidRDefault="000B5D5B" w:rsidP="00FD30F2">
            <w:pPr>
              <w:rPr>
                <w:rFonts w:eastAsia="Times New Roman"/>
                <w:b/>
                <w:sz w:val="20"/>
                <w:szCs w:val="20"/>
              </w:rPr>
            </w:pPr>
          </w:p>
        </w:tc>
        <w:tc>
          <w:tcPr>
            <w:tcW w:w="2060" w:type="dxa"/>
            <w:tcBorders>
              <w:top w:val="single" w:sz="12" w:space="0" w:color="auto"/>
              <w:bottom w:val="single" w:sz="12" w:space="0" w:color="auto"/>
            </w:tcBorders>
            <w:shd w:val="clear" w:color="auto" w:fill="auto"/>
            <w:noWrap/>
            <w:vAlign w:val="bottom"/>
            <w:hideMark/>
          </w:tcPr>
          <w:p w14:paraId="3A7FA337" w14:textId="77777777" w:rsidR="000B5D5B" w:rsidRPr="00FD30F2" w:rsidRDefault="000B5D5B" w:rsidP="00FD30F2">
            <w:pPr>
              <w:rPr>
                <w:rFonts w:eastAsia="Times New Roman"/>
                <w:b/>
                <w:color w:val="000000"/>
                <w:sz w:val="20"/>
                <w:szCs w:val="20"/>
              </w:rPr>
            </w:pPr>
            <w:r w:rsidRPr="00FD30F2">
              <w:rPr>
                <w:rFonts w:eastAsia="Times New Roman"/>
                <w:b/>
                <w:color w:val="000000"/>
                <w:sz w:val="20"/>
                <w:szCs w:val="20"/>
              </w:rPr>
              <w:t>Notable Articles</w:t>
            </w:r>
          </w:p>
        </w:tc>
        <w:tc>
          <w:tcPr>
            <w:tcW w:w="5320" w:type="dxa"/>
            <w:tcBorders>
              <w:top w:val="single" w:sz="12" w:space="0" w:color="auto"/>
              <w:bottom w:val="single" w:sz="12" w:space="0" w:color="auto"/>
            </w:tcBorders>
            <w:shd w:val="clear" w:color="auto" w:fill="auto"/>
            <w:noWrap/>
            <w:vAlign w:val="bottom"/>
            <w:hideMark/>
          </w:tcPr>
          <w:p w14:paraId="4DA54873" w14:textId="77777777" w:rsidR="000B5D5B" w:rsidRPr="00FD30F2" w:rsidRDefault="000B5D5B" w:rsidP="00FD30F2">
            <w:pPr>
              <w:rPr>
                <w:rFonts w:eastAsia="Times New Roman"/>
                <w:b/>
                <w:color w:val="000000"/>
                <w:sz w:val="20"/>
                <w:szCs w:val="20"/>
              </w:rPr>
            </w:pPr>
            <w:r w:rsidRPr="00FD30F2">
              <w:rPr>
                <w:rFonts w:eastAsia="Times New Roman"/>
                <w:b/>
                <w:color w:val="000000"/>
                <w:sz w:val="20"/>
                <w:szCs w:val="20"/>
              </w:rPr>
              <w:t>Related Insights</w:t>
            </w:r>
          </w:p>
        </w:tc>
      </w:tr>
      <w:tr w:rsidR="000B5D5B" w:rsidRPr="00FD30F2" w14:paraId="5A9E082B" w14:textId="77777777" w:rsidTr="00A44353">
        <w:trPr>
          <w:trHeight w:val="144"/>
        </w:trPr>
        <w:tc>
          <w:tcPr>
            <w:tcW w:w="2790" w:type="dxa"/>
            <w:tcBorders>
              <w:top w:val="single" w:sz="12" w:space="0" w:color="auto"/>
              <w:bottom w:val="nil"/>
            </w:tcBorders>
            <w:shd w:val="clear" w:color="auto" w:fill="auto"/>
            <w:noWrap/>
            <w:vAlign w:val="center"/>
            <w:hideMark/>
          </w:tcPr>
          <w:p w14:paraId="231D510D" w14:textId="77777777" w:rsidR="000B5D5B" w:rsidRPr="00FD30F2" w:rsidRDefault="000B5D5B" w:rsidP="000B5D5B">
            <w:pPr>
              <w:rPr>
                <w:rFonts w:eastAsia="Times New Roman"/>
                <w:b/>
                <w:bCs/>
                <w:color w:val="000000"/>
                <w:sz w:val="20"/>
                <w:szCs w:val="20"/>
              </w:rPr>
            </w:pPr>
            <w:r w:rsidRPr="00FD30F2">
              <w:rPr>
                <w:rFonts w:eastAsia="Times New Roman"/>
                <w:b/>
                <w:bCs/>
                <w:color w:val="000000"/>
                <w:sz w:val="20"/>
                <w:szCs w:val="20"/>
              </w:rPr>
              <w:t>Medical Science</w:t>
            </w:r>
          </w:p>
        </w:tc>
        <w:tc>
          <w:tcPr>
            <w:tcW w:w="3690" w:type="dxa"/>
            <w:tcBorders>
              <w:top w:val="single" w:sz="12" w:space="0" w:color="auto"/>
              <w:bottom w:val="nil"/>
            </w:tcBorders>
            <w:shd w:val="clear" w:color="auto" w:fill="auto"/>
            <w:noWrap/>
            <w:vAlign w:val="center"/>
            <w:hideMark/>
          </w:tcPr>
          <w:p w14:paraId="36BB3478" w14:textId="77777777" w:rsidR="000B5D5B" w:rsidRPr="00FD30F2" w:rsidRDefault="000B5D5B" w:rsidP="000B5D5B">
            <w:pPr>
              <w:rPr>
                <w:rFonts w:eastAsia="Times New Roman"/>
                <w:b/>
                <w:bCs/>
                <w:color w:val="000000"/>
                <w:sz w:val="20"/>
                <w:szCs w:val="20"/>
              </w:rPr>
            </w:pPr>
          </w:p>
        </w:tc>
        <w:tc>
          <w:tcPr>
            <w:tcW w:w="630" w:type="dxa"/>
            <w:tcBorders>
              <w:top w:val="single" w:sz="12" w:space="0" w:color="auto"/>
              <w:bottom w:val="nil"/>
            </w:tcBorders>
            <w:shd w:val="clear" w:color="auto" w:fill="auto"/>
            <w:noWrap/>
            <w:vAlign w:val="center"/>
            <w:hideMark/>
          </w:tcPr>
          <w:p w14:paraId="46D8A3C7" w14:textId="77777777" w:rsidR="000B5D5B" w:rsidRPr="00FD30F2" w:rsidRDefault="000B5D5B" w:rsidP="000B5D5B">
            <w:pPr>
              <w:rPr>
                <w:rFonts w:eastAsia="Times New Roman"/>
                <w:b/>
                <w:bCs/>
                <w:color w:val="000000"/>
                <w:sz w:val="20"/>
                <w:szCs w:val="20"/>
              </w:rPr>
            </w:pPr>
            <w:r w:rsidRPr="00FD30F2">
              <w:rPr>
                <w:rFonts w:eastAsia="Times New Roman"/>
                <w:b/>
                <w:bCs/>
                <w:color w:val="000000"/>
                <w:sz w:val="20"/>
                <w:szCs w:val="20"/>
              </w:rPr>
              <w:t>478</w:t>
            </w:r>
          </w:p>
        </w:tc>
        <w:tc>
          <w:tcPr>
            <w:tcW w:w="2060" w:type="dxa"/>
            <w:tcBorders>
              <w:top w:val="single" w:sz="12" w:space="0" w:color="auto"/>
              <w:bottom w:val="nil"/>
            </w:tcBorders>
            <w:shd w:val="clear" w:color="auto" w:fill="auto"/>
            <w:noWrap/>
            <w:vAlign w:val="center"/>
            <w:hideMark/>
          </w:tcPr>
          <w:p w14:paraId="000FEE60" w14:textId="77777777" w:rsidR="000B5D5B" w:rsidRPr="00FD30F2" w:rsidRDefault="000B5D5B" w:rsidP="000B5D5B">
            <w:pPr>
              <w:rPr>
                <w:rFonts w:eastAsia="Times New Roman"/>
                <w:b/>
                <w:bCs/>
                <w:color w:val="000000"/>
                <w:sz w:val="20"/>
                <w:szCs w:val="20"/>
              </w:rPr>
            </w:pPr>
          </w:p>
        </w:tc>
        <w:tc>
          <w:tcPr>
            <w:tcW w:w="5320" w:type="dxa"/>
            <w:vMerge w:val="restart"/>
            <w:tcBorders>
              <w:top w:val="single" w:sz="12" w:space="0" w:color="auto"/>
            </w:tcBorders>
            <w:shd w:val="clear" w:color="auto" w:fill="auto"/>
            <w:noWrap/>
            <w:vAlign w:val="center"/>
            <w:hideMark/>
          </w:tcPr>
          <w:p w14:paraId="7E388D9F" w14:textId="60D806E6" w:rsidR="000B5D5B" w:rsidRPr="00FD30F2" w:rsidRDefault="000B5D5B" w:rsidP="000B5D5B">
            <w:pPr>
              <w:rPr>
                <w:rFonts w:eastAsia="Times New Roman"/>
                <w:sz w:val="20"/>
                <w:szCs w:val="20"/>
              </w:rPr>
            </w:pPr>
            <w:r w:rsidRPr="00FD30F2">
              <w:rPr>
                <w:rFonts w:eastAsia="Times New Roman"/>
                <w:color w:val="000000"/>
                <w:sz w:val="20"/>
                <w:szCs w:val="20"/>
              </w:rPr>
              <w:t xml:space="preserve">Near-miss reporting offers numerous organizational benefits. By collecting near-misses medical science can better understand recovery </w:t>
            </w:r>
            <w:r w:rsidR="003A4A4A" w:rsidRPr="00FD30F2">
              <w:rPr>
                <w:rFonts w:eastAsia="Times New Roman"/>
                <w:color w:val="000000"/>
                <w:sz w:val="20"/>
                <w:szCs w:val="20"/>
              </w:rPr>
              <w:t>patterns</w:t>
            </w:r>
            <w:r w:rsidRPr="00FD30F2">
              <w:rPr>
                <w:rFonts w:eastAsia="Times New Roman"/>
                <w:color w:val="000000"/>
                <w:sz w:val="20"/>
                <w:szCs w:val="20"/>
              </w:rPr>
              <w:t xml:space="preserve"> through the capture, study, and improvement of discovery processes.</w:t>
            </w:r>
          </w:p>
        </w:tc>
      </w:tr>
      <w:tr w:rsidR="000B5D5B" w:rsidRPr="00FD30F2" w14:paraId="7C07C65B" w14:textId="77777777" w:rsidTr="00A44353">
        <w:trPr>
          <w:trHeight w:val="144"/>
        </w:trPr>
        <w:tc>
          <w:tcPr>
            <w:tcW w:w="2790" w:type="dxa"/>
            <w:tcBorders>
              <w:top w:val="nil"/>
              <w:bottom w:val="nil"/>
            </w:tcBorders>
            <w:shd w:val="clear" w:color="auto" w:fill="auto"/>
            <w:noWrap/>
            <w:vAlign w:val="center"/>
            <w:hideMark/>
          </w:tcPr>
          <w:p w14:paraId="7BAC4763" w14:textId="77777777" w:rsidR="000B5D5B" w:rsidRPr="00FD30F2" w:rsidRDefault="000B5D5B" w:rsidP="000B5D5B">
            <w:pPr>
              <w:ind w:firstLineChars="100" w:firstLine="200"/>
              <w:rPr>
                <w:rFonts w:eastAsia="Times New Roman"/>
                <w:color w:val="000000"/>
                <w:sz w:val="20"/>
                <w:szCs w:val="20"/>
              </w:rPr>
            </w:pPr>
            <w:r w:rsidRPr="00FD30F2">
              <w:rPr>
                <w:rFonts w:eastAsia="Times New Roman"/>
                <w:color w:val="000000"/>
                <w:sz w:val="20"/>
                <w:szCs w:val="20"/>
              </w:rPr>
              <w:t>General Medicine</w:t>
            </w:r>
          </w:p>
        </w:tc>
        <w:tc>
          <w:tcPr>
            <w:tcW w:w="3690" w:type="dxa"/>
            <w:tcBorders>
              <w:top w:val="nil"/>
              <w:bottom w:val="nil"/>
            </w:tcBorders>
            <w:shd w:val="clear" w:color="auto" w:fill="auto"/>
            <w:noWrap/>
            <w:vAlign w:val="center"/>
            <w:hideMark/>
          </w:tcPr>
          <w:p w14:paraId="1B3BA524"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Pediatrics, Internal Medicine, Gynecology</w:t>
            </w:r>
          </w:p>
        </w:tc>
        <w:tc>
          <w:tcPr>
            <w:tcW w:w="630" w:type="dxa"/>
            <w:tcBorders>
              <w:top w:val="nil"/>
              <w:bottom w:val="nil"/>
            </w:tcBorders>
            <w:shd w:val="clear" w:color="auto" w:fill="auto"/>
            <w:noWrap/>
            <w:vAlign w:val="center"/>
            <w:hideMark/>
          </w:tcPr>
          <w:p w14:paraId="5A3B1970"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279</w:t>
            </w:r>
          </w:p>
        </w:tc>
        <w:tc>
          <w:tcPr>
            <w:tcW w:w="2060" w:type="dxa"/>
            <w:tcBorders>
              <w:top w:val="nil"/>
              <w:bottom w:val="nil"/>
            </w:tcBorders>
            <w:shd w:val="clear" w:color="auto" w:fill="auto"/>
            <w:noWrap/>
            <w:vAlign w:val="center"/>
            <w:hideMark/>
          </w:tcPr>
          <w:p w14:paraId="284BC2D8" w14:textId="77777777" w:rsidR="000B5D5B" w:rsidRPr="00FD30F2" w:rsidRDefault="000B5D5B" w:rsidP="000B5D5B">
            <w:pPr>
              <w:rPr>
                <w:rFonts w:eastAsia="Times New Roman"/>
                <w:color w:val="000000"/>
                <w:sz w:val="20"/>
                <w:szCs w:val="20"/>
              </w:rPr>
            </w:pPr>
          </w:p>
        </w:tc>
        <w:tc>
          <w:tcPr>
            <w:tcW w:w="5320" w:type="dxa"/>
            <w:vMerge/>
            <w:shd w:val="clear" w:color="auto" w:fill="auto"/>
            <w:vAlign w:val="center"/>
            <w:hideMark/>
          </w:tcPr>
          <w:p w14:paraId="7D7E942F" w14:textId="5F40CC45" w:rsidR="000B5D5B" w:rsidRPr="00FD30F2" w:rsidRDefault="000B5D5B" w:rsidP="000B5D5B">
            <w:pPr>
              <w:rPr>
                <w:rFonts w:eastAsia="Times New Roman"/>
                <w:color w:val="000000"/>
                <w:sz w:val="20"/>
                <w:szCs w:val="20"/>
              </w:rPr>
            </w:pPr>
          </w:p>
        </w:tc>
      </w:tr>
      <w:tr w:rsidR="000B5D5B" w:rsidRPr="00FD30F2" w14:paraId="34E15B0A" w14:textId="77777777" w:rsidTr="00A44353">
        <w:trPr>
          <w:trHeight w:val="144"/>
        </w:trPr>
        <w:tc>
          <w:tcPr>
            <w:tcW w:w="2790" w:type="dxa"/>
            <w:tcBorders>
              <w:top w:val="nil"/>
              <w:bottom w:val="nil"/>
            </w:tcBorders>
            <w:shd w:val="clear" w:color="auto" w:fill="auto"/>
            <w:noWrap/>
            <w:vAlign w:val="center"/>
            <w:hideMark/>
          </w:tcPr>
          <w:p w14:paraId="515197DB" w14:textId="77777777" w:rsidR="000B5D5B" w:rsidRPr="00FD30F2" w:rsidRDefault="000B5D5B" w:rsidP="000B5D5B">
            <w:pPr>
              <w:ind w:firstLineChars="100" w:firstLine="200"/>
              <w:rPr>
                <w:rFonts w:eastAsia="Times New Roman"/>
                <w:color w:val="000000"/>
                <w:sz w:val="20"/>
                <w:szCs w:val="20"/>
              </w:rPr>
            </w:pPr>
            <w:r w:rsidRPr="00FD30F2">
              <w:rPr>
                <w:rFonts w:eastAsia="Times New Roman"/>
                <w:color w:val="000000"/>
                <w:sz w:val="20"/>
                <w:szCs w:val="20"/>
              </w:rPr>
              <w:t>Medical Disorders</w:t>
            </w:r>
          </w:p>
        </w:tc>
        <w:tc>
          <w:tcPr>
            <w:tcW w:w="3690" w:type="dxa"/>
            <w:tcBorders>
              <w:top w:val="nil"/>
              <w:bottom w:val="nil"/>
            </w:tcBorders>
            <w:shd w:val="clear" w:color="auto" w:fill="auto"/>
            <w:noWrap/>
            <w:vAlign w:val="center"/>
            <w:hideMark/>
          </w:tcPr>
          <w:p w14:paraId="423B7DB5"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Hepatology, Oncology, Respiratory</w:t>
            </w:r>
          </w:p>
        </w:tc>
        <w:tc>
          <w:tcPr>
            <w:tcW w:w="630" w:type="dxa"/>
            <w:tcBorders>
              <w:top w:val="nil"/>
              <w:bottom w:val="nil"/>
            </w:tcBorders>
            <w:shd w:val="clear" w:color="auto" w:fill="auto"/>
            <w:noWrap/>
            <w:vAlign w:val="center"/>
            <w:hideMark/>
          </w:tcPr>
          <w:p w14:paraId="7F5257BA"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90</w:t>
            </w:r>
          </w:p>
        </w:tc>
        <w:tc>
          <w:tcPr>
            <w:tcW w:w="2060" w:type="dxa"/>
            <w:tcBorders>
              <w:top w:val="nil"/>
              <w:bottom w:val="nil"/>
            </w:tcBorders>
            <w:shd w:val="clear" w:color="auto" w:fill="auto"/>
            <w:noWrap/>
            <w:vAlign w:val="center"/>
            <w:hideMark/>
          </w:tcPr>
          <w:p w14:paraId="14FC65A5"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Barach et al. (2000)</w:t>
            </w:r>
          </w:p>
        </w:tc>
        <w:tc>
          <w:tcPr>
            <w:tcW w:w="5320" w:type="dxa"/>
            <w:vMerge/>
            <w:shd w:val="clear" w:color="auto" w:fill="auto"/>
            <w:vAlign w:val="center"/>
            <w:hideMark/>
          </w:tcPr>
          <w:p w14:paraId="31D43426" w14:textId="77777777" w:rsidR="000B5D5B" w:rsidRPr="00FD30F2" w:rsidRDefault="000B5D5B" w:rsidP="000B5D5B">
            <w:pPr>
              <w:rPr>
                <w:rFonts w:eastAsia="Times New Roman"/>
                <w:color w:val="000000"/>
                <w:sz w:val="20"/>
                <w:szCs w:val="20"/>
              </w:rPr>
            </w:pPr>
          </w:p>
        </w:tc>
      </w:tr>
      <w:tr w:rsidR="000B5D5B" w:rsidRPr="00FD30F2" w14:paraId="45FB94E2" w14:textId="77777777" w:rsidTr="00A44353">
        <w:trPr>
          <w:trHeight w:val="144"/>
        </w:trPr>
        <w:tc>
          <w:tcPr>
            <w:tcW w:w="2790" w:type="dxa"/>
            <w:tcBorders>
              <w:top w:val="nil"/>
              <w:bottom w:val="nil"/>
            </w:tcBorders>
            <w:shd w:val="clear" w:color="auto" w:fill="auto"/>
            <w:noWrap/>
            <w:vAlign w:val="center"/>
            <w:hideMark/>
          </w:tcPr>
          <w:p w14:paraId="446E622E" w14:textId="77777777" w:rsidR="000B5D5B" w:rsidRPr="00FD30F2" w:rsidRDefault="000B5D5B" w:rsidP="000B5D5B">
            <w:pPr>
              <w:ind w:firstLineChars="100" w:firstLine="200"/>
              <w:rPr>
                <w:rFonts w:eastAsia="Times New Roman"/>
                <w:color w:val="000000"/>
                <w:sz w:val="20"/>
                <w:szCs w:val="20"/>
              </w:rPr>
            </w:pPr>
            <w:r w:rsidRPr="00FD30F2">
              <w:rPr>
                <w:rFonts w:eastAsia="Times New Roman"/>
                <w:color w:val="000000"/>
                <w:sz w:val="20"/>
                <w:szCs w:val="20"/>
              </w:rPr>
              <w:t>Basic Medical Research</w:t>
            </w:r>
          </w:p>
        </w:tc>
        <w:tc>
          <w:tcPr>
            <w:tcW w:w="3690" w:type="dxa"/>
            <w:tcBorders>
              <w:top w:val="nil"/>
              <w:bottom w:val="nil"/>
            </w:tcBorders>
            <w:shd w:val="clear" w:color="auto" w:fill="auto"/>
            <w:noWrap/>
            <w:vAlign w:val="center"/>
            <w:hideMark/>
          </w:tcPr>
          <w:p w14:paraId="59B9467E" w14:textId="0451155B" w:rsidR="000B5D5B" w:rsidRPr="00FD30F2" w:rsidRDefault="003A4A4A" w:rsidP="000B5D5B">
            <w:pPr>
              <w:rPr>
                <w:rFonts w:eastAsia="Times New Roman"/>
                <w:color w:val="000000"/>
                <w:sz w:val="20"/>
                <w:szCs w:val="20"/>
              </w:rPr>
            </w:pPr>
            <w:r w:rsidRPr="00FD30F2">
              <w:rPr>
                <w:rFonts w:eastAsia="Times New Roman"/>
                <w:color w:val="000000"/>
                <w:sz w:val="20"/>
                <w:szCs w:val="20"/>
              </w:rPr>
              <w:t>Hematology</w:t>
            </w:r>
            <w:r w:rsidR="000B5D5B" w:rsidRPr="00FD30F2">
              <w:rPr>
                <w:rFonts w:eastAsia="Times New Roman"/>
                <w:color w:val="000000"/>
                <w:sz w:val="20"/>
                <w:szCs w:val="20"/>
              </w:rPr>
              <w:t>, Pathology, Immunology</w:t>
            </w:r>
          </w:p>
        </w:tc>
        <w:tc>
          <w:tcPr>
            <w:tcW w:w="630" w:type="dxa"/>
            <w:tcBorders>
              <w:top w:val="nil"/>
              <w:bottom w:val="nil"/>
            </w:tcBorders>
            <w:shd w:val="clear" w:color="auto" w:fill="auto"/>
            <w:noWrap/>
            <w:vAlign w:val="center"/>
            <w:hideMark/>
          </w:tcPr>
          <w:p w14:paraId="33D22A10"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55</w:t>
            </w:r>
          </w:p>
        </w:tc>
        <w:tc>
          <w:tcPr>
            <w:tcW w:w="2060" w:type="dxa"/>
            <w:tcBorders>
              <w:top w:val="nil"/>
              <w:bottom w:val="nil"/>
            </w:tcBorders>
            <w:shd w:val="clear" w:color="auto" w:fill="auto"/>
            <w:noWrap/>
            <w:vAlign w:val="center"/>
            <w:hideMark/>
          </w:tcPr>
          <w:p w14:paraId="20A47CEF"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Fairbanks et al. (2008)</w:t>
            </w:r>
          </w:p>
        </w:tc>
        <w:tc>
          <w:tcPr>
            <w:tcW w:w="5320" w:type="dxa"/>
            <w:vMerge/>
            <w:shd w:val="clear" w:color="auto" w:fill="auto"/>
            <w:vAlign w:val="center"/>
            <w:hideMark/>
          </w:tcPr>
          <w:p w14:paraId="61599D7C" w14:textId="77777777" w:rsidR="000B5D5B" w:rsidRPr="00FD30F2" w:rsidRDefault="000B5D5B" w:rsidP="000B5D5B">
            <w:pPr>
              <w:rPr>
                <w:rFonts w:eastAsia="Times New Roman"/>
                <w:color w:val="000000"/>
                <w:sz w:val="20"/>
                <w:szCs w:val="20"/>
              </w:rPr>
            </w:pPr>
          </w:p>
        </w:tc>
      </w:tr>
      <w:tr w:rsidR="000B5D5B" w:rsidRPr="00FD30F2" w14:paraId="1017A931" w14:textId="77777777" w:rsidTr="00A44353">
        <w:trPr>
          <w:trHeight w:val="144"/>
        </w:trPr>
        <w:tc>
          <w:tcPr>
            <w:tcW w:w="2790" w:type="dxa"/>
            <w:tcBorders>
              <w:top w:val="nil"/>
              <w:bottom w:val="dashed" w:sz="4" w:space="0" w:color="auto"/>
            </w:tcBorders>
            <w:shd w:val="clear" w:color="auto" w:fill="auto"/>
            <w:noWrap/>
            <w:vAlign w:val="center"/>
            <w:hideMark/>
          </w:tcPr>
          <w:p w14:paraId="5F8B7F16" w14:textId="77777777" w:rsidR="000B5D5B" w:rsidRPr="00FD30F2" w:rsidRDefault="000B5D5B" w:rsidP="000B5D5B">
            <w:pPr>
              <w:ind w:firstLineChars="100" w:firstLine="200"/>
              <w:rPr>
                <w:rFonts w:eastAsia="Times New Roman"/>
                <w:color w:val="000000"/>
                <w:sz w:val="20"/>
                <w:szCs w:val="20"/>
              </w:rPr>
            </w:pPr>
            <w:r w:rsidRPr="00FD30F2">
              <w:rPr>
                <w:rFonts w:eastAsia="Times New Roman"/>
                <w:color w:val="000000"/>
                <w:sz w:val="20"/>
                <w:szCs w:val="20"/>
              </w:rPr>
              <w:t>Pharmacology</w:t>
            </w:r>
          </w:p>
        </w:tc>
        <w:tc>
          <w:tcPr>
            <w:tcW w:w="3690" w:type="dxa"/>
            <w:tcBorders>
              <w:top w:val="nil"/>
              <w:bottom w:val="dashed" w:sz="4" w:space="0" w:color="auto"/>
            </w:tcBorders>
            <w:shd w:val="clear" w:color="auto" w:fill="auto"/>
            <w:noWrap/>
            <w:vAlign w:val="center"/>
            <w:hideMark/>
          </w:tcPr>
          <w:p w14:paraId="059758CB"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Toxicology, Substance Abuse</w:t>
            </w:r>
          </w:p>
        </w:tc>
        <w:tc>
          <w:tcPr>
            <w:tcW w:w="630" w:type="dxa"/>
            <w:tcBorders>
              <w:top w:val="nil"/>
              <w:bottom w:val="dashed" w:sz="4" w:space="0" w:color="auto"/>
            </w:tcBorders>
            <w:shd w:val="clear" w:color="auto" w:fill="auto"/>
            <w:noWrap/>
            <w:vAlign w:val="center"/>
            <w:hideMark/>
          </w:tcPr>
          <w:p w14:paraId="1A362982"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54</w:t>
            </w:r>
          </w:p>
        </w:tc>
        <w:tc>
          <w:tcPr>
            <w:tcW w:w="2060" w:type="dxa"/>
            <w:tcBorders>
              <w:top w:val="nil"/>
              <w:bottom w:val="dashed" w:sz="4" w:space="0" w:color="auto"/>
            </w:tcBorders>
            <w:shd w:val="clear" w:color="auto" w:fill="auto"/>
            <w:noWrap/>
            <w:vAlign w:val="center"/>
            <w:hideMark/>
          </w:tcPr>
          <w:p w14:paraId="2AE317D3" w14:textId="77777777" w:rsidR="000B5D5B" w:rsidRPr="00FD30F2" w:rsidRDefault="000B5D5B" w:rsidP="000B5D5B">
            <w:pPr>
              <w:rPr>
                <w:rFonts w:eastAsia="Times New Roman"/>
                <w:color w:val="000000"/>
                <w:sz w:val="20"/>
                <w:szCs w:val="20"/>
              </w:rPr>
            </w:pPr>
          </w:p>
        </w:tc>
        <w:tc>
          <w:tcPr>
            <w:tcW w:w="5320" w:type="dxa"/>
            <w:vMerge/>
            <w:tcBorders>
              <w:bottom w:val="dashed" w:sz="4" w:space="0" w:color="auto"/>
            </w:tcBorders>
            <w:shd w:val="clear" w:color="auto" w:fill="auto"/>
            <w:vAlign w:val="center"/>
            <w:hideMark/>
          </w:tcPr>
          <w:p w14:paraId="6515CAF3" w14:textId="77777777" w:rsidR="000B5D5B" w:rsidRPr="00FD30F2" w:rsidRDefault="000B5D5B" w:rsidP="000B5D5B">
            <w:pPr>
              <w:rPr>
                <w:rFonts w:eastAsia="Times New Roman"/>
                <w:sz w:val="20"/>
                <w:szCs w:val="20"/>
              </w:rPr>
            </w:pPr>
          </w:p>
        </w:tc>
      </w:tr>
      <w:tr w:rsidR="000B5D5B" w:rsidRPr="00FD30F2" w14:paraId="67A1C7BA" w14:textId="77777777" w:rsidTr="00A44353">
        <w:trPr>
          <w:trHeight w:val="144"/>
        </w:trPr>
        <w:tc>
          <w:tcPr>
            <w:tcW w:w="2790" w:type="dxa"/>
            <w:tcBorders>
              <w:top w:val="dashed" w:sz="4" w:space="0" w:color="auto"/>
              <w:bottom w:val="nil"/>
            </w:tcBorders>
            <w:shd w:val="clear" w:color="auto" w:fill="auto"/>
            <w:noWrap/>
            <w:vAlign w:val="center"/>
            <w:hideMark/>
          </w:tcPr>
          <w:p w14:paraId="76C27944" w14:textId="77777777" w:rsidR="000B5D5B" w:rsidRPr="00FD30F2" w:rsidRDefault="000B5D5B" w:rsidP="000B5D5B">
            <w:pPr>
              <w:rPr>
                <w:rFonts w:eastAsia="Times New Roman"/>
                <w:b/>
                <w:bCs/>
                <w:color w:val="000000"/>
                <w:sz w:val="20"/>
                <w:szCs w:val="20"/>
              </w:rPr>
            </w:pPr>
            <w:r w:rsidRPr="00FD30F2">
              <w:rPr>
                <w:rFonts w:eastAsia="Times New Roman"/>
                <w:b/>
                <w:bCs/>
                <w:color w:val="000000"/>
                <w:sz w:val="20"/>
                <w:szCs w:val="20"/>
              </w:rPr>
              <w:t>Psychology &amp; Neurology</w:t>
            </w:r>
          </w:p>
        </w:tc>
        <w:tc>
          <w:tcPr>
            <w:tcW w:w="3690" w:type="dxa"/>
            <w:tcBorders>
              <w:top w:val="dashed" w:sz="4" w:space="0" w:color="auto"/>
              <w:bottom w:val="nil"/>
            </w:tcBorders>
            <w:shd w:val="clear" w:color="auto" w:fill="auto"/>
            <w:noWrap/>
            <w:vAlign w:val="center"/>
            <w:hideMark/>
          </w:tcPr>
          <w:p w14:paraId="1DB315F3" w14:textId="77777777" w:rsidR="000B5D5B" w:rsidRPr="00FD30F2" w:rsidRDefault="000B5D5B" w:rsidP="000B5D5B">
            <w:pPr>
              <w:rPr>
                <w:rFonts w:eastAsia="Times New Roman"/>
                <w:b/>
                <w:bCs/>
                <w:color w:val="000000"/>
                <w:sz w:val="20"/>
                <w:szCs w:val="20"/>
              </w:rPr>
            </w:pPr>
          </w:p>
        </w:tc>
        <w:tc>
          <w:tcPr>
            <w:tcW w:w="630" w:type="dxa"/>
            <w:tcBorders>
              <w:top w:val="dashed" w:sz="4" w:space="0" w:color="auto"/>
              <w:bottom w:val="nil"/>
            </w:tcBorders>
            <w:shd w:val="clear" w:color="auto" w:fill="auto"/>
            <w:noWrap/>
            <w:vAlign w:val="center"/>
            <w:hideMark/>
          </w:tcPr>
          <w:p w14:paraId="7A5DC2A5" w14:textId="77777777" w:rsidR="000B5D5B" w:rsidRPr="00FD30F2" w:rsidRDefault="000B5D5B" w:rsidP="000B5D5B">
            <w:pPr>
              <w:rPr>
                <w:rFonts w:eastAsia="Times New Roman"/>
                <w:b/>
                <w:bCs/>
                <w:color w:val="000000"/>
                <w:sz w:val="20"/>
                <w:szCs w:val="20"/>
              </w:rPr>
            </w:pPr>
            <w:r w:rsidRPr="00FD30F2">
              <w:rPr>
                <w:rFonts w:eastAsia="Times New Roman"/>
                <w:b/>
                <w:bCs/>
                <w:color w:val="000000"/>
                <w:sz w:val="20"/>
                <w:szCs w:val="20"/>
              </w:rPr>
              <w:t>136</w:t>
            </w:r>
          </w:p>
        </w:tc>
        <w:tc>
          <w:tcPr>
            <w:tcW w:w="2060" w:type="dxa"/>
            <w:tcBorders>
              <w:top w:val="dashed" w:sz="4" w:space="0" w:color="auto"/>
              <w:bottom w:val="nil"/>
            </w:tcBorders>
            <w:shd w:val="clear" w:color="auto" w:fill="auto"/>
            <w:noWrap/>
            <w:vAlign w:val="center"/>
            <w:hideMark/>
          </w:tcPr>
          <w:p w14:paraId="7A013D0F" w14:textId="77777777" w:rsidR="000B5D5B" w:rsidRPr="00FD30F2" w:rsidRDefault="000B5D5B" w:rsidP="000B5D5B">
            <w:pPr>
              <w:rPr>
                <w:rFonts w:eastAsia="Times New Roman"/>
                <w:b/>
                <w:bCs/>
                <w:color w:val="000000"/>
                <w:sz w:val="20"/>
                <w:szCs w:val="20"/>
              </w:rPr>
            </w:pPr>
          </w:p>
        </w:tc>
        <w:tc>
          <w:tcPr>
            <w:tcW w:w="5320" w:type="dxa"/>
            <w:vMerge w:val="restart"/>
            <w:tcBorders>
              <w:top w:val="dashed" w:sz="4" w:space="0" w:color="auto"/>
              <w:bottom w:val="nil"/>
            </w:tcBorders>
            <w:shd w:val="clear" w:color="auto" w:fill="auto"/>
            <w:vAlign w:val="center"/>
            <w:hideMark/>
          </w:tcPr>
          <w:p w14:paraId="1C9051E0"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Cognitively, near-miss events influence behavior by "recruiting brain areas" triggering loss aversion and thus increasing motivation to try again. In organizations, frequency in near-miss reporting can be increased with improved culture and upper management involvement.</w:t>
            </w:r>
          </w:p>
        </w:tc>
      </w:tr>
      <w:tr w:rsidR="000B5D5B" w:rsidRPr="00FD30F2" w14:paraId="2D0BB3CA" w14:textId="77777777" w:rsidTr="00A44353">
        <w:trPr>
          <w:trHeight w:val="144"/>
        </w:trPr>
        <w:tc>
          <w:tcPr>
            <w:tcW w:w="2790" w:type="dxa"/>
            <w:tcBorders>
              <w:top w:val="nil"/>
              <w:bottom w:val="nil"/>
            </w:tcBorders>
            <w:shd w:val="clear" w:color="auto" w:fill="auto"/>
            <w:noWrap/>
            <w:vAlign w:val="center"/>
            <w:hideMark/>
          </w:tcPr>
          <w:p w14:paraId="4478241B" w14:textId="77777777" w:rsidR="000B5D5B" w:rsidRPr="00FD30F2" w:rsidRDefault="000B5D5B" w:rsidP="000B5D5B">
            <w:pPr>
              <w:ind w:firstLineChars="100" w:firstLine="200"/>
              <w:rPr>
                <w:rFonts w:eastAsia="Times New Roman"/>
                <w:color w:val="000000"/>
                <w:sz w:val="20"/>
                <w:szCs w:val="20"/>
              </w:rPr>
            </w:pPr>
            <w:r w:rsidRPr="00FD30F2">
              <w:rPr>
                <w:rFonts w:eastAsia="Times New Roman"/>
                <w:color w:val="000000"/>
                <w:sz w:val="20"/>
                <w:szCs w:val="20"/>
              </w:rPr>
              <w:t>Applied Research</w:t>
            </w:r>
          </w:p>
        </w:tc>
        <w:tc>
          <w:tcPr>
            <w:tcW w:w="3690" w:type="dxa"/>
            <w:tcBorders>
              <w:top w:val="nil"/>
              <w:bottom w:val="nil"/>
            </w:tcBorders>
            <w:shd w:val="clear" w:color="auto" w:fill="auto"/>
            <w:noWrap/>
            <w:vAlign w:val="center"/>
            <w:hideMark/>
          </w:tcPr>
          <w:p w14:paraId="500DEB1C"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Psychiatry, Clinical Psychology</w:t>
            </w:r>
          </w:p>
        </w:tc>
        <w:tc>
          <w:tcPr>
            <w:tcW w:w="630" w:type="dxa"/>
            <w:tcBorders>
              <w:top w:val="nil"/>
              <w:bottom w:val="nil"/>
            </w:tcBorders>
            <w:shd w:val="clear" w:color="auto" w:fill="auto"/>
            <w:noWrap/>
            <w:vAlign w:val="center"/>
            <w:hideMark/>
          </w:tcPr>
          <w:p w14:paraId="41018011"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56</w:t>
            </w:r>
          </w:p>
        </w:tc>
        <w:tc>
          <w:tcPr>
            <w:tcW w:w="2060" w:type="dxa"/>
            <w:tcBorders>
              <w:top w:val="nil"/>
              <w:bottom w:val="nil"/>
            </w:tcBorders>
            <w:shd w:val="clear" w:color="auto" w:fill="auto"/>
            <w:noWrap/>
            <w:vAlign w:val="center"/>
            <w:hideMark/>
          </w:tcPr>
          <w:p w14:paraId="719ADF6B"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Mearns et al. (1998)</w:t>
            </w:r>
          </w:p>
        </w:tc>
        <w:tc>
          <w:tcPr>
            <w:tcW w:w="5320" w:type="dxa"/>
            <w:vMerge/>
            <w:tcBorders>
              <w:top w:val="nil"/>
            </w:tcBorders>
            <w:shd w:val="clear" w:color="auto" w:fill="auto"/>
            <w:vAlign w:val="center"/>
            <w:hideMark/>
          </w:tcPr>
          <w:p w14:paraId="5D7A0481" w14:textId="77777777" w:rsidR="000B5D5B" w:rsidRPr="00FD30F2" w:rsidRDefault="000B5D5B" w:rsidP="000B5D5B">
            <w:pPr>
              <w:rPr>
                <w:rFonts w:eastAsia="Times New Roman"/>
                <w:color w:val="000000"/>
                <w:sz w:val="20"/>
                <w:szCs w:val="20"/>
              </w:rPr>
            </w:pPr>
          </w:p>
        </w:tc>
      </w:tr>
      <w:tr w:rsidR="000B5D5B" w:rsidRPr="00FD30F2" w14:paraId="1C274F0B" w14:textId="77777777" w:rsidTr="00A44353">
        <w:trPr>
          <w:trHeight w:val="144"/>
        </w:trPr>
        <w:tc>
          <w:tcPr>
            <w:tcW w:w="2790" w:type="dxa"/>
            <w:tcBorders>
              <w:top w:val="nil"/>
              <w:bottom w:val="nil"/>
            </w:tcBorders>
            <w:shd w:val="clear" w:color="auto" w:fill="auto"/>
            <w:noWrap/>
            <w:vAlign w:val="center"/>
            <w:hideMark/>
          </w:tcPr>
          <w:p w14:paraId="34FD0794" w14:textId="77777777" w:rsidR="000B5D5B" w:rsidRPr="00FD30F2" w:rsidRDefault="000B5D5B" w:rsidP="000B5D5B">
            <w:pPr>
              <w:ind w:firstLineChars="100" w:firstLine="200"/>
              <w:rPr>
                <w:rFonts w:eastAsia="Times New Roman"/>
                <w:color w:val="000000"/>
                <w:sz w:val="20"/>
                <w:szCs w:val="20"/>
              </w:rPr>
            </w:pPr>
            <w:r w:rsidRPr="00FD30F2">
              <w:rPr>
                <w:rFonts w:eastAsia="Times New Roman"/>
                <w:color w:val="000000"/>
                <w:sz w:val="20"/>
                <w:szCs w:val="20"/>
              </w:rPr>
              <w:t>Basic research - Behavioral</w:t>
            </w:r>
          </w:p>
        </w:tc>
        <w:tc>
          <w:tcPr>
            <w:tcW w:w="3690" w:type="dxa"/>
            <w:tcBorders>
              <w:top w:val="nil"/>
              <w:bottom w:val="nil"/>
            </w:tcBorders>
            <w:shd w:val="clear" w:color="auto" w:fill="auto"/>
            <w:noWrap/>
            <w:vAlign w:val="center"/>
            <w:hideMark/>
          </w:tcPr>
          <w:p w14:paraId="6A187F45"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Experimental/Mathematical Psychology</w:t>
            </w:r>
          </w:p>
        </w:tc>
        <w:tc>
          <w:tcPr>
            <w:tcW w:w="630" w:type="dxa"/>
            <w:tcBorders>
              <w:top w:val="nil"/>
              <w:bottom w:val="nil"/>
            </w:tcBorders>
            <w:shd w:val="clear" w:color="auto" w:fill="auto"/>
            <w:noWrap/>
            <w:vAlign w:val="center"/>
            <w:hideMark/>
          </w:tcPr>
          <w:p w14:paraId="48D77759"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52</w:t>
            </w:r>
          </w:p>
        </w:tc>
        <w:tc>
          <w:tcPr>
            <w:tcW w:w="2060" w:type="dxa"/>
            <w:tcBorders>
              <w:top w:val="nil"/>
              <w:bottom w:val="nil"/>
            </w:tcBorders>
            <w:shd w:val="clear" w:color="auto" w:fill="auto"/>
            <w:noWrap/>
            <w:vAlign w:val="center"/>
            <w:hideMark/>
          </w:tcPr>
          <w:p w14:paraId="0D0A5FC9"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Clark et al. (2009)</w:t>
            </w:r>
          </w:p>
        </w:tc>
        <w:tc>
          <w:tcPr>
            <w:tcW w:w="5320" w:type="dxa"/>
            <w:vMerge/>
            <w:shd w:val="clear" w:color="auto" w:fill="auto"/>
            <w:vAlign w:val="center"/>
            <w:hideMark/>
          </w:tcPr>
          <w:p w14:paraId="62095C50" w14:textId="77777777" w:rsidR="000B5D5B" w:rsidRPr="00FD30F2" w:rsidRDefault="000B5D5B" w:rsidP="000B5D5B">
            <w:pPr>
              <w:rPr>
                <w:rFonts w:eastAsia="Times New Roman"/>
                <w:color w:val="000000"/>
                <w:sz w:val="20"/>
                <w:szCs w:val="20"/>
              </w:rPr>
            </w:pPr>
          </w:p>
        </w:tc>
      </w:tr>
      <w:tr w:rsidR="000B5D5B" w:rsidRPr="00FD30F2" w14:paraId="0B28D9D4" w14:textId="77777777" w:rsidTr="00A44353">
        <w:trPr>
          <w:trHeight w:val="144"/>
        </w:trPr>
        <w:tc>
          <w:tcPr>
            <w:tcW w:w="2790" w:type="dxa"/>
            <w:tcBorders>
              <w:top w:val="nil"/>
              <w:bottom w:val="dashed" w:sz="4" w:space="0" w:color="auto"/>
            </w:tcBorders>
            <w:shd w:val="clear" w:color="auto" w:fill="auto"/>
            <w:noWrap/>
            <w:vAlign w:val="center"/>
            <w:hideMark/>
          </w:tcPr>
          <w:p w14:paraId="2B1014A4" w14:textId="77777777" w:rsidR="000B5D5B" w:rsidRPr="00FD30F2" w:rsidRDefault="000B5D5B" w:rsidP="000B5D5B">
            <w:pPr>
              <w:ind w:firstLineChars="100" w:firstLine="200"/>
              <w:rPr>
                <w:rFonts w:eastAsia="Times New Roman"/>
                <w:color w:val="000000"/>
                <w:sz w:val="20"/>
                <w:szCs w:val="20"/>
              </w:rPr>
            </w:pPr>
            <w:r w:rsidRPr="00FD30F2">
              <w:rPr>
                <w:rFonts w:eastAsia="Times New Roman"/>
                <w:color w:val="000000"/>
                <w:sz w:val="20"/>
                <w:szCs w:val="20"/>
              </w:rPr>
              <w:t>Basic Research - Anatomical</w:t>
            </w:r>
          </w:p>
        </w:tc>
        <w:tc>
          <w:tcPr>
            <w:tcW w:w="3690" w:type="dxa"/>
            <w:tcBorders>
              <w:top w:val="nil"/>
              <w:bottom w:val="dashed" w:sz="4" w:space="0" w:color="auto"/>
            </w:tcBorders>
            <w:shd w:val="clear" w:color="auto" w:fill="auto"/>
            <w:noWrap/>
            <w:vAlign w:val="center"/>
            <w:hideMark/>
          </w:tcPr>
          <w:p w14:paraId="22F4A189"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Neuroimaging, Neuroscience</w:t>
            </w:r>
          </w:p>
        </w:tc>
        <w:tc>
          <w:tcPr>
            <w:tcW w:w="630" w:type="dxa"/>
            <w:tcBorders>
              <w:top w:val="nil"/>
              <w:bottom w:val="dashed" w:sz="4" w:space="0" w:color="auto"/>
            </w:tcBorders>
            <w:shd w:val="clear" w:color="auto" w:fill="auto"/>
            <w:noWrap/>
            <w:vAlign w:val="center"/>
            <w:hideMark/>
          </w:tcPr>
          <w:p w14:paraId="1DE5C2F6"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28</w:t>
            </w:r>
          </w:p>
        </w:tc>
        <w:tc>
          <w:tcPr>
            <w:tcW w:w="2060" w:type="dxa"/>
            <w:tcBorders>
              <w:top w:val="nil"/>
              <w:bottom w:val="dashed" w:sz="4" w:space="0" w:color="auto"/>
            </w:tcBorders>
            <w:shd w:val="clear" w:color="auto" w:fill="auto"/>
            <w:noWrap/>
            <w:vAlign w:val="center"/>
            <w:hideMark/>
          </w:tcPr>
          <w:p w14:paraId="12752811" w14:textId="77777777" w:rsidR="000B5D5B" w:rsidRPr="00FD30F2" w:rsidRDefault="000B5D5B" w:rsidP="000B5D5B">
            <w:pPr>
              <w:rPr>
                <w:rFonts w:eastAsia="Times New Roman"/>
                <w:color w:val="000000"/>
                <w:sz w:val="20"/>
                <w:szCs w:val="20"/>
              </w:rPr>
            </w:pPr>
          </w:p>
        </w:tc>
        <w:tc>
          <w:tcPr>
            <w:tcW w:w="5320" w:type="dxa"/>
            <w:vMerge/>
            <w:tcBorders>
              <w:bottom w:val="dashed" w:sz="4" w:space="0" w:color="auto"/>
            </w:tcBorders>
            <w:shd w:val="clear" w:color="auto" w:fill="auto"/>
            <w:vAlign w:val="center"/>
            <w:hideMark/>
          </w:tcPr>
          <w:p w14:paraId="338EDFB4" w14:textId="77777777" w:rsidR="000B5D5B" w:rsidRPr="00FD30F2" w:rsidRDefault="000B5D5B" w:rsidP="000B5D5B">
            <w:pPr>
              <w:rPr>
                <w:rFonts w:eastAsia="Times New Roman"/>
                <w:sz w:val="20"/>
                <w:szCs w:val="20"/>
              </w:rPr>
            </w:pPr>
          </w:p>
        </w:tc>
      </w:tr>
      <w:tr w:rsidR="000B5D5B" w:rsidRPr="00FD30F2" w14:paraId="556AEB6C" w14:textId="77777777" w:rsidTr="00A44353">
        <w:trPr>
          <w:trHeight w:val="144"/>
        </w:trPr>
        <w:tc>
          <w:tcPr>
            <w:tcW w:w="2790" w:type="dxa"/>
            <w:tcBorders>
              <w:top w:val="dashed" w:sz="4" w:space="0" w:color="auto"/>
              <w:bottom w:val="nil"/>
            </w:tcBorders>
            <w:shd w:val="clear" w:color="auto" w:fill="auto"/>
            <w:noWrap/>
            <w:vAlign w:val="center"/>
            <w:hideMark/>
          </w:tcPr>
          <w:p w14:paraId="393960E6" w14:textId="77777777" w:rsidR="000B5D5B" w:rsidRPr="00FD30F2" w:rsidRDefault="000B5D5B" w:rsidP="000B5D5B">
            <w:pPr>
              <w:rPr>
                <w:rFonts w:eastAsia="Times New Roman"/>
                <w:b/>
                <w:bCs/>
                <w:color w:val="000000"/>
                <w:sz w:val="20"/>
                <w:szCs w:val="20"/>
              </w:rPr>
            </w:pPr>
            <w:r w:rsidRPr="00FD30F2">
              <w:rPr>
                <w:rFonts w:eastAsia="Times New Roman"/>
                <w:b/>
                <w:bCs/>
                <w:color w:val="000000"/>
                <w:sz w:val="20"/>
                <w:szCs w:val="20"/>
              </w:rPr>
              <w:t>Engineering</w:t>
            </w:r>
          </w:p>
        </w:tc>
        <w:tc>
          <w:tcPr>
            <w:tcW w:w="3690" w:type="dxa"/>
            <w:tcBorders>
              <w:top w:val="dashed" w:sz="4" w:space="0" w:color="auto"/>
              <w:bottom w:val="nil"/>
            </w:tcBorders>
            <w:shd w:val="clear" w:color="auto" w:fill="auto"/>
            <w:noWrap/>
            <w:vAlign w:val="center"/>
            <w:hideMark/>
          </w:tcPr>
          <w:p w14:paraId="69472AF3" w14:textId="77777777" w:rsidR="000B5D5B" w:rsidRPr="00FD30F2" w:rsidRDefault="000B5D5B" w:rsidP="000B5D5B">
            <w:pPr>
              <w:rPr>
                <w:rFonts w:eastAsia="Times New Roman"/>
                <w:b/>
                <w:bCs/>
                <w:color w:val="000000"/>
                <w:sz w:val="20"/>
                <w:szCs w:val="20"/>
              </w:rPr>
            </w:pPr>
          </w:p>
        </w:tc>
        <w:tc>
          <w:tcPr>
            <w:tcW w:w="630" w:type="dxa"/>
            <w:tcBorders>
              <w:top w:val="dashed" w:sz="4" w:space="0" w:color="auto"/>
              <w:bottom w:val="nil"/>
            </w:tcBorders>
            <w:shd w:val="clear" w:color="auto" w:fill="auto"/>
            <w:noWrap/>
            <w:vAlign w:val="center"/>
            <w:hideMark/>
          </w:tcPr>
          <w:p w14:paraId="6A478C7C" w14:textId="77777777" w:rsidR="000B5D5B" w:rsidRPr="00FD30F2" w:rsidRDefault="000B5D5B" w:rsidP="000B5D5B">
            <w:pPr>
              <w:rPr>
                <w:rFonts w:eastAsia="Times New Roman"/>
                <w:b/>
                <w:bCs/>
                <w:color w:val="000000"/>
                <w:sz w:val="20"/>
                <w:szCs w:val="20"/>
              </w:rPr>
            </w:pPr>
            <w:r w:rsidRPr="00FD30F2">
              <w:rPr>
                <w:rFonts w:eastAsia="Times New Roman"/>
                <w:b/>
                <w:bCs/>
                <w:color w:val="000000"/>
                <w:sz w:val="20"/>
                <w:szCs w:val="20"/>
              </w:rPr>
              <w:t>135</w:t>
            </w:r>
          </w:p>
        </w:tc>
        <w:tc>
          <w:tcPr>
            <w:tcW w:w="2060" w:type="dxa"/>
            <w:tcBorders>
              <w:top w:val="dashed" w:sz="4" w:space="0" w:color="auto"/>
              <w:bottom w:val="nil"/>
            </w:tcBorders>
            <w:shd w:val="clear" w:color="auto" w:fill="auto"/>
            <w:noWrap/>
            <w:vAlign w:val="center"/>
            <w:hideMark/>
          </w:tcPr>
          <w:p w14:paraId="55E55394" w14:textId="77777777" w:rsidR="000B5D5B" w:rsidRPr="00FD30F2" w:rsidRDefault="000B5D5B" w:rsidP="000B5D5B">
            <w:pPr>
              <w:rPr>
                <w:rFonts w:eastAsia="Times New Roman"/>
                <w:b/>
                <w:bCs/>
                <w:color w:val="000000"/>
                <w:sz w:val="20"/>
                <w:szCs w:val="20"/>
              </w:rPr>
            </w:pPr>
          </w:p>
        </w:tc>
        <w:tc>
          <w:tcPr>
            <w:tcW w:w="5320" w:type="dxa"/>
            <w:vMerge w:val="restart"/>
            <w:tcBorders>
              <w:top w:val="dashed" w:sz="4" w:space="0" w:color="auto"/>
            </w:tcBorders>
            <w:shd w:val="clear" w:color="auto" w:fill="auto"/>
            <w:vAlign w:val="center"/>
            <w:hideMark/>
          </w:tcPr>
          <w:p w14:paraId="59C42922"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Near-miss evaluation can be effective accident pre-cursor data in production systems as they can help identify underlying causes that could be controlled by management.</w:t>
            </w:r>
          </w:p>
        </w:tc>
      </w:tr>
      <w:tr w:rsidR="000B5D5B" w:rsidRPr="00FD30F2" w14:paraId="38E2823E" w14:textId="77777777" w:rsidTr="00A44353">
        <w:trPr>
          <w:trHeight w:val="144"/>
        </w:trPr>
        <w:tc>
          <w:tcPr>
            <w:tcW w:w="2790" w:type="dxa"/>
            <w:tcBorders>
              <w:top w:val="nil"/>
              <w:bottom w:val="nil"/>
            </w:tcBorders>
            <w:shd w:val="clear" w:color="auto" w:fill="auto"/>
            <w:noWrap/>
            <w:vAlign w:val="center"/>
            <w:hideMark/>
          </w:tcPr>
          <w:p w14:paraId="01D6618F" w14:textId="77777777" w:rsidR="000B5D5B" w:rsidRPr="00FD30F2" w:rsidRDefault="000B5D5B" w:rsidP="000B5D5B">
            <w:pPr>
              <w:ind w:firstLineChars="100" w:firstLine="200"/>
              <w:rPr>
                <w:rFonts w:eastAsia="Times New Roman"/>
                <w:color w:val="000000"/>
                <w:sz w:val="20"/>
                <w:szCs w:val="20"/>
              </w:rPr>
            </w:pPr>
            <w:r w:rsidRPr="00FD30F2">
              <w:rPr>
                <w:rFonts w:eastAsia="Times New Roman"/>
                <w:color w:val="000000"/>
                <w:sz w:val="20"/>
                <w:szCs w:val="20"/>
              </w:rPr>
              <w:t>Production systems</w:t>
            </w:r>
          </w:p>
        </w:tc>
        <w:tc>
          <w:tcPr>
            <w:tcW w:w="3690" w:type="dxa"/>
            <w:tcBorders>
              <w:top w:val="nil"/>
              <w:bottom w:val="nil"/>
            </w:tcBorders>
            <w:shd w:val="clear" w:color="auto" w:fill="auto"/>
            <w:noWrap/>
            <w:vAlign w:val="center"/>
            <w:hideMark/>
          </w:tcPr>
          <w:p w14:paraId="18695DD4"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Industrial, Civil, Mechanical</w:t>
            </w:r>
          </w:p>
        </w:tc>
        <w:tc>
          <w:tcPr>
            <w:tcW w:w="630" w:type="dxa"/>
            <w:tcBorders>
              <w:top w:val="nil"/>
              <w:bottom w:val="nil"/>
            </w:tcBorders>
            <w:shd w:val="clear" w:color="auto" w:fill="auto"/>
            <w:noWrap/>
            <w:vAlign w:val="center"/>
            <w:hideMark/>
          </w:tcPr>
          <w:p w14:paraId="1D414E4F"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116</w:t>
            </w:r>
          </w:p>
        </w:tc>
        <w:tc>
          <w:tcPr>
            <w:tcW w:w="2060" w:type="dxa"/>
            <w:tcBorders>
              <w:top w:val="nil"/>
              <w:bottom w:val="nil"/>
            </w:tcBorders>
            <w:shd w:val="clear" w:color="auto" w:fill="auto"/>
            <w:noWrap/>
            <w:vAlign w:val="center"/>
            <w:hideMark/>
          </w:tcPr>
          <w:p w14:paraId="6D65F155"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Bier (1990)</w:t>
            </w:r>
          </w:p>
        </w:tc>
        <w:tc>
          <w:tcPr>
            <w:tcW w:w="5320" w:type="dxa"/>
            <w:vMerge/>
            <w:shd w:val="clear" w:color="auto" w:fill="auto"/>
            <w:vAlign w:val="center"/>
            <w:hideMark/>
          </w:tcPr>
          <w:p w14:paraId="7AE83267" w14:textId="77777777" w:rsidR="000B5D5B" w:rsidRPr="00FD30F2" w:rsidRDefault="000B5D5B" w:rsidP="000B5D5B">
            <w:pPr>
              <w:rPr>
                <w:rFonts w:eastAsia="Times New Roman"/>
                <w:color w:val="000000"/>
                <w:sz w:val="20"/>
                <w:szCs w:val="20"/>
              </w:rPr>
            </w:pPr>
          </w:p>
        </w:tc>
      </w:tr>
      <w:tr w:rsidR="000B5D5B" w:rsidRPr="00FD30F2" w14:paraId="217C4B7E" w14:textId="77777777" w:rsidTr="00A44353">
        <w:trPr>
          <w:trHeight w:val="144"/>
        </w:trPr>
        <w:tc>
          <w:tcPr>
            <w:tcW w:w="2790" w:type="dxa"/>
            <w:tcBorders>
              <w:top w:val="nil"/>
              <w:bottom w:val="dashed" w:sz="4" w:space="0" w:color="auto"/>
            </w:tcBorders>
            <w:shd w:val="clear" w:color="auto" w:fill="auto"/>
            <w:noWrap/>
            <w:vAlign w:val="center"/>
            <w:hideMark/>
          </w:tcPr>
          <w:p w14:paraId="64AB62DB" w14:textId="77777777" w:rsidR="000B5D5B" w:rsidRPr="00FD30F2" w:rsidRDefault="000B5D5B" w:rsidP="000B5D5B">
            <w:pPr>
              <w:ind w:firstLineChars="100" w:firstLine="200"/>
              <w:rPr>
                <w:rFonts w:eastAsia="Times New Roman"/>
                <w:color w:val="000000"/>
                <w:sz w:val="20"/>
                <w:szCs w:val="20"/>
              </w:rPr>
            </w:pPr>
            <w:r w:rsidRPr="00FD30F2">
              <w:rPr>
                <w:rFonts w:eastAsia="Times New Roman"/>
                <w:color w:val="000000"/>
                <w:sz w:val="20"/>
                <w:szCs w:val="20"/>
              </w:rPr>
              <w:t>Biological systems</w:t>
            </w:r>
          </w:p>
        </w:tc>
        <w:tc>
          <w:tcPr>
            <w:tcW w:w="3690" w:type="dxa"/>
            <w:tcBorders>
              <w:top w:val="nil"/>
              <w:bottom w:val="dashed" w:sz="4" w:space="0" w:color="auto"/>
            </w:tcBorders>
            <w:shd w:val="clear" w:color="auto" w:fill="auto"/>
            <w:noWrap/>
            <w:vAlign w:val="center"/>
            <w:hideMark/>
          </w:tcPr>
          <w:p w14:paraId="1DFC5FB3"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Ocean and Marine</w:t>
            </w:r>
          </w:p>
        </w:tc>
        <w:tc>
          <w:tcPr>
            <w:tcW w:w="630" w:type="dxa"/>
            <w:tcBorders>
              <w:top w:val="nil"/>
              <w:bottom w:val="dashed" w:sz="4" w:space="0" w:color="auto"/>
            </w:tcBorders>
            <w:shd w:val="clear" w:color="auto" w:fill="auto"/>
            <w:noWrap/>
            <w:vAlign w:val="center"/>
            <w:hideMark/>
          </w:tcPr>
          <w:p w14:paraId="75F01E55"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19</w:t>
            </w:r>
          </w:p>
        </w:tc>
        <w:tc>
          <w:tcPr>
            <w:tcW w:w="2060" w:type="dxa"/>
            <w:tcBorders>
              <w:top w:val="nil"/>
              <w:bottom w:val="dashed" w:sz="4" w:space="0" w:color="auto"/>
            </w:tcBorders>
            <w:shd w:val="clear" w:color="auto" w:fill="auto"/>
            <w:noWrap/>
            <w:vAlign w:val="center"/>
            <w:hideMark/>
          </w:tcPr>
          <w:p w14:paraId="17C88796"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Fabiano et al. (2012)</w:t>
            </w:r>
          </w:p>
        </w:tc>
        <w:tc>
          <w:tcPr>
            <w:tcW w:w="5320" w:type="dxa"/>
            <w:vMerge/>
            <w:tcBorders>
              <w:bottom w:val="dashed" w:sz="4" w:space="0" w:color="auto"/>
            </w:tcBorders>
            <w:shd w:val="clear" w:color="auto" w:fill="auto"/>
            <w:vAlign w:val="center"/>
            <w:hideMark/>
          </w:tcPr>
          <w:p w14:paraId="03063DC4" w14:textId="77777777" w:rsidR="000B5D5B" w:rsidRPr="00FD30F2" w:rsidRDefault="000B5D5B" w:rsidP="000B5D5B">
            <w:pPr>
              <w:rPr>
                <w:rFonts w:eastAsia="Times New Roman"/>
                <w:color w:val="000000"/>
                <w:sz w:val="20"/>
                <w:szCs w:val="20"/>
              </w:rPr>
            </w:pPr>
          </w:p>
        </w:tc>
      </w:tr>
      <w:tr w:rsidR="000B5D5B" w:rsidRPr="00FD30F2" w14:paraId="6FD4E31B" w14:textId="77777777" w:rsidTr="00A44353">
        <w:trPr>
          <w:trHeight w:val="144"/>
        </w:trPr>
        <w:tc>
          <w:tcPr>
            <w:tcW w:w="2790" w:type="dxa"/>
            <w:tcBorders>
              <w:top w:val="dashed" w:sz="4" w:space="0" w:color="auto"/>
              <w:bottom w:val="nil"/>
            </w:tcBorders>
            <w:shd w:val="clear" w:color="auto" w:fill="auto"/>
            <w:noWrap/>
            <w:vAlign w:val="center"/>
            <w:hideMark/>
          </w:tcPr>
          <w:p w14:paraId="3868D899" w14:textId="77777777" w:rsidR="000B5D5B" w:rsidRPr="00FD30F2" w:rsidRDefault="000B5D5B" w:rsidP="000B5D5B">
            <w:pPr>
              <w:rPr>
                <w:rFonts w:eastAsia="Times New Roman"/>
                <w:b/>
                <w:bCs/>
                <w:color w:val="000000"/>
                <w:sz w:val="20"/>
                <w:szCs w:val="20"/>
              </w:rPr>
            </w:pPr>
            <w:r w:rsidRPr="00FD30F2">
              <w:rPr>
                <w:rFonts w:eastAsia="Times New Roman"/>
                <w:b/>
                <w:bCs/>
                <w:color w:val="000000"/>
                <w:sz w:val="20"/>
                <w:szCs w:val="20"/>
              </w:rPr>
              <w:t>Healthcare Operations</w:t>
            </w:r>
          </w:p>
        </w:tc>
        <w:tc>
          <w:tcPr>
            <w:tcW w:w="3690" w:type="dxa"/>
            <w:tcBorders>
              <w:top w:val="dashed" w:sz="4" w:space="0" w:color="auto"/>
              <w:bottom w:val="nil"/>
            </w:tcBorders>
            <w:shd w:val="clear" w:color="auto" w:fill="auto"/>
            <w:noWrap/>
            <w:vAlign w:val="center"/>
            <w:hideMark/>
          </w:tcPr>
          <w:p w14:paraId="294A3C6D" w14:textId="77777777" w:rsidR="000B5D5B" w:rsidRPr="00FD30F2" w:rsidRDefault="000B5D5B" w:rsidP="000B5D5B">
            <w:pPr>
              <w:rPr>
                <w:rFonts w:eastAsia="Times New Roman"/>
                <w:b/>
                <w:bCs/>
                <w:color w:val="000000"/>
                <w:sz w:val="20"/>
                <w:szCs w:val="20"/>
              </w:rPr>
            </w:pPr>
          </w:p>
        </w:tc>
        <w:tc>
          <w:tcPr>
            <w:tcW w:w="630" w:type="dxa"/>
            <w:tcBorders>
              <w:top w:val="dashed" w:sz="4" w:space="0" w:color="auto"/>
              <w:bottom w:val="nil"/>
            </w:tcBorders>
            <w:shd w:val="clear" w:color="auto" w:fill="auto"/>
            <w:noWrap/>
            <w:vAlign w:val="center"/>
            <w:hideMark/>
          </w:tcPr>
          <w:p w14:paraId="1FFCE915" w14:textId="77777777" w:rsidR="000B5D5B" w:rsidRPr="00FD30F2" w:rsidRDefault="000B5D5B" w:rsidP="000B5D5B">
            <w:pPr>
              <w:rPr>
                <w:rFonts w:eastAsia="Times New Roman"/>
                <w:b/>
                <w:bCs/>
                <w:color w:val="000000"/>
                <w:sz w:val="20"/>
                <w:szCs w:val="20"/>
              </w:rPr>
            </w:pPr>
            <w:r w:rsidRPr="00FD30F2">
              <w:rPr>
                <w:rFonts w:eastAsia="Times New Roman"/>
                <w:b/>
                <w:bCs/>
                <w:color w:val="000000"/>
                <w:sz w:val="20"/>
                <w:szCs w:val="20"/>
              </w:rPr>
              <w:t>133</w:t>
            </w:r>
          </w:p>
        </w:tc>
        <w:tc>
          <w:tcPr>
            <w:tcW w:w="2060" w:type="dxa"/>
            <w:tcBorders>
              <w:top w:val="dashed" w:sz="4" w:space="0" w:color="auto"/>
              <w:bottom w:val="nil"/>
            </w:tcBorders>
            <w:shd w:val="clear" w:color="auto" w:fill="auto"/>
            <w:noWrap/>
            <w:vAlign w:val="center"/>
            <w:hideMark/>
          </w:tcPr>
          <w:p w14:paraId="4486890B" w14:textId="77777777" w:rsidR="000B5D5B" w:rsidRPr="00FD30F2" w:rsidRDefault="000B5D5B" w:rsidP="000B5D5B">
            <w:pPr>
              <w:rPr>
                <w:rFonts w:eastAsia="Times New Roman"/>
                <w:b/>
                <w:bCs/>
                <w:color w:val="000000"/>
                <w:sz w:val="20"/>
                <w:szCs w:val="20"/>
              </w:rPr>
            </w:pPr>
          </w:p>
        </w:tc>
        <w:tc>
          <w:tcPr>
            <w:tcW w:w="5320" w:type="dxa"/>
            <w:vMerge w:val="restart"/>
            <w:tcBorders>
              <w:top w:val="dashed" w:sz="4" w:space="0" w:color="auto"/>
            </w:tcBorders>
            <w:shd w:val="clear" w:color="auto" w:fill="auto"/>
            <w:vAlign w:val="center"/>
            <w:hideMark/>
          </w:tcPr>
          <w:p w14:paraId="78445099"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Near-miss analysis can help with recognition and analysis of errors, determination of patterns of errors, and monitoring for changes in frequency after corrective action is implemented.</w:t>
            </w:r>
          </w:p>
        </w:tc>
      </w:tr>
      <w:tr w:rsidR="000B5D5B" w:rsidRPr="00FD30F2" w14:paraId="516C042A" w14:textId="77777777" w:rsidTr="00A44353">
        <w:trPr>
          <w:trHeight w:val="144"/>
        </w:trPr>
        <w:tc>
          <w:tcPr>
            <w:tcW w:w="2790" w:type="dxa"/>
            <w:tcBorders>
              <w:top w:val="nil"/>
              <w:bottom w:val="nil"/>
            </w:tcBorders>
            <w:shd w:val="clear" w:color="auto" w:fill="auto"/>
            <w:noWrap/>
            <w:vAlign w:val="center"/>
            <w:hideMark/>
          </w:tcPr>
          <w:p w14:paraId="551987CE" w14:textId="77777777" w:rsidR="000B5D5B" w:rsidRPr="00FD30F2" w:rsidRDefault="000B5D5B" w:rsidP="000B5D5B">
            <w:pPr>
              <w:ind w:firstLineChars="100" w:firstLine="200"/>
              <w:rPr>
                <w:rFonts w:eastAsia="Times New Roman"/>
                <w:color w:val="000000"/>
                <w:sz w:val="20"/>
                <w:szCs w:val="20"/>
              </w:rPr>
            </w:pPr>
            <w:r w:rsidRPr="00FD30F2">
              <w:rPr>
                <w:rFonts w:eastAsia="Times New Roman"/>
                <w:color w:val="000000"/>
                <w:sz w:val="20"/>
                <w:szCs w:val="20"/>
              </w:rPr>
              <w:t>Critical Care</w:t>
            </w:r>
          </w:p>
        </w:tc>
        <w:tc>
          <w:tcPr>
            <w:tcW w:w="3690" w:type="dxa"/>
            <w:tcBorders>
              <w:top w:val="nil"/>
              <w:bottom w:val="nil"/>
            </w:tcBorders>
            <w:shd w:val="clear" w:color="auto" w:fill="auto"/>
            <w:noWrap/>
            <w:vAlign w:val="center"/>
            <w:hideMark/>
          </w:tcPr>
          <w:p w14:paraId="4F7BD38F"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Critical Care, ER, Radiology</w:t>
            </w:r>
          </w:p>
        </w:tc>
        <w:tc>
          <w:tcPr>
            <w:tcW w:w="630" w:type="dxa"/>
            <w:tcBorders>
              <w:top w:val="nil"/>
              <w:bottom w:val="nil"/>
            </w:tcBorders>
            <w:shd w:val="clear" w:color="auto" w:fill="auto"/>
            <w:noWrap/>
            <w:vAlign w:val="center"/>
            <w:hideMark/>
          </w:tcPr>
          <w:p w14:paraId="5C6FFA1A"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42</w:t>
            </w:r>
          </w:p>
        </w:tc>
        <w:tc>
          <w:tcPr>
            <w:tcW w:w="2060" w:type="dxa"/>
            <w:tcBorders>
              <w:top w:val="nil"/>
              <w:bottom w:val="nil"/>
            </w:tcBorders>
            <w:shd w:val="clear" w:color="auto" w:fill="auto"/>
            <w:noWrap/>
            <w:vAlign w:val="center"/>
            <w:hideMark/>
          </w:tcPr>
          <w:p w14:paraId="4EDA9987"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Clarke et al. (2002)</w:t>
            </w:r>
          </w:p>
        </w:tc>
        <w:tc>
          <w:tcPr>
            <w:tcW w:w="5320" w:type="dxa"/>
            <w:vMerge/>
            <w:shd w:val="clear" w:color="auto" w:fill="auto"/>
            <w:vAlign w:val="center"/>
            <w:hideMark/>
          </w:tcPr>
          <w:p w14:paraId="3340A0F7" w14:textId="77777777" w:rsidR="000B5D5B" w:rsidRPr="00FD30F2" w:rsidRDefault="000B5D5B" w:rsidP="000B5D5B">
            <w:pPr>
              <w:rPr>
                <w:rFonts w:eastAsia="Times New Roman"/>
                <w:color w:val="000000"/>
                <w:sz w:val="20"/>
                <w:szCs w:val="20"/>
              </w:rPr>
            </w:pPr>
          </w:p>
        </w:tc>
      </w:tr>
      <w:tr w:rsidR="000B5D5B" w:rsidRPr="00FD30F2" w14:paraId="4161793F" w14:textId="77777777" w:rsidTr="00A44353">
        <w:trPr>
          <w:trHeight w:val="144"/>
        </w:trPr>
        <w:tc>
          <w:tcPr>
            <w:tcW w:w="2790" w:type="dxa"/>
            <w:tcBorders>
              <w:top w:val="nil"/>
              <w:bottom w:val="dashed" w:sz="4" w:space="0" w:color="auto"/>
            </w:tcBorders>
            <w:shd w:val="clear" w:color="auto" w:fill="auto"/>
            <w:noWrap/>
            <w:vAlign w:val="center"/>
            <w:hideMark/>
          </w:tcPr>
          <w:p w14:paraId="37E89055" w14:textId="77777777" w:rsidR="000B5D5B" w:rsidRPr="00FD30F2" w:rsidRDefault="000B5D5B" w:rsidP="000B5D5B">
            <w:pPr>
              <w:ind w:firstLineChars="100" w:firstLine="200"/>
              <w:rPr>
                <w:rFonts w:eastAsia="Times New Roman"/>
                <w:color w:val="000000"/>
                <w:sz w:val="20"/>
                <w:szCs w:val="20"/>
              </w:rPr>
            </w:pPr>
            <w:r w:rsidRPr="00FD30F2">
              <w:rPr>
                <w:rFonts w:eastAsia="Times New Roman"/>
                <w:color w:val="000000"/>
                <w:sz w:val="20"/>
                <w:szCs w:val="20"/>
              </w:rPr>
              <w:t>Nursing and Surgery</w:t>
            </w:r>
          </w:p>
        </w:tc>
        <w:tc>
          <w:tcPr>
            <w:tcW w:w="3690" w:type="dxa"/>
            <w:tcBorders>
              <w:top w:val="nil"/>
              <w:bottom w:val="dashed" w:sz="4" w:space="0" w:color="auto"/>
            </w:tcBorders>
            <w:shd w:val="clear" w:color="auto" w:fill="auto"/>
            <w:noWrap/>
            <w:vAlign w:val="center"/>
            <w:hideMark/>
          </w:tcPr>
          <w:p w14:paraId="6FF5D4E2"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Transplantation, Healthcare services</w:t>
            </w:r>
          </w:p>
        </w:tc>
        <w:tc>
          <w:tcPr>
            <w:tcW w:w="630" w:type="dxa"/>
            <w:tcBorders>
              <w:top w:val="nil"/>
              <w:bottom w:val="dashed" w:sz="4" w:space="0" w:color="auto"/>
            </w:tcBorders>
            <w:shd w:val="clear" w:color="auto" w:fill="auto"/>
            <w:noWrap/>
            <w:vAlign w:val="center"/>
            <w:hideMark/>
          </w:tcPr>
          <w:p w14:paraId="44F4D14C"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91</w:t>
            </w:r>
          </w:p>
        </w:tc>
        <w:tc>
          <w:tcPr>
            <w:tcW w:w="2060" w:type="dxa"/>
            <w:tcBorders>
              <w:top w:val="nil"/>
              <w:bottom w:val="dashed" w:sz="4" w:space="0" w:color="auto"/>
            </w:tcBorders>
            <w:shd w:val="clear" w:color="auto" w:fill="auto"/>
            <w:noWrap/>
            <w:vAlign w:val="center"/>
            <w:hideMark/>
          </w:tcPr>
          <w:p w14:paraId="7F0E195C" w14:textId="77777777" w:rsidR="000B5D5B" w:rsidRPr="00FD30F2" w:rsidRDefault="000B5D5B" w:rsidP="000B5D5B">
            <w:pPr>
              <w:rPr>
                <w:rFonts w:eastAsia="Times New Roman"/>
                <w:color w:val="000000"/>
                <w:sz w:val="20"/>
                <w:szCs w:val="20"/>
              </w:rPr>
            </w:pPr>
            <w:r w:rsidRPr="00FD30F2">
              <w:rPr>
                <w:rFonts w:eastAsia="Times New Roman"/>
                <w:color w:val="000000"/>
                <w:sz w:val="20"/>
                <w:szCs w:val="20"/>
              </w:rPr>
              <w:t>Callum et al. (2001)</w:t>
            </w:r>
          </w:p>
        </w:tc>
        <w:tc>
          <w:tcPr>
            <w:tcW w:w="5320" w:type="dxa"/>
            <w:vMerge/>
            <w:tcBorders>
              <w:bottom w:val="dashed" w:sz="4" w:space="0" w:color="auto"/>
            </w:tcBorders>
            <w:shd w:val="clear" w:color="auto" w:fill="auto"/>
            <w:vAlign w:val="center"/>
            <w:hideMark/>
          </w:tcPr>
          <w:p w14:paraId="5AEFECEF" w14:textId="77777777" w:rsidR="000B5D5B" w:rsidRPr="00FD30F2" w:rsidRDefault="000B5D5B" w:rsidP="000B5D5B">
            <w:pPr>
              <w:rPr>
                <w:rFonts w:eastAsia="Times New Roman"/>
                <w:color w:val="000000"/>
                <w:sz w:val="20"/>
                <w:szCs w:val="20"/>
              </w:rPr>
            </w:pPr>
          </w:p>
        </w:tc>
      </w:tr>
      <w:tr w:rsidR="00A44353" w:rsidRPr="00FD30F2" w14:paraId="3C2F3506" w14:textId="77777777" w:rsidTr="00A44353">
        <w:trPr>
          <w:trHeight w:val="144"/>
        </w:trPr>
        <w:tc>
          <w:tcPr>
            <w:tcW w:w="2790" w:type="dxa"/>
            <w:tcBorders>
              <w:top w:val="dashed" w:sz="4" w:space="0" w:color="auto"/>
              <w:bottom w:val="dashed" w:sz="4" w:space="0" w:color="auto"/>
            </w:tcBorders>
            <w:shd w:val="clear" w:color="auto" w:fill="auto"/>
            <w:noWrap/>
            <w:vAlign w:val="center"/>
            <w:hideMark/>
          </w:tcPr>
          <w:p w14:paraId="5375395B" w14:textId="77777777" w:rsidR="00FD30F2" w:rsidRPr="00FD30F2" w:rsidRDefault="00FD30F2" w:rsidP="000B5D5B">
            <w:pPr>
              <w:rPr>
                <w:rFonts w:eastAsia="Times New Roman"/>
                <w:b/>
                <w:bCs/>
                <w:color w:val="000000"/>
                <w:sz w:val="20"/>
                <w:szCs w:val="20"/>
              </w:rPr>
            </w:pPr>
            <w:r w:rsidRPr="00FD30F2">
              <w:rPr>
                <w:rFonts w:eastAsia="Times New Roman"/>
                <w:b/>
                <w:bCs/>
                <w:color w:val="000000"/>
                <w:sz w:val="20"/>
                <w:szCs w:val="20"/>
              </w:rPr>
              <w:t>Public Health Policy</w:t>
            </w:r>
          </w:p>
        </w:tc>
        <w:tc>
          <w:tcPr>
            <w:tcW w:w="3690" w:type="dxa"/>
            <w:tcBorders>
              <w:top w:val="dashed" w:sz="4" w:space="0" w:color="auto"/>
              <w:bottom w:val="dashed" w:sz="4" w:space="0" w:color="auto"/>
            </w:tcBorders>
            <w:shd w:val="clear" w:color="auto" w:fill="auto"/>
            <w:noWrap/>
            <w:vAlign w:val="center"/>
            <w:hideMark/>
          </w:tcPr>
          <w:p w14:paraId="53263F3C" w14:textId="77777777" w:rsidR="00FD30F2" w:rsidRPr="00FD30F2" w:rsidRDefault="00FD30F2" w:rsidP="000B5D5B">
            <w:pPr>
              <w:rPr>
                <w:rFonts w:eastAsia="Times New Roman"/>
                <w:color w:val="000000"/>
                <w:sz w:val="20"/>
                <w:szCs w:val="20"/>
              </w:rPr>
            </w:pPr>
            <w:r w:rsidRPr="00FD30F2">
              <w:rPr>
                <w:rFonts w:eastAsia="Times New Roman"/>
                <w:color w:val="000000"/>
                <w:sz w:val="20"/>
                <w:szCs w:val="20"/>
              </w:rPr>
              <w:t>Public Health, Urban studies</w:t>
            </w:r>
          </w:p>
        </w:tc>
        <w:tc>
          <w:tcPr>
            <w:tcW w:w="630" w:type="dxa"/>
            <w:tcBorders>
              <w:top w:val="dashed" w:sz="4" w:space="0" w:color="auto"/>
              <w:bottom w:val="dashed" w:sz="4" w:space="0" w:color="auto"/>
            </w:tcBorders>
            <w:shd w:val="clear" w:color="auto" w:fill="auto"/>
            <w:noWrap/>
            <w:vAlign w:val="center"/>
            <w:hideMark/>
          </w:tcPr>
          <w:p w14:paraId="7D54BF34" w14:textId="77777777" w:rsidR="00FD30F2" w:rsidRPr="00FD30F2" w:rsidRDefault="00FD30F2" w:rsidP="000B5D5B">
            <w:pPr>
              <w:rPr>
                <w:rFonts w:eastAsia="Times New Roman"/>
                <w:b/>
                <w:bCs/>
                <w:color w:val="000000"/>
                <w:sz w:val="20"/>
                <w:szCs w:val="20"/>
              </w:rPr>
            </w:pPr>
            <w:r w:rsidRPr="00FD30F2">
              <w:rPr>
                <w:rFonts w:eastAsia="Times New Roman"/>
                <w:b/>
                <w:bCs/>
                <w:color w:val="000000"/>
                <w:sz w:val="20"/>
                <w:szCs w:val="20"/>
              </w:rPr>
              <w:t>95</w:t>
            </w:r>
          </w:p>
        </w:tc>
        <w:tc>
          <w:tcPr>
            <w:tcW w:w="2060" w:type="dxa"/>
            <w:tcBorders>
              <w:top w:val="dashed" w:sz="4" w:space="0" w:color="auto"/>
              <w:bottom w:val="dashed" w:sz="4" w:space="0" w:color="auto"/>
            </w:tcBorders>
            <w:shd w:val="clear" w:color="auto" w:fill="auto"/>
            <w:noWrap/>
            <w:vAlign w:val="center"/>
            <w:hideMark/>
          </w:tcPr>
          <w:p w14:paraId="37382900" w14:textId="77777777" w:rsidR="00FD30F2" w:rsidRPr="00FD30F2" w:rsidRDefault="00FD30F2" w:rsidP="000B5D5B">
            <w:pPr>
              <w:rPr>
                <w:rFonts w:eastAsia="Times New Roman"/>
                <w:color w:val="000000"/>
                <w:sz w:val="20"/>
                <w:szCs w:val="20"/>
              </w:rPr>
            </w:pPr>
            <w:r w:rsidRPr="00FD30F2">
              <w:rPr>
                <w:rFonts w:eastAsia="Times New Roman"/>
                <w:color w:val="000000"/>
                <w:sz w:val="20"/>
                <w:szCs w:val="20"/>
              </w:rPr>
              <w:t>Storeng et al. (2010)</w:t>
            </w:r>
          </w:p>
        </w:tc>
        <w:tc>
          <w:tcPr>
            <w:tcW w:w="5320" w:type="dxa"/>
            <w:tcBorders>
              <w:top w:val="dashed" w:sz="4" w:space="0" w:color="auto"/>
              <w:bottom w:val="dashed" w:sz="4" w:space="0" w:color="auto"/>
            </w:tcBorders>
            <w:shd w:val="clear" w:color="auto" w:fill="auto"/>
            <w:vAlign w:val="center"/>
            <w:hideMark/>
          </w:tcPr>
          <w:p w14:paraId="0089A944" w14:textId="77777777" w:rsidR="00FD30F2" w:rsidRPr="00FD30F2" w:rsidRDefault="00FD30F2" w:rsidP="000B5D5B">
            <w:pPr>
              <w:rPr>
                <w:rFonts w:eastAsia="Times New Roman"/>
                <w:color w:val="000000"/>
                <w:sz w:val="20"/>
                <w:szCs w:val="20"/>
              </w:rPr>
            </w:pPr>
            <w:r w:rsidRPr="00FD30F2">
              <w:rPr>
                <w:rFonts w:eastAsia="Times New Roman"/>
                <w:color w:val="000000"/>
                <w:sz w:val="20"/>
                <w:szCs w:val="20"/>
              </w:rPr>
              <w:t>Near-misses avert fatal loss, but also carry severe ramifications on the affected.</w:t>
            </w:r>
          </w:p>
        </w:tc>
      </w:tr>
      <w:tr w:rsidR="00A44353" w:rsidRPr="00FD30F2" w14:paraId="496BABD9" w14:textId="77777777" w:rsidTr="00A44353">
        <w:trPr>
          <w:trHeight w:val="144"/>
        </w:trPr>
        <w:tc>
          <w:tcPr>
            <w:tcW w:w="2790" w:type="dxa"/>
            <w:tcBorders>
              <w:top w:val="dashed" w:sz="4" w:space="0" w:color="auto"/>
              <w:bottom w:val="dashed" w:sz="4" w:space="0" w:color="auto"/>
            </w:tcBorders>
            <w:shd w:val="clear" w:color="auto" w:fill="auto"/>
            <w:noWrap/>
            <w:vAlign w:val="center"/>
            <w:hideMark/>
          </w:tcPr>
          <w:p w14:paraId="7A11FE2B" w14:textId="77777777" w:rsidR="00FD30F2" w:rsidRPr="00FD30F2" w:rsidRDefault="00FD30F2" w:rsidP="000B5D5B">
            <w:pPr>
              <w:rPr>
                <w:rFonts w:eastAsia="Times New Roman"/>
                <w:b/>
                <w:bCs/>
                <w:color w:val="000000"/>
                <w:sz w:val="20"/>
                <w:szCs w:val="20"/>
              </w:rPr>
            </w:pPr>
            <w:r w:rsidRPr="00FD30F2">
              <w:rPr>
                <w:rFonts w:eastAsia="Times New Roman"/>
                <w:b/>
                <w:bCs/>
                <w:color w:val="000000"/>
                <w:sz w:val="20"/>
                <w:szCs w:val="20"/>
              </w:rPr>
              <w:t>Safety Literature</w:t>
            </w:r>
          </w:p>
        </w:tc>
        <w:tc>
          <w:tcPr>
            <w:tcW w:w="3690" w:type="dxa"/>
            <w:tcBorders>
              <w:top w:val="dashed" w:sz="4" w:space="0" w:color="auto"/>
              <w:bottom w:val="dashed" w:sz="4" w:space="0" w:color="auto"/>
            </w:tcBorders>
            <w:shd w:val="clear" w:color="auto" w:fill="auto"/>
            <w:noWrap/>
            <w:vAlign w:val="center"/>
            <w:hideMark/>
          </w:tcPr>
          <w:p w14:paraId="1F50BEDE" w14:textId="77777777" w:rsidR="00FD30F2" w:rsidRPr="00FD30F2" w:rsidRDefault="00FD30F2" w:rsidP="000B5D5B">
            <w:pPr>
              <w:rPr>
                <w:rFonts w:eastAsia="Times New Roman"/>
                <w:color w:val="000000"/>
                <w:sz w:val="20"/>
                <w:szCs w:val="20"/>
              </w:rPr>
            </w:pPr>
            <w:r w:rsidRPr="00FD30F2">
              <w:rPr>
                <w:rFonts w:eastAsia="Times New Roman"/>
                <w:color w:val="000000"/>
                <w:sz w:val="20"/>
                <w:szCs w:val="20"/>
              </w:rPr>
              <w:t>Occupational safety, Haz Mat</w:t>
            </w:r>
          </w:p>
        </w:tc>
        <w:tc>
          <w:tcPr>
            <w:tcW w:w="630" w:type="dxa"/>
            <w:tcBorders>
              <w:top w:val="dashed" w:sz="4" w:space="0" w:color="auto"/>
              <w:bottom w:val="dashed" w:sz="4" w:space="0" w:color="auto"/>
            </w:tcBorders>
            <w:shd w:val="clear" w:color="auto" w:fill="auto"/>
            <w:noWrap/>
            <w:vAlign w:val="center"/>
            <w:hideMark/>
          </w:tcPr>
          <w:p w14:paraId="77B71F3D" w14:textId="77777777" w:rsidR="00FD30F2" w:rsidRPr="00FD30F2" w:rsidRDefault="00FD30F2" w:rsidP="000B5D5B">
            <w:pPr>
              <w:rPr>
                <w:rFonts w:eastAsia="Times New Roman"/>
                <w:b/>
                <w:bCs/>
                <w:color w:val="000000"/>
                <w:sz w:val="20"/>
                <w:szCs w:val="20"/>
              </w:rPr>
            </w:pPr>
            <w:r w:rsidRPr="00FD30F2">
              <w:rPr>
                <w:rFonts w:eastAsia="Times New Roman"/>
                <w:b/>
                <w:bCs/>
                <w:color w:val="000000"/>
                <w:sz w:val="20"/>
                <w:szCs w:val="20"/>
              </w:rPr>
              <w:t>80</w:t>
            </w:r>
          </w:p>
        </w:tc>
        <w:tc>
          <w:tcPr>
            <w:tcW w:w="2060" w:type="dxa"/>
            <w:tcBorders>
              <w:top w:val="dashed" w:sz="4" w:space="0" w:color="auto"/>
              <w:bottom w:val="dashed" w:sz="4" w:space="0" w:color="auto"/>
            </w:tcBorders>
            <w:shd w:val="clear" w:color="auto" w:fill="auto"/>
            <w:noWrap/>
            <w:vAlign w:val="center"/>
            <w:hideMark/>
          </w:tcPr>
          <w:p w14:paraId="47366A22" w14:textId="77777777" w:rsidR="00FD30F2" w:rsidRPr="00FD30F2" w:rsidRDefault="00FD30F2" w:rsidP="000B5D5B">
            <w:pPr>
              <w:rPr>
                <w:rFonts w:eastAsia="Times New Roman"/>
                <w:color w:val="000000"/>
                <w:sz w:val="20"/>
                <w:szCs w:val="20"/>
              </w:rPr>
            </w:pPr>
            <w:r w:rsidRPr="00FD30F2">
              <w:rPr>
                <w:rFonts w:eastAsia="Times New Roman"/>
                <w:color w:val="000000"/>
                <w:sz w:val="20"/>
                <w:szCs w:val="20"/>
              </w:rPr>
              <w:t>Carroll (1998)</w:t>
            </w:r>
          </w:p>
        </w:tc>
        <w:tc>
          <w:tcPr>
            <w:tcW w:w="5320" w:type="dxa"/>
            <w:tcBorders>
              <w:top w:val="dashed" w:sz="4" w:space="0" w:color="auto"/>
              <w:bottom w:val="dashed" w:sz="4" w:space="0" w:color="auto"/>
            </w:tcBorders>
            <w:shd w:val="clear" w:color="auto" w:fill="auto"/>
            <w:vAlign w:val="center"/>
            <w:hideMark/>
          </w:tcPr>
          <w:p w14:paraId="0D9287AD" w14:textId="77777777" w:rsidR="00FD30F2" w:rsidRPr="00FD30F2" w:rsidRDefault="00FD30F2" w:rsidP="000B5D5B">
            <w:pPr>
              <w:rPr>
                <w:rFonts w:eastAsia="Times New Roman"/>
                <w:color w:val="000000"/>
                <w:sz w:val="20"/>
                <w:szCs w:val="20"/>
              </w:rPr>
            </w:pPr>
            <w:r w:rsidRPr="00FD30F2">
              <w:rPr>
                <w:rFonts w:eastAsia="Times New Roman"/>
                <w:color w:val="000000"/>
                <w:sz w:val="20"/>
                <w:szCs w:val="20"/>
              </w:rPr>
              <w:t>Frequency of near-misses can increase because of ineffective work procedures</w:t>
            </w:r>
          </w:p>
        </w:tc>
      </w:tr>
      <w:tr w:rsidR="00A44353" w:rsidRPr="00FD30F2" w14:paraId="4480DE79" w14:textId="77777777" w:rsidTr="00A44353">
        <w:trPr>
          <w:trHeight w:val="144"/>
        </w:trPr>
        <w:tc>
          <w:tcPr>
            <w:tcW w:w="2790" w:type="dxa"/>
            <w:tcBorders>
              <w:top w:val="dashed" w:sz="4" w:space="0" w:color="auto"/>
              <w:bottom w:val="dashed" w:sz="4" w:space="0" w:color="auto"/>
            </w:tcBorders>
            <w:shd w:val="clear" w:color="auto" w:fill="auto"/>
            <w:noWrap/>
            <w:vAlign w:val="center"/>
            <w:hideMark/>
          </w:tcPr>
          <w:p w14:paraId="42AC7FEB" w14:textId="62783533" w:rsidR="00FD30F2" w:rsidRPr="00FD30F2" w:rsidRDefault="00FD30F2" w:rsidP="000B5D5B">
            <w:pPr>
              <w:rPr>
                <w:rFonts w:eastAsia="Times New Roman"/>
                <w:b/>
                <w:bCs/>
                <w:color w:val="000000"/>
                <w:sz w:val="20"/>
                <w:szCs w:val="20"/>
              </w:rPr>
            </w:pPr>
            <w:r w:rsidRPr="00FD30F2">
              <w:rPr>
                <w:rFonts w:eastAsia="Times New Roman"/>
                <w:b/>
                <w:bCs/>
                <w:color w:val="000000"/>
                <w:sz w:val="20"/>
                <w:szCs w:val="20"/>
              </w:rPr>
              <w:t>Emergency Mgt</w:t>
            </w:r>
            <w:r w:rsidR="003A4A4A">
              <w:rPr>
                <w:rFonts w:eastAsia="Times New Roman"/>
                <w:b/>
                <w:bCs/>
                <w:color w:val="000000"/>
                <w:sz w:val="20"/>
                <w:szCs w:val="20"/>
              </w:rPr>
              <w:t>.</w:t>
            </w:r>
          </w:p>
        </w:tc>
        <w:tc>
          <w:tcPr>
            <w:tcW w:w="3690" w:type="dxa"/>
            <w:tcBorders>
              <w:top w:val="dashed" w:sz="4" w:space="0" w:color="auto"/>
              <w:bottom w:val="dashed" w:sz="4" w:space="0" w:color="auto"/>
            </w:tcBorders>
            <w:shd w:val="clear" w:color="auto" w:fill="auto"/>
            <w:noWrap/>
            <w:vAlign w:val="center"/>
            <w:hideMark/>
          </w:tcPr>
          <w:p w14:paraId="6EB43D46" w14:textId="77777777" w:rsidR="00FD30F2" w:rsidRPr="00FD30F2" w:rsidRDefault="00FD30F2" w:rsidP="000B5D5B">
            <w:pPr>
              <w:rPr>
                <w:rFonts w:eastAsia="Times New Roman"/>
                <w:color w:val="000000"/>
                <w:sz w:val="20"/>
                <w:szCs w:val="20"/>
              </w:rPr>
            </w:pPr>
            <w:r w:rsidRPr="00FD30F2">
              <w:rPr>
                <w:rFonts w:eastAsia="Times New Roman"/>
                <w:color w:val="000000"/>
                <w:sz w:val="20"/>
                <w:szCs w:val="20"/>
              </w:rPr>
              <w:t>First Responder Reporting</w:t>
            </w:r>
          </w:p>
        </w:tc>
        <w:tc>
          <w:tcPr>
            <w:tcW w:w="630" w:type="dxa"/>
            <w:tcBorders>
              <w:top w:val="dashed" w:sz="4" w:space="0" w:color="auto"/>
              <w:bottom w:val="dashed" w:sz="4" w:space="0" w:color="auto"/>
            </w:tcBorders>
            <w:shd w:val="clear" w:color="auto" w:fill="auto"/>
            <w:noWrap/>
            <w:vAlign w:val="center"/>
            <w:hideMark/>
          </w:tcPr>
          <w:p w14:paraId="139F9DA5" w14:textId="77777777" w:rsidR="00FD30F2" w:rsidRPr="00FD30F2" w:rsidRDefault="00FD30F2" w:rsidP="000B5D5B">
            <w:pPr>
              <w:rPr>
                <w:rFonts w:eastAsia="Times New Roman"/>
                <w:b/>
                <w:bCs/>
                <w:color w:val="000000"/>
                <w:sz w:val="20"/>
                <w:szCs w:val="20"/>
              </w:rPr>
            </w:pPr>
            <w:r w:rsidRPr="00FD30F2">
              <w:rPr>
                <w:rFonts w:eastAsia="Times New Roman"/>
                <w:b/>
                <w:bCs/>
                <w:color w:val="000000"/>
                <w:sz w:val="20"/>
                <w:szCs w:val="20"/>
              </w:rPr>
              <w:t>20</w:t>
            </w:r>
          </w:p>
        </w:tc>
        <w:tc>
          <w:tcPr>
            <w:tcW w:w="2060" w:type="dxa"/>
            <w:tcBorders>
              <w:top w:val="dashed" w:sz="4" w:space="0" w:color="auto"/>
              <w:bottom w:val="dashed" w:sz="4" w:space="0" w:color="auto"/>
            </w:tcBorders>
            <w:shd w:val="clear" w:color="auto" w:fill="auto"/>
            <w:noWrap/>
            <w:vAlign w:val="center"/>
            <w:hideMark/>
          </w:tcPr>
          <w:p w14:paraId="6D6F761D" w14:textId="77777777" w:rsidR="00FD30F2" w:rsidRPr="00FD30F2" w:rsidRDefault="00FD30F2" w:rsidP="000B5D5B">
            <w:pPr>
              <w:rPr>
                <w:rFonts w:eastAsia="Times New Roman"/>
                <w:color w:val="000000"/>
                <w:sz w:val="20"/>
                <w:szCs w:val="20"/>
              </w:rPr>
            </w:pPr>
            <w:r w:rsidRPr="00FD30F2">
              <w:rPr>
                <w:rFonts w:eastAsia="Times New Roman"/>
                <w:color w:val="000000"/>
                <w:sz w:val="20"/>
                <w:szCs w:val="20"/>
              </w:rPr>
              <w:t>Wright et al. (2004)</w:t>
            </w:r>
          </w:p>
        </w:tc>
        <w:tc>
          <w:tcPr>
            <w:tcW w:w="5320" w:type="dxa"/>
            <w:tcBorders>
              <w:top w:val="dashed" w:sz="4" w:space="0" w:color="auto"/>
              <w:bottom w:val="dashed" w:sz="4" w:space="0" w:color="auto"/>
            </w:tcBorders>
            <w:shd w:val="clear" w:color="auto" w:fill="auto"/>
            <w:vAlign w:val="center"/>
            <w:hideMark/>
          </w:tcPr>
          <w:p w14:paraId="6813390F" w14:textId="6D579A9E" w:rsidR="00FD30F2" w:rsidRPr="00FD30F2" w:rsidRDefault="00FD30F2" w:rsidP="000B5D5B">
            <w:pPr>
              <w:rPr>
                <w:rFonts w:eastAsia="Times New Roman"/>
                <w:color w:val="000000"/>
                <w:sz w:val="20"/>
                <w:szCs w:val="20"/>
              </w:rPr>
            </w:pPr>
            <w:r w:rsidRPr="00FD30F2">
              <w:rPr>
                <w:rFonts w:eastAsia="Times New Roman"/>
                <w:color w:val="000000"/>
                <w:sz w:val="20"/>
                <w:szCs w:val="20"/>
              </w:rPr>
              <w:t xml:space="preserve">Organizational culture may </w:t>
            </w:r>
            <w:r w:rsidR="003A4A4A" w:rsidRPr="00FD30F2">
              <w:rPr>
                <w:rFonts w:eastAsia="Times New Roman"/>
                <w:color w:val="000000"/>
                <w:sz w:val="20"/>
                <w:szCs w:val="20"/>
              </w:rPr>
              <w:t>discourage</w:t>
            </w:r>
            <w:r w:rsidRPr="00FD30F2">
              <w:rPr>
                <w:rFonts w:eastAsia="Times New Roman"/>
                <w:color w:val="000000"/>
                <w:sz w:val="20"/>
                <w:szCs w:val="20"/>
              </w:rPr>
              <w:t xml:space="preserve"> sharing findings among EMS.</w:t>
            </w:r>
          </w:p>
        </w:tc>
      </w:tr>
      <w:tr w:rsidR="00A44353" w:rsidRPr="00FD30F2" w14:paraId="01F76ED7" w14:textId="77777777" w:rsidTr="00A44353">
        <w:trPr>
          <w:trHeight w:val="144"/>
        </w:trPr>
        <w:tc>
          <w:tcPr>
            <w:tcW w:w="2790" w:type="dxa"/>
            <w:tcBorders>
              <w:top w:val="dashed" w:sz="4" w:space="0" w:color="auto"/>
              <w:bottom w:val="dashed" w:sz="4" w:space="0" w:color="auto"/>
            </w:tcBorders>
            <w:shd w:val="clear" w:color="auto" w:fill="auto"/>
            <w:noWrap/>
            <w:vAlign w:val="center"/>
            <w:hideMark/>
          </w:tcPr>
          <w:p w14:paraId="1EE3A29F" w14:textId="389DCDE7" w:rsidR="00FD30F2" w:rsidRPr="00FD30F2" w:rsidRDefault="00FD30F2" w:rsidP="000B5D5B">
            <w:pPr>
              <w:rPr>
                <w:rFonts w:eastAsia="Times New Roman"/>
                <w:b/>
                <w:bCs/>
                <w:color w:val="000000"/>
                <w:sz w:val="20"/>
                <w:szCs w:val="20"/>
              </w:rPr>
            </w:pPr>
            <w:r w:rsidRPr="00FD30F2">
              <w:rPr>
                <w:rFonts w:eastAsia="Times New Roman"/>
                <w:b/>
                <w:bCs/>
                <w:color w:val="000000"/>
                <w:sz w:val="20"/>
                <w:szCs w:val="20"/>
              </w:rPr>
              <w:t>Operations Mgt</w:t>
            </w:r>
            <w:r w:rsidR="003A4A4A">
              <w:rPr>
                <w:rFonts w:eastAsia="Times New Roman"/>
                <w:b/>
                <w:bCs/>
                <w:color w:val="000000"/>
                <w:sz w:val="20"/>
                <w:szCs w:val="20"/>
              </w:rPr>
              <w:t>.</w:t>
            </w:r>
          </w:p>
        </w:tc>
        <w:tc>
          <w:tcPr>
            <w:tcW w:w="3690" w:type="dxa"/>
            <w:tcBorders>
              <w:top w:val="dashed" w:sz="4" w:space="0" w:color="auto"/>
              <w:bottom w:val="dashed" w:sz="4" w:space="0" w:color="auto"/>
            </w:tcBorders>
            <w:shd w:val="clear" w:color="auto" w:fill="auto"/>
            <w:noWrap/>
            <w:vAlign w:val="center"/>
            <w:hideMark/>
          </w:tcPr>
          <w:p w14:paraId="1DE27F5C" w14:textId="77777777" w:rsidR="00FD30F2" w:rsidRPr="00FD30F2" w:rsidRDefault="00FD30F2" w:rsidP="000B5D5B">
            <w:pPr>
              <w:rPr>
                <w:rFonts w:eastAsia="Times New Roman"/>
                <w:color w:val="000000"/>
                <w:sz w:val="20"/>
                <w:szCs w:val="20"/>
              </w:rPr>
            </w:pPr>
            <w:r w:rsidRPr="00FD30F2">
              <w:rPr>
                <w:rFonts w:eastAsia="Times New Roman"/>
                <w:color w:val="000000"/>
                <w:sz w:val="20"/>
                <w:szCs w:val="20"/>
              </w:rPr>
              <w:t>Decision Science, Org Learning</w:t>
            </w:r>
          </w:p>
        </w:tc>
        <w:tc>
          <w:tcPr>
            <w:tcW w:w="630" w:type="dxa"/>
            <w:tcBorders>
              <w:top w:val="dashed" w:sz="4" w:space="0" w:color="auto"/>
              <w:bottom w:val="dashed" w:sz="4" w:space="0" w:color="auto"/>
            </w:tcBorders>
            <w:shd w:val="clear" w:color="auto" w:fill="auto"/>
            <w:noWrap/>
            <w:vAlign w:val="center"/>
            <w:hideMark/>
          </w:tcPr>
          <w:p w14:paraId="153CBED9" w14:textId="77777777" w:rsidR="00FD30F2" w:rsidRPr="00FD30F2" w:rsidRDefault="00FD30F2" w:rsidP="000B5D5B">
            <w:pPr>
              <w:rPr>
                <w:rFonts w:eastAsia="Times New Roman"/>
                <w:b/>
                <w:bCs/>
                <w:color w:val="000000"/>
                <w:sz w:val="20"/>
                <w:szCs w:val="20"/>
              </w:rPr>
            </w:pPr>
            <w:r w:rsidRPr="00FD30F2">
              <w:rPr>
                <w:rFonts w:eastAsia="Times New Roman"/>
                <w:b/>
                <w:bCs/>
                <w:color w:val="000000"/>
                <w:sz w:val="20"/>
                <w:szCs w:val="20"/>
              </w:rPr>
              <w:t>18</w:t>
            </w:r>
          </w:p>
        </w:tc>
        <w:tc>
          <w:tcPr>
            <w:tcW w:w="2060" w:type="dxa"/>
            <w:tcBorders>
              <w:top w:val="dashed" w:sz="4" w:space="0" w:color="auto"/>
              <w:bottom w:val="dashed" w:sz="4" w:space="0" w:color="auto"/>
            </w:tcBorders>
            <w:shd w:val="clear" w:color="auto" w:fill="auto"/>
            <w:noWrap/>
            <w:vAlign w:val="center"/>
            <w:hideMark/>
          </w:tcPr>
          <w:p w14:paraId="567236D0" w14:textId="77777777" w:rsidR="00FD30F2" w:rsidRPr="00FD30F2" w:rsidRDefault="00FD30F2" w:rsidP="000B5D5B">
            <w:pPr>
              <w:rPr>
                <w:rFonts w:eastAsia="Times New Roman"/>
                <w:color w:val="000000"/>
                <w:sz w:val="20"/>
                <w:szCs w:val="20"/>
              </w:rPr>
            </w:pPr>
            <w:r w:rsidRPr="00FD30F2">
              <w:rPr>
                <w:rFonts w:eastAsia="Times New Roman"/>
                <w:color w:val="000000"/>
                <w:sz w:val="20"/>
                <w:szCs w:val="20"/>
              </w:rPr>
              <w:t>Dillon et al. (2008)</w:t>
            </w:r>
          </w:p>
        </w:tc>
        <w:tc>
          <w:tcPr>
            <w:tcW w:w="5320" w:type="dxa"/>
            <w:tcBorders>
              <w:top w:val="dashed" w:sz="4" w:space="0" w:color="auto"/>
              <w:bottom w:val="dashed" w:sz="4" w:space="0" w:color="auto"/>
            </w:tcBorders>
            <w:shd w:val="clear" w:color="auto" w:fill="auto"/>
            <w:vAlign w:val="center"/>
            <w:hideMark/>
          </w:tcPr>
          <w:p w14:paraId="76ADBB4D" w14:textId="77777777" w:rsidR="00FD30F2" w:rsidRPr="00FD30F2" w:rsidRDefault="00FD30F2" w:rsidP="000B5D5B">
            <w:pPr>
              <w:rPr>
                <w:rFonts w:eastAsia="Times New Roman"/>
                <w:color w:val="000000"/>
                <w:sz w:val="20"/>
                <w:szCs w:val="20"/>
              </w:rPr>
            </w:pPr>
            <w:r w:rsidRPr="00FD30F2">
              <w:rPr>
                <w:rFonts w:eastAsia="Times New Roman"/>
                <w:color w:val="000000"/>
                <w:sz w:val="20"/>
                <w:szCs w:val="20"/>
              </w:rPr>
              <w:t>Interpreting near-misses as successes may make managers less risk-averse.</w:t>
            </w:r>
          </w:p>
        </w:tc>
      </w:tr>
      <w:tr w:rsidR="00A44353" w:rsidRPr="00FD30F2" w14:paraId="06572B88" w14:textId="77777777" w:rsidTr="00A44353">
        <w:trPr>
          <w:trHeight w:val="144"/>
        </w:trPr>
        <w:tc>
          <w:tcPr>
            <w:tcW w:w="2790" w:type="dxa"/>
            <w:tcBorders>
              <w:top w:val="dashed" w:sz="4" w:space="0" w:color="auto"/>
              <w:bottom w:val="dashed" w:sz="4" w:space="0" w:color="auto"/>
            </w:tcBorders>
            <w:shd w:val="clear" w:color="auto" w:fill="auto"/>
            <w:noWrap/>
            <w:vAlign w:val="center"/>
            <w:hideMark/>
          </w:tcPr>
          <w:p w14:paraId="0C63D6F2" w14:textId="77777777" w:rsidR="00FD30F2" w:rsidRPr="00FD30F2" w:rsidRDefault="00FD30F2" w:rsidP="000B5D5B">
            <w:pPr>
              <w:rPr>
                <w:rFonts w:eastAsia="Times New Roman"/>
                <w:b/>
                <w:bCs/>
                <w:color w:val="000000"/>
                <w:sz w:val="20"/>
                <w:szCs w:val="20"/>
              </w:rPr>
            </w:pPr>
            <w:r w:rsidRPr="00FD30F2">
              <w:rPr>
                <w:rFonts w:eastAsia="Times New Roman"/>
                <w:b/>
                <w:bCs/>
                <w:color w:val="000000"/>
                <w:sz w:val="20"/>
                <w:szCs w:val="20"/>
              </w:rPr>
              <w:t>Transport Systems</w:t>
            </w:r>
          </w:p>
        </w:tc>
        <w:tc>
          <w:tcPr>
            <w:tcW w:w="3690" w:type="dxa"/>
            <w:tcBorders>
              <w:top w:val="dashed" w:sz="4" w:space="0" w:color="auto"/>
              <w:bottom w:val="dashed" w:sz="4" w:space="0" w:color="auto"/>
            </w:tcBorders>
            <w:shd w:val="clear" w:color="auto" w:fill="auto"/>
            <w:noWrap/>
            <w:vAlign w:val="center"/>
            <w:hideMark/>
          </w:tcPr>
          <w:p w14:paraId="6D39B52A" w14:textId="77777777" w:rsidR="00FD30F2" w:rsidRPr="00FD30F2" w:rsidRDefault="00FD30F2" w:rsidP="000B5D5B">
            <w:pPr>
              <w:rPr>
                <w:rFonts w:eastAsia="Times New Roman"/>
                <w:color w:val="000000"/>
                <w:sz w:val="20"/>
                <w:szCs w:val="20"/>
              </w:rPr>
            </w:pPr>
            <w:r w:rsidRPr="00FD30F2">
              <w:rPr>
                <w:rFonts w:eastAsia="Times New Roman"/>
                <w:color w:val="000000"/>
                <w:sz w:val="20"/>
                <w:szCs w:val="20"/>
              </w:rPr>
              <w:t>Traffic Studies, Transport Technology</w:t>
            </w:r>
          </w:p>
        </w:tc>
        <w:tc>
          <w:tcPr>
            <w:tcW w:w="630" w:type="dxa"/>
            <w:tcBorders>
              <w:top w:val="dashed" w:sz="4" w:space="0" w:color="auto"/>
              <w:bottom w:val="dashed" w:sz="4" w:space="0" w:color="auto"/>
            </w:tcBorders>
            <w:shd w:val="clear" w:color="auto" w:fill="auto"/>
            <w:noWrap/>
            <w:vAlign w:val="center"/>
            <w:hideMark/>
          </w:tcPr>
          <w:p w14:paraId="59E80661" w14:textId="77777777" w:rsidR="00FD30F2" w:rsidRPr="00FD30F2" w:rsidRDefault="00FD30F2" w:rsidP="000B5D5B">
            <w:pPr>
              <w:rPr>
                <w:rFonts w:eastAsia="Times New Roman"/>
                <w:b/>
                <w:bCs/>
                <w:color w:val="000000"/>
                <w:sz w:val="20"/>
                <w:szCs w:val="20"/>
              </w:rPr>
            </w:pPr>
            <w:r w:rsidRPr="00FD30F2">
              <w:rPr>
                <w:rFonts w:eastAsia="Times New Roman"/>
                <w:b/>
                <w:bCs/>
                <w:color w:val="000000"/>
                <w:sz w:val="20"/>
                <w:szCs w:val="20"/>
              </w:rPr>
              <w:t>18</w:t>
            </w:r>
          </w:p>
        </w:tc>
        <w:tc>
          <w:tcPr>
            <w:tcW w:w="2060" w:type="dxa"/>
            <w:tcBorders>
              <w:top w:val="dashed" w:sz="4" w:space="0" w:color="auto"/>
              <w:bottom w:val="dashed" w:sz="4" w:space="0" w:color="auto"/>
            </w:tcBorders>
            <w:shd w:val="clear" w:color="auto" w:fill="auto"/>
            <w:noWrap/>
            <w:vAlign w:val="center"/>
            <w:hideMark/>
          </w:tcPr>
          <w:p w14:paraId="3549AB27" w14:textId="77777777" w:rsidR="00FD30F2" w:rsidRPr="00FD30F2" w:rsidRDefault="00FD30F2" w:rsidP="000B5D5B">
            <w:pPr>
              <w:rPr>
                <w:rFonts w:eastAsia="Times New Roman"/>
                <w:color w:val="000000"/>
                <w:sz w:val="20"/>
                <w:szCs w:val="20"/>
              </w:rPr>
            </w:pPr>
            <w:r w:rsidRPr="00FD30F2">
              <w:rPr>
                <w:rFonts w:eastAsia="Times New Roman"/>
                <w:color w:val="000000"/>
                <w:sz w:val="20"/>
                <w:szCs w:val="20"/>
              </w:rPr>
              <w:t>Goerlandt et al. (2011)</w:t>
            </w:r>
          </w:p>
        </w:tc>
        <w:tc>
          <w:tcPr>
            <w:tcW w:w="5320" w:type="dxa"/>
            <w:tcBorders>
              <w:top w:val="dashed" w:sz="4" w:space="0" w:color="auto"/>
              <w:bottom w:val="dashed" w:sz="4" w:space="0" w:color="auto"/>
            </w:tcBorders>
            <w:shd w:val="clear" w:color="auto" w:fill="auto"/>
            <w:vAlign w:val="center"/>
            <w:hideMark/>
          </w:tcPr>
          <w:p w14:paraId="6637D0EE" w14:textId="77777777" w:rsidR="00FD30F2" w:rsidRPr="00FD30F2" w:rsidRDefault="00FD30F2" w:rsidP="000B5D5B">
            <w:pPr>
              <w:rPr>
                <w:rFonts w:eastAsia="Times New Roman"/>
                <w:color w:val="000000"/>
                <w:sz w:val="20"/>
                <w:szCs w:val="20"/>
              </w:rPr>
            </w:pPr>
            <w:r w:rsidRPr="00FD30F2">
              <w:rPr>
                <w:rFonts w:eastAsia="Times New Roman"/>
                <w:color w:val="000000"/>
                <w:sz w:val="20"/>
                <w:szCs w:val="20"/>
              </w:rPr>
              <w:t>Recognized accident risk factors are also attributed to near-miss events.</w:t>
            </w:r>
          </w:p>
        </w:tc>
      </w:tr>
      <w:tr w:rsidR="00A44353" w:rsidRPr="00FD30F2" w14:paraId="7DF443A5" w14:textId="77777777" w:rsidTr="00A44353">
        <w:trPr>
          <w:trHeight w:val="144"/>
        </w:trPr>
        <w:tc>
          <w:tcPr>
            <w:tcW w:w="2790" w:type="dxa"/>
            <w:tcBorders>
              <w:top w:val="dashed" w:sz="4" w:space="0" w:color="auto"/>
              <w:bottom w:val="dashed" w:sz="4" w:space="0" w:color="auto"/>
            </w:tcBorders>
            <w:shd w:val="clear" w:color="auto" w:fill="auto"/>
            <w:noWrap/>
            <w:vAlign w:val="center"/>
            <w:hideMark/>
          </w:tcPr>
          <w:p w14:paraId="592DB78D" w14:textId="77777777" w:rsidR="00FD30F2" w:rsidRPr="00FD30F2" w:rsidRDefault="00FD30F2" w:rsidP="000B5D5B">
            <w:pPr>
              <w:rPr>
                <w:rFonts w:eastAsia="Times New Roman"/>
                <w:b/>
                <w:bCs/>
                <w:color w:val="000000"/>
                <w:sz w:val="20"/>
                <w:szCs w:val="20"/>
              </w:rPr>
            </w:pPr>
            <w:r w:rsidRPr="00FD30F2">
              <w:rPr>
                <w:rFonts w:eastAsia="Times New Roman"/>
                <w:b/>
                <w:bCs/>
                <w:color w:val="000000"/>
                <w:sz w:val="20"/>
                <w:szCs w:val="20"/>
              </w:rPr>
              <w:t>Finance &amp; Economics</w:t>
            </w:r>
          </w:p>
        </w:tc>
        <w:tc>
          <w:tcPr>
            <w:tcW w:w="3690" w:type="dxa"/>
            <w:tcBorders>
              <w:top w:val="dashed" w:sz="4" w:space="0" w:color="auto"/>
              <w:bottom w:val="dashed" w:sz="4" w:space="0" w:color="auto"/>
            </w:tcBorders>
            <w:shd w:val="clear" w:color="auto" w:fill="auto"/>
            <w:noWrap/>
            <w:vAlign w:val="center"/>
            <w:hideMark/>
          </w:tcPr>
          <w:p w14:paraId="49E79070" w14:textId="77777777" w:rsidR="00FD30F2" w:rsidRPr="00FD30F2" w:rsidRDefault="00FD30F2" w:rsidP="000B5D5B">
            <w:pPr>
              <w:rPr>
                <w:rFonts w:eastAsia="Times New Roman"/>
                <w:color w:val="000000"/>
                <w:sz w:val="20"/>
                <w:szCs w:val="20"/>
              </w:rPr>
            </w:pPr>
            <w:r w:rsidRPr="00FD30F2">
              <w:rPr>
                <w:rFonts w:eastAsia="Times New Roman"/>
                <w:color w:val="000000"/>
                <w:sz w:val="20"/>
                <w:szCs w:val="20"/>
              </w:rPr>
              <w:t>Bankruptcies, Credit Risk</w:t>
            </w:r>
          </w:p>
        </w:tc>
        <w:tc>
          <w:tcPr>
            <w:tcW w:w="630" w:type="dxa"/>
            <w:tcBorders>
              <w:top w:val="dashed" w:sz="4" w:space="0" w:color="auto"/>
              <w:bottom w:val="dashed" w:sz="4" w:space="0" w:color="auto"/>
            </w:tcBorders>
            <w:shd w:val="clear" w:color="auto" w:fill="auto"/>
            <w:noWrap/>
            <w:vAlign w:val="center"/>
            <w:hideMark/>
          </w:tcPr>
          <w:p w14:paraId="539CE7F6" w14:textId="77777777" w:rsidR="00FD30F2" w:rsidRPr="00FD30F2" w:rsidRDefault="00FD30F2" w:rsidP="000B5D5B">
            <w:pPr>
              <w:rPr>
                <w:rFonts w:eastAsia="Times New Roman"/>
                <w:b/>
                <w:bCs/>
                <w:color w:val="000000"/>
                <w:sz w:val="20"/>
                <w:szCs w:val="20"/>
              </w:rPr>
            </w:pPr>
            <w:r w:rsidRPr="00FD30F2">
              <w:rPr>
                <w:rFonts w:eastAsia="Times New Roman"/>
                <w:b/>
                <w:bCs/>
                <w:color w:val="000000"/>
                <w:sz w:val="20"/>
                <w:szCs w:val="20"/>
              </w:rPr>
              <w:t>6</w:t>
            </w:r>
          </w:p>
        </w:tc>
        <w:tc>
          <w:tcPr>
            <w:tcW w:w="2060" w:type="dxa"/>
            <w:tcBorders>
              <w:top w:val="dashed" w:sz="4" w:space="0" w:color="auto"/>
              <w:bottom w:val="dashed" w:sz="4" w:space="0" w:color="auto"/>
            </w:tcBorders>
            <w:shd w:val="clear" w:color="auto" w:fill="auto"/>
            <w:noWrap/>
            <w:vAlign w:val="center"/>
            <w:hideMark/>
          </w:tcPr>
          <w:p w14:paraId="457BA8F3" w14:textId="77777777" w:rsidR="00FD30F2" w:rsidRPr="00FD30F2" w:rsidRDefault="00FD30F2" w:rsidP="000B5D5B">
            <w:pPr>
              <w:rPr>
                <w:rFonts w:eastAsia="Times New Roman"/>
                <w:color w:val="000000"/>
                <w:sz w:val="20"/>
                <w:szCs w:val="20"/>
              </w:rPr>
            </w:pPr>
            <w:r w:rsidRPr="00FD30F2">
              <w:rPr>
                <w:rFonts w:eastAsia="Times New Roman"/>
                <w:color w:val="000000"/>
                <w:sz w:val="20"/>
                <w:szCs w:val="20"/>
              </w:rPr>
              <w:t>Tessmer (1997)</w:t>
            </w:r>
          </w:p>
        </w:tc>
        <w:tc>
          <w:tcPr>
            <w:tcW w:w="5320" w:type="dxa"/>
            <w:tcBorders>
              <w:top w:val="dashed" w:sz="4" w:space="0" w:color="auto"/>
              <w:bottom w:val="dashed" w:sz="4" w:space="0" w:color="auto"/>
            </w:tcBorders>
            <w:shd w:val="clear" w:color="auto" w:fill="auto"/>
            <w:vAlign w:val="center"/>
            <w:hideMark/>
          </w:tcPr>
          <w:p w14:paraId="340D514A" w14:textId="77777777" w:rsidR="00FD30F2" w:rsidRPr="00FD30F2" w:rsidRDefault="00FD30F2" w:rsidP="000B5D5B">
            <w:pPr>
              <w:rPr>
                <w:rFonts w:eastAsia="Times New Roman"/>
                <w:color w:val="000000"/>
                <w:sz w:val="20"/>
                <w:szCs w:val="20"/>
              </w:rPr>
            </w:pPr>
            <w:r w:rsidRPr="00FD30F2">
              <w:rPr>
                <w:rFonts w:eastAsia="Times New Roman"/>
                <w:color w:val="000000"/>
                <w:sz w:val="20"/>
                <w:szCs w:val="20"/>
              </w:rPr>
              <w:t>Studying near-misses helps with predictive accuracy of credit-risk assessment.</w:t>
            </w:r>
          </w:p>
        </w:tc>
      </w:tr>
      <w:tr w:rsidR="00FD30F2" w:rsidRPr="00FD30F2" w14:paraId="5EFFF84C" w14:textId="77777777" w:rsidTr="00A44353">
        <w:trPr>
          <w:trHeight w:val="288"/>
        </w:trPr>
        <w:tc>
          <w:tcPr>
            <w:tcW w:w="2790" w:type="dxa"/>
            <w:tcBorders>
              <w:top w:val="dashed" w:sz="4" w:space="0" w:color="auto"/>
              <w:bottom w:val="single" w:sz="12" w:space="0" w:color="auto"/>
            </w:tcBorders>
            <w:shd w:val="clear" w:color="auto" w:fill="auto"/>
            <w:noWrap/>
            <w:vAlign w:val="bottom"/>
            <w:hideMark/>
          </w:tcPr>
          <w:p w14:paraId="1ED400E3" w14:textId="18F0F1BC" w:rsidR="00FD30F2" w:rsidRPr="00FD30F2" w:rsidRDefault="00FD30F2" w:rsidP="00FD30F2">
            <w:pPr>
              <w:rPr>
                <w:rFonts w:eastAsia="Times New Roman"/>
                <w:b/>
                <w:bCs/>
                <w:color w:val="000000"/>
                <w:sz w:val="20"/>
                <w:szCs w:val="20"/>
              </w:rPr>
            </w:pPr>
            <w:r w:rsidRPr="00FD30F2">
              <w:rPr>
                <w:rFonts w:eastAsia="Times New Roman"/>
                <w:b/>
                <w:bCs/>
                <w:color w:val="000000"/>
                <w:sz w:val="20"/>
                <w:szCs w:val="20"/>
              </w:rPr>
              <w:t>Supply Chain Mgt</w:t>
            </w:r>
            <w:r w:rsidR="003A4A4A">
              <w:rPr>
                <w:rFonts w:eastAsia="Times New Roman"/>
                <w:b/>
                <w:bCs/>
                <w:color w:val="000000"/>
                <w:sz w:val="20"/>
                <w:szCs w:val="20"/>
              </w:rPr>
              <w:t>.</w:t>
            </w:r>
          </w:p>
        </w:tc>
        <w:tc>
          <w:tcPr>
            <w:tcW w:w="3690" w:type="dxa"/>
            <w:tcBorders>
              <w:top w:val="dashed" w:sz="4" w:space="0" w:color="auto"/>
              <w:bottom w:val="single" w:sz="12" w:space="0" w:color="auto"/>
            </w:tcBorders>
            <w:shd w:val="clear" w:color="auto" w:fill="auto"/>
            <w:noWrap/>
            <w:vAlign w:val="bottom"/>
            <w:hideMark/>
          </w:tcPr>
          <w:p w14:paraId="4632C654" w14:textId="77777777" w:rsidR="00FD30F2" w:rsidRPr="00FD30F2" w:rsidRDefault="00FD30F2" w:rsidP="00FD30F2">
            <w:pPr>
              <w:rPr>
                <w:rFonts w:eastAsia="Times New Roman"/>
                <w:color w:val="000000"/>
                <w:sz w:val="20"/>
                <w:szCs w:val="20"/>
              </w:rPr>
            </w:pPr>
            <w:r w:rsidRPr="00FD30F2">
              <w:rPr>
                <w:rFonts w:eastAsia="Times New Roman"/>
                <w:color w:val="000000"/>
                <w:sz w:val="20"/>
                <w:szCs w:val="20"/>
              </w:rPr>
              <w:t>See Part 2</w:t>
            </w:r>
          </w:p>
        </w:tc>
        <w:tc>
          <w:tcPr>
            <w:tcW w:w="630" w:type="dxa"/>
            <w:tcBorders>
              <w:top w:val="dashed" w:sz="4" w:space="0" w:color="auto"/>
              <w:bottom w:val="single" w:sz="12" w:space="0" w:color="auto"/>
            </w:tcBorders>
            <w:shd w:val="clear" w:color="auto" w:fill="auto"/>
            <w:noWrap/>
            <w:vAlign w:val="bottom"/>
            <w:hideMark/>
          </w:tcPr>
          <w:p w14:paraId="24EF5165" w14:textId="77777777" w:rsidR="00FD30F2" w:rsidRPr="00FD30F2" w:rsidRDefault="00FD30F2" w:rsidP="00FD30F2">
            <w:pPr>
              <w:rPr>
                <w:rFonts w:eastAsia="Times New Roman"/>
                <w:color w:val="000000"/>
                <w:sz w:val="20"/>
                <w:szCs w:val="20"/>
              </w:rPr>
            </w:pPr>
          </w:p>
        </w:tc>
        <w:tc>
          <w:tcPr>
            <w:tcW w:w="2060" w:type="dxa"/>
            <w:tcBorders>
              <w:top w:val="dashed" w:sz="4" w:space="0" w:color="auto"/>
              <w:bottom w:val="single" w:sz="12" w:space="0" w:color="auto"/>
            </w:tcBorders>
            <w:shd w:val="clear" w:color="auto" w:fill="auto"/>
            <w:noWrap/>
            <w:vAlign w:val="bottom"/>
            <w:hideMark/>
          </w:tcPr>
          <w:p w14:paraId="0C12511B" w14:textId="77777777" w:rsidR="00FD30F2" w:rsidRPr="00FD30F2" w:rsidRDefault="00FD30F2" w:rsidP="00FD30F2">
            <w:pPr>
              <w:rPr>
                <w:rFonts w:eastAsia="Times New Roman"/>
                <w:sz w:val="20"/>
                <w:szCs w:val="20"/>
              </w:rPr>
            </w:pPr>
          </w:p>
        </w:tc>
        <w:tc>
          <w:tcPr>
            <w:tcW w:w="5320" w:type="dxa"/>
            <w:tcBorders>
              <w:top w:val="dashed" w:sz="4" w:space="0" w:color="auto"/>
              <w:bottom w:val="single" w:sz="12" w:space="0" w:color="auto"/>
            </w:tcBorders>
            <w:shd w:val="clear" w:color="auto" w:fill="auto"/>
            <w:vAlign w:val="bottom"/>
            <w:hideMark/>
          </w:tcPr>
          <w:p w14:paraId="35BE423D" w14:textId="77777777" w:rsidR="00FD30F2" w:rsidRPr="00FD30F2" w:rsidRDefault="00FD30F2" w:rsidP="00FD30F2">
            <w:pPr>
              <w:rPr>
                <w:rFonts w:eastAsia="Times New Roman"/>
                <w:sz w:val="20"/>
                <w:szCs w:val="20"/>
              </w:rPr>
            </w:pPr>
          </w:p>
        </w:tc>
      </w:tr>
    </w:tbl>
    <w:p w14:paraId="5D17EF6F" w14:textId="77777777" w:rsidR="00FD30F2" w:rsidRDefault="00FD30F2" w:rsidP="002A5DA3">
      <w:pPr>
        <w:ind w:right="640"/>
      </w:pPr>
    </w:p>
    <w:p w14:paraId="5FB2C544" w14:textId="55C9C2FC" w:rsidR="002A5DA3" w:rsidRDefault="002A5DA3" w:rsidP="002A5DA3">
      <w:pPr>
        <w:ind w:right="640"/>
        <w:rPr>
          <w:color w:val="FF0000"/>
        </w:rPr>
      </w:pPr>
      <w:r>
        <w:fldChar w:fldCharType="begin">
          <w:fldData xml:space="preserve">PEVuZE5vdGU+PENpdGUgSGlkZGVuPSIxIj48QXV0aG9yPkNhcnJvbGw8L0F1dGhvcj48WWVhcj4y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</w:fldData>
        </w:fldChar>
      </w:r>
      <w:r w:rsidR="00627756" w:rsidRPr="00A44353">
        <w:instrText xml:space="preserve"> ADDIN EN.CITE </w:instrText>
      </w:r>
      <w:r w:rsidR="00627756" w:rsidRPr="00A44353">
        <w:fldChar w:fldCharType="begin">
          <w:fldData xml:space="preserve">PEVuZE5vdGU+PENpdGUgSGlkZGVuPSIxIj48QXV0aG9yPkNhcnJvbGw8L0F1dGhvcj48WWVhcj4y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</w:fldData>
        </w:fldChar>
      </w:r>
      <w:r w:rsidR="00627756" w:rsidRPr="00A44353">
        <w:instrText xml:space="preserve"> ADDIN EN.CITE.DATA </w:instrText>
      </w:r>
      <w:r w:rsidR="00627756" w:rsidRPr="00A44353">
        <w:fldChar w:fldCharType="end"/>
      </w:r>
      <w:r>
        <w:fldChar w:fldCharType="end"/>
      </w:r>
    </w:p>
    <w:p w14:paraId="6846AC06" w14:textId="77777777" w:rsidR="002A5DA3" w:rsidRPr="009177A3" w:rsidRDefault="002A5DA3" w:rsidP="002A5DA3">
      <w:pPr>
        <w:rPr>
          <w:color w:val="FFFFFF" w:themeColor="background1"/>
        </w:rPr>
      </w:pPr>
      <w:r w:rsidRPr="009177A3">
        <w:rPr>
          <w:color w:val="FFFFFF" w:themeColor="background1"/>
        </w:rPr>
        <w:br w:type="page"/>
      </w:r>
    </w:p>
    <w:p w14:paraId="5E524BF4" w14:textId="7749AC31" w:rsidR="002A5DA3" w:rsidRDefault="002A5DA3" w:rsidP="00A44353">
      <w:pPr>
        <w:ind w:right="640"/>
      </w:pPr>
      <w:r w:rsidRPr="00BC4144">
        <w:rPr>
          <w:b/>
        </w:rPr>
        <w:lastRenderedPageBreak/>
        <w:t xml:space="preserve">Table 1 </w:t>
      </w:r>
      <w:r w:rsidR="00A44353" w:rsidRPr="00BC4144">
        <w:rPr>
          <w:b/>
        </w:rPr>
        <w:t>– Part 2:</w:t>
      </w:r>
      <w:r w:rsidR="00A44353" w:rsidRPr="00BC4144">
        <w:t xml:space="preserve"> </w:t>
      </w:r>
      <w:r w:rsidRPr="00BC4144">
        <w:t xml:space="preserve">Literature on near-miss across scientific disciplines </w:t>
      </w:r>
      <w:r w:rsidR="00A44353" w:rsidRPr="00BC4144">
        <w:t>(F</w:t>
      </w:r>
      <w:r w:rsidRPr="00BC4144">
        <w:t>ocused view</w:t>
      </w:r>
      <w:r w:rsidR="00A44353" w:rsidRPr="00BC4144">
        <w:t xml:space="preserve"> - S</w:t>
      </w:r>
      <w:r w:rsidRPr="00BC4144">
        <w:t xml:space="preserve">upply </w:t>
      </w:r>
      <w:r w:rsidR="00A44353" w:rsidRPr="00BC4144">
        <w:t>chain management related fields)</w:t>
      </w:r>
    </w:p>
    <w:p w14:paraId="632F567D" w14:textId="77777777" w:rsidR="00FE2E6A" w:rsidRDefault="00FE2E6A" w:rsidP="00A44353">
      <w:pPr>
        <w:ind w:right="640"/>
      </w:pPr>
    </w:p>
    <w:tbl>
      <w:tblPr>
        <w:tblW w:w="13950" w:type="dxa"/>
        <w:tblBorders>
          <w:top w:val="single" w:sz="12" w:space="0" w:color="auto"/>
          <w:bottom w:val="single" w:sz="12" w:space="0" w:color="auto"/>
          <w:insideH w:val="dashed" w:sz="4" w:space="0" w:color="auto"/>
        </w:tblBorders>
        <w:tblLook w:val="04A0" w:firstRow="1" w:lastRow="0" w:firstColumn="1" w:lastColumn="0" w:noHBand="0" w:noVBand="1"/>
      </w:tblPr>
      <w:tblGrid>
        <w:gridCol w:w="2700"/>
        <w:gridCol w:w="6750"/>
        <w:gridCol w:w="2514"/>
        <w:gridCol w:w="1986"/>
      </w:tblGrid>
      <w:tr w:rsidR="00FE2E6A" w:rsidRPr="00FE2E6A" w14:paraId="2CFA192B" w14:textId="77777777" w:rsidTr="00F73C69">
        <w:trPr>
          <w:trHeight w:val="288"/>
        </w:trPr>
        <w:tc>
          <w:tcPr>
            <w:tcW w:w="2700" w:type="dxa"/>
            <w:tcBorders>
              <w:top w:val="single" w:sz="12" w:space="0" w:color="auto"/>
              <w:bottom w:val="single" w:sz="12" w:space="0" w:color="auto"/>
            </w:tcBorders>
            <w:shd w:val="clear" w:color="auto" w:fill="auto"/>
            <w:noWrap/>
            <w:vAlign w:val="center"/>
            <w:hideMark/>
          </w:tcPr>
          <w:p w14:paraId="1C6B4BCB"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Study</w:t>
            </w:r>
          </w:p>
        </w:tc>
        <w:tc>
          <w:tcPr>
            <w:tcW w:w="6750" w:type="dxa"/>
            <w:tcBorders>
              <w:top w:val="single" w:sz="12" w:space="0" w:color="auto"/>
              <w:bottom w:val="single" w:sz="12" w:space="0" w:color="auto"/>
            </w:tcBorders>
            <w:shd w:val="clear" w:color="auto" w:fill="auto"/>
            <w:noWrap/>
            <w:vAlign w:val="center"/>
            <w:hideMark/>
          </w:tcPr>
          <w:p w14:paraId="5B47754C"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Relevant Findings</w:t>
            </w:r>
          </w:p>
        </w:tc>
        <w:tc>
          <w:tcPr>
            <w:tcW w:w="2514" w:type="dxa"/>
            <w:tcBorders>
              <w:top w:val="single" w:sz="12" w:space="0" w:color="auto"/>
              <w:bottom w:val="single" w:sz="12" w:space="0" w:color="auto"/>
            </w:tcBorders>
            <w:shd w:val="clear" w:color="auto" w:fill="auto"/>
            <w:noWrap/>
            <w:vAlign w:val="center"/>
            <w:hideMark/>
          </w:tcPr>
          <w:p w14:paraId="5F6BDA8B"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Type of Risk</w:t>
            </w:r>
          </w:p>
        </w:tc>
        <w:tc>
          <w:tcPr>
            <w:tcW w:w="1986" w:type="dxa"/>
            <w:tcBorders>
              <w:top w:val="single" w:sz="12" w:space="0" w:color="auto"/>
              <w:bottom w:val="single" w:sz="12" w:space="0" w:color="auto"/>
            </w:tcBorders>
            <w:shd w:val="clear" w:color="auto" w:fill="auto"/>
            <w:noWrap/>
            <w:vAlign w:val="center"/>
            <w:hideMark/>
          </w:tcPr>
          <w:p w14:paraId="47AC02F4"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Industry</w:t>
            </w:r>
          </w:p>
        </w:tc>
      </w:tr>
      <w:tr w:rsidR="00FE2E6A" w:rsidRPr="00FE2E6A" w14:paraId="06029802" w14:textId="77777777" w:rsidTr="00F73C69">
        <w:trPr>
          <w:trHeight w:val="288"/>
        </w:trPr>
        <w:tc>
          <w:tcPr>
            <w:tcW w:w="2700" w:type="dxa"/>
            <w:tcBorders>
              <w:top w:val="single" w:sz="12" w:space="0" w:color="auto"/>
            </w:tcBorders>
            <w:shd w:val="clear" w:color="auto" w:fill="auto"/>
            <w:noWrap/>
            <w:vAlign w:val="center"/>
            <w:hideMark/>
          </w:tcPr>
          <w:p w14:paraId="11A447E3"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Muermann &amp; Ulku (2002)</w:t>
            </w:r>
          </w:p>
        </w:tc>
        <w:tc>
          <w:tcPr>
            <w:tcW w:w="6750" w:type="dxa"/>
            <w:tcBorders>
              <w:top w:val="single" w:sz="12" w:space="0" w:color="auto"/>
            </w:tcBorders>
            <w:shd w:val="clear" w:color="auto" w:fill="auto"/>
            <w:noWrap/>
            <w:vAlign w:val="center"/>
            <w:hideMark/>
          </w:tcPr>
          <w:p w14:paraId="66668AF5" w14:textId="51122FC6" w:rsidR="00FE2E6A" w:rsidRPr="00FE2E6A" w:rsidRDefault="00FE2E6A" w:rsidP="00F73C69">
            <w:pPr>
              <w:rPr>
                <w:rFonts w:eastAsia="Times New Roman"/>
                <w:color w:val="000000"/>
                <w:sz w:val="22"/>
                <w:szCs w:val="22"/>
              </w:rPr>
            </w:pPr>
            <w:r w:rsidRPr="00FE2E6A">
              <w:rPr>
                <w:rFonts w:eastAsia="Times New Roman"/>
                <w:color w:val="000000"/>
                <w:sz w:val="22"/>
                <w:szCs w:val="22"/>
              </w:rPr>
              <w:t xml:space="preserve">Analyzing near-misses can be a risk-reduction tool in assessing </w:t>
            </w:r>
            <w:r w:rsidR="003A4A4A" w:rsidRPr="00FE2E6A">
              <w:rPr>
                <w:rFonts w:eastAsia="Times New Roman"/>
                <w:color w:val="000000"/>
                <w:sz w:val="22"/>
                <w:szCs w:val="22"/>
              </w:rPr>
              <w:t>financial</w:t>
            </w:r>
            <w:r w:rsidRPr="00FE2E6A">
              <w:rPr>
                <w:rFonts w:eastAsia="Times New Roman"/>
                <w:color w:val="000000"/>
                <w:sz w:val="22"/>
                <w:szCs w:val="22"/>
              </w:rPr>
              <w:t xml:space="preserve"> viability of firms.</w:t>
            </w:r>
          </w:p>
        </w:tc>
        <w:tc>
          <w:tcPr>
            <w:tcW w:w="2514" w:type="dxa"/>
            <w:tcBorders>
              <w:top w:val="single" w:sz="12" w:space="0" w:color="auto"/>
            </w:tcBorders>
            <w:shd w:val="clear" w:color="auto" w:fill="auto"/>
            <w:noWrap/>
            <w:vAlign w:val="center"/>
            <w:hideMark/>
          </w:tcPr>
          <w:p w14:paraId="06EDBB63"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Operational risk</w:t>
            </w:r>
          </w:p>
        </w:tc>
        <w:tc>
          <w:tcPr>
            <w:tcW w:w="1986" w:type="dxa"/>
            <w:tcBorders>
              <w:top w:val="single" w:sz="12" w:space="0" w:color="auto"/>
            </w:tcBorders>
            <w:shd w:val="clear" w:color="auto" w:fill="auto"/>
            <w:noWrap/>
            <w:vAlign w:val="center"/>
            <w:hideMark/>
          </w:tcPr>
          <w:p w14:paraId="693A8B65"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Banking</w:t>
            </w:r>
          </w:p>
        </w:tc>
      </w:tr>
      <w:tr w:rsidR="00FE2E6A" w:rsidRPr="00FE2E6A" w14:paraId="369B826F" w14:textId="77777777" w:rsidTr="00F73C69">
        <w:trPr>
          <w:trHeight w:val="288"/>
        </w:trPr>
        <w:tc>
          <w:tcPr>
            <w:tcW w:w="2700" w:type="dxa"/>
            <w:shd w:val="clear" w:color="auto" w:fill="auto"/>
            <w:noWrap/>
            <w:vAlign w:val="center"/>
            <w:hideMark/>
          </w:tcPr>
          <w:p w14:paraId="2C8E30F0"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Phimster et al. (2003)</w:t>
            </w:r>
          </w:p>
        </w:tc>
        <w:tc>
          <w:tcPr>
            <w:tcW w:w="6750" w:type="dxa"/>
            <w:shd w:val="clear" w:color="auto" w:fill="auto"/>
            <w:noWrap/>
            <w:vAlign w:val="center"/>
            <w:hideMark/>
          </w:tcPr>
          <w:p w14:paraId="65F8211B"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An effective near-miss program emphasizes dissemination and resolution of reported cases.</w:t>
            </w:r>
          </w:p>
        </w:tc>
        <w:tc>
          <w:tcPr>
            <w:tcW w:w="2514" w:type="dxa"/>
            <w:shd w:val="clear" w:color="auto" w:fill="auto"/>
            <w:noWrap/>
            <w:vAlign w:val="center"/>
            <w:hideMark/>
          </w:tcPr>
          <w:p w14:paraId="7B1AF24E"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Production/environmental</w:t>
            </w:r>
          </w:p>
        </w:tc>
        <w:tc>
          <w:tcPr>
            <w:tcW w:w="1986" w:type="dxa"/>
            <w:shd w:val="clear" w:color="auto" w:fill="auto"/>
            <w:noWrap/>
            <w:vAlign w:val="center"/>
            <w:hideMark/>
          </w:tcPr>
          <w:p w14:paraId="53CE90F2"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Chemicals</w:t>
            </w:r>
          </w:p>
        </w:tc>
      </w:tr>
      <w:tr w:rsidR="00FE2E6A" w:rsidRPr="00FE2E6A" w14:paraId="384885DD" w14:textId="77777777" w:rsidTr="00F73C69">
        <w:trPr>
          <w:trHeight w:val="288"/>
        </w:trPr>
        <w:tc>
          <w:tcPr>
            <w:tcW w:w="2700" w:type="dxa"/>
            <w:shd w:val="clear" w:color="auto" w:fill="auto"/>
            <w:noWrap/>
            <w:vAlign w:val="center"/>
            <w:hideMark/>
          </w:tcPr>
          <w:p w14:paraId="06E7B318"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Wright &amp; vd Schaaf (2004)</w:t>
            </w:r>
          </w:p>
        </w:tc>
        <w:tc>
          <w:tcPr>
            <w:tcW w:w="6750" w:type="dxa"/>
            <w:shd w:val="clear" w:color="auto" w:fill="auto"/>
            <w:noWrap/>
            <w:vAlign w:val="center"/>
            <w:hideMark/>
          </w:tcPr>
          <w:p w14:paraId="01CE603C"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Supports to the "common cause" hypothesis; near miss and accidents have same root issues.</w:t>
            </w:r>
          </w:p>
        </w:tc>
        <w:tc>
          <w:tcPr>
            <w:tcW w:w="2514" w:type="dxa"/>
            <w:shd w:val="clear" w:color="auto" w:fill="auto"/>
            <w:noWrap/>
            <w:vAlign w:val="center"/>
            <w:hideMark/>
          </w:tcPr>
          <w:p w14:paraId="654EA055"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Safety/Production</w:t>
            </w:r>
          </w:p>
        </w:tc>
        <w:tc>
          <w:tcPr>
            <w:tcW w:w="1986" w:type="dxa"/>
            <w:shd w:val="clear" w:color="auto" w:fill="auto"/>
            <w:noWrap/>
            <w:vAlign w:val="center"/>
            <w:hideMark/>
          </w:tcPr>
          <w:p w14:paraId="1469C21D"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Transportation</w:t>
            </w:r>
          </w:p>
        </w:tc>
      </w:tr>
      <w:tr w:rsidR="00FE2E6A" w:rsidRPr="00FE2E6A" w14:paraId="0327B3F9" w14:textId="77777777" w:rsidTr="00F73C69">
        <w:trPr>
          <w:trHeight w:val="288"/>
        </w:trPr>
        <w:tc>
          <w:tcPr>
            <w:tcW w:w="2700" w:type="dxa"/>
            <w:tcBorders>
              <w:bottom w:val="single" w:sz="6" w:space="0" w:color="auto"/>
            </w:tcBorders>
            <w:shd w:val="clear" w:color="auto" w:fill="auto"/>
            <w:noWrap/>
            <w:vAlign w:val="center"/>
            <w:hideMark/>
          </w:tcPr>
          <w:p w14:paraId="51443305"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Peck (2005)</w:t>
            </w:r>
          </w:p>
        </w:tc>
        <w:tc>
          <w:tcPr>
            <w:tcW w:w="6750" w:type="dxa"/>
            <w:tcBorders>
              <w:bottom w:val="single" w:sz="6" w:space="0" w:color="auto"/>
            </w:tcBorders>
            <w:shd w:val="clear" w:color="auto" w:fill="auto"/>
            <w:noWrap/>
            <w:vAlign w:val="center"/>
            <w:hideMark/>
          </w:tcPr>
          <w:p w14:paraId="40662873"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Explains how near-miss events can help highlight previously unrecognized risks.</w:t>
            </w:r>
          </w:p>
        </w:tc>
        <w:tc>
          <w:tcPr>
            <w:tcW w:w="2514" w:type="dxa"/>
            <w:tcBorders>
              <w:bottom w:val="single" w:sz="6" w:space="0" w:color="auto"/>
            </w:tcBorders>
            <w:shd w:val="clear" w:color="auto" w:fill="auto"/>
            <w:noWrap/>
            <w:vAlign w:val="center"/>
            <w:hideMark/>
          </w:tcPr>
          <w:p w14:paraId="2A2A9141"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Operational (Conceptual)</w:t>
            </w:r>
          </w:p>
        </w:tc>
        <w:tc>
          <w:tcPr>
            <w:tcW w:w="1986" w:type="dxa"/>
            <w:tcBorders>
              <w:bottom w:val="single" w:sz="6" w:space="0" w:color="auto"/>
            </w:tcBorders>
            <w:shd w:val="clear" w:color="auto" w:fill="auto"/>
            <w:noWrap/>
            <w:vAlign w:val="center"/>
            <w:hideMark/>
          </w:tcPr>
          <w:p w14:paraId="3E133D69" w14:textId="77777777" w:rsidR="00FE2E6A" w:rsidRPr="00FE2E6A" w:rsidRDefault="00FE2E6A" w:rsidP="00F73C69">
            <w:pPr>
              <w:rPr>
                <w:rFonts w:eastAsia="Times New Roman"/>
                <w:color w:val="000000"/>
                <w:sz w:val="22"/>
                <w:szCs w:val="22"/>
              </w:rPr>
            </w:pPr>
          </w:p>
        </w:tc>
      </w:tr>
      <w:tr w:rsidR="00FE2E6A" w:rsidRPr="00FE2E6A" w14:paraId="7069657C" w14:textId="77777777" w:rsidTr="00F73C69">
        <w:trPr>
          <w:trHeight w:val="288"/>
        </w:trPr>
        <w:tc>
          <w:tcPr>
            <w:tcW w:w="2700" w:type="dxa"/>
            <w:tcBorders>
              <w:top w:val="single" w:sz="6" w:space="0" w:color="auto"/>
              <w:bottom w:val="dashed" w:sz="4" w:space="0" w:color="auto"/>
            </w:tcBorders>
            <w:shd w:val="clear" w:color="auto" w:fill="auto"/>
            <w:noWrap/>
            <w:vAlign w:val="center"/>
            <w:hideMark/>
          </w:tcPr>
          <w:p w14:paraId="25300E3B"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Handfield et al. (2007)</w:t>
            </w:r>
          </w:p>
        </w:tc>
        <w:tc>
          <w:tcPr>
            <w:tcW w:w="6750" w:type="dxa"/>
            <w:tcBorders>
              <w:top w:val="single" w:sz="6" w:space="0" w:color="auto"/>
              <w:bottom w:val="dashed" w:sz="4" w:space="0" w:color="auto"/>
            </w:tcBorders>
            <w:shd w:val="clear" w:color="auto" w:fill="auto"/>
            <w:noWrap/>
            <w:vAlign w:val="center"/>
            <w:hideMark/>
          </w:tcPr>
          <w:p w14:paraId="3F9EBECF"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Companies are more willing to invest in supply chain redesign post near-miss events.</w:t>
            </w:r>
          </w:p>
        </w:tc>
        <w:tc>
          <w:tcPr>
            <w:tcW w:w="2514" w:type="dxa"/>
            <w:tcBorders>
              <w:top w:val="single" w:sz="6" w:space="0" w:color="auto"/>
              <w:bottom w:val="dashed" w:sz="4" w:space="0" w:color="auto"/>
            </w:tcBorders>
            <w:shd w:val="clear" w:color="auto" w:fill="auto"/>
            <w:noWrap/>
            <w:vAlign w:val="center"/>
            <w:hideMark/>
          </w:tcPr>
          <w:p w14:paraId="480ADFB8"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Operational Risk</w:t>
            </w:r>
          </w:p>
        </w:tc>
        <w:tc>
          <w:tcPr>
            <w:tcW w:w="1986" w:type="dxa"/>
            <w:tcBorders>
              <w:top w:val="single" w:sz="6" w:space="0" w:color="auto"/>
              <w:bottom w:val="dashed" w:sz="4" w:space="0" w:color="auto"/>
            </w:tcBorders>
            <w:shd w:val="clear" w:color="auto" w:fill="auto"/>
            <w:noWrap/>
            <w:vAlign w:val="center"/>
            <w:hideMark/>
          </w:tcPr>
          <w:p w14:paraId="64356B7C"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Multiple Industries</w:t>
            </w:r>
          </w:p>
        </w:tc>
      </w:tr>
      <w:tr w:rsidR="00FE2E6A" w:rsidRPr="00FE2E6A" w14:paraId="707667E3" w14:textId="77777777" w:rsidTr="00F73C69">
        <w:trPr>
          <w:trHeight w:val="288"/>
        </w:trPr>
        <w:tc>
          <w:tcPr>
            <w:tcW w:w="2700" w:type="dxa"/>
            <w:tcBorders>
              <w:top w:val="dashed" w:sz="4" w:space="0" w:color="auto"/>
            </w:tcBorders>
            <w:shd w:val="clear" w:color="auto" w:fill="auto"/>
            <w:noWrap/>
            <w:vAlign w:val="center"/>
            <w:hideMark/>
          </w:tcPr>
          <w:p w14:paraId="16674667"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Kim &amp; Miner (2007)</w:t>
            </w:r>
          </w:p>
        </w:tc>
        <w:tc>
          <w:tcPr>
            <w:tcW w:w="6750" w:type="dxa"/>
            <w:tcBorders>
              <w:top w:val="dashed" w:sz="4" w:space="0" w:color="auto"/>
            </w:tcBorders>
            <w:shd w:val="clear" w:color="auto" w:fill="auto"/>
            <w:noWrap/>
            <w:vAlign w:val="center"/>
            <w:hideMark/>
          </w:tcPr>
          <w:p w14:paraId="130496BE"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Learning from near-misses in banking improves performance.</w:t>
            </w:r>
          </w:p>
        </w:tc>
        <w:tc>
          <w:tcPr>
            <w:tcW w:w="2514" w:type="dxa"/>
            <w:tcBorders>
              <w:top w:val="dashed" w:sz="4" w:space="0" w:color="auto"/>
            </w:tcBorders>
            <w:shd w:val="clear" w:color="auto" w:fill="auto"/>
            <w:noWrap/>
            <w:vAlign w:val="center"/>
            <w:hideMark/>
          </w:tcPr>
          <w:p w14:paraId="3217A8C7"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Bank Failures</w:t>
            </w:r>
          </w:p>
        </w:tc>
        <w:tc>
          <w:tcPr>
            <w:tcW w:w="1986" w:type="dxa"/>
            <w:tcBorders>
              <w:top w:val="dashed" w:sz="4" w:space="0" w:color="auto"/>
            </w:tcBorders>
            <w:shd w:val="clear" w:color="auto" w:fill="auto"/>
            <w:noWrap/>
            <w:vAlign w:val="center"/>
            <w:hideMark/>
          </w:tcPr>
          <w:p w14:paraId="50B2A525"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Financial markets</w:t>
            </w:r>
          </w:p>
        </w:tc>
      </w:tr>
      <w:tr w:rsidR="00FE2E6A" w:rsidRPr="00FE2E6A" w14:paraId="486287E0" w14:textId="77777777" w:rsidTr="00F73C69">
        <w:trPr>
          <w:trHeight w:val="288"/>
        </w:trPr>
        <w:tc>
          <w:tcPr>
            <w:tcW w:w="2700" w:type="dxa"/>
            <w:shd w:val="clear" w:color="auto" w:fill="auto"/>
            <w:noWrap/>
            <w:vAlign w:val="center"/>
            <w:hideMark/>
          </w:tcPr>
          <w:p w14:paraId="097C5B71"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Pettit et al. (2010)</w:t>
            </w:r>
          </w:p>
        </w:tc>
        <w:tc>
          <w:tcPr>
            <w:tcW w:w="6750" w:type="dxa"/>
            <w:shd w:val="clear" w:color="auto" w:fill="auto"/>
            <w:noWrap/>
            <w:vAlign w:val="center"/>
            <w:hideMark/>
          </w:tcPr>
          <w:p w14:paraId="02CCA7CA"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Near-miss analysis is a form of adaptive resilience capability.</w:t>
            </w:r>
          </w:p>
        </w:tc>
        <w:tc>
          <w:tcPr>
            <w:tcW w:w="2514" w:type="dxa"/>
            <w:shd w:val="clear" w:color="auto" w:fill="auto"/>
            <w:noWrap/>
            <w:vAlign w:val="center"/>
            <w:hideMark/>
          </w:tcPr>
          <w:p w14:paraId="004DAA88"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Operational risk</w:t>
            </w:r>
          </w:p>
        </w:tc>
        <w:tc>
          <w:tcPr>
            <w:tcW w:w="1986" w:type="dxa"/>
            <w:shd w:val="clear" w:color="auto" w:fill="auto"/>
            <w:noWrap/>
            <w:vAlign w:val="center"/>
            <w:hideMark/>
          </w:tcPr>
          <w:p w14:paraId="3E93D516"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Multiple Industries</w:t>
            </w:r>
          </w:p>
        </w:tc>
      </w:tr>
      <w:tr w:rsidR="00FE2E6A" w:rsidRPr="00FE2E6A" w14:paraId="0AEF90E4" w14:textId="77777777" w:rsidTr="00F73C69">
        <w:trPr>
          <w:trHeight w:val="288"/>
        </w:trPr>
        <w:tc>
          <w:tcPr>
            <w:tcW w:w="2700" w:type="dxa"/>
            <w:tcBorders>
              <w:bottom w:val="dashed" w:sz="4" w:space="0" w:color="auto"/>
            </w:tcBorders>
            <w:shd w:val="clear" w:color="auto" w:fill="auto"/>
            <w:noWrap/>
            <w:vAlign w:val="center"/>
            <w:hideMark/>
          </w:tcPr>
          <w:p w14:paraId="0703729F"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Tinsley et al. (2011)</w:t>
            </w:r>
          </w:p>
        </w:tc>
        <w:tc>
          <w:tcPr>
            <w:tcW w:w="6750" w:type="dxa"/>
            <w:tcBorders>
              <w:bottom w:val="dashed" w:sz="4" w:space="0" w:color="auto"/>
            </w:tcBorders>
            <w:shd w:val="clear" w:color="auto" w:fill="auto"/>
            <w:noWrap/>
            <w:vAlign w:val="center"/>
            <w:hideMark/>
          </w:tcPr>
          <w:p w14:paraId="2A50F3DD"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Offers anecdotal cases on how attention to near misses can predict and prevent crises.</w:t>
            </w:r>
          </w:p>
        </w:tc>
        <w:tc>
          <w:tcPr>
            <w:tcW w:w="2514" w:type="dxa"/>
            <w:tcBorders>
              <w:bottom w:val="dashed" w:sz="4" w:space="0" w:color="auto"/>
            </w:tcBorders>
            <w:shd w:val="clear" w:color="auto" w:fill="auto"/>
            <w:noWrap/>
            <w:vAlign w:val="center"/>
            <w:hideMark/>
          </w:tcPr>
          <w:p w14:paraId="7EA81E4D"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Operational risk</w:t>
            </w:r>
          </w:p>
        </w:tc>
        <w:tc>
          <w:tcPr>
            <w:tcW w:w="1986" w:type="dxa"/>
            <w:tcBorders>
              <w:bottom w:val="dashed" w:sz="4" w:space="0" w:color="auto"/>
            </w:tcBorders>
            <w:shd w:val="clear" w:color="auto" w:fill="auto"/>
            <w:noWrap/>
            <w:vAlign w:val="center"/>
            <w:hideMark/>
          </w:tcPr>
          <w:p w14:paraId="129F78F2"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Multiple Industries</w:t>
            </w:r>
          </w:p>
        </w:tc>
      </w:tr>
      <w:tr w:rsidR="00FE2E6A" w:rsidRPr="00FE2E6A" w14:paraId="6C665EB6" w14:textId="77777777" w:rsidTr="00F73C69">
        <w:trPr>
          <w:trHeight w:val="288"/>
        </w:trPr>
        <w:tc>
          <w:tcPr>
            <w:tcW w:w="2700" w:type="dxa"/>
            <w:tcBorders>
              <w:top w:val="dashed" w:sz="4" w:space="0" w:color="auto"/>
              <w:bottom w:val="single" w:sz="6" w:space="0" w:color="auto"/>
            </w:tcBorders>
            <w:shd w:val="clear" w:color="auto" w:fill="auto"/>
            <w:noWrap/>
            <w:vAlign w:val="center"/>
            <w:hideMark/>
          </w:tcPr>
          <w:p w14:paraId="23963E6A"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Dillon et al. (2011)</w:t>
            </w:r>
          </w:p>
        </w:tc>
        <w:tc>
          <w:tcPr>
            <w:tcW w:w="6750" w:type="dxa"/>
            <w:tcBorders>
              <w:top w:val="dashed" w:sz="4" w:space="0" w:color="auto"/>
              <w:bottom w:val="single" w:sz="6" w:space="0" w:color="auto"/>
            </w:tcBorders>
            <w:shd w:val="clear" w:color="auto" w:fill="auto"/>
            <w:noWrap/>
            <w:vAlign w:val="center"/>
            <w:hideMark/>
          </w:tcPr>
          <w:p w14:paraId="55E53C34"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Near-miss experience with hurricanes leads to over-confidence.</w:t>
            </w:r>
          </w:p>
        </w:tc>
        <w:tc>
          <w:tcPr>
            <w:tcW w:w="2514" w:type="dxa"/>
            <w:tcBorders>
              <w:top w:val="dashed" w:sz="4" w:space="0" w:color="auto"/>
              <w:bottom w:val="single" w:sz="6" w:space="0" w:color="auto"/>
            </w:tcBorders>
            <w:shd w:val="clear" w:color="auto" w:fill="auto"/>
            <w:noWrap/>
            <w:vAlign w:val="center"/>
            <w:hideMark/>
          </w:tcPr>
          <w:p w14:paraId="56436C9C"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Natural Disasters</w:t>
            </w:r>
          </w:p>
        </w:tc>
        <w:tc>
          <w:tcPr>
            <w:tcW w:w="1986" w:type="dxa"/>
            <w:tcBorders>
              <w:top w:val="dashed" w:sz="4" w:space="0" w:color="auto"/>
              <w:bottom w:val="single" w:sz="6" w:space="0" w:color="auto"/>
            </w:tcBorders>
            <w:shd w:val="clear" w:color="auto" w:fill="auto"/>
            <w:noWrap/>
            <w:vAlign w:val="center"/>
            <w:hideMark/>
          </w:tcPr>
          <w:p w14:paraId="73AA6EB7"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Housing</w:t>
            </w:r>
          </w:p>
        </w:tc>
      </w:tr>
      <w:tr w:rsidR="00FE2E6A" w:rsidRPr="00FE2E6A" w14:paraId="7DF1F9EA" w14:textId="77777777" w:rsidTr="00F73C69">
        <w:trPr>
          <w:trHeight w:val="288"/>
        </w:trPr>
        <w:tc>
          <w:tcPr>
            <w:tcW w:w="2700" w:type="dxa"/>
            <w:tcBorders>
              <w:top w:val="single" w:sz="6" w:space="0" w:color="auto"/>
            </w:tcBorders>
            <w:shd w:val="clear" w:color="auto" w:fill="auto"/>
            <w:noWrap/>
            <w:vAlign w:val="center"/>
            <w:hideMark/>
          </w:tcPr>
          <w:p w14:paraId="2E4C4C40"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Kleindorfer et al. (2012)</w:t>
            </w:r>
          </w:p>
        </w:tc>
        <w:tc>
          <w:tcPr>
            <w:tcW w:w="6750" w:type="dxa"/>
            <w:tcBorders>
              <w:top w:val="single" w:sz="6" w:space="0" w:color="auto"/>
            </w:tcBorders>
            <w:shd w:val="clear" w:color="auto" w:fill="auto"/>
            <w:noWrap/>
            <w:vAlign w:val="center"/>
            <w:hideMark/>
          </w:tcPr>
          <w:p w14:paraId="40160EE3"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Details near-miss management system and justifies how it can improve profitability.</w:t>
            </w:r>
          </w:p>
        </w:tc>
        <w:tc>
          <w:tcPr>
            <w:tcW w:w="2514" w:type="dxa"/>
            <w:tcBorders>
              <w:top w:val="single" w:sz="6" w:space="0" w:color="auto"/>
            </w:tcBorders>
            <w:shd w:val="clear" w:color="auto" w:fill="auto"/>
            <w:noWrap/>
            <w:vAlign w:val="center"/>
            <w:hideMark/>
          </w:tcPr>
          <w:p w14:paraId="2945F9ED"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Process Safety</w:t>
            </w:r>
          </w:p>
        </w:tc>
        <w:tc>
          <w:tcPr>
            <w:tcW w:w="1986" w:type="dxa"/>
            <w:tcBorders>
              <w:top w:val="single" w:sz="6" w:space="0" w:color="auto"/>
            </w:tcBorders>
            <w:shd w:val="clear" w:color="auto" w:fill="auto"/>
            <w:noWrap/>
            <w:vAlign w:val="center"/>
            <w:hideMark/>
          </w:tcPr>
          <w:p w14:paraId="7C91BC4E"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Multiple Industries</w:t>
            </w:r>
          </w:p>
        </w:tc>
      </w:tr>
      <w:tr w:rsidR="00FE2E6A" w:rsidRPr="00FE2E6A" w14:paraId="78F5433D" w14:textId="77777777" w:rsidTr="00F73C69">
        <w:trPr>
          <w:trHeight w:val="288"/>
        </w:trPr>
        <w:tc>
          <w:tcPr>
            <w:tcW w:w="2700" w:type="dxa"/>
            <w:tcBorders>
              <w:bottom w:val="dashed" w:sz="4" w:space="0" w:color="auto"/>
            </w:tcBorders>
            <w:shd w:val="clear" w:color="auto" w:fill="auto"/>
            <w:noWrap/>
            <w:vAlign w:val="center"/>
            <w:hideMark/>
          </w:tcPr>
          <w:p w14:paraId="470D7055"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Williamsen (2013)</w:t>
            </w:r>
          </w:p>
        </w:tc>
        <w:tc>
          <w:tcPr>
            <w:tcW w:w="6750" w:type="dxa"/>
            <w:tcBorders>
              <w:bottom w:val="dashed" w:sz="4" w:space="0" w:color="auto"/>
            </w:tcBorders>
            <w:shd w:val="clear" w:color="auto" w:fill="auto"/>
            <w:noWrap/>
            <w:vAlign w:val="center"/>
            <w:hideMark/>
          </w:tcPr>
          <w:p w14:paraId="699B3D20"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Offers explanations as to why near miss reporting is missing in many organizations.</w:t>
            </w:r>
          </w:p>
        </w:tc>
        <w:tc>
          <w:tcPr>
            <w:tcW w:w="2514" w:type="dxa"/>
            <w:tcBorders>
              <w:bottom w:val="dashed" w:sz="4" w:space="0" w:color="auto"/>
            </w:tcBorders>
            <w:shd w:val="clear" w:color="auto" w:fill="auto"/>
            <w:noWrap/>
            <w:vAlign w:val="center"/>
            <w:hideMark/>
          </w:tcPr>
          <w:p w14:paraId="0384E313"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Worker Safety</w:t>
            </w:r>
          </w:p>
        </w:tc>
        <w:tc>
          <w:tcPr>
            <w:tcW w:w="1986" w:type="dxa"/>
            <w:tcBorders>
              <w:bottom w:val="dashed" w:sz="4" w:space="0" w:color="auto"/>
            </w:tcBorders>
            <w:shd w:val="clear" w:color="auto" w:fill="auto"/>
            <w:noWrap/>
            <w:vAlign w:val="center"/>
            <w:hideMark/>
          </w:tcPr>
          <w:p w14:paraId="1C07F957"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Multiple Industries</w:t>
            </w:r>
          </w:p>
        </w:tc>
      </w:tr>
      <w:tr w:rsidR="00FE2E6A" w:rsidRPr="00FE2E6A" w14:paraId="7D755243" w14:textId="77777777" w:rsidTr="00F73C69">
        <w:trPr>
          <w:trHeight w:val="288"/>
        </w:trPr>
        <w:tc>
          <w:tcPr>
            <w:tcW w:w="2700" w:type="dxa"/>
            <w:tcBorders>
              <w:top w:val="dashed" w:sz="4" w:space="0" w:color="auto"/>
              <w:bottom w:val="single" w:sz="6" w:space="0" w:color="auto"/>
            </w:tcBorders>
            <w:shd w:val="clear" w:color="auto" w:fill="auto"/>
            <w:noWrap/>
            <w:vAlign w:val="center"/>
            <w:hideMark/>
          </w:tcPr>
          <w:p w14:paraId="742163AF"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Dillon et al. (2014)</w:t>
            </w:r>
          </w:p>
        </w:tc>
        <w:tc>
          <w:tcPr>
            <w:tcW w:w="6750" w:type="dxa"/>
            <w:tcBorders>
              <w:top w:val="dashed" w:sz="4" w:space="0" w:color="auto"/>
              <w:bottom w:val="single" w:sz="6" w:space="0" w:color="auto"/>
            </w:tcBorders>
            <w:shd w:val="clear" w:color="auto" w:fill="auto"/>
            <w:noWrap/>
            <w:vAlign w:val="center"/>
            <w:hideMark/>
          </w:tcPr>
          <w:p w14:paraId="3FFA1966"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Near-miss reporting is contingent on a positive safety climate</w:t>
            </w:r>
          </w:p>
        </w:tc>
        <w:tc>
          <w:tcPr>
            <w:tcW w:w="2514" w:type="dxa"/>
            <w:tcBorders>
              <w:top w:val="dashed" w:sz="4" w:space="0" w:color="auto"/>
              <w:bottom w:val="single" w:sz="6" w:space="0" w:color="auto"/>
            </w:tcBorders>
            <w:shd w:val="clear" w:color="auto" w:fill="auto"/>
            <w:noWrap/>
            <w:vAlign w:val="center"/>
            <w:hideMark/>
          </w:tcPr>
          <w:p w14:paraId="78AD3C63"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Natural Disasters</w:t>
            </w:r>
          </w:p>
        </w:tc>
        <w:tc>
          <w:tcPr>
            <w:tcW w:w="1986" w:type="dxa"/>
            <w:tcBorders>
              <w:top w:val="dashed" w:sz="4" w:space="0" w:color="auto"/>
              <w:bottom w:val="single" w:sz="6" w:space="0" w:color="auto"/>
            </w:tcBorders>
            <w:shd w:val="clear" w:color="auto" w:fill="auto"/>
            <w:noWrap/>
            <w:vAlign w:val="center"/>
            <w:hideMark/>
          </w:tcPr>
          <w:p w14:paraId="28F2961B"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Housing</w:t>
            </w:r>
          </w:p>
        </w:tc>
      </w:tr>
      <w:tr w:rsidR="00FE2E6A" w:rsidRPr="00FE2E6A" w14:paraId="02F71BE0" w14:textId="77777777" w:rsidTr="00F73C69">
        <w:trPr>
          <w:trHeight w:val="288"/>
        </w:trPr>
        <w:tc>
          <w:tcPr>
            <w:tcW w:w="2700" w:type="dxa"/>
            <w:tcBorders>
              <w:top w:val="single" w:sz="6" w:space="0" w:color="auto"/>
            </w:tcBorders>
            <w:shd w:val="clear" w:color="auto" w:fill="auto"/>
            <w:noWrap/>
            <w:vAlign w:val="center"/>
            <w:hideMark/>
          </w:tcPr>
          <w:p w14:paraId="18E1C6FC"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Andriulo &amp; Gnoni (2014)</w:t>
            </w:r>
          </w:p>
        </w:tc>
        <w:tc>
          <w:tcPr>
            <w:tcW w:w="6750" w:type="dxa"/>
            <w:tcBorders>
              <w:top w:val="single" w:sz="6" w:space="0" w:color="auto"/>
            </w:tcBorders>
            <w:shd w:val="clear" w:color="auto" w:fill="auto"/>
            <w:noWrap/>
            <w:vAlign w:val="center"/>
            <w:hideMark/>
          </w:tcPr>
          <w:p w14:paraId="289B61BA"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Areas with higher error rate have lower tendency to report near miss events.</w:t>
            </w:r>
          </w:p>
        </w:tc>
        <w:tc>
          <w:tcPr>
            <w:tcW w:w="2514" w:type="dxa"/>
            <w:tcBorders>
              <w:top w:val="single" w:sz="6" w:space="0" w:color="auto"/>
            </w:tcBorders>
            <w:shd w:val="clear" w:color="auto" w:fill="auto"/>
            <w:noWrap/>
            <w:vAlign w:val="center"/>
            <w:hideMark/>
          </w:tcPr>
          <w:p w14:paraId="6C00EE8A"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Worker Safety</w:t>
            </w:r>
          </w:p>
        </w:tc>
        <w:tc>
          <w:tcPr>
            <w:tcW w:w="1986" w:type="dxa"/>
            <w:tcBorders>
              <w:top w:val="single" w:sz="6" w:space="0" w:color="auto"/>
            </w:tcBorders>
            <w:shd w:val="clear" w:color="auto" w:fill="auto"/>
            <w:noWrap/>
            <w:vAlign w:val="center"/>
            <w:hideMark/>
          </w:tcPr>
          <w:p w14:paraId="7ACC1964"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Auto Industry</w:t>
            </w:r>
          </w:p>
        </w:tc>
      </w:tr>
      <w:tr w:rsidR="00FE2E6A" w:rsidRPr="00FE2E6A" w14:paraId="4B98F4E0" w14:textId="77777777" w:rsidTr="00F73C69">
        <w:trPr>
          <w:trHeight w:val="288"/>
        </w:trPr>
        <w:tc>
          <w:tcPr>
            <w:tcW w:w="2700" w:type="dxa"/>
            <w:shd w:val="clear" w:color="auto" w:fill="auto"/>
            <w:noWrap/>
            <w:vAlign w:val="center"/>
            <w:hideMark/>
          </w:tcPr>
          <w:p w14:paraId="5CF50E4E"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Sheffi (2015)</w:t>
            </w:r>
          </w:p>
        </w:tc>
        <w:tc>
          <w:tcPr>
            <w:tcW w:w="6750" w:type="dxa"/>
            <w:shd w:val="clear" w:color="auto" w:fill="auto"/>
            <w:noWrap/>
            <w:vAlign w:val="center"/>
            <w:hideMark/>
          </w:tcPr>
          <w:p w14:paraId="4032AD71"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Offers anecdotal examples of how companies use near-miss to improve performance.</w:t>
            </w:r>
          </w:p>
        </w:tc>
        <w:tc>
          <w:tcPr>
            <w:tcW w:w="2514" w:type="dxa"/>
            <w:shd w:val="clear" w:color="auto" w:fill="auto"/>
            <w:noWrap/>
            <w:vAlign w:val="center"/>
            <w:hideMark/>
          </w:tcPr>
          <w:p w14:paraId="73349021"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Operational risk</w:t>
            </w:r>
          </w:p>
        </w:tc>
        <w:tc>
          <w:tcPr>
            <w:tcW w:w="1986" w:type="dxa"/>
            <w:shd w:val="clear" w:color="auto" w:fill="auto"/>
            <w:noWrap/>
            <w:vAlign w:val="center"/>
            <w:hideMark/>
          </w:tcPr>
          <w:p w14:paraId="428A3826"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Multiple Industries</w:t>
            </w:r>
          </w:p>
        </w:tc>
      </w:tr>
      <w:tr w:rsidR="00FE2E6A" w:rsidRPr="00FE2E6A" w14:paraId="4C19FD3D" w14:textId="77777777" w:rsidTr="00F73C69">
        <w:trPr>
          <w:trHeight w:val="288"/>
        </w:trPr>
        <w:tc>
          <w:tcPr>
            <w:tcW w:w="2700" w:type="dxa"/>
            <w:shd w:val="clear" w:color="auto" w:fill="auto"/>
            <w:noWrap/>
            <w:vAlign w:val="center"/>
            <w:hideMark/>
          </w:tcPr>
          <w:p w14:paraId="45F724DE"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Habermann et al. (2015)</w:t>
            </w:r>
          </w:p>
        </w:tc>
        <w:tc>
          <w:tcPr>
            <w:tcW w:w="6750" w:type="dxa"/>
            <w:shd w:val="clear" w:color="auto" w:fill="auto"/>
            <w:noWrap/>
            <w:vAlign w:val="center"/>
            <w:hideMark/>
          </w:tcPr>
          <w:p w14:paraId="354E3D47"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Near-misses (</w:t>
            </w:r>
            <w:r w:rsidRPr="00FE2E6A">
              <w:rPr>
                <w:rFonts w:eastAsia="Times New Roman"/>
                <w:i/>
                <w:iCs/>
                <w:color w:val="000000"/>
                <w:sz w:val="22"/>
                <w:szCs w:val="22"/>
              </w:rPr>
              <w:t>Close calls</w:t>
            </w:r>
            <w:r w:rsidRPr="00FE2E6A">
              <w:rPr>
                <w:rFonts w:eastAsia="Times New Roman"/>
                <w:color w:val="000000"/>
                <w:sz w:val="22"/>
                <w:szCs w:val="22"/>
              </w:rPr>
              <w:t>) are one form of disruption risk.</w:t>
            </w:r>
          </w:p>
        </w:tc>
        <w:tc>
          <w:tcPr>
            <w:tcW w:w="2514" w:type="dxa"/>
            <w:shd w:val="clear" w:color="auto" w:fill="auto"/>
            <w:noWrap/>
            <w:vAlign w:val="center"/>
            <w:hideMark/>
          </w:tcPr>
          <w:p w14:paraId="1591A476"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Operational risk</w:t>
            </w:r>
          </w:p>
        </w:tc>
        <w:tc>
          <w:tcPr>
            <w:tcW w:w="1986" w:type="dxa"/>
            <w:shd w:val="clear" w:color="auto" w:fill="auto"/>
            <w:noWrap/>
            <w:vAlign w:val="center"/>
            <w:hideMark/>
          </w:tcPr>
          <w:p w14:paraId="0F5F0A47"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Multiple Industries</w:t>
            </w:r>
          </w:p>
        </w:tc>
      </w:tr>
      <w:tr w:rsidR="00FE2E6A" w:rsidRPr="00FE2E6A" w14:paraId="538B1FDF" w14:textId="77777777" w:rsidTr="00F73C69">
        <w:trPr>
          <w:trHeight w:val="288"/>
        </w:trPr>
        <w:tc>
          <w:tcPr>
            <w:tcW w:w="2700" w:type="dxa"/>
            <w:shd w:val="clear" w:color="auto" w:fill="auto"/>
            <w:noWrap/>
            <w:vAlign w:val="center"/>
            <w:hideMark/>
          </w:tcPr>
          <w:p w14:paraId="1C14F6E3"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Mellat-Parast et al. (2015)</w:t>
            </w:r>
          </w:p>
        </w:tc>
        <w:tc>
          <w:tcPr>
            <w:tcW w:w="6750" w:type="dxa"/>
            <w:shd w:val="clear" w:color="auto" w:fill="auto"/>
            <w:noWrap/>
            <w:vAlign w:val="center"/>
            <w:hideMark/>
          </w:tcPr>
          <w:p w14:paraId="6B502141"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How airlines address minor service failures depends on their strategy.</w:t>
            </w:r>
          </w:p>
        </w:tc>
        <w:tc>
          <w:tcPr>
            <w:tcW w:w="2514" w:type="dxa"/>
            <w:shd w:val="clear" w:color="auto" w:fill="auto"/>
            <w:noWrap/>
            <w:vAlign w:val="center"/>
            <w:hideMark/>
          </w:tcPr>
          <w:p w14:paraId="7C189CB1"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Operational risk</w:t>
            </w:r>
          </w:p>
        </w:tc>
        <w:tc>
          <w:tcPr>
            <w:tcW w:w="1986" w:type="dxa"/>
            <w:shd w:val="clear" w:color="auto" w:fill="auto"/>
            <w:noWrap/>
            <w:vAlign w:val="center"/>
            <w:hideMark/>
          </w:tcPr>
          <w:p w14:paraId="574029A9" w14:textId="77777777" w:rsidR="00FE2E6A" w:rsidRPr="00FE2E6A" w:rsidRDefault="00FE2E6A" w:rsidP="00F73C69">
            <w:pPr>
              <w:rPr>
                <w:rFonts w:eastAsia="Times New Roman"/>
                <w:color w:val="000000"/>
                <w:sz w:val="22"/>
                <w:szCs w:val="22"/>
              </w:rPr>
            </w:pPr>
            <w:r w:rsidRPr="00FE2E6A">
              <w:rPr>
                <w:rFonts w:eastAsia="Times New Roman"/>
                <w:color w:val="000000"/>
                <w:sz w:val="22"/>
                <w:szCs w:val="22"/>
              </w:rPr>
              <w:t>Airlines</w:t>
            </w:r>
          </w:p>
        </w:tc>
      </w:tr>
    </w:tbl>
    <w:p w14:paraId="2B353391" w14:textId="77777777" w:rsidR="007F7229" w:rsidRDefault="007F7229" w:rsidP="002A5DA3"/>
    <w:p w14:paraId="42544743" w14:textId="77777777" w:rsidR="002A5DA3" w:rsidRDefault="002A5DA3" w:rsidP="002A5DA3">
      <w:pPr>
        <w:rPr>
          <w:b/>
          <w:sz w:val="22"/>
        </w:rPr>
      </w:pPr>
      <w:r>
        <w:rPr>
          <w:b/>
          <w:sz w:val="22"/>
        </w:rPr>
        <w:br w:type="page"/>
      </w:r>
    </w:p>
    <w:p w14:paraId="363E9D46" w14:textId="77777777" w:rsidR="002A5DA3" w:rsidRDefault="002A5DA3" w:rsidP="002A5DA3">
      <w:pPr>
        <w:rPr>
          <w:sz w:val="22"/>
        </w:rPr>
      </w:pPr>
      <w:r>
        <w:rPr>
          <w:b/>
          <w:sz w:val="22"/>
        </w:rPr>
        <w:lastRenderedPageBreak/>
        <w:t xml:space="preserve">Table 2: </w:t>
      </w:r>
      <w:r w:rsidRPr="00A02D50">
        <w:rPr>
          <w:sz w:val="22"/>
        </w:rPr>
        <w:t>Correlation matrix</w:t>
      </w:r>
    </w:p>
    <w:p w14:paraId="5483758A" w14:textId="77777777" w:rsidR="0027615E" w:rsidRPr="00977BDA" w:rsidRDefault="0027615E" w:rsidP="0027615E">
      <w:pPr>
        <w:rPr>
          <w:sz w:val="22"/>
        </w:rPr>
      </w:pPr>
    </w:p>
    <w:tbl>
      <w:tblPr>
        <w:tblW w:w="13684" w:type="dxa"/>
        <w:tblInd w:w="108" w:type="dxa"/>
        <w:tblBorders>
          <w:top w:val="single" w:sz="12" w:space="0" w:color="auto"/>
          <w:bottom w:val="single" w:sz="12" w:space="0" w:color="auto"/>
        </w:tblBorders>
        <w:tblLook w:val="04A0" w:firstRow="1" w:lastRow="0" w:firstColumn="1" w:lastColumn="0" w:noHBand="0" w:noVBand="1"/>
      </w:tblPr>
      <w:tblGrid>
        <w:gridCol w:w="3420"/>
        <w:gridCol w:w="717"/>
        <w:gridCol w:w="601"/>
        <w:gridCol w:w="1019"/>
        <w:gridCol w:w="955"/>
        <w:gridCol w:w="1025"/>
        <w:gridCol w:w="1080"/>
        <w:gridCol w:w="955"/>
        <w:gridCol w:w="1025"/>
        <w:gridCol w:w="1080"/>
        <w:gridCol w:w="955"/>
        <w:gridCol w:w="955"/>
      </w:tblGrid>
      <w:tr w:rsidR="0027615E" w:rsidRPr="00CD0B05" w14:paraId="5BE94CE7" w14:textId="77777777" w:rsidTr="00FE2E6A">
        <w:trPr>
          <w:trHeight w:val="300"/>
        </w:trPr>
        <w:tc>
          <w:tcPr>
            <w:tcW w:w="3420" w:type="dxa"/>
            <w:tcBorders>
              <w:top w:val="single" w:sz="12" w:space="0" w:color="auto"/>
              <w:bottom w:val="single" w:sz="12" w:space="0" w:color="auto"/>
            </w:tcBorders>
            <w:shd w:val="clear" w:color="auto" w:fill="auto"/>
            <w:noWrap/>
            <w:vAlign w:val="center"/>
            <w:hideMark/>
          </w:tcPr>
          <w:p w14:paraId="52410274" w14:textId="77777777" w:rsidR="0027615E" w:rsidRPr="00CD0B05" w:rsidRDefault="0027615E" w:rsidP="00FE2E6A">
            <w:pPr>
              <w:rPr>
                <w:rFonts w:eastAsia="Times New Roman"/>
              </w:rPr>
            </w:pPr>
          </w:p>
        </w:tc>
        <w:tc>
          <w:tcPr>
            <w:tcW w:w="717" w:type="dxa"/>
            <w:tcBorders>
              <w:top w:val="single" w:sz="12" w:space="0" w:color="auto"/>
              <w:bottom w:val="single" w:sz="12" w:space="0" w:color="auto"/>
            </w:tcBorders>
            <w:vAlign w:val="center"/>
          </w:tcPr>
          <w:p w14:paraId="2307F562" w14:textId="77777777" w:rsidR="0027615E" w:rsidRPr="00CD0B05" w:rsidRDefault="0027615E" w:rsidP="00FE2E6A">
            <w:pPr>
              <w:rPr>
                <w:rFonts w:eastAsia="Times New Roman"/>
                <w:color w:val="000000"/>
                <w:sz w:val="22"/>
              </w:rPr>
            </w:pPr>
            <w:r w:rsidRPr="00CD0B05">
              <w:rPr>
                <w:rFonts w:eastAsia="Times New Roman"/>
                <w:color w:val="000000"/>
                <w:sz w:val="22"/>
              </w:rPr>
              <w:t>Mean</w:t>
            </w:r>
          </w:p>
        </w:tc>
        <w:tc>
          <w:tcPr>
            <w:tcW w:w="498" w:type="dxa"/>
            <w:tcBorders>
              <w:top w:val="single" w:sz="12" w:space="0" w:color="auto"/>
              <w:bottom w:val="single" w:sz="12" w:space="0" w:color="auto"/>
            </w:tcBorders>
            <w:vAlign w:val="center"/>
          </w:tcPr>
          <w:p w14:paraId="035D70E5" w14:textId="77777777" w:rsidR="0027615E" w:rsidRPr="00CD0B05" w:rsidRDefault="0027615E" w:rsidP="00FE2E6A">
            <w:pPr>
              <w:rPr>
                <w:rFonts w:eastAsia="Times New Roman"/>
                <w:color w:val="000000"/>
                <w:sz w:val="22"/>
              </w:rPr>
            </w:pPr>
            <w:r w:rsidRPr="00CD0B05">
              <w:rPr>
                <w:rFonts w:eastAsia="Times New Roman"/>
                <w:color w:val="000000"/>
                <w:sz w:val="22"/>
              </w:rPr>
              <w:t>SD</w:t>
            </w:r>
          </w:p>
        </w:tc>
        <w:tc>
          <w:tcPr>
            <w:tcW w:w="1019" w:type="dxa"/>
            <w:tcBorders>
              <w:top w:val="single" w:sz="12" w:space="0" w:color="auto"/>
              <w:bottom w:val="single" w:sz="12" w:space="0" w:color="auto"/>
            </w:tcBorders>
            <w:shd w:val="clear" w:color="auto" w:fill="auto"/>
            <w:noWrap/>
            <w:vAlign w:val="center"/>
            <w:hideMark/>
          </w:tcPr>
          <w:p w14:paraId="32C0AED3" w14:textId="77777777" w:rsidR="0027615E" w:rsidRPr="00CD0B05" w:rsidRDefault="0027615E" w:rsidP="00FE2E6A">
            <w:pPr>
              <w:rPr>
                <w:rFonts w:eastAsia="Times New Roman"/>
                <w:color w:val="000000"/>
                <w:sz w:val="22"/>
              </w:rPr>
            </w:pPr>
            <w:r>
              <w:rPr>
                <w:rFonts w:eastAsia="Times New Roman"/>
                <w:color w:val="000000"/>
                <w:sz w:val="22"/>
              </w:rPr>
              <w:t>(</w:t>
            </w:r>
            <w:r w:rsidRPr="00CD0B05">
              <w:rPr>
                <w:rFonts w:eastAsia="Times New Roman"/>
                <w:color w:val="000000"/>
                <w:sz w:val="22"/>
              </w:rPr>
              <w:t>1</w:t>
            </w:r>
            <w:r>
              <w:rPr>
                <w:rFonts w:eastAsia="Times New Roman"/>
                <w:color w:val="000000"/>
                <w:sz w:val="22"/>
              </w:rPr>
              <w:t>)</w:t>
            </w:r>
          </w:p>
        </w:tc>
        <w:tc>
          <w:tcPr>
            <w:tcW w:w="955" w:type="dxa"/>
            <w:tcBorders>
              <w:top w:val="single" w:sz="12" w:space="0" w:color="auto"/>
              <w:bottom w:val="single" w:sz="12" w:space="0" w:color="auto"/>
            </w:tcBorders>
            <w:shd w:val="clear" w:color="auto" w:fill="auto"/>
            <w:noWrap/>
            <w:vAlign w:val="center"/>
            <w:hideMark/>
          </w:tcPr>
          <w:p w14:paraId="24FF9FE2" w14:textId="77777777" w:rsidR="0027615E" w:rsidRPr="00CD0B05" w:rsidRDefault="0027615E" w:rsidP="00FE2E6A">
            <w:pPr>
              <w:rPr>
                <w:rFonts w:eastAsia="Times New Roman"/>
                <w:color w:val="000000"/>
                <w:sz w:val="22"/>
              </w:rPr>
            </w:pPr>
            <w:r>
              <w:rPr>
                <w:rFonts w:eastAsia="Times New Roman"/>
                <w:color w:val="000000"/>
                <w:sz w:val="22"/>
              </w:rPr>
              <w:t>(2)</w:t>
            </w:r>
          </w:p>
        </w:tc>
        <w:tc>
          <w:tcPr>
            <w:tcW w:w="1025" w:type="dxa"/>
            <w:tcBorders>
              <w:top w:val="single" w:sz="12" w:space="0" w:color="auto"/>
              <w:bottom w:val="single" w:sz="12" w:space="0" w:color="auto"/>
            </w:tcBorders>
            <w:shd w:val="clear" w:color="auto" w:fill="auto"/>
            <w:noWrap/>
            <w:vAlign w:val="center"/>
            <w:hideMark/>
          </w:tcPr>
          <w:p w14:paraId="7DA562A9" w14:textId="77777777" w:rsidR="0027615E" w:rsidRPr="00CD0B05" w:rsidRDefault="0027615E" w:rsidP="00FE2E6A">
            <w:pPr>
              <w:rPr>
                <w:rFonts w:eastAsia="Times New Roman"/>
                <w:color w:val="000000"/>
                <w:sz w:val="22"/>
              </w:rPr>
            </w:pPr>
            <w:r>
              <w:rPr>
                <w:rFonts w:eastAsia="Times New Roman"/>
                <w:color w:val="000000"/>
                <w:sz w:val="22"/>
              </w:rPr>
              <w:t>(3)</w:t>
            </w:r>
          </w:p>
        </w:tc>
        <w:tc>
          <w:tcPr>
            <w:tcW w:w="1080" w:type="dxa"/>
            <w:tcBorders>
              <w:top w:val="single" w:sz="12" w:space="0" w:color="auto"/>
              <w:bottom w:val="single" w:sz="12" w:space="0" w:color="auto"/>
            </w:tcBorders>
            <w:shd w:val="clear" w:color="auto" w:fill="auto"/>
            <w:noWrap/>
            <w:vAlign w:val="center"/>
            <w:hideMark/>
          </w:tcPr>
          <w:p w14:paraId="4CC6EB20" w14:textId="77777777" w:rsidR="0027615E" w:rsidRPr="00CD0B05" w:rsidRDefault="0027615E" w:rsidP="00FE2E6A">
            <w:pPr>
              <w:rPr>
                <w:rFonts w:eastAsia="Times New Roman"/>
                <w:color w:val="000000"/>
                <w:sz w:val="22"/>
              </w:rPr>
            </w:pPr>
            <w:r>
              <w:rPr>
                <w:rFonts w:eastAsia="Times New Roman"/>
                <w:color w:val="000000"/>
                <w:sz w:val="22"/>
              </w:rPr>
              <w:t>(4)</w:t>
            </w:r>
          </w:p>
        </w:tc>
        <w:tc>
          <w:tcPr>
            <w:tcW w:w="955" w:type="dxa"/>
            <w:tcBorders>
              <w:top w:val="single" w:sz="12" w:space="0" w:color="auto"/>
              <w:bottom w:val="single" w:sz="12" w:space="0" w:color="auto"/>
            </w:tcBorders>
            <w:shd w:val="clear" w:color="auto" w:fill="auto"/>
            <w:noWrap/>
            <w:vAlign w:val="center"/>
            <w:hideMark/>
          </w:tcPr>
          <w:p w14:paraId="0636FCAD" w14:textId="77777777" w:rsidR="0027615E" w:rsidRPr="00CD0B05" w:rsidRDefault="0027615E" w:rsidP="00FE2E6A">
            <w:pPr>
              <w:rPr>
                <w:rFonts w:eastAsia="Times New Roman"/>
                <w:color w:val="000000"/>
                <w:sz w:val="22"/>
              </w:rPr>
            </w:pPr>
            <w:r>
              <w:rPr>
                <w:rFonts w:eastAsia="Times New Roman"/>
                <w:color w:val="000000"/>
                <w:sz w:val="22"/>
              </w:rPr>
              <w:t>(5)</w:t>
            </w:r>
          </w:p>
        </w:tc>
        <w:tc>
          <w:tcPr>
            <w:tcW w:w="1025" w:type="dxa"/>
            <w:tcBorders>
              <w:top w:val="single" w:sz="12" w:space="0" w:color="auto"/>
              <w:bottom w:val="single" w:sz="12" w:space="0" w:color="auto"/>
            </w:tcBorders>
            <w:shd w:val="clear" w:color="auto" w:fill="auto"/>
            <w:noWrap/>
            <w:vAlign w:val="center"/>
            <w:hideMark/>
          </w:tcPr>
          <w:p w14:paraId="0688285B" w14:textId="77777777" w:rsidR="0027615E" w:rsidRPr="00CD0B05" w:rsidRDefault="0027615E" w:rsidP="00FE2E6A">
            <w:pPr>
              <w:rPr>
                <w:rFonts w:eastAsia="Times New Roman"/>
                <w:color w:val="000000"/>
                <w:sz w:val="22"/>
              </w:rPr>
            </w:pPr>
            <w:r>
              <w:rPr>
                <w:rFonts w:eastAsia="Times New Roman"/>
                <w:color w:val="000000"/>
                <w:sz w:val="22"/>
              </w:rPr>
              <w:t>(6)</w:t>
            </w:r>
          </w:p>
        </w:tc>
        <w:tc>
          <w:tcPr>
            <w:tcW w:w="1080" w:type="dxa"/>
            <w:tcBorders>
              <w:top w:val="single" w:sz="12" w:space="0" w:color="auto"/>
              <w:bottom w:val="single" w:sz="12" w:space="0" w:color="auto"/>
            </w:tcBorders>
            <w:shd w:val="clear" w:color="auto" w:fill="auto"/>
            <w:noWrap/>
            <w:vAlign w:val="center"/>
            <w:hideMark/>
          </w:tcPr>
          <w:p w14:paraId="3080E4AE" w14:textId="77777777" w:rsidR="0027615E" w:rsidRPr="00CD0B05" w:rsidRDefault="0027615E" w:rsidP="00FE2E6A">
            <w:pPr>
              <w:rPr>
                <w:rFonts w:eastAsia="Times New Roman"/>
                <w:color w:val="000000"/>
                <w:sz w:val="22"/>
              </w:rPr>
            </w:pPr>
            <w:r>
              <w:rPr>
                <w:rFonts w:eastAsia="Times New Roman"/>
                <w:color w:val="000000"/>
                <w:sz w:val="22"/>
              </w:rPr>
              <w:t>(7)</w:t>
            </w:r>
          </w:p>
        </w:tc>
        <w:tc>
          <w:tcPr>
            <w:tcW w:w="955" w:type="dxa"/>
            <w:tcBorders>
              <w:top w:val="single" w:sz="12" w:space="0" w:color="auto"/>
              <w:bottom w:val="single" w:sz="12" w:space="0" w:color="auto"/>
            </w:tcBorders>
            <w:shd w:val="clear" w:color="auto" w:fill="auto"/>
            <w:noWrap/>
            <w:vAlign w:val="center"/>
            <w:hideMark/>
          </w:tcPr>
          <w:p w14:paraId="5BD1B4D6" w14:textId="77777777" w:rsidR="0027615E" w:rsidRPr="00CD0B05" w:rsidRDefault="0027615E" w:rsidP="00FE2E6A">
            <w:pPr>
              <w:rPr>
                <w:rFonts w:eastAsia="Times New Roman"/>
                <w:color w:val="000000"/>
                <w:sz w:val="22"/>
              </w:rPr>
            </w:pPr>
            <w:r>
              <w:rPr>
                <w:rFonts w:eastAsia="Times New Roman"/>
                <w:color w:val="000000"/>
                <w:sz w:val="22"/>
              </w:rPr>
              <w:t>(8)</w:t>
            </w:r>
          </w:p>
        </w:tc>
        <w:tc>
          <w:tcPr>
            <w:tcW w:w="955" w:type="dxa"/>
            <w:tcBorders>
              <w:top w:val="single" w:sz="12" w:space="0" w:color="auto"/>
              <w:bottom w:val="single" w:sz="12" w:space="0" w:color="auto"/>
            </w:tcBorders>
            <w:shd w:val="clear" w:color="auto" w:fill="auto"/>
            <w:noWrap/>
            <w:vAlign w:val="center"/>
            <w:hideMark/>
          </w:tcPr>
          <w:p w14:paraId="1713567A" w14:textId="77777777" w:rsidR="0027615E" w:rsidRPr="00CD0B05" w:rsidRDefault="0027615E" w:rsidP="00FE2E6A">
            <w:pPr>
              <w:rPr>
                <w:rFonts w:eastAsia="Times New Roman"/>
                <w:color w:val="000000"/>
                <w:sz w:val="22"/>
              </w:rPr>
            </w:pPr>
            <w:r>
              <w:rPr>
                <w:rFonts w:eastAsia="Times New Roman"/>
                <w:color w:val="000000"/>
                <w:sz w:val="22"/>
              </w:rPr>
              <w:t>(9)</w:t>
            </w:r>
          </w:p>
        </w:tc>
      </w:tr>
      <w:tr w:rsidR="0027615E" w:rsidRPr="00CD0B05" w14:paraId="77DAAA0D" w14:textId="77777777" w:rsidTr="00FE2E6A">
        <w:trPr>
          <w:trHeight w:val="300"/>
        </w:trPr>
        <w:tc>
          <w:tcPr>
            <w:tcW w:w="3420" w:type="dxa"/>
            <w:tcBorders>
              <w:top w:val="single" w:sz="12" w:space="0" w:color="auto"/>
            </w:tcBorders>
            <w:shd w:val="clear" w:color="auto" w:fill="auto"/>
            <w:noWrap/>
            <w:vAlign w:val="center"/>
            <w:hideMark/>
          </w:tcPr>
          <w:p w14:paraId="203817CE" w14:textId="77777777" w:rsidR="0027615E" w:rsidRPr="00CD0B05" w:rsidRDefault="0027615E" w:rsidP="00FE2E6A">
            <w:pPr>
              <w:rPr>
                <w:rFonts w:eastAsia="Times New Roman"/>
                <w:color w:val="000000"/>
                <w:sz w:val="22"/>
              </w:rPr>
            </w:pPr>
            <w:r>
              <w:rPr>
                <w:rFonts w:eastAsia="Times New Roman"/>
                <w:color w:val="000000"/>
                <w:sz w:val="22"/>
              </w:rPr>
              <w:t>(1) Procedural</w:t>
            </w:r>
            <w:r w:rsidRPr="00CD0B05">
              <w:rPr>
                <w:rFonts w:eastAsia="Times New Roman"/>
                <w:color w:val="000000"/>
                <w:sz w:val="22"/>
              </w:rPr>
              <w:t xml:space="preserve"> Response </w:t>
            </w:r>
          </w:p>
        </w:tc>
        <w:tc>
          <w:tcPr>
            <w:tcW w:w="717" w:type="dxa"/>
            <w:tcBorders>
              <w:top w:val="single" w:sz="12" w:space="0" w:color="auto"/>
            </w:tcBorders>
            <w:vAlign w:val="center"/>
          </w:tcPr>
          <w:p w14:paraId="22F6042B" w14:textId="77777777" w:rsidR="0027615E" w:rsidRPr="00CD0B05" w:rsidRDefault="0027615E" w:rsidP="00FE2E6A">
            <w:pPr>
              <w:rPr>
                <w:rFonts w:eastAsia="Times New Roman"/>
                <w:color w:val="000000"/>
                <w:sz w:val="22"/>
              </w:rPr>
            </w:pPr>
            <w:r>
              <w:rPr>
                <w:rFonts w:eastAsia="Times New Roman"/>
                <w:color w:val="000000"/>
                <w:sz w:val="22"/>
              </w:rPr>
              <w:t>4.08</w:t>
            </w:r>
          </w:p>
        </w:tc>
        <w:tc>
          <w:tcPr>
            <w:tcW w:w="498" w:type="dxa"/>
            <w:tcBorders>
              <w:top w:val="single" w:sz="12" w:space="0" w:color="auto"/>
            </w:tcBorders>
            <w:vAlign w:val="center"/>
          </w:tcPr>
          <w:p w14:paraId="530AA04A" w14:textId="77777777" w:rsidR="0027615E" w:rsidRPr="00CD0B05" w:rsidRDefault="0027615E" w:rsidP="00FE2E6A">
            <w:pPr>
              <w:rPr>
                <w:rFonts w:eastAsia="Times New Roman"/>
                <w:color w:val="000000"/>
                <w:sz w:val="22"/>
              </w:rPr>
            </w:pPr>
            <w:r>
              <w:rPr>
                <w:rFonts w:eastAsia="Times New Roman"/>
                <w:color w:val="000000"/>
                <w:sz w:val="22"/>
              </w:rPr>
              <w:t>1.19</w:t>
            </w:r>
          </w:p>
        </w:tc>
        <w:tc>
          <w:tcPr>
            <w:tcW w:w="1019" w:type="dxa"/>
            <w:tcBorders>
              <w:top w:val="single" w:sz="12" w:space="0" w:color="auto"/>
            </w:tcBorders>
            <w:shd w:val="clear" w:color="auto" w:fill="auto"/>
            <w:noWrap/>
            <w:vAlign w:val="center"/>
            <w:hideMark/>
          </w:tcPr>
          <w:p w14:paraId="59B41956" w14:textId="77777777" w:rsidR="0027615E" w:rsidRPr="00CD0B05" w:rsidRDefault="0027615E" w:rsidP="00FE2E6A">
            <w:pPr>
              <w:rPr>
                <w:rFonts w:eastAsia="Times New Roman"/>
                <w:color w:val="000000"/>
                <w:sz w:val="22"/>
              </w:rPr>
            </w:pPr>
          </w:p>
        </w:tc>
        <w:tc>
          <w:tcPr>
            <w:tcW w:w="955" w:type="dxa"/>
            <w:tcBorders>
              <w:top w:val="single" w:sz="12" w:space="0" w:color="auto"/>
            </w:tcBorders>
            <w:shd w:val="clear" w:color="auto" w:fill="auto"/>
            <w:noWrap/>
            <w:vAlign w:val="center"/>
            <w:hideMark/>
          </w:tcPr>
          <w:p w14:paraId="6D3CEC01" w14:textId="77777777" w:rsidR="0027615E" w:rsidRPr="00CD0B05" w:rsidRDefault="0027615E" w:rsidP="00FE2E6A">
            <w:pPr>
              <w:rPr>
                <w:rFonts w:eastAsia="Times New Roman"/>
                <w:sz w:val="20"/>
                <w:szCs w:val="20"/>
              </w:rPr>
            </w:pPr>
          </w:p>
        </w:tc>
        <w:tc>
          <w:tcPr>
            <w:tcW w:w="1025" w:type="dxa"/>
            <w:tcBorders>
              <w:top w:val="single" w:sz="12" w:space="0" w:color="auto"/>
            </w:tcBorders>
            <w:shd w:val="clear" w:color="auto" w:fill="auto"/>
            <w:noWrap/>
            <w:vAlign w:val="center"/>
            <w:hideMark/>
          </w:tcPr>
          <w:p w14:paraId="5536D48E" w14:textId="77777777" w:rsidR="0027615E" w:rsidRPr="00CD0B05" w:rsidRDefault="0027615E" w:rsidP="00FE2E6A">
            <w:pPr>
              <w:rPr>
                <w:rFonts w:eastAsia="Times New Roman"/>
                <w:sz w:val="20"/>
                <w:szCs w:val="20"/>
              </w:rPr>
            </w:pPr>
          </w:p>
        </w:tc>
        <w:tc>
          <w:tcPr>
            <w:tcW w:w="1080" w:type="dxa"/>
            <w:tcBorders>
              <w:top w:val="single" w:sz="12" w:space="0" w:color="auto"/>
            </w:tcBorders>
            <w:shd w:val="clear" w:color="auto" w:fill="auto"/>
            <w:noWrap/>
            <w:vAlign w:val="center"/>
            <w:hideMark/>
          </w:tcPr>
          <w:p w14:paraId="33851E88" w14:textId="77777777" w:rsidR="0027615E" w:rsidRPr="00CD0B05" w:rsidRDefault="0027615E" w:rsidP="00FE2E6A">
            <w:pPr>
              <w:rPr>
                <w:rFonts w:eastAsia="Times New Roman"/>
                <w:sz w:val="20"/>
                <w:szCs w:val="20"/>
              </w:rPr>
            </w:pPr>
          </w:p>
        </w:tc>
        <w:tc>
          <w:tcPr>
            <w:tcW w:w="955" w:type="dxa"/>
            <w:tcBorders>
              <w:top w:val="single" w:sz="12" w:space="0" w:color="auto"/>
            </w:tcBorders>
            <w:shd w:val="clear" w:color="auto" w:fill="auto"/>
            <w:noWrap/>
            <w:vAlign w:val="center"/>
            <w:hideMark/>
          </w:tcPr>
          <w:p w14:paraId="14F1242C" w14:textId="77777777" w:rsidR="0027615E" w:rsidRPr="00CD0B05" w:rsidRDefault="0027615E" w:rsidP="00FE2E6A">
            <w:pPr>
              <w:rPr>
                <w:rFonts w:eastAsia="Times New Roman"/>
                <w:sz w:val="20"/>
                <w:szCs w:val="20"/>
              </w:rPr>
            </w:pPr>
          </w:p>
        </w:tc>
        <w:tc>
          <w:tcPr>
            <w:tcW w:w="1025" w:type="dxa"/>
            <w:tcBorders>
              <w:top w:val="single" w:sz="12" w:space="0" w:color="auto"/>
            </w:tcBorders>
            <w:shd w:val="clear" w:color="auto" w:fill="auto"/>
            <w:noWrap/>
            <w:vAlign w:val="center"/>
            <w:hideMark/>
          </w:tcPr>
          <w:p w14:paraId="02055A85" w14:textId="77777777" w:rsidR="0027615E" w:rsidRPr="00CD0B05" w:rsidRDefault="0027615E" w:rsidP="00FE2E6A">
            <w:pPr>
              <w:rPr>
                <w:rFonts w:eastAsia="Times New Roman"/>
                <w:sz w:val="20"/>
                <w:szCs w:val="20"/>
              </w:rPr>
            </w:pPr>
          </w:p>
        </w:tc>
        <w:tc>
          <w:tcPr>
            <w:tcW w:w="1080" w:type="dxa"/>
            <w:tcBorders>
              <w:top w:val="single" w:sz="12" w:space="0" w:color="auto"/>
            </w:tcBorders>
            <w:shd w:val="clear" w:color="auto" w:fill="auto"/>
            <w:noWrap/>
            <w:vAlign w:val="center"/>
            <w:hideMark/>
          </w:tcPr>
          <w:p w14:paraId="226E4C14" w14:textId="77777777" w:rsidR="0027615E" w:rsidRPr="00CD0B05" w:rsidRDefault="0027615E" w:rsidP="00FE2E6A">
            <w:pPr>
              <w:rPr>
                <w:rFonts w:eastAsia="Times New Roman"/>
                <w:sz w:val="20"/>
                <w:szCs w:val="20"/>
              </w:rPr>
            </w:pPr>
          </w:p>
        </w:tc>
        <w:tc>
          <w:tcPr>
            <w:tcW w:w="955" w:type="dxa"/>
            <w:tcBorders>
              <w:top w:val="single" w:sz="12" w:space="0" w:color="auto"/>
            </w:tcBorders>
            <w:shd w:val="clear" w:color="auto" w:fill="auto"/>
            <w:noWrap/>
            <w:vAlign w:val="center"/>
            <w:hideMark/>
          </w:tcPr>
          <w:p w14:paraId="7C6951BD" w14:textId="77777777" w:rsidR="0027615E" w:rsidRPr="00CD0B05" w:rsidRDefault="0027615E" w:rsidP="00FE2E6A">
            <w:pPr>
              <w:rPr>
                <w:rFonts w:eastAsia="Times New Roman"/>
                <w:sz w:val="20"/>
                <w:szCs w:val="20"/>
              </w:rPr>
            </w:pPr>
          </w:p>
        </w:tc>
        <w:tc>
          <w:tcPr>
            <w:tcW w:w="955" w:type="dxa"/>
            <w:tcBorders>
              <w:top w:val="single" w:sz="12" w:space="0" w:color="auto"/>
            </w:tcBorders>
            <w:shd w:val="clear" w:color="auto" w:fill="auto"/>
            <w:noWrap/>
            <w:vAlign w:val="center"/>
            <w:hideMark/>
          </w:tcPr>
          <w:p w14:paraId="6F71B286" w14:textId="77777777" w:rsidR="0027615E" w:rsidRPr="00CD0B05" w:rsidRDefault="0027615E" w:rsidP="00FE2E6A">
            <w:pPr>
              <w:rPr>
                <w:rFonts w:eastAsia="Times New Roman"/>
                <w:sz w:val="20"/>
                <w:szCs w:val="20"/>
              </w:rPr>
            </w:pPr>
          </w:p>
        </w:tc>
      </w:tr>
      <w:tr w:rsidR="0027615E" w:rsidRPr="00CD0B05" w14:paraId="2F35D55F" w14:textId="77777777" w:rsidTr="00FE2E6A">
        <w:trPr>
          <w:trHeight w:val="300"/>
        </w:trPr>
        <w:tc>
          <w:tcPr>
            <w:tcW w:w="3420" w:type="dxa"/>
            <w:shd w:val="clear" w:color="auto" w:fill="auto"/>
            <w:noWrap/>
            <w:vAlign w:val="center"/>
            <w:hideMark/>
          </w:tcPr>
          <w:p w14:paraId="1ABA99CE" w14:textId="77777777" w:rsidR="0027615E" w:rsidRPr="00CD0B05" w:rsidRDefault="0027615E" w:rsidP="00FE2E6A">
            <w:pPr>
              <w:rPr>
                <w:rFonts w:eastAsia="Times New Roman"/>
                <w:color w:val="000000"/>
                <w:sz w:val="22"/>
              </w:rPr>
            </w:pPr>
            <w:r>
              <w:rPr>
                <w:rFonts w:eastAsia="Times New Roman"/>
                <w:color w:val="000000"/>
                <w:sz w:val="22"/>
              </w:rPr>
              <w:t xml:space="preserve">(2) </w:t>
            </w:r>
            <w:r w:rsidRPr="00CD0B05">
              <w:rPr>
                <w:rFonts w:eastAsia="Times New Roman"/>
                <w:color w:val="000000"/>
                <w:sz w:val="22"/>
              </w:rPr>
              <w:t>Flexible Response</w:t>
            </w:r>
          </w:p>
        </w:tc>
        <w:tc>
          <w:tcPr>
            <w:tcW w:w="717" w:type="dxa"/>
            <w:vAlign w:val="center"/>
          </w:tcPr>
          <w:p w14:paraId="03AB28AA" w14:textId="77777777" w:rsidR="0027615E" w:rsidRPr="00CD0B05" w:rsidRDefault="0027615E" w:rsidP="00FE2E6A">
            <w:pPr>
              <w:rPr>
                <w:rFonts w:eastAsia="Times New Roman"/>
                <w:color w:val="000000"/>
                <w:sz w:val="22"/>
              </w:rPr>
            </w:pPr>
            <w:r>
              <w:rPr>
                <w:rFonts w:eastAsia="Times New Roman"/>
                <w:color w:val="000000"/>
                <w:sz w:val="22"/>
              </w:rPr>
              <w:t>3.71</w:t>
            </w:r>
          </w:p>
        </w:tc>
        <w:tc>
          <w:tcPr>
            <w:tcW w:w="498" w:type="dxa"/>
            <w:vAlign w:val="center"/>
          </w:tcPr>
          <w:p w14:paraId="5843B768" w14:textId="77777777" w:rsidR="0027615E" w:rsidRPr="00CD0B05" w:rsidRDefault="0027615E" w:rsidP="00FE2E6A">
            <w:pPr>
              <w:rPr>
                <w:rFonts w:eastAsia="Times New Roman"/>
                <w:color w:val="000000"/>
                <w:sz w:val="22"/>
              </w:rPr>
            </w:pPr>
            <w:r>
              <w:rPr>
                <w:rFonts w:eastAsia="Times New Roman"/>
                <w:color w:val="000000"/>
                <w:sz w:val="22"/>
              </w:rPr>
              <w:t>1.29</w:t>
            </w:r>
          </w:p>
        </w:tc>
        <w:tc>
          <w:tcPr>
            <w:tcW w:w="1019" w:type="dxa"/>
            <w:shd w:val="clear" w:color="auto" w:fill="auto"/>
            <w:noWrap/>
            <w:vAlign w:val="center"/>
            <w:hideMark/>
          </w:tcPr>
          <w:p w14:paraId="38DFECB8" w14:textId="77777777" w:rsidR="0027615E" w:rsidRPr="00CD0B05" w:rsidRDefault="0027615E" w:rsidP="00FE2E6A">
            <w:pPr>
              <w:rPr>
                <w:rFonts w:eastAsia="Times New Roman"/>
                <w:color w:val="000000"/>
                <w:sz w:val="22"/>
              </w:rPr>
            </w:pPr>
            <w:r w:rsidRPr="00CD0B05">
              <w:rPr>
                <w:rFonts w:eastAsia="Times New Roman"/>
                <w:color w:val="000000"/>
                <w:sz w:val="22"/>
              </w:rPr>
              <w:t>0.124</w:t>
            </w:r>
            <w:r>
              <w:rPr>
                <w:rFonts w:eastAsia="Times New Roman"/>
                <w:color w:val="000000"/>
                <w:sz w:val="22"/>
                <w:vertAlign w:val="superscript"/>
              </w:rPr>
              <w:t>**</w:t>
            </w:r>
          </w:p>
        </w:tc>
        <w:tc>
          <w:tcPr>
            <w:tcW w:w="955" w:type="dxa"/>
            <w:shd w:val="clear" w:color="auto" w:fill="auto"/>
            <w:noWrap/>
            <w:vAlign w:val="center"/>
            <w:hideMark/>
          </w:tcPr>
          <w:p w14:paraId="018923D1" w14:textId="77777777" w:rsidR="0027615E" w:rsidRPr="00CD0B05" w:rsidRDefault="0027615E" w:rsidP="00FE2E6A">
            <w:pPr>
              <w:rPr>
                <w:rFonts w:eastAsia="Times New Roman"/>
                <w:color w:val="000000"/>
                <w:sz w:val="22"/>
              </w:rPr>
            </w:pPr>
          </w:p>
        </w:tc>
        <w:tc>
          <w:tcPr>
            <w:tcW w:w="1025" w:type="dxa"/>
            <w:shd w:val="clear" w:color="auto" w:fill="auto"/>
            <w:noWrap/>
            <w:vAlign w:val="center"/>
            <w:hideMark/>
          </w:tcPr>
          <w:p w14:paraId="052FBBA8" w14:textId="77777777" w:rsidR="0027615E" w:rsidRPr="00CD0B05" w:rsidRDefault="0027615E" w:rsidP="00FE2E6A">
            <w:pPr>
              <w:rPr>
                <w:rFonts w:eastAsia="Times New Roman"/>
                <w:sz w:val="20"/>
                <w:szCs w:val="20"/>
              </w:rPr>
            </w:pPr>
          </w:p>
        </w:tc>
        <w:tc>
          <w:tcPr>
            <w:tcW w:w="1080" w:type="dxa"/>
            <w:shd w:val="clear" w:color="auto" w:fill="auto"/>
            <w:noWrap/>
            <w:vAlign w:val="center"/>
            <w:hideMark/>
          </w:tcPr>
          <w:p w14:paraId="133ECE63" w14:textId="77777777" w:rsidR="0027615E" w:rsidRPr="00CD0B05" w:rsidRDefault="0027615E" w:rsidP="00FE2E6A">
            <w:pPr>
              <w:rPr>
                <w:rFonts w:eastAsia="Times New Roman"/>
                <w:sz w:val="20"/>
                <w:szCs w:val="20"/>
              </w:rPr>
            </w:pPr>
          </w:p>
        </w:tc>
        <w:tc>
          <w:tcPr>
            <w:tcW w:w="955" w:type="dxa"/>
            <w:shd w:val="clear" w:color="auto" w:fill="auto"/>
            <w:noWrap/>
            <w:vAlign w:val="center"/>
            <w:hideMark/>
          </w:tcPr>
          <w:p w14:paraId="6B806D55" w14:textId="77777777" w:rsidR="0027615E" w:rsidRPr="00CD0B05" w:rsidRDefault="0027615E" w:rsidP="00FE2E6A">
            <w:pPr>
              <w:rPr>
                <w:rFonts w:eastAsia="Times New Roman"/>
                <w:sz w:val="20"/>
                <w:szCs w:val="20"/>
              </w:rPr>
            </w:pPr>
          </w:p>
        </w:tc>
        <w:tc>
          <w:tcPr>
            <w:tcW w:w="1025" w:type="dxa"/>
            <w:shd w:val="clear" w:color="auto" w:fill="auto"/>
            <w:noWrap/>
            <w:vAlign w:val="center"/>
            <w:hideMark/>
          </w:tcPr>
          <w:p w14:paraId="38EF4DBF" w14:textId="77777777" w:rsidR="0027615E" w:rsidRPr="00CD0B05" w:rsidRDefault="0027615E" w:rsidP="00FE2E6A">
            <w:pPr>
              <w:rPr>
                <w:rFonts w:eastAsia="Times New Roman"/>
                <w:sz w:val="20"/>
                <w:szCs w:val="20"/>
              </w:rPr>
            </w:pPr>
          </w:p>
        </w:tc>
        <w:tc>
          <w:tcPr>
            <w:tcW w:w="1080" w:type="dxa"/>
            <w:shd w:val="clear" w:color="auto" w:fill="auto"/>
            <w:noWrap/>
            <w:vAlign w:val="center"/>
            <w:hideMark/>
          </w:tcPr>
          <w:p w14:paraId="4F866BC8" w14:textId="77777777" w:rsidR="0027615E" w:rsidRPr="00CD0B05" w:rsidRDefault="0027615E" w:rsidP="00FE2E6A">
            <w:pPr>
              <w:rPr>
                <w:rFonts w:eastAsia="Times New Roman"/>
                <w:sz w:val="20"/>
                <w:szCs w:val="20"/>
              </w:rPr>
            </w:pPr>
          </w:p>
        </w:tc>
        <w:tc>
          <w:tcPr>
            <w:tcW w:w="955" w:type="dxa"/>
            <w:shd w:val="clear" w:color="auto" w:fill="auto"/>
            <w:noWrap/>
            <w:vAlign w:val="center"/>
            <w:hideMark/>
          </w:tcPr>
          <w:p w14:paraId="72E1B7DD" w14:textId="77777777" w:rsidR="0027615E" w:rsidRPr="00CD0B05" w:rsidRDefault="0027615E" w:rsidP="00FE2E6A">
            <w:pPr>
              <w:rPr>
                <w:rFonts w:eastAsia="Times New Roman"/>
                <w:sz w:val="20"/>
                <w:szCs w:val="20"/>
              </w:rPr>
            </w:pPr>
          </w:p>
        </w:tc>
        <w:tc>
          <w:tcPr>
            <w:tcW w:w="955" w:type="dxa"/>
            <w:shd w:val="clear" w:color="auto" w:fill="auto"/>
            <w:noWrap/>
            <w:vAlign w:val="center"/>
            <w:hideMark/>
          </w:tcPr>
          <w:p w14:paraId="58577BD1" w14:textId="77777777" w:rsidR="0027615E" w:rsidRPr="00CD0B05" w:rsidRDefault="0027615E" w:rsidP="00FE2E6A">
            <w:pPr>
              <w:rPr>
                <w:rFonts w:eastAsia="Times New Roman"/>
                <w:sz w:val="20"/>
                <w:szCs w:val="20"/>
              </w:rPr>
            </w:pPr>
          </w:p>
        </w:tc>
      </w:tr>
      <w:tr w:rsidR="0027615E" w:rsidRPr="00CD0B05" w14:paraId="38C099C9" w14:textId="77777777" w:rsidTr="00FE2E6A">
        <w:trPr>
          <w:trHeight w:val="300"/>
        </w:trPr>
        <w:tc>
          <w:tcPr>
            <w:tcW w:w="3420" w:type="dxa"/>
            <w:shd w:val="clear" w:color="auto" w:fill="auto"/>
            <w:noWrap/>
            <w:vAlign w:val="center"/>
            <w:hideMark/>
          </w:tcPr>
          <w:p w14:paraId="3F476C30" w14:textId="77777777" w:rsidR="0027615E" w:rsidRPr="00CD0B05" w:rsidRDefault="0027615E" w:rsidP="00FE2E6A">
            <w:pPr>
              <w:rPr>
                <w:rFonts w:eastAsia="Times New Roman"/>
                <w:color w:val="000000"/>
                <w:sz w:val="22"/>
              </w:rPr>
            </w:pPr>
            <w:r>
              <w:rPr>
                <w:rFonts w:eastAsia="Times New Roman"/>
                <w:color w:val="000000"/>
                <w:sz w:val="22"/>
              </w:rPr>
              <w:t xml:space="preserve">(3) </w:t>
            </w:r>
            <w:r w:rsidRPr="00CD0B05">
              <w:rPr>
                <w:rFonts w:eastAsia="Times New Roman"/>
                <w:color w:val="000000"/>
                <w:sz w:val="22"/>
              </w:rPr>
              <w:t>Firm Age</w:t>
            </w:r>
          </w:p>
        </w:tc>
        <w:tc>
          <w:tcPr>
            <w:tcW w:w="717" w:type="dxa"/>
            <w:vAlign w:val="center"/>
          </w:tcPr>
          <w:p w14:paraId="320E3CA3" w14:textId="77777777" w:rsidR="0027615E" w:rsidRPr="00CD0B05" w:rsidRDefault="0027615E" w:rsidP="00FE2E6A">
            <w:pPr>
              <w:rPr>
                <w:rFonts w:eastAsia="Times New Roman"/>
                <w:color w:val="000000"/>
                <w:sz w:val="22"/>
              </w:rPr>
            </w:pPr>
            <w:r>
              <w:rPr>
                <w:rFonts w:eastAsia="Times New Roman"/>
                <w:color w:val="000000"/>
                <w:sz w:val="22"/>
              </w:rPr>
              <w:t>3.52</w:t>
            </w:r>
          </w:p>
        </w:tc>
        <w:tc>
          <w:tcPr>
            <w:tcW w:w="498" w:type="dxa"/>
            <w:vAlign w:val="center"/>
          </w:tcPr>
          <w:p w14:paraId="673912D4" w14:textId="77777777" w:rsidR="0027615E" w:rsidRPr="00CD0B05" w:rsidRDefault="0027615E" w:rsidP="00FE2E6A">
            <w:pPr>
              <w:rPr>
                <w:rFonts w:eastAsia="Times New Roman"/>
                <w:color w:val="000000"/>
                <w:sz w:val="22"/>
              </w:rPr>
            </w:pPr>
            <w:r>
              <w:rPr>
                <w:rFonts w:eastAsia="Times New Roman"/>
                <w:color w:val="000000"/>
                <w:sz w:val="22"/>
              </w:rPr>
              <w:t>2.39</w:t>
            </w:r>
          </w:p>
        </w:tc>
        <w:tc>
          <w:tcPr>
            <w:tcW w:w="1019" w:type="dxa"/>
            <w:shd w:val="clear" w:color="auto" w:fill="auto"/>
            <w:noWrap/>
            <w:vAlign w:val="center"/>
            <w:hideMark/>
          </w:tcPr>
          <w:p w14:paraId="13943226" w14:textId="77777777" w:rsidR="0027615E" w:rsidRPr="00CD0B05" w:rsidRDefault="0027615E" w:rsidP="00FE2E6A">
            <w:pPr>
              <w:rPr>
                <w:rFonts w:eastAsia="Times New Roman"/>
                <w:color w:val="000000"/>
                <w:sz w:val="22"/>
              </w:rPr>
            </w:pPr>
            <w:r w:rsidRPr="00CD0B05">
              <w:rPr>
                <w:rFonts w:eastAsia="Times New Roman"/>
                <w:color w:val="000000"/>
                <w:sz w:val="22"/>
              </w:rPr>
              <w:t>-0.210</w:t>
            </w:r>
            <w:r w:rsidRPr="00211087">
              <w:rPr>
                <w:rFonts w:eastAsia="Times New Roman"/>
                <w:color w:val="000000"/>
                <w:sz w:val="22"/>
                <w:vertAlign w:val="superscript"/>
              </w:rPr>
              <w:t>***</w:t>
            </w:r>
          </w:p>
        </w:tc>
        <w:tc>
          <w:tcPr>
            <w:tcW w:w="955" w:type="dxa"/>
            <w:shd w:val="clear" w:color="auto" w:fill="auto"/>
            <w:noWrap/>
            <w:vAlign w:val="center"/>
            <w:hideMark/>
          </w:tcPr>
          <w:p w14:paraId="37549B32" w14:textId="77777777" w:rsidR="0027615E" w:rsidRPr="00CD0B05" w:rsidRDefault="0027615E" w:rsidP="00FE2E6A">
            <w:pPr>
              <w:rPr>
                <w:rFonts w:eastAsia="Times New Roman"/>
                <w:color w:val="000000"/>
                <w:sz w:val="22"/>
              </w:rPr>
            </w:pPr>
            <w:r w:rsidRPr="00CD0B05">
              <w:rPr>
                <w:rFonts w:eastAsia="Times New Roman"/>
                <w:color w:val="000000"/>
                <w:sz w:val="22"/>
              </w:rPr>
              <w:t>-0.133</w:t>
            </w:r>
            <w:r>
              <w:rPr>
                <w:rFonts w:eastAsia="Times New Roman"/>
                <w:color w:val="000000"/>
                <w:sz w:val="22"/>
                <w:vertAlign w:val="superscript"/>
              </w:rPr>
              <w:t>**</w:t>
            </w:r>
          </w:p>
        </w:tc>
        <w:tc>
          <w:tcPr>
            <w:tcW w:w="1025" w:type="dxa"/>
            <w:shd w:val="clear" w:color="auto" w:fill="auto"/>
            <w:noWrap/>
            <w:vAlign w:val="center"/>
            <w:hideMark/>
          </w:tcPr>
          <w:p w14:paraId="43D29A44" w14:textId="77777777" w:rsidR="0027615E" w:rsidRPr="00CD0B05" w:rsidRDefault="0027615E" w:rsidP="00FE2E6A">
            <w:pPr>
              <w:rPr>
                <w:rFonts w:eastAsia="Times New Roman"/>
                <w:color w:val="000000"/>
                <w:sz w:val="22"/>
              </w:rPr>
            </w:pPr>
          </w:p>
        </w:tc>
        <w:tc>
          <w:tcPr>
            <w:tcW w:w="1080" w:type="dxa"/>
            <w:shd w:val="clear" w:color="auto" w:fill="auto"/>
            <w:noWrap/>
            <w:vAlign w:val="center"/>
            <w:hideMark/>
          </w:tcPr>
          <w:p w14:paraId="0174F906" w14:textId="77777777" w:rsidR="0027615E" w:rsidRPr="00CD0B05" w:rsidRDefault="0027615E" w:rsidP="00FE2E6A">
            <w:pPr>
              <w:rPr>
                <w:rFonts w:eastAsia="Times New Roman"/>
                <w:sz w:val="20"/>
                <w:szCs w:val="20"/>
              </w:rPr>
            </w:pPr>
          </w:p>
        </w:tc>
        <w:tc>
          <w:tcPr>
            <w:tcW w:w="955" w:type="dxa"/>
            <w:shd w:val="clear" w:color="auto" w:fill="auto"/>
            <w:noWrap/>
            <w:vAlign w:val="center"/>
            <w:hideMark/>
          </w:tcPr>
          <w:p w14:paraId="7F82183E" w14:textId="77777777" w:rsidR="0027615E" w:rsidRPr="00CD0B05" w:rsidRDefault="0027615E" w:rsidP="00FE2E6A">
            <w:pPr>
              <w:rPr>
                <w:rFonts w:eastAsia="Times New Roman"/>
                <w:sz w:val="20"/>
                <w:szCs w:val="20"/>
              </w:rPr>
            </w:pPr>
          </w:p>
        </w:tc>
        <w:tc>
          <w:tcPr>
            <w:tcW w:w="1025" w:type="dxa"/>
            <w:shd w:val="clear" w:color="auto" w:fill="auto"/>
            <w:noWrap/>
            <w:vAlign w:val="center"/>
            <w:hideMark/>
          </w:tcPr>
          <w:p w14:paraId="3CE90427" w14:textId="77777777" w:rsidR="0027615E" w:rsidRPr="00CD0B05" w:rsidRDefault="0027615E" w:rsidP="00FE2E6A">
            <w:pPr>
              <w:rPr>
                <w:rFonts w:eastAsia="Times New Roman"/>
                <w:sz w:val="20"/>
                <w:szCs w:val="20"/>
              </w:rPr>
            </w:pPr>
          </w:p>
        </w:tc>
        <w:tc>
          <w:tcPr>
            <w:tcW w:w="1080" w:type="dxa"/>
            <w:shd w:val="clear" w:color="auto" w:fill="auto"/>
            <w:noWrap/>
            <w:vAlign w:val="center"/>
            <w:hideMark/>
          </w:tcPr>
          <w:p w14:paraId="52511453" w14:textId="77777777" w:rsidR="0027615E" w:rsidRPr="00CD0B05" w:rsidRDefault="0027615E" w:rsidP="00FE2E6A">
            <w:pPr>
              <w:rPr>
                <w:rFonts w:eastAsia="Times New Roman"/>
                <w:sz w:val="20"/>
                <w:szCs w:val="20"/>
              </w:rPr>
            </w:pPr>
          </w:p>
        </w:tc>
        <w:tc>
          <w:tcPr>
            <w:tcW w:w="955" w:type="dxa"/>
            <w:shd w:val="clear" w:color="auto" w:fill="auto"/>
            <w:noWrap/>
            <w:vAlign w:val="center"/>
            <w:hideMark/>
          </w:tcPr>
          <w:p w14:paraId="0B858AEC" w14:textId="77777777" w:rsidR="0027615E" w:rsidRPr="00CD0B05" w:rsidRDefault="0027615E" w:rsidP="00FE2E6A">
            <w:pPr>
              <w:rPr>
                <w:rFonts w:eastAsia="Times New Roman"/>
                <w:sz w:val="20"/>
                <w:szCs w:val="20"/>
              </w:rPr>
            </w:pPr>
          </w:p>
        </w:tc>
        <w:tc>
          <w:tcPr>
            <w:tcW w:w="955" w:type="dxa"/>
            <w:shd w:val="clear" w:color="auto" w:fill="auto"/>
            <w:noWrap/>
            <w:vAlign w:val="center"/>
            <w:hideMark/>
          </w:tcPr>
          <w:p w14:paraId="1D2F4040" w14:textId="77777777" w:rsidR="0027615E" w:rsidRPr="00CD0B05" w:rsidRDefault="0027615E" w:rsidP="00FE2E6A">
            <w:pPr>
              <w:rPr>
                <w:rFonts w:eastAsia="Times New Roman"/>
                <w:sz w:val="20"/>
                <w:szCs w:val="20"/>
              </w:rPr>
            </w:pPr>
          </w:p>
        </w:tc>
      </w:tr>
      <w:tr w:rsidR="0027615E" w:rsidRPr="00CD0B05" w14:paraId="778BD7E3" w14:textId="77777777" w:rsidTr="00FE2E6A">
        <w:trPr>
          <w:trHeight w:val="300"/>
        </w:trPr>
        <w:tc>
          <w:tcPr>
            <w:tcW w:w="3420" w:type="dxa"/>
            <w:shd w:val="clear" w:color="auto" w:fill="auto"/>
            <w:noWrap/>
            <w:vAlign w:val="center"/>
            <w:hideMark/>
          </w:tcPr>
          <w:p w14:paraId="4FD8993F" w14:textId="77777777" w:rsidR="0027615E" w:rsidRPr="00CD0B05" w:rsidRDefault="0027615E" w:rsidP="00FE2E6A">
            <w:pPr>
              <w:rPr>
                <w:rFonts w:eastAsia="Times New Roman"/>
                <w:color w:val="000000"/>
                <w:sz w:val="22"/>
              </w:rPr>
            </w:pPr>
            <w:r>
              <w:rPr>
                <w:rFonts w:eastAsia="Times New Roman"/>
                <w:color w:val="000000"/>
                <w:sz w:val="22"/>
              </w:rPr>
              <w:t xml:space="preserve">(4) </w:t>
            </w:r>
            <w:r w:rsidRPr="00CD0B05">
              <w:rPr>
                <w:rFonts w:eastAsia="Times New Roman"/>
                <w:color w:val="000000"/>
                <w:sz w:val="22"/>
              </w:rPr>
              <w:t xml:space="preserve">Product Maturity </w:t>
            </w:r>
          </w:p>
        </w:tc>
        <w:tc>
          <w:tcPr>
            <w:tcW w:w="717" w:type="dxa"/>
            <w:vAlign w:val="center"/>
          </w:tcPr>
          <w:p w14:paraId="437BEEF0" w14:textId="77777777" w:rsidR="0027615E" w:rsidRPr="00CD0B05" w:rsidRDefault="0027615E" w:rsidP="00FE2E6A">
            <w:pPr>
              <w:rPr>
                <w:rFonts w:eastAsia="Times New Roman"/>
                <w:color w:val="000000"/>
                <w:sz w:val="22"/>
              </w:rPr>
            </w:pPr>
            <w:r>
              <w:rPr>
                <w:rFonts w:eastAsia="Times New Roman"/>
                <w:color w:val="000000"/>
                <w:sz w:val="22"/>
              </w:rPr>
              <w:t>3.56</w:t>
            </w:r>
          </w:p>
        </w:tc>
        <w:tc>
          <w:tcPr>
            <w:tcW w:w="498" w:type="dxa"/>
            <w:vAlign w:val="center"/>
          </w:tcPr>
          <w:p w14:paraId="048A39FE" w14:textId="77777777" w:rsidR="0027615E" w:rsidRPr="00CD0B05" w:rsidRDefault="0027615E" w:rsidP="00FE2E6A">
            <w:pPr>
              <w:rPr>
                <w:rFonts w:eastAsia="Times New Roman"/>
                <w:color w:val="000000"/>
                <w:sz w:val="22"/>
              </w:rPr>
            </w:pPr>
            <w:r>
              <w:rPr>
                <w:rFonts w:eastAsia="Times New Roman"/>
                <w:color w:val="000000"/>
                <w:sz w:val="22"/>
              </w:rPr>
              <w:t>0.98</w:t>
            </w:r>
          </w:p>
        </w:tc>
        <w:tc>
          <w:tcPr>
            <w:tcW w:w="1019" w:type="dxa"/>
            <w:shd w:val="clear" w:color="auto" w:fill="auto"/>
            <w:noWrap/>
            <w:vAlign w:val="center"/>
            <w:hideMark/>
          </w:tcPr>
          <w:p w14:paraId="45DF7FB8" w14:textId="77777777" w:rsidR="0027615E" w:rsidRPr="00CD0B05" w:rsidRDefault="0027615E" w:rsidP="00FE2E6A">
            <w:pPr>
              <w:rPr>
                <w:rFonts w:eastAsia="Times New Roman"/>
                <w:color w:val="000000"/>
                <w:sz w:val="22"/>
              </w:rPr>
            </w:pPr>
            <w:r w:rsidRPr="00CD0B05">
              <w:rPr>
                <w:rFonts w:eastAsia="Times New Roman"/>
                <w:color w:val="000000"/>
                <w:sz w:val="22"/>
              </w:rPr>
              <w:t>-0.102</w:t>
            </w:r>
            <w:r>
              <w:rPr>
                <w:rFonts w:eastAsia="Times New Roman"/>
                <w:color w:val="000000"/>
                <w:sz w:val="22"/>
                <w:vertAlign w:val="superscript"/>
              </w:rPr>
              <w:t>*</w:t>
            </w:r>
          </w:p>
        </w:tc>
        <w:tc>
          <w:tcPr>
            <w:tcW w:w="955" w:type="dxa"/>
            <w:shd w:val="clear" w:color="auto" w:fill="auto"/>
            <w:noWrap/>
            <w:vAlign w:val="center"/>
            <w:hideMark/>
          </w:tcPr>
          <w:p w14:paraId="2A338365" w14:textId="77777777" w:rsidR="0027615E" w:rsidRPr="00CD0B05" w:rsidRDefault="0027615E" w:rsidP="00FE2E6A">
            <w:pPr>
              <w:rPr>
                <w:rFonts w:eastAsia="Times New Roman"/>
                <w:color w:val="000000"/>
                <w:sz w:val="22"/>
              </w:rPr>
            </w:pPr>
            <w:r w:rsidRPr="00CD0B05">
              <w:rPr>
                <w:rFonts w:eastAsia="Times New Roman"/>
                <w:color w:val="000000"/>
                <w:sz w:val="22"/>
              </w:rPr>
              <w:t>0.071</w:t>
            </w:r>
          </w:p>
        </w:tc>
        <w:tc>
          <w:tcPr>
            <w:tcW w:w="1025" w:type="dxa"/>
            <w:shd w:val="clear" w:color="auto" w:fill="auto"/>
            <w:noWrap/>
            <w:vAlign w:val="center"/>
            <w:hideMark/>
          </w:tcPr>
          <w:p w14:paraId="15449375" w14:textId="77777777" w:rsidR="0027615E" w:rsidRPr="00CD0B05" w:rsidRDefault="0027615E" w:rsidP="00FE2E6A">
            <w:pPr>
              <w:rPr>
                <w:rFonts w:eastAsia="Times New Roman"/>
                <w:color w:val="000000"/>
                <w:sz w:val="22"/>
              </w:rPr>
            </w:pPr>
            <w:r w:rsidRPr="00CD0B05">
              <w:rPr>
                <w:rFonts w:eastAsia="Times New Roman"/>
                <w:color w:val="000000"/>
                <w:sz w:val="22"/>
              </w:rPr>
              <w:t>0.128</w:t>
            </w:r>
            <w:r>
              <w:rPr>
                <w:rFonts w:eastAsia="Times New Roman"/>
                <w:color w:val="000000"/>
                <w:sz w:val="22"/>
                <w:vertAlign w:val="superscript"/>
              </w:rPr>
              <w:t>**</w:t>
            </w:r>
          </w:p>
        </w:tc>
        <w:tc>
          <w:tcPr>
            <w:tcW w:w="1080" w:type="dxa"/>
            <w:shd w:val="clear" w:color="auto" w:fill="auto"/>
            <w:noWrap/>
            <w:vAlign w:val="center"/>
            <w:hideMark/>
          </w:tcPr>
          <w:p w14:paraId="02D9BA36" w14:textId="77777777" w:rsidR="0027615E" w:rsidRPr="00CD0B05" w:rsidRDefault="0027615E" w:rsidP="00FE2E6A">
            <w:pPr>
              <w:rPr>
                <w:rFonts w:eastAsia="Times New Roman"/>
                <w:color w:val="000000"/>
                <w:sz w:val="22"/>
              </w:rPr>
            </w:pPr>
          </w:p>
        </w:tc>
        <w:tc>
          <w:tcPr>
            <w:tcW w:w="955" w:type="dxa"/>
            <w:shd w:val="clear" w:color="auto" w:fill="auto"/>
            <w:noWrap/>
            <w:vAlign w:val="center"/>
            <w:hideMark/>
          </w:tcPr>
          <w:p w14:paraId="75C960C3" w14:textId="77777777" w:rsidR="0027615E" w:rsidRPr="00CD0B05" w:rsidRDefault="0027615E" w:rsidP="00FE2E6A">
            <w:pPr>
              <w:rPr>
                <w:rFonts w:eastAsia="Times New Roman"/>
                <w:sz w:val="20"/>
                <w:szCs w:val="20"/>
              </w:rPr>
            </w:pPr>
          </w:p>
        </w:tc>
        <w:tc>
          <w:tcPr>
            <w:tcW w:w="1025" w:type="dxa"/>
            <w:shd w:val="clear" w:color="auto" w:fill="auto"/>
            <w:noWrap/>
            <w:vAlign w:val="center"/>
            <w:hideMark/>
          </w:tcPr>
          <w:p w14:paraId="49920D0E" w14:textId="77777777" w:rsidR="0027615E" w:rsidRPr="00CD0B05" w:rsidRDefault="0027615E" w:rsidP="00FE2E6A">
            <w:pPr>
              <w:rPr>
                <w:rFonts w:eastAsia="Times New Roman"/>
                <w:sz w:val="20"/>
                <w:szCs w:val="20"/>
              </w:rPr>
            </w:pPr>
          </w:p>
        </w:tc>
        <w:tc>
          <w:tcPr>
            <w:tcW w:w="1080" w:type="dxa"/>
            <w:shd w:val="clear" w:color="auto" w:fill="auto"/>
            <w:noWrap/>
            <w:vAlign w:val="center"/>
            <w:hideMark/>
          </w:tcPr>
          <w:p w14:paraId="030BB85E" w14:textId="77777777" w:rsidR="0027615E" w:rsidRPr="00CD0B05" w:rsidRDefault="0027615E" w:rsidP="00FE2E6A">
            <w:pPr>
              <w:rPr>
                <w:rFonts w:eastAsia="Times New Roman"/>
                <w:sz w:val="20"/>
                <w:szCs w:val="20"/>
              </w:rPr>
            </w:pPr>
          </w:p>
        </w:tc>
        <w:tc>
          <w:tcPr>
            <w:tcW w:w="955" w:type="dxa"/>
            <w:shd w:val="clear" w:color="auto" w:fill="auto"/>
            <w:noWrap/>
            <w:vAlign w:val="center"/>
            <w:hideMark/>
          </w:tcPr>
          <w:p w14:paraId="73AC9F4C" w14:textId="77777777" w:rsidR="0027615E" w:rsidRPr="00CD0B05" w:rsidRDefault="0027615E" w:rsidP="00FE2E6A">
            <w:pPr>
              <w:rPr>
                <w:rFonts w:eastAsia="Times New Roman"/>
                <w:sz w:val="20"/>
                <w:szCs w:val="20"/>
              </w:rPr>
            </w:pPr>
          </w:p>
        </w:tc>
        <w:tc>
          <w:tcPr>
            <w:tcW w:w="955" w:type="dxa"/>
            <w:shd w:val="clear" w:color="auto" w:fill="auto"/>
            <w:noWrap/>
            <w:vAlign w:val="center"/>
            <w:hideMark/>
          </w:tcPr>
          <w:p w14:paraId="40682CCF" w14:textId="77777777" w:rsidR="0027615E" w:rsidRPr="00CD0B05" w:rsidRDefault="0027615E" w:rsidP="00FE2E6A">
            <w:pPr>
              <w:rPr>
                <w:rFonts w:eastAsia="Times New Roman"/>
                <w:sz w:val="20"/>
                <w:szCs w:val="20"/>
              </w:rPr>
            </w:pPr>
          </w:p>
        </w:tc>
      </w:tr>
      <w:tr w:rsidR="0027615E" w:rsidRPr="00CD0B05" w14:paraId="601A5E94" w14:textId="77777777" w:rsidTr="00FE2E6A">
        <w:trPr>
          <w:trHeight w:val="300"/>
        </w:trPr>
        <w:tc>
          <w:tcPr>
            <w:tcW w:w="3420" w:type="dxa"/>
            <w:shd w:val="clear" w:color="auto" w:fill="auto"/>
            <w:noWrap/>
            <w:vAlign w:val="center"/>
            <w:hideMark/>
          </w:tcPr>
          <w:p w14:paraId="4AE625BC" w14:textId="77777777" w:rsidR="0027615E" w:rsidRPr="00CD0B05" w:rsidRDefault="0027615E" w:rsidP="00FE2E6A">
            <w:pPr>
              <w:rPr>
                <w:rFonts w:eastAsia="Times New Roman"/>
                <w:color w:val="000000"/>
                <w:sz w:val="22"/>
              </w:rPr>
            </w:pPr>
            <w:r>
              <w:rPr>
                <w:rFonts w:eastAsia="Times New Roman"/>
                <w:color w:val="000000"/>
                <w:sz w:val="22"/>
              </w:rPr>
              <w:t xml:space="preserve">(5) </w:t>
            </w:r>
            <w:r w:rsidRPr="00CD0B05">
              <w:rPr>
                <w:rFonts w:eastAsia="Times New Roman"/>
                <w:color w:val="000000"/>
                <w:sz w:val="22"/>
              </w:rPr>
              <w:t>Ln Number of Employees</w:t>
            </w:r>
          </w:p>
        </w:tc>
        <w:tc>
          <w:tcPr>
            <w:tcW w:w="717" w:type="dxa"/>
            <w:vAlign w:val="center"/>
          </w:tcPr>
          <w:p w14:paraId="7A428A50" w14:textId="77777777" w:rsidR="0027615E" w:rsidRPr="00CD0B05" w:rsidRDefault="0027615E" w:rsidP="00FE2E6A">
            <w:pPr>
              <w:rPr>
                <w:rFonts w:eastAsia="Times New Roman"/>
                <w:color w:val="000000"/>
                <w:sz w:val="22"/>
              </w:rPr>
            </w:pPr>
            <w:r>
              <w:rPr>
                <w:rFonts w:eastAsia="Times New Roman"/>
                <w:color w:val="000000"/>
                <w:sz w:val="22"/>
              </w:rPr>
              <w:t>5.03</w:t>
            </w:r>
          </w:p>
        </w:tc>
        <w:tc>
          <w:tcPr>
            <w:tcW w:w="498" w:type="dxa"/>
            <w:vAlign w:val="center"/>
          </w:tcPr>
          <w:p w14:paraId="65C12A47" w14:textId="77777777" w:rsidR="0027615E" w:rsidRPr="00CD0B05" w:rsidRDefault="0027615E" w:rsidP="00FE2E6A">
            <w:pPr>
              <w:rPr>
                <w:rFonts w:eastAsia="Times New Roman"/>
                <w:color w:val="000000"/>
                <w:sz w:val="22"/>
              </w:rPr>
            </w:pPr>
            <w:r>
              <w:rPr>
                <w:rFonts w:eastAsia="Times New Roman"/>
                <w:color w:val="000000"/>
                <w:sz w:val="22"/>
              </w:rPr>
              <w:t>0.49</w:t>
            </w:r>
          </w:p>
        </w:tc>
        <w:tc>
          <w:tcPr>
            <w:tcW w:w="1019" w:type="dxa"/>
            <w:shd w:val="clear" w:color="auto" w:fill="auto"/>
            <w:noWrap/>
            <w:vAlign w:val="center"/>
            <w:hideMark/>
          </w:tcPr>
          <w:p w14:paraId="3E7FD284" w14:textId="77777777" w:rsidR="0027615E" w:rsidRPr="00CD0B05" w:rsidRDefault="0027615E" w:rsidP="00FE2E6A">
            <w:pPr>
              <w:rPr>
                <w:rFonts w:eastAsia="Times New Roman"/>
                <w:color w:val="000000"/>
                <w:sz w:val="22"/>
              </w:rPr>
            </w:pPr>
            <w:r w:rsidRPr="00CD0B05">
              <w:rPr>
                <w:rFonts w:eastAsia="Times New Roman"/>
                <w:color w:val="000000"/>
                <w:sz w:val="22"/>
              </w:rPr>
              <w:t>-0.079</w:t>
            </w:r>
            <w:r w:rsidRPr="002A3EEC">
              <w:rPr>
                <w:sz w:val="22"/>
                <w:vertAlign w:val="superscript"/>
              </w:rPr>
              <w:t>†</w:t>
            </w:r>
          </w:p>
        </w:tc>
        <w:tc>
          <w:tcPr>
            <w:tcW w:w="955" w:type="dxa"/>
            <w:shd w:val="clear" w:color="auto" w:fill="auto"/>
            <w:noWrap/>
            <w:vAlign w:val="center"/>
            <w:hideMark/>
          </w:tcPr>
          <w:p w14:paraId="48BBDAEF" w14:textId="77777777" w:rsidR="0027615E" w:rsidRPr="00CD0B05" w:rsidRDefault="0027615E" w:rsidP="00FE2E6A">
            <w:pPr>
              <w:rPr>
                <w:rFonts w:eastAsia="Times New Roman"/>
                <w:color w:val="000000"/>
                <w:sz w:val="22"/>
              </w:rPr>
            </w:pPr>
            <w:r w:rsidRPr="00CD0B05">
              <w:rPr>
                <w:rFonts w:eastAsia="Times New Roman"/>
                <w:color w:val="000000"/>
                <w:sz w:val="22"/>
              </w:rPr>
              <w:t>-0.107</w:t>
            </w:r>
            <w:r>
              <w:rPr>
                <w:rFonts w:eastAsia="Times New Roman"/>
                <w:color w:val="000000"/>
                <w:sz w:val="22"/>
                <w:vertAlign w:val="superscript"/>
              </w:rPr>
              <w:t>*</w:t>
            </w:r>
          </w:p>
        </w:tc>
        <w:tc>
          <w:tcPr>
            <w:tcW w:w="1025" w:type="dxa"/>
            <w:shd w:val="clear" w:color="auto" w:fill="auto"/>
            <w:noWrap/>
            <w:vAlign w:val="center"/>
            <w:hideMark/>
          </w:tcPr>
          <w:p w14:paraId="69CAD984" w14:textId="77777777" w:rsidR="0027615E" w:rsidRPr="00CD0B05" w:rsidRDefault="0027615E" w:rsidP="00FE2E6A">
            <w:pPr>
              <w:rPr>
                <w:rFonts w:eastAsia="Times New Roman"/>
                <w:color w:val="000000"/>
                <w:sz w:val="22"/>
              </w:rPr>
            </w:pPr>
            <w:r w:rsidRPr="00CD0B05">
              <w:rPr>
                <w:rFonts w:eastAsia="Times New Roman"/>
                <w:color w:val="000000"/>
                <w:sz w:val="22"/>
              </w:rPr>
              <w:t>0.079</w:t>
            </w:r>
            <w:r w:rsidRPr="002A3EEC">
              <w:rPr>
                <w:sz w:val="22"/>
                <w:vertAlign w:val="superscript"/>
              </w:rPr>
              <w:t>†</w:t>
            </w:r>
          </w:p>
        </w:tc>
        <w:tc>
          <w:tcPr>
            <w:tcW w:w="1080" w:type="dxa"/>
            <w:shd w:val="clear" w:color="auto" w:fill="auto"/>
            <w:noWrap/>
            <w:vAlign w:val="center"/>
            <w:hideMark/>
          </w:tcPr>
          <w:p w14:paraId="26077CDD" w14:textId="77777777" w:rsidR="0027615E" w:rsidRPr="00CD0B05" w:rsidRDefault="0027615E" w:rsidP="00FE2E6A">
            <w:pPr>
              <w:rPr>
                <w:rFonts w:eastAsia="Times New Roman"/>
                <w:color w:val="000000"/>
                <w:sz w:val="22"/>
              </w:rPr>
            </w:pPr>
            <w:r w:rsidRPr="00CD0B05">
              <w:rPr>
                <w:rFonts w:eastAsia="Times New Roman"/>
                <w:color w:val="000000"/>
                <w:sz w:val="22"/>
              </w:rPr>
              <w:t>-0.006</w:t>
            </w:r>
          </w:p>
        </w:tc>
        <w:tc>
          <w:tcPr>
            <w:tcW w:w="955" w:type="dxa"/>
            <w:shd w:val="clear" w:color="auto" w:fill="auto"/>
            <w:noWrap/>
            <w:vAlign w:val="center"/>
            <w:hideMark/>
          </w:tcPr>
          <w:p w14:paraId="084DF0F2" w14:textId="77777777" w:rsidR="0027615E" w:rsidRPr="00CD0B05" w:rsidRDefault="0027615E" w:rsidP="00FE2E6A">
            <w:pPr>
              <w:rPr>
                <w:rFonts w:eastAsia="Times New Roman"/>
                <w:color w:val="000000"/>
                <w:sz w:val="22"/>
              </w:rPr>
            </w:pPr>
          </w:p>
        </w:tc>
        <w:tc>
          <w:tcPr>
            <w:tcW w:w="1025" w:type="dxa"/>
            <w:shd w:val="clear" w:color="auto" w:fill="auto"/>
            <w:noWrap/>
            <w:vAlign w:val="center"/>
            <w:hideMark/>
          </w:tcPr>
          <w:p w14:paraId="31213268" w14:textId="77777777" w:rsidR="0027615E" w:rsidRPr="00CD0B05" w:rsidRDefault="0027615E" w:rsidP="00FE2E6A">
            <w:pPr>
              <w:rPr>
                <w:rFonts w:eastAsia="Times New Roman"/>
                <w:sz w:val="20"/>
                <w:szCs w:val="20"/>
              </w:rPr>
            </w:pPr>
          </w:p>
        </w:tc>
        <w:tc>
          <w:tcPr>
            <w:tcW w:w="1080" w:type="dxa"/>
            <w:shd w:val="clear" w:color="auto" w:fill="auto"/>
            <w:noWrap/>
            <w:vAlign w:val="center"/>
            <w:hideMark/>
          </w:tcPr>
          <w:p w14:paraId="619785FD" w14:textId="77777777" w:rsidR="0027615E" w:rsidRPr="00CD0B05" w:rsidRDefault="0027615E" w:rsidP="00FE2E6A">
            <w:pPr>
              <w:rPr>
                <w:rFonts w:eastAsia="Times New Roman"/>
                <w:sz w:val="20"/>
                <w:szCs w:val="20"/>
              </w:rPr>
            </w:pPr>
          </w:p>
        </w:tc>
        <w:tc>
          <w:tcPr>
            <w:tcW w:w="955" w:type="dxa"/>
            <w:shd w:val="clear" w:color="auto" w:fill="auto"/>
            <w:noWrap/>
            <w:vAlign w:val="center"/>
            <w:hideMark/>
          </w:tcPr>
          <w:p w14:paraId="0CFC1C52" w14:textId="77777777" w:rsidR="0027615E" w:rsidRPr="00CD0B05" w:rsidRDefault="0027615E" w:rsidP="00FE2E6A">
            <w:pPr>
              <w:rPr>
                <w:rFonts w:eastAsia="Times New Roman"/>
                <w:sz w:val="20"/>
                <w:szCs w:val="20"/>
              </w:rPr>
            </w:pPr>
          </w:p>
        </w:tc>
        <w:tc>
          <w:tcPr>
            <w:tcW w:w="955" w:type="dxa"/>
            <w:shd w:val="clear" w:color="auto" w:fill="auto"/>
            <w:noWrap/>
            <w:vAlign w:val="center"/>
            <w:hideMark/>
          </w:tcPr>
          <w:p w14:paraId="3ED72E5C" w14:textId="77777777" w:rsidR="0027615E" w:rsidRPr="00CD0B05" w:rsidRDefault="0027615E" w:rsidP="00FE2E6A">
            <w:pPr>
              <w:rPr>
                <w:rFonts w:eastAsia="Times New Roman"/>
                <w:sz w:val="20"/>
                <w:szCs w:val="20"/>
              </w:rPr>
            </w:pPr>
          </w:p>
        </w:tc>
      </w:tr>
      <w:tr w:rsidR="0027615E" w:rsidRPr="00CD0B05" w14:paraId="169A009B" w14:textId="77777777" w:rsidTr="00FE2E6A">
        <w:trPr>
          <w:trHeight w:val="300"/>
        </w:trPr>
        <w:tc>
          <w:tcPr>
            <w:tcW w:w="3420" w:type="dxa"/>
            <w:shd w:val="clear" w:color="auto" w:fill="auto"/>
            <w:noWrap/>
            <w:vAlign w:val="center"/>
            <w:hideMark/>
          </w:tcPr>
          <w:p w14:paraId="6EAB47D4" w14:textId="77777777" w:rsidR="0027615E" w:rsidRPr="00CD0B05" w:rsidRDefault="0027615E" w:rsidP="00FE2E6A">
            <w:pPr>
              <w:rPr>
                <w:rFonts w:eastAsia="Times New Roman"/>
                <w:color w:val="000000"/>
                <w:sz w:val="22"/>
              </w:rPr>
            </w:pPr>
            <w:r>
              <w:rPr>
                <w:rFonts w:eastAsia="Times New Roman"/>
                <w:color w:val="000000"/>
                <w:sz w:val="22"/>
              </w:rPr>
              <w:t xml:space="preserve">(6) </w:t>
            </w:r>
            <w:r w:rsidRPr="00CD0B05">
              <w:rPr>
                <w:rFonts w:eastAsia="Times New Roman"/>
                <w:color w:val="000000"/>
                <w:sz w:val="22"/>
              </w:rPr>
              <w:t>Environmental Dynamism</w:t>
            </w:r>
          </w:p>
        </w:tc>
        <w:tc>
          <w:tcPr>
            <w:tcW w:w="717" w:type="dxa"/>
            <w:vAlign w:val="center"/>
          </w:tcPr>
          <w:p w14:paraId="3BEF77B8" w14:textId="77777777" w:rsidR="0027615E" w:rsidRPr="00CD0B05" w:rsidRDefault="0027615E" w:rsidP="00FE2E6A">
            <w:pPr>
              <w:rPr>
                <w:rFonts w:eastAsia="Times New Roman"/>
                <w:color w:val="000000"/>
                <w:sz w:val="22"/>
              </w:rPr>
            </w:pPr>
            <w:r>
              <w:rPr>
                <w:rFonts w:eastAsia="Times New Roman"/>
                <w:color w:val="000000"/>
                <w:sz w:val="22"/>
              </w:rPr>
              <w:t>3.36</w:t>
            </w:r>
          </w:p>
        </w:tc>
        <w:tc>
          <w:tcPr>
            <w:tcW w:w="498" w:type="dxa"/>
            <w:vAlign w:val="center"/>
          </w:tcPr>
          <w:p w14:paraId="6CD0904E" w14:textId="77777777" w:rsidR="0027615E" w:rsidRPr="00CD0B05" w:rsidRDefault="0027615E" w:rsidP="00FE2E6A">
            <w:pPr>
              <w:rPr>
                <w:rFonts w:eastAsia="Times New Roman"/>
                <w:color w:val="000000"/>
                <w:sz w:val="22"/>
              </w:rPr>
            </w:pPr>
            <w:r>
              <w:rPr>
                <w:rFonts w:eastAsia="Times New Roman"/>
                <w:color w:val="000000"/>
                <w:sz w:val="22"/>
              </w:rPr>
              <w:t>0.94</w:t>
            </w:r>
          </w:p>
        </w:tc>
        <w:tc>
          <w:tcPr>
            <w:tcW w:w="1019" w:type="dxa"/>
            <w:shd w:val="clear" w:color="auto" w:fill="auto"/>
            <w:noWrap/>
            <w:vAlign w:val="center"/>
            <w:hideMark/>
          </w:tcPr>
          <w:p w14:paraId="183CDE99" w14:textId="77777777" w:rsidR="0027615E" w:rsidRPr="00CD0B05" w:rsidRDefault="0027615E" w:rsidP="00FE2E6A">
            <w:pPr>
              <w:rPr>
                <w:rFonts w:eastAsia="Times New Roman"/>
                <w:color w:val="000000"/>
                <w:sz w:val="22"/>
              </w:rPr>
            </w:pPr>
            <w:r w:rsidRPr="00CD0B05">
              <w:rPr>
                <w:rFonts w:eastAsia="Times New Roman"/>
                <w:color w:val="000000"/>
                <w:sz w:val="22"/>
              </w:rPr>
              <w:t>-0.089</w:t>
            </w:r>
            <w:r w:rsidRPr="002A3EEC">
              <w:rPr>
                <w:sz w:val="22"/>
                <w:vertAlign w:val="superscript"/>
              </w:rPr>
              <w:t>†</w:t>
            </w:r>
          </w:p>
        </w:tc>
        <w:tc>
          <w:tcPr>
            <w:tcW w:w="955" w:type="dxa"/>
            <w:shd w:val="clear" w:color="auto" w:fill="auto"/>
            <w:noWrap/>
            <w:vAlign w:val="center"/>
            <w:hideMark/>
          </w:tcPr>
          <w:p w14:paraId="72345A89" w14:textId="77777777" w:rsidR="0027615E" w:rsidRPr="00CD0B05" w:rsidRDefault="0027615E" w:rsidP="00FE2E6A">
            <w:pPr>
              <w:rPr>
                <w:rFonts w:eastAsia="Times New Roman"/>
                <w:color w:val="000000"/>
                <w:sz w:val="22"/>
              </w:rPr>
            </w:pPr>
            <w:r w:rsidRPr="00CD0B05">
              <w:rPr>
                <w:rFonts w:eastAsia="Times New Roman"/>
                <w:color w:val="000000"/>
                <w:sz w:val="22"/>
              </w:rPr>
              <w:t>0.083</w:t>
            </w:r>
            <w:r w:rsidRPr="002A3EEC">
              <w:rPr>
                <w:sz w:val="22"/>
                <w:vertAlign w:val="superscript"/>
              </w:rPr>
              <w:t>†</w:t>
            </w:r>
          </w:p>
        </w:tc>
        <w:tc>
          <w:tcPr>
            <w:tcW w:w="1025" w:type="dxa"/>
            <w:shd w:val="clear" w:color="auto" w:fill="auto"/>
            <w:noWrap/>
            <w:vAlign w:val="center"/>
            <w:hideMark/>
          </w:tcPr>
          <w:p w14:paraId="5D823A7F" w14:textId="77777777" w:rsidR="0027615E" w:rsidRPr="00CD0B05" w:rsidRDefault="0027615E" w:rsidP="00FE2E6A">
            <w:pPr>
              <w:rPr>
                <w:rFonts w:eastAsia="Times New Roman"/>
                <w:color w:val="000000"/>
                <w:sz w:val="22"/>
              </w:rPr>
            </w:pPr>
            <w:r w:rsidRPr="00CD0B05">
              <w:rPr>
                <w:rFonts w:eastAsia="Times New Roman"/>
                <w:color w:val="000000"/>
                <w:sz w:val="22"/>
              </w:rPr>
              <w:t>0.069</w:t>
            </w:r>
          </w:p>
        </w:tc>
        <w:tc>
          <w:tcPr>
            <w:tcW w:w="1080" w:type="dxa"/>
            <w:shd w:val="clear" w:color="auto" w:fill="auto"/>
            <w:noWrap/>
            <w:vAlign w:val="center"/>
            <w:hideMark/>
          </w:tcPr>
          <w:p w14:paraId="680AF65F" w14:textId="77777777" w:rsidR="0027615E" w:rsidRPr="00CD0B05" w:rsidRDefault="0027615E" w:rsidP="00FE2E6A">
            <w:pPr>
              <w:rPr>
                <w:rFonts w:eastAsia="Times New Roman"/>
                <w:color w:val="000000"/>
                <w:sz w:val="22"/>
              </w:rPr>
            </w:pPr>
            <w:r w:rsidRPr="00CD0B05">
              <w:rPr>
                <w:rFonts w:eastAsia="Times New Roman"/>
                <w:color w:val="000000"/>
                <w:sz w:val="22"/>
              </w:rPr>
              <w:t>0.450</w:t>
            </w:r>
            <w:r w:rsidRPr="00211087">
              <w:rPr>
                <w:rFonts w:eastAsia="Times New Roman"/>
                <w:color w:val="000000"/>
                <w:sz w:val="22"/>
                <w:vertAlign w:val="superscript"/>
              </w:rPr>
              <w:t>***</w:t>
            </w:r>
          </w:p>
        </w:tc>
        <w:tc>
          <w:tcPr>
            <w:tcW w:w="955" w:type="dxa"/>
            <w:shd w:val="clear" w:color="auto" w:fill="auto"/>
            <w:noWrap/>
            <w:vAlign w:val="center"/>
            <w:hideMark/>
          </w:tcPr>
          <w:p w14:paraId="079A8B5C" w14:textId="77777777" w:rsidR="0027615E" w:rsidRPr="00CD0B05" w:rsidRDefault="0027615E" w:rsidP="00FE2E6A">
            <w:pPr>
              <w:rPr>
                <w:rFonts w:eastAsia="Times New Roman"/>
                <w:color w:val="000000"/>
                <w:sz w:val="22"/>
              </w:rPr>
            </w:pPr>
            <w:r w:rsidRPr="00CD0B05">
              <w:rPr>
                <w:rFonts w:eastAsia="Times New Roman"/>
                <w:color w:val="000000"/>
                <w:sz w:val="22"/>
              </w:rPr>
              <w:t>-0.078</w:t>
            </w:r>
            <w:r w:rsidRPr="002A3EEC">
              <w:rPr>
                <w:sz w:val="22"/>
                <w:vertAlign w:val="superscript"/>
              </w:rPr>
              <w:t>†</w:t>
            </w:r>
          </w:p>
        </w:tc>
        <w:tc>
          <w:tcPr>
            <w:tcW w:w="1025" w:type="dxa"/>
            <w:shd w:val="clear" w:color="auto" w:fill="auto"/>
            <w:noWrap/>
            <w:vAlign w:val="center"/>
            <w:hideMark/>
          </w:tcPr>
          <w:p w14:paraId="4EE0EAAA" w14:textId="77777777" w:rsidR="0027615E" w:rsidRPr="00CD0B05" w:rsidRDefault="0027615E" w:rsidP="00FE2E6A">
            <w:pPr>
              <w:rPr>
                <w:rFonts w:eastAsia="Times New Roman"/>
                <w:color w:val="000000"/>
                <w:sz w:val="22"/>
              </w:rPr>
            </w:pPr>
          </w:p>
        </w:tc>
        <w:tc>
          <w:tcPr>
            <w:tcW w:w="1080" w:type="dxa"/>
            <w:shd w:val="clear" w:color="auto" w:fill="auto"/>
            <w:noWrap/>
            <w:vAlign w:val="center"/>
            <w:hideMark/>
          </w:tcPr>
          <w:p w14:paraId="259755F9" w14:textId="77777777" w:rsidR="0027615E" w:rsidRPr="00CD0B05" w:rsidRDefault="0027615E" w:rsidP="00FE2E6A">
            <w:pPr>
              <w:rPr>
                <w:rFonts w:eastAsia="Times New Roman"/>
                <w:sz w:val="20"/>
                <w:szCs w:val="20"/>
              </w:rPr>
            </w:pPr>
          </w:p>
        </w:tc>
        <w:tc>
          <w:tcPr>
            <w:tcW w:w="955" w:type="dxa"/>
            <w:shd w:val="clear" w:color="auto" w:fill="auto"/>
            <w:noWrap/>
            <w:vAlign w:val="center"/>
            <w:hideMark/>
          </w:tcPr>
          <w:p w14:paraId="39C9FF9C" w14:textId="77777777" w:rsidR="0027615E" w:rsidRPr="00CD0B05" w:rsidRDefault="0027615E" w:rsidP="00FE2E6A">
            <w:pPr>
              <w:rPr>
                <w:rFonts w:eastAsia="Times New Roman"/>
                <w:sz w:val="20"/>
                <w:szCs w:val="20"/>
              </w:rPr>
            </w:pPr>
          </w:p>
        </w:tc>
        <w:tc>
          <w:tcPr>
            <w:tcW w:w="955" w:type="dxa"/>
            <w:shd w:val="clear" w:color="auto" w:fill="auto"/>
            <w:noWrap/>
            <w:vAlign w:val="center"/>
            <w:hideMark/>
          </w:tcPr>
          <w:p w14:paraId="155FC875" w14:textId="77777777" w:rsidR="0027615E" w:rsidRPr="00CD0B05" w:rsidRDefault="0027615E" w:rsidP="00FE2E6A">
            <w:pPr>
              <w:rPr>
                <w:rFonts w:eastAsia="Times New Roman"/>
                <w:sz w:val="20"/>
                <w:szCs w:val="20"/>
              </w:rPr>
            </w:pPr>
          </w:p>
        </w:tc>
      </w:tr>
      <w:tr w:rsidR="0027615E" w:rsidRPr="00CD0B05" w14:paraId="7A6C43C0" w14:textId="77777777" w:rsidTr="00FE2E6A">
        <w:trPr>
          <w:trHeight w:val="300"/>
        </w:trPr>
        <w:tc>
          <w:tcPr>
            <w:tcW w:w="3420" w:type="dxa"/>
            <w:shd w:val="clear" w:color="auto" w:fill="auto"/>
            <w:noWrap/>
            <w:vAlign w:val="center"/>
            <w:hideMark/>
          </w:tcPr>
          <w:p w14:paraId="2D15F474" w14:textId="77777777" w:rsidR="0027615E" w:rsidRPr="00CD0B05" w:rsidRDefault="0027615E" w:rsidP="00FE2E6A">
            <w:pPr>
              <w:rPr>
                <w:rFonts w:eastAsia="Times New Roman"/>
                <w:color w:val="000000"/>
                <w:sz w:val="22"/>
              </w:rPr>
            </w:pPr>
            <w:r>
              <w:rPr>
                <w:rFonts w:eastAsia="Times New Roman"/>
                <w:color w:val="000000"/>
                <w:sz w:val="22"/>
              </w:rPr>
              <w:t xml:space="preserve">(7) </w:t>
            </w:r>
            <w:r w:rsidRPr="00CD0B05">
              <w:rPr>
                <w:rFonts w:eastAsia="Times New Roman"/>
                <w:color w:val="000000"/>
                <w:sz w:val="22"/>
              </w:rPr>
              <w:t>Frequency of Small Disruptions</w:t>
            </w:r>
          </w:p>
        </w:tc>
        <w:tc>
          <w:tcPr>
            <w:tcW w:w="717" w:type="dxa"/>
            <w:vAlign w:val="center"/>
          </w:tcPr>
          <w:p w14:paraId="3E4FDE2F" w14:textId="77777777" w:rsidR="0027615E" w:rsidRPr="00CD0B05" w:rsidRDefault="0027615E" w:rsidP="00FE2E6A">
            <w:pPr>
              <w:rPr>
                <w:rFonts w:eastAsia="Times New Roman"/>
                <w:color w:val="000000"/>
                <w:sz w:val="22"/>
              </w:rPr>
            </w:pPr>
            <w:r>
              <w:rPr>
                <w:rFonts w:eastAsia="Times New Roman"/>
                <w:color w:val="000000"/>
                <w:sz w:val="22"/>
              </w:rPr>
              <w:t>3.64</w:t>
            </w:r>
          </w:p>
        </w:tc>
        <w:tc>
          <w:tcPr>
            <w:tcW w:w="498" w:type="dxa"/>
            <w:vAlign w:val="center"/>
          </w:tcPr>
          <w:p w14:paraId="190B74F6" w14:textId="77777777" w:rsidR="0027615E" w:rsidRPr="00CD0B05" w:rsidRDefault="0027615E" w:rsidP="00FE2E6A">
            <w:pPr>
              <w:rPr>
                <w:rFonts w:eastAsia="Times New Roman"/>
                <w:color w:val="000000"/>
                <w:sz w:val="22"/>
              </w:rPr>
            </w:pPr>
            <w:r>
              <w:rPr>
                <w:rFonts w:eastAsia="Times New Roman"/>
                <w:color w:val="000000"/>
                <w:sz w:val="22"/>
              </w:rPr>
              <w:t>1.09</w:t>
            </w:r>
          </w:p>
        </w:tc>
        <w:tc>
          <w:tcPr>
            <w:tcW w:w="1019" w:type="dxa"/>
            <w:shd w:val="clear" w:color="auto" w:fill="auto"/>
            <w:noWrap/>
            <w:vAlign w:val="center"/>
            <w:hideMark/>
          </w:tcPr>
          <w:p w14:paraId="6792CA92" w14:textId="77777777" w:rsidR="0027615E" w:rsidRPr="00CD0B05" w:rsidRDefault="0027615E" w:rsidP="00FE2E6A">
            <w:pPr>
              <w:rPr>
                <w:rFonts w:eastAsia="Times New Roman"/>
                <w:color w:val="000000"/>
                <w:sz w:val="22"/>
              </w:rPr>
            </w:pPr>
            <w:r w:rsidRPr="00CD0B05">
              <w:rPr>
                <w:rFonts w:eastAsia="Times New Roman"/>
                <w:color w:val="000000"/>
                <w:sz w:val="22"/>
              </w:rPr>
              <w:t>0.331</w:t>
            </w:r>
            <w:r w:rsidRPr="00211087">
              <w:rPr>
                <w:rFonts w:eastAsia="Times New Roman"/>
                <w:color w:val="000000"/>
                <w:sz w:val="22"/>
                <w:vertAlign w:val="superscript"/>
              </w:rPr>
              <w:t>***</w:t>
            </w:r>
          </w:p>
        </w:tc>
        <w:tc>
          <w:tcPr>
            <w:tcW w:w="955" w:type="dxa"/>
            <w:shd w:val="clear" w:color="auto" w:fill="auto"/>
            <w:noWrap/>
            <w:vAlign w:val="center"/>
            <w:hideMark/>
          </w:tcPr>
          <w:p w14:paraId="05722EA4" w14:textId="77777777" w:rsidR="0027615E" w:rsidRPr="00CD0B05" w:rsidRDefault="0027615E" w:rsidP="00FE2E6A">
            <w:pPr>
              <w:rPr>
                <w:rFonts w:eastAsia="Times New Roman"/>
                <w:color w:val="000000"/>
                <w:sz w:val="22"/>
              </w:rPr>
            </w:pPr>
            <w:r w:rsidRPr="00CD0B05">
              <w:rPr>
                <w:rFonts w:eastAsia="Times New Roman"/>
                <w:color w:val="000000"/>
                <w:sz w:val="22"/>
              </w:rPr>
              <w:t>0.202</w:t>
            </w:r>
            <w:r w:rsidRPr="00211087">
              <w:rPr>
                <w:rFonts w:eastAsia="Times New Roman"/>
                <w:color w:val="000000"/>
                <w:sz w:val="22"/>
                <w:vertAlign w:val="superscript"/>
              </w:rPr>
              <w:t>***</w:t>
            </w:r>
          </w:p>
        </w:tc>
        <w:tc>
          <w:tcPr>
            <w:tcW w:w="1025" w:type="dxa"/>
            <w:shd w:val="clear" w:color="auto" w:fill="auto"/>
            <w:noWrap/>
            <w:vAlign w:val="center"/>
            <w:hideMark/>
          </w:tcPr>
          <w:p w14:paraId="0873F6C3" w14:textId="77777777" w:rsidR="0027615E" w:rsidRPr="00CD0B05" w:rsidRDefault="0027615E" w:rsidP="00FE2E6A">
            <w:pPr>
              <w:rPr>
                <w:rFonts w:eastAsia="Times New Roman"/>
                <w:color w:val="000000"/>
                <w:sz w:val="22"/>
              </w:rPr>
            </w:pPr>
            <w:r w:rsidRPr="00CD0B05">
              <w:rPr>
                <w:rFonts w:eastAsia="Times New Roman"/>
                <w:color w:val="000000"/>
                <w:sz w:val="22"/>
              </w:rPr>
              <w:t>-0.339</w:t>
            </w:r>
            <w:r w:rsidRPr="00211087">
              <w:rPr>
                <w:rFonts w:eastAsia="Times New Roman"/>
                <w:color w:val="000000"/>
                <w:sz w:val="22"/>
                <w:vertAlign w:val="superscript"/>
              </w:rPr>
              <w:t>***</w:t>
            </w:r>
          </w:p>
        </w:tc>
        <w:tc>
          <w:tcPr>
            <w:tcW w:w="1080" w:type="dxa"/>
            <w:shd w:val="clear" w:color="auto" w:fill="auto"/>
            <w:noWrap/>
            <w:vAlign w:val="center"/>
            <w:hideMark/>
          </w:tcPr>
          <w:p w14:paraId="63CE5E9F" w14:textId="77777777" w:rsidR="0027615E" w:rsidRPr="00CD0B05" w:rsidRDefault="0027615E" w:rsidP="00FE2E6A">
            <w:pPr>
              <w:rPr>
                <w:rFonts w:eastAsia="Times New Roman"/>
                <w:color w:val="000000"/>
                <w:sz w:val="22"/>
              </w:rPr>
            </w:pPr>
            <w:r w:rsidRPr="00CD0B05">
              <w:rPr>
                <w:rFonts w:eastAsia="Times New Roman"/>
                <w:color w:val="000000"/>
                <w:sz w:val="22"/>
              </w:rPr>
              <w:t>-0.096</w:t>
            </w:r>
            <w:r>
              <w:rPr>
                <w:rFonts w:eastAsia="Times New Roman"/>
                <w:color w:val="000000"/>
                <w:sz w:val="22"/>
                <w:vertAlign w:val="superscript"/>
              </w:rPr>
              <w:t>*</w:t>
            </w:r>
          </w:p>
        </w:tc>
        <w:tc>
          <w:tcPr>
            <w:tcW w:w="955" w:type="dxa"/>
            <w:shd w:val="clear" w:color="auto" w:fill="auto"/>
            <w:noWrap/>
            <w:vAlign w:val="center"/>
            <w:hideMark/>
          </w:tcPr>
          <w:p w14:paraId="7F10D40C" w14:textId="77777777" w:rsidR="0027615E" w:rsidRPr="00CD0B05" w:rsidRDefault="0027615E" w:rsidP="00FE2E6A">
            <w:pPr>
              <w:rPr>
                <w:rFonts w:eastAsia="Times New Roman"/>
                <w:color w:val="000000"/>
                <w:sz w:val="22"/>
              </w:rPr>
            </w:pPr>
            <w:r w:rsidRPr="00CD0B05">
              <w:rPr>
                <w:rFonts w:eastAsia="Times New Roman"/>
                <w:color w:val="000000"/>
                <w:sz w:val="22"/>
              </w:rPr>
              <w:t>-0.061</w:t>
            </w:r>
          </w:p>
        </w:tc>
        <w:tc>
          <w:tcPr>
            <w:tcW w:w="1025" w:type="dxa"/>
            <w:shd w:val="clear" w:color="auto" w:fill="auto"/>
            <w:noWrap/>
            <w:vAlign w:val="center"/>
            <w:hideMark/>
          </w:tcPr>
          <w:p w14:paraId="43A3CBD7" w14:textId="77777777" w:rsidR="0027615E" w:rsidRPr="00CD0B05" w:rsidRDefault="0027615E" w:rsidP="00FE2E6A">
            <w:pPr>
              <w:rPr>
                <w:rFonts w:eastAsia="Times New Roman"/>
                <w:color w:val="000000"/>
                <w:sz w:val="22"/>
              </w:rPr>
            </w:pPr>
            <w:r w:rsidRPr="00CD0B05">
              <w:rPr>
                <w:rFonts w:eastAsia="Times New Roman"/>
                <w:color w:val="000000"/>
                <w:sz w:val="22"/>
              </w:rPr>
              <w:t>0.001</w:t>
            </w:r>
          </w:p>
        </w:tc>
        <w:tc>
          <w:tcPr>
            <w:tcW w:w="1080" w:type="dxa"/>
            <w:shd w:val="clear" w:color="auto" w:fill="auto"/>
            <w:noWrap/>
            <w:vAlign w:val="center"/>
            <w:hideMark/>
          </w:tcPr>
          <w:p w14:paraId="7DCFDE21" w14:textId="77777777" w:rsidR="0027615E" w:rsidRPr="00CD0B05" w:rsidRDefault="0027615E" w:rsidP="00FE2E6A">
            <w:pPr>
              <w:rPr>
                <w:rFonts w:eastAsia="Times New Roman"/>
                <w:color w:val="000000"/>
                <w:sz w:val="22"/>
              </w:rPr>
            </w:pPr>
          </w:p>
        </w:tc>
        <w:tc>
          <w:tcPr>
            <w:tcW w:w="955" w:type="dxa"/>
            <w:shd w:val="clear" w:color="auto" w:fill="auto"/>
            <w:noWrap/>
            <w:vAlign w:val="center"/>
            <w:hideMark/>
          </w:tcPr>
          <w:p w14:paraId="2A898ED4" w14:textId="77777777" w:rsidR="0027615E" w:rsidRPr="00CD0B05" w:rsidRDefault="0027615E" w:rsidP="00FE2E6A">
            <w:pPr>
              <w:rPr>
                <w:rFonts w:eastAsia="Times New Roman"/>
                <w:sz w:val="20"/>
                <w:szCs w:val="20"/>
              </w:rPr>
            </w:pPr>
          </w:p>
        </w:tc>
        <w:tc>
          <w:tcPr>
            <w:tcW w:w="955" w:type="dxa"/>
            <w:shd w:val="clear" w:color="auto" w:fill="auto"/>
            <w:noWrap/>
            <w:vAlign w:val="center"/>
            <w:hideMark/>
          </w:tcPr>
          <w:p w14:paraId="7A3911C9" w14:textId="77777777" w:rsidR="0027615E" w:rsidRPr="00CD0B05" w:rsidRDefault="0027615E" w:rsidP="00FE2E6A">
            <w:pPr>
              <w:rPr>
                <w:rFonts w:eastAsia="Times New Roman"/>
                <w:sz w:val="20"/>
                <w:szCs w:val="20"/>
              </w:rPr>
            </w:pPr>
          </w:p>
        </w:tc>
      </w:tr>
      <w:tr w:rsidR="0027615E" w:rsidRPr="00CD0B05" w14:paraId="0990AF03" w14:textId="77777777" w:rsidTr="00FE2E6A">
        <w:trPr>
          <w:trHeight w:val="300"/>
        </w:trPr>
        <w:tc>
          <w:tcPr>
            <w:tcW w:w="3420" w:type="dxa"/>
            <w:shd w:val="clear" w:color="auto" w:fill="auto"/>
            <w:noWrap/>
            <w:vAlign w:val="center"/>
            <w:hideMark/>
          </w:tcPr>
          <w:p w14:paraId="26702725" w14:textId="77777777" w:rsidR="0027615E" w:rsidRPr="00CD0B05" w:rsidRDefault="0027615E" w:rsidP="00FE2E6A">
            <w:pPr>
              <w:rPr>
                <w:rFonts w:eastAsia="Times New Roman"/>
                <w:color w:val="000000"/>
                <w:sz w:val="22"/>
              </w:rPr>
            </w:pPr>
            <w:r>
              <w:rPr>
                <w:rFonts w:eastAsia="Times New Roman"/>
                <w:color w:val="000000"/>
                <w:sz w:val="22"/>
              </w:rPr>
              <w:t xml:space="preserve">(8) </w:t>
            </w:r>
            <w:r w:rsidRPr="00CD0B05">
              <w:rPr>
                <w:rFonts w:eastAsia="Times New Roman"/>
                <w:color w:val="000000"/>
                <w:sz w:val="22"/>
              </w:rPr>
              <w:t xml:space="preserve">Frequency of </w:t>
            </w:r>
            <w:r>
              <w:rPr>
                <w:rFonts w:eastAsia="Times New Roman"/>
                <w:color w:val="000000"/>
                <w:sz w:val="22"/>
              </w:rPr>
              <w:t>N</w:t>
            </w:r>
            <w:r w:rsidRPr="00CD0B05">
              <w:rPr>
                <w:rFonts w:eastAsia="Times New Roman"/>
                <w:color w:val="000000"/>
                <w:sz w:val="22"/>
              </w:rPr>
              <w:t xml:space="preserve">ear </w:t>
            </w:r>
            <w:r>
              <w:rPr>
                <w:rFonts w:eastAsia="Times New Roman"/>
                <w:color w:val="000000"/>
                <w:sz w:val="22"/>
              </w:rPr>
              <w:t>M</w:t>
            </w:r>
            <w:r w:rsidRPr="00CD0B05">
              <w:rPr>
                <w:rFonts w:eastAsia="Times New Roman"/>
                <w:color w:val="000000"/>
                <w:sz w:val="22"/>
              </w:rPr>
              <w:t>isses</w:t>
            </w:r>
          </w:p>
        </w:tc>
        <w:tc>
          <w:tcPr>
            <w:tcW w:w="717" w:type="dxa"/>
            <w:vAlign w:val="center"/>
          </w:tcPr>
          <w:p w14:paraId="379A7CCD" w14:textId="77777777" w:rsidR="0027615E" w:rsidRPr="00CD0B05" w:rsidRDefault="0027615E" w:rsidP="00FE2E6A">
            <w:pPr>
              <w:rPr>
                <w:rFonts w:eastAsia="Times New Roman"/>
                <w:color w:val="000000"/>
                <w:sz w:val="22"/>
              </w:rPr>
            </w:pPr>
            <w:r>
              <w:rPr>
                <w:rFonts w:eastAsia="Times New Roman"/>
                <w:color w:val="000000"/>
                <w:sz w:val="22"/>
              </w:rPr>
              <w:t>3.45</w:t>
            </w:r>
          </w:p>
        </w:tc>
        <w:tc>
          <w:tcPr>
            <w:tcW w:w="498" w:type="dxa"/>
            <w:vAlign w:val="center"/>
          </w:tcPr>
          <w:p w14:paraId="3CB28D74" w14:textId="77777777" w:rsidR="0027615E" w:rsidRPr="00CD0B05" w:rsidRDefault="0027615E" w:rsidP="00FE2E6A">
            <w:pPr>
              <w:rPr>
                <w:rFonts w:eastAsia="Times New Roman"/>
                <w:color w:val="000000"/>
                <w:sz w:val="22"/>
              </w:rPr>
            </w:pPr>
            <w:r>
              <w:rPr>
                <w:rFonts w:eastAsia="Times New Roman"/>
                <w:color w:val="000000"/>
                <w:sz w:val="22"/>
              </w:rPr>
              <w:t>1.36</w:t>
            </w:r>
          </w:p>
        </w:tc>
        <w:tc>
          <w:tcPr>
            <w:tcW w:w="1019" w:type="dxa"/>
            <w:shd w:val="clear" w:color="auto" w:fill="auto"/>
            <w:noWrap/>
            <w:vAlign w:val="center"/>
            <w:hideMark/>
          </w:tcPr>
          <w:p w14:paraId="28E971D6" w14:textId="77777777" w:rsidR="0027615E" w:rsidRPr="00CD0B05" w:rsidRDefault="0027615E" w:rsidP="00FE2E6A">
            <w:pPr>
              <w:rPr>
                <w:rFonts w:eastAsia="Times New Roman"/>
                <w:color w:val="000000"/>
                <w:sz w:val="22"/>
              </w:rPr>
            </w:pPr>
            <w:r w:rsidRPr="00CD0B05">
              <w:rPr>
                <w:rFonts w:eastAsia="Times New Roman"/>
                <w:color w:val="000000"/>
                <w:sz w:val="22"/>
              </w:rPr>
              <w:t>0.589</w:t>
            </w:r>
            <w:r w:rsidRPr="00211087">
              <w:rPr>
                <w:rFonts w:eastAsia="Times New Roman"/>
                <w:color w:val="000000"/>
                <w:sz w:val="22"/>
                <w:vertAlign w:val="superscript"/>
              </w:rPr>
              <w:t>***</w:t>
            </w:r>
          </w:p>
        </w:tc>
        <w:tc>
          <w:tcPr>
            <w:tcW w:w="955" w:type="dxa"/>
            <w:shd w:val="clear" w:color="auto" w:fill="auto"/>
            <w:noWrap/>
            <w:vAlign w:val="center"/>
            <w:hideMark/>
          </w:tcPr>
          <w:p w14:paraId="1EC0D84A" w14:textId="77777777" w:rsidR="0027615E" w:rsidRPr="00CD0B05" w:rsidRDefault="0027615E" w:rsidP="00FE2E6A">
            <w:pPr>
              <w:rPr>
                <w:rFonts w:eastAsia="Times New Roman"/>
                <w:color w:val="000000"/>
                <w:sz w:val="22"/>
              </w:rPr>
            </w:pPr>
            <w:r w:rsidRPr="00CD0B05">
              <w:rPr>
                <w:rFonts w:eastAsia="Times New Roman"/>
                <w:color w:val="000000"/>
                <w:sz w:val="22"/>
              </w:rPr>
              <w:t>0.002</w:t>
            </w:r>
          </w:p>
        </w:tc>
        <w:tc>
          <w:tcPr>
            <w:tcW w:w="1025" w:type="dxa"/>
            <w:shd w:val="clear" w:color="auto" w:fill="auto"/>
            <w:noWrap/>
            <w:vAlign w:val="center"/>
            <w:hideMark/>
          </w:tcPr>
          <w:p w14:paraId="6736558A" w14:textId="77777777" w:rsidR="0027615E" w:rsidRPr="00CD0B05" w:rsidRDefault="0027615E" w:rsidP="00FE2E6A">
            <w:pPr>
              <w:rPr>
                <w:rFonts w:eastAsia="Times New Roman"/>
                <w:color w:val="000000"/>
                <w:sz w:val="22"/>
              </w:rPr>
            </w:pPr>
            <w:r w:rsidRPr="00CD0B05">
              <w:rPr>
                <w:rFonts w:eastAsia="Times New Roman"/>
                <w:color w:val="000000"/>
                <w:sz w:val="22"/>
              </w:rPr>
              <w:t>-0.156</w:t>
            </w:r>
            <w:r w:rsidRPr="00211087">
              <w:rPr>
                <w:rFonts w:eastAsia="Times New Roman"/>
                <w:color w:val="000000"/>
                <w:sz w:val="22"/>
                <w:vertAlign w:val="superscript"/>
              </w:rPr>
              <w:t>***</w:t>
            </w:r>
          </w:p>
        </w:tc>
        <w:tc>
          <w:tcPr>
            <w:tcW w:w="1080" w:type="dxa"/>
            <w:shd w:val="clear" w:color="auto" w:fill="auto"/>
            <w:noWrap/>
            <w:vAlign w:val="center"/>
            <w:hideMark/>
          </w:tcPr>
          <w:p w14:paraId="2A7C73FD" w14:textId="77777777" w:rsidR="0027615E" w:rsidRPr="00CD0B05" w:rsidRDefault="0027615E" w:rsidP="00FE2E6A">
            <w:pPr>
              <w:rPr>
                <w:rFonts w:eastAsia="Times New Roman"/>
                <w:color w:val="000000"/>
                <w:sz w:val="22"/>
              </w:rPr>
            </w:pPr>
            <w:r w:rsidRPr="00CD0B05">
              <w:rPr>
                <w:rFonts w:eastAsia="Times New Roman"/>
                <w:color w:val="000000"/>
                <w:sz w:val="22"/>
              </w:rPr>
              <w:t>-0.175</w:t>
            </w:r>
            <w:r w:rsidRPr="00211087">
              <w:rPr>
                <w:rFonts w:eastAsia="Times New Roman"/>
                <w:color w:val="000000"/>
                <w:sz w:val="22"/>
                <w:vertAlign w:val="superscript"/>
              </w:rPr>
              <w:t>***</w:t>
            </w:r>
          </w:p>
        </w:tc>
        <w:tc>
          <w:tcPr>
            <w:tcW w:w="955" w:type="dxa"/>
            <w:shd w:val="clear" w:color="auto" w:fill="auto"/>
            <w:noWrap/>
            <w:vAlign w:val="center"/>
            <w:hideMark/>
          </w:tcPr>
          <w:p w14:paraId="037A771F" w14:textId="77777777" w:rsidR="0027615E" w:rsidRPr="00CD0B05" w:rsidRDefault="0027615E" w:rsidP="00FE2E6A">
            <w:pPr>
              <w:rPr>
                <w:rFonts w:eastAsia="Times New Roman"/>
                <w:color w:val="000000"/>
                <w:sz w:val="22"/>
              </w:rPr>
            </w:pPr>
            <w:r w:rsidRPr="00CD0B05">
              <w:rPr>
                <w:rFonts w:eastAsia="Times New Roman"/>
                <w:color w:val="000000"/>
                <w:sz w:val="22"/>
              </w:rPr>
              <w:t>-0.064</w:t>
            </w:r>
          </w:p>
        </w:tc>
        <w:tc>
          <w:tcPr>
            <w:tcW w:w="1025" w:type="dxa"/>
            <w:shd w:val="clear" w:color="auto" w:fill="auto"/>
            <w:noWrap/>
            <w:vAlign w:val="center"/>
            <w:hideMark/>
          </w:tcPr>
          <w:p w14:paraId="0C389B4F" w14:textId="77777777" w:rsidR="0027615E" w:rsidRPr="00CD0B05" w:rsidRDefault="0027615E" w:rsidP="00FE2E6A">
            <w:pPr>
              <w:rPr>
                <w:rFonts w:eastAsia="Times New Roman"/>
                <w:color w:val="000000"/>
                <w:sz w:val="22"/>
              </w:rPr>
            </w:pPr>
            <w:r w:rsidRPr="00CD0B05">
              <w:rPr>
                <w:rFonts w:eastAsia="Times New Roman"/>
                <w:color w:val="000000"/>
                <w:sz w:val="22"/>
              </w:rPr>
              <w:t>-0.181</w:t>
            </w:r>
            <w:r w:rsidRPr="00211087">
              <w:rPr>
                <w:rFonts w:eastAsia="Times New Roman"/>
                <w:color w:val="000000"/>
                <w:sz w:val="22"/>
                <w:vertAlign w:val="superscript"/>
              </w:rPr>
              <w:t>***</w:t>
            </w:r>
          </w:p>
        </w:tc>
        <w:tc>
          <w:tcPr>
            <w:tcW w:w="1080" w:type="dxa"/>
            <w:shd w:val="clear" w:color="auto" w:fill="auto"/>
            <w:noWrap/>
            <w:vAlign w:val="center"/>
            <w:hideMark/>
          </w:tcPr>
          <w:p w14:paraId="72AADE44" w14:textId="77777777" w:rsidR="0027615E" w:rsidRPr="00CD0B05" w:rsidRDefault="0027615E" w:rsidP="00FE2E6A">
            <w:pPr>
              <w:rPr>
                <w:rFonts w:eastAsia="Times New Roman"/>
                <w:color w:val="000000"/>
                <w:sz w:val="22"/>
              </w:rPr>
            </w:pPr>
            <w:r w:rsidRPr="00CD0B05">
              <w:rPr>
                <w:rFonts w:eastAsia="Times New Roman"/>
                <w:color w:val="000000"/>
                <w:sz w:val="22"/>
              </w:rPr>
              <w:t>0.215</w:t>
            </w:r>
            <w:r w:rsidRPr="00211087">
              <w:rPr>
                <w:rFonts w:eastAsia="Times New Roman"/>
                <w:color w:val="000000"/>
                <w:sz w:val="22"/>
                <w:vertAlign w:val="superscript"/>
              </w:rPr>
              <w:t>***</w:t>
            </w:r>
          </w:p>
        </w:tc>
        <w:tc>
          <w:tcPr>
            <w:tcW w:w="955" w:type="dxa"/>
            <w:shd w:val="clear" w:color="auto" w:fill="auto"/>
            <w:noWrap/>
            <w:vAlign w:val="center"/>
            <w:hideMark/>
          </w:tcPr>
          <w:p w14:paraId="201DDC3A" w14:textId="77777777" w:rsidR="0027615E" w:rsidRPr="00CD0B05" w:rsidRDefault="0027615E" w:rsidP="00FE2E6A">
            <w:pPr>
              <w:rPr>
                <w:rFonts w:eastAsia="Times New Roman"/>
                <w:color w:val="000000"/>
                <w:sz w:val="22"/>
              </w:rPr>
            </w:pPr>
          </w:p>
        </w:tc>
        <w:tc>
          <w:tcPr>
            <w:tcW w:w="955" w:type="dxa"/>
            <w:shd w:val="clear" w:color="auto" w:fill="auto"/>
            <w:noWrap/>
            <w:vAlign w:val="center"/>
            <w:hideMark/>
          </w:tcPr>
          <w:p w14:paraId="34966AEC" w14:textId="77777777" w:rsidR="0027615E" w:rsidRPr="00CD0B05" w:rsidRDefault="0027615E" w:rsidP="00FE2E6A">
            <w:pPr>
              <w:rPr>
                <w:rFonts w:eastAsia="Times New Roman"/>
                <w:sz w:val="20"/>
                <w:szCs w:val="20"/>
              </w:rPr>
            </w:pPr>
          </w:p>
        </w:tc>
      </w:tr>
      <w:tr w:rsidR="0027615E" w:rsidRPr="00CD0B05" w14:paraId="1CD3C381" w14:textId="77777777" w:rsidTr="00FE2E6A">
        <w:trPr>
          <w:trHeight w:val="300"/>
        </w:trPr>
        <w:tc>
          <w:tcPr>
            <w:tcW w:w="3420" w:type="dxa"/>
            <w:shd w:val="clear" w:color="auto" w:fill="auto"/>
            <w:noWrap/>
            <w:vAlign w:val="center"/>
            <w:hideMark/>
          </w:tcPr>
          <w:p w14:paraId="0E96C050" w14:textId="77777777" w:rsidR="0027615E" w:rsidRPr="00CD0B05" w:rsidRDefault="0027615E" w:rsidP="00FE2E6A">
            <w:pPr>
              <w:rPr>
                <w:rFonts w:eastAsia="Times New Roman"/>
                <w:color w:val="000000"/>
                <w:sz w:val="22"/>
              </w:rPr>
            </w:pPr>
            <w:r>
              <w:rPr>
                <w:rFonts w:eastAsia="Times New Roman"/>
                <w:color w:val="000000"/>
                <w:sz w:val="22"/>
              </w:rPr>
              <w:t xml:space="preserve">(9) </w:t>
            </w:r>
            <w:r w:rsidRPr="00CD0B05">
              <w:rPr>
                <w:rFonts w:eastAsia="Times New Roman"/>
                <w:color w:val="000000"/>
                <w:sz w:val="22"/>
              </w:rPr>
              <w:t xml:space="preserve">Regulatory Pressure </w:t>
            </w:r>
          </w:p>
        </w:tc>
        <w:tc>
          <w:tcPr>
            <w:tcW w:w="717" w:type="dxa"/>
            <w:vAlign w:val="center"/>
          </w:tcPr>
          <w:p w14:paraId="485C75B5" w14:textId="77777777" w:rsidR="0027615E" w:rsidRPr="00CD0B05" w:rsidRDefault="0027615E" w:rsidP="00FE2E6A">
            <w:pPr>
              <w:rPr>
                <w:rFonts w:eastAsia="Times New Roman"/>
                <w:color w:val="000000"/>
                <w:sz w:val="22"/>
              </w:rPr>
            </w:pPr>
            <w:r>
              <w:rPr>
                <w:rFonts w:eastAsia="Times New Roman"/>
                <w:color w:val="000000"/>
                <w:sz w:val="22"/>
              </w:rPr>
              <w:t>2.82</w:t>
            </w:r>
          </w:p>
        </w:tc>
        <w:tc>
          <w:tcPr>
            <w:tcW w:w="498" w:type="dxa"/>
            <w:vAlign w:val="center"/>
          </w:tcPr>
          <w:p w14:paraId="1E1C86E2" w14:textId="77777777" w:rsidR="0027615E" w:rsidRPr="00CD0B05" w:rsidRDefault="0027615E" w:rsidP="00FE2E6A">
            <w:pPr>
              <w:rPr>
                <w:rFonts w:eastAsia="Times New Roman"/>
                <w:color w:val="000000"/>
                <w:sz w:val="22"/>
              </w:rPr>
            </w:pPr>
            <w:r>
              <w:rPr>
                <w:rFonts w:eastAsia="Times New Roman"/>
                <w:color w:val="000000"/>
                <w:sz w:val="22"/>
              </w:rPr>
              <w:t>1.01</w:t>
            </w:r>
          </w:p>
        </w:tc>
        <w:tc>
          <w:tcPr>
            <w:tcW w:w="1019" w:type="dxa"/>
            <w:shd w:val="clear" w:color="auto" w:fill="auto"/>
            <w:noWrap/>
            <w:vAlign w:val="center"/>
            <w:hideMark/>
          </w:tcPr>
          <w:p w14:paraId="476F55AE" w14:textId="77777777" w:rsidR="0027615E" w:rsidRPr="00CD0B05" w:rsidRDefault="0027615E" w:rsidP="00FE2E6A">
            <w:pPr>
              <w:rPr>
                <w:rFonts w:eastAsia="Times New Roman"/>
                <w:color w:val="000000"/>
                <w:sz w:val="22"/>
              </w:rPr>
            </w:pPr>
            <w:r w:rsidRPr="00CD0B05">
              <w:rPr>
                <w:rFonts w:eastAsia="Times New Roman"/>
                <w:color w:val="000000"/>
                <w:sz w:val="22"/>
              </w:rPr>
              <w:t>0.068</w:t>
            </w:r>
          </w:p>
        </w:tc>
        <w:tc>
          <w:tcPr>
            <w:tcW w:w="955" w:type="dxa"/>
            <w:shd w:val="clear" w:color="auto" w:fill="auto"/>
            <w:noWrap/>
            <w:vAlign w:val="center"/>
            <w:hideMark/>
          </w:tcPr>
          <w:p w14:paraId="1536DC4A" w14:textId="77777777" w:rsidR="0027615E" w:rsidRPr="00CD0B05" w:rsidRDefault="0027615E" w:rsidP="00FE2E6A">
            <w:pPr>
              <w:rPr>
                <w:rFonts w:eastAsia="Times New Roman"/>
                <w:color w:val="000000"/>
                <w:sz w:val="22"/>
              </w:rPr>
            </w:pPr>
            <w:r w:rsidRPr="00CD0B05">
              <w:rPr>
                <w:rFonts w:eastAsia="Times New Roman"/>
                <w:color w:val="000000"/>
                <w:sz w:val="22"/>
              </w:rPr>
              <w:t>0.145</w:t>
            </w:r>
            <w:r>
              <w:rPr>
                <w:rFonts w:eastAsia="Times New Roman"/>
                <w:color w:val="000000"/>
                <w:sz w:val="22"/>
                <w:vertAlign w:val="superscript"/>
              </w:rPr>
              <w:t>**</w:t>
            </w:r>
          </w:p>
        </w:tc>
        <w:tc>
          <w:tcPr>
            <w:tcW w:w="1025" w:type="dxa"/>
            <w:shd w:val="clear" w:color="auto" w:fill="auto"/>
            <w:noWrap/>
            <w:vAlign w:val="center"/>
            <w:hideMark/>
          </w:tcPr>
          <w:p w14:paraId="74ADC1D2" w14:textId="77777777" w:rsidR="0027615E" w:rsidRPr="00CD0B05" w:rsidRDefault="0027615E" w:rsidP="00FE2E6A">
            <w:pPr>
              <w:rPr>
                <w:rFonts w:eastAsia="Times New Roman"/>
                <w:color w:val="000000"/>
                <w:sz w:val="22"/>
              </w:rPr>
            </w:pPr>
            <w:r w:rsidRPr="00CD0B05">
              <w:rPr>
                <w:rFonts w:eastAsia="Times New Roman"/>
                <w:color w:val="000000"/>
                <w:sz w:val="22"/>
              </w:rPr>
              <w:t>0.033</w:t>
            </w:r>
          </w:p>
        </w:tc>
        <w:tc>
          <w:tcPr>
            <w:tcW w:w="1080" w:type="dxa"/>
            <w:shd w:val="clear" w:color="auto" w:fill="auto"/>
            <w:noWrap/>
            <w:vAlign w:val="center"/>
            <w:hideMark/>
          </w:tcPr>
          <w:p w14:paraId="48F1854F" w14:textId="77777777" w:rsidR="0027615E" w:rsidRPr="00CD0B05" w:rsidRDefault="0027615E" w:rsidP="00FE2E6A">
            <w:pPr>
              <w:rPr>
                <w:rFonts w:eastAsia="Times New Roman"/>
                <w:color w:val="000000"/>
                <w:sz w:val="22"/>
              </w:rPr>
            </w:pPr>
            <w:r w:rsidRPr="00CD0B05">
              <w:rPr>
                <w:rFonts w:eastAsia="Times New Roman"/>
                <w:color w:val="000000"/>
                <w:sz w:val="22"/>
              </w:rPr>
              <w:t>0.258</w:t>
            </w:r>
            <w:r w:rsidRPr="00211087">
              <w:rPr>
                <w:rFonts w:eastAsia="Times New Roman"/>
                <w:color w:val="000000"/>
                <w:sz w:val="22"/>
                <w:vertAlign w:val="superscript"/>
              </w:rPr>
              <w:t>***</w:t>
            </w:r>
          </w:p>
        </w:tc>
        <w:tc>
          <w:tcPr>
            <w:tcW w:w="955" w:type="dxa"/>
            <w:shd w:val="clear" w:color="auto" w:fill="auto"/>
            <w:noWrap/>
            <w:vAlign w:val="center"/>
            <w:hideMark/>
          </w:tcPr>
          <w:p w14:paraId="7493F074" w14:textId="77777777" w:rsidR="0027615E" w:rsidRPr="00CD0B05" w:rsidRDefault="0027615E" w:rsidP="00FE2E6A">
            <w:pPr>
              <w:rPr>
                <w:rFonts w:eastAsia="Times New Roman"/>
                <w:color w:val="000000"/>
                <w:sz w:val="22"/>
              </w:rPr>
            </w:pPr>
            <w:r w:rsidRPr="00CD0B05">
              <w:rPr>
                <w:rFonts w:eastAsia="Times New Roman"/>
                <w:color w:val="000000"/>
                <w:sz w:val="22"/>
              </w:rPr>
              <w:t>0.004</w:t>
            </w:r>
          </w:p>
        </w:tc>
        <w:tc>
          <w:tcPr>
            <w:tcW w:w="1025" w:type="dxa"/>
            <w:shd w:val="clear" w:color="auto" w:fill="auto"/>
            <w:noWrap/>
            <w:vAlign w:val="center"/>
            <w:hideMark/>
          </w:tcPr>
          <w:p w14:paraId="6A7C7A4A" w14:textId="77777777" w:rsidR="0027615E" w:rsidRPr="00CD0B05" w:rsidRDefault="0027615E" w:rsidP="00FE2E6A">
            <w:pPr>
              <w:rPr>
                <w:rFonts w:eastAsia="Times New Roman"/>
                <w:color w:val="000000"/>
                <w:sz w:val="22"/>
              </w:rPr>
            </w:pPr>
            <w:r w:rsidRPr="00CD0B05">
              <w:rPr>
                <w:rFonts w:eastAsia="Times New Roman"/>
                <w:color w:val="000000"/>
                <w:sz w:val="22"/>
              </w:rPr>
              <w:t>0.429</w:t>
            </w:r>
            <w:r w:rsidRPr="00211087">
              <w:rPr>
                <w:rFonts w:eastAsia="Times New Roman"/>
                <w:color w:val="000000"/>
                <w:sz w:val="22"/>
                <w:vertAlign w:val="superscript"/>
              </w:rPr>
              <w:t>***</w:t>
            </w:r>
          </w:p>
        </w:tc>
        <w:tc>
          <w:tcPr>
            <w:tcW w:w="1080" w:type="dxa"/>
            <w:shd w:val="clear" w:color="auto" w:fill="auto"/>
            <w:noWrap/>
            <w:vAlign w:val="center"/>
            <w:hideMark/>
          </w:tcPr>
          <w:p w14:paraId="446C554E" w14:textId="77777777" w:rsidR="0027615E" w:rsidRPr="00CD0B05" w:rsidRDefault="0027615E" w:rsidP="00FE2E6A">
            <w:pPr>
              <w:rPr>
                <w:rFonts w:eastAsia="Times New Roman"/>
                <w:color w:val="000000"/>
                <w:sz w:val="22"/>
              </w:rPr>
            </w:pPr>
            <w:r w:rsidRPr="00CD0B05">
              <w:rPr>
                <w:rFonts w:eastAsia="Times New Roman"/>
                <w:color w:val="000000"/>
                <w:sz w:val="22"/>
              </w:rPr>
              <w:t>0.085</w:t>
            </w:r>
            <w:r w:rsidRPr="002A3EEC">
              <w:rPr>
                <w:sz w:val="22"/>
                <w:vertAlign w:val="superscript"/>
              </w:rPr>
              <w:t>†</w:t>
            </w:r>
          </w:p>
        </w:tc>
        <w:tc>
          <w:tcPr>
            <w:tcW w:w="955" w:type="dxa"/>
            <w:shd w:val="clear" w:color="auto" w:fill="auto"/>
            <w:noWrap/>
            <w:vAlign w:val="center"/>
            <w:hideMark/>
          </w:tcPr>
          <w:p w14:paraId="0B1164CF" w14:textId="77777777" w:rsidR="0027615E" w:rsidRPr="00CD0B05" w:rsidRDefault="0027615E" w:rsidP="00FE2E6A">
            <w:pPr>
              <w:rPr>
                <w:rFonts w:eastAsia="Times New Roman"/>
                <w:color w:val="000000"/>
                <w:sz w:val="22"/>
              </w:rPr>
            </w:pPr>
            <w:r w:rsidRPr="00CD0B05">
              <w:rPr>
                <w:rFonts w:eastAsia="Times New Roman"/>
                <w:color w:val="000000"/>
                <w:sz w:val="22"/>
              </w:rPr>
              <w:t>-0.095</w:t>
            </w:r>
            <w:r>
              <w:rPr>
                <w:rFonts w:eastAsia="Times New Roman"/>
                <w:color w:val="000000"/>
                <w:sz w:val="22"/>
                <w:vertAlign w:val="superscript"/>
              </w:rPr>
              <w:t>*</w:t>
            </w:r>
          </w:p>
        </w:tc>
        <w:tc>
          <w:tcPr>
            <w:tcW w:w="955" w:type="dxa"/>
            <w:shd w:val="clear" w:color="auto" w:fill="auto"/>
            <w:noWrap/>
            <w:vAlign w:val="center"/>
            <w:hideMark/>
          </w:tcPr>
          <w:p w14:paraId="35551A03" w14:textId="77777777" w:rsidR="0027615E" w:rsidRPr="00CD0B05" w:rsidRDefault="0027615E" w:rsidP="00FE2E6A">
            <w:pPr>
              <w:rPr>
                <w:rFonts w:eastAsia="Times New Roman"/>
                <w:color w:val="000000"/>
                <w:sz w:val="22"/>
              </w:rPr>
            </w:pPr>
          </w:p>
        </w:tc>
      </w:tr>
      <w:tr w:rsidR="0027615E" w:rsidRPr="00CD0B05" w14:paraId="1DE108DE" w14:textId="77777777" w:rsidTr="00FE2E6A">
        <w:trPr>
          <w:trHeight w:val="300"/>
        </w:trPr>
        <w:tc>
          <w:tcPr>
            <w:tcW w:w="3420" w:type="dxa"/>
            <w:shd w:val="clear" w:color="auto" w:fill="auto"/>
            <w:noWrap/>
            <w:vAlign w:val="center"/>
            <w:hideMark/>
          </w:tcPr>
          <w:p w14:paraId="02FFDA3F" w14:textId="77777777" w:rsidR="0027615E" w:rsidRPr="00CD0B05" w:rsidRDefault="0027615E" w:rsidP="00FE2E6A">
            <w:pPr>
              <w:rPr>
                <w:rFonts w:eastAsia="Times New Roman"/>
                <w:color w:val="000000"/>
                <w:sz w:val="22"/>
              </w:rPr>
            </w:pPr>
            <w:r>
              <w:rPr>
                <w:rFonts w:eastAsia="Times New Roman"/>
                <w:color w:val="000000"/>
                <w:sz w:val="22"/>
              </w:rPr>
              <w:t xml:space="preserve">(10) </w:t>
            </w:r>
            <w:r w:rsidRPr="00CD0B05">
              <w:rPr>
                <w:rFonts w:eastAsia="Times New Roman"/>
                <w:color w:val="000000"/>
                <w:sz w:val="22"/>
              </w:rPr>
              <w:t xml:space="preserve">Industry Pressure </w:t>
            </w:r>
          </w:p>
        </w:tc>
        <w:tc>
          <w:tcPr>
            <w:tcW w:w="717" w:type="dxa"/>
            <w:vAlign w:val="center"/>
          </w:tcPr>
          <w:p w14:paraId="2C646713" w14:textId="77777777" w:rsidR="0027615E" w:rsidRPr="00CD0B05" w:rsidRDefault="0027615E" w:rsidP="00FE2E6A">
            <w:pPr>
              <w:rPr>
                <w:rFonts w:eastAsia="Times New Roman"/>
                <w:color w:val="000000"/>
                <w:sz w:val="22"/>
              </w:rPr>
            </w:pPr>
            <w:r>
              <w:rPr>
                <w:rFonts w:eastAsia="Times New Roman"/>
                <w:color w:val="000000"/>
                <w:sz w:val="22"/>
              </w:rPr>
              <w:t>4.12</w:t>
            </w:r>
          </w:p>
        </w:tc>
        <w:tc>
          <w:tcPr>
            <w:tcW w:w="498" w:type="dxa"/>
            <w:vAlign w:val="center"/>
          </w:tcPr>
          <w:p w14:paraId="22D3029F" w14:textId="77777777" w:rsidR="0027615E" w:rsidRPr="00CD0B05" w:rsidRDefault="0027615E" w:rsidP="00FE2E6A">
            <w:pPr>
              <w:rPr>
                <w:rFonts w:eastAsia="Times New Roman"/>
                <w:color w:val="000000"/>
                <w:sz w:val="22"/>
              </w:rPr>
            </w:pPr>
            <w:r>
              <w:rPr>
                <w:rFonts w:eastAsia="Times New Roman"/>
                <w:color w:val="000000"/>
                <w:sz w:val="22"/>
              </w:rPr>
              <w:t>0.92</w:t>
            </w:r>
          </w:p>
        </w:tc>
        <w:tc>
          <w:tcPr>
            <w:tcW w:w="1019" w:type="dxa"/>
            <w:shd w:val="clear" w:color="auto" w:fill="auto"/>
            <w:noWrap/>
            <w:vAlign w:val="center"/>
            <w:hideMark/>
          </w:tcPr>
          <w:p w14:paraId="14185984" w14:textId="77777777" w:rsidR="0027615E" w:rsidRPr="00CD0B05" w:rsidRDefault="0027615E" w:rsidP="00FE2E6A">
            <w:pPr>
              <w:rPr>
                <w:rFonts w:eastAsia="Times New Roman"/>
                <w:color w:val="000000"/>
                <w:sz w:val="22"/>
              </w:rPr>
            </w:pPr>
            <w:r w:rsidRPr="00CD0B05">
              <w:rPr>
                <w:rFonts w:eastAsia="Times New Roman"/>
                <w:color w:val="000000"/>
                <w:sz w:val="22"/>
              </w:rPr>
              <w:t>0.054</w:t>
            </w:r>
          </w:p>
        </w:tc>
        <w:tc>
          <w:tcPr>
            <w:tcW w:w="955" w:type="dxa"/>
            <w:shd w:val="clear" w:color="auto" w:fill="auto"/>
            <w:noWrap/>
            <w:vAlign w:val="center"/>
            <w:hideMark/>
          </w:tcPr>
          <w:p w14:paraId="052EE8EF" w14:textId="77777777" w:rsidR="0027615E" w:rsidRPr="00CD0B05" w:rsidRDefault="0027615E" w:rsidP="00FE2E6A">
            <w:pPr>
              <w:rPr>
                <w:rFonts w:eastAsia="Times New Roman"/>
                <w:color w:val="000000"/>
                <w:sz w:val="22"/>
              </w:rPr>
            </w:pPr>
            <w:r w:rsidRPr="00CD0B05">
              <w:rPr>
                <w:rFonts w:eastAsia="Times New Roman"/>
                <w:color w:val="000000"/>
                <w:sz w:val="22"/>
              </w:rPr>
              <w:t>0.050</w:t>
            </w:r>
          </w:p>
        </w:tc>
        <w:tc>
          <w:tcPr>
            <w:tcW w:w="1025" w:type="dxa"/>
            <w:shd w:val="clear" w:color="auto" w:fill="auto"/>
            <w:noWrap/>
            <w:vAlign w:val="center"/>
            <w:hideMark/>
          </w:tcPr>
          <w:p w14:paraId="73AAD357" w14:textId="77777777" w:rsidR="0027615E" w:rsidRPr="00CD0B05" w:rsidRDefault="0027615E" w:rsidP="00FE2E6A">
            <w:pPr>
              <w:rPr>
                <w:rFonts w:eastAsia="Times New Roman"/>
                <w:color w:val="000000"/>
                <w:sz w:val="22"/>
              </w:rPr>
            </w:pPr>
            <w:r w:rsidRPr="00CD0B05">
              <w:rPr>
                <w:rFonts w:eastAsia="Times New Roman"/>
                <w:color w:val="000000"/>
                <w:sz w:val="22"/>
              </w:rPr>
              <w:t>0.126</w:t>
            </w:r>
            <w:r>
              <w:rPr>
                <w:rFonts w:eastAsia="Times New Roman"/>
                <w:color w:val="000000"/>
                <w:sz w:val="22"/>
                <w:vertAlign w:val="superscript"/>
              </w:rPr>
              <w:t>**</w:t>
            </w:r>
          </w:p>
        </w:tc>
        <w:tc>
          <w:tcPr>
            <w:tcW w:w="1080" w:type="dxa"/>
            <w:shd w:val="clear" w:color="auto" w:fill="auto"/>
            <w:noWrap/>
            <w:vAlign w:val="center"/>
            <w:hideMark/>
          </w:tcPr>
          <w:p w14:paraId="7B7AAB7C" w14:textId="77777777" w:rsidR="0027615E" w:rsidRPr="00CD0B05" w:rsidRDefault="0027615E" w:rsidP="00FE2E6A">
            <w:pPr>
              <w:rPr>
                <w:rFonts w:eastAsia="Times New Roman"/>
                <w:color w:val="000000"/>
                <w:sz w:val="22"/>
              </w:rPr>
            </w:pPr>
            <w:r w:rsidRPr="00CD0B05">
              <w:rPr>
                <w:rFonts w:eastAsia="Times New Roman"/>
                <w:color w:val="000000"/>
                <w:sz w:val="22"/>
              </w:rPr>
              <w:t>-0.054</w:t>
            </w:r>
          </w:p>
        </w:tc>
        <w:tc>
          <w:tcPr>
            <w:tcW w:w="955" w:type="dxa"/>
            <w:shd w:val="clear" w:color="auto" w:fill="auto"/>
            <w:noWrap/>
            <w:vAlign w:val="center"/>
            <w:hideMark/>
          </w:tcPr>
          <w:p w14:paraId="2C11B00E" w14:textId="77777777" w:rsidR="0027615E" w:rsidRPr="00CD0B05" w:rsidRDefault="0027615E" w:rsidP="00FE2E6A">
            <w:pPr>
              <w:rPr>
                <w:rFonts w:eastAsia="Times New Roman"/>
                <w:color w:val="000000"/>
                <w:sz w:val="22"/>
              </w:rPr>
            </w:pPr>
            <w:r w:rsidRPr="00CD0B05">
              <w:rPr>
                <w:rFonts w:eastAsia="Times New Roman"/>
                <w:color w:val="000000"/>
                <w:sz w:val="22"/>
              </w:rPr>
              <w:t>-0.022</w:t>
            </w:r>
          </w:p>
        </w:tc>
        <w:tc>
          <w:tcPr>
            <w:tcW w:w="1025" w:type="dxa"/>
            <w:shd w:val="clear" w:color="auto" w:fill="auto"/>
            <w:noWrap/>
            <w:vAlign w:val="center"/>
            <w:hideMark/>
          </w:tcPr>
          <w:p w14:paraId="3D9BD43D" w14:textId="77777777" w:rsidR="0027615E" w:rsidRPr="00CD0B05" w:rsidRDefault="0027615E" w:rsidP="00FE2E6A">
            <w:pPr>
              <w:rPr>
                <w:rFonts w:eastAsia="Times New Roman"/>
                <w:color w:val="000000"/>
                <w:sz w:val="22"/>
              </w:rPr>
            </w:pPr>
            <w:r w:rsidRPr="00CD0B05">
              <w:rPr>
                <w:rFonts w:eastAsia="Times New Roman"/>
                <w:color w:val="000000"/>
                <w:sz w:val="22"/>
              </w:rPr>
              <w:t>0.061</w:t>
            </w:r>
          </w:p>
        </w:tc>
        <w:tc>
          <w:tcPr>
            <w:tcW w:w="1080" w:type="dxa"/>
            <w:shd w:val="clear" w:color="auto" w:fill="auto"/>
            <w:noWrap/>
            <w:vAlign w:val="center"/>
            <w:hideMark/>
          </w:tcPr>
          <w:p w14:paraId="1E2A091F" w14:textId="77777777" w:rsidR="0027615E" w:rsidRPr="00CD0B05" w:rsidRDefault="0027615E" w:rsidP="00FE2E6A">
            <w:pPr>
              <w:rPr>
                <w:rFonts w:eastAsia="Times New Roman"/>
                <w:color w:val="000000"/>
                <w:sz w:val="22"/>
              </w:rPr>
            </w:pPr>
            <w:r w:rsidRPr="00CD0B05">
              <w:rPr>
                <w:rFonts w:eastAsia="Times New Roman"/>
                <w:color w:val="000000"/>
                <w:sz w:val="22"/>
              </w:rPr>
              <w:t>-0.169</w:t>
            </w:r>
            <w:r w:rsidRPr="00211087">
              <w:rPr>
                <w:rFonts w:eastAsia="Times New Roman"/>
                <w:color w:val="000000"/>
                <w:sz w:val="22"/>
                <w:vertAlign w:val="superscript"/>
              </w:rPr>
              <w:t>***</w:t>
            </w:r>
          </w:p>
        </w:tc>
        <w:tc>
          <w:tcPr>
            <w:tcW w:w="955" w:type="dxa"/>
            <w:shd w:val="clear" w:color="auto" w:fill="auto"/>
            <w:noWrap/>
            <w:vAlign w:val="center"/>
            <w:hideMark/>
          </w:tcPr>
          <w:p w14:paraId="4DAC9F63" w14:textId="77777777" w:rsidR="0027615E" w:rsidRPr="00CD0B05" w:rsidRDefault="0027615E" w:rsidP="00FE2E6A">
            <w:pPr>
              <w:rPr>
                <w:rFonts w:eastAsia="Times New Roman"/>
                <w:color w:val="000000"/>
                <w:sz w:val="22"/>
              </w:rPr>
            </w:pPr>
            <w:r w:rsidRPr="00CD0B05">
              <w:rPr>
                <w:rFonts w:eastAsia="Times New Roman"/>
                <w:color w:val="000000"/>
                <w:sz w:val="22"/>
              </w:rPr>
              <w:t>0.128</w:t>
            </w:r>
            <w:r>
              <w:rPr>
                <w:rFonts w:eastAsia="Times New Roman"/>
                <w:color w:val="000000"/>
                <w:sz w:val="22"/>
                <w:vertAlign w:val="superscript"/>
              </w:rPr>
              <w:t>**</w:t>
            </w:r>
          </w:p>
        </w:tc>
        <w:tc>
          <w:tcPr>
            <w:tcW w:w="955" w:type="dxa"/>
            <w:shd w:val="clear" w:color="auto" w:fill="auto"/>
            <w:noWrap/>
            <w:vAlign w:val="center"/>
            <w:hideMark/>
          </w:tcPr>
          <w:p w14:paraId="726B6A7C" w14:textId="77777777" w:rsidR="0027615E" w:rsidRPr="00CD0B05" w:rsidRDefault="0027615E" w:rsidP="00FE2E6A">
            <w:pPr>
              <w:rPr>
                <w:rFonts w:eastAsia="Times New Roman"/>
                <w:color w:val="000000"/>
                <w:sz w:val="22"/>
              </w:rPr>
            </w:pPr>
            <w:r w:rsidRPr="00CD0B05">
              <w:rPr>
                <w:rFonts w:eastAsia="Times New Roman"/>
                <w:color w:val="000000"/>
                <w:sz w:val="22"/>
              </w:rPr>
              <w:t>0.050</w:t>
            </w:r>
          </w:p>
        </w:tc>
      </w:tr>
    </w:tbl>
    <w:p w14:paraId="5D1DDCD3" w14:textId="77777777" w:rsidR="0027615E" w:rsidRPr="002A3EEC" w:rsidRDefault="0027615E" w:rsidP="0027615E">
      <w:pPr>
        <w:rPr>
          <w:sz w:val="20"/>
        </w:rPr>
      </w:pPr>
      <w:r w:rsidRPr="0053045B">
        <w:rPr>
          <w:sz w:val="20"/>
        </w:rPr>
        <w:t xml:space="preserve">† </w:t>
      </w:r>
      <w:r w:rsidRPr="000032AB">
        <w:rPr>
          <w:i/>
          <w:sz w:val="20"/>
        </w:rPr>
        <w:t>p</w:t>
      </w:r>
      <w:r w:rsidRPr="0053045B">
        <w:rPr>
          <w:sz w:val="20"/>
        </w:rPr>
        <w:t xml:space="preserve"> ≤ 0.10; * </w:t>
      </w:r>
      <w:r w:rsidRPr="000032AB">
        <w:rPr>
          <w:i/>
          <w:sz w:val="20"/>
        </w:rPr>
        <w:t>p</w:t>
      </w:r>
      <w:r w:rsidRPr="0053045B">
        <w:rPr>
          <w:sz w:val="20"/>
        </w:rPr>
        <w:t xml:space="preserve"> ≤ 0.0</w:t>
      </w:r>
      <w:r>
        <w:rPr>
          <w:sz w:val="20"/>
        </w:rPr>
        <w:t xml:space="preserve">5; ** </w:t>
      </w:r>
      <w:r w:rsidRPr="000032AB">
        <w:rPr>
          <w:i/>
          <w:sz w:val="20"/>
        </w:rPr>
        <w:t>p</w:t>
      </w:r>
      <w:r>
        <w:rPr>
          <w:sz w:val="20"/>
        </w:rPr>
        <w:t xml:space="preserve"> ≤ 0.01; *** </w:t>
      </w:r>
      <w:r w:rsidRPr="000032AB">
        <w:rPr>
          <w:i/>
          <w:sz w:val="20"/>
        </w:rPr>
        <w:t>p</w:t>
      </w:r>
      <w:r>
        <w:rPr>
          <w:sz w:val="20"/>
        </w:rPr>
        <w:t xml:space="preserve"> ≤ 0.001</w:t>
      </w:r>
    </w:p>
    <w:p w14:paraId="49DA3DD8" w14:textId="77777777" w:rsidR="0027615E" w:rsidRDefault="0027615E" w:rsidP="002A5DA3"/>
    <w:p w14:paraId="1B24484B" w14:textId="5DAD82FC" w:rsidR="002A5DA3" w:rsidRDefault="002A5DA3" w:rsidP="002A5DA3">
      <w:r>
        <w:br w:type="page"/>
      </w:r>
    </w:p>
    <w:p w14:paraId="59F6321F" w14:textId="77777777" w:rsidR="002A5DA3" w:rsidRDefault="002A5DA3" w:rsidP="002A5DA3">
      <w:r>
        <w:rPr>
          <w:b/>
        </w:rPr>
        <w:lastRenderedPageBreak/>
        <w:t xml:space="preserve">Table 3: </w:t>
      </w:r>
      <w:r w:rsidRPr="00273B59">
        <w:t>CFA Model Fit and Item Loadings</w:t>
      </w:r>
    </w:p>
    <w:p w14:paraId="53FFC189" w14:textId="77777777" w:rsidR="00F41B73" w:rsidRDefault="00F41B73" w:rsidP="00F41B73">
      <w:pPr>
        <w:rPr>
          <w:b/>
        </w:rPr>
      </w:pPr>
    </w:p>
    <w:tbl>
      <w:tblPr>
        <w:tblW w:w="14508" w:type="dxa"/>
        <w:tblLayout w:type="fixed"/>
        <w:tblLook w:val="04A0" w:firstRow="1" w:lastRow="0" w:firstColumn="1" w:lastColumn="0" w:noHBand="0" w:noVBand="1"/>
      </w:tblPr>
      <w:tblGrid>
        <w:gridCol w:w="1278"/>
        <w:gridCol w:w="1170"/>
        <w:gridCol w:w="9630"/>
        <w:gridCol w:w="1350"/>
        <w:gridCol w:w="1080"/>
      </w:tblGrid>
      <w:tr w:rsidR="00F41B73" w:rsidRPr="009F1A63" w14:paraId="47EC1E21" w14:textId="77777777" w:rsidTr="00FE2E6A">
        <w:trPr>
          <w:trHeight w:val="258"/>
        </w:trPr>
        <w:tc>
          <w:tcPr>
            <w:tcW w:w="1278" w:type="dxa"/>
            <w:tcBorders>
              <w:top w:val="single" w:sz="12" w:space="0" w:color="auto"/>
              <w:bottom w:val="single" w:sz="12" w:space="0" w:color="auto"/>
            </w:tcBorders>
            <w:shd w:val="clear" w:color="auto" w:fill="auto"/>
            <w:vAlign w:val="center"/>
            <w:hideMark/>
          </w:tcPr>
          <w:p w14:paraId="15B08475" w14:textId="77777777" w:rsidR="00F41B73" w:rsidRPr="009F1A63" w:rsidRDefault="00F41B73" w:rsidP="00FE2E6A">
            <w:pPr>
              <w:rPr>
                <w:sz w:val="22"/>
              </w:rPr>
            </w:pPr>
            <w:r w:rsidRPr="009F1A63">
              <w:rPr>
                <w:sz w:val="22"/>
              </w:rPr>
              <w:t>Construct</w:t>
            </w:r>
          </w:p>
        </w:tc>
        <w:tc>
          <w:tcPr>
            <w:tcW w:w="1170" w:type="dxa"/>
            <w:tcBorders>
              <w:top w:val="single" w:sz="12" w:space="0" w:color="auto"/>
              <w:bottom w:val="single" w:sz="12" w:space="0" w:color="auto"/>
            </w:tcBorders>
            <w:shd w:val="clear" w:color="auto" w:fill="auto"/>
            <w:vAlign w:val="center"/>
            <w:hideMark/>
          </w:tcPr>
          <w:p w14:paraId="2FD62E42" w14:textId="77777777" w:rsidR="00F41B73" w:rsidRPr="009F1A63" w:rsidRDefault="00F41B73" w:rsidP="00FE2E6A">
            <w:pPr>
              <w:rPr>
                <w:sz w:val="22"/>
              </w:rPr>
            </w:pPr>
            <w:r w:rsidRPr="009F1A63">
              <w:rPr>
                <w:sz w:val="22"/>
              </w:rPr>
              <w:t>Item code</w:t>
            </w:r>
          </w:p>
        </w:tc>
        <w:tc>
          <w:tcPr>
            <w:tcW w:w="9630" w:type="dxa"/>
            <w:tcBorders>
              <w:top w:val="single" w:sz="12" w:space="0" w:color="auto"/>
              <w:bottom w:val="single" w:sz="12" w:space="0" w:color="auto"/>
            </w:tcBorders>
            <w:vAlign w:val="center"/>
          </w:tcPr>
          <w:p w14:paraId="46B964D4" w14:textId="77777777" w:rsidR="00F41B73" w:rsidRPr="009F1A63" w:rsidRDefault="00F41B73" w:rsidP="00FE2E6A">
            <w:pPr>
              <w:rPr>
                <w:sz w:val="22"/>
              </w:rPr>
            </w:pPr>
            <w:r w:rsidRPr="009F1A63">
              <w:rPr>
                <w:sz w:val="22"/>
              </w:rPr>
              <w:t>Item</w:t>
            </w:r>
          </w:p>
        </w:tc>
        <w:tc>
          <w:tcPr>
            <w:tcW w:w="1350" w:type="dxa"/>
            <w:tcBorders>
              <w:top w:val="single" w:sz="12" w:space="0" w:color="auto"/>
              <w:bottom w:val="single" w:sz="12" w:space="0" w:color="auto"/>
            </w:tcBorders>
            <w:shd w:val="clear" w:color="auto" w:fill="auto"/>
            <w:vAlign w:val="center"/>
            <w:hideMark/>
          </w:tcPr>
          <w:p w14:paraId="515E0476" w14:textId="77777777" w:rsidR="00F41B73" w:rsidRPr="009F1A63" w:rsidRDefault="00F41B73" w:rsidP="00FE2E6A">
            <w:pPr>
              <w:rPr>
                <w:sz w:val="22"/>
              </w:rPr>
            </w:pPr>
            <w:r w:rsidRPr="009F1A63">
              <w:rPr>
                <w:sz w:val="22"/>
              </w:rPr>
              <w:t>Std. loading</w:t>
            </w:r>
          </w:p>
        </w:tc>
        <w:tc>
          <w:tcPr>
            <w:tcW w:w="1080" w:type="dxa"/>
            <w:tcBorders>
              <w:top w:val="single" w:sz="12" w:space="0" w:color="auto"/>
              <w:bottom w:val="single" w:sz="12" w:space="0" w:color="auto"/>
            </w:tcBorders>
            <w:vAlign w:val="center"/>
          </w:tcPr>
          <w:p w14:paraId="1EDE0ED7" w14:textId="77777777" w:rsidR="00F41B73" w:rsidRPr="009F1A63" w:rsidRDefault="00F41B73" w:rsidP="00FE2E6A">
            <w:pPr>
              <w:rPr>
                <w:sz w:val="22"/>
              </w:rPr>
            </w:pPr>
            <w:r w:rsidRPr="009F1A63">
              <w:rPr>
                <w:sz w:val="22"/>
              </w:rPr>
              <w:t>CR; AVE</w:t>
            </w:r>
          </w:p>
        </w:tc>
      </w:tr>
      <w:tr w:rsidR="00F41B73" w:rsidRPr="009F1A63" w14:paraId="729DA57A" w14:textId="77777777" w:rsidTr="00FE2E6A">
        <w:trPr>
          <w:trHeight w:hRule="exact" w:val="302"/>
        </w:trPr>
        <w:tc>
          <w:tcPr>
            <w:tcW w:w="1278" w:type="dxa"/>
            <w:vMerge w:val="restart"/>
            <w:shd w:val="clear" w:color="auto" w:fill="auto"/>
            <w:vAlign w:val="center"/>
          </w:tcPr>
          <w:p w14:paraId="484CB187" w14:textId="77777777" w:rsidR="00F41B73" w:rsidRPr="009F1A63" w:rsidRDefault="00F41B73" w:rsidP="00FE2E6A">
            <w:pPr>
              <w:rPr>
                <w:sz w:val="22"/>
              </w:rPr>
            </w:pPr>
            <w:r>
              <w:rPr>
                <w:sz w:val="22"/>
              </w:rPr>
              <w:t>Procedural</w:t>
            </w:r>
            <w:r w:rsidRPr="009F1A63">
              <w:rPr>
                <w:sz w:val="22"/>
              </w:rPr>
              <w:t xml:space="preserve"> response</w:t>
            </w:r>
          </w:p>
        </w:tc>
        <w:tc>
          <w:tcPr>
            <w:tcW w:w="1170" w:type="dxa"/>
            <w:shd w:val="clear" w:color="auto" w:fill="auto"/>
            <w:vAlign w:val="center"/>
          </w:tcPr>
          <w:p w14:paraId="41436434" w14:textId="77777777" w:rsidR="00F41B73" w:rsidRPr="009F1A63" w:rsidRDefault="00F41B73" w:rsidP="00FE2E6A">
            <w:pPr>
              <w:rPr>
                <w:sz w:val="22"/>
              </w:rPr>
            </w:pPr>
            <w:r w:rsidRPr="009F1A63">
              <w:rPr>
                <w:sz w:val="22"/>
              </w:rPr>
              <w:t>PR1</w:t>
            </w:r>
          </w:p>
        </w:tc>
        <w:tc>
          <w:tcPr>
            <w:tcW w:w="9630" w:type="dxa"/>
            <w:vAlign w:val="center"/>
          </w:tcPr>
          <w:p w14:paraId="516808C3" w14:textId="77777777" w:rsidR="00F41B73" w:rsidRPr="000C3BF6" w:rsidRDefault="00F41B73" w:rsidP="00FE2E6A">
            <w:pPr>
              <w:rPr>
                <w:sz w:val="20"/>
                <w:szCs w:val="20"/>
              </w:rPr>
            </w:pPr>
            <w:r w:rsidRPr="000C3BF6">
              <w:rPr>
                <w:sz w:val="20"/>
                <w:szCs w:val="20"/>
              </w:rPr>
              <w:t>Use of established policies and procedures play a major role</w:t>
            </w:r>
          </w:p>
        </w:tc>
        <w:tc>
          <w:tcPr>
            <w:tcW w:w="1350" w:type="dxa"/>
            <w:shd w:val="clear" w:color="auto" w:fill="auto"/>
            <w:vAlign w:val="center"/>
          </w:tcPr>
          <w:p w14:paraId="1F2513EF" w14:textId="77777777" w:rsidR="00F41B73" w:rsidRPr="009F1A63" w:rsidRDefault="00F41B73" w:rsidP="00FE2E6A">
            <w:pPr>
              <w:rPr>
                <w:sz w:val="22"/>
              </w:rPr>
            </w:pPr>
            <w:r w:rsidRPr="009F1A63">
              <w:rPr>
                <w:sz w:val="22"/>
              </w:rPr>
              <w:t>0.841</w:t>
            </w:r>
          </w:p>
        </w:tc>
        <w:tc>
          <w:tcPr>
            <w:tcW w:w="1080" w:type="dxa"/>
            <w:vMerge w:val="restart"/>
            <w:vAlign w:val="center"/>
          </w:tcPr>
          <w:p w14:paraId="6C7A6B4C" w14:textId="77777777" w:rsidR="00F41B73" w:rsidRPr="009F1A63" w:rsidRDefault="00F41B73" w:rsidP="00FE2E6A">
            <w:pPr>
              <w:rPr>
                <w:sz w:val="22"/>
              </w:rPr>
            </w:pPr>
            <w:r w:rsidRPr="009F1A63">
              <w:rPr>
                <w:sz w:val="22"/>
              </w:rPr>
              <w:t>0.897;</w:t>
            </w:r>
          </w:p>
          <w:p w14:paraId="2F733AA5" w14:textId="77777777" w:rsidR="00F41B73" w:rsidRPr="009F1A63" w:rsidRDefault="00F41B73" w:rsidP="00FE2E6A">
            <w:pPr>
              <w:rPr>
                <w:sz w:val="22"/>
              </w:rPr>
            </w:pPr>
            <w:r w:rsidRPr="009F1A63">
              <w:rPr>
                <w:sz w:val="22"/>
              </w:rPr>
              <w:t>0.685</w:t>
            </w:r>
          </w:p>
        </w:tc>
      </w:tr>
      <w:tr w:rsidR="00F41B73" w:rsidRPr="009F1A63" w14:paraId="15C166E6" w14:textId="77777777" w:rsidTr="00FE2E6A">
        <w:trPr>
          <w:trHeight w:hRule="exact" w:val="302"/>
        </w:trPr>
        <w:tc>
          <w:tcPr>
            <w:tcW w:w="1278" w:type="dxa"/>
            <w:vMerge/>
            <w:vAlign w:val="center"/>
            <w:hideMark/>
          </w:tcPr>
          <w:p w14:paraId="24E23BD9" w14:textId="77777777" w:rsidR="00F41B73" w:rsidRPr="009F1A63" w:rsidRDefault="00F41B73" w:rsidP="00FE2E6A">
            <w:pPr>
              <w:rPr>
                <w:sz w:val="22"/>
              </w:rPr>
            </w:pPr>
          </w:p>
        </w:tc>
        <w:tc>
          <w:tcPr>
            <w:tcW w:w="1170" w:type="dxa"/>
            <w:shd w:val="clear" w:color="auto" w:fill="auto"/>
            <w:vAlign w:val="center"/>
            <w:hideMark/>
          </w:tcPr>
          <w:p w14:paraId="161EB77F" w14:textId="77777777" w:rsidR="00F41B73" w:rsidRPr="009F1A63" w:rsidRDefault="00F41B73" w:rsidP="00FE2E6A">
            <w:pPr>
              <w:rPr>
                <w:sz w:val="22"/>
              </w:rPr>
            </w:pPr>
            <w:r w:rsidRPr="009F1A63">
              <w:rPr>
                <w:sz w:val="22"/>
              </w:rPr>
              <w:t>PR2</w:t>
            </w:r>
          </w:p>
        </w:tc>
        <w:tc>
          <w:tcPr>
            <w:tcW w:w="9630" w:type="dxa"/>
            <w:vAlign w:val="center"/>
          </w:tcPr>
          <w:p w14:paraId="33723770" w14:textId="77777777" w:rsidR="00F41B73" w:rsidRPr="000C3BF6" w:rsidRDefault="00F41B73" w:rsidP="00FE2E6A">
            <w:pPr>
              <w:rPr>
                <w:sz w:val="20"/>
                <w:szCs w:val="20"/>
              </w:rPr>
            </w:pPr>
            <w:r w:rsidRPr="000C3BF6">
              <w:rPr>
                <w:sz w:val="20"/>
                <w:szCs w:val="20"/>
              </w:rPr>
              <w:t>How past disruptions have been managed is documented and referred to</w:t>
            </w:r>
          </w:p>
        </w:tc>
        <w:tc>
          <w:tcPr>
            <w:tcW w:w="1350" w:type="dxa"/>
            <w:shd w:val="clear" w:color="auto" w:fill="auto"/>
            <w:vAlign w:val="center"/>
          </w:tcPr>
          <w:p w14:paraId="3FC59549" w14:textId="77777777" w:rsidR="00F41B73" w:rsidRPr="009F1A63" w:rsidRDefault="00F41B73" w:rsidP="00FE2E6A">
            <w:pPr>
              <w:rPr>
                <w:sz w:val="22"/>
              </w:rPr>
            </w:pPr>
            <w:r w:rsidRPr="009F1A63">
              <w:rPr>
                <w:sz w:val="22"/>
              </w:rPr>
              <w:t>0.779</w:t>
            </w:r>
          </w:p>
        </w:tc>
        <w:tc>
          <w:tcPr>
            <w:tcW w:w="1080" w:type="dxa"/>
            <w:vMerge/>
            <w:vAlign w:val="center"/>
          </w:tcPr>
          <w:p w14:paraId="19FCE3F1" w14:textId="77777777" w:rsidR="00F41B73" w:rsidRPr="009F1A63" w:rsidRDefault="00F41B73" w:rsidP="00FE2E6A">
            <w:pPr>
              <w:rPr>
                <w:sz w:val="22"/>
              </w:rPr>
            </w:pPr>
          </w:p>
        </w:tc>
      </w:tr>
      <w:tr w:rsidR="00F41B73" w:rsidRPr="009F1A63" w14:paraId="6B4100B7" w14:textId="77777777" w:rsidTr="00FE2E6A">
        <w:trPr>
          <w:trHeight w:hRule="exact" w:val="302"/>
        </w:trPr>
        <w:tc>
          <w:tcPr>
            <w:tcW w:w="1278" w:type="dxa"/>
            <w:vMerge/>
            <w:vAlign w:val="center"/>
          </w:tcPr>
          <w:p w14:paraId="379550EF" w14:textId="77777777" w:rsidR="00F41B73" w:rsidRPr="009F1A63" w:rsidRDefault="00F41B73" w:rsidP="00FE2E6A">
            <w:pPr>
              <w:rPr>
                <w:sz w:val="22"/>
              </w:rPr>
            </w:pPr>
          </w:p>
        </w:tc>
        <w:tc>
          <w:tcPr>
            <w:tcW w:w="1170" w:type="dxa"/>
            <w:shd w:val="clear" w:color="auto" w:fill="auto"/>
            <w:vAlign w:val="center"/>
          </w:tcPr>
          <w:p w14:paraId="764EB052" w14:textId="77777777" w:rsidR="00F41B73" w:rsidRPr="009F1A63" w:rsidRDefault="00F41B73" w:rsidP="00FE2E6A">
            <w:pPr>
              <w:rPr>
                <w:sz w:val="22"/>
              </w:rPr>
            </w:pPr>
            <w:r w:rsidRPr="009F1A63">
              <w:rPr>
                <w:sz w:val="22"/>
              </w:rPr>
              <w:t>PR3</w:t>
            </w:r>
          </w:p>
        </w:tc>
        <w:tc>
          <w:tcPr>
            <w:tcW w:w="9630" w:type="dxa"/>
            <w:vAlign w:val="center"/>
          </w:tcPr>
          <w:p w14:paraId="43CF2F47" w14:textId="77777777" w:rsidR="00F41B73" w:rsidRPr="000C3BF6" w:rsidRDefault="00F41B73" w:rsidP="00FE2E6A">
            <w:pPr>
              <w:rPr>
                <w:sz w:val="20"/>
                <w:szCs w:val="20"/>
              </w:rPr>
            </w:pPr>
            <w:r w:rsidRPr="000C3BF6">
              <w:rPr>
                <w:sz w:val="20"/>
                <w:szCs w:val="20"/>
              </w:rPr>
              <w:t>Role, responsibilities and ownership of problems are rigidly followed</w:t>
            </w:r>
          </w:p>
        </w:tc>
        <w:tc>
          <w:tcPr>
            <w:tcW w:w="1350" w:type="dxa"/>
            <w:shd w:val="clear" w:color="auto" w:fill="auto"/>
            <w:vAlign w:val="center"/>
          </w:tcPr>
          <w:p w14:paraId="7E55896F" w14:textId="77777777" w:rsidR="00F41B73" w:rsidRPr="009F1A63" w:rsidRDefault="00F41B73" w:rsidP="00FE2E6A">
            <w:pPr>
              <w:rPr>
                <w:sz w:val="22"/>
              </w:rPr>
            </w:pPr>
            <w:r w:rsidRPr="009F1A63">
              <w:rPr>
                <w:sz w:val="22"/>
              </w:rPr>
              <w:t>0.838</w:t>
            </w:r>
          </w:p>
        </w:tc>
        <w:tc>
          <w:tcPr>
            <w:tcW w:w="1080" w:type="dxa"/>
            <w:vMerge/>
            <w:vAlign w:val="center"/>
          </w:tcPr>
          <w:p w14:paraId="328674F1" w14:textId="77777777" w:rsidR="00F41B73" w:rsidRPr="009F1A63" w:rsidRDefault="00F41B73" w:rsidP="00FE2E6A">
            <w:pPr>
              <w:rPr>
                <w:sz w:val="22"/>
              </w:rPr>
            </w:pPr>
          </w:p>
        </w:tc>
      </w:tr>
      <w:tr w:rsidR="00F41B73" w:rsidRPr="009F1A63" w14:paraId="5ACD4CA2" w14:textId="77777777" w:rsidTr="00FE2E6A">
        <w:trPr>
          <w:trHeight w:hRule="exact" w:val="302"/>
        </w:trPr>
        <w:tc>
          <w:tcPr>
            <w:tcW w:w="1278" w:type="dxa"/>
            <w:vMerge/>
            <w:tcBorders>
              <w:bottom w:val="dashed" w:sz="4" w:space="0" w:color="auto"/>
            </w:tcBorders>
            <w:vAlign w:val="center"/>
            <w:hideMark/>
          </w:tcPr>
          <w:p w14:paraId="37C54B0A" w14:textId="77777777" w:rsidR="00F41B73" w:rsidRPr="009F1A63" w:rsidRDefault="00F41B73" w:rsidP="00FE2E6A">
            <w:pPr>
              <w:rPr>
                <w:sz w:val="22"/>
              </w:rPr>
            </w:pPr>
          </w:p>
        </w:tc>
        <w:tc>
          <w:tcPr>
            <w:tcW w:w="1170" w:type="dxa"/>
            <w:tcBorders>
              <w:bottom w:val="dashed" w:sz="4" w:space="0" w:color="auto"/>
            </w:tcBorders>
            <w:shd w:val="clear" w:color="auto" w:fill="auto"/>
            <w:vAlign w:val="center"/>
            <w:hideMark/>
          </w:tcPr>
          <w:p w14:paraId="26DCA177" w14:textId="77777777" w:rsidR="00F41B73" w:rsidRPr="009F1A63" w:rsidRDefault="00F41B73" w:rsidP="00FE2E6A">
            <w:pPr>
              <w:rPr>
                <w:sz w:val="22"/>
              </w:rPr>
            </w:pPr>
            <w:r w:rsidRPr="009F1A63">
              <w:rPr>
                <w:sz w:val="22"/>
              </w:rPr>
              <w:t>PR4</w:t>
            </w:r>
          </w:p>
        </w:tc>
        <w:tc>
          <w:tcPr>
            <w:tcW w:w="9630" w:type="dxa"/>
            <w:tcBorders>
              <w:bottom w:val="dashed" w:sz="4" w:space="0" w:color="auto"/>
            </w:tcBorders>
            <w:vAlign w:val="center"/>
          </w:tcPr>
          <w:p w14:paraId="792B1C1B" w14:textId="77777777" w:rsidR="00F41B73" w:rsidRPr="000C3BF6" w:rsidRDefault="00F41B73" w:rsidP="00FE2E6A">
            <w:pPr>
              <w:rPr>
                <w:sz w:val="20"/>
                <w:szCs w:val="20"/>
              </w:rPr>
            </w:pPr>
            <w:r w:rsidRPr="000C3BF6">
              <w:rPr>
                <w:sz w:val="20"/>
                <w:szCs w:val="20"/>
              </w:rPr>
              <w:t>Allocating resources is through formalized requests and approvals</w:t>
            </w:r>
          </w:p>
        </w:tc>
        <w:tc>
          <w:tcPr>
            <w:tcW w:w="1350" w:type="dxa"/>
            <w:tcBorders>
              <w:bottom w:val="dashed" w:sz="4" w:space="0" w:color="auto"/>
            </w:tcBorders>
            <w:shd w:val="clear" w:color="auto" w:fill="auto"/>
            <w:vAlign w:val="center"/>
          </w:tcPr>
          <w:p w14:paraId="05E23BC3" w14:textId="77777777" w:rsidR="00F41B73" w:rsidRPr="009F1A63" w:rsidRDefault="00F41B73" w:rsidP="00FE2E6A">
            <w:pPr>
              <w:rPr>
                <w:sz w:val="22"/>
              </w:rPr>
            </w:pPr>
            <w:r w:rsidRPr="009F1A63">
              <w:rPr>
                <w:sz w:val="22"/>
              </w:rPr>
              <w:t>0.852</w:t>
            </w:r>
          </w:p>
        </w:tc>
        <w:tc>
          <w:tcPr>
            <w:tcW w:w="1080" w:type="dxa"/>
            <w:vMerge/>
            <w:tcBorders>
              <w:bottom w:val="dashed" w:sz="4" w:space="0" w:color="auto"/>
            </w:tcBorders>
            <w:vAlign w:val="center"/>
          </w:tcPr>
          <w:p w14:paraId="531B565F" w14:textId="77777777" w:rsidR="00F41B73" w:rsidRPr="009F1A63" w:rsidRDefault="00F41B73" w:rsidP="00FE2E6A">
            <w:pPr>
              <w:rPr>
                <w:sz w:val="22"/>
              </w:rPr>
            </w:pPr>
          </w:p>
        </w:tc>
      </w:tr>
      <w:tr w:rsidR="00F41B73" w:rsidRPr="009F1A63" w14:paraId="6E64AFA7" w14:textId="77777777" w:rsidTr="00FE2E6A">
        <w:trPr>
          <w:trHeight w:hRule="exact" w:val="235"/>
        </w:trPr>
        <w:tc>
          <w:tcPr>
            <w:tcW w:w="1278" w:type="dxa"/>
            <w:vMerge w:val="restart"/>
            <w:tcBorders>
              <w:top w:val="dashed" w:sz="4" w:space="0" w:color="auto"/>
            </w:tcBorders>
            <w:shd w:val="clear" w:color="auto" w:fill="auto"/>
            <w:vAlign w:val="center"/>
            <w:hideMark/>
          </w:tcPr>
          <w:p w14:paraId="1101BFB1" w14:textId="77777777" w:rsidR="00F41B73" w:rsidRPr="009F1A63" w:rsidRDefault="00F41B73" w:rsidP="00FE2E6A">
            <w:pPr>
              <w:rPr>
                <w:sz w:val="22"/>
              </w:rPr>
            </w:pPr>
            <w:r w:rsidRPr="009F1A63">
              <w:rPr>
                <w:sz w:val="22"/>
              </w:rPr>
              <w:t>Flexible response</w:t>
            </w:r>
          </w:p>
        </w:tc>
        <w:tc>
          <w:tcPr>
            <w:tcW w:w="1170" w:type="dxa"/>
            <w:tcBorders>
              <w:top w:val="dashed" w:sz="4" w:space="0" w:color="auto"/>
            </w:tcBorders>
            <w:shd w:val="clear" w:color="auto" w:fill="auto"/>
            <w:vAlign w:val="center"/>
            <w:hideMark/>
          </w:tcPr>
          <w:p w14:paraId="0B239ECE" w14:textId="77777777" w:rsidR="00F41B73" w:rsidRPr="009F1A63" w:rsidRDefault="00F41B73" w:rsidP="00FE2E6A">
            <w:pPr>
              <w:rPr>
                <w:sz w:val="22"/>
              </w:rPr>
            </w:pPr>
            <w:r w:rsidRPr="009F1A63">
              <w:rPr>
                <w:sz w:val="22"/>
              </w:rPr>
              <w:t>FR1</w:t>
            </w:r>
          </w:p>
        </w:tc>
        <w:tc>
          <w:tcPr>
            <w:tcW w:w="9630" w:type="dxa"/>
            <w:tcBorders>
              <w:top w:val="dashed" w:sz="4" w:space="0" w:color="auto"/>
            </w:tcBorders>
            <w:vAlign w:val="center"/>
          </w:tcPr>
          <w:tbl>
            <w:tblPr>
              <w:tblW w:w="0" w:type="auto"/>
              <w:tblBorders>
                <w:top w:val="nil"/>
                <w:left w:val="nil"/>
                <w:bottom w:val="nil"/>
                <w:right w:val="nil"/>
              </w:tblBorders>
              <w:tblLayout w:type="fixed"/>
              <w:tblLook w:val="0000" w:firstRow="0" w:lastRow="0" w:firstColumn="0" w:lastColumn="0" w:noHBand="0" w:noVBand="0"/>
            </w:tblPr>
            <w:tblGrid>
              <w:gridCol w:w="5575"/>
            </w:tblGrid>
            <w:tr w:rsidR="00F41B73" w:rsidRPr="000C3BF6" w14:paraId="5C6FBB2B" w14:textId="77777777" w:rsidTr="00FE2E6A">
              <w:trPr>
                <w:trHeight w:val="118"/>
              </w:trPr>
              <w:tc>
                <w:tcPr>
                  <w:tcW w:w="5575" w:type="dxa"/>
                </w:tcPr>
                <w:p w14:paraId="708FEC78" w14:textId="77777777" w:rsidR="00F41B73" w:rsidRPr="000C3BF6" w:rsidRDefault="00F41B73" w:rsidP="00FE2E6A">
                  <w:pPr>
                    <w:pStyle w:val="Default"/>
                    <w:ind w:left="-117"/>
                    <w:rPr>
                      <w:sz w:val="20"/>
                      <w:szCs w:val="20"/>
                    </w:rPr>
                  </w:pPr>
                  <w:r w:rsidRPr="000C3BF6">
                    <w:rPr>
                      <w:sz w:val="20"/>
                      <w:szCs w:val="20"/>
                    </w:rPr>
                    <w:t>Ad-hoc and emergent decisions are relied upon heavily</w:t>
                  </w:r>
                </w:p>
              </w:tc>
            </w:tr>
          </w:tbl>
          <w:p w14:paraId="456C38F6" w14:textId="77777777" w:rsidR="00F41B73" w:rsidRPr="000C3BF6" w:rsidRDefault="00F41B73" w:rsidP="00FE2E6A">
            <w:pPr>
              <w:rPr>
                <w:sz w:val="20"/>
                <w:szCs w:val="20"/>
              </w:rPr>
            </w:pPr>
          </w:p>
        </w:tc>
        <w:tc>
          <w:tcPr>
            <w:tcW w:w="1350" w:type="dxa"/>
            <w:tcBorders>
              <w:top w:val="dashed" w:sz="4" w:space="0" w:color="auto"/>
            </w:tcBorders>
            <w:shd w:val="clear" w:color="auto" w:fill="auto"/>
            <w:vAlign w:val="center"/>
          </w:tcPr>
          <w:p w14:paraId="63D21520" w14:textId="77777777" w:rsidR="00F41B73" w:rsidRPr="009F1A63" w:rsidRDefault="00F41B73" w:rsidP="00FE2E6A">
            <w:pPr>
              <w:rPr>
                <w:sz w:val="22"/>
              </w:rPr>
            </w:pPr>
            <w:r w:rsidRPr="009F1A63">
              <w:rPr>
                <w:sz w:val="22"/>
              </w:rPr>
              <w:t>0.793</w:t>
            </w:r>
          </w:p>
        </w:tc>
        <w:tc>
          <w:tcPr>
            <w:tcW w:w="1080" w:type="dxa"/>
            <w:vMerge w:val="restart"/>
            <w:tcBorders>
              <w:top w:val="dashed" w:sz="4" w:space="0" w:color="auto"/>
            </w:tcBorders>
            <w:vAlign w:val="center"/>
          </w:tcPr>
          <w:p w14:paraId="0D814BB6" w14:textId="77777777" w:rsidR="00F41B73" w:rsidRPr="009F1A63" w:rsidRDefault="00F41B73" w:rsidP="00FE2E6A">
            <w:pPr>
              <w:rPr>
                <w:sz w:val="22"/>
              </w:rPr>
            </w:pPr>
            <w:r w:rsidRPr="009F1A63">
              <w:rPr>
                <w:sz w:val="22"/>
              </w:rPr>
              <w:t>0.912;</w:t>
            </w:r>
          </w:p>
          <w:p w14:paraId="34424BDA" w14:textId="77777777" w:rsidR="00F41B73" w:rsidRPr="009F1A63" w:rsidRDefault="00F41B73" w:rsidP="00FE2E6A">
            <w:pPr>
              <w:rPr>
                <w:sz w:val="22"/>
              </w:rPr>
            </w:pPr>
            <w:r w:rsidRPr="009F1A63">
              <w:rPr>
                <w:sz w:val="22"/>
              </w:rPr>
              <w:t>0.722</w:t>
            </w:r>
          </w:p>
        </w:tc>
      </w:tr>
      <w:tr w:rsidR="00F41B73" w:rsidRPr="009F1A63" w14:paraId="1ED401DA" w14:textId="77777777" w:rsidTr="00FE2E6A">
        <w:trPr>
          <w:trHeight w:hRule="exact" w:val="302"/>
        </w:trPr>
        <w:tc>
          <w:tcPr>
            <w:tcW w:w="1278" w:type="dxa"/>
            <w:vMerge/>
            <w:tcBorders>
              <w:top w:val="dashed" w:sz="4" w:space="0" w:color="auto"/>
            </w:tcBorders>
            <w:shd w:val="clear" w:color="auto" w:fill="auto"/>
            <w:vAlign w:val="center"/>
          </w:tcPr>
          <w:p w14:paraId="27B3821F" w14:textId="77777777" w:rsidR="00F41B73" w:rsidRPr="009F1A63" w:rsidRDefault="00F41B73" w:rsidP="00FE2E6A">
            <w:pPr>
              <w:rPr>
                <w:sz w:val="22"/>
              </w:rPr>
            </w:pPr>
          </w:p>
        </w:tc>
        <w:tc>
          <w:tcPr>
            <w:tcW w:w="1170" w:type="dxa"/>
            <w:shd w:val="clear" w:color="auto" w:fill="auto"/>
            <w:vAlign w:val="center"/>
          </w:tcPr>
          <w:p w14:paraId="2C939AD5" w14:textId="77777777" w:rsidR="00F41B73" w:rsidRPr="009F1A63" w:rsidRDefault="00F41B73" w:rsidP="00FE2E6A">
            <w:pPr>
              <w:rPr>
                <w:sz w:val="22"/>
              </w:rPr>
            </w:pPr>
            <w:r w:rsidRPr="009F1A63">
              <w:rPr>
                <w:sz w:val="22"/>
              </w:rPr>
              <w:t>FR2</w:t>
            </w:r>
          </w:p>
        </w:tc>
        <w:tc>
          <w:tcPr>
            <w:tcW w:w="9630" w:type="dxa"/>
            <w:vAlign w:val="center"/>
          </w:tcPr>
          <w:p w14:paraId="35A7A05E" w14:textId="77777777" w:rsidR="00F41B73" w:rsidRPr="000C3BF6" w:rsidRDefault="00F41B73" w:rsidP="00FE2E6A">
            <w:pPr>
              <w:rPr>
                <w:sz w:val="20"/>
                <w:szCs w:val="20"/>
              </w:rPr>
            </w:pPr>
            <w:r w:rsidRPr="000C3BF6">
              <w:rPr>
                <w:sz w:val="20"/>
                <w:szCs w:val="20"/>
              </w:rPr>
              <w:t>Plans are adjusted and modified throughout the course of a disruption</w:t>
            </w:r>
          </w:p>
        </w:tc>
        <w:tc>
          <w:tcPr>
            <w:tcW w:w="1350" w:type="dxa"/>
            <w:shd w:val="clear" w:color="auto" w:fill="auto"/>
            <w:vAlign w:val="center"/>
          </w:tcPr>
          <w:p w14:paraId="7ABFF875" w14:textId="77777777" w:rsidR="00F41B73" w:rsidRPr="009F1A63" w:rsidRDefault="00F41B73" w:rsidP="00FE2E6A">
            <w:pPr>
              <w:rPr>
                <w:sz w:val="22"/>
              </w:rPr>
            </w:pPr>
            <w:r w:rsidRPr="009F1A63">
              <w:rPr>
                <w:sz w:val="22"/>
              </w:rPr>
              <w:t>0.913</w:t>
            </w:r>
          </w:p>
        </w:tc>
        <w:tc>
          <w:tcPr>
            <w:tcW w:w="1080" w:type="dxa"/>
            <w:vMerge/>
            <w:vAlign w:val="center"/>
          </w:tcPr>
          <w:p w14:paraId="31AB9731" w14:textId="77777777" w:rsidR="00F41B73" w:rsidRPr="009F1A63" w:rsidRDefault="00F41B73" w:rsidP="00FE2E6A">
            <w:pPr>
              <w:rPr>
                <w:sz w:val="22"/>
              </w:rPr>
            </w:pPr>
          </w:p>
        </w:tc>
      </w:tr>
      <w:tr w:rsidR="00F41B73" w:rsidRPr="009F1A63" w14:paraId="7E556E04" w14:textId="77777777" w:rsidTr="00FE2E6A">
        <w:trPr>
          <w:trHeight w:hRule="exact" w:val="235"/>
        </w:trPr>
        <w:tc>
          <w:tcPr>
            <w:tcW w:w="1278" w:type="dxa"/>
            <w:vMerge/>
            <w:tcBorders>
              <w:top w:val="dashed" w:sz="4" w:space="0" w:color="auto"/>
            </w:tcBorders>
            <w:shd w:val="clear" w:color="auto" w:fill="auto"/>
            <w:vAlign w:val="center"/>
          </w:tcPr>
          <w:p w14:paraId="4657D3DF" w14:textId="77777777" w:rsidR="00F41B73" w:rsidRPr="009F1A63" w:rsidRDefault="00F41B73" w:rsidP="00FE2E6A">
            <w:pPr>
              <w:rPr>
                <w:sz w:val="22"/>
              </w:rPr>
            </w:pPr>
          </w:p>
        </w:tc>
        <w:tc>
          <w:tcPr>
            <w:tcW w:w="1170" w:type="dxa"/>
            <w:shd w:val="clear" w:color="auto" w:fill="auto"/>
            <w:vAlign w:val="center"/>
          </w:tcPr>
          <w:p w14:paraId="3267FD63" w14:textId="77777777" w:rsidR="00F41B73" w:rsidRPr="009F1A63" w:rsidRDefault="00F41B73" w:rsidP="00FE2E6A">
            <w:pPr>
              <w:rPr>
                <w:sz w:val="22"/>
              </w:rPr>
            </w:pPr>
            <w:r w:rsidRPr="009F1A63">
              <w:rPr>
                <w:sz w:val="22"/>
              </w:rPr>
              <w:t>FR3</w:t>
            </w:r>
          </w:p>
        </w:tc>
        <w:tc>
          <w:tcPr>
            <w:tcW w:w="9630" w:type="dxa"/>
            <w:vAlign w:val="center"/>
          </w:tcPr>
          <w:p w14:paraId="5A707D9B" w14:textId="77777777" w:rsidR="00F41B73" w:rsidRPr="000C3BF6" w:rsidRDefault="00F41B73" w:rsidP="00FE2E6A">
            <w:pPr>
              <w:rPr>
                <w:sz w:val="20"/>
                <w:szCs w:val="20"/>
              </w:rPr>
            </w:pPr>
            <w:r>
              <w:rPr>
                <w:sz w:val="20"/>
                <w:szCs w:val="20"/>
              </w:rPr>
              <w:t>D</w:t>
            </w:r>
            <w:r w:rsidRPr="000C3BF6">
              <w:rPr>
                <w:sz w:val="20"/>
                <w:szCs w:val="20"/>
              </w:rPr>
              <w:t>ecisions are made based on the situation at hand</w:t>
            </w:r>
          </w:p>
        </w:tc>
        <w:tc>
          <w:tcPr>
            <w:tcW w:w="1350" w:type="dxa"/>
            <w:shd w:val="clear" w:color="auto" w:fill="auto"/>
            <w:vAlign w:val="center"/>
          </w:tcPr>
          <w:p w14:paraId="288F7774" w14:textId="77777777" w:rsidR="00F41B73" w:rsidRPr="009F1A63" w:rsidRDefault="00F41B73" w:rsidP="00FE2E6A">
            <w:pPr>
              <w:rPr>
                <w:sz w:val="22"/>
              </w:rPr>
            </w:pPr>
            <w:r w:rsidRPr="009F1A63">
              <w:rPr>
                <w:sz w:val="22"/>
              </w:rPr>
              <w:t>0.907</w:t>
            </w:r>
          </w:p>
        </w:tc>
        <w:tc>
          <w:tcPr>
            <w:tcW w:w="1080" w:type="dxa"/>
            <w:vMerge/>
            <w:vAlign w:val="center"/>
          </w:tcPr>
          <w:p w14:paraId="22E6764F" w14:textId="77777777" w:rsidR="00F41B73" w:rsidRPr="009F1A63" w:rsidRDefault="00F41B73" w:rsidP="00FE2E6A">
            <w:pPr>
              <w:rPr>
                <w:sz w:val="22"/>
              </w:rPr>
            </w:pPr>
          </w:p>
        </w:tc>
      </w:tr>
      <w:tr w:rsidR="00F41B73" w:rsidRPr="009F1A63" w14:paraId="62825C3A" w14:textId="77777777" w:rsidTr="00FE2E6A">
        <w:trPr>
          <w:trHeight w:hRule="exact" w:val="252"/>
        </w:trPr>
        <w:tc>
          <w:tcPr>
            <w:tcW w:w="1278" w:type="dxa"/>
            <w:vMerge/>
            <w:tcBorders>
              <w:bottom w:val="dashed" w:sz="4" w:space="0" w:color="auto"/>
            </w:tcBorders>
            <w:vAlign w:val="center"/>
            <w:hideMark/>
          </w:tcPr>
          <w:p w14:paraId="2E6A8DEF" w14:textId="77777777" w:rsidR="00F41B73" w:rsidRPr="009F1A63" w:rsidRDefault="00F41B73" w:rsidP="00FE2E6A">
            <w:pPr>
              <w:rPr>
                <w:sz w:val="22"/>
              </w:rPr>
            </w:pPr>
          </w:p>
        </w:tc>
        <w:tc>
          <w:tcPr>
            <w:tcW w:w="1170" w:type="dxa"/>
            <w:tcBorders>
              <w:bottom w:val="dashed" w:sz="4" w:space="0" w:color="auto"/>
            </w:tcBorders>
            <w:shd w:val="clear" w:color="auto" w:fill="auto"/>
            <w:vAlign w:val="center"/>
            <w:hideMark/>
          </w:tcPr>
          <w:p w14:paraId="48D3D4AD" w14:textId="77777777" w:rsidR="00F41B73" w:rsidRPr="009F1A63" w:rsidRDefault="00F41B73" w:rsidP="00FE2E6A">
            <w:pPr>
              <w:rPr>
                <w:sz w:val="22"/>
              </w:rPr>
            </w:pPr>
            <w:r w:rsidRPr="009F1A63">
              <w:rPr>
                <w:sz w:val="22"/>
              </w:rPr>
              <w:t>FR4</w:t>
            </w:r>
          </w:p>
        </w:tc>
        <w:tc>
          <w:tcPr>
            <w:tcW w:w="9630" w:type="dxa"/>
            <w:tcBorders>
              <w:bottom w:val="dashed" w:sz="4" w:space="0" w:color="auto"/>
            </w:tcBorders>
            <w:vAlign w:val="center"/>
          </w:tcPr>
          <w:p w14:paraId="0192DC4D" w14:textId="77777777" w:rsidR="00F41B73" w:rsidRPr="000C3BF6" w:rsidRDefault="00F41B73" w:rsidP="00FE2E6A">
            <w:pPr>
              <w:rPr>
                <w:sz w:val="20"/>
                <w:szCs w:val="20"/>
              </w:rPr>
            </w:pPr>
            <w:r w:rsidRPr="000C3BF6">
              <w:rPr>
                <w:sz w:val="20"/>
                <w:szCs w:val="20"/>
              </w:rPr>
              <w:t>Following the chain of command takes a back seat to quickly addressing the disruption</w:t>
            </w:r>
          </w:p>
        </w:tc>
        <w:tc>
          <w:tcPr>
            <w:tcW w:w="1350" w:type="dxa"/>
            <w:tcBorders>
              <w:bottom w:val="dashed" w:sz="4" w:space="0" w:color="auto"/>
            </w:tcBorders>
            <w:shd w:val="clear" w:color="auto" w:fill="auto"/>
            <w:vAlign w:val="center"/>
          </w:tcPr>
          <w:p w14:paraId="7A1A1537" w14:textId="77777777" w:rsidR="00F41B73" w:rsidRPr="009F1A63" w:rsidRDefault="00F41B73" w:rsidP="00FE2E6A">
            <w:pPr>
              <w:rPr>
                <w:sz w:val="22"/>
              </w:rPr>
            </w:pPr>
            <w:r w:rsidRPr="009F1A63">
              <w:rPr>
                <w:sz w:val="22"/>
              </w:rPr>
              <w:t>0.777</w:t>
            </w:r>
          </w:p>
        </w:tc>
        <w:tc>
          <w:tcPr>
            <w:tcW w:w="1080" w:type="dxa"/>
            <w:vMerge/>
            <w:tcBorders>
              <w:bottom w:val="dashed" w:sz="4" w:space="0" w:color="auto"/>
            </w:tcBorders>
            <w:vAlign w:val="center"/>
          </w:tcPr>
          <w:p w14:paraId="55ACD55E" w14:textId="77777777" w:rsidR="00F41B73" w:rsidRPr="009F1A63" w:rsidRDefault="00F41B73" w:rsidP="00FE2E6A">
            <w:pPr>
              <w:rPr>
                <w:sz w:val="22"/>
              </w:rPr>
            </w:pPr>
          </w:p>
        </w:tc>
      </w:tr>
      <w:tr w:rsidR="00F41B73" w:rsidRPr="009F1A63" w14:paraId="244E37B4" w14:textId="77777777" w:rsidTr="00FE2E6A">
        <w:trPr>
          <w:trHeight w:hRule="exact" w:val="302"/>
        </w:trPr>
        <w:tc>
          <w:tcPr>
            <w:tcW w:w="1278" w:type="dxa"/>
            <w:vMerge w:val="restart"/>
            <w:tcBorders>
              <w:top w:val="dashed" w:sz="4" w:space="0" w:color="auto"/>
            </w:tcBorders>
            <w:shd w:val="clear" w:color="auto" w:fill="auto"/>
            <w:vAlign w:val="center"/>
            <w:hideMark/>
          </w:tcPr>
          <w:p w14:paraId="3E18F82F" w14:textId="77777777" w:rsidR="00F41B73" w:rsidRPr="009F1A63" w:rsidRDefault="00F41B73" w:rsidP="00FE2E6A">
            <w:pPr>
              <w:rPr>
                <w:sz w:val="22"/>
              </w:rPr>
            </w:pPr>
            <w:r w:rsidRPr="009F1A63">
              <w:rPr>
                <w:sz w:val="22"/>
              </w:rPr>
              <w:t>Near misses</w:t>
            </w:r>
          </w:p>
        </w:tc>
        <w:tc>
          <w:tcPr>
            <w:tcW w:w="1170" w:type="dxa"/>
            <w:tcBorders>
              <w:top w:val="dashed" w:sz="4" w:space="0" w:color="auto"/>
            </w:tcBorders>
            <w:shd w:val="clear" w:color="auto" w:fill="auto"/>
            <w:vAlign w:val="center"/>
            <w:hideMark/>
          </w:tcPr>
          <w:p w14:paraId="5EF5F81E" w14:textId="77777777" w:rsidR="00F41B73" w:rsidRPr="009F1A63" w:rsidRDefault="00F41B73" w:rsidP="00FE2E6A">
            <w:pPr>
              <w:rPr>
                <w:sz w:val="22"/>
              </w:rPr>
            </w:pPr>
            <w:r w:rsidRPr="009F1A63">
              <w:rPr>
                <w:sz w:val="22"/>
              </w:rPr>
              <w:t>NM1</w:t>
            </w:r>
          </w:p>
        </w:tc>
        <w:tc>
          <w:tcPr>
            <w:tcW w:w="9630" w:type="dxa"/>
            <w:tcBorders>
              <w:top w:val="dashed" w:sz="4" w:space="0" w:color="auto"/>
            </w:tcBorders>
            <w:vAlign w:val="center"/>
          </w:tcPr>
          <w:p w14:paraId="1D3C76F5" w14:textId="77777777" w:rsidR="00F41B73" w:rsidRPr="000C3BF6" w:rsidRDefault="00F41B73" w:rsidP="00FE2E6A">
            <w:pPr>
              <w:rPr>
                <w:sz w:val="20"/>
                <w:szCs w:val="20"/>
              </w:rPr>
            </w:pPr>
            <w:r w:rsidRPr="000C3BF6">
              <w:rPr>
                <w:sz w:val="20"/>
                <w:szCs w:val="20"/>
              </w:rPr>
              <w:t>Initiated because of actions or decisions of your suppliers and came close to severing your operational flows.</w:t>
            </w:r>
          </w:p>
        </w:tc>
        <w:tc>
          <w:tcPr>
            <w:tcW w:w="1350" w:type="dxa"/>
            <w:tcBorders>
              <w:top w:val="dashed" w:sz="4" w:space="0" w:color="auto"/>
            </w:tcBorders>
            <w:shd w:val="clear" w:color="auto" w:fill="auto"/>
            <w:vAlign w:val="center"/>
          </w:tcPr>
          <w:p w14:paraId="33AC6999" w14:textId="77777777" w:rsidR="00F41B73" w:rsidRPr="009F1A63" w:rsidRDefault="00F41B73" w:rsidP="00FE2E6A">
            <w:pPr>
              <w:rPr>
                <w:sz w:val="22"/>
              </w:rPr>
            </w:pPr>
            <w:r w:rsidRPr="009F1A63">
              <w:rPr>
                <w:sz w:val="22"/>
              </w:rPr>
              <w:t>0.924</w:t>
            </w:r>
          </w:p>
        </w:tc>
        <w:tc>
          <w:tcPr>
            <w:tcW w:w="1080" w:type="dxa"/>
            <w:vMerge w:val="restart"/>
            <w:tcBorders>
              <w:top w:val="dashed" w:sz="4" w:space="0" w:color="auto"/>
            </w:tcBorders>
            <w:vAlign w:val="center"/>
          </w:tcPr>
          <w:p w14:paraId="785BEF31" w14:textId="77777777" w:rsidR="00F41B73" w:rsidRPr="009F1A63" w:rsidRDefault="00F41B73" w:rsidP="00FE2E6A">
            <w:pPr>
              <w:rPr>
                <w:sz w:val="22"/>
              </w:rPr>
            </w:pPr>
            <w:r w:rsidRPr="009F1A63">
              <w:rPr>
                <w:sz w:val="22"/>
              </w:rPr>
              <w:t>0.937;</w:t>
            </w:r>
          </w:p>
          <w:p w14:paraId="79F4181E" w14:textId="77777777" w:rsidR="00F41B73" w:rsidRPr="009F1A63" w:rsidRDefault="00F41B73" w:rsidP="00FE2E6A">
            <w:pPr>
              <w:rPr>
                <w:sz w:val="22"/>
              </w:rPr>
            </w:pPr>
            <w:r w:rsidRPr="009F1A63">
              <w:rPr>
                <w:sz w:val="22"/>
              </w:rPr>
              <w:t>0.789</w:t>
            </w:r>
          </w:p>
        </w:tc>
      </w:tr>
      <w:tr w:rsidR="00F41B73" w:rsidRPr="009F1A63" w14:paraId="3DC9CDED" w14:textId="77777777" w:rsidTr="00FE2E6A">
        <w:trPr>
          <w:trHeight w:hRule="exact" w:val="523"/>
        </w:trPr>
        <w:tc>
          <w:tcPr>
            <w:tcW w:w="1278" w:type="dxa"/>
            <w:vMerge/>
            <w:tcBorders>
              <w:top w:val="dashed" w:sz="4" w:space="0" w:color="auto"/>
            </w:tcBorders>
            <w:shd w:val="clear" w:color="auto" w:fill="auto"/>
            <w:vAlign w:val="center"/>
          </w:tcPr>
          <w:p w14:paraId="67BBB128" w14:textId="77777777" w:rsidR="00F41B73" w:rsidRPr="009F1A63" w:rsidRDefault="00F41B73" w:rsidP="00FE2E6A">
            <w:pPr>
              <w:rPr>
                <w:sz w:val="22"/>
              </w:rPr>
            </w:pPr>
          </w:p>
        </w:tc>
        <w:tc>
          <w:tcPr>
            <w:tcW w:w="1170" w:type="dxa"/>
            <w:shd w:val="clear" w:color="auto" w:fill="auto"/>
            <w:vAlign w:val="center"/>
          </w:tcPr>
          <w:p w14:paraId="26883149" w14:textId="77777777" w:rsidR="00F41B73" w:rsidRPr="009F1A63" w:rsidRDefault="00F41B73" w:rsidP="00FE2E6A">
            <w:pPr>
              <w:rPr>
                <w:sz w:val="22"/>
              </w:rPr>
            </w:pPr>
            <w:r w:rsidRPr="009F1A63">
              <w:rPr>
                <w:sz w:val="22"/>
              </w:rPr>
              <w:t>NM2</w:t>
            </w:r>
          </w:p>
        </w:tc>
        <w:tc>
          <w:tcPr>
            <w:tcW w:w="9630" w:type="dxa"/>
            <w:vAlign w:val="center"/>
          </w:tcPr>
          <w:p w14:paraId="51D78A9F" w14:textId="77777777" w:rsidR="00F41B73" w:rsidRPr="000C3BF6" w:rsidRDefault="00F41B73" w:rsidP="00FE2E6A">
            <w:pPr>
              <w:rPr>
                <w:sz w:val="20"/>
                <w:szCs w:val="20"/>
              </w:rPr>
            </w:pPr>
            <w:r w:rsidRPr="000C3BF6">
              <w:rPr>
                <w:sz w:val="20"/>
                <w:szCs w:val="20"/>
              </w:rPr>
              <w:t>Initiated in your organization and affected upstream and downstream members of the supply chain without stopping or significantly slowing down their production.</w:t>
            </w:r>
          </w:p>
        </w:tc>
        <w:tc>
          <w:tcPr>
            <w:tcW w:w="1350" w:type="dxa"/>
            <w:shd w:val="clear" w:color="auto" w:fill="auto"/>
            <w:vAlign w:val="center"/>
          </w:tcPr>
          <w:p w14:paraId="54EDCC14" w14:textId="77777777" w:rsidR="00F41B73" w:rsidRPr="009F1A63" w:rsidRDefault="00F41B73" w:rsidP="00FE2E6A">
            <w:pPr>
              <w:rPr>
                <w:sz w:val="22"/>
              </w:rPr>
            </w:pPr>
            <w:r w:rsidRPr="009F1A63">
              <w:rPr>
                <w:sz w:val="22"/>
              </w:rPr>
              <w:t>0.899</w:t>
            </w:r>
          </w:p>
        </w:tc>
        <w:tc>
          <w:tcPr>
            <w:tcW w:w="1080" w:type="dxa"/>
            <w:vMerge/>
            <w:vAlign w:val="center"/>
          </w:tcPr>
          <w:p w14:paraId="41BAFEB2" w14:textId="77777777" w:rsidR="00F41B73" w:rsidRPr="009F1A63" w:rsidRDefault="00F41B73" w:rsidP="00FE2E6A">
            <w:pPr>
              <w:rPr>
                <w:sz w:val="22"/>
              </w:rPr>
            </w:pPr>
          </w:p>
        </w:tc>
      </w:tr>
      <w:tr w:rsidR="00F41B73" w:rsidRPr="009F1A63" w14:paraId="16B11037" w14:textId="77777777" w:rsidTr="00FE2E6A">
        <w:trPr>
          <w:trHeight w:hRule="exact" w:val="532"/>
        </w:trPr>
        <w:tc>
          <w:tcPr>
            <w:tcW w:w="1278" w:type="dxa"/>
            <w:vMerge/>
            <w:tcBorders>
              <w:top w:val="dashed" w:sz="4" w:space="0" w:color="auto"/>
            </w:tcBorders>
            <w:shd w:val="clear" w:color="auto" w:fill="auto"/>
            <w:vAlign w:val="center"/>
          </w:tcPr>
          <w:p w14:paraId="01EDE015" w14:textId="77777777" w:rsidR="00F41B73" w:rsidRPr="009F1A63" w:rsidRDefault="00F41B73" w:rsidP="00FE2E6A">
            <w:pPr>
              <w:rPr>
                <w:sz w:val="22"/>
              </w:rPr>
            </w:pPr>
          </w:p>
        </w:tc>
        <w:tc>
          <w:tcPr>
            <w:tcW w:w="1170" w:type="dxa"/>
            <w:shd w:val="clear" w:color="auto" w:fill="auto"/>
            <w:vAlign w:val="center"/>
          </w:tcPr>
          <w:p w14:paraId="1DBA3716" w14:textId="77777777" w:rsidR="00F41B73" w:rsidRPr="009F1A63" w:rsidRDefault="00F41B73" w:rsidP="00FE2E6A">
            <w:pPr>
              <w:rPr>
                <w:sz w:val="22"/>
              </w:rPr>
            </w:pPr>
            <w:r w:rsidRPr="009F1A63">
              <w:rPr>
                <w:sz w:val="22"/>
              </w:rPr>
              <w:t>NM3</w:t>
            </w:r>
          </w:p>
        </w:tc>
        <w:tc>
          <w:tcPr>
            <w:tcW w:w="9630" w:type="dxa"/>
            <w:vAlign w:val="center"/>
          </w:tcPr>
          <w:p w14:paraId="0BDFF5FA" w14:textId="77777777" w:rsidR="00F41B73" w:rsidRPr="000C3BF6" w:rsidRDefault="00F41B73" w:rsidP="00FE2E6A">
            <w:pPr>
              <w:rPr>
                <w:sz w:val="20"/>
                <w:szCs w:val="20"/>
              </w:rPr>
            </w:pPr>
            <w:r w:rsidRPr="000C3BF6">
              <w:rPr>
                <w:sz w:val="20"/>
                <w:szCs w:val="20"/>
              </w:rPr>
              <w:t>Initiated because of actions or decisions of your downstream customers and affected your operations without stopping or significantly slowing down your production.</w:t>
            </w:r>
          </w:p>
        </w:tc>
        <w:tc>
          <w:tcPr>
            <w:tcW w:w="1350" w:type="dxa"/>
            <w:shd w:val="clear" w:color="auto" w:fill="auto"/>
            <w:vAlign w:val="center"/>
          </w:tcPr>
          <w:p w14:paraId="29EC3E08" w14:textId="77777777" w:rsidR="00F41B73" w:rsidRPr="009F1A63" w:rsidRDefault="00F41B73" w:rsidP="00FE2E6A">
            <w:pPr>
              <w:rPr>
                <w:sz w:val="22"/>
              </w:rPr>
            </w:pPr>
            <w:r w:rsidRPr="009F1A63">
              <w:rPr>
                <w:sz w:val="22"/>
              </w:rPr>
              <w:t>0.920</w:t>
            </w:r>
          </w:p>
        </w:tc>
        <w:tc>
          <w:tcPr>
            <w:tcW w:w="1080" w:type="dxa"/>
            <w:vMerge/>
            <w:vAlign w:val="center"/>
          </w:tcPr>
          <w:p w14:paraId="671473F3" w14:textId="77777777" w:rsidR="00F41B73" w:rsidRPr="009F1A63" w:rsidRDefault="00F41B73" w:rsidP="00FE2E6A">
            <w:pPr>
              <w:rPr>
                <w:sz w:val="22"/>
              </w:rPr>
            </w:pPr>
          </w:p>
        </w:tc>
      </w:tr>
      <w:tr w:rsidR="00F41B73" w:rsidRPr="009F1A63" w14:paraId="1C3E88AE" w14:textId="77777777" w:rsidTr="00FE2E6A">
        <w:trPr>
          <w:trHeight w:hRule="exact" w:val="540"/>
        </w:trPr>
        <w:tc>
          <w:tcPr>
            <w:tcW w:w="1278" w:type="dxa"/>
            <w:vMerge/>
            <w:tcBorders>
              <w:bottom w:val="dashed" w:sz="4" w:space="0" w:color="auto"/>
            </w:tcBorders>
            <w:vAlign w:val="center"/>
            <w:hideMark/>
          </w:tcPr>
          <w:p w14:paraId="21C7C6C7" w14:textId="77777777" w:rsidR="00F41B73" w:rsidRPr="009F1A63" w:rsidRDefault="00F41B73" w:rsidP="00FE2E6A">
            <w:pPr>
              <w:rPr>
                <w:sz w:val="22"/>
              </w:rPr>
            </w:pPr>
          </w:p>
        </w:tc>
        <w:tc>
          <w:tcPr>
            <w:tcW w:w="1170" w:type="dxa"/>
            <w:tcBorders>
              <w:bottom w:val="dashed" w:sz="4" w:space="0" w:color="auto"/>
            </w:tcBorders>
            <w:shd w:val="clear" w:color="auto" w:fill="auto"/>
            <w:vAlign w:val="center"/>
            <w:hideMark/>
          </w:tcPr>
          <w:p w14:paraId="08218DFF" w14:textId="77777777" w:rsidR="00F41B73" w:rsidRPr="009F1A63" w:rsidRDefault="00F41B73" w:rsidP="00FE2E6A">
            <w:pPr>
              <w:rPr>
                <w:sz w:val="22"/>
              </w:rPr>
            </w:pPr>
            <w:r w:rsidRPr="009F1A63">
              <w:rPr>
                <w:sz w:val="22"/>
              </w:rPr>
              <w:t>NM4</w:t>
            </w:r>
          </w:p>
        </w:tc>
        <w:tc>
          <w:tcPr>
            <w:tcW w:w="9630" w:type="dxa"/>
            <w:tcBorders>
              <w:bottom w:val="dashed" w:sz="4" w:space="0" w:color="auto"/>
            </w:tcBorders>
            <w:vAlign w:val="center"/>
          </w:tcPr>
          <w:p w14:paraId="0A5130FA" w14:textId="77777777" w:rsidR="00F41B73" w:rsidRPr="000C3BF6" w:rsidRDefault="00F41B73" w:rsidP="00FE2E6A">
            <w:pPr>
              <w:rPr>
                <w:sz w:val="20"/>
                <w:szCs w:val="20"/>
              </w:rPr>
            </w:pPr>
            <w:r w:rsidRPr="000C3BF6">
              <w:rPr>
                <w:sz w:val="20"/>
                <w:szCs w:val="20"/>
              </w:rPr>
              <w:t>Initiated as a result of other factors and affected more than one member of your supply chain without stopping or significantly slowing down their production.</w:t>
            </w:r>
          </w:p>
        </w:tc>
        <w:tc>
          <w:tcPr>
            <w:tcW w:w="1350" w:type="dxa"/>
            <w:tcBorders>
              <w:bottom w:val="dashed" w:sz="4" w:space="0" w:color="auto"/>
            </w:tcBorders>
            <w:shd w:val="clear" w:color="auto" w:fill="auto"/>
            <w:vAlign w:val="center"/>
          </w:tcPr>
          <w:p w14:paraId="67D0A948" w14:textId="77777777" w:rsidR="00F41B73" w:rsidRPr="009F1A63" w:rsidRDefault="00F41B73" w:rsidP="00FE2E6A">
            <w:pPr>
              <w:rPr>
                <w:sz w:val="22"/>
              </w:rPr>
            </w:pPr>
            <w:r w:rsidRPr="009F1A63">
              <w:rPr>
                <w:sz w:val="22"/>
              </w:rPr>
              <w:t>0.805</w:t>
            </w:r>
          </w:p>
        </w:tc>
        <w:tc>
          <w:tcPr>
            <w:tcW w:w="1080" w:type="dxa"/>
            <w:vMerge/>
            <w:tcBorders>
              <w:bottom w:val="dashed" w:sz="4" w:space="0" w:color="auto"/>
            </w:tcBorders>
            <w:vAlign w:val="center"/>
          </w:tcPr>
          <w:p w14:paraId="4AFB0D6A" w14:textId="77777777" w:rsidR="00F41B73" w:rsidRPr="009F1A63" w:rsidRDefault="00F41B73" w:rsidP="00FE2E6A">
            <w:pPr>
              <w:rPr>
                <w:sz w:val="22"/>
              </w:rPr>
            </w:pPr>
          </w:p>
        </w:tc>
      </w:tr>
      <w:tr w:rsidR="00F41B73" w:rsidRPr="009F1A63" w14:paraId="04928ADF" w14:textId="77777777" w:rsidTr="00FE2E6A">
        <w:trPr>
          <w:trHeight w:hRule="exact" w:val="280"/>
        </w:trPr>
        <w:tc>
          <w:tcPr>
            <w:tcW w:w="1278" w:type="dxa"/>
            <w:vMerge w:val="restart"/>
            <w:tcBorders>
              <w:top w:val="dashed" w:sz="4" w:space="0" w:color="auto"/>
            </w:tcBorders>
            <w:shd w:val="clear" w:color="auto" w:fill="auto"/>
            <w:vAlign w:val="center"/>
            <w:hideMark/>
          </w:tcPr>
          <w:p w14:paraId="260E47A4" w14:textId="77777777" w:rsidR="00F41B73" w:rsidRPr="009F1A63" w:rsidRDefault="00F41B73" w:rsidP="00FE2E6A">
            <w:pPr>
              <w:rPr>
                <w:sz w:val="22"/>
              </w:rPr>
            </w:pPr>
            <w:r w:rsidRPr="009F1A63">
              <w:rPr>
                <w:sz w:val="22"/>
              </w:rPr>
              <w:t>Industry pressure</w:t>
            </w:r>
          </w:p>
        </w:tc>
        <w:tc>
          <w:tcPr>
            <w:tcW w:w="1170" w:type="dxa"/>
            <w:tcBorders>
              <w:top w:val="dashed" w:sz="4" w:space="0" w:color="auto"/>
            </w:tcBorders>
            <w:shd w:val="clear" w:color="auto" w:fill="auto"/>
            <w:vAlign w:val="center"/>
            <w:hideMark/>
          </w:tcPr>
          <w:p w14:paraId="0CDF1C8C" w14:textId="77777777" w:rsidR="00F41B73" w:rsidRPr="009F1A63" w:rsidRDefault="00F41B73" w:rsidP="00FE2E6A">
            <w:pPr>
              <w:rPr>
                <w:sz w:val="22"/>
              </w:rPr>
            </w:pPr>
            <w:r w:rsidRPr="009F1A63">
              <w:rPr>
                <w:sz w:val="22"/>
              </w:rPr>
              <w:t>IP1</w:t>
            </w:r>
          </w:p>
        </w:tc>
        <w:tc>
          <w:tcPr>
            <w:tcW w:w="9630" w:type="dxa"/>
            <w:tcBorders>
              <w:top w:val="dashed" w:sz="4" w:space="0" w:color="auto"/>
            </w:tcBorders>
            <w:vAlign w:val="center"/>
          </w:tcPr>
          <w:p w14:paraId="6656E2A6" w14:textId="77777777" w:rsidR="00F41B73" w:rsidRPr="000C3BF6" w:rsidRDefault="00F41B73" w:rsidP="00FE2E6A">
            <w:pPr>
              <w:pStyle w:val="Default"/>
              <w:rPr>
                <w:sz w:val="20"/>
                <w:szCs w:val="20"/>
              </w:rPr>
            </w:pPr>
            <w:r w:rsidRPr="000C3BF6">
              <w:rPr>
                <w:sz w:val="20"/>
                <w:szCs w:val="20"/>
              </w:rPr>
              <w:t>Industry standards influence our implementati</w:t>
            </w:r>
            <w:r>
              <w:rPr>
                <w:sz w:val="20"/>
                <w:szCs w:val="20"/>
              </w:rPr>
              <w:t>on of a Crisis Management Plan.</w:t>
            </w:r>
          </w:p>
        </w:tc>
        <w:tc>
          <w:tcPr>
            <w:tcW w:w="1350" w:type="dxa"/>
            <w:tcBorders>
              <w:top w:val="dashed" w:sz="4" w:space="0" w:color="auto"/>
            </w:tcBorders>
            <w:shd w:val="clear" w:color="auto" w:fill="auto"/>
            <w:vAlign w:val="center"/>
          </w:tcPr>
          <w:p w14:paraId="2E41F88F" w14:textId="77777777" w:rsidR="00F41B73" w:rsidRPr="009F1A63" w:rsidRDefault="00F41B73" w:rsidP="00FE2E6A">
            <w:pPr>
              <w:rPr>
                <w:sz w:val="22"/>
              </w:rPr>
            </w:pPr>
            <w:r w:rsidRPr="009F1A63">
              <w:rPr>
                <w:sz w:val="22"/>
              </w:rPr>
              <w:t>0.861</w:t>
            </w:r>
          </w:p>
        </w:tc>
        <w:tc>
          <w:tcPr>
            <w:tcW w:w="1080" w:type="dxa"/>
            <w:vMerge w:val="restart"/>
            <w:tcBorders>
              <w:top w:val="dashed" w:sz="4" w:space="0" w:color="auto"/>
            </w:tcBorders>
            <w:vAlign w:val="center"/>
          </w:tcPr>
          <w:p w14:paraId="33E96243" w14:textId="77777777" w:rsidR="00F41B73" w:rsidRPr="009F1A63" w:rsidRDefault="00F41B73" w:rsidP="00FE2E6A">
            <w:pPr>
              <w:rPr>
                <w:sz w:val="22"/>
              </w:rPr>
            </w:pPr>
            <w:r w:rsidRPr="009F1A63">
              <w:rPr>
                <w:sz w:val="22"/>
              </w:rPr>
              <w:t>0.902;</w:t>
            </w:r>
          </w:p>
          <w:p w14:paraId="1B6B75CA" w14:textId="77777777" w:rsidR="00F41B73" w:rsidRPr="009F1A63" w:rsidRDefault="00F41B73" w:rsidP="00FE2E6A">
            <w:pPr>
              <w:rPr>
                <w:sz w:val="22"/>
              </w:rPr>
            </w:pPr>
            <w:r w:rsidRPr="009F1A63">
              <w:rPr>
                <w:sz w:val="22"/>
              </w:rPr>
              <w:t>0.756</w:t>
            </w:r>
          </w:p>
        </w:tc>
      </w:tr>
      <w:tr w:rsidR="00F41B73" w:rsidRPr="009F1A63" w14:paraId="63D611DD" w14:textId="77777777" w:rsidTr="00FE2E6A">
        <w:trPr>
          <w:trHeight w:hRule="exact" w:val="243"/>
        </w:trPr>
        <w:tc>
          <w:tcPr>
            <w:tcW w:w="1278" w:type="dxa"/>
            <w:vMerge/>
            <w:vAlign w:val="center"/>
            <w:hideMark/>
          </w:tcPr>
          <w:p w14:paraId="04E6413E" w14:textId="77777777" w:rsidR="00F41B73" w:rsidRPr="009F1A63" w:rsidRDefault="00F41B73" w:rsidP="00FE2E6A">
            <w:pPr>
              <w:rPr>
                <w:sz w:val="22"/>
              </w:rPr>
            </w:pPr>
          </w:p>
        </w:tc>
        <w:tc>
          <w:tcPr>
            <w:tcW w:w="1170" w:type="dxa"/>
            <w:shd w:val="clear" w:color="auto" w:fill="auto"/>
            <w:vAlign w:val="center"/>
            <w:hideMark/>
          </w:tcPr>
          <w:p w14:paraId="10618BCB" w14:textId="77777777" w:rsidR="00F41B73" w:rsidRPr="009F1A63" w:rsidRDefault="00F41B73" w:rsidP="00FE2E6A">
            <w:pPr>
              <w:rPr>
                <w:sz w:val="22"/>
              </w:rPr>
            </w:pPr>
            <w:r w:rsidRPr="009F1A63">
              <w:rPr>
                <w:sz w:val="22"/>
              </w:rPr>
              <w:t>IP2</w:t>
            </w:r>
          </w:p>
        </w:tc>
        <w:tc>
          <w:tcPr>
            <w:tcW w:w="9630" w:type="dxa"/>
            <w:vAlign w:val="center"/>
          </w:tcPr>
          <w:p w14:paraId="093C9AEE" w14:textId="77777777" w:rsidR="00F41B73" w:rsidRPr="000C3BF6" w:rsidRDefault="00F41B73" w:rsidP="00FE2E6A">
            <w:pPr>
              <w:pStyle w:val="Default"/>
              <w:rPr>
                <w:sz w:val="20"/>
                <w:szCs w:val="20"/>
              </w:rPr>
            </w:pPr>
            <w:r w:rsidRPr="000C3BF6">
              <w:rPr>
                <w:sz w:val="20"/>
                <w:szCs w:val="20"/>
              </w:rPr>
              <w:t xml:space="preserve">Generally agreed upon practices of our trade associations’ influence our implementation of a Business Continuity Plan. </w:t>
            </w:r>
          </w:p>
        </w:tc>
        <w:tc>
          <w:tcPr>
            <w:tcW w:w="1350" w:type="dxa"/>
            <w:shd w:val="clear" w:color="auto" w:fill="auto"/>
            <w:vAlign w:val="center"/>
          </w:tcPr>
          <w:p w14:paraId="75104811" w14:textId="77777777" w:rsidR="00F41B73" w:rsidRPr="009F1A63" w:rsidRDefault="00F41B73" w:rsidP="00FE2E6A">
            <w:pPr>
              <w:rPr>
                <w:sz w:val="22"/>
              </w:rPr>
            </w:pPr>
            <w:r w:rsidRPr="009F1A63">
              <w:rPr>
                <w:sz w:val="22"/>
              </w:rPr>
              <w:t>0.940</w:t>
            </w:r>
          </w:p>
        </w:tc>
        <w:tc>
          <w:tcPr>
            <w:tcW w:w="1080" w:type="dxa"/>
            <w:vMerge/>
            <w:vAlign w:val="center"/>
          </w:tcPr>
          <w:p w14:paraId="0CA9A971" w14:textId="77777777" w:rsidR="00F41B73" w:rsidRPr="009F1A63" w:rsidRDefault="00F41B73" w:rsidP="00FE2E6A">
            <w:pPr>
              <w:rPr>
                <w:sz w:val="22"/>
              </w:rPr>
            </w:pPr>
          </w:p>
        </w:tc>
      </w:tr>
      <w:tr w:rsidR="00F41B73" w:rsidRPr="009F1A63" w14:paraId="04B6DD88" w14:textId="77777777" w:rsidTr="00FE2E6A">
        <w:trPr>
          <w:trHeight w:hRule="exact" w:val="252"/>
        </w:trPr>
        <w:tc>
          <w:tcPr>
            <w:tcW w:w="1278" w:type="dxa"/>
            <w:vMerge/>
            <w:tcBorders>
              <w:bottom w:val="dashed" w:sz="4" w:space="0" w:color="auto"/>
            </w:tcBorders>
            <w:vAlign w:val="center"/>
            <w:hideMark/>
          </w:tcPr>
          <w:p w14:paraId="267845DF" w14:textId="77777777" w:rsidR="00F41B73" w:rsidRPr="009F1A63" w:rsidRDefault="00F41B73" w:rsidP="00FE2E6A">
            <w:pPr>
              <w:rPr>
                <w:sz w:val="22"/>
              </w:rPr>
            </w:pPr>
          </w:p>
        </w:tc>
        <w:tc>
          <w:tcPr>
            <w:tcW w:w="1170" w:type="dxa"/>
            <w:tcBorders>
              <w:bottom w:val="dashed" w:sz="4" w:space="0" w:color="auto"/>
            </w:tcBorders>
            <w:shd w:val="clear" w:color="auto" w:fill="auto"/>
            <w:vAlign w:val="center"/>
            <w:hideMark/>
          </w:tcPr>
          <w:p w14:paraId="6F1D35C7" w14:textId="77777777" w:rsidR="00F41B73" w:rsidRPr="009F1A63" w:rsidRDefault="00F41B73" w:rsidP="00FE2E6A">
            <w:pPr>
              <w:rPr>
                <w:sz w:val="22"/>
              </w:rPr>
            </w:pPr>
            <w:r w:rsidRPr="009F1A63">
              <w:rPr>
                <w:sz w:val="22"/>
              </w:rPr>
              <w:t>IP3</w:t>
            </w:r>
          </w:p>
        </w:tc>
        <w:tc>
          <w:tcPr>
            <w:tcW w:w="9630" w:type="dxa"/>
            <w:tcBorders>
              <w:bottom w:val="dashed" w:sz="4" w:space="0" w:color="auto"/>
            </w:tcBorders>
            <w:vAlign w:val="center"/>
          </w:tcPr>
          <w:p w14:paraId="4EA51538" w14:textId="77777777" w:rsidR="00F41B73" w:rsidRPr="000C3BF6" w:rsidRDefault="00F41B73" w:rsidP="00FE2E6A">
            <w:pPr>
              <w:rPr>
                <w:sz w:val="20"/>
                <w:szCs w:val="20"/>
              </w:rPr>
            </w:pPr>
            <w:r w:rsidRPr="000C3BF6">
              <w:rPr>
                <w:sz w:val="20"/>
                <w:szCs w:val="20"/>
              </w:rPr>
              <w:t>Generally agreed upon practices of our trade association’s influence our implementation of a Crisis Management Plan.</w:t>
            </w:r>
          </w:p>
        </w:tc>
        <w:tc>
          <w:tcPr>
            <w:tcW w:w="1350" w:type="dxa"/>
            <w:tcBorders>
              <w:bottom w:val="dashed" w:sz="4" w:space="0" w:color="auto"/>
            </w:tcBorders>
            <w:shd w:val="clear" w:color="auto" w:fill="auto"/>
            <w:vAlign w:val="center"/>
          </w:tcPr>
          <w:p w14:paraId="2E2BDDFC" w14:textId="77777777" w:rsidR="00F41B73" w:rsidRPr="009F1A63" w:rsidRDefault="00F41B73" w:rsidP="00FE2E6A">
            <w:pPr>
              <w:rPr>
                <w:sz w:val="22"/>
              </w:rPr>
            </w:pPr>
            <w:r w:rsidRPr="009F1A63">
              <w:rPr>
                <w:sz w:val="22"/>
              </w:rPr>
              <w:t>0.801</w:t>
            </w:r>
          </w:p>
        </w:tc>
        <w:tc>
          <w:tcPr>
            <w:tcW w:w="1080" w:type="dxa"/>
            <w:vMerge/>
            <w:tcBorders>
              <w:bottom w:val="dashed" w:sz="4" w:space="0" w:color="auto"/>
            </w:tcBorders>
            <w:vAlign w:val="center"/>
          </w:tcPr>
          <w:p w14:paraId="63EFE1D0" w14:textId="77777777" w:rsidR="00F41B73" w:rsidRPr="009F1A63" w:rsidRDefault="00F41B73" w:rsidP="00FE2E6A">
            <w:pPr>
              <w:rPr>
                <w:sz w:val="22"/>
              </w:rPr>
            </w:pPr>
          </w:p>
        </w:tc>
      </w:tr>
      <w:tr w:rsidR="00F41B73" w:rsidRPr="009F1A63" w14:paraId="6D814C7E" w14:textId="77777777" w:rsidTr="00FE2E6A">
        <w:trPr>
          <w:trHeight w:hRule="exact" w:val="302"/>
        </w:trPr>
        <w:tc>
          <w:tcPr>
            <w:tcW w:w="1278" w:type="dxa"/>
            <w:vMerge w:val="restart"/>
            <w:tcBorders>
              <w:top w:val="dashed" w:sz="4" w:space="0" w:color="auto"/>
            </w:tcBorders>
            <w:shd w:val="clear" w:color="auto" w:fill="auto"/>
            <w:vAlign w:val="center"/>
            <w:hideMark/>
          </w:tcPr>
          <w:p w14:paraId="765D4C45" w14:textId="77777777" w:rsidR="00F41B73" w:rsidRPr="009F1A63" w:rsidRDefault="00F41B73" w:rsidP="00FE2E6A">
            <w:pPr>
              <w:rPr>
                <w:sz w:val="22"/>
              </w:rPr>
            </w:pPr>
            <w:r w:rsidRPr="009F1A63">
              <w:rPr>
                <w:sz w:val="22"/>
              </w:rPr>
              <w:t>Regulatory pressure</w:t>
            </w:r>
          </w:p>
        </w:tc>
        <w:tc>
          <w:tcPr>
            <w:tcW w:w="1170" w:type="dxa"/>
            <w:tcBorders>
              <w:top w:val="dashed" w:sz="4" w:space="0" w:color="auto"/>
            </w:tcBorders>
            <w:shd w:val="clear" w:color="auto" w:fill="auto"/>
            <w:vAlign w:val="center"/>
            <w:hideMark/>
          </w:tcPr>
          <w:p w14:paraId="7443F72A" w14:textId="77777777" w:rsidR="00F41B73" w:rsidRPr="009F1A63" w:rsidRDefault="00F41B73" w:rsidP="00FE2E6A">
            <w:pPr>
              <w:rPr>
                <w:sz w:val="22"/>
              </w:rPr>
            </w:pPr>
            <w:r w:rsidRPr="009F1A63">
              <w:rPr>
                <w:sz w:val="22"/>
              </w:rPr>
              <w:t>RP1</w:t>
            </w:r>
          </w:p>
        </w:tc>
        <w:tc>
          <w:tcPr>
            <w:tcW w:w="9630" w:type="dxa"/>
            <w:tcBorders>
              <w:top w:val="dashed" w:sz="4" w:space="0" w:color="auto"/>
            </w:tcBorders>
            <w:vAlign w:val="center"/>
          </w:tcPr>
          <w:p w14:paraId="6E6DE916" w14:textId="77777777" w:rsidR="00F41B73" w:rsidRPr="000C3BF6" w:rsidRDefault="00F41B73" w:rsidP="00FE2E6A">
            <w:pPr>
              <w:pStyle w:val="Default"/>
              <w:rPr>
                <w:sz w:val="20"/>
                <w:szCs w:val="20"/>
              </w:rPr>
            </w:pPr>
            <w:r w:rsidRPr="000C3BF6">
              <w:rPr>
                <w:sz w:val="20"/>
                <w:szCs w:val="20"/>
              </w:rPr>
              <w:t xml:space="preserve">Our local regulations influence our implementation and update of a Business Continuity Plan. </w:t>
            </w:r>
          </w:p>
          <w:p w14:paraId="0993E150" w14:textId="77777777" w:rsidR="00F41B73" w:rsidRPr="000C3BF6" w:rsidRDefault="00F41B73" w:rsidP="00FE2E6A">
            <w:pPr>
              <w:rPr>
                <w:sz w:val="20"/>
                <w:szCs w:val="20"/>
              </w:rPr>
            </w:pPr>
          </w:p>
        </w:tc>
        <w:tc>
          <w:tcPr>
            <w:tcW w:w="1350" w:type="dxa"/>
            <w:tcBorders>
              <w:top w:val="dashed" w:sz="4" w:space="0" w:color="auto"/>
            </w:tcBorders>
            <w:shd w:val="clear" w:color="auto" w:fill="auto"/>
            <w:vAlign w:val="center"/>
          </w:tcPr>
          <w:p w14:paraId="09377855" w14:textId="77777777" w:rsidR="00F41B73" w:rsidRPr="009F1A63" w:rsidRDefault="00F41B73" w:rsidP="00FE2E6A">
            <w:pPr>
              <w:rPr>
                <w:sz w:val="22"/>
              </w:rPr>
            </w:pPr>
            <w:r w:rsidRPr="009F1A63">
              <w:rPr>
                <w:sz w:val="22"/>
              </w:rPr>
              <w:t>0.878</w:t>
            </w:r>
          </w:p>
        </w:tc>
        <w:tc>
          <w:tcPr>
            <w:tcW w:w="1080" w:type="dxa"/>
            <w:vMerge w:val="restart"/>
            <w:tcBorders>
              <w:top w:val="dashed" w:sz="4" w:space="0" w:color="auto"/>
            </w:tcBorders>
            <w:vAlign w:val="center"/>
          </w:tcPr>
          <w:p w14:paraId="3010062F" w14:textId="77777777" w:rsidR="00F41B73" w:rsidRPr="009F1A63" w:rsidRDefault="00F41B73" w:rsidP="00FE2E6A">
            <w:pPr>
              <w:rPr>
                <w:sz w:val="22"/>
              </w:rPr>
            </w:pPr>
            <w:r w:rsidRPr="009F1A63">
              <w:rPr>
                <w:sz w:val="22"/>
              </w:rPr>
              <w:t>0.847;</w:t>
            </w:r>
          </w:p>
          <w:p w14:paraId="71CA007A" w14:textId="77777777" w:rsidR="00F41B73" w:rsidRPr="009F1A63" w:rsidRDefault="00F41B73" w:rsidP="00FE2E6A">
            <w:pPr>
              <w:rPr>
                <w:sz w:val="22"/>
              </w:rPr>
            </w:pPr>
            <w:r w:rsidRPr="009F1A63">
              <w:rPr>
                <w:sz w:val="22"/>
              </w:rPr>
              <w:t>0.589</w:t>
            </w:r>
          </w:p>
        </w:tc>
      </w:tr>
      <w:tr w:rsidR="00F41B73" w:rsidRPr="009F1A63" w14:paraId="5FEA9CE3" w14:textId="77777777" w:rsidTr="00FE2E6A">
        <w:trPr>
          <w:trHeight w:hRule="exact" w:val="302"/>
        </w:trPr>
        <w:tc>
          <w:tcPr>
            <w:tcW w:w="1278" w:type="dxa"/>
            <w:vMerge/>
            <w:vAlign w:val="center"/>
            <w:hideMark/>
          </w:tcPr>
          <w:p w14:paraId="14606780" w14:textId="77777777" w:rsidR="00F41B73" w:rsidRPr="009F1A63" w:rsidRDefault="00F41B73" w:rsidP="00FE2E6A">
            <w:pPr>
              <w:rPr>
                <w:sz w:val="22"/>
              </w:rPr>
            </w:pPr>
          </w:p>
        </w:tc>
        <w:tc>
          <w:tcPr>
            <w:tcW w:w="1170" w:type="dxa"/>
            <w:shd w:val="clear" w:color="auto" w:fill="auto"/>
            <w:vAlign w:val="center"/>
            <w:hideMark/>
          </w:tcPr>
          <w:p w14:paraId="516F585D" w14:textId="77777777" w:rsidR="00F41B73" w:rsidRPr="009F1A63" w:rsidRDefault="00F41B73" w:rsidP="00FE2E6A">
            <w:pPr>
              <w:rPr>
                <w:sz w:val="22"/>
              </w:rPr>
            </w:pPr>
            <w:r w:rsidRPr="009F1A63">
              <w:rPr>
                <w:sz w:val="22"/>
              </w:rPr>
              <w:t>RP2</w:t>
            </w:r>
          </w:p>
        </w:tc>
        <w:tc>
          <w:tcPr>
            <w:tcW w:w="9630" w:type="dxa"/>
            <w:vAlign w:val="center"/>
          </w:tcPr>
          <w:p w14:paraId="379DD0D6" w14:textId="77777777" w:rsidR="00F41B73" w:rsidRPr="000C3BF6" w:rsidRDefault="00F41B73" w:rsidP="00FE2E6A">
            <w:pPr>
              <w:pStyle w:val="Default"/>
              <w:rPr>
                <w:sz w:val="20"/>
                <w:szCs w:val="20"/>
              </w:rPr>
            </w:pPr>
            <w:r w:rsidRPr="000C3BF6">
              <w:rPr>
                <w:sz w:val="20"/>
                <w:szCs w:val="20"/>
              </w:rPr>
              <w:t>Our local regulations influence our implementation and update of a Crisis Management Plan.</w:t>
            </w:r>
          </w:p>
        </w:tc>
        <w:tc>
          <w:tcPr>
            <w:tcW w:w="1350" w:type="dxa"/>
            <w:shd w:val="clear" w:color="auto" w:fill="auto"/>
            <w:vAlign w:val="center"/>
          </w:tcPr>
          <w:p w14:paraId="3C616E8B" w14:textId="77777777" w:rsidR="00F41B73" w:rsidRPr="009F1A63" w:rsidRDefault="00F41B73" w:rsidP="00FE2E6A">
            <w:pPr>
              <w:rPr>
                <w:sz w:val="22"/>
              </w:rPr>
            </w:pPr>
            <w:r w:rsidRPr="009F1A63">
              <w:rPr>
                <w:sz w:val="22"/>
              </w:rPr>
              <w:t>0.626</w:t>
            </w:r>
          </w:p>
        </w:tc>
        <w:tc>
          <w:tcPr>
            <w:tcW w:w="1080" w:type="dxa"/>
            <w:vMerge/>
            <w:vAlign w:val="center"/>
          </w:tcPr>
          <w:p w14:paraId="00DAAB4F" w14:textId="77777777" w:rsidR="00F41B73" w:rsidRPr="009F1A63" w:rsidRDefault="00F41B73" w:rsidP="00FE2E6A">
            <w:pPr>
              <w:rPr>
                <w:sz w:val="22"/>
              </w:rPr>
            </w:pPr>
          </w:p>
        </w:tc>
      </w:tr>
      <w:tr w:rsidR="00F41B73" w:rsidRPr="009F1A63" w14:paraId="1068BBD8" w14:textId="77777777" w:rsidTr="00FE2E6A">
        <w:trPr>
          <w:trHeight w:hRule="exact" w:val="288"/>
        </w:trPr>
        <w:tc>
          <w:tcPr>
            <w:tcW w:w="1278" w:type="dxa"/>
            <w:vMerge/>
            <w:vAlign w:val="center"/>
          </w:tcPr>
          <w:p w14:paraId="46918A3B" w14:textId="77777777" w:rsidR="00F41B73" w:rsidRPr="009F1A63" w:rsidRDefault="00F41B73" w:rsidP="00FE2E6A">
            <w:pPr>
              <w:rPr>
                <w:sz w:val="22"/>
              </w:rPr>
            </w:pPr>
          </w:p>
        </w:tc>
        <w:tc>
          <w:tcPr>
            <w:tcW w:w="1170" w:type="dxa"/>
            <w:shd w:val="clear" w:color="auto" w:fill="auto"/>
            <w:vAlign w:val="center"/>
          </w:tcPr>
          <w:p w14:paraId="5870CF9A" w14:textId="77777777" w:rsidR="00F41B73" w:rsidRPr="009F1A63" w:rsidRDefault="00F41B73" w:rsidP="00FE2E6A">
            <w:pPr>
              <w:rPr>
                <w:sz w:val="22"/>
              </w:rPr>
            </w:pPr>
            <w:r w:rsidRPr="009F1A63">
              <w:rPr>
                <w:sz w:val="22"/>
              </w:rPr>
              <w:t>RP3</w:t>
            </w:r>
          </w:p>
        </w:tc>
        <w:tc>
          <w:tcPr>
            <w:tcW w:w="9630" w:type="dxa"/>
            <w:vAlign w:val="center"/>
          </w:tcPr>
          <w:p w14:paraId="7AD91C6F" w14:textId="77777777" w:rsidR="00F41B73" w:rsidRPr="000C3BF6" w:rsidRDefault="00F41B73" w:rsidP="00FE2E6A">
            <w:pPr>
              <w:pStyle w:val="Default"/>
              <w:rPr>
                <w:sz w:val="20"/>
                <w:szCs w:val="20"/>
              </w:rPr>
            </w:pPr>
            <w:r w:rsidRPr="000C3BF6">
              <w:rPr>
                <w:sz w:val="20"/>
                <w:szCs w:val="20"/>
              </w:rPr>
              <w:t xml:space="preserve">Our federal (country level) regulations influence our implementation and update of a Business Continuity Plan. </w:t>
            </w:r>
          </w:p>
        </w:tc>
        <w:tc>
          <w:tcPr>
            <w:tcW w:w="1350" w:type="dxa"/>
            <w:shd w:val="clear" w:color="auto" w:fill="auto"/>
            <w:vAlign w:val="center"/>
          </w:tcPr>
          <w:p w14:paraId="7624D830" w14:textId="77777777" w:rsidR="00F41B73" w:rsidRPr="009F1A63" w:rsidRDefault="00F41B73" w:rsidP="00FE2E6A">
            <w:pPr>
              <w:rPr>
                <w:sz w:val="22"/>
              </w:rPr>
            </w:pPr>
            <w:r w:rsidRPr="009F1A63">
              <w:rPr>
                <w:sz w:val="22"/>
              </w:rPr>
              <w:t>0.920</w:t>
            </w:r>
          </w:p>
        </w:tc>
        <w:tc>
          <w:tcPr>
            <w:tcW w:w="1080" w:type="dxa"/>
            <w:vMerge/>
            <w:vAlign w:val="center"/>
          </w:tcPr>
          <w:p w14:paraId="7E86B207" w14:textId="77777777" w:rsidR="00F41B73" w:rsidRPr="009F1A63" w:rsidRDefault="00F41B73" w:rsidP="00FE2E6A">
            <w:pPr>
              <w:rPr>
                <w:sz w:val="22"/>
              </w:rPr>
            </w:pPr>
          </w:p>
        </w:tc>
      </w:tr>
      <w:tr w:rsidR="00F41B73" w:rsidRPr="009F1A63" w14:paraId="79AC5E4E" w14:textId="77777777" w:rsidTr="00FE2E6A">
        <w:trPr>
          <w:trHeight w:hRule="exact" w:val="302"/>
        </w:trPr>
        <w:tc>
          <w:tcPr>
            <w:tcW w:w="1278" w:type="dxa"/>
            <w:vMerge/>
            <w:tcBorders>
              <w:bottom w:val="dashed" w:sz="4" w:space="0" w:color="auto"/>
            </w:tcBorders>
            <w:vAlign w:val="center"/>
            <w:hideMark/>
          </w:tcPr>
          <w:p w14:paraId="1CFB0657" w14:textId="77777777" w:rsidR="00F41B73" w:rsidRPr="009F1A63" w:rsidRDefault="00F41B73" w:rsidP="00FE2E6A">
            <w:pPr>
              <w:rPr>
                <w:sz w:val="22"/>
              </w:rPr>
            </w:pPr>
          </w:p>
        </w:tc>
        <w:tc>
          <w:tcPr>
            <w:tcW w:w="1170" w:type="dxa"/>
            <w:tcBorders>
              <w:bottom w:val="dashed" w:sz="4" w:space="0" w:color="auto"/>
            </w:tcBorders>
            <w:shd w:val="clear" w:color="auto" w:fill="auto"/>
            <w:vAlign w:val="center"/>
            <w:hideMark/>
          </w:tcPr>
          <w:p w14:paraId="652F0C46" w14:textId="77777777" w:rsidR="00F41B73" w:rsidRPr="009F1A63" w:rsidRDefault="00F41B73" w:rsidP="00FE2E6A">
            <w:pPr>
              <w:rPr>
                <w:sz w:val="22"/>
              </w:rPr>
            </w:pPr>
            <w:r w:rsidRPr="009F1A63">
              <w:rPr>
                <w:sz w:val="22"/>
              </w:rPr>
              <w:t>RP4</w:t>
            </w:r>
          </w:p>
        </w:tc>
        <w:tc>
          <w:tcPr>
            <w:tcW w:w="9630" w:type="dxa"/>
            <w:tcBorders>
              <w:bottom w:val="dashed" w:sz="4" w:space="0" w:color="auto"/>
            </w:tcBorders>
            <w:vAlign w:val="center"/>
          </w:tcPr>
          <w:p w14:paraId="58F6BD02" w14:textId="77777777" w:rsidR="00F41B73" w:rsidRPr="000C3BF6" w:rsidRDefault="00F41B73" w:rsidP="00FE2E6A">
            <w:pPr>
              <w:pStyle w:val="Default"/>
              <w:rPr>
                <w:sz w:val="20"/>
                <w:szCs w:val="20"/>
              </w:rPr>
            </w:pPr>
            <w:r w:rsidRPr="000C3BF6">
              <w:rPr>
                <w:sz w:val="20"/>
                <w:szCs w:val="20"/>
              </w:rPr>
              <w:t xml:space="preserve">Our federal (country level) regulations influence our implementation of a Crisis Management Plan. </w:t>
            </w:r>
          </w:p>
        </w:tc>
        <w:tc>
          <w:tcPr>
            <w:tcW w:w="1350" w:type="dxa"/>
            <w:tcBorders>
              <w:bottom w:val="dashed" w:sz="4" w:space="0" w:color="auto"/>
            </w:tcBorders>
            <w:shd w:val="clear" w:color="auto" w:fill="auto"/>
            <w:vAlign w:val="center"/>
          </w:tcPr>
          <w:p w14:paraId="0CBDDEEE" w14:textId="77777777" w:rsidR="00F41B73" w:rsidRPr="009F1A63" w:rsidRDefault="00F41B73" w:rsidP="00FE2E6A">
            <w:pPr>
              <w:rPr>
                <w:sz w:val="22"/>
              </w:rPr>
            </w:pPr>
            <w:r w:rsidRPr="009F1A63">
              <w:rPr>
                <w:sz w:val="22"/>
              </w:rPr>
              <w:t>0.590</w:t>
            </w:r>
          </w:p>
        </w:tc>
        <w:tc>
          <w:tcPr>
            <w:tcW w:w="1080" w:type="dxa"/>
            <w:vMerge/>
            <w:tcBorders>
              <w:bottom w:val="dashed" w:sz="4" w:space="0" w:color="auto"/>
            </w:tcBorders>
            <w:vAlign w:val="center"/>
          </w:tcPr>
          <w:p w14:paraId="6B1E04D5" w14:textId="77777777" w:rsidR="00F41B73" w:rsidRPr="009F1A63" w:rsidRDefault="00F41B73" w:rsidP="00FE2E6A">
            <w:pPr>
              <w:rPr>
                <w:sz w:val="22"/>
              </w:rPr>
            </w:pPr>
          </w:p>
        </w:tc>
      </w:tr>
      <w:tr w:rsidR="00F41B73" w:rsidRPr="009F1A63" w14:paraId="70984726" w14:textId="77777777" w:rsidTr="00FE2E6A">
        <w:trPr>
          <w:trHeight w:hRule="exact" w:val="302"/>
        </w:trPr>
        <w:tc>
          <w:tcPr>
            <w:tcW w:w="1278" w:type="dxa"/>
            <w:vMerge w:val="restart"/>
            <w:tcBorders>
              <w:top w:val="dashed" w:sz="4" w:space="0" w:color="auto"/>
            </w:tcBorders>
            <w:shd w:val="clear" w:color="auto" w:fill="auto"/>
            <w:vAlign w:val="center"/>
          </w:tcPr>
          <w:p w14:paraId="64AACB26" w14:textId="77777777" w:rsidR="00F41B73" w:rsidRPr="009F1A63" w:rsidRDefault="00F41B73" w:rsidP="00FE2E6A">
            <w:pPr>
              <w:rPr>
                <w:sz w:val="22"/>
              </w:rPr>
            </w:pPr>
            <w:r w:rsidRPr="009F1A63">
              <w:rPr>
                <w:sz w:val="22"/>
              </w:rPr>
              <w:t>Small disruptions</w:t>
            </w:r>
          </w:p>
        </w:tc>
        <w:tc>
          <w:tcPr>
            <w:tcW w:w="1170" w:type="dxa"/>
            <w:tcBorders>
              <w:top w:val="dashed" w:sz="4" w:space="0" w:color="auto"/>
            </w:tcBorders>
            <w:shd w:val="clear" w:color="auto" w:fill="auto"/>
            <w:vAlign w:val="center"/>
          </w:tcPr>
          <w:p w14:paraId="0740518A" w14:textId="77777777" w:rsidR="00F41B73" w:rsidRPr="009F1A63" w:rsidRDefault="00F41B73" w:rsidP="00FE2E6A">
            <w:pPr>
              <w:rPr>
                <w:sz w:val="22"/>
              </w:rPr>
            </w:pPr>
            <w:r w:rsidRPr="009F1A63">
              <w:rPr>
                <w:sz w:val="22"/>
              </w:rPr>
              <w:t>SD1</w:t>
            </w:r>
          </w:p>
        </w:tc>
        <w:tc>
          <w:tcPr>
            <w:tcW w:w="9630" w:type="dxa"/>
            <w:tcBorders>
              <w:top w:val="dashed" w:sz="4" w:space="0" w:color="auto"/>
            </w:tcBorders>
            <w:vAlign w:val="center"/>
          </w:tcPr>
          <w:p w14:paraId="4984E1B7" w14:textId="77777777" w:rsidR="00F41B73" w:rsidRPr="001D2D93" w:rsidRDefault="00F41B73" w:rsidP="00FE2E6A">
            <w:pPr>
              <w:rPr>
                <w:sz w:val="20"/>
              </w:rPr>
            </w:pPr>
            <w:r w:rsidRPr="001D2D93">
              <w:rPr>
                <w:sz w:val="20"/>
              </w:rPr>
              <w:t>Initiated in your organization and affected upstream and downstream members of the supply chain.</w:t>
            </w:r>
          </w:p>
        </w:tc>
        <w:tc>
          <w:tcPr>
            <w:tcW w:w="1350" w:type="dxa"/>
            <w:tcBorders>
              <w:top w:val="dashed" w:sz="4" w:space="0" w:color="auto"/>
            </w:tcBorders>
            <w:shd w:val="clear" w:color="auto" w:fill="auto"/>
            <w:vAlign w:val="center"/>
          </w:tcPr>
          <w:p w14:paraId="09D4075F" w14:textId="77777777" w:rsidR="00F41B73" w:rsidRPr="009F1A63" w:rsidRDefault="00F41B73" w:rsidP="00FE2E6A">
            <w:pPr>
              <w:rPr>
                <w:sz w:val="22"/>
              </w:rPr>
            </w:pPr>
            <w:r w:rsidRPr="009F1A63">
              <w:rPr>
                <w:sz w:val="22"/>
              </w:rPr>
              <w:t>0.749</w:t>
            </w:r>
          </w:p>
        </w:tc>
        <w:tc>
          <w:tcPr>
            <w:tcW w:w="1080" w:type="dxa"/>
            <w:vMerge w:val="restart"/>
            <w:tcBorders>
              <w:top w:val="dashed" w:sz="4" w:space="0" w:color="auto"/>
            </w:tcBorders>
            <w:vAlign w:val="center"/>
          </w:tcPr>
          <w:p w14:paraId="262B6B7B" w14:textId="77777777" w:rsidR="00F41B73" w:rsidRPr="009F1A63" w:rsidRDefault="00F41B73" w:rsidP="00FE2E6A">
            <w:pPr>
              <w:rPr>
                <w:sz w:val="22"/>
              </w:rPr>
            </w:pPr>
            <w:r w:rsidRPr="009F1A63">
              <w:rPr>
                <w:sz w:val="22"/>
              </w:rPr>
              <w:t>0.879;</w:t>
            </w:r>
          </w:p>
          <w:p w14:paraId="6AC7085A" w14:textId="77777777" w:rsidR="00F41B73" w:rsidRPr="009F1A63" w:rsidRDefault="00F41B73" w:rsidP="00FE2E6A">
            <w:pPr>
              <w:rPr>
                <w:sz w:val="22"/>
              </w:rPr>
            </w:pPr>
            <w:r w:rsidRPr="009F1A63">
              <w:rPr>
                <w:sz w:val="22"/>
              </w:rPr>
              <w:t>0.709</w:t>
            </w:r>
          </w:p>
        </w:tc>
      </w:tr>
      <w:tr w:rsidR="00F41B73" w:rsidRPr="009F1A63" w14:paraId="6BDF9ADD" w14:textId="77777777" w:rsidTr="00FE2E6A">
        <w:trPr>
          <w:trHeight w:hRule="exact" w:val="302"/>
        </w:trPr>
        <w:tc>
          <w:tcPr>
            <w:tcW w:w="1278" w:type="dxa"/>
            <w:vMerge/>
            <w:shd w:val="clear" w:color="auto" w:fill="auto"/>
            <w:vAlign w:val="center"/>
          </w:tcPr>
          <w:p w14:paraId="1CEE70B9" w14:textId="77777777" w:rsidR="00F41B73" w:rsidRPr="009F1A63" w:rsidRDefault="00F41B73" w:rsidP="00FE2E6A">
            <w:pPr>
              <w:rPr>
                <w:sz w:val="22"/>
              </w:rPr>
            </w:pPr>
          </w:p>
        </w:tc>
        <w:tc>
          <w:tcPr>
            <w:tcW w:w="1170" w:type="dxa"/>
            <w:shd w:val="clear" w:color="auto" w:fill="auto"/>
            <w:vAlign w:val="center"/>
          </w:tcPr>
          <w:p w14:paraId="02671CB0" w14:textId="77777777" w:rsidR="00F41B73" w:rsidRPr="009F1A63" w:rsidRDefault="00F41B73" w:rsidP="00FE2E6A">
            <w:pPr>
              <w:rPr>
                <w:sz w:val="22"/>
              </w:rPr>
            </w:pPr>
            <w:r w:rsidRPr="009F1A63">
              <w:rPr>
                <w:sz w:val="22"/>
              </w:rPr>
              <w:t>SD2</w:t>
            </w:r>
          </w:p>
        </w:tc>
        <w:tc>
          <w:tcPr>
            <w:tcW w:w="9630" w:type="dxa"/>
            <w:vAlign w:val="center"/>
          </w:tcPr>
          <w:p w14:paraId="48C4373F" w14:textId="77777777" w:rsidR="00F41B73" w:rsidRPr="001D2D93" w:rsidRDefault="00F41B73" w:rsidP="00FE2E6A">
            <w:pPr>
              <w:rPr>
                <w:sz w:val="20"/>
              </w:rPr>
            </w:pPr>
            <w:r w:rsidRPr="001D2D93">
              <w:rPr>
                <w:sz w:val="20"/>
              </w:rPr>
              <w:t>Initiated because of actions or decisions of your downstream customers and affected your operations</w:t>
            </w:r>
          </w:p>
        </w:tc>
        <w:tc>
          <w:tcPr>
            <w:tcW w:w="1350" w:type="dxa"/>
            <w:shd w:val="clear" w:color="auto" w:fill="auto"/>
            <w:vAlign w:val="center"/>
          </w:tcPr>
          <w:p w14:paraId="2A884548" w14:textId="77777777" w:rsidR="00F41B73" w:rsidRPr="009F1A63" w:rsidRDefault="00F41B73" w:rsidP="00FE2E6A">
            <w:pPr>
              <w:rPr>
                <w:sz w:val="22"/>
              </w:rPr>
            </w:pPr>
            <w:r w:rsidRPr="009F1A63">
              <w:rPr>
                <w:sz w:val="22"/>
              </w:rPr>
              <w:t>0.965</w:t>
            </w:r>
          </w:p>
        </w:tc>
        <w:tc>
          <w:tcPr>
            <w:tcW w:w="1080" w:type="dxa"/>
            <w:vMerge/>
            <w:vAlign w:val="center"/>
          </w:tcPr>
          <w:p w14:paraId="48D69A05" w14:textId="77777777" w:rsidR="00F41B73" w:rsidRPr="009F1A63" w:rsidRDefault="00F41B73" w:rsidP="00FE2E6A">
            <w:pPr>
              <w:rPr>
                <w:sz w:val="22"/>
              </w:rPr>
            </w:pPr>
          </w:p>
        </w:tc>
      </w:tr>
      <w:tr w:rsidR="00F41B73" w:rsidRPr="009F1A63" w14:paraId="56101C78" w14:textId="77777777" w:rsidTr="00FE2E6A">
        <w:trPr>
          <w:trHeight w:hRule="exact" w:val="302"/>
        </w:trPr>
        <w:tc>
          <w:tcPr>
            <w:tcW w:w="1278" w:type="dxa"/>
            <w:vMerge/>
            <w:tcBorders>
              <w:bottom w:val="dashed" w:sz="4" w:space="0" w:color="auto"/>
            </w:tcBorders>
            <w:shd w:val="clear" w:color="auto" w:fill="auto"/>
            <w:vAlign w:val="center"/>
          </w:tcPr>
          <w:p w14:paraId="7C450372" w14:textId="77777777" w:rsidR="00F41B73" w:rsidRPr="009F1A63" w:rsidRDefault="00F41B73" w:rsidP="00FE2E6A">
            <w:pPr>
              <w:rPr>
                <w:sz w:val="22"/>
              </w:rPr>
            </w:pPr>
          </w:p>
        </w:tc>
        <w:tc>
          <w:tcPr>
            <w:tcW w:w="1170" w:type="dxa"/>
            <w:tcBorders>
              <w:bottom w:val="dashed" w:sz="4" w:space="0" w:color="auto"/>
            </w:tcBorders>
            <w:shd w:val="clear" w:color="auto" w:fill="auto"/>
            <w:vAlign w:val="center"/>
          </w:tcPr>
          <w:p w14:paraId="7EA233A8" w14:textId="77777777" w:rsidR="00F41B73" w:rsidRPr="009F1A63" w:rsidRDefault="00F41B73" w:rsidP="00FE2E6A">
            <w:pPr>
              <w:rPr>
                <w:sz w:val="22"/>
              </w:rPr>
            </w:pPr>
            <w:r w:rsidRPr="009F1A63">
              <w:rPr>
                <w:sz w:val="22"/>
              </w:rPr>
              <w:t>SD3</w:t>
            </w:r>
          </w:p>
        </w:tc>
        <w:tc>
          <w:tcPr>
            <w:tcW w:w="9630" w:type="dxa"/>
            <w:tcBorders>
              <w:bottom w:val="dashed" w:sz="4" w:space="0" w:color="auto"/>
            </w:tcBorders>
            <w:vAlign w:val="center"/>
          </w:tcPr>
          <w:p w14:paraId="2FA4AEFD" w14:textId="77777777" w:rsidR="00F41B73" w:rsidRPr="001D2D93" w:rsidRDefault="00F41B73" w:rsidP="00FE2E6A">
            <w:pPr>
              <w:rPr>
                <w:sz w:val="20"/>
              </w:rPr>
            </w:pPr>
            <w:r w:rsidRPr="001D2D93">
              <w:rPr>
                <w:sz w:val="20"/>
              </w:rPr>
              <w:t>Initiated as a result of other factors and affected more than one member of your supply chain.</w:t>
            </w:r>
          </w:p>
        </w:tc>
        <w:tc>
          <w:tcPr>
            <w:tcW w:w="1350" w:type="dxa"/>
            <w:tcBorders>
              <w:bottom w:val="dashed" w:sz="4" w:space="0" w:color="auto"/>
            </w:tcBorders>
            <w:shd w:val="clear" w:color="auto" w:fill="auto"/>
            <w:vAlign w:val="center"/>
          </w:tcPr>
          <w:p w14:paraId="5BD9FC98" w14:textId="77777777" w:rsidR="00F41B73" w:rsidRPr="009F1A63" w:rsidRDefault="00F41B73" w:rsidP="00FE2E6A">
            <w:pPr>
              <w:rPr>
                <w:sz w:val="22"/>
              </w:rPr>
            </w:pPr>
            <w:r w:rsidRPr="009F1A63">
              <w:rPr>
                <w:sz w:val="22"/>
              </w:rPr>
              <w:t>0.797</w:t>
            </w:r>
          </w:p>
        </w:tc>
        <w:tc>
          <w:tcPr>
            <w:tcW w:w="1080" w:type="dxa"/>
            <w:vMerge/>
            <w:tcBorders>
              <w:bottom w:val="dashed" w:sz="4" w:space="0" w:color="auto"/>
            </w:tcBorders>
            <w:vAlign w:val="center"/>
          </w:tcPr>
          <w:p w14:paraId="54BC4782" w14:textId="77777777" w:rsidR="00F41B73" w:rsidRPr="009F1A63" w:rsidRDefault="00F41B73" w:rsidP="00FE2E6A">
            <w:pPr>
              <w:rPr>
                <w:sz w:val="22"/>
              </w:rPr>
            </w:pPr>
          </w:p>
        </w:tc>
      </w:tr>
      <w:tr w:rsidR="00F41B73" w:rsidRPr="009F1A63" w14:paraId="11B7A192" w14:textId="77777777" w:rsidTr="00FE2E6A">
        <w:trPr>
          <w:trHeight w:hRule="exact" w:val="302"/>
        </w:trPr>
        <w:tc>
          <w:tcPr>
            <w:tcW w:w="1278" w:type="dxa"/>
            <w:vMerge w:val="restart"/>
            <w:tcBorders>
              <w:top w:val="dashed" w:sz="4" w:space="0" w:color="auto"/>
            </w:tcBorders>
            <w:shd w:val="clear" w:color="auto" w:fill="auto"/>
            <w:vAlign w:val="center"/>
          </w:tcPr>
          <w:p w14:paraId="4321040E" w14:textId="77777777" w:rsidR="00F41B73" w:rsidRPr="009F1A63" w:rsidRDefault="00F41B73" w:rsidP="00FE2E6A">
            <w:pPr>
              <w:rPr>
                <w:sz w:val="22"/>
              </w:rPr>
            </w:pPr>
            <w:r w:rsidRPr="009F1A63">
              <w:rPr>
                <w:sz w:val="22"/>
              </w:rPr>
              <w:t>Product Maturity</w:t>
            </w:r>
          </w:p>
        </w:tc>
        <w:tc>
          <w:tcPr>
            <w:tcW w:w="1170" w:type="dxa"/>
            <w:tcBorders>
              <w:top w:val="dashed" w:sz="4" w:space="0" w:color="auto"/>
            </w:tcBorders>
            <w:shd w:val="clear" w:color="auto" w:fill="auto"/>
            <w:vAlign w:val="center"/>
          </w:tcPr>
          <w:p w14:paraId="64A56C78" w14:textId="77777777" w:rsidR="00F41B73" w:rsidRPr="009F1A63" w:rsidRDefault="00F41B73" w:rsidP="00FE2E6A">
            <w:pPr>
              <w:rPr>
                <w:sz w:val="22"/>
              </w:rPr>
            </w:pPr>
            <w:r w:rsidRPr="009F1A63">
              <w:rPr>
                <w:sz w:val="22"/>
              </w:rPr>
              <w:t>PM1</w:t>
            </w:r>
          </w:p>
        </w:tc>
        <w:tc>
          <w:tcPr>
            <w:tcW w:w="9630" w:type="dxa"/>
            <w:tcBorders>
              <w:top w:val="dashed" w:sz="4" w:space="0" w:color="auto"/>
            </w:tcBorders>
            <w:vAlign w:val="center"/>
          </w:tcPr>
          <w:p w14:paraId="393F1A33" w14:textId="77777777" w:rsidR="00F41B73" w:rsidRPr="0024469E" w:rsidRDefault="00F41B73" w:rsidP="00FE2E6A">
            <w:pPr>
              <w:pStyle w:val="Default"/>
              <w:rPr>
                <w:sz w:val="20"/>
                <w:szCs w:val="20"/>
              </w:rPr>
            </w:pPr>
            <w:r w:rsidRPr="0024469E">
              <w:rPr>
                <w:sz w:val="20"/>
                <w:szCs w:val="20"/>
              </w:rPr>
              <w:t xml:space="preserve">Our products are mature (are in the late stages of product innovation life cycle). </w:t>
            </w:r>
          </w:p>
        </w:tc>
        <w:tc>
          <w:tcPr>
            <w:tcW w:w="1350" w:type="dxa"/>
            <w:tcBorders>
              <w:top w:val="dashed" w:sz="4" w:space="0" w:color="auto"/>
            </w:tcBorders>
            <w:shd w:val="clear" w:color="auto" w:fill="auto"/>
            <w:vAlign w:val="center"/>
          </w:tcPr>
          <w:p w14:paraId="44DCF1DD" w14:textId="77777777" w:rsidR="00F41B73" w:rsidRPr="009F1A63" w:rsidRDefault="00F41B73" w:rsidP="00FE2E6A">
            <w:pPr>
              <w:rPr>
                <w:sz w:val="22"/>
              </w:rPr>
            </w:pPr>
            <w:r w:rsidRPr="009F1A63">
              <w:rPr>
                <w:sz w:val="22"/>
              </w:rPr>
              <w:t>0.841</w:t>
            </w:r>
          </w:p>
        </w:tc>
        <w:tc>
          <w:tcPr>
            <w:tcW w:w="1080" w:type="dxa"/>
            <w:vMerge w:val="restart"/>
            <w:tcBorders>
              <w:top w:val="dashed" w:sz="4" w:space="0" w:color="auto"/>
            </w:tcBorders>
            <w:vAlign w:val="center"/>
          </w:tcPr>
          <w:p w14:paraId="6B37953B" w14:textId="77777777" w:rsidR="00F41B73" w:rsidRPr="009F1A63" w:rsidRDefault="00F41B73" w:rsidP="00FE2E6A">
            <w:pPr>
              <w:rPr>
                <w:sz w:val="22"/>
              </w:rPr>
            </w:pPr>
            <w:r w:rsidRPr="009F1A63">
              <w:rPr>
                <w:sz w:val="22"/>
              </w:rPr>
              <w:t>0.877;</w:t>
            </w:r>
          </w:p>
          <w:p w14:paraId="4E64F27E" w14:textId="77777777" w:rsidR="00F41B73" w:rsidRPr="009F1A63" w:rsidRDefault="00F41B73" w:rsidP="00FE2E6A">
            <w:pPr>
              <w:rPr>
                <w:sz w:val="22"/>
              </w:rPr>
            </w:pPr>
            <w:r w:rsidRPr="009F1A63">
              <w:rPr>
                <w:sz w:val="22"/>
              </w:rPr>
              <w:t>0.704</w:t>
            </w:r>
          </w:p>
        </w:tc>
      </w:tr>
      <w:tr w:rsidR="00F41B73" w:rsidRPr="009F1A63" w14:paraId="4D823C3D" w14:textId="77777777" w:rsidTr="00FE2E6A">
        <w:trPr>
          <w:trHeight w:hRule="exact" w:val="302"/>
        </w:trPr>
        <w:tc>
          <w:tcPr>
            <w:tcW w:w="1278" w:type="dxa"/>
            <w:vMerge/>
            <w:shd w:val="clear" w:color="auto" w:fill="auto"/>
            <w:vAlign w:val="center"/>
          </w:tcPr>
          <w:p w14:paraId="4CBE10B1" w14:textId="77777777" w:rsidR="00F41B73" w:rsidRPr="009F1A63" w:rsidRDefault="00F41B73" w:rsidP="00FE2E6A">
            <w:pPr>
              <w:rPr>
                <w:sz w:val="22"/>
              </w:rPr>
            </w:pPr>
          </w:p>
        </w:tc>
        <w:tc>
          <w:tcPr>
            <w:tcW w:w="1170" w:type="dxa"/>
            <w:shd w:val="clear" w:color="auto" w:fill="auto"/>
            <w:vAlign w:val="center"/>
          </w:tcPr>
          <w:p w14:paraId="3293280C" w14:textId="77777777" w:rsidR="00F41B73" w:rsidRPr="009F1A63" w:rsidRDefault="00F41B73" w:rsidP="00FE2E6A">
            <w:pPr>
              <w:rPr>
                <w:sz w:val="22"/>
              </w:rPr>
            </w:pPr>
            <w:r w:rsidRPr="009F1A63">
              <w:rPr>
                <w:sz w:val="22"/>
              </w:rPr>
              <w:t>PM2</w:t>
            </w:r>
          </w:p>
        </w:tc>
        <w:tc>
          <w:tcPr>
            <w:tcW w:w="9630" w:type="dxa"/>
            <w:vAlign w:val="center"/>
          </w:tcPr>
          <w:p w14:paraId="527434B7" w14:textId="77777777" w:rsidR="00F41B73" w:rsidRPr="0024469E" w:rsidRDefault="00F41B73" w:rsidP="00FE2E6A">
            <w:pPr>
              <w:pStyle w:val="Default"/>
              <w:rPr>
                <w:sz w:val="20"/>
                <w:szCs w:val="20"/>
              </w:rPr>
            </w:pPr>
            <w:r w:rsidRPr="0024469E">
              <w:rPr>
                <w:sz w:val="20"/>
                <w:szCs w:val="20"/>
              </w:rPr>
              <w:t xml:space="preserve">We operate in a market that has been well established in terms of competitors. </w:t>
            </w:r>
          </w:p>
        </w:tc>
        <w:tc>
          <w:tcPr>
            <w:tcW w:w="1350" w:type="dxa"/>
            <w:shd w:val="clear" w:color="auto" w:fill="auto"/>
            <w:vAlign w:val="center"/>
          </w:tcPr>
          <w:p w14:paraId="4F1740F2" w14:textId="77777777" w:rsidR="00F41B73" w:rsidRPr="009F1A63" w:rsidRDefault="00F41B73" w:rsidP="00FE2E6A">
            <w:pPr>
              <w:rPr>
                <w:sz w:val="22"/>
              </w:rPr>
            </w:pPr>
            <w:r w:rsidRPr="009F1A63">
              <w:rPr>
                <w:sz w:val="22"/>
              </w:rPr>
              <w:t>0.869</w:t>
            </w:r>
          </w:p>
        </w:tc>
        <w:tc>
          <w:tcPr>
            <w:tcW w:w="1080" w:type="dxa"/>
            <w:vMerge/>
            <w:vAlign w:val="center"/>
          </w:tcPr>
          <w:p w14:paraId="4A237667" w14:textId="77777777" w:rsidR="00F41B73" w:rsidRPr="009F1A63" w:rsidRDefault="00F41B73" w:rsidP="00FE2E6A">
            <w:pPr>
              <w:rPr>
                <w:sz w:val="22"/>
              </w:rPr>
            </w:pPr>
          </w:p>
        </w:tc>
      </w:tr>
      <w:tr w:rsidR="00F41B73" w:rsidRPr="009F1A63" w14:paraId="196AA8F1" w14:textId="77777777" w:rsidTr="00FE2E6A">
        <w:trPr>
          <w:trHeight w:hRule="exact" w:val="302"/>
        </w:trPr>
        <w:tc>
          <w:tcPr>
            <w:tcW w:w="1278" w:type="dxa"/>
            <w:vMerge/>
            <w:shd w:val="clear" w:color="auto" w:fill="auto"/>
            <w:vAlign w:val="center"/>
          </w:tcPr>
          <w:p w14:paraId="184DBC71" w14:textId="77777777" w:rsidR="00F41B73" w:rsidRPr="009F1A63" w:rsidRDefault="00F41B73" w:rsidP="00FE2E6A">
            <w:pPr>
              <w:rPr>
                <w:sz w:val="22"/>
              </w:rPr>
            </w:pPr>
          </w:p>
        </w:tc>
        <w:tc>
          <w:tcPr>
            <w:tcW w:w="1170" w:type="dxa"/>
            <w:shd w:val="clear" w:color="auto" w:fill="auto"/>
            <w:vAlign w:val="center"/>
          </w:tcPr>
          <w:p w14:paraId="7942EB14" w14:textId="77777777" w:rsidR="00F41B73" w:rsidRPr="009F1A63" w:rsidRDefault="00F41B73" w:rsidP="00FE2E6A">
            <w:pPr>
              <w:rPr>
                <w:sz w:val="22"/>
              </w:rPr>
            </w:pPr>
            <w:r w:rsidRPr="009F1A63">
              <w:rPr>
                <w:sz w:val="22"/>
              </w:rPr>
              <w:t>PM3</w:t>
            </w:r>
          </w:p>
        </w:tc>
        <w:tc>
          <w:tcPr>
            <w:tcW w:w="9630" w:type="dxa"/>
            <w:vAlign w:val="center"/>
          </w:tcPr>
          <w:p w14:paraId="174148AB" w14:textId="77777777" w:rsidR="00F41B73" w:rsidRPr="0024469E" w:rsidRDefault="00F41B73" w:rsidP="00FE2E6A">
            <w:pPr>
              <w:pStyle w:val="Default"/>
              <w:rPr>
                <w:sz w:val="20"/>
                <w:szCs w:val="20"/>
              </w:rPr>
            </w:pPr>
            <w:r w:rsidRPr="0024469E">
              <w:rPr>
                <w:sz w:val="20"/>
                <w:szCs w:val="20"/>
              </w:rPr>
              <w:t>In general, our products can be described as commodity rather than as distinctively novel.</w:t>
            </w:r>
          </w:p>
        </w:tc>
        <w:tc>
          <w:tcPr>
            <w:tcW w:w="1350" w:type="dxa"/>
            <w:shd w:val="clear" w:color="auto" w:fill="auto"/>
            <w:vAlign w:val="center"/>
          </w:tcPr>
          <w:p w14:paraId="3E8D78E6" w14:textId="77777777" w:rsidR="00F41B73" w:rsidRPr="009F1A63" w:rsidRDefault="00F41B73" w:rsidP="00FE2E6A">
            <w:pPr>
              <w:rPr>
                <w:sz w:val="22"/>
              </w:rPr>
            </w:pPr>
            <w:r w:rsidRPr="009F1A63">
              <w:rPr>
                <w:sz w:val="22"/>
              </w:rPr>
              <w:t>0.805</w:t>
            </w:r>
          </w:p>
        </w:tc>
        <w:tc>
          <w:tcPr>
            <w:tcW w:w="1080" w:type="dxa"/>
            <w:vMerge/>
            <w:vAlign w:val="center"/>
          </w:tcPr>
          <w:p w14:paraId="5463F2E9" w14:textId="77777777" w:rsidR="00F41B73" w:rsidRPr="009F1A63" w:rsidRDefault="00F41B73" w:rsidP="00FE2E6A">
            <w:pPr>
              <w:rPr>
                <w:sz w:val="22"/>
              </w:rPr>
            </w:pPr>
          </w:p>
        </w:tc>
      </w:tr>
      <w:tr w:rsidR="00F41B73" w:rsidRPr="009F1A63" w14:paraId="59B85504" w14:textId="77777777" w:rsidTr="00FE2E6A">
        <w:trPr>
          <w:trHeight w:hRule="exact" w:val="302"/>
        </w:trPr>
        <w:tc>
          <w:tcPr>
            <w:tcW w:w="13428" w:type="dxa"/>
            <w:gridSpan w:val="4"/>
            <w:tcBorders>
              <w:top w:val="single" w:sz="12" w:space="0" w:color="auto"/>
              <w:bottom w:val="single" w:sz="12" w:space="0" w:color="auto"/>
            </w:tcBorders>
            <w:shd w:val="clear" w:color="auto" w:fill="auto"/>
            <w:vAlign w:val="center"/>
            <w:hideMark/>
          </w:tcPr>
          <w:p w14:paraId="2BDFE64A" w14:textId="77777777" w:rsidR="00F41B73" w:rsidRPr="009F1A63" w:rsidRDefault="00F41B73" w:rsidP="00FE2E6A">
            <w:pPr>
              <w:rPr>
                <w:sz w:val="22"/>
              </w:rPr>
            </w:pPr>
            <w:r w:rsidRPr="00B12D07">
              <w:rPr>
                <w:sz w:val="20"/>
              </w:rPr>
              <w:t>Chi-square (DF) = 818.571 (253);  RMSEA = 0.071; SRMR = 0.050; CFI = 0.929; GFI = 0.873; TLI = 0.916</w:t>
            </w:r>
          </w:p>
        </w:tc>
        <w:tc>
          <w:tcPr>
            <w:tcW w:w="1080" w:type="dxa"/>
            <w:tcBorders>
              <w:top w:val="single" w:sz="12" w:space="0" w:color="auto"/>
              <w:bottom w:val="single" w:sz="12" w:space="0" w:color="auto"/>
            </w:tcBorders>
          </w:tcPr>
          <w:p w14:paraId="47927C53" w14:textId="77777777" w:rsidR="00F41B73" w:rsidRPr="009F1A63" w:rsidRDefault="00F41B73" w:rsidP="00FE2E6A">
            <w:pPr>
              <w:rPr>
                <w:sz w:val="22"/>
              </w:rPr>
            </w:pPr>
          </w:p>
        </w:tc>
      </w:tr>
    </w:tbl>
    <w:p w14:paraId="54EDB709" w14:textId="63FB36B9" w:rsidR="002A5DA3" w:rsidRPr="00790A5B" w:rsidRDefault="002A5DA3" w:rsidP="00F41B73">
      <w:pPr>
        <w:rPr>
          <w:b/>
        </w:rPr>
      </w:pPr>
    </w:p>
    <w:p w14:paraId="06814D90" w14:textId="77777777" w:rsidR="002A5DA3" w:rsidRPr="000F4941" w:rsidRDefault="002A5DA3" w:rsidP="002A5DA3">
      <w:pPr>
        <w:tabs>
          <w:tab w:val="left" w:pos="9360"/>
        </w:tabs>
        <w:rPr>
          <w:sz w:val="22"/>
        </w:rPr>
      </w:pPr>
      <w:r>
        <w:rPr>
          <w:b/>
          <w:sz w:val="22"/>
        </w:rPr>
        <w:lastRenderedPageBreak/>
        <w:t>Table 4</w:t>
      </w:r>
      <w:r w:rsidRPr="000F4941">
        <w:rPr>
          <w:b/>
          <w:sz w:val="22"/>
        </w:rPr>
        <w:t xml:space="preserve">: </w:t>
      </w:r>
      <w:r w:rsidRPr="000F4941">
        <w:rPr>
          <w:sz w:val="22"/>
        </w:rPr>
        <w:t xml:space="preserve">Regression </w:t>
      </w:r>
      <w:r>
        <w:rPr>
          <w:sz w:val="22"/>
        </w:rPr>
        <w:t>R</w:t>
      </w:r>
      <w:r w:rsidRPr="000F4941">
        <w:rPr>
          <w:sz w:val="22"/>
        </w:rPr>
        <w:t>esults</w:t>
      </w:r>
      <w:r>
        <w:rPr>
          <w:sz w:val="22"/>
        </w:rPr>
        <w:t xml:space="preserve"> for</w:t>
      </w:r>
      <w:r w:rsidRPr="000F4941">
        <w:rPr>
          <w:sz w:val="22"/>
        </w:rPr>
        <w:t xml:space="preserve"> Flexible </w:t>
      </w:r>
      <w:r>
        <w:rPr>
          <w:sz w:val="22"/>
        </w:rPr>
        <w:t xml:space="preserve">and Procedural </w:t>
      </w:r>
      <w:r w:rsidRPr="000F4941">
        <w:rPr>
          <w:sz w:val="22"/>
        </w:rPr>
        <w:t>Response</w:t>
      </w:r>
    </w:p>
    <w:tbl>
      <w:tblPr>
        <w:tblW w:w="12672" w:type="dxa"/>
        <w:tblInd w:w="108" w:type="dxa"/>
        <w:tblLayout w:type="fixed"/>
        <w:tblLook w:val="04A0" w:firstRow="1" w:lastRow="0" w:firstColumn="1" w:lastColumn="0" w:noHBand="0" w:noVBand="1"/>
      </w:tblPr>
      <w:tblGrid>
        <w:gridCol w:w="2592"/>
        <w:gridCol w:w="846"/>
        <w:gridCol w:w="148"/>
        <w:gridCol w:w="812"/>
        <w:gridCol w:w="148"/>
        <w:gridCol w:w="812"/>
        <w:gridCol w:w="148"/>
        <w:gridCol w:w="812"/>
        <w:gridCol w:w="148"/>
        <w:gridCol w:w="812"/>
        <w:gridCol w:w="148"/>
        <w:gridCol w:w="296"/>
        <w:gridCol w:w="241"/>
        <w:gridCol w:w="846"/>
        <w:gridCol w:w="102"/>
        <w:gridCol w:w="794"/>
        <w:gridCol w:w="130"/>
        <w:gridCol w:w="766"/>
        <w:gridCol w:w="130"/>
        <w:gridCol w:w="766"/>
        <w:gridCol w:w="130"/>
        <w:gridCol w:w="802"/>
        <w:gridCol w:w="243"/>
      </w:tblGrid>
      <w:tr w:rsidR="002A5DA3" w:rsidRPr="00247B84" w14:paraId="31E1E6CC" w14:textId="77777777" w:rsidTr="00F557CC">
        <w:trPr>
          <w:trHeight w:val="330"/>
        </w:trPr>
        <w:tc>
          <w:tcPr>
            <w:tcW w:w="2592" w:type="dxa"/>
            <w:tcBorders>
              <w:top w:val="single" w:sz="4" w:space="0" w:color="auto"/>
              <w:left w:val="nil"/>
              <w:bottom w:val="single" w:sz="4" w:space="0" w:color="auto"/>
              <w:right w:val="nil"/>
            </w:tcBorders>
            <w:shd w:val="clear" w:color="auto" w:fill="auto"/>
            <w:noWrap/>
            <w:vAlign w:val="center"/>
          </w:tcPr>
          <w:p w14:paraId="298936AD" w14:textId="77777777" w:rsidR="002A5DA3" w:rsidRPr="00B14DDE" w:rsidRDefault="002A5DA3" w:rsidP="00F557CC">
            <w:pPr>
              <w:tabs>
                <w:tab w:val="left" w:pos="9360"/>
              </w:tabs>
              <w:rPr>
                <w:rFonts w:eastAsia="Times New Roman"/>
                <w:color w:val="000000"/>
                <w:sz w:val="20"/>
                <w:szCs w:val="20"/>
              </w:rPr>
            </w:pPr>
          </w:p>
        </w:tc>
        <w:tc>
          <w:tcPr>
            <w:tcW w:w="4834" w:type="dxa"/>
            <w:gridSpan w:val="10"/>
            <w:tcBorders>
              <w:top w:val="single" w:sz="4" w:space="0" w:color="auto"/>
              <w:left w:val="nil"/>
              <w:bottom w:val="single" w:sz="4" w:space="0" w:color="auto"/>
              <w:right w:val="nil"/>
            </w:tcBorders>
            <w:shd w:val="clear" w:color="auto" w:fill="auto"/>
            <w:noWrap/>
            <w:vAlign w:val="center"/>
          </w:tcPr>
          <w:p w14:paraId="10034884" w14:textId="77777777" w:rsidR="002A5DA3" w:rsidRPr="00B14DDE" w:rsidRDefault="002A5DA3" w:rsidP="00F557CC">
            <w:pPr>
              <w:tabs>
                <w:tab w:val="left" w:pos="9360"/>
              </w:tabs>
              <w:rPr>
                <w:rFonts w:eastAsia="Times New Roman"/>
                <w:color w:val="000000"/>
                <w:sz w:val="20"/>
                <w:szCs w:val="20"/>
              </w:rPr>
            </w:pPr>
            <w:r>
              <w:rPr>
                <w:rFonts w:eastAsia="Times New Roman"/>
                <w:color w:val="000000"/>
                <w:sz w:val="20"/>
                <w:szCs w:val="20"/>
              </w:rPr>
              <w:t>Stepwise Regression for Flexible Response Strategy</w:t>
            </w:r>
          </w:p>
        </w:tc>
        <w:tc>
          <w:tcPr>
            <w:tcW w:w="296" w:type="dxa"/>
            <w:tcBorders>
              <w:top w:val="single" w:sz="4" w:space="0" w:color="auto"/>
              <w:left w:val="nil"/>
              <w:right w:val="nil"/>
            </w:tcBorders>
          </w:tcPr>
          <w:p w14:paraId="6901B63C" w14:textId="77777777" w:rsidR="002A5DA3" w:rsidRPr="00B14DDE" w:rsidRDefault="002A5DA3" w:rsidP="00F557CC">
            <w:pPr>
              <w:tabs>
                <w:tab w:val="left" w:pos="9360"/>
              </w:tabs>
              <w:rPr>
                <w:rFonts w:eastAsia="Times New Roman"/>
                <w:color w:val="000000"/>
                <w:sz w:val="20"/>
                <w:szCs w:val="20"/>
              </w:rPr>
            </w:pPr>
          </w:p>
        </w:tc>
        <w:tc>
          <w:tcPr>
            <w:tcW w:w="4950" w:type="dxa"/>
            <w:gridSpan w:val="11"/>
            <w:tcBorders>
              <w:top w:val="single" w:sz="4" w:space="0" w:color="auto"/>
              <w:left w:val="nil"/>
              <w:bottom w:val="single" w:sz="4" w:space="0" w:color="auto"/>
              <w:right w:val="nil"/>
            </w:tcBorders>
            <w:vAlign w:val="center"/>
          </w:tcPr>
          <w:p w14:paraId="01B9042D" w14:textId="77777777" w:rsidR="002A5DA3" w:rsidRPr="00B14DDE" w:rsidRDefault="002A5DA3" w:rsidP="00F557CC">
            <w:pPr>
              <w:tabs>
                <w:tab w:val="left" w:pos="9360"/>
              </w:tabs>
              <w:rPr>
                <w:rFonts w:eastAsia="Times New Roman"/>
                <w:color w:val="000000"/>
                <w:sz w:val="20"/>
                <w:szCs w:val="20"/>
              </w:rPr>
            </w:pPr>
            <w:r>
              <w:rPr>
                <w:rFonts w:eastAsia="Times New Roman"/>
                <w:color w:val="000000"/>
                <w:sz w:val="20"/>
                <w:szCs w:val="20"/>
              </w:rPr>
              <w:t xml:space="preserve">Stepwise Regression for </w:t>
            </w:r>
            <w:r w:rsidRPr="007260B4">
              <w:rPr>
                <w:sz w:val="20"/>
              </w:rPr>
              <w:t xml:space="preserve">Procedural </w:t>
            </w:r>
            <w:r>
              <w:rPr>
                <w:rFonts w:eastAsia="Times New Roman"/>
                <w:color w:val="000000"/>
                <w:sz w:val="20"/>
                <w:szCs w:val="20"/>
              </w:rPr>
              <w:t>Response Strategy</w:t>
            </w:r>
          </w:p>
        </w:tc>
      </w:tr>
      <w:tr w:rsidR="002A5DA3" w:rsidRPr="00247B84" w14:paraId="4AE48EB8" w14:textId="77777777" w:rsidTr="00F557CC">
        <w:trPr>
          <w:trHeight w:val="330"/>
        </w:trPr>
        <w:tc>
          <w:tcPr>
            <w:tcW w:w="2592" w:type="dxa"/>
            <w:tcBorders>
              <w:top w:val="single" w:sz="4" w:space="0" w:color="auto"/>
              <w:left w:val="nil"/>
              <w:bottom w:val="single" w:sz="4" w:space="0" w:color="auto"/>
              <w:right w:val="nil"/>
            </w:tcBorders>
            <w:shd w:val="clear" w:color="auto" w:fill="auto"/>
            <w:noWrap/>
            <w:vAlign w:val="center"/>
            <w:hideMark/>
          </w:tcPr>
          <w:p w14:paraId="425FFFA5" w14:textId="77777777" w:rsidR="002A5DA3" w:rsidRPr="00B14DDE" w:rsidRDefault="002A5DA3" w:rsidP="00F557CC">
            <w:pPr>
              <w:tabs>
                <w:tab w:val="left" w:pos="9360"/>
              </w:tabs>
              <w:rPr>
                <w:rFonts w:eastAsia="Times New Roman"/>
                <w:color w:val="000000"/>
                <w:sz w:val="20"/>
                <w:szCs w:val="20"/>
              </w:rPr>
            </w:pPr>
            <w:r w:rsidRPr="00B14DDE">
              <w:rPr>
                <w:rFonts w:eastAsia="Times New Roman"/>
                <w:color w:val="000000"/>
                <w:sz w:val="20"/>
                <w:szCs w:val="20"/>
              </w:rPr>
              <w:t>Variable</w:t>
            </w:r>
          </w:p>
        </w:tc>
        <w:tc>
          <w:tcPr>
            <w:tcW w:w="994" w:type="dxa"/>
            <w:gridSpan w:val="2"/>
            <w:tcBorders>
              <w:top w:val="single" w:sz="4" w:space="0" w:color="auto"/>
              <w:left w:val="nil"/>
              <w:bottom w:val="single" w:sz="4" w:space="0" w:color="auto"/>
              <w:right w:val="nil"/>
            </w:tcBorders>
            <w:shd w:val="clear" w:color="auto" w:fill="auto"/>
            <w:noWrap/>
            <w:vAlign w:val="center"/>
            <w:hideMark/>
          </w:tcPr>
          <w:p w14:paraId="77DF3E1F" w14:textId="77777777" w:rsidR="002A5DA3" w:rsidRPr="00B14DDE" w:rsidRDefault="002A5DA3" w:rsidP="00F557CC">
            <w:pPr>
              <w:tabs>
                <w:tab w:val="left" w:pos="9360"/>
              </w:tabs>
              <w:rPr>
                <w:rFonts w:eastAsia="Times New Roman"/>
                <w:color w:val="000000"/>
                <w:sz w:val="20"/>
                <w:szCs w:val="20"/>
              </w:rPr>
            </w:pPr>
            <w:r>
              <w:rPr>
                <w:rFonts w:eastAsia="Times New Roman"/>
                <w:color w:val="000000"/>
                <w:sz w:val="20"/>
                <w:szCs w:val="20"/>
              </w:rPr>
              <w:t>F</w:t>
            </w:r>
            <w:r w:rsidRPr="00B14DDE">
              <w:rPr>
                <w:rFonts w:eastAsia="Times New Roman"/>
                <w:color w:val="000000"/>
                <w:sz w:val="20"/>
                <w:szCs w:val="20"/>
              </w:rPr>
              <w:t>M1</w:t>
            </w:r>
          </w:p>
        </w:tc>
        <w:tc>
          <w:tcPr>
            <w:tcW w:w="960" w:type="dxa"/>
            <w:gridSpan w:val="2"/>
            <w:tcBorders>
              <w:top w:val="single" w:sz="4" w:space="0" w:color="auto"/>
              <w:left w:val="nil"/>
              <w:bottom w:val="single" w:sz="4" w:space="0" w:color="auto"/>
              <w:right w:val="nil"/>
            </w:tcBorders>
            <w:shd w:val="clear" w:color="auto" w:fill="auto"/>
            <w:noWrap/>
            <w:vAlign w:val="center"/>
            <w:hideMark/>
          </w:tcPr>
          <w:p w14:paraId="4A5F1BA7" w14:textId="77777777" w:rsidR="002A5DA3" w:rsidRPr="00B14DDE" w:rsidRDefault="002A5DA3" w:rsidP="00F557CC">
            <w:pPr>
              <w:tabs>
                <w:tab w:val="left" w:pos="9360"/>
              </w:tabs>
              <w:rPr>
                <w:rFonts w:eastAsia="Times New Roman"/>
                <w:color w:val="000000"/>
                <w:sz w:val="20"/>
                <w:szCs w:val="20"/>
              </w:rPr>
            </w:pPr>
            <w:r>
              <w:rPr>
                <w:rFonts w:eastAsia="Times New Roman"/>
                <w:color w:val="000000"/>
                <w:sz w:val="20"/>
                <w:szCs w:val="20"/>
              </w:rPr>
              <w:t>F</w:t>
            </w:r>
            <w:r w:rsidRPr="00B14DDE">
              <w:rPr>
                <w:rFonts w:eastAsia="Times New Roman"/>
                <w:color w:val="000000"/>
                <w:sz w:val="20"/>
                <w:szCs w:val="20"/>
              </w:rPr>
              <w:t>M2</w:t>
            </w:r>
          </w:p>
        </w:tc>
        <w:tc>
          <w:tcPr>
            <w:tcW w:w="960" w:type="dxa"/>
            <w:gridSpan w:val="2"/>
            <w:tcBorders>
              <w:top w:val="single" w:sz="4" w:space="0" w:color="auto"/>
              <w:left w:val="nil"/>
              <w:bottom w:val="single" w:sz="4" w:space="0" w:color="auto"/>
              <w:right w:val="nil"/>
            </w:tcBorders>
            <w:shd w:val="clear" w:color="auto" w:fill="auto"/>
            <w:noWrap/>
            <w:vAlign w:val="center"/>
            <w:hideMark/>
          </w:tcPr>
          <w:p w14:paraId="3DB4C131" w14:textId="77777777" w:rsidR="002A5DA3" w:rsidRPr="00B14DDE" w:rsidRDefault="002A5DA3" w:rsidP="00F557CC">
            <w:pPr>
              <w:tabs>
                <w:tab w:val="left" w:pos="9360"/>
              </w:tabs>
              <w:rPr>
                <w:rFonts w:eastAsia="Times New Roman"/>
                <w:color w:val="000000"/>
                <w:sz w:val="20"/>
                <w:szCs w:val="20"/>
              </w:rPr>
            </w:pPr>
            <w:r>
              <w:rPr>
                <w:rFonts w:eastAsia="Times New Roman"/>
                <w:color w:val="000000"/>
                <w:sz w:val="20"/>
                <w:szCs w:val="20"/>
              </w:rPr>
              <w:t>F</w:t>
            </w:r>
            <w:r w:rsidRPr="00B14DDE">
              <w:rPr>
                <w:rFonts w:eastAsia="Times New Roman"/>
                <w:color w:val="000000"/>
                <w:sz w:val="20"/>
                <w:szCs w:val="20"/>
              </w:rPr>
              <w:t>M3</w:t>
            </w:r>
          </w:p>
        </w:tc>
        <w:tc>
          <w:tcPr>
            <w:tcW w:w="960" w:type="dxa"/>
            <w:gridSpan w:val="2"/>
            <w:tcBorders>
              <w:top w:val="single" w:sz="4" w:space="0" w:color="auto"/>
              <w:left w:val="nil"/>
              <w:bottom w:val="single" w:sz="4" w:space="0" w:color="auto"/>
              <w:right w:val="nil"/>
            </w:tcBorders>
            <w:shd w:val="clear" w:color="auto" w:fill="auto"/>
            <w:noWrap/>
            <w:vAlign w:val="center"/>
            <w:hideMark/>
          </w:tcPr>
          <w:p w14:paraId="5A644160" w14:textId="77777777" w:rsidR="002A5DA3" w:rsidRPr="00B14DDE" w:rsidRDefault="002A5DA3" w:rsidP="00F557CC">
            <w:pPr>
              <w:tabs>
                <w:tab w:val="left" w:pos="9360"/>
              </w:tabs>
              <w:rPr>
                <w:rFonts w:eastAsia="Times New Roman"/>
                <w:color w:val="000000"/>
                <w:sz w:val="20"/>
                <w:szCs w:val="20"/>
              </w:rPr>
            </w:pPr>
            <w:r>
              <w:rPr>
                <w:rFonts w:eastAsia="Times New Roman"/>
                <w:color w:val="000000"/>
                <w:sz w:val="20"/>
                <w:szCs w:val="20"/>
              </w:rPr>
              <w:t>F</w:t>
            </w:r>
            <w:r w:rsidRPr="00B14DDE">
              <w:rPr>
                <w:rFonts w:eastAsia="Times New Roman"/>
                <w:color w:val="000000"/>
                <w:sz w:val="20"/>
                <w:szCs w:val="20"/>
              </w:rPr>
              <w:t>M4</w:t>
            </w:r>
          </w:p>
        </w:tc>
        <w:tc>
          <w:tcPr>
            <w:tcW w:w="960" w:type="dxa"/>
            <w:gridSpan w:val="2"/>
            <w:tcBorders>
              <w:top w:val="single" w:sz="4" w:space="0" w:color="auto"/>
              <w:left w:val="nil"/>
              <w:bottom w:val="single" w:sz="4" w:space="0" w:color="auto"/>
              <w:right w:val="nil"/>
            </w:tcBorders>
            <w:shd w:val="clear" w:color="auto" w:fill="auto"/>
            <w:noWrap/>
            <w:vAlign w:val="center"/>
            <w:hideMark/>
          </w:tcPr>
          <w:p w14:paraId="532CF224" w14:textId="77777777" w:rsidR="002A5DA3" w:rsidRPr="00B14DDE" w:rsidRDefault="002A5DA3" w:rsidP="00F557CC">
            <w:pPr>
              <w:tabs>
                <w:tab w:val="left" w:pos="9360"/>
              </w:tabs>
              <w:rPr>
                <w:rFonts w:eastAsia="Times New Roman"/>
                <w:color w:val="000000"/>
                <w:sz w:val="20"/>
                <w:szCs w:val="20"/>
              </w:rPr>
            </w:pPr>
            <w:r>
              <w:rPr>
                <w:rFonts w:eastAsia="Times New Roman"/>
                <w:color w:val="000000"/>
                <w:sz w:val="20"/>
                <w:szCs w:val="20"/>
              </w:rPr>
              <w:t>F</w:t>
            </w:r>
            <w:r w:rsidRPr="00B14DDE">
              <w:rPr>
                <w:rFonts w:eastAsia="Times New Roman"/>
                <w:color w:val="000000"/>
                <w:sz w:val="20"/>
                <w:szCs w:val="20"/>
              </w:rPr>
              <w:t>M5</w:t>
            </w:r>
          </w:p>
        </w:tc>
        <w:tc>
          <w:tcPr>
            <w:tcW w:w="296" w:type="dxa"/>
            <w:tcBorders>
              <w:left w:val="nil"/>
              <w:right w:val="nil"/>
            </w:tcBorders>
          </w:tcPr>
          <w:p w14:paraId="7E5228FD" w14:textId="77777777" w:rsidR="002A5DA3" w:rsidRPr="00B14DDE" w:rsidRDefault="002A5DA3" w:rsidP="00F557CC">
            <w:pPr>
              <w:tabs>
                <w:tab w:val="left" w:pos="9360"/>
              </w:tabs>
              <w:rPr>
                <w:rFonts w:eastAsia="Times New Roman"/>
                <w:color w:val="000000"/>
                <w:sz w:val="20"/>
                <w:szCs w:val="20"/>
              </w:rPr>
            </w:pPr>
          </w:p>
        </w:tc>
        <w:tc>
          <w:tcPr>
            <w:tcW w:w="1189" w:type="dxa"/>
            <w:gridSpan w:val="3"/>
            <w:tcBorders>
              <w:top w:val="single" w:sz="4" w:space="0" w:color="auto"/>
              <w:left w:val="nil"/>
              <w:bottom w:val="single" w:sz="4" w:space="0" w:color="auto"/>
              <w:right w:val="nil"/>
            </w:tcBorders>
            <w:vAlign w:val="center"/>
          </w:tcPr>
          <w:p w14:paraId="30FB70EA" w14:textId="77777777" w:rsidR="002A5DA3" w:rsidRPr="00B14DDE" w:rsidRDefault="002A5DA3" w:rsidP="00F557CC">
            <w:pPr>
              <w:tabs>
                <w:tab w:val="left" w:pos="9360"/>
              </w:tabs>
              <w:rPr>
                <w:rFonts w:eastAsia="Times New Roman"/>
                <w:color w:val="000000"/>
                <w:sz w:val="20"/>
                <w:szCs w:val="20"/>
              </w:rPr>
            </w:pPr>
            <w:r>
              <w:rPr>
                <w:rFonts w:eastAsia="Times New Roman"/>
                <w:color w:val="000000"/>
                <w:sz w:val="20"/>
                <w:szCs w:val="20"/>
              </w:rPr>
              <w:t>P</w:t>
            </w:r>
            <w:r w:rsidRPr="00B14DDE">
              <w:rPr>
                <w:rFonts w:eastAsia="Times New Roman"/>
                <w:color w:val="000000"/>
                <w:sz w:val="20"/>
                <w:szCs w:val="20"/>
              </w:rPr>
              <w:t>M1</w:t>
            </w:r>
          </w:p>
        </w:tc>
        <w:tc>
          <w:tcPr>
            <w:tcW w:w="924" w:type="dxa"/>
            <w:gridSpan w:val="2"/>
            <w:tcBorders>
              <w:top w:val="single" w:sz="4" w:space="0" w:color="auto"/>
              <w:left w:val="nil"/>
              <w:bottom w:val="single" w:sz="4" w:space="0" w:color="auto"/>
              <w:right w:val="nil"/>
            </w:tcBorders>
            <w:vAlign w:val="center"/>
          </w:tcPr>
          <w:p w14:paraId="3927965A" w14:textId="77777777" w:rsidR="002A5DA3" w:rsidRPr="00B14DDE" w:rsidRDefault="002A5DA3" w:rsidP="00F557CC">
            <w:pPr>
              <w:tabs>
                <w:tab w:val="left" w:pos="9360"/>
              </w:tabs>
              <w:rPr>
                <w:rFonts w:eastAsia="Times New Roman"/>
                <w:color w:val="000000"/>
                <w:sz w:val="20"/>
                <w:szCs w:val="20"/>
              </w:rPr>
            </w:pPr>
            <w:r>
              <w:rPr>
                <w:rFonts w:eastAsia="Times New Roman"/>
                <w:color w:val="000000"/>
                <w:sz w:val="20"/>
                <w:szCs w:val="20"/>
              </w:rPr>
              <w:t>P</w:t>
            </w:r>
            <w:r w:rsidRPr="00B14DDE">
              <w:rPr>
                <w:rFonts w:eastAsia="Times New Roman"/>
                <w:color w:val="000000"/>
                <w:sz w:val="20"/>
                <w:szCs w:val="20"/>
              </w:rPr>
              <w:t>M2</w:t>
            </w:r>
          </w:p>
        </w:tc>
        <w:tc>
          <w:tcPr>
            <w:tcW w:w="896" w:type="dxa"/>
            <w:gridSpan w:val="2"/>
            <w:tcBorders>
              <w:top w:val="single" w:sz="4" w:space="0" w:color="auto"/>
              <w:left w:val="nil"/>
              <w:bottom w:val="single" w:sz="4" w:space="0" w:color="auto"/>
              <w:right w:val="nil"/>
            </w:tcBorders>
            <w:vAlign w:val="center"/>
          </w:tcPr>
          <w:p w14:paraId="3EBFD044" w14:textId="77777777" w:rsidR="002A5DA3" w:rsidRPr="00B14DDE" w:rsidRDefault="002A5DA3" w:rsidP="00F557CC">
            <w:pPr>
              <w:tabs>
                <w:tab w:val="left" w:pos="9360"/>
              </w:tabs>
              <w:rPr>
                <w:rFonts w:eastAsia="Times New Roman"/>
                <w:color w:val="000000"/>
                <w:sz w:val="20"/>
                <w:szCs w:val="20"/>
              </w:rPr>
            </w:pPr>
            <w:r>
              <w:rPr>
                <w:rFonts w:eastAsia="Times New Roman"/>
                <w:color w:val="000000"/>
                <w:sz w:val="20"/>
                <w:szCs w:val="20"/>
              </w:rPr>
              <w:t>P</w:t>
            </w:r>
            <w:r w:rsidRPr="00B14DDE">
              <w:rPr>
                <w:rFonts w:eastAsia="Times New Roman"/>
                <w:color w:val="000000"/>
                <w:sz w:val="20"/>
                <w:szCs w:val="20"/>
              </w:rPr>
              <w:t>M3</w:t>
            </w:r>
          </w:p>
        </w:tc>
        <w:tc>
          <w:tcPr>
            <w:tcW w:w="896" w:type="dxa"/>
            <w:gridSpan w:val="2"/>
            <w:tcBorders>
              <w:top w:val="single" w:sz="4" w:space="0" w:color="auto"/>
              <w:left w:val="nil"/>
              <w:bottom w:val="single" w:sz="4" w:space="0" w:color="auto"/>
              <w:right w:val="nil"/>
            </w:tcBorders>
            <w:vAlign w:val="center"/>
          </w:tcPr>
          <w:p w14:paraId="5FA584D0" w14:textId="77777777" w:rsidR="002A5DA3" w:rsidRPr="00B14DDE" w:rsidRDefault="002A5DA3" w:rsidP="00F557CC">
            <w:pPr>
              <w:tabs>
                <w:tab w:val="left" w:pos="9360"/>
              </w:tabs>
              <w:rPr>
                <w:rFonts w:eastAsia="Times New Roman"/>
                <w:color w:val="000000"/>
                <w:sz w:val="20"/>
                <w:szCs w:val="20"/>
              </w:rPr>
            </w:pPr>
            <w:r>
              <w:rPr>
                <w:rFonts w:eastAsia="Times New Roman"/>
                <w:color w:val="000000"/>
                <w:sz w:val="20"/>
                <w:szCs w:val="20"/>
              </w:rPr>
              <w:t>P</w:t>
            </w:r>
            <w:r w:rsidRPr="00B14DDE">
              <w:rPr>
                <w:rFonts w:eastAsia="Times New Roman"/>
                <w:color w:val="000000"/>
                <w:sz w:val="20"/>
                <w:szCs w:val="20"/>
              </w:rPr>
              <w:t>M4</w:t>
            </w:r>
          </w:p>
        </w:tc>
        <w:tc>
          <w:tcPr>
            <w:tcW w:w="1045" w:type="dxa"/>
            <w:gridSpan w:val="2"/>
            <w:tcBorders>
              <w:top w:val="single" w:sz="4" w:space="0" w:color="auto"/>
              <w:left w:val="nil"/>
              <w:bottom w:val="single" w:sz="4" w:space="0" w:color="auto"/>
              <w:right w:val="nil"/>
            </w:tcBorders>
            <w:vAlign w:val="center"/>
          </w:tcPr>
          <w:p w14:paraId="6BE4FDAC" w14:textId="77777777" w:rsidR="002A5DA3" w:rsidRPr="00B14DDE" w:rsidRDefault="002A5DA3" w:rsidP="00F557CC">
            <w:pPr>
              <w:tabs>
                <w:tab w:val="left" w:pos="9360"/>
              </w:tabs>
              <w:rPr>
                <w:rFonts w:eastAsia="Times New Roman"/>
                <w:color w:val="000000"/>
                <w:sz w:val="20"/>
                <w:szCs w:val="20"/>
              </w:rPr>
            </w:pPr>
            <w:r>
              <w:rPr>
                <w:rFonts w:eastAsia="Times New Roman"/>
                <w:color w:val="000000"/>
                <w:sz w:val="20"/>
                <w:szCs w:val="20"/>
              </w:rPr>
              <w:t>P</w:t>
            </w:r>
            <w:r w:rsidRPr="00B14DDE">
              <w:rPr>
                <w:rFonts w:eastAsia="Times New Roman"/>
                <w:color w:val="000000"/>
                <w:sz w:val="20"/>
                <w:szCs w:val="20"/>
              </w:rPr>
              <w:t>M5</w:t>
            </w:r>
          </w:p>
        </w:tc>
      </w:tr>
      <w:tr w:rsidR="002A5DA3" w:rsidRPr="00247B84" w14:paraId="1B7397AD" w14:textId="77777777" w:rsidTr="00F557CC">
        <w:trPr>
          <w:gridAfter w:val="1"/>
          <w:wAfter w:w="243" w:type="dxa"/>
          <w:trHeight w:val="315"/>
        </w:trPr>
        <w:tc>
          <w:tcPr>
            <w:tcW w:w="2592" w:type="dxa"/>
            <w:tcBorders>
              <w:left w:val="nil"/>
              <w:right w:val="nil"/>
            </w:tcBorders>
            <w:shd w:val="clear" w:color="auto" w:fill="auto"/>
            <w:noWrap/>
            <w:vAlign w:val="center"/>
            <w:hideMark/>
          </w:tcPr>
          <w:p w14:paraId="3D43FD97" w14:textId="77777777" w:rsidR="002A5DA3" w:rsidRPr="004E1241" w:rsidRDefault="002A5DA3" w:rsidP="00F557CC">
            <w:pPr>
              <w:tabs>
                <w:tab w:val="left" w:pos="9360"/>
              </w:tabs>
              <w:rPr>
                <w:rFonts w:eastAsia="Times New Roman"/>
                <w:color w:val="000000"/>
                <w:sz w:val="20"/>
              </w:rPr>
            </w:pPr>
            <w:r w:rsidRPr="004E1241">
              <w:rPr>
                <w:rFonts w:eastAsia="Times New Roman"/>
                <w:color w:val="000000"/>
                <w:sz w:val="20"/>
              </w:rPr>
              <w:t>Country Dummy</w:t>
            </w:r>
          </w:p>
        </w:tc>
        <w:tc>
          <w:tcPr>
            <w:tcW w:w="846" w:type="dxa"/>
            <w:tcBorders>
              <w:left w:val="nil"/>
              <w:right w:val="nil"/>
            </w:tcBorders>
            <w:shd w:val="clear" w:color="auto" w:fill="auto"/>
            <w:noWrap/>
            <w:vAlign w:val="center"/>
          </w:tcPr>
          <w:p w14:paraId="74644E0A"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Included</w:t>
            </w:r>
          </w:p>
        </w:tc>
        <w:tc>
          <w:tcPr>
            <w:tcW w:w="960" w:type="dxa"/>
            <w:gridSpan w:val="2"/>
            <w:tcBorders>
              <w:left w:val="nil"/>
              <w:right w:val="nil"/>
            </w:tcBorders>
            <w:shd w:val="clear" w:color="auto" w:fill="auto"/>
            <w:noWrap/>
            <w:vAlign w:val="center"/>
          </w:tcPr>
          <w:p w14:paraId="4712BAB6"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Included</w:t>
            </w:r>
          </w:p>
        </w:tc>
        <w:tc>
          <w:tcPr>
            <w:tcW w:w="960" w:type="dxa"/>
            <w:gridSpan w:val="2"/>
            <w:tcBorders>
              <w:left w:val="nil"/>
              <w:right w:val="nil"/>
            </w:tcBorders>
            <w:shd w:val="clear" w:color="auto" w:fill="auto"/>
            <w:noWrap/>
            <w:vAlign w:val="center"/>
          </w:tcPr>
          <w:p w14:paraId="3491B34E"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Included</w:t>
            </w:r>
          </w:p>
        </w:tc>
        <w:tc>
          <w:tcPr>
            <w:tcW w:w="960" w:type="dxa"/>
            <w:gridSpan w:val="2"/>
            <w:tcBorders>
              <w:left w:val="nil"/>
              <w:right w:val="nil"/>
            </w:tcBorders>
            <w:shd w:val="clear" w:color="auto" w:fill="auto"/>
            <w:noWrap/>
            <w:vAlign w:val="center"/>
          </w:tcPr>
          <w:p w14:paraId="54989359"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Included</w:t>
            </w:r>
          </w:p>
        </w:tc>
        <w:tc>
          <w:tcPr>
            <w:tcW w:w="960" w:type="dxa"/>
            <w:gridSpan w:val="2"/>
            <w:tcBorders>
              <w:left w:val="nil"/>
              <w:right w:val="nil"/>
            </w:tcBorders>
            <w:shd w:val="clear" w:color="auto" w:fill="auto"/>
            <w:noWrap/>
            <w:vAlign w:val="center"/>
          </w:tcPr>
          <w:p w14:paraId="7C599944"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Included</w:t>
            </w:r>
          </w:p>
        </w:tc>
        <w:tc>
          <w:tcPr>
            <w:tcW w:w="685" w:type="dxa"/>
            <w:gridSpan w:val="3"/>
            <w:tcBorders>
              <w:left w:val="nil"/>
              <w:right w:val="nil"/>
            </w:tcBorders>
          </w:tcPr>
          <w:p w14:paraId="1459C10A" w14:textId="77777777" w:rsidR="002A5DA3" w:rsidRPr="00B14DDE" w:rsidRDefault="002A5DA3" w:rsidP="00F557CC">
            <w:pPr>
              <w:tabs>
                <w:tab w:val="left" w:pos="9360"/>
              </w:tabs>
              <w:rPr>
                <w:rFonts w:eastAsia="Times New Roman"/>
                <w:color w:val="000000"/>
                <w:sz w:val="18"/>
                <w:szCs w:val="18"/>
              </w:rPr>
            </w:pPr>
          </w:p>
        </w:tc>
        <w:tc>
          <w:tcPr>
            <w:tcW w:w="846" w:type="dxa"/>
            <w:tcBorders>
              <w:left w:val="nil"/>
              <w:right w:val="nil"/>
            </w:tcBorders>
            <w:vAlign w:val="center"/>
          </w:tcPr>
          <w:p w14:paraId="524F4F82"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Included</w:t>
            </w:r>
          </w:p>
        </w:tc>
        <w:tc>
          <w:tcPr>
            <w:tcW w:w="896" w:type="dxa"/>
            <w:gridSpan w:val="2"/>
            <w:tcBorders>
              <w:left w:val="nil"/>
              <w:right w:val="nil"/>
            </w:tcBorders>
            <w:vAlign w:val="center"/>
          </w:tcPr>
          <w:p w14:paraId="47AA14E1"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Included</w:t>
            </w:r>
          </w:p>
        </w:tc>
        <w:tc>
          <w:tcPr>
            <w:tcW w:w="896" w:type="dxa"/>
            <w:gridSpan w:val="2"/>
            <w:tcBorders>
              <w:left w:val="nil"/>
              <w:right w:val="nil"/>
            </w:tcBorders>
            <w:vAlign w:val="center"/>
          </w:tcPr>
          <w:p w14:paraId="62EFCFBB"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Included</w:t>
            </w:r>
          </w:p>
        </w:tc>
        <w:tc>
          <w:tcPr>
            <w:tcW w:w="896" w:type="dxa"/>
            <w:gridSpan w:val="2"/>
            <w:tcBorders>
              <w:left w:val="nil"/>
              <w:right w:val="nil"/>
            </w:tcBorders>
            <w:vAlign w:val="center"/>
          </w:tcPr>
          <w:p w14:paraId="25012A87"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Included</w:t>
            </w:r>
          </w:p>
        </w:tc>
        <w:tc>
          <w:tcPr>
            <w:tcW w:w="932" w:type="dxa"/>
            <w:gridSpan w:val="2"/>
            <w:tcBorders>
              <w:left w:val="nil"/>
              <w:right w:val="nil"/>
            </w:tcBorders>
            <w:vAlign w:val="center"/>
          </w:tcPr>
          <w:p w14:paraId="38C93E9B"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Included</w:t>
            </w:r>
          </w:p>
        </w:tc>
      </w:tr>
      <w:tr w:rsidR="002A5DA3" w:rsidRPr="00247B84" w14:paraId="39948F87" w14:textId="77777777" w:rsidTr="00F557CC">
        <w:trPr>
          <w:trHeight w:val="300"/>
        </w:trPr>
        <w:tc>
          <w:tcPr>
            <w:tcW w:w="2592" w:type="dxa"/>
            <w:tcBorders>
              <w:top w:val="dashed" w:sz="4" w:space="0" w:color="auto"/>
              <w:left w:val="nil"/>
              <w:bottom w:val="dashed" w:sz="4" w:space="0" w:color="auto"/>
              <w:right w:val="nil"/>
            </w:tcBorders>
            <w:shd w:val="clear" w:color="auto" w:fill="auto"/>
            <w:noWrap/>
            <w:vAlign w:val="center"/>
            <w:hideMark/>
          </w:tcPr>
          <w:p w14:paraId="3C8E99BF" w14:textId="77777777" w:rsidR="002A5DA3" w:rsidRPr="004E1241" w:rsidRDefault="002A5DA3" w:rsidP="00F557CC">
            <w:pPr>
              <w:tabs>
                <w:tab w:val="left" w:pos="9360"/>
              </w:tabs>
              <w:rPr>
                <w:rFonts w:eastAsia="Times New Roman"/>
                <w:color w:val="000000"/>
                <w:sz w:val="20"/>
              </w:rPr>
            </w:pPr>
            <w:r w:rsidRPr="004E1241">
              <w:rPr>
                <w:rFonts w:eastAsia="Times New Roman"/>
                <w:color w:val="000000"/>
                <w:sz w:val="20"/>
              </w:rPr>
              <w:t>Firm Age</w:t>
            </w:r>
          </w:p>
        </w:tc>
        <w:tc>
          <w:tcPr>
            <w:tcW w:w="994" w:type="dxa"/>
            <w:gridSpan w:val="2"/>
            <w:tcBorders>
              <w:top w:val="dashed" w:sz="4" w:space="0" w:color="auto"/>
              <w:left w:val="nil"/>
              <w:bottom w:val="dashed" w:sz="4" w:space="0" w:color="auto"/>
              <w:right w:val="nil"/>
            </w:tcBorders>
            <w:shd w:val="clear" w:color="auto" w:fill="auto"/>
            <w:noWrap/>
            <w:vAlign w:val="center"/>
            <w:hideMark/>
          </w:tcPr>
          <w:p w14:paraId="45ACFC51"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-0.009</w:t>
            </w:r>
          </w:p>
          <w:p w14:paraId="185897A7"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(0.030)</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19BEAE8C"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-0.008</w:t>
            </w:r>
          </w:p>
          <w:p w14:paraId="433AF246"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(0.029)</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476D30DC"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-0.007</w:t>
            </w:r>
          </w:p>
          <w:p w14:paraId="42F84210"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(0.029)</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490B26FF"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-0.010</w:t>
            </w:r>
          </w:p>
          <w:p w14:paraId="4BE3CD8B"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(0.030)</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7D511D37"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-0.011</w:t>
            </w:r>
          </w:p>
          <w:p w14:paraId="2BDAD160"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(0.029)</w:t>
            </w:r>
          </w:p>
        </w:tc>
        <w:tc>
          <w:tcPr>
            <w:tcW w:w="296" w:type="dxa"/>
            <w:tcBorders>
              <w:left w:val="nil"/>
              <w:right w:val="nil"/>
            </w:tcBorders>
          </w:tcPr>
          <w:p w14:paraId="049F163D" w14:textId="77777777" w:rsidR="002A5DA3" w:rsidRPr="00B14DDE" w:rsidRDefault="002A5DA3" w:rsidP="00F557CC">
            <w:pPr>
              <w:tabs>
                <w:tab w:val="left" w:pos="9360"/>
              </w:tabs>
              <w:rPr>
                <w:rFonts w:eastAsia="Times New Roman"/>
                <w:color w:val="000000"/>
                <w:sz w:val="18"/>
                <w:szCs w:val="18"/>
              </w:rPr>
            </w:pPr>
          </w:p>
        </w:tc>
        <w:tc>
          <w:tcPr>
            <w:tcW w:w="1189" w:type="dxa"/>
            <w:gridSpan w:val="3"/>
            <w:tcBorders>
              <w:top w:val="dashed" w:sz="4" w:space="0" w:color="auto"/>
              <w:left w:val="nil"/>
              <w:bottom w:val="dashed" w:sz="4" w:space="0" w:color="auto"/>
              <w:right w:val="nil"/>
            </w:tcBorders>
            <w:vAlign w:val="center"/>
          </w:tcPr>
          <w:p w14:paraId="6624C4C6"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-0.013</w:t>
            </w:r>
          </w:p>
          <w:p w14:paraId="2B9DDCFD"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(0.026)</w:t>
            </w:r>
          </w:p>
        </w:tc>
        <w:tc>
          <w:tcPr>
            <w:tcW w:w="924" w:type="dxa"/>
            <w:gridSpan w:val="2"/>
            <w:tcBorders>
              <w:top w:val="dashed" w:sz="4" w:space="0" w:color="auto"/>
              <w:left w:val="nil"/>
              <w:bottom w:val="dashed" w:sz="4" w:space="0" w:color="auto"/>
              <w:right w:val="nil"/>
            </w:tcBorders>
            <w:vAlign w:val="center"/>
          </w:tcPr>
          <w:p w14:paraId="62338F74"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-0.009</w:t>
            </w:r>
          </w:p>
          <w:p w14:paraId="6F134229"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(0.021)</w:t>
            </w:r>
          </w:p>
        </w:tc>
        <w:tc>
          <w:tcPr>
            <w:tcW w:w="896" w:type="dxa"/>
            <w:gridSpan w:val="2"/>
            <w:tcBorders>
              <w:top w:val="dashed" w:sz="4" w:space="0" w:color="auto"/>
              <w:left w:val="nil"/>
              <w:bottom w:val="dashed" w:sz="4" w:space="0" w:color="auto"/>
              <w:right w:val="nil"/>
            </w:tcBorders>
            <w:vAlign w:val="center"/>
          </w:tcPr>
          <w:p w14:paraId="50DE03BF"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-0.014</w:t>
            </w:r>
          </w:p>
          <w:p w14:paraId="7042A31B"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(0.020)</w:t>
            </w:r>
          </w:p>
        </w:tc>
        <w:tc>
          <w:tcPr>
            <w:tcW w:w="896" w:type="dxa"/>
            <w:gridSpan w:val="2"/>
            <w:tcBorders>
              <w:top w:val="dashed" w:sz="4" w:space="0" w:color="auto"/>
              <w:left w:val="nil"/>
              <w:bottom w:val="dashed" w:sz="4" w:space="0" w:color="auto"/>
              <w:right w:val="nil"/>
            </w:tcBorders>
            <w:vAlign w:val="center"/>
          </w:tcPr>
          <w:p w14:paraId="47783227"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-0.007</w:t>
            </w:r>
          </w:p>
          <w:p w14:paraId="6928D902"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(0.020)</w:t>
            </w:r>
          </w:p>
        </w:tc>
        <w:tc>
          <w:tcPr>
            <w:tcW w:w="1045" w:type="dxa"/>
            <w:gridSpan w:val="2"/>
            <w:tcBorders>
              <w:top w:val="dashed" w:sz="4" w:space="0" w:color="auto"/>
              <w:left w:val="nil"/>
              <w:bottom w:val="dashed" w:sz="4" w:space="0" w:color="auto"/>
              <w:right w:val="nil"/>
            </w:tcBorders>
            <w:vAlign w:val="center"/>
          </w:tcPr>
          <w:p w14:paraId="5F1A0F92"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-0.011</w:t>
            </w:r>
          </w:p>
          <w:p w14:paraId="05D438D2"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(0.020)</w:t>
            </w:r>
          </w:p>
        </w:tc>
      </w:tr>
      <w:tr w:rsidR="002A5DA3" w:rsidRPr="00247B84" w14:paraId="1CD1EE2F" w14:textId="77777777" w:rsidTr="00F557CC">
        <w:trPr>
          <w:trHeight w:val="300"/>
        </w:trPr>
        <w:tc>
          <w:tcPr>
            <w:tcW w:w="2592" w:type="dxa"/>
            <w:tcBorders>
              <w:top w:val="dashed" w:sz="4" w:space="0" w:color="auto"/>
              <w:left w:val="nil"/>
              <w:bottom w:val="dashed" w:sz="4" w:space="0" w:color="auto"/>
              <w:right w:val="nil"/>
            </w:tcBorders>
            <w:shd w:val="clear" w:color="auto" w:fill="auto"/>
            <w:noWrap/>
            <w:vAlign w:val="center"/>
            <w:hideMark/>
          </w:tcPr>
          <w:p w14:paraId="13531393" w14:textId="77777777" w:rsidR="002A5DA3" w:rsidRPr="004E1241" w:rsidRDefault="002A5DA3" w:rsidP="00F557CC">
            <w:pPr>
              <w:tabs>
                <w:tab w:val="left" w:pos="9360"/>
              </w:tabs>
              <w:rPr>
                <w:rFonts w:eastAsia="Times New Roman"/>
                <w:color w:val="000000"/>
                <w:sz w:val="20"/>
              </w:rPr>
            </w:pPr>
            <w:r w:rsidRPr="004E1241">
              <w:rPr>
                <w:rFonts w:eastAsia="Times New Roman"/>
                <w:color w:val="000000"/>
                <w:sz w:val="20"/>
              </w:rPr>
              <w:t>Product Maturity</w:t>
            </w:r>
          </w:p>
        </w:tc>
        <w:tc>
          <w:tcPr>
            <w:tcW w:w="994" w:type="dxa"/>
            <w:gridSpan w:val="2"/>
            <w:tcBorders>
              <w:top w:val="dashed" w:sz="4" w:space="0" w:color="auto"/>
              <w:left w:val="nil"/>
              <w:bottom w:val="dashed" w:sz="4" w:space="0" w:color="auto"/>
              <w:right w:val="nil"/>
            </w:tcBorders>
            <w:shd w:val="clear" w:color="auto" w:fill="auto"/>
            <w:noWrap/>
            <w:vAlign w:val="center"/>
            <w:hideMark/>
          </w:tcPr>
          <w:p w14:paraId="7522A698"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0.094</w:t>
            </w:r>
          </w:p>
          <w:p w14:paraId="4D5E1E43"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(0.081)</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2EBBD2B9"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0.079</w:t>
            </w:r>
          </w:p>
          <w:p w14:paraId="768FC9A3"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(0.080)</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05376888"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0.083</w:t>
            </w:r>
          </w:p>
          <w:p w14:paraId="39B1D5B1"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(0.081)</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765FA830"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0.106</w:t>
            </w:r>
          </w:p>
          <w:p w14:paraId="4EC41ED1"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(0.080)</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54DF089F"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0.103</w:t>
            </w:r>
          </w:p>
          <w:p w14:paraId="0B5AADA8"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(0.081)</w:t>
            </w:r>
          </w:p>
        </w:tc>
        <w:tc>
          <w:tcPr>
            <w:tcW w:w="296" w:type="dxa"/>
            <w:tcBorders>
              <w:left w:val="nil"/>
              <w:right w:val="nil"/>
            </w:tcBorders>
          </w:tcPr>
          <w:p w14:paraId="30C4BD1B" w14:textId="77777777" w:rsidR="002A5DA3" w:rsidRPr="00B14DDE" w:rsidRDefault="002A5DA3" w:rsidP="00F557CC">
            <w:pPr>
              <w:tabs>
                <w:tab w:val="left" w:pos="9360"/>
              </w:tabs>
              <w:rPr>
                <w:rFonts w:eastAsia="Times New Roman"/>
                <w:color w:val="000000"/>
                <w:sz w:val="18"/>
                <w:szCs w:val="18"/>
              </w:rPr>
            </w:pPr>
          </w:p>
        </w:tc>
        <w:tc>
          <w:tcPr>
            <w:tcW w:w="1189" w:type="dxa"/>
            <w:gridSpan w:val="3"/>
            <w:tcBorders>
              <w:top w:val="dashed" w:sz="4" w:space="0" w:color="auto"/>
              <w:left w:val="nil"/>
              <w:bottom w:val="dashed" w:sz="4" w:space="0" w:color="auto"/>
              <w:right w:val="nil"/>
            </w:tcBorders>
            <w:vAlign w:val="center"/>
          </w:tcPr>
          <w:p w14:paraId="06977BB2"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-0.016</w:t>
            </w:r>
          </w:p>
          <w:p w14:paraId="7C7108B1"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(0.062)</w:t>
            </w:r>
          </w:p>
        </w:tc>
        <w:tc>
          <w:tcPr>
            <w:tcW w:w="924" w:type="dxa"/>
            <w:gridSpan w:val="2"/>
            <w:tcBorders>
              <w:top w:val="dashed" w:sz="4" w:space="0" w:color="auto"/>
              <w:left w:val="nil"/>
              <w:bottom w:val="dashed" w:sz="4" w:space="0" w:color="auto"/>
              <w:right w:val="nil"/>
            </w:tcBorders>
            <w:vAlign w:val="center"/>
          </w:tcPr>
          <w:p w14:paraId="176774E0"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0.029</w:t>
            </w:r>
          </w:p>
          <w:p w14:paraId="76FB718A"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(0.054)</w:t>
            </w:r>
          </w:p>
        </w:tc>
        <w:tc>
          <w:tcPr>
            <w:tcW w:w="896" w:type="dxa"/>
            <w:gridSpan w:val="2"/>
            <w:tcBorders>
              <w:top w:val="dashed" w:sz="4" w:space="0" w:color="auto"/>
              <w:left w:val="nil"/>
              <w:bottom w:val="dashed" w:sz="4" w:space="0" w:color="auto"/>
              <w:right w:val="nil"/>
            </w:tcBorders>
            <w:vAlign w:val="center"/>
          </w:tcPr>
          <w:p w14:paraId="273FB5DE"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0.019</w:t>
            </w:r>
          </w:p>
          <w:p w14:paraId="5230CD81"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(0.054)</w:t>
            </w:r>
          </w:p>
        </w:tc>
        <w:tc>
          <w:tcPr>
            <w:tcW w:w="896" w:type="dxa"/>
            <w:gridSpan w:val="2"/>
            <w:tcBorders>
              <w:top w:val="dashed" w:sz="4" w:space="0" w:color="auto"/>
              <w:left w:val="nil"/>
              <w:bottom w:val="dashed" w:sz="4" w:space="0" w:color="auto"/>
              <w:right w:val="nil"/>
            </w:tcBorders>
            <w:vAlign w:val="center"/>
          </w:tcPr>
          <w:p w14:paraId="3548AF1F"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0.042</w:t>
            </w:r>
          </w:p>
          <w:p w14:paraId="40730942"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(0.054)</w:t>
            </w:r>
          </w:p>
        </w:tc>
        <w:tc>
          <w:tcPr>
            <w:tcW w:w="1045" w:type="dxa"/>
            <w:gridSpan w:val="2"/>
            <w:tcBorders>
              <w:top w:val="dashed" w:sz="4" w:space="0" w:color="auto"/>
              <w:left w:val="nil"/>
              <w:bottom w:val="dashed" w:sz="4" w:space="0" w:color="auto"/>
              <w:right w:val="nil"/>
            </w:tcBorders>
            <w:vAlign w:val="center"/>
          </w:tcPr>
          <w:p w14:paraId="18371061"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0.029</w:t>
            </w:r>
          </w:p>
          <w:p w14:paraId="137C2631"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(0.055)</w:t>
            </w:r>
          </w:p>
        </w:tc>
      </w:tr>
      <w:tr w:rsidR="002A5DA3" w:rsidRPr="00247B84" w14:paraId="0D54058B" w14:textId="77777777" w:rsidTr="00F557CC">
        <w:trPr>
          <w:trHeight w:val="300"/>
        </w:trPr>
        <w:tc>
          <w:tcPr>
            <w:tcW w:w="2592" w:type="dxa"/>
            <w:tcBorders>
              <w:top w:val="dashed" w:sz="4" w:space="0" w:color="auto"/>
              <w:left w:val="nil"/>
              <w:bottom w:val="dashed" w:sz="4" w:space="0" w:color="auto"/>
              <w:right w:val="nil"/>
            </w:tcBorders>
            <w:shd w:val="clear" w:color="auto" w:fill="auto"/>
            <w:noWrap/>
            <w:vAlign w:val="center"/>
            <w:hideMark/>
          </w:tcPr>
          <w:p w14:paraId="3CAB4662" w14:textId="77777777" w:rsidR="002A5DA3" w:rsidRPr="004E1241" w:rsidRDefault="002A5DA3" w:rsidP="00F557CC">
            <w:pPr>
              <w:tabs>
                <w:tab w:val="left" w:pos="9360"/>
              </w:tabs>
              <w:rPr>
                <w:rFonts w:eastAsia="Times New Roman"/>
                <w:color w:val="000000"/>
                <w:sz w:val="20"/>
              </w:rPr>
            </w:pPr>
            <w:r w:rsidRPr="004E1241">
              <w:rPr>
                <w:rFonts w:eastAsia="Times New Roman"/>
                <w:color w:val="000000"/>
                <w:sz w:val="20"/>
              </w:rPr>
              <w:t>SC Position Dummy</w:t>
            </w:r>
          </w:p>
        </w:tc>
        <w:tc>
          <w:tcPr>
            <w:tcW w:w="994" w:type="dxa"/>
            <w:gridSpan w:val="2"/>
            <w:tcBorders>
              <w:top w:val="dashed" w:sz="4" w:space="0" w:color="auto"/>
              <w:left w:val="nil"/>
              <w:bottom w:val="dashed" w:sz="4" w:space="0" w:color="auto"/>
              <w:right w:val="nil"/>
            </w:tcBorders>
            <w:shd w:val="clear" w:color="auto" w:fill="auto"/>
            <w:noWrap/>
            <w:vAlign w:val="center"/>
            <w:hideMark/>
          </w:tcPr>
          <w:p w14:paraId="11B7F81E"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Included</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59B65A8F"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Included</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43BCFA9D"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Included</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43E72AA2"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Included</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165B5B47"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Included</w:t>
            </w:r>
          </w:p>
        </w:tc>
        <w:tc>
          <w:tcPr>
            <w:tcW w:w="296" w:type="dxa"/>
            <w:tcBorders>
              <w:left w:val="nil"/>
              <w:right w:val="nil"/>
            </w:tcBorders>
          </w:tcPr>
          <w:p w14:paraId="49C95EC7" w14:textId="77777777" w:rsidR="002A5DA3" w:rsidRPr="00B14DDE" w:rsidRDefault="002A5DA3" w:rsidP="00F557CC">
            <w:pPr>
              <w:tabs>
                <w:tab w:val="left" w:pos="9360"/>
              </w:tabs>
              <w:rPr>
                <w:rFonts w:eastAsia="Times New Roman"/>
                <w:color w:val="000000"/>
                <w:sz w:val="18"/>
                <w:szCs w:val="18"/>
              </w:rPr>
            </w:pPr>
          </w:p>
        </w:tc>
        <w:tc>
          <w:tcPr>
            <w:tcW w:w="1189" w:type="dxa"/>
            <w:gridSpan w:val="3"/>
            <w:tcBorders>
              <w:top w:val="dashed" w:sz="4" w:space="0" w:color="auto"/>
              <w:left w:val="nil"/>
              <w:bottom w:val="dashed" w:sz="4" w:space="0" w:color="auto"/>
              <w:right w:val="nil"/>
            </w:tcBorders>
            <w:vAlign w:val="center"/>
          </w:tcPr>
          <w:p w14:paraId="4D45C3AC"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Included</w:t>
            </w:r>
          </w:p>
        </w:tc>
        <w:tc>
          <w:tcPr>
            <w:tcW w:w="924" w:type="dxa"/>
            <w:gridSpan w:val="2"/>
            <w:tcBorders>
              <w:top w:val="dashed" w:sz="4" w:space="0" w:color="auto"/>
              <w:left w:val="nil"/>
              <w:bottom w:val="dashed" w:sz="4" w:space="0" w:color="auto"/>
              <w:right w:val="nil"/>
            </w:tcBorders>
            <w:vAlign w:val="center"/>
          </w:tcPr>
          <w:p w14:paraId="08706CFD"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Included</w:t>
            </w:r>
          </w:p>
        </w:tc>
        <w:tc>
          <w:tcPr>
            <w:tcW w:w="896" w:type="dxa"/>
            <w:gridSpan w:val="2"/>
            <w:tcBorders>
              <w:top w:val="dashed" w:sz="4" w:space="0" w:color="auto"/>
              <w:left w:val="nil"/>
              <w:bottom w:val="dashed" w:sz="4" w:space="0" w:color="auto"/>
              <w:right w:val="nil"/>
            </w:tcBorders>
            <w:vAlign w:val="center"/>
          </w:tcPr>
          <w:p w14:paraId="5C11CEAB"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Included</w:t>
            </w:r>
          </w:p>
        </w:tc>
        <w:tc>
          <w:tcPr>
            <w:tcW w:w="896" w:type="dxa"/>
            <w:gridSpan w:val="2"/>
            <w:tcBorders>
              <w:top w:val="dashed" w:sz="4" w:space="0" w:color="auto"/>
              <w:left w:val="nil"/>
              <w:bottom w:val="dashed" w:sz="4" w:space="0" w:color="auto"/>
              <w:right w:val="nil"/>
            </w:tcBorders>
            <w:vAlign w:val="center"/>
          </w:tcPr>
          <w:p w14:paraId="32326F22"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Included</w:t>
            </w:r>
          </w:p>
        </w:tc>
        <w:tc>
          <w:tcPr>
            <w:tcW w:w="1045" w:type="dxa"/>
            <w:gridSpan w:val="2"/>
            <w:tcBorders>
              <w:top w:val="dashed" w:sz="4" w:space="0" w:color="auto"/>
              <w:left w:val="nil"/>
              <w:bottom w:val="dashed" w:sz="4" w:space="0" w:color="auto"/>
              <w:right w:val="nil"/>
            </w:tcBorders>
            <w:vAlign w:val="center"/>
          </w:tcPr>
          <w:p w14:paraId="53DE2C3D"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Included</w:t>
            </w:r>
          </w:p>
        </w:tc>
      </w:tr>
      <w:tr w:rsidR="002A5DA3" w:rsidRPr="00247B84" w14:paraId="23BCEFF6" w14:textId="77777777" w:rsidTr="00F557CC">
        <w:trPr>
          <w:trHeight w:val="300"/>
        </w:trPr>
        <w:tc>
          <w:tcPr>
            <w:tcW w:w="2592" w:type="dxa"/>
            <w:tcBorders>
              <w:top w:val="dashed" w:sz="4" w:space="0" w:color="auto"/>
              <w:left w:val="nil"/>
              <w:bottom w:val="dashed" w:sz="4" w:space="0" w:color="auto"/>
              <w:right w:val="nil"/>
            </w:tcBorders>
            <w:shd w:val="clear" w:color="auto" w:fill="auto"/>
            <w:noWrap/>
            <w:vAlign w:val="center"/>
            <w:hideMark/>
          </w:tcPr>
          <w:p w14:paraId="6B654FC1" w14:textId="77777777" w:rsidR="002A5DA3" w:rsidRPr="004E1241" w:rsidRDefault="002A5DA3" w:rsidP="00F557CC">
            <w:pPr>
              <w:tabs>
                <w:tab w:val="left" w:pos="9360"/>
              </w:tabs>
              <w:rPr>
                <w:rFonts w:eastAsia="Times New Roman"/>
                <w:color w:val="000000"/>
                <w:sz w:val="20"/>
              </w:rPr>
            </w:pPr>
            <w:r w:rsidRPr="004E1241">
              <w:rPr>
                <w:rFonts w:eastAsia="Times New Roman"/>
                <w:color w:val="000000"/>
                <w:sz w:val="20"/>
              </w:rPr>
              <w:t>Industry Dummy</w:t>
            </w:r>
          </w:p>
        </w:tc>
        <w:tc>
          <w:tcPr>
            <w:tcW w:w="994" w:type="dxa"/>
            <w:gridSpan w:val="2"/>
            <w:tcBorders>
              <w:top w:val="dashed" w:sz="4" w:space="0" w:color="auto"/>
              <w:left w:val="nil"/>
              <w:bottom w:val="dashed" w:sz="4" w:space="0" w:color="auto"/>
              <w:right w:val="nil"/>
            </w:tcBorders>
            <w:shd w:val="clear" w:color="auto" w:fill="auto"/>
            <w:noWrap/>
            <w:vAlign w:val="center"/>
            <w:hideMark/>
          </w:tcPr>
          <w:p w14:paraId="28B18A0A"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Included</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3E095CE7"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Included</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083DD766"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Included</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477D107D" w14:textId="77777777" w:rsidR="002A5DA3" w:rsidRPr="004E1241" w:rsidRDefault="002A5DA3" w:rsidP="00F557CC">
            <w:pPr>
              <w:tabs>
                <w:tab w:val="left" w:pos="9360"/>
              </w:tabs>
              <w:rPr>
                <w:rFonts w:eastAsia="Times New Roman"/>
                <w:b/>
                <w:color w:val="000000"/>
                <w:sz w:val="18"/>
              </w:rPr>
            </w:pPr>
            <w:r w:rsidRPr="004E1241">
              <w:rPr>
                <w:rFonts w:eastAsia="Times New Roman"/>
                <w:color w:val="000000"/>
                <w:sz w:val="18"/>
              </w:rPr>
              <w:t>Included</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23EE5A3D" w14:textId="77777777" w:rsidR="002A5DA3" w:rsidRPr="004E1241" w:rsidRDefault="002A5DA3" w:rsidP="00F557CC">
            <w:pPr>
              <w:tabs>
                <w:tab w:val="left" w:pos="9360"/>
              </w:tabs>
              <w:rPr>
                <w:rFonts w:eastAsia="Times New Roman"/>
                <w:b/>
                <w:color w:val="000000"/>
                <w:sz w:val="18"/>
              </w:rPr>
            </w:pPr>
            <w:r w:rsidRPr="004E1241">
              <w:rPr>
                <w:rFonts w:eastAsia="Times New Roman"/>
                <w:color w:val="000000"/>
                <w:sz w:val="18"/>
              </w:rPr>
              <w:t>Included</w:t>
            </w:r>
          </w:p>
        </w:tc>
        <w:tc>
          <w:tcPr>
            <w:tcW w:w="296" w:type="dxa"/>
            <w:tcBorders>
              <w:left w:val="nil"/>
              <w:right w:val="nil"/>
            </w:tcBorders>
          </w:tcPr>
          <w:p w14:paraId="0A088CF0" w14:textId="77777777" w:rsidR="002A5DA3" w:rsidRPr="00B14DDE" w:rsidRDefault="002A5DA3" w:rsidP="00F557CC">
            <w:pPr>
              <w:tabs>
                <w:tab w:val="left" w:pos="9360"/>
              </w:tabs>
              <w:rPr>
                <w:rFonts w:eastAsia="Times New Roman"/>
                <w:color w:val="000000"/>
                <w:sz w:val="18"/>
                <w:szCs w:val="18"/>
              </w:rPr>
            </w:pPr>
          </w:p>
        </w:tc>
        <w:tc>
          <w:tcPr>
            <w:tcW w:w="1189" w:type="dxa"/>
            <w:gridSpan w:val="3"/>
            <w:tcBorders>
              <w:top w:val="dashed" w:sz="4" w:space="0" w:color="auto"/>
              <w:left w:val="nil"/>
              <w:bottom w:val="dashed" w:sz="4" w:space="0" w:color="auto"/>
              <w:right w:val="nil"/>
            </w:tcBorders>
            <w:vAlign w:val="center"/>
          </w:tcPr>
          <w:p w14:paraId="05137E33"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Included</w:t>
            </w:r>
          </w:p>
        </w:tc>
        <w:tc>
          <w:tcPr>
            <w:tcW w:w="924" w:type="dxa"/>
            <w:gridSpan w:val="2"/>
            <w:tcBorders>
              <w:top w:val="dashed" w:sz="4" w:space="0" w:color="auto"/>
              <w:left w:val="nil"/>
              <w:bottom w:val="dashed" w:sz="4" w:space="0" w:color="auto"/>
              <w:right w:val="nil"/>
            </w:tcBorders>
            <w:vAlign w:val="center"/>
          </w:tcPr>
          <w:p w14:paraId="57DD280B"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Included</w:t>
            </w:r>
          </w:p>
        </w:tc>
        <w:tc>
          <w:tcPr>
            <w:tcW w:w="896" w:type="dxa"/>
            <w:gridSpan w:val="2"/>
            <w:tcBorders>
              <w:top w:val="dashed" w:sz="4" w:space="0" w:color="auto"/>
              <w:left w:val="nil"/>
              <w:bottom w:val="dashed" w:sz="4" w:space="0" w:color="auto"/>
              <w:right w:val="nil"/>
            </w:tcBorders>
            <w:vAlign w:val="center"/>
          </w:tcPr>
          <w:p w14:paraId="5A560CB4"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Included</w:t>
            </w:r>
          </w:p>
        </w:tc>
        <w:tc>
          <w:tcPr>
            <w:tcW w:w="896" w:type="dxa"/>
            <w:gridSpan w:val="2"/>
            <w:tcBorders>
              <w:top w:val="dashed" w:sz="4" w:space="0" w:color="auto"/>
              <w:left w:val="nil"/>
              <w:bottom w:val="dashed" w:sz="4" w:space="0" w:color="auto"/>
              <w:right w:val="nil"/>
            </w:tcBorders>
            <w:vAlign w:val="center"/>
          </w:tcPr>
          <w:p w14:paraId="32324602"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Included</w:t>
            </w:r>
          </w:p>
        </w:tc>
        <w:tc>
          <w:tcPr>
            <w:tcW w:w="1045" w:type="dxa"/>
            <w:gridSpan w:val="2"/>
            <w:tcBorders>
              <w:top w:val="dashed" w:sz="4" w:space="0" w:color="auto"/>
              <w:left w:val="nil"/>
              <w:bottom w:val="dashed" w:sz="4" w:space="0" w:color="auto"/>
              <w:right w:val="nil"/>
            </w:tcBorders>
            <w:vAlign w:val="center"/>
          </w:tcPr>
          <w:p w14:paraId="4DB494CA"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Included</w:t>
            </w:r>
          </w:p>
        </w:tc>
      </w:tr>
      <w:tr w:rsidR="002A5DA3" w:rsidRPr="00247B84" w14:paraId="1D00C7AE" w14:textId="77777777" w:rsidTr="00F557CC">
        <w:trPr>
          <w:trHeight w:val="300"/>
        </w:trPr>
        <w:tc>
          <w:tcPr>
            <w:tcW w:w="2592" w:type="dxa"/>
            <w:tcBorders>
              <w:top w:val="dashed" w:sz="4" w:space="0" w:color="auto"/>
              <w:left w:val="nil"/>
              <w:bottom w:val="dashed" w:sz="4" w:space="0" w:color="auto"/>
              <w:right w:val="nil"/>
            </w:tcBorders>
            <w:shd w:val="clear" w:color="auto" w:fill="auto"/>
            <w:noWrap/>
            <w:vAlign w:val="center"/>
            <w:hideMark/>
          </w:tcPr>
          <w:p w14:paraId="224E7D65" w14:textId="77777777" w:rsidR="002A5DA3" w:rsidRPr="004E1241" w:rsidRDefault="002A5DA3" w:rsidP="00F557CC">
            <w:pPr>
              <w:tabs>
                <w:tab w:val="left" w:pos="9360"/>
              </w:tabs>
              <w:rPr>
                <w:rFonts w:eastAsia="Times New Roman"/>
                <w:i/>
                <w:iCs/>
                <w:color w:val="000000"/>
                <w:sz w:val="20"/>
              </w:rPr>
            </w:pPr>
            <w:r w:rsidRPr="004E1241">
              <w:rPr>
                <w:rFonts w:eastAsia="Times New Roman"/>
                <w:i/>
                <w:iCs/>
                <w:color w:val="000000"/>
                <w:sz w:val="20"/>
              </w:rPr>
              <w:t>Ln</w:t>
            </w:r>
            <w:r w:rsidRPr="004E1241">
              <w:rPr>
                <w:rFonts w:eastAsia="Times New Roman"/>
                <w:color w:val="000000"/>
                <w:sz w:val="20"/>
              </w:rPr>
              <w:t xml:space="preserve"> Number of  Employees</w:t>
            </w:r>
          </w:p>
        </w:tc>
        <w:tc>
          <w:tcPr>
            <w:tcW w:w="994" w:type="dxa"/>
            <w:gridSpan w:val="2"/>
            <w:tcBorders>
              <w:top w:val="dashed" w:sz="4" w:space="0" w:color="auto"/>
              <w:left w:val="nil"/>
              <w:bottom w:val="dashed" w:sz="4" w:space="0" w:color="auto"/>
              <w:right w:val="nil"/>
            </w:tcBorders>
            <w:shd w:val="clear" w:color="auto" w:fill="auto"/>
            <w:noWrap/>
            <w:vAlign w:val="center"/>
            <w:hideMark/>
          </w:tcPr>
          <w:p w14:paraId="382D5B0B"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-0.272</w:t>
            </w:r>
            <w:r w:rsidRPr="004E1241">
              <w:rPr>
                <w:b/>
                <w:color w:val="000000"/>
                <w:sz w:val="18"/>
                <w:vertAlign w:val="superscript"/>
              </w:rPr>
              <w:t>*</w:t>
            </w:r>
          </w:p>
          <w:p w14:paraId="3F0A762F" w14:textId="77777777" w:rsidR="002A5DA3" w:rsidRPr="004E1241" w:rsidRDefault="002A5DA3" w:rsidP="00F557CC">
            <w:pPr>
              <w:tabs>
                <w:tab w:val="left" w:pos="9360"/>
              </w:tabs>
              <w:rPr>
                <w:rFonts w:eastAsia="Times New Roman"/>
                <w:color w:val="000000"/>
                <w:sz w:val="18"/>
              </w:rPr>
            </w:pPr>
            <w:r w:rsidRPr="004E1241">
              <w:rPr>
                <w:rFonts w:eastAsia="Times New Roman"/>
                <w:b/>
                <w:color w:val="000000"/>
                <w:sz w:val="18"/>
              </w:rPr>
              <w:t>(0.115)</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0F64C3F7"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-0.270</w:t>
            </w:r>
            <w:r w:rsidRPr="004E1241">
              <w:rPr>
                <w:b/>
                <w:color w:val="000000"/>
                <w:sz w:val="18"/>
                <w:vertAlign w:val="superscript"/>
              </w:rPr>
              <w:t>*</w:t>
            </w:r>
          </w:p>
          <w:p w14:paraId="27BE9ADF" w14:textId="77777777" w:rsidR="002A5DA3" w:rsidRPr="004E1241" w:rsidRDefault="002A5DA3" w:rsidP="00F557CC">
            <w:pPr>
              <w:tabs>
                <w:tab w:val="left" w:pos="9360"/>
              </w:tabs>
              <w:rPr>
                <w:rFonts w:eastAsia="Times New Roman"/>
                <w:color w:val="000000"/>
                <w:sz w:val="18"/>
              </w:rPr>
            </w:pPr>
            <w:r w:rsidRPr="004E1241">
              <w:rPr>
                <w:rFonts w:eastAsia="Times New Roman"/>
                <w:b/>
                <w:color w:val="000000"/>
                <w:sz w:val="18"/>
              </w:rPr>
              <w:t>(0.117)</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56482312"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-0.322</w:t>
            </w:r>
            <w:r w:rsidRPr="004E1241">
              <w:rPr>
                <w:b/>
                <w:color w:val="000000"/>
                <w:sz w:val="18"/>
                <w:vertAlign w:val="superscript"/>
              </w:rPr>
              <w:t>**</w:t>
            </w:r>
          </w:p>
          <w:p w14:paraId="28763D03" w14:textId="77777777" w:rsidR="002A5DA3" w:rsidRPr="004E1241" w:rsidRDefault="002A5DA3" w:rsidP="00F557CC">
            <w:pPr>
              <w:tabs>
                <w:tab w:val="left" w:pos="9360"/>
              </w:tabs>
              <w:rPr>
                <w:rFonts w:eastAsia="Times New Roman"/>
                <w:color w:val="000000"/>
                <w:sz w:val="18"/>
              </w:rPr>
            </w:pPr>
            <w:r w:rsidRPr="004E1241">
              <w:rPr>
                <w:rFonts w:eastAsia="Times New Roman"/>
                <w:b/>
                <w:color w:val="000000"/>
                <w:sz w:val="18"/>
              </w:rPr>
              <w:t>(0.124)</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5B0F5CE7"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-0.255</w:t>
            </w:r>
            <w:r w:rsidRPr="004E1241">
              <w:rPr>
                <w:b/>
                <w:color w:val="000000"/>
                <w:sz w:val="18"/>
                <w:vertAlign w:val="superscript"/>
              </w:rPr>
              <w:t>*</w:t>
            </w:r>
          </w:p>
          <w:p w14:paraId="776BE853"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(0.115)</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01BCB343"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-0.296</w:t>
            </w:r>
            <w:r w:rsidRPr="004E1241">
              <w:rPr>
                <w:b/>
                <w:color w:val="000000"/>
                <w:sz w:val="18"/>
                <w:vertAlign w:val="superscript"/>
              </w:rPr>
              <w:t>*</w:t>
            </w:r>
          </w:p>
          <w:p w14:paraId="3F35D59A"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(0.121)</w:t>
            </w:r>
          </w:p>
        </w:tc>
        <w:tc>
          <w:tcPr>
            <w:tcW w:w="296" w:type="dxa"/>
            <w:tcBorders>
              <w:left w:val="nil"/>
              <w:right w:val="nil"/>
            </w:tcBorders>
          </w:tcPr>
          <w:p w14:paraId="0F503AA2" w14:textId="77777777" w:rsidR="002A5DA3" w:rsidRPr="00B14DDE" w:rsidRDefault="002A5DA3" w:rsidP="00F557CC">
            <w:pPr>
              <w:tabs>
                <w:tab w:val="left" w:pos="9360"/>
              </w:tabs>
              <w:rPr>
                <w:rFonts w:eastAsia="Times New Roman"/>
                <w:b/>
                <w:color w:val="000000"/>
                <w:sz w:val="18"/>
                <w:szCs w:val="18"/>
              </w:rPr>
            </w:pPr>
          </w:p>
        </w:tc>
        <w:tc>
          <w:tcPr>
            <w:tcW w:w="1189" w:type="dxa"/>
            <w:gridSpan w:val="3"/>
            <w:tcBorders>
              <w:top w:val="dashed" w:sz="4" w:space="0" w:color="auto"/>
              <w:left w:val="nil"/>
              <w:bottom w:val="dashed" w:sz="4" w:space="0" w:color="auto"/>
              <w:right w:val="nil"/>
            </w:tcBorders>
            <w:vAlign w:val="center"/>
          </w:tcPr>
          <w:p w14:paraId="13E6207C" w14:textId="77777777" w:rsidR="002A5DA3" w:rsidRPr="00B14DDE" w:rsidRDefault="002A5DA3" w:rsidP="00F557CC">
            <w:pPr>
              <w:tabs>
                <w:tab w:val="left" w:pos="9360"/>
              </w:tabs>
              <w:rPr>
                <w:rFonts w:eastAsia="Times New Roman"/>
                <w:b/>
                <w:color w:val="000000"/>
                <w:sz w:val="18"/>
                <w:szCs w:val="18"/>
              </w:rPr>
            </w:pPr>
            <w:r w:rsidRPr="00B14DDE">
              <w:rPr>
                <w:rFonts w:eastAsia="Times New Roman"/>
                <w:b/>
                <w:color w:val="000000"/>
                <w:sz w:val="18"/>
                <w:szCs w:val="18"/>
              </w:rPr>
              <w:t>-0.214</w:t>
            </w:r>
            <w:r w:rsidRPr="00B14DDE">
              <w:rPr>
                <w:b/>
                <w:color w:val="000000"/>
                <w:sz w:val="18"/>
                <w:szCs w:val="18"/>
                <w:vertAlign w:val="superscript"/>
              </w:rPr>
              <w:t>*</w:t>
            </w:r>
          </w:p>
          <w:p w14:paraId="7E790165" w14:textId="77777777" w:rsidR="002A5DA3" w:rsidRPr="004E1241" w:rsidRDefault="002A5DA3" w:rsidP="00F557CC">
            <w:pPr>
              <w:tabs>
                <w:tab w:val="left" w:pos="9360"/>
              </w:tabs>
              <w:rPr>
                <w:rFonts w:eastAsia="Times New Roman"/>
                <w:b/>
                <w:color w:val="000000"/>
                <w:sz w:val="18"/>
              </w:rPr>
            </w:pPr>
            <w:r w:rsidRPr="00B14DDE">
              <w:rPr>
                <w:rFonts w:eastAsia="Times New Roman"/>
                <w:b/>
                <w:color w:val="000000"/>
                <w:sz w:val="18"/>
                <w:szCs w:val="18"/>
              </w:rPr>
              <w:t>(0.107)</w:t>
            </w:r>
          </w:p>
        </w:tc>
        <w:tc>
          <w:tcPr>
            <w:tcW w:w="924" w:type="dxa"/>
            <w:gridSpan w:val="2"/>
            <w:tcBorders>
              <w:top w:val="dashed" w:sz="4" w:space="0" w:color="auto"/>
              <w:left w:val="nil"/>
              <w:bottom w:val="dashed" w:sz="4" w:space="0" w:color="auto"/>
              <w:right w:val="nil"/>
            </w:tcBorders>
            <w:vAlign w:val="center"/>
          </w:tcPr>
          <w:p w14:paraId="0337836B"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-0.115</w:t>
            </w:r>
          </w:p>
          <w:p w14:paraId="03B95FF0" w14:textId="77777777" w:rsidR="002A5DA3" w:rsidRPr="004E1241" w:rsidRDefault="002A5DA3" w:rsidP="00F557CC">
            <w:pPr>
              <w:tabs>
                <w:tab w:val="left" w:pos="9360"/>
              </w:tabs>
              <w:rPr>
                <w:rFonts w:eastAsia="Times New Roman"/>
                <w:b/>
                <w:color w:val="000000"/>
                <w:sz w:val="18"/>
              </w:rPr>
            </w:pPr>
            <w:r w:rsidRPr="00B14DDE">
              <w:rPr>
                <w:rFonts w:eastAsia="Times New Roman"/>
                <w:color w:val="000000"/>
                <w:sz w:val="18"/>
                <w:szCs w:val="18"/>
              </w:rPr>
              <w:t>(0.083)</w:t>
            </w:r>
          </w:p>
        </w:tc>
        <w:tc>
          <w:tcPr>
            <w:tcW w:w="896" w:type="dxa"/>
            <w:gridSpan w:val="2"/>
            <w:tcBorders>
              <w:top w:val="dashed" w:sz="4" w:space="0" w:color="auto"/>
              <w:left w:val="nil"/>
              <w:bottom w:val="dashed" w:sz="4" w:space="0" w:color="auto"/>
              <w:right w:val="nil"/>
            </w:tcBorders>
            <w:vAlign w:val="center"/>
          </w:tcPr>
          <w:p w14:paraId="79A23947"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-0.110</w:t>
            </w:r>
          </w:p>
          <w:p w14:paraId="5F7C4760" w14:textId="77777777" w:rsidR="002A5DA3" w:rsidRPr="004E1241" w:rsidRDefault="002A5DA3" w:rsidP="00F557CC">
            <w:pPr>
              <w:tabs>
                <w:tab w:val="left" w:pos="9360"/>
              </w:tabs>
              <w:rPr>
                <w:rFonts w:eastAsia="Times New Roman"/>
                <w:b/>
                <w:color w:val="000000"/>
                <w:sz w:val="18"/>
              </w:rPr>
            </w:pPr>
            <w:r w:rsidRPr="00B14DDE">
              <w:rPr>
                <w:rFonts w:eastAsia="Times New Roman"/>
                <w:color w:val="000000"/>
                <w:sz w:val="18"/>
                <w:szCs w:val="18"/>
              </w:rPr>
              <w:t>(0.086)</w:t>
            </w:r>
          </w:p>
        </w:tc>
        <w:tc>
          <w:tcPr>
            <w:tcW w:w="896" w:type="dxa"/>
            <w:gridSpan w:val="2"/>
            <w:tcBorders>
              <w:top w:val="dashed" w:sz="4" w:space="0" w:color="auto"/>
              <w:left w:val="nil"/>
              <w:bottom w:val="dashed" w:sz="4" w:space="0" w:color="auto"/>
              <w:right w:val="nil"/>
            </w:tcBorders>
            <w:vAlign w:val="center"/>
          </w:tcPr>
          <w:p w14:paraId="3DCB22D7"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-0.111</w:t>
            </w:r>
          </w:p>
          <w:p w14:paraId="35045A56" w14:textId="77777777" w:rsidR="002A5DA3" w:rsidRPr="004E1241" w:rsidRDefault="002A5DA3" w:rsidP="00F557CC">
            <w:pPr>
              <w:tabs>
                <w:tab w:val="left" w:pos="9360"/>
              </w:tabs>
              <w:rPr>
                <w:rFonts w:eastAsia="Times New Roman"/>
                <w:b/>
                <w:color w:val="000000"/>
                <w:sz w:val="18"/>
              </w:rPr>
            </w:pPr>
            <w:r w:rsidRPr="00B14DDE">
              <w:rPr>
                <w:rFonts w:eastAsia="Times New Roman"/>
                <w:color w:val="000000"/>
                <w:sz w:val="18"/>
                <w:szCs w:val="18"/>
              </w:rPr>
              <w:t>(0.083)</w:t>
            </w:r>
          </w:p>
        </w:tc>
        <w:tc>
          <w:tcPr>
            <w:tcW w:w="1045" w:type="dxa"/>
            <w:gridSpan w:val="2"/>
            <w:tcBorders>
              <w:top w:val="dashed" w:sz="4" w:space="0" w:color="auto"/>
              <w:left w:val="nil"/>
              <w:bottom w:val="dashed" w:sz="4" w:space="0" w:color="auto"/>
              <w:right w:val="nil"/>
            </w:tcBorders>
            <w:vAlign w:val="center"/>
          </w:tcPr>
          <w:p w14:paraId="030A72FB"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-0.091</w:t>
            </w:r>
          </w:p>
          <w:p w14:paraId="42E9C393" w14:textId="77777777" w:rsidR="002A5DA3" w:rsidRPr="004E1241" w:rsidRDefault="002A5DA3" w:rsidP="00F557CC">
            <w:pPr>
              <w:tabs>
                <w:tab w:val="left" w:pos="9360"/>
              </w:tabs>
              <w:rPr>
                <w:rFonts w:eastAsia="Times New Roman"/>
                <w:b/>
                <w:color w:val="000000"/>
                <w:sz w:val="18"/>
              </w:rPr>
            </w:pPr>
            <w:r w:rsidRPr="00B14DDE">
              <w:rPr>
                <w:rFonts w:eastAsia="Times New Roman"/>
                <w:color w:val="000000"/>
                <w:sz w:val="18"/>
                <w:szCs w:val="18"/>
              </w:rPr>
              <w:t>(0.084)</w:t>
            </w:r>
          </w:p>
        </w:tc>
      </w:tr>
      <w:tr w:rsidR="002A5DA3" w:rsidRPr="00247B84" w14:paraId="572D71E4" w14:textId="77777777" w:rsidTr="00F557CC">
        <w:trPr>
          <w:trHeight w:val="300"/>
        </w:trPr>
        <w:tc>
          <w:tcPr>
            <w:tcW w:w="2592" w:type="dxa"/>
            <w:tcBorders>
              <w:top w:val="dashed" w:sz="4" w:space="0" w:color="auto"/>
              <w:left w:val="nil"/>
              <w:bottom w:val="dashed" w:sz="4" w:space="0" w:color="auto"/>
              <w:right w:val="nil"/>
            </w:tcBorders>
            <w:shd w:val="clear" w:color="auto" w:fill="auto"/>
            <w:noWrap/>
            <w:vAlign w:val="center"/>
            <w:hideMark/>
          </w:tcPr>
          <w:p w14:paraId="41F9308F" w14:textId="77777777" w:rsidR="002A5DA3" w:rsidRPr="004E1241" w:rsidRDefault="002A5DA3" w:rsidP="00F557CC">
            <w:pPr>
              <w:tabs>
                <w:tab w:val="left" w:pos="9360"/>
              </w:tabs>
              <w:rPr>
                <w:rFonts w:eastAsia="Times New Roman"/>
                <w:color w:val="000000"/>
                <w:sz w:val="20"/>
              </w:rPr>
            </w:pPr>
            <w:r w:rsidRPr="004E1241">
              <w:rPr>
                <w:rFonts w:eastAsia="Times New Roman"/>
                <w:color w:val="000000"/>
                <w:sz w:val="20"/>
              </w:rPr>
              <w:t>Environmental Dynamism</w:t>
            </w:r>
          </w:p>
        </w:tc>
        <w:tc>
          <w:tcPr>
            <w:tcW w:w="994" w:type="dxa"/>
            <w:gridSpan w:val="2"/>
            <w:tcBorders>
              <w:top w:val="dashed" w:sz="4" w:space="0" w:color="auto"/>
              <w:left w:val="nil"/>
              <w:bottom w:val="dashed" w:sz="4" w:space="0" w:color="auto"/>
              <w:right w:val="nil"/>
            </w:tcBorders>
            <w:shd w:val="clear" w:color="auto" w:fill="auto"/>
            <w:noWrap/>
            <w:vAlign w:val="center"/>
            <w:hideMark/>
          </w:tcPr>
          <w:p w14:paraId="0FC8A955"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0.074</w:t>
            </w:r>
          </w:p>
          <w:p w14:paraId="2014CB04"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(0.074)</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58BD2794"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0.089</w:t>
            </w:r>
          </w:p>
          <w:p w14:paraId="6BA42B69"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(0.075)</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14224266"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0.029</w:t>
            </w:r>
          </w:p>
          <w:p w14:paraId="015A0239"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(0.083)</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7513FCE6"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0.067</w:t>
            </w:r>
          </w:p>
          <w:p w14:paraId="1ADA0C9A"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(0.078)</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3A223781"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0.008</w:t>
            </w:r>
          </w:p>
          <w:p w14:paraId="4DB8153F"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(0.085)</w:t>
            </w:r>
          </w:p>
        </w:tc>
        <w:tc>
          <w:tcPr>
            <w:tcW w:w="296" w:type="dxa"/>
            <w:tcBorders>
              <w:left w:val="nil"/>
              <w:right w:val="nil"/>
            </w:tcBorders>
          </w:tcPr>
          <w:p w14:paraId="2A13F35F" w14:textId="77777777" w:rsidR="002A5DA3" w:rsidRPr="00B14DDE" w:rsidRDefault="002A5DA3" w:rsidP="00F557CC">
            <w:pPr>
              <w:tabs>
                <w:tab w:val="left" w:pos="9360"/>
              </w:tabs>
              <w:rPr>
                <w:rFonts w:eastAsia="Times New Roman"/>
                <w:color w:val="000000"/>
                <w:sz w:val="18"/>
                <w:szCs w:val="18"/>
              </w:rPr>
            </w:pPr>
          </w:p>
        </w:tc>
        <w:tc>
          <w:tcPr>
            <w:tcW w:w="1189" w:type="dxa"/>
            <w:gridSpan w:val="3"/>
            <w:tcBorders>
              <w:top w:val="dashed" w:sz="4" w:space="0" w:color="auto"/>
              <w:left w:val="nil"/>
              <w:bottom w:val="dashed" w:sz="4" w:space="0" w:color="auto"/>
              <w:right w:val="nil"/>
            </w:tcBorders>
            <w:vAlign w:val="center"/>
          </w:tcPr>
          <w:p w14:paraId="5A6C430D"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-0.089</w:t>
            </w:r>
          </w:p>
          <w:p w14:paraId="065524C4"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(0.061)</w:t>
            </w:r>
          </w:p>
        </w:tc>
        <w:tc>
          <w:tcPr>
            <w:tcW w:w="924" w:type="dxa"/>
            <w:gridSpan w:val="2"/>
            <w:tcBorders>
              <w:top w:val="dashed" w:sz="4" w:space="0" w:color="auto"/>
              <w:left w:val="nil"/>
              <w:bottom w:val="dashed" w:sz="4" w:space="0" w:color="auto"/>
              <w:right w:val="nil"/>
            </w:tcBorders>
            <w:vAlign w:val="center"/>
          </w:tcPr>
          <w:p w14:paraId="0B701AEB"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0.001</w:t>
            </w:r>
          </w:p>
          <w:p w14:paraId="66C5672F"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(0.054)</w:t>
            </w:r>
          </w:p>
        </w:tc>
        <w:tc>
          <w:tcPr>
            <w:tcW w:w="896" w:type="dxa"/>
            <w:gridSpan w:val="2"/>
            <w:tcBorders>
              <w:top w:val="dashed" w:sz="4" w:space="0" w:color="auto"/>
              <w:left w:val="nil"/>
              <w:bottom w:val="dashed" w:sz="4" w:space="0" w:color="auto"/>
              <w:right w:val="nil"/>
            </w:tcBorders>
            <w:vAlign w:val="center"/>
          </w:tcPr>
          <w:p w14:paraId="3E1470A8"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-0.056</w:t>
            </w:r>
          </w:p>
          <w:p w14:paraId="3132BD2A"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(0.058)</w:t>
            </w:r>
          </w:p>
        </w:tc>
        <w:tc>
          <w:tcPr>
            <w:tcW w:w="896" w:type="dxa"/>
            <w:gridSpan w:val="2"/>
            <w:tcBorders>
              <w:top w:val="dashed" w:sz="4" w:space="0" w:color="auto"/>
              <w:left w:val="nil"/>
              <w:bottom w:val="dashed" w:sz="4" w:space="0" w:color="auto"/>
              <w:right w:val="nil"/>
            </w:tcBorders>
            <w:vAlign w:val="center"/>
          </w:tcPr>
          <w:p w14:paraId="028FCFD3"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-0.008</w:t>
            </w:r>
          </w:p>
          <w:p w14:paraId="622483C7"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(0.055)</w:t>
            </w:r>
          </w:p>
        </w:tc>
        <w:tc>
          <w:tcPr>
            <w:tcW w:w="1045" w:type="dxa"/>
            <w:gridSpan w:val="2"/>
            <w:tcBorders>
              <w:top w:val="dashed" w:sz="4" w:space="0" w:color="auto"/>
              <w:left w:val="nil"/>
              <w:bottom w:val="dashed" w:sz="4" w:space="0" w:color="auto"/>
              <w:right w:val="nil"/>
            </w:tcBorders>
            <w:vAlign w:val="center"/>
          </w:tcPr>
          <w:p w14:paraId="2DE056FE"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-0.069</w:t>
            </w:r>
          </w:p>
          <w:p w14:paraId="127615C2"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(0.059)</w:t>
            </w:r>
          </w:p>
        </w:tc>
      </w:tr>
      <w:tr w:rsidR="002A5DA3" w:rsidRPr="00247B84" w14:paraId="49346BCD" w14:textId="77777777" w:rsidTr="00F557CC">
        <w:trPr>
          <w:trHeight w:val="300"/>
        </w:trPr>
        <w:tc>
          <w:tcPr>
            <w:tcW w:w="2592" w:type="dxa"/>
            <w:tcBorders>
              <w:top w:val="dashed" w:sz="4" w:space="0" w:color="auto"/>
              <w:left w:val="nil"/>
              <w:bottom w:val="dashed" w:sz="4" w:space="0" w:color="auto"/>
              <w:right w:val="nil"/>
            </w:tcBorders>
            <w:shd w:val="clear" w:color="auto" w:fill="auto"/>
            <w:noWrap/>
            <w:vAlign w:val="center"/>
            <w:hideMark/>
          </w:tcPr>
          <w:p w14:paraId="05771D6F" w14:textId="77777777" w:rsidR="002A5DA3" w:rsidRPr="004E1241" w:rsidRDefault="002A5DA3" w:rsidP="00F557CC">
            <w:pPr>
              <w:tabs>
                <w:tab w:val="left" w:pos="9360"/>
              </w:tabs>
              <w:rPr>
                <w:rFonts w:eastAsia="Times New Roman"/>
                <w:color w:val="000000"/>
                <w:sz w:val="20"/>
              </w:rPr>
            </w:pPr>
            <w:r w:rsidRPr="004E1241">
              <w:rPr>
                <w:rFonts w:eastAsia="Times New Roman"/>
                <w:color w:val="000000"/>
                <w:sz w:val="20"/>
              </w:rPr>
              <w:t>Small Disruptions</w:t>
            </w:r>
          </w:p>
        </w:tc>
        <w:tc>
          <w:tcPr>
            <w:tcW w:w="994" w:type="dxa"/>
            <w:gridSpan w:val="2"/>
            <w:tcBorders>
              <w:top w:val="dashed" w:sz="4" w:space="0" w:color="auto"/>
              <w:left w:val="nil"/>
              <w:bottom w:val="dashed" w:sz="4" w:space="0" w:color="auto"/>
              <w:right w:val="nil"/>
            </w:tcBorders>
            <w:shd w:val="clear" w:color="auto" w:fill="auto"/>
            <w:noWrap/>
            <w:vAlign w:val="center"/>
            <w:hideMark/>
          </w:tcPr>
          <w:p w14:paraId="45B0EA7D"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0.199</w:t>
            </w:r>
            <w:r w:rsidRPr="004E1241">
              <w:rPr>
                <w:b/>
                <w:color w:val="000000"/>
                <w:sz w:val="18"/>
                <w:vertAlign w:val="superscript"/>
              </w:rPr>
              <w:t>***</w:t>
            </w:r>
          </w:p>
          <w:p w14:paraId="2F209BF9" w14:textId="77777777" w:rsidR="002A5DA3" w:rsidRPr="004E1241" w:rsidRDefault="002A5DA3" w:rsidP="00F557CC">
            <w:pPr>
              <w:tabs>
                <w:tab w:val="left" w:pos="9360"/>
              </w:tabs>
              <w:rPr>
                <w:rFonts w:eastAsia="Times New Roman"/>
                <w:color w:val="000000"/>
                <w:sz w:val="18"/>
              </w:rPr>
            </w:pPr>
            <w:r w:rsidRPr="004E1241">
              <w:rPr>
                <w:rFonts w:eastAsia="Times New Roman"/>
                <w:b/>
                <w:color w:val="000000"/>
                <w:sz w:val="18"/>
              </w:rPr>
              <w:t>(0.060)</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110C5BC7"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0.204</w:t>
            </w:r>
            <w:r w:rsidRPr="004E1241">
              <w:rPr>
                <w:b/>
                <w:color w:val="000000"/>
                <w:sz w:val="18"/>
                <w:vertAlign w:val="superscript"/>
              </w:rPr>
              <w:t>***</w:t>
            </w:r>
          </w:p>
          <w:p w14:paraId="22299D3D"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(0.060)</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3181ECA0"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0.187</w:t>
            </w:r>
            <w:r w:rsidRPr="004E1241">
              <w:rPr>
                <w:b/>
                <w:color w:val="000000"/>
                <w:sz w:val="18"/>
                <w:vertAlign w:val="superscript"/>
              </w:rPr>
              <w:t>**</w:t>
            </w:r>
          </w:p>
          <w:p w14:paraId="605F8A31"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(0.063)</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4C45725C"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0.207</w:t>
            </w:r>
            <w:r w:rsidRPr="004E1241">
              <w:rPr>
                <w:b/>
                <w:color w:val="000000"/>
                <w:sz w:val="18"/>
                <w:vertAlign w:val="superscript"/>
              </w:rPr>
              <w:t>***</w:t>
            </w:r>
          </w:p>
          <w:p w14:paraId="1F41173B"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(0.061)</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1F24E3D0"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0.194</w:t>
            </w:r>
            <w:r w:rsidRPr="004E1241">
              <w:rPr>
                <w:b/>
                <w:color w:val="000000"/>
                <w:sz w:val="18"/>
                <w:vertAlign w:val="superscript"/>
              </w:rPr>
              <w:t>**</w:t>
            </w:r>
          </w:p>
          <w:p w14:paraId="654470EF"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(0.064)</w:t>
            </w:r>
          </w:p>
        </w:tc>
        <w:tc>
          <w:tcPr>
            <w:tcW w:w="296" w:type="dxa"/>
            <w:tcBorders>
              <w:left w:val="nil"/>
              <w:right w:val="nil"/>
            </w:tcBorders>
          </w:tcPr>
          <w:p w14:paraId="0DAD80E1" w14:textId="77777777" w:rsidR="002A5DA3" w:rsidRPr="00B14DDE" w:rsidRDefault="002A5DA3" w:rsidP="00F557CC">
            <w:pPr>
              <w:tabs>
                <w:tab w:val="left" w:pos="9360"/>
              </w:tabs>
              <w:rPr>
                <w:rFonts w:eastAsia="Times New Roman"/>
                <w:b/>
                <w:color w:val="000000"/>
                <w:sz w:val="18"/>
                <w:szCs w:val="18"/>
              </w:rPr>
            </w:pPr>
          </w:p>
        </w:tc>
        <w:tc>
          <w:tcPr>
            <w:tcW w:w="1189" w:type="dxa"/>
            <w:gridSpan w:val="3"/>
            <w:tcBorders>
              <w:top w:val="dashed" w:sz="4" w:space="0" w:color="auto"/>
              <w:left w:val="nil"/>
              <w:bottom w:val="dashed" w:sz="4" w:space="0" w:color="auto"/>
              <w:right w:val="nil"/>
            </w:tcBorders>
            <w:vAlign w:val="center"/>
          </w:tcPr>
          <w:p w14:paraId="5435FB79" w14:textId="77777777" w:rsidR="002A5DA3" w:rsidRPr="00B14DDE" w:rsidRDefault="002A5DA3" w:rsidP="00F557CC">
            <w:pPr>
              <w:tabs>
                <w:tab w:val="left" w:pos="9360"/>
              </w:tabs>
              <w:rPr>
                <w:rFonts w:eastAsia="Times New Roman"/>
                <w:b/>
                <w:color w:val="000000"/>
                <w:sz w:val="18"/>
                <w:szCs w:val="18"/>
              </w:rPr>
            </w:pPr>
            <w:r w:rsidRPr="00B14DDE">
              <w:rPr>
                <w:rFonts w:eastAsia="Times New Roman"/>
                <w:b/>
                <w:color w:val="000000"/>
                <w:sz w:val="18"/>
                <w:szCs w:val="18"/>
              </w:rPr>
              <w:t>0.297</w:t>
            </w:r>
            <w:r w:rsidRPr="00B14DDE">
              <w:rPr>
                <w:b/>
                <w:color w:val="000000"/>
                <w:sz w:val="18"/>
                <w:szCs w:val="18"/>
                <w:vertAlign w:val="superscript"/>
              </w:rPr>
              <w:t>***</w:t>
            </w:r>
          </w:p>
          <w:p w14:paraId="35FD3297" w14:textId="77777777" w:rsidR="002A5DA3" w:rsidRPr="004E1241" w:rsidRDefault="002A5DA3" w:rsidP="00F557CC">
            <w:pPr>
              <w:tabs>
                <w:tab w:val="left" w:pos="9360"/>
              </w:tabs>
              <w:rPr>
                <w:rFonts w:eastAsia="Times New Roman"/>
                <w:b/>
                <w:color w:val="000000"/>
                <w:sz w:val="18"/>
              </w:rPr>
            </w:pPr>
            <w:r w:rsidRPr="00B14DDE">
              <w:rPr>
                <w:rFonts w:eastAsia="Times New Roman"/>
                <w:b/>
                <w:color w:val="000000"/>
                <w:sz w:val="18"/>
                <w:szCs w:val="18"/>
              </w:rPr>
              <w:t>(0.062)</w:t>
            </w:r>
          </w:p>
        </w:tc>
        <w:tc>
          <w:tcPr>
            <w:tcW w:w="924" w:type="dxa"/>
            <w:gridSpan w:val="2"/>
            <w:tcBorders>
              <w:top w:val="dashed" w:sz="4" w:space="0" w:color="auto"/>
              <w:left w:val="nil"/>
              <w:bottom w:val="dashed" w:sz="4" w:space="0" w:color="auto"/>
              <w:right w:val="nil"/>
            </w:tcBorders>
            <w:vAlign w:val="center"/>
          </w:tcPr>
          <w:p w14:paraId="4D8A9855" w14:textId="77777777" w:rsidR="002A5DA3" w:rsidRPr="00B14DDE" w:rsidRDefault="002A5DA3" w:rsidP="00F557CC">
            <w:pPr>
              <w:tabs>
                <w:tab w:val="left" w:pos="9360"/>
              </w:tabs>
              <w:rPr>
                <w:rFonts w:eastAsia="Times New Roman"/>
                <w:b/>
                <w:color w:val="000000"/>
                <w:sz w:val="18"/>
                <w:szCs w:val="18"/>
              </w:rPr>
            </w:pPr>
            <w:r w:rsidRPr="00B14DDE">
              <w:rPr>
                <w:rFonts w:eastAsia="Times New Roman"/>
                <w:b/>
                <w:color w:val="000000"/>
                <w:sz w:val="18"/>
                <w:szCs w:val="18"/>
              </w:rPr>
              <w:t>0.202</w:t>
            </w:r>
            <w:r w:rsidRPr="00B14DDE">
              <w:rPr>
                <w:b/>
                <w:color w:val="000000"/>
                <w:sz w:val="18"/>
                <w:szCs w:val="18"/>
                <w:vertAlign w:val="superscript"/>
              </w:rPr>
              <w:t>***</w:t>
            </w:r>
          </w:p>
          <w:p w14:paraId="5902C7AC" w14:textId="77777777" w:rsidR="002A5DA3" w:rsidRPr="004E1241" w:rsidRDefault="002A5DA3" w:rsidP="00F557CC">
            <w:pPr>
              <w:tabs>
                <w:tab w:val="left" w:pos="9360"/>
              </w:tabs>
              <w:rPr>
                <w:rFonts w:eastAsia="Times New Roman"/>
                <w:b/>
                <w:color w:val="000000"/>
                <w:sz w:val="18"/>
              </w:rPr>
            </w:pPr>
            <w:r w:rsidRPr="00B14DDE">
              <w:rPr>
                <w:rFonts w:eastAsia="Times New Roman"/>
                <w:b/>
                <w:color w:val="000000"/>
                <w:sz w:val="18"/>
                <w:szCs w:val="18"/>
              </w:rPr>
              <w:t>(0.055)</w:t>
            </w:r>
          </w:p>
        </w:tc>
        <w:tc>
          <w:tcPr>
            <w:tcW w:w="896" w:type="dxa"/>
            <w:gridSpan w:val="2"/>
            <w:tcBorders>
              <w:top w:val="dashed" w:sz="4" w:space="0" w:color="auto"/>
              <w:left w:val="nil"/>
              <w:bottom w:val="dashed" w:sz="4" w:space="0" w:color="auto"/>
              <w:right w:val="nil"/>
            </w:tcBorders>
            <w:vAlign w:val="center"/>
          </w:tcPr>
          <w:p w14:paraId="5AB306AC" w14:textId="77777777" w:rsidR="002A5DA3" w:rsidRPr="00B14DDE" w:rsidRDefault="002A5DA3" w:rsidP="00F557CC">
            <w:pPr>
              <w:tabs>
                <w:tab w:val="left" w:pos="9360"/>
              </w:tabs>
              <w:rPr>
                <w:rFonts w:eastAsia="Times New Roman"/>
                <w:b/>
                <w:color w:val="000000"/>
                <w:sz w:val="18"/>
                <w:szCs w:val="18"/>
              </w:rPr>
            </w:pPr>
            <w:r w:rsidRPr="00B14DDE">
              <w:rPr>
                <w:rFonts w:eastAsia="Times New Roman"/>
                <w:b/>
                <w:color w:val="000000"/>
                <w:sz w:val="18"/>
                <w:szCs w:val="18"/>
              </w:rPr>
              <w:t>0.192</w:t>
            </w:r>
            <w:r w:rsidRPr="00B14DDE">
              <w:rPr>
                <w:b/>
                <w:color w:val="000000"/>
                <w:sz w:val="18"/>
                <w:szCs w:val="18"/>
                <w:vertAlign w:val="superscript"/>
              </w:rPr>
              <w:t>***</w:t>
            </w:r>
          </w:p>
          <w:p w14:paraId="2113D19F" w14:textId="77777777" w:rsidR="002A5DA3" w:rsidRPr="004E1241" w:rsidRDefault="002A5DA3" w:rsidP="00F557CC">
            <w:pPr>
              <w:tabs>
                <w:tab w:val="left" w:pos="9360"/>
              </w:tabs>
              <w:rPr>
                <w:rFonts w:eastAsia="Times New Roman"/>
                <w:b/>
                <w:color w:val="000000"/>
                <w:sz w:val="18"/>
              </w:rPr>
            </w:pPr>
            <w:r w:rsidRPr="00B14DDE">
              <w:rPr>
                <w:rFonts w:eastAsia="Times New Roman"/>
                <w:b/>
                <w:color w:val="000000"/>
                <w:sz w:val="18"/>
                <w:szCs w:val="18"/>
              </w:rPr>
              <w:t>(0.055)</w:t>
            </w:r>
          </w:p>
        </w:tc>
        <w:tc>
          <w:tcPr>
            <w:tcW w:w="896" w:type="dxa"/>
            <w:gridSpan w:val="2"/>
            <w:tcBorders>
              <w:top w:val="dashed" w:sz="4" w:space="0" w:color="auto"/>
              <w:left w:val="nil"/>
              <w:bottom w:val="dashed" w:sz="4" w:space="0" w:color="auto"/>
              <w:right w:val="nil"/>
            </w:tcBorders>
            <w:vAlign w:val="center"/>
          </w:tcPr>
          <w:p w14:paraId="105D9223" w14:textId="77777777" w:rsidR="002A5DA3" w:rsidRPr="00B14DDE" w:rsidRDefault="002A5DA3" w:rsidP="00F557CC">
            <w:pPr>
              <w:tabs>
                <w:tab w:val="left" w:pos="9360"/>
              </w:tabs>
              <w:rPr>
                <w:rFonts w:eastAsia="Times New Roman"/>
                <w:b/>
                <w:color w:val="000000"/>
                <w:sz w:val="18"/>
                <w:szCs w:val="18"/>
              </w:rPr>
            </w:pPr>
            <w:r w:rsidRPr="00B14DDE">
              <w:rPr>
                <w:rFonts w:eastAsia="Times New Roman"/>
                <w:b/>
                <w:color w:val="000000"/>
                <w:sz w:val="18"/>
                <w:szCs w:val="18"/>
              </w:rPr>
              <w:t>0.198</w:t>
            </w:r>
            <w:r w:rsidRPr="00B14DDE">
              <w:rPr>
                <w:b/>
                <w:color w:val="000000"/>
                <w:sz w:val="18"/>
                <w:szCs w:val="18"/>
                <w:vertAlign w:val="superscript"/>
              </w:rPr>
              <w:t>***</w:t>
            </w:r>
          </w:p>
          <w:p w14:paraId="70BC063A" w14:textId="77777777" w:rsidR="002A5DA3" w:rsidRPr="004E1241" w:rsidRDefault="002A5DA3" w:rsidP="00F557CC">
            <w:pPr>
              <w:tabs>
                <w:tab w:val="left" w:pos="9360"/>
              </w:tabs>
              <w:rPr>
                <w:rFonts w:eastAsia="Times New Roman"/>
                <w:b/>
                <w:color w:val="000000"/>
                <w:sz w:val="18"/>
              </w:rPr>
            </w:pPr>
            <w:r w:rsidRPr="00B14DDE">
              <w:rPr>
                <w:rFonts w:eastAsia="Times New Roman"/>
                <w:b/>
                <w:color w:val="000000"/>
                <w:sz w:val="18"/>
                <w:szCs w:val="18"/>
              </w:rPr>
              <w:t>(0.056)</w:t>
            </w:r>
          </w:p>
        </w:tc>
        <w:tc>
          <w:tcPr>
            <w:tcW w:w="1045" w:type="dxa"/>
            <w:gridSpan w:val="2"/>
            <w:tcBorders>
              <w:top w:val="dashed" w:sz="4" w:space="0" w:color="auto"/>
              <w:left w:val="nil"/>
              <w:bottom w:val="dashed" w:sz="4" w:space="0" w:color="auto"/>
              <w:right w:val="nil"/>
            </w:tcBorders>
            <w:vAlign w:val="center"/>
          </w:tcPr>
          <w:p w14:paraId="7847E424" w14:textId="77777777" w:rsidR="002A5DA3" w:rsidRPr="00B14DDE" w:rsidRDefault="002A5DA3" w:rsidP="00F557CC">
            <w:pPr>
              <w:tabs>
                <w:tab w:val="left" w:pos="9360"/>
              </w:tabs>
              <w:rPr>
                <w:rFonts w:eastAsia="Times New Roman"/>
                <w:b/>
                <w:color w:val="000000"/>
                <w:sz w:val="18"/>
                <w:szCs w:val="18"/>
              </w:rPr>
            </w:pPr>
            <w:r w:rsidRPr="00B14DDE">
              <w:rPr>
                <w:rFonts w:eastAsia="Times New Roman"/>
                <w:b/>
                <w:color w:val="000000"/>
                <w:sz w:val="18"/>
                <w:szCs w:val="18"/>
              </w:rPr>
              <w:t>0.185</w:t>
            </w:r>
            <w:r w:rsidRPr="00B14DDE">
              <w:rPr>
                <w:b/>
                <w:color w:val="000000"/>
                <w:sz w:val="18"/>
                <w:szCs w:val="18"/>
                <w:vertAlign w:val="superscript"/>
              </w:rPr>
              <w:t>***</w:t>
            </w:r>
          </w:p>
          <w:p w14:paraId="790829B1" w14:textId="77777777" w:rsidR="002A5DA3" w:rsidRPr="004E1241" w:rsidRDefault="002A5DA3" w:rsidP="00F557CC">
            <w:pPr>
              <w:tabs>
                <w:tab w:val="left" w:pos="9360"/>
              </w:tabs>
              <w:rPr>
                <w:rFonts w:eastAsia="Times New Roman"/>
                <w:b/>
                <w:color w:val="000000"/>
                <w:sz w:val="18"/>
              </w:rPr>
            </w:pPr>
            <w:r w:rsidRPr="00B14DDE">
              <w:rPr>
                <w:rFonts w:eastAsia="Times New Roman"/>
                <w:b/>
                <w:color w:val="000000"/>
                <w:sz w:val="18"/>
                <w:szCs w:val="18"/>
              </w:rPr>
              <w:t>(0.057)</w:t>
            </w:r>
          </w:p>
        </w:tc>
      </w:tr>
      <w:tr w:rsidR="002A5DA3" w:rsidRPr="00247B84" w14:paraId="49776C9B" w14:textId="77777777" w:rsidTr="00F557CC">
        <w:trPr>
          <w:trHeight w:val="300"/>
        </w:trPr>
        <w:tc>
          <w:tcPr>
            <w:tcW w:w="2592" w:type="dxa"/>
            <w:tcBorders>
              <w:top w:val="dashed" w:sz="4" w:space="0" w:color="auto"/>
              <w:left w:val="nil"/>
              <w:bottom w:val="dashed" w:sz="4" w:space="0" w:color="auto"/>
              <w:right w:val="nil"/>
            </w:tcBorders>
            <w:shd w:val="clear" w:color="auto" w:fill="auto"/>
            <w:noWrap/>
            <w:vAlign w:val="center"/>
            <w:hideMark/>
          </w:tcPr>
          <w:p w14:paraId="7B188517" w14:textId="77777777" w:rsidR="002A5DA3" w:rsidRPr="004E1241" w:rsidRDefault="002A5DA3" w:rsidP="00F557CC">
            <w:pPr>
              <w:tabs>
                <w:tab w:val="left" w:pos="9360"/>
              </w:tabs>
              <w:rPr>
                <w:rFonts w:eastAsia="Times New Roman"/>
                <w:color w:val="000000"/>
                <w:sz w:val="20"/>
              </w:rPr>
            </w:pPr>
            <w:r w:rsidRPr="004E1241">
              <w:rPr>
                <w:rFonts w:eastAsia="Times New Roman"/>
                <w:color w:val="000000"/>
                <w:sz w:val="20"/>
              </w:rPr>
              <w:t>Near misses</w:t>
            </w:r>
          </w:p>
        </w:tc>
        <w:tc>
          <w:tcPr>
            <w:tcW w:w="994" w:type="dxa"/>
            <w:gridSpan w:val="2"/>
            <w:tcBorders>
              <w:top w:val="dashed" w:sz="4" w:space="0" w:color="auto"/>
              <w:left w:val="nil"/>
              <w:bottom w:val="dashed" w:sz="4" w:space="0" w:color="auto"/>
              <w:right w:val="nil"/>
            </w:tcBorders>
            <w:shd w:val="clear" w:color="auto" w:fill="auto"/>
            <w:noWrap/>
            <w:vAlign w:val="center"/>
            <w:hideMark/>
          </w:tcPr>
          <w:p w14:paraId="76B6B997" w14:textId="77777777" w:rsidR="002A5DA3" w:rsidRPr="004E1241" w:rsidRDefault="002A5DA3" w:rsidP="00F557CC">
            <w:pPr>
              <w:tabs>
                <w:tab w:val="left" w:pos="9360"/>
              </w:tabs>
              <w:rPr>
                <w:rFonts w:eastAsia="Times New Roman"/>
                <w:color w:val="000000"/>
                <w:sz w:val="18"/>
              </w:rPr>
            </w:pP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5AFAC7F8"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-0.361</w:t>
            </w:r>
            <w:r w:rsidRPr="004E1241">
              <w:rPr>
                <w:b/>
                <w:color w:val="000000"/>
                <w:sz w:val="18"/>
                <w:vertAlign w:val="superscript"/>
              </w:rPr>
              <w:t>**</w:t>
            </w:r>
          </w:p>
          <w:p w14:paraId="61D66782"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(0.126)</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794DCE13"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-0.396</w:t>
            </w:r>
            <w:r w:rsidRPr="004E1241">
              <w:rPr>
                <w:b/>
                <w:color w:val="000000"/>
                <w:sz w:val="18"/>
                <w:vertAlign w:val="superscript"/>
              </w:rPr>
              <w:t>**</w:t>
            </w:r>
          </w:p>
          <w:p w14:paraId="38E7A5AA"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(0.120)</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29CB40DA"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-0.229</w:t>
            </w:r>
          </w:p>
          <w:p w14:paraId="7583B9B8"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(0.142)</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5978AF78"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-0.289</w:t>
            </w:r>
            <w:r w:rsidRPr="004E1241">
              <w:rPr>
                <w:b/>
                <w:color w:val="000000"/>
                <w:sz w:val="18"/>
                <w:vertAlign w:val="superscript"/>
              </w:rPr>
              <w:t>*</w:t>
            </w:r>
          </w:p>
          <w:p w14:paraId="05F07087" w14:textId="77777777" w:rsidR="002A5DA3" w:rsidRPr="004E1241" w:rsidRDefault="002A5DA3" w:rsidP="00F557CC">
            <w:pPr>
              <w:tabs>
                <w:tab w:val="left" w:pos="9360"/>
              </w:tabs>
              <w:rPr>
                <w:rFonts w:eastAsia="Times New Roman"/>
                <w:color w:val="000000"/>
                <w:sz w:val="18"/>
              </w:rPr>
            </w:pPr>
            <w:r w:rsidRPr="004E1241">
              <w:rPr>
                <w:rFonts w:eastAsia="Times New Roman"/>
                <w:b/>
                <w:color w:val="000000"/>
                <w:sz w:val="18"/>
              </w:rPr>
              <w:t>(0.142)</w:t>
            </w:r>
          </w:p>
        </w:tc>
        <w:tc>
          <w:tcPr>
            <w:tcW w:w="296" w:type="dxa"/>
            <w:tcBorders>
              <w:left w:val="nil"/>
              <w:right w:val="nil"/>
            </w:tcBorders>
          </w:tcPr>
          <w:p w14:paraId="7419AE07" w14:textId="77777777" w:rsidR="002A5DA3" w:rsidRPr="004E1241" w:rsidRDefault="002A5DA3" w:rsidP="00F557CC">
            <w:pPr>
              <w:tabs>
                <w:tab w:val="left" w:pos="9360"/>
              </w:tabs>
              <w:rPr>
                <w:rFonts w:eastAsia="Times New Roman"/>
                <w:b/>
                <w:color w:val="000000"/>
                <w:sz w:val="18"/>
              </w:rPr>
            </w:pPr>
          </w:p>
        </w:tc>
        <w:tc>
          <w:tcPr>
            <w:tcW w:w="1189" w:type="dxa"/>
            <w:gridSpan w:val="3"/>
            <w:tcBorders>
              <w:top w:val="dashed" w:sz="4" w:space="0" w:color="auto"/>
              <w:left w:val="nil"/>
              <w:bottom w:val="dashed" w:sz="4" w:space="0" w:color="auto"/>
              <w:right w:val="nil"/>
            </w:tcBorders>
            <w:vAlign w:val="center"/>
          </w:tcPr>
          <w:p w14:paraId="18362B38" w14:textId="77777777" w:rsidR="002A5DA3" w:rsidRPr="004E1241" w:rsidRDefault="002A5DA3" w:rsidP="00F557CC">
            <w:pPr>
              <w:tabs>
                <w:tab w:val="left" w:pos="9360"/>
              </w:tabs>
              <w:rPr>
                <w:rFonts w:eastAsia="Times New Roman"/>
                <w:b/>
                <w:color w:val="000000"/>
                <w:sz w:val="18"/>
              </w:rPr>
            </w:pPr>
          </w:p>
        </w:tc>
        <w:tc>
          <w:tcPr>
            <w:tcW w:w="924" w:type="dxa"/>
            <w:gridSpan w:val="2"/>
            <w:tcBorders>
              <w:top w:val="dashed" w:sz="4" w:space="0" w:color="auto"/>
              <w:left w:val="nil"/>
              <w:bottom w:val="dashed" w:sz="4" w:space="0" w:color="auto"/>
              <w:right w:val="nil"/>
            </w:tcBorders>
            <w:vAlign w:val="center"/>
          </w:tcPr>
          <w:p w14:paraId="7124D3BD" w14:textId="77777777" w:rsidR="002A5DA3" w:rsidRPr="00B14DDE" w:rsidRDefault="002A5DA3" w:rsidP="00F557CC">
            <w:pPr>
              <w:tabs>
                <w:tab w:val="left" w:pos="9360"/>
              </w:tabs>
              <w:rPr>
                <w:rFonts w:eastAsia="Times New Roman"/>
                <w:b/>
                <w:color w:val="000000"/>
                <w:sz w:val="18"/>
                <w:szCs w:val="18"/>
              </w:rPr>
            </w:pPr>
            <w:r w:rsidRPr="00B14DDE">
              <w:rPr>
                <w:rFonts w:eastAsia="Times New Roman"/>
                <w:b/>
                <w:color w:val="000000"/>
                <w:sz w:val="18"/>
                <w:szCs w:val="18"/>
              </w:rPr>
              <w:t>0.458</w:t>
            </w:r>
            <w:r w:rsidRPr="00B14DDE">
              <w:rPr>
                <w:b/>
                <w:color w:val="000000"/>
                <w:sz w:val="18"/>
                <w:szCs w:val="18"/>
                <w:vertAlign w:val="superscript"/>
              </w:rPr>
              <w:t>**</w:t>
            </w:r>
          </w:p>
          <w:p w14:paraId="2CDBF60B" w14:textId="77777777" w:rsidR="002A5DA3" w:rsidRPr="004E1241" w:rsidRDefault="002A5DA3" w:rsidP="00F557CC">
            <w:pPr>
              <w:tabs>
                <w:tab w:val="left" w:pos="9360"/>
              </w:tabs>
              <w:rPr>
                <w:rFonts w:eastAsia="Times New Roman"/>
                <w:b/>
                <w:color w:val="000000"/>
                <w:sz w:val="18"/>
              </w:rPr>
            </w:pPr>
            <w:r w:rsidRPr="00B14DDE">
              <w:rPr>
                <w:rFonts w:eastAsia="Times New Roman"/>
                <w:b/>
                <w:color w:val="000000"/>
                <w:sz w:val="18"/>
                <w:szCs w:val="18"/>
              </w:rPr>
              <w:t>(0.141)</w:t>
            </w:r>
          </w:p>
        </w:tc>
        <w:tc>
          <w:tcPr>
            <w:tcW w:w="896" w:type="dxa"/>
            <w:gridSpan w:val="2"/>
            <w:tcBorders>
              <w:top w:val="dashed" w:sz="4" w:space="0" w:color="auto"/>
              <w:left w:val="nil"/>
              <w:bottom w:val="dashed" w:sz="4" w:space="0" w:color="auto"/>
              <w:right w:val="nil"/>
            </w:tcBorders>
            <w:vAlign w:val="center"/>
          </w:tcPr>
          <w:p w14:paraId="0D7ACB8E" w14:textId="77777777" w:rsidR="002A5DA3" w:rsidRPr="00B14DDE" w:rsidRDefault="002A5DA3" w:rsidP="00F557CC">
            <w:pPr>
              <w:tabs>
                <w:tab w:val="left" w:pos="9360"/>
              </w:tabs>
              <w:rPr>
                <w:rFonts w:eastAsia="Times New Roman"/>
                <w:b/>
                <w:color w:val="000000"/>
                <w:sz w:val="18"/>
                <w:szCs w:val="18"/>
              </w:rPr>
            </w:pPr>
            <w:r w:rsidRPr="00B14DDE">
              <w:rPr>
                <w:rFonts w:eastAsia="Times New Roman"/>
                <w:b/>
                <w:color w:val="000000"/>
                <w:sz w:val="18"/>
                <w:szCs w:val="18"/>
              </w:rPr>
              <w:t>0.480</w:t>
            </w:r>
            <w:r w:rsidRPr="00B14DDE">
              <w:rPr>
                <w:b/>
                <w:color w:val="000000"/>
                <w:sz w:val="18"/>
                <w:szCs w:val="18"/>
                <w:vertAlign w:val="superscript"/>
              </w:rPr>
              <w:t>***</w:t>
            </w:r>
          </w:p>
          <w:p w14:paraId="3ADFCBF8" w14:textId="77777777" w:rsidR="002A5DA3" w:rsidRPr="004E1241" w:rsidRDefault="002A5DA3" w:rsidP="00F557CC">
            <w:pPr>
              <w:tabs>
                <w:tab w:val="left" w:pos="9360"/>
              </w:tabs>
              <w:rPr>
                <w:rFonts w:eastAsia="Times New Roman"/>
                <w:b/>
                <w:color w:val="000000"/>
                <w:sz w:val="18"/>
              </w:rPr>
            </w:pPr>
            <w:r w:rsidRPr="00B14DDE">
              <w:rPr>
                <w:rFonts w:eastAsia="Times New Roman"/>
                <w:b/>
                <w:color w:val="000000"/>
                <w:sz w:val="18"/>
                <w:szCs w:val="18"/>
              </w:rPr>
              <w:t>(0.138)</w:t>
            </w:r>
          </w:p>
        </w:tc>
        <w:tc>
          <w:tcPr>
            <w:tcW w:w="896" w:type="dxa"/>
            <w:gridSpan w:val="2"/>
            <w:tcBorders>
              <w:top w:val="dashed" w:sz="4" w:space="0" w:color="auto"/>
              <w:left w:val="nil"/>
              <w:bottom w:val="dashed" w:sz="4" w:space="0" w:color="auto"/>
              <w:right w:val="nil"/>
            </w:tcBorders>
            <w:vAlign w:val="center"/>
          </w:tcPr>
          <w:p w14:paraId="36A0CA94" w14:textId="77777777" w:rsidR="002A5DA3" w:rsidRPr="00B14DDE" w:rsidRDefault="002A5DA3" w:rsidP="00F557CC">
            <w:pPr>
              <w:tabs>
                <w:tab w:val="left" w:pos="9360"/>
              </w:tabs>
              <w:rPr>
                <w:rFonts w:eastAsia="Times New Roman"/>
                <w:b/>
                <w:color w:val="000000"/>
                <w:sz w:val="18"/>
                <w:szCs w:val="18"/>
              </w:rPr>
            </w:pPr>
            <w:r w:rsidRPr="00B14DDE">
              <w:rPr>
                <w:rFonts w:eastAsia="Times New Roman"/>
                <w:b/>
                <w:color w:val="000000"/>
                <w:sz w:val="18"/>
                <w:szCs w:val="18"/>
              </w:rPr>
              <w:t>0.563</w:t>
            </w:r>
            <w:r w:rsidRPr="00B14DDE">
              <w:rPr>
                <w:b/>
                <w:color w:val="000000"/>
                <w:sz w:val="18"/>
                <w:szCs w:val="18"/>
                <w:vertAlign w:val="superscript"/>
              </w:rPr>
              <w:t>***</w:t>
            </w:r>
          </w:p>
          <w:p w14:paraId="51884F4E" w14:textId="77777777" w:rsidR="002A5DA3" w:rsidRPr="004E1241" w:rsidRDefault="002A5DA3" w:rsidP="00F557CC">
            <w:pPr>
              <w:tabs>
                <w:tab w:val="left" w:pos="9360"/>
              </w:tabs>
              <w:rPr>
                <w:rFonts w:eastAsia="Times New Roman"/>
                <w:b/>
                <w:color w:val="000000"/>
                <w:sz w:val="18"/>
              </w:rPr>
            </w:pPr>
            <w:r w:rsidRPr="00B14DDE">
              <w:rPr>
                <w:rFonts w:eastAsia="Times New Roman"/>
                <w:b/>
                <w:color w:val="000000"/>
                <w:sz w:val="18"/>
                <w:szCs w:val="18"/>
              </w:rPr>
              <w:t>(0.148)</w:t>
            </w:r>
          </w:p>
        </w:tc>
        <w:tc>
          <w:tcPr>
            <w:tcW w:w="1045" w:type="dxa"/>
            <w:gridSpan w:val="2"/>
            <w:tcBorders>
              <w:top w:val="dashed" w:sz="4" w:space="0" w:color="auto"/>
              <w:left w:val="nil"/>
              <w:bottom w:val="dashed" w:sz="4" w:space="0" w:color="auto"/>
              <w:right w:val="nil"/>
            </w:tcBorders>
            <w:vAlign w:val="center"/>
          </w:tcPr>
          <w:p w14:paraId="75573E5F" w14:textId="77777777" w:rsidR="002A5DA3" w:rsidRPr="00B14DDE" w:rsidRDefault="002A5DA3" w:rsidP="00F557CC">
            <w:pPr>
              <w:tabs>
                <w:tab w:val="left" w:pos="9360"/>
              </w:tabs>
              <w:rPr>
                <w:rFonts w:eastAsia="Times New Roman"/>
                <w:b/>
                <w:color w:val="000000"/>
                <w:sz w:val="18"/>
                <w:szCs w:val="18"/>
              </w:rPr>
            </w:pPr>
            <w:r w:rsidRPr="00B14DDE">
              <w:rPr>
                <w:rFonts w:eastAsia="Times New Roman"/>
                <w:b/>
                <w:color w:val="000000"/>
                <w:sz w:val="18"/>
                <w:szCs w:val="18"/>
              </w:rPr>
              <w:t>0.634</w:t>
            </w:r>
            <w:r w:rsidRPr="00B14DDE">
              <w:rPr>
                <w:b/>
                <w:color w:val="000000"/>
                <w:sz w:val="18"/>
                <w:szCs w:val="18"/>
                <w:vertAlign w:val="superscript"/>
              </w:rPr>
              <w:t>***</w:t>
            </w:r>
          </w:p>
          <w:p w14:paraId="2F00B6F4" w14:textId="77777777" w:rsidR="002A5DA3" w:rsidRPr="004E1241" w:rsidRDefault="002A5DA3" w:rsidP="00F557CC">
            <w:pPr>
              <w:tabs>
                <w:tab w:val="left" w:pos="9360"/>
              </w:tabs>
              <w:rPr>
                <w:rFonts w:eastAsia="Times New Roman"/>
                <w:b/>
                <w:color w:val="000000"/>
                <w:sz w:val="18"/>
              </w:rPr>
            </w:pPr>
            <w:r w:rsidRPr="00B14DDE">
              <w:rPr>
                <w:rFonts w:eastAsia="Times New Roman"/>
                <w:b/>
                <w:color w:val="000000"/>
                <w:sz w:val="18"/>
                <w:szCs w:val="18"/>
              </w:rPr>
              <w:t>(0.149)</w:t>
            </w:r>
          </w:p>
        </w:tc>
      </w:tr>
      <w:tr w:rsidR="002A5DA3" w:rsidRPr="00247B84" w14:paraId="783EB71E" w14:textId="77777777" w:rsidTr="00F557CC">
        <w:trPr>
          <w:trHeight w:val="300"/>
        </w:trPr>
        <w:tc>
          <w:tcPr>
            <w:tcW w:w="2592" w:type="dxa"/>
            <w:tcBorders>
              <w:top w:val="dashed" w:sz="4" w:space="0" w:color="auto"/>
              <w:left w:val="nil"/>
              <w:bottom w:val="dashed" w:sz="4" w:space="0" w:color="auto"/>
              <w:right w:val="nil"/>
            </w:tcBorders>
            <w:shd w:val="clear" w:color="auto" w:fill="auto"/>
            <w:noWrap/>
            <w:vAlign w:val="center"/>
            <w:hideMark/>
          </w:tcPr>
          <w:p w14:paraId="058E5878" w14:textId="77777777" w:rsidR="002A5DA3" w:rsidRPr="004E1241" w:rsidRDefault="002A5DA3" w:rsidP="00F557CC">
            <w:pPr>
              <w:tabs>
                <w:tab w:val="left" w:pos="9360"/>
              </w:tabs>
              <w:rPr>
                <w:rFonts w:eastAsia="Times New Roman"/>
                <w:color w:val="000000"/>
                <w:sz w:val="20"/>
              </w:rPr>
            </w:pPr>
            <w:r w:rsidRPr="004E1241">
              <w:rPr>
                <w:rFonts w:eastAsia="Times New Roman"/>
                <w:color w:val="000000"/>
                <w:sz w:val="20"/>
              </w:rPr>
              <w:t>Near misses Squared</w:t>
            </w:r>
          </w:p>
        </w:tc>
        <w:tc>
          <w:tcPr>
            <w:tcW w:w="994" w:type="dxa"/>
            <w:gridSpan w:val="2"/>
            <w:tcBorders>
              <w:top w:val="dashed" w:sz="4" w:space="0" w:color="auto"/>
              <w:left w:val="nil"/>
              <w:bottom w:val="dashed" w:sz="4" w:space="0" w:color="auto"/>
              <w:right w:val="nil"/>
            </w:tcBorders>
            <w:shd w:val="clear" w:color="auto" w:fill="auto"/>
            <w:noWrap/>
            <w:vAlign w:val="center"/>
            <w:hideMark/>
          </w:tcPr>
          <w:p w14:paraId="40E4A51F" w14:textId="77777777" w:rsidR="002A5DA3" w:rsidRPr="004E1241" w:rsidRDefault="002A5DA3" w:rsidP="00F557CC">
            <w:pPr>
              <w:tabs>
                <w:tab w:val="left" w:pos="9360"/>
              </w:tabs>
              <w:rPr>
                <w:rFonts w:eastAsia="Times New Roman"/>
                <w:color w:val="000000"/>
                <w:sz w:val="18"/>
              </w:rPr>
            </w:pP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1E9F7293"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0.053</w:t>
            </w:r>
            <w:r w:rsidRPr="004E1241">
              <w:rPr>
                <w:b/>
                <w:color w:val="000000"/>
                <w:sz w:val="18"/>
                <w:vertAlign w:val="superscript"/>
              </w:rPr>
              <w:t>*</w:t>
            </w:r>
          </w:p>
          <w:p w14:paraId="65FB42D9"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(0.021)</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734069AD"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0.058</w:t>
            </w:r>
            <w:r w:rsidRPr="004E1241">
              <w:rPr>
                <w:b/>
                <w:color w:val="000000"/>
                <w:sz w:val="18"/>
                <w:vertAlign w:val="superscript"/>
              </w:rPr>
              <w:t>**</w:t>
            </w:r>
          </w:p>
          <w:p w14:paraId="092312CE"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(0.021)</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21950D2E"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0.033</w:t>
            </w:r>
          </w:p>
          <w:p w14:paraId="6E2754DB"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(0.022)</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75EF49C5"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0.041</w:t>
            </w:r>
          </w:p>
          <w:p w14:paraId="77EE0047"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(0.023)</w:t>
            </w:r>
          </w:p>
        </w:tc>
        <w:tc>
          <w:tcPr>
            <w:tcW w:w="296" w:type="dxa"/>
            <w:tcBorders>
              <w:left w:val="nil"/>
              <w:right w:val="nil"/>
            </w:tcBorders>
          </w:tcPr>
          <w:p w14:paraId="008D8B6C" w14:textId="77777777" w:rsidR="002A5DA3" w:rsidRPr="004E1241" w:rsidRDefault="002A5DA3" w:rsidP="00F557CC">
            <w:pPr>
              <w:tabs>
                <w:tab w:val="left" w:pos="9360"/>
              </w:tabs>
              <w:rPr>
                <w:rFonts w:eastAsia="Times New Roman"/>
                <w:color w:val="000000"/>
                <w:sz w:val="18"/>
              </w:rPr>
            </w:pPr>
          </w:p>
        </w:tc>
        <w:tc>
          <w:tcPr>
            <w:tcW w:w="1189" w:type="dxa"/>
            <w:gridSpan w:val="3"/>
            <w:tcBorders>
              <w:top w:val="dashed" w:sz="4" w:space="0" w:color="auto"/>
              <w:left w:val="nil"/>
              <w:bottom w:val="dashed" w:sz="4" w:space="0" w:color="auto"/>
              <w:right w:val="nil"/>
            </w:tcBorders>
            <w:vAlign w:val="center"/>
          </w:tcPr>
          <w:p w14:paraId="512A69CD" w14:textId="77777777" w:rsidR="002A5DA3" w:rsidRPr="004E1241" w:rsidRDefault="002A5DA3" w:rsidP="00F557CC">
            <w:pPr>
              <w:tabs>
                <w:tab w:val="left" w:pos="9360"/>
              </w:tabs>
              <w:rPr>
                <w:rFonts w:eastAsia="Times New Roman"/>
                <w:color w:val="000000"/>
                <w:sz w:val="18"/>
              </w:rPr>
            </w:pPr>
          </w:p>
        </w:tc>
        <w:tc>
          <w:tcPr>
            <w:tcW w:w="924" w:type="dxa"/>
            <w:gridSpan w:val="2"/>
            <w:tcBorders>
              <w:top w:val="dashed" w:sz="4" w:space="0" w:color="auto"/>
              <w:left w:val="nil"/>
              <w:bottom w:val="dashed" w:sz="4" w:space="0" w:color="auto"/>
              <w:right w:val="nil"/>
            </w:tcBorders>
            <w:vAlign w:val="center"/>
          </w:tcPr>
          <w:p w14:paraId="6329C6D2"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0.000</w:t>
            </w:r>
          </w:p>
          <w:p w14:paraId="54BD5A6D"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(0.020)</w:t>
            </w:r>
          </w:p>
        </w:tc>
        <w:tc>
          <w:tcPr>
            <w:tcW w:w="896" w:type="dxa"/>
            <w:gridSpan w:val="2"/>
            <w:tcBorders>
              <w:top w:val="dashed" w:sz="4" w:space="0" w:color="auto"/>
              <w:left w:val="nil"/>
              <w:bottom w:val="dashed" w:sz="4" w:space="0" w:color="auto"/>
              <w:right w:val="nil"/>
            </w:tcBorders>
            <w:vAlign w:val="center"/>
          </w:tcPr>
          <w:p w14:paraId="7F42F643"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-0.003</w:t>
            </w:r>
          </w:p>
          <w:p w14:paraId="46EE7368"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(0.019)</w:t>
            </w:r>
          </w:p>
        </w:tc>
        <w:tc>
          <w:tcPr>
            <w:tcW w:w="896" w:type="dxa"/>
            <w:gridSpan w:val="2"/>
            <w:tcBorders>
              <w:top w:val="dashed" w:sz="4" w:space="0" w:color="auto"/>
              <w:left w:val="nil"/>
              <w:bottom w:val="dashed" w:sz="4" w:space="0" w:color="auto"/>
              <w:right w:val="nil"/>
            </w:tcBorders>
            <w:vAlign w:val="center"/>
          </w:tcPr>
          <w:p w14:paraId="44CE3B6A"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-0.015</w:t>
            </w:r>
          </w:p>
          <w:p w14:paraId="36CA3B28"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(0.020)</w:t>
            </w:r>
          </w:p>
        </w:tc>
        <w:tc>
          <w:tcPr>
            <w:tcW w:w="1045" w:type="dxa"/>
            <w:gridSpan w:val="2"/>
            <w:tcBorders>
              <w:top w:val="dashed" w:sz="4" w:space="0" w:color="auto"/>
              <w:left w:val="nil"/>
              <w:bottom w:val="dashed" w:sz="4" w:space="0" w:color="auto"/>
              <w:right w:val="nil"/>
            </w:tcBorders>
            <w:vAlign w:val="center"/>
          </w:tcPr>
          <w:p w14:paraId="074C4BB8"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-0.024</w:t>
            </w:r>
          </w:p>
          <w:p w14:paraId="150191B0"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(0.020)</w:t>
            </w:r>
          </w:p>
        </w:tc>
      </w:tr>
      <w:tr w:rsidR="002A5DA3" w:rsidRPr="00247B84" w14:paraId="4F03A5BE" w14:textId="77777777" w:rsidTr="00F557CC">
        <w:trPr>
          <w:trHeight w:val="300"/>
        </w:trPr>
        <w:tc>
          <w:tcPr>
            <w:tcW w:w="2592" w:type="dxa"/>
            <w:tcBorders>
              <w:top w:val="dashed" w:sz="4" w:space="0" w:color="auto"/>
              <w:left w:val="nil"/>
              <w:bottom w:val="dashed" w:sz="4" w:space="0" w:color="auto"/>
              <w:right w:val="nil"/>
            </w:tcBorders>
            <w:shd w:val="clear" w:color="auto" w:fill="auto"/>
            <w:noWrap/>
            <w:vAlign w:val="center"/>
            <w:hideMark/>
          </w:tcPr>
          <w:p w14:paraId="19040438" w14:textId="77777777" w:rsidR="002A5DA3" w:rsidRPr="004E1241" w:rsidRDefault="002A5DA3" w:rsidP="00F557CC">
            <w:pPr>
              <w:tabs>
                <w:tab w:val="left" w:pos="9360"/>
              </w:tabs>
              <w:rPr>
                <w:rFonts w:eastAsia="Times New Roman"/>
                <w:color w:val="000000"/>
                <w:sz w:val="20"/>
              </w:rPr>
            </w:pPr>
            <w:r w:rsidRPr="004E1241">
              <w:rPr>
                <w:rFonts w:eastAsia="Times New Roman"/>
                <w:color w:val="000000"/>
                <w:sz w:val="20"/>
              </w:rPr>
              <w:t>Regulatory Pressure</w:t>
            </w:r>
          </w:p>
        </w:tc>
        <w:tc>
          <w:tcPr>
            <w:tcW w:w="994" w:type="dxa"/>
            <w:gridSpan w:val="2"/>
            <w:tcBorders>
              <w:top w:val="dashed" w:sz="4" w:space="0" w:color="auto"/>
              <w:left w:val="nil"/>
              <w:bottom w:val="dashed" w:sz="4" w:space="0" w:color="auto"/>
              <w:right w:val="nil"/>
            </w:tcBorders>
            <w:shd w:val="clear" w:color="auto" w:fill="auto"/>
            <w:noWrap/>
            <w:vAlign w:val="center"/>
            <w:hideMark/>
          </w:tcPr>
          <w:p w14:paraId="4A2297CF" w14:textId="77777777" w:rsidR="002A5DA3" w:rsidRPr="004E1241" w:rsidRDefault="002A5DA3" w:rsidP="00F557CC">
            <w:pPr>
              <w:tabs>
                <w:tab w:val="left" w:pos="9360"/>
              </w:tabs>
              <w:rPr>
                <w:rFonts w:eastAsia="Times New Roman"/>
                <w:color w:val="000000"/>
                <w:sz w:val="18"/>
              </w:rPr>
            </w:pP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2C26B445" w14:textId="77777777" w:rsidR="002A5DA3" w:rsidRPr="004E1241" w:rsidRDefault="002A5DA3" w:rsidP="00F557CC">
            <w:pPr>
              <w:tabs>
                <w:tab w:val="left" w:pos="9360"/>
              </w:tabs>
              <w:rPr>
                <w:rFonts w:eastAsia="Times New Roman"/>
                <w:sz w:val="18"/>
                <w:szCs w:val="20"/>
              </w:rPr>
            </w:pP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63DE8D43"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0.123</w:t>
            </w:r>
          </w:p>
          <w:p w14:paraId="6BDE2724"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(0.069)</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44908E2F" w14:textId="77777777" w:rsidR="002A5DA3" w:rsidRPr="004E1241" w:rsidRDefault="002A5DA3" w:rsidP="00F557CC">
            <w:pPr>
              <w:tabs>
                <w:tab w:val="left" w:pos="9360"/>
              </w:tabs>
              <w:rPr>
                <w:rFonts w:eastAsia="Times New Roman"/>
                <w:sz w:val="18"/>
                <w:szCs w:val="20"/>
              </w:rPr>
            </w:pP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78AB6F85"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0.127</w:t>
            </w:r>
          </w:p>
          <w:p w14:paraId="63E24856"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(0.069)</w:t>
            </w:r>
          </w:p>
        </w:tc>
        <w:tc>
          <w:tcPr>
            <w:tcW w:w="296" w:type="dxa"/>
            <w:tcBorders>
              <w:left w:val="nil"/>
              <w:right w:val="nil"/>
            </w:tcBorders>
          </w:tcPr>
          <w:p w14:paraId="7AFDF15E" w14:textId="77777777" w:rsidR="002A5DA3" w:rsidRPr="004E1241" w:rsidRDefault="002A5DA3" w:rsidP="00F557CC">
            <w:pPr>
              <w:tabs>
                <w:tab w:val="left" w:pos="9360"/>
              </w:tabs>
              <w:rPr>
                <w:rFonts w:eastAsia="Times New Roman"/>
                <w:color w:val="000000"/>
                <w:sz w:val="18"/>
              </w:rPr>
            </w:pPr>
          </w:p>
        </w:tc>
        <w:tc>
          <w:tcPr>
            <w:tcW w:w="1189" w:type="dxa"/>
            <w:gridSpan w:val="3"/>
            <w:tcBorders>
              <w:top w:val="dashed" w:sz="4" w:space="0" w:color="auto"/>
              <w:left w:val="nil"/>
              <w:bottom w:val="dashed" w:sz="4" w:space="0" w:color="auto"/>
              <w:right w:val="nil"/>
            </w:tcBorders>
            <w:vAlign w:val="center"/>
          </w:tcPr>
          <w:p w14:paraId="7B219317" w14:textId="77777777" w:rsidR="002A5DA3" w:rsidRPr="004E1241" w:rsidRDefault="002A5DA3" w:rsidP="00F557CC">
            <w:pPr>
              <w:tabs>
                <w:tab w:val="left" w:pos="9360"/>
              </w:tabs>
              <w:rPr>
                <w:rFonts w:eastAsia="Times New Roman"/>
                <w:color w:val="000000"/>
                <w:sz w:val="18"/>
              </w:rPr>
            </w:pPr>
          </w:p>
        </w:tc>
        <w:tc>
          <w:tcPr>
            <w:tcW w:w="924" w:type="dxa"/>
            <w:gridSpan w:val="2"/>
            <w:tcBorders>
              <w:top w:val="dashed" w:sz="4" w:space="0" w:color="auto"/>
              <w:left w:val="nil"/>
              <w:bottom w:val="dashed" w:sz="4" w:space="0" w:color="auto"/>
              <w:right w:val="nil"/>
            </w:tcBorders>
            <w:vAlign w:val="center"/>
          </w:tcPr>
          <w:p w14:paraId="5214C194" w14:textId="77777777" w:rsidR="002A5DA3" w:rsidRPr="004E1241" w:rsidRDefault="002A5DA3" w:rsidP="00F557CC">
            <w:pPr>
              <w:tabs>
                <w:tab w:val="left" w:pos="9360"/>
              </w:tabs>
              <w:rPr>
                <w:rFonts w:eastAsia="Times New Roman"/>
                <w:color w:val="000000"/>
                <w:sz w:val="18"/>
              </w:rPr>
            </w:pPr>
          </w:p>
        </w:tc>
        <w:tc>
          <w:tcPr>
            <w:tcW w:w="896" w:type="dxa"/>
            <w:gridSpan w:val="2"/>
            <w:tcBorders>
              <w:top w:val="dashed" w:sz="4" w:space="0" w:color="auto"/>
              <w:left w:val="nil"/>
              <w:bottom w:val="dashed" w:sz="4" w:space="0" w:color="auto"/>
              <w:right w:val="nil"/>
            </w:tcBorders>
            <w:vAlign w:val="center"/>
          </w:tcPr>
          <w:p w14:paraId="01533E16" w14:textId="77777777" w:rsidR="002A5DA3" w:rsidRPr="00B14DDE" w:rsidRDefault="002A5DA3" w:rsidP="00F557CC">
            <w:pPr>
              <w:tabs>
                <w:tab w:val="left" w:pos="9360"/>
              </w:tabs>
              <w:rPr>
                <w:rFonts w:eastAsia="Times New Roman"/>
                <w:b/>
                <w:color w:val="000000"/>
                <w:sz w:val="18"/>
                <w:szCs w:val="18"/>
              </w:rPr>
            </w:pPr>
            <w:r w:rsidRPr="00B14DDE">
              <w:rPr>
                <w:rFonts w:eastAsia="Times New Roman"/>
                <w:b/>
                <w:color w:val="000000"/>
                <w:sz w:val="18"/>
                <w:szCs w:val="18"/>
              </w:rPr>
              <w:t>0.133</w:t>
            </w:r>
            <w:r w:rsidRPr="00B14DDE">
              <w:rPr>
                <w:b/>
                <w:color w:val="000000"/>
                <w:sz w:val="18"/>
                <w:szCs w:val="18"/>
                <w:vertAlign w:val="superscript"/>
              </w:rPr>
              <w:t>*</w:t>
            </w:r>
          </w:p>
          <w:p w14:paraId="71817402" w14:textId="77777777" w:rsidR="002A5DA3" w:rsidRPr="004E1241" w:rsidRDefault="002A5DA3" w:rsidP="00F557CC">
            <w:pPr>
              <w:tabs>
                <w:tab w:val="left" w:pos="9360"/>
              </w:tabs>
              <w:rPr>
                <w:rFonts w:eastAsia="Times New Roman"/>
                <w:color w:val="000000"/>
                <w:sz w:val="18"/>
              </w:rPr>
            </w:pPr>
            <w:r w:rsidRPr="00B14DDE">
              <w:rPr>
                <w:rFonts w:eastAsia="Times New Roman"/>
                <w:b/>
                <w:color w:val="000000"/>
                <w:sz w:val="18"/>
                <w:szCs w:val="18"/>
              </w:rPr>
              <w:t>(0.052)</w:t>
            </w:r>
          </w:p>
        </w:tc>
        <w:tc>
          <w:tcPr>
            <w:tcW w:w="896" w:type="dxa"/>
            <w:gridSpan w:val="2"/>
            <w:tcBorders>
              <w:top w:val="dashed" w:sz="4" w:space="0" w:color="auto"/>
              <w:left w:val="nil"/>
              <w:bottom w:val="dashed" w:sz="4" w:space="0" w:color="auto"/>
              <w:right w:val="nil"/>
            </w:tcBorders>
            <w:vAlign w:val="center"/>
          </w:tcPr>
          <w:p w14:paraId="0E4C5C67" w14:textId="77777777" w:rsidR="002A5DA3" w:rsidRPr="004E1241" w:rsidRDefault="002A5DA3" w:rsidP="00F557CC">
            <w:pPr>
              <w:tabs>
                <w:tab w:val="left" w:pos="9360"/>
              </w:tabs>
              <w:rPr>
                <w:rFonts w:eastAsia="Times New Roman"/>
                <w:color w:val="000000"/>
                <w:sz w:val="18"/>
              </w:rPr>
            </w:pPr>
          </w:p>
        </w:tc>
        <w:tc>
          <w:tcPr>
            <w:tcW w:w="1045" w:type="dxa"/>
            <w:gridSpan w:val="2"/>
            <w:tcBorders>
              <w:top w:val="dashed" w:sz="4" w:space="0" w:color="auto"/>
              <w:left w:val="nil"/>
              <w:bottom w:val="dashed" w:sz="4" w:space="0" w:color="auto"/>
              <w:right w:val="nil"/>
            </w:tcBorders>
            <w:vAlign w:val="center"/>
          </w:tcPr>
          <w:p w14:paraId="22819B2F" w14:textId="77777777" w:rsidR="002A5DA3" w:rsidRPr="00B14DDE" w:rsidRDefault="002A5DA3" w:rsidP="00F557CC">
            <w:pPr>
              <w:tabs>
                <w:tab w:val="left" w:pos="9360"/>
              </w:tabs>
              <w:rPr>
                <w:rFonts w:eastAsia="Times New Roman"/>
                <w:b/>
                <w:color w:val="000000"/>
                <w:sz w:val="18"/>
                <w:szCs w:val="18"/>
              </w:rPr>
            </w:pPr>
            <w:r w:rsidRPr="00B14DDE">
              <w:rPr>
                <w:rFonts w:eastAsia="Times New Roman"/>
                <w:b/>
                <w:color w:val="000000"/>
                <w:sz w:val="18"/>
                <w:szCs w:val="18"/>
              </w:rPr>
              <w:t>0.147</w:t>
            </w:r>
            <w:r w:rsidRPr="00B14DDE">
              <w:rPr>
                <w:b/>
                <w:color w:val="000000"/>
                <w:sz w:val="18"/>
                <w:szCs w:val="18"/>
                <w:vertAlign w:val="superscript"/>
              </w:rPr>
              <w:t>**</w:t>
            </w:r>
          </w:p>
          <w:p w14:paraId="612B23A7" w14:textId="77777777" w:rsidR="002A5DA3" w:rsidRPr="004E1241" w:rsidRDefault="002A5DA3" w:rsidP="00F557CC">
            <w:pPr>
              <w:tabs>
                <w:tab w:val="left" w:pos="9360"/>
              </w:tabs>
              <w:rPr>
                <w:rFonts w:eastAsia="Times New Roman"/>
                <w:color w:val="000000"/>
                <w:sz w:val="18"/>
              </w:rPr>
            </w:pPr>
            <w:r w:rsidRPr="00B14DDE">
              <w:rPr>
                <w:rFonts w:eastAsia="Times New Roman"/>
                <w:b/>
                <w:color w:val="000000"/>
                <w:sz w:val="18"/>
                <w:szCs w:val="18"/>
              </w:rPr>
              <w:t>(0.053)</w:t>
            </w:r>
          </w:p>
        </w:tc>
      </w:tr>
      <w:tr w:rsidR="002A5DA3" w:rsidRPr="00247B84" w14:paraId="525BFA98" w14:textId="77777777" w:rsidTr="00F557CC">
        <w:trPr>
          <w:trHeight w:val="300"/>
        </w:trPr>
        <w:tc>
          <w:tcPr>
            <w:tcW w:w="2592" w:type="dxa"/>
            <w:tcBorders>
              <w:top w:val="dashed" w:sz="4" w:space="0" w:color="auto"/>
              <w:left w:val="nil"/>
              <w:bottom w:val="dashed" w:sz="4" w:space="0" w:color="auto"/>
              <w:right w:val="nil"/>
            </w:tcBorders>
            <w:shd w:val="clear" w:color="auto" w:fill="auto"/>
            <w:noWrap/>
            <w:vAlign w:val="center"/>
            <w:hideMark/>
          </w:tcPr>
          <w:p w14:paraId="59FA4F53" w14:textId="77777777" w:rsidR="002A5DA3" w:rsidRPr="004E1241" w:rsidRDefault="002A5DA3" w:rsidP="00F557CC">
            <w:pPr>
              <w:tabs>
                <w:tab w:val="left" w:pos="9360"/>
              </w:tabs>
              <w:rPr>
                <w:rFonts w:eastAsia="Times New Roman"/>
                <w:color w:val="000000"/>
                <w:sz w:val="20"/>
              </w:rPr>
            </w:pPr>
            <w:r w:rsidRPr="004E1241">
              <w:rPr>
                <w:rFonts w:eastAsia="Times New Roman"/>
                <w:color w:val="000000"/>
                <w:sz w:val="20"/>
              </w:rPr>
              <w:t>NM x Reg. Pressure</w:t>
            </w:r>
          </w:p>
        </w:tc>
        <w:tc>
          <w:tcPr>
            <w:tcW w:w="994" w:type="dxa"/>
            <w:gridSpan w:val="2"/>
            <w:tcBorders>
              <w:top w:val="dashed" w:sz="4" w:space="0" w:color="auto"/>
              <w:left w:val="nil"/>
              <w:bottom w:val="dashed" w:sz="4" w:space="0" w:color="auto"/>
              <w:right w:val="nil"/>
            </w:tcBorders>
            <w:shd w:val="clear" w:color="auto" w:fill="auto"/>
            <w:noWrap/>
            <w:vAlign w:val="center"/>
            <w:hideMark/>
          </w:tcPr>
          <w:p w14:paraId="72C2132B" w14:textId="77777777" w:rsidR="002A5DA3" w:rsidRPr="004E1241" w:rsidRDefault="002A5DA3" w:rsidP="00F557CC">
            <w:pPr>
              <w:tabs>
                <w:tab w:val="left" w:pos="9360"/>
              </w:tabs>
              <w:rPr>
                <w:rFonts w:eastAsia="Times New Roman"/>
                <w:color w:val="000000"/>
                <w:sz w:val="18"/>
              </w:rPr>
            </w:pP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1A6647AB" w14:textId="77777777" w:rsidR="002A5DA3" w:rsidRPr="004E1241" w:rsidRDefault="002A5DA3" w:rsidP="00F557CC">
            <w:pPr>
              <w:tabs>
                <w:tab w:val="left" w:pos="9360"/>
              </w:tabs>
              <w:rPr>
                <w:rFonts w:eastAsia="Times New Roman"/>
                <w:sz w:val="18"/>
                <w:szCs w:val="20"/>
              </w:rPr>
            </w:pP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60D82617"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0.129</w:t>
            </w:r>
            <w:r w:rsidRPr="004E1241">
              <w:rPr>
                <w:b/>
                <w:color w:val="000000"/>
                <w:sz w:val="18"/>
                <w:vertAlign w:val="superscript"/>
              </w:rPr>
              <w:t>**</w:t>
            </w:r>
          </w:p>
          <w:p w14:paraId="5F3A1852" w14:textId="77777777" w:rsidR="002A5DA3" w:rsidRPr="004E1241" w:rsidRDefault="002A5DA3" w:rsidP="00F557CC">
            <w:pPr>
              <w:tabs>
                <w:tab w:val="left" w:pos="9360"/>
              </w:tabs>
              <w:rPr>
                <w:rFonts w:eastAsia="Times New Roman"/>
                <w:color w:val="000000"/>
                <w:sz w:val="18"/>
              </w:rPr>
            </w:pPr>
            <w:r w:rsidRPr="004E1241">
              <w:rPr>
                <w:rFonts w:eastAsia="Times New Roman"/>
                <w:b/>
                <w:color w:val="000000"/>
                <w:sz w:val="18"/>
              </w:rPr>
              <w:t>(0.044)</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52C3E511" w14:textId="77777777" w:rsidR="002A5DA3" w:rsidRPr="004E1241" w:rsidRDefault="002A5DA3" w:rsidP="00F557CC">
            <w:pPr>
              <w:tabs>
                <w:tab w:val="left" w:pos="9360"/>
              </w:tabs>
              <w:rPr>
                <w:rFonts w:eastAsia="Times New Roman"/>
                <w:sz w:val="18"/>
                <w:szCs w:val="20"/>
              </w:rPr>
            </w:pP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4037B0DE"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0.102</w:t>
            </w:r>
            <w:r w:rsidRPr="004E1241">
              <w:rPr>
                <w:b/>
                <w:color w:val="000000"/>
                <w:sz w:val="18"/>
                <w:vertAlign w:val="superscript"/>
              </w:rPr>
              <w:t>*</w:t>
            </w:r>
          </w:p>
          <w:p w14:paraId="3388F982" w14:textId="77777777" w:rsidR="002A5DA3" w:rsidRPr="004E1241" w:rsidRDefault="002A5DA3" w:rsidP="00F557CC">
            <w:pPr>
              <w:tabs>
                <w:tab w:val="left" w:pos="9360"/>
              </w:tabs>
              <w:rPr>
                <w:rFonts w:eastAsia="Times New Roman"/>
                <w:color w:val="000000"/>
                <w:sz w:val="18"/>
              </w:rPr>
            </w:pPr>
            <w:r w:rsidRPr="004E1241">
              <w:rPr>
                <w:rFonts w:eastAsia="Times New Roman"/>
                <w:b/>
                <w:color w:val="000000"/>
                <w:sz w:val="18"/>
              </w:rPr>
              <w:t>(0.047)</w:t>
            </w:r>
          </w:p>
        </w:tc>
        <w:tc>
          <w:tcPr>
            <w:tcW w:w="296" w:type="dxa"/>
            <w:tcBorders>
              <w:left w:val="nil"/>
              <w:right w:val="nil"/>
            </w:tcBorders>
          </w:tcPr>
          <w:p w14:paraId="28D8C74C" w14:textId="77777777" w:rsidR="002A5DA3" w:rsidRPr="004E1241" w:rsidRDefault="002A5DA3" w:rsidP="00F557CC">
            <w:pPr>
              <w:tabs>
                <w:tab w:val="left" w:pos="9360"/>
              </w:tabs>
              <w:rPr>
                <w:rFonts w:eastAsia="Times New Roman"/>
                <w:b/>
                <w:color w:val="000000"/>
                <w:sz w:val="18"/>
              </w:rPr>
            </w:pPr>
          </w:p>
        </w:tc>
        <w:tc>
          <w:tcPr>
            <w:tcW w:w="1189" w:type="dxa"/>
            <w:gridSpan w:val="3"/>
            <w:tcBorders>
              <w:top w:val="dashed" w:sz="4" w:space="0" w:color="auto"/>
              <w:left w:val="nil"/>
              <w:bottom w:val="dashed" w:sz="4" w:space="0" w:color="auto"/>
              <w:right w:val="nil"/>
            </w:tcBorders>
            <w:vAlign w:val="center"/>
          </w:tcPr>
          <w:p w14:paraId="1F6264A3" w14:textId="77777777" w:rsidR="002A5DA3" w:rsidRPr="004E1241" w:rsidRDefault="002A5DA3" w:rsidP="00F557CC">
            <w:pPr>
              <w:tabs>
                <w:tab w:val="left" w:pos="9360"/>
              </w:tabs>
              <w:rPr>
                <w:rFonts w:eastAsia="Times New Roman"/>
                <w:b/>
                <w:color w:val="000000"/>
                <w:sz w:val="18"/>
              </w:rPr>
            </w:pPr>
          </w:p>
        </w:tc>
        <w:tc>
          <w:tcPr>
            <w:tcW w:w="924" w:type="dxa"/>
            <w:gridSpan w:val="2"/>
            <w:tcBorders>
              <w:top w:val="dashed" w:sz="4" w:space="0" w:color="auto"/>
              <w:left w:val="nil"/>
              <w:bottom w:val="dashed" w:sz="4" w:space="0" w:color="auto"/>
              <w:right w:val="nil"/>
            </w:tcBorders>
            <w:vAlign w:val="center"/>
          </w:tcPr>
          <w:p w14:paraId="1CBB7345" w14:textId="77777777" w:rsidR="002A5DA3" w:rsidRPr="004E1241" w:rsidRDefault="002A5DA3" w:rsidP="00F557CC">
            <w:pPr>
              <w:tabs>
                <w:tab w:val="left" w:pos="9360"/>
              </w:tabs>
              <w:rPr>
                <w:rFonts w:eastAsia="Times New Roman"/>
                <w:b/>
                <w:color w:val="000000"/>
                <w:sz w:val="18"/>
              </w:rPr>
            </w:pPr>
          </w:p>
        </w:tc>
        <w:tc>
          <w:tcPr>
            <w:tcW w:w="896" w:type="dxa"/>
            <w:gridSpan w:val="2"/>
            <w:tcBorders>
              <w:top w:val="dashed" w:sz="4" w:space="0" w:color="auto"/>
              <w:left w:val="nil"/>
              <w:bottom w:val="dashed" w:sz="4" w:space="0" w:color="auto"/>
              <w:right w:val="nil"/>
            </w:tcBorders>
            <w:vAlign w:val="center"/>
          </w:tcPr>
          <w:p w14:paraId="5E41DE6E"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-0.009</w:t>
            </w:r>
          </w:p>
          <w:p w14:paraId="1FFEFCED" w14:textId="77777777" w:rsidR="002A5DA3" w:rsidRPr="004E1241" w:rsidRDefault="002A5DA3" w:rsidP="00F557CC">
            <w:pPr>
              <w:tabs>
                <w:tab w:val="left" w:pos="9360"/>
              </w:tabs>
              <w:rPr>
                <w:rFonts w:eastAsia="Times New Roman"/>
                <w:b/>
                <w:color w:val="000000"/>
                <w:sz w:val="18"/>
              </w:rPr>
            </w:pPr>
            <w:r w:rsidRPr="00B14DDE">
              <w:rPr>
                <w:rFonts w:eastAsia="Times New Roman"/>
                <w:color w:val="000000"/>
                <w:sz w:val="18"/>
                <w:szCs w:val="18"/>
              </w:rPr>
              <w:t>(0.043)</w:t>
            </w:r>
          </w:p>
        </w:tc>
        <w:tc>
          <w:tcPr>
            <w:tcW w:w="896" w:type="dxa"/>
            <w:gridSpan w:val="2"/>
            <w:tcBorders>
              <w:top w:val="dashed" w:sz="4" w:space="0" w:color="auto"/>
              <w:left w:val="nil"/>
              <w:bottom w:val="dashed" w:sz="4" w:space="0" w:color="auto"/>
              <w:right w:val="nil"/>
            </w:tcBorders>
            <w:vAlign w:val="center"/>
          </w:tcPr>
          <w:p w14:paraId="1439D735" w14:textId="77777777" w:rsidR="002A5DA3" w:rsidRPr="004E1241" w:rsidRDefault="002A5DA3" w:rsidP="00F557CC">
            <w:pPr>
              <w:tabs>
                <w:tab w:val="left" w:pos="9360"/>
              </w:tabs>
              <w:rPr>
                <w:rFonts w:eastAsia="Times New Roman"/>
                <w:b/>
                <w:color w:val="000000"/>
                <w:sz w:val="18"/>
              </w:rPr>
            </w:pPr>
          </w:p>
        </w:tc>
        <w:tc>
          <w:tcPr>
            <w:tcW w:w="1045" w:type="dxa"/>
            <w:gridSpan w:val="2"/>
            <w:tcBorders>
              <w:top w:val="dashed" w:sz="4" w:space="0" w:color="auto"/>
              <w:left w:val="nil"/>
              <w:bottom w:val="dashed" w:sz="4" w:space="0" w:color="auto"/>
              <w:right w:val="nil"/>
            </w:tcBorders>
            <w:vAlign w:val="center"/>
          </w:tcPr>
          <w:p w14:paraId="0A01CE32"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-0.049</w:t>
            </w:r>
          </w:p>
          <w:p w14:paraId="025001A6" w14:textId="77777777" w:rsidR="002A5DA3" w:rsidRPr="004E1241" w:rsidRDefault="002A5DA3" w:rsidP="00F557CC">
            <w:pPr>
              <w:tabs>
                <w:tab w:val="left" w:pos="9360"/>
              </w:tabs>
              <w:rPr>
                <w:rFonts w:eastAsia="Times New Roman"/>
                <w:b/>
                <w:color w:val="000000"/>
                <w:sz w:val="18"/>
              </w:rPr>
            </w:pPr>
            <w:r w:rsidRPr="00B14DDE">
              <w:rPr>
                <w:rFonts w:eastAsia="Times New Roman"/>
                <w:color w:val="000000"/>
                <w:sz w:val="18"/>
                <w:szCs w:val="18"/>
              </w:rPr>
              <w:t>(0.042)</w:t>
            </w:r>
          </w:p>
        </w:tc>
      </w:tr>
      <w:tr w:rsidR="002A5DA3" w:rsidRPr="00247B84" w14:paraId="72C7E340" w14:textId="77777777" w:rsidTr="00F557CC">
        <w:trPr>
          <w:trHeight w:val="300"/>
        </w:trPr>
        <w:tc>
          <w:tcPr>
            <w:tcW w:w="2592" w:type="dxa"/>
            <w:tcBorders>
              <w:top w:val="dashed" w:sz="4" w:space="0" w:color="auto"/>
              <w:left w:val="nil"/>
              <w:bottom w:val="dashed" w:sz="4" w:space="0" w:color="auto"/>
              <w:right w:val="nil"/>
            </w:tcBorders>
            <w:shd w:val="clear" w:color="auto" w:fill="auto"/>
            <w:noWrap/>
            <w:vAlign w:val="center"/>
            <w:hideMark/>
          </w:tcPr>
          <w:p w14:paraId="2DA98964" w14:textId="77777777" w:rsidR="002A5DA3" w:rsidRPr="004E1241" w:rsidRDefault="002A5DA3" w:rsidP="00F557CC">
            <w:pPr>
              <w:tabs>
                <w:tab w:val="left" w:pos="9360"/>
              </w:tabs>
              <w:rPr>
                <w:rFonts w:eastAsia="Times New Roman"/>
                <w:color w:val="000000"/>
                <w:sz w:val="20"/>
              </w:rPr>
            </w:pPr>
            <w:r w:rsidRPr="004E1241">
              <w:rPr>
                <w:rFonts w:eastAsia="Times New Roman"/>
                <w:color w:val="000000"/>
                <w:sz w:val="20"/>
              </w:rPr>
              <w:t>Industry Pressure</w:t>
            </w:r>
          </w:p>
        </w:tc>
        <w:tc>
          <w:tcPr>
            <w:tcW w:w="994" w:type="dxa"/>
            <w:gridSpan w:val="2"/>
            <w:tcBorders>
              <w:top w:val="dashed" w:sz="4" w:space="0" w:color="auto"/>
              <w:left w:val="nil"/>
              <w:bottom w:val="dashed" w:sz="4" w:space="0" w:color="auto"/>
              <w:right w:val="nil"/>
            </w:tcBorders>
            <w:shd w:val="clear" w:color="auto" w:fill="auto"/>
            <w:noWrap/>
            <w:vAlign w:val="center"/>
            <w:hideMark/>
          </w:tcPr>
          <w:p w14:paraId="5C088895" w14:textId="77777777" w:rsidR="002A5DA3" w:rsidRPr="004E1241" w:rsidRDefault="002A5DA3" w:rsidP="00F557CC">
            <w:pPr>
              <w:tabs>
                <w:tab w:val="left" w:pos="9360"/>
              </w:tabs>
              <w:rPr>
                <w:rFonts w:eastAsia="Times New Roman"/>
                <w:color w:val="000000"/>
                <w:sz w:val="18"/>
              </w:rPr>
            </w:pP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4E6CB25D" w14:textId="77777777" w:rsidR="002A5DA3" w:rsidRPr="004E1241" w:rsidRDefault="002A5DA3" w:rsidP="00F557CC">
            <w:pPr>
              <w:tabs>
                <w:tab w:val="left" w:pos="9360"/>
              </w:tabs>
              <w:rPr>
                <w:rFonts w:eastAsia="Times New Roman"/>
                <w:sz w:val="18"/>
                <w:szCs w:val="20"/>
              </w:rPr>
            </w:pP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3B038BC0" w14:textId="77777777" w:rsidR="002A5DA3" w:rsidRPr="004E1241" w:rsidRDefault="002A5DA3" w:rsidP="00F557CC">
            <w:pPr>
              <w:tabs>
                <w:tab w:val="left" w:pos="9360"/>
              </w:tabs>
              <w:rPr>
                <w:rFonts w:eastAsia="Times New Roman"/>
                <w:sz w:val="18"/>
                <w:szCs w:val="20"/>
              </w:rPr>
            </w:pP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12152928"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0.125</w:t>
            </w:r>
          </w:p>
          <w:p w14:paraId="50D8A64B"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(0.069)</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22705F05"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0.126</w:t>
            </w:r>
          </w:p>
          <w:p w14:paraId="4BF9F924"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(0.067)</w:t>
            </w:r>
          </w:p>
        </w:tc>
        <w:tc>
          <w:tcPr>
            <w:tcW w:w="296" w:type="dxa"/>
            <w:tcBorders>
              <w:left w:val="nil"/>
              <w:right w:val="nil"/>
            </w:tcBorders>
          </w:tcPr>
          <w:p w14:paraId="4FD7A801" w14:textId="77777777" w:rsidR="002A5DA3" w:rsidRPr="004E1241" w:rsidRDefault="002A5DA3" w:rsidP="00F557CC">
            <w:pPr>
              <w:tabs>
                <w:tab w:val="left" w:pos="9360"/>
              </w:tabs>
              <w:rPr>
                <w:rFonts w:eastAsia="Times New Roman"/>
                <w:color w:val="000000"/>
                <w:sz w:val="18"/>
              </w:rPr>
            </w:pPr>
          </w:p>
        </w:tc>
        <w:tc>
          <w:tcPr>
            <w:tcW w:w="1189" w:type="dxa"/>
            <w:gridSpan w:val="3"/>
            <w:tcBorders>
              <w:top w:val="dashed" w:sz="4" w:space="0" w:color="auto"/>
              <w:left w:val="nil"/>
              <w:bottom w:val="dashed" w:sz="4" w:space="0" w:color="auto"/>
              <w:right w:val="nil"/>
            </w:tcBorders>
            <w:vAlign w:val="center"/>
          </w:tcPr>
          <w:p w14:paraId="1F55049C" w14:textId="77777777" w:rsidR="002A5DA3" w:rsidRPr="004E1241" w:rsidRDefault="002A5DA3" w:rsidP="00F557CC">
            <w:pPr>
              <w:tabs>
                <w:tab w:val="left" w:pos="9360"/>
              </w:tabs>
              <w:rPr>
                <w:rFonts w:eastAsia="Times New Roman"/>
                <w:color w:val="000000"/>
                <w:sz w:val="18"/>
              </w:rPr>
            </w:pPr>
          </w:p>
        </w:tc>
        <w:tc>
          <w:tcPr>
            <w:tcW w:w="924" w:type="dxa"/>
            <w:gridSpan w:val="2"/>
            <w:tcBorders>
              <w:top w:val="dashed" w:sz="4" w:space="0" w:color="auto"/>
              <w:left w:val="nil"/>
              <w:bottom w:val="dashed" w:sz="4" w:space="0" w:color="auto"/>
              <w:right w:val="nil"/>
            </w:tcBorders>
            <w:vAlign w:val="center"/>
          </w:tcPr>
          <w:p w14:paraId="1B9E8AC6" w14:textId="77777777" w:rsidR="002A5DA3" w:rsidRPr="004E1241" w:rsidRDefault="002A5DA3" w:rsidP="00F557CC">
            <w:pPr>
              <w:tabs>
                <w:tab w:val="left" w:pos="9360"/>
              </w:tabs>
              <w:rPr>
                <w:rFonts w:eastAsia="Times New Roman"/>
                <w:color w:val="000000"/>
                <w:sz w:val="18"/>
              </w:rPr>
            </w:pPr>
          </w:p>
        </w:tc>
        <w:tc>
          <w:tcPr>
            <w:tcW w:w="896" w:type="dxa"/>
            <w:gridSpan w:val="2"/>
            <w:tcBorders>
              <w:top w:val="dashed" w:sz="4" w:space="0" w:color="auto"/>
              <w:left w:val="nil"/>
              <w:bottom w:val="dashed" w:sz="4" w:space="0" w:color="auto"/>
              <w:right w:val="nil"/>
            </w:tcBorders>
            <w:vAlign w:val="center"/>
          </w:tcPr>
          <w:p w14:paraId="2C3E86F4" w14:textId="77777777" w:rsidR="002A5DA3" w:rsidRPr="004E1241" w:rsidRDefault="002A5DA3" w:rsidP="00F557CC">
            <w:pPr>
              <w:tabs>
                <w:tab w:val="left" w:pos="9360"/>
              </w:tabs>
              <w:rPr>
                <w:rFonts w:eastAsia="Times New Roman"/>
                <w:color w:val="000000"/>
                <w:sz w:val="18"/>
              </w:rPr>
            </w:pPr>
          </w:p>
        </w:tc>
        <w:tc>
          <w:tcPr>
            <w:tcW w:w="896" w:type="dxa"/>
            <w:gridSpan w:val="2"/>
            <w:tcBorders>
              <w:top w:val="dashed" w:sz="4" w:space="0" w:color="auto"/>
              <w:left w:val="nil"/>
              <w:bottom w:val="dashed" w:sz="4" w:space="0" w:color="auto"/>
              <w:right w:val="nil"/>
            </w:tcBorders>
            <w:vAlign w:val="center"/>
          </w:tcPr>
          <w:p w14:paraId="75CBFAE1"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0.032</w:t>
            </w:r>
          </w:p>
          <w:p w14:paraId="2D648B71"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(0.051)</w:t>
            </w:r>
          </w:p>
        </w:tc>
        <w:tc>
          <w:tcPr>
            <w:tcW w:w="1045" w:type="dxa"/>
            <w:gridSpan w:val="2"/>
            <w:tcBorders>
              <w:top w:val="dashed" w:sz="4" w:space="0" w:color="auto"/>
              <w:left w:val="nil"/>
              <w:bottom w:val="dashed" w:sz="4" w:space="0" w:color="auto"/>
              <w:right w:val="nil"/>
            </w:tcBorders>
            <w:vAlign w:val="center"/>
          </w:tcPr>
          <w:p w14:paraId="054631B7"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0.019</w:t>
            </w:r>
          </w:p>
          <w:p w14:paraId="70EDEDC7"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(0.049)</w:t>
            </w:r>
          </w:p>
        </w:tc>
      </w:tr>
      <w:tr w:rsidR="002A5DA3" w:rsidRPr="00247B84" w14:paraId="330EF537" w14:textId="77777777" w:rsidTr="00F557CC">
        <w:trPr>
          <w:trHeight w:val="300"/>
        </w:trPr>
        <w:tc>
          <w:tcPr>
            <w:tcW w:w="2592" w:type="dxa"/>
            <w:tcBorders>
              <w:top w:val="dashed" w:sz="4" w:space="0" w:color="auto"/>
              <w:left w:val="nil"/>
              <w:bottom w:val="dashed" w:sz="4" w:space="0" w:color="auto"/>
              <w:right w:val="nil"/>
            </w:tcBorders>
            <w:shd w:val="clear" w:color="auto" w:fill="auto"/>
            <w:noWrap/>
            <w:vAlign w:val="center"/>
            <w:hideMark/>
          </w:tcPr>
          <w:p w14:paraId="7966071B" w14:textId="77777777" w:rsidR="002A5DA3" w:rsidRPr="004E1241" w:rsidRDefault="002A5DA3" w:rsidP="00F557CC">
            <w:pPr>
              <w:tabs>
                <w:tab w:val="left" w:pos="9360"/>
              </w:tabs>
              <w:rPr>
                <w:rFonts w:eastAsia="Times New Roman"/>
                <w:color w:val="000000"/>
                <w:sz w:val="20"/>
              </w:rPr>
            </w:pPr>
            <w:r w:rsidRPr="004E1241">
              <w:rPr>
                <w:rFonts w:eastAsia="Times New Roman"/>
                <w:color w:val="000000"/>
                <w:sz w:val="20"/>
              </w:rPr>
              <w:t>NM x Ind. Pressure</w:t>
            </w:r>
          </w:p>
        </w:tc>
        <w:tc>
          <w:tcPr>
            <w:tcW w:w="994" w:type="dxa"/>
            <w:gridSpan w:val="2"/>
            <w:tcBorders>
              <w:top w:val="dashed" w:sz="4" w:space="0" w:color="auto"/>
              <w:left w:val="nil"/>
              <w:bottom w:val="dashed" w:sz="4" w:space="0" w:color="auto"/>
              <w:right w:val="nil"/>
            </w:tcBorders>
            <w:shd w:val="clear" w:color="auto" w:fill="auto"/>
            <w:noWrap/>
            <w:vAlign w:val="center"/>
            <w:hideMark/>
          </w:tcPr>
          <w:p w14:paraId="5A2B968F" w14:textId="77777777" w:rsidR="002A5DA3" w:rsidRPr="004E1241" w:rsidRDefault="002A5DA3" w:rsidP="00F557CC">
            <w:pPr>
              <w:tabs>
                <w:tab w:val="left" w:pos="9360"/>
              </w:tabs>
              <w:rPr>
                <w:rFonts w:eastAsia="Times New Roman"/>
                <w:color w:val="000000"/>
                <w:sz w:val="18"/>
              </w:rPr>
            </w:pP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553BE09D" w14:textId="77777777" w:rsidR="002A5DA3" w:rsidRPr="004E1241" w:rsidRDefault="002A5DA3" w:rsidP="00F557CC">
            <w:pPr>
              <w:tabs>
                <w:tab w:val="left" w:pos="9360"/>
              </w:tabs>
              <w:rPr>
                <w:rFonts w:eastAsia="Times New Roman"/>
                <w:sz w:val="18"/>
                <w:szCs w:val="20"/>
              </w:rPr>
            </w:pP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7524B9C1" w14:textId="77777777" w:rsidR="002A5DA3" w:rsidRPr="004E1241" w:rsidRDefault="002A5DA3" w:rsidP="00F557CC">
            <w:pPr>
              <w:tabs>
                <w:tab w:val="left" w:pos="9360"/>
              </w:tabs>
              <w:rPr>
                <w:rFonts w:eastAsia="Times New Roman"/>
                <w:sz w:val="18"/>
                <w:szCs w:val="20"/>
              </w:rPr>
            </w:pP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1CF70F56"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0.133</w:t>
            </w:r>
            <w:r w:rsidRPr="004E1241">
              <w:rPr>
                <w:b/>
                <w:color w:val="000000"/>
                <w:sz w:val="18"/>
                <w:vertAlign w:val="superscript"/>
              </w:rPr>
              <w:t>**</w:t>
            </w:r>
          </w:p>
          <w:p w14:paraId="4D141136" w14:textId="77777777" w:rsidR="002A5DA3" w:rsidRPr="004E1241" w:rsidRDefault="002A5DA3" w:rsidP="00F557CC">
            <w:pPr>
              <w:tabs>
                <w:tab w:val="left" w:pos="9360"/>
              </w:tabs>
              <w:rPr>
                <w:rFonts w:eastAsia="Times New Roman"/>
                <w:b/>
                <w:color w:val="000000"/>
                <w:sz w:val="18"/>
              </w:rPr>
            </w:pPr>
            <w:r w:rsidRPr="004E1241">
              <w:rPr>
                <w:rFonts w:eastAsia="Times New Roman"/>
                <w:b/>
                <w:color w:val="000000"/>
                <w:sz w:val="18"/>
              </w:rPr>
              <w:t>(0.044)</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15E51C96" w14:textId="77777777" w:rsidR="002A5DA3" w:rsidRPr="004E1241" w:rsidRDefault="002A5DA3" w:rsidP="00F557CC">
            <w:pPr>
              <w:tabs>
                <w:tab w:val="left" w:pos="9360"/>
              </w:tabs>
              <w:rPr>
                <w:rFonts w:eastAsia="Times New Roman"/>
                <w:color w:val="000000"/>
                <w:sz w:val="18"/>
              </w:rPr>
            </w:pPr>
            <w:r w:rsidRPr="004E1241">
              <w:rPr>
                <w:rFonts w:eastAsia="Times New Roman"/>
                <w:b/>
                <w:color w:val="000000"/>
                <w:sz w:val="18"/>
              </w:rPr>
              <w:t>0.100</w:t>
            </w:r>
            <w:r w:rsidRPr="004E1241">
              <w:rPr>
                <w:b/>
                <w:color w:val="000000"/>
                <w:sz w:val="18"/>
                <w:vertAlign w:val="superscript"/>
              </w:rPr>
              <w:t>*</w:t>
            </w:r>
          </w:p>
          <w:p w14:paraId="11866369" w14:textId="77777777" w:rsidR="002A5DA3" w:rsidRPr="004E1241" w:rsidRDefault="002A5DA3" w:rsidP="00F557CC">
            <w:pPr>
              <w:tabs>
                <w:tab w:val="left" w:pos="9360"/>
              </w:tabs>
              <w:rPr>
                <w:rFonts w:eastAsia="Times New Roman"/>
                <w:color w:val="000000"/>
                <w:sz w:val="18"/>
              </w:rPr>
            </w:pPr>
            <w:r w:rsidRPr="004E1241">
              <w:rPr>
                <w:rFonts w:eastAsia="Times New Roman"/>
                <w:b/>
                <w:color w:val="000000"/>
                <w:sz w:val="18"/>
              </w:rPr>
              <w:t>(0.048)</w:t>
            </w:r>
          </w:p>
        </w:tc>
        <w:tc>
          <w:tcPr>
            <w:tcW w:w="296" w:type="dxa"/>
            <w:tcBorders>
              <w:left w:val="nil"/>
              <w:right w:val="nil"/>
            </w:tcBorders>
          </w:tcPr>
          <w:p w14:paraId="6BA08078" w14:textId="77777777" w:rsidR="002A5DA3" w:rsidRPr="004E1241" w:rsidRDefault="002A5DA3" w:rsidP="00F557CC">
            <w:pPr>
              <w:tabs>
                <w:tab w:val="left" w:pos="9360"/>
              </w:tabs>
              <w:rPr>
                <w:rFonts w:eastAsia="Times New Roman"/>
                <w:b/>
                <w:color w:val="000000"/>
                <w:sz w:val="18"/>
              </w:rPr>
            </w:pPr>
          </w:p>
        </w:tc>
        <w:tc>
          <w:tcPr>
            <w:tcW w:w="1189" w:type="dxa"/>
            <w:gridSpan w:val="3"/>
            <w:tcBorders>
              <w:top w:val="dashed" w:sz="4" w:space="0" w:color="auto"/>
              <w:left w:val="nil"/>
              <w:bottom w:val="dashed" w:sz="4" w:space="0" w:color="auto"/>
              <w:right w:val="nil"/>
            </w:tcBorders>
            <w:vAlign w:val="center"/>
          </w:tcPr>
          <w:p w14:paraId="076D66D2" w14:textId="77777777" w:rsidR="002A5DA3" w:rsidRPr="004E1241" w:rsidRDefault="002A5DA3" w:rsidP="00F557CC">
            <w:pPr>
              <w:tabs>
                <w:tab w:val="left" w:pos="9360"/>
              </w:tabs>
              <w:rPr>
                <w:rFonts w:eastAsia="Times New Roman"/>
                <w:b/>
                <w:color w:val="000000"/>
                <w:sz w:val="18"/>
              </w:rPr>
            </w:pPr>
          </w:p>
        </w:tc>
        <w:tc>
          <w:tcPr>
            <w:tcW w:w="924" w:type="dxa"/>
            <w:gridSpan w:val="2"/>
            <w:tcBorders>
              <w:top w:val="dashed" w:sz="4" w:space="0" w:color="auto"/>
              <w:left w:val="nil"/>
              <w:bottom w:val="dashed" w:sz="4" w:space="0" w:color="auto"/>
              <w:right w:val="nil"/>
            </w:tcBorders>
            <w:vAlign w:val="center"/>
          </w:tcPr>
          <w:p w14:paraId="0B0E3712" w14:textId="77777777" w:rsidR="002A5DA3" w:rsidRPr="004E1241" w:rsidRDefault="002A5DA3" w:rsidP="00F557CC">
            <w:pPr>
              <w:tabs>
                <w:tab w:val="left" w:pos="9360"/>
              </w:tabs>
              <w:rPr>
                <w:rFonts w:eastAsia="Times New Roman"/>
                <w:b/>
                <w:color w:val="000000"/>
                <w:sz w:val="18"/>
              </w:rPr>
            </w:pPr>
          </w:p>
        </w:tc>
        <w:tc>
          <w:tcPr>
            <w:tcW w:w="896" w:type="dxa"/>
            <w:gridSpan w:val="2"/>
            <w:tcBorders>
              <w:top w:val="dashed" w:sz="4" w:space="0" w:color="auto"/>
              <w:left w:val="nil"/>
              <w:bottom w:val="dashed" w:sz="4" w:space="0" w:color="auto"/>
              <w:right w:val="nil"/>
            </w:tcBorders>
            <w:vAlign w:val="center"/>
          </w:tcPr>
          <w:p w14:paraId="3B636A88" w14:textId="77777777" w:rsidR="002A5DA3" w:rsidRPr="004E1241" w:rsidRDefault="002A5DA3" w:rsidP="00F557CC">
            <w:pPr>
              <w:tabs>
                <w:tab w:val="left" w:pos="9360"/>
              </w:tabs>
              <w:rPr>
                <w:rFonts w:eastAsia="Times New Roman"/>
                <w:b/>
                <w:color w:val="000000"/>
                <w:sz w:val="18"/>
              </w:rPr>
            </w:pPr>
          </w:p>
        </w:tc>
        <w:tc>
          <w:tcPr>
            <w:tcW w:w="896" w:type="dxa"/>
            <w:gridSpan w:val="2"/>
            <w:tcBorders>
              <w:top w:val="dashed" w:sz="4" w:space="0" w:color="auto"/>
              <w:left w:val="nil"/>
              <w:bottom w:val="dashed" w:sz="4" w:space="0" w:color="auto"/>
              <w:right w:val="nil"/>
            </w:tcBorders>
            <w:vAlign w:val="center"/>
          </w:tcPr>
          <w:p w14:paraId="6FFAB7B3" w14:textId="77777777" w:rsidR="002A5DA3" w:rsidRPr="00B14DDE" w:rsidRDefault="002A5DA3" w:rsidP="00F557CC">
            <w:pPr>
              <w:tabs>
                <w:tab w:val="left" w:pos="9360"/>
              </w:tabs>
              <w:rPr>
                <w:rFonts w:eastAsia="Times New Roman"/>
                <w:b/>
                <w:color w:val="000000"/>
                <w:sz w:val="18"/>
                <w:szCs w:val="18"/>
              </w:rPr>
            </w:pPr>
            <w:r w:rsidRPr="00B14DDE">
              <w:rPr>
                <w:rFonts w:eastAsia="Times New Roman"/>
                <w:b/>
                <w:color w:val="000000"/>
                <w:sz w:val="18"/>
                <w:szCs w:val="18"/>
              </w:rPr>
              <w:t>0.099</w:t>
            </w:r>
            <w:r w:rsidRPr="00B14DDE">
              <w:rPr>
                <w:b/>
                <w:color w:val="000000"/>
                <w:sz w:val="18"/>
                <w:szCs w:val="18"/>
                <w:vertAlign w:val="superscript"/>
              </w:rPr>
              <w:t>*</w:t>
            </w:r>
          </w:p>
          <w:p w14:paraId="00663522" w14:textId="77777777" w:rsidR="002A5DA3" w:rsidRPr="004E1241" w:rsidRDefault="002A5DA3" w:rsidP="00F557CC">
            <w:pPr>
              <w:tabs>
                <w:tab w:val="left" w:pos="9360"/>
              </w:tabs>
              <w:rPr>
                <w:rFonts w:eastAsia="Times New Roman"/>
                <w:b/>
                <w:color w:val="000000"/>
                <w:sz w:val="18"/>
              </w:rPr>
            </w:pPr>
            <w:r w:rsidRPr="00B14DDE">
              <w:rPr>
                <w:rFonts w:eastAsia="Times New Roman"/>
                <w:b/>
                <w:color w:val="000000"/>
                <w:sz w:val="18"/>
                <w:szCs w:val="18"/>
              </w:rPr>
              <w:t>(0.048)</w:t>
            </w:r>
          </w:p>
        </w:tc>
        <w:tc>
          <w:tcPr>
            <w:tcW w:w="1045" w:type="dxa"/>
            <w:gridSpan w:val="2"/>
            <w:tcBorders>
              <w:top w:val="dashed" w:sz="4" w:space="0" w:color="auto"/>
              <w:left w:val="nil"/>
              <w:bottom w:val="dashed" w:sz="4" w:space="0" w:color="auto"/>
              <w:right w:val="nil"/>
            </w:tcBorders>
            <w:vAlign w:val="center"/>
          </w:tcPr>
          <w:p w14:paraId="6C110A6D" w14:textId="77777777" w:rsidR="002A5DA3" w:rsidRPr="00B14DDE" w:rsidRDefault="002A5DA3" w:rsidP="00F557CC">
            <w:pPr>
              <w:tabs>
                <w:tab w:val="left" w:pos="9360"/>
              </w:tabs>
              <w:rPr>
                <w:rFonts w:eastAsia="Times New Roman"/>
                <w:b/>
                <w:color w:val="000000"/>
                <w:sz w:val="18"/>
                <w:szCs w:val="18"/>
              </w:rPr>
            </w:pPr>
            <w:r w:rsidRPr="00B14DDE">
              <w:rPr>
                <w:rFonts w:eastAsia="Times New Roman"/>
                <w:b/>
                <w:color w:val="000000"/>
                <w:sz w:val="18"/>
                <w:szCs w:val="18"/>
              </w:rPr>
              <w:t>0.127</w:t>
            </w:r>
            <w:r w:rsidRPr="00B14DDE">
              <w:rPr>
                <w:b/>
                <w:color w:val="000000"/>
                <w:sz w:val="18"/>
                <w:szCs w:val="18"/>
                <w:vertAlign w:val="superscript"/>
              </w:rPr>
              <w:t>**</w:t>
            </w:r>
          </w:p>
          <w:p w14:paraId="64C9F6D3" w14:textId="77777777" w:rsidR="002A5DA3" w:rsidRPr="004E1241" w:rsidRDefault="002A5DA3" w:rsidP="00F557CC">
            <w:pPr>
              <w:tabs>
                <w:tab w:val="left" w:pos="9360"/>
              </w:tabs>
              <w:rPr>
                <w:rFonts w:eastAsia="Times New Roman"/>
                <w:b/>
                <w:color w:val="000000"/>
                <w:sz w:val="18"/>
              </w:rPr>
            </w:pPr>
            <w:r w:rsidRPr="00B14DDE">
              <w:rPr>
                <w:rFonts w:eastAsia="Times New Roman"/>
                <w:b/>
                <w:color w:val="000000"/>
                <w:sz w:val="18"/>
                <w:szCs w:val="18"/>
              </w:rPr>
              <w:t>(0.044)</w:t>
            </w:r>
          </w:p>
        </w:tc>
      </w:tr>
      <w:tr w:rsidR="002A5DA3" w:rsidRPr="00247B84" w14:paraId="6E711D3A" w14:textId="77777777" w:rsidTr="00F557CC">
        <w:trPr>
          <w:trHeight w:val="300"/>
        </w:trPr>
        <w:tc>
          <w:tcPr>
            <w:tcW w:w="2592" w:type="dxa"/>
            <w:tcBorders>
              <w:top w:val="dashed" w:sz="4" w:space="0" w:color="auto"/>
              <w:left w:val="nil"/>
              <w:bottom w:val="single" w:sz="4" w:space="0" w:color="auto"/>
              <w:right w:val="nil"/>
            </w:tcBorders>
            <w:shd w:val="clear" w:color="auto" w:fill="auto"/>
            <w:noWrap/>
            <w:vAlign w:val="center"/>
            <w:hideMark/>
          </w:tcPr>
          <w:p w14:paraId="5FE1FC6C" w14:textId="77777777" w:rsidR="002A5DA3" w:rsidRPr="004E1241" w:rsidRDefault="002A5DA3" w:rsidP="00F557CC">
            <w:pPr>
              <w:tabs>
                <w:tab w:val="left" w:pos="9360"/>
              </w:tabs>
              <w:rPr>
                <w:rFonts w:eastAsia="Times New Roman"/>
                <w:color w:val="000000"/>
                <w:sz w:val="20"/>
              </w:rPr>
            </w:pPr>
            <w:r w:rsidRPr="004E1241">
              <w:rPr>
                <w:rFonts w:eastAsia="Times New Roman"/>
                <w:color w:val="000000"/>
                <w:sz w:val="20"/>
              </w:rPr>
              <w:t>Constant</w:t>
            </w:r>
          </w:p>
        </w:tc>
        <w:tc>
          <w:tcPr>
            <w:tcW w:w="994" w:type="dxa"/>
            <w:gridSpan w:val="2"/>
            <w:tcBorders>
              <w:top w:val="dashed" w:sz="4" w:space="0" w:color="auto"/>
              <w:left w:val="nil"/>
              <w:bottom w:val="single" w:sz="4" w:space="0" w:color="auto"/>
              <w:right w:val="nil"/>
            </w:tcBorders>
            <w:shd w:val="clear" w:color="auto" w:fill="auto"/>
            <w:noWrap/>
            <w:vAlign w:val="center"/>
            <w:hideMark/>
          </w:tcPr>
          <w:p w14:paraId="7B9D92F9"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3.660</w:t>
            </w:r>
            <w:r w:rsidRPr="004E1241">
              <w:rPr>
                <w:b/>
                <w:color w:val="000000"/>
                <w:sz w:val="18"/>
                <w:vertAlign w:val="superscript"/>
              </w:rPr>
              <w:t>***</w:t>
            </w:r>
          </w:p>
          <w:p w14:paraId="671C4F31"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(0.692)</w:t>
            </w:r>
          </w:p>
        </w:tc>
        <w:tc>
          <w:tcPr>
            <w:tcW w:w="960" w:type="dxa"/>
            <w:gridSpan w:val="2"/>
            <w:tcBorders>
              <w:top w:val="dashed" w:sz="4" w:space="0" w:color="auto"/>
              <w:left w:val="nil"/>
              <w:bottom w:val="single" w:sz="4" w:space="0" w:color="auto"/>
              <w:right w:val="nil"/>
            </w:tcBorders>
            <w:shd w:val="clear" w:color="auto" w:fill="auto"/>
            <w:noWrap/>
            <w:vAlign w:val="center"/>
            <w:hideMark/>
          </w:tcPr>
          <w:p w14:paraId="44170B01"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4.170</w:t>
            </w:r>
            <w:r w:rsidRPr="004E1241">
              <w:rPr>
                <w:b/>
                <w:color w:val="000000"/>
                <w:sz w:val="18"/>
                <w:vertAlign w:val="superscript"/>
              </w:rPr>
              <w:t>***</w:t>
            </w:r>
          </w:p>
          <w:p w14:paraId="430DF709"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(0.729)</w:t>
            </w:r>
          </w:p>
        </w:tc>
        <w:tc>
          <w:tcPr>
            <w:tcW w:w="960" w:type="dxa"/>
            <w:gridSpan w:val="2"/>
            <w:tcBorders>
              <w:top w:val="dashed" w:sz="4" w:space="0" w:color="auto"/>
              <w:left w:val="nil"/>
              <w:bottom w:val="single" w:sz="4" w:space="0" w:color="auto"/>
              <w:right w:val="nil"/>
            </w:tcBorders>
            <w:shd w:val="clear" w:color="auto" w:fill="auto"/>
            <w:noWrap/>
            <w:vAlign w:val="center"/>
            <w:hideMark/>
          </w:tcPr>
          <w:p w14:paraId="09CAEDAA"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4.480</w:t>
            </w:r>
            <w:r w:rsidRPr="004E1241">
              <w:rPr>
                <w:b/>
                <w:color w:val="000000"/>
                <w:sz w:val="18"/>
                <w:vertAlign w:val="superscript"/>
              </w:rPr>
              <w:t>***</w:t>
            </w:r>
          </w:p>
          <w:p w14:paraId="490C3A9F"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(0.768)</w:t>
            </w:r>
          </w:p>
        </w:tc>
        <w:tc>
          <w:tcPr>
            <w:tcW w:w="960" w:type="dxa"/>
            <w:gridSpan w:val="2"/>
            <w:tcBorders>
              <w:top w:val="dashed" w:sz="4" w:space="0" w:color="auto"/>
              <w:left w:val="nil"/>
              <w:bottom w:val="single" w:sz="4" w:space="0" w:color="auto"/>
              <w:right w:val="nil"/>
            </w:tcBorders>
            <w:shd w:val="clear" w:color="auto" w:fill="auto"/>
            <w:noWrap/>
            <w:vAlign w:val="center"/>
            <w:hideMark/>
          </w:tcPr>
          <w:p w14:paraId="7531B183"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3.320</w:t>
            </w:r>
            <w:r w:rsidRPr="004E1241">
              <w:rPr>
                <w:b/>
                <w:color w:val="000000"/>
                <w:sz w:val="18"/>
                <w:vertAlign w:val="superscript"/>
              </w:rPr>
              <w:t>***</w:t>
            </w:r>
          </w:p>
          <w:p w14:paraId="0E73E0EF"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(0.797)</w:t>
            </w:r>
          </w:p>
        </w:tc>
        <w:tc>
          <w:tcPr>
            <w:tcW w:w="960" w:type="dxa"/>
            <w:gridSpan w:val="2"/>
            <w:tcBorders>
              <w:top w:val="dashed" w:sz="4" w:space="0" w:color="auto"/>
              <w:left w:val="nil"/>
              <w:bottom w:val="single" w:sz="4" w:space="0" w:color="auto"/>
              <w:right w:val="nil"/>
            </w:tcBorders>
            <w:shd w:val="clear" w:color="auto" w:fill="auto"/>
            <w:noWrap/>
            <w:vAlign w:val="center"/>
            <w:hideMark/>
          </w:tcPr>
          <w:p w14:paraId="0E88EB7F"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3.620</w:t>
            </w:r>
            <w:r w:rsidRPr="004E1241">
              <w:rPr>
                <w:b/>
                <w:color w:val="000000"/>
                <w:sz w:val="18"/>
                <w:vertAlign w:val="superscript"/>
              </w:rPr>
              <w:t>***</w:t>
            </w:r>
          </w:p>
          <w:p w14:paraId="35BF233B" w14:textId="77777777" w:rsidR="002A5DA3" w:rsidRPr="004E1241" w:rsidRDefault="002A5DA3" w:rsidP="00F557CC">
            <w:pPr>
              <w:tabs>
                <w:tab w:val="left" w:pos="9360"/>
              </w:tabs>
              <w:rPr>
                <w:rFonts w:eastAsia="Times New Roman"/>
                <w:color w:val="000000"/>
                <w:sz w:val="18"/>
              </w:rPr>
            </w:pPr>
            <w:r w:rsidRPr="004E1241">
              <w:rPr>
                <w:rFonts w:eastAsia="Times New Roman"/>
                <w:color w:val="000000"/>
                <w:sz w:val="18"/>
              </w:rPr>
              <w:t>(0.826)</w:t>
            </w:r>
          </w:p>
        </w:tc>
        <w:tc>
          <w:tcPr>
            <w:tcW w:w="296" w:type="dxa"/>
            <w:tcBorders>
              <w:left w:val="nil"/>
              <w:right w:val="nil"/>
            </w:tcBorders>
          </w:tcPr>
          <w:p w14:paraId="00B75BD7" w14:textId="77777777" w:rsidR="002A5DA3" w:rsidRPr="00B14DDE" w:rsidRDefault="002A5DA3" w:rsidP="00F557CC">
            <w:pPr>
              <w:tabs>
                <w:tab w:val="left" w:pos="9360"/>
              </w:tabs>
              <w:rPr>
                <w:rFonts w:eastAsia="Times New Roman"/>
                <w:color w:val="000000"/>
                <w:sz w:val="18"/>
                <w:szCs w:val="18"/>
              </w:rPr>
            </w:pPr>
          </w:p>
        </w:tc>
        <w:tc>
          <w:tcPr>
            <w:tcW w:w="1189" w:type="dxa"/>
            <w:gridSpan w:val="3"/>
            <w:tcBorders>
              <w:top w:val="dashed" w:sz="4" w:space="0" w:color="auto"/>
              <w:left w:val="nil"/>
              <w:bottom w:val="single" w:sz="4" w:space="0" w:color="auto"/>
              <w:right w:val="nil"/>
            </w:tcBorders>
            <w:vAlign w:val="center"/>
          </w:tcPr>
          <w:p w14:paraId="154AEC93"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4.430</w:t>
            </w:r>
            <w:r w:rsidRPr="00B14DDE">
              <w:rPr>
                <w:b/>
                <w:color w:val="000000"/>
                <w:sz w:val="18"/>
                <w:szCs w:val="18"/>
                <w:vertAlign w:val="superscript"/>
              </w:rPr>
              <w:t>***</w:t>
            </w:r>
          </w:p>
          <w:p w14:paraId="76626FFC"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(0.658)</w:t>
            </w:r>
          </w:p>
        </w:tc>
        <w:tc>
          <w:tcPr>
            <w:tcW w:w="924" w:type="dxa"/>
            <w:gridSpan w:val="2"/>
            <w:tcBorders>
              <w:top w:val="dashed" w:sz="4" w:space="0" w:color="auto"/>
              <w:left w:val="nil"/>
              <w:bottom w:val="single" w:sz="4" w:space="0" w:color="auto"/>
              <w:right w:val="nil"/>
            </w:tcBorders>
            <w:vAlign w:val="center"/>
          </w:tcPr>
          <w:p w14:paraId="396EFECF"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2.190</w:t>
            </w:r>
            <w:r w:rsidRPr="00B14DDE">
              <w:rPr>
                <w:b/>
                <w:color w:val="000000"/>
                <w:sz w:val="18"/>
                <w:szCs w:val="18"/>
                <w:vertAlign w:val="superscript"/>
              </w:rPr>
              <w:t>***</w:t>
            </w:r>
          </w:p>
          <w:p w14:paraId="72322EC7"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(0.552)</w:t>
            </w:r>
          </w:p>
        </w:tc>
        <w:tc>
          <w:tcPr>
            <w:tcW w:w="896" w:type="dxa"/>
            <w:gridSpan w:val="2"/>
            <w:tcBorders>
              <w:top w:val="dashed" w:sz="4" w:space="0" w:color="auto"/>
              <w:left w:val="nil"/>
              <w:bottom w:val="single" w:sz="4" w:space="0" w:color="auto"/>
              <w:right w:val="nil"/>
            </w:tcBorders>
            <w:vAlign w:val="center"/>
          </w:tcPr>
          <w:p w14:paraId="0A39717F"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2.100</w:t>
            </w:r>
            <w:r w:rsidRPr="00B14DDE">
              <w:rPr>
                <w:b/>
                <w:color w:val="000000"/>
                <w:sz w:val="18"/>
                <w:szCs w:val="18"/>
                <w:vertAlign w:val="superscript"/>
              </w:rPr>
              <w:t>***</w:t>
            </w:r>
          </w:p>
          <w:p w14:paraId="58C3C983"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(0.564)</w:t>
            </w:r>
          </w:p>
        </w:tc>
        <w:tc>
          <w:tcPr>
            <w:tcW w:w="896" w:type="dxa"/>
            <w:gridSpan w:val="2"/>
            <w:tcBorders>
              <w:top w:val="dashed" w:sz="4" w:space="0" w:color="auto"/>
              <w:left w:val="nil"/>
              <w:bottom w:val="single" w:sz="4" w:space="0" w:color="auto"/>
              <w:right w:val="nil"/>
            </w:tcBorders>
            <w:vAlign w:val="center"/>
          </w:tcPr>
          <w:p w14:paraId="6A167F27"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1.840</w:t>
            </w:r>
            <w:r w:rsidRPr="00B14DDE">
              <w:rPr>
                <w:b/>
                <w:color w:val="000000"/>
                <w:sz w:val="18"/>
                <w:szCs w:val="18"/>
                <w:vertAlign w:val="superscript"/>
              </w:rPr>
              <w:t>**</w:t>
            </w:r>
          </w:p>
          <w:p w14:paraId="7C18EFD4"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(0.572)</w:t>
            </w:r>
          </w:p>
        </w:tc>
        <w:tc>
          <w:tcPr>
            <w:tcW w:w="1045" w:type="dxa"/>
            <w:gridSpan w:val="2"/>
            <w:tcBorders>
              <w:top w:val="dashed" w:sz="4" w:space="0" w:color="auto"/>
              <w:left w:val="nil"/>
              <w:bottom w:val="single" w:sz="4" w:space="0" w:color="auto"/>
              <w:right w:val="nil"/>
            </w:tcBorders>
            <w:vAlign w:val="center"/>
          </w:tcPr>
          <w:p w14:paraId="63B59119" w14:textId="77777777" w:rsidR="002A5DA3" w:rsidRPr="00B14DDE" w:rsidRDefault="002A5DA3" w:rsidP="00F557CC">
            <w:pPr>
              <w:tabs>
                <w:tab w:val="left" w:pos="9360"/>
              </w:tabs>
              <w:rPr>
                <w:rFonts w:eastAsia="Times New Roman"/>
                <w:color w:val="000000"/>
                <w:sz w:val="18"/>
                <w:szCs w:val="18"/>
              </w:rPr>
            </w:pPr>
            <w:r w:rsidRPr="00B14DDE">
              <w:rPr>
                <w:rFonts w:eastAsia="Times New Roman"/>
                <w:color w:val="000000"/>
                <w:sz w:val="18"/>
                <w:szCs w:val="18"/>
              </w:rPr>
              <w:t>1.650</w:t>
            </w:r>
            <w:r w:rsidRPr="00B14DDE">
              <w:rPr>
                <w:b/>
                <w:color w:val="000000"/>
                <w:sz w:val="18"/>
                <w:szCs w:val="18"/>
                <w:vertAlign w:val="superscript"/>
              </w:rPr>
              <w:t>**</w:t>
            </w:r>
          </w:p>
          <w:p w14:paraId="478C5A4D" w14:textId="77777777" w:rsidR="002A5DA3" w:rsidRPr="004E1241" w:rsidRDefault="002A5DA3" w:rsidP="00F557CC">
            <w:pPr>
              <w:tabs>
                <w:tab w:val="left" w:pos="9360"/>
              </w:tabs>
              <w:rPr>
                <w:rFonts w:eastAsia="Times New Roman"/>
                <w:color w:val="000000"/>
                <w:sz w:val="18"/>
              </w:rPr>
            </w:pPr>
            <w:r w:rsidRPr="00B14DDE">
              <w:rPr>
                <w:rFonts w:eastAsia="Times New Roman"/>
                <w:color w:val="000000"/>
                <w:sz w:val="18"/>
                <w:szCs w:val="18"/>
              </w:rPr>
              <w:t>(0.579)</w:t>
            </w:r>
          </w:p>
        </w:tc>
      </w:tr>
      <w:tr w:rsidR="002A5DA3" w:rsidRPr="00247B84" w14:paraId="2650AB63" w14:textId="77777777" w:rsidTr="00F557CC">
        <w:trPr>
          <w:trHeight w:val="390"/>
        </w:trPr>
        <w:tc>
          <w:tcPr>
            <w:tcW w:w="2592" w:type="dxa"/>
            <w:tcBorders>
              <w:top w:val="single" w:sz="4" w:space="0" w:color="auto"/>
              <w:left w:val="nil"/>
              <w:bottom w:val="dashed" w:sz="4" w:space="0" w:color="auto"/>
              <w:right w:val="nil"/>
            </w:tcBorders>
            <w:shd w:val="clear" w:color="auto" w:fill="auto"/>
            <w:noWrap/>
            <w:vAlign w:val="center"/>
            <w:hideMark/>
          </w:tcPr>
          <w:p w14:paraId="047B316F" w14:textId="77777777" w:rsidR="002A5DA3" w:rsidRPr="004E1241" w:rsidRDefault="002A5DA3" w:rsidP="00F557CC">
            <w:pPr>
              <w:tabs>
                <w:tab w:val="left" w:pos="9360"/>
              </w:tabs>
              <w:rPr>
                <w:rFonts w:eastAsia="Times New Roman"/>
                <w:color w:val="000000"/>
                <w:sz w:val="20"/>
                <w:szCs w:val="20"/>
              </w:rPr>
            </w:pPr>
            <w:r w:rsidRPr="004E1241">
              <w:rPr>
                <w:rFonts w:eastAsia="Times New Roman"/>
                <w:color w:val="000000"/>
                <w:sz w:val="20"/>
                <w:szCs w:val="20"/>
              </w:rPr>
              <w:t>R</w:t>
            </w:r>
            <w:r w:rsidRPr="004E1241">
              <w:rPr>
                <w:rFonts w:eastAsia="Times New Roman"/>
                <w:color w:val="000000"/>
                <w:sz w:val="20"/>
                <w:szCs w:val="20"/>
                <w:vertAlign w:val="superscript"/>
              </w:rPr>
              <w:t>2</w:t>
            </w:r>
          </w:p>
        </w:tc>
        <w:tc>
          <w:tcPr>
            <w:tcW w:w="994" w:type="dxa"/>
            <w:gridSpan w:val="2"/>
            <w:tcBorders>
              <w:top w:val="single" w:sz="4" w:space="0" w:color="auto"/>
              <w:left w:val="nil"/>
              <w:bottom w:val="dashed" w:sz="4" w:space="0" w:color="auto"/>
              <w:right w:val="nil"/>
            </w:tcBorders>
            <w:shd w:val="clear" w:color="auto" w:fill="auto"/>
            <w:noWrap/>
            <w:vAlign w:val="center"/>
            <w:hideMark/>
          </w:tcPr>
          <w:p w14:paraId="05243071" w14:textId="77777777" w:rsidR="002A5DA3" w:rsidRPr="004E1241" w:rsidRDefault="002A5DA3" w:rsidP="00F557CC">
            <w:pPr>
              <w:tabs>
                <w:tab w:val="left" w:pos="9360"/>
              </w:tabs>
              <w:rPr>
                <w:rFonts w:eastAsia="Times New Roman"/>
                <w:color w:val="000000"/>
                <w:sz w:val="18"/>
                <w:szCs w:val="18"/>
              </w:rPr>
            </w:pPr>
            <w:r w:rsidRPr="004E1241">
              <w:rPr>
                <w:rFonts w:eastAsia="Times New Roman"/>
                <w:color w:val="000000"/>
                <w:sz w:val="18"/>
                <w:szCs w:val="18"/>
              </w:rPr>
              <w:t>0.122</w:t>
            </w:r>
          </w:p>
        </w:tc>
        <w:tc>
          <w:tcPr>
            <w:tcW w:w="960" w:type="dxa"/>
            <w:gridSpan w:val="2"/>
            <w:tcBorders>
              <w:top w:val="single" w:sz="4" w:space="0" w:color="auto"/>
              <w:left w:val="nil"/>
              <w:bottom w:val="dashed" w:sz="4" w:space="0" w:color="auto"/>
              <w:right w:val="nil"/>
            </w:tcBorders>
            <w:shd w:val="clear" w:color="auto" w:fill="auto"/>
            <w:noWrap/>
            <w:vAlign w:val="center"/>
            <w:hideMark/>
          </w:tcPr>
          <w:p w14:paraId="58630C9B" w14:textId="77777777" w:rsidR="002A5DA3" w:rsidRPr="004E1241" w:rsidRDefault="002A5DA3" w:rsidP="00F557CC">
            <w:pPr>
              <w:tabs>
                <w:tab w:val="left" w:pos="9360"/>
              </w:tabs>
              <w:rPr>
                <w:rFonts w:eastAsia="Times New Roman"/>
                <w:color w:val="000000"/>
                <w:sz w:val="18"/>
                <w:szCs w:val="18"/>
              </w:rPr>
            </w:pPr>
            <w:r w:rsidRPr="004E1241">
              <w:rPr>
                <w:rFonts w:eastAsia="Times New Roman"/>
                <w:color w:val="000000"/>
                <w:sz w:val="18"/>
                <w:szCs w:val="18"/>
              </w:rPr>
              <w:t>0.137</w:t>
            </w:r>
          </w:p>
        </w:tc>
        <w:tc>
          <w:tcPr>
            <w:tcW w:w="960" w:type="dxa"/>
            <w:gridSpan w:val="2"/>
            <w:tcBorders>
              <w:top w:val="single" w:sz="4" w:space="0" w:color="auto"/>
              <w:left w:val="nil"/>
              <w:bottom w:val="dashed" w:sz="4" w:space="0" w:color="auto"/>
              <w:right w:val="nil"/>
            </w:tcBorders>
            <w:shd w:val="clear" w:color="auto" w:fill="auto"/>
            <w:noWrap/>
            <w:vAlign w:val="center"/>
            <w:hideMark/>
          </w:tcPr>
          <w:p w14:paraId="6AE780EE" w14:textId="77777777" w:rsidR="002A5DA3" w:rsidRPr="004E1241" w:rsidRDefault="002A5DA3" w:rsidP="00F557CC">
            <w:pPr>
              <w:tabs>
                <w:tab w:val="left" w:pos="9360"/>
              </w:tabs>
              <w:rPr>
                <w:rFonts w:eastAsia="Times New Roman"/>
                <w:color w:val="000000"/>
                <w:sz w:val="18"/>
                <w:szCs w:val="18"/>
              </w:rPr>
            </w:pPr>
            <w:r w:rsidRPr="004E1241">
              <w:rPr>
                <w:rFonts w:eastAsia="Times New Roman"/>
                <w:color w:val="000000"/>
                <w:sz w:val="18"/>
                <w:szCs w:val="18"/>
              </w:rPr>
              <w:t>0.164</w:t>
            </w:r>
          </w:p>
        </w:tc>
        <w:tc>
          <w:tcPr>
            <w:tcW w:w="960" w:type="dxa"/>
            <w:gridSpan w:val="2"/>
            <w:tcBorders>
              <w:top w:val="single" w:sz="4" w:space="0" w:color="auto"/>
              <w:left w:val="nil"/>
              <w:bottom w:val="dashed" w:sz="4" w:space="0" w:color="auto"/>
              <w:right w:val="nil"/>
            </w:tcBorders>
            <w:shd w:val="clear" w:color="auto" w:fill="auto"/>
            <w:noWrap/>
            <w:vAlign w:val="center"/>
            <w:hideMark/>
          </w:tcPr>
          <w:p w14:paraId="4E4A1682" w14:textId="77777777" w:rsidR="002A5DA3" w:rsidRPr="004E1241" w:rsidRDefault="002A5DA3" w:rsidP="00F557CC">
            <w:pPr>
              <w:tabs>
                <w:tab w:val="left" w:pos="9360"/>
              </w:tabs>
              <w:rPr>
                <w:rFonts w:eastAsia="Times New Roman"/>
                <w:color w:val="000000"/>
                <w:sz w:val="18"/>
                <w:szCs w:val="18"/>
              </w:rPr>
            </w:pPr>
            <w:r w:rsidRPr="004E1241">
              <w:rPr>
                <w:rFonts w:eastAsia="Times New Roman"/>
                <w:color w:val="000000"/>
                <w:sz w:val="18"/>
                <w:szCs w:val="18"/>
              </w:rPr>
              <w:t>0.16</w:t>
            </w:r>
          </w:p>
        </w:tc>
        <w:tc>
          <w:tcPr>
            <w:tcW w:w="960" w:type="dxa"/>
            <w:gridSpan w:val="2"/>
            <w:tcBorders>
              <w:top w:val="single" w:sz="4" w:space="0" w:color="auto"/>
              <w:left w:val="nil"/>
              <w:bottom w:val="dashed" w:sz="4" w:space="0" w:color="auto"/>
              <w:right w:val="nil"/>
            </w:tcBorders>
            <w:shd w:val="clear" w:color="auto" w:fill="auto"/>
            <w:noWrap/>
            <w:vAlign w:val="center"/>
            <w:hideMark/>
          </w:tcPr>
          <w:p w14:paraId="0B4E505F" w14:textId="77777777" w:rsidR="002A5DA3" w:rsidRPr="004E1241" w:rsidRDefault="002A5DA3" w:rsidP="00F557CC">
            <w:pPr>
              <w:tabs>
                <w:tab w:val="left" w:pos="9360"/>
              </w:tabs>
              <w:rPr>
                <w:rFonts w:eastAsia="Times New Roman"/>
                <w:color w:val="000000"/>
                <w:sz w:val="18"/>
                <w:szCs w:val="18"/>
              </w:rPr>
            </w:pPr>
            <w:r w:rsidRPr="004E1241">
              <w:rPr>
                <w:rFonts w:eastAsia="Times New Roman"/>
                <w:color w:val="000000"/>
                <w:sz w:val="18"/>
                <w:szCs w:val="18"/>
              </w:rPr>
              <w:t>0.179</w:t>
            </w:r>
          </w:p>
        </w:tc>
        <w:tc>
          <w:tcPr>
            <w:tcW w:w="296" w:type="dxa"/>
            <w:tcBorders>
              <w:left w:val="nil"/>
              <w:right w:val="nil"/>
            </w:tcBorders>
          </w:tcPr>
          <w:p w14:paraId="566E0981" w14:textId="77777777" w:rsidR="002A5DA3" w:rsidRPr="00B14DDE" w:rsidRDefault="002A5DA3" w:rsidP="00F557CC">
            <w:pPr>
              <w:tabs>
                <w:tab w:val="left" w:pos="9360"/>
              </w:tabs>
              <w:rPr>
                <w:rFonts w:eastAsia="Times New Roman"/>
                <w:color w:val="000000"/>
                <w:sz w:val="18"/>
                <w:szCs w:val="18"/>
              </w:rPr>
            </w:pPr>
          </w:p>
        </w:tc>
        <w:tc>
          <w:tcPr>
            <w:tcW w:w="1189" w:type="dxa"/>
            <w:gridSpan w:val="3"/>
            <w:tcBorders>
              <w:top w:val="single" w:sz="4" w:space="0" w:color="auto"/>
              <w:left w:val="nil"/>
              <w:bottom w:val="dashed" w:sz="4" w:space="0" w:color="auto"/>
              <w:right w:val="nil"/>
            </w:tcBorders>
            <w:vAlign w:val="center"/>
          </w:tcPr>
          <w:p w14:paraId="566F6E28" w14:textId="77777777" w:rsidR="002A5DA3" w:rsidRPr="004E1241" w:rsidRDefault="002A5DA3" w:rsidP="00F557CC">
            <w:pPr>
              <w:tabs>
                <w:tab w:val="left" w:pos="9360"/>
              </w:tabs>
              <w:rPr>
                <w:rFonts w:eastAsia="Times New Roman"/>
                <w:color w:val="000000"/>
                <w:sz w:val="18"/>
                <w:szCs w:val="18"/>
              </w:rPr>
            </w:pPr>
            <w:r w:rsidRPr="00B14DDE">
              <w:rPr>
                <w:rFonts w:eastAsia="Times New Roman"/>
                <w:color w:val="000000"/>
                <w:sz w:val="18"/>
                <w:szCs w:val="18"/>
              </w:rPr>
              <w:t>0.177</w:t>
            </w:r>
          </w:p>
        </w:tc>
        <w:tc>
          <w:tcPr>
            <w:tcW w:w="924" w:type="dxa"/>
            <w:gridSpan w:val="2"/>
            <w:tcBorders>
              <w:top w:val="single" w:sz="4" w:space="0" w:color="auto"/>
              <w:left w:val="nil"/>
              <w:bottom w:val="dashed" w:sz="4" w:space="0" w:color="auto"/>
              <w:right w:val="nil"/>
            </w:tcBorders>
            <w:vAlign w:val="center"/>
          </w:tcPr>
          <w:p w14:paraId="0BE1DBA3" w14:textId="77777777" w:rsidR="002A5DA3" w:rsidRPr="004E1241" w:rsidRDefault="002A5DA3" w:rsidP="00F557CC">
            <w:pPr>
              <w:tabs>
                <w:tab w:val="left" w:pos="9360"/>
              </w:tabs>
              <w:rPr>
                <w:rFonts w:eastAsia="Times New Roman"/>
                <w:color w:val="000000"/>
                <w:sz w:val="18"/>
                <w:szCs w:val="18"/>
              </w:rPr>
            </w:pPr>
            <w:r w:rsidRPr="00B14DDE">
              <w:rPr>
                <w:rFonts w:eastAsia="Times New Roman"/>
                <w:color w:val="000000"/>
                <w:sz w:val="18"/>
                <w:szCs w:val="18"/>
              </w:rPr>
              <w:t>0.411</w:t>
            </w:r>
          </w:p>
        </w:tc>
        <w:tc>
          <w:tcPr>
            <w:tcW w:w="896" w:type="dxa"/>
            <w:gridSpan w:val="2"/>
            <w:tcBorders>
              <w:top w:val="single" w:sz="4" w:space="0" w:color="auto"/>
              <w:left w:val="nil"/>
              <w:bottom w:val="dashed" w:sz="4" w:space="0" w:color="auto"/>
              <w:right w:val="nil"/>
            </w:tcBorders>
            <w:vAlign w:val="center"/>
          </w:tcPr>
          <w:p w14:paraId="72B3AD4A" w14:textId="77777777" w:rsidR="002A5DA3" w:rsidRPr="004E1241" w:rsidRDefault="002A5DA3" w:rsidP="00F557CC">
            <w:pPr>
              <w:tabs>
                <w:tab w:val="left" w:pos="9360"/>
              </w:tabs>
              <w:rPr>
                <w:rFonts w:eastAsia="Times New Roman"/>
                <w:color w:val="000000"/>
                <w:sz w:val="18"/>
                <w:szCs w:val="18"/>
              </w:rPr>
            </w:pPr>
            <w:r w:rsidRPr="00B14DDE">
              <w:rPr>
                <w:rFonts w:eastAsia="Times New Roman"/>
                <w:color w:val="000000"/>
                <w:sz w:val="18"/>
                <w:szCs w:val="18"/>
              </w:rPr>
              <w:t>0.42</w:t>
            </w:r>
          </w:p>
        </w:tc>
        <w:tc>
          <w:tcPr>
            <w:tcW w:w="896" w:type="dxa"/>
            <w:gridSpan w:val="2"/>
            <w:tcBorders>
              <w:top w:val="single" w:sz="4" w:space="0" w:color="auto"/>
              <w:left w:val="nil"/>
              <w:bottom w:val="dashed" w:sz="4" w:space="0" w:color="auto"/>
              <w:right w:val="nil"/>
            </w:tcBorders>
            <w:vAlign w:val="center"/>
          </w:tcPr>
          <w:p w14:paraId="720BEF1C" w14:textId="77777777" w:rsidR="002A5DA3" w:rsidRPr="004E1241" w:rsidRDefault="002A5DA3" w:rsidP="00F557CC">
            <w:pPr>
              <w:tabs>
                <w:tab w:val="left" w:pos="9360"/>
              </w:tabs>
              <w:rPr>
                <w:rFonts w:eastAsia="Times New Roman"/>
                <w:color w:val="000000"/>
                <w:sz w:val="18"/>
                <w:szCs w:val="18"/>
              </w:rPr>
            </w:pPr>
            <w:r w:rsidRPr="00B14DDE">
              <w:rPr>
                <w:rFonts w:eastAsia="Times New Roman"/>
                <w:color w:val="000000"/>
                <w:sz w:val="18"/>
                <w:szCs w:val="18"/>
              </w:rPr>
              <w:t>0.422</w:t>
            </w:r>
          </w:p>
        </w:tc>
        <w:tc>
          <w:tcPr>
            <w:tcW w:w="1045" w:type="dxa"/>
            <w:gridSpan w:val="2"/>
            <w:tcBorders>
              <w:top w:val="single" w:sz="4" w:space="0" w:color="auto"/>
              <w:left w:val="nil"/>
              <w:bottom w:val="dashed" w:sz="4" w:space="0" w:color="auto"/>
              <w:right w:val="nil"/>
            </w:tcBorders>
            <w:vAlign w:val="center"/>
          </w:tcPr>
          <w:p w14:paraId="4EE0EF7F" w14:textId="77777777" w:rsidR="002A5DA3" w:rsidRPr="004E1241" w:rsidRDefault="002A5DA3" w:rsidP="00F557CC">
            <w:pPr>
              <w:tabs>
                <w:tab w:val="left" w:pos="9360"/>
              </w:tabs>
              <w:rPr>
                <w:rFonts w:eastAsia="Times New Roman"/>
                <w:color w:val="000000"/>
                <w:sz w:val="18"/>
                <w:szCs w:val="18"/>
              </w:rPr>
            </w:pPr>
            <w:r w:rsidRPr="00B14DDE">
              <w:rPr>
                <w:rFonts w:eastAsia="Times New Roman"/>
                <w:color w:val="000000"/>
                <w:sz w:val="18"/>
                <w:szCs w:val="18"/>
              </w:rPr>
              <w:t>0.437</w:t>
            </w:r>
          </w:p>
        </w:tc>
      </w:tr>
      <w:tr w:rsidR="002A5DA3" w:rsidRPr="00247B84" w14:paraId="71C32736" w14:textId="77777777" w:rsidTr="00F557CC">
        <w:trPr>
          <w:trHeight w:val="315"/>
        </w:trPr>
        <w:tc>
          <w:tcPr>
            <w:tcW w:w="2592" w:type="dxa"/>
            <w:tcBorders>
              <w:top w:val="dashed" w:sz="4" w:space="0" w:color="auto"/>
              <w:left w:val="nil"/>
              <w:bottom w:val="dashed" w:sz="4" w:space="0" w:color="auto"/>
              <w:right w:val="nil"/>
            </w:tcBorders>
            <w:shd w:val="clear" w:color="auto" w:fill="auto"/>
            <w:noWrap/>
            <w:vAlign w:val="center"/>
            <w:hideMark/>
          </w:tcPr>
          <w:p w14:paraId="7FCBBD0B" w14:textId="77777777" w:rsidR="002A5DA3" w:rsidRPr="004E1241" w:rsidRDefault="002A5DA3" w:rsidP="00F557CC">
            <w:pPr>
              <w:tabs>
                <w:tab w:val="left" w:pos="9360"/>
              </w:tabs>
              <w:rPr>
                <w:rFonts w:eastAsia="Times New Roman"/>
                <w:color w:val="000000"/>
                <w:sz w:val="20"/>
                <w:szCs w:val="20"/>
              </w:rPr>
            </w:pPr>
            <w:r w:rsidRPr="004E1241">
              <w:rPr>
                <w:rFonts w:eastAsia="Times New Roman"/>
                <w:color w:val="000000"/>
                <w:sz w:val="20"/>
                <w:szCs w:val="20"/>
              </w:rPr>
              <w:t>F</w:t>
            </w:r>
          </w:p>
        </w:tc>
        <w:tc>
          <w:tcPr>
            <w:tcW w:w="994" w:type="dxa"/>
            <w:gridSpan w:val="2"/>
            <w:tcBorders>
              <w:top w:val="dashed" w:sz="4" w:space="0" w:color="auto"/>
              <w:left w:val="nil"/>
              <w:bottom w:val="dashed" w:sz="4" w:space="0" w:color="auto"/>
              <w:right w:val="nil"/>
            </w:tcBorders>
            <w:shd w:val="clear" w:color="auto" w:fill="auto"/>
            <w:noWrap/>
            <w:vAlign w:val="center"/>
            <w:hideMark/>
          </w:tcPr>
          <w:p w14:paraId="46204528" w14:textId="77777777" w:rsidR="002A5DA3" w:rsidRPr="004E1241" w:rsidRDefault="002A5DA3" w:rsidP="00F557CC">
            <w:pPr>
              <w:tabs>
                <w:tab w:val="left" w:pos="9360"/>
              </w:tabs>
              <w:rPr>
                <w:rFonts w:eastAsia="Times New Roman"/>
                <w:color w:val="000000"/>
                <w:sz w:val="18"/>
                <w:szCs w:val="18"/>
              </w:rPr>
            </w:pPr>
            <w:r w:rsidRPr="004E1241">
              <w:rPr>
                <w:rFonts w:eastAsia="Times New Roman"/>
                <w:color w:val="000000"/>
                <w:sz w:val="18"/>
                <w:szCs w:val="18"/>
              </w:rPr>
              <w:t>5.19</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5F09FA9A" w14:textId="77777777" w:rsidR="002A5DA3" w:rsidRPr="004E1241" w:rsidRDefault="002A5DA3" w:rsidP="00F557CC">
            <w:pPr>
              <w:tabs>
                <w:tab w:val="left" w:pos="9360"/>
              </w:tabs>
              <w:rPr>
                <w:rFonts w:eastAsia="Times New Roman"/>
                <w:color w:val="000000"/>
                <w:sz w:val="18"/>
                <w:szCs w:val="18"/>
              </w:rPr>
            </w:pPr>
            <w:r w:rsidRPr="004E1241">
              <w:rPr>
                <w:rFonts w:eastAsia="Times New Roman"/>
                <w:color w:val="000000"/>
                <w:sz w:val="18"/>
                <w:szCs w:val="18"/>
              </w:rPr>
              <w:t>5.07</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1CDFD571" w14:textId="77777777" w:rsidR="002A5DA3" w:rsidRPr="004E1241" w:rsidRDefault="002A5DA3" w:rsidP="00F557CC">
            <w:pPr>
              <w:tabs>
                <w:tab w:val="left" w:pos="9360"/>
              </w:tabs>
              <w:rPr>
                <w:rFonts w:eastAsia="Times New Roman"/>
                <w:color w:val="000000"/>
                <w:sz w:val="18"/>
                <w:szCs w:val="18"/>
              </w:rPr>
            </w:pPr>
            <w:r w:rsidRPr="004E1241">
              <w:rPr>
                <w:rFonts w:eastAsia="Times New Roman"/>
                <w:color w:val="000000"/>
                <w:sz w:val="18"/>
                <w:szCs w:val="18"/>
              </w:rPr>
              <w:t>5.69</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520C0E51" w14:textId="77777777" w:rsidR="002A5DA3" w:rsidRPr="004E1241" w:rsidRDefault="002A5DA3" w:rsidP="00F557CC">
            <w:pPr>
              <w:tabs>
                <w:tab w:val="left" w:pos="9360"/>
              </w:tabs>
              <w:rPr>
                <w:rFonts w:eastAsia="Times New Roman"/>
                <w:color w:val="000000"/>
                <w:sz w:val="18"/>
                <w:szCs w:val="18"/>
              </w:rPr>
            </w:pPr>
            <w:r w:rsidRPr="004E1241">
              <w:rPr>
                <w:rFonts w:eastAsia="Times New Roman"/>
                <w:color w:val="000000"/>
                <w:sz w:val="18"/>
                <w:szCs w:val="18"/>
              </w:rPr>
              <w:t>5.82</w:t>
            </w:r>
          </w:p>
        </w:tc>
        <w:tc>
          <w:tcPr>
            <w:tcW w:w="960" w:type="dxa"/>
            <w:gridSpan w:val="2"/>
            <w:tcBorders>
              <w:top w:val="dashed" w:sz="4" w:space="0" w:color="auto"/>
              <w:left w:val="nil"/>
              <w:bottom w:val="dashed" w:sz="4" w:space="0" w:color="auto"/>
              <w:right w:val="nil"/>
            </w:tcBorders>
            <w:shd w:val="clear" w:color="auto" w:fill="auto"/>
            <w:noWrap/>
            <w:vAlign w:val="center"/>
            <w:hideMark/>
          </w:tcPr>
          <w:p w14:paraId="338E1118" w14:textId="77777777" w:rsidR="002A5DA3" w:rsidRPr="004E1241" w:rsidRDefault="002A5DA3" w:rsidP="00F557CC">
            <w:pPr>
              <w:tabs>
                <w:tab w:val="left" w:pos="9360"/>
              </w:tabs>
              <w:rPr>
                <w:rFonts w:eastAsia="Times New Roman"/>
                <w:color w:val="000000"/>
                <w:sz w:val="18"/>
                <w:szCs w:val="18"/>
              </w:rPr>
            </w:pPr>
            <w:r w:rsidRPr="004E1241">
              <w:rPr>
                <w:rFonts w:eastAsia="Times New Roman"/>
                <w:color w:val="000000"/>
                <w:sz w:val="18"/>
                <w:szCs w:val="18"/>
              </w:rPr>
              <w:t>6.14</w:t>
            </w:r>
          </w:p>
        </w:tc>
        <w:tc>
          <w:tcPr>
            <w:tcW w:w="296" w:type="dxa"/>
            <w:tcBorders>
              <w:left w:val="nil"/>
              <w:right w:val="nil"/>
            </w:tcBorders>
          </w:tcPr>
          <w:p w14:paraId="6C328D1F" w14:textId="77777777" w:rsidR="002A5DA3" w:rsidRPr="00B14DDE" w:rsidRDefault="002A5DA3" w:rsidP="00F557CC">
            <w:pPr>
              <w:tabs>
                <w:tab w:val="left" w:pos="9360"/>
              </w:tabs>
              <w:rPr>
                <w:rFonts w:eastAsia="Times New Roman"/>
                <w:color w:val="000000"/>
                <w:sz w:val="18"/>
                <w:szCs w:val="18"/>
              </w:rPr>
            </w:pPr>
          </w:p>
        </w:tc>
        <w:tc>
          <w:tcPr>
            <w:tcW w:w="1189" w:type="dxa"/>
            <w:gridSpan w:val="3"/>
            <w:tcBorders>
              <w:top w:val="dashed" w:sz="4" w:space="0" w:color="auto"/>
              <w:left w:val="nil"/>
              <w:bottom w:val="dashed" w:sz="4" w:space="0" w:color="auto"/>
              <w:right w:val="nil"/>
            </w:tcBorders>
            <w:vAlign w:val="center"/>
          </w:tcPr>
          <w:p w14:paraId="6A5CE26F" w14:textId="77777777" w:rsidR="002A5DA3" w:rsidRPr="004E1241" w:rsidRDefault="002A5DA3" w:rsidP="00F557CC">
            <w:pPr>
              <w:tabs>
                <w:tab w:val="left" w:pos="9360"/>
              </w:tabs>
              <w:rPr>
                <w:rFonts w:eastAsia="Times New Roman"/>
                <w:color w:val="000000"/>
                <w:sz w:val="18"/>
                <w:szCs w:val="18"/>
              </w:rPr>
            </w:pPr>
            <w:r w:rsidRPr="00B14DDE">
              <w:rPr>
                <w:rFonts w:eastAsia="Times New Roman"/>
                <w:color w:val="000000"/>
                <w:sz w:val="18"/>
                <w:szCs w:val="18"/>
              </w:rPr>
              <w:t>6.49</w:t>
            </w:r>
          </w:p>
        </w:tc>
        <w:tc>
          <w:tcPr>
            <w:tcW w:w="924" w:type="dxa"/>
            <w:gridSpan w:val="2"/>
            <w:tcBorders>
              <w:top w:val="dashed" w:sz="4" w:space="0" w:color="auto"/>
              <w:left w:val="nil"/>
              <w:bottom w:val="dashed" w:sz="4" w:space="0" w:color="auto"/>
              <w:right w:val="nil"/>
            </w:tcBorders>
            <w:vAlign w:val="center"/>
          </w:tcPr>
          <w:p w14:paraId="0867A60D" w14:textId="77777777" w:rsidR="002A5DA3" w:rsidRPr="004E1241" w:rsidRDefault="002A5DA3" w:rsidP="00F557CC">
            <w:pPr>
              <w:tabs>
                <w:tab w:val="left" w:pos="9360"/>
              </w:tabs>
              <w:rPr>
                <w:rFonts w:eastAsia="Times New Roman"/>
                <w:color w:val="000000"/>
                <w:sz w:val="18"/>
                <w:szCs w:val="18"/>
              </w:rPr>
            </w:pPr>
            <w:r w:rsidRPr="00B14DDE">
              <w:rPr>
                <w:rFonts w:eastAsia="Times New Roman"/>
                <w:color w:val="000000"/>
                <w:sz w:val="18"/>
                <w:szCs w:val="18"/>
              </w:rPr>
              <w:t>16.9</w:t>
            </w:r>
          </w:p>
        </w:tc>
        <w:tc>
          <w:tcPr>
            <w:tcW w:w="896" w:type="dxa"/>
            <w:gridSpan w:val="2"/>
            <w:tcBorders>
              <w:top w:val="dashed" w:sz="4" w:space="0" w:color="auto"/>
              <w:left w:val="nil"/>
              <w:bottom w:val="dashed" w:sz="4" w:space="0" w:color="auto"/>
              <w:right w:val="nil"/>
            </w:tcBorders>
            <w:vAlign w:val="center"/>
          </w:tcPr>
          <w:p w14:paraId="0B59FF84" w14:textId="77777777" w:rsidR="002A5DA3" w:rsidRPr="004E1241" w:rsidRDefault="002A5DA3" w:rsidP="00F557CC">
            <w:pPr>
              <w:tabs>
                <w:tab w:val="left" w:pos="9360"/>
              </w:tabs>
              <w:rPr>
                <w:rFonts w:eastAsia="Times New Roman"/>
                <w:color w:val="000000"/>
                <w:sz w:val="18"/>
                <w:szCs w:val="18"/>
              </w:rPr>
            </w:pPr>
            <w:r w:rsidRPr="00B14DDE">
              <w:rPr>
                <w:rFonts w:eastAsia="Times New Roman"/>
                <w:color w:val="000000"/>
                <w:sz w:val="18"/>
                <w:szCs w:val="18"/>
              </w:rPr>
              <w:t>16.2</w:t>
            </w:r>
          </w:p>
        </w:tc>
        <w:tc>
          <w:tcPr>
            <w:tcW w:w="896" w:type="dxa"/>
            <w:gridSpan w:val="2"/>
            <w:tcBorders>
              <w:top w:val="dashed" w:sz="4" w:space="0" w:color="auto"/>
              <w:left w:val="nil"/>
              <w:bottom w:val="dashed" w:sz="4" w:space="0" w:color="auto"/>
              <w:right w:val="nil"/>
            </w:tcBorders>
            <w:vAlign w:val="center"/>
          </w:tcPr>
          <w:p w14:paraId="16AC26AC" w14:textId="77777777" w:rsidR="002A5DA3" w:rsidRPr="004E1241" w:rsidRDefault="002A5DA3" w:rsidP="00F557CC">
            <w:pPr>
              <w:tabs>
                <w:tab w:val="left" w:pos="9360"/>
              </w:tabs>
              <w:rPr>
                <w:rFonts w:eastAsia="Times New Roman"/>
                <w:color w:val="000000"/>
                <w:sz w:val="18"/>
                <w:szCs w:val="18"/>
              </w:rPr>
            </w:pPr>
            <w:r w:rsidRPr="00B14DDE">
              <w:rPr>
                <w:rFonts w:eastAsia="Times New Roman"/>
                <w:color w:val="000000"/>
                <w:sz w:val="18"/>
                <w:szCs w:val="18"/>
              </w:rPr>
              <w:t>15.2</w:t>
            </w:r>
          </w:p>
        </w:tc>
        <w:tc>
          <w:tcPr>
            <w:tcW w:w="1045" w:type="dxa"/>
            <w:gridSpan w:val="2"/>
            <w:tcBorders>
              <w:top w:val="dashed" w:sz="4" w:space="0" w:color="auto"/>
              <w:left w:val="nil"/>
              <w:bottom w:val="dashed" w:sz="4" w:space="0" w:color="auto"/>
              <w:right w:val="nil"/>
            </w:tcBorders>
            <w:vAlign w:val="center"/>
          </w:tcPr>
          <w:p w14:paraId="65546568" w14:textId="77777777" w:rsidR="002A5DA3" w:rsidRPr="004E1241" w:rsidRDefault="002A5DA3" w:rsidP="00F557CC">
            <w:pPr>
              <w:tabs>
                <w:tab w:val="left" w:pos="9360"/>
              </w:tabs>
              <w:rPr>
                <w:rFonts w:eastAsia="Times New Roman"/>
                <w:color w:val="000000"/>
                <w:sz w:val="18"/>
                <w:szCs w:val="18"/>
              </w:rPr>
            </w:pPr>
            <w:r w:rsidRPr="00B14DDE">
              <w:rPr>
                <w:rFonts w:eastAsia="Times New Roman"/>
                <w:color w:val="000000"/>
                <w:sz w:val="18"/>
                <w:szCs w:val="18"/>
              </w:rPr>
              <w:t>15.4</w:t>
            </w:r>
          </w:p>
        </w:tc>
      </w:tr>
      <w:tr w:rsidR="002A5DA3" w:rsidRPr="00247B84" w14:paraId="6F23FCCE" w14:textId="77777777" w:rsidTr="00F557CC">
        <w:trPr>
          <w:trHeight w:val="375"/>
        </w:trPr>
        <w:tc>
          <w:tcPr>
            <w:tcW w:w="2592" w:type="dxa"/>
            <w:tcBorders>
              <w:top w:val="dashed" w:sz="4" w:space="0" w:color="auto"/>
              <w:left w:val="nil"/>
              <w:bottom w:val="single" w:sz="12" w:space="0" w:color="auto"/>
              <w:right w:val="nil"/>
            </w:tcBorders>
            <w:shd w:val="clear" w:color="auto" w:fill="auto"/>
            <w:noWrap/>
            <w:vAlign w:val="center"/>
            <w:hideMark/>
          </w:tcPr>
          <w:p w14:paraId="66C43A0D" w14:textId="77777777" w:rsidR="002A5DA3" w:rsidRPr="004E1241" w:rsidRDefault="002A5DA3" w:rsidP="00F557CC">
            <w:pPr>
              <w:tabs>
                <w:tab w:val="left" w:pos="9360"/>
              </w:tabs>
              <w:rPr>
                <w:rFonts w:eastAsia="Times New Roman"/>
                <w:color w:val="000000"/>
                <w:sz w:val="20"/>
                <w:szCs w:val="20"/>
              </w:rPr>
            </w:pPr>
            <w:r w:rsidRPr="004E1241">
              <w:rPr>
                <w:rFonts w:eastAsia="Times New Roman"/>
                <w:color w:val="000000"/>
                <w:sz w:val="20"/>
                <w:szCs w:val="20"/>
              </w:rPr>
              <w:t>ΔR</w:t>
            </w:r>
            <w:r w:rsidRPr="004E1241">
              <w:rPr>
                <w:rFonts w:eastAsia="Times New Roman"/>
                <w:color w:val="000000"/>
                <w:sz w:val="20"/>
                <w:szCs w:val="20"/>
                <w:vertAlign w:val="superscript"/>
              </w:rPr>
              <w:t>2</w:t>
            </w:r>
          </w:p>
        </w:tc>
        <w:tc>
          <w:tcPr>
            <w:tcW w:w="994" w:type="dxa"/>
            <w:gridSpan w:val="2"/>
            <w:tcBorders>
              <w:top w:val="dashed" w:sz="4" w:space="0" w:color="auto"/>
              <w:left w:val="nil"/>
              <w:bottom w:val="single" w:sz="12" w:space="0" w:color="auto"/>
              <w:right w:val="nil"/>
            </w:tcBorders>
            <w:shd w:val="clear" w:color="auto" w:fill="auto"/>
            <w:noWrap/>
            <w:vAlign w:val="center"/>
          </w:tcPr>
          <w:p w14:paraId="10F3F33F" w14:textId="77777777" w:rsidR="002A5DA3" w:rsidRPr="004E1241" w:rsidRDefault="002A5DA3" w:rsidP="00F557CC">
            <w:pPr>
              <w:tabs>
                <w:tab w:val="left" w:pos="9360"/>
              </w:tabs>
              <w:jc w:val="center"/>
              <w:rPr>
                <w:rFonts w:eastAsia="Times New Roman"/>
                <w:color w:val="000000"/>
                <w:sz w:val="18"/>
                <w:szCs w:val="18"/>
              </w:rPr>
            </w:pPr>
            <w:r w:rsidRPr="004E1241">
              <w:rPr>
                <w:rFonts w:eastAsia="Times New Roman"/>
                <w:color w:val="000000"/>
                <w:sz w:val="18"/>
                <w:szCs w:val="18"/>
              </w:rPr>
              <w:t>-</w:t>
            </w:r>
          </w:p>
        </w:tc>
        <w:tc>
          <w:tcPr>
            <w:tcW w:w="960" w:type="dxa"/>
            <w:gridSpan w:val="2"/>
            <w:tcBorders>
              <w:top w:val="dashed" w:sz="4" w:space="0" w:color="auto"/>
              <w:left w:val="nil"/>
              <w:bottom w:val="single" w:sz="12" w:space="0" w:color="auto"/>
              <w:right w:val="nil"/>
            </w:tcBorders>
            <w:shd w:val="clear" w:color="auto" w:fill="auto"/>
            <w:noWrap/>
            <w:vAlign w:val="center"/>
          </w:tcPr>
          <w:p w14:paraId="79C7684A" w14:textId="77777777" w:rsidR="002A5DA3" w:rsidRPr="004E1241" w:rsidRDefault="002A5DA3" w:rsidP="00F557CC">
            <w:pPr>
              <w:tabs>
                <w:tab w:val="left" w:pos="9360"/>
              </w:tabs>
              <w:rPr>
                <w:rFonts w:eastAsia="Times New Roman"/>
                <w:color w:val="000000"/>
                <w:sz w:val="18"/>
                <w:szCs w:val="18"/>
              </w:rPr>
            </w:pPr>
            <w:r w:rsidRPr="004E1241">
              <w:rPr>
                <w:rFonts w:eastAsia="Times New Roman"/>
                <w:color w:val="000000"/>
                <w:sz w:val="18"/>
                <w:szCs w:val="18"/>
              </w:rPr>
              <w:t>0.015</w:t>
            </w:r>
          </w:p>
        </w:tc>
        <w:tc>
          <w:tcPr>
            <w:tcW w:w="960" w:type="dxa"/>
            <w:gridSpan w:val="2"/>
            <w:tcBorders>
              <w:top w:val="dashed" w:sz="4" w:space="0" w:color="auto"/>
              <w:left w:val="nil"/>
              <w:bottom w:val="single" w:sz="12" w:space="0" w:color="auto"/>
              <w:right w:val="nil"/>
            </w:tcBorders>
            <w:shd w:val="clear" w:color="auto" w:fill="auto"/>
            <w:noWrap/>
            <w:vAlign w:val="center"/>
          </w:tcPr>
          <w:p w14:paraId="71F8C5C2" w14:textId="77777777" w:rsidR="002A5DA3" w:rsidRPr="004E1241" w:rsidRDefault="002A5DA3" w:rsidP="00F557CC">
            <w:pPr>
              <w:tabs>
                <w:tab w:val="left" w:pos="9360"/>
              </w:tabs>
              <w:rPr>
                <w:rFonts w:eastAsia="Times New Roman"/>
                <w:color w:val="000000"/>
                <w:sz w:val="18"/>
                <w:szCs w:val="18"/>
              </w:rPr>
            </w:pPr>
            <w:r w:rsidRPr="004E1241">
              <w:rPr>
                <w:rFonts w:eastAsia="Times New Roman"/>
                <w:color w:val="000000"/>
                <w:sz w:val="18"/>
                <w:szCs w:val="18"/>
              </w:rPr>
              <w:t>0.027</w:t>
            </w:r>
          </w:p>
        </w:tc>
        <w:tc>
          <w:tcPr>
            <w:tcW w:w="960" w:type="dxa"/>
            <w:gridSpan w:val="2"/>
            <w:tcBorders>
              <w:top w:val="dashed" w:sz="4" w:space="0" w:color="auto"/>
              <w:left w:val="nil"/>
              <w:bottom w:val="single" w:sz="12" w:space="0" w:color="auto"/>
              <w:right w:val="nil"/>
            </w:tcBorders>
            <w:shd w:val="clear" w:color="auto" w:fill="auto"/>
            <w:noWrap/>
            <w:vAlign w:val="center"/>
          </w:tcPr>
          <w:p w14:paraId="6FC78C73" w14:textId="77777777" w:rsidR="002A5DA3" w:rsidRPr="004E1241" w:rsidRDefault="002A5DA3" w:rsidP="00F557CC">
            <w:pPr>
              <w:tabs>
                <w:tab w:val="left" w:pos="9360"/>
              </w:tabs>
              <w:rPr>
                <w:rFonts w:eastAsia="Times New Roman"/>
                <w:color w:val="000000"/>
                <w:sz w:val="18"/>
                <w:szCs w:val="18"/>
              </w:rPr>
            </w:pPr>
            <w:r w:rsidRPr="004E1241">
              <w:rPr>
                <w:rFonts w:eastAsia="Times New Roman"/>
                <w:color w:val="000000"/>
                <w:sz w:val="18"/>
                <w:szCs w:val="18"/>
              </w:rPr>
              <w:t>0.023</w:t>
            </w:r>
          </w:p>
        </w:tc>
        <w:tc>
          <w:tcPr>
            <w:tcW w:w="960" w:type="dxa"/>
            <w:gridSpan w:val="2"/>
            <w:tcBorders>
              <w:top w:val="dashed" w:sz="4" w:space="0" w:color="auto"/>
              <w:left w:val="nil"/>
              <w:bottom w:val="single" w:sz="12" w:space="0" w:color="auto"/>
              <w:right w:val="nil"/>
            </w:tcBorders>
            <w:shd w:val="clear" w:color="auto" w:fill="auto"/>
            <w:noWrap/>
            <w:vAlign w:val="center"/>
          </w:tcPr>
          <w:p w14:paraId="5564040C" w14:textId="77777777" w:rsidR="002A5DA3" w:rsidRPr="004E1241" w:rsidRDefault="002A5DA3" w:rsidP="00F557CC">
            <w:pPr>
              <w:tabs>
                <w:tab w:val="left" w:pos="9360"/>
              </w:tabs>
              <w:rPr>
                <w:rFonts w:eastAsia="Times New Roman"/>
                <w:color w:val="000000"/>
                <w:sz w:val="18"/>
                <w:szCs w:val="18"/>
              </w:rPr>
            </w:pPr>
            <w:r w:rsidRPr="004E1241">
              <w:rPr>
                <w:rFonts w:eastAsia="Times New Roman"/>
                <w:color w:val="000000"/>
                <w:sz w:val="18"/>
                <w:szCs w:val="18"/>
              </w:rPr>
              <w:t>0.042</w:t>
            </w:r>
          </w:p>
        </w:tc>
        <w:tc>
          <w:tcPr>
            <w:tcW w:w="296" w:type="dxa"/>
            <w:tcBorders>
              <w:left w:val="nil"/>
              <w:bottom w:val="single" w:sz="12" w:space="0" w:color="auto"/>
              <w:right w:val="nil"/>
            </w:tcBorders>
          </w:tcPr>
          <w:p w14:paraId="78FC2C54" w14:textId="77777777" w:rsidR="002A5DA3" w:rsidRPr="00B14DDE" w:rsidRDefault="002A5DA3" w:rsidP="00F557CC">
            <w:pPr>
              <w:tabs>
                <w:tab w:val="left" w:pos="9360"/>
              </w:tabs>
              <w:rPr>
                <w:rFonts w:eastAsia="Times New Roman"/>
                <w:color w:val="000000"/>
                <w:sz w:val="18"/>
                <w:szCs w:val="18"/>
              </w:rPr>
            </w:pPr>
          </w:p>
        </w:tc>
        <w:tc>
          <w:tcPr>
            <w:tcW w:w="1189" w:type="dxa"/>
            <w:gridSpan w:val="3"/>
            <w:tcBorders>
              <w:top w:val="dashed" w:sz="4" w:space="0" w:color="auto"/>
              <w:left w:val="nil"/>
              <w:bottom w:val="single" w:sz="12" w:space="0" w:color="auto"/>
              <w:right w:val="nil"/>
            </w:tcBorders>
            <w:vAlign w:val="center"/>
          </w:tcPr>
          <w:p w14:paraId="7D3D88E6" w14:textId="77777777" w:rsidR="002A5DA3" w:rsidRPr="004E1241" w:rsidRDefault="002A5DA3" w:rsidP="00F557CC">
            <w:pPr>
              <w:tabs>
                <w:tab w:val="left" w:pos="9360"/>
              </w:tabs>
              <w:jc w:val="center"/>
              <w:rPr>
                <w:rFonts w:eastAsia="Times New Roman"/>
                <w:color w:val="000000"/>
                <w:sz w:val="18"/>
                <w:szCs w:val="18"/>
              </w:rPr>
            </w:pPr>
            <w:r w:rsidRPr="00B14DDE">
              <w:rPr>
                <w:rFonts w:eastAsia="Times New Roman"/>
                <w:color w:val="000000"/>
                <w:sz w:val="18"/>
                <w:szCs w:val="18"/>
              </w:rPr>
              <w:t>-</w:t>
            </w:r>
          </w:p>
        </w:tc>
        <w:tc>
          <w:tcPr>
            <w:tcW w:w="924" w:type="dxa"/>
            <w:gridSpan w:val="2"/>
            <w:tcBorders>
              <w:top w:val="dashed" w:sz="4" w:space="0" w:color="auto"/>
              <w:left w:val="nil"/>
              <w:bottom w:val="single" w:sz="12" w:space="0" w:color="auto"/>
              <w:right w:val="nil"/>
            </w:tcBorders>
            <w:vAlign w:val="center"/>
          </w:tcPr>
          <w:p w14:paraId="3CB9DF75" w14:textId="77777777" w:rsidR="002A5DA3" w:rsidRPr="004E1241" w:rsidRDefault="002A5DA3" w:rsidP="00F557CC">
            <w:pPr>
              <w:tabs>
                <w:tab w:val="left" w:pos="9360"/>
              </w:tabs>
              <w:rPr>
                <w:rFonts w:eastAsia="Times New Roman"/>
                <w:color w:val="000000"/>
                <w:sz w:val="18"/>
                <w:szCs w:val="18"/>
              </w:rPr>
            </w:pPr>
            <w:r w:rsidRPr="00B14DDE">
              <w:rPr>
                <w:rFonts w:eastAsia="Times New Roman"/>
                <w:color w:val="000000"/>
                <w:sz w:val="18"/>
                <w:szCs w:val="18"/>
              </w:rPr>
              <w:t>0.234</w:t>
            </w:r>
          </w:p>
        </w:tc>
        <w:tc>
          <w:tcPr>
            <w:tcW w:w="896" w:type="dxa"/>
            <w:gridSpan w:val="2"/>
            <w:tcBorders>
              <w:top w:val="dashed" w:sz="4" w:space="0" w:color="auto"/>
              <w:left w:val="nil"/>
              <w:bottom w:val="single" w:sz="12" w:space="0" w:color="auto"/>
              <w:right w:val="nil"/>
            </w:tcBorders>
            <w:vAlign w:val="center"/>
          </w:tcPr>
          <w:p w14:paraId="41BE67BE" w14:textId="77777777" w:rsidR="002A5DA3" w:rsidRPr="004E1241" w:rsidRDefault="002A5DA3" w:rsidP="00F557CC">
            <w:pPr>
              <w:tabs>
                <w:tab w:val="left" w:pos="9360"/>
              </w:tabs>
              <w:rPr>
                <w:rFonts w:eastAsia="Times New Roman"/>
                <w:color w:val="000000"/>
                <w:sz w:val="18"/>
                <w:szCs w:val="18"/>
              </w:rPr>
            </w:pPr>
            <w:r w:rsidRPr="00B14DDE">
              <w:rPr>
                <w:rFonts w:eastAsia="Times New Roman"/>
                <w:color w:val="000000"/>
                <w:sz w:val="18"/>
                <w:szCs w:val="18"/>
              </w:rPr>
              <w:t>0.009</w:t>
            </w:r>
          </w:p>
        </w:tc>
        <w:tc>
          <w:tcPr>
            <w:tcW w:w="896" w:type="dxa"/>
            <w:gridSpan w:val="2"/>
            <w:tcBorders>
              <w:top w:val="dashed" w:sz="4" w:space="0" w:color="auto"/>
              <w:left w:val="nil"/>
              <w:bottom w:val="single" w:sz="12" w:space="0" w:color="auto"/>
              <w:right w:val="nil"/>
            </w:tcBorders>
            <w:vAlign w:val="center"/>
          </w:tcPr>
          <w:p w14:paraId="409EAE81" w14:textId="77777777" w:rsidR="002A5DA3" w:rsidRPr="004E1241" w:rsidRDefault="002A5DA3" w:rsidP="00F557CC">
            <w:pPr>
              <w:tabs>
                <w:tab w:val="left" w:pos="9360"/>
              </w:tabs>
              <w:rPr>
                <w:rFonts w:eastAsia="Times New Roman"/>
                <w:color w:val="000000"/>
                <w:sz w:val="18"/>
                <w:szCs w:val="18"/>
              </w:rPr>
            </w:pPr>
            <w:r w:rsidRPr="00B14DDE">
              <w:rPr>
                <w:rFonts w:eastAsia="Times New Roman"/>
                <w:color w:val="000000"/>
                <w:sz w:val="18"/>
                <w:szCs w:val="18"/>
              </w:rPr>
              <w:t>0.011</w:t>
            </w:r>
          </w:p>
        </w:tc>
        <w:tc>
          <w:tcPr>
            <w:tcW w:w="1045" w:type="dxa"/>
            <w:gridSpan w:val="2"/>
            <w:tcBorders>
              <w:top w:val="dashed" w:sz="4" w:space="0" w:color="auto"/>
              <w:left w:val="nil"/>
              <w:bottom w:val="single" w:sz="12" w:space="0" w:color="auto"/>
              <w:right w:val="nil"/>
            </w:tcBorders>
            <w:vAlign w:val="center"/>
          </w:tcPr>
          <w:p w14:paraId="22995379" w14:textId="77777777" w:rsidR="002A5DA3" w:rsidRPr="004E1241" w:rsidRDefault="002A5DA3" w:rsidP="00F557CC">
            <w:pPr>
              <w:tabs>
                <w:tab w:val="left" w:pos="9360"/>
              </w:tabs>
              <w:rPr>
                <w:rFonts w:eastAsia="Times New Roman"/>
                <w:color w:val="000000"/>
                <w:sz w:val="18"/>
                <w:szCs w:val="18"/>
              </w:rPr>
            </w:pPr>
            <w:r w:rsidRPr="00B14DDE">
              <w:rPr>
                <w:rFonts w:eastAsia="Times New Roman"/>
                <w:color w:val="000000"/>
                <w:sz w:val="18"/>
                <w:szCs w:val="18"/>
              </w:rPr>
              <w:t>0.026</w:t>
            </w:r>
          </w:p>
        </w:tc>
      </w:tr>
    </w:tbl>
    <w:p w14:paraId="52A65F59" w14:textId="77777777" w:rsidR="002A5DA3" w:rsidRPr="0053045B" w:rsidRDefault="002A5DA3" w:rsidP="002A5DA3">
      <w:pPr>
        <w:tabs>
          <w:tab w:val="left" w:pos="9360"/>
        </w:tabs>
        <w:rPr>
          <w:sz w:val="20"/>
        </w:rPr>
      </w:pPr>
      <w:r w:rsidRPr="0053045B">
        <w:rPr>
          <w:sz w:val="20"/>
        </w:rPr>
        <w:t xml:space="preserve">(1) † </w:t>
      </w:r>
      <w:r w:rsidRPr="000032AB">
        <w:rPr>
          <w:i/>
          <w:sz w:val="20"/>
        </w:rPr>
        <w:t>p</w:t>
      </w:r>
      <w:r w:rsidRPr="0053045B">
        <w:rPr>
          <w:sz w:val="20"/>
        </w:rPr>
        <w:t xml:space="preserve"> ≤ 0.10; * </w:t>
      </w:r>
      <w:r w:rsidRPr="000032AB">
        <w:rPr>
          <w:i/>
          <w:sz w:val="20"/>
        </w:rPr>
        <w:t>p</w:t>
      </w:r>
      <w:r w:rsidRPr="0053045B">
        <w:rPr>
          <w:sz w:val="20"/>
        </w:rPr>
        <w:t xml:space="preserve"> ≤ 0.05; ** </w:t>
      </w:r>
      <w:r w:rsidRPr="000032AB">
        <w:rPr>
          <w:i/>
          <w:sz w:val="20"/>
        </w:rPr>
        <w:t>p</w:t>
      </w:r>
      <w:r w:rsidRPr="0053045B">
        <w:rPr>
          <w:sz w:val="20"/>
        </w:rPr>
        <w:t xml:space="preserve"> ≤ 0.01; *** </w:t>
      </w:r>
      <w:r w:rsidRPr="000032AB">
        <w:rPr>
          <w:i/>
          <w:sz w:val="20"/>
        </w:rPr>
        <w:t>p</w:t>
      </w:r>
      <w:r w:rsidRPr="0053045B">
        <w:rPr>
          <w:sz w:val="20"/>
        </w:rPr>
        <w:t xml:space="preserve"> ≤ 0.001; </w:t>
      </w:r>
    </w:p>
    <w:p w14:paraId="53A4C48E" w14:textId="77777777" w:rsidR="002A5DA3" w:rsidRDefault="002A5DA3" w:rsidP="002A5DA3">
      <w:pPr>
        <w:tabs>
          <w:tab w:val="left" w:pos="9360"/>
        </w:tabs>
        <w:rPr>
          <w:sz w:val="20"/>
        </w:rPr>
      </w:pPr>
      <w:r w:rsidRPr="0053045B">
        <w:rPr>
          <w:sz w:val="20"/>
        </w:rPr>
        <w:t xml:space="preserve">(2) Model </w:t>
      </w:r>
      <w:r w:rsidRPr="009177A3">
        <w:rPr>
          <w:i/>
          <w:sz w:val="20"/>
        </w:rPr>
        <w:t>x</w:t>
      </w:r>
      <w:r w:rsidRPr="0053045B">
        <w:rPr>
          <w:sz w:val="20"/>
        </w:rPr>
        <w:t xml:space="preserve">M1 – Control; </w:t>
      </w:r>
      <w:r w:rsidRPr="009324CF">
        <w:rPr>
          <w:i/>
          <w:sz w:val="20"/>
        </w:rPr>
        <w:t>x</w:t>
      </w:r>
      <w:r w:rsidRPr="0053045B">
        <w:rPr>
          <w:sz w:val="20"/>
        </w:rPr>
        <w:t xml:space="preserve">M2 – Direct model; </w:t>
      </w:r>
      <w:r w:rsidRPr="009324CF">
        <w:rPr>
          <w:i/>
          <w:sz w:val="20"/>
        </w:rPr>
        <w:t>x</w:t>
      </w:r>
      <w:r w:rsidRPr="0053045B">
        <w:rPr>
          <w:sz w:val="20"/>
        </w:rPr>
        <w:t xml:space="preserve">M3 – Regulatory pressure interaction model; </w:t>
      </w:r>
    </w:p>
    <w:p w14:paraId="731552A6" w14:textId="77777777" w:rsidR="002A5DA3" w:rsidRPr="0053045B" w:rsidRDefault="002A5DA3" w:rsidP="002A5DA3">
      <w:pPr>
        <w:tabs>
          <w:tab w:val="left" w:pos="9360"/>
        </w:tabs>
        <w:ind w:firstLine="720"/>
        <w:rPr>
          <w:sz w:val="20"/>
        </w:rPr>
      </w:pPr>
      <w:r w:rsidRPr="009324CF">
        <w:rPr>
          <w:i/>
          <w:sz w:val="20"/>
        </w:rPr>
        <w:t>x</w:t>
      </w:r>
      <w:r>
        <w:rPr>
          <w:sz w:val="20"/>
        </w:rPr>
        <w:t xml:space="preserve">M4 – Industry pressure interaction model; </w:t>
      </w:r>
      <w:r w:rsidRPr="009324CF">
        <w:rPr>
          <w:i/>
          <w:sz w:val="20"/>
        </w:rPr>
        <w:t>x</w:t>
      </w:r>
      <w:r w:rsidRPr="0053045B">
        <w:rPr>
          <w:sz w:val="20"/>
        </w:rPr>
        <w:t>M</w:t>
      </w:r>
      <w:r>
        <w:rPr>
          <w:sz w:val="20"/>
        </w:rPr>
        <w:t>5</w:t>
      </w:r>
      <w:r w:rsidRPr="0053045B">
        <w:rPr>
          <w:sz w:val="20"/>
        </w:rPr>
        <w:t xml:space="preserve"> – Combined interaction model</w:t>
      </w:r>
    </w:p>
    <w:p w14:paraId="1410AD0F" w14:textId="77777777" w:rsidR="002A5DA3" w:rsidRDefault="002A5DA3" w:rsidP="002A5DA3">
      <w:pPr>
        <w:rPr>
          <w:b/>
          <w:sz w:val="22"/>
        </w:rPr>
        <w:sectPr w:rsidR="002A5DA3" w:rsidSect="009177A3">
          <w:pgSz w:w="16840" w:h="11900" w:orient="landscape"/>
          <w:pgMar w:top="1260" w:right="1440" w:bottom="1260" w:left="1440" w:header="708" w:footer="708" w:gutter="0"/>
          <w:cols w:space="708"/>
          <w:docGrid w:linePitch="360"/>
        </w:sectPr>
      </w:pPr>
      <w:r w:rsidRPr="0053045B">
        <w:rPr>
          <w:sz w:val="20"/>
        </w:rPr>
        <w:t>(3) Δ R</w:t>
      </w:r>
      <w:r w:rsidRPr="0053045B">
        <w:rPr>
          <w:sz w:val="20"/>
          <w:vertAlign w:val="superscript"/>
        </w:rPr>
        <w:t xml:space="preserve">2 </w:t>
      </w:r>
      <w:r w:rsidRPr="0053045B">
        <w:rPr>
          <w:sz w:val="20"/>
        </w:rPr>
        <w:t xml:space="preserve">for models </w:t>
      </w:r>
      <w:r w:rsidRPr="009324CF">
        <w:rPr>
          <w:i/>
          <w:sz w:val="20"/>
        </w:rPr>
        <w:t>x</w:t>
      </w:r>
      <w:r w:rsidRPr="0053045B">
        <w:rPr>
          <w:sz w:val="20"/>
        </w:rPr>
        <w:t xml:space="preserve">M3, </w:t>
      </w:r>
      <w:r w:rsidRPr="009324CF">
        <w:rPr>
          <w:i/>
          <w:sz w:val="20"/>
        </w:rPr>
        <w:t>x</w:t>
      </w:r>
      <w:r w:rsidRPr="0053045B">
        <w:rPr>
          <w:sz w:val="20"/>
        </w:rPr>
        <w:t>M4</w:t>
      </w:r>
      <w:r>
        <w:rPr>
          <w:sz w:val="20"/>
        </w:rPr>
        <w:t xml:space="preserve">, and </w:t>
      </w:r>
      <w:r w:rsidRPr="009324CF">
        <w:rPr>
          <w:i/>
          <w:sz w:val="20"/>
        </w:rPr>
        <w:t>x</w:t>
      </w:r>
      <w:r>
        <w:rPr>
          <w:sz w:val="20"/>
        </w:rPr>
        <w:t>M5</w:t>
      </w:r>
      <w:r w:rsidRPr="0053045B">
        <w:rPr>
          <w:sz w:val="20"/>
        </w:rPr>
        <w:t xml:space="preserve"> are in</w:t>
      </w:r>
      <w:r w:rsidRPr="0053045B">
        <w:rPr>
          <w:sz w:val="20"/>
          <w:vertAlign w:val="superscript"/>
        </w:rPr>
        <w:t xml:space="preserve"> </w:t>
      </w:r>
      <w:r w:rsidRPr="0053045B">
        <w:rPr>
          <w:sz w:val="20"/>
        </w:rPr>
        <w:t xml:space="preserve">comparison to model </w:t>
      </w:r>
      <w:r w:rsidRPr="009324CF">
        <w:rPr>
          <w:i/>
          <w:sz w:val="20"/>
        </w:rPr>
        <w:t>x</w:t>
      </w:r>
      <w:r w:rsidRPr="0053045B">
        <w:rPr>
          <w:sz w:val="20"/>
        </w:rPr>
        <w:t>M2</w:t>
      </w:r>
    </w:p>
    <w:tbl>
      <w:tblPr>
        <w:tblStyle w:val="TableGrid"/>
        <w:tblW w:w="0" w:type="auto"/>
        <w:tblLook w:val="04A0" w:firstRow="1" w:lastRow="0" w:firstColumn="1" w:lastColumn="0" w:noHBand="0" w:noVBand="1"/>
      </w:tblPr>
      <w:tblGrid>
        <w:gridCol w:w="6768"/>
        <w:gridCol w:w="6768"/>
      </w:tblGrid>
      <w:tr w:rsidR="002A5DA3" w14:paraId="7AAF1718" w14:textId="77777777" w:rsidTr="00F557CC">
        <w:trPr>
          <w:trHeight w:val="4195"/>
        </w:trPr>
        <w:tc>
          <w:tcPr>
            <w:tcW w:w="6768" w:type="dxa"/>
            <w:tcBorders>
              <w:top w:val="nil"/>
              <w:left w:val="nil"/>
              <w:bottom w:val="nil"/>
              <w:right w:val="nil"/>
            </w:tcBorders>
          </w:tcPr>
          <w:p w14:paraId="5ECBCA93" w14:textId="77777777" w:rsidR="002A5DA3" w:rsidRDefault="002A5DA3" w:rsidP="00F557CC">
            <w:pPr>
              <w:jc w:val="center"/>
              <w:rPr>
                <w:b/>
                <w:sz w:val="22"/>
              </w:rPr>
            </w:pPr>
          </w:p>
          <w:p w14:paraId="4B275719" w14:textId="77777777" w:rsidR="002A5DA3" w:rsidRDefault="002A5DA3" w:rsidP="00F557CC">
            <w:pPr>
              <w:jc w:val="center"/>
              <w:rPr>
                <w:b/>
                <w:sz w:val="22"/>
              </w:rPr>
            </w:pPr>
            <w:r w:rsidRPr="004F7B34">
              <w:rPr>
                <w:b/>
                <w:noProof/>
                <w:sz w:val="22"/>
              </w:rPr>
              <w:drawing>
                <wp:inline distT="0" distB="0" distL="0" distR="0" wp14:anchorId="195EA2D7" wp14:editId="5E99CAE6">
                  <wp:extent cx="3543410" cy="2533650"/>
                  <wp:effectExtent l="0" t="0" r="0" b="0"/>
                  <wp:docPr id="7" name="Picture 7" descr="C:\Users\AAZADE~1\AppData\Local\Temp\ScreenCl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AZADE~1\AppData\Local\Temp\ScreenClip.png"/>
                          <pic:cNvPicPr>
                            <a:picLocks noChangeAspect="1" noChangeArrowheads="1"/>
                          </pic:cNvPicPr>
                        </pic:nvPicPr>
                        <pic:blipFill rotWithShape="1">
                          <a:blip r:embed="rId9">
                            <a:extLst>
                              <a:ext uri="{28A0092B-C50C-407E-A947-70E740481C1C}">
                                <a14:useLocalDpi xmlns:a14="http://schemas.microsoft.com/office/drawing/2010/main" val="0"/>
                              </a:ext>
                            </a:extLst>
                          </a:blip>
                          <a:srcRect l="3209" t="5600" r="5326" b="3136"/>
                          <a:stretch/>
                        </pic:blipFill>
                        <pic:spPr bwMode="auto">
                          <a:xfrm>
                            <a:off x="0" y="0"/>
                            <a:ext cx="3589513" cy="256661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768" w:type="dxa"/>
            <w:tcBorders>
              <w:top w:val="nil"/>
              <w:left w:val="nil"/>
              <w:bottom w:val="nil"/>
              <w:right w:val="nil"/>
            </w:tcBorders>
          </w:tcPr>
          <w:p w14:paraId="3F4530ED" w14:textId="77777777" w:rsidR="002A5DA3" w:rsidRDefault="002A5DA3" w:rsidP="00F557CC">
            <w:pPr>
              <w:jc w:val="center"/>
              <w:rPr>
                <w:b/>
                <w:sz w:val="22"/>
              </w:rPr>
            </w:pPr>
          </w:p>
          <w:p w14:paraId="5C72BB94" w14:textId="77777777" w:rsidR="002A5DA3" w:rsidRDefault="002A5DA3" w:rsidP="00F557CC">
            <w:pPr>
              <w:jc w:val="center"/>
              <w:rPr>
                <w:b/>
                <w:sz w:val="22"/>
              </w:rPr>
            </w:pPr>
            <w:r w:rsidRPr="004F7B34">
              <w:rPr>
                <w:b/>
                <w:noProof/>
                <w:sz w:val="22"/>
              </w:rPr>
              <w:drawing>
                <wp:inline distT="0" distB="0" distL="0" distR="0" wp14:anchorId="4D09CD9E" wp14:editId="0C220E1A">
                  <wp:extent cx="3678453" cy="2596896"/>
                  <wp:effectExtent l="0" t="0" r="0" b="0"/>
                  <wp:docPr id="8" name="Picture 8" descr="C:\Users\AAZADE~1\AppData\Local\Temp\ScreenCl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AZADE~1\AppData\Local\Temp\ScreenClip.png"/>
                          <pic:cNvPicPr>
                            <a:picLocks noChangeAspect="1" noChangeArrowheads="1"/>
                          </pic:cNvPicPr>
                        </pic:nvPicPr>
                        <pic:blipFill rotWithShape="1">
                          <a:blip r:embed="rId10">
                            <a:extLst>
                              <a:ext uri="{28A0092B-C50C-407E-A947-70E740481C1C}">
                                <a14:useLocalDpi xmlns:a14="http://schemas.microsoft.com/office/drawing/2010/main" val="0"/>
                              </a:ext>
                            </a:extLst>
                          </a:blip>
                          <a:srcRect l="3667" t="5287" r="7731" b="4508"/>
                          <a:stretch/>
                        </pic:blipFill>
                        <pic:spPr bwMode="auto">
                          <a:xfrm>
                            <a:off x="0" y="0"/>
                            <a:ext cx="3744764" cy="2643710"/>
                          </a:xfrm>
                          <a:prstGeom prst="rect">
                            <a:avLst/>
                          </a:prstGeom>
                          <a:noFill/>
                          <a:ln>
                            <a:noFill/>
                          </a:ln>
                          <a:extLst>
                            <a:ext uri="{53640926-AAD7-44D8-BBD7-CCE9431645EC}">
                              <a14:shadowObscured xmlns:a14="http://schemas.microsoft.com/office/drawing/2010/main"/>
                            </a:ext>
                          </a:extLst>
                        </pic:spPr>
                      </pic:pic>
                    </a:graphicData>
                  </a:graphic>
                </wp:inline>
              </w:drawing>
            </w:r>
          </w:p>
          <w:p w14:paraId="3893018C" w14:textId="77777777" w:rsidR="002A5DA3" w:rsidRDefault="002A5DA3" w:rsidP="00F557CC">
            <w:pPr>
              <w:jc w:val="center"/>
              <w:rPr>
                <w:b/>
                <w:sz w:val="22"/>
              </w:rPr>
            </w:pPr>
          </w:p>
        </w:tc>
      </w:tr>
      <w:tr w:rsidR="002A5DA3" w14:paraId="5B76A8BB" w14:textId="77777777" w:rsidTr="00F557CC">
        <w:trPr>
          <w:trHeight w:val="4026"/>
        </w:trPr>
        <w:tc>
          <w:tcPr>
            <w:tcW w:w="6768" w:type="dxa"/>
            <w:tcBorders>
              <w:top w:val="nil"/>
              <w:left w:val="nil"/>
              <w:bottom w:val="nil"/>
              <w:right w:val="nil"/>
            </w:tcBorders>
          </w:tcPr>
          <w:p w14:paraId="2A15FF9D" w14:textId="77777777" w:rsidR="002A5DA3" w:rsidRDefault="002A5DA3" w:rsidP="00F557CC">
            <w:pPr>
              <w:jc w:val="center"/>
              <w:rPr>
                <w:b/>
                <w:sz w:val="22"/>
              </w:rPr>
            </w:pPr>
          </w:p>
          <w:p w14:paraId="28FBE24F" w14:textId="77777777" w:rsidR="002A5DA3" w:rsidRDefault="002A5DA3" w:rsidP="00F557CC">
            <w:pPr>
              <w:jc w:val="center"/>
              <w:rPr>
                <w:b/>
                <w:sz w:val="22"/>
              </w:rPr>
            </w:pPr>
            <w:r w:rsidRPr="004F7B34">
              <w:rPr>
                <w:b/>
                <w:noProof/>
                <w:sz w:val="22"/>
              </w:rPr>
              <w:drawing>
                <wp:inline distT="0" distB="0" distL="0" distR="0" wp14:anchorId="1183BDE9" wp14:editId="06194B8B">
                  <wp:extent cx="3590925" cy="2311332"/>
                  <wp:effectExtent l="0" t="0" r="0" b="0"/>
                  <wp:docPr id="10" name="Picture 10" descr="C:\Users\AAZADE~1\AppData\Local\Temp\ScreenCl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AZADE~1\AppData\Local\Temp\ScreenClip.png"/>
                          <pic:cNvPicPr>
                            <a:picLocks noChangeAspect="1" noChangeArrowheads="1"/>
                          </pic:cNvPicPr>
                        </pic:nvPicPr>
                        <pic:blipFill rotWithShape="1">
                          <a:blip r:embed="rId11">
                            <a:extLst>
                              <a:ext uri="{28A0092B-C50C-407E-A947-70E740481C1C}">
                                <a14:useLocalDpi xmlns:a14="http://schemas.microsoft.com/office/drawing/2010/main" val="0"/>
                              </a:ext>
                            </a:extLst>
                          </a:blip>
                          <a:srcRect l="3020" t="5287" r="4312" b="6770"/>
                          <a:stretch/>
                        </pic:blipFill>
                        <pic:spPr bwMode="auto">
                          <a:xfrm>
                            <a:off x="0" y="0"/>
                            <a:ext cx="3644159" cy="234559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768" w:type="dxa"/>
            <w:tcBorders>
              <w:top w:val="nil"/>
              <w:left w:val="nil"/>
              <w:bottom w:val="nil"/>
              <w:right w:val="nil"/>
            </w:tcBorders>
          </w:tcPr>
          <w:p w14:paraId="6225B3FC" w14:textId="77777777" w:rsidR="002A5DA3" w:rsidRDefault="002A5DA3" w:rsidP="00F557CC">
            <w:pPr>
              <w:jc w:val="center"/>
              <w:rPr>
                <w:b/>
                <w:sz w:val="22"/>
              </w:rPr>
            </w:pPr>
          </w:p>
        </w:tc>
      </w:tr>
    </w:tbl>
    <w:p w14:paraId="7233F422" w14:textId="77777777" w:rsidR="002A5DA3" w:rsidRDefault="002A5DA3" w:rsidP="002A5DA3">
      <w:pPr>
        <w:rPr>
          <w:b/>
          <w:sz w:val="22"/>
        </w:rPr>
      </w:pPr>
    </w:p>
    <w:p w14:paraId="4E29B343" w14:textId="77777777" w:rsidR="002A5DA3" w:rsidRDefault="002A5DA3" w:rsidP="002A5DA3">
      <w:pPr>
        <w:jc w:val="center"/>
        <w:rPr>
          <w:sz w:val="22"/>
        </w:rPr>
      </w:pPr>
      <w:r w:rsidRPr="009177A3">
        <w:rPr>
          <w:sz w:val="22"/>
        </w:rPr>
        <w:t>Figure 1 – Interaction Effects of Regulatory/Industry Pressure on Response Strategies</w:t>
      </w:r>
    </w:p>
    <w:p w14:paraId="30CEF55F" w14:textId="77777777" w:rsidR="002A5DA3" w:rsidRDefault="002A5DA3" w:rsidP="002A5DA3">
      <w:pPr>
        <w:jc w:val="center"/>
        <w:rPr>
          <w:sz w:val="22"/>
        </w:rPr>
        <w:sectPr w:rsidR="002A5DA3" w:rsidSect="009177A3">
          <w:pgSz w:w="16840" w:h="11900" w:orient="landscape"/>
          <w:pgMar w:top="1260" w:right="1440" w:bottom="1260" w:left="1440" w:header="708" w:footer="708" w:gutter="0"/>
          <w:cols w:space="708"/>
          <w:docGrid w:linePitch="360"/>
        </w:sectPr>
      </w:pPr>
    </w:p>
    <w:p w14:paraId="0EA803CC" w14:textId="77777777" w:rsidR="002A5DA3" w:rsidRDefault="002A5DA3" w:rsidP="002A5DA3">
      <w:pPr>
        <w:jc w:val="center"/>
        <w:rPr>
          <w:sz w:val="22"/>
        </w:rPr>
      </w:pPr>
    </w:p>
    <w:p w14:paraId="5EA66B1F" w14:textId="77777777" w:rsidR="002A5DA3" w:rsidRPr="0089596F" w:rsidRDefault="002A5DA3" w:rsidP="002A5DA3">
      <w:pPr>
        <w:rPr>
          <w:b/>
        </w:rPr>
      </w:pPr>
      <w:r w:rsidRPr="0089596F">
        <w:rPr>
          <w:b/>
        </w:rPr>
        <w:t>Appendix A: Questionnaire used to collect data</w:t>
      </w:r>
    </w:p>
    <w:p w14:paraId="31685F13" w14:textId="77777777" w:rsidR="002A5DA3" w:rsidRDefault="002A5DA3" w:rsidP="002A5DA3">
      <w:pPr>
        <w:pStyle w:val="Default"/>
      </w:pPr>
    </w:p>
    <w:p w14:paraId="0C143B70" w14:textId="77777777" w:rsidR="002A5DA3" w:rsidRDefault="002A5DA3" w:rsidP="002A5DA3">
      <w:pPr>
        <w:pStyle w:val="Default"/>
        <w:rPr>
          <w:sz w:val="18"/>
          <w:szCs w:val="18"/>
        </w:rPr>
      </w:pPr>
      <w:r>
        <w:t xml:space="preserve"> </w:t>
      </w:r>
      <w:r>
        <w:rPr>
          <w:sz w:val="18"/>
          <w:szCs w:val="18"/>
        </w:rPr>
        <w:t xml:space="preserve">Consider the following examples of small disruptions: </w:t>
      </w:r>
    </w:p>
    <w:p w14:paraId="7F3901DD" w14:textId="77777777" w:rsidR="002A5DA3" w:rsidRDefault="002A5DA3" w:rsidP="002A5DA3">
      <w:pPr>
        <w:pStyle w:val="Default"/>
        <w:rPr>
          <w:sz w:val="18"/>
          <w:szCs w:val="18"/>
        </w:rPr>
      </w:pPr>
      <w:r>
        <w:rPr>
          <w:sz w:val="18"/>
          <w:szCs w:val="18"/>
        </w:rPr>
        <w:t xml:space="preserve">1) Parts shortages by a JIT supplier causes minor production downtime for you, the manufacturer. </w:t>
      </w:r>
    </w:p>
    <w:p w14:paraId="490974BE" w14:textId="77777777" w:rsidR="002A5DA3" w:rsidRDefault="002A5DA3" w:rsidP="002A5DA3">
      <w:pPr>
        <w:pStyle w:val="Default"/>
        <w:rPr>
          <w:sz w:val="18"/>
          <w:szCs w:val="18"/>
        </w:rPr>
      </w:pPr>
      <w:r>
        <w:rPr>
          <w:sz w:val="18"/>
          <w:szCs w:val="18"/>
        </w:rPr>
        <w:t xml:space="preserve">2) Production scheduling error by you, the manufacturer causes the supplier to have to shut down its line for few hours. </w:t>
      </w:r>
    </w:p>
    <w:p w14:paraId="0AD087CD" w14:textId="77777777" w:rsidR="002A5DA3" w:rsidRDefault="002A5DA3" w:rsidP="002A5DA3">
      <w:pPr>
        <w:pStyle w:val="Default"/>
        <w:rPr>
          <w:sz w:val="18"/>
          <w:szCs w:val="18"/>
        </w:rPr>
      </w:pPr>
      <w:r>
        <w:rPr>
          <w:sz w:val="18"/>
          <w:szCs w:val="18"/>
        </w:rPr>
        <w:t xml:space="preserve">3) Weather related issues delay delivery of multiple supplier parts, causing production shutdown. </w:t>
      </w:r>
    </w:p>
    <w:p w14:paraId="7CF670BA" w14:textId="77777777" w:rsidR="002A5DA3" w:rsidRDefault="002A5DA3" w:rsidP="002A5DA3">
      <w:pPr>
        <w:pStyle w:val="Default"/>
        <w:rPr>
          <w:sz w:val="18"/>
          <w:szCs w:val="18"/>
        </w:rPr>
      </w:pPr>
      <w:r>
        <w:rPr>
          <w:sz w:val="18"/>
          <w:szCs w:val="18"/>
        </w:rPr>
        <w:t>4) A sudden surge in electricity usage causes you, the manufacturer to lose production for several hours.</w:t>
      </w:r>
    </w:p>
    <w:p w14:paraId="154F84B0" w14:textId="77777777" w:rsidR="002A5DA3" w:rsidRDefault="002A5DA3" w:rsidP="002A5DA3">
      <w:pPr>
        <w:pStyle w:val="Default"/>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9961"/>
      </w:tblGrid>
      <w:tr w:rsidR="002A5DA3" w14:paraId="3767C659" w14:textId="77777777" w:rsidTr="00F557CC">
        <w:trPr>
          <w:trHeight w:val="118"/>
        </w:trPr>
        <w:tc>
          <w:tcPr>
            <w:tcW w:w="9961" w:type="dxa"/>
          </w:tcPr>
          <w:p w14:paraId="26A203D2" w14:textId="77777777" w:rsidR="002A5DA3" w:rsidRDefault="002A5DA3" w:rsidP="00F557CC">
            <w:pPr>
              <w:pStyle w:val="Default"/>
              <w:rPr>
                <w:sz w:val="18"/>
                <w:szCs w:val="18"/>
              </w:rPr>
            </w:pPr>
            <w:r>
              <w:t xml:space="preserve"> </w:t>
            </w:r>
            <w:r w:rsidRPr="0089596F">
              <w:rPr>
                <w:sz w:val="18"/>
                <w:szCs w:val="18"/>
              </w:rPr>
              <w:t>Note that</w:t>
            </w:r>
            <w:r>
              <w:t xml:space="preserve"> </w:t>
            </w:r>
            <w:r>
              <w:rPr>
                <w:sz w:val="18"/>
                <w:szCs w:val="18"/>
              </w:rPr>
              <w:t xml:space="preserve">in all of the cases, the flow of (a) goods, (b) information and (c) funds is severed for a limited time so as to have a recordable negative effect on an operation. How many similar disruptions does your operation face in </w:t>
            </w:r>
            <w:r>
              <w:rPr>
                <w:b/>
                <w:bCs/>
                <w:sz w:val="18"/>
                <w:szCs w:val="18"/>
              </w:rPr>
              <w:t xml:space="preserve">a typical month </w:t>
            </w:r>
            <w:r>
              <w:rPr>
                <w:sz w:val="18"/>
                <w:szCs w:val="18"/>
              </w:rPr>
              <w:t xml:space="preserve">that are: </w:t>
            </w:r>
          </w:p>
          <w:p w14:paraId="30794563" w14:textId="77777777" w:rsidR="002A5DA3" w:rsidRDefault="002A5DA3" w:rsidP="00F557CC">
            <w:pPr>
              <w:pStyle w:val="Default"/>
              <w:rPr>
                <w:sz w:val="18"/>
                <w:szCs w:val="18"/>
              </w:rPr>
            </w:pPr>
            <w:r>
              <w:rPr>
                <w:sz w:val="18"/>
                <w:szCs w:val="18"/>
              </w:rPr>
              <w:t>1) Initiated because of actions or decisions of your suppliers and severed your operational flows.     _______________</w:t>
            </w:r>
          </w:p>
        </w:tc>
      </w:tr>
      <w:tr w:rsidR="002A5DA3" w14:paraId="2FAFA087" w14:textId="77777777" w:rsidTr="00F557CC">
        <w:trPr>
          <w:trHeight w:val="118"/>
        </w:trPr>
        <w:tc>
          <w:tcPr>
            <w:tcW w:w="9961" w:type="dxa"/>
          </w:tcPr>
          <w:p w14:paraId="233126F1" w14:textId="77777777" w:rsidR="002A5DA3" w:rsidRDefault="002A5DA3" w:rsidP="00F557CC">
            <w:pPr>
              <w:pStyle w:val="Default"/>
              <w:rPr>
                <w:sz w:val="18"/>
                <w:szCs w:val="18"/>
              </w:rPr>
            </w:pPr>
            <w:r>
              <w:rPr>
                <w:sz w:val="18"/>
                <w:szCs w:val="18"/>
              </w:rPr>
              <w:t>2) Initiated in your organization and affected upstream and downstream members of the supply chain.    ___________</w:t>
            </w:r>
          </w:p>
        </w:tc>
      </w:tr>
      <w:tr w:rsidR="002A5DA3" w14:paraId="55D9DA2F" w14:textId="77777777" w:rsidTr="00F557CC">
        <w:trPr>
          <w:trHeight w:val="118"/>
        </w:trPr>
        <w:tc>
          <w:tcPr>
            <w:tcW w:w="9961" w:type="dxa"/>
          </w:tcPr>
          <w:p w14:paraId="7FAE1EA0" w14:textId="77777777" w:rsidR="002A5DA3" w:rsidRDefault="002A5DA3" w:rsidP="00F557CC">
            <w:pPr>
              <w:pStyle w:val="Default"/>
              <w:rPr>
                <w:sz w:val="18"/>
                <w:szCs w:val="18"/>
              </w:rPr>
            </w:pPr>
            <w:r>
              <w:rPr>
                <w:sz w:val="18"/>
                <w:szCs w:val="18"/>
              </w:rPr>
              <w:t>3) Initiated because of actions or decisions of your downstream customers and affected your operations    __________</w:t>
            </w:r>
          </w:p>
        </w:tc>
      </w:tr>
      <w:tr w:rsidR="002A5DA3" w14:paraId="48A4A7AA" w14:textId="77777777" w:rsidTr="00F557CC">
        <w:trPr>
          <w:trHeight w:val="118"/>
        </w:trPr>
        <w:tc>
          <w:tcPr>
            <w:tcW w:w="9961" w:type="dxa"/>
          </w:tcPr>
          <w:p w14:paraId="219412DF" w14:textId="77777777" w:rsidR="002A5DA3" w:rsidRDefault="002A5DA3" w:rsidP="00F557CC">
            <w:pPr>
              <w:pStyle w:val="Default"/>
              <w:rPr>
                <w:sz w:val="18"/>
                <w:szCs w:val="18"/>
              </w:rPr>
            </w:pPr>
            <w:r>
              <w:rPr>
                <w:sz w:val="18"/>
                <w:szCs w:val="18"/>
              </w:rPr>
              <w:t xml:space="preserve">4) Initiated as a result of other factors and affected more than one member of your supply chain.   </w:t>
            </w:r>
            <w:r w:rsidRPr="0089596F">
              <w:rPr>
                <w:color w:val="000000" w:themeColor="text1"/>
                <w:sz w:val="18"/>
                <w:szCs w:val="18"/>
              </w:rPr>
              <w:t>___________</w:t>
            </w:r>
          </w:p>
        </w:tc>
      </w:tr>
      <w:tr w:rsidR="002A5DA3" w14:paraId="58BD9338" w14:textId="77777777" w:rsidTr="00F557CC">
        <w:trPr>
          <w:trHeight w:val="118"/>
        </w:trPr>
        <w:tc>
          <w:tcPr>
            <w:tcW w:w="9961" w:type="dxa"/>
          </w:tcPr>
          <w:p w14:paraId="6FC0F681" w14:textId="77777777" w:rsidR="002A5DA3" w:rsidRDefault="002A5DA3" w:rsidP="00F557CC">
            <w:pPr>
              <w:pStyle w:val="Default"/>
              <w:rPr>
                <w:sz w:val="18"/>
                <w:szCs w:val="18"/>
              </w:rPr>
            </w:pPr>
          </w:p>
        </w:tc>
      </w:tr>
    </w:tbl>
    <w:p w14:paraId="7BC5BBF5" w14:textId="77777777" w:rsidR="002A5DA3" w:rsidRDefault="002A5DA3" w:rsidP="002A5DA3">
      <w:pPr>
        <w:pStyle w:val="Default"/>
        <w:rPr>
          <w:sz w:val="18"/>
          <w:szCs w:val="18"/>
        </w:rPr>
      </w:pPr>
    </w:p>
    <w:p w14:paraId="6BC8A66E" w14:textId="77777777" w:rsidR="002A5DA3" w:rsidRDefault="002A5DA3" w:rsidP="002A5DA3">
      <w:pPr>
        <w:pStyle w:val="Default"/>
      </w:pPr>
    </w:p>
    <w:p w14:paraId="0BA5B0B1" w14:textId="77777777" w:rsidR="002A5DA3" w:rsidRDefault="002A5DA3" w:rsidP="002A5DA3">
      <w:pPr>
        <w:pStyle w:val="Default"/>
        <w:rPr>
          <w:sz w:val="18"/>
          <w:szCs w:val="18"/>
        </w:rPr>
      </w:pPr>
      <w:r>
        <w:t xml:space="preserve"> </w:t>
      </w:r>
      <w:r>
        <w:rPr>
          <w:sz w:val="18"/>
          <w:szCs w:val="18"/>
        </w:rPr>
        <w:t xml:space="preserve">Consider the following examples of near-misses: </w:t>
      </w:r>
    </w:p>
    <w:p w14:paraId="6E782AF9" w14:textId="77777777" w:rsidR="002A5DA3" w:rsidRDefault="002A5DA3" w:rsidP="002A5DA3">
      <w:pPr>
        <w:pStyle w:val="Default"/>
        <w:rPr>
          <w:sz w:val="18"/>
          <w:szCs w:val="18"/>
        </w:rPr>
      </w:pPr>
      <w:r>
        <w:rPr>
          <w:sz w:val="18"/>
          <w:szCs w:val="18"/>
        </w:rPr>
        <w:t xml:space="preserve">1) Parts shortages by a JIT supplier could have caused minor but costly production downtime for you, the manufacturer, but was diverted by using an alternate part. </w:t>
      </w:r>
    </w:p>
    <w:p w14:paraId="131586E6" w14:textId="77777777" w:rsidR="002A5DA3" w:rsidRDefault="002A5DA3" w:rsidP="002A5DA3">
      <w:pPr>
        <w:pStyle w:val="Default"/>
        <w:rPr>
          <w:sz w:val="18"/>
          <w:szCs w:val="18"/>
        </w:rPr>
      </w:pPr>
      <w:r>
        <w:rPr>
          <w:sz w:val="18"/>
          <w:szCs w:val="18"/>
        </w:rPr>
        <w:t xml:space="preserve">2) Production scheduling error by you, the manufacturer, could have caused the supplier to have to shut down its line for few hours but was diverted. </w:t>
      </w:r>
    </w:p>
    <w:p w14:paraId="3BE4E385" w14:textId="77777777" w:rsidR="002A5DA3" w:rsidRDefault="002A5DA3" w:rsidP="002A5DA3">
      <w:pPr>
        <w:pStyle w:val="Default"/>
        <w:rPr>
          <w:sz w:val="18"/>
          <w:szCs w:val="18"/>
        </w:rPr>
      </w:pPr>
      <w:r>
        <w:rPr>
          <w:sz w:val="18"/>
          <w:szCs w:val="18"/>
        </w:rPr>
        <w:t xml:space="preserve">3) Because of weather related issues and delayed the delivery of multiple supplier parts was delayed and your production came close to slowing down. </w:t>
      </w:r>
    </w:p>
    <w:p w14:paraId="56F94779" w14:textId="77777777" w:rsidR="002A5DA3" w:rsidRDefault="002A5DA3" w:rsidP="002A5DA3">
      <w:pPr>
        <w:pStyle w:val="Default"/>
        <w:rPr>
          <w:sz w:val="18"/>
          <w:szCs w:val="18"/>
        </w:rPr>
      </w:pPr>
      <w:r>
        <w:rPr>
          <w:sz w:val="18"/>
          <w:szCs w:val="18"/>
        </w:rPr>
        <w:t xml:space="preserve">4) A sudden surge in electricity usage could have caused the manufacturer to lose production for several hours but the matter was diverted.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9272"/>
      </w:tblGrid>
      <w:tr w:rsidR="002A5DA3" w14:paraId="02F75851" w14:textId="77777777" w:rsidTr="00F557CC">
        <w:trPr>
          <w:trHeight w:val="118"/>
        </w:trPr>
        <w:tc>
          <w:tcPr>
            <w:tcW w:w="9272" w:type="dxa"/>
          </w:tcPr>
          <w:p w14:paraId="3437C4D9" w14:textId="77777777" w:rsidR="002A5DA3" w:rsidRDefault="002A5DA3" w:rsidP="00F557CC">
            <w:pPr>
              <w:pStyle w:val="Default"/>
              <w:rPr>
                <w:sz w:val="18"/>
                <w:szCs w:val="18"/>
              </w:rPr>
            </w:pPr>
          </w:p>
          <w:p w14:paraId="5A879524" w14:textId="77777777" w:rsidR="002A5DA3" w:rsidRDefault="002A5DA3" w:rsidP="00F557CC">
            <w:pPr>
              <w:pStyle w:val="Default"/>
              <w:rPr>
                <w:color w:val="auto"/>
              </w:rPr>
            </w:pPr>
            <w:r>
              <w:rPr>
                <w:sz w:val="18"/>
                <w:szCs w:val="18"/>
              </w:rPr>
              <w:t xml:space="preserve">Note that in all of the above cases, the flow of (a) goods, (b) information and (c) funds is not severed, but affected their operation without stopping or significantly slowing down their production. </w:t>
            </w:r>
          </w:p>
          <w:p w14:paraId="1E717DE4" w14:textId="77777777" w:rsidR="002A5DA3" w:rsidRDefault="002A5DA3" w:rsidP="00F557CC">
            <w:pPr>
              <w:pStyle w:val="Default"/>
              <w:rPr>
                <w:sz w:val="18"/>
                <w:szCs w:val="18"/>
              </w:rPr>
            </w:pPr>
            <w:r>
              <w:rPr>
                <w:sz w:val="18"/>
                <w:szCs w:val="18"/>
              </w:rPr>
              <w:t>1) Initiated because of actions or decisions of your suppliers and came close to severing your operational flows. __________</w:t>
            </w:r>
          </w:p>
        </w:tc>
      </w:tr>
      <w:tr w:rsidR="002A5DA3" w14:paraId="3B42044D" w14:textId="77777777" w:rsidTr="00F557CC">
        <w:trPr>
          <w:trHeight w:val="221"/>
        </w:trPr>
        <w:tc>
          <w:tcPr>
            <w:tcW w:w="9272" w:type="dxa"/>
          </w:tcPr>
          <w:p w14:paraId="6603CFA6" w14:textId="77777777" w:rsidR="002A5DA3" w:rsidRDefault="002A5DA3" w:rsidP="00F557CC">
            <w:pPr>
              <w:pStyle w:val="Default"/>
              <w:rPr>
                <w:sz w:val="18"/>
                <w:szCs w:val="18"/>
              </w:rPr>
            </w:pPr>
            <w:r>
              <w:rPr>
                <w:sz w:val="18"/>
                <w:szCs w:val="18"/>
              </w:rPr>
              <w:t>2) Initiated in your organization and affected upstream and downstream members of the supply chain without stopping or significantly slowing down their production. __________</w:t>
            </w:r>
          </w:p>
        </w:tc>
      </w:tr>
      <w:tr w:rsidR="002A5DA3" w14:paraId="4EB75870" w14:textId="77777777" w:rsidTr="00F557CC">
        <w:trPr>
          <w:trHeight w:val="221"/>
        </w:trPr>
        <w:tc>
          <w:tcPr>
            <w:tcW w:w="9272" w:type="dxa"/>
          </w:tcPr>
          <w:p w14:paraId="6EABC527" w14:textId="77777777" w:rsidR="002A5DA3" w:rsidRDefault="002A5DA3" w:rsidP="00F557CC">
            <w:pPr>
              <w:pStyle w:val="Default"/>
              <w:rPr>
                <w:sz w:val="18"/>
                <w:szCs w:val="18"/>
              </w:rPr>
            </w:pPr>
            <w:r>
              <w:rPr>
                <w:sz w:val="18"/>
                <w:szCs w:val="18"/>
              </w:rPr>
              <w:t>3) Initiated because of actions or decisions of your downstream customers and affected your operations without stopping or significantly slowing down your production. ___________</w:t>
            </w:r>
          </w:p>
        </w:tc>
      </w:tr>
      <w:tr w:rsidR="002A5DA3" w14:paraId="2B5BD00C" w14:textId="77777777" w:rsidTr="00F557CC">
        <w:trPr>
          <w:trHeight w:val="221"/>
        </w:trPr>
        <w:tc>
          <w:tcPr>
            <w:tcW w:w="9272" w:type="dxa"/>
          </w:tcPr>
          <w:p w14:paraId="6AC8907C" w14:textId="77777777" w:rsidR="002A5DA3" w:rsidRDefault="002A5DA3" w:rsidP="00F557CC">
            <w:pPr>
              <w:pStyle w:val="Default"/>
              <w:rPr>
                <w:sz w:val="18"/>
                <w:szCs w:val="18"/>
              </w:rPr>
            </w:pPr>
            <w:r>
              <w:rPr>
                <w:sz w:val="18"/>
                <w:szCs w:val="18"/>
              </w:rPr>
              <w:t>4) Initiated as a result of other factors and affected more than one member of your supply chain without stopping or significantly slowing down their production. ___________</w:t>
            </w:r>
          </w:p>
        </w:tc>
      </w:tr>
    </w:tbl>
    <w:p w14:paraId="7C491E85" w14:textId="77777777" w:rsidR="002A5DA3" w:rsidRDefault="002A5DA3" w:rsidP="002A5DA3">
      <w:pPr>
        <w:pStyle w:val="Default"/>
        <w:rPr>
          <w:sz w:val="18"/>
          <w:szCs w:val="18"/>
        </w:rPr>
      </w:pPr>
    </w:p>
    <w:p w14:paraId="1C24BD12" w14:textId="77777777" w:rsidR="002A5DA3" w:rsidRDefault="002A5DA3" w:rsidP="002A5DA3">
      <w:pPr>
        <w:pStyle w:val="Default"/>
        <w:rPr>
          <w:sz w:val="18"/>
          <w:szCs w:val="18"/>
        </w:rPr>
      </w:pPr>
    </w:p>
    <w:p w14:paraId="48760C9E" w14:textId="77777777" w:rsidR="002A5DA3" w:rsidRDefault="002A5DA3" w:rsidP="002A5DA3">
      <w:pPr>
        <w:pStyle w:val="Default"/>
        <w:rPr>
          <w:sz w:val="18"/>
          <w:szCs w:val="18"/>
        </w:rPr>
      </w:pPr>
    </w:p>
    <w:tbl>
      <w:tblPr>
        <w:tblStyle w:val="TableGridLight"/>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5868"/>
        <w:gridCol w:w="720"/>
        <w:gridCol w:w="720"/>
        <w:gridCol w:w="630"/>
        <w:gridCol w:w="540"/>
        <w:gridCol w:w="810"/>
      </w:tblGrid>
      <w:tr w:rsidR="002A5DA3" w14:paraId="04ECDE91" w14:textId="77777777" w:rsidTr="00F557CC">
        <w:trPr>
          <w:trHeight w:val="129"/>
        </w:trPr>
        <w:tc>
          <w:tcPr>
            <w:tcW w:w="5868" w:type="dxa"/>
          </w:tcPr>
          <w:p w14:paraId="73CEE243" w14:textId="77777777" w:rsidR="002A5DA3" w:rsidRDefault="002A5DA3" w:rsidP="00F557CC">
            <w:pPr>
              <w:pStyle w:val="Default"/>
              <w:rPr>
                <w:b/>
                <w:bCs/>
                <w:sz w:val="18"/>
                <w:szCs w:val="18"/>
              </w:rPr>
            </w:pPr>
          </w:p>
        </w:tc>
        <w:tc>
          <w:tcPr>
            <w:tcW w:w="720" w:type="dxa"/>
          </w:tcPr>
          <w:p w14:paraId="62CB0E83" w14:textId="77777777" w:rsidR="002A5DA3" w:rsidRDefault="002A5DA3" w:rsidP="00F557CC">
            <w:pPr>
              <w:pStyle w:val="Default"/>
              <w:rPr>
                <w:b/>
                <w:bCs/>
                <w:sz w:val="18"/>
                <w:szCs w:val="18"/>
              </w:rPr>
            </w:pPr>
            <w:r>
              <w:rPr>
                <w:b/>
                <w:bCs/>
                <w:sz w:val="18"/>
                <w:szCs w:val="18"/>
              </w:rPr>
              <w:t>1</w:t>
            </w:r>
          </w:p>
        </w:tc>
        <w:tc>
          <w:tcPr>
            <w:tcW w:w="720" w:type="dxa"/>
          </w:tcPr>
          <w:p w14:paraId="22F8A044" w14:textId="77777777" w:rsidR="002A5DA3" w:rsidRDefault="002A5DA3" w:rsidP="00F557CC">
            <w:pPr>
              <w:pStyle w:val="Default"/>
              <w:rPr>
                <w:b/>
                <w:bCs/>
                <w:sz w:val="18"/>
                <w:szCs w:val="18"/>
              </w:rPr>
            </w:pPr>
            <w:r>
              <w:rPr>
                <w:b/>
                <w:bCs/>
                <w:sz w:val="18"/>
                <w:szCs w:val="18"/>
              </w:rPr>
              <w:t>2</w:t>
            </w:r>
          </w:p>
        </w:tc>
        <w:tc>
          <w:tcPr>
            <w:tcW w:w="630" w:type="dxa"/>
          </w:tcPr>
          <w:p w14:paraId="37292107" w14:textId="77777777" w:rsidR="002A5DA3" w:rsidRDefault="002A5DA3" w:rsidP="00F557CC">
            <w:pPr>
              <w:pStyle w:val="Default"/>
              <w:rPr>
                <w:b/>
                <w:bCs/>
                <w:sz w:val="18"/>
                <w:szCs w:val="18"/>
              </w:rPr>
            </w:pPr>
            <w:r>
              <w:rPr>
                <w:b/>
                <w:bCs/>
                <w:sz w:val="18"/>
                <w:szCs w:val="18"/>
              </w:rPr>
              <w:t>3</w:t>
            </w:r>
          </w:p>
        </w:tc>
        <w:tc>
          <w:tcPr>
            <w:tcW w:w="540" w:type="dxa"/>
          </w:tcPr>
          <w:p w14:paraId="3FE4D898" w14:textId="77777777" w:rsidR="002A5DA3" w:rsidRDefault="002A5DA3" w:rsidP="00F557CC">
            <w:pPr>
              <w:pStyle w:val="Default"/>
              <w:rPr>
                <w:b/>
                <w:bCs/>
                <w:sz w:val="18"/>
                <w:szCs w:val="18"/>
              </w:rPr>
            </w:pPr>
            <w:r>
              <w:rPr>
                <w:b/>
                <w:bCs/>
                <w:sz w:val="18"/>
                <w:szCs w:val="18"/>
              </w:rPr>
              <w:t>4</w:t>
            </w:r>
          </w:p>
        </w:tc>
        <w:tc>
          <w:tcPr>
            <w:tcW w:w="810" w:type="dxa"/>
          </w:tcPr>
          <w:p w14:paraId="49560AE5" w14:textId="77777777" w:rsidR="002A5DA3" w:rsidRDefault="002A5DA3" w:rsidP="00F557CC">
            <w:pPr>
              <w:pStyle w:val="Default"/>
              <w:rPr>
                <w:b/>
                <w:bCs/>
                <w:sz w:val="18"/>
                <w:szCs w:val="18"/>
              </w:rPr>
            </w:pPr>
            <w:r>
              <w:rPr>
                <w:b/>
                <w:bCs/>
                <w:sz w:val="18"/>
                <w:szCs w:val="18"/>
              </w:rPr>
              <w:t>5</w:t>
            </w:r>
          </w:p>
        </w:tc>
      </w:tr>
      <w:tr w:rsidR="002A5DA3" w14:paraId="438F2779" w14:textId="77777777" w:rsidTr="00F557CC">
        <w:trPr>
          <w:trHeight w:val="129"/>
        </w:trPr>
        <w:tc>
          <w:tcPr>
            <w:tcW w:w="5868" w:type="dxa"/>
          </w:tcPr>
          <w:p w14:paraId="0E231F52" w14:textId="77777777" w:rsidR="002A5DA3" w:rsidRPr="0089596F" w:rsidRDefault="002A5DA3" w:rsidP="00F557CC">
            <w:pPr>
              <w:pStyle w:val="Default"/>
              <w:rPr>
                <w:b/>
                <w:sz w:val="18"/>
                <w:szCs w:val="18"/>
              </w:rPr>
            </w:pPr>
            <w:r w:rsidRPr="0089596F">
              <w:rPr>
                <w:b/>
                <w:sz w:val="18"/>
                <w:szCs w:val="18"/>
              </w:rPr>
              <w:t>In your organization:</w:t>
            </w:r>
          </w:p>
        </w:tc>
        <w:tc>
          <w:tcPr>
            <w:tcW w:w="720" w:type="dxa"/>
          </w:tcPr>
          <w:p w14:paraId="74753A91" w14:textId="77777777" w:rsidR="002A5DA3" w:rsidRDefault="002A5DA3" w:rsidP="00F557CC">
            <w:pPr>
              <w:pStyle w:val="Default"/>
              <w:rPr>
                <w:sz w:val="18"/>
                <w:szCs w:val="18"/>
              </w:rPr>
            </w:pPr>
            <w:r>
              <w:rPr>
                <w:b/>
                <w:bCs/>
                <w:sz w:val="18"/>
                <w:szCs w:val="18"/>
              </w:rPr>
              <w:t xml:space="preserve">SD </w:t>
            </w:r>
          </w:p>
        </w:tc>
        <w:tc>
          <w:tcPr>
            <w:tcW w:w="720" w:type="dxa"/>
          </w:tcPr>
          <w:p w14:paraId="5054CC34" w14:textId="77777777" w:rsidR="002A5DA3" w:rsidRDefault="002A5DA3" w:rsidP="00F557CC">
            <w:pPr>
              <w:pStyle w:val="Default"/>
              <w:rPr>
                <w:sz w:val="18"/>
                <w:szCs w:val="18"/>
              </w:rPr>
            </w:pPr>
            <w:r>
              <w:rPr>
                <w:b/>
                <w:bCs/>
                <w:sz w:val="18"/>
                <w:szCs w:val="18"/>
              </w:rPr>
              <w:t xml:space="preserve">D </w:t>
            </w:r>
          </w:p>
        </w:tc>
        <w:tc>
          <w:tcPr>
            <w:tcW w:w="630" w:type="dxa"/>
          </w:tcPr>
          <w:p w14:paraId="602AC6B9" w14:textId="77777777" w:rsidR="002A5DA3" w:rsidRDefault="002A5DA3" w:rsidP="00F557CC">
            <w:pPr>
              <w:pStyle w:val="Default"/>
              <w:rPr>
                <w:sz w:val="18"/>
                <w:szCs w:val="18"/>
              </w:rPr>
            </w:pPr>
            <w:r>
              <w:rPr>
                <w:b/>
                <w:bCs/>
                <w:sz w:val="18"/>
                <w:szCs w:val="18"/>
              </w:rPr>
              <w:t xml:space="preserve">N </w:t>
            </w:r>
          </w:p>
        </w:tc>
        <w:tc>
          <w:tcPr>
            <w:tcW w:w="540" w:type="dxa"/>
          </w:tcPr>
          <w:p w14:paraId="64168D42" w14:textId="77777777" w:rsidR="002A5DA3" w:rsidRDefault="002A5DA3" w:rsidP="00F557CC">
            <w:pPr>
              <w:pStyle w:val="Default"/>
              <w:rPr>
                <w:sz w:val="18"/>
                <w:szCs w:val="18"/>
              </w:rPr>
            </w:pPr>
            <w:r>
              <w:rPr>
                <w:b/>
                <w:bCs/>
                <w:sz w:val="18"/>
                <w:szCs w:val="18"/>
              </w:rPr>
              <w:t xml:space="preserve">A </w:t>
            </w:r>
          </w:p>
        </w:tc>
        <w:tc>
          <w:tcPr>
            <w:tcW w:w="810" w:type="dxa"/>
          </w:tcPr>
          <w:p w14:paraId="503605F3" w14:textId="77777777" w:rsidR="002A5DA3" w:rsidRDefault="002A5DA3" w:rsidP="00F557CC">
            <w:pPr>
              <w:pStyle w:val="Default"/>
              <w:rPr>
                <w:sz w:val="18"/>
                <w:szCs w:val="18"/>
              </w:rPr>
            </w:pPr>
            <w:r>
              <w:rPr>
                <w:b/>
                <w:bCs/>
                <w:sz w:val="18"/>
                <w:szCs w:val="18"/>
              </w:rPr>
              <w:t xml:space="preserve">SA </w:t>
            </w:r>
          </w:p>
        </w:tc>
      </w:tr>
      <w:tr w:rsidR="002A5DA3" w14:paraId="64889EA4" w14:textId="77777777" w:rsidTr="00F557CC">
        <w:trPr>
          <w:trHeight w:val="119"/>
        </w:trPr>
        <w:tc>
          <w:tcPr>
            <w:tcW w:w="9288" w:type="dxa"/>
            <w:gridSpan w:val="6"/>
          </w:tcPr>
          <w:p w14:paraId="65EA31E2" w14:textId="77777777" w:rsidR="002A5DA3" w:rsidRDefault="002A5DA3" w:rsidP="00F557CC">
            <w:pPr>
              <w:pStyle w:val="Default"/>
              <w:rPr>
                <w:sz w:val="18"/>
                <w:szCs w:val="18"/>
              </w:rPr>
            </w:pPr>
            <w:r>
              <w:rPr>
                <w:b/>
                <w:bCs/>
                <w:sz w:val="18"/>
                <w:szCs w:val="18"/>
              </w:rPr>
              <w:t>Procedural response</w:t>
            </w:r>
          </w:p>
        </w:tc>
      </w:tr>
      <w:tr w:rsidR="002A5DA3" w14:paraId="5DAA24CC" w14:textId="77777777" w:rsidTr="00F557CC">
        <w:trPr>
          <w:trHeight w:val="133"/>
        </w:trPr>
        <w:tc>
          <w:tcPr>
            <w:tcW w:w="5868" w:type="dxa"/>
          </w:tcPr>
          <w:p w14:paraId="683AD6DD" w14:textId="77777777" w:rsidR="002A5DA3" w:rsidRDefault="002A5DA3" w:rsidP="00F557CC">
            <w:pPr>
              <w:pStyle w:val="Default"/>
              <w:rPr>
                <w:sz w:val="18"/>
                <w:szCs w:val="18"/>
              </w:rPr>
            </w:pPr>
            <w:r>
              <w:rPr>
                <w:sz w:val="18"/>
                <w:szCs w:val="18"/>
              </w:rPr>
              <w:t xml:space="preserve">(1) Use of established policies and procedures play a major role </w:t>
            </w:r>
          </w:p>
        </w:tc>
        <w:tc>
          <w:tcPr>
            <w:tcW w:w="720" w:type="dxa"/>
          </w:tcPr>
          <w:p w14:paraId="3451BB98" w14:textId="77777777" w:rsidR="002A5DA3" w:rsidRDefault="002A5DA3" w:rsidP="00F557CC">
            <w:pPr>
              <w:pStyle w:val="Default"/>
              <w:rPr>
                <w:sz w:val="16"/>
                <w:szCs w:val="16"/>
              </w:rPr>
            </w:pPr>
            <w:r>
              <w:rPr>
                <w:sz w:val="16"/>
                <w:szCs w:val="16"/>
              </w:rPr>
              <w:t xml:space="preserve">1 </w:t>
            </w:r>
          </w:p>
        </w:tc>
        <w:tc>
          <w:tcPr>
            <w:tcW w:w="720" w:type="dxa"/>
          </w:tcPr>
          <w:p w14:paraId="3E9691DB" w14:textId="77777777" w:rsidR="002A5DA3" w:rsidRDefault="002A5DA3" w:rsidP="00F557CC">
            <w:pPr>
              <w:pStyle w:val="Default"/>
              <w:rPr>
                <w:sz w:val="20"/>
                <w:szCs w:val="20"/>
              </w:rPr>
            </w:pPr>
            <w:r>
              <w:rPr>
                <w:sz w:val="20"/>
                <w:szCs w:val="20"/>
              </w:rPr>
              <w:t xml:space="preserve">2 </w:t>
            </w:r>
          </w:p>
        </w:tc>
        <w:tc>
          <w:tcPr>
            <w:tcW w:w="630" w:type="dxa"/>
          </w:tcPr>
          <w:p w14:paraId="31665E05" w14:textId="77777777" w:rsidR="002A5DA3" w:rsidRDefault="002A5DA3" w:rsidP="00F557CC">
            <w:pPr>
              <w:pStyle w:val="Default"/>
              <w:rPr>
                <w:sz w:val="20"/>
                <w:szCs w:val="20"/>
              </w:rPr>
            </w:pPr>
            <w:r>
              <w:rPr>
                <w:sz w:val="20"/>
                <w:szCs w:val="20"/>
              </w:rPr>
              <w:t xml:space="preserve">3 </w:t>
            </w:r>
          </w:p>
        </w:tc>
        <w:tc>
          <w:tcPr>
            <w:tcW w:w="540" w:type="dxa"/>
          </w:tcPr>
          <w:p w14:paraId="3F31A907" w14:textId="77777777" w:rsidR="002A5DA3" w:rsidRDefault="002A5DA3" w:rsidP="00F557CC">
            <w:pPr>
              <w:pStyle w:val="Default"/>
              <w:rPr>
                <w:sz w:val="20"/>
                <w:szCs w:val="20"/>
              </w:rPr>
            </w:pPr>
            <w:r>
              <w:rPr>
                <w:sz w:val="20"/>
                <w:szCs w:val="20"/>
              </w:rPr>
              <w:t xml:space="preserve">4 </w:t>
            </w:r>
          </w:p>
        </w:tc>
        <w:tc>
          <w:tcPr>
            <w:tcW w:w="810" w:type="dxa"/>
          </w:tcPr>
          <w:p w14:paraId="6F2E48C2" w14:textId="77777777" w:rsidR="002A5DA3" w:rsidRDefault="002A5DA3" w:rsidP="00F557CC">
            <w:pPr>
              <w:pStyle w:val="Default"/>
              <w:rPr>
                <w:sz w:val="20"/>
                <w:szCs w:val="20"/>
              </w:rPr>
            </w:pPr>
            <w:r>
              <w:rPr>
                <w:sz w:val="20"/>
                <w:szCs w:val="20"/>
              </w:rPr>
              <w:t xml:space="preserve">5 </w:t>
            </w:r>
          </w:p>
        </w:tc>
      </w:tr>
      <w:tr w:rsidR="002A5DA3" w14:paraId="2682827E" w14:textId="77777777" w:rsidTr="00F557CC">
        <w:trPr>
          <w:trHeight w:val="133"/>
        </w:trPr>
        <w:tc>
          <w:tcPr>
            <w:tcW w:w="5868" w:type="dxa"/>
          </w:tcPr>
          <w:p w14:paraId="63529CB8" w14:textId="77777777" w:rsidR="002A5DA3" w:rsidRDefault="002A5DA3" w:rsidP="00F557CC">
            <w:pPr>
              <w:pStyle w:val="Default"/>
              <w:rPr>
                <w:sz w:val="18"/>
                <w:szCs w:val="18"/>
              </w:rPr>
            </w:pPr>
            <w:r>
              <w:rPr>
                <w:sz w:val="18"/>
                <w:szCs w:val="18"/>
              </w:rPr>
              <w:t xml:space="preserve">(2) How past disruptions have been managed is documented and referred to. </w:t>
            </w:r>
          </w:p>
        </w:tc>
        <w:tc>
          <w:tcPr>
            <w:tcW w:w="720" w:type="dxa"/>
          </w:tcPr>
          <w:p w14:paraId="73532D49" w14:textId="77777777" w:rsidR="002A5DA3" w:rsidRDefault="002A5DA3" w:rsidP="00F557CC">
            <w:pPr>
              <w:pStyle w:val="Default"/>
              <w:rPr>
                <w:sz w:val="20"/>
                <w:szCs w:val="20"/>
              </w:rPr>
            </w:pPr>
            <w:r>
              <w:rPr>
                <w:sz w:val="20"/>
                <w:szCs w:val="20"/>
              </w:rPr>
              <w:t xml:space="preserve">1 </w:t>
            </w:r>
          </w:p>
        </w:tc>
        <w:tc>
          <w:tcPr>
            <w:tcW w:w="720" w:type="dxa"/>
          </w:tcPr>
          <w:p w14:paraId="58FD3FAE" w14:textId="77777777" w:rsidR="002A5DA3" w:rsidRDefault="002A5DA3" w:rsidP="00F557CC">
            <w:pPr>
              <w:pStyle w:val="Default"/>
              <w:rPr>
                <w:sz w:val="20"/>
                <w:szCs w:val="20"/>
              </w:rPr>
            </w:pPr>
            <w:r>
              <w:rPr>
                <w:sz w:val="20"/>
                <w:szCs w:val="20"/>
              </w:rPr>
              <w:t xml:space="preserve">2 </w:t>
            </w:r>
          </w:p>
        </w:tc>
        <w:tc>
          <w:tcPr>
            <w:tcW w:w="630" w:type="dxa"/>
          </w:tcPr>
          <w:p w14:paraId="0680E14A" w14:textId="77777777" w:rsidR="002A5DA3" w:rsidRDefault="002A5DA3" w:rsidP="00F557CC">
            <w:pPr>
              <w:pStyle w:val="Default"/>
              <w:rPr>
                <w:sz w:val="20"/>
                <w:szCs w:val="20"/>
              </w:rPr>
            </w:pPr>
            <w:r>
              <w:rPr>
                <w:sz w:val="20"/>
                <w:szCs w:val="20"/>
              </w:rPr>
              <w:t xml:space="preserve">3 </w:t>
            </w:r>
          </w:p>
        </w:tc>
        <w:tc>
          <w:tcPr>
            <w:tcW w:w="540" w:type="dxa"/>
          </w:tcPr>
          <w:p w14:paraId="194F76A7" w14:textId="77777777" w:rsidR="002A5DA3" w:rsidRDefault="002A5DA3" w:rsidP="00F557CC">
            <w:pPr>
              <w:pStyle w:val="Default"/>
              <w:rPr>
                <w:sz w:val="20"/>
                <w:szCs w:val="20"/>
              </w:rPr>
            </w:pPr>
            <w:r>
              <w:rPr>
                <w:sz w:val="20"/>
                <w:szCs w:val="20"/>
              </w:rPr>
              <w:t xml:space="preserve">4 </w:t>
            </w:r>
          </w:p>
        </w:tc>
        <w:tc>
          <w:tcPr>
            <w:tcW w:w="810" w:type="dxa"/>
          </w:tcPr>
          <w:p w14:paraId="1887A2F0" w14:textId="77777777" w:rsidR="002A5DA3" w:rsidRDefault="002A5DA3" w:rsidP="00F557CC">
            <w:pPr>
              <w:pStyle w:val="Default"/>
              <w:rPr>
                <w:sz w:val="20"/>
                <w:szCs w:val="20"/>
              </w:rPr>
            </w:pPr>
            <w:r>
              <w:rPr>
                <w:sz w:val="20"/>
                <w:szCs w:val="20"/>
              </w:rPr>
              <w:t xml:space="preserve">5 </w:t>
            </w:r>
          </w:p>
        </w:tc>
      </w:tr>
      <w:tr w:rsidR="002A5DA3" w14:paraId="345BC283" w14:textId="77777777" w:rsidTr="00F557CC">
        <w:trPr>
          <w:trHeight w:val="133"/>
        </w:trPr>
        <w:tc>
          <w:tcPr>
            <w:tcW w:w="5868" w:type="dxa"/>
          </w:tcPr>
          <w:p w14:paraId="77D4E32D" w14:textId="77777777" w:rsidR="002A5DA3" w:rsidRDefault="002A5DA3" w:rsidP="00F557CC">
            <w:pPr>
              <w:pStyle w:val="Default"/>
              <w:rPr>
                <w:sz w:val="18"/>
                <w:szCs w:val="18"/>
              </w:rPr>
            </w:pPr>
            <w:r>
              <w:rPr>
                <w:sz w:val="18"/>
                <w:szCs w:val="18"/>
              </w:rPr>
              <w:t xml:space="preserve">(3) Role, responsibilities and ownership of problems are rigidly followed. </w:t>
            </w:r>
          </w:p>
        </w:tc>
        <w:tc>
          <w:tcPr>
            <w:tcW w:w="720" w:type="dxa"/>
          </w:tcPr>
          <w:p w14:paraId="3D1C3986" w14:textId="77777777" w:rsidR="002A5DA3" w:rsidRDefault="002A5DA3" w:rsidP="00F557CC">
            <w:pPr>
              <w:pStyle w:val="Default"/>
              <w:rPr>
                <w:sz w:val="20"/>
                <w:szCs w:val="20"/>
              </w:rPr>
            </w:pPr>
            <w:r>
              <w:rPr>
                <w:sz w:val="20"/>
                <w:szCs w:val="20"/>
              </w:rPr>
              <w:t xml:space="preserve">1 </w:t>
            </w:r>
          </w:p>
        </w:tc>
        <w:tc>
          <w:tcPr>
            <w:tcW w:w="720" w:type="dxa"/>
          </w:tcPr>
          <w:p w14:paraId="7ED78D09" w14:textId="77777777" w:rsidR="002A5DA3" w:rsidRDefault="002A5DA3" w:rsidP="00F557CC">
            <w:pPr>
              <w:pStyle w:val="Default"/>
              <w:rPr>
                <w:sz w:val="20"/>
                <w:szCs w:val="20"/>
              </w:rPr>
            </w:pPr>
            <w:r>
              <w:rPr>
                <w:sz w:val="20"/>
                <w:szCs w:val="20"/>
              </w:rPr>
              <w:t xml:space="preserve">3 </w:t>
            </w:r>
          </w:p>
        </w:tc>
        <w:tc>
          <w:tcPr>
            <w:tcW w:w="630" w:type="dxa"/>
          </w:tcPr>
          <w:p w14:paraId="2E4A9DCA" w14:textId="77777777" w:rsidR="002A5DA3" w:rsidRDefault="002A5DA3" w:rsidP="00F557CC">
            <w:pPr>
              <w:pStyle w:val="Default"/>
              <w:rPr>
                <w:sz w:val="20"/>
                <w:szCs w:val="20"/>
              </w:rPr>
            </w:pPr>
            <w:r>
              <w:rPr>
                <w:sz w:val="20"/>
                <w:szCs w:val="20"/>
              </w:rPr>
              <w:t xml:space="preserve">3 </w:t>
            </w:r>
          </w:p>
        </w:tc>
        <w:tc>
          <w:tcPr>
            <w:tcW w:w="540" w:type="dxa"/>
          </w:tcPr>
          <w:p w14:paraId="7F940A3F" w14:textId="77777777" w:rsidR="002A5DA3" w:rsidRDefault="002A5DA3" w:rsidP="00F557CC">
            <w:pPr>
              <w:pStyle w:val="Default"/>
              <w:rPr>
                <w:sz w:val="20"/>
                <w:szCs w:val="20"/>
              </w:rPr>
            </w:pPr>
            <w:r>
              <w:rPr>
                <w:sz w:val="20"/>
                <w:szCs w:val="20"/>
              </w:rPr>
              <w:t xml:space="preserve">4 </w:t>
            </w:r>
          </w:p>
        </w:tc>
        <w:tc>
          <w:tcPr>
            <w:tcW w:w="810" w:type="dxa"/>
          </w:tcPr>
          <w:p w14:paraId="6D5A181B" w14:textId="77777777" w:rsidR="002A5DA3" w:rsidRDefault="002A5DA3" w:rsidP="00F557CC">
            <w:pPr>
              <w:pStyle w:val="Default"/>
              <w:rPr>
                <w:sz w:val="20"/>
                <w:szCs w:val="20"/>
              </w:rPr>
            </w:pPr>
            <w:r>
              <w:rPr>
                <w:sz w:val="20"/>
                <w:szCs w:val="20"/>
              </w:rPr>
              <w:t xml:space="preserve">5 </w:t>
            </w:r>
          </w:p>
        </w:tc>
      </w:tr>
      <w:tr w:rsidR="002A5DA3" w14:paraId="114F6C59" w14:textId="77777777" w:rsidTr="00F557CC">
        <w:trPr>
          <w:trHeight w:val="133"/>
        </w:trPr>
        <w:tc>
          <w:tcPr>
            <w:tcW w:w="5868" w:type="dxa"/>
          </w:tcPr>
          <w:p w14:paraId="3F41FB6C" w14:textId="77777777" w:rsidR="002A5DA3" w:rsidRDefault="002A5DA3" w:rsidP="00F557CC">
            <w:pPr>
              <w:pStyle w:val="Default"/>
              <w:rPr>
                <w:sz w:val="18"/>
                <w:szCs w:val="18"/>
              </w:rPr>
            </w:pPr>
            <w:r>
              <w:rPr>
                <w:sz w:val="18"/>
                <w:szCs w:val="18"/>
              </w:rPr>
              <w:t xml:space="preserve">(4) Allocating resources is through formalized requests and approvals </w:t>
            </w:r>
          </w:p>
        </w:tc>
        <w:tc>
          <w:tcPr>
            <w:tcW w:w="720" w:type="dxa"/>
          </w:tcPr>
          <w:p w14:paraId="61574449" w14:textId="77777777" w:rsidR="002A5DA3" w:rsidRDefault="002A5DA3" w:rsidP="00F557CC">
            <w:pPr>
              <w:pStyle w:val="Default"/>
              <w:rPr>
                <w:sz w:val="20"/>
                <w:szCs w:val="20"/>
              </w:rPr>
            </w:pPr>
            <w:r>
              <w:rPr>
                <w:sz w:val="20"/>
                <w:szCs w:val="20"/>
              </w:rPr>
              <w:t xml:space="preserve">1 </w:t>
            </w:r>
          </w:p>
        </w:tc>
        <w:tc>
          <w:tcPr>
            <w:tcW w:w="720" w:type="dxa"/>
          </w:tcPr>
          <w:p w14:paraId="6BE38D7E" w14:textId="77777777" w:rsidR="002A5DA3" w:rsidRDefault="002A5DA3" w:rsidP="00F557CC">
            <w:pPr>
              <w:pStyle w:val="Default"/>
              <w:rPr>
                <w:sz w:val="20"/>
                <w:szCs w:val="20"/>
              </w:rPr>
            </w:pPr>
            <w:r>
              <w:rPr>
                <w:sz w:val="20"/>
                <w:szCs w:val="20"/>
              </w:rPr>
              <w:t xml:space="preserve">2 </w:t>
            </w:r>
          </w:p>
        </w:tc>
        <w:tc>
          <w:tcPr>
            <w:tcW w:w="630" w:type="dxa"/>
          </w:tcPr>
          <w:p w14:paraId="13B806F9" w14:textId="77777777" w:rsidR="002A5DA3" w:rsidRDefault="002A5DA3" w:rsidP="00F557CC">
            <w:pPr>
              <w:pStyle w:val="Default"/>
              <w:rPr>
                <w:sz w:val="20"/>
                <w:szCs w:val="20"/>
              </w:rPr>
            </w:pPr>
            <w:r>
              <w:rPr>
                <w:sz w:val="20"/>
                <w:szCs w:val="20"/>
              </w:rPr>
              <w:t xml:space="preserve">3 </w:t>
            </w:r>
          </w:p>
        </w:tc>
        <w:tc>
          <w:tcPr>
            <w:tcW w:w="540" w:type="dxa"/>
          </w:tcPr>
          <w:p w14:paraId="15F03D06" w14:textId="77777777" w:rsidR="002A5DA3" w:rsidRDefault="002A5DA3" w:rsidP="00F557CC">
            <w:pPr>
              <w:pStyle w:val="Default"/>
              <w:rPr>
                <w:sz w:val="20"/>
                <w:szCs w:val="20"/>
              </w:rPr>
            </w:pPr>
            <w:r>
              <w:rPr>
                <w:sz w:val="20"/>
                <w:szCs w:val="20"/>
              </w:rPr>
              <w:t xml:space="preserve">4 </w:t>
            </w:r>
          </w:p>
        </w:tc>
        <w:tc>
          <w:tcPr>
            <w:tcW w:w="810" w:type="dxa"/>
          </w:tcPr>
          <w:p w14:paraId="3C61DC5B" w14:textId="77777777" w:rsidR="002A5DA3" w:rsidRDefault="002A5DA3" w:rsidP="00F557CC">
            <w:pPr>
              <w:pStyle w:val="Default"/>
              <w:rPr>
                <w:sz w:val="20"/>
                <w:szCs w:val="20"/>
              </w:rPr>
            </w:pPr>
            <w:r>
              <w:rPr>
                <w:sz w:val="20"/>
                <w:szCs w:val="20"/>
              </w:rPr>
              <w:t xml:space="preserve">5 </w:t>
            </w:r>
          </w:p>
        </w:tc>
      </w:tr>
      <w:tr w:rsidR="002A5DA3" w14:paraId="1FE0BE6F" w14:textId="77777777" w:rsidTr="00F557CC">
        <w:trPr>
          <w:trHeight w:val="119"/>
        </w:trPr>
        <w:tc>
          <w:tcPr>
            <w:tcW w:w="9288" w:type="dxa"/>
            <w:gridSpan w:val="6"/>
          </w:tcPr>
          <w:p w14:paraId="2EFC4B47" w14:textId="77777777" w:rsidR="002A5DA3" w:rsidRDefault="002A5DA3" w:rsidP="00F557CC">
            <w:pPr>
              <w:pStyle w:val="Default"/>
              <w:rPr>
                <w:sz w:val="18"/>
                <w:szCs w:val="18"/>
              </w:rPr>
            </w:pPr>
            <w:r>
              <w:rPr>
                <w:b/>
                <w:bCs/>
                <w:sz w:val="18"/>
                <w:szCs w:val="18"/>
              </w:rPr>
              <w:t>Flexible response</w:t>
            </w:r>
          </w:p>
        </w:tc>
      </w:tr>
      <w:tr w:rsidR="002A5DA3" w14:paraId="1E0DDADA" w14:textId="77777777" w:rsidTr="00F557CC">
        <w:trPr>
          <w:trHeight w:val="133"/>
        </w:trPr>
        <w:tc>
          <w:tcPr>
            <w:tcW w:w="5868" w:type="dxa"/>
          </w:tcPr>
          <w:p w14:paraId="0BF6616C" w14:textId="77777777" w:rsidR="002A5DA3" w:rsidRDefault="002A5DA3" w:rsidP="00F557CC">
            <w:pPr>
              <w:pStyle w:val="Default"/>
              <w:rPr>
                <w:sz w:val="18"/>
                <w:szCs w:val="18"/>
              </w:rPr>
            </w:pPr>
            <w:r>
              <w:rPr>
                <w:sz w:val="18"/>
                <w:szCs w:val="18"/>
              </w:rPr>
              <w:t xml:space="preserve">(5) Ad-hoc and emergent decisions are relied upon heavily </w:t>
            </w:r>
          </w:p>
        </w:tc>
        <w:tc>
          <w:tcPr>
            <w:tcW w:w="720" w:type="dxa"/>
          </w:tcPr>
          <w:p w14:paraId="06042F73" w14:textId="77777777" w:rsidR="002A5DA3" w:rsidRDefault="002A5DA3" w:rsidP="00F557CC">
            <w:pPr>
              <w:pStyle w:val="Default"/>
              <w:rPr>
                <w:sz w:val="20"/>
                <w:szCs w:val="20"/>
              </w:rPr>
            </w:pPr>
            <w:r>
              <w:rPr>
                <w:sz w:val="20"/>
                <w:szCs w:val="20"/>
              </w:rPr>
              <w:t xml:space="preserve">1 </w:t>
            </w:r>
          </w:p>
        </w:tc>
        <w:tc>
          <w:tcPr>
            <w:tcW w:w="720" w:type="dxa"/>
          </w:tcPr>
          <w:p w14:paraId="699CFFA1" w14:textId="77777777" w:rsidR="002A5DA3" w:rsidRDefault="002A5DA3" w:rsidP="00F557CC">
            <w:pPr>
              <w:pStyle w:val="Default"/>
              <w:rPr>
                <w:sz w:val="20"/>
                <w:szCs w:val="20"/>
              </w:rPr>
            </w:pPr>
            <w:r>
              <w:rPr>
                <w:sz w:val="20"/>
                <w:szCs w:val="20"/>
              </w:rPr>
              <w:t xml:space="preserve">2 </w:t>
            </w:r>
          </w:p>
        </w:tc>
        <w:tc>
          <w:tcPr>
            <w:tcW w:w="630" w:type="dxa"/>
          </w:tcPr>
          <w:p w14:paraId="4707ADD0" w14:textId="77777777" w:rsidR="002A5DA3" w:rsidRDefault="002A5DA3" w:rsidP="00F557CC">
            <w:pPr>
              <w:pStyle w:val="Default"/>
              <w:rPr>
                <w:sz w:val="20"/>
                <w:szCs w:val="20"/>
              </w:rPr>
            </w:pPr>
            <w:r>
              <w:rPr>
                <w:sz w:val="20"/>
                <w:szCs w:val="20"/>
              </w:rPr>
              <w:t xml:space="preserve">3 </w:t>
            </w:r>
          </w:p>
        </w:tc>
        <w:tc>
          <w:tcPr>
            <w:tcW w:w="540" w:type="dxa"/>
          </w:tcPr>
          <w:p w14:paraId="0CA3D4BD" w14:textId="77777777" w:rsidR="002A5DA3" w:rsidRDefault="002A5DA3" w:rsidP="00F557CC">
            <w:pPr>
              <w:pStyle w:val="Default"/>
              <w:rPr>
                <w:sz w:val="20"/>
                <w:szCs w:val="20"/>
              </w:rPr>
            </w:pPr>
            <w:r>
              <w:rPr>
                <w:sz w:val="20"/>
                <w:szCs w:val="20"/>
              </w:rPr>
              <w:t xml:space="preserve">4 </w:t>
            </w:r>
          </w:p>
        </w:tc>
        <w:tc>
          <w:tcPr>
            <w:tcW w:w="810" w:type="dxa"/>
          </w:tcPr>
          <w:p w14:paraId="042517C7" w14:textId="77777777" w:rsidR="002A5DA3" w:rsidRDefault="002A5DA3" w:rsidP="00F557CC">
            <w:pPr>
              <w:pStyle w:val="Default"/>
              <w:rPr>
                <w:sz w:val="20"/>
                <w:szCs w:val="20"/>
              </w:rPr>
            </w:pPr>
            <w:r>
              <w:rPr>
                <w:sz w:val="20"/>
                <w:szCs w:val="20"/>
              </w:rPr>
              <w:t xml:space="preserve">5 </w:t>
            </w:r>
          </w:p>
        </w:tc>
      </w:tr>
      <w:tr w:rsidR="002A5DA3" w14:paraId="5F1A0BA4" w14:textId="77777777" w:rsidTr="00F557CC">
        <w:trPr>
          <w:trHeight w:val="133"/>
        </w:trPr>
        <w:tc>
          <w:tcPr>
            <w:tcW w:w="5868" w:type="dxa"/>
          </w:tcPr>
          <w:p w14:paraId="1491A175" w14:textId="77777777" w:rsidR="002A5DA3" w:rsidRDefault="002A5DA3" w:rsidP="00F557CC">
            <w:pPr>
              <w:pStyle w:val="Default"/>
              <w:rPr>
                <w:sz w:val="18"/>
                <w:szCs w:val="18"/>
              </w:rPr>
            </w:pPr>
            <w:r>
              <w:rPr>
                <w:sz w:val="18"/>
                <w:szCs w:val="18"/>
              </w:rPr>
              <w:t xml:space="preserve">(6) Plans are adjusted and modified throughout the course of a disruption </w:t>
            </w:r>
          </w:p>
        </w:tc>
        <w:tc>
          <w:tcPr>
            <w:tcW w:w="720" w:type="dxa"/>
          </w:tcPr>
          <w:p w14:paraId="31EBCB30" w14:textId="77777777" w:rsidR="002A5DA3" w:rsidRDefault="002A5DA3" w:rsidP="00F557CC">
            <w:pPr>
              <w:pStyle w:val="Default"/>
              <w:rPr>
                <w:sz w:val="20"/>
                <w:szCs w:val="20"/>
              </w:rPr>
            </w:pPr>
            <w:r>
              <w:rPr>
                <w:sz w:val="20"/>
                <w:szCs w:val="20"/>
              </w:rPr>
              <w:t xml:space="preserve">1 </w:t>
            </w:r>
          </w:p>
        </w:tc>
        <w:tc>
          <w:tcPr>
            <w:tcW w:w="720" w:type="dxa"/>
          </w:tcPr>
          <w:p w14:paraId="3DDEC76E" w14:textId="77777777" w:rsidR="002A5DA3" w:rsidRDefault="002A5DA3" w:rsidP="00F557CC">
            <w:pPr>
              <w:pStyle w:val="Default"/>
              <w:rPr>
                <w:sz w:val="20"/>
                <w:szCs w:val="20"/>
              </w:rPr>
            </w:pPr>
            <w:r>
              <w:rPr>
                <w:sz w:val="20"/>
                <w:szCs w:val="20"/>
              </w:rPr>
              <w:t xml:space="preserve">2 </w:t>
            </w:r>
          </w:p>
        </w:tc>
        <w:tc>
          <w:tcPr>
            <w:tcW w:w="630" w:type="dxa"/>
          </w:tcPr>
          <w:p w14:paraId="26959C62" w14:textId="77777777" w:rsidR="002A5DA3" w:rsidRDefault="002A5DA3" w:rsidP="00F557CC">
            <w:pPr>
              <w:pStyle w:val="Default"/>
              <w:rPr>
                <w:sz w:val="20"/>
                <w:szCs w:val="20"/>
              </w:rPr>
            </w:pPr>
            <w:r>
              <w:rPr>
                <w:sz w:val="20"/>
                <w:szCs w:val="20"/>
              </w:rPr>
              <w:t xml:space="preserve">3 </w:t>
            </w:r>
          </w:p>
        </w:tc>
        <w:tc>
          <w:tcPr>
            <w:tcW w:w="540" w:type="dxa"/>
          </w:tcPr>
          <w:p w14:paraId="549D11C6" w14:textId="77777777" w:rsidR="002A5DA3" w:rsidRDefault="002A5DA3" w:rsidP="00F557CC">
            <w:pPr>
              <w:pStyle w:val="Default"/>
              <w:rPr>
                <w:sz w:val="20"/>
                <w:szCs w:val="20"/>
              </w:rPr>
            </w:pPr>
            <w:r>
              <w:rPr>
                <w:sz w:val="20"/>
                <w:szCs w:val="20"/>
              </w:rPr>
              <w:t xml:space="preserve">4 </w:t>
            </w:r>
          </w:p>
        </w:tc>
        <w:tc>
          <w:tcPr>
            <w:tcW w:w="810" w:type="dxa"/>
          </w:tcPr>
          <w:p w14:paraId="28BFBF49" w14:textId="77777777" w:rsidR="002A5DA3" w:rsidRDefault="002A5DA3" w:rsidP="00F557CC">
            <w:pPr>
              <w:pStyle w:val="Default"/>
              <w:rPr>
                <w:sz w:val="20"/>
                <w:szCs w:val="20"/>
              </w:rPr>
            </w:pPr>
            <w:r>
              <w:rPr>
                <w:sz w:val="20"/>
                <w:szCs w:val="20"/>
              </w:rPr>
              <w:t xml:space="preserve">5 </w:t>
            </w:r>
          </w:p>
        </w:tc>
      </w:tr>
      <w:tr w:rsidR="002A5DA3" w14:paraId="3387528F" w14:textId="77777777" w:rsidTr="00F557CC">
        <w:trPr>
          <w:trHeight w:val="133"/>
        </w:trPr>
        <w:tc>
          <w:tcPr>
            <w:tcW w:w="5868" w:type="dxa"/>
          </w:tcPr>
          <w:p w14:paraId="053D6E4B" w14:textId="77777777" w:rsidR="002A5DA3" w:rsidRDefault="002A5DA3" w:rsidP="00F557CC">
            <w:pPr>
              <w:pStyle w:val="Default"/>
              <w:rPr>
                <w:sz w:val="18"/>
                <w:szCs w:val="18"/>
              </w:rPr>
            </w:pPr>
            <w:r>
              <w:rPr>
                <w:sz w:val="18"/>
                <w:szCs w:val="18"/>
              </w:rPr>
              <w:t xml:space="preserve">(7) Decisions are made based on the situation at hand </w:t>
            </w:r>
          </w:p>
        </w:tc>
        <w:tc>
          <w:tcPr>
            <w:tcW w:w="720" w:type="dxa"/>
          </w:tcPr>
          <w:p w14:paraId="20BCF350" w14:textId="77777777" w:rsidR="002A5DA3" w:rsidRDefault="002A5DA3" w:rsidP="00F557CC">
            <w:pPr>
              <w:pStyle w:val="Default"/>
              <w:rPr>
                <w:sz w:val="20"/>
                <w:szCs w:val="20"/>
              </w:rPr>
            </w:pPr>
            <w:r>
              <w:rPr>
                <w:sz w:val="20"/>
                <w:szCs w:val="20"/>
              </w:rPr>
              <w:t xml:space="preserve">1 </w:t>
            </w:r>
          </w:p>
        </w:tc>
        <w:tc>
          <w:tcPr>
            <w:tcW w:w="720" w:type="dxa"/>
          </w:tcPr>
          <w:p w14:paraId="0BCF0328" w14:textId="77777777" w:rsidR="002A5DA3" w:rsidRDefault="002A5DA3" w:rsidP="00F557CC">
            <w:pPr>
              <w:pStyle w:val="Default"/>
              <w:rPr>
                <w:sz w:val="20"/>
                <w:szCs w:val="20"/>
              </w:rPr>
            </w:pPr>
            <w:r>
              <w:rPr>
                <w:sz w:val="20"/>
                <w:szCs w:val="20"/>
              </w:rPr>
              <w:t xml:space="preserve">2 </w:t>
            </w:r>
          </w:p>
        </w:tc>
        <w:tc>
          <w:tcPr>
            <w:tcW w:w="630" w:type="dxa"/>
          </w:tcPr>
          <w:p w14:paraId="1FB8C6C3" w14:textId="77777777" w:rsidR="002A5DA3" w:rsidRDefault="002A5DA3" w:rsidP="00F557CC">
            <w:pPr>
              <w:pStyle w:val="Default"/>
              <w:rPr>
                <w:sz w:val="20"/>
                <w:szCs w:val="20"/>
              </w:rPr>
            </w:pPr>
            <w:r>
              <w:rPr>
                <w:sz w:val="20"/>
                <w:szCs w:val="20"/>
              </w:rPr>
              <w:t xml:space="preserve">3 </w:t>
            </w:r>
          </w:p>
        </w:tc>
        <w:tc>
          <w:tcPr>
            <w:tcW w:w="540" w:type="dxa"/>
          </w:tcPr>
          <w:p w14:paraId="0EADE748" w14:textId="77777777" w:rsidR="002A5DA3" w:rsidRDefault="002A5DA3" w:rsidP="00F557CC">
            <w:pPr>
              <w:pStyle w:val="Default"/>
              <w:rPr>
                <w:sz w:val="20"/>
                <w:szCs w:val="20"/>
              </w:rPr>
            </w:pPr>
            <w:r>
              <w:rPr>
                <w:sz w:val="20"/>
                <w:szCs w:val="20"/>
              </w:rPr>
              <w:t xml:space="preserve">4 </w:t>
            </w:r>
          </w:p>
        </w:tc>
        <w:tc>
          <w:tcPr>
            <w:tcW w:w="810" w:type="dxa"/>
          </w:tcPr>
          <w:p w14:paraId="408E70B9" w14:textId="77777777" w:rsidR="002A5DA3" w:rsidRDefault="002A5DA3" w:rsidP="00F557CC">
            <w:pPr>
              <w:pStyle w:val="Default"/>
              <w:rPr>
                <w:sz w:val="20"/>
                <w:szCs w:val="20"/>
              </w:rPr>
            </w:pPr>
            <w:r>
              <w:rPr>
                <w:sz w:val="20"/>
                <w:szCs w:val="20"/>
              </w:rPr>
              <w:t xml:space="preserve">5 </w:t>
            </w:r>
          </w:p>
        </w:tc>
      </w:tr>
      <w:tr w:rsidR="002A5DA3" w14:paraId="78D87347" w14:textId="77777777" w:rsidTr="00F557CC">
        <w:trPr>
          <w:trHeight w:val="133"/>
        </w:trPr>
        <w:tc>
          <w:tcPr>
            <w:tcW w:w="5868" w:type="dxa"/>
          </w:tcPr>
          <w:p w14:paraId="6976FA42" w14:textId="77777777" w:rsidR="002A5DA3" w:rsidRDefault="002A5DA3" w:rsidP="00F557CC">
            <w:pPr>
              <w:pStyle w:val="Default"/>
              <w:rPr>
                <w:sz w:val="18"/>
                <w:szCs w:val="18"/>
              </w:rPr>
            </w:pPr>
            <w:r>
              <w:rPr>
                <w:sz w:val="18"/>
                <w:szCs w:val="18"/>
              </w:rPr>
              <w:t xml:space="preserve">(8) Following the chain of command takes a back seat to quickly addressing the disruption </w:t>
            </w:r>
          </w:p>
        </w:tc>
        <w:tc>
          <w:tcPr>
            <w:tcW w:w="720" w:type="dxa"/>
          </w:tcPr>
          <w:p w14:paraId="146BACAA" w14:textId="77777777" w:rsidR="002A5DA3" w:rsidRDefault="002A5DA3" w:rsidP="00F557CC">
            <w:pPr>
              <w:pStyle w:val="Default"/>
              <w:rPr>
                <w:sz w:val="20"/>
                <w:szCs w:val="20"/>
              </w:rPr>
            </w:pPr>
            <w:r>
              <w:rPr>
                <w:sz w:val="20"/>
                <w:szCs w:val="20"/>
              </w:rPr>
              <w:t xml:space="preserve">1 </w:t>
            </w:r>
          </w:p>
        </w:tc>
        <w:tc>
          <w:tcPr>
            <w:tcW w:w="720" w:type="dxa"/>
          </w:tcPr>
          <w:p w14:paraId="01CBC4D0" w14:textId="77777777" w:rsidR="002A5DA3" w:rsidRDefault="002A5DA3" w:rsidP="00F557CC">
            <w:pPr>
              <w:pStyle w:val="Default"/>
              <w:rPr>
                <w:sz w:val="20"/>
                <w:szCs w:val="20"/>
              </w:rPr>
            </w:pPr>
            <w:r>
              <w:rPr>
                <w:sz w:val="20"/>
                <w:szCs w:val="20"/>
              </w:rPr>
              <w:t xml:space="preserve">2 </w:t>
            </w:r>
          </w:p>
        </w:tc>
        <w:tc>
          <w:tcPr>
            <w:tcW w:w="630" w:type="dxa"/>
          </w:tcPr>
          <w:p w14:paraId="014A04E2" w14:textId="77777777" w:rsidR="002A5DA3" w:rsidRDefault="002A5DA3" w:rsidP="00F557CC">
            <w:pPr>
              <w:pStyle w:val="Default"/>
              <w:rPr>
                <w:sz w:val="20"/>
                <w:szCs w:val="20"/>
              </w:rPr>
            </w:pPr>
            <w:r>
              <w:rPr>
                <w:sz w:val="20"/>
                <w:szCs w:val="20"/>
              </w:rPr>
              <w:t xml:space="preserve">3 </w:t>
            </w:r>
          </w:p>
        </w:tc>
        <w:tc>
          <w:tcPr>
            <w:tcW w:w="540" w:type="dxa"/>
          </w:tcPr>
          <w:p w14:paraId="0FA9F0C1" w14:textId="77777777" w:rsidR="002A5DA3" w:rsidRDefault="002A5DA3" w:rsidP="00F557CC">
            <w:pPr>
              <w:pStyle w:val="Default"/>
              <w:rPr>
                <w:sz w:val="20"/>
                <w:szCs w:val="20"/>
              </w:rPr>
            </w:pPr>
            <w:r>
              <w:rPr>
                <w:sz w:val="20"/>
                <w:szCs w:val="20"/>
              </w:rPr>
              <w:t xml:space="preserve">4 </w:t>
            </w:r>
          </w:p>
        </w:tc>
        <w:tc>
          <w:tcPr>
            <w:tcW w:w="810" w:type="dxa"/>
          </w:tcPr>
          <w:p w14:paraId="0585CB64" w14:textId="77777777" w:rsidR="002A5DA3" w:rsidRDefault="002A5DA3" w:rsidP="00F557CC">
            <w:pPr>
              <w:pStyle w:val="Default"/>
              <w:rPr>
                <w:sz w:val="20"/>
                <w:szCs w:val="20"/>
              </w:rPr>
            </w:pPr>
            <w:r>
              <w:rPr>
                <w:sz w:val="20"/>
                <w:szCs w:val="20"/>
              </w:rPr>
              <w:t xml:space="preserve">5 </w:t>
            </w:r>
          </w:p>
        </w:tc>
      </w:tr>
    </w:tbl>
    <w:p w14:paraId="22CB66C8" w14:textId="77777777" w:rsidR="002A5DA3" w:rsidRDefault="002A5DA3" w:rsidP="002A5DA3"/>
    <w:p w14:paraId="7032D999" w14:textId="77777777" w:rsidR="002A5DA3" w:rsidRDefault="002A5DA3" w:rsidP="002A5DA3"/>
    <w:p w14:paraId="6C8F88BA" w14:textId="3038EFD3" w:rsidR="002A5DA3" w:rsidRDefault="002A5DA3" w:rsidP="00FF2D0E"/>
    <w:sectPr w:rsidR="002A5DA3" w:rsidSect="0089596F">
      <w:pgSz w:w="11900" w:h="16840"/>
      <w:pgMar w:top="1440" w:right="1260" w:bottom="1440"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804559" w14:textId="77777777" w:rsidR="008F52FE" w:rsidRDefault="008F52FE" w:rsidP="006D6A96">
      <w:r>
        <w:separator/>
      </w:r>
    </w:p>
  </w:endnote>
  <w:endnote w:type="continuationSeparator" w:id="0">
    <w:p w14:paraId="6028C531" w14:textId="77777777" w:rsidR="008F52FE" w:rsidRDefault="008F52FE" w:rsidP="006D6A96">
      <w:r>
        <w:continuationSeparator/>
      </w:r>
    </w:p>
  </w:endnote>
  <w:endnote w:type="continuationNotice" w:id="1">
    <w:p w14:paraId="0828DD3E" w14:textId="77777777" w:rsidR="008F52FE" w:rsidRDefault="008F52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C4314" w14:textId="7546D413" w:rsidR="00FE2E6A" w:rsidRPr="00927795" w:rsidRDefault="00FE2E6A" w:rsidP="00927795">
    <w:pPr>
      <w:pStyle w:val="Footer"/>
      <w:rPr>
        <w:i/>
        <w:sz w:val="20"/>
      </w:rPr>
    </w:pPr>
    <w:r w:rsidRPr="00927795">
      <w:rPr>
        <w:i/>
        <w:sz w:val="20"/>
      </w:rPr>
      <w:tab/>
      <w:t xml:space="preserve">Page </w:t>
    </w:r>
    <w:r w:rsidRPr="00927795">
      <w:rPr>
        <w:bCs/>
        <w:i/>
        <w:sz w:val="20"/>
      </w:rPr>
      <w:fldChar w:fldCharType="begin"/>
    </w:r>
    <w:r w:rsidRPr="00927795">
      <w:rPr>
        <w:bCs/>
        <w:i/>
        <w:sz w:val="20"/>
      </w:rPr>
      <w:instrText xml:space="preserve"> PAGE  \* Arabic  \* MERGEFORMAT </w:instrText>
    </w:r>
    <w:r w:rsidRPr="00927795">
      <w:rPr>
        <w:bCs/>
        <w:i/>
        <w:sz w:val="20"/>
      </w:rPr>
      <w:fldChar w:fldCharType="separate"/>
    </w:r>
    <w:r w:rsidR="003A4A4A">
      <w:rPr>
        <w:bCs/>
        <w:i/>
        <w:noProof/>
        <w:sz w:val="20"/>
      </w:rPr>
      <w:t>32</w:t>
    </w:r>
    <w:r w:rsidRPr="00927795">
      <w:rPr>
        <w:bCs/>
        <w: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59647D" w14:textId="77777777" w:rsidR="008F52FE" w:rsidRDefault="008F52FE" w:rsidP="006D6A96">
      <w:r>
        <w:separator/>
      </w:r>
    </w:p>
  </w:footnote>
  <w:footnote w:type="continuationSeparator" w:id="0">
    <w:p w14:paraId="48523230" w14:textId="77777777" w:rsidR="008F52FE" w:rsidRDefault="008F52FE" w:rsidP="006D6A96">
      <w:r>
        <w:continuationSeparator/>
      </w:r>
    </w:p>
  </w:footnote>
  <w:footnote w:type="continuationNotice" w:id="1">
    <w:p w14:paraId="33857329" w14:textId="77777777" w:rsidR="008F52FE" w:rsidRDefault="008F52F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3D4B45"/>
    <w:multiLevelType w:val="hybridMultilevel"/>
    <w:tmpl w:val="3D960184"/>
    <w:lvl w:ilvl="0" w:tplc="C200EE0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392B4C"/>
    <w:multiLevelType w:val="hybridMultilevel"/>
    <w:tmpl w:val="7A6AD6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E32A9C"/>
    <w:multiLevelType w:val="hybridMultilevel"/>
    <w:tmpl w:val="BEB81B08"/>
    <w:lvl w:ilvl="0" w:tplc="B60A4656">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E00E03"/>
    <w:multiLevelType w:val="hybridMultilevel"/>
    <w:tmpl w:val="2E802C1E"/>
    <w:lvl w:ilvl="0" w:tplc="E9D4ECE8">
      <w:start w:val="1"/>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015F33"/>
    <w:multiLevelType w:val="hybridMultilevel"/>
    <w:tmpl w:val="024A3B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F6043DC"/>
    <w:multiLevelType w:val="hybridMultilevel"/>
    <w:tmpl w:val="3DBCDCC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257B1B"/>
    <w:multiLevelType w:val="hybridMultilevel"/>
    <w:tmpl w:val="EE282C70"/>
    <w:lvl w:ilvl="0" w:tplc="6756AA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6A5235"/>
    <w:multiLevelType w:val="hybridMultilevel"/>
    <w:tmpl w:val="E8F6C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005330"/>
    <w:multiLevelType w:val="hybridMultilevel"/>
    <w:tmpl w:val="237211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0A6326"/>
    <w:multiLevelType w:val="hybridMultilevel"/>
    <w:tmpl w:val="933629B6"/>
    <w:lvl w:ilvl="0" w:tplc="C0342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8"/>
  </w:num>
  <w:num w:numId="3">
    <w:abstractNumId w:val="1"/>
  </w:num>
  <w:num w:numId="4">
    <w:abstractNumId w:val="2"/>
  </w:num>
  <w:num w:numId="5">
    <w:abstractNumId w:val="0"/>
  </w:num>
  <w:num w:numId="6">
    <w:abstractNumId w:val="5"/>
  </w:num>
  <w:num w:numId="7">
    <w:abstractNumId w:val="6"/>
  </w:num>
  <w:num w:numId="8">
    <w:abstractNumId w:val="9"/>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UxMDS2NDM0MjUzNjdX0lEKTi0uzszPAykwrQUAFznK/iwAAAA="/>
    <w:docVar w:name="EN.InstantFormat" w:val="&lt;ENInstantFormat&gt;&lt;Enabled&gt;0&lt;/Enabled&gt;&lt;ScanUnformatted&gt;1&lt;/ScanUnformatted&gt;&lt;ScanChanges&gt;1&lt;/ScanChanges&gt;&lt;Suspended&gt;0&lt;/Suspended&gt;&lt;/ENInstantFormat&gt;"/>
    <w:docVar w:name="EN.Layout" w:val="&lt;ENLayout&gt;&lt;Style&gt;J Operations Mgt (1)&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0w05zrd59zdxwmexsxlxa0purxdzd2svavae&quot;&gt;Near-miss 2016 November (1)&lt;record-ids&gt;&lt;item&gt;603&lt;/item&gt;&lt;item&gt;662&lt;/item&gt;&lt;item&gt;696&lt;/item&gt;&lt;item&gt;823&lt;/item&gt;&lt;item&gt;827&lt;/item&gt;&lt;item&gt;832&lt;/item&gt;&lt;item&gt;839&lt;/item&gt;&lt;item&gt;843&lt;/item&gt;&lt;item&gt;851&lt;/item&gt;&lt;item&gt;858&lt;/item&gt;&lt;item&gt;867&lt;/item&gt;&lt;item&gt;877&lt;/item&gt;&lt;item&gt;918&lt;/item&gt;&lt;item&gt;926&lt;/item&gt;&lt;item&gt;932&lt;/item&gt;&lt;item&gt;941&lt;/item&gt;&lt;item&gt;945&lt;/item&gt;&lt;item&gt;946&lt;/item&gt;&lt;item&gt;979&lt;/item&gt;&lt;item&gt;995&lt;/item&gt;&lt;item&gt;1007&lt;/item&gt;&lt;item&gt;1008&lt;/item&gt;&lt;item&gt;1009&lt;/item&gt;&lt;item&gt;1010&lt;/item&gt;&lt;item&gt;1014&lt;/item&gt;&lt;item&gt;1054&lt;/item&gt;&lt;item&gt;1059&lt;/item&gt;&lt;item&gt;1077&lt;/item&gt;&lt;item&gt;1082&lt;/item&gt;&lt;item&gt;1090&lt;/item&gt;&lt;item&gt;1097&lt;/item&gt;&lt;item&gt;1113&lt;/item&gt;&lt;item&gt;1126&lt;/item&gt;&lt;item&gt;1132&lt;/item&gt;&lt;item&gt;1150&lt;/item&gt;&lt;item&gt;1161&lt;/item&gt;&lt;item&gt;1177&lt;/item&gt;&lt;item&gt;1198&lt;/item&gt;&lt;item&gt;1200&lt;/item&gt;&lt;item&gt;1201&lt;/item&gt;&lt;item&gt;1249&lt;/item&gt;&lt;item&gt;1256&lt;/item&gt;&lt;item&gt;1290&lt;/item&gt;&lt;item&gt;1291&lt;/item&gt;&lt;item&gt;1293&lt;/item&gt;&lt;item&gt;1295&lt;/item&gt;&lt;item&gt;1306&lt;/item&gt;&lt;item&gt;1326&lt;/item&gt;&lt;item&gt;1328&lt;/item&gt;&lt;item&gt;1335&lt;/item&gt;&lt;item&gt;1343&lt;/item&gt;&lt;item&gt;1352&lt;/item&gt;&lt;item&gt;1354&lt;/item&gt;&lt;item&gt;1355&lt;/item&gt;&lt;item&gt;1356&lt;/item&gt;&lt;item&gt;1357&lt;/item&gt;&lt;item&gt;1358&lt;/item&gt;&lt;item&gt;1359&lt;/item&gt;&lt;item&gt;1367&lt;/item&gt;&lt;item&gt;1370&lt;/item&gt;&lt;item&gt;1373&lt;/item&gt;&lt;item&gt;1374&lt;/item&gt;&lt;item&gt;1379&lt;/item&gt;&lt;item&gt;1380&lt;/item&gt;&lt;item&gt;1381&lt;/item&gt;&lt;item&gt;1383&lt;/item&gt;&lt;item&gt;1386&lt;/item&gt;&lt;item&gt;1388&lt;/item&gt;&lt;item&gt;1390&lt;/item&gt;&lt;item&gt;1394&lt;/item&gt;&lt;item&gt;1395&lt;/item&gt;&lt;item&gt;1396&lt;/item&gt;&lt;item&gt;1397&lt;/item&gt;&lt;item&gt;1398&lt;/item&gt;&lt;item&gt;1399&lt;/item&gt;&lt;item&gt;1400&lt;/item&gt;&lt;item&gt;1401&lt;/item&gt;&lt;item&gt;1402&lt;/item&gt;&lt;item&gt;1404&lt;/item&gt;&lt;item&gt;1407&lt;/item&gt;&lt;item&gt;1408&lt;/item&gt;&lt;item&gt;1409&lt;/item&gt;&lt;item&gt;1410&lt;/item&gt;&lt;item&gt;1412&lt;/item&gt;&lt;item&gt;1413&lt;/item&gt;&lt;item&gt;1414&lt;/item&gt;&lt;item&gt;1415&lt;/item&gt;&lt;item&gt;1416&lt;/item&gt;&lt;item&gt;1417&lt;/item&gt;&lt;item&gt;1418&lt;/item&gt;&lt;item&gt;1419&lt;/item&gt;&lt;item&gt;1420&lt;/item&gt;&lt;item&gt;1421&lt;/item&gt;&lt;item&gt;1422&lt;/item&gt;&lt;item&gt;1423&lt;/item&gt;&lt;item&gt;1424&lt;/item&gt;&lt;item&gt;1428&lt;/item&gt;&lt;item&gt;1429&lt;/item&gt;&lt;item&gt;1430&lt;/item&gt;&lt;item&gt;1431&lt;/item&gt;&lt;item&gt;1432&lt;/item&gt;&lt;item&gt;1433&lt;/item&gt;&lt;item&gt;1434&lt;/item&gt;&lt;/record-ids&gt;&lt;/item&gt;&lt;/Libraries&gt;"/>
  </w:docVars>
  <w:rsids>
    <w:rsidRoot w:val="00787FDA"/>
    <w:rsid w:val="00001B18"/>
    <w:rsid w:val="00001C9A"/>
    <w:rsid w:val="00001D38"/>
    <w:rsid w:val="00002B76"/>
    <w:rsid w:val="000032AB"/>
    <w:rsid w:val="00005846"/>
    <w:rsid w:val="00006D93"/>
    <w:rsid w:val="00010177"/>
    <w:rsid w:val="00011B74"/>
    <w:rsid w:val="00016CA0"/>
    <w:rsid w:val="00017398"/>
    <w:rsid w:val="00020606"/>
    <w:rsid w:val="00020CC9"/>
    <w:rsid w:val="00021A5C"/>
    <w:rsid w:val="0002248F"/>
    <w:rsid w:val="00026D63"/>
    <w:rsid w:val="000364D8"/>
    <w:rsid w:val="0004191E"/>
    <w:rsid w:val="000438BE"/>
    <w:rsid w:val="00043E58"/>
    <w:rsid w:val="0004449C"/>
    <w:rsid w:val="0004502A"/>
    <w:rsid w:val="00045B15"/>
    <w:rsid w:val="00045F8B"/>
    <w:rsid w:val="00050819"/>
    <w:rsid w:val="00052A43"/>
    <w:rsid w:val="00053120"/>
    <w:rsid w:val="000538DF"/>
    <w:rsid w:val="00053AF8"/>
    <w:rsid w:val="00054704"/>
    <w:rsid w:val="00060205"/>
    <w:rsid w:val="00061EC6"/>
    <w:rsid w:val="00063E70"/>
    <w:rsid w:val="00064546"/>
    <w:rsid w:val="00066971"/>
    <w:rsid w:val="00067980"/>
    <w:rsid w:val="00067E31"/>
    <w:rsid w:val="00071823"/>
    <w:rsid w:val="000748A1"/>
    <w:rsid w:val="00075B03"/>
    <w:rsid w:val="00075F69"/>
    <w:rsid w:val="0007607E"/>
    <w:rsid w:val="000801E8"/>
    <w:rsid w:val="000802B1"/>
    <w:rsid w:val="0008150E"/>
    <w:rsid w:val="00083157"/>
    <w:rsid w:val="00084DD4"/>
    <w:rsid w:val="0009180E"/>
    <w:rsid w:val="00094634"/>
    <w:rsid w:val="0009577A"/>
    <w:rsid w:val="00096622"/>
    <w:rsid w:val="00097085"/>
    <w:rsid w:val="000A01E0"/>
    <w:rsid w:val="000A0713"/>
    <w:rsid w:val="000A098B"/>
    <w:rsid w:val="000A1700"/>
    <w:rsid w:val="000A28F4"/>
    <w:rsid w:val="000A7837"/>
    <w:rsid w:val="000B0E92"/>
    <w:rsid w:val="000B325A"/>
    <w:rsid w:val="000B3D10"/>
    <w:rsid w:val="000B4186"/>
    <w:rsid w:val="000B5D5B"/>
    <w:rsid w:val="000B7587"/>
    <w:rsid w:val="000C1538"/>
    <w:rsid w:val="000C293C"/>
    <w:rsid w:val="000C35FB"/>
    <w:rsid w:val="000C3BC1"/>
    <w:rsid w:val="000C3F32"/>
    <w:rsid w:val="000C4ECF"/>
    <w:rsid w:val="000C54F7"/>
    <w:rsid w:val="000C576B"/>
    <w:rsid w:val="000C67DA"/>
    <w:rsid w:val="000C7865"/>
    <w:rsid w:val="000D2922"/>
    <w:rsid w:val="000D61F5"/>
    <w:rsid w:val="000D673B"/>
    <w:rsid w:val="000D7850"/>
    <w:rsid w:val="000D7C4E"/>
    <w:rsid w:val="000E64E8"/>
    <w:rsid w:val="000F055B"/>
    <w:rsid w:val="000F10B8"/>
    <w:rsid w:val="000F4941"/>
    <w:rsid w:val="00102748"/>
    <w:rsid w:val="00102F61"/>
    <w:rsid w:val="00105296"/>
    <w:rsid w:val="00105BBC"/>
    <w:rsid w:val="00110C74"/>
    <w:rsid w:val="00111587"/>
    <w:rsid w:val="00111CFF"/>
    <w:rsid w:val="0011325E"/>
    <w:rsid w:val="0011403A"/>
    <w:rsid w:val="0011454A"/>
    <w:rsid w:val="00115AA4"/>
    <w:rsid w:val="001206D0"/>
    <w:rsid w:val="00121F5D"/>
    <w:rsid w:val="00124474"/>
    <w:rsid w:val="00124F6C"/>
    <w:rsid w:val="001268AE"/>
    <w:rsid w:val="00126BFA"/>
    <w:rsid w:val="00130E5D"/>
    <w:rsid w:val="0013177E"/>
    <w:rsid w:val="0013225F"/>
    <w:rsid w:val="001323D1"/>
    <w:rsid w:val="00137E4F"/>
    <w:rsid w:val="00137F20"/>
    <w:rsid w:val="0014126D"/>
    <w:rsid w:val="001414BD"/>
    <w:rsid w:val="00141774"/>
    <w:rsid w:val="00142827"/>
    <w:rsid w:val="00142C70"/>
    <w:rsid w:val="00143BE0"/>
    <w:rsid w:val="00146E21"/>
    <w:rsid w:val="0014725C"/>
    <w:rsid w:val="0015050E"/>
    <w:rsid w:val="00150558"/>
    <w:rsid w:val="00151A5E"/>
    <w:rsid w:val="00151C85"/>
    <w:rsid w:val="0015247C"/>
    <w:rsid w:val="00154452"/>
    <w:rsid w:val="001566A6"/>
    <w:rsid w:val="001669AF"/>
    <w:rsid w:val="00170DC0"/>
    <w:rsid w:val="00172151"/>
    <w:rsid w:val="00174704"/>
    <w:rsid w:val="00174B38"/>
    <w:rsid w:val="00177261"/>
    <w:rsid w:val="0017795A"/>
    <w:rsid w:val="001801EB"/>
    <w:rsid w:val="00181D82"/>
    <w:rsid w:val="001832ED"/>
    <w:rsid w:val="00183F36"/>
    <w:rsid w:val="001849E4"/>
    <w:rsid w:val="0018522E"/>
    <w:rsid w:val="001855CA"/>
    <w:rsid w:val="00186FC2"/>
    <w:rsid w:val="00187264"/>
    <w:rsid w:val="001875CC"/>
    <w:rsid w:val="00187604"/>
    <w:rsid w:val="00192C12"/>
    <w:rsid w:val="00195B68"/>
    <w:rsid w:val="001965EB"/>
    <w:rsid w:val="00196ABC"/>
    <w:rsid w:val="001A015A"/>
    <w:rsid w:val="001A519C"/>
    <w:rsid w:val="001A54B5"/>
    <w:rsid w:val="001A5A06"/>
    <w:rsid w:val="001A5CBC"/>
    <w:rsid w:val="001A5F1F"/>
    <w:rsid w:val="001A649A"/>
    <w:rsid w:val="001B3C98"/>
    <w:rsid w:val="001B44CA"/>
    <w:rsid w:val="001B4CEB"/>
    <w:rsid w:val="001B5967"/>
    <w:rsid w:val="001B5F05"/>
    <w:rsid w:val="001B688B"/>
    <w:rsid w:val="001C0A97"/>
    <w:rsid w:val="001C19F6"/>
    <w:rsid w:val="001C1A16"/>
    <w:rsid w:val="001C32AF"/>
    <w:rsid w:val="001C622D"/>
    <w:rsid w:val="001C6772"/>
    <w:rsid w:val="001D0371"/>
    <w:rsid w:val="001D0DCE"/>
    <w:rsid w:val="001D1138"/>
    <w:rsid w:val="001D2FAC"/>
    <w:rsid w:val="001D4995"/>
    <w:rsid w:val="001D4A27"/>
    <w:rsid w:val="001D76B1"/>
    <w:rsid w:val="001E02D4"/>
    <w:rsid w:val="001E03F5"/>
    <w:rsid w:val="001E2ECC"/>
    <w:rsid w:val="001E433E"/>
    <w:rsid w:val="001E518C"/>
    <w:rsid w:val="001E6503"/>
    <w:rsid w:val="001F06B3"/>
    <w:rsid w:val="001F27FE"/>
    <w:rsid w:val="001F41FF"/>
    <w:rsid w:val="001F424C"/>
    <w:rsid w:val="001F4861"/>
    <w:rsid w:val="001F5317"/>
    <w:rsid w:val="001F6D97"/>
    <w:rsid w:val="001F713C"/>
    <w:rsid w:val="00200A12"/>
    <w:rsid w:val="00202B3D"/>
    <w:rsid w:val="0021030E"/>
    <w:rsid w:val="00211087"/>
    <w:rsid w:val="002126E1"/>
    <w:rsid w:val="0021295B"/>
    <w:rsid w:val="0021446F"/>
    <w:rsid w:val="00214647"/>
    <w:rsid w:val="00217306"/>
    <w:rsid w:val="002202AA"/>
    <w:rsid w:val="00220717"/>
    <w:rsid w:val="0022134B"/>
    <w:rsid w:val="00224ACD"/>
    <w:rsid w:val="00225640"/>
    <w:rsid w:val="00226056"/>
    <w:rsid w:val="00226E1E"/>
    <w:rsid w:val="00227882"/>
    <w:rsid w:val="002324EE"/>
    <w:rsid w:val="00236D62"/>
    <w:rsid w:val="002400B9"/>
    <w:rsid w:val="00241B9F"/>
    <w:rsid w:val="002440E6"/>
    <w:rsid w:val="00245590"/>
    <w:rsid w:val="00246A98"/>
    <w:rsid w:val="0024758A"/>
    <w:rsid w:val="00247B84"/>
    <w:rsid w:val="00250556"/>
    <w:rsid w:val="00250699"/>
    <w:rsid w:val="00254846"/>
    <w:rsid w:val="00256996"/>
    <w:rsid w:val="00257F56"/>
    <w:rsid w:val="002615C7"/>
    <w:rsid w:val="002628EE"/>
    <w:rsid w:val="00263D0B"/>
    <w:rsid w:val="0026785C"/>
    <w:rsid w:val="002678E2"/>
    <w:rsid w:val="00267E85"/>
    <w:rsid w:val="00274524"/>
    <w:rsid w:val="0027615E"/>
    <w:rsid w:val="00281071"/>
    <w:rsid w:val="0028219F"/>
    <w:rsid w:val="002909A2"/>
    <w:rsid w:val="00291C10"/>
    <w:rsid w:val="00291E9A"/>
    <w:rsid w:val="00291FCF"/>
    <w:rsid w:val="00293166"/>
    <w:rsid w:val="00294AAD"/>
    <w:rsid w:val="00294E2C"/>
    <w:rsid w:val="0029714A"/>
    <w:rsid w:val="0029759D"/>
    <w:rsid w:val="00297D15"/>
    <w:rsid w:val="002A1343"/>
    <w:rsid w:val="002A3B01"/>
    <w:rsid w:val="002A3EEC"/>
    <w:rsid w:val="002A4850"/>
    <w:rsid w:val="002A5A27"/>
    <w:rsid w:val="002A5CEE"/>
    <w:rsid w:val="002A5DA3"/>
    <w:rsid w:val="002A635D"/>
    <w:rsid w:val="002B0789"/>
    <w:rsid w:val="002B0E7A"/>
    <w:rsid w:val="002B139C"/>
    <w:rsid w:val="002B1DA8"/>
    <w:rsid w:val="002B2CE1"/>
    <w:rsid w:val="002B4FD1"/>
    <w:rsid w:val="002B639F"/>
    <w:rsid w:val="002B6600"/>
    <w:rsid w:val="002C02A4"/>
    <w:rsid w:val="002C2284"/>
    <w:rsid w:val="002C6CD3"/>
    <w:rsid w:val="002C7321"/>
    <w:rsid w:val="002C79E4"/>
    <w:rsid w:val="002D01CB"/>
    <w:rsid w:val="002D0F08"/>
    <w:rsid w:val="002D1F45"/>
    <w:rsid w:val="002D2546"/>
    <w:rsid w:val="002D5250"/>
    <w:rsid w:val="002D5CBA"/>
    <w:rsid w:val="002D68EE"/>
    <w:rsid w:val="002E2036"/>
    <w:rsid w:val="002E3C8E"/>
    <w:rsid w:val="002E4EF2"/>
    <w:rsid w:val="002E5E84"/>
    <w:rsid w:val="002F265A"/>
    <w:rsid w:val="002F2EF7"/>
    <w:rsid w:val="002F4304"/>
    <w:rsid w:val="002F445F"/>
    <w:rsid w:val="00300FD3"/>
    <w:rsid w:val="0030114E"/>
    <w:rsid w:val="0030351A"/>
    <w:rsid w:val="0030670F"/>
    <w:rsid w:val="0031048A"/>
    <w:rsid w:val="00314EF7"/>
    <w:rsid w:val="00315679"/>
    <w:rsid w:val="0032066B"/>
    <w:rsid w:val="00323297"/>
    <w:rsid w:val="003235D3"/>
    <w:rsid w:val="00324633"/>
    <w:rsid w:val="00324BEF"/>
    <w:rsid w:val="0033028A"/>
    <w:rsid w:val="003322C7"/>
    <w:rsid w:val="003330F3"/>
    <w:rsid w:val="00333906"/>
    <w:rsid w:val="00333B13"/>
    <w:rsid w:val="00333F00"/>
    <w:rsid w:val="0033775A"/>
    <w:rsid w:val="003378D9"/>
    <w:rsid w:val="00341A0E"/>
    <w:rsid w:val="00342F75"/>
    <w:rsid w:val="00344800"/>
    <w:rsid w:val="00344A13"/>
    <w:rsid w:val="0035029A"/>
    <w:rsid w:val="003514A8"/>
    <w:rsid w:val="00351D02"/>
    <w:rsid w:val="00352EDF"/>
    <w:rsid w:val="003543CF"/>
    <w:rsid w:val="00354573"/>
    <w:rsid w:val="003557A1"/>
    <w:rsid w:val="00355AC0"/>
    <w:rsid w:val="00356356"/>
    <w:rsid w:val="003574DF"/>
    <w:rsid w:val="00360063"/>
    <w:rsid w:val="00361671"/>
    <w:rsid w:val="00362B3A"/>
    <w:rsid w:val="003663B2"/>
    <w:rsid w:val="003679D1"/>
    <w:rsid w:val="00370392"/>
    <w:rsid w:val="00370997"/>
    <w:rsid w:val="003714DF"/>
    <w:rsid w:val="00373356"/>
    <w:rsid w:val="00373398"/>
    <w:rsid w:val="00373B33"/>
    <w:rsid w:val="00374DDA"/>
    <w:rsid w:val="00375082"/>
    <w:rsid w:val="00375EDE"/>
    <w:rsid w:val="00376573"/>
    <w:rsid w:val="003778C4"/>
    <w:rsid w:val="00380C4B"/>
    <w:rsid w:val="00381F17"/>
    <w:rsid w:val="00384143"/>
    <w:rsid w:val="003911B2"/>
    <w:rsid w:val="00391D15"/>
    <w:rsid w:val="00392447"/>
    <w:rsid w:val="00394407"/>
    <w:rsid w:val="003966AA"/>
    <w:rsid w:val="0039698D"/>
    <w:rsid w:val="003A4842"/>
    <w:rsid w:val="003A4A4A"/>
    <w:rsid w:val="003B039C"/>
    <w:rsid w:val="003B1C0E"/>
    <w:rsid w:val="003B2255"/>
    <w:rsid w:val="003B2984"/>
    <w:rsid w:val="003B36C4"/>
    <w:rsid w:val="003B59E2"/>
    <w:rsid w:val="003C23B8"/>
    <w:rsid w:val="003C23EA"/>
    <w:rsid w:val="003C515F"/>
    <w:rsid w:val="003C6E2D"/>
    <w:rsid w:val="003C7137"/>
    <w:rsid w:val="003D14E5"/>
    <w:rsid w:val="003D1A75"/>
    <w:rsid w:val="003D1AE3"/>
    <w:rsid w:val="003D2662"/>
    <w:rsid w:val="003D3EBD"/>
    <w:rsid w:val="003D47A2"/>
    <w:rsid w:val="003D5CF2"/>
    <w:rsid w:val="003D7C62"/>
    <w:rsid w:val="003D7C92"/>
    <w:rsid w:val="003E03A2"/>
    <w:rsid w:val="003E0C17"/>
    <w:rsid w:val="003E1ABB"/>
    <w:rsid w:val="003E3323"/>
    <w:rsid w:val="003E37E3"/>
    <w:rsid w:val="003E3CC7"/>
    <w:rsid w:val="003E43D3"/>
    <w:rsid w:val="003E44A9"/>
    <w:rsid w:val="003E656B"/>
    <w:rsid w:val="003E6591"/>
    <w:rsid w:val="003E7849"/>
    <w:rsid w:val="003E7BA2"/>
    <w:rsid w:val="003F1B49"/>
    <w:rsid w:val="003F2071"/>
    <w:rsid w:val="003F3286"/>
    <w:rsid w:val="003F7F9F"/>
    <w:rsid w:val="00401ED1"/>
    <w:rsid w:val="004021FA"/>
    <w:rsid w:val="00403219"/>
    <w:rsid w:val="00403C3D"/>
    <w:rsid w:val="004042EC"/>
    <w:rsid w:val="00405E36"/>
    <w:rsid w:val="00406571"/>
    <w:rsid w:val="004106C7"/>
    <w:rsid w:val="00412442"/>
    <w:rsid w:val="004131A0"/>
    <w:rsid w:val="00414873"/>
    <w:rsid w:val="004155C3"/>
    <w:rsid w:val="00415F05"/>
    <w:rsid w:val="0042042F"/>
    <w:rsid w:val="00421A19"/>
    <w:rsid w:val="00421C2F"/>
    <w:rsid w:val="004232F1"/>
    <w:rsid w:val="0042337E"/>
    <w:rsid w:val="004245B3"/>
    <w:rsid w:val="00424AF0"/>
    <w:rsid w:val="0042721C"/>
    <w:rsid w:val="0042738C"/>
    <w:rsid w:val="00431B6E"/>
    <w:rsid w:val="00432036"/>
    <w:rsid w:val="004320CA"/>
    <w:rsid w:val="00432D97"/>
    <w:rsid w:val="00433435"/>
    <w:rsid w:val="00434579"/>
    <w:rsid w:val="0043726F"/>
    <w:rsid w:val="00441956"/>
    <w:rsid w:val="0044541D"/>
    <w:rsid w:val="00446E71"/>
    <w:rsid w:val="00446F41"/>
    <w:rsid w:val="00447E59"/>
    <w:rsid w:val="00450CEF"/>
    <w:rsid w:val="00450E47"/>
    <w:rsid w:val="00451AFA"/>
    <w:rsid w:val="00451F78"/>
    <w:rsid w:val="00452F91"/>
    <w:rsid w:val="0045339E"/>
    <w:rsid w:val="00454A08"/>
    <w:rsid w:val="004561C7"/>
    <w:rsid w:val="004629D7"/>
    <w:rsid w:val="004631CA"/>
    <w:rsid w:val="004635C5"/>
    <w:rsid w:val="004635DF"/>
    <w:rsid w:val="00465F24"/>
    <w:rsid w:val="0047239C"/>
    <w:rsid w:val="00472A9A"/>
    <w:rsid w:val="00476F8B"/>
    <w:rsid w:val="0048502F"/>
    <w:rsid w:val="004856B8"/>
    <w:rsid w:val="004857B1"/>
    <w:rsid w:val="00486C4E"/>
    <w:rsid w:val="00490695"/>
    <w:rsid w:val="004913E5"/>
    <w:rsid w:val="004927C0"/>
    <w:rsid w:val="004966AC"/>
    <w:rsid w:val="00496872"/>
    <w:rsid w:val="00496B31"/>
    <w:rsid w:val="00497EA0"/>
    <w:rsid w:val="004A164B"/>
    <w:rsid w:val="004A20FE"/>
    <w:rsid w:val="004A3350"/>
    <w:rsid w:val="004A5FFB"/>
    <w:rsid w:val="004A6D09"/>
    <w:rsid w:val="004A7BF9"/>
    <w:rsid w:val="004B23D1"/>
    <w:rsid w:val="004B4774"/>
    <w:rsid w:val="004C0876"/>
    <w:rsid w:val="004C0EFD"/>
    <w:rsid w:val="004C200E"/>
    <w:rsid w:val="004C624A"/>
    <w:rsid w:val="004C6DEC"/>
    <w:rsid w:val="004C6FDA"/>
    <w:rsid w:val="004C789A"/>
    <w:rsid w:val="004D346B"/>
    <w:rsid w:val="004D58A7"/>
    <w:rsid w:val="004D5A92"/>
    <w:rsid w:val="004D6EC6"/>
    <w:rsid w:val="004D7029"/>
    <w:rsid w:val="004D74E1"/>
    <w:rsid w:val="004E44F0"/>
    <w:rsid w:val="004E4F0B"/>
    <w:rsid w:val="004F159C"/>
    <w:rsid w:val="004F40A4"/>
    <w:rsid w:val="004F7B34"/>
    <w:rsid w:val="00500AD8"/>
    <w:rsid w:val="00504686"/>
    <w:rsid w:val="005057A1"/>
    <w:rsid w:val="0050679A"/>
    <w:rsid w:val="005147EC"/>
    <w:rsid w:val="00515904"/>
    <w:rsid w:val="0052048A"/>
    <w:rsid w:val="005211C7"/>
    <w:rsid w:val="00522787"/>
    <w:rsid w:val="00527726"/>
    <w:rsid w:val="00527C11"/>
    <w:rsid w:val="0053045B"/>
    <w:rsid w:val="0053145D"/>
    <w:rsid w:val="005318B0"/>
    <w:rsid w:val="00531FF7"/>
    <w:rsid w:val="005321B3"/>
    <w:rsid w:val="00535A23"/>
    <w:rsid w:val="005367D8"/>
    <w:rsid w:val="00540DE7"/>
    <w:rsid w:val="00542E6B"/>
    <w:rsid w:val="005436BC"/>
    <w:rsid w:val="00545A89"/>
    <w:rsid w:val="0054787F"/>
    <w:rsid w:val="005551FF"/>
    <w:rsid w:val="00555C20"/>
    <w:rsid w:val="005622AC"/>
    <w:rsid w:val="00564820"/>
    <w:rsid w:val="005666B0"/>
    <w:rsid w:val="0057189B"/>
    <w:rsid w:val="00571CFD"/>
    <w:rsid w:val="00571EF6"/>
    <w:rsid w:val="0057740B"/>
    <w:rsid w:val="005809ED"/>
    <w:rsid w:val="0058257E"/>
    <w:rsid w:val="0058524B"/>
    <w:rsid w:val="00587F55"/>
    <w:rsid w:val="005900ED"/>
    <w:rsid w:val="005919A2"/>
    <w:rsid w:val="00592D00"/>
    <w:rsid w:val="00594953"/>
    <w:rsid w:val="005A17E8"/>
    <w:rsid w:val="005A1C19"/>
    <w:rsid w:val="005A4D1C"/>
    <w:rsid w:val="005A6E69"/>
    <w:rsid w:val="005B14C5"/>
    <w:rsid w:val="005B1FC4"/>
    <w:rsid w:val="005B22F4"/>
    <w:rsid w:val="005B42F7"/>
    <w:rsid w:val="005B4BEE"/>
    <w:rsid w:val="005B5AB9"/>
    <w:rsid w:val="005B5D41"/>
    <w:rsid w:val="005B7436"/>
    <w:rsid w:val="005B7A22"/>
    <w:rsid w:val="005C289E"/>
    <w:rsid w:val="005C2F88"/>
    <w:rsid w:val="005C3F68"/>
    <w:rsid w:val="005C45A7"/>
    <w:rsid w:val="005C4F15"/>
    <w:rsid w:val="005C7F2A"/>
    <w:rsid w:val="005D067F"/>
    <w:rsid w:val="005D07F6"/>
    <w:rsid w:val="005D185B"/>
    <w:rsid w:val="005D266C"/>
    <w:rsid w:val="005D6A9C"/>
    <w:rsid w:val="005D70D0"/>
    <w:rsid w:val="005D7D74"/>
    <w:rsid w:val="005E5EA9"/>
    <w:rsid w:val="005E6AD1"/>
    <w:rsid w:val="005E6BF4"/>
    <w:rsid w:val="005E6D8D"/>
    <w:rsid w:val="005E7467"/>
    <w:rsid w:val="005F1DCE"/>
    <w:rsid w:val="005F27B9"/>
    <w:rsid w:val="005F2C88"/>
    <w:rsid w:val="005F6B08"/>
    <w:rsid w:val="005F73D4"/>
    <w:rsid w:val="005F7E64"/>
    <w:rsid w:val="006003DA"/>
    <w:rsid w:val="00600EB7"/>
    <w:rsid w:val="00604C52"/>
    <w:rsid w:val="0061065A"/>
    <w:rsid w:val="00610F04"/>
    <w:rsid w:val="006110AF"/>
    <w:rsid w:val="00613578"/>
    <w:rsid w:val="006135EF"/>
    <w:rsid w:val="00613A05"/>
    <w:rsid w:val="00614D84"/>
    <w:rsid w:val="006157FD"/>
    <w:rsid w:val="00617F3B"/>
    <w:rsid w:val="0062100E"/>
    <w:rsid w:val="00623738"/>
    <w:rsid w:val="00623A6F"/>
    <w:rsid w:val="00623BA0"/>
    <w:rsid w:val="006244E3"/>
    <w:rsid w:val="00624DA9"/>
    <w:rsid w:val="006252DA"/>
    <w:rsid w:val="00627756"/>
    <w:rsid w:val="00627997"/>
    <w:rsid w:val="00632C62"/>
    <w:rsid w:val="00632E23"/>
    <w:rsid w:val="00636CC7"/>
    <w:rsid w:val="00637602"/>
    <w:rsid w:val="00637E78"/>
    <w:rsid w:val="006404AF"/>
    <w:rsid w:val="00640DBF"/>
    <w:rsid w:val="006416F9"/>
    <w:rsid w:val="00641D3E"/>
    <w:rsid w:val="006461D3"/>
    <w:rsid w:val="006478A4"/>
    <w:rsid w:val="00647FBC"/>
    <w:rsid w:val="00651DB6"/>
    <w:rsid w:val="00652493"/>
    <w:rsid w:val="0065284A"/>
    <w:rsid w:val="006531D8"/>
    <w:rsid w:val="00653A12"/>
    <w:rsid w:val="00654E28"/>
    <w:rsid w:val="00655149"/>
    <w:rsid w:val="0065714A"/>
    <w:rsid w:val="00657B52"/>
    <w:rsid w:val="00664802"/>
    <w:rsid w:val="00670A48"/>
    <w:rsid w:val="00671B3F"/>
    <w:rsid w:val="00672259"/>
    <w:rsid w:val="00676D3A"/>
    <w:rsid w:val="00676FD2"/>
    <w:rsid w:val="006774B0"/>
    <w:rsid w:val="0067767F"/>
    <w:rsid w:val="00681043"/>
    <w:rsid w:val="00682A7A"/>
    <w:rsid w:val="00682FA4"/>
    <w:rsid w:val="006852F4"/>
    <w:rsid w:val="0069102E"/>
    <w:rsid w:val="00692DC4"/>
    <w:rsid w:val="00693822"/>
    <w:rsid w:val="00695956"/>
    <w:rsid w:val="00695A3E"/>
    <w:rsid w:val="00696335"/>
    <w:rsid w:val="006A1253"/>
    <w:rsid w:val="006A6088"/>
    <w:rsid w:val="006A69E2"/>
    <w:rsid w:val="006B43D8"/>
    <w:rsid w:val="006B6927"/>
    <w:rsid w:val="006C0ED3"/>
    <w:rsid w:val="006C19F0"/>
    <w:rsid w:val="006C2743"/>
    <w:rsid w:val="006D15DB"/>
    <w:rsid w:val="006D1A7C"/>
    <w:rsid w:val="006D57C3"/>
    <w:rsid w:val="006D6A96"/>
    <w:rsid w:val="006D79DE"/>
    <w:rsid w:val="006E1F4E"/>
    <w:rsid w:val="006E25D2"/>
    <w:rsid w:val="006E340D"/>
    <w:rsid w:val="006E369A"/>
    <w:rsid w:val="006E40F6"/>
    <w:rsid w:val="006E5732"/>
    <w:rsid w:val="006F04DE"/>
    <w:rsid w:val="006F13C9"/>
    <w:rsid w:val="006F1434"/>
    <w:rsid w:val="006F349C"/>
    <w:rsid w:val="006F4287"/>
    <w:rsid w:val="006F52AF"/>
    <w:rsid w:val="006F7066"/>
    <w:rsid w:val="007001DD"/>
    <w:rsid w:val="00700C48"/>
    <w:rsid w:val="00700E97"/>
    <w:rsid w:val="00703F0A"/>
    <w:rsid w:val="0070464F"/>
    <w:rsid w:val="0070547A"/>
    <w:rsid w:val="00705571"/>
    <w:rsid w:val="00710608"/>
    <w:rsid w:val="00711E8A"/>
    <w:rsid w:val="007124DF"/>
    <w:rsid w:val="00713205"/>
    <w:rsid w:val="00713846"/>
    <w:rsid w:val="0071782C"/>
    <w:rsid w:val="007219AC"/>
    <w:rsid w:val="00723D0C"/>
    <w:rsid w:val="00724D86"/>
    <w:rsid w:val="00724D92"/>
    <w:rsid w:val="00725209"/>
    <w:rsid w:val="00725793"/>
    <w:rsid w:val="007260B4"/>
    <w:rsid w:val="00731BFA"/>
    <w:rsid w:val="00732BFD"/>
    <w:rsid w:val="007331FD"/>
    <w:rsid w:val="007332AB"/>
    <w:rsid w:val="00733E95"/>
    <w:rsid w:val="007340D8"/>
    <w:rsid w:val="007349C6"/>
    <w:rsid w:val="00735793"/>
    <w:rsid w:val="007376D5"/>
    <w:rsid w:val="00741FA5"/>
    <w:rsid w:val="007421D4"/>
    <w:rsid w:val="0074244D"/>
    <w:rsid w:val="00742CAE"/>
    <w:rsid w:val="0074781C"/>
    <w:rsid w:val="007503F0"/>
    <w:rsid w:val="007516DD"/>
    <w:rsid w:val="00751AA1"/>
    <w:rsid w:val="00752EBF"/>
    <w:rsid w:val="007550FE"/>
    <w:rsid w:val="00760006"/>
    <w:rsid w:val="007623BE"/>
    <w:rsid w:val="00763148"/>
    <w:rsid w:val="00765310"/>
    <w:rsid w:val="00766AAB"/>
    <w:rsid w:val="00767206"/>
    <w:rsid w:val="007674C0"/>
    <w:rsid w:val="00770149"/>
    <w:rsid w:val="0077149A"/>
    <w:rsid w:val="007720CF"/>
    <w:rsid w:val="0077331D"/>
    <w:rsid w:val="00774579"/>
    <w:rsid w:val="0077578A"/>
    <w:rsid w:val="007842C0"/>
    <w:rsid w:val="007861C6"/>
    <w:rsid w:val="00787FDA"/>
    <w:rsid w:val="00790581"/>
    <w:rsid w:val="00790A5B"/>
    <w:rsid w:val="0079114F"/>
    <w:rsid w:val="00791D25"/>
    <w:rsid w:val="00792D70"/>
    <w:rsid w:val="00793E46"/>
    <w:rsid w:val="00793E70"/>
    <w:rsid w:val="00795648"/>
    <w:rsid w:val="007A0133"/>
    <w:rsid w:val="007A57BE"/>
    <w:rsid w:val="007B06C4"/>
    <w:rsid w:val="007B07E4"/>
    <w:rsid w:val="007B2EBB"/>
    <w:rsid w:val="007B31EB"/>
    <w:rsid w:val="007B3599"/>
    <w:rsid w:val="007B63FE"/>
    <w:rsid w:val="007B7A59"/>
    <w:rsid w:val="007C048C"/>
    <w:rsid w:val="007C069A"/>
    <w:rsid w:val="007C0997"/>
    <w:rsid w:val="007C45BE"/>
    <w:rsid w:val="007C4844"/>
    <w:rsid w:val="007C76BC"/>
    <w:rsid w:val="007C77E7"/>
    <w:rsid w:val="007D1ADB"/>
    <w:rsid w:val="007D6764"/>
    <w:rsid w:val="007D6B73"/>
    <w:rsid w:val="007E02A9"/>
    <w:rsid w:val="007E0933"/>
    <w:rsid w:val="007E1E35"/>
    <w:rsid w:val="007E3B7E"/>
    <w:rsid w:val="007E474C"/>
    <w:rsid w:val="007E4FA0"/>
    <w:rsid w:val="007E5062"/>
    <w:rsid w:val="007F1573"/>
    <w:rsid w:val="007F1D80"/>
    <w:rsid w:val="007F26A7"/>
    <w:rsid w:val="007F291A"/>
    <w:rsid w:val="007F3E71"/>
    <w:rsid w:val="007F6080"/>
    <w:rsid w:val="007F7229"/>
    <w:rsid w:val="00800D13"/>
    <w:rsid w:val="00803EDE"/>
    <w:rsid w:val="008048B6"/>
    <w:rsid w:val="00804AF5"/>
    <w:rsid w:val="00805454"/>
    <w:rsid w:val="008058C8"/>
    <w:rsid w:val="00806EBD"/>
    <w:rsid w:val="0081094D"/>
    <w:rsid w:val="00810B62"/>
    <w:rsid w:val="0081107E"/>
    <w:rsid w:val="00815C60"/>
    <w:rsid w:val="00816D1C"/>
    <w:rsid w:val="00816E20"/>
    <w:rsid w:val="00817694"/>
    <w:rsid w:val="00817D3E"/>
    <w:rsid w:val="008213B3"/>
    <w:rsid w:val="00822F04"/>
    <w:rsid w:val="0082318E"/>
    <w:rsid w:val="00823428"/>
    <w:rsid w:val="00823523"/>
    <w:rsid w:val="008241D2"/>
    <w:rsid w:val="00825B23"/>
    <w:rsid w:val="0082615F"/>
    <w:rsid w:val="00827DA1"/>
    <w:rsid w:val="0083238A"/>
    <w:rsid w:val="00832849"/>
    <w:rsid w:val="00832904"/>
    <w:rsid w:val="00832C05"/>
    <w:rsid w:val="00832DD4"/>
    <w:rsid w:val="00834291"/>
    <w:rsid w:val="008349E8"/>
    <w:rsid w:val="00834BCB"/>
    <w:rsid w:val="00844975"/>
    <w:rsid w:val="008463D5"/>
    <w:rsid w:val="00847A41"/>
    <w:rsid w:val="008507FD"/>
    <w:rsid w:val="00850DA4"/>
    <w:rsid w:val="00851B33"/>
    <w:rsid w:val="0085363E"/>
    <w:rsid w:val="00860F8E"/>
    <w:rsid w:val="00861B22"/>
    <w:rsid w:val="00862E3C"/>
    <w:rsid w:val="00863117"/>
    <w:rsid w:val="008652CF"/>
    <w:rsid w:val="00865901"/>
    <w:rsid w:val="00870515"/>
    <w:rsid w:val="00871B18"/>
    <w:rsid w:val="008729D8"/>
    <w:rsid w:val="0087327A"/>
    <w:rsid w:val="00873CA4"/>
    <w:rsid w:val="008745BD"/>
    <w:rsid w:val="00875B5A"/>
    <w:rsid w:val="008801C1"/>
    <w:rsid w:val="00880AD0"/>
    <w:rsid w:val="008812DC"/>
    <w:rsid w:val="0089003C"/>
    <w:rsid w:val="00892C46"/>
    <w:rsid w:val="00894943"/>
    <w:rsid w:val="0089596F"/>
    <w:rsid w:val="008978DC"/>
    <w:rsid w:val="008A03A1"/>
    <w:rsid w:val="008A3004"/>
    <w:rsid w:val="008A3102"/>
    <w:rsid w:val="008A33D4"/>
    <w:rsid w:val="008A3486"/>
    <w:rsid w:val="008A4DAF"/>
    <w:rsid w:val="008A53D8"/>
    <w:rsid w:val="008A63A7"/>
    <w:rsid w:val="008A6ED1"/>
    <w:rsid w:val="008B2297"/>
    <w:rsid w:val="008B3B77"/>
    <w:rsid w:val="008B5249"/>
    <w:rsid w:val="008B5E1A"/>
    <w:rsid w:val="008B7CD0"/>
    <w:rsid w:val="008B7DB3"/>
    <w:rsid w:val="008B7FD9"/>
    <w:rsid w:val="008C3E54"/>
    <w:rsid w:val="008C4140"/>
    <w:rsid w:val="008C7837"/>
    <w:rsid w:val="008D0A4E"/>
    <w:rsid w:val="008D4AAE"/>
    <w:rsid w:val="008D64DB"/>
    <w:rsid w:val="008D76ED"/>
    <w:rsid w:val="008E70E3"/>
    <w:rsid w:val="008E723F"/>
    <w:rsid w:val="008F01F7"/>
    <w:rsid w:val="008F2AF7"/>
    <w:rsid w:val="008F3CE2"/>
    <w:rsid w:val="008F4A65"/>
    <w:rsid w:val="008F4BD1"/>
    <w:rsid w:val="008F52FE"/>
    <w:rsid w:val="008F7B90"/>
    <w:rsid w:val="009023C4"/>
    <w:rsid w:val="009040EF"/>
    <w:rsid w:val="0090621C"/>
    <w:rsid w:val="009102C3"/>
    <w:rsid w:val="00911351"/>
    <w:rsid w:val="00914104"/>
    <w:rsid w:val="009177A3"/>
    <w:rsid w:val="009203BA"/>
    <w:rsid w:val="00921671"/>
    <w:rsid w:val="00924E08"/>
    <w:rsid w:val="0092683E"/>
    <w:rsid w:val="0092728B"/>
    <w:rsid w:val="00927795"/>
    <w:rsid w:val="00932A8B"/>
    <w:rsid w:val="009416B0"/>
    <w:rsid w:val="00942A25"/>
    <w:rsid w:val="00942CA0"/>
    <w:rsid w:val="00943139"/>
    <w:rsid w:val="00945755"/>
    <w:rsid w:val="00946D96"/>
    <w:rsid w:val="00947F80"/>
    <w:rsid w:val="00950751"/>
    <w:rsid w:val="009513A8"/>
    <w:rsid w:val="00951EEF"/>
    <w:rsid w:val="009532BA"/>
    <w:rsid w:val="00954BA4"/>
    <w:rsid w:val="00961999"/>
    <w:rsid w:val="00966290"/>
    <w:rsid w:val="00966AE0"/>
    <w:rsid w:val="00967433"/>
    <w:rsid w:val="009678E8"/>
    <w:rsid w:val="00970320"/>
    <w:rsid w:val="00970421"/>
    <w:rsid w:val="009710F9"/>
    <w:rsid w:val="009723E1"/>
    <w:rsid w:val="00973702"/>
    <w:rsid w:val="0097441C"/>
    <w:rsid w:val="009746D5"/>
    <w:rsid w:val="0097494D"/>
    <w:rsid w:val="009769AD"/>
    <w:rsid w:val="00977FED"/>
    <w:rsid w:val="00980494"/>
    <w:rsid w:val="00981CE2"/>
    <w:rsid w:val="00982836"/>
    <w:rsid w:val="00984981"/>
    <w:rsid w:val="00994042"/>
    <w:rsid w:val="00994787"/>
    <w:rsid w:val="00997094"/>
    <w:rsid w:val="00997878"/>
    <w:rsid w:val="009B0CAE"/>
    <w:rsid w:val="009B203D"/>
    <w:rsid w:val="009B493F"/>
    <w:rsid w:val="009B619A"/>
    <w:rsid w:val="009B6336"/>
    <w:rsid w:val="009B6F96"/>
    <w:rsid w:val="009C389A"/>
    <w:rsid w:val="009C5394"/>
    <w:rsid w:val="009E08AB"/>
    <w:rsid w:val="009E22B9"/>
    <w:rsid w:val="009E523F"/>
    <w:rsid w:val="009E6B42"/>
    <w:rsid w:val="009E6BD9"/>
    <w:rsid w:val="009F21CB"/>
    <w:rsid w:val="009F733C"/>
    <w:rsid w:val="00A02D50"/>
    <w:rsid w:val="00A030C4"/>
    <w:rsid w:val="00A045EF"/>
    <w:rsid w:val="00A049C2"/>
    <w:rsid w:val="00A04FA6"/>
    <w:rsid w:val="00A06C34"/>
    <w:rsid w:val="00A10D64"/>
    <w:rsid w:val="00A12C70"/>
    <w:rsid w:val="00A13FC6"/>
    <w:rsid w:val="00A1460D"/>
    <w:rsid w:val="00A21374"/>
    <w:rsid w:val="00A22DE7"/>
    <w:rsid w:val="00A230E2"/>
    <w:rsid w:val="00A24161"/>
    <w:rsid w:val="00A25B09"/>
    <w:rsid w:val="00A26E29"/>
    <w:rsid w:val="00A3204E"/>
    <w:rsid w:val="00A33141"/>
    <w:rsid w:val="00A353E6"/>
    <w:rsid w:val="00A35950"/>
    <w:rsid w:val="00A3684C"/>
    <w:rsid w:val="00A3689A"/>
    <w:rsid w:val="00A374EC"/>
    <w:rsid w:val="00A403A3"/>
    <w:rsid w:val="00A40493"/>
    <w:rsid w:val="00A40C81"/>
    <w:rsid w:val="00A41A77"/>
    <w:rsid w:val="00A44353"/>
    <w:rsid w:val="00A44DB8"/>
    <w:rsid w:val="00A46E52"/>
    <w:rsid w:val="00A474FD"/>
    <w:rsid w:val="00A504E1"/>
    <w:rsid w:val="00A508E0"/>
    <w:rsid w:val="00A523C8"/>
    <w:rsid w:val="00A54A7F"/>
    <w:rsid w:val="00A553F7"/>
    <w:rsid w:val="00A61D49"/>
    <w:rsid w:val="00A61E48"/>
    <w:rsid w:val="00A626D2"/>
    <w:rsid w:val="00A63E4D"/>
    <w:rsid w:val="00A642AD"/>
    <w:rsid w:val="00A673AE"/>
    <w:rsid w:val="00A703FB"/>
    <w:rsid w:val="00A70748"/>
    <w:rsid w:val="00A70D90"/>
    <w:rsid w:val="00A72140"/>
    <w:rsid w:val="00A72C8F"/>
    <w:rsid w:val="00A75D68"/>
    <w:rsid w:val="00A7655F"/>
    <w:rsid w:val="00A83E9C"/>
    <w:rsid w:val="00A8646B"/>
    <w:rsid w:val="00A87A0E"/>
    <w:rsid w:val="00A95310"/>
    <w:rsid w:val="00A960D5"/>
    <w:rsid w:val="00A963C9"/>
    <w:rsid w:val="00A97A0A"/>
    <w:rsid w:val="00A97CB9"/>
    <w:rsid w:val="00AA11F9"/>
    <w:rsid w:val="00AA1528"/>
    <w:rsid w:val="00AA3879"/>
    <w:rsid w:val="00AA3ACB"/>
    <w:rsid w:val="00AA3F01"/>
    <w:rsid w:val="00AA4252"/>
    <w:rsid w:val="00AA542C"/>
    <w:rsid w:val="00AA73C8"/>
    <w:rsid w:val="00AA78DF"/>
    <w:rsid w:val="00AA7ED9"/>
    <w:rsid w:val="00AB1C22"/>
    <w:rsid w:val="00AB4090"/>
    <w:rsid w:val="00AB5317"/>
    <w:rsid w:val="00AB7867"/>
    <w:rsid w:val="00AC01A6"/>
    <w:rsid w:val="00AC1EE4"/>
    <w:rsid w:val="00AC2D00"/>
    <w:rsid w:val="00AD1906"/>
    <w:rsid w:val="00AD3039"/>
    <w:rsid w:val="00AD37FD"/>
    <w:rsid w:val="00AE012A"/>
    <w:rsid w:val="00AE0793"/>
    <w:rsid w:val="00AE25F6"/>
    <w:rsid w:val="00AE4752"/>
    <w:rsid w:val="00AE54AA"/>
    <w:rsid w:val="00AF2469"/>
    <w:rsid w:val="00AF54E7"/>
    <w:rsid w:val="00AF55C0"/>
    <w:rsid w:val="00AF5716"/>
    <w:rsid w:val="00AF7F16"/>
    <w:rsid w:val="00B0054C"/>
    <w:rsid w:val="00B02900"/>
    <w:rsid w:val="00B03F6E"/>
    <w:rsid w:val="00B040BA"/>
    <w:rsid w:val="00B04F0F"/>
    <w:rsid w:val="00B05E22"/>
    <w:rsid w:val="00B060D0"/>
    <w:rsid w:val="00B07D92"/>
    <w:rsid w:val="00B07E92"/>
    <w:rsid w:val="00B10AA5"/>
    <w:rsid w:val="00B10F1B"/>
    <w:rsid w:val="00B12405"/>
    <w:rsid w:val="00B149B7"/>
    <w:rsid w:val="00B155FA"/>
    <w:rsid w:val="00B15979"/>
    <w:rsid w:val="00B15CF0"/>
    <w:rsid w:val="00B17084"/>
    <w:rsid w:val="00B170DE"/>
    <w:rsid w:val="00B171B0"/>
    <w:rsid w:val="00B171ED"/>
    <w:rsid w:val="00B17E44"/>
    <w:rsid w:val="00B20A6B"/>
    <w:rsid w:val="00B20FA7"/>
    <w:rsid w:val="00B22372"/>
    <w:rsid w:val="00B227DD"/>
    <w:rsid w:val="00B22DC1"/>
    <w:rsid w:val="00B22F50"/>
    <w:rsid w:val="00B242D5"/>
    <w:rsid w:val="00B25917"/>
    <w:rsid w:val="00B31138"/>
    <w:rsid w:val="00B3127F"/>
    <w:rsid w:val="00B31EBD"/>
    <w:rsid w:val="00B378C4"/>
    <w:rsid w:val="00B42962"/>
    <w:rsid w:val="00B4517E"/>
    <w:rsid w:val="00B507EB"/>
    <w:rsid w:val="00B50DA7"/>
    <w:rsid w:val="00B519F7"/>
    <w:rsid w:val="00B51FC6"/>
    <w:rsid w:val="00B5338B"/>
    <w:rsid w:val="00B540ED"/>
    <w:rsid w:val="00B56074"/>
    <w:rsid w:val="00B57D4B"/>
    <w:rsid w:val="00B63F6D"/>
    <w:rsid w:val="00B64B69"/>
    <w:rsid w:val="00B660C2"/>
    <w:rsid w:val="00B6777E"/>
    <w:rsid w:val="00B679E6"/>
    <w:rsid w:val="00B7272D"/>
    <w:rsid w:val="00B72FC5"/>
    <w:rsid w:val="00B81916"/>
    <w:rsid w:val="00B82D53"/>
    <w:rsid w:val="00B8318D"/>
    <w:rsid w:val="00B83D03"/>
    <w:rsid w:val="00B8606B"/>
    <w:rsid w:val="00B87A1F"/>
    <w:rsid w:val="00B90964"/>
    <w:rsid w:val="00B90E1A"/>
    <w:rsid w:val="00B937B6"/>
    <w:rsid w:val="00B95EB9"/>
    <w:rsid w:val="00B971A2"/>
    <w:rsid w:val="00BA0311"/>
    <w:rsid w:val="00BA57C6"/>
    <w:rsid w:val="00BB0F59"/>
    <w:rsid w:val="00BB1612"/>
    <w:rsid w:val="00BB25F9"/>
    <w:rsid w:val="00BB5265"/>
    <w:rsid w:val="00BB5BA2"/>
    <w:rsid w:val="00BB5EEC"/>
    <w:rsid w:val="00BB5F7B"/>
    <w:rsid w:val="00BB635F"/>
    <w:rsid w:val="00BB74CE"/>
    <w:rsid w:val="00BC1A85"/>
    <w:rsid w:val="00BC1AFD"/>
    <w:rsid w:val="00BC4144"/>
    <w:rsid w:val="00BC4FC5"/>
    <w:rsid w:val="00BC6360"/>
    <w:rsid w:val="00BC682B"/>
    <w:rsid w:val="00BC6855"/>
    <w:rsid w:val="00BC6A7A"/>
    <w:rsid w:val="00BC6F6F"/>
    <w:rsid w:val="00BD08A0"/>
    <w:rsid w:val="00BD20D8"/>
    <w:rsid w:val="00BD3C60"/>
    <w:rsid w:val="00BD3D70"/>
    <w:rsid w:val="00BD4657"/>
    <w:rsid w:val="00BD663F"/>
    <w:rsid w:val="00BE370E"/>
    <w:rsid w:val="00BE4293"/>
    <w:rsid w:val="00BE4D15"/>
    <w:rsid w:val="00BE5027"/>
    <w:rsid w:val="00BE67EA"/>
    <w:rsid w:val="00BE6BAD"/>
    <w:rsid w:val="00BF0833"/>
    <w:rsid w:val="00BF1907"/>
    <w:rsid w:val="00BF26A6"/>
    <w:rsid w:val="00C00870"/>
    <w:rsid w:val="00C012A5"/>
    <w:rsid w:val="00C02A32"/>
    <w:rsid w:val="00C03296"/>
    <w:rsid w:val="00C0351D"/>
    <w:rsid w:val="00C03FD9"/>
    <w:rsid w:val="00C0415F"/>
    <w:rsid w:val="00C0477B"/>
    <w:rsid w:val="00C07754"/>
    <w:rsid w:val="00C07A08"/>
    <w:rsid w:val="00C10A71"/>
    <w:rsid w:val="00C10E1C"/>
    <w:rsid w:val="00C149E7"/>
    <w:rsid w:val="00C17D47"/>
    <w:rsid w:val="00C20019"/>
    <w:rsid w:val="00C20BF2"/>
    <w:rsid w:val="00C2100C"/>
    <w:rsid w:val="00C22D72"/>
    <w:rsid w:val="00C258A5"/>
    <w:rsid w:val="00C26626"/>
    <w:rsid w:val="00C2674C"/>
    <w:rsid w:val="00C27796"/>
    <w:rsid w:val="00C27FBE"/>
    <w:rsid w:val="00C30353"/>
    <w:rsid w:val="00C3364A"/>
    <w:rsid w:val="00C33684"/>
    <w:rsid w:val="00C337E9"/>
    <w:rsid w:val="00C33A38"/>
    <w:rsid w:val="00C33A52"/>
    <w:rsid w:val="00C33FBB"/>
    <w:rsid w:val="00C37266"/>
    <w:rsid w:val="00C43D4E"/>
    <w:rsid w:val="00C43D6D"/>
    <w:rsid w:val="00C4485C"/>
    <w:rsid w:val="00C54046"/>
    <w:rsid w:val="00C545C0"/>
    <w:rsid w:val="00C54D77"/>
    <w:rsid w:val="00C6011C"/>
    <w:rsid w:val="00C607E2"/>
    <w:rsid w:val="00C61E0B"/>
    <w:rsid w:val="00C61E1B"/>
    <w:rsid w:val="00C71C9E"/>
    <w:rsid w:val="00C71D90"/>
    <w:rsid w:val="00C72631"/>
    <w:rsid w:val="00C729A2"/>
    <w:rsid w:val="00C73A3C"/>
    <w:rsid w:val="00C75445"/>
    <w:rsid w:val="00C75A60"/>
    <w:rsid w:val="00C75E5E"/>
    <w:rsid w:val="00C77431"/>
    <w:rsid w:val="00C7748C"/>
    <w:rsid w:val="00C77B1D"/>
    <w:rsid w:val="00C806E9"/>
    <w:rsid w:val="00C825B6"/>
    <w:rsid w:val="00C832E5"/>
    <w:rsid w:val="00C83BF6"/>
    <w:rsid w:val="00C85FF0"/>
    <w:rsid w:val="00C86233"/>
    <w:rsid w:val="00C87224"/>
    <w:rsid w:val="00C87A4A"/>
    <w:rsid w:val="00C916F5"/>
    <w:rsid w:val="00C93926"/>
    <w:rsid w:val="00C93EAA"/>
    <w:rsid w:val="00C965C3"/>
    <w:rsid w:val="00CA2E02"/>
    <w:rsid w:val="00CA3DE1"/>
    <w:rsid w:val="00CA672E"/>
    <w:rsid w:val="00CB024D"/>
    <w:rsid w:val="00CB1988"/>
    <w:rsid w:val="00CB3C8D"/>
    <w:rsid w:val="00CB54AB"/>
    <w:rsid w:val="00CB5B44"/>
    <w:rsid w:val="00CB689A"/>
    <w:rsid w:val="00CB6CDA"/>
    <w:rsid w:val="00CC0BF1"/>
    <w:rsid w:val="00CC0C22"/>
    <w:rsid w:val="00CC1652"/>
    <w:rsid w:val="00CC3BE8"/>
    <w:rsid w:val="00CC465B"/>
    <w:rsid w:val="00CC4897"/>
    <w:rsid w:val="00CC5719"/>
    <w:rsid w:val="00CD0B05"/>
    <w:rsid w:val="00CD0CF2"/>
    <w:rsid w:val="00CD1784"/>
    <w:rsid w:val="00CD6524"/>
    <w:rsid w:val="00CE0189"/>
    <w:rsid w:val="00CE17B6"/>
    <w:rsid w:val="00CE54CA"/>
    <w:rsid w:val="00CE58E0"/>
    <w:rsid w:val="00CE6FCA"/>
    <w:rsid w:val="00CF00C1"/>
    <w:rsid w:val="00CF177E"/>
    <w:rsid w:val="00CF192A"/>
    <w:rsid w:val="00CF27A7"/>
    <w:rsid w:val="00CF44EB"/>
    <w:rsid w:val="00CF7814"/>
    <w:rsid w:val="00CF795C"/>
    <w:rsid w:val="00D02EAF"/>
    <w:rsid w:val="00D03483"/>
    <w:rsid w:val="00D04F88"/>
    <w:rsid w:val="00D074F5"/>
    <w:rsid w:val="00D10BA2"/>
    <w:rsid w:val="00D12FCF"/>
    <w:rsid w:val="00D138A6"/>
    <w:rsid w:val="00D143DD"/>
    <w:rsid w:val="00D14810"/>
    <w:rsid w:val="00D15D41"/>
    <w:rsid w:val="00D1657D"/>
    <w:rsid w:val="00D1705C"/>
    <w:rsid w:val="00D22E26"/>
    <w:rsid w:val="00D253B4"/>
    <w:rsid w:val="00D25CFF"/>
    <w:rsid w:val="00D2790A"/>
    <w:rsid w:val="00D3522C"/>
    <w:rsid w:val="00D37573"/>
    <w:rsid w:val="00D41440"/>
    <w:rsid w:val="00D4437E"/>
    <w:rsid w:val="00D450EF"/>
    <w:rsid w:val="00D46D5C"/>
    <w:rsid w:val="00D46DC1"/>
    <w:rsid w:val="00D46E6C"/>
    <w:rsid w:val="00D47C41"/>
    <w:rsid w:val="00D50615"/>
    <w:rsid w:val="00D51EC5"/>
    <w:rsid w:val="00D55E1A"/>
    <w:rsid w:val="00D56A29"/>
    <w:rsid w:val="00D65A20"/>
    <w:rsid w:val="00D75CE5"/>
    <w:rsid w:val="00D763BD"/>
    <w:rsid w:val="00D87DCB"/>
    <w:rsid w:val="00D90331"/>
    <w:rsid w:val="00D922A8"/>
    <w:rsid w:val="00D938C7"/>
    <w:rsid w:val="00D9473D"/>
    <w:rsid w:val="00D94CAC"/>
    <w:rsid w:val="00D966B7"/>
    <w:rsid w:val="00DA08DB"/>
    <w:rsid w:val="00DA4D49"/>
    <w:rsid w:val="00DA7A44"/>
    <w:rsid w:val="00DB04BE"/>
    <w:rsid w:val="00DB0597"/>
    <w:rsid w:val="00DB7BEA"/>
    <w:rsid w:val="00DC4316"/>
    <w:rsid w:val="00DC5624"/>
    <w:rsid w:val="00DC58F4"/>
    <w:rsid w:val="00DD11E3"/>
    <w:rsid w:val="00DD1C34"/>
    <w:rsid w:val="00DD3963"/>
    <w:rsid w:val="00DD6ABA"/>
    <w:rsid w:val="00DE04A7"/>
    <w:rsid w:val="00DE05E1"/>
    <w:rsid w:val="00DE215A"/>
    <w:rsid w:val="00DE2A6F"/>
    <w:rsid w:val="00DE4B43"/>
    <w:rsid w:val="00DE5A7D"/>
    <w:rsid w:val="00DE60E9"/>
    <w:rsid w:val="00DE6452"/>
    <w:rsid w:val="00DE6BB9"/>
    <w:rsid w:val="00DF1311"/>
    <w:rsid w:val="00DF328A"/>
    <w:rsid w:val="00E00BE7"/>
    <w:rsid w:val="00E01063"/>
    <w:rsid w:val="00E03202"/>
    <w:rsid w:val="00E0388E"/>
    <w:rsid w:val="00E03D9E"/>
    <w:rsid w:val="00E04E50"/>
    <w:rsid w:val="00E06A5C"/>
    <w:rsid w:val="00E07E02"/>
    <w:rsid w:val="00E11B64"/>
    <w:rsid w:val="00E11C1C"/>
    <w:rsid w:val="00E12781"/>
    <w:rsid w:val="00E140E3"/>
    <w:rsid w:val="00E17CA4"/>
    <w:rsid w:val="00E214A0"/>
    <w:rsid w:val="00E22BAD"/>
    <w:rsid w:val="00E22E14"/>
    <w:rsid w:val="00E23F4D"/>
    <w:rsid w:val="00E245F9"/>
    <w:rsid w:val="00E25E44"/>
    <w:rsid w:val="00E25F05"/>
    <w:rsid w:val="00E30139"/>
    <w:rsid w:val="00E31FE1"/>
    <w:rsid w:val="00E32FD2"/>
    <w:rsid w:val="00E34153"/>
    <w:rsid w:val="00E365BD"/>
    <w:rsid w:val="00E36A7B"/>
    <w:rsid w:val="00E36E37"/>
    <w:rsid w:val="00E37BD6"/>
    <w:rsid w:val="00E42443"/>
    <w:rsid w:val="00E42C32"/>
    <w:rsid w:val="00E45AEA"/>
    <w:rsid w:val="00E46696"/>
    <w:rsid w:val="00E5242F"/>
    <w:rsid w:val="00E52A44"/>
    <w:rsid w:val="00E547B6"/>
    <w:rsid w:val="00E54AF2"/>
    <w:rsid w:val="00E54BBA"/>
    <w:rsid w:val="00E62398"/>
    <w:rsid w:val="00E63750"/>
    <w:rsid w:val="00E67213"/>
    <w:rsid w:val="00E67465"/>
    <w:rsid w:val="00E70D06"/>
    <w:rsid w:val="00E71959"/>
    <w:rsid w:val="00E73845"/>
    <w:rsid w:val="00E74161"/>
    <w:rsid w:val="00E76B7A"/>
    <w:rsid w:val="00E7739A"/>
    <w:rsid w:val="00E7740A"/>
    <w:rsid w:val="00E779D0"/>
    <w:rsid w:val="00E77E9C"/>
    <w:rsid w:val="00E8089F"/>
    <w:rsid w:val="00E8561A"/>
    <w:rsid w:val="00E873A8"/>
    <w:rsid w:val="00E8770B"/>
    <w:rsid w:val="00E93A0C"/>
    <w:rsid w:val="00E96159"/>
    <w:rsid w:val="00E97E78"/>
    <w:rsid w:val="00EA1249"/>
    <w:rsid w:val="00EA1426"/>
    <w:rsid w:val="00EA48FC"/>
    <w:rsid w:val="00EA6E01"/>
    <w:rsid w:val="00EB0A47"/>
    <w:rsid w:val="00EB3AE3"/>
    <w:rsid w:val="00EB4192"/>
    <w:rsid w:val="00EB4850"/>
    <w:rsid w:val="00EB6920"/>
    <w:rsid w:val="00EB78DA"/>
    <w:rsid w:val="00EC44DE"/>
    <w:rsid w:val="00EC640A"/>
    <w:rsid w:val="00EC7FA6"/>
    <w:rsid w:val="00ED1934"/>
    <w:rsid w:val="00ED2582"/>
    <w:rsid w:val="00ED3C02"/>
    <w:rsid w:val="00ED4E39"/>
    <w:rsid w:val="00ED51B9"/>
    <w:rsid w:val="00ED6137"/>
    <w:rsid w:val="00EE00D1"/>
    <w:rsid w:val="00EE14B7"/>
    <w:rsid w:val="00EE3727"/>
    <w:rsid w:val="00EE497D"/>
    <w:rsid w:val="00EE7F71"/>
    <w:rsid w:val="00EF1FAE"/>
    <w:rsid w:val="00EF2C12"/>
    <w:rsid w:val="00EF4996"/>
    <w:rsid w:val="00EF5C22"/>
    <w:rsid w:val="00EF66FE"/>
    <w:rsid w:val="00EF6F85"/>
    <w:rsid w:val="00EF79E0"/>
    <w:rsid w:val="00F00F76"/>
    <w:rsid w:val="00F023F6"/>
    <w:rsid w:val="00F02BAE"/>
    <w:rsid w:val="00F02CE8"/>
    <w:rsid w:val="00F04221"/>
    <w:rsid w:val="00F057D4"/>
    <w:rsid w:val="00F057D7"/>
    <w:rsid w:val="00F060C7"/>
    <w:rsid w:val="00F064AB"/>
    <w:rsid w:val="00F06631"/>
    <w:rsid w:val="00F07F62"/>
    <w:rsid w:val="00F10224"/>
    <w:rsid w:val="00F11DFC"/>
    <w:rsid w:val="00F127A2"/>
    <w:rsid w:val="00F130BD"/>
    <w:rsid w:val="00F13957"/>
    <w:rsid w:val="00F15BD0"/>
    <w:rsid w:val="00F15F3B"/>
    <w:rsid w:val="00F1614F"/>
    <w:rsid w:val="00F176DA"/>
    <w:rsid w:val="00F204FA"/>
    <w:rsid w:val="00F25F74"/>
    <w:rsid w:val="00F263CF"/>
    <w:rsid w:val="00F276F5"/>
    <w:rsid w:val="00F34852"/>
    <w:rsid w:val="00F35D7E"/>
    <w:rsid w:val="00F37F71"/>
    <w:rsid w:val="00F37F84"/>
    <w:rsid w:val="00F40F94"/>
    <w:rsid w:val="00F41B06"/>
    <w:rsid w:val="00F41B73"/>
    <w:rsid w:val="00F4287F"/>
    <w:rsid w:val="00F428CD"/>
    <w:rsid w:val="00F433B1"/>
    <w:rsid w:val="00F437B9"/>
    <w:rsid w:val="00F43AFA"/>
    <w:rsid w:val="00F44A6F"/>
    <w:rsid w:val="00F45E3F"/>
    <w:rsid w:val="00F47769"/>
    <w:rsid w:val="00F52524"/>
    <w:rsid w:val="00F53482"/>
    <w:rsid w:val="00F54645"/>
    <w:rsid w:val="00F557CC"/>
    <w:rsid w:val="00F60D79"/>
    <w:rsid w:val="00F61906"/>
    <w:rsid w:val="00F61915"/>
    <w:rsid w:val="00F72975"/>
    <w:rsid w:val="00F72C0D"/>
    <w:rsid w:val="00F72E08"/>
    <w:rsid w:val="00F7382E"/>
    <w:rsid w:val="00F73C69"/>
    <w:rsid w:val="00F75ACF"/>
    <w:rsid w:val="00F775C8"/>
    <w:rsid w:val="00F812EE"/>
    <w:rsid w:val="00F834F6"/>
    <w:rsid w:val="00F83917"/>
    <w:rsid w:val="00F83E5A"/>
    <w:rsid w:val="00F85A86"/>
    <w:rsid w:val="00F9023B"/>
    <w:rsid w:val="00F9225E"/>
    <w:rsid w:val="00F925AF"/>
    <w:rsid w:val="00F9349F"/>
    <w:rsid w:val="00F939C8"/>
    <w:rsid w:val="00F942E5"/>
    <w:rsid w:val="00FA00DE"/>
    <w:rsid w:val="00FA11B1"/>
    <w:rsid w:val="00FA1E72"/>
    <w:rsid w:val="00FA269B"/>
    <w:rsid w:val="00FA285C"/>
    <w:rsid w:val="00FA3E1B"/>
    <w:rsid w:val="00FA42C6"/>
    <w:rsid w:val="00FA4C3C"/>
    <w:rsid w:val="00FA79F0"/>
    <w:rsid w:val="00FB1210"/>
    <w:rsid w:val="00FB2161"/>
    <w:rsid w:val="00FB5523"/>
    <w:rsid w:val="00FB621F"/>
    <w:rsid w:val="00FB6D7C"/>
    <w:rsid w:val="00FB6E18"/>
    <w:rsid w:val="00FB7B23"/>
    <w:rsid w:val="00FC0562"/>
    <w:rsid w:val="00FC322D"/>
    <w:rsid w:val="00FC5A86"/>
    <w:rsid w:val="00FC5E03"/>
    <w:rsid w:val="00FC6721"/>
    <w:rsid w:val="00FD1E2D"/>
    <w:rsid w:val="00FD2944"/>
    <w:rsid w:val="00FD30F2"/>
    <w:rsid w:val="00FD756B"/>
    <w:rsid w:val="00FD7716"/>
    <w:rsid w:val="00FE0B28"/>
    <w:rsid w:val="00FE0D4D"/>
    <w:rsid w:val="00FE183D"/>
    <w:rsid w:val="00FE1858"/>
    <w:rsid w:val="00FE2E6A"/>
    <w:rsid w:val="00FE3156"/>
    <w:rsid w:val="00FE434D"/>
    <w:rsid w:val="00FE6B02"/>
    <w:rsid w:val="00FF18C4"/>
    <w:rsid w:val="00FF2117"/>
    <w:rsid w:val="00FF2D0E"/>
    <w:rsid w:val="00FF39AE"/>
    <w:rsid w:val="00FF3BDD"/>
    <w:rsid w:val="00FF75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B5E5C6"/>
  <w14:defaultImageDpi w14:val="330"/>
  <w15:docId w15:val="{F4B59345-9BD9-4BDD-84C1-5F917EC2B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2297"/>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4090"/>
    <w:pPr>
      <w:ind w:left="720"/>
      <w:contextualSpacing/>
    </w:pPr>
    <w:rPr>
      <w:szCs w:val="22"/>
    </w:rPr>
  </w:style>
  <w:style w:type="paragraph" w:styleId="BalloonText">
    <w:name w:val="Balloon Text"/>
    <w:basedOn w:val="Normal"/>
    <w:link w:val="BalloonTextChar"/>
    <w:uiPriority w:val="99"/>
    <w:semiHidden/>
    <w:unhideWhenUsed/>
    <w:rsid w:val="003574D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574DF"/>
    <w:rPr>
      <w:rFonts w:ascii="Lucida Grande" w:hAnsi="Lucida Grande" w:cs="Lucida Grande"/>
      <w:sz w:val="18"/>
      <w:szCs w:val="18"/>
    </w:rPr>
  </w:style>
  <w:style w:type="character" w:styleId="CommentReference">
    <w:name w:val="annotation reference"/>
    <w:basedOn w:val="DefaultParagraphFont"/>
    <w:uiPriority w:val="99"/>
    <w:semiHidden/>
    <w:unhideWhenUsed/>
    <w:rsid w:val="005F2C88"/>
    <w:rPr>
      <w:sz w:val="16"/>
      <w:szCs w:val="16"/>
    </w:rPr>
  </w:style>
  <w:style w:type="paragraph" w:styleId="CommentText">
    <w:name w:val="annotation text"/>
    <w:basedOn w:val="Normal"/>
    <w:link w:val="CommentTextChar"/>
    <w:uiPriority w:val="99"/>
    <w:unhideWhenUsed/>
    <w:rsid w:val="005F2C88"/>
    <w:rPr>
      <w:sz w:val="20"/>
      <w:szCs w:val="20"/>
    </w:rPr>
  </w:style>
  <w:style w:type="character" w:customStyle="1" w:styleId="CommentTextChar">
    <w:name w:val="Comment Text Char"/>
    <w:basedOn w:val="DefaultParagraphFont"/>
    <w:link w:val="CommentText"/>
    <w:uiPriority w:val="99"/>
    <w:rsid w:val="005F2C88"/>
    <w:rPr>
      <w:sz w:val="20"/>
      <w:szCs w:val="20"/>
    </w:rPr>
  </w:style>
  <w:style w:type="paragraph" w:styleId="CommentSubject">
    <w:name w:val="annotation subject"/>
    <w:basedOn w:val="CommentText"/>
    <w:next w:val="CommentText"/>
    <w:link w:val="CommentSubjectChar"/>
    <w:uiPriority w:val="99"/>
    <w:semiHidden/>
    <w:unhideWhenUsed/>
    <w:rsid w:val="005F2C88"/>
    <w:rPr>
      <w:b/>
      <w:bCs/>
    </w:rPr>
  </w:style>
  <w:style w:type="character" w:customStyle="1" w:styleId="CommentSubjectChar">
    <w:name w:val="Comment Subject Char"/>
    <w:basedOn w:val="CommentTextChar"/>
    <w:link w:val="CommentSubject"/>
    <w:uiPriority w:val="99"/>
    <w:semiHidden/>
    <w:rsid w:val="005F2C88"/>
    <w:rPr>
      <w:b/>
      <w:bCs/>
      <w:sz w:val="20"/>
      <w:szCs w:val="20"/>
    </w:rPr>
  </w:style>
  <w:style w:type="paragraph" w:styleId="Revision">
    <w:name w:val="Revision"/>
    <w:hidden/>
    <w:uiPriority w:val="99"/>
    <w:semiHidden/>
    <w:rsid w:val="005F2C88"/>
  </w:style>
  <w:style w:type="character" w:styleId="Hyperlink">
    <w:name w:val="Hyperlink"/>
    <w:basedOn w:val="DefaultParagraphFont"/>
    <w:uiPriority w:val="99"/>
    <w:unhideWhenUsed/>
    <w:rsid w:val="00384143"/>
    <w:rPr>
      <w:color w:val="0000FF" w:themeColor="hyperlink"/>
      <w:u w:val="single"/>
    </w:rPr>
  </w:style>
  <w:style w:type="paragraph" w:styleId="NoSpacing">
    <w:name w:val="No Spacing"/>
    <w:uiPriority w:val="1"/>
    <w:qFormat/>
    <w:rsid w:val="00384143"/>
    <w:rPr>
      <w:sz w:val="22"/>
    </w:rPr>
  </w:style>
  <w:style w:type="paragraph" w:customStyle="1" w:styleId="EndNoteBibliographyTitle">
    <w:name w:val="EndNote Bibliography Title"/>
    <w:basedOn w:val="Normal"/>
    <w:link w:val="EndNoteBibliographyTitleChar"/>
    <w:rsid w:val="00FB7B23"/>
    <w:pPr>
      <w:jc w:val="center"/>
    </w:pPr>
    <w:rPr>
      <w:noProof/>
      <w:szCs w:val="22"/>
    </w:rPr>
  </w:style>
  <w:style w:type="character" w:customStyle="1" w:styleId="EndNoteBibliographyTitleChar">
    <w:name w:val="EndNote Bibliography Title Char"/>
    <w:basedOn w:val="DefaultParagraphFont"/>
    <w:link w:val="EndNoteBibliographyTitle"/>
    <w:rsid w:val="00FB7B23"/>
    <w:rPr>
      <w:noProof/>
    </w:rPr>
  </w:style>
  <w:style w:type="paragraph" w:customStyle="1" w:styleId="EndNoteBibliography">
    <w:name w:val="EndNote Bibliography"/>
    <w:basedOn w:val="Normal"/>
    <w:link w:val="EndNoteBibliographyChar"/>
    <w:rsid w:val="00FB7B23"/>
    <w:rPr>
      <w:noProof/>
      <w:szCs w:val="22"/>
    </w:rPr>
  </w:style>
  <w:style w:type="character" w:customStyle="1" w:styleId="EndNoteBibliographyChar">
    <w:name w:val="EndNote Bibliography Char"/>
    <w:basedOn w:val="DefaultParagraphFont"/>
    <w:link w:val="EndNoteBibliography"/>
    <w:rsid w:val="00FB7B23"/>
    <w:rPr>
      <w:noProof/>
    </w:rPr>
  </w:style>
  <w:style w:type="character" w:styleId="Strong">
    <w:name w:val="Strong"/>
    <w:basedOn w:val="DefaultParagraphFont"/>
    <w:uiPriority w:val="22"/>
    <w:qFormat/>
    <w:rsid w:val="005C289E"/>
    <w:rPr>
      <w:b/>
      <w:bCs/>
    </w:rPr>
  </w:style>
  <w:style w:type="paragraph" w:styleId="Header">
    <w:name w:val="header"/>
    <w:basedOn w:val="Normal"/>
    <w:link w:val="HeaderChar"/>
    <w:uiPriority w:val="99"/>
    <w:unhideWhenUsed/>
    <w:rsid w:val="006D6A96"/>
    <w:pPr>
      <w:tabs>
        <w:tab w:val="center" w:pos="4680"/>
        <w:tab w:val="right" w:pos="9360"/>
      </w:tabs>
    </w:pPr>
    <w:rPr>
      <w:szCs w:val="22"/>
    </w:rPr>
  </w:style>
  <w:style w:type="character" w:customStyle="1" w:styleId="HeaderChar">
    <w:name w:val="Header Char"/>
    <w:basedOn w:val="DefaultParagraphFont"/>
    <w:link w:val="Header"/>
    <w:uiPriority w:val="99"/>
    <w:rsid w:val="006D6A96"/>
  </w:style>
  <w:style w:type="paragraph" w:styleId="Footer">
    <w:name w:val="footer"/>
    <w:basedOn w:val="Normal"/>
    <w:link w:val="FooterChar"/>
    <w:uiPriority w:val="99"/>
    <w:unhideWhenUsed/>
    <w:rsid w:val="006D6A96"/>
    <w:pPr>
      <w:tabs>
        <w:tab w:val="center" w:pos="4680"/>
        <w:tab w:val="right" w:pos="9360"/>
      </w:tabs>
    </w:pPr>
    <w:rPr>
      <w:szCs w:val="22"/>
    </w:rPr>
  </w:style>
  <w:style w:type="character" w:customStyle="1" w:styleId="FooterChar">
    <w:name w:val="Footer Char"/>
    <w:basedOn w:val="DefaultParagraphFont"/>
    <w:link w:val="Footer"/>
    <w:uiPriority w:val="99"/>
    <w:rsid w:val="006D6A96"/>
  </w:style>
  <w:style w:type="paragraph" w:styleId="NormalWeb">
    <w:name w:val="Normal (Web)"/>
    <w:basedOn w:val="Normal"/>
    <w:uiPriority w:val="99"/>
    <w:unhideWhenUsed/>
    <w:rsid w:val="00F83E5A"/>
    <w:pPr>
      <w:spacing w:before="100" w:beforeAutospacing="1" w:after="100" w:afterAutospacing="1"/>
    </w:pPr>
    <w:rPr>
      <w:szCs w:val="22"/>
    </w:rPr>
  </w:style>
  <w:style w:type="character" w:styleId="FollowedHyperlink">
    <w:name w:val="FollowedHyperlink"/>
    <w:basedOn w:val="DefaultParagraphFont"/>
    <w:uiPriority w:val="99"/>
    <w:semiHidden/>
    <w:unhideWhenUsed/>
    <w:rsid w:val="009E22B9"/>
    <w:rPr>
      <w:color w:val="800080" w:themeColor="followedHyperlink"/>
      <w:u w:val="single"/>
    </w:rPr>
  </w:style>
  <w:style w:type="character" w:customStyle="1" w:styleId="apple-converted-space">
    <w:name w:val="apple-converted-space"/>
    <w:basedOn w:val="DefaultParagraphFont"/>
    <w:rsid w:val="00447E59"/>
  </w:style>
  <w:style w:type="character" w:customStyle="1" w:styleId="quotecard">
    <w:name w:val="quotecard"/>
    <w:basedOn w:val="DefaultParagraphFont"/>
    <w:rsid w:val="00447E59"/>
  </w:style>
  <w:style w:type="paragraph" w:customStyle="1" w:styleId="Default">
    <w:name w:val="Default"/>
    <w:rsid w:val="00AA4252"/>
    <w:pPr>
      <w:autoSpaceDE w:val="0"/>
      <w:autoSpaceDN w:val="0"/>
      <w:adjustRightInd w:val="0"/>
    </w:pPr>
    <w:rPr>
      <w:color w:val="000000"/>
      <w:szCs w:val="24"/>
    </w:rPr>
  </w:style>
  <w:style w:type="table" w:styleId="TableGrid">
    <w:name w:val="Table Grid"/>
    <w:basedOn w:val="TableNormal"/>
    <w:uiPriority w:val="59"/>
    <w:rsid w:val="002B0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B57D4B"/>
    <w:rPr>
      <w:i/>
      <w:iCs/>
    </w:rPr>
  </w:style>
  <w:style w:type="table" w:styleId="TableGridLight">
    <w:name w:val="Grid Table Light"/>
    <w:basedOn w:val="TableNormal"/>
    <w:uiPriority w:val="40"/>
    <w:rsid w:val="001A015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1A015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21716">
      <w:bodyDiv w:val="1"/>
      <w:marLeft w:val="0"/>
      <w:marRight w:val="0"/>
      <w:marTop w:val="0"/>
      <w:marBottom w:val="0"/>
      <w:divBdr>
        <w:top w:val="none" w:sz="0" w:space="0" w:color="auto"/>
        <w:left w:val="none" w:sz="0" w:space="0" w:color="auto"/>
        <w:bottom w:val="none" w:sz="0" w:space="0" w:color="auto"/>
        <w:right w:val="none" w:sz="0" w:space="0" w:color="auto"/>
      </w:divBdr>
      <w:divsChild>
        <w:div w:id="1296908445">
          <w:marLeft w:val="600"/>
          <w:marRight w:val="0"/>
          <w:marTop w:val="0"/>
          <w:marBottom w:val="0"/>
          <w:divBdr>
            <w:top w:val="none" w:sz="0" w:space="0" w:color="auto"/>
            <w:left w:val="none" w:sz="0" w:space="0" w:color="auto"/>
            <w:bottom w:val="none" w:sz="0" w:space="0" w:color="auto"/>
            <w:right w:val="none" w:sz="0" w:space="0" w:color="auto"/>
          </w:divBdr>
        </w:div>
        <w:div w:id="1844201260">
          <w:marLeft w:val="600"/>
          <w:marRight w:val="0"/>
          <w:marTop w:val="0"/>
          <w:marBottom w:val="0"/>
          <w:divBdr>
            <w:top w:val="none" w:sz="0" w:space="0" w:color="auto"/>
            <w:left w:val="none" w:sz="0" w:space="0" w:color="auto"/>
            <w:bottom w:val="none" w:sz="0" w:space="0" w:color="auto"/>
            <w:right w:val="none" w:sz="0" w:space="0" w:color="auto"/>
          </w:divBdr>
        </w:div>
      </w:divsChild>
    </w:div>
    <w:div w:id="43986597">
      <w:bodyDiv w:val="1"/>
      <w:marLeft w:val="0"/>
      <w:marRight w:val="0"/>
      <w:marTop w:val="0"/>
      <w:marBottom w:val="0"/>
      <w:divBdr>
        <w:top w:val="none" w:sz="0" w:space="0" w:color="auto"/>
        <w:left w:val="none" w:sz="0" w:space="0" w:color="auto"/>
        <w:bottom w:val="none" w:sz="0" w:space="0" w:color="auto"/>
        <w:right w:val="none" w:sz="0" w:space="0" w:color="auto"/>
      </w:divBdr>
      <w:divsChild>
        <w:div w:id="135416867">
          <w:marLeft w:val="0"/>
          <w:marRight w:val="0"/>
          <w:marTop w:val="0"/>
          <w:marBottom w:val="0"/>
          <w:divBdr>
            <w:top w:val="none" w:sz="0" w:space="0" w:color="auto"/>
            <w:left w:val="none" w:sz="0" w:space="0" w:color="auto"/>
            <w:bottom w:val="none" w:sz="0" w:space="0" w:color="auto"/>
            <w:right w:val="none" w:sz="0" w:space="0" w:color="auto"/>
          </w:divBdr>
        </w:div>
        <w:div w:id="371266395">
          <w:marLeft w:val="0"/>
          <w:marRight w:val="0"/>
          <w:marTop w:val="0"/>
          <w:marBottom w:val="0"/>
          <w:divBdr>
            <w:top w:val="none" w:sz="0" w:space="0" w:color="auto"/>
            <w:left w:val="none" w:sz="0" w:space="0" w:color="auto"/>
            <w:bottom w:val="none" w:sz="0" w:space="0" w:color="auto"/>
            <w:right w:val="none" w:sz="0" w:space="0" w:color="auto"/>
          </w:divBdr>
        </w:div>
      </w:divsChild>
    </w:div>
    <w:div w:id="61149365">
      <w:bodyDiv w:val="1"/>
      <w:marLeft w:val="0"/>
      <w:marRight w:val="0"/>
      <w:marTop w:val="0"/>
      <w:marBottom w:val="0"/>
      <w:divBdr>
        <w:top w:val="none" w:sz="0" w:space="0" w:color="auto"/>
        <w:left w:val="none" w:sz="0" w:space="0" w:color="auto"/>
        <w:bottom w:val="none" w:sz="0" w:space="0" w:color="auto"/>
        <w:right w:val="none" w:sz="0" w:space="0" w:color="auto"/>
      </w:divBdr>
      <w:divsChild>
        <w:div w:id="1546520920">
          <w:marLeft w:val="0"/>
          <w:marRight w:val="0"/>
          <w:marTop w:val="0"/>
          <w:marBottom w:val="0"/>
          <w:divBdr>
            <w:top w:val="none" w:sz="0" w:space="0" w:color="auto"/>
            <w:left w:val="none" w:sz="0" w:space="0" w:color="auto"/>
            <w:bottom w:val="none" w:sz="0" w:space="0" w:color="auto"/>
            <w:right w:val="none" w:sz="0" w:space="0" w:color="auto"/>
          </w:divBdr>
          <w:divsChild>
            <w:div w:id="657534021">
              <w:marLeft w:val="0"/>
              <w:marRight w:val="0"/>
              <w:marTop w:val="0"/>
              <w:marBottom w:val="0"/>
              <w:divBdr>
                <w:top w:val="none" w:sz="0" w:space="0" w:color="auto"/>
                <w:left w:val="none" w:sz="0" w:space="0" w:color="auto"/>
                <w:bottom w:val="none" w:sz="0" w:space="0" w:color="auto"/>
                <w:right w:val="none" w:sz="0" w:space="0" w:color="auto"/>
              </w:divBdr>
              <w:divsChild>
                <w:div w:id="556430952">
                  <w:marLeft w:val="0"/>
                  <w:marRight w:val="0"/>
                  <w:marTop w:val="0"/>
                  <w:marBottom w:val="0"/>
                  <w:divBdr>
                    <w:top w:val="none" w:sz="0" w:space="0" w:color="auto"/>
                    <w:left w:val="none" w:sz="0" w:space="0" w:color="auto"/>
                    <w:bottom w:val="none" w:sz="0" w:space="0" w:color="auto"/>
                    <w:right w:val="none" w:sz="0" w:space="0" w:color="auto"/>
                  </w:divBdr>
                  <w:divsChild>
                    <w:div w:id="96169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4449">
      <w:bodyDiv w:val="1"/>
      <w:marLeft w:val="0"/>
      <w:marRight w:val="0"/>
      <w:marTop w:val="0"/>
      <w:marBottom w:val="0"/>
      <w:divBdr>
        <w:top w:val="none" w:sz="0" w:space="0" w:color="auto"/>
        <w:left w:val="none" w:sz="0" w:space="0" w:color="auto"/>
        <w:bottom w:val="none" w:sz="0" w:space="0" w:color="auto"/>
        <w:right w:val="none" w:sz="0" w:space="0" w:color="auto"/>
      </w:divBdr>
      <w:divsChild>
        <w:div w:id="374237729">
          <w:marLeft w:val="0"/>
          <w:marRight w:val="0"/>
          <w:marTop w:val="0"/>
          <w:marBottom w:val="0"/>
          <w:divBdr>
            <w:top w:val="none" w:sz="0" w:space="0" w:color="auto"/>
            <w:left w:val="none" w:sz="0" w:space="0" w:color="auto"/>
            <w:bottom w:val="none" w:sz="0" w:space="0" w:color="auto"/>
            <w:right w:val="none" w:sz="0" w:space="0" w:color="auto"/>
          </w:divBdr>
        </w:div>
        <w:div w:id="632173675">
          <w:marLeft w:val="0"/>
          <w:marRight w:val="0"/>
          <w:marTop w:val="0"/>
          <w:marBottom w:val="0"/>
          <w:divBdr>
            <w:top w:val="none" w:sz="0" w:space="0" w:color="auto"/>
            <w:left w:val="none" w:sz="0" w:space="0" w:color="auto"/>
            <w:bottom w:val="none" w:sz="0" w:space="0" w:color="auto"/>
            <w:right w:val="none" w:sz="0" w:space="0" w:color="auto"/>
          </w:divBdr>
        </w:div>
        <w:div w:id="1283923460">
          <w:marLeft w:val="0"/>
          <w:marRight w:val="0"/>
          <w:marTop w:val="0"/>
          <w:marBottom w:val="0"/>
          <w:divBdr>
            <w:top w:val="none" w:sz="0" w:space="0" w:color="auto"/>
            <w:left w:val="none" w:sz="0" w:space="0" w:color="auto"/>
            <w:bottom w:val="none" w:sz="0" w:space="0" w:color="auto"/>
            <w:right w:val="none" w:sz="0" w:space="0" w:color="auto"/>
          </w:divBdr>
        </w:div>
        <w:div w:id="1446927348">
          <w:marLeft w:val="0"/>
          <w:marRight w:val="0"/>
          <w:marTop w:val="0"/>
          <w:marBottom w:val="0"/>
          <w:divBdr>
            <w:top w:val="none" w:sz="0" w:space="0" w:color="auto"/>
            <w:left w:val="none" w:sz="0" w:space="0" w:color="auto"/>
            <w:bottom w:val="none" w:sz="0" w:space="0" w:color="auto"/>
            <w:right w:val="none" w:sz="0" w:space="0" w:color="auto"/>
          </w:divBdr>
        </w:div>
        <w:div w:id="1637835271">
          <w:marLeft w:val="0"/>
          <w:marRight w:val="0"/>
          <w:marTop w:val="0"/>
          <w:marBottom w:val="0"/>
          <w:divBdr>
            <w:top w:val="none" w:sz="0" w:space="0" w:color="auto"/>
            <w:left w:val="none" w:sz="0" w:space="0" w:color="auto"/>
            <w:bottom w:val="none" w:sz="0" w:space="0" w:color="auto"/>
            <w:right w:val="none" w:sz="0" w:space="0" w:color="auto"/>
          </w:divBdr>
        </w:div>
        <w:div w:id="2066173983">
          <w:marLeft w:val="0"/>
          <w:marRight w:val="0"/>
          <w:marTop w:val="0"/>
          <w:marBottom w:val="0"/>
          <w:divBdr>
            <w:top w:val="none" w:sz="0" w:space="0" w:color="auto"/>
            <w:left w:val="none" w:sz="0" w:space="0" w:color="auto"/>
            <w:bottom w:val="none" w:sz="0" w:space="0" w:color="auto"/>
            <w:right w:val="none" w:sz="0" w:space="0" w:color="auto"/>
          </w:divBdr>
        </w:div>
      </w:divsChild>
    </w:div>
    <w:div w:id="202326832">
      <w:bodyDiv w:val="1"/>
      <w:marLeft w:val="0"/>
      <w:marRight w:val="0"/>
      <w:marTop w:val="0"/>
      <w:marBottom w:val="0"/>
      <w:divBdr>
        <w:top w:val="none" w:sz="0" w:space="0" w:color="auto"/>
        <w:left w:val="none" w:sz="0" w:space="0" w:color="auto"/>
        <w:bottom w:val="none" w:sz="0" w:space="0" w:color="auto"/>
        <w:right w:val="none" w:sz="0" w:space="0" w:color="auto"/>
      </w:divBdr>
      <w:divsChild>
        <w:div w:id="854878189">
          <w:marLeft w:val="0"/>
          <w:marRight w:val="0"/>
          <w:marTop w:val="0"/>
          <w:marBottom w:val="0"/>
          <w:divBdr>
            <w:top w:val="none" w:sz="0" w:space="0" w:color="auto"/>
            <w:left w:val="none" w:sz="0" w:space="0" w:color="auto"/>
            <w:bottom w:val="none" w:sz="0" w:space="0" w:color="auto"/>
            <w:right w:val="none" w:sz="0" w:space="0" w:color="auto"/>
          </w:divBdr>
        </w:div>
      </w:divsChild>
    </w:div>
    <w:div w:id="210115998">
      <w:bodyDiv w:val="1"/>
      <w:marLeft w:val="0"/>
      <w:marRight w:val="0"/>
      <w:marTop w:val="0"/>
      <w:marBottom w:val="0"/>
      <w:divBdr>
        <w:top w:val="none" w:sz="0" w:space="0" w:color="auto"/>
        <w:left w:val="none" w:sz="0" w:space="0" w:color="auto"/>
        <w:bottom w:val="none" w:sz="0" w:space="0" w:color="auto"/>
        <w:right w:val="none" w:sz="0" w:space="0" w:color="auto"/>
      </w:divBdr>
    </w:div>
    <w:div w:id="230582366">
      <w:bodyDiv w:val="1"/>
      <w:marLeft w:val="0"/>
      <w:marRight w:val="0"/>
      <w:marTop w:val="0"/>
      <w:marBottom w:val="0"/>
      <w:divBdr>
        <w:top w:val="none" w:sz="0" w:space="0" w:color="auto"/>
        <w:left w:val="none" w:sz="0" w:space="0" w:color="auto"/>
        <w:bottom w:val="none" w:sz="0" w:space="0" w:color="auto"/>
        <w:right w:val="none" w:sz="0" w:space="0" w:color="auto"/>
      </w:divBdr>
    </w:div>
    <w:div w:id="253057512">
      <w:bodyDiv w:val="1"/>
      <w:marLeft w:val="0"/>
      <w:marRight w:val="0"/>
      <w:marTop w:val="0"/>
      <w:marBottom w:val="0"/>
      <w:divBdr>
        <w:top w:val="none" w:sz="0" w:space="0" w:color="auto"/>
        <w:left w:val="none" w:sz="0" w:space="0" w:color="auto"/>
        <w:bottom w:val="none" w:sz="0" w:space="0" w:color="auto"/>
        <w:right w:val="none" w:sz="0" w:space="0" w:color="auto"/>
      </w:divBdr>
    </w:div>
    <w:div w:id="256518534">
      <w:bodyDiv w:val="1"/>
      <w:marLeft w:val="0"/>
      <w:marRight w:val="0"/>
      <w:marTop w:val="0"/>
      <w:marBottom w:val="0"/>
      <w:divBdr>
        <w:top w:val="none" w:sz="0" w:space="0" w:color="auto"/>
        <w:left w:val="none" w:sz="0" w:space="0" w:color="auto"/>
        <w:bottom w:val="none" w:sz="0" w:space="0" w:color="auto"/>
        <w:right w:val="none" w:sz="0" w:space="0" w:color="auto"/>
      </w:divBdr>
    </w:div>
    <w:div w:id="314990373">
      <w:bodyDiv w:val="1"/>
      <w:marLeft w:val="0"/>
      <w:marRight w:val="0"/>
      <w:marTop w:val="0"/>
      <w:marBottom w:val="0"/>
      <w:divBdr>
        <w:top w:val="none" w:sz="0" w:space="0" w:color="auto"/>
        <w:left w:val="none" w:sz="0" w:space="0" w:color="auto"/>
        <w:bottom w:val="none" w:sz="0" w:space="0" w:color="auto"/>
        <w:right w:val="none" w:sz="0" w:space="0" w:color="auto"/>
      </w:divBdr>
      <w:divsChild>
        <w:div w:id="148834808">
          <w:marLeft w:val="0"/>
          <w:marRight w:val="0"/>
          <w:marTop w:val="0"/>
          <w:marBottom w:val="0"/>
          <w:divBdr>
            <w:top w:val="none" w:sz="0" w:space="0" w:color="auto"/>
            <w:left w:val="none" w:sz="0" w:space="0" w:color="auto"/>
            <w:bottom w:val="none" w:sz="0" w:space="0" w:color="auto"/>
            <w:right w:val="none" w:sz="0" w:space="0" w:color="auto"/>
          </w:divBdr>
        </w:div>
        <w:div w:id="200824131">
          <w:marLeft w:val="0"/>
          <w:marRight w:val="0"/>
          <w:marTop w:val="0"/>
          <w:marBottom w:val="0"/>
          <w:divBdr>
            <w:top w:val="none" w:sz="0" w:space="0" w:color="auto"/>
            <w:left w:val="none" w:sz="0" w:space="0" w:color="auto"/>
            <w:bottom w:val="none" w:sz="0" w:space="0" w:color="auto"/>
            <w:right w:val="none" w:sz="0" w:space="0" w:color="auto"/>
          </w:divBdr>
        </w:div>
        <w:div w:id="1649167065">
          <w:marLeft w:val="0"/>
          <w:marRight w:val="0"/>
          <w:marTop w:val="0"/>
          <w:marBottom w:val="0"/>
          <w:divBdr>
            <w:top w:val="none" w:sz="0" w:space="0" w:color="auto"/>
            <w:left w:val="none" w:sz="0" w:space="0" w:color="auto"/>
            <w:bottom w:val="none" w:sz="0" w:space="0" w:color="auto"/>
            <w:right w:val="none" w:sz="0" w:space="0" w:color="auto"/>
          </w:divBdr>
        </w:div>
        <w:div w:id="2028561848">
          <w:marLeft w:val="0"/>
          <w:marRight w:val="0"/>
          <w:marTop w:val="0"/>
          <w:marBottom w:val="0"/>
          <w:divBdr>
            <w:top w:val="none" w:sz="0" w:space="0" w:color="auto"/>
            <w:left w:val="none" w:sz="0" w:space="0" w:color="auto"/>
            <w:bottom w:val="none" w:sz="0" w:space="0" w:color="auto"/>
            <w:right w:val="none" w:sz="0" w:space="0" w:color="auto"/>
          </w:divBdr>
        </w:div>
      </w:divsChild>
    </w:div>
    <w:div w:id="333001124">
      <w:bodyDiv w:val="1"/>
      <w:marLeft w:val="0"/>
      <w:marRight w:val="0"/>
      <w:marTop w:val="0"/>
      <w:marBottom w:val="0"/>
      <w:divBdr>
        <w:top w:val="none" w:sz="0" w:space="0" w:color="auto"/>
        <w:left w:val="none" w:sz="0" w:space="0" w:color="auto"/>
        <w:bottom w:val="none" w:sz="0" w:space="0" w:color="auto"/>
        <w:right w:val="none" w:sz="0" w:space="0" w:color="auto"/>
      </w:divBdr>
    </w:div>
    <w:div w:id="397634817">
      <w:bodyDiv w:val="1"/>
      <w:marLeft w:val="0"/>
      <w:marRight w:val="0"/>
      <w:marTop w:val="0"/>
      <w:marBottom w:val="0"/>
      <w:divBdr>
        <w:top w:val="none" w:sz="0" w:space="0" w:color="auto"/>
        <w:left w:val="none" w:sz="0" w:space="0" w:color="auto"/>
        <w:bottom w:val="none" w:sz="0" w:space="0" w:color="auto"/>
        <w:right w:val="none" w:sz="0" w:space="0" w:color="auto"/>
      </w:divBdr>
      <w:divsChild>
        <w:div w:id="38209146">
          <w:marLeft w:val="0"/>
          <w:marRight w:val="0"/>
          <w:marTop w:val="0"/>
          <w:marBottom w:val="0"/>
          <w:divBdr>
            <w:top w:val="none" w:sz="0" w:space="0" w:color="auto"/>
            <w:left w:val="none" w:sz="0" w:space="0" w:color="auto"/>
            <w:bottom w:val="none" w:sz="0" w:space="0" w:color="auto"/>
            <w:right w:val="none" w:sz="0" w:space="0" w:color="auto"/>
          </w:divBdr>
        </w:div>
        <w:div w:id="206307516">
          <w:marLeft w:val="0"/>
          <w:marRight w:val="0"/>
          <w:marTop w:val="0"/>
          <w:marBottom w:val="0"/>
          <w:divBdr>
            <w:top w:val="none" w:sz="0" w:space="0" w:color="auto"/>
            <w:left w:val="none" w:sz="0" w:space="0" w:color="auto"/>
            <w:bottom w:val="none" w:sz="0" w:space="0" w:color="auto"/>
            <w:right w:val="none" w:sz="0" w:space="0" w:color="auto"/>
          </w:divBdr>
        </w:div>
        <w:div w:id="590550865">
          <w:marLeft w:val="0"/>
          <w:marRight w:val="0"/>
          <w:marTop w:val="0"/>
          <w:marBottom w:val="0"/>
          <w:divBdr>
            <w:top w:val="none" w:sz="0" w:space="0" w:color="auto"/>
            <w:left w:val="none" w:sz="0" w:space="0" w:color="auto"/>
            <w:bottom w:val="none" w:sz="0" w:space="0" w:color="auto"/>
            <w:right w:val="none" w:sz="0" w:space="0" w:color="auto"/>
          </w:divBdr>
        </w:div>
        <w:div w:id="1540045134">
          <w:marLeft w:val="0"/>
          <w:marRight w:val="0"/>
          <w:marTop w:val="0"/>
          <w:marBottom w:val="0"/>
          <w:divBdr>
            <w:top w:val="none" w:sz="0" w:space="0" w:color="auto"/>
            <w:left w:val="none" w:sz="0" w:space="0" w:color="auto"/>
            <w:bottom w:val="none" w:sz="0" w:space="0" w:color="auto"/>
            <w:right w:val="none" w:sz="0" w:space="0" w:color="auto"/>
          </w:divBdr>
        </w:div>
      </w:divsChild>
    </w:div>
    <w:div w:id="508447811">
      <w:bodyDiv w:val="1"/>
      <w:marLeft w:val="0"/>
      <w:marRight w:val="0"/>
      <w:marTop w:val="0"/>
      <w:marBottom w:val="0"/>
      <w:divBdr>
        <w:top w:val="none" w:sz="0" w:space="0" w:color="auto"/>
        <w:left w:val="none" w:sz="0" w:space="0" w:color="auto"/>
        <w:bottom w:val="none" w:sz="0" w:space="0" w:color="auto"/>
        <w:right w:val="none" w:sz="0" w:space="0" w:color="auto"/>
      </w:divBdr>
      <w:divsChild>
        <w:div w:id="393162082">
          <w:marLeft w:val="0"/>
          <w:marRight w:val="0"/>
          <w:marTop w:val="0"/>
          <w:marBottom w:val="0"/>
          <w:divBdr>
            <w:top w:val="none" w:sz="0" w:space="0" w:color="auto"/>
            <w:left w:val="none" w:sz="0" w:space="0" w:color="auto"/>
            <w:bottom w:val="none" w:sz="0" w:space="0" w:color="auto"/>
            <w:right w:val="none" w:sz="0" w:space="0" w:color="auto"/>
          </w:divBdr>
          <w:divsChild>
            <w:div w:id="1597981845">
              <w:marLeft w:val="0"/>
              <w:marRight w:val="0"/>
              <w:marTop w:val="0"/>
              <w:marBottom w:val="0"/>
              <w:divBdr>
                <w:top w:val="none" w:sz="0" w:space="0" w:color="auto"/>
                <w:left w:val="none" w:sz="0" w:space="0" w:color="auto"/>
                <w:bottom w:val="none" w:sz="0" w:space="0" w:color="auto"/>
                <w:right w:val="none" w:sz="0" w:space="0" w:color="auto"/>
              </w:divBdr>
              <w:divsChild>
                <w:div w:id="25705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579989">
      <w:bodyDiv w:val="1"/>
      <w:marLeft w:val="0"/>
      <w:marRight w:val="0"/>
      <w:marTop w:val="0"/>
      <w:marBottom w:val="0"/>
      <w:divBdr>
        <w:top w:val="none" w:sz="0" w:space="0" w:color="auto"/>
        <w:left w:val="none" w:sz="0" w:space="0" w:color="auto"/>
        <w:bottom w:val="none" w:sz="0" w:space="0" w:color="auto"/>
        <w:right w:val="none" w:sz="0" w:space="0" w:color="auto"/>
      </w:divBdr>
      <w:divsChild>
        <w:div w:id="1994797847">
          <w:marLeft w:val="0"/>
          <w:marRight w:val="0"/>
          <w:marTop w:val="0"/>
          <w:marBottom w:val="0"/>
          <w:divBdr>
            <w:top w:val="none" w:sz="0" w:space="0" w:color="auto"/>
            <w:left w:val="none" w:sz="0" w:space="0" w:color="auto"/>
            <w:bottom w:val="none" w:sz="0" w:space="0" w:color="auto"/>
            <w:right w:val="none" w:sz="0" w:space="0" w:color="auto"/>
          </w:divBdr>
        </w:div>
      </w:divsChild>
    </w:div>
    <w:div w:id="542333296">
      <w:bodyDiv w:val="1"/>
      <w:marLeft w:val="0"/>
      <w:marRight w:val="0"/>
      <w:marTop w:val="0"/>
      <w:marBottom w:val="0"/>
      <w:divBdr>
        <w:top w:val="none" w:sz="0" w:space="0" w:color="auto"/>
        <w:left w:val="none" w:sz="0" w:space="0" w:color="auto"/>
        <w:bottom w:val="none" w:sz="0" w:space="0" w:color="auto"/>
        <w:right w:val="none" w:sz="0" w:space="0" w:color="auto"/>
      </w:divBdr>
    </w:div>
    <w:div w:id="599488498">
      <w:bodyDiv w:val="1"/>
      <w:marLeft w:val="0"/>
      <w:marRight w:val="0"/>
      <w:marTop w:val="0"/>
      <w:marBottom w:val="0"/>
      <w:divBdr>
        <w:top w:val="none" w:sz="0" w:space="0" w:color="auto"/>
        <w:left w:val="none" w:sz="0" w:space="0" w:color="auto"/>
        <w:bottom w:val="none" w:sz="0" w:space="0" w:color="auto"/>
        <w:right w:val="none" w:sz="0" w:space="0" w:color="auto"/>
      </w:divBdr>
      <w:divsChild>
        <w:div w:id="77213396">
          <w:marLeft w:val="0"/>
          <w:marRight w:val="0"/>
          <w:marTop w:val="0"/>
          <w:marBottom w:val="0"/>
          <w:divBdr>
            <w:top w:val="none" w:sz="0" w:space="0" w:color="auto"/>
            <w:left w:val="none" w:sz="0" w:space="0" w:color="auto"/>
            <w:bottom w:val="none" w:sz="0" w:space="0" w:color="auto"/>
            <w:right w:val="none" w:sz="0" w:space="0" w:color="auto"/>
          </w:divBdr>
        </w:div>
        <w:div w:id="677655412">
          <w:marLeft w:val="0"/>
          <w:marRight w:val="0"/>
          <w:marTop w:val="0"/>
          <w:marBottom w:val="0"/>
          <w:divBdr>
            <w:top w:val="none" w:sz="0" w:space="0" w:color="auto"/>
            <w:left w:val="none" w:sz="0" w:space="0" w:color="auto"/>
            <w:bottom w:val="none" w:sz="0" w:space="0" w:color="auto"/>
            <w:right w:val="none" w:sz="0" w:space="0" w:color="auto"/>
          </w:divBdr>
        </w:div>
        <w:div w:id="733550116">
          <w:marLeft w:val="0"/>
          <w:marRight w:val="0"/>
          <w:marTop w:val="0"/>
          <w:marBottom w:val="0"/>
          <w:divBdr>
            <w:top w:val="none" w:sz="0" w:space="0" w:color="auto"/>
            <w:left w:val="none" w:sz="0" w:space="0" w:color="auto"/>
            <w:bottom w:val="none" w:sz="0" w:space="0" w:color="auto"/>
            <w:right w:val="none" w:sz="0" w:space="0" w:color="auto"/>
          </w:divBdr>
        </w:div>
        <w:div w:id="1952201403">
          <w:marLeft w:val="0"/>
          <w:marRight w:val="0"/>
          <w:marTop w:val="0"/>
          <w:marBottom w:val="0"/>
          <w:divBdr>
            <w:top w:val="none" w:sz="0" w:space="0" w:color="auto"/>
            <w:left w:val="none" w:sz="0" w:space="0" w:color="auto"/>
            <w:bottom w:val="none" w:sz="0" w:space="0" w:color="auto"/>
            <w:right w:val="none" w:sz="0" w:space="0" w:color="auto"/>
          </w:divBdr>
        </w:div>
      </w:divsChild>
    </w:div>
    <w:div w:id="622228833">
      <w:bodyDiv w:val="1"/>
      <w:marLeft w:val="0"/>
      <w:marRight w:val="0"/>
      <w:marTop w:val="0"/>
      <w:marBottom w:val="0"/>
      <w:divBdr>
        <w:top w:val="none" w:sz="0" w:space="0" w:color="auto"/>
        <w:left w:val="none" w:sz="0" w:space="0" w:color="auto"/>
        <w:bottom w:val="none" w:sz="0" w:space="0" w:color="auto"/>
        <w:right w:val="none" w:sz="0" w:space="0" w:color="auto"/>
      </w:divBdr>
      <w:divsChild>
        <w:div w:id="619150289">
          <w:marLeft w:val="600"/>
          <w:marRight w:val="0"/>
          <w:marTop w:val="0"/>
          <w:marBottom w:val="0"/>
          <w:divBdr>
            <w:top w:val="none" w:sz="0" w:space="0" w:color="auto"/>
            <w:left w:val="none" w:sz="0" w:space="0" w:color="auto"/>
            <w:bottom w:val="none" w:sz="0" w:space="0" w:color="auto"/>
            <w:right w:val="none" w:sz="0" w:space="0" w:color="auto"/>
          </w:divBdr>
        </w:div>
        <w:div w:id="922495265">
          <w:marLeft w:val="600"/>
          <w:marRight w:val="0"/>
          <w:marTop w:val="0"/>
          <w:marBottom w:val="0"/>
          <w:divBdr>
            <w:top w:val="none" w:sz="0" w:space="0" w:color="auto"/>
            <w:left w:val="none" w:sz="0" w:space="0" w:color="auto"/>
            <w:bottom w:val="none" w:sz="0" w:space="0" w:color="auto"/>
            <w:right w:val="none" w:sz="0" w:space="0" w:color="auto"/>
          </w:divBdr>
        </w:div>
        <w:div w:id="1802504267">
          <w:marLeft w:val="600"/>
          <w:marRight w:val="0"/>
          <w:marTop w:val="0"/>
          <w:marBottom w:val="0"/>
          <w:divBdr>
            <w:top w:val="none" w:sz="0" w:space="0" w:color="auto"/>
            <w:left w:val="none" w:sz="0" w:space="0" w:color="auto"/>
            <w:bottom w:val="none" w:sz="0" w:space="0" w:color="auto"/>
            <w:right w:val="none" w:sz="0" w:space="0" w:color="auto"/>
          </w:divBdr>
        </w:div>
      </w:divsChild>
    </w:div>
    <w:div w:id="671032791">
      <w:bodyDiv w:val="1"/>
      <w:marLeft w:val="0"/>
      <w:marRight w:val="0"/>
      <w:marTop w:val="0"/>
      <w:marBottom w:val="0"/>
      <w:divBdr>
        <w:top w:val="none" w:sz="0" w:space="0" w:color="auto"/>
        <w:left w:val="none" w:sz="0" w:space="0" w:color="auto"/>
        <w:bottom w:val="none" w:sz="0" w:space="0" w:color="auto"/>
        <w:right w:val="none" w:sz="0" w:space="0" w:color="auto"/>
      </w:divBdr>
    </w:div>
    <w:div w:id="681930558">
      <w:bodyDiv w:val="1"/>
      <w:marLeft w:val="0"/>
      <w:marRight w:val="0"/>
      <w:marTop w:val="0"/>
      <w:marBottom w:val="0"/>
      <w:divBdr>
        <w:top w:val="none" w:sz="0" w:space="0" w:color="auto"/>
        <w:left w:val="none" w:sz="0" w:space="0" w:color="auto"/>
        <w:bottom w:val="none" w:sz="0" w:space="0" w:color="auto"/>
        <w:right w:val="none" w:sz="0" w:space="0" w:color="auto"/>
      </w:divBdr>
      <w:divsChild>
        <w:div w:id="39090105">
          <w:marLeft w:val="0"/>
          <w:marRight w:val="0"/>
          <w:marTop w:val="0"/>
          <w:marBottom w:val="0"/>
          <w:divBdr>
            <w:top w:val="none" w:sz="0" w:space="0" w:color="auto"/>
            <w:left w:val="none" w:sz="0" w:space="0" w:color="auto"/>
            <w:bottom w:val="none" w:sz="0" w:space="0" w:color="auto"/>
            <w:right w:val="none" w:sz="0" w:space="0" w:color="auto"/>
          </w:divBdr>
        </w:div>
        <w:div w:id="449319194">
          <w:marLeft w:val="0"/>
          <w:marRight w:val="0"/>
          <w:marTop w:val="0"/>
          <w:marBottom w:val="0"/>
          <w:divBdr>
            <w:top w:val="none" w:sz="0" w:space="0" w:color="auto"/>
            <w:left w:val="none" w:sz="0" w:space="0" w:color="auto"/>
            <w:bottom w:val="none" w:sz="0" w:space="0" w:color="auto"/>
            <w:right w:val="none" w:sz="0" w:space="0" w:color="auto"/>
          </w:divBdr>
        </w:div>
        <w:div w:id="524707330">
          <w:marLeft w:val="0"/>
          <w:marRight w:val="0"/>
          <w:marTop w:val="0"/>
          <w:marBottom w:val="0"/>
          <w:divBdr>
            <w:top w:val="none" w:sz="0" w:space="0" w:color="auto"/>
            <w:left w:val="none" w:sz="0" w:space="0" w:color="auto"/>
            <w:bottom w:val="none" w:sz="0" w:space="0" w:color="auto"/>
            <w:right w:val="none" w:sz="0" w:space="0" w:color="auto"/>
          </w:divBdr>
        </w:div>
        <w:div w:id="1646003561">
          <w:marLeft w:val="0"/>
          <w:marRight w:val="0"/>
          <w:marTop w:val="0"/>
          <w:marBottom w:val="0"/>
          <w:divBdr>
            <w:top w:val="none" w:sz="0" w:space="0" w:color="auto"/>
            <w:left w:val="none" w:sz="0" w:space="0" w:color="auto"/>
            <w:bottom w:val="none" w:sz="0" w:space="0" w:color="auto"/>
            <w:right w:val="none" w:sz="0" w:space="0" w:color="auto"/>
          </w:divBdr>
        </w:div>
        <w:div w:id="1887839350">
          <w:marLeft w:val="0"/>
          <w:marRight w:val="0"/>
          <w:marTop w:val="0"/>
          <w:marBottom w:val="0"/>
          <w:divBdr>
            <w:top w:val="none" w:sz="0" w:space="0" w:color="auto"/>
            <w:left w:val="none" w:sz="0" w:space="0" w:color="auto"/>
            <w:bottom w:val="none" w:sz="0" w:space="0" w:color="auto"/>
            <w:right w:val="none" w:sz="0" w:space="0" w:color="auto"/>
          </w:divBdr>
        </w:div>
      </w:divsChild>
    </w:div>
    <w:div w:id="692340414">
      <w:bodyDiv w:val="1"/>
      <w:marLeft w:val="0"/>
      <w:marRight w:val="0"/>
      <w:marTop w:val="0"/>
      <w:marBottom w:val="0"/>
      <w:divBdr>
        <w:top w:val="none" w:sz="0" w:space="0" w:color="auto"/>
        <w:left w:val="none" w:sz="0" w:space="0" w:color="auto"/>
        <w:bottom w:val="none" w:sz="0" w:space="0" w:color="auto"/>
        <w:right w:val="none" w:sz="0" w:space="0" w:color="auto"/>
      </w:divBdr>
      <w:divsChild>
        <w:div w:id="514225281">
          <w:marLeft w:val="0"/>
          <w:marRight w:val="0"/>
          <w:marTop w:val="0"/>
          <w:marBottom w:val="0"/>
          <w:divBdr>
            <w:top w:val="none" w:sz="0" w:space="0" w:color="auto"/>
            <w:left w:val="none" w:sz="0" w:space="0" w:color="auto"/>
            <w:bottom w:val="none" w:sz="0" w:space="0" w:color="auto"/>
            <w:right w:val="none" w:sz="0" w:space="0" w:color="auto"/>
          </w:divBdr>
        </w:div>
        <w:div w:id="963195215">
          <w:marLeft w:val="0"/>
          <w:marRight w:val="0"/>
          <w:marTop w:val="0"/>
          <w:marBottom w:val="0"/>
          <w:divBdr>
            <w:top w:val="none" w:sz="0" w:space="0" w:color="auto"/>
            <w:left w:val="none" w:sz="0" w:space="0" w:color="auto"/>
            <w:bottom w:val="none" w:sz="0" w:space="0" w:color="auto"/>
            <w:right w:val="none" w:sz="0" w:space="0" w:color="auto"/>
          </w:divBdr>
        </w:div>
        <w:div w:id="1226180486">
          <w:marLeft w:val="0"/>
          <w:marRight w:val="0"/>
          <w:marTop w:val="0"/>
          <w:marBottom w:val="0"/>
          <w:divBdr>
            <w:top w:val="none" w:sz="0" w:space="0" w:color="auto"/>
            <w:left w:val="none" w:sz="0" w:space="0" w:color="auto"/>
            <w:bottom w:val="none" w:sz="0" w:space="0" w:color="auto"/>
            <w:right w:val="none" w:sz="0" w:space="0" w:color="auto"/>
          </w:divBdr>
        </w:div>
      </w:divsChild>
    </w:div>
    <w:div w:id="715006261">
      <w:bodyDiv w:val="1"/>
      <w:marLeft w:val="0"/>
      <w:marRight w:val="0"/>
      <w:marTop w:val="0"/>
      <w:marBottom w:val="0"/>
      <w:divBdr>
        <w:top w:val="none" w:sz="0" w:space="0" w:color="auto"/>
        <w:left w:val="none" w:sz="0" w:space="0" w:color="auto"/>
        <w:bottom w:val="none" w:sz="0" w:space="0" w:color="auto"/>
        <w:right w:val="none" w:sz="0" w:space="0" w:color="auto"/>
      </w:divBdr>
      <w:divsChild>
        <w:div w:id="1846967931">
          <w:marLeft w:val="0"/>
          <w:marRight w:val="0"/>
          <w:marTop w:val="0"/>
          <w:marBottom w:val="0"/>
          <w:divBdr>
            <w:top w:val="none" w:sz="0" w:space="0" w:color="auto"/>
            <w:left w:val="none" w:sz="0" w:space="0" w:color="auto"/>
            <w:bottom w:val="none" w:sz="0" w:space="0" w:color="auto"/>
            <w:right w:val="none" w:sz="0" w:space="0" w:color="auto"/>
          </w:divBdr>
        </w:div>
        <w:div w:id="1881437096">
          <w:marLeft w:val="0"/>
          <w:marRight w:val="0"/>
          <w:marTop w:val="0"/>
          <w:marBottom w:val="0"/>
          <w:divBdr>
            <w:top w:val="none" w:sz="0" w:space="0" w:color="auto"/>
            <w:left w:val="none" w:sz="0" w:space="0" w:color="auto"/>
            <w:bottom w:val="none" w:sz="0" w:space="0" w:color="auto"/>
            <w:right w:val="none" w:sz="0" w:space="0" w:color="auto"/>
          </w:divBdr>
        </w:div>
      </w:divsChild>
    </w:div>
    <w:div w:id="738357943">
      <w:bodyDiv w:val="1"/>
      <w:marLeft w:val="0"/>
      <w:marRight w:val="0"/>
      <w:marTop w:val="0"/>
      <w:marBottom w:val="0"/>
      <w:divBdr>
        <w:top w:val="none" w:sz="0" w:space="0" w:color="auto"/>
        <w:left w:val="none" w:sz="0" w:space="0" w:color="auto"/>
        <w:bottom w:val="none" w:sz="0" w:space="0" w:color="auto"/>
        <w:right w:val="none" w:sz="0" w:space="0" w:color="auto"/>
      </w:divBdr>
      <w:divsChild>
        <w:div w:id="1489056349">
          <w:marLeft w:val="0"/>
          <w:marRight w:val="0"/>
          <w:marTop w:val="0"/>
          <w:marBottom w:val="0"/>
          <w:divBdr>
            <w:top w:val="none" w:sz="0" w:space="0" w:color="auto"/>
            <w:left w:val="none" w:sz="0" w:space="0" w:color="auto"/>
            <w:bottom w:val="none" w:sz="0" w:space="0" w:color="auto"/>
            <w:right w:val="none" w:sz="0" w:space="0" w:color="auto"/>
          </w:divBdr>
        </w:div>
      </w:divsChild>
    </w:div>
    <w:div w:id="743375090">
      <w:bodyDiv w:val="1"/>
      <w:marLeft w:val="0"/>
      <w:marRight w:val="0"/>
      <w:marTop w:val="0"/>
      <w:marBottom w:val="0"/>
      <w:divBdr>
        <w:top w:val="none" w:sz="0" w:space="0" w:color="auto"/>
        <w:left w:val="none" w:sz="0" w:space="0" w:color="auto"/>
        <w:bottom w:val="none" w:sz="0" w:space="0" w:color="auto"/>
        <w:right w:val="none" w:sz="0" w:space="0" w:color="auto"/>
      </w:divBdr>
      <w:divsChild>
        <w:div w:id="1160274502">
          <w:marLeft w:val="0"/>
          <w:marRight w:val="0"/>
          <w:marTop w:val="0"/>
          <w:marBottom w:val="0"/>
          <w:divBdr>
            <w:top w:val="none" w:sz="0" w:space="0" w:color="auto"/>
            <w:left w:val="none" w:sz="0" w:space="0" w:color="auto"/>
            <w:bottom w:val="none" w:sz="0" w:space="0" w:color="auto"/>
            <w:right w:val="none" w:sz="0" w:space="0" w:color="auto"/>
          </w:divBdr>
        </w:div>
        <w:div w:id="1731420540">
          <w:marLeft w:val="0"/>
          <w:marRight w:val="0"/>
          <w:marTop w:val="0"/>
          <w:marBottom w:val="0"/>
          <w:divBdr>
            <w:top w:val="none" w:sz="0" w:space="0" w:color="auto"/>
            <w:left w:val="none" w:sz="0" w:space="0" w:color="auto"/>
            <w:bottom w:val="none" w:sz="0" w:space="0" w:color="auto"/>
            <w:right w:val="none" w:sz="0" w:space="0" w:color="auto"/>
          </w:divBdr>
        </w:div>
        <w:div w:id="1985350542">
          <w:marLeft w:val="0"/>
          <w:marRight w:val="0"/>
          <w:marTop w:val="0"/>
          <w:marBottom w:val="0"/>
          <w:divBdr>
            <w:top w:val="none" w:sz="0" w:space="0" w:color="auto"/>
            <w:left w:val="none" w:sz="0" w:space="0" w:color="auto"/>
            <w:bottom w:val="none" w:sz="0" w:space="0" w:color="auto"/>
            <w:right w:val="none" w:sz="0" w:space="0" w:color="auto"/>
          </w:divBdr>
        </w:div>
      </w:divsChild>
    </w:div>
    <w:div w:id="795027071">
      <w:bodyDiv w:val="1"/>
      <w:marLeft w:val="0"/>
      <w:marRight w:val="0"/>
      <w:marTop w:val="0"/>
      <w:marBottom w:val="0"/>
      <w:divBdr>
        <w:top w:val="none" w:sz="0" w:space="0" w:color="auto"/>
        <w:left w:val="none" w:sz="0" w:space="0" w:color="auto"/>
        <w:bottom w:val="none" w:sz="0" w:space="0" w:color="auto"/>
        <w:right w:val="none" w:sz="0" w:space="0" w:color="auto"/>
      </w:divBdr>
      <w:divsChild>
        <w:div w:id="439646164">
          <w:marLeft w:val="0"/>
          <w:marRight w:val="0"/>
          <w:marTop w:val="0"/>
          <w:marBottom w:val="0"/>
          <w:divBdr>
            <w:top w:val="none" w:sz="0" w:space="0" w:color="auto"/>
            <w:left w:val="none" w:sz="0" w:space="0" w:color="auto"/>
            <w:bottom w:val="none" w:sz="0" w:space="0" w:color="auto"/>
            <w:right w:val="none" w:sz="0" w:space="0" w:color="auto"/>
          </w:divBdr>
        </w:div>
        <w:div w:id="888149471">
          <w:marLeft w:val="0"/>
          <w:marRight w:val="0"/>
          <w:marTop w:val="0"/>
          <w:marBottom w:val="0"/>
          <w:divBdr>
            <w:top w:val="none" w:sz="0" w:space="0" w:color="auto"/>
            <w:left w:val="none" w:sz="0" w:space="0" w:color="auto"/>
            <w:bottom w:val="none" w:sz="0" w:space="0" w:color="auto"/>
            <w:right w:val="none" w:sz="0" w:space="0" w:color="auto"/>
          </w:divBdr>
        </w:div>
      </w:divsChild>
    </w:div>
    <w:div w:id="805926005">
      <w:bodyDiv w:val="1"/>
      <w:marLeft w:val="0"/>
      <w:marRight w:val="0"/>
      <w:marTop w:val="0"/>
      <w:marBottom w:val="0"/>
      <w:divBdr>
        <w:top w:val="none" w:sz="0" w:space="0" w:color="auto"/>
        <w:left w:val="none" w:sz="0" w:space="0" w:color="auto"/>
        <w:bottom w:val="none" w:sz="0" w:space="0" w:color="auto"/>
        <w:right w:val="none" w:sz="0" w:space="0" w:color="auto"/>
      </w:divBdr>
    </w:div>
    <w:div w:id="844365952">
      <w:bodyDiv w:val="1"/>
      <w:marLeft w:val="0"/>
      <w:marRight w:val="0"/>
      <w:marTop w:val="0"/>
      <w:marBottom w:val="0"/>
      <w:divBdr>
        <w:top w:val="none" w:sz="0" w:space="0" w:color="auto"/>
        <w:left w:val="none" w:sz="0" w:space="0" w:color="auto"/>
        <w:bottom w:val="none" w:sz="0" w:space="0" w:color="auto"/>
        <w:right w:val="none" w:sz="0" w:space="0" w:color="auto"/>
      </w:divBdr>
    </w:div>
    <w:div w:id="880359462">
      <w:bodyDiv w:val="1"/>
      <w:marLeft w:val="0"/>
      <w:marRight w:val="0"/>
      <w:marTop w:val="0"/>
      <w:marBottom w:val="0"/>
      <w:divBdr>
        <w:top w:val="none" w:sz="0" w:space="0" w:color="auto"/>
        <w:left w:val="none" w:sz="0" w:space="0" w:color="auto"/>
        <w:bottom w:val="none" w:sz="0" w:space="0" w:color="auto"/>
        <w:right w:val="none" w:sz="0" w:space="0" w:color="auto"/>
      </w:divBdr>
      <w:divsChild>
        <w:div w:id="85271856">
          <w:marLeft w:val="0"/>
          <w:marRight w:val="0"/>
          <w:marTop w:val="0"/>
          <w:marBottom w:val="0"/>
          <w:divBdr>
            <w:top w:val="none" w:sz="0" w:space="0" w:color="auto"/>
            <w:left w:val="none" w:sz="0" w:space="0" w:color="auto"/>
            <w:bottom w:val="none" w:sz="0" w:space="0" w:color="auto"/>
            <w:right w:val="none" w:sz="0" w:space="0" w:color="auto"/>
          </w:divBdr>
        </w:div>
        <w:div w:id="189681538">
          <w:marLeft w:val="0"/>
          <w:marRight w:val="0"/>
          <w:marTop w:val="0"/>
          <w:marBottom w:val="0"/>
          <w:divBdr>
            <w:top w:val="none" w:sz="0" w:space="0" w:color="auto"/>
            <w:left w:val="none" w:sz="0" w:space="0" w:color="auto"/>
            <w:bottom w:val="none" w:sz="0" w:space="0" w:color="auto"/>
            <w:right w:val="none" w:sz="0" w:space="0" w:color="auto"/>
          </w:divBdr>
          <w:divsChild>
            <w:div w:id="812869119">
              <w:marLeft w:val="0"/>
              <w:marRight w:val="0"/>
              <w:marTop w:val="0"/>
              <w:marBottom w:val="0"/>
              <w:divBdr>
                <w:top w:val="none" w:sz="0" w:space="0" w:color="auto"/>
                <w:left w:val="none" w:sz="0" w:space="0" w:color="auto"/>
                <w:bottom w:val="none" w:sz="0" w:space="0" w:color="auto"/>
                <w:right w:val="none" w:sz="0" w:space="0" w:color="auto"/>
              </w:divBdr>
            </w:div>
          </w:divsChild>
        </w:div>
        <w:div w:id="220557441">
          <w:marLeft w:val="0"/>
          <w:marRight w:val="0"/>
          <w:marTop w:val="0"/>
          <w:marBottom w:val="0"/>
          <w:divBdr>
            <w:top w:val="none" w:sz="0" w:space="0" w:color="auto"/>
            <w:left w:val="none" w:sz="0" w:space="0" w:color="auto"/>
            <w:bottom w:val="none" w:sz="0" w:space="0" w:color="auto"/>
            <w:right w:val="none" w:sz="0" w:space="0" w:color="auto"/>
          </w:divBdr>
        </w:div>
        <w:div w:id="332883207">
          <w:marLeft w:val="0"/>
          <w:marRight w:val="0"/>
          <w:marTop w:val="0"/>
          <w:marBottom w:val="0"/>
          <w:divBdr>
            <w:top w:val="none" w:sz="0" w:space="0" w:color="auto"/>
            <w:left w:val="none" w:sz="0" w:space="0" w:color="auto"/>
            <w:bottom w:val="none" w:sz="0" w:space="0" w:color="auto"/>
            <w:right w:val="none" w:sz="0" w:space="0" w:color="auto"/>
          </w:divBdr>
        </w:div>
        <w:div w:id="375351333">
          <w:marLeft w:val="0"/>
          <w:marRight w:val="0"/>
          <w:marTop w:val="0"/>
          <w:marBottom w:val="0"/>
          <w:divBdr>
            <w:top w:val="none" w:sz="0" w:space="0" w:color="auto"/>
            <w:left w:val="none" w:sz="0" w:space="0" w:color="auto"/>
            <w:bottom w:val="none" w:sz="0" w:space="0" w:color="auto"/>
            <w:right w:val="none" w:sz="0" w:space="0" w:color="auto"/>
          </w:divBdr>
          <w:divsChild>
            <w:div w:id="1166870442">
              <w:marLeft w:val="0"/>
              <w:marRight w:val="0"/>
              <w:marTop w:val="0"/>
              <w:marBottom w:val="0"/>
              <w:divBdr>
                <w:top w:val="none" w:sz="0" w:space="0" w:color="auto"/>
                <w:left w:val="none" w:sz="0" w:space="0" w:color="auto"/>
                <w:bottom w:val="none" w:sz="0" w:space="0" w:color="auto"/>
                <w:right w:val="none" w:sz="0" w:space="0" w:color="auto"/>
              </w:divBdr>
            </w:div>
          </w:divsChild>
        </w:div>
        <w:div w:id="429860062">
          <w:marLeft w:val="0"/>
          <w:marRight w:val="0"/>
          <w:marTop w:val="0"/>
          <w:marBottom w:val="0"/>
          <w:divBdr>
            <w:top w:val="none" w:sz="0" w:space="0" w:color="auto"/>
            <w:left w:val="none" w:sz="0" w:space="0" w:color="auto"/>
            <w:bottom w:val="none" w:sz="0" w:space="0" w:color="auto"/>
            <w:right w:val="none" w:sz="0" w:space="0" w:color="auto"/>
          </w:divBdr>
        </w:div>
        <w:div w:id="453794699">
          <w:marLeft w:val="0"/>
          <w:marRight w:val="0"/>
          <w:marTop w:val="0"/>
          <w:marBottom w:val="0"/>
          <w:divBdr>
            <w:top w:val="none" w:sz="0" w:space="0" w:color="auto"/>
            <w:left w:val="none" w:sz="0" w:space="0" w:color="auto"/>
            <w:bottom w:val="none" w:sz="0" w:space="0" w:color="auto"/>
            <w:right w:val="none" w:sz="0" w:space="0" w:color="auto"/>
          </w:divBdr>
          <w:divsChild>
            <w:div w:id="48308324">
              <w:marLeft w:val="0"/>
              <w:marRight w:val="0"/>
              <w:marTop w:val="0"/>
              <w:marBottom w:val="0"/>
              <w:divBdr>
                <w:top w:val="none" w:sz="0" w:space="0" w:color="auto"/>
                <w:left w:val="none" w:sz="0" w:space="0" w:color="auto"/>
                <w:bottom w:val="none" w:sz="0" w:space="0" w:color="auto"/>
                <w:right w:val="none" w:sz="0" w:space="0" w:color="auto"/>
              </w:divBdr>
            </w:div>
          </w:divsChild>
        </w:div>
        <w:div w:id="672144182">
          <w:marLeft w:val="0"/>
          <w:marRight w:val="0"/>
          <w:marTop w:val="0"/>
          <w:marBottom w:val="0"/>
          <w:divBdr>
            <w:top w:val="none" w:sz="0" w:space="0" w:color="auto"/>
            <w:left w:val="none" w:sz="0" w:space="0" w:color="auto"/>
            <w:bottom w:val="none" w:sz="0" w:space="0" w:color="auto"/>
            <w:right w:val="none" w:sz="0" w:space="0" w:color="auto"/>
          </w:divBdr>
        </w:div>
        <w:div w:id="702243651">
          <w:marLeft w:val="0"/>
          <w:marRight w:val="0"/>
          <w:marTop w:val="0"/>
          <w:marBottom w:val="0"/>
          <w:divBdr>
            <w:top w:val="none" w:sz="0" w:space="0" w:color="auto"/>
            <w:left w:val="none" w:sz="0" w:space="0" w:color="auto"/>
            <w:bottom w:val="none" w:sz="0" w:space="0" w:color="auto"/>
            <w:right w:val="none" w:sz="0" w:space="0" w:color="auto"/>
          </w:divBdr>
        </w:div>
        <w:div w:id="889460524">
          <w:marLeft w:val="0"/>
          <w:marRight w:val="0"/>
          <w:marTop w:val="0"/>
          <w:marBottom w:val="0"/>
          <w:divBdr>
            <w:top w:val="none" w:sz="0" w:space="0" w:color="auto"/>
            <w:left w:val="none" w:sz="0" w:space="0" w:color="auto"/>
            <w:bottom w:val="none" w:sz="0" w:space="0" w:color="auto"/>
            <w:right w:val="none" w:sz="0" w:space="0" w:color="auto"/>
          </w:divBdr>
        </w:div>
        <w:div w:id="975183548">
          <w:marLeft w:val="0"/>
          <w:marRight w:val="0"/>
          <w:marTop w:val="0"/>
          <w:marBottom w:val="0"/>
          <w:divBdr>
            <w:top w:val="none" w:sz="0" w:space="0" w:color="auto"/>
            <w:left w:val="none" w:sz="0" w:space="0" w:color="auto"/>
            <w:bottom w:val="none" w:sz="0" w:space="0" w:color="auto"/>
            <w:right w:val="none" w:sz="0" w:space="0" w:color="auto"/>
          </w:divBdr>
        </w:div>
        <w:div w:id="986788669">
          <w:marLeft w:val="0"/>
          <w:marRight w:val="0"/>
          <w:marTop w:val="0"/>
          <w:marBottom w:val="0"/>
          <w:divBdr>
            <w:top w:val="none" w:sz="0" w:space="0" w:color="auto"/>
            <w:left w:val="none" w:sz="0" w:space="0" w:color="auto"/>
            <w:bottom w:val="none" w:sz="0" w:space="0" w:color="auto"/>
            <w:right w:val="none" w:sz="0" w:space="0" w:color="auto"/>
          </w:divBdr>
        </w:div>
        <w:div w:id="990014342">
          <w:marLeft w:val="0"/>
          <w:marRight w:val="0"/>
          <w:marTop w:val="0"/>
          <w:marBottom w:val="0"/>
          <w:divBdr>
            <w:top w:val="none" w:sz="0" w:space="0" w:color="auto"/>
            <w:left w:val="none" w:sz="0" w:space="0" w:color="auto"/>
            <w:bottom w:val="none" w:sz="0" w:space="0" w:color="auto"/>
            <w:right w:val="none" w:sz="0" w:space="0" w:color="auto"/>
          </w:divBdr>
        </w:div>
        <w:div w:id="996034283">
          <w:marLeft w:val="0"/>
          <w:marRight w:val="0"/>
          <w:marTop w:val="0"/>
          <w:marBottom w:val="0"/>
          <w:divBdr>
            <w:top w:val="none" w:sz="0" w:space="0" w:color="auto"/>
            <w:left w:val="none" w:sz="0" w:space="0" w:color="auto"/>
            <w:bottom w:val="none" w:sz="0" w:space="0" w:color="auto"/>
            <w:right w:val="none" w:sz="0" w:space="0" w:color="auto"/>
          </w:divBdr>
        </w:div>
        <w:div w:id="1241284136">
          <w:marLeft w:val="0"/>
          <w:marRight w:val="0"/>
          <w:marTop w:val="0"/>
          <w:marBottom w:val="0"/>
          <w:divBdr>
            <w:top w:val="none" w:sz="0" w:space="0" w:color="auto"/>
            <w:left w:val="none" w:sz="0" w:space="0" w:color="auto"/>
            <w:bottom w:val="none" w:sz="0" w:space="0" w:color="auto"/>
            <w:right w:val="none" w:sz="0" w:space="0" w:color="auto"/>
          </w:divBdr>
        </w:div>
        <w:div w:id="1500344015">
          <w:marLeft w:val="0"/>
          <w:marRight w:val="0"/>
          <w:marTop w:val="0"/>
          <w:marBottom w:val="0"/>
          <w:divBdr>
            <w:top w:val="none" w:sz="0" w:space="0" w:color="auto"/>
            <w:left w:val="none" w:sz="0" w:space="0" w:color="auto"/>
            <w:bottom w:val="none" w:sz="0" w:space="0" w:color="auto"/>
            <w:right w:val="none" w:sz="0" w:space="0" w:color="auto"/>
          </w:divBdr>
          <w:divsChild>
            <w:div w:id="1564221294">
              <w:marLeft w:val="0"/>
              <w:marRight w:val="0"/>
              <w:marTop w:val="0"/>
              <w:marBottom w:val="0"/>
              <w:divBdr>
                <w:top w:val="none" w:sz="0" w:space="0" w:color="auto"/>
                <w:left w:val="none" w:sz="0" w:space="0" w:color="auto"/>
                <w:bottom w:val="none" w:sz="0" w:space="0" w:color="auto"/>
                <w:right w:val="none" w:sz="0" w:space="0" w:color="auto"/>
              </w:divBdr>
            </w:div>
          </w:divsChild>
        </w:div>
        <w:div w:id="1624578019">
          <w:marLeft w:val="0"/>
          <w:marRight w:val="0"/>
          <w:marTop w:val="0"/>
          <w:marBottom w:val="0"/>
          <w:divBdr>
            <w:top w:val="none" w:sz="0" w:space="0" w:color="auto"/>
            <w:left w:val="none" w:sz="0" w:space="0" w:color="auto"/>
            <w:bottom w:val="none" w:sz="0" w:space="0" w:color="auto"/>
            <w:right w:val="none" w:sz="0" w:space="0" w:color="auto"/>
          </w:divBdr>
        </w:div>
        <w:div w:id="1652128884">
          <w:marLeft w:val="0"/>
          <w:marRight w:val="0"/>
          <w:marTop w:val="0"/>
          <w:marBottom w:val="0"/>
          <w:divBdr>
            <w:top w:val="none" w:sz="0" w:space="0" w:color="auto"/>
            <w:left w:val="none" w:sz="0" w:space="0" w:color="auto"/>
            <w:bottom w:val="none" w:sz="0" w:space="0" w:color="auto"/>
            <w:right w:val="none" w:sz="0" w:space="0" w:color="auto"/>
          </w:divBdr>
          <w:divsChild>
            <w:div w:id="2075472845">
              <w:marLeft w:val="0"/>
              <w:marRight w:val="0"/>
              <w:marTop w:val="0"/>
              <w:marBottom w:val="0"/>
              <w:divBdr>
                <w:top w:val="none" w:sz="0" w:space="0" w:color="auto"/>
                <w:left w:val="none" w:sz="0" w:space="0" w:color="auto"/>
                <w:bottom w:val="none" w:sz="0" w:space="0" w:color="auto"/>
                <w:right w:val="none" w:sz="0" w:space="0" w:color="auto"/>
              </w:divBdr>
            </w:div>
          </w:divsChild>
        </w:div>
        <w:div w:id="1719939573">
          <w:marLeft w:val="0"/>
          <w:marRight w:val="0"/>
          <w:marTop w:val="0"/>
          <w:marBottom w:val="0"/>
          <w:divBdr>
            <w:top w:val="none" w:sz="0" w:space="0" w:color="auto"/>
            <w:left w:val="none" w:sz="0" w:space="0" w:color="auto"/>
            <w:bottom w:val="none" w:sz="0" w:space="0" w:color="auto"/>
            <w:right w:val="none" w:sz="0" w:space="0" w:color="auto"/>
          </w:divBdr>
        </w:div>
        <w:div w:id="1734085365">
          <w:marLeft w:val="0"/>
          <w:marRight w:val="0"/>
          <w:marTop w:val="0"/>
          <w:marBottom w:val="0"/>
          <w:divBdr>
            <w:top w:val="none" w:sz="0" w:space="0" w:color="auto"/>
            <w:left w:val="none" w:sz="0" w:space="0" w:color="auto"/>
            <w:bottom w:val="none" w:sz="0" w:space="0" w:color="auto"/>
            <w:right w:val="none" w:sz="0" w:space="0" w:color="auto"/>
          </w:divBdr>
          <w:divsChild>
            <w:div w:id="396048777">
              <w:marLeft w:val="0"/>
              <w:marRight w:val="0"/>
              <w:marTop w:val="0"/>
              <w:marBottom w:val="0"/>
              <w:divBdr>
                <w:top w:val="none" w:sz="0" w:space="0" w:color="auto"/>
                <w:left w:val="none" w:sz="0" w:space="0" w:color="auto"/>
                <w:bottom w:val="none" w:sz="0" w:space="0" w:color="auto"/>
                <w:right w:val="none" w:sz="0" w:space="0" w:color="auto"/>
              </w:divBdr>
            </w:div>
          </w:divsChild>
        </w:div>
        <w:div w:id="1743674352">
          <w:marLeft w:val="0"/>
          <w:marRight w:val="0"/>
          <w:marTop w:val="0"/>
          <w:marBottom w:val="0"/>
          <w:divBdr>
            <w:top w:val="none" w:sz="0" w:space="0" w:color="auto"/>
            <w:left w:val="none" w:sz="0" w:space="0" w:color="auto"/>
            <w:bottom w:val="none" w:sz="0" w:space="0" w:color="auto"/>
            <w:right w:val="none" w:sz="0" w:space="0" w:color="auto"/>
          </w:divBdr>
        </w:div>
        <w:div w:id="1834025136">
          <w:marLeft w:val="0"/>
          <w:marRight w:val="0"/>
          <w:marTop w:val="0"/>
          <w:marBottom w:val="0"/>
          <w:divBdr>
            <w:top w:val="none" w:sz="0" w:space="0" w:color="auto"/>
            <w:left w:val="none" w:sz="0" w:space="0" w:color="auto"/>
            <w:bottom w:val="none" w:sz="0" w:space="0" w:color="auto"/>
            <w:right w:val="none" w:sz="0" w:space="0" w:color="auto"/>
          </w:divBdr>
        </w:div>
        <w:div w:id="1972058559">
          <w:marLeft w:val="0"/>
          <w:marRight w:val="0"/>
          <w:marTop w:val="0"/>
          <w:marBottom w:val="0"/>
          <w:divBdr>
            <w:top w:val="none" w:sz="0" w:space="0" w:color="auto"/>
            <w:left w:val="none" w:sz="0" w:space="0" w:color="auto"/>
            <w:bottom w:val="none" w:sz="0" w:space="0" w:color="auto"/>
            <w:right w:val="none" w:sz="0" w:space="0" w:color="auto"/>
          </w:divBdr>
        </w:div>
        <w:div w:id="1987972955">
          <w:marLeft w:val="0"/>
          <w:marRight w:val="0"/>
          <w:marTop w:val="0"/>
          <w:marBottom w:val="0"/>
          <w:divBdr>
            <w:top w:val="none" w:sz="0" w:space="0" w:color="auto"/>
            <w:left w:val="none" w:sz="0" w:space="0" w:color="auto"/>
            <w:bottom w:val="none" w:sz="0" w:space="0" w:color="auto"/>
            <w:right w:val="none" w:sz="0" w:space="0" w:color="auto"/>
          </w:divBdr>
        </w:div>
        <w:div w:id="1992564777">
          <w:marLeft w:val="0"/>
          <w:marRight w:val="0"/>
          <w:marTop w:val="0"/>
          <w:marBottom w:val="0"/>
          <w:divBdr>
            <w:top w:val="none" w:sz="0" w:space="0" w:color="auto"/>
            <w:left w:val="none" w:sz="0" w:space="0" w:color="auto"/>
            <w:bottom w:val="none" w:sz="0" w:space="0" w:color="auto"/>
            <w:right w:val="none" w:sz="0" w:space="0" w:color="auto"/>
          </w:divBdr>
        </w:div>
        <w:div w:id="2047171886">
          <w:marLeft w:val="0"/>
          <w:marRight w:val="0"/>
          <w:marTop w:val="0"/>
          <w:marBottom w:val="0"/>
          <w:divBdr>
            <w:top w:val="none" w:sz="0" w:space="0" w:color="auto"/>
            <w:left w:val="none" w:sz="0" w:space="0" w:color="auto"/>
            <w:bottom w:val="none" w:sz="0" w:space="0" w:color="auto"/>
            <w:right w:val="none" w:sz="0" w:space="0" w:color="auto"/>
          </w:divBdr>
          <w:divsChild>
            <w:div w:id="1606960273">
              <w:marLeft w:val="0"/>
              <w:marRight w:val="0"/>
              <w:marTop w:val="0"/>
              <w:marBottom w:val="0"/>
              <w:divBdr>
                <w:top w:val="none" w:sz="0" w:space="0" w:color="auto"/>
                <w:left w:val="none" w:sz="0" w:space="0" w:color="auto"/>
                <w:bottom w:val="none" w:sz="0" w:space="0" w:color="auto"/>
                <w:right w:val="none" w:sz="0" w:space="0" w:color="auto"/>
              </w:divBdr>
            </w:div>
          </w:divsChild>
        </w:div>
        <w:div w:id="2054504405">
          <w:marLeft w:val="0"/>
          <w:marRight w:val="0"/>
          <w:marTop w:val="0"/>
          <w:marBottom w:val="0"/>
          <w:divBdr>
            <w:top w:val="none" w:sz="0" w:space="0" w:color="auto"/>
            <w:left w:val="none" w:sz="0" w:space="0" w:color="auto"/>
            <w:bottom w:val="none" w:sz="0" w:space="0" w:color="auto"/>
            <w:right w:val="none" w:sz="0" w:space="0" w:color="auto"/>
          </w:divBdr>
        </w:div>
        <w:div w:id="2127305778">
          <w:marLeft w:val="0"/>
          <w:marRight w:val="0"/>
          <w:marTop w:val="0"/>
          <w:marBottom w:val="0"/>
          <w:divBdr>
            <w:top w:val="none" w:sz="0" w:space="0" w:color="auto"/>
            <w:left w:val="none" w:sz="0" w:space="0" w:color="auto"/>
            <w:bottom w:val="none" w:sz="0" w:space="0" w:color="auto"/>
            <w:right w:val="none" w:sz="0" w:space="0" w:color="auto"/>
          </w:divBdr>
        </w:div>
      </w:divsChild>
    </w:div>
    <w:div w:id="931469048">
      <w:bodyDiv w:val="1"/>
      <w:marLeft w:val="0"/>
      <w:marRight w:val="0"/>
      <w:marTop w:val="0"/>
      <w:marBottom w:val="0"/>
      <w:divBdr>
        <w:top w:val="none" w:sz="0" w:space="0" w:color="auto"/>
        <w:left w:val="none" w:sz="0" w:space="0" w:color="auto"/>
        <w:bottom w:val="none" w:sz="0" w:space="0" w:color="auto"/>
        <w:right w:val="none" w:sz="0" w:space="0" w:color="auto"/>
      </w:divBdr>
    </w:div>
    <w:div w:id="1066681357">
      <w:bodyDiv w:val="1"/>
      <w:marLeft w:val="0"/>
      <w:marRight w:val="0"/>
      <w:marTop w:val="0"/>
      <w:marBottom w:val="0"/>
      <w:divBdr>
        <w:top w:val="none" w:sz="0" w:space="0" w:color="auto"/>
        <w:left w:val="none" w:sz="0" w:space="0" w:color="auto"/>
        <w:bottom w:val="none" w:sz="0" w:space="0" w:color="auto"/>
        <w:right w:val="none" w:sz="0" w:space="0" w:color="auto"/>
      </w:divBdr>
      <w:divsChild>
        <w:div w:id="505441613">
          <w:marLeft w:val="0"/>
          <w:marRight w:val="0"/>
          <w:marTop w:val="0"/>
          <w:marBottom w:val="0"/>
          <w:divBdr>
            <w:top w:val="none" w:sz="0" w:space="0" w:color="auto"/>
            <w:left w:val="none" w:sz="0" w:space="0" w:color="auto"/>
            <w:bottom w:val="none" w:sz="0" w:space="0" w:color="auto"/>
            <w:right w:val="none" w:sz="0" w:space="0" w:color="auto"/>
          </w:divBdr>
        </w:div>
        <w:div w:id="1242909247">
          <w:marLeft w:val="0"/>
          <w:marRight w:val="0"/>
          <w:marTop w:val="0"/>
          <w:marBottom w:val="0"/>
          <w:divBdr>
            <w:top w:val="none" w:sz="0" w:space="0" w:color="auto"/>
            <w:left w:val="none" w:sz="0" w:space="0" w:color="auto"/>
            <w:bottom w:val="none" w:sz="0" w:space="0" w:color="auto"/>
            <w:right w:val="none" w:sz="0" w:space="0" w:color="auto"/>
          </w:divBdr>
        </w:div>
        <w:div w:id="1529101265">
          <w:marLeft w:val="0"/>
          <w:marRight w:val="0"/>
          <w:marTop w:val="0"/>
          <w:marBottom w:val="0"/>
          <w:divBdr>
            <w:top w:val="none" w:sz="0" w:space="0" w:color="auto"/>
            <w:left w:val="none" w:sz="0" w:space="0" w:color="auto"/>
            <w:bottom w:val="none" w:sz="0" w:space="0" w:color="auto"/>
            <w:right w:val="none" w:sz="0" w:space="0" w:color="auto"/>
          </w:divBdr>
        </w:div>
        <w:div w:id="2000304757">
          <w:marLeft w:val="0"/>
          <w:marRight w:val="0"/>
          <w:marTop w:val="0"/>
          <w:marBottom w:val="0"/>
          <w:divBdr>
            <w:top w:val="none" w:sz="0" w:space="0" w:color="auto"/>
            <w:left w:val="none" w:sz="0" w:space="0" w:color="auto"/>
            <w:bottom w:val="none" w:sz="0" w:space="0" w:color="auto"/>
            <w:right w:val="none" w:sz="0" w:space="0" w:color="auto"/>
          </w:divBdr>
        </w:div>
      </w:divsChild>
    </w:div>
    <w:div w:id="1073888820">
      <w:bodyDiv w:val="1"/>
      <w:marLeft w:val="0"/>
      <w:marRight w:val="0"/>
      <w:marTop w:val="0"/>
      <w:marBottom w:val="0"/>
      <w:divBdr>
        <w:top w:val="none" w:sz="0" w:space="0" w:color="auto"/>
        <w:left w:val="none" w:sz="0" w:space="0" w:color="auto"/>
        <w:bottom w:val="none" w:sz="0" w:space="0" w:color="auto"/>
        <w:right w:val="none" w:sz="0" w:space="0" w:color="auto"/>
      </w:divBdr>
    </w:div>
    <w:div w:id="1099567311">
      <w:bodyDiv w:val="1"/>
      <w:marLeft w:val="0"/>
      <w:marRight w:val="0"/>
      <w:marTop w:val="0"/>
      <w:marBottom w:val="0"/>
      <w:divBdr>
        <w:top w:val="none" w:sz="0" w:space="0" w:color="auto"/>
        <w:left w:val="none" w:sz="0" w:space="0" w:color="auto"/>
        <w:bottom w:val="none" w:sz="0" w:space="0" w:color="auto"/>
        <w:right w:val="none" w:sz="0" w:space="0" w:color="auto"/>
      </w:divBdr>
      <w:divsChild>
        <w:div w:id="448668558">
          <w:marLeft w:val="0"/>
          <w:marRight w:val="0"/>
          <w:marTop w:val="0"/>
          <w:marBottom w:val="0"/>
          <w:divBdr>
            <w:top w:val="none" w:sz="0" w:space="0" w:color="auto"/>
            <w:left w:val="none" w:sz="0" w:space="0" w:color="auto"/>
            <w:bottom w:val="none" w:sz="0" w:space="0" w:color="auto"/>
            <w:right w:val="none" w:sz="0" w:space="0" w:color="auto"/>
          </w:divBdr>
        </w:div>
        <w:div w:id="712730389">
          <w:marLeft w:val="0"/>
          <w:marRight w:val="0"/>
          <w:marTop w:val="0"/>
          <w:marBottom w:val="0"/>
          <w:divBdr>
            <w:top w:val="none" w:sz="0" w:space="0" w:color="auto"/>
            <w:left w:val="none" w:sz="0" w:space="0" w:color="auto"/>
            <w:bottom w:val="none" w:sz="0" w:space="0" w:color="auto"/>
            <w:right w:val="none" w:sz="0" w:space="0" w:color="auto"/>
          </w:divBdr>
        </w:div>
        <w:div w:id="927468603">
          <w:marLeft w:val="0"/>
          <w:marRight w:val="0"/>
          <w:marTop w:val="0"/>
          <w:marBottom w:val="0"/>
          <w:divBdr>
            <w:top w:val="none" w:sz="0" w:space="0" w:color="auto"/>
            <w:left w:val="none" w:sz="0" w:space="0" w:color="auto"/>
            <w:bottom w:val="none" w:sz="0" w:space="0" w:color="auto"/>
            <w:right w:val="none" w:sz="0" w:space="0" w:color="auto"/>
          </w:divBdr>
        </w:div>
        <w:div w:id="1188719964">
          <w:marLeft w:val="0"/>
          <w:marRight w:val="0"/>
          <w:marTop w:val="0"/>
          <w:marBottom w:val="0"/>
          <w:divBdr>
            <w:top w:val="none" w:sz="0" w:space="0" w:color="auto"/>
            <w:left w:val="none" w:sz="0" w:space="0" w:color="auto"/>
            <w:bottom w:val="none" w:sz="0" w:space="0" w:color="auto"/>
            <w:right w:val="none" w:sz="0" w:space="0" w:color="auto"/>
          </w:divBdr>
        </w:div>
        <w:div w:id="1986009875">
          <w:marLeft w:val="0"/>
          <w:marRight w:val="0"/>
          <w:marTop w:val="0"/>
          <w:marBottom w:val="0"/>
          <w:divBdr>
            <w:top w:val="none" w:sz="0" w:space="0" w:color="auto"/>
            <w:left w:val="none" w:sz="0" w:space="0" w:color="auto"/>
            <w:bottom w:val="none" w:sz="0" w:space="0" w:color="auto"/>
            <w:right w:val="none" w:sz="0" w:space="0" w:color="auto"/>
          </w:divBdr>
        </w:div>
        <w:div w:id="2113283421">
          <w:marLeft w:val="0"/>
          <w:marRight w:val="0"/>
          <w:marTop w:val="0"/>
          <w:marBottom w:val="0"/>
          <w:divBdr>
            <w:top w:val="none" w:sz="0" w:space="0" w:color="auto"/>
            <w:left w:val="none" w:sz="0" w:space="0" w:color="auto"/>
            <w:bottom w:val="none" w:sz="0" w:space="0" w:color="auto"/>
            <w:right w:val="none" w:sz="0" w:space="0" w:color="auto"/>
          </w:divBdr>
        </w:div>
      </w:divsChild>
    </w:div>
    <w:div w:id="1106316773">
      <w:bodyDiv w:val="1"/>
      <w:marLeft w:val="0"/>
      <w:marRight w:val="0"/>
      <w:marTop w:val="0"/>
      <w:marBottom w:val="0"/>
      <w:divBdr>
        <w:top w:val="none" w:sz="0" w:space="0" w:color="auto"/>
        <w:left w:val="none" w:sz="0" w:space="0" w:color="auto"/>
        <w:bottom w:val="none" w:sz="0" w:space="0" w:color="auto"/>
        <w:right w:val="none" w:sz="0" w:space="0" w:color="auto"/>
      </w:divBdr>
    </w:div>
    <w:div w:id="1110665733">
      <w:bodyDiv w:val="1"/>
      <w:marLeft w:val="0"/>
      <w:marRight w:val="0"/>
      <w:marTop w:val="0"/>
      <w:marBottom w:val="0"/>
      <w:divBdr>
        <w:top w:val="none" w:sz="0" w:space="0" w:color="auto"/>
        <w:left w:val="none" w:sz="0" w:space="0" w:color="auto"/>
        <w:bottom w:val="none" w:sz="0" w:space="0" w:color="auto"/>
        <w:right w:val="none" w:sz="0" w:space="0" w:color="auto"/>
      </w:divBdr>
    </w:div>
    <w:div w:id="1117406386">
      <w:bodyDiv w:val="1"/>
      <w:marLeft w:val="0"/>
      <w:marRight w:val="0"/>
      <w:marTop w:val="0"/>
      <w:marBottom w:val="0"/>
      <w:divBdr>
        <w:top w:val="none" w:sz="0" w:space="0" w:color="auto"/>
        <w:left w:val="none" w:sz="0" w:space="0" w:color="auto"/>
        <w:bottom w:val="none" w:sz="0" w:space="0" w:color="auto"/>
        <w:right w:val="none" w:sz="0" w:space="0" w:color="auto"/>
      </w:divBdr>
    </w:div>
    <w:div w:id="1155492174">
      <w:bodyDiv w:val="1"/>
      <w:marLeft w:val="0"/>
      <w:marRight w:val="0"/>
      <w:marTop w:val="0"/>
      <w:marBottom w:val="0"/>
      <w:divBdr>
        <w:top w:val="none" w:sz="0" w:space="0" w:color="auto"/>
        <w:left w:val="none" w:sz="0" w:space="0" w:color="auto"/>
        <w:bottom w:val="none" w:sz="0" w:space="0" w:color="auto"/>
        <w:right w:val="none" w:sz="0" w:space="0" w:color="auto"/>
      </w:divBdr>
    </w:div>
    <w:div w:id="1225606351">
      <w:bodyDiv w:val="1"/>
      <w:marLeft w:val="0"/>
      <w:marRight w:val="0"/>
      <w:marTop w:val="0"/>
      <w:marBottom w:val="0"/>
      <w:divBdr>
        <w:top w:val="none" w:sz="0" w:space="0" w:color="auto"/>
        <w:left w:val="none" w:sz="0" w:space="0" w:color="auto"/>
        <w:bottom w:val="none" w:sz="0" w:space="0" w:color="auto"/>
        <w:right w:val="none" w:sz="0" w:space="0" w:color="auto"/>
      </w:divBdr>
      <w:divsChild>
        <w:div w:id="4746503">
          <w:marLeft w:val="0"/>
          <w:marRight w:val="0"/>
          <w:marTop w:val="0"/>
          <w:marBottom w:val="0"/>
          <w:divBdr>
            <w:top w:val="none" w:sz="0" w:space="0" w:color="auto"/>
            <w:left w:val="none" w:sz="0" w:space="0" w:color="auto"/>
            <w:bottom w:val="none" w:sz="0" w:space="0" w:color="auto"/>
            <w:right w:val="none" w:sz="0" w:space="0" w:color="auto"/>
          </w:divBdr>
        </w:div>
        <w:div w:id="1135877544">
          <w:marLeft w:val="0"/>
          <w:marRight w:val="0"/>
          <w:marTop w:val="0"/>
          <w:marBottom w:val="0"/>
          <w:divBdr>
            <w:top w:val="none" w:sz="0" w:space="0" w:color="auto"/>
            <w:left w:val="none" w:sz="0" w:space="0" w:color="auto"/>
            <w:bottom w:val="none" w:sz="0" w:space="0" w:color="auto"/>
            <w:right w:val="none" w:sz="0" w:space="0" w:color="auto"/>
          </w:divBdr>
        </w:div>
        <w:div w:id="1331521845">
          <w:marLeft w:val="0"/>
          <w:marRight w:val="0"/>
          <w:marTop w:val="0"/>
          <w:marBottom w:val="0"/>
          <w:divBdr>
            <w:top w:val="none" w:sz="0" w:space="0" w:color="auto"/>
            <w:left w:val="none" w:sz="0" w:space="0" w:color="auto"/>
            <w:bottom w:val="none" w:sz="0" w:space="0" w:color="auto"/>
            <w:right w:val="none" w:sz="0" w:space="0" w:color="auto"/>
          </w:divBdr>
        </w:div>
        <w:div w:id="1347555025">
          <w:marLeft w:val="0"/>
          <w:marRight w:val="0"/>
          <w:marTop w:val="0"/>
          <w:marBottom w:val="0"/>
          <w:divBdr>
            <w:top w:val="none" w:sz="0" w:space="0" w:color="auto"/>
            <w:left w:val="none" w:sz="0" w:space="0" w:color="auto"/>
            <w:bottom w:val="none" w:sz="0" w:space="0" w:color="auto"/>
            <w:right w:val="none" w:sz="0" w:space="0" w:color="auto"/>
          </w:divBdr>
        </w:div>
        <w:div w:id="1384526276">
          <w:marLeft w:val="0"/>
          <w:marRight w:val="0"/>
          <w:marTop w:val="0"/>
          <w:marBottom w:val="0"/>
          <w:divBdr>
            <w:top w:val="none" w:sz="0" w:space="0" w:color="auto"/>
            <w:left w:val="none" w:sz="0" w:space="0" w:color="auto"/>
            <w:bottom w:val="none" w:sz="0" w:space="0" w:color="auto"/>
            <w:right w:val="none" w:sz="0" w:space="0" w:color="auto"/>
          </w:divBdr>
        </w:div>
        <w:div w:id="1739934440">
          <w:marLeft w:val="0"/>
          <w:marRight w:val="0"/>
          <w:marTop w:val="0"/>
          <w:marBottom w:val="0"/>
          <w:divBdr>
            <w:top w:val="none" w:sz="0" w:space="0" w:color="auto"/>
            <w:left w:val="none" w:sz="0" w:space="0" w:color="auto"/>
            <w:bottom w:val="none" w:sz="0" w:space="0" w:color="auto"/>
            <w:right w:val="none" w:sz="0" w:space="0" w:color="auto"/>
          </w:divBdr>
        </w:div>
        <w:div w:id="1817066667">
          <w:marLeft w:val="0"/>
          <w:marRight w:val="0"/>
          <w:marTop w:val="0"/>
          <w:marBottom w:val="0"/>
          <w:divBdr>
            <w:top w:val="none" w:sz="0" w:space="0" w:color="auto"/>
            <w:left w:val="none" w:sz="0" w:space="0" w:color="auto"/>
            <w:bottom w:val="none" w:sz="0" w:space="0" w:color="auto"/>
            <w:right w:val="none" w:sz="0" w:space="0" w:color="auto"/>
          </w:divBdr>
        </w:div>
        <w:div w:id="2018651562">
          <w:marLeft w:val="0"/>
          <w:marRight w:val="0"/>
          <w:marTop w:val="0"/>
          <w:marBottom w:val="0"/>
          <w:divBdr>
            <w:top w:val="none" w:sz="0" w:space="0" w:color="auto"/>
            <w:left w:val="none" w:sz="0" w:space="0" w:color="auto"/>
            <w:bottom w:val="none" w:sz="0" w:space="0" w:color="auto"/>
            <w:right w:val="none" w:sz="0" w:space="0" w:color="auto"/>
          </w:divBdr>
        </w:div>
        <w:div w:id="2037727236">
          <w:marLeft w:val="0"/>
          <w:marRight w:val="0"/>
          <w:marTop w:val="0"/>
          <w:marBottom w:val="0"/>
          <w:divBdr>
            <w:top w:val="none" w:sz="0" w:space="0" w:color="auto"/>
            <w:left w:val="none" w:sz="0" w:space="0" w:color="auto"/>
            <w:bottom w:val="none" w:sz="0" w:space="0" w:color="auto"/>
            <w:right w:val="none" w:sz="0" w:space="0" w:color="auto"/>
          </w:divBdr>
        </w:div>
      </w:divsChild>
    </w:div>
    <w:div w:id="1227766602">
      <w:bodyDiv w:val="1"/>
      <w:marLeft w:val="0"/>
      <w:marRight w:val="0"/>
      <w:marTop w:val="0"/>
      <w:marBottom w:val="0"/>
      <w:divBdr>
        <w:top w:val="none" w:sz="0" w:space="0" w:color="auto"/>
        <w:left w:val="none" w:sz="0" w:space="0" w:color="auto"/>
        <w:bottom w:val="none" w:sz="0" w:space="0" w:color="auto"/>
        <w:right w:val="none" w:sz="0" w:space="0" w:color="auto"/>
      </w:divBdr>
    </w:div>
    <w:div w:id="1229657898">
      <w:bodyDiv w:val="1"/>
      <w:marLeft w:val="0"/>
      <w:marRight w:val="0"/>
      <w:marTop w:val="0"/>
      <w:marBottom w:val="0"/>
      <w:divBdr>
        <w:top w:val="none" w:sz="0" w:space="0" w:color="auto"/>
        <w:left w:val="none" w:sz="0" w:space="0" w:color="auto"/>
        <w:bottom w:val="none" w:sz="0" w:space="0" w:color="auto"/>
        <w:right w:val="none" w:sz="0" w:space="0" w:color="auto"/>
      </w:divBdr>
    </w:div>
    <w:div w:id="1232470326">
      <w:bodyDiv w:val="1"/>
      <w:marLeft w:val="0"/>
      <w:marRight w:val="0"/>
      <w:marTop w:val="0"/>
      <w:marBottom w:val="0"/>
      <w:divBdr>
        <w:top w:val="none" w:sz="0" w:space="0" w:color="auto"/>
        <w:left w:val="none" w:sz="0" w:space="0" w:color="auto"/>
        <w:bottom w:val="none" w:sz="0" w:space="0" w:color="auto"/>
        <w:right w:val="none" w:sz="0" w:space="0" w:color="auto"/>
      </w:divBdr>
      <w:divsChild>
        <w:div w:id="258954975">
          <w:marLeft w:val="0"/>
          <w:marRight w:val="0"/>
          <w:marTop w:val="0"/>
          <w:marBottom w:val="0"/>
          <w:divBdr>
            <w:top w:val="none" w:sz="0" w:space="0" w:color="auto"/>
            <w:left w:val="none" w:sz="0" w:space="0" w:color="auto"/>
            <w:bottom w:val="none" w:sz="0" w:space="0" w:color="auto"/>
            <w:right w:val="none" w:sz="0" w:space="0" w:color="auto"/>
          </w:divBdr>
          <w:divsChild>
            <w:div w:id="2044791689">
              <w:marLeft w:val="0"/>
              <w:marRight w:val="0"/>
              <w:marTop w:val="0"/>
              <w:marBottom w:val="0"/>
              <w:divBdr>
                <w:top w:val="none" w:sz="0" w:space="0" w:color="auto"/>
                <w:left w:val="none" w:sz="0" w:space="0" w:color="auto"/>
                <w:bottom w:val="none" w:sz="0" w:space="0" w:color="auto"/>
                <w:right w:val="none" w:sz="0" w:space="0" w:color="auto"/>
              </w:divBdr>
              <w:divsChild>
                <w:div w:id="135083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698821">
      <w:bodyDiv w:val="1"/>
      <w:marLeft w:val="0"/>
      <w:marRight w:val="0"/>
      <w:marTop w:val="0"/>
      <w:marBottom w:val="0"/>
      <w:divBdr>
        <w:top w:val="none" w:sz="0" w:space="0" w:color="auto"/>
        <w:left w:val="none" w:sz="0" w:space="0" w:color="auto"/>
        <w:bottom w:val="none" w:sz="0" w:space="0" w:color="auto"/>
        <w:right w:val="none" w:sz="0" w:space="0" w:color="auto"/>
      </w:divBdr>
    </w:div>
    <w:div w:id="1378431637">
      <w:bodyDiv w:val="1"/>
      <w:marLeft w:val="0"/>
      <w:marRight w:val="0"/>
      <w:marTop w:val="0"/>
      <w:marBottom w:val="0"/>
      <w:divBdr>
        <w:top w:val="none" w:sz="0" w:space="0" w:color="auto"/>
        <w:left w:val="none" w:sz="0" w:space="0" w:color="auto"/>
        <w:bottom w:val="none" w:sz="0" w:space="0" w:color="auto"/>
        <w:right w:val="none" w:sz="0" w:space="0" w:color="auto"/>
      </w:divBdr>
    </w:div>
    <w:div w:id="1384910286">
      <w:bodyDiv w:val="1"/>
      <w:marLeft w:val="0"/>
      <w:marRight w:val="0"/>
      <w:marTop w:val="0"/>
      <w:marBottom w:val="0"/>
      <w:divBdr>
        <w:top w:val="none" w:sz="0" w:space="0" w:color="auto"/>
        <w:left w:val="none" w:sz="0" w:space="0" w:color="auto"/>
        <w:bottom w:val="none" w:sz="0" w:space="0" w:color="auto"/>
        <w:right w:val="none" w:sz="0" w:space="0" w:color="auto"/>
      </w:divBdr>
    </w:div>
    <w:div w:id="1439839043">
      <w:bodyDiv w:val="1"/>
      <w:marLeft w:val="0"/>
      <w:marRight w:val="0"/>
      <w:marTop w:val="0"/>
      <w:marBottom w:val="0"/>
      <w:divBdr>
        <w:top w:val="none" w:sz="0" w:space="0" w:color="auto"/>
        <w:left w:val="none" w:sz="0" w:space="0" w:color="auto"/>
        <w:bottom w:val="none" w:sz="0" w:space="0" w:color="auto"/>
        <w:right w:val="none" w:sz="0" w:space="0" w:color="auto"/>
      </w:divBdr>
    </w:div>
    <w:div w:id="1603416421">
      <w:bodyDiv w:val="1"/>
      <w:marLeft w:val="0"/>
      <w:marRight w:val="0"/>
      <w:marTop w:val="0"/>
      <w:marBottom w:val="0"/>
      <w:divBdr>
        <w:top w:val="none" w:sz="0" w:space="0" w:color="auto"/>
        <w:left w:val="none" w:sz="0" w:space="0" w:color="auto"/>
        <w:bottom w:val="none" w:sz="0" w:space="0" w:color="auto"/>
        <w:right w:val="none" w:sz="0" w:space="0" w:color="auto"/>
      </w:divBdr>
      <w:divsChild>
        <w:div w:id="1173572062">
          <w:marLeft w:val="0"/>
          <w:marRight w:val="0"/>
          <w:marTop w:val="0"/>
          <w:marBottom w:val="0"/>
          <w:divBdr>
            <w:top w:val="none" w:sz="0" w:space="0" w:color="auto"/>
            <w:left w:val="none" w:sz="0" w:space="0" w:color="auto"/>
            <w:bottom w:val="none" w:sz="0" w:space="0" w:color="auto"/>
            <w:right w:val="none" w:sz="0" w:space="0" w:color="auto"/>
          </w:divBdr>
          <w:divsChild>
            <w:div w:id="933590813">
              <w:marLeft w:val="0"/>
              <w:marRight w:val="0"/>
              <w:marTop w:val="0"/>
              <w:marBottom w:val="0"/>
              <w:divBdr>
                <w:top w:val="none" w:sz="0" w:space="0" w:color="auto"/>
                <w:left w:val="none" w:sz="0" w:space="0" w:color="auto"/>
                <w:bottom w:val="none" w:sz="0" w:space="0" w:color="auto"/>
                <w:right w:val="none" w:sz="0" w:space="0" w:color="auto"/>
              </w:divBdr>
              <w:divsChild>
                <w:div w:id="195535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459996">
      <w:bodyDiv w:val="1"/>
      <w:marLeft w:val="0"/>
      <w:marRight w:val="0"/>
      <w:marTop w:val="0"/>
      <w:marBottom w:val="0"/>
      <w:divBdr>
        <w:top w:val="none" w:sz="0" w:space="0" w:color="auto"/>
        <w:left w:val="none" w:sz="0" w:space="0" w:color="auto"/>
        <w:bottom w:val="none" w:sz="0" w:space="0" w:color="auto"/>
        <w:right w:val="none" w:sz="0" w:space="0" w:color="auto"/>
      </w:divBdr>
      <w:divsChild>
        <w:div w:id="1049263459">
          <w:marLeft w:val="0"/>
          <w:marRight w:val="0"/>
          <w:marTop w:val="0"/>
          <w:marBottom w:val="0"/>
          <w:divBdr>
            <w:top w:val="none" w:sz="0" w:space="0" w:color="auto"/>
            <w:left w:val="none" w:sz="0" w:space="0" w:color="auto"/>
            <w:bottom w:val="none" w:sz="0" w:space="0" w:color="auto"/>
            <w:right w:val="none" w:sz="0" w:space="0" w:color="auto"/>
          </w:divBdr>
          <w:divsChild>
            <w:div w:id="1205869775">
              <w:marLeft w:val="0"/>
              <w:marRight w:val="0"/>
              <w:marTop w:val="0"/>
              <w:marBottom w:val="0"/>
              <w:divBdr>
                <w:top w:val="none" w:sz="0" w:space="0" w:color="auto"/>
                <w:left w:val="none" w:sz="0" w:space="0" w:color="auto"/>
                <w:bottom w:val="none" w:sz="0" w:space="0" w:color="auto"/>
                <w:right w:val="none" w:sz="0" w:space="0" w:color="auto"/>
              </w:divBdr>
              <w:divsChild>
                <w:div w:id="165618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970397">
      <w:bodyDiv w:val="1"/>
      <w:marLeft w:val="0"/>
      <w:marRight w:val="0"/>
      <w:marTop w:val="0"/>
      <w:marBottom w:val="0"/>
      <w:divBdr>
        <w:top w:val="none" w:sz="0" w:space="0" w:color="auto"/>
        <w:left w:val="none" w:sz="0" w:space="0" w:color="auto"/>
        <w:bottom w:val="none" w:sz="0" w:space="0" w:color="auto"/>
        <w:right w:val="none" w:sz="0" w:space="0" w:color="auto"/>
      </w:divBdr>
      <w:divsChild>
        <w:div w:id="270163359">
          <w:marLeft w:val="600"/>
          <w:marRight w:val="0"/>
          <w:marTop w:val="0"/>
          <w:marBottom w:val="0"/>
          <w:divBdr>
            <w:top w:val="none" w:sz="0" w:space="0" w:color="auto"/>
            <w:left w:val="none" w:sz="0" w:space="0" w:color="auto"/>
            <w:bottom w:val="none" w:sz="0" w:space="0" w:color="auto"/>
            <w:right w:val="none" w:sz="0" w:space="0" w:color="auto"/>
          </w:divBdr>
        </w:div>
        <w:div w:id="708453408">
          <w:marLeft w:val="600"/>
          <w:marRight w:val="0"/>
          <w:marTop w:val="0"/>
          <w:marBottom w:val="0"/>
          <w:divBdr>
            <w:top w:val="none" w:sz="0" w:space="0" w:color="auto"/>
            <w:left w:val="none" w:sz="0" w:space="0" w:color="auto"/>
            <w:bottom w:val="none" w:sz="0" w:space="0" w:color="auto"/>
            <w:right w:val="none" w:sz="0" w:space="0" w:color="auto"/>
          </w:divBdr>
        </w:div>
        <w:div w:id="840513080">
          <w:marLeft w:val="600"/>
          <w:marRight w:val="0"/>
          <w:marTop w:val="0"/>
          <w:marBottom w:val="0"/>
          <w:divBdr>
            <w:top w:val="none" w:sz="0" w:space="0" w:color="auto"/>
            <w:left w:val="none" w:sz="0" w:space="0" w:color="auto"/>
            <w:bottom w:val="none" w:sz="0" w:space="0" w:color="auto"/>
            <w:right w:val="none" w:sz="0" w:space="0" w:color="auto"/>
          </w:divBdr>
        </w:div>
        <w:div w:id="914361209">
          <w:marLeft w:val="600"/>
          <w:marRight w:val="0"/>
          <w:marTop w:val="0"/>
          <w:marBottom w:val="0"/>
          <w:divBdr>
            <w:top w:val="none" w:sz="0" w:space="0" w:color="auto"/>
            <w:left w:val="none" w:sz="0" w:space="0" w:color="auto"/>
            <w:bottom w:val="none" w:sz="0" w:space="0" w:color="auto"/>
            <w:right w:val="none" w:sz="0" w:space="0" w:color="auto"/>
          </w:divBdr>
        </w:div>
        <w:div w:id="1039823710">
          <w:marLeft w:val="600"/>
          <w:marRight w:val="0"/>
          <w:marTop w:val="0"/>
          <w:marBottom w:val="0"/>
          <w:divBdr>
            <w:top w:val="none" w:sz="0" w:space="0" w:color="auto"/>
            <w:left w:val="none" w:sz="0" w:space="0" w:color="auto"/>
            <w:bottom w:val="none" w:sz="0" w:space="0" w:color="auto"/>
            <w:right w:val="none" w:sz="0" w:space="0" w:color="auto"/>
          </w:divBdr>
        </w:div>
        <w:div w:id="1359349393">
          <w:marLeft w:val="600"/>
          <w:marRight w:val="0"/>
          <w:marTop w:val="0"/>
          <w:marBottom w:val="0"/>
          <w:divBdr>
            <w:top w:val="none" w:sz="0" w:space="0" w:color="auto"/>
            <w:left w:val="none" w:sz="0" w:space="0" w:color="auto"/>
            <w:bottom w:val="none" w:sz="0" w:space="0" w:color="auto"/>
            <w:right w:val="none" w:sz="0" w:space="0" w:color="auto"/>
          </w:divBdr>
        </w:div>
        <w:div w:id="1363557335">
          <w:marLeft w:val="600"/>
          <w:marRight w:val="0"/>
          <w:marTop w:val="0"/>
          <w:marBottom w:val="0"/>
          <w:divBdr>
            <w:top w:val="none" w:sz="0" w:space="0" w:color="auto"/>
            <w:left w:val="none" w:sz="0" w:space="0" w:color="auto"/>
            <w:bottom w:val="none" w:sz="0" w:space="0" w:color="auto"/>
            <w:right w:val="none" w:sz="0" w:space="0" w:color="auto"/>
          </w:divBdr>
        </w:div>
        <w:div w:id="1802772464">
          <w:marLeft w:val="600"/>
          <w:marRight w:val="0"/>
          <w:marTop w:val="0"/>
          <w:marBottom w:val="0"/>
          <w:divBdr>
            <w:top w:val="none" w:sz="0" w:space="0" w:color="auto"/>
            <w:left w:val="none" w:sz="0" w:space="0" w:color="auto"/>
            <w:bottom w:val="none" w:sz="0" w:space="0" w:color="auto"/>
            <w:right w:val="none" w:sz="0" w:space="0" w:color="auto"/>
          </w:divBdr>
        </w:div>
      </w:divsChild>
    </w:div>
    <w:div w:id="1643075111">
      <w:bodyDiv w:val="1"/>
      <w:marLeft w:val="0"/>
      <w:marRight w:val="0"/>
      <w:marTop w:val="0"/>
      <w:marBottom w:val="0"/>
      <w:divBdr>
        <w:top w:val="none" w:sz="0" w:space="0" w:color="auto"/>
        <w:left w:val="none" w:sz="0" w:space="0" w:color="auto"/>
        <w:bottom w:val="none" w:sz="0" w:space="0" w:color="auto"/>
        <w:right w:val="none" w:sz="0" w:space="0" w:color="auto"/>
      </w:divBdr>
      <w:divsChild>
        <w:div w:id="768156930">
          <w:marLeft w:val="0"/>
          <w:marRight w:val="0"/>
          <w:marTop w:val="0"/>
          <w:marBottom w:val="0"/>
          <w:divBdr>
            <w:top w:val="none" w:sz="0" w:space="0" w:color="auto"/>
            <w:left w:val="none" w:sz="0" w:space="0" w:color="auto"/>
            <w:bottom w:val="none" w:sz="0" w:space="0" w:color="auto"/>
            <w:right w:val="none" w:sz="0" w:space="0" w:color="auto"/>
          </w:divBdr>
        </w:div>
        <w:div w:id="1552108519">
          <w:marLeft w:val="0"/>
          <w:marRight w:val="0"/>
          <w:marTop w:val="0"/>
          <w:marBottom w:val="0"/>
          <w:divBdr>
            <w:top w:val="none" w:sz="0" w:space="0" w:color="auto"/>
            <w:left w:val="none" w:sz="0" w:space="0" w:color="auto"/>
            <w:bottom w:val="none" w:sz="0" w:space="0" w:color="auto"/>
            <w:right w:val="none" w:sz="0" w:space="0" w:color="auto"/>
          </w:divBdr>
        </w:div>
        <w:div w:id="1606111877">
          <w:marLeft w:val="0"/>
          <w:marRight w:val="0"/>
          <w:marTop w:val="0"/>
          <w:marBottom w:val="0"/>
          <w:divBdr>
            <w:top w:val="none" w:sz="0" w:space="0" w:color="auto"/>
            <w:left w:val="none" w:sz="0" w:space="0" w:color="auto"/>
            <w:bottom w:val="none" w:sz="0" w:space="0" w:color="auto"/>
            <w:right w:val="none" w:sz="0" w:space="0" w:color="auto"/>
          </w:divBdr>
        </w:div>
        <w:div w:id="1752964723">
          <w:marLeft w:val="0"/>
          <w:marRight w:val="0"/>
          <w:marTop w:val="0"/>
          <w:marBottom w:val="0"/>
          <w:divBdr>
            <w:top w:val="none" w:sz="0" w:space="0" w:color="auto"/>
            <w:left w:val="none" w:sz="0" w:space="0" w:color="auto"/>
            <w:bottom w:val="none" w:sz="0" w:space="0" w:color="auto"/>
            <w:right w:val="none" w:sz="0" w:space="0" w:color="auto"/>
          </w:divBdr>
        </w:div>
      </w:divsChild>
    </w:div>
    <w:div w:id="1682006522">
      <w:bodyDiv w:val="1"/>
      <w:marLeft w:val="0"/>
      <w:marRight w:val="0"/>
      <w:marTop w:val="0"/>
      <w:marBottom w:val="0"/>
      <w:divBdr>
        <w:top w:val="none" w:sz="0" w:space="0" w:color="auto"/>
        <w:left w:val="none" w:sz="0" w:space="0" w:color="auto"/>
        <w:bottom w:val="none" w:sz="0" w:space="0" w:color="auto"/>
        <w:right w:val="none" w:sz="0" w:space="0" w:color="auto"/>
      </w:divBdr>
    </w:div>
    <w:div w:id="1710182921">
      <w:bodyDiv w:val="1"/>
      <w:marLeft w:val="0"/>
      <w:marRight w:val="0"/>
      <w:marTop w:val="0"/>
      <w:marBottom w:val="0"/>
      <w:divBdr>
        <w:top w:val="none" w:sz="0" w:space="0" w:color="auto"/>
        <w:left w:val="none" w:sz="0" w:space="0" w:color="auto"/>
        <w:bottom w:val="none" w:sz="0" w:space="0" w:color="auto"/>
        <w:right w:val="none" w:sz="0" w:space="0" w:color="auto"/>
      </w:divBdr>
    </w:div>
    <w:div w:id="1720086216">
      <w:bodyDiv w:val="1"/>
      <w:marLeft w:val="0"/>
      <w:marRight w:val="0"/>
      <w:marTop w:val="0"/>
      <w:marBottom w:val="0"/>
      <w:divBdr>
        <w:top w:val="none" w:sz="0" w:space="0" w:color="auto"/>
        <w:left w:val="none" w:sz="0" w:space="0" w:color="auto"/>
        <w:bottom w:val="none" w:sz="0" w:space="0" w:color="auto"/>
        <w:right w:val="none" w:sz="0" w:space="0" w:color="auto"/>
      </w:divBdr>
      <w:divsChild>
        <w:div w:id="220943054">
          <w:marLeft w:val="600"/>
          <w:marRight w:val="0"/>
          <w:marTop w:val="0"/>
          <w:marBottom w:val="0"/>
          <w:divBdr>
            <w:top w:val="none" w:sz="0" w:space="0" w:color="auto"/>
            <w:left w:val="none" w:sz="0" w:space="0" w:color="auto"/>
            <w:bottom w:val="none" w:sz="0" w:space="0" w:color="auto"/>
            <w:right w:val="none" w:sz="0" w:space="0" w:color="auto"/>
          </w:divBdr>
        </w:div>
        <w:div w:id="1094671155">
          <w:marLeft w:val="600"/>
          <w:marRight w:val="0"/>
          <w:marTop w:val="0"/>
          <w:marBottom w:val="0"/>
          <w:divBdr>
            <w:top w:val="none" w:sz="0" w:space="0" w:color="auto"/>
            <w:left w:val="none" w:sz="0" w:space="0" w:color="auto"/>
            <w:bottom w:val="none" w:sz="0" w:space="0" w:color="auto"/>
            <w:right w:val="none" w:sz="0" w:space="0" w:color="auto"/>
          </w:divBdr>
        </w:div>
        <w:div w:id="1412391159">
          <w:marLeft w:val="600"/>
          <w:marRight w:val="0"/>
          <w:marTop w:val="0"/>
          <w:marBottom w:val="0"/>
          <w:divBdr>
            <w:top w:val="none" w:sz="0" w:space="0" w:color="auto"/>
            <w:left w:val="none" w:sz="0" w:space="0" w:color="auto"/>
            <w:bottom w:val="none" w:sz="0" w:space="0" w:color="auto"/>
            <w:right w:val="none" w:sz="0" w:space="0" w:color="auto"/>
          </w:divBdr>
        </w:div>
        <w:div w:id="1804618200">
          <w:marLeft w:val="600"/>
          <w:marRight w:val="0"/>
          <w:marTop w:val="0"/>
          <w:marBottom w:val="0"/>
          <w:divBdr>
            <w:top w:val="none" w:sz="0" w:space="0" w:color="auto"/>
            <w:left w:val="none" w:sz="0" w:space="0" w:color="auto"/>
            <w:bottom w:val="none" w:sz="0" w:space="0" w:color="auto"/>
            <w:right w:val="none" w:sz="0" w:space="0" w:color="auto"/>
          </w:divBdr>
        </w:div>
        <w:div w:id="2066290328">
          <w:marLeft w:val="600"/>
          <w:marRight w:val="0"/>
          <w:marTop w:val="0"/>
          <w:marBottom w:val="0"/>
          <w:divBdr>
            <w:top w:val="none" w:sz="0" w:space="0" w:color="auto"/>
            <w:left w:val="none" w:sz="0" w:space="0" w:color="auto"/>
            <w:bottom w:val="none" w:sz="0" w:space="0" w:color="auto"/>
            <w:right w:val="none" w:sz="0" w:space="0" w:color="auto"/>
          </w:divBdr>
        </w:div>
      </w:divsChild>
    </w:div>
    <w:div w:id="1771077305">
      <w:bodyDiv w:val="1"/>
      <w:marLeft w:val="0"/>
      <w:marRight w:val="0"/>
      <w:marTop w:val="0"/>
      <w:marBottom w:val="0"/>
      <w:divBdr>
        <w:top w:val="none" w:sz="0" w:space="0" w:color="auto"/>
        <w:left w:val="none" w:sz="0" w:space="0" w:color="auto"/>
        <w:bottom w:val="none" w:sz="0" w:space="0" w:color="auto"/>
        <w:right w:val="none" w:sz="0" w:space="0" w:color="auto"/>
      </w:divBdr>
    </w:div>
    <w:div w:id="1933395414">
      <w:bodyDiv w:val="1"/>
      <w:marLeft w:val="0"/>
      <w:marRight w:val="0"/>
      <w:marTop w:val="0"/>
      <w:marBottom w:val="0"/>
      <w:divBdr>
        <w:top w:val="none" w:sz="0" w:space="0" w:color="auto"/>
        <w:left w:val="none" w:sz="0" w:space="0" w:color="auto"/>
        <w:bottom w:val="none" w:sz="0" w:space="0" w:color="auto"/>
        <w:right w:val="none" w:sz="0" w:space="0" w:color="auto"/>
      </w:divBdr>
      <w:divsChild>
        <w:div w:id="180553001">
          <w:marLeft w:val="0"/>
          <w:marRight w:val="0"/>
          <w:marTop w:val="0"/>
          <w:marBottom w:val="120"/>
          <w:divBdr>
            <w:top w:val="none" w:sz="0" w:space="0" w:color="auto"/>
            <w:left w:val="none" w:sz="0" w:space="0" w:color="auto"/>
            <w:bottom w:val="none" w:sz="0" w:space="0" w:color="auto"/>
            <w:right w:val="none" w:sz="0" w:space="0" w:color="auto"/>
          </w:divBdr>
          <w:divsChild>
            <w:div w:id="2038774291">
              <w:marLeft w:val="0"/>
              <w:marRight w:val="0"/>
              <w:marTop w:val="0"/>
              <w:marBottom w:val="0"/>
              <w:divBdr>
                <w:top w:val="none" w:sz="0" w:space="0" w:color="auto"/>
                <w:left w:val="none" w:sz="0" w:space="0" w:color="auto"/>
                <w:bottom w:val="none" w:sz="0" w:space="0" w:color="auto"/>
                <w:right w:val="none" w:sz="0" w:space="0" w:color="auto"/>
              </w:divBdr>
              <w:divsChild>
                <w:div w:id="1186136654">
                  <w:marLeft w:val="0"/>
                  <w:marRight w:val="0"/>
                  <w:marTop w:val="0"/>
                  <w:marBottom w:val="0"/>
                  <w:divBdr>
                    <w:top w:val="none" w:sz="0" w:space="0" w:color="auto"/>
                    <w:left w:val="none" w:sz="0" w:space="0" w:color="auto"/>
                    <w:bottom w:val="none" w:sz="0" w:space="0" w:color="auto"/>
                    <w:right w:val="none" w:sz="0" w:space="0" w:color="auto"/>
                  </w:divBdr>
                  <w:divsChild>
                    <w:div w:id="84254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955873">
      <w:bodyDiv w:val="1"/>
      <w:marLeft w:val="0"/>
      <w:marRight w:val="0"/>
      <w:marTop w:val="0"/>
      <w:marBottom w:val="0"/>
      <w:divBdr>
        <w:top w:val="none" w:sz="0" w:space="0" w:color="auto"/>
        <w:left w:val="none" w:sz="0" w:space="0" w:color="auto"/>
        <w:bottom w:val="none" w:sz="0" w:space="0" w:color="auto"/>
        <w:right w:val="none" w:sz="0" w:space="0" w:color="auto"/>
      </w:divBdr>
      <w:divsChild>
        <w:div w:id="362486164">
          <w:marLeft w:val="0"/>
          <w:marRight w:val="0"/>
          <w:marTop w:val="0"/>
          <w:marBottom w:val="0"/>
          <w:divBdr>
            <w:top w:val="none" w:sz="0" w:space="0" w:color="auto"/>
            <w:left w:val="none" w:sz="0" w:space="0" w:color="auto"/>
            <w:bottom w:val="none" w:sz="0" w:space="0" w:color="auto"/>
            <w:right w:val="none" w:sz="0" w:space="0" w:color="auto"/>
          </w:divBdr>
        </w:div>
        <w:div w:id="1587491249">
          <w:marLeft w:val="0"/>
          <w:marRight w:val="0"/>
          <w:marTop w:val="0"/>
          <w:marBottom w:val="0"/>
          <w:divBdr>
            <w:top w:val="none" w:sz="0" w:space="0" w:color="auto"/>
            <w:left w:val="none" w:sz="0" w:space="0" w:color="auto"/>
            <w:bottom w:val="none" w:sz="0" w:space="0" w:color="auto"/>
            <w:right w:val="none" w:sz="0" w:space="0" w:color="auto"/>
          </w:divBdr>
        </w:div>
        <w:div w:id="1937251069">
          <w:marLeft w:val="0"/>
          <w:marRight w:val="0"/>
          <w:marTop w:val="0"/>
          <w:marBottom w:val="0"/>
          <w:divBdr>
            <w:top w:val="none" w:sz="0" w:space="0" w:color="auto"/>
            <w:left w:val="none" w:sz="0" w:space="0" w:color="auto"/>
            <w:bottom w:val="none" w:sz="0" w:space="0" w:color="auto"/>
            <w:right w:val="none" w:sz="0" w:space="0" w:color="auto"/>
          </w:divBdr>
        </w:div>
      </w:divsChild>
    </w:div>
    <w:div w:id="1956019891">
      <w:bodyDiv w:val="1"/>
      <w:marLeft w:val="0"/>
      <w:marRight w:val="0"/>
      <w:marTop w:val="0"/>
      <w:marBottom w:val="0"/>
      <w:divBdr>
        <w:top w:val="none" w:sz="0" w:space="0" w:color="auto"/>
        <w:left w:val="none" w:sz="0" w:space="0" w:color="auto"/>
        <w:bottom w:val="none" w:sz="0" w:space="0" w:color="auto"/>
        <w:right w:val="none" w:sz="0" w:space="0" w:color="auto"/>
      </w:divBdr>
    </w:div>
    <w:div w:id="1974868778">
      <w:bodyDiv w:val="1"/>
      <w:marLeft w:val="0"/>
      <w:marRight w:val="0"/>
      <w:marTop w:val="0"/>
      <w:marBottom w:val="0"/>
      <w:divBdr>
        <w:top w:val="none" w:sz="0" w:space="0" w:color="auto"/>
        <w:left w:val="none" w:sz="0" w:space="0" w:color="auto"/>
        <w:bottom w:val="none" w:sz="0" w:space="0" w:color="auto"/>
        <w:right w:val="none" w:sz="0" w:space="0" w:color="auto"/>
      </w:divBdr>
      <w:divsChild>
        <w:div w:id="1160269716">
          <w:marLeft w:val="0"/>
          <w:marRight w:val="0"/>
          <w:marTop w:val="0"/>
          <w:marBottom w:val="0"/>
          <w:divBdr>
            <w:top w:val="none" w:sz="0" w:space="0" w:color="auto"/>
            <w:left w:val="none" w:sz="0" w:space="0" w:color="auto"/>
            <w:bottom w:val="none" w:sz="0" w:space="0" w:color="auto"/>
            <w:right w:val="none" w:sz="0" w:space="0" w:color="auto"/>
          </w:divBdr>
          <w:divsChild>
            <w:div w:id="1644121482">
              <w:marLeft w:val="0"/>
              <w:marRight w:val="0"/>
              <w:marTop w:val="0"/>
              <w:marBottom w:val="0"/>
              <w:divBdr>
                <w:top w:val="none" w:sz="0" w:space="0" w:color="auto"/>
                <w:left w:val="none" w:sz="0" w:space="0" w:color="auto"/>
                <w:bottom w:val="none" w:sz="0" w:space="0" w:color="auto"/>
                <w:right w:val="none" w:sz="0" w:space="0" w:color="auto"/>
              </w:divBdr>
              <w:divsChild>
                <w:div w:id="31341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525923">
      <w:bodyDiv w:val="1"/>
      <w:marLeft w:val="0"/>
      <w:marRight w:val="0"/>
      <w:marTop w:val="0"/>
      <w:marBottom w:val="0"/>
      <w:divBdr>
        <w:top w:val="none" w:sz="0" w:space="0" w:color="auto"/>
        <w:left w:val="none" w:sz="0" w:space="0" w:color="auto"/>
        <w:bottom w:val="none" w:sz="0" w:space="0" w:color="auto"/>
        <w:right w:val="none" w:sz="0" w:space="0" w:color="auto"/>
      </w:divBdr>
      <w:divsChild>
        <w:div w:id="19286630">
          <w:marLeft w:val="600"/>
          <w:marRight w:val="0"/>
          <w:marTop w:val="0"/>
          <w:marBottom w:val="0"/>
          <w:divBdr>
            <w:top w:val="none" w:sz="0" w:space="0" w:color="auto"/>
            <w:left w:val="none" w:sz="0" w:space="0" w:color="auto"/>
            <w:bottom w:val="none" w:sz="0" w:space="0" w:color="auto"/>
            <w:right w:val="none" w:sz="0" w:space="0" w:color="auto"/>
          </w:divBdr>
        </w:div>
        <w:div w:id="1302924809">
          <w:marLeft w:val="600"/>
          <w:marRight w:val="0"/>
          <w:marTop w:val="0"/>
          <w:marBottom w:val="0"/>
          <w:divBdr>
            <w:top w:val="none" w:sz="0" w:space="0" w:color="auto"/>
            <w:left w:val="none" w:sz="0" w:space="0" w:color="auto"/>
            <w:bottom w:val="none" w:sz="0" w:space="0" w:color="auto"/>
            <w:right w:val="none" w:sz="0" w:space="0" w:color="auto"/>
          </w:divBdr>
        </w:div>
      </w:divsChild>
    </w:div>
    <w:div w:id="1993481118">
      <w:bodyDiv w:val="1"/>
      <w:marLeft w:val="0"/>
      <w:marRight w:val="0"/>
      <w:marTop w:val="0"/>
      <w:marBottom w:val="0"/>
      <w:divBdr>
        <w:top w:val="none" w:sz="0" w:space="0" w:color="auto"/>
        <w:left w:val="none" w:sz="0" w:space="0" w:color="auto"/>
        <w:bottom w:val="none" w:sz="0" w:space="0" w:color="auto"/>
        <w:right w:val="none" w:sz="0" w:space="0" w:color="auto"/>
      </w:divBdr>
      <w:divsChild>
        <w:div w:id="2114396522">
          <w:marLeft w:val="0"/>
          <w:marRight w:val="0"/>
          <w:marTop w:val="0"/>
          <w:marBottom w:val="0"/>
          <w:divBdr>
            <w:top w:val="none" w:sz="0" w:space="0" w:color="auto"/>
            <w:left w:val="none" w:sz="0" w:space="0" w:color="auto"/>
            <w:bottom w:val="none" w:sz="0" w:space="0" w:color="auto"/>
            <w:right w:val="none" w:sz="0" w:space="0" w:color="auto"/>
          </w:divBdr>
          <w:divsChild>
            <w:div w:id="1200824509">
              <w:marLeft w:val="0"/>
              <w:marRight w:val="0"/>
              <w:marTop w:val="0"/>
              <w:marBottom w:val="0"/>
              <w:divBdr>
                <w:top w:val="none" w:sz="0" w:space="0" w:color="auto"/>
                <w:left w:val="none" w:sz="0" w:space="0" w:color="auto"/>
                <w:bottom w:val="none" w:sz="0" w:space="0" w:color="auto"/>
                <w:right w:val="none" w:sz="0" w:space="0" w:color="auto"/>
              </w:divBdr>
              <w:divsChild>
                <w:div w:id="116825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749339">
      <w:bodyDiv w:val="1"/>
      <w:marLeft w:val="0"/>
      <w:marRight w:val="0"/>
      <w:marTop w:val="0"/>
      <w:marBottom w:val="0"/>
      <w:divBdr>
        <w:top w:val="none" w:sz="0" w:space="0" w:color="auto"/>
        <w:left w:val="none" w:sz="0" w:space="0" w:color="auto"/>
        <w:bottom w:val="none" w:sz="0" w:space="0" w:color="auto"/>
        <w:right w:val="none" w:sz="0" w:space="0" w:color="auto"/>
      </w:divBdr>
      <w:divsChild>
        <w:div w:id="506023818">
          <w:marLeft w:val="0"/>
          <w:marRight w:val="0"/>
          <w:marTop w:val="0"/>
          <w:marBottom w:val="0"/>
          <w:divBdr>
            <w:top w:val="none" w:sz="0" w:space="0" w:color="auto"/>
            <w:left w:val="none" w:sz="0" w:space="0" w:color="auto"/>
            <w:bottom w:val="none" w:sz="0" w:space="0" w:color="auto"/>
            <w:right w:val="none" w:sz="0" w:space="0" w:color="auto"/>
          </w:divBdr>
        </w:div>
        <w:div w:id="560361547">
          <w:marLeft w:val="0"/>
          <w:marRight w:val="0"/>
          <w:marTop w:val="0"/>
          <w:marBottom w:val="0"/>
          <w:divBdr>
            <w:top w:val="none" w:sz="0" w:space="0" w:color="auto"/>
            <w:left w:val="none" w:sz="0" w:space="0" w:color="auto"/>
            <w:bottom w:val="none" w:sz="0" w:space="0" w:color="auto"/>
            <w:right w:val="none" w:sz="0" w:space="0" w:color="auto"/>
          </w:divBdr>
        </w:div>
        <w:div w:id="946545851">
          <w:marLeft w:val="0"/>
          <w:marRight w:val="0"/>
          <w:marTop w:val="0"/>
          <w:marBottom w:val="0"/>
          <w:divBdr>
            <w:top w:val="none" w:sz="0" w:space="0" w:color="auto"/>
            <w:left w:val="none" w:sz="0" w:space="0" w:color="auto"/>
            <w:bottom w:val="none" w:sz="0" w:space="0" w:color="auto"/>
            <w:right w:val="none" w:sz="0" w:space="0" w:color="auto"/>
          </w:divBdr>
        </w:div>
        <w:div w:id="952714090">
          <w:marLeft w:val="0"/>
          <w:marRight w:val="0"/>
          <w:marTop w:val="0"/>
          <w:marBottom w:val="0"/>
          <w:divBdr>
            <w:top w:val="none" w:sz="0" w:space="0" w:color="auto"/>
            <w:left w:val="none" w:sz="0" w:space="0" w:color="auto"/>
            <w:bottom w:val="none" w:sz="0" w:space="0" w:color="auto"/>
            <w:right w:val="none" w:sz="0" w:space="0" w:color="auto"/>
          </w:divBdr>
        </w:div>
        <w:div w:id="1274360210">
          <w:marLeft w:val="0"/>
          <w:marRight w:val="0"/>
          <w:marTop w:val="0"/>
          <w:marBottom w:val="0"/>
          <w:divBdr>
            <w:top w:val="none" w:sz="0" w:space="0" w:color="auto"/>
            <w:left w:val="none" w:sz="0" w:space="0" w:color="auto"/>
            <w:bottom w:val="none" w:sz="0" w:space="0" w:color="auto"/>
            <w:right w:val="none" w:sz="0" w:space="0" w:color="auto"/>
          </w:divBdr>
        </w:div>
        <w:div w:id="1384713150">
          <w:marLeft w:val="0"/>
          <w:marRight w:val="0"/>
          <w:marTop w:val="0"/>
          <w:marBottom w:val="0"/>
          <w:divBdr>
            <w:top w:val="none" w:sz="0" w:space="0" w:color="auto"/>
            <w:left w:val="none" w:sz="0" w:space="0" w:color="auto"/>
            <w:bottom w:val="none" w:sz="0" w:space="0" w:color="auto"/>
            <w:right w:val="none" w:sz="0" w:space="0" w:color="auto"/>
          </w:divBdr>
        </w:div>
      </w:divsChild>
    </w:div>
    <w:div w:id="2050836352">
      <w:bodyDiv w:val="1"/>
      <w:marLeft w:val="0"/>
      <w:marRight w:val="0"/>
      <w:marTop w:val="0"/>
      <w:marBottom w:val="0"/>
      <w:divBdr>
        <w:top w:val="none" w:sz="0" w:space="0" w:color="auto"/>
        <w:left w:val="none" w:sz="0" w:space="0" w:color="auto"/>
        <w:bottom w:val="none" w:sz="0" w:space="0" w:color="auto"/>
        <w:right w:val="none" w:sz="0" w:space="0" w:color="auto"/>
      </w:divBdr>
      <w:divsChild>
        <w:div w:id="362949555">
          <w:marLeft w:val="0"/>
          <w:marRight w:val="0"/>
          <w:marTop w:val="0"/>
          <w:marBottom w:val="0"/>
          <w:divBdr>
            <w:top w:val="none" w:sz="0" w:space="0" w:color="auto"/>
            <w:left w:val="none" w:sz="0" w:space="0" w:color="auto"/>
            <w:bottom w:val="none" w:sz="0" w:space="0" w:color="auto"/>
            <w:right w:val="none" w:sz="0" w:space="0" w:color="auto"/>
          </w:divBdr>
        </w:div>
        <w:div w:id="524712599">
          <w:marLeft w:val="0"/>
          <w:marRight w:val="0"/>
          <w:marTop w:val="0"/>
          <w:marBottom w:val="0"/>
          <w:divBdr>
            <w:top w:val="none" w:sz="0" w:space="0" w:color="auto"/>
            <w:left w:val="none" w:sz="0" w:space="0" w:color="auto"/>
            <w:bottom w:val="none" w:sz="0" w:space="0" w:color="auto"/>
            <w:right w:val="none" w:sz="0" w:space="0" w:color="auto"/>
          </w:divBdr>
        </w:div>
        <w:div w:id="1037438403">
          <w:marLeft w:val="0"/>
          <w:marRight w:val="0"/>
          <w:marTop w:val="0"/>
          <w:marBottom w:val="0"/>
          <w:divBdr>
            <w:top w:val="none" w:sz="0" w:space="0" w:color="auto"/>
            <w:left w:val="none" w:sz="0" w:space="0" w:color="auto"/>
            <w:bottom w:val="none" w:sz="0" w:space="0" w:color="auto"/>
            <w:right w:val="none" w:sz="0" w:space="0" w:color="auto"/>
          </w:divBdr>
        </w:div>
        <w:div w:id="1370258676">
          <w:marLeft w:val="0"/>
          <w:marRight w:val="0"/>
          <w:marTop w:val="0"/>
          <w:marBottom w:val="0"/>
          <w:divBdr>
            <w:top w:val="none" w:sz="0" w:space="0" w:color="auto"/>
            <w:left w:val="none" w:sz="0" w:space="0" w:color="auto"/>
            <w:bottom w:val="none" w:sz="0" w:space="0" w:color="auto"/>
            <w:right w:val="none" w:sz="0" w:space="0" w:color="auto"/>
          </w:divBdr>
        </w:div>
        <w:div w:id="1881626082">
          <w:marLeft w:val="0"/>
          <w:marRight w:val="0"/>
          <w:marTop w:val="0"/>
          <w:marBottom w:val="0"/>
          <w:divBdr>
            <w:top w:val="none" w:sz="0" w:space="0" w:color="auto"/>
            <w:left w:val="none" w:sz="0" w:space="0" w:color="auto"/>
            <w:bottom w:val="none" w:sz="0" w:space="0" w:color="auto"/>
            <w:right w:val="none" w:sz="0" w:space="0" w:color="auto"/>
          </w:divBdr>
        </w:div>
        <w:div w:id="1948270847">
          <w:marLeft w:val="0"/>
          <w:marRight w:val="0"/>
          <w:marTop w:val="0"/>
          <w:marBottom w:val="0"/>
          <w:divBdr>
            <w:top w:val="none" w:sz="0" w:space="0" w:color="auto"/>
            <w:left w:val="none" w:sz="0" w:space="0" w:color="auto"/>
            <w:bottom w:val="none" w:sz="0" w:space="0" w:color="auto"/>
            <w:right w:val="none" w:sz="0" w:space="0" w:color="auto"/>
          </w:divBdr>
        </w:div>
        <w:div w:id="1952593413">
          <w:marLeft w:val="0"/>
          <w:marRight w:val="0"/>
          <w:marTop w:val="0"/>
          <w:marBottom w:val="0"/>
          <w:divBdr>
            <w:top w:val="none" w:sz="0" w:space="0" w:color="auto"/>
            <w:left w:val="none" w:sz="0" w:space="0" w:color="auto"/>
            <w:bottom w:val="none" w:sz="0" w:space="0" w:color="auto"/>
            <w:right w:val="none" w:sz="0" w:space="0" w:color="auto"/>
          </w:divBdr>
        </w:div>
      </w:divsChild>
    </w:div>
    <w:div w:id="2057467980">
      <w:bodyDiv w:val="1"/>
      <w:marLeft w:val="0"/>
      <w:marRight w:val="0"/>
      <w:marTop w:val="0"/>
      <w:marBottom w:val="0"/>
      <w:divBdr>
        <w:top w:val="none" w:sz="0" w:space="0" w:color="auto"/>
        <w:left w:val="none" w:sz="0" w:space="0" w:color="auto"/>
        <w:bottom w:val="none" w:sz="0" w:space="0" w:color="auto"/>
        <w:right w:val="none" w:sz="0" w:space="0" w:color="auto"/>
      </w:divBdr>
      <w:divsChild>
        <w:div w:id="425032395">
          <w:marLeft w:val="0"/>
          <w:marRight w:val="0"/>
          <w:marTop w:val="0"/>
          <w:marBottom w:val="0"/>
          <w:divBdr>
            <w:top w:val="none" w:sz="0" w:space="0" w:color="auto"/>
            <w:left w:val="none" w:sz="0" w:space="0" w:color="auto"/>
            <w:bottom w:val="none" w:sz="0" w:space="0" w:color="auto"/>
            <w:right w:val="none" w:sz="0" w:space="0" w:color="auto"/>
          </w:divBdr>
        </w:div>
        <w:div w:id="448862147">
          <w:marLeft w:val="0"/>
          <w:marRight w:val="0"/>
          <w:marTop w:val="0"/>
          <w:marBottom w:val="0"/>
          <w:divBdr>
            <w:top w:val="none" w:sz="0" w:space="0" w:color="auto"/>
            <w:left w:val="none" w:sz="0" w:space="0" w:color="auto"/>
            <w:bottom w:val="none" w:sz="0" w:space="0" w:color="auto"/>
            <w:right w:val="none" w:sz="0" w:space="0" w:color="auto"/>
          </w:divBdr>
        </w:div>
      </w:divsChild>
    </w:div>
    <w:div w:id="2112318033">
      <w:bodyDiv w:val="1"/>
      <w:marLeft w:val="0"/>
      <w:marRight w:val="0"/>
      <w:marTop w:val="0"/>
      <w:marBottom w:val="0"/>
      <w:divBdr>
        <w:top w:val="none" w:sz="0" w:space="0" w:color="auto"/>
        <w:left w:val="none" w:sz="0" w:space="0" w:color="auto"/>
        <w:bottom w:val="none" w:sz="0" w:space="0" w:color="auto"/>
        <w:right w:val="none" w:sz="0" w:space="0" w:color="auto"/>
      </w:divBdr>
      <w:divsChild>
        <w:div w:id="1522162230">
          <w:marLeft w:val="0"/>
          <w:marRight w:val="0"/>
          <w:marTop w:val="0"/>
          <w:marBottom w:val="0"/>
          <w:divBdr>
            <w:top w:val="none" w:sz="0" w:space="0" w:color="auto"/>
            <w:left w:val="none" w:sz="0" w:space="0" w:color="auto"/>
            <w:bottom w:val="none" w:sz="0" w:space="0" w:color="auto"/>
            <w:right w:val="none" w:sz="0" w:space="0" w:color="auto"/>
          </w:divBdr>
          <w:divsChild>
            <w:div w:id="1705447611">
              <w:marLeft w:val="0"/>
              <w:marRight w:val="0"/>
              <w:marTop w:val="0"/>
              <w:marBottom w:val="0"/>
              <w:divBdr>
                <w:top w:val="none" w:sz="0" w:space="0" w:color="auto"/>
                <w:left w:val="none" w:sz="0" w:space="0" w:color="auto"/>
                <w:bottom w:val="none" w:sz="0" w:space="0" w:color="auto"/>
                <w:right w:val="none" w:sz="0" w:space="0" w:color="auto"/>
              </w:divBdr>
              <w:divsChild>
                <w:div w:id="177964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0127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3D5078-6628-434C-B2C5-64C531777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29017</Words>
  <Characters>165401</Characters>
  <Application>Microsoft Office Word</Application>
  <DocSecurity>0</DocSecurity>
  <Lines>1378</Lines>
  <Paragraphs>388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 Blome</dc:creator>
  <cp:keywords/>
  <dc:description/>
  <cp:lastModifiedBy>Microsoft Office User</cp:lastModifiedBy>
  <cp:revision>2</cp:revision>
  <cp:lastPrinted>2019-02-23T16:36:00Z</cp:lastPrinted>
  <dcterms:created xsi:type="dcterms:W3CDTF">2020-01-12T09:33:00Z</dcterms:created>
  <dcterms:modified xsi:type="dcterms:W3CDTF">2020-01-12T09:33:00Z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1c600d4c-b798-3a4f-b667-6ac5dbfd0b5c</vt:lpwstr>
  </property>
  <property fmtid="{D5CDD505-2E9C-101B-9397-08002B2CF9AE}" pid="4" name="Mendeley Citation Style_1">
    <vt:lpwstr>http://www.zotero.org/styles/international-journal-of-production-economics</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16th edition (author-date)</vt:lpwstr>
  </property>
  <property fmtid="{D5CDD505-2E9C-101B-9397-08002B2CF9AE}" pid="11" name="Mendeley Recent Style Id 3_1">
    <vt:lpwstr>http://www.zotero.org/styles/decision-sciences</vt:lpwstr>
  </property>
  <property fmtid="{D5CDD505-2E9C-101B-9397-08002B2CF9AE}" pid="12" name="Mendeley Recent Style Name 3_1">
    <vt:lpwstr>Decision Sciences</vt:lpwstr>
  </property>
  <property fmtid="{D5CDD505-2E9C-101B-9397-08002B2CF9AE}" pid="13" name="Mendeley Recent Style Id 4_1">
    <vt:lpwstr>http://www.zotero.org/styles/international-journal-of-production-economics</vt:lpwstr>
  </property>
  <property fmtid="{D5CDD505-2E9C-101B-9397-08002B2CF9AE}" pid="14" name="Mendeley Recent Style Name 4_1">
    <vt:lpwstr>International Journal of Production Economics</vt:lpwstr>
  </property>
  <property fmtid="{D5CDD505-2E9C-101B-9397-08002B2CF9AE}" pid="15" name="Mendeley Recent Style Id 5_1">
    <vt:lpwstr>http://www.zotero.org/styles/journal-of-operations-management</vt:lpwstr>
  </property>
  <property fmtid="{D5CDD505-2E9C-101B-9397-08002B2CF9AE}" pid="16" name="Mendeley Recent Style Name 5_1">
    <vt:lpwstr>Journal of Operations Management</vt:lpwstr>
  </property>
  <property fmtid="{D5CDD505-2E9C-101B-9397-08002B2CF9AE}" pid="17" name="Mendeley Recent Style Id 6_1">
    <vt:lpwstr>http://www.zotero.org/styles/journal-of-product-innovation-management</vt:lpwstr>
  </property>
  <property fmtid="{D5CDD505-2E9C-101B-9397-08002B2CF9AE}" pid="18" name="Mendeley Recent Style Name 6_1">
    <vt:lpwstr>Journal of Product Innovation Management</vt:lpwstr>
  </property>
  <property fmtid="{D5CDD505-2E9C-101B-9397-08002B2CF9AE}" pid="19" name="Mendeley Recent Style Id 7_1">
    <vt:lpwstr>http://www.zotero.org/styles/journal-of-purchasing-and-supply-management</vt:lpwstr>
  </property>
  <property fmtid="{D5CDD505-2E9C-101B-9397-08002B2CF9AE}" pid="20" name="Mendeley Recent Style Name 7_1">
    <vt:lpwstr>Journal of Purchasing and Supply Management</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http://csl.mendeley.com/styles/22252811/POMS</vt:lpwstr>
  </property>
  <property fmtid="{D5CDD505-2E9C-101B-9397-08002B2CF9AE}" pid="24" name="Mendeley Recent Style Name 9_1">
    <vt:lpwstr>Production and Operations Management - Ravi Srinivasan</vt:lpwstr>
  </property>
</Properties>
</file>