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07218" w14:textId="1D43476A" w:rsidR="00780445" w:rsidRPr="00E437C8" w:rsidRDefault="00780445" w:rsidP="00780445">
      <w:pPr>
        <w:jc w:val="both"/>
        <w:rPr>
          <w:rFonts w:ascii="Times New Roman" w:hAnsi="Times New Roman" w:cs="Times New Roman"/>
          <w:sz w:val="24"/>
        </w:rPr>
      </w:pPr>
      <w:r w:rsidRPr="00780445">
        <w:rPr>
          <w:rFonts w:ascii="Times New Roman" w:hAnsi="Times New Roman" w:cs="Times New Roman"/>
          <w:b/>
          <w:bCs/>
          <w:sz w:val="24"/>
        </w:rPr>
        <w:t>Assessing EFL Learners’ Phraseological Competence through Association Measures: The Role of Register in Reference Corpus Selection</w:t>
      </w:r>
    </w:p>
    <w:p w14:paraId="793F67D3" w14:textId="77777777" w:rsidR="00390C8D" w:rsidRPr="003321C1" w:rsidRDefault="00390C8D" w:rsidP="00390C8D">
      <w:pPr>
        <w:pStyle w:val="1"/>
        <w:spacing w:before="0" w:after="0" w:line="360" w:lineRule="auto"/>
        <w:jc w:val="both"/>
        <w:rPr>
          <w:rFonts w:ascii="Times New Roman" w:hAnsi="Times New Roman" w:cs="Times New Roman"/>
          <w:b/>
          <w:bCs/>
          <w:color w:val="auto"/>
          <w:sz w:val="24"/>
          <w:szCs w:val="24"/>
        </w:rPr>
      </w:pPr>
      <w:r w:rsidRPr="003321C1">
        <w:rPr>
          <w:rFonts w:ascii="Times New Roman" w:hAnsi="Times New Roman" w:cs="Times New Roman" w:hint="eastAsia"/>
          <w:b/>
          <w:bCs/>
          <w:color w:val="auto"/>
          <w:sz w:val="24"/>
          <w:szCs w:val="24"/>
        </w:rPr>
        <w:t>Abstract</w:t>
      </w:r>
    </w:p>
    <w:p w14:paraId="107F0C7B" w14:textId="77777777" w:rsidR="00390C8D" w:rsidRPr="00E437C8" w:rsidRDefault="00390C8D" w:rsidP="00390C8D">
      <w:pPr>
        <w:jc w:val="both"/>
        <w:rPr>
          <w:rFonts w:ascii="Times New Roman" w:hAnsi="Times New Roman" w:cs="Times New Roman"/>
          <w:sz w:val="24"/>
        </w:rPr>
      </w:pPr>
      <w:r w:rsidRPr="00E437C8">
        <w:rPr>
          <w:rFonts w:ascii="Times New Roman" w:hAnsi="Times New Roman" w:cs="Times New Roman"/>
          <w:sz w:val="24"/>
        </w:rPr>
        <w:t>Association measures, such as Pointwise Mutual Information (PMI), have been widely used in learner corpus research to explore learners' phraseological competence (</w:t>
      </w:r>
      <w:proofErr w:type="spellStart"/>
      <w:r w:rsidRPr="00E437C8">
        <w:rPr>
          <w:rFonts w:ascii="Times New Roman" w:hAnsi="Times New Roman" w:cs="Times New Roman"/>
          <w:sz w:val="24"/>
        </w:rPr>
        <w:t>Paquot</w:t>
      </w:r>
      <w:proofErr w:type="spellEnd"/>
      <w:r w:rsidRPr="00E437C8">
        <w:rPr>
          <w:rFonts w:ascii="Times New Roman" w:hAnsi="Times New Roman" w:cs="Times New Roman"/>
          <w:sz w:val="24"/>
        </w:rPr>
        <w:t xml:space="preserve"> &amp; Granger, 2012). </w:t>
      </w:r>
      <w:r w:rsidRPr="00E437C8">
        <w:rPr>
          <w:rFonts w:ascii="Times New Roman" w:hAnsi="Times New Roman" w:cs="Times New Roman"/>
          <w:sz w:val="24"/>
          <w:shd w:val="clear" w:color="auto" w:fill="FFFFFF"/>
        </w:rPr>
        <w:t xml:space="preserve">By calculating PMI against a reference corpus, researchers can quantify the strength of word co-occurrences, </w:t>
      </w:r>
      <w:r w:rsidRPr="00E437C8">
        <w:rPr>
          <w:rFonts w:ascii="Times New Roman" w:hAnsi="Times New Roman" w:cs="Times New Roman"/>
          <w:sz w:val="24"/>
        </w:rPr>
        <w:t>providing insights into the extent to which learners produce native-like phraseological patterns (Ellis</w:t>
      </w:r>
      <w:r w:rsidRPr="00E437C8">
        <w:rPr>
          <w:rFonts w:ascii="Times New Roman" w:hAnsi="Times New Roman" w:cs="Times New Roman"/>
          <w:sz w:val="24"/>
          <w:shd w:val="clear" w:color="auto" w:fill="FFFFFF"/>
        </w:rPr>
        <w:t xml:space="preserve"> </w:t>
      </w:r>
      <w:r w:rsidRPr="00E437C8">
        <w:rPr>
          <w:rFonts w:ascii="Times New Roman" w:hAnsi="Times New Roman" w:cs="Times New Roman"/>
          <w:i/>
          <w:iCs/>
          <w:sz w:val="24"/>
          <w:shd w:val="clear" w:color="auto" w:fill="FFFFFF"/>
        </w:rPr>
        <w:t>et al.</w:t>
      </w:r>
      <w:r w:rsidRPr="00E437C8">
        <w:rPr>
          <w:rFonts w:ascii="Times New Roman" w:hAnsi="Times New Roman" w:cs="Times New Roman"/>
          <w:sz w:val="24"/>
          <w:shd w:val="clear" w:color="auto" w:fill="FFFFFF"/>
        </w:rPr>
        <w:t xml:space="preserve">, 2008; </w:t>
      </w:r>
      <w:r w:rsidRPr="00E437C8">
        <w:rPr>
          <w:rFonts w:ascii="Times New Roman" w:hAnsi="Times New Roman" w:cs="Times New Roman"/>
          <w:sz w:val="24"/>
        </w:rPr>
        <w:t xml:space="preserve">Granger &amp; Bestgen, 2014; </w:t>
      </w:r>
      <w:proofErr w:type="spellStart"/>
      <w:r w:rsidRPr="00E437C8">
        <w:rPr>
          <w:rFonts w:ascii="Times New Roman" w:hAnsi="Times New Roman" w:cs="Times New Roman"/>
          <w:sz w:val="24"/>
          <w:shd w:val="clear" w:color="auto" w:fill="FFFFFF"/>
        </w:rPr>
        <w:t>Paquot</w:t>
      </w:r>
      <w:proofErr w:type="spellEnd"/>
      <w:r w:rsidRPr="00E437C8">
        <w:rPr>
          <w:rFonts w:ascii="Times New Roman" w:hAnsi="Times New Roman" w:cs="Times New Roman"/>
          <w:sz w:val="24"/>
          <w:shd w:val="clear" w:color="auto" w:fill="FFFFFF"/>
        </w:rPr>
        <w:t>, 2019</w:t>
      </w:r>
      <w:r w:rsidRPr="00E437C8">
        <w:rPr>
          <w:rFonts w:ascii="Times New Roman" w:hAnsi="Times New Roman" w:cs="Times New Roman"/>
          <w:sz w:val="24"/>
        </w:rPr>
        <w:t xml:space="preserve">). </w:t>
      </w:r>
      <w:r w:rsidRPr="00E437C8">
        <w:rPr>
          <w:rFonts w:ascii="Times New Roman" w:hAnsi="Times New Roman" w:cs="Times New Roman"/>
          <w:sz w:val="24"/>
          <w:shd w:val="clear" w:color="auto" w:fill="FFFFFF"/>
        </w:rPr>
        <w:t xml:space="preserve">PMI has been widely validated as a reliable indicator of L2 proficiency in both writing and speaking. </w:t>
      </w:r>
      <w:r w:rsidRPr="00E437C8">
        <w:rPr>
          <w:rFonts w:ascii="Times New Roman" w:hAnsi="Times New Roman" w:cs="Times New Roman"/>
          <w:sz w:val="24"/>
        </w:rPr>
        <w:t xml:space="preserve">Research has shown that lower-proficiency learners tend to rely on word-by-word composition, leading to weaker collocational strength, whereas more advanced learners produce stronger associations, reflecting an increasing level of phraseological competence (Bestgen, 2017; Bestgen &amp; Granger, 2014; Durrant &amp; Schmitt, 2009; Garner </w:t>
      </w:r>
      <w:r w:rsidRPr="00E437C8">
        <w:rPr>
          <w:rFonts w:ascii="Times New Roman" w:hAnsi="Times New Roman" w:cs="Times New Roman"/>
          <w:i/>
          <w:iCs/>
          <w:sz w:val="24"/>
        </w:rPr>
        <w:t>et al</w:t>
      </w:r>
      <w:r w:rsidRPr="00E437C8">
        <w:rPr>
          <w:rFonts w:ascii="Times New Roman" w:hAnsi="Times New Roman" w:cs="Times New Roman"/>
          <w:sz w:val="24"/>
        </w:rPr>
        <w:t xml:space="preserve">., 2019; 2020; Uchihara </w:t>
      </w:r>
      <w:r w:rsidRPr="00E437C8">
        <w:rPr>
          <w:rFonts w:ascii="Times New Roman" w:hAnsi="Times New Roman" w:cs="Times New Roman"/>
          <w:i/>
          <w:iCs/>
          <w:sz w:val="24"/>
        </w:rPr>
        <w:t>et al</w:t>
      </w:r>
      <w:r w:rsidRPr="00E437C8">
        <w:rPr>
          <w:rFonts w:ascii="Times New Roman" w:hAnsi="Times New Roman" w:cs="Times New Roman"/>
          <w:sz w:val="24"/>
        </w:rPr>
        <w:t xml:space="preserve">., 2020; Zhang </w:t>
      </w:r>
      <w:r w:rsidRPr="00E437C8">
        <w:rPr>
          <w:rFonts w:ascii="Times New Roman" w:hAnsi="Times New Roman" w:cs="Times New Roman"/>
          <w:i/>
          <w:iCs/>
          <w:sz w:val="24"/>
        </w:rPr>
        <w:t>et al</w:t>
      </w:r>
      <w:r w:rsidRPr="00E437C8">
        <w:rPr>
          <w:rFonts w:ascii="Times New Roman" w:hAnsi="Times New Roman" w:cs="Times New Roman"/>
          <w:sz w:val="24"/>
        </w:rPr>
        <w:t xml:space="preserve">., 2023). </w:t>
      </w:r>
    </w:p>
    <w:p w14:paraId="750E83DA" w14:textId="77777777" w:rsidR="00390C8D" w:rsidRPr="00E437C8" w:rsidRDefault="00390C8D" w:rsidP="00390C8D">
      <w:pPr>
        <w:jc w:val="both"/>
        <w:rPr>
          <w:rFonts w:ascii="Times New Roman" w:hAnsi="Times New Roman" w:cs="Times New Roman"/>
          <w:sz w:val="24"/>
        </w:rPr>
      </w:pPr>
    </w:p>
    <w:p w14:paraId="48E532BD" w14:textId="77777777" w:rsidR="00390C8D" w:rsidRPr="00E437C8" w:rsidRDefault="00390C8D" w:rsidP="00390C8D">
      <w:pPr>
        <w:jc w:val="both"/>
        <w:rPr>
          <w:rFonts w:ascii="Times New Roman" w:hAnsi="Times New Roman" w:cs="Times New Roman"/>
          <w:sz w:val="24"/>
        </w:rPr>
      </w:pPr>
      <w:r w:rsidRPr="00E437C8">
        <w:rPr>
          <w:rFonts w:ascii="Times New Roman" w:hAnsi="Times New Roman" w:cs="Times New Roman"/>
          <w:sz w:val="24"/>
        </w:rPr>
        <w:t>Despite its robustness, the effectiveness of PMI as a measure of collocational strength is contingent upon the reference corpora used (</w:t>
      </w:r>
      <w:proofErr w:type="spellStart"/>
      <w:r w:rsidRPr="00E437C8">
        <w:rPr>
          <w:rFonts w:ascii="Times New Roman" w:hAnsi="Times New Roman" w:cs="Times New Roman"/>
          <w:sz w:val="24"/>
        </w:rPr>
        <w:t>Gablasova</w:t>
      </w:r>
      <w:proofErr w:type="spellEnd"/>
      <w:r w:rsidRPr="00E437C8">
        <w:rPr>
          <w:rFonts w:ascii="Times New Roman" w:hAnsi="Times New Roman" w:cs="Times New Roman"/>
          <w:sz w:val="24"/>
        </w:rPr>
        <w:t xml:space="preserve"> </w:t>
      </w:r>
      <w:r w:rsidRPr="00E437C8">
        <w:rPr>
          <w:rFonts w:ascii="Times New Roman" w:hAnsi="Times New Roman" w:cs="Times New Roman"/>
          <w:i/>
          <w:iCs/>
          <w:sz w:val="24"/>
        </w:rPr>
        <w:t>et al.</w:t>
      </w:r>
      <w:r w:rsidRPr="00E437C8">
        <w:rPr>
          <w:rFonts w:ascii="Times New Roman" w:hAnsi="Times New Roman" w:cs="Times New Roman"/>
          <w:sz w:val="24"/>
        </w:rPr>
        <w:t xml:space="preserve">, 2017; </w:t>
      </w:r>
      <w:proofErr w:type="spellStart"/>
      <w:r w:rsidRPr="00E437C8">
        <w:rPr>
          <w:rFonts w:ascii="Times New Roman" w:hAnsi="Times New Roman" w:cs="Times New Roman"/>
          <w:sz w:val="24"/>
        </w:rPr>
        <w:t>Paquot</w:t>
      </w:r>
      <w:proofErr w:type="spellEnd"/>
      <w:r w:rsidRPr="00E437C8">
        <w:rPr>
          <w:rFonts w:ascii="Times New Roman" w:hAnsi="Times New Roman" w:cs="Times New Roman"/>
          <w:sz w:val="24"/>
        </w:rPr>
        <w:t xml:space="preserve"> &amp; </w:t>
      </w:r>
      <w:proofErr w:type="spellStart"/>
      <w:r w:rsidRPr="00E437C8">
        <w:rPr>
          <w:rFonts w:ascii="Times New Roman" w:hAnsi="Times New Roman" w:cs="Times New Roman"/>
          <w:sz w:val="24"/>
        </w:rPr>
        <w:t>Naets</w:t>
      </w:r>
      <w:proofErr w:type="spellEnd"/>
      <w:r w:rsidRPr="00E437C8">
        <w:rPr>
          <w:rFonts w:ascii="Times New Roman" w:hAnsi="Times New Roman" w:cs="Times New Roman"/>
          <w:sz w:val="24"/>
        </w:rPr>
        <w:t xml:space="preserve">, 2017). </w:t>
      </w:r>
      <w:bookmarkStart w:id="0" w:name="_Hlk195864655"/>
      <w:r w:rsidRPr="00390C8D">
        <w:rPr>
          <w:rFonts w:ascii="Times New Roman" w:hAnsi="Times New Roman" w:cs="Times New Roman"/>
          <w:sz w:val="24"/>
        </w:rPr>
        <w:t xml:space="preserve">Ideally, the reference corpus should maintain a high degree of comparability with the learner corpus regarding contextual relevance and usage. However, many studies utilize general corpora such as the BNC and COCA, which encompass diverse registers but may not adequately reflect the specific contexts relevant to L2 production (Bestgen, 2017; Bestgen &amp; Granger, 2014; </w:t>
      </w:r>
      <w:proofErr w:type="spellStart"/>
      <w:r w:rsidRPr="00390C8D">
        <w:rPr>
          <w:rFonts w:ascii="Times New Roman" w:hAnsi="Times New Roman" w:cs="Times New Roman"/>
          <w:sz w:val="24"/>
        </w:rPr>
        <w:t>Paquot</w:t>
      </w:r>
      <w:proofErr w:type="spellEnd"/>
      <w:r w:rsidRPr="00390C8D">
        <w:rPr>
          <w:rFonts w:ascii="Times New Roman" w:hAnsi="Times New Roman" w:cs="Times New Roman"/>
          <w:sz w:val="24"/>
        </w:rPr>
        <w:t xml:space="preserve"> </w:t>
      </w:r>
      <w:r w:rsidRPr="00390C8D">
        <w:rPr>
          <w:rFonts w:ascii="Times New Roman" w:hAnsi="Times New Roman" w:cs="Times New Roman"/>
          <w:i/>
          <w:iCs/>
          <w:sz w:val="24"/>
        </w:rPr>
        <w:t>et al.</w:t>
      </w:r>
      <w:r w:rsidRPr="00390C8D">
        <w:rPr>
          <w:rFonts w:ascii="Times New Roman" w:hAnsi="Times New Roman" w:cs="Times New Roman"/>
          <w:sz w:val="24"/>
        </w:rPr>
        <w:t>, 2022),</w:t>
      </w:r>
      <w:r w:rsidRPr="00E437C8">
        <w:rPr>
          <w:rFonts w:ascii="Times New Roman" w:hAnsi="Times New Roman" w:cs="Times New Roman"/>
          <w:sz w:val="24"/>
        </w:rPr>
        <w:t xml:space="preserve"> and they may also rely on genre-specific corpora that raise significant questions about comparability across different contexts (Durrant &amp; Schmitt, 2009; </w:t>
      </w:r>
      <w:proofErr w:type="spellStart"/>
      <w:r w:rsidRPr="00E437C8">
        <w:rPr>
          <w:rFonts w:ascii="Times New Roman" w:hAnsi="Times New Roman" w:cs="Times New Roman"/>
          <w:sz w:val="24"/>
        </w:rPr>
        <w:t>Paquot</w:t>
      </w:r>
      <w:proofErr w:type="spellEnd"/>
      <w:r w:rsidRPr="00E437C8">
        <w:rPr>
          <w:rFonts w:ascii="Times New Roman" w:hAnsi="Times New Roman" w:cs="Times New Roman"/>
          <w:sz w:val="24"/>
        </w:rPr>
        <w:t xml:space="preserve">, 2019). This complexity emphasizes the critical need for carefully selected reference corpora that authentically </w:t>
      </w:r>
      <w:proofErr w:type="gramStart"/>
      <w:r w:rsidRPr="00E437C8">
        <w:rPr>
          <w:rFonts w:ascii="Times New Roman" w:hAnsi="Times New Roman" w:cs="Times New Roman"/>
          <w:sz w:val="24"/>
        </w:rPr>
        <w:t>represent</w:t>
      </w:r>
      <w:proofErr w:type="gramEnd"/>
      <w:r w:rsidRPr="00E437C8">
        <w:rPr>
          <w:rFonts w:ascii="Times New Roman" w:hAnsi="Times New Roman" w:cs="Times New Roman"/>
          <w:sz w:val="24"/>
        </w:rPr>
        <w:t xml:space="preserve"> the </w:t>
      </w:r>
      <w:proofErr w:type="gramStart"/>
      <w:r w:rsidRPr="00E437C8">
        <w:rPr>
          <w:rFonts w:ascii="Times New Roman" w:hAnsi="Times New Roman" w:cs="Times New Roman"/>
          <w:sz w:val="24"/>
        </w:rPr>
        <w:t>contexts</w:t>
      </w:r>
      <w:proofErr w:type="gramEnd"/>
      <w:r w:rsidRPr="00E437C8">
        <w:rPr>
          <w:rFonts w:ascii="Times New Roman" w:hAnsi="Times New Roman" w:cs="Times New Roman"/>
          <w:sz w:val="24"/>
        </w:rPr>
        <w:t xml:space="preserve"> of learner output. Thus, understanding how reference corpus selection affects PMI calculations is pivotal for accurately assessing phraseological competence.</w:t>
      </w:r>
      <w:bookmarkEnd w:id="0"/>
    </w:p>
    <w:p w14:paraId="1BD84FE8" w14:textId="77777777" w:rsidR="00390C8D" w:rsidRPr="00E437C8" w:rsidRDefault="00390C8D" w:rsidP="00390C8D">
      <w:pPr>
        <w:jc w:val="both"/>
        <w:rPr>
          <w:rFonts w:ascii="Times New Roman" w:hAnsi="Times New Roman" w:cs="Times New Roman"/>
          <w:sz w:val="24"/>
        </w:rPr>
      </w:pPr>
    </w:p>
    <w:p w14:paraId="547E498D" w14:textId="61B857B9" w:rsidR="00390C8D" w:rsidRDefault="00390C8D" w:rsidP="00780445">
      <w:pPr>
        <w:jc w:val="both"/>
        <w:rPr>
          <w:rFonts w:ascii="Times New Roman" w:hAnsi="Times New Roman" w:cs="Times New Roman"/>
          <w:sz w:val="24"/>
        </w:rPr>
      </w:pPr>
      <w:proofErr w:type="gramStart"/>
      <w:r w:rsidRPr="00E437C8">
        <w:rPr>
          <w:rFonts w:ascii="Times New Roman" w:hAnsi="Times New Roman" w:cs="Times New Roman"/>
          <w:sz w:val="24"/>
        </w:rPr>
        <w:t>In light of</w:t>
      </w:r>
      <w:proofErr w:type="gramEnd"/>
      <w:r w:rsidRPr="00E437C8">
        <w:rPr>
          <w:rFonts w:ascii="Times New Roman" w:hAnsi="Times New Roman" w:cs="Times New Roman"/>
          <w:sz w:val="24"/>
        </w:rPr>
        <w:t xml:space="preserve"> these considerations, this study investigates how the characteristics of reference corpora affect the calculation of PMI scores for word combinations in EFL learners' oral production. The research is guided by two key questions: 1) </w:t>
      </w:r>
      <w:r w:rsidR="00780445" w:rsidRPr="00780445">
        <w:rPr>
          <w:rFonts w:ascii="Times New Roman" w:hAnsi="Times New Roman" w:cs="Times New Roman" w:hint="eastAsia"/>
          <w:sz w:val="24"/>
        </w:rPr>
        <w:t>How does the register of the</w:t>
      </w:r>
      <w:r w:rsidR="00780445">
        <w:rPr>
          <w:rFonts w:ascii="Times New Roman" w:hAnsi="Times New Roman" w:cs="Times New Roman" w:hint="eastAsia"/>
          <w:sz w:val="24"/>
        </w:rPr>
        <w:t xml:space="preserve"> </w:t>
      </w:r>
      <w:r w:rsidR="00780445" w:rsidRPr="00780445">
        <w:rPr>
          <w:rFonts w:ascii="Times New Roman" w:hAnsi="Times New Roman" w:cs="Times New Roman" w:hint="eastAsia"/>
          <w:sz w:val="24"/>
        </w:rPr>
        <w:t>reference corpus influence PMI-based</w:t>
      </w:r>
      <w:r w:rsidR="00780445">
        <w:rPr>
          <w:rFonts w:ascii="Times New Roman" w:hAnsi="Times New Roman" w:cs="Times New Roman" w:hint="eastAsia"/>
          <w:sz w:val="24"/>
        </w:rPr>
        <w:t xml:space="preserve"> </w:t>
      </w:r>
      <w:r w:rsidR="00780445" w:rsidRPr="00780445">
        <w:rPr>
          <w:rFonts w:ascii="Times New Roman" w:hAnsi="Times New Roman" w:cs="Times New Roman" w:hint="eastAsia"/>
          <w:sz w:val="24"/>
        </w:rPr>
        <w:t>measures of collocational strength in</w:t>
      </w:r>
      <w:r w:rsidR="00780445">
        <w:rPr>
          <w:rFonts w:ascii="Times New Roman" w:hAnsi="Times New Roman" w:cs="Times New Roman" w:hint="eastAsia"/>
          <w:sz w:val="24"/>
        </w:rPr>
        <w:t xml:space="preserve"> </w:t>
      </w:r>
      <w:r w:rsidR="00780445" w:rsidRPr="00780445">
        <w:rPr>
          <w:rFonts w:ascii="Times New Roman" w:hAnsi="Times New Roman" w:cs="Times New Roman" w:hint="eastAsia"/>
          <w:sz w:val="24"/>
        </w:rPr>
        <w:t>EFL learners</w:t>
      </w:r>
      <w:r w:rsidR="00780445">
        <w:rPr>
          <w:rFonts w:ascii="Times New Roman" w:hAnsi="Times New Roman" w:cs="Times New Roman"/>
          <w:sz w:val="24"/>
        </w:rPr>
        <w:t>’</w:t>
      </w:r>
      <w:r w:rsidR="00780445" w:rsidRPr="00780445">
        <w:rPr>
          <w:rFonts w:ascii="Times New Roman" w:hAnsi="Times New Roman" w:cs="Times New Roman" w:hint="eastAsia"/>
          <w:sz w:val="24"/>
        </w:rPr>
        <w:t xml:space="preserve"> oral production</w:t>
      </w:r>
      <w:r w:rsidRPr="003D2321">
        <w:rPr>
          <w:rFonts w:ascii="Times New Roman" w:hAnsi="Times New Roman" w:cs="Times New Roman"/>
          <w:sz w:val="24"/>
        </w:rPr>
        <w:t>?</w:t>
      </w:r>
      <w:r>
        <w:rPr>
          <w:rFonts w:ascii="Times New Roman" w:hAnsi="Times New Roman" w:cs="Times New Roman" w:hint="eastAsia"/>
          <w:sz w:val="24"/>
        </w:rPr>
        <w:t xml:space="preserve"> 2</w:t>
      </w:r>
      <w:r w:rsidRPr="00E437C8">
        <w:rPr>
          <w:rFonts w:ascii="Times New Roman" w:hAnsi="Times New Roman" w:cs="Times New Roman"/>
          <w:sz w:val="24"/>
        </w:rPr>
        <w:t xml:space="preserve">) </w:t>
      </w:r>
      <w:r w:rsidR="00780445" w:rsidRPr="00780445">
        <w:rPr>
          <w:rFonts w:ascii="Times New Roman" w:hAnsi="Times New Roman" w:cs="Times New Roman" w:hint="eastAsia"/>
          <w:sz w:val="24"/>
        </w:rPr>
        <w:t>How do differences in PMI</w:t>
      </w:r>
      <w:r w:rsidR="00780445">
        <w:rPr>
          <w:rFonts w:ascii="Times New Roman" w:hAnsi="Times New Roman" w:cs="Times New Roman" w:hint="eastAsia"/>
          <w:sz w:val="24"/>
        </w:rPr>
        <w:t xml:space="preserve"> </w:t>
      </w:r>
      <w:r w:rsidR="00780445" w:rsidRPr="00780445">
        <w:rPr>
          <w:rFonts w:ascii="Times New Roman" w:hAnsi="Times New Roman" w:cs="Times New Roman" w:hint="eastAsia"/>
          <w:sz w:val="24"/>
        </w:rPr>
        <w:t>scores resulting from reference</w:t>
      </w:r>
      <w:r w:rsidR="00780445">
        <w:rPr>
          <w:rFonts w:ascii="Times New Roman" w:hAnsi="Times New Roman" w:cs="Times New Roman" w:hint="eastAsia"/>
          <w:sz w:val="24"/>
        </w:rPr>
        <w:t xml:space="preserve"> </w:t>
      </w:r>
      <w:r w:rsidR="00780445" w:rsidRPr="00780445">
        <w:rPr>
          <w:rFonts w:ascii="Times New Roman" w:hAnsi="Times New Roman" w:cs="Times New Roman" w:hint="eastAsia"/>
          <w:sz w:val="24"/>
        </w:rPr>
        <w:t>corpora representing different</w:t>
      </w:r>
      <w:r w:rsidR="00780445">
        <w:rPr>
          <w:rFonts w:ascii="Times New Roman" w:hAnsi="Times New Roman" w:cs="Times New Roman" w:hint="eastAsia"/>
          <w:sz w:val="24"/>
        </w:rPr>
        <w:t xml:space="preserve"> </w:t>
      </w:r>
      <w:r w:rsidR="00780445" w:rsidRPr="00780445">
        <w:rPr>
          <w:rFonts w:ascii="Times New Roman" w:hAnsi="Times New Roman" w:cs="Times New Roman" w:hint="eastAsia"/>
          <w:sz w:val="24"/>
        </w:rPr>
        <w:t>registers impact the assessment of</w:t>
      </w:r>
      <w:r w:rsidR="00780445">
        <w:rPr>
          <w:rFonts w:ascii="Times New Roman" w:hAnsi="Times New Roman" w:cs="Times New Roman" w:hint="eastAsia"/>
          <w:sz w:val="24"/>
        </w:rPr>
        <w:t xml:space="preserve"> </w:t>
      </w:r>
      <w:r w:rsidR="00780445" w:rsidRPr="00780445">
        <w:rPr>
          <w:rFonts w:ascii="Times New Roman" w:hAnsi="Times New Roman" w:cs="Times New Roman" w:hint="eastAsia"/>
          <w:sz w:val="24"/>
        </w:rPr>
        <w:t>phraseological competence in EFL</w:t>
      </w:r>
      <w:r w:rsidR="00780445">
        <w:rPr>
          <w:rFonts w:ascii="Times New Roman" w:hAnsi="Times New Roman" w:cs="Times New Roman" w:hint="eastAsia"/>
          <w:sz w:val="24"/>
        </w:rPr>
        <w:t xml:space="preserve"> </w:t>
      </w:r>
      <w:r w:rsidR="00780445" w:rsidRPr="00780445">
        <w:rPr>
          <w:rFonts w:ascii="Times New Roman" w:hAnsi="Times New Roman" w:cs="Times New Roman" w:hint="eastAsia"/>
          <w:sz w:val="24"/>
        </w:rPr>
        <w:t>learners?</w:t>
      </w:r>
      <w:r w:rsidRPr="003D2321">
        <w:rPr>
          <w:rFonts w:ascii="Times New Roman" w:hAnsi="Times New Roman" w:cs="Times New Roman"/>
          <w:sz w:val="24"/>
        </w:rPr>
        <w:t>?</w:t>
      </w:r>
    </w:p>
    <w:p w14:paraId="0BD89100" w14:textId="77777777" w:rsidR="00390C8D" w:rsidRPr="00435847" w:rsidRDefault="00390C8D" w:rsidP="00390C8D">
      <w:pPr>
        <w:jc w:val="both"/>
        <w:rPr>
          <w:rFonts w:ascii="Times New Roman" w:hAnsi="Times New Roman" w:cs="Times New Roman"/>
          <w:sz w:val="24"/>
        </w:rPr>
      </w:pPr>
    </w:p>
    <w:p w14:paraId="0E3F5A43" w14:textId="60BCBBBC" w:rsidR="00390C8D" w:rsidRPr="00E437C8" w:rsidRDefault="00390C8D" w:rsidP="00390C8D">
      <w:pPr>
        <w:jc w:val="both"/>
        <w:rPr>
          <w:rFonts w:ascii="Times New Roman" w:hAnsi="Times New Roman" w:cs="Times New Roman"/>
          <w:sz w:val="24"/>
        </w:rPr>
      </w:pPr>
      <w:r w:rsidRPr="00E437C8">
        <w:rPr>
          <w:rFonts w:ascii="Times New Roman" w:hAnsi="Times New Roman" w:cs="Times New Roman"/>
          <w:sz w:val="24"/>
        </w:rPr>
        <w:lastRenderedPageBreak/>
        <w:t xml:space="preserve">Utilizing a corpus of oral performances from </w:t>
      </w:r>
      <w:r w:rsidR="00E30160">
        <w:rPr>
          <w:rFonts w:ascii="Times New Roman" w:hAnsi="Times New Roman" w:cs="Times New Roman" w:hint="eastAsia"/>
          <w:sz w:val="24"/>
        </w:rPr>
        <w:t>9</w:t>
      </w:r>
      <w:r w:rsidRPr="00E437C8">
        <w:rPr>
          <w:rFonts w:ascii="Times New Roman" w:hAnsi="Times New Roman" w:cs="Times New Roman"/>
          <w:sz w:val="24"/>
        </w:rPr>
        <w:t xml:space="preserve">0 test-takers (CEFR levels A2-C2) on a TEM 8 Oral Test commentary task, this study calculated </w:t>
      </w:r>
      <w:r w:rsidRPr="00B56D68">
        <w:rPr>
          <w:rFonts w:ascii="Times New Roman" w:hAnsi="Times New Roman" w:cs="Times New Roman"/>
          <w:sz w:val="24"/>
        </w:rPr>
        <w:t xml:space="preserve">PMI </w:t>
      </w:r>
      <w:r w:rsidRPr="00E437C8">
        <w:rPr>
          <w:rFonts w:ascii="Times New Roman" w:hAnsi="Times New Roman" w:cs="Times New Roman"/>
          <w:sz w:val="24"/>
        </w:rPr>
        <w:t xml:space="preserve">scores for word combinations </w:t>
      </w:r>
      <w:r>
        <w:rPr>
          <w:rFonts w:ascii="Times New Roman" w:hAnsi="Times New Roman" w:cs="Times New Roman" w:hint="eastAsia"/>
          <w:sz w:val="24"/>
        </w:rPr>
        <w:t xml:space="preserve">in </w:t>
      </w:r>
      <w:r w:rsidRPr="00E437C8">
        <w:rPr>
          <w:rFonts w:ascii="Times New Roman" w:hAnsi="Times New Roman" w:cs="Times New Roman"/>
          <w:sz w:val="24"/>
        </w:rPr>
        <w:t>direct objects (</w:t>
      </w:r>
      <w:proofErr w:type="spellStart"/>
      <w:r w:rsidRPr="00E437C8">
        <w:rPr>
          <w:rFonts w:ascii="Times New Roman" w:hAnsi="Times New Roman" w:cs="Times New Roman"/>
          <w:sz w:val="24"/>
        </w:rPr>
        <w:t>dobj</w:t>
      </w:r>
      <w:proofErr w:type="spellEnd"/>
      <w:r w:rsidRPr="00E437C8">
        <w:rPr>
          <w:rFonts w:ascii="Times New Roman" w:hAnsi="Times New Roman" w:cs="Times New Roman"/>
          <w:sz w:val="24"/>
        </w:rPr>
        <w:t>)</w:t>
      </w:r>
      <w:r>
        <w:rPr>
          <w:rFonts w:ascii="Times New Roman" w:hAnsi="Times New Roman" w:cs="Times New Roman" w:hint="eastAsia"/>
          <w:sz w:val="24"/>
        </w:rPr>
        <w:t xml:space="preserve"> </w:t>
      </w:r>
      <w:r w:rsidRPr="00E437C8">
        <w:rPr>
          <w:rFonts w:ascii="Times New Roman" w:hAnsi="Times New Roman" w:cs="Times New Roman"/>
          <w:sz w:val="24"/>
        </w:rPr>
        <w:t>grammatical relation. The reference corpora—COCA Academic, COCA Newspaper, and COCA Spoken—were chosen to align with different communicative purposes relevant to learners’ language use. Given that the dataset consists of university students’ oral commentaries on social issues, these corpora capture key register features: the spoken mode (COCA Spoken), argumentative and expository discourse in public communication (COCA Newspaper), and formal academic discussion (COCA Academic). This selection ensures a nuanced analysis of how phraseological competence varies across registers and communicative contexts.</w:t>
      </w:r>
    </w:p>
    <w:p w14:paraId="2F7664BA" w14:textId="77777777" w:rsidR="00390C8D" w:rsidRPr="00E437C8" w:rsidRDefault="00390C8D" w:rsidP="00390C8D">
      <w:pPr>
        <w:jc w:val="both"/>
        <w:rPr>
          <w:rFonts w:ascii="Times New Roman" w:hAnsi="Times New Roman" w:cs="Times New Roman"/>
          <w:sz w:val="24"/>
        </w:rPr>
      </w:pPr>
    </w:p>
    <w:p w14:paraId="323FCD47" w14:textId="336B62FB" w:rsidR="00BF47E0" w:rsidRDefault="00390C8D" w:rsidP="00BF47E0">
      <w:pPr>
        <w:jc w:val="both"/>
        <w:rPr>
          <w:rFonts w:ascii="Times New Roman" w:hAnsi="Times New Roman" w:cs="Times New Roman"/>
          <w:sz w:val="24"/>
        </w:rPr>
      </w:pPr>
      <w:r w:rsidRPr="00E437C8">
        <w:rPr>
          <w:rFonts w:ascii="Times New Roman" w:hAnsi="Times New Roman" w:cs="Times New Roman"/>
          <w:sz w:val="24"/>
        </w:rPr>
        <w:t xml:space="preserve">Preliminary findings reveal that assessments of collocation use vary depending on the reference corpus selected, revealing how corpus choice influences the evaluation of phraseological competence. More importantly, </w:t>
      </w:r>
      <w:r w:rsidRPr="00B56D68">
        <w:rPr>
          <w:rFonts w:ascii="Times New Roman" w:hAnsi="Times New Roman" w:cs="Times New Roman"/>
          <w:sz w:val="24"/>
        </w:rPr>
        <w:t xml:space="preserve">PMI scores calculated from the three different reference corpora reveal distinct aspects of phraseological competence in L2 oral production, particularly by emphasizing different types of phraseological units (e.g., general vs. academic collocations) and register-specific preferences. </w:t>
      </w:r>
      <w:r w:rsidRPr="00E437C8">
        <w:rPr>
          <w:rFonts w:ascii="Times New Roman" w:hAnsi="Times New Roman" w:cs="Times New Roman"/>
          <w:sz w:val="24"/>
        </w:rPr>
        <w:t xml:space="preserve">The findings underscore the critical necessity of meticulously selecting reference corpora that authentically represent the context of learners' output </w:t>
      </w:r>
      <w:proofErr w:type="gramStart"/>
      <w:r w:rsidRPr="00E437C8">
        <w:rPr>
          <w:rFonts w:ascii="Times New Roman" w:hAnsi="Times New Roman" w:cs="Times New Roman"/>
          <w:sz w:val="24"/>
        </w:rPr>
        <w:t>in order to</w:t>
      </w:r>
      <w:proofErr w:type="gramEnd"/>
      <w:r w:rsidRPr="00E437C8">
        <w:rPr>
          <w:rFonts w:ascii="Times New Roman" w:hAnsi="Times New Roman" w:cs="Times New Roman"/>
          <w:sz w:val="24"/>
        </w:rPr>
        <w:t xml:space="preserve"> accurately and effectively assess phraseological competence.</w:t>
      </w:r>
    </w:p>
    <w:p w14:paraId="3C558045" w14:textId="77777777" w:rsidR="00390C8D" w:rsidRPr="00E30160" w:rsidRDefault="00390C8D" w:rsidP="00BF47E0">
      <w:pPr>
        <w:jc w:val="both"/>
        <w:rPr>
          <w:rFonts w:ascii="Times New Roman" w:hAnsi="Times New Roman" w:cs="Times New Roman"/>
          <w:sz w:val="24"/>
        </w:rPr>
      </w:pPr>
    </w:p>
    <w:p w14:paraId="4D21B61E" w14:textId="77777777" w:rsidR="00BF47E0" w:rsidRPr="0000682D" w:rsidRDefault="00BF47E0" w:rsidP="00BF47E0">
      <w:pPr>
        <w:spacing w:line="288" w:lineRule="auto"/>
        <w:ind w:left="480" w:hangingChars="200" w:hanging="480"/>
        <w:rPr>
          <w:rFonts w:ascii="Times New Roman" w:hAnsi="Times New Roman" w:cs="Times New Roman"/>
          <w:b/>
          <w:bCs/>
          <w:sz w:val="24"/>
        </w:rPr>
      </w:pPr>
      <w:r w:rsidRPr="0000682D">
        <w:rPr>
          <w:rFonts w:ascii="Times New Roman" w:hAnsi="Times New Roman" w:cs="Times New Roman"/>
          <w:b/>
          <w:bCs/>
          <w:sz w:val="24"/>
        </w:rPr>
        <w:t>References</w:t>
      </w:r>
    </w:p>
    <w:p w14:paraId="72E1D8D3" w14:textId="77777777" w:rsidR="0000682D" w:rsidRPr="0000682D" w:rsidRDefault="0000682D" w:rsidP="00BF47E0">
      <w:pPr>
        <w:spacing w:line="288" w:lineRule="auto"/>
        <w:ind w:left="480" w:hangingChars="200" w:hanging="480"/>
        <w:rPr>
          <w:rFonts w:ascii="Times New Roman" w:hAnsi="Times New Roman" w:cs="Times New Roman"/>
          <w:sz w:val="24"/>
        </w:rPr>
      </w:pPr>
      <w:r w:rsidRPr="0000682D">
        <w:rPr>
          <w:rFonts w:ascii="Times New Roman" w:hAnsi="Times New Roman" w:cs="Times New Roman"/>
          <w:sz w:val="24"/>
        </w:rPr>
        <w:t xml:space="preserve">Bestgen, Y. (2017). Beyond single-word measures: L2 writing assessment, lexical richness and formulaic competence. </w:t>
      </w:r>
      <w:r w:rsidRPr="0000682D">
        <w:rPr>
          <w:rFonts w:ascii="Times New Roman" w:hAnsi="Times New Roman" w:cs="Times New Roman"/>
          <w:i/>
          <w:iCs/>
          <w:sz w:val="24"/>
        </w:rPr>
        <w:t>System</w:t>
      </w:r>
      <w:r w:rsidRPr="0000682D">
        <w:rPr>
          <w:rFonts w:ascii="Times New Roman" w:hAnsi="Times New Roman" w:cs="Times New Roman"/>
          <w:sz w:val="24"/>
        </w:rPr>
        <w:t xml:space="preserve">, </w:t>
      </w:r>
      <w:r w:rsidRPr="0000682D">
        <w:rPr>
          <w:rFonts w:ascii="Times New Roman" w:hAnsi="Times New Roman" w:cs="Times New Roman"/>
          <w:i/>
          <w:iCs/>
          <w:sz w:val="24"/>
        </w:rPr>
        <w:t>69</w:t>
      </w:r>
      <w:r w:rsidRPr="0000682D">
        <w:rPr>
          <w:rFonts w:ascii="Times New Roman" w:hAnsi="Times New Roman" w:cs="Times New Roman"/>
          <w:sz w:val="24"/>
        </w:rPr>
        <w:t xml:space="preserve">, 65–78. </w:t>
      </w:r>
      <w:hyperlink r:id="rId6" w:history="1">
        <w:r w:rsidRPr="0000682D">
          <w:rPr>
            <w:rStyle w:val="ae"/>
            <w:rFonts w:ascii="Times New Roman" w:hAnsi="Times New Roman" w:cs="Times New Roman"/>
            <w:sz w:val="24"/>
          </w:rPr>
          <w:t>https://doi.org/10.1016/j.system.2017.08.004</w:t>
        </w:r>
      </w:hyperlink>
    </w:p>
    <w:p w14:paraId="5D47FE0D" w14:textId="77777777" w:rsidR="0000682D" w:rsidRPr="0000682D" w:rsidRDefault="0000682D" w:rsidP="00BF47E0">
      <w:pPr>
        <w:spacing w:line="288" w:lineRule="auto"/>
        <w:ind w:left="480" w:hangingChars="200" w:hanging="480"/>
        <w:jc w:val="both"/>
        <w:rPr>
          <w:rFonts w:ascii="Times New Roman" w:hAnsi="Times New Roman" w:cs="Times New Roman"/>
          <w:sz w:val="24"/>
        </w:rPr>
      </w:pPr>
      <w:r w:rsidRPr="0000682D">
        <w:rPr>
          <w:rFonts w:ascii="Times New Roman" w:hAnsi="Times New Roman" w:cs="Times New Roman"/>
          <w:sz w:val="24"/>
        </w:rPr>
        <w:t xml:space="preserve">Bestgen, Y., &amp; Granger, S. (2014). Quantifying the development of phraseological competence in L2 English writing: An automated approach. </w:t>
      </w:r>
      <w:r w:rsidRPr="0000682D">
        <w:rPr>
          <w:rFonts w:ascii="Times New Roman" w:hAnsi="Times New Roman" w:cs="Times New Roman"/>
          <w:i/>
          <w:iCs/>
          <w:sz w:val="24"/>
        </w:rPr>
        <w:t>Journal of Second Language Writing</w:t>
      </w:r>
      <w:r w:rsidRPr="0000682D">
        <w:rPr>
          <w:rFonts w:ascii="Times New Roman" w:hAnsi="Times New Roman" w:cs="Times New Roman"/>
          <w:sz w:val="24"/>
        </w:rPr>
        <w:t xml:space="preserve">, </w:t>
      </w:r>
      <w:r w:rsidRPr="0000682D">
        <w:rPr>
          <w:rFonts w:ascii="Times New Roman" w:hAnsi="Times New Roman" w:cs="Times New Roman"/>
          <w:i/>
          <w:iCs/>
          <w:sz w:val="24"/>
        </w:rPr>
        <w:t>26</w:t>
      </w:r>
      <w:r w:rsidRPr="0000682D">
        <w:rPr>
          <w:rFonts w:ascii="Times New Roman" w:hAnsi="Times New Roman" w:cs="Times New Roman"/>
          <w:sz w:val="24"/>
        </w:rPr>
        <w:t xml:space="preserve">, 28–41. </w:t>
      </w:r>
      <w:hyperlink r:id="rId7" w:history="1">
        <w:r w:rsidRPr="0000682D">
          <w:rPr>
            <w:rStyle w:val="ae"/>
            <w:rFonts w:ascii="Times New Roman" w:hAnsi="Times New Roman" w:cs="Times New Roman"/>
            <w:sz w:val="24"/>
          </w:rPr>
          <w:t>https://doi.org/10.1016/j.jslw.2014.09.004</w:t>
        </w:r>
      </w:hyperlink>
    </w:p>
    <w:p w14:paraId="2DEA2C0A" w14:textId="77777777" w:rsidR="0000682D" w:rsidRPr="0000682D" w:rsidRDefault="0000682D" w:rsidP="00BF47E0">
      <w:pPr>
        <w:spacing w:line="288" w:lineRule="auto"/>
        <w:ind w:left="480" w:hangingChars="200" w:hanging="480"/>
        <w:jc w:val="both"/>
        <w:rPr>
          <w:rFonts w:ascii="Times New Roman" w:hAnsi="Times New Roman" w:cs="Times New Roman"/>
          <w:sz w:val="24"/>
        </w:rPr>
      </w:pPr>
      <w:r w:rsidRPr="0000682D">
        <w:rPr>
          <w:rFonts w:ascii="Times New Roman" w:hAnsi="Times New Roman" w:cs="Times New Roman"/>
          <w:sz w:val="24"/>
        </w:rPr>
        <w:t xml:space="preserve">Durrant, P., &amp; Schmitt, N. (2009). To what extent do native and non-native writers make use of collocations? </w:t>
      </w:r>
      <w:r w:rsidRPr="0000682D">
        <w:rPr>
          <w:rFonts w:ascii="Times New Roman" w:hAnsi="Times New Roman" w:cs="Times New Roman"/>
          <w:i/>
          <w:iCs/>
          <w:sz w:val="24"/>
        </w:rPr>
        <w:t>IRAL - International Review of Applied Linguistics in Language Teaching</w:t>
      </w:r>
      <w:r w:rsidRPr="0000682D">
        <w:rPr>
          <w:rFonts w:ascii="Times New Roman" w:hAnsi="Times New Roman" w:cs="Times New Roman"/>
          <w:sz w:val="24"/>
        </w:rPr>
        <w:t xml:space="preserve">, </w:t>
      </w:r>
      <w:r w:rsidRPr="0000682D">
        <w:rPr>
          <w:rFonts w:ascii="Times New Roman" w:hAnsi="Times New Roman" w:cs="Times New Roman"/>
          <w:i/>
          <w:iCs/>
          <w:sz w:val="24"/>
        </w:rPr>
        <w:t>47</w:t>
      </w:r>
      <w:r w:rsidRPr="0000682D">
        <w:rPr>
          <w:rFonts w:ascii="Times New Roman" w:hAnsi="Times New Roman" w:cs="Times New Roman"/>
          <w:sz w:val="24"/>
        </w:rPr>
        <w:t xml:space="preserve">(2). </w:t>
      </w:r>
      <w:hyperlink r:id="rId8" w:history="1">
        <w:r w:rsidRPr="0000682D">
          <w:rPr>
            <w:rStyle w:val="ae"/>
            <w:rFonts w:ascii="Times New Roman" w:hAnsi="Times New Roman" w:cs="Times New Roman"/>
            <w:sz w:val="24"/>
          </w:rPr>
          <w:t>https://doi.org/10.1515/iral.2009.007</w:t>
        </w:r>
      </w:hyperlink>
    </w:p>
    <w:p w14:paraId="0BA84404" w14:textId="77777777" w:rsidR="0000682D" w:rsidRPr="0000682D" w:rsidRDefault="0000682D" w:rsidP="00BF47E0">
      <w:pPr>
        <w:spacing w:line="288" w:lineRule="auto"/>
        <w:ind w:left="480" w:hangingChars="200" w:hanging="480"/>
        <w:rPr>
          <w:rFonts w:ascii="Times New Roman" w:hAnsi="Times New Roman" w:cs="Times New Roman"/>
          <w:sz w:val="24"/>
        </w:rPr>
      </w:pPr>
      <w:r w:rsidRPr="0000682D">
        <w:rPr>
          <w:rFonts w:ascii="Times New Roman" w:hAnsi="Times New Roman" w:cs="Times New Roman"/>
          <w:sz w:val="24"/>
        </w:rPr>
        <w:t xml:space="preserve">Ellis, N. C., Simpson‐Vlach, R., &amp; Maynard, C. (2008). Formulaic Language in Native and Second Language Speakers: Psycholinguistics, Corpus Linguistics, and TESOL. </w:t>
      </w:r>
      <w:r w:rsidRPr="0000682D">
        <w:rPr>
          <w:rFonts w:ascii="Times New Roman" w:hAnsi="Times New Roman" w:cs="Times New Roman"/>
          <w:i/>
          <w:iCs/>
          <w:sz w:val="24"/>
        </w:rPr>
        <w:t>TESOL Quarterly</w:t>
      </w:r>
      <w:r w:rsidRPr="0000682D">
        <w:rPr>
          <w:rFonts w:ascii="Times New Roman" w:hAnsi="Times New Roman" w:cs="Times New Roman"/>
          <w:sz w:val="24"/>
        </w:rPr>
        <w:t xml:space="preserve">, </w:t>
      </w:r>
      <w:r w:rsidRPr="0000682D">
        <w:rPr>
          <w:rFonts w:ascii="Times New Roman" w:hAnsi="Times New Roman" w:cs="Times New Roman"/>
          <w:i/>
          <w:iCs/>
          <w:sz w:val="24"/>
        </w:rPr>
        <w:t>42</w:t>
      </w:r>
      <w:r w:rsidRPr="0000682D">
        <w:rPr>
          <w:rFonts w:ascii="Times New Roman" w:hAnsi="Times New Roman" w:cs="Times New Roman"/>
          <w:sz w:val="24"/>
        </w:rPr>
        <w:t xml:space="preserve">(3), 375–396. </w:t>
      </w:r>
      <w:hyperlink r:id="rId9" w:history="1">
        <w:r w:rsidRPr="0000682D">
          <w:rPr>
            <w:rStyle w:val="ae"/>
            <w:rFonts w:ascii="Times New Roman" w:hAnsi="Times New Roman" w:cs="Times New Roman"/>
            <w:sz w:val="24"/>
          </w:rPr>
          <w:t>https://doi.org/10.1002/j.1545-7249.2008.tb00137.x</w:t>
        </w:r>
      </w:hyperlink>
    </w:p>
    <w:p w14:paraId="514612C3" w14:textId="77777777" w:rsidR="0000682D" w:rsidRPr="0000682D" w:rsidRDefault="0000682D" w:rsidP="00BF47E0">
      <w:pPr>
        <w:spacing w:line="288" w:lineRule="auto"/>
        <w:ind w:left="480" w:hangingChars="200" w:hanging="480"/>
        <w:rPr>
          <w:rFonts w:ascii="Times New Roman" w:hAnsi="Times New Roman" w:cs="Times New Roman"/>
          <w:sz w:val="24"/>
        </w:rPr>
      </w:pPr>
      <w:r w:rsidRPr="0000682D">
        <w:rPr>
          <w:rFonts w:ascii="Times New Roman" w:hAnsi="Times New Roman" w:cs="Times New Roman"/>
          <w:sz w:val="24"/>
        </w:rPr>
        <w:t xml:space="preserve">Gablasova, D., Brezina, V., &amp; McEnery, T. (2017). Collocations in corpus‐based language </w:t>
      </w:r>
      <w:r w:rsidRPr="0000682D">
        <w:rPr>
          <w:rFonts w:ascii="Times New Roman" w:hAnsi="Times New Roman" w:cs="Times New Roman"/>
          <w:sz w:val="24"/>
        </w:rPr>
        <w:lastRenderedPageBreak/>
        <w:t>learning research: Identifying, comparing, and interpreting the evidence. </w:t>
      </w:r>
      <w:r w:rsidRPr="0000682D">
        <w:rPr>
          <w:rFonts w:ascii="Times New Roman" w:hAnsi="Times New Roman" w:cs="Times New Roman"/>
          <w:i/>
          <w:iCs/>
          <w:sz w:val="24"/>
        </w:rPr>
        <w:t>Language Learning, 67</w:t>
      </w:r>
      <w:r w:rsidRPr="0000682D">
        <w:rPr>
          <w:rFonts w:ascii="Times New Roman" w:hAnsi="Times New Roman" w:cs="Times New Roman"/>
          <w:sz w:val="24"/>
        </w:rPr>
        <w:t>(Suppl 1), 155–179. </w:t>
      </w:r>
      <w:hyperlink r:id="rId10" w:tgtFrame="_blank" w:history="1">
        <w:r w:rsidRPr="0000682D">
          <w:rPr>
            <w:rStyle w:val="ae"/>
            <w:rFonts w:ascii="Times New Roman" w:hAnsi="Times New Roman" w:cs="Times New Roman"/>
            <w:sz w:val="24"/>
          </w:rPr>
          <w:t>https://doi.org/10.1111/lang.12225</w:t>
        </w:r>
      </w:hyperlink>
    </w:p>
    <w:p w14:paraId="084A9D5B" w14:textId="77777777" w:rsidR="0000682D" w:rsidRPr="0000682D" w:rsidRDefault="0000682D" w:rsidP="00BF47E0">
      <w:pPr>
        <w:spacing w:line="288" w:lineRule="auto"/>
        <w:ind w:left="480" w:hangingChars="200" w:hanging="480"/>
        <w:jc w:val="both"/>
        <w:rPr>
          <w:rFonts w:ascii="Times New Roman" w:hAnsi="Times New Roman" w:cs="Times New Roman"/>
          <w:sz w:val="24"/>
        </w:rPr>
      </w:pPr>
      <w:r w:rsidRPr="0000682D">
        <w:rPr>
          <w:rFonts w:ascii="Times New Roman" w:hAnsi="Times New Roman" w:cs="Times New Roman"/>
          <w:sz w:val="24"/>
        </w:rPr>
        <w:t xml:space="preserve">Garner, J., Crossley, S., &amp; Kyle, K. (2019). N-gram measures and L2 writing proficiency. </w:t>
      </w:r>
      <w:r w:rsidRPr="0000682D">
        <w:rPr>
          <w:rFonts w:ascii="Times New Roman" w:hAnsi="Times New Roman" w:cs="Times New Roman"/>
          <w:i/>
          <w:iCs/>
          <w:sz w:val="24"/>
        </w:rPr>
        <w:t>System</w:t>
      </w:r>
      <w:r w:rsidRPr="0000682D">
        <w:rPr>
          <w:rFonts w:ascii="Times New Roman" w:hAnsi="Times New Roman" w:cs="Times New Roman"/>
          <w:sz w:val="24"/>
        </w:rPr>
        <w:t xml:space="preserve">, </w:t>
      </w:r>
      <w:r w:rsidRPr="0000682D">
        <w:rPr>
          <w:rFonts w:ascii="Times New Roman" w:hAnsi="Times New Roman" w:cs="Times New Roman"/>
          <w:i/>
          <w:iCs/>
          <w:sz w:val="24"/>
        </w:rPr>
        <w:t>80</w:t>
      </w:r>
      <w:r w:rsidRPr="0000682D">
        <w:rPr>
          <w:rFonts w:ascii="Times New Roman" w:hAnsi="Times New Roman" w:cs="Times New Roman"/>
          <w:sz w:val="24"/>
        </w:rPr>
        <w:t xml:space="preserve">, 176–187. </w:t>
      </w:r>
      <w:hyperlink r:id="rId11" w:history="1">
        <w:r w:rsidRPr="0000682D">
          <w:rPr>
            <w:rStyle w:val="ae"/>
            <w:rFonts w:ascii="Times New Roman" w:hAnsi="Times New Roman" w:cs="Times New Roman"/>
            <w:sz w:val="24"/>
          </w:rPr>
          <w:t>https://doi.org/10.1016/j.system.2018.12.001</w:t>
        </w:r>
      </w:hyperlink>
    </w:p>
    <w:p w14:paraId="31836FB8" w14:textId="77777777" w:rsidR="0000682D" w:rsidRPr="0000682D" w:rsidRDefault="0000682D" w:rsidP="00BF47E0">
      <w:pPr>
        <w:spacing w:line="288" w:lineRule="auto"/>
        <w:ind w:left="480" w:hangingChars="200" w:hanging="480"/>
        <w:jc w:val="both"/>
        <w:rPr>
          <w:rFonts w:ascii="Times New Roman" w:hAnsi="Times New Roman" w:cs="Times New Roman"/>
          <w:sz w:val="24"/>
        </w:rPr>
      </w:pPr>
      <w:r w:rsidRPr="0000682D">
        <w:rPr>
          <w:rFonts w:ascii="Times New Roman" w:hAnsi="Times New Roman" w:cs="Times New Roman"/>
          <w:sz w:val="24"/>
        </w:rPr>
        <w:t xml:space="preserve">Garner, J., Crossley, S., &amp; Kyle, K. (2020). Beginning and intermediate L2 writer’s use of N-grams: An association measures study. </w:t>
      </w:r>
      <w:r w:rsidRPr="0000682D">
        <w:rPr>
          <w:rFonts w:ascii="Times New Roman" w:hAnsi="Times New Roman" w:cs="Times New Roman"/>
          <w:i/>
          <w:iCs/>
          <w:sz w:val="24"/>
        </w:rPr>
        <w:t>International Review of Applied Linguistics in Language Teaching</w:t>
      </w:r>
      <w:r w:rsidRPr="0000682D">
        <w:rPr>
          <w:rFonts w:ascii="Times New Roman" w:hAnsi="Times New Roman" w:cs="Times New Roman"/>
          <w:sz w:val="24"/>
        </w:rPr>
        <w:t xml:space="preserve">, </w:t>
      </w:r>
      <w:r w:rsidRPr="0000682D">
        <w:rPr>
          <w:rFonts w:ascii="Times New Roman" w:hAnsi="Times New Roman" w:cs="Times New Roman"/>
          <w:i/>
          <w:iCs/>
          <w:sz w:val="24"/>
        </w:rPr>
        <w:t>58</w:t>
      </w:r>
      <w:r w:rsidRPr="0000682D">
        <w:rPr>
          <w:rFonts w:ascii="Times New Roman" w:hAnsi="Times New Roman" w:cs="Times New Roman"/>
          <w:sz w:val="24"/>
        </w:rPr>
        <w:t xml:space="preserve">(1), 51–74. </w:t>
      </w:r>
      <w:hyperlink r:id="rId12" w:history="1">
        <w:r w:rsidRPr="0000682D">
          <w:rPr>
            <w:rStyle w:val="ae"/>
            <w:rFonts w:ascii="Times New Roman" w:hAnsi="Times New Roman" w:cs="Times New Roman"/>
            <w:sz w:val="24"/>
          </w:rPr>
          <w:t>https://doi.org/10.1515/iral-2017-0089</w:t>
        </w:r>
      </w:hyperlink>
    </w:p>
    <w:p w14:paraId="1A61C082" w14:textId="77777777" w:rsidR="0000682D" w:rsidRPr="0000682D" w:rsidRDefault="0000682D" w:rsidP="00BF47E0">
      <w:pPr>
        <w:spacing w:line="288" w:lineRule="auto"/>
        <w:ind w:left="480" w:hangingChars="200" w:hanging="480"/>
        <w:rPr>
          <w:rFonts w:ascii="Times New Roman" w:hAnsi="Times New Roman" w:cs="Times New Roman"/>
          <w:sz w:val="24"/>
        </w:rPr>
      </w:pPr>
      <w:r w:rsidRPr="0000682D">
        <w:rPr>
          <w:rFonts w:ascii="Times New Roman" w:hAnsi="Times New Roman" w:cs="Times New Roman"/>
          <w:sz w:val="24"/>
        </w:rPr>
        <w:t>Granger, S., &amp; Bestgen, Y. (2014). The use of collocations by intermediate and advanced L2 writers: A bigram-based study. </w:t>
      </w:r>
      <w:r w:rsidRPr="0000682D">
        <w:rPr>
          <w:rFonts w:ascii="Times New Roman" w:hAnsi="Times New Roman" w:cs="Times New Roman"/>
          <w:i/>
          <w:iCs/>
          <w:sz w:val="24"/>
        </w:rPr>
        <w:t>International Review of Applied Linguistics in Language Teaching, 52</w:t>
      </w:r>
      <w:r w:rsidRPr="0000682D">
        <w:rPr>
          <w:rFonts w:ascii="Times New Roman" w:hAnsi="Times New Roman" w:cs="Times New Roman"/>
          <w:sz w:val="24"/>
        </w:rPr>
        <w:t>(3), 229–252. </w:t>
      </w:r>
      <w:hyperlink r:id="rId13" w:tgtFrame="_blank" w:history="1">
        <w:r w:rsidRPr="0000682D">
          <w:rPr>
            <w:rStyle w:val="ae"/>
            <w:rFonts w:ascii="Times New Roman" w:hAnsi="Times New Roman" w:cs="Times New Roman"/>
            <w:sz w:val="24"/>
          </w:rPr>
          <w:t>https://doi.org/10.1515/iral-2014-0011</w:t>
        </w:r>
      </w:hyperlink>
    </w:p>
    <w:p w14:paraId="33230CD3" w14:textId="77777777" w:rsidR="0000682D" w:rsidRPr="0000682D" w:rsidRDefault="0000682D" w:rsidP="00BF47E0">
      <w:pPr>
        <w:spacing w:line="288" w:lineRule="auto"/>
        <w:ind w:left="480" w:hangingChars="200" w:hanging="480"/>
        <w:rPr>
          <w:rFonts w:ascii="Times New Roman" w:hAnsi="Times New Roman" w:cs="Times New Roman"/>
          <w:sz w:val="24"/>
        </w:rPr>
      </w:pPr>
      <w:proofErr w:type="spellStart"/>
      <w:r w:rsidRPr="0000682D">
        <w:rPr>
          <w:rFonts w:ascii="Times New Roman" w:hAnsi="Times New Roman" w:cs="Times New Roman"/>
          <w:sz w:val="24"/>
        </w:rPr>
        <w:t>Paquot</w:t>
      </w:r>
      <w:proofErr w:type="spellEnd"/>
      <w:r w:rsidRPr="0000682D">
        <w:rPr>
          <w:rFonts w:ascii="Times New Roman" w:hAnsi="Times New Roman" w:cs="Times New Roman"/>
          <w:sz w:val="24"/>
        </w:rPr>
        <w:t xml:space="preserve">, M. (2019). The phraseological dimension in interlanguage complexity research. </w:t>
      </w:r>
      <w:r w:rsidRPr="0000682D">
        <w:rPr>
          <w:rFonts w:ascii="Times New Roman" w:hAnsi="Times New Roman" w:cs="Times New Roman"/>
          <w:i/>
          <w:iCs/>
          <w:sz w:val="24"/>
        </w:rPr>
        <w:t>Second Language Research</w:t>
      </w:r>
      <w:r w:rsidRPr="0000682D">
        <w:rPr>
          <w:rFonts w:ascii="Times New Roman" w:hAnsi="Times New Roman" w:cs="Times New Roman"/>
          <w:sz w:val="24"/>
        </w:rPr>
        <w:t xml:space="preserve">, </w:t>
      </w:r>
      <w:r w:rsidRPr="0000682D">
        <w:rPr>
          <w:rFonts w:ascii="Times New Roman" w:hAnsi="Times New Roman" w:cs="Times New Roman"/>
          <w:i/>
          <w:iCs/>
          <w:sz w:val="24"/>
        </w:rPr>
        <w:t>35</w:t>
      </w:r>
      <w:r w:rsidRPr="0000682D">
        <w:rPr>
          <w:rFonts w:ascii="Times New Roman" w:hAnsi="Times New Roman" w:cs="Times New Roman"/>
          <w:sz w:val="24"/>
        </w:rPr>
        <w:t xml:space="preserve">(1), 121–145. </w:t>
      </w:r>
      <w:hyperlink r:id="rId14" w:history="1">
        <w:r w:rsidRPr="0000682D">
          <w:rPr>
            <w:rStyle w:val="ae"/>
            <w:rFonts w:ascii="Times New Roman" w:hAnsi="Times New Roman" w:cs="Times New Roman"/>
            <w:sz w:val="24"/>
          </w:rPr>
          <w:t>https://doi.org/10.1177/0267658317694221</w:t>
        </w:r>
      </w:hyperlink>
    </w:p>
    <w:p w14:paraId="62AFCD12" w14:textId="77777777" w:rsidR="0000682D" w:rsidRPr="0000682D" w:rsidRDefault="0000682D" w:rsidP="00BF47E0">
      <w:pPr>
        <w:spacing w:line="288" w:lineRule="auto"/>
        <w:ind w:left="480" w:hangingChars="200" w:hanging="480"/>
        <w:rPr>
          <w:rFonts w:ascii="Times New Roman" w:hAnsi="Times New Roman" w:cs="Times New Roman"/>
          <w:sz w:val="24"/>
        </w:rPr>
      </w:pPr>
      <w:proofErr w:type="spellStart"/>
      <w:r w:rsidRPr="0000682D">
        <w:rPr>
          <w:rFonts w:ascii="Times New Roman" w:hAnsi="Times New Roman" w:cs="Times New Roman"/>
          <w:sz w:val="24"/>
        </w:rPr>
        <w:t>Paquot</w:t>
      </w:r>
      <w:proofErr w:type="spellEnd"/>
      <w:r w:rsidRPr="0000682D">
        <w:rPr>
          <w:rFonts w:ascii="Times New Roman" w:hAnsi="Times New Roman" w:cs="Times New Roman"/>
          <w:sz w:val="24"/>
        </w:rPr>
        <w:t xml:space="preserve">, M., &amp; Granger, S. (2012). Formulaic Language in Learner Corpora. </w:t>
      </w:r>
      <w:r w:rsidRPr="0000682D">
        <w:rPr>
          <w:rFonts w:ascii="Times New Roman" w:hAnsi="Times New Roman" w:cs="Times New Roman"/>
          <w:i/>
          <w:iCs/>
          <w:sz w:val="24"/>
        </w:rPr>
        <w:t>Annual Review of Applied Linguistics</w:t>
      </w:r>
      <w:r w:rsidRPr="0000682D">
        <w:rPr>
          <w:rFonts w:ascii="Times New Roman" w:hAnsi="Times New Roman" w:cs="Times New Roman"/>
          <w:sz w:val="24"/>
        </w:rPr>
        <w:t xml:space="preserve">, </w:t>
      </w:r>
      <w:r w:rsidRPr="0000682D">
        <w:rPr>
          <w:rFonts w:ascii="Times New Roman" w:hAnsi="Times New Roman" w:cs="Times New Roman"/>
          <w:i/>
          <w:iCs/>
          <w:sz w:val="24"/>
        </w:rPr>
        <w:t>32</w:t>
      </w:r>
      <w:r w:rsidRPr="0000682D">
        <w:rPr>
          <w:rFonts w:ascii="Times New Roman" w:hAnsi="Times New Roman" w:cs="Times New Roman"/>
          <w:sz w:val="24"/>
        </w:rPr>
        <w:t xml:space="preserve">, 130–149. </w:t>
      </w:r>
      <w:hyperlink r:id="rId15" w:history="1">
        <w:r w:rsidRPr="0000682D">
          <w:rPr>
            <w:rStyle w:val="ae"/>
            <w:rFonts w:ascii="Times New Roman" w:hAnsi="Times New Roman" w:cs="Times New Roman"/>
            <w:sz w:val="24"/>
          </w:rPr>
          <w:t>https://doi.org/10.1017/S0267190512000098</w:t>
        </w:r>
      </w:hyperlink>
    </w:p>
    <w:p w14:paraId="0D5B2441" w14:textId="77777777" w:rsidR="0000682D" w:rsidRPr="0000682D" w:rsidRDefault="0000682D" w:rsidP="00BF47E0">
      <w:pPr>
        <w:spacing w:line="288" w:lineRule="auto"/>
        <w:ind w:left="480" w:hangingChars="200" w:hanging="480"/>
        <w:rPr>
          <w:rFonts w:ascii="Times New Roman" w:hAnsi="Times New Roman" w:cs="Times New Roman"/>
          <w:sz w:val="24"/>
        </w:rPr>
      </w:pPr>
      <w:proofErr w:type="spellStart"/>
      <w:r w:rsidRPr="0000682D">
        <w:rPr>
          <w:rFonts w:ascii="Times New Roman" w:hAnsi="Times New Roman" w:cs="Times New Roman"/>
          <w:sz w:val="24"/>
        </w:rPr>
        <w:t>Paquot</w:t>
      </w:r>
      <w:proofErr w:type="spellEnd"/>
      <w:r w:rsidRPr="0000682D">
        <w:rPr>
          <w:rFonts w:ascii="Times New Roman" w:hAnsi="Times New Roman" w:cs="Times New Roman"/>
          <w:sz w:val="24"/>
        </w:rPr>
        <w:t xml:space="preserve">, M., &amp; </w:t>
      </w:r>
      <w:proofErr w:type="spellStart"/>
      <w:r w:rsidRPr="0000682D">
        <w:rPr>
          <w:rFonts w:ascii="Times New Roman" w:hAnsi="Times New Roman" w:cs="Times New Roman"/>
          <w:sz w:val="24"/>
        </w:rPr>
        <w:t>Naets</w:t>
      </w:r>
      <w:proofErr w:type="spellEnd"/>
      <w:r w:rsidRPr="0000682D">
        <w:rPr>
          <w:rFonts w:ascii="Times New Roman" w:hAnsi="Times New Roman" w:cs="Times New Roman"/>
          <w:sz w:val="24"/>
        </w:rPr>
        <w:t>, H. (2017, May 24-28). The role of the reference corpus in studies of EFL learners’ use of statistical collocations. Paper presented at ICAME38, Prague, Czech Republic.</w:t>
      </w:r>
    </w:p>
    <w:p w14:paraId="7C8A76A0" w14:textId="77777777" w:rsidR="0000682D" w:rsidRPr="0000682D" w:rsidRDefault="0000682D" w:rsidP="00BF47E0">
      <w:pPr>
        <w:spacing w:line="288" w:lineRule="auto"/>
        <w:ind w:left="480" w:hangingChars="200" w:hanging="480"/>
        <w:rPr>
          <w:rFonts w:ascii="Times New Roman" w:hAnsi="Times New Roman" w:cs="Times New Roman"/>
          <w:sz w:val="24"/>
        </w:rPr>
      </w:pPr>
      <w:proofErr w:type="spellStart"/>
      <w:r w:rsidRPr="0000682D">
        <w:rPr>
          <w:rFonts w:ascii="Times New Roman" w:hAnsi="Times New Roman" w:cs="Times New Roman"/>
          <w:sz w:val="24"/>
        </w:rPr>
        <w:t>Paquot</w:t>
      </w:r>
      <w:proofErr w:type="spellEnd"/>
      <w:r w:rsidRPr="0000682D">
        <w:rPr>
          <w:rFonts w:ascii="Times New Roman" w:hAnsi="Times New Roman" w:cs="Times New Roman"/>
          <w:sz w:val="24"/>
        </w:rPr>
        <w:t xml:space="preserve">, M., </w:t>
      </w:r>
      <w:proofErr w:type="spellStart"/>
      <w:r w:rsidRPr="0000682D">
        <w:rPr>
          <w:rFonts w:ascii="Times New Roman" w:hAnsi="Times New Roman" w:cs="Times New Roman"/>
          <w:sz w:val="24"/>
        </w:rPr>
        <w:t>Gablasova</w:t>
      </w:r>
      <w:proofErr w:type="spellEnd"/>
      <w:r w:rsidRPr="0000682D">
        <w:rPr>
          <w:rFonts w:ascii="Times New Roman" w:hAnsi="Times New Roman" w:cs="Times New Roman"/>
          <w:sz w:val="24"/>
        </w:rPr>
        <w:t xml:space="preserve">, D., Brezina, V., &amp; </w:t>
      </w:r>
      <w:proofErr w:type="spellStart"/>
      <w:r w:rsidRPr="0000682D">
        <w:rPr>
          <w:rFonts w:ascii="Times New Roman" w:hAnsi="Times New Roman" w:cs="Times New Roman"/>
          <w:sz w:val="24"/>
        </w:rPr>
        <w:t>Naets</w:t>
      </w:r>
      <w:proofErr w:type="spellEnd"/>
      <w:r w:rsidRPr="0000682D">
        <w:rPr>
          <w:rFonts w:ascii="Times New Roman" w:hAnsi="Times New Roman" w:cs="Times New Roman"/>
          <w:sz w:val="24"/>
        </w:rPr>
        <w:t xml:space="preserve">, H. (2022). Phraseological complexity in EFL learners’ spoken production across proficiency levels. In A. </w:t>
      </w:r>
      <w:proofErr w:type="spellStart"/>
      <w:r w:rsidRPr="0000682D">
        <w:rPr>
          <w:rFonts w:ascii="Times New Roman" w:hAnsi="Times New Roman" w:cs="Times New Roman"/>
          <w:sz w:val="24"/>
        </w:rPr>
        <w:t>Leńko</w:t>
      </w:r>
      <w:proofErr w:type="spellEnd"/>
      <w:r w:rsidRPr="0000682D">
        <w:rPr>
          <w:rFonts w:ascii="Times New Roman" w:hAnsi="Times New Roman" w:cs="Times New Roman"/>
          <w:sz w:val="24"/>
        </w:rPr>
        <w:t>-Szymańska &amp; S. Götz (Eds.), </w:t>
      </w:r>
      <w:r w:rsidRPr="0000682D">
        <w:rPr>
          <w:rFonts w:ascii="Times New Roman" w:hAnsi="Times New Roman" w:cs="Times New Roman"/>
          <w:i/>
          <w:iCs/>
          <w:sz w:val="24"/>
        </w:rPr>
        <w:t>Studies in corpus linguistics</w:t>
      </w:r>
      <w:r w:rsidRPr="0000682D">
        <w:rPr>
          <w:rFonts w:ascii="Times New Roman" w:hAnsi="Times New Roman" w:cs="Times New Roman"/>
          <w:sz w:val="24"/>
        </w:rPr>
        <w:t> (pp. 115–136). John Benjamins. </w:t>
      </w:r>
      <w:hyperlink r:id="rId16" w:history="1">
        <w:r w:rsidRPr="0000682D">
          <w:rPr>
            <w:rStyle w:val="ae"/>
            <w:rFonts w:ascii="Times New Roman" w:hAnsi="Times New Roman" w:cs="Times New Roman"/>
            <w:sz w:val="24"/>
          </w:rPr>
          <w:t>https://doi.org/10.1075/scl.104.05paq</w:t>
        </w:r>
      </w:hyperlink>
    </w:p>
    <w:p w14:paraId="66F5CDFC" w14:textId="77777777" w:rsidR="0000682D" w:rsidRPr="0000682D" w:rsidRDefault="0000682D" w:rsidP="00BF47E0">
      <w:pPr>
        <w:spacing w:line="288" w:lineRule="auto"/>
        <w:ind w:left="480" w:hangingChars="200" w:hanging="480"/>
        <w:jc w:val="both"/>
        <w:rPr>
          <w:rFonts w:ascii="Times New Roman" w:hAnsi="Times New Roman" w:cs="Times New Roman"/>
          <w:sz w:val="24"/>
        </w:rPr>
      </w:pPr>
      <w:r w:rsidRPr="0000682D">
        <w:rPr>
          <w:rFonts w:ascii="Times New Roman" w:hAnsi="Times New Roman" w:cs="Times New Roman"/>
          <w:sz w:val="24"/>
        </w:rPr>
        <w:t xml:space="preserve">Uchihara, T., Eguchi, M., Clenton, J., Kyle, K., &amp; Saito, K. (2022). To What Extent is Collocation Knowledge Associated with Oral Proficiency? A Corpus-Based Approach to Word Association. </w:t>
      </w:r>
      <w:r w:rsidRPr="0000682D">
        <w:rPr>
          <w:rFonts w:ascii="Times New Roman" w:hAnsi="Times New Roman" w:cs="Times New Roman"/>
          <w:i/>
          <w:iCs/>
          <w:sz w:val="24"/>
        </w:rPr>
        <w:t>Language and Speech</w:t>
      </w:r>
      <w:r w:rsidRPr="0000682D">
        <w:rPr>
          <w:rFonts w:ascii="Times New Roman" w:hAnsi="Times New Roman" w:cs="Times New Roman"/>
          <w:sz w:val="24"/>
        </w:rPr>
        <w:t xml:space="preserve">, </w:t>
      </w:r>
      <w:r w:rsidRPr="0000682D">
        <w:rPr>
          <w:rFonts w:ascii="Times New Roman" w:hAnsi="Times New Roman" w:cs="Times New Roman"/>
          <w:i/>
          <w:iCs/>
          <w:sz w:val="24"/>
        </w:rPr>
        <w:t>65</w:t>
      </w:r>
      <w:r w:rsidRPr="0000682D">
        <w:rPr>
          <w:rFonts w:ascii="Times New Roman" w:hAnsi="Times New Roman" w:cs="Times New Roman"/>
          <w:sz w:val="24"/>
        </w:rPr>
        <w:t xml:space="preserve">(2), 311–336. </w:t>
      </w:r>
      <w:hyperlink r:id="rId17" w:history="1">
        <w:r w:rsidRPr="0000682D">
          <w:rPr>
            <w:rStyle w:val="ae"/>
            <w:rFonts w:ascii="Times New Roman" w:hAnsi="Times New Roman" w:cs="Times New Roman"/>
            <w:sz w:val="24"/>
          </w:rPr>
          <w:t>https://doi.org/10.1177/00238309211013865</w:t>
        </w:r>
      </w:hyperlink>
    </w:p>
    <w:p w14:paraId="7EEC321B" w14:textId="77777777" w:rsidR="0000682D" w:rsidRPr="0000682D" w:rsidRDefault="0000682D" w:rsidP="00BF47E0">
      <w:pPr>
        <w:spacing w:line="288" w:lineRule="auto"/>
        <w:ind w:left="480" w:hangingChars="200" w:hanging="480"/>
        <w:rPr>
          <w:rFonts w:ascii="Times New Roman" w:hAnsi="Times New Roman" w:cs="Times New Roman"/>
          <w:sz w:val="24"/>
        </w:rPr>
      </w:pPr>
      <w:r w:rsidRPr="0000682D">
        <w:rPr>
          <w:rFonts w:ascii="Times New Roman" w:hAnsi="Times New Roman" w:cs="Times New Roman"/>
          <w:sz w:val="24"/>
        </w:rPr>
        <w:t xml:space="preserve">Zhang, X., Zhao, B., &amp; Li, W. (2023). </w:t>
      </w:r>
      <w:r w:rsidRPr="0000682D">
        <w:rPr>
          <w:rFonts w:ascii="Times New Roman" w:hAnsi="Times New Roman" w:cs="Times New Roman"/>
          <w:i/>
          <w:iCs/>
          <w:sz w:val="24"/>
        </w:rPr>
        <w:t>N</w:t>
      </w:r>
      <w:r w:rsidRPr="0000682D">
        <w:rPr>
          <w:rFonts w:ascii="Times New Roman" w:hAnsi="Times New Roman" w:cs="Times New Roman"/>
          <w:sz w:val="24"/>
        </w:rPr>
        <w:t xml:space="preserve"> -gram use in EFL learners’ retelling and monologic tasks. </w:t>
      </w:r>
      <w:r w:rsidRPr="0000682D">
        <w:rPr>
          <w:rFonts w:ascii="Times New Roman" w:hAnsi="Times New Roman" w:cs="Times New Roman"/>
          <w:i/>
          <w:iCs/>
          <w:sz w:val="24"/>
        </w:rPr>
        <w:t>International Review of Applied Linguistics in Language Teaching</w:t>
      </w:r>
      <w:r w:rsidRPr="0000682D">
        <w:rPr>
          <w:rFonts w:ascii="Times New Roman" w:hAnsi="Times New Roman" w:cs="Times New Roman"/>
          <w:sz w:val="24"/>
        </w:rPr>
        <w:t xml:space="preserve">, </w:t>
      </w:r>
      <w:r w:rsidRPr="0000682D">
        <w:rPr>
          <w:rFonts w:ascii="Times New Roman" w:hAnsi="Times New Roman" w:cs="Times New Roman"/>
          <w:i/>
          <w:iCs/>
          <w:sz w:val="24"/>
        </w:rPr>
        <w:t>61</w:t>
      </w:r>
      <w:r w:rsidRPr="0000682D">
        <w:rPr>
          <w:rFonts w:ascii="Times New Roman" w:hAnsi="Times New Roman" w:cs="Times New Roman"/>
          <w:sz w:val="24"/>
        </w:rPr>
        <w:t xml:space="preserve">(3), 939–965. </w:t>
      </w:r>
      <w:hyperlink r:id="rId18" w:history="1">
        <w:r w:rsidRPr="0000682D">
          <w:rPr>
            <w:rStyle w:val="ae"/>
            <w:rFonts w:ascii="Times New Roman" w:hAnsi="Times New Roman" w:cs="Times New Roman"/>
            <w:sz w:val="24"/>
          </w:rPr>
          <w:t>https://doi.org/10.1515/iral-2021-0080</w:t>
        </w:r>
      </w:hyperlink>
    </w:p>
    <w:p w14:paraId="4270A70C" w14:textId="77777777" w:rsidR="00BF47E0" w:rsidRPr="0000682D" w:rsidRDefault="00BF47E0">
      <w:pPr>
        <w:rPr>
          <w:rFonts w:ascii="Times New Roman" w:hAnsi="Times New Roman" w:cs="Times New Roman"/>
          <w:sz w:val="24"/>
        </w:rPr>
      </w:pPr>
    </w:p>
    <w:sectPr w:rsidR="00BF47E0" w:rsidRPr="0000682D">
      <w:pgSz w:w="11906" w:h="16838"/>
      <w:pgMar w:top="1417" w:right="1417" w:bottom="1417" w:left="141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8ED1F" w14:textId="77777777" w:rsidR="000C6ABD" w:rsidRDefault="000C6ABD" w:rsidP="00390C8D">
      <w:pPr>
        <w:spacing w:after="0" w:line="240" w:lineRule="auto"/>
        <w:rPr>
          <w:rFonts w:hint="eastAsia"/>
        </w:rPr>
      </w:pPr>
      <w:r>
        <w:separator/>
      </w:r>
    </w:p>
  </w:endnote>
  <w:endnote w:type="continuationSeparator" w:id="0">
    <w:p w14:paraId="3B1CAAAA" w14:textId="77777777" w:rsidR="000C6ABD" w:rsidRDefault="000C6ABD" w:rsidP="00390C8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A2F59" w14:textId="77777777" w:rsidR="000C6ABD" w:rsidRDefault="000C6ABD" w:rsidP="00390C8D">
      <w:pPr>
        <w:spacing w:after="0" w:line="240" w:lineRule="auto"/>
        <w:rPr>
          <w:rFonts w:hint="eastAsia"/>
        </w:rPr>
      </w:pPr>
      <w:r>
        <w:separator/>
      </w:r>
    </w:p>
  </w:footnote>
  <w:footnote w:type="continuationSeparator" w:id="0">
    <w:p w14:paraId="7069940D" w14:textId="77777777" w:rsidR="000C6ABD" w:rsidRDefault="000C6ABD" w:rsidP="00390C8D">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E0"/>
    <w:rsid w:val="0000682D"/>
    <w:rsid w:val="000C6ABD"/>
    <w:rsid w:val="001A2834"/>
    <w:rsid w:val="00390C8D"/>
    <w:rsid w:val="00434DEF"/>
    <w:rsid w:val="004E5776"/>
    <w:rsid w:val="00527390"/>
    <w:rsid w:val="0066175E"/>
    <w:rsid w:val="006E3615"/>
    <w:rsid w:val="00780445"/>
    <w:rsid w:val="007B3BB1"/>
    <w:rsid w:val="00827D51"/>
    <w:rsid w:val="0084274C"/>
    <w:rsid w:val="008C269F"/>
    <w:rsid w:val="008C6CE3"/>
    <w:rsid w:val="008D2481"/>
    <w:rsid w:val="00BF47E0"/>
    <w:rsid w:val="00E30160"/>
    <w:rsid w:val="00E6225C"/>
    <w:rsid w:val="00ED66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6077BE"/>
  <w15:chartTrackingRefBased/>
  <w15:docId w15:val="{7474D55D-E4D5-4A53-8F36-F9E7BB820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47E0"/>
    <w:pPr>
      <w:widowControl w:val="0"/>
    </w:pPr>
  </w:style>
  <w:style w:type="paragraph" w:styleId="1">
    <w:name w:val="heading 1"/>
    <w:basedOn w:val="a"/>
    <w:next w:val="a"/>
    <w:link w:val="10"/>
    <w:uiPriority w:val="9"/>
    <w:qFormat/>
    <w:rsid w:val="00BF47E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F47E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F47E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F47E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F47E0"/>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BF47E0"/>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F47E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F47E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F47E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F47E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F47E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F47E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F47E0"/>
    <w:rPr>
      <w:rFonts w:cstheme="majorBidi"/>
      <w:color w:val="0F4761" w:themeColor="accent1" w:themeShade="BF"/>
      <w:sz w:val="28"/>
      <w:szCs w:val="28"/>
    </w:rPr>
  </w:style>
  <w:style w:type="character" w:customStyle="1" w:styleId="50">
    <w:name w:val="标题 5 字符"/>
    <w:basedOn w:val="a0"/>
    <w:link w:val="5"/>
    <w:uiPriority w:val="9"/>
    <w:semiHidden/>
    <w:rsid w:val="00BF47E0"/>
    <w:rPr>
      <w:rFonts w:cstheme="majorBidi"/>
      <w:color w:val="0F4761" w:themeColor="accent1" w:themeShade="BF"/>
      <w:sz w:val="24"/>
    </w:rPr>
  </w:style>
  <w:style w:type="character" w:customStyle="1" w:styleId="60">
    <w:name w:val="标题 6 字符"/>
    <w:basedOn w:val="a0"/>
    <w:link w:val="6"/>
    <w:uiPriority w:val="9"/>
    <w:semiHidden/>
    <w:rsid w:val="00BF47E0"/>
    <w:rPr>
      <w:rFonts w:cstheme="majorBidi"/>
      <w:b/>
      <w:bCs/>
      <w:color w:val="0F4761" w:themeColor="accent1" w:themeShade="BF"/>
    </w:rPr>
  </w:style>
  <w:style w:type="character" w:customStyle="1" w:styleId="70">
    <w:name w:val="标题 7 字符"/>
    <w:basedOn w:val="a0"/>
    <w:link w:val="7"/>
    <w:uiPriority w:val="9"/>
    <w:semiHidden/>
    <w:rsid w:val="00BF47E0"/>
    <w:rPr>
      <w:rFonts w:cstheme="majorBidi"/>
      <w:b/>
      <w:bCs/>
      <w:color w:val="595959" w:themeColor="text1" w:themeTint="A6"/>
    </w:rPr>
  </w:style>
  <w:style w:type="character" w:customStyle="1" w:styleId="80">
    <w:name w:val="标题 8 字符"/>
    <w:basedOn w:val="a0"/>
    <w:link w:val="8"/>
    <w:uiPriority w:val="9"/>
    <w:semiHidden/>
    <w:rsid w:val="00BF47E0"/>
    <w:rPr>
      <w:rFonts w:cstheme="majorBidi"/>
      <w:color w:val="595959" w:themeColor="text1" w:themeTint="A6"/>
    </w:rPr>
  </w:style>
  <w:style w:type="character" w:customStyle="1" w:styleId="90">
    <w:name w:val="标题 9 字符"/>
    <w:basedOn w:val="a0"/>
    <w:link w:val="9"/>
    <w:uiPriority w:val="9"/>
    <w:semiHidden/>
    <w:rsid w:val="00BF47E0"/>
    <w:rPr>
      <w:rFonts w:eastAsiaTheme="majorEastAsia" w:cstheme="majorBidi"/>
      <w:color w:val="595959" w:themeColor="text1" w:themeTint="A6"/>
    </w:rPr>
  </w:style>
  <w:style w:type="paragraph" w:styleId="a3">
    <w:name w:val="Title"/>
    <w:basedOn w:val="a"/>
    <w:next w:val="a"/>
    <w:link w:val="a4"/>
    <w:uiPriority w:val="10"/>
    <w:qFormat/>
    <w:rsid w:val="00BF47E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F47E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47E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F47E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F47E0"/>
    <w:pPr>
      <w:spacing w:before="160"/>
      <w:jc w:val="center"/>
    </w:pPr>
    <w:rPr>
      <w:i/>
      <w:iCs/>
      <w:color w:val="404040" w:themeColor="text1" w:themeTint="BF"/>
    </w:rPr>
  </w:style>
  <w:style w:type="character" w:customStyle="1" w:styleId="a8">
    <w:name w:val="引用 字符"/>
    <w:basedOn w:val="a0"/>
    <w:link w:val="a7"/>
    <w:uiPriority w:val="29"/>
    <w:rsid w:val="00BF47E0"/>
    <w:rPr>
      <w:i/>
      <w:iCs/>
      <w:color w:val="404040" w:themeColor="text1" w:themeTint="BF"/>
    </w:rPr>
  </w:style>
  <w:style w:type="paragraph" w:styleId="a9">
    <w:name w:val="List Paragraph"/>
    <w:basedOn w:val="a"/>
    <w:uiPriority w:val="34"/>
    <w:qFormat/>
    <w:rsid w:val="00BF47E0"/>
    <w:pPr>
      <w:ind w:left="720"/>
      <w:contextualSpacing/>
    </w:pPr>
  </w:style>
  <w:style w:type="character" w:styleId="aa">
    <w:name w:val="Intense Emphasis"/>
    <w:basedOn w:val="a0"/>
    <w:uiPriority w:val="21"/>
    <w:qFormat/>
    <w:rsid w:val="00BF47E0"/>
    <w:rPr>
      <w:i/>
      <w:iCs/>
      <w:color w:val="0F4761" w:themeColor="accent1" w:themeShade="BF"/>
    </w:rPr>
  </w:style>
  <w:style w:type="paragraph" w:styleId="ab">
    <w:name w:val="Intense Quote"/>
    <w:basedOn w:val="a"/>
    <w:next w:val="a"/>
    <w:link w:val="ac"/>
    <w:uiPriority w:val="30"/>
    <w:qFormat/>
    <w:rsid w:val="00BF47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F47E0"/>
    <w:rPr>
      <w:i/>
      <w:iCs/>
      <w:color w:val="0F4761" w:themeColor="accent1" w:themeShade="BF"/>
    </w:rPr>
  </w:style>
  <w:style w:type="character" w:styleId="ad">
    <w:name w:val="Intense Reference"/>
    <w:basedOn w:val="a0"/>
    <w:uiPriority w:val="32"/>
    <w:qFormat/>
    <w:rsid w:val="00BF47E0"/>
    <w:rPr>
      <w:b/>
      <w:bCs/>
      <w:smallCaps/>
      <w:color w:val="0F4761" w:themeColor="accent1" w:themeShade="BF"/>
      <w:spacing w:val="5"/>
    </w:rPr>
  </w:style>
  <w:style w:type="character" w:styleId="ae">
    <w:name w:val="Hyperlink"/>
    <w:basedOn w:val="a0"/>
    <w:uiPriority w:val="99"/>
    <w:unhideWhenUsed/>
    <w:rsid w:val="00BF47E0"/>
    <w:rPr>
      <w:color w:val="467886" w:themeColor="hyperlink"/>
      <w:u w:val="single"/>
    </w:rPr>
  </w:style>
  <w:style w:type="paragraph" w:styleId="af">
    <w:name w:val="header"/>
    <w:basedOn w:val="a"/>
    <w:link w:val="af0"/>
    <w:uiPriority w:val="99"/>
    <w:unhideWhenUsed/>
    <w:rsid w:val="00390C8D"/>
    <w:pPr>
      <w:tabs>
        <w:tab w:val="center" w:pos="4536"/>
        <w:tab w:val="right" w:pos="9072"/>
      </w:tabs>
      <w:snapToGrid w:val="0"/>
      <w:spacing w:line="240" w:lineRule="auto"/>
      <w:jc w:val="center"/>
    </w:pPr>
    <w:rPr>
      <w:sz w:val="18"/>
      <w:szCs w:val="18"/>
    </w:rPr>
  </w:style>
  <w:style w:type="character" w:customStyle="1" w:styleId="af0">
    <w:name w:val="页眉 字符"/>
    <w:basedOn w:val="a0"/>
    <w:link w:val="af"/>
    <w:uiPriority w:val="99"/>
    <w:rsid w:val="00390C8D"/>
    <w:rPr>
      <w:sz w:val="18"/>
      <w:szCs w:val="18"/>
    </w:rPr>
  </w:style>
  <w:style w:type="paragraph" w:styleId="af1">
    <w:name w:val="footer"/>
    <w:basedOn w:val="a"/>
    <w:link w:val="af2"/>
    <w:uiPriority w:val="99"/>
    <w:unhideWhenUsed/>
    <w:rsid w:val="00390C8D"/>
    <w:pPr>
      <w:tabs>
        <w:tab w:val="center" w:pos="4536"/>
        <w:tab w:val="right" w:pos="9072"/>
      </w:tabs>
      <w:snapToGrid w:val="0"/>
      <w:spacing w:line="240" w:lineRule="auto"/>
    </w:pPr>
    <w:rPr>
      <w:sz w:val="18"/>
      <w:szCs w:val="18"/>
    </w:rPr>
  </w:style>
  <w:style w:type="character" w:customStyle="1" w:styleId="af2">
    <w:name w:val="页脚 字符"/>
    <w:basedOn w:val="a0"/>
    <w:link w:val="af1"/>
    <w:uiPriority w:val="99"/>
    <w:rsid w:val="00390C8D"/>
    <w:rPr>
      <w:sz w:val="18"/>
      <w:szCs w:val="18"/>
    </w:rPr>
  </w:style>
  <w:style w:type="character" w:styleId="af3">
    <w:name w:val="annotation reference"/>
    <w:basedOn w:val="a0"/>
    <w:uiPriority w:val="99"/>
    <w:semiHidden/>
    <w:unhideWhenUsed/>
    <w:rsid w:val="00390C8D"/>
    <w:rPr>
      <w:sz w:val="21"/>
      <w:szCs w:val="21"/>
    </w:rPr>
  </w:style>
  <w:style w:type="paragraph" w:styleId="af4">
    <w:name w:val="annotation text"/>
    <w:basedOn w:val="a"/>
    <w:link w:val="af5"/>
    <w:uiPriority w:val="99"/>
    <w:unhideWhenUsed/>
    <w:rsid w:val="00390C8D"/>
  </w:style>
  <w:style w:type="character" w:customStyle="1" w:styleId="af5">
    <w:name w:val="批注文字 字符"/>
    <w:basedOn w:val="a0"/>
    <w:link w:val="af4"/>
    <w:uiPriority w:val="99"/>
    <w:rsid w:val="00390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56823">
      <w:bodyDiv w:val="1"/>
      <w:marLeft w:val="0"/>
      <w:marRight w:val="0"/>
      <w:marTop w:val="0"/>
      <w:marBottom w:val="0"/>
      <w:divBdr>
        <w:top w:val="none" w:sz="0" w:space="0" w:color="auto"/>
        <w:left w:val="none" w:sz="0" w:space="0" w:color="auto"/>
        <w:bottom w:val="none" w:sz="0" w:space="0" w:color="auto"/>
        <w:right w:val="none" w:sz="0" w:space="0" w:color="auto"/>
      </w:divBdr>
      <w:divsChild>
        <w:div w:id="101999429">
          <w:marLeft w:val="0"/>
          <w:marRight w:val="0"/>
          <w:marTop w:val="0"/>
          <w:marBottom w:val="0"/>
          <w:divBdr>
            <w:top w:val="none" w:sz="0" w:space="0" w:color="auto"/>
            <w:left w:val="none" w:sz="0" w:space="0" w:color="auto"/>
            <w:bottom w:val="none" w:sz="0" w:space="0" w:color="auto"/>
            <w:right w:val="none" w:sz="0" w:space="0" w:color="auto"/>
          </w:divBdr>
        </w:div>
      </w:divsChild>
    </w:div>
    <w:div w:id="156044036">
      <w:bodyDiv w:val="1"/>
      <w:marLeft w:val="0"/>
      <w:marRight w:val="0"/>
      <w:marTop w:val="0"/>
      <w:marBottom w:val="0"/>
      <w:divBdr>
        <w:top w:val="none" w:sz="0" w:space="0" w:color="auto"/>
        <w:left w:val="none" w:sz="0" w:space="0" w:color="auto"/>
        <w:bottom w:val="none" w:sz="0" w:space="0" w:color="auto"/>
        <w:right w:val="none" w:sz="0" w:space="0" w:color="auto"/>
      </w:divBdr>
      <w:divsChild>
        <w:div w:id="235240084">
          <w:marLeft w:val="0"/>
          <w:marRight w:val="0"/>
          <w:marTop w:val="0"/>
          <w:marBottom w:val="0"/>
          <w:divBdr>
            <w:top w:val="none" w:sz="0" w:space="0" w:color="auto"/>
            <w:left w:val="none" w:sz="0" w:space="0" w:color="auto"/>
            <w:bottom w:val="none" w:sz="0" w:space="0" w:color="auto"/>
            <w:right w:val="none" w:sz="0" w:space="0" w:color="auto"/>
          </w:divBdr>
        </w:div>
        <w:div w:id="778065606">
          <w:marLeft w:val="0"/>
          <w:marRight w:val="0"/>
          <w:marTop w:val="0"/>
          <w:marBottom w:val="0"/>
          <w:divBdr>
            <w:top w:val="none" w:sz="0" w:space="0" w:color="auto"/>
            <w:left w:val="none" w:sz="0" w:space="0" w:color="auto"/>
            <w:bottom w:val="none" w:sz="0" w:space="0" w:color="auto"/>
            <w:right w:val="none" w:sz="0" w:space="0" w:color="auto"/>
          </w:divBdr>
        </w:div>
        <w:div w:id="477454568">
          <w:marLeft w:val="0"/>
          <w:marRight w:val="0"/>
          <w:marTop w:val="0"/>
          <w:marBottom w:val="0"/>
          <w:divBdr>
            <w:top w:val="none" w:sz="0" w:space="0" w:color="auto"/>
            <w:left w:val="none" w:sz="0" w:space="0" w:color="auto"/>
            <w:bottom w:val="none" w:sz="0" w:space="0" w:color="auto"/>
            <w:right w:val="none" w:sz="0" w:space="0" w:color="auto"/>
          </w:divBdr>
        </w:div>
        <w:div w:id="1529290395">
          <w:marLeft w:val="0"/>
          <w:marRight w:val="0"/>
          <w:marTop w:val="0"/>
          <w:marBottom w:val="0"/>
          <w:divBdr>
            <w:top w:val="none" w:sz="0" w:space="0" w:color="auto"/>
            <w:left w:val="none" w:sz="0" w:space="0" w:color="auto"/>
            <w:bottom w:val="none" w:sz="0" w:space="0" w:color="auto"/>
            <w:right w:val="none" w:sz="0" w:space="0" w:color="auto"/>
          </w:divBdr>
        </w:div>
        <w:div w:id="784881646">
          <w:marLeft w:val="0"/>
          <w:marRight w:val="0"/>
          <w:marTop w:val="0"/>
          <w:marBottom w:val="0"/>
          <w:divBdr>
            <w:top w:val="none" w:sz="0" w:space="0" w:color="auto"/>
            <w:left w:val="none" w:sz="0" w:space="0" w:color="auto"/>
            <w:bottom w:val="none" w:sz="0" w:space="0" w:color="auto"/>
            <w:right w:val="none" w:sz="0" w:space="0" w:color="auto"/>
          </w:divBdr>
        </w:div>
      </w:divsChild>
    </w:div>
    <w:div w:id="514006357">
      <w:bodyDiv w:val="1"/>
      <w:marLeft w:val="0"/>
      <w:marRight w:val="0"/>
      <w:marTop w:val="0"/>
      <w:marBottom w:val="0"/>
      <w:divBdr>
        <w:top w:val="none" w:sz="0" w:space="0" w:color="auto"/>
        <w:left w:val="none" w:sz="0" w:space="0" w:color="auto"/>
        <w:bottom w:val="none" w:sz="0" w:space="0" w:color="auto"/>
        <w:right w:val="none" w:sz="0" w:space="0" w:color="auto"/>
      </w:divBdr>
      <w:divsChild>
        <w:div w:id="1119103524">
          <w:marLeft w:val="0"/>
          <w:marRight w:val="0"/>
          <w:marTop w:val="0"/>
          <w:marBottom w:val="0"/>
          <w:divBdr>
            <w:top w:val="none" w:sz="0" w:space="0" w:color="auto"/>
            <w:left w:val="none" w:sz="0" w:space="0" w:color="auto"/>
            <w:bottom w:val="none" w:sz="0" w:space="0" w:color="auto"/>
            <w:right w:val="none" w:sz="0" w:space="0" w:color="auto"/>
          </w:divBdr>
        </w:div>
        <w:div w:id="1306230680">
          <w:marLeft w:val="0"/>
          <w:marRight w:val="0"/>
          <w:marTop w:val="0"/>
          <w:marBottom w:val="0"/>
          <w:divBdr>
            <w:top w:val="none" w:sz="0" w:space="0" w:color="auto"/>
            <w:left w:val="none" w:sz="0" w:space="0" w:color="auto"/>
            <w:bottom w:val="none" w:sz="0" w:space="0" w:color="auto"/>
            <w:right w:val="none" w:sz="0" w:space="0" w:color="auto"/>
          </w:divBdr>
        </w:div>
        <w:div w:id="574819662">
          <w:marLeft w:val="0"/>
          <w:marRight w:val="0"/>
          <w:marTop w:val="0"/>
          <w:marBottom w:val="0"/>
          <w:divBdr>
            <w:top w:val="none" w:sz="0" w:space="0" w:color="auto"/>
            <w:left w:val="none" w:sz="0" w:space="0" w:color="auto"/>
            <w:bottom w:val="none" w:sz="0" w:space="0" w:color="auto"/>
            <w:right w:val="none" w:sz="0" w:space="0" w:color="auto"/>
          </w:divBdr>
        </w:div>
        <w:div w:id="1673989619">
          <w:marLeft w:val="0"/>
          <w:marRight w:val="0"/>
          <w:marTop w:val="0"/>
          <w:marBottom w:val="0"/>
          <w:divBdr>
            <w:top w:val="none" w:sz="0" w:space="0" w:color="auto"/>
            <w:left w:val="none" w:sz="0" w:space="0" w:color="auto"/>
            <w:bottom w:val="none" w:sz="0" w:space="0" w:color="auto"/>
            <w:right w:val="none" w:sz="0" w:space="0" w:color="auto"/>
          </w:divBdr>
        </w:div>
        <w:div w:id="1029526446">
          <w:marLeft w:val="0"/>
          <w:marRight w:val="0"/>
          <w:marTop w:val="0"/>
          <w:marBottom w:val="0"/>
          <w:divBdr>
            <w:top w:val="none" w:sz="0" w:space="0" w:color="auto"/>
            <w:left w:val="none" w:sz="0" w:space="0" w:color="auto"/>
            <w:bottom w:val="none" w:sz="0" w:space="0" w:color="auto"/>
            <w:right w:val="none" w:sz="0" w:space="0" w:color="auto"/>
          </w:divBdr>
        </w:div>
      </w:divsChild>
    </w:div>
    <w:div w:id="1049260411">
      <w:bodyDiv w:val="1"/>
      <w:marLeft w:val="0"/>
      <w:marRight w:val="0"/>
      <w:marTop w:val="0"/>
      <w:marBottom w:val="0"/>
      <w:divBdr>
        <w:top w:val="none" w:sz="0" w:space="0" w:color="auto"/>
        <w:left w:val="none" w:sz="0" w:space="0" w:color="auto"/>
        <w:bottom w:val="none" w:sz="0" w:space="0" w:color="auto"/>
        <w:right w:val="none" w:sz="0" w:space="0" w:color="auto"/>
      </w:divBdr>
      <w:divsChild>
        <w:div w:id="19186365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15/iral.2009.007" TargetMode="External"/><Relationship Id="rId13" Type="http://schemas.openxmlformats.org/officeDocument/2006/relationships/hyperlink" Target="https://doi.org/10.1515/iral-2014-0011" TargetMode="External"/><Relationship Id="rId18" Type="http://schemas.openxmlformats.org/officeDocument/2006/relationships/hyperlink" Target="https://doi.org/10.1515/iral-2021-0080" TargetMode="External"/><Relationship Id="rId3" Type="http://schemas.openxmlformats.org/officeDocument/2006/relationships/webSettings" Target="webSettings.xml"/><Relationship Id="rId7" Type="http://schemas.openxmlformats.org/officeDocument/2006/relationships/hyperlink" Target="https://doi.org/10.1016/j.jslw.2014.09.004" TargetMode="External"/><Relationship Id="rId12" Type="http://schemas.openxmlformats.org/officeDocument/2006/relationships/hyperlink" Target="https://doi.org/10.1515/iral-2017-0089" TargetMode="External"/><Relationship Id="rId17" Type="http://schemas.openxmlformats.org/officeDocument/2006/relationships/hyperlink" Target="https://doi.org/10.1177/00238309211013865" TargetMode="External"/><Relationship Id="rId2" Type="http://schemas.openxmlformats.org/officeDocument/2006/relationships/settings" Target="settings.xml"/><Relationship Id="rId16" Type="http://schemas.openxmlformats.org/officeDocument/2006/relationships/hyperlink" Target="https://doi.org/10.1075/scl.104.05paq"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i.org/10.1016/j.system.2017.08.004" TargetMode="External"/><Relationship Id="rId11" Type="http://schemas.openxmlformats.org/officeDocument/2006/relationships/hyperlink" Target="https://doi.org/10.1016/j.system.2018.12.001" TargetMode="External"/><Relationship Id="rId5" Type="http://schemas.openxmlformats.org/officeDocument/2006/relationships/endnotes" Target="endnotes.xml"/><Relationship Id="rId15" Type="http://schemas.openxmlformats.org/officeDocument/2006/relationships/hyperlink" Target="https://doi.org/10.1017/S0267190512000098" TargetMode="External"/><Relationship Id="rId10" Type="http://schemas.openxmlformats.org/officeDocument/2006/relationships/hyperlink" Target="https://psycnet.apa.org/doi/10.1111/lang.12225"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i.org/10.1002/j.1545-7249.2008.tb00137.x" TargetMode="External"/><Relationship Id="rId14" Type="http://schemas.openxmlformats.org/officeDocument/2006/relationships/hyperlink" Target="https://doi.org/10.1177/026765831769422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1109</Words>
  <Characters>6945</Characters>
  <Application>Microsoft Office Word</Application>
  <DocSecurity>0</DocSecurity>
  <Lines>103</Lines>
  <Paragraphs>20</Paragraphs>
  <ScaleCrop>false</ScaleCrop>
  <Company/>
  <LinksUpToDate>false</LinksUpToDate>
  <CharactersWithSpaces>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Tingting Wang</dc:creator>
  <cp:keywords/>
  <dc:description/>
  <cp:lastModifiedBy>Tingting Wang</cp:lastModifiedBy>
  <cp:revision>10</cp:revision>
  <dcterms:created xsi:type="dcterms:W3CDTF">2025-02-06T08:39:00Z</dcterms:created>
  <dcterms:modified xsi:type="dcterms:W3CDTF">2025-05-28T05:57:00Z</dcterms:modified>
</cp:coreProperties>
</file>