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B60134" w14:textId="4519632C" w:rsidR="00895EF6" w:rsidRDefault="00895EF6" w:rsidP="00531E3D">
      <w:pPr>
        <w:pStyle w:val="Titre1"/>
        <w:rPr>
          <w:lang w:val="fr-FR"/>
        </w:rPr>
      </w:pPr>
      <w:bookmarkStart w:id="0" w:name="_Toc5698741"/>
      <w:r w:rsidRPr="00895EF6">
        <w:rPr>
          <w:lang w:val="fr-FR"/>
        </w:rPr>
        <w:t xml:space="preserve">Midis du CIRC 5/4/19 et du CRECO 10/5/19 : Le droit </w:t>
      </w:r>
      <w:r w:rsidR="007E6913">
        <w:rPr>
          <w:lang w:val="fr-FR"/>
        </w:rPr>
        <w:t xml:space="preserve">de participation à la vie </w:t>
      </w:r>
      <w:r w:rsidRPr="00895EF6">
        <w:rPr>
          <w:lang w:val="fr-FR"/>
        </w:rPr>
        <w:t>culture</w:t>
      </w:r>
      <w:r w:rsidR="007E6913">
        <w:rPr>
          <w:lang w:val="fr-FR"/>
        </w:rPr>
        <w:t>lle</w:t>
      </w:r>
      <w:r w:rsidRPr="00895EF6">
        <w:rPr>
          <w:lang w:val="fr-FR"/>
        </w:rPr>
        <w:t xml:space="preserve"> des personnes sourdes.</w:t>
      </w:r>
      <w:bookmarkEnd w:id="0"/>
      <w:r w:rsidRPr="00895EF6">
        <w:rPr>
          <w:lang w:val="fr-FR"/>
        </w:rPr>
        <w:t xml:space="preserve"> </w:t>
      </w:r>
      <w:bookmarkStart w:id="1" w:name="_GoBack"/>
      <w:bookmarkEnd w:id="1"/>
    </w:p>
    <w:p w14:paraId="2C591450" w14:textId="77777777" w:rsidR="002F595C" w:rsidRDefault="002F595C" w:rsidP="002F595C">
      <w:pPr>
        <w:rPr>
          <w:lang w:val="fr-FR"/>
        </w:rPr>
      </w:pPr>
    </w:p>
    <w:sdt>
      <w:sdtPr>
        <w:rPr>
          <w:rFonts w:asciiTheme="minorHAnsi" w:eastAsiaTheme="minorHAnsi" w:hAnsiTheme="minorHAnsi" w:cstheme="minorBidi"/>
          <w:b w:val="0"/>
          <w:bCs w:val="0"/>
          <w:color w:val="auto"/>
          <w:sz w:val="24"/>
          <w:szCs w:val="24"/>
          <w:lang w:val="fr-FR" w:eastAsia="en-US"/>
        </w:rPr>
        <w:id w:val="-660925852"/>
        <w:docPartObj>
          <w:docPartGallery w:val="Table of Contents"/>
          <w:docPartUnique/>
        </w:docPartObj>
      </w:sdtPr>
      <w:sdtEndPr>
        <w:rPr>
          <w:noProof/>
          <w:lang w:val="fr-BE"/>
        </w:rPr>
      </w:sdtEndPr>
      <w:sdtContent>
        <w:p w14:paraId="706D1488" w14:textId="77777777" w:rsidR="002F595C" w:rsidRDefault="002F595C">
          <w:pPr>
            <w:pStyle w:val="En-ttedetabledesmatires"/>
          </w:pPr>
          <w:r>
            <w:rPr>
              <w:lang w:val="fr-FR"/>
            </w:rPr>
            <w:t>Table des matières</w:t>
          </w:r>
        </w:p>
        <w:p w14:paraId="4D14199E" w14:textId="68EF3E71" w:rsidR="00E63283" w:rsidRDefault="002F595C">
          <w:pPr>
            <w:pStyle w:val="TM1"/>
            <w:tabs>
              <w:tab w:val="right" w:leader="dot" w:pos="9056"/>
            </w:tabs>
            <w:rPr>
              <w:rFonts w:eastAsiaTheme="minorEastAsia" w:cstheme="minorBidi"/>
              <w:b w:val="0"/>
              <w:bCs w:val="0"/>
              <w:i w:val="0"/>
              <w:iCs w:val="0"/>
              <w:noProof/>
              <w:lang w:eastAsia="fr-FR"/>
            </w:rPr>
          </w:pPr>
          <w:r>
            <w:rPr>
              <w:b w:val="0"/>
              <w:bCs w:val="0"/>
            </w:rPr>
            <w:fldChar w:fldCharType="begin"/>
          </w:r>
          <w:r>
            <w:instrText>TOC \o "1-3" \h \z \u</w:instrText>
          </w:r>
          <w:r>
            <w:rPr>
              <w:b w:val="0"/>
              <w:bCs w:val="0"/>
            </w:rPr>
            <w:fldChar w:fldCharType="separate"/>
          </w:r>
          <w:hyperlink w:anchor="_Toc5698741" w:history="1">
            <w:r w:rsidR="00E63283" w:rsidRPr="00F158AC">
              <w:rPr>
                <w:rStyle w:val="Lienhypertexte"/>
                <w:noProof/>
                <w:lang w:val="fr-FR"/>
              </w:rPr>
              <w:t>Midis du CIRC 5/4/19 et du CRECO 10/5/19 : Le droit de participation à la vie culturelle des personnes sourdes.</w:t>
            </w:r>
            <w:r w:rsidR="00E63283">
              <w:rPr>
                <w:noProof/>
                <w:webHidden/>
              </w:rPr>
              <w:tab/>
            </w:r>
            <w:r w:rsidR="00E63283">
              <w:rPr>
                <w:noProof/>
                <w:webHidden/>
              </w:rPr>
              <w:fldChar w:fldCharType="begin"/>
            </w:r>
            <w:r w:rsidR="00E63283">
              <w:rPr>
                <w:noProof/>
                <w:webHidden/>
              </w:rPr>
              <w:instrText xml:space="preserve"> PAGEREF _Toc5698741 \h </w:instrText>
            </w:r>
            <w:r w:rsidR="00E63283">
              <w:rPr>
                <w:noProof/>
                <w:webHidden/>
              </w:rPr>
            </w:r>
            <w:r w:rsidR="00E63283">
              <w:rPr>
                <w:noProof/>
                <w:webHidden/>
              </w:rPr>
              <w:fldChar w:fldCharType="separate"/>
            </w:r>
            <w:r w:rsidR="00E63283">
              <w:rPr>
                <w:noProof/>
                <w:webHidden/>
              </w:rPr>
              <w:t>1</w:t>
            </w:r>
            <w:r w:rsidR="00E63283">
              <w:rPr>
                <w:noProof/>
                <w:webHidden/>
              </w:rPr>
              <w:fldChar w:fldCharType="end"/>
            </w:r>
          </w:hyperlink>
        </w:p>
        <w:p w14:paraId="1727A143" w14:textId="5634E93C" w:rsidR="00E63283" w:rsidRDefault="00E63283">
          <w:pPr>
            <w:pStyle w:val="TM1"/>
            <w:tabs>
              <w:tab w:val="left" w:pos="480"/>
              <w:tab w:val="right" w:leader="dot" w:pos="9056"/>
            </w:tabs>
            <w:rPr>
              <w:rFonts w:eastAsiaTheme="minorEastAsia" w:cstheme="minorBidi"/>
              <w:b w:val="0"/>
              <w:bCs w:val="0"/>
              <w:i w:val="0"/>
              <w:iCs w:val="0"/>
              <w:noProof/>
              <w:lang w:eastAsia="fr-FR"/>
            </w:rPr>
          </w:pPr>
          <w:hyperlink w:anchor="_Toc5698742" w:history="1">
            <w:r w:rsidRPr="00F158AC">
              <w:rPr>
                <w:rStyle w:val="Lienhypertexte"/>
                <w:noProof/>
                <w:lang w:val="fr-FR"/>
              </w:rPr>
              <w:t>I)</w:t>
            </w:r>
            <w:r>
              <w:rPr>
                <w:rFonts w:eastAsiaTheme="minorEastAsia" w:cstheme="minorBidi"/>
                <w:b w:val="0"/>
                <w:bCs w:val="0"/>
                <w:i w:val="0"/>
                <w:iCs w:val="0"/>
                <w:noProof/>
                <w:lang w:eastAsia="fr-FR"/>
              </w:rPr>
              <w:tab/>
            </w:r>
            <w:r w:rsidRPr="00F158AC">
              <w:rPr>
                <w:rStyle w:val="Lienhypertexte"/>
                <w:noProof/>
                <w:lang w:val="fr-FR"/>
              </w:rPr>
              <w:t>Le projet de thèse.</w:t>
            </w:r>
            <w:r>
              <w:rPr>
                <w:noProof/>
                <w:webHidden/>
              </w:rPr>
              <w:tab/>
            </w:r>
            <w:r>
              <w:rPr>
                <w:noProof/>
                <w:webHidden/>
              </w:rPr>
              <w:fldChar w:fldCharType="begin"/>
            </w:r>
            <w:r>
              <w:rPr>
                <w:noProof/>
                <w:webHidden/>
              </w:rPr>
              <w:instrText xml:space="preserve"> PAGEREF _Toc5698742 \h </w:instrText>
            </w:r>
            <w:r>
              <w:rPr>
                <w:noProof/>
                <w:webHidden/>
              </w:rPr>
            </w:r>
            <w:r>
              <w:rPr>
                <w:noProof/>
                <w:webHidden/>
              </w:rPr>
              <w:fldChar w:fldCharType="separate"/>
            </w:r>
            <w:r>
              <w:rPr>
                <w:noProof/>
                <w:webHidden/>
              </w:rPr>
              <w:t>2</w:t>
            </w:r>
            <w:r>
              <w:rPr>
                <w:noProof/>
                <w:webHidden/>
              </w:rPr>
              <w:fldChar w:fldCharType="end"/>
            </w:r>
          </w:hyperlink>
        </w:p>
        <w:p w14:paraId="6662392A" w14:textId="01A2A584" w:rsidR="00E63283" w:rsidRDefault="00E63283">
          <w:pPr>
            <w:pStyle w:val="TM1"/>
            <w:tabs>
              <w:tab w:val="left" w:pos="480"/>
              <w:tab w:val="right" w:leader="dot" w:pos="9056"/>
            </w:tabs>
            <w:rPr>
              <w:rFonts w:eastAsiaTheme="minorEastAsia" w:cstheme="minorBidi"/>
              <w:b w:val="0"/>
              <w:bCs w:val="0"/>
              <w:i w:val="0"/>
              <w:iCs w:val="0"/>
              <w:noProof/>
              <w:lang w:eastAsia="fr-FR"/>
            </w:rPr>
          </w:pPr>
          <w:hyperlink w:anchor="_Toc5698743" w:history="1">
            <w:r w:rsidRPr="00F158AC">
              <w:rPr>
                <w:rStyle w:val="Lienhypertexte"/>
                <w:noProof/>
                <w:lang w:val="fr-FR"/>
              </w:rPr>
              <w:t>I)</w:t>
            </w:r>
            <w:r>
              <w:rPr>
                <w:rFonts w:eastAsiaTheme="minorEastAsia" w:cstheme="minorBidi"/>
                <w:b w:val="0"/>
                <w:bCs w:val="0"/>
                <w:i w:val="0"/>
                <w:iCs w:val="0"/>
                <w:noProof/>
                <w:lang w:eastAsia="fr-FR"/>
              </w:rPr>
              <w:tab/>
            </w:r>
            <w:r w:rsidRPr="00F158AC">
              <w:rPr>
                <w:rStyle w:val="Lienhypertexte"/>
                <w:noProof/>
                <w:lang w:val="fr-FR"/>
              </w:rPr>
              <w:t>Les personnes sourdes.</w:t>
            </w:r>
            <w:r>
              <w:rPr>
                <w:noProof/>
                <w:webHidden/>
              </w:rPr>
              <w:tab/>
            </w:r>
            <w:r>
              <w:rPr>
                <w:noProof/>
                <w:webHidden/>
              </w:rPr>
              <w:fldChar w:fldCharType="begin"/>
            </w:r>
            <w:r>
              <w:rPr>
                <w:noProof/>
                <w:webHidden/>
              </w:rPr>
              <w:instrText xml:space="preserve"> PAGEREF _Toc5698743 \h </w:instrText>
            </w:r>
            <w:r>
              <w:rPr>
                <w:noProof/>
                <w:webHidden/>
              </w:rPr>
            </w:r>
            <w:r>
              <w:rPr>
                <w:noProof/>
                <w:webHidden/>
              </w:rPr>
              <w:fldChar w:fldCharType="separate"/>
            </w:r>
            <w:r>
              <w:rPr>
                <w:noProof/>
                <w:webHidden/>
              </w:rPr>
              <w:t>2</w:t>
            </w:r>
            <w:r>
              <w:rPr>
                <w:noProof/>
                <w:webHidden/>
              </w:rPr>
              <w:fldChar w:fldCharType="end"/>
            </w:r>
          </w:hyperlink>
        </w:p>
        <w:p w14:paraId="6137F871" w14:textId="774C3763"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44" w:history="1">
            <w:r w:rsidRPr="00F158AC">
              <w:rPr>
                <w:rStyle w:val="Lienhypertexte"/>
                <w:noProof/>
                <w:lang w:val="fr-FR"/>
              </w:rPr>
              <w:t>A.</w:t>
            </w:r>
            <w:r>
              <w:rPr>
                <w:rFonts w:eastAsiaTheme="minorEastAsia" w:cstheme="minorBidi"/>
                <w:b w:val="0"/>
                <w:bCs w:val="0"/>
                <w:noProof/>
                <w:sz w:val="24"/>
                <w:szCs w:val="24"/>
                <w:lang w:eastAsia="fr-FR"/>
              </w:rPr>
              <w:tab/>
            </w:r>
            <w:r w:rsidRPr="00F158AC">
              <w:rPr>
                <w:rStyle w:val="Lienhypertexte"/>
                <w:noProof/>
                <w:lang w:val="fr-FR"/>
              </w:rPr>
              <w:t>Le modèle médical.</w:t>
            </w:r>
            <w:r>
              <w:rPr>
                <w:noProof/>
                <w:webHidden/>
              </w:rPr>
              <w:tab/>
            </w:r>
            <w:r>
              <w:rPr>
                <w:noProof/>
                <w:webHidden/>
              </w:rPr>
              <w:fldChar w:fldCharType="begin"/>
            </w:r>
            <w:r>
              <w:rPr>
                <w:noProof/>
                <w:webHidden/>
              </w:rPr>
              <w:instrText xml:space="preserve"> PAGEREF _Toc5698744 \h </w:instrText>
            </w:r>
            <w:r>
              <w:rPr>
                <w:noProof/>
                <w:webHidden/>
              </w:rPr>
            </w:r>
            <w:r>
              <w:rPr>
                <w:noProof/>
                <w:webHidden/>
              </w:rPr>
              <w:fldChar w:fldCharType="separate"/>
            </w:r>
            <w:r>
              <w:rPr>
                <w:noProof/>
                <w:webHidden/>
              </w:rPr>
              <w:t>3</w:t>
            </w:r>
            <w:r>
              <w:rPr>
                <w:noProof/>
                <w:webHidden/>
              </w:rPr>
              <w:fldChar w:fldCharType="end"/>
            </w:r>
          </w:hyperlink>
        </w:p>
        <w:p w14:paraId="3B42EE61" w14:textId="71705E3F"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45" w:history="1">
            <w:r w:rsidRPr="00F158AC">
              <w:rPr>
                <w:rStyle w:val="Lienhypertexte"/>
                <w:noProof/>
                <w:lang w:val="fr-FR"/>
              </w:rPr>
              <w:t>B.</w:t>
            </w:r>
            <w:r>
              <w:rPr>
                <w:rFonts w:eastAsiaTheme="minorEastAsia" w:cstheme="minorBidi"/>
                <w:b w:val="0"/>
                <w:bCs w:val="0"/>
                <w:noProof/>
                <w:sz w:val="24"/>
                <w:szCs w:val="24"/>
                <w:lang w:eastAsia="fr-FR"/>
              </w:rPr>
              <w:tab/>
            </w:r>
            <w:r w:rsidRPr="00F158AC">
              <w:rPr>
                <w:rStyle w:val="Lienhypertexte"/>
                <w:noProof/>
                <w:lang w:val="fr-FR"/>
              </w:rPr>
              <w:t>Le modèle social.</w:t>
            </w:r>
            <w:r>
              <w:rPr>
                <w:noProof/>
                <w:webHidden/>
              </w:rPr>
              <w:tab/>
            </w:r>
            <w:r>
              <w:rPr>
                <w:noProof/>
                <w:webHidden/>
              </w:rPr>
              <w:fldChar w:fldCharType="begin"/>
            </w:r>
            <w:r>
              <w:rPr>
                <w:noProof/>
                <w:webHidden/>
              </w:rPr>
              <w:instrText xml:space="preserve"> PAGEREF _Toc5698745 \h </w:instrText>
            </w:r>
            <w:r>
              <w:rPr>
                <w:noProof/>
                <w:webHidden/>
              </w:rPr>
            </w:r>
            <w:r>
              <w:rPr>
                <w:noProof/>
                <w:webHidden/>
              </w:rPr>
              <w:fldChar w:fldCharType="separate"/>
            </w:r>
            <w:r>
              <w:rPr>
                <w:noProof/>
                <w:webHidden/>
              </w:rPr>
              <w:t>4</w:t>
            </w:r>
            <w:r>
              <w:rPr>
                <w:noProof/>
                <w:webHidden/>
              </w:rPr>
              <w:fldChar w:fldCharType="end"/>
            </w:r>
          </w:hyperlink>
        </w:p>
        <w:p w14:paraId="11BFC539" w14:textId="72EB737B"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46" w:history="1">
            <w:r w:rsidRPr="00F158AC">
              <w:rPr>
                <w:rStyle w:val="Lienhypertexte"/>
                <w:noProof/>
                <w:lang w:val="fr-FR"/>
              </w:rPr>
              <w:t>C.</w:t>
            </w:r>
            <w:r>
              <w:rPr>
                <w:rFonts w:eastAsiaTheme="minorEastAsia" w:cstheme="minorBidi"/>
                <w:b w:val="0"/>
                <w:bCs w:val="0"/>
                <w:noProof/>
                <w:sz w:val="24"/>
                <w:szCs w:val="24"/>
                <w:lang w:eastAsia="fr-FR"/>
              </w:rPr>
              <w:tab/>
            </w:r>
            <w:r w:rsidRPr="00F158AC">
              <w:rPr>
                <w:rStyle w:val="Lienhypertexte"/>
                <w:noProof/>
                <w:lang w:val="fr-FR"/>
              </w:rPr>
              <w:t>Le modèle de la CDPH.</w:t>
            </w:r>
            <w:r>
              <w:rPr>
                <w:noProof/>
                <w:webHidden/>
              </w:rPr>
              <w:tab/>
            </w:r>
            <w:r>
              <w:rPr>
                <w:noProof/>
                <w:webHidden/>
              </w:rPr>
              <w:fldChar w:fldCharType="begin"/>
            </w:r>
            <w:r>
              <w:rPr>
                <w:noProof/>
                <w:webHidden/>
              </w:rPr>
              <w:instrText xml:space="preserve"> PAGEREF _Toc5698746 \h </w:instrText>
            </w:r>
            <w:r>
              <w:rPr>
                <w:noProof/>
                <w:webHidden/>
              </w:rPr>
            </w:r>
            <w:r>
              <w:rPr>
                <w:noProof/>
                <w:webHidden/>
              </w:rPr>
              <w:fldChar w:fldCharType="separate"/>
            </w:r>
            <w:r>
              <w:rPr>
                <w:noProof/>
                <w:webHidden/>
              </w:rPr>
              <w:t>6</w:t>
            </w:r>
            <w:r>
              <w:rPr>
                <w:noProof/>
                <w:webHidden/>
              </w:rPr>
              <w:fldChar w:fldCharType="end"/>
            </w:r>
          </w:hyperlink>
        </w:p>
        <w:p w14:paraId="04FDE836" w14:textId="0ED51A1E" w:rsidR="00E63283" w:rsidRDefault="00E63283">
          <w:pPr>
            <w:pStyle w:val="TM1"/>
            <w:tabs>
              <w:tab w:val="left" w:pos="480"/>
              <w:tab w:val="right" w:leader="dot" w:pos="9056"/>
            </w:tabs>
            <w:rPr>
              <w:rFonts w:eastAsiaTheme="minorEastAsia" w:cstheme="minorBidi"/>
              <w:b w:val="0"/>
              <w:bCs w:val="0"/>
              <w:i w:val="0"/>
              <w:iCs w:val="0"/>
              <w:noProof/>
              <w:lang w:eastAsia="fr-FR"/>
            </w:rPr>
          </w:pPr>
          <w:hyperlink w:anchor="_Toc5698747" w:history="1">
            <w:r w:rsidRPr="00F158AC">
              <w:rPr>
                <w:rStyle w:val="Lienhypertexte"/>
                <w:noProof/>
                <w:lang w:val="fr-FR"/>
              </w:rPr>
              <w:t>II)</w:t>
            </w:r>
            <w:r>
              <w:rPr>
                <w:rFonts w:eastAsiaTheme="minorEastAsia" w:cstheme="minorBidi"/>
                <w:b w:val="0"/>
                <w:bCs w:val="0"/>
                <w:i w:val="0"/>
                <w:iCs w:val="0"/>
                <w:noProof/>
                <w:lang w:eastAsia="fr-FR"/>
              </w:rPr>
              <w:tab/>
            </w:r>
            <w:r w:rsidRPr="00F158AC">
              <w:rPr>
                <w:rStyle w:val="Lienhypertexte"/>
                <w:noProof/>
                <w:lang w:val="fr-FR"/>
              </w:rPr>
              <w:t>Le droit de participation à la vie culturelle.</w:t>
            </w:r>
            <w:r>
              <w:rPr>
                <w:noProof/>
                <w:webHidden/>
              </w:rPr>
              <w:tab/>
            </w:r>
            <w:r>
              <w:rPr>
                <w:noProof/>
                <w:webHidden/>
              </w:rPr>
              <w:fldChar w:fldCharType="begin"/>
            </w:r>
            <w:r>
              <w:rPr>
                <w:noProof/>
                <w:webHidden/>
              </w:rPr>
              <w:instrText xml:space="preserve"> PAGEREF _Toc5698747 \h </w:instrText>
            </w:r>
            <w:r>
              <w:rPr>
                <w:noProof/>
                <w:webHidden/>
              </w:rPr>
            </w:r>
            <w:r>
              <w:rPr>
                <w:noProof/>
                <w:webHidden/>
              </w:rPr>
              <w:fldChar w:fldCharType="separate"/>
            </w:r>
            <w:r>
              <w:rPr>
                <w:noProof/>
                <w:webHidden/>
              </w:rPr>
              <w:t>7</w:t>
            </w:r>
            <w:r>
              <w:rPr>
                <w:noProof/>
                <w:webHidden/>
              </w:rPr>
              <w:fldChar w:fldCharType="end"/>
            </w:r>
          </w:hyperlink>
        </w:p>
        <w:p w14:paraId="1BC2248E" w14:textId="73458FFC"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48" w:history="1">
            <w:r w:rsidRPr="00F158AC">
              <w:rPr>
                <w:rStyle w:val="Lienhypertexte"/>
                <w:noProof/>
                <w:lang w:val="fr-FR"/>
              </w:rPr>
              <w:t>A.</w:t>
            </w:r>
            <w:r>
              <w:rPr>
                <w:rFonts w:eastAsiaTheme="minorEastAsia" w:cstheme="minorBidi"/>
                <w:b w:val="0"/>
                <w:bCs w:val="0"/>
                <w:noProof/>
                <w:sz w:val="24"/>
                <w:szCs w:val="24"/>
                <w:lang w:eastAsia="fr-FR"/>
              </w:rPr>
              <w:tab/>
            </w:r>
            <w:r w:rsidRPr="00F158AC">
              <w:rPr>
                <w:rStyle w:val="Lienhypertexte"/>
                <w:noProof/>
                <w:lang w:val="fr-FR"/>
              </w:rPr>
              <w:t>Les sources.</w:t>
            </w:r>
            <w:r>
              <w:rPr>
                <w:noProof/>
                <w:webHidden/>
              </w:rPr>
              <w:tab/>
            </w:r>
            <w:r>
              <w:rPr>
                <w:noProof/>
                <w:webHidden/>
              </w:rPr>
              <w:fldChar w:fldCharType="begin"/>
            </w:r>
            <w:r>
              <w:rPr>
                <w:noProof/>
                <w:webHidden/>
              </w:rPr>
              <w:instrText xml:space="preserve"> PAGEREF _Toc5698748 \h </w:instrText>
            </w:r>
            <w:r>
              <w:rPr>
                <w:noProof/>
                <w:webHidden/>
              </w:rPr>
            </w:r>
            <w:r>
              <w:rPr>
                <w:noProof/>
                <w:webHidden/>
              </w:rPr>
              <w:fldChar w:fldCharType="separate"/>
            </w:r>
            <w:r>
              <w:rPr>
                <w:noProof/>
                <w:webHidden/>
              </w:rPr>
              <w:t>8</w:t>
            </w:r>
            <w:r>
              <w:rPr>
                <w:noProof/>
                <w:webHidden/>
              </w:rPr>
              <w:fldChar w:fldCharType="end"/>
            </w:r>
          </w:hyperlink>
        </w:p>
        <w:p w14:paraId="02011343" w14:textId="175D0107"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49" w:history="1">
            <w:r w:rsidRPr="00F158AC">
              <w:rPr>
                <w:rStyle w:val="Lienhypertexte"/>
                <w:noProof/>
                <w:lang w:val="fr-FR"/>
              </w:rPr>
              <w:t>B.</w:t>
            </w:r>
            <w:r>
              <w:rPr>
                <w:rFonts w:eastAsiaTheme="minorEastAsia" w:cstheme="minorBidi"/>
                <w:b w:val="0"/>
                <w:bCs w:val="0"/>
                <w:noProof/>
                <w:sz w:val="24"/>
                <w:szCs w:val="24"/>
                <w:lang w:eastAsia="fr-FR"/>
              </w:rPr>
              <w:tab/>
            </w:r>
            <w:r w:rsidRPr="00F158AC">
              <w:rPr>
                <w:rStyle w:val="Lienhypertexte"/>
                <w:noProof/>
                <w:lang w:val="fr-FR"/>
              </w:rPr>
              <w:t>Le droit de participation à la vie culturelle : son contenu.</w:t>
            </w:r>
            <w:r>
              <w:rPr>
                <w:noProof/>
                <w:webHidden/>
              </w:rPr>
              <w:tab/>
            </w:r>
            <w:r>
              <w:rPr>
                <w:noProof/>
                <w:webHidden/>
              </w:rPr>
              <w:fldChar w:fldCharType="begin"/>
            </w:r>
            <w:r>
              <w:rPr>
                <w:noProof/>
                <w:webHidden/>
              </w:rPr>
              <w:instrText xml:space="preserve"> PAGEREF _Toc5698749 \h </w:instrText>
            </w:r>
            <w:r>
              <w:rPr>
                <w:noProof/>
                <w:webHidden/>
              </w:rPr>
            </w:r>
            <w:r>
              <w:rPr>
                <w:noProof/>
                <w:webHidden/>
              </w:rPr>
              <w:fldChar w:fldCharType="separate"/>
            </w:r>
            <w:r>
              <w:rPr>
                <w:noProof/>
                <w:webHidden/>
              </w:rPr>
              <w:t>8</w:t>
            </w:r>
            <w:r>
              <w:rPr>
                <w:noProof/>
                <w:webHidden/>
              </w:rPr>
              <w:fldChar w:fldCharType="end"/>
            </w:r>
          </w:hyperlink>
        </w:p>
        <w:p w14:paraId="7E4CA33D" w14:textId="618C6DF3"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50" w:history="1">
            <w:r w:rsidRPr="00F158AC">
              <w:rPr>
                <w:rStyle w:val="Lienhypertexte"/>
                <w:noProof/>
                <w:lang w:val="fr-FR"/>
              </w:rPr>
              <w:t>C.</w:t>
            </w:r>
            <w:r>
              <w:rPr>
                <w:rFonts w:eastAsiaTheme="minorEastAsia" w:cstheme="minorBidi"/>
                <w:b w:val="0"/>
                <w:bCs w:val="0"/>
                <w:noProof/>
                <w:sz w:val="24"/>
                <w:szCs w:val="24"/>
                <w:lang w:eastAsia="fr-FR"/>
              </w:rPr>
              <w:tab/>
            </w:r>
            <w:r w:rsidRPr="00F158AC">
              <w:rPr>
                <w:rStyle w:val="Lienhypertexte"/>
                <w:noProof/>
                <w:lang w:val="fr-FR"/>
              </w:rPr>
              <w:t>Les titulaires du droit à la participation à la vie culturelle.</w:t>
            </w:r>
            <w:r>
              <w:rPr>
                <w:noProof/>
                <w:webHidden/>
              </w:rPr>
              <w:tab/>
            </w:r>
            <w:r>
              <w:rPr>
                <w:noProof/>
                <w:webHidden/>
              </w:rPr>
              <w:fldChar w:fldCharType="begin"/>
            </w:r>
            <w:r>
              <w:rPr>
                <w:noProof/>
                <w:webHidden/>
              </w:rPr>
              <w:instrText xml:space="preserve"> PAGEREF _Toc5698750 \h </w:instrText>
            </w:r>
            <w:r>
              <w:rPr>
                <w:noProof/>
                <w:webHidden/>
              </w:rPr>
            </w:r>
            <w:r>
              <w:rPr>
                <w:noProof/>
                <w:webHidden/>
              </w:rPr>
              <w:fldChar w:fldCharType="separate"/>
            </w:r>
            <w:r>
              <w:rPr>
                <w:noProof/>
                <w:webHidden/>
              </w:rPr>
              <w:t>9</w:t>
            </w:r>
            <w:r>
              <w:rPr>
                <w:noProof/>
                <w:webHidden/>
              </w:rPr>
              <w:fldChar w:fldCharType="end"/>
            </w:r>
          </w:hyperlink>
        </w:p>
        <w:p w14:paraId="5D1F5A50" w14:textId="3D096094" w:rsidR="00E63283" w:rsidRDefault="00E63283">
          <w:pPr>
            <w:pStyle w:val="TM2"/>
            <w:tabs>
              <w:tab w:val="left" w:pos="720"/>
              <w:tab w:val="right" w:leader="dot" w:pos="9056"/>
            </w:tabs>
            <w:rPr>
              <w:rFonts w:eastAsiaTheme="minorEastAsia" w:cstheme="minorBidi"/>
              <w:b w:val="0"/>
              <w:bCs w:val="0"/>
              <w:noProof/>
              <w:sz w:val="24"/>
              <w:szCs w:val="24"/>
              <w:lang w:eastAsia="fr-FR"/>
            </w:rPr>
          </w:pPr>
          <w:hyperlink w:anchor="_Toc5698751" w:history="1">
            <w:r w:rsidRPr="00F158AC">
              <w:rPr>
                <w:rStyle w:val="Lienhypertexte"/>
                <w:noProof/>
                <w:lang w:val="fr-FR"/>
              </w:rPr>
              <w:t>D.</w:t>
            </w:r>
            <w:r>
              <w:rPr>
                <w:rFonts w:eastAsiaTheme="minorEastAsia" w:cstheme="minorBidi"/>
                <w:b w:val="0"/>
                <w:bCs w:val="0"/>
                <w:noProof/>
                <w:sz w:val="24"/>
                <w:szCs w:val="24"/>
                <w:lang w:eastAsia="fr-FR"/>
              </w:rPr>
              <w:tab/>
            </w:r>
            <w:r w:rsidRPr="00F158AC">
              <w:rPr>
                <w:rStyle w:val="Lienhypertexte"/>
                <w:noProof/>
                <w:lang w:val="fr-FR"/>
              </w:rPr>
              <w:t>Les débiteurs du droit à la participation à la vie culturelle.</w:t>
            </w:r>
            <w:r>
              <w:rPr>
                <w:noProof/>
                <w:webHidden/>
              </w:rPr>
              <w:tab/>
            </w:r>
            <w:r>
              <w:rPr>
                <w:noProof/>
                <w:webHidden/>
              </w:rPr>
              <w:fldChar w:fldCharType="begin"/>
            </w:r>
            <w:r>
              <w:rPr>
                <w:noProof/>
                <w:webHidden/>
              </w:rPr>
              <w:instrText xml:space="preserve"> PAGEREF _Toc5698751 \h </w:instrText>
            </w:r>
            <w:r>
              <w:rPr>
                <w:noProof/>
                <w:webHidden/>
              </w:rPr>
            </w:r>
            <w:r>
              <w:rPr>
                <w:noProof/>
                <w:webHidden/>
              </w:rPr>
              <w:fldChar w:fldCharType="separate"/>
            </w:r>
            <w:r>
              <w:rPr>
                <w:noProof/>
                <w:webHidden/>
              </w:rPr>
              <w:t>10</w:t>
            </w:r>
            <w:r>
              <w:rPr>
                <w:noProof/>
                <w:webHidden/>
              </w:rPr>
              <w:fldChar w:fldCharType="end"/>
            </w:r>
          </w:hyperlink>
        </w:p>
        <w:p w14:paraId="16D8A946" w14:textId="28135AF4" w:rsidR="00E63283" w:rsidRDefault="00E63283">
          <w:pPr>
            <w:pStyle w:val="TM1"/>
            <w:tabs>
              <w:tab w:val="right" w:leader="dot" w:pos="9056"/>
            </w:tabs>
            <w:rPr>
              <w:rFonts w:eastAsiaTheme="minorEastAsia" w:cstheme="minorBidi"/>
              <w:b w:val="0"/>
              <w:bCs w:val="0"/>
              <w:i w:val="0"/>
              <w:iCs w:val="0"/>
              <w:noProof/>
              <w:lang w:eastAsia="fr-FR"/>
            </w:rPr>
          </w:pPr>
          <w:hyperlink w:anchor="_Toc5698752" w:history="1">
            <w:r w:rsidRPr="00F158AC">
              <w:rPr>
                <w:rStyle w:val="Lienhypertexte"/>
                <w:noProof/>
                <w:lang w:val="fr-FR"/>
              </w:rPr>
              <w:t>CCL.</w:t>
            </w:r>
            <w:r>
              <w:rPr>
                <w:noProof/>
                <w:webHidden/>
              </w:rPr>
              <w:tab/>
            </w:r>
            <w:r>
              <w:rPr>
                <w:noProof/>
                <w:webHidden/>
              </w:rPr>
              <w:fldChar w:fldCharType="begin"/>
            </w:r>
            <w:r>
              <w:rPr>
                <w:noProof/>
                <w:webHidden/>
              </w:rPr>
              <w:instrText xml:space="preserve"> PAGEREF _Toc5698752 \h </w:instrText>
            </w:r>
            <w:r>
              <w:rPr>
                <w:noProof/>
                <w:webHidden/>
              </w:rPr>
            </w:r>
            <w:r>
              <w:rPr>
                <w:noProof/>
                <w:webHidden/>
              </w:rPr>
              <w:fldChar w:fldCharType="separate"/>
            </w:r>
            <w:r>
              <w:rPr>
                <w:noProof/>
                <w:webHidden/>
              </w:rPr>
              <w:t>11</w:t>
            </w:r>
            <w:r>
              <w:rPr>
                <w:noProof/>
                <w:webHidden/>
              </w:rPr>
              <w:fldChar w:fldCharType="end"/>
            </w:r>
          </w:hyperlink>
        </w:p>
        <w:p w14:paraId="37081984" w14:textId="77777777" w:rsidR="002F595C" w:rsidRDefault="002F595C">
          <w:r>
            <w:rPr>
              <w:b/>
              <w:bCs/>
              <w:noProof/>
            </w:rPr>
            <w:fldChar w:fldCharType="end"/>
          </w:r>
        </w:p>
      </w:sdtContent>
    </w:sdt>
    <w:p w14:paraId="4CC7A482" w14:textId="77777777" w:rsidR="002F595C" w:rsidRPr="002F595C" w:rsidRDefault="002F595C" w:rsidP="002F595C">
      <w:pPr>
        <w:rPr>
          <w:lang w:val="fr-FR"/>
        </w:rPr>
      </w:pPr>
    </w:p>
    <w:p w14:paraId="21FEFAFA" w14:textId="77777777" w:rsidR="00895EF6" w:rsidRPr="00895EF6" w:rsidRDefault="00895EF6">
      <w:pPr>
        <w:rPr>
          <w:b/>
          <w:lang w:val="fr-FR"/>
        </w:rPr>
      </w:pPr>
    </w:p>
    <w:p w14:paraId="4DEF03F0" w14:textId="77777777" w:rsidR="00895EF6" w:rsidRDefault="00895EF6" w:rsidP="00895EF6">
      <w:pPr>
        <w:jc w:val="both"/>
        <w:rPr>
          <w:b/>
          <w:lang w:val="fr-FR"/>
        </w:rPr>
      </w:pPr>
      <w:r>
        <w:rPr>
          <w:b/>
          <w:lang w:val="fr-FR"/>
        </w:rPr>
        <w:t>Bonjour à toutes et à tous,</w:t>
      </w:r>
    </w:p>
    <w:p w14:paraId="6576F417" w14:textId="77777777" w:rsidR="00BC53B7" w:rsidRPr="00895EF6" w:rsidRDefault="00BC53B7" w:rsidP="00895EF6">
      <w:pPr>
        <w:jc w:val="both"/>
        <w:rPr>
          <w:b/>
          <w:lang w:val="fr-FR"/>
        </w:rPr>
      </w:pPr>
    </w:p>
    <w:p w14:paraId="1F7EF165" w14:textId="11896814" w:rsidR="00895EF6" w:rsidRDefault="00895EF6" w:rsidP="00895EF6">
      <w:pPr>
        <w:jc w:val="both"/>
        <w:rPr>
          <w:b/>
          <w:lang w:val="fr-FR"/>
        </w:rPr>
      </w:pPr>
      <w:r>
        <w:rPr>
          <w:b/>
          <w:lang w:val="fr-FR"/>
        </w:rPr>
        <w:t xml:space="preserve">Pour commencer, je tiens à remercier mes promotrices, Isabelle Hachez et Céline Romainville, de patiemment promouvoir ce projet de thèse avec toute leur rigueur et toute leur bienveillance ! </w:t>
      </w:r>
    </w:p>
    <w:p w14:paraId="63FF7DC4" w14:textId="77777777" w:rsidR="00895EF6" w:rsidRDefault="00895EF6" w:rsidP="00895EF6">
      <w:pPr>
        <w:jc w:val="both"/>
        <w:rPr>
          <w:b/>
          <w:lang w:val="fr-FR"/>
        </w:rPr>
      </w:pPr>
    </w:p>
    <w:p w14:paraId="5B88AC62" w14:textId="332BF962" w:rsidR="00443315" w:rsidRDefault="00895EF6" w:rsidP="00895EF6">
      <w:pPr>
        <w:jc w:val="both"/>
        <w:rPr>
          <w:b/>
          <w:lang w:val="fr-FR"/>
        </w:rPr>
      </w:pPr>
      <w:r>
        <w:rPr>
          <w:b/>
          <w:lang w:val="fr-FR"/>
        </w:rPr>
        <w:t xml:space="preserve">J’ai commencé </w:t>
      </w:r>
      <w:r w:rsidR="00BC53B7">
        <w:rPr>
          <w:b/>
          <w:lang w:val="fr-FR"/>
        </w:rPr>
        <w:t xml:space="preserve">ma recherche doctorale </w:t>
      </w:r>
      <w:r>
        <w:rPr>
          <w:b/>
          <w:lang w:val="fr-FR"/>
        </w:rPr>
        <w:t xml:space="preserve">en janvier 2019, dans la suite de mon mémoire, intitulé </w:t>
      </w:r>
      <w:r w:rsidRPr="00895EF6">
        <w:rPr>
          <w:b/>
          <w:i/>
          <w:lang w:val="fr-FR"/>
        </w:rPr>
        <w:t>le droit à la culture à l’épreuve de la surdité</w:t>
      </w:r>
      <w:r>
        <w:rPr>
          <w:b/>
          <w:lang w:val="fr-FR"/>
        </w:rPr>
        <w:t xml:space="preserve">, en master de droit défendu en juin 2017, sous la promotion du Pr. Louis-Léon </w:t>
      </w:r>
      <w:proofErr w:type="spellStart"/>
      <w:r>
        <w:rPr>
          <w:b/>
          <w:lang w:val="fr-FR"/>
        </w:rPr>
        <w:t>Christians</w:t>
      </w:r>
      <w:proofErr w:type="spellEnd"/>
      <w:r w:rsidR="00E636BA">
        <w:rPr>
          <w:b/>
          <w:lang w:val="fr-FR"/>
        </w:rPr>
        <w:t xml:space="preserve"> et primé, en 2018, du second prix d’une mention spéciale de l’Observatoire des politiques culturelles de la Fédération Wallonie-Bruxelles</w:t>
      </w:r>
      <w:r>
        <w:rPr>
          <w:b/>
          <w:lang w:val="fr-FR"/>
        </w:rPr>
        <w:t xml:space="preserve">. </w:t>
      </w:r>
      <w:r w:rsidR="00BC53B7">
        <w:rPr>
          <w:b/>
          <w:lang w:val="fr-FR"/>
        </w:rPr>
        <w:t>Mon</w:t>
      </w:r>
      <w:r>
        <w:rPr>
          <w:b/>
          <w:lang w:val="fr-FR"/>
        </w:rPr>
        <w:t xml:space="preserve"> projet </w:t>
      </w:r>
      <w:r w:rsidR="00BC53B7">
        <w:rPr>
          <w:b/>
          <w:lang w:val="fr-FR"/>
        </w:rPr>
        <w:t xml:space="preserve">de </w:t>
      </w:r>
      <w:proofErr w:type="gramStart"/>
      <w:r w:rsidR="00BC53B7">
        <w:rPr>
          <w:b/>
          <w:lang w:val="fr-FR"/>
        </w:rPr>
        <w:t>thèse  s’inscrit</w:t>
      </w:r>
      <w:proofErr w:type="gramEnd"/>
      <w:r w:rsidR="00BC53B7">
        <w:rPr>
          <w:b/>
          <w:lang w:val="fr-FR"/>
        </w:rPr>
        <w:t xml:space="preserve"> donc dans la continuité de mon mémoire</w:t>
      </w:r>
      <w:r>
        <w:rPr>
          <w:b/>
          <w:lang w:val="fr-FR"/>
        </w:rPr>
        <w:t xml:space="preserve">. </w:t>
      </w:r>
    </w:p>
    <w:p w14:paraId="2549FFD3" w14:textId="77777777" w:rsidR="00443315" w:rsidRDefault="00443315" w:rsidP="00895EF6">
      <w:pPr>
        <w:jc w:val="both"/>
        <w:rPr>
          <w:b/>
          <w:lang w:val="fr-FR"/>
        </w:rPr>
      </w:pPr>
    </w:p>
    <w:p w14:paraId="22E7FB6D" w14:textId="0F5C0203" w:rsidR="00443315" w:rsidRDefault="00BC53B7" w:rsidP="00443315">
      <w:pPr>
        <w:jc w:val="both"/>
        <w:rPr>
          <w:b/>
          <w:lang w:val="fr-FR"/>
        </w:rPr>
      </w:pPr>
      <w:r>
        <w:rPr>
          <w:b/>
          <w:lang w:val="fr-FR"/>
        </w:rPr>
        <w:t xml:space="preserve">Dans le cadre de cet exposé, je procéderai en trois temps, en précisant, un, mon sujet </w:t>
      </w:r>
      <w:r w:rsidR="00443315">
        <w:rPr>
          <w:b/>
          <w:lang w:val="fr-FR"/>
        </w:rPr>
        <w:t xml:space="preserve">de thèse, </w:t>
      </w:r>
      <w:r>
        <w:rPr>
          <w:b/>
          <w:lang w:val="fr-FR"/>
        </w:rPr>
        <w:t xml:space="preserve">deux, la notion </w:t>
      </w:r>
      <w:r w:rsidR="00443315">
        <w:rPr>
          <w:b/>
          <w:lang w:val="fr-FR"/>
        </w:rPr>
        <w:t>de personne handicapée</w:t>
      </w:r>
      <w:r>
        <w:rPr>
          <w:b/>
          <w:lang w:val="fr-FR"/>
        </w:rPr>
        <w:t>, en regard de la surdité,</w:t>
      </w:r>
      <w:r w:rsidR="00443315">
        <w:rPr>
          <w:b/>
          <w:lang w:val="fr-FR"/>
        </w:rPr>
        <w:t xml:space="preserve"> et</w:t>
      </w:r>
      <w:r>
        <w:rPr>
          <w:b/>
          <w:lang w:val="fr-FR"/>
        </w:rPr>
        <w:t>, trois,</w:t>
      </w:r>
      <w:r w:rsidR="00443315">
        <w:rPr>
          <w:b/>
          <w:lang w:val="fr-FR"/>
        </w:rPr>
        <w:t xml:space="preserve"> </w:t>
      </w:r>
      <w:proofErr w:type="gramStart"/>
      <w:r w:rsidR="00443315">
        <w:rPr>
          <w:b/>
          <w:lang w:val="fr-FR"/>
        </w:rPr>
        <w:t>le  droit</w:t>
      </w:r>
      <w:proofErr w:type="gramEnd"/>
      <w:r w:rsidR="00443315">
        <w:rPr>
          <w:b/>
          <w:lang w:val="fr-FR"/>
        </w:rPr>
        <w:t xml:space="preserve"> </w:t>
      </w:r>
      <w:r>
        <w:rPr>
          <w:b/>
          <w:lang w:val="fr-FR"/>
        </w:rPr>
        <w:t xml:space="preserve">de </w:t>
      </w:r>
      <w:r w:rsidR="00443315">
        <w:rPr>
          <w:b/>
          <w:lang w:val="fr-FR"/>
        </w:rPr>
        <w:t>particip</w:t>
      </w:r>
      <w:r>
        <w:rPr>
          <w:b/>
          <w:lang w:val="fr-FR"/>
        </w:rPr>
        <w:t>er</w:t>
      </w:r>
      <w:r w:rsidR="00443315">
        <w:rPr>
          <w:b/>
          <w:lang w:val="fr-FR"/>
        </w:rPr>
        <w:t xml:space="preserve"> à la vie culturelle.  </w:t>
      </w:r>
    </w:p>
    <w:p w14:paraId="38A539CC" w14:textId="77777777" w:rsidR="00443315" w:rsidRDefault="00443315" w:rsidP="00895EF6">
      <w:pPr>
        <w:jc w:val="both"/>
        <w:rPr>
          <w:b/>
          <w:lang w:val="fr-FR"/>
        </w:rPr>
      </w:pPr>
    </w:p>
    <w:p w14:paraId="35A71F9A" w14:textId="77777777" w:rsidR="00443315" w:rsidRDefault="00443315" w:rsidP="00895EF6">
      <w:pPr>
        <w:jc w:val="both"/>
        <w:rPr>
          <w:b/>
          <w:lang w:val="fr-FR"/>
        </w:rPr>
      </w:pPr>
    </w:p>
    <w:p w14:paraId="67741E46" w14:textId="4E18FAE5" w:rsidR="00443315" w:rsidRDefault="00443315" w:rsidP="000F2A27">
      <w:pPr>
        <w:pStyle w:val="Titre1"/>
        <w:numPr>
          <w:ilvl w:val="0"/>
          <w:numId w:val="9"/>
        </w:numPr>
        <w:rPr>
          <w:lang w:val="fr-FR"/>
        </w:rPr>
      </w:pPr>
      <w:bookmarkStart w:id="2" w:name="_Toc5698742"/>
      <w:r>
        <w:rPr>
          <w:lang w:val="fr-FR"/>
        </w:rPr>
        <w:lastRenderedPageBreak/>
        <w:t>Le projet de thèse.</w:t>
      </w:r>
      <w:bookmarkEnd w:id="2"/>
      <w:r>
        <w:rPr>
          <w:lang w:val="fr-FR"/>
        </w:rPr>
        <w:t xml:space="preserve"> </w:t>
      </w:r>
    </w:p>
    <w:p w14:paraId="6CBA60A2" w14:textId="77777777" w:rsidR="00443315" w:rsidRDefault="00443315" w:rsidP="00895EF6">
      <w:pPr>
        <w:jc w:val="both"/>
        <w:rPr>
          <w:b/>
          <w:lang w:val="fr-FR"/>
        </w:rPr>
      </w:pPr>
    </w:p>
    <w:p w14:paraId="451A14B2" w14:textId="57C5D420" w:rsidR="00443315" w:rsidRDefault="00443315" w:rsidP="00443315">
      <w:pPr>
        <w:spacing w:line="360" w:lineRule="auto"/>
        <w:jc w:val="both"/>
        <w:rPr>
          <w:rFonts w:cstheme="minorHAnsi"/>
          <w:b/>
          <w:color w:val="44546A" w:themeColor="text2"/>
        </w:rPr>
      </w:pPr>
      <w:r>
        <w:rPr>
          <w:b/>
          <w:lang w:val="fr-FR"/>
        </w:rPr>
        <w:t xml:space="preserve">Le titre de ma thèse </w:t>
      </w:r>
      <w:r w:rsidR="00BC53B7">
        <w:rPr>
          <w:b/>
          <w:lang w:val="fr-FR"/>
        </w:rPr>
        <w:t>est</w:t>
      </w:r>
      <w:r>
        <w:rPr>
          <w:b/>
          <w:lang w:val="fr-FR"/>
        </w:rPr>
        <w:t xml:space="preserve"> pour l’instant</w:t>
      </w:r>
      <w:r w:rsidR="00BC53B7">
        <w:rPr>
          <w:b/>
          <w:lang w:val="fr-FR"/>
        </w:rPr>
        <w:t xml:space="preserve"> le suivant</w:t>
      </w:r>
      <w:r>
        <w:rPr>
          <w:b/>
          <w:lang w:val="fr-FR"/>
        </w:rPr>
        <w:t> </w:t>
      </w:r>
      <w:r w:rsidRPr="00476F02">
        <w:rPr>
          <w:b/>
          <w:i/>
          <w:lang w:val="fr-FR"/>
        </w:rPr>
        <w:t xml:space="preserve">: </w:t>
      </w:r>
      <w:r w:rsidRPr="00476F02">
        <w:rPr>
          <w:rFonts w:cstheme="minorHAnsi"/>
          <w:b/>
          <w:i/>
          <w:color w:val="44546A" w:themeColor="text2"/>
        </w:rPr>
        <w:t>Entre accès à la diversité culturelle et protection de l’identité culturelle : le droit de participer à la vie culturelle des personnes sourdes</w:t>
      </w:r>
      <w:r>
        <w:rPr>
          <w:rFonts w:cstheme="minorHAnsi"/>
          <w:b/>
          <w:i/>
          <w:color w:val="44546A" w:themeColor="text2"/>
        </w:rPr>
        <w:t>.</w:t>
      </w:r>
      <w:r>
        <w:rPr>
          <w:rFonts w:cstheme="minorHAnsi"/>
          <w:b/>
          <w:color w:val="44546A" w:themeColor="text2"/>
        </w:rPr>
        <w:t xml:space="preserve"> </w:t>
      </w:r>
    </w:p>
    <w:p w14:paraId="1498D598" w14:textId="6098F853" w:rsidR="00443315" w:rsidRDefault="00BC53B7" w:rsidP="00443315">
      <w:pPr>
        <w:jc w:val="both"/>
        <w:rPr>
          <w:b/>
          <w:lang w:val="fr-FR"/>
        </w:rPr>
      </w:pPr>
      <w:r>
        <w:rPr>
          <w:b/>
        </w:rPr>
        <w:t xml:space="preserve">Il s’agira, dans ma thèse, de déterminer </w:t>
      </w:r>
      <w:r w:rsidR="00443315">
        <w:rPr>
          <w:b/>
          <w:lang w:val="fr-FR"/>
        </w:rPr>
        <w:t xml:space="preserve">le régime juridique du droit </w:t>
      </w:r>
      <w:r w:rsidR="007E6913">
        <w:rPr>
          <w:b/>
          <w:lang w:val="fr-FR"/>
        </w:rPr>
        <w:t xml:space="preserve">de participation à la vie </w:t>
      </w:r>
      <w:r w:rsidR="00443315">
        <w:rPr>
          <w:b/>
          <w:lang w:val="fr-FR"/>
        </w:rPr>
        <w:t>culture</w:t>
      </w:r>
      <w:r w:rsidR="007E6913">
        <w:rPr>
          <w:b/>
          <w:lang w:val="fr-FR"/>
        </w:rPr>
        <w:t>lle</w:t>
      </w:r>
      <w:r w:rsidR="00443315">
        <w:rPr>
          <w:b/>
          <w:lang w:val="fr-FR"/>
        </w:rPr>
        <w:t xml:space="preserve"> des personnes sourdes ou pour le dire autrement, </w:t>
      </w:r>
      <w:r>
        <w:rPr>
          <w:b/>
          <w:lang w:val="fr-FR"/>
        </w:rPr>
        <w:t xml:space="preserve">de voir </w:t>
      </w:r>
      <w:r w:rsidR="00443315">
        <w:rPr>
          <w:b/>
          <w:lang w:val="fr-FR"/>
        </w:rPr>
        <w:t xml:space="preserve">comment protéger, respecter et réaliser le droit d’accès, de participation et de protection de l’identité linguistico-culturelle des personnes sourdes en Belgique dans le contexte d’un droit en réseau </w:t>
      </w:r>
      <w:r>
        <w:rPr>
          <w:b/>
          <w:lang w:val="fr-FR"/>
        </w:rPr>
        <w:t xml:space="preserve">s’abreuvant à différentes sources. </w:t>
      </w:r>
    </w:p>
    <w:p w14:paraId="4646F565" w14:textId="77777777" w:rsidR="00443315" w:rsidRDefault="00443315" w:rsidP="00443315">
      <w:pPr>
        <w:jc w:val="both"/>
        <w:rPr>
          <w:b/>
          <w:lang w:val="fr-FR"/>
        </w:rPr>
      </w:pPr>
    </w:p>
    <w:p w14:paraId="218F43DC" w14:textId="4F2E02BD" w:rsidR="007E6913" w:rsidRDefault="00BC53B7" w:rsidP="00443315">
      <w:pPr>
        <w:jc w:val="both"/>
        <w:rPr>
          <w:b/>
          <w:lang w:val="fr-FR"/>
        </w:rPr>
      </w:pPr>
      <w:r>
        <w:rPr>
          <w:b/>
          <w:lang w:val="fr-FR"/>
        </w:rPr>
        <w:t xml:space="preserve">Mon </w:t>
      </w:r>
      <w:r w:rsidR="00443315">
        <w:rPr>
          <w:b/>
          <w:lang w:val="fr-FR"/>
        </w:rPr>
        <w:t>hypothèse de départ est que ce régime juridique, pour être effectif, ne peut se faire que par le truchement d’une politique d’inclusion des personnes sourdes dans la vie de la société et particulièrement dans la vie culturelle de celle-ci.</w:t>
      </w:r>
    </w:p>
    <w:p w14:paraId="5DC2AC52" w14:textId="77777777" w:rsidR="007E6913" w:rsidRDefault="007E6913" w:rsidP="00443315">
      <w:pPr>
        <w:jc w:val="both"/>
        <w:rPr>
          <w:b/>
          <w:lang w:val="fr-FR"/>
        </w:rPr>
      </w:pPr>
    </w:p>
    <w:p w14:paraId="2B4100FB" w14:textId="102B0745" w:rsidR="00443315" w:rsidRDefault="00443315" w:rsidP="00443315">
      <w:pPr>
        <w:jc w:val="both"/>
        <w:rPr>
          <w:b/>
          <w:lang w:val="fr-FR"/>
        </w:rPr>
      </w:pPr>
      <w:r>
        <w:rPr>
          <w:b/>
          <w:lang w:val="fr-FR"/>
        </w:rPr>
        <w:t xml:space="preserve"> Cela implique, d’abord, un respect, une protection et une promotion de leur différence, notamment via la reconnaissance de la langue des signes et de la culture sourde. Mais cela implique également la nécessité de rendre accessible la culture </w:t>
      </w:r>
      <w:proofErr w:type="spellStart"/>
      <w:r>
        <w:rPr>
          <w:b/>
          <w:lang w:val="fr-FR"/>
        </w:rPr>
        <w:t>entendante</w:t>
      </w:r>
      <w:proofErr w:type="spellEnd"/>
      <w:r>
        <w:rPr>
          <w:b/>
          <w:lang w:val="fr-FR"/>
        </w:rPr>
        <w:t xml:space="preserve"> par le biais de politiques, tant publiques que privée, d’aménagements raisonnables et de conception universelle.   </w:t>
      </w:r>
    </w:p>
    <w:p w14:paraId="77CF5620" w14:textId="77777777" w:rsidR="00443315" w:rsidRDefault="00443315" w:rsidP="00895EF6">
      <w:pPr>
        <w:jc w:val="both"/>
        <w:rPr>
          <w:b/>
          <w:lang w:val="fr-FR"/>
        </w:rPr>
      </w:pPr>
    </w:p>
    <w:p w14:paraId="68280BA0" w14:textId="51358F1A" w:rsidR="00BC53B7" w:rsidRDefault="00BC53B7" w:rsidP="00895EF6">
      <w:pPr>
        <w:jc w:val="both"/>
        <w:rPr>
          <w:b/>
          <w:lang w:val="fr-FR"/>
        </w:rPr>
      </w:pPr>
      <w:r>
        <w:rPr>
          <w:b/>
          <w:lang w:val="fr-FR"/>
        </w:rPr>
        <w:t xml:space="preserve">La principale source du droit qui balisera mon analyse sera la Convention onusienne relative aux droits des personnes handicapées. Cette convention compte à ce jour 177 parties, dont l’Union européenne et la Belgique est liée par ce traité depuis </w:t>
      </w:r>
      <w:proofErr w:type="gramStart"/>
      <w:r>
        <w:rPr>
          <w:b/>
          <w:lang w:val="fr-FR"/>
        </w:rPr>
        <w:t>xx .</w:t>
      </w:r>
      <w:proofErr w:type="gramEnd"/>
      <w:r>
        <w:rPr>
          <w:b/>
          <w:lang w:val="fr-FR"/>
        </w:rPr>
        <w:t xml:space="preserve"> </w:t>
      </w:r>
      <w:r w:rsidR="007B4FD1">
        <w:rPr>
          <w:b/>
          <w:lang w:val="fr-FR"/>
        </w:rPr>
        <w:t xml:space="preserve">Son </w:t>
      </w:r>
      <w:r w:rsidR="007B4FD1" w:rsidRPr="00842271">
        <w:rPr>
          <w:b/>
          <w:lang w:val="fr-FR"/>
        </w:rPr>
        <w:t>but est de clarifier les droits fondamentaux déjà existant dans l’ordre juridique international des personnes</w:t>
      </w:r>
      <w:r w:rsidR="007B4FD1">
        <w:rPr>
          <w:b/>
          <w:lang w:val="fr-FR"/>
        </w:rPr>
        <w:t xml:space="preserve"> </w:t>
      </w:r>
      <w:proofErr w:type="spellStart"/>
      <w:r w:rsidR="007B4FD1">
        <w:rPr>
          <w:b/>
          <w:lang w:val="fr-FR"/>
        </w:rPr>
        <w:t>invisibilisées</w:t>
      </w:r>
      <w:proofErr w:type="spellEnd"/>
      <w:r w:rsidR="007B4FD1">
        <w:rPr>
          <w:b/>
          <w:lang w:val="fr-FR"/>
        </w:rPr>
        <w:t xml:space="preserve"> par les traités universels (comme le PIDESC ou le PIDCP), à savoir, les personnes</w:t>
      </w:r>
      <w:r w:rsidR="007B4FD1" w:rsidRPr="00842271">
        <w:rPr>
          <w:b/>
          <w:lang w:val="fr-FR"/>
        </w:rPr>
        <w:t xml:space="preserve"> handicapées</w:t>
      </w:r>
      <w:r w:rsidR="007B4FD1">
        <w:rPr>
          <w:b/>
          <w:lang w:val="fr-FR"/>
        </w:rPr>
        <w:t>. Il s’agit de</w:t>
      </w:r>
      <w:r w:rsidR="007B4FD1" w:rsidRPr="00842271">
        <w:rPr>
          <w:b/>
          <w:lang w:val="fr-FR"/>
        </w:rPr>
        <w:t xml:space="preserve"> préciser le régime juridique de ces droits et donc leur portée dans le contexte du handicap, ainsi que de valoriser la dignité intrinsèque de ces personnes (CDPH, art. 1, al. 1). </w:t>
      </w:r>
      <w:r w:rsidR="007B4FD1">
        <w:rPr>
          <w:b/>
          <w:lang w:val="fr-FR"/>
        </w:rPr>
        <w:t xml:space="preserve">C’est ainsi qu’on retrouve à l’article 30 de la CDPH, le droit à la culture. </w:t>
      </w:r>
      <w:r>
        <w:rPr>
          <w:b/>
          <w:lang w:val="fr-FR"/>
        </w:rPr>
        <w:t xml:space="preserve">C’est de cette convention que je partirai dans un instant pour </w:t>
      </w:r>
      <w:r w:rsidR="004E302B">
        <w:rPr>
          <w:b/>
          <w:lang w:val="fr-FR"/>
        </w:rPr>
        <w:t>envisager le champ d’</w:t>
      </w:r>
      <w:proofErr w:type="spellStart"/>
      <w:r w:rsidR="004E302B">
        <w:rPr>
          <w:b/>
          <w:lang w:val="fr-FR"/>
        </w:rPr>
        <w:t>applcation</w:t>
      </w:r>
      <w:proofErr w:type="spellEnd"/>
      <w:r w:rsidR="004E302B">
        <w:rPr>
          <w:b/>
          <w:lang w:val="fr-FR"/>
        </w:rPr>
        <w:t xml:space="preserve"> personnel de ce traité catégoriel et les « droits culturels » qu’elle consacre au profit des personnes handicapées, et en l’occurrence des personnes sourdes. </w:t>
      </w:r>
    </w:p>
    <w:p w14:paraId="6352D8A8" w14:textId="77777777" w:rsidR="004E302B" w:rsidRDefault="004E302B" w:rsidP="00895EF6">
      <w:pPr>
        <w:jc w:val="both"/>
        <w:rPr>
          <w:b/>
          <w:lang w:val="fr-FR"/>
        </w:rPr>
      </w:pPr>
    </w:p>
    <w:p w14:paraId="7C4E9592" w14:textId="7E0626E7" w:rsidR="00895EF6" w:rsidRDefault="004E302B" w:rsidP="00895EF6">
      <w:pPr>
        <w:jc w:val="both"/>
        <w:rPr>
          <w:b/>
          <w:lang w:val="fr-FR"/>
        </w:rPr>
      </w:pPr>
      <w:r>
        <w:rPr>
          <w:b/>
          <w:lang w:val="fr-FR"/>
        </w:rPr>
        <w:t xml:space="preserve">Dernière précision avant de rentrer dans le vif du sujet : mon analyse sera essentiellement juridique mais ménagera également des ouvertures interdisciplinaires indispensables pour bien comprendre la réalité étudiée </w:t>
      </w:r>
      <w:r w:rsidR="00E223A4">
        <w:rPr>
          <w:b/>
          <w:lang w:val="fr-FR"/>
        </w:rPr>
        <w:t xml:space="preserve">(appel à la sociologie du handicap, à l’anthropologie de la surdité, et à la philosophie de la médecine et du handicap). </w:t>
      </w:r>
      <w:r w:rsidR="00895EF6">
        <w:rPr>
          <w:b/>
          <w:lang w:val="fr-FR"/>
        </w:rPr>
        <w:t xml:space="preserve"> </w:t>
      </w:r>
    </w:p>
    <w:p w14:paraId="6DCCFB7F" w14:textId="77777777" w:rsidR="00443315" w:rsidRDefault="00443315" w:rsidP="00895EF6">
      <w:pPr>
        <w:jc w:val="both"/>
        <w:rPr>
          <w:b/>
          <w:lang w:val="fr-FR"/>
        </w:rPr>
      </w:pPr>
    </w:p>
    <w:p w14:paraId="64E524E8" w14:textId="77777777" w:rsidR="00443315" w:rsidRDefault="00443315" w:rsidP="00443315">
      <w:pPr>
        <w:jc w:val="both"/>
        <w:rPr>
          <w:b/>
          <w:lang w:val="fr-FR"/>
        </w:rPr>
      </w:pPr>
    </w:p>
    <w:p w14:paraId="45C5D509" w14:textId="77777777" w:rsidR="00443315" w:rsidRDefault="00443315" w:rsidP="00443315">
      <w:pPr>
        <w:pStyle w:val="Titre1"/>
        <w:numPr>
          <w:ilvl w:val="0"/>
          <w:numId w:val="4"/>
        </w:numPr>
        <w:rPr>
          <w:lang w:val="fr-FR"/>
        </w:rPr>
      </w:pPr>
      <w:bookmarkStart w:id="3" w:name="_Toc5698743"/>
      <w:r w:rsidRPr="00022E28">
        <w:rPr>
          <w:lang w:val="fr-FR"/>
        </w:rPr>
        <w:t>Les personnes sourde</w:t>
      </w:r>
      <w:r>
        <w:rPr>
          <w:lang w:val="fr-FR"/>
        </w:rPr>
        <w:t>s</w:t>
      </w:r>
      <w:r w:rsidRPr="00022E28">
        <w:rPr>
          <w:lang w:val="fr-FR"/>
        </w:rPr>
        <w:t>.</w:t>
      </w:r>
      <w:bookmarkEnd w:id="3"/>
    </w:p>
    <w:p w14:paraId="518AA4AB" w14:textId="77777777" w:rsidR="00443315" w:rsidRDefault="00443315" w:rsidP="00443315">
      <w:pPr>
        <w:rPr>
          <w:lang w:val="fr-FR"/>
        </w:rPr>
      </w:pPr>
    </w:p>
    <w:p w14:paraId="66BB653F" w14:textId="16A5B334" w:rsidR="00443315" w:rsidRDefault="00443315" w:rsidP="00443315">
      <w:pPr>
        <w:jc w:val="both"/>
        <w:rPr>
          <w:b/>
          <w:lang w:val="fr-FR"/>
        </w:rPr>
      </w:pPr>
      <w:r w:rsidRPr="00842271">
        <w:rPr>
          <w:b/>
          <w:lang w:val="fr-FR"/>
        </w:rPr>
        <w:t>La première question</w:t>
      </w:r>
      <w:r>
        <w:rPr>
          <w:b/>
          <w:lang w:val="fr-FR"/>
        </w:rPr>
        <w:t xml:space="preserve"> à se poser est de savoir si les personnes sourdes sont des personnes handicapées aux yeux de la CDPH. En effet, le champ d’application </w:t>
      </w:r>
      <w:proofErr w:type="spellStart"/>
      <w:r w:rsidRPr="00842271">
        <w:rPr>
          <w:b/>
          <w:i/>
          <w:lang w:val="fr-FR"/>
        </w:rPr>
        <w:t>ratione</w:t>
      </w:r>
      <w:proofErr w:type="spellEnd"/>
      <w:r w:rsidRPr="00842271">
        <w:rPr>
          <w:b/>
          <w:i/>
          <w:lang w:val="fr-FR"/>
        </w:rPr>
        <w:t xml:space="preserve"> </w:t>
      </w:r>
      <w:proofErr w:type="spellStart"/>
      <w:r w:rsidRPr="00842271">
        <w:rPr>
          <w:b/>
          <w:i/>
          <w:lang w:val="fr-FR"/>
        </w:rPr>
        <w:t>personnae</w:t>
      </w:r>
      <w:proofErr w:type="spellEnd"/>
      <w:r>
        <w:rPr>
          <w:b/>
          <w:lang w:val="fr-FR"/>
        </w:rPr>
        <w:t xml:space="preserve"> </w:t>
      </w:r>
      <w:r w:rsidR="007B4FD1">
        <w:rPr>
          <w:b/>
          <w:lang w:val="fr-FR"/>
        </w:rPr>
        <w:t xml:space="preserve">de </w:t>
      </w:r>
      <w:r w:rsidR="007B4FD1">
        <w:rPr>
          <w:b/>
          <w:lang w:val="fr-FR"/>
        </w:rPr>
        <w:lastRenderedPageBreak/>
        <w:t xml:space="preserve">cette Convention </w:t>
      </w:r>
      <w:r>
        <w:rPr>
          <w:b/>
          <w:lang w:val="fr-FR"/>
        </w:rPr>
        <w:t xml:space="preserve">n’est pas </w:t>
      </w:r>
      <w:r w:rsidR="007B4FD1">
        <w:rPr>
          <w:b/>
          <w:lang w:val="fr-FR"/>
        </w:rPr>
        <w:t>évident à saisir</w:t>
      </w:r>
      <w:r>
        <w:rPr>
          <w:b/>
          <w:lang w:val="fr-FR"/>
        </w:rPr>
        <w:t xml:space="preserve"> et plusieurs doctrines s’affrontent par publication interposées. </w:t>
      </w:r>
    </w:p>
    <w:p w14:paraId="3E28211E" w14:textId="77777777" w:rsidR="00443315" w:rsidRDefault="00443315" w:rsidP="00443315">
      <w:pPr>
        <w:rPr>
          <w:b/>
          <w:lang w:val="fr-FR"/>
        </w:rPr>
      </w:pPr>
    </w:p>
    <w:p w14:paraId="248B3FB6" w14:textId="6DD8915A" w:rsidR="00443315" w:rsidRDefault="007B4FD1" w:rsidP="00443315">
      <w:pPr>
        <w:jc w:val="both"/>
        <w:rPr>
          <w:b/>
          <w:lang w:val="fr-FR"/>
        </w:rPr>
      </w:pPr>
      <w:r>
        <w:rPr>
          <w:b/>
          <w:lang w:val="fr-FR"/>
        </w:rPr>
        <w:t xml:space="preserve">Or, </w:t>
      </w:r>
      <w:r w:rsidR="00443315">
        <w:rPr>
          <w:b/>
          <w:lang w:val="fr-FR"/>
        </w:rPr>
        <w:t xml:space="preserve">la manière de définir juridiquement le handicap va avoir un impact sur la manière de définir juridiquement les personnes sourdes. </w:t>
      </w:r>
      <w:r>
        <w:rPr>
          <w:b/>
          <w:lang w:val="fr-FR"/>
        </w:rPr>
        <w:t xml:space="preserve">C’est en tout cas l’hypothèse que je formule. </w:t>
      </w:r>
    </w:p>
    <w:p w14:paraId="595654C5" w14:textId="77777777" w:rsidR="007E6913" w:rsidRDefault="007E6913" w:rsidP="00443315">
      <w:pPr>
        <w:jc w:val="both"/>
        <w:rPr>
          <w:b/>
          <w:lang w:val="fr-FR"/>
        </w:rPr>
      </w:pPr>
    </w:p>
    <w:p w14:paraId="0D17EB5B" w14:textId="5343D01D" w:rsidR="00443315" w:rsidRDefault="007E6913" w:rsidP="00443315">
      <w:pPr>
        <w:jc w:val="both"/>
        <w:rPr>
          <w:b/>
          <w:lang w:val="fr-FR"/>
        </w:rPr>
      </w:pPr>
      <w:r>
        <w:rPr>
          <w:b/>
          <w:lang w:val="fr-FR"/>
        </w:rPr>
        <w:t>La d</w:t>
      </w:r>
      <w:r w:rsidR="00443315">
        <w:rPr>
          <w:b/>
          <w:lang w:val="fr-FR"/>
        </w:rPr>
        <w:t>éfini</w:t>
      </w:r>
      <w:r>
        <w:rPr>
          <w:b/>
          <w:lang w:val="fr-FR"/>
        </w:rPr>
        <w:t>tion de la notion de</w:t>
      </w:r>
      <w:r w:rsidR="00443315">
        <w:rPr>
          <w:b/>
          <w:lang w:val="fr-FR"/>
        </w:rPr>
        <w:t xml:space="preserve"> handicap</w:t>
      </w:r>
      <w:r>
        <w:rPr>
          <w:b/>
          <w:lang w:val="fr-FR"/>
        </w:rPr>
        <w:t xml:space="preserve">, au sein de la Convention, est très clairement issue de l’apport des modèles sociologiques du handicap. </w:t>
      </w:r>
      <w:r w:rsidR="00443315">
        <w:rPr>
          <w:b/>
          <w:lang w:val="fr-FR"/>
        </w:rPr>
        <w:t xml:space="preserve"> Il y a ainsi deux grands modèles : le modèle médical ou déficitaire et le modèle social (que l’on pourrait qualifier de capacitaire). </w:t>
      </w:r>
    </w:p>
    <w:p w14:paraId="69ACCB69" w14:textId="77777777" w:rsidR="00443315" w:rsidRDefault="00443315" w:rsidP="00443315">
      <w:pPr>
        <w:rPr>
          <w:b/>
          <w:lang w:val="fr-FR"/>
        </w:rPr>
      </w:pPr>
    </w:p>
    <w:p w14:paraId="250474AE" w14:textId="77777777" w:rsidR="00443315" w:rsidRPr="00842271" w:rsidRDefault="00443315" w:rsidP="00443315">
      <w:pPr>
        <w:pStyle w:val="Titre2"/>
        <w:numPr>
          <w:ilvl w:val="0"/>
          <w:numId w:val="7"/>
        </w:numPr>
        <w:rPr>
          <w:lang w:val="fr-FR"/>
        </w:rPr>
      </w:pPr>
      <w:bookmarkStart w:id="4" w:name="_Toc5698744"/>
      <w:r>
        <w:rPr>
          <w:lang w:val="fr-FR"/>
        </w:rPr>
        <w:t>Le modèle médical.</w:t>
      </w:r>
      <w:bookmarkEnd w:id="4"/>
      <w:r>
        <w:rPr>
          <w:lang w:val="fr-FR"/>
        </w:rPr>
        <w:t xml:space="preserve"> </w:t>
      </w:r>
    </w:p>
    <w:p w14:paraId="36FD0284" w14:textId="77777777" w:rsidR="00443315" w:rsidRPr="009123BB" w:rsidRDefault="00443315" w:rsidP="00443315">
      <w:pPr>
        <w:rPr>
          <w:b/>
          <w:i/>
          <w:lang w:val="fr-FR"/>
        </w:rPr>
      </w:pPr>
      <w:r w:rsidRPr="009123BB">
        <w:rPr>
          <w:b/>
          <w:i/>
          <w:lang w:val="fr-FR"/>
        </w:rPr>
        <w:t xml:space="preserve">Littérature : Cf. la thèse d’Isabelle </w:t>
      </w:r>
      <w:proofErr w:type="spellStart"/>
      <w:r w:rsidRPr="009123BB">
        <w:rPr>
          <w:b/>
          <w:i/>
          <w:lang w:val="fr-FR"/>
        </w:rPr>
        <w:t>Dagneaux</w:t>
      </w:r>
      <w:proofErr w:type="spellEnd"/>
      <w:r w:rsidRPr="009123BB">
        <w:rPr>
          <w:b/>
          <w:i/>
          <w:lang w:val="fr-FR"/>
        </w:rPr>
        <w:t xml:space="preserve"> en philosophie sur la question. </w:t>
      </w:r>
    </w:p>
    <w:p w14:paraId="23564A7C" w14:textId="77777777" w:rsidR="00443315" w:rsidRDefault="00443315" w:rsidP="00443315">
      <w:pPr>
        <w:jc w:val="both"/>
        <w:rPr>
          <w:b/>
          <w:lang w:val="fr-FR"/>
        </w:rPr>
      </w:pPr>
    </w:p>
    <w:p w14:paraId="40744A4B" w14:textId="77777777" w:rsidR="00443315" w:rsidRDefault="00443315" w:rsidP="00443315">
      <w:pPr>
        <w:jc w:val="both"/>
        <w:rPr>
          <w:b/>
          <w:lang w:val="fr-FR"/>
        </w:rPr>
      </w:pPr>
      <w:r>
        <w:rPr>
          <w:b/>
          <w:lang w:val="fr-FR"/>
        </w:rPr>
        <w:t>L’approche médicale est une approche fondée sur la déficience de l’individu. Le but ici est de contrer la déficience par des moyens médicaux (prothèses, opérations, etc.) et paramédicaux (kinésithérapie, logopédie, etc.) afin d’intégrer le sujet handicapé dans la norme de la société (à savoir la moyenne, plus quantitative que qualitative, du corps fonctionnel).  Il faut bien la différencier de l’approche eugéniste qui vise à éliminer les individus déficitaires (comme l’avortement d’un fœtus handicapé ; cf. Comité des droits des personnes handicapées).</w:t>
      </w:r>
    </w:p>
    <w:p w14:paraId="4852F184" w14:textId="77777777" w:rsidR="00443315" w:rsidRDefault="00443315" w:rsidP="00443315">
      <w:pPr>
        <w:rPr>
          <w:b/>
          <w:lang w:val="fr-FR"/>
        </w:rPr>
      </w:pPr>
    </w:p>
    <w:p w14:paraId="31083FBA" w14:textId="77777777" w:rsidR="00443315" w:rsidRDefault="00443315" w:rsidP="00443315">
      <w:pPr>
        <w:jc w:val="both"/>
        <w:rPr>
          <w:b/>
          <w:lang w:val="fr-FR"/>
        </w:rPr>
      </w:pPr>
      <w:r>
        <w:rPr>
          <w:b/>
          <w:lang w:val="fr-FR"/>
        </w:rPr>
        <w:t xml:space="preserve">Ainsi, en médecine, une personne sourde est une personne qui entend moins bien que la normale (définition de l’OMS). </w:t>
      </w:r>
    </w:p>
    <w:p w14:paraId="24819631" w14:textId="77777777" w:rsidR="00443315" w:rsidRDefault="00443315" w:rsidP="00443315">
      <w:pPr>
        <w:jc w:val="both"/>
        <w:rPr>
          <w:b/>
          <w:lang w:val="fr-FR"/>
        </w:rPr>
      </w:pPr>
    </w:p>
    <w:p w14:paraId="1A6BA48E" w14:textId="77777777" w:rsidR="00443315" w:rsidRDefault="00443315" w:rsidP="00443315">
      <w:pPr>
        <w:jc w:val="both"/>
        <w:rPr>
          <w:b/>
          <w:lang w:val="fr-FR"/>
        </w:rPr>
      </w:pPr>
      <w:r>
        <w:rPr>
          <w:b/>
          <w:lang w:val="fr-FR"/>
        </w:rPr>
        <w:t xml:space="preserve">On peut donc être né sourd (raison génétique, maladie ou intoxication </w:t>
      </w:r>
      <w:r w:rsidRPr="00ED1706">
        <w:rPr>
          <w:b/>
          <w:i/>
          <w:lang w:val="fr-FR"/>
        </w:rPr>
        <w:t>in utero</w:t>
      </w:r>
      <w:r>
        <w:rPr>
          <w:b/>
          <w:lang w:val="fr-FR"/>
        </w:rPr>
        <w:t xml:space="preserve">), ou devenu sourd soit durant sa petite enfance (surdité pré ou péri-linguale) ou être devenu sourd après l’acquisition du langage audio-oral (les enfants, adolescents ou adultes devenus sourds, ou surdité post-linguale). </w:t>
      </w:r>
    </w:p>
    <w:p w14:paraId="2E948B64" w14:textId="77777777" w:rsidR="00443315" w:rsidRDefault="00443315" w:rsidP="00443315">
      <w:pPr>
        <w:jc w:val="both"/>
        <w:rPr>
          <w:b/>
          <w:lang w:val="fr-FR"/>
        </w:rPr>
      </w:pPr>
    </w:p>
    <w:p w14:paraId="13B450D3" w14:textId="77777777" w:rsidR="00443315" w:rsidRDefault="00443315" w:rsidP="00443315">
      <w:pPr>
        <w:jc w:val="both"/>
        <w:rPr>
          <w:b/>
          <w:lang w:val="fr-FR"/>
        </w:rPr>
      </w:pPr>
      <w:r>
        <w:rPr>
          <w:b/>
          <w:lang w:val="fr-FR"/>
        </w:rPr>
        <w:t xml:space="preserve">De même, il y a différents stades de surdité, allant de la surdité légère (ce que l’on appelle habituellement quelqu’un de « dur de la feuille ») à la </w:t>
      </w:r>
      <w:proofErr w:type="spellStart"/>
      <w:r>
        <w:rPr>
          <w:b/>
          <w:lang w:val="fr-FR"/>
        </w:rPr>
        <w:t>cophose</w:t>
      </w:r>
      <w:proofErr w:type="spellEnd"/>
      <w:r>
        <w:rPr>
          <w:b/>
          <w:lang w:val="fr-FR"/>
        </w:rPr>
        <w:t xml:space="preserve"> (mort du nerf auditif), en passant par la surdité moyenne et sévère (ce que l’on appelle la </w:t>
      </w:r>
      <w:proofErr w:type="spellStart"/>
      <w:r>
        <w:rPr>
          <w:b/>
          <w:lang w:val="fr-FR"/>
        </w:rPr>
        <w:t>malentendance</w:t>
      </w:r>
      <w:proofErr w:type="spellEnd"/>
      <w:r>
        <w:rPr>
          <w:b/>
          <w:lang w:val="fr-FR"/>
        </w:rPr>
        <w:t>) ainsi que la surdité profonde (ou populairement</w:t>
      </w:r>
      <w:proofErr w:type="gramStart"/>
      <w:r>
        <w:rPr>
          <w:b/>
          <w:lang w:val="fr-FR"/>
        </w:rPr>
        <w:t xml:space="preserve"> «être</w:t>
      </w:r>
      <w:proofErr w:type="gramEnd"/>
      <w:r>
        <w:rPr>
          <w:b/>
          <w:lang w:val="fr-FR"/>
        </w:rPr>
        <w:t xml:space="preserve">  sourd comme un pot »). </w:t>
      </w:r>
    </w:p>
    <w:p w14:paraId="078D6BCC" w14:textId="77777777" w:rsidR="00443315" w:rsidRDefault="00443315" w:rsidP="00443315">
      <w:pPr>
        <w:jc w:val="both"/>
        <w:rPr>
          <w:b/>
          <w:lang w:val="fr-FR"/>
        </w:rPr>
      </w:pPr>
    </w:p>
    <w:p w14:paraId="576D2CFA" w14:textId="77777777" w:rsidR="00443315" w:rsidRDefault="00443315" w:rsidP="00443315">
      <w:pPr>
        <w:jc w:val="both"/>
        <w:rPr>
          <w:b/>
          <w:lang w:val="fr-FR"/>
        </w:rPr>
      </w:pPr>
      <w:r>
        <w:rPr>
          <w:b/>
          <w:lang w:val="fr-FR"/>
        </w:rPr>
        <w:t xml:space="preserve">Médicalement toujours, la surdité peut être de perception. C’est-à-dire que l’oreille entend le son, mais le circuit de l’oreille interne ne permet pas au son de correctement se transformer en signaux électriques, ou alors de transmettre ces signaux électriques jusqu’au cerveau (par exemple, un des osselets de l’oreille interne est défectueux, ou la cochlée est </w:t>
      </w:r>
      <w:proofErr w:type="spellStart"/>
      <w:r>
        <w:rPr>
          <w:b/>
          <w:lang w:val="fr-FR"/>
        </w:rPr>
        <w:t>lésionnée</w:t>
      </w:r>
      <w:proofErr w:type="spellEnd"/>
      <w:r>
        <w:rPr>
          <w:b/>
          <w:lang w:val="fr-FR"/>
        </w:rPr>
        <w:t xml:space="preserve">). C’est une surdité mécanique.  </w:t>
      </w:r>
    </w:p>
    <w:p w14:paraId="126351AF" w14:textId="77777777" w:rsidR="00443315" w:rsidRDefault="00443315" w:rsidP="00443315">
      <w:pPr>
        <w:jc w:val="both"/>
        <w:rPr>
          <w:b/>
          <w:lang w:val="fr-FR"/>
        </w:rPr>
      </w:pPr>
    </w:p>
    <w:p w14:paraId="07415868" w14:textId="77777777" w:rsidR="00443315" w:rsidRDefault="00443315" w:rsidP="00443315">
      <w:pPr>
        <w:jc w:val="both"/>
        <w:rPr>
          <w:b/>
          <w:lang w:val="fr-FR"/>
        </w:rPr>
      </w:pPr>
      <w:r>
        <w:rPr>
          <w:b/>
          <w:lang w:val="fr-FR"/>
        </w:rPr>
        <w:t>La surdité peut être aussi de transmission, c’est-à-dire que l’oreille fonctionne correctement, mais le cerveau n’est pas en mesure de comprendre les signaux électriques envoyés. C’est une surdité neurosensorielle.</w:t>
      </w:r>
    </w:p>
    <w:p w14:paraId="70E9393D" w14:textId="77777777" w:rsidR="00443315" w:rsidRDefault="00443315" w:rsidP="00443315">
      <w:pPr>
        <w:jc w:val="both"/>
        <w:rPr>
          <w:b/>
          <w:lang w:val="fr-FR"/>
        </w:rPr>
      </w:pPr>
    </w:p>
    <w:p w14:paraId="3E45C07D" w14:textId="77777777" w:rsidR="00443315" w:rsidRDefault="00443315" w:rsidP="00443315">
      <w:pPr>
        <w:jc w:val="both"/>
        <w:rPr>
          <w:b/>
          <w:lang w:val="fr-FR"/>
        </w:rPr>
      </w:pPr>
      <w:r>
        <w:rPr>
          <w:b/>
          <w:lang w:val="fr-FR"/>
        </w:rPr>
        <w:t xml:space="preserve">Enfin, la surdité peut-être également unilatérale ou bilatérale (une ou deux oreilles). </w:t>
      </w:r>
    </w:p>
    <w:p w14:paraId="14F64179" w14:textId="77777777" w:rsidR="00443315" w:rsidRDefault="00443315" w:rsidP="00443315">
      <w:pPr>
        <w:jc w:val="both"/>
        <w:rPr>
          <w:b/>
          <w:lang w:val="fr-FR"/>
        </w:rPr>
      </w:pPr>
    </w:p>
    <w:p w14:paraId="463A6C10" w14:textId="0BDC1673" w:rsidR="00443315" w:rsidRDefault="00443315" w:rsidP="00443315">
      <w:pPr>
        <w:jc w:val="both"/>
        <w:rPr>
          <w:b/>
          <w:lang w:val="fr-FR"/>
        </w:rPr>
      </w:pPr>
      <w:r>
        <w:rPr>
          <w:b/>
          <w:lang w:val="fr-FR"/>
        </w:rPr>
        <w:lastRenderedPageBreak/>
        <w:t>Dans tous les cas, l’acquisition ou la pérennisation du langage audio-oral est plus ou moins compromis</w:t>
      </w:r>
      <w:r w:rsidR="00895343">
        <w:rPr>
          <w:b/>
          <w:lang w:val="fr-FR"/>
        </w:rPr>
        <w:t>e</w:t>
      </w:r>
      <w:r>
        <w:rPr>
          <w:b/>
          <w:lang w:val="fr-FR"/>
        </w:rPr>
        <w:t xml:space="preserve">. </w:t>
      </w:r>
    </w:p>
    <w:p w14:paraId="4A5088FD" w14:textId="77777777" w:rsidR="00443315" w:rsidRDefault="00443315" w:rsidP="00443315">
      <w:pPr>
        <w:jc w:val="both"/>
        <w:rPr>
          <w:b/>
          <w:lang w:val="fr-FR"/>
        </w:rPr>
      </w:pPr>
    </w:p>
    <w:p w14:paraId="0EA43053" w14:textId="77777777" w:rsidR="00443315" w:rsidRDefault="00443315" w:rsidP="00443315">
      <w:pPr>
        <w:jc w:val="both"/>
        <w:rPr>
          <w:b/>
          <w:lang w:val="fr-FR"/>
        </w:rPr>
      </w:pPr>
      <w:r>
        <w:rPr>
          <w:b/>
          <w:lang w:val="fr-FR"/>
        </w:rPr>
        <w:t xml:space="preserve">Il s’agit donc d’une approche déficitaire en ce que l’on se concentre sur l’incapacité de la personne sourde à percevoir correctement les sons de son environnement immédiat et donc, en l’occurrence, à pouvoir communiquer avec ses semblables oralement. </w:t>
      </w:r>
    </w:p>
    <w:p w14:paraId="4BDE8E88" w14:textId="77777777" w:rsidR="00443315" w:rsidRDefault="00443315" w:rsidP="00443315">
      <w:pPr>
        <w:jc w:val="both"/>
        <w:rPr>
          <w:b/>
          <w:lang w:val="fr-FR"/>
        </w:rPr>
      </w:pPr>
    </w:p>
    <w:p w14:paraId="340EE1F5" w14:textId="77777777" w:rsidR="00443315" w:rsidRDefault="00443315" w:rsidP="00443315">
      <w:pPr>
        <w:jc w:val="both"/>
        <w:rPr>
          <w:b/>
          <w:lang w:val="fr-FR"/>
        </w:rPr>
      </w:pPr>
      <w:r>
        <w:rPr>
          <w:b/>
          <w:lang w:val="fr-FR"/>
        </w:rPr>
        <w:t xml:space="preserve">Il s’agira donc de restaurer l’audition perdue ou jamais vraiment acquise. En tout cas, c’est l’ambition de la médecine ORL, de l’audiologie et de la logopédie pour une grande partie de la surdité, à l’exception de la </w:t>
      </w:r>
      <w:proofErr w:type="spellStart"/>
      <w:r>
        <w:rPr>
          <w:b/>
          <w:lang w:val="fr-FR"/>
        </w:rPr>
        <w:t>cophose</w:t>
      </w:r>
      <w:proofErr w:type="spellEnd"/>
      <w:r>
        <w:rPr>
          <w:b/>
          <w:lang w:val="fr-FR"/>
        </w:rPr>
        <w:t xml:space="preserve"> bien entendu (à l’impossible nul n’est tenu). En sommes, la personne sourde est dans un écart à la norme, une pathologie, qu’il s’agit de réduire le plus possible. Il s’agit donc d’intégrer la personne sourde (ou plus largement la personne handicapée) à la société et à sa façon de vivre en collectivité (ici au niveau de la communication). </w:t>
      </w:r>
    </w:p>
    <w:p w14:paraId="39FF32B8" w14:textId="77777777" w:rsidR="00443315" w:rsidRDefault="00443315" w:rsidP="00443315">
      <w:pPr>
        <w:jc w:val="both"/>
        <w:rPr>
          <w:b/>
          <w:lang w:val="fr-FR"/>
        </w:rPr>
      </w:pPr>
    </w:p>
    <w:p w14:paraId="0E4997F6" w14:textId="77777777" w:rsidR="00443315" w:rsidRDefault="00443315" w:rsidP="00443315">
      <w:pPr>
        <w:jc w:val="both"/>
        <w:rPr>
          <w:b/>
          <w:lang w:val="fr-FR"/>
        </w:rPr>
      </w:pPr>
      <w:r>
        <w:rPr>
          <w:b/>
          <w:lang w:val="fr-FR"/>
        </w:rPr>
        <w:t xml:space="preserve">Au surplus, deux possibilités existent pour l’heure : l’appareillage (qui ne nécessite pas d’opération et est remboursé partiellement) ou l’implant (qui nécessite une grosse </w:t>
      </w:r>
      <w:proofErr w:type="gramStart"/>
      <w:r>
        <w:rPr>
          <w:b/>
          <w:lang w:val="fr-FR"/>
        </w:rPr>
        <w:t>opération,  de</w:t>
      </w:r>
      <w:proofErr w:type="gramEnd"/>
      <w:r>
        <w:rPr>
          <w:b/>
          <w:lang w:val="fr-FR"/>
        </w:rPr>
        <w:t xml:space="preserve"> préférence entre 2 et 4 ans, et est remboursé intégralement) avec pour point commun des séances </w:t>
      </w:r>
      <w:proofErr w:type="spellStart"/>
      <w:r>
        <w:rPr>
          <w:b/>
          <w:lang w:val="fr-FR"/>
        </w:rPr>
        <w:t>logopédiques</w:t>
      </w:r>
      <w:proofErr w:type="spellEnd"/>
      <w:r>
        <w:rPr>
          <w:b/>
          <w:lang w:val="fr-FR"/>
        </w:rPr>
        <w:t xml:space="preserve"> de lecture labiale et de prononciation correcte des mots.  </w:t>
      </w:r>
    </w:p>
    <w:p w14:paraId="3857670C" w14:textId="77777777" w:rsidR="00443315" w:rsidRDefault="00443315" w:rsidP="00443315">
      <w:pPr>
        <w:jc w:val="both"/>
        <w:rPr>
          <w:b/>
          <w:lang w:val="fr-FR"/>
        </w:rPr>
      </w:pPr>
    </w:p>
    <w:p w14:paraId="0C19176C" w14:textId="77777777" w:rsidR="00443315" w:rsidRDefault="00443315" w:rsidP="00443315">
      <w:pPr>
        <w:jc w:val="both"/>
        <w:rPr>
          <w:b/>
          <w:lang w:val="fr-FR"/>
        </w:rPr>
      </w:pPr>
      <w:r>
        <w:rPr>
          <w:b/>
          <w:lang w:val="fr-FR"/>
        </w:rPr>
        <w:t>Toutefois, la restauration de l’audition et du langage oral ne sera jamais complète : par exemple, il peut être difficile d’écouter la radio ou de visionner un dessin animé en raison de l’absence de lecture labiale correspondante.</w:t>
      </w:r>
    </w:p>
    <w:p w14:paraId="39A43877" w14:textId="77777777" w:rsidR="00443315" w:rsidRDefault="00443315" w:rsidP="00443315">
      <w:pPr>
        <w:jc w:val="both"/>
        <w:rPr>
          <w:b/>
          <w:lang w:val="fr-FR"/>
        </w:rPr>
      </w:pPr>
    </w:p>
    <w:p w14:paraId="6C1709D7" w14:textId="77777777" w:rsidR="00443315" w:rsidRDefault="00443315" w:rsidP="00443315">
      <w:pPr>
        <w:jc w:val="both"/>
        <w:rPr>
          <w:b/>
          <w:lang w:val="fr-FR"/>
        </w:rPr>
      </w:pPr>
      <w:r>
        <w:rPr>
          <w:b/>
          <w:lang w:val="fr-FR"/>
        </w:rPr>
        <w:t xml:space="preserve">C’est une approche qui peut être pertinente pour les personnes devenues sourdes en raison de la vieillesse ou en raison d’une maladie ou d’un traumatisme. Mais, le problème de cette approche réside dans le refus de considérer la surdité comme une façon originale d’être au monde. Il y a donc ici une négation de la différence comme richesse et surtout comme </w:t>
      </w:r>
      <w:proofErr w:type="spellStart"/>
      <w:r>
        <w:rPr>
          <w:b/>
          <w:lang w:val="fr-FR"/>
        </w:rPr>
        <w:t>co</w:t>
      </w:r>
      <w:proofErr w:type="spellEnd"/>
      <w:r>
        <w:rPr>
          <w:b/>
          <w:lang w:val="fr-FR"/>
        </w:rPr>
        <w:t>-normativité (façon alternative à l’audio-oralité d’être au monde).</w:t>
      </w:r>
    </w:p>
    <w:p w14:paraId="4AE16A6D" w14:textId="77777777" w:rsidR="00443315" w:rsidRDefault="00443315" w:rsidP="00443315">
      <w:pPr>
        <w:jc w:val="both"/>
        <w:rPr>
          <w:b/>
          <w:lang w:val="fr-FR"/>
        </w:rPr>
      </w:pPr>
      <w:r>
        <w:rPr>
          <w:b/>
          <w:lang w:val="fr-FR"/>
        </w:rPr>
        <w:t xml:space="preserve"> </w:t>
      </w:r>
    </w:p>
    <w:p w14:paraId="44BCB209" w14:textId="77777777" w:rsidR="00443315" w:rsidRDefault="00443315" w:rsidP="00443315">
      <w:pPr>
        <w:jc w:val="both"/>
        <w:rPr>
          <w:b/>
          <w:lang w:val="fr-FR"/>
        </w:rPr>
      </w:pPr>
      <w:r>
        <w:rPr>
          <w:b/>
          <w:lang w:val="fr-FR"/>
        </w:rPr>
        <w:t xml:space="preserve">De surcroît, cela peut mener au fantasme d’un entendant accompli. Ce qui peut amener au préjugé, pour les </w:t>
      </w:r>
      <w:proofErr w:type="spellStart"/>
      <w:r>
        <w:rPr>
          <w:b/>
          <w:lang w:val="fr-FR"/>
        </w:rPr>
        <w:t>entendants</w:t>
      </w:r>
      <w:proofErr w:type="spellEnd"/>
      <w:r>
        <w:rPr>
          <w:b/>
          <w:lang w:val="fr-FR"/>
        </w:rPr>
        <w:t xml:space="preserve">, d’un individu qui n’a pas de volonté de s’intégrer alors qu’il a reçu les soins appropriés pour contrer la carence. Cela implique un risque de mener à une dévalorisation de la personne sourde appareillée ou implantée. De la même manière, le risque est réel de créer d’immenses frustrations dans le chef de la personne sourde qui n’est pas vraiment incluse dans la collectivité </w:t>
      </w:r>
      <w:proofErr w:type="spellStart"/>
      <w:r>
        <w:rPr>
          <w:b/>
          <w:lang w:val="fr-FR"/>
        </w:rPr>
        <w:t>entendante</w:t>
      </w:r>
      <w:proofErr w:type="spellEnd"/>
      <w:r>
        <w:rPr>
          <w:b/>
          <w:lang w:val="fr-FR"/>
        </w:rPr>
        <w:t xml:space="preserve"> tout en étant niée dans sa différence (</w:t>
      </w:r>
      <w:r w:rsidRPr="00ED1706">
        <w:rPr>
          <w:b/>
          <w:i/>
          <w:lang w:val="fr-FR"/>
        </w:rPr>
        <w:t xml:space="preserve">cf. </w:t>
      </w:r>
      <w:r>
        <w:rPr>
          <w:b/>
          <w:lang w:val="fr-FR"/>
        </w:rPr>
        <w:t xml:space="preserve">la thèse de Charles Gaucher). Dans tous les cas, il existe un risque réel d’isolement, voire une exclusion de la personne sourde, soit en raison d’un repli de sa part liée à la difficulté d’intégration, soit en raison d’une dévalorisation et d’un mépris de la part de la société dans son chef (N. Stein). </w:t>
      </w:r>
    </w:p>
    <w:p w14:paraId="1606E654" w14:textId="77777777" w:rsidR="00443315" w:rsidRPr="00ED1706" w:rsidRDefault="00443315" w:rsidP="00443315">
      <w:pPr>
        <w:jc w:val="both"/>
        <w:rPr>
          <w:b/>
          <w:lang w:val="fr-FR"/>
        </w:rPr>
      </w:pPr>
      <w:r>
        <w:rPr>
          <w:b/>
          <w:lang w:val="fr-FR"/>
        </w:rPr>
        <w:t xml:space="preserve"> </w:t>
      </w:r>
    </w:p>
    <w:p w14:paraId="21BEDCF0" w14:textId="77777777" w:rsidR="00443315" w:rsidRDefault="00443315" w:rsidP="00443315">
      <w:pPr>
        <w:pStyle w:val="Titre2"/>
        <w:numPr>
          <w:ilvl w:val="0"/>
          <w:numId w:val="7"/>
        </w:numPr>
        <w:rPr>
          <w:lang w:val="fr-FR"/>
        </w:rPr>
      </w:pPr>
      <w:bookmarkStart w:id="5" w:name="_Toc5698745"/>
      <w:r>
        <w:rPr>
          <w:lang w:val="fr-FR"/>
        </w:rPr>
        <w:t>Le modèle social.</w:t>
      </w:r>
      <w:bookmarkEnd w:id="5"/>
      <w:r>
        <w:rPr>
          <w:lang w:val="fr-FR"/>
        </w:rPr>
        <w:t xml:space="preserve"> </w:t>
      </w:r>
    </w:p>
    <w:p w14:paraId="322EB469" w14:textId="1555E324" w:rsidR="00443315" w:rsidRDefault="00443315" w:rsidP="00443315">
      <w:pPr>
        <w:jc w:val="both"/>
        <w:rPr>
          <w:b/>
          <w:lang w:val="fr-FR"/>
        </w:rPr>
      </w:pPr>
      <w:r>
        <w:rPr>
          <w:b/>
          <w:lang w:val="fr-FR"/>
        </w:rPr>
        <w:t>En raison de l’échec de l’approche médical</w:t>
      </w:r>
      <w:r w:rsidR="00895343">
        <w:rPr>
          <w:b/>
          <w:lang w:val="fr-FR"/>
        </w:rPr>
        <w:t>e</w:t>
      </w:r>
      <w:r>
        <w:rPr>
          <w:b/>
          <w:lang w:val="fr-FR"/>
        </w:rPr>
        <w:t xml:space="preserve"> à contrer absolument la déficience et en raison du coût humain et médical, l’approche sociale du handicap développée par la sociologie du handicap a nié le caractère déficitaire de la personne handicapée et à contextualiser le handicap dans la vie en société. </w:t>
      </w:r>
    </w:p>
    <w:p w14:paraId="44CBF616" w14:textId="77777777" w:rsidR="00443315" w:rsidRDefault="00443315" w:rsidP="00443315">
      <w:pPr>
        <w:jc w:val="both"/>
        <w:rPr>
          <w:b/>
          <w:lang w:val="fr-FR"/>
        </w:rPr>
      </w:pPr>
    </w:p>
    <w:p w14:paraId="5FAC90F1" w14:textId="77777777" w:rsidR="00443315" w:rsidRDefault="00443315" w:rsidP="00443315">
      <w:pPr>
        <w:jc w:val="both"/>
        <w:rPr>
          <w:b/>
          <w:lang w:val="fr-FR"/>
        </w:rPr>
      </w:pPr>
      <w:r>
        <w:rPr>
          <w:b/>
          <w:lang w:val="fr-FR"/>
        </w:rPr>
        <w:lastRenderedPageBreak/>
        <w:t xml:space="preserve">Ainsi, il ne s’agit pas tant de parler de personnes handicapées que de société ou d’environnement handicapants. </w:t>
      </w:r>
    </w:p>
    <w:p w14:paraId="7A415D6A" w14:textId="77777777" w:rsidR="00443315" w:rsidRDefault="00443315" w:rsidP="00443315">
      <w:pPr>
        <w:jc w:val="both"/>
        <w:rPr>
          <w:b/>
          <w:lang w:val="fr-FR"/>
        </w:rPr>
      </w:pPr>
    </w:p>
    <w:p w14:paraId="38A9B2FB" w14:textId="77777777" w:rsidR="00443315" w:rsidRDefault="00443315" w:rsidP="00443315">
      <w:pPr>
        <w:jc w:val="both"/>
        <w:rPr>
          <w:b/>
          <w:lang w:val="fr-FR"/>
        </w:rPr>
      </w:pPr>
      <w:r>
        <w:rPr>
          <w:b/>
          <w:lang w:val="fr-FR"/>
        </w:rPr>
        <w:t xml:space="preserve">Les personnes sourdes le sont donc du fait d’une société auditivement et oralement centrée dans leur mode de communication, sans égard au mode </w:t>
      </w:r>
      <w:proofErr w:type="spellStart"/>
      <w:r>
        <w:rPr>
          <w:b/>
          <w:lang w:val="fr-FR"/>
        </w:rPr>
        <w:t>visuo</w:t>
      </w:r>
      <w:proofErr w:type="spellEnd"/>
      <w:r>
        <w:rPr>
          <w:b/>
          <w:lang w:val="fr-FR"/>
        </w:rPr>
        <w:t xml:space="preserve">-gestuel de communication des personnes sourdes… Entre elles, il n’y a pas de handicap du fait de la communication en langue des signes, et c’est plutôt les </w:t>
      </w:r>
      <w:proofErr w:type="spellStart"/>
      <w:r>
        <w:rPr>
          <w:b/>
          <w:lang w:val="fr-FR"/>
        </w:rPr>
        <w:t>entendants</w:t>
      </w:r>
      <w:proofErr w:type="spellEnd"/>
      <w:r>
        <w:rPr>
          <w:b/>
          <w:lang w:val="fr-FR"/>
        </w:rPr>
        <w:t xml:space="preserve"> qui, immergés dans un milieu sourd, se retrouvent handicapés communicationnels, ou déficients de psychomotricité fine (puisque la langue des signes utilise tout le corps au-dessus de la taille, en ce compris les expressions du visage, les sourcils, les dents, la langue, les lèvres, le souffle, etc. à l’exception, peut-être, des froncements de nez et de mouvements des lobes d’oreilles). </w:t>
      </w:r>
    </w:p>
    <w:p w14:paraId="61440A3E" w14:textId="77777777" w:rsidR="00443315" w:rsidRDefault="00443315" w:rsidP="00443315">
      <w:pPr>
        <w:jc w:val="both"/>
        <w:rPr>
          <w:b/>
          <w:lang w:val="fr-FR"/>
        </w:rPr>
      </w:pPr>
    </w:p>
    <w:p w14:paraId="0A49DC2C" w14:textId="77777777" w:rsidR="00443315" w:rsidRDefault="00443315" w:rsidP="00443315">
      <w:pPr>
        <w:jc w:val="both"/>
        <w:rPr>
          <w:b/>
          <w:lang w:val="fr-FR"/>
        </w:rPr>
      </w:pPr>
      <w:r>
        <w:rPr>
          <w:b/>
          <w:lang w:val="fr-FR"/>
        </w:rPr>
        <w:t xml:space="preserve">Ainsi, les personnes sourdes sont, à l’instar des personnes handicapées, une minorité oppressée par une normativité exclusive et </w:t>
      </w:r>
      <w:proofErr w:type="spellStart"/>
      <w:r>
        <w:rPr>
          <w:b/>
          <w:lang w:val="fr-FR"/>
        </w:rPr>
        <w:t>excluante</w:t>
      </w:r>
      <w:proofErr w:type="spellEnd"/>
      <w:r>
        <w:rPr>
          <w:b/>
          <w:lang w:val="fr-FR"/>
        </w:rPr>
        <w:t xml:space="preserve"> qui les nie dans leur différence et dans leur originalité.</w:t>
      </w:r>
    </w:p>
    <w:p w14:paraId="4E9029D3" w14:textId="77777777" w:rsidR="00443315" w:rsidRDefault="00443315" w:rsidP="00443315">
      <w:pPr>
        <w:jc w:val="both"/>
        <w:rPr>
          <w:b/>
          <w:lang w:val="fr-FR"/>
        </w:rPr>
      </w:pPr>
      <w:r>
        <w:rPr>
          <w:b/>
          <w:lang w:val="fr-FR"/>
        </w:rPr>
        <w:t xml:space="preserve">    </w:t>
      </w:r>
    </w:p>
    <w:p w14:paraId="0BA15314" w14:textId="77777777" w:rsidR="00443315" w:rsidRDefault="00443315" w:rsidP="00443315">
      <w:pPr>
        <w:jc w:val="both"/>
        <w:rPr>
          <w:b/>
          <w:lang w:val="fr-FR"/>
        </w:rPr>
      </w:pPr>
      <w:r>
        <w:rPr>
          <w:b/>
          <w:lang w:val="fr-FR"/>
        </w:rPr>
        <w:t xml:space="preserve">Vont donc se développer, à partir de la langue des signes, une culture sourde, une communauté sourde, une identité sourde. Bref, une </w:t>
      </w:r>
      <w:proofErr w:type="spellStart"/>
      <w:r>
        <w:rPr>
          <w:b/>
          <w:lang w:val="fr-FR"/>
        </w:rPr>
        <w:t>co</w:t>
      </w:r>
      <w:proofErr w:type="spellEnd"/>
      <w:r>
        <w:rPr>
          <w:b/>
          <w:lang w:val="fr-FR"/>
        </w:rPr>
        <w:t xml:space="preserve">-normativité à l’audio-oralité et non plus un écart à celle-ci qu’il faut réduire impérativement. Et cette </w:t>
      </w:r>
      <w:proofErr w:type="spellStart"/>
      <w:r>
        <w:rPr>
          <w:b/>
          <w:lang w:val="fr-FR"/>
        </w:rPr>
        <w:t>co</w:t>
      </w:r>
      <w:proofErr w:type="spellEnd"/>
      <w:r>
        <w:rPr>
          <w:b/>
          <w:lang w:val="fr-FR"/>
        </w:rPr>
        <w:t xml:space="preserve">-normativité va désigner toutes les personnes qui s’identifient à celle-ci, en ce compris les personnes </w:t>
      </w:r>
      <w:proofErr w:type="spellStart"/>
      <w:r>
        <w:rPr>
          <w:b/>
          <w:lang w:val="fr-FR"/>
        </w:rPr>
        <w:t>entendantes</w:t>
      </w:r>
      <w:proofErr w:type="spellEnd"/>
      <w:r>
        <w:rPr>
          <w:b/>
          <w:lang w:val="fr-FR"/>
        </w:rPr>
        <w:t xml:space="preserve"> pratiquant la LS et faisant partie de la communauté sourde (comme les conjoints </w:t>
      </w:r>
      <w:proofErr w:type="spellStart"/>
      <w:r>
        <w:rPr>
          <w:b/>
          <w:lang w:val="fr-FR"/>
        </w:rPr>
        <w:t>entendants</w:t>
      </w:r>
      <w:proofErr w:type="spellEnd"/>
      <w:r>
        <w:rPr>
          <w:b/>
          <w:lang w:val="fr-FR"/>
        </w:rPr>
        <w:t xml:space="preserve"> ou les enfants </w:t>
      </w:r>
      <w:proofErr w:type="spellStart"/>
      <w:r>
        <w:rPr>
          <w:b/>
          <w:lang w:val="fr-FR"/>
        </w:rPr>
        <w:t>entendants</w:t>
      </w:r>
      <w:proofErr w:type="spellEnd"/>
      <w:r>
        <w:rPr>
          <w:b/>
          <w:lang w:val="fr-FR"/>
        </w:rPr>
        <w:t xml:space="preserve"> de parents sourds,</w:t>
      </w:r>
      <w:r w:rsidRPr="00EC48F5">
        <w:rPr>
          <w:b/>
          <w:i/>
          <w:lang w:val="fr-FR"/>
        </w:rPr>
        <w:t xml:space="preserve"> cf</w:t>
      </w:r>
      <w:r>
        <w:rPr>
          <w:b/>
          <w:lang w:val="fr-FR"/>
        </w:rPr>
        <w:t>. le film « La famille Bélier » pour un exemple populaire).</w:t>
      </w:r>
    </w:p>
    <w:p w14:paraId="46FCEE6C" w14:textId="77777777" w:rsidR="00443315" w:rsidRDefault="00443315" w:rsidP="00443315">
      <w:pPr>
        <w:jc w:val="both"/>
        <w:rPr>
          <w:b/>
          <w:lang w:val="fr-FR"/>
        </w:rPr>
      </w:pPr>
    </w:p>
    <w:p w14:paraId="70537C00" w14:textId="77777777" w:rsidR="00443315" w:rsidRDefault="00443315" w:rsidP="00443315">
      <w:pPr>
        <w:jc w:val="both"/>
        <w:rPr>
          <w:b/>
          <w:lang w:val="fr-FR"/>
        </w:rPr>
      </w:pPr>
      <w:r>
        <w:rPr>
          <w:b/>
          <w:lang w:val="fr-FR"/>
        </w:rPr>
        <w:t xml:space="preserve">Bref, il y a dans l’approche sociale du handicap un respect, une protection et une promotion de la différence et surtout une contextualisation du handicap. Par conséquent, la politique que les pouvoirs publics doivent mettre en place n’est pas une politique d’intégration, mais bien une politique d’inclusion. C’est-à-dire, faire rencontrer les deux normes, adapter la société à la différence, sans pour autant renier sa propre normativité.   </w:t>
      </w:r>
    </w:p>
    <w:p w14:paraId="4DC8F2E0" w14:textId="77777777" w:rsidR="00443315" w:rsidRDefault="00443315" w:rsidP="00443315">
      <w:pPr>
        <w:jc w:val="both"/>
        <w:rPr>
          <w:b/>
          <w:lang w:val="fr-FR"/>
        </w:rPr>
      </w:pPr>
    </w:p>
    <w:p w14:paraId="311A645A" w14:textId="77777777" w:rsidR="00443315" w:rsidRDefault="00443315" w:rsidP="00443315">
      <w:pPr>
        <w:jc w:val="both"/>
        <w:rPr>
          <w:b/>
          <w:lang w:val="fr-FR"/>
        </w:rPr>
      </w:pPr>
      <w:r>
        <w:rPr>
          <w:b/>
          <w:lang w:val="fr-FR"/>
        </w:rPr>
        <w:t xml:space="preserve">Néanmoins, le gros défaut de cette approche est la négation de la déficience corporelle en tant que tel. En effet, les personnes sourdes dans leur globalité ne nient pas qu’elles n’entendent pas et que cela peut les limiter dans certaines circonstances (un sourd ne peut pas rêver de travailler comme </w:t>
      </w:r>
      <w:proofErr w:type="spellStart"/>
      <w:r>
        <w:rPr>
          <w:b/>
          <w:lang w:val="fr-FR"/>
        </w:rPr>
        <w:t>sonariste</w:t>
      </w:r>
      <w:proofErr w:type="spellEnd"/>
      <w:r>
        <w:rPr>
          <w:b/>
          <w:lang w:val="fr-FR"/>
        </w:rPr>
        <w:t xml:space="preserve"> dans un sous-marin). De même, nier le caractère déficitaire de la perte d’audition ne permet pas de prendre en compte la réalité des devenus sourds qui ont acquis le langage oral et cherche à rester tant que faire se peut dans cette norme. </w:t>
      </w:r>
    </w:p>
    <w:p w14:paraId="5C889687" w14:textId="77777777" w:rsidR="00443315" w:rsidRDefault="00443315" w:rsidP="00443315">
      <w:pPr>
        <w:jc w:val="both"/>
        <w:rPr>
          <w:b/>
          <w:lang w:val="fr-FR"/>
        </w:rPr>
      </w:pPr>
    </w:p>
    <w:p w14:paraId="7F039DF8" w14:textId="77777777" w:rsidR="00443315" w:rsidRDefault="00443315" w:rsidP="00443315">
      <w:pPr>
        <w:jc w:val="both"/>
        <w:rPr>
          <w:b/>
          <w:lang w:val="fr-FR"/>
        </w:rPr>
      </w:pPr>
      <w:r>
        <w:rPr>
          <w:b/>
          <w:lang w:val="fr-FR"/>
        </w:rPr>
        <w:t xml:space="preserve">Par contre, les personnes nées sourdes ou devenues sourdes lors des stades pré ou péri-linguaux fustigent bien l’atteinte portée par les personnes </w:t>
      </w:r>
      <w:proofErr w:type="spellStart"/>
      <w:r>
        <w:rPr>
          <w:b/>
          <w:lang w:val="fr-FR"/>
        </w:rPr>
        <w:t>entendantes</w:t>
      </w:r>
      <w:proofErr w:type="spellEnd"/>
      <w:r>
        <w:rPr>
          <w:b/>
          <w:lang w:val="fr-FR"/>
        </w:rPr>
        <w:t xml:space="preserve">, en ce compris via des politiques publiques médicales ou culturelles instiguées par celles-ci, dans leur usage de la langue des signes et leur appartenance communautaire et culturelle idoine et donc dans la négation de leur identité (certains vont jusqu’à parler de génocide culturel). </w:t>
      </w:r>
    </w:p>
    <w:p w14:paraId="48D026A2" w14:textId="77777777" w:rsidR="00443315" w:rsidRPr="00F82F14" w:rsidRDefault="00443315" w:rsidP="00443315">
      <w:pPr>
        <w:jc w:val="both"/>
        <w:rPr>
          <w:b/>
          <w:lang w:val="fr-FR"/>
        </w:rPr>
      </w:pPr>
    </w:p>
    <w:p w14:paraId="7466F249" w14:textId="77777777" w:rsidR="00443315" w:rsidRPr="00F82F14" w:rsidRDefault="00443315" w:rsidP="00443315">
      <w:pPr>
        <w:pStyle w:val="Titre2"/>
        <w:numPr>
          <w:ilvl w:val="0"/>
          <w:numId w:val="7"/>
        </w:numPr>
        <w:rPr>
          <w:lang w:val="fr-FR"/>
        </w:rPr>
      </w:pPr>
      <w:bookmarkStart w:id="6" w:name="_Toc5698746"/>
      <w:r>
        <w:rPr>
          <w:lang w:val="fr-FR"/>
        </w:rPr>
        <w:lastRenderedPageBreak/>
        <w:t>Le modèle de la CDPH.</w:t>
      </w:r>
      <w:bookmarkEnd w:id="6"/>
      <w:r>
        <w:rPr>
          <w:lang w:val="fr-FR"/>
        </w:rPr>
        <w:t xml:space="preserve"> </w:t>
      </w:r>
    </w:p>
    <w:p w14:paraId="2C69C7C4" w14:textId="77777777" w:rsidR="00443315" w:rsidRPr="000530EA" w:rsidRDefault="00443315" w:rsidP="00443315">
      <w:pPr>
        <w:pStyle w:val="SingleTxt"/>
        <w:keepNext/>
        <w:keepLines/>
        <w:spacing w:after="140" w:line="300" w:lineRule="exact"/>
        <w:ind w:left="0" w:right="0"/>
        <w:rPr>
          <w:rFonts w:asciiTheme="minorHAnsi" w:hAnsiTheme="minorHAnsi" w:cstheme="minorHAnsi"/>
          <w:sz w:val="24"/>
          <w:szCs w:val="24"/>
        </w:rPr>
      </w:pPr>
      <w:r w:rsidRPr="000530EA">
        <w:rPr>
          <w:rFonts w:asciiTheme="minorHAnsi" w:hAnsiTheme="minorHAnsi" w:cstheme="minorHAnsi"/>
          <w:b/>
          <w:sz w:val="24"/>
          <w:szCs w:val="24"/>
          <w:lang w:val="fr-FR"/>
        </w:rPr>
        <w:t>L’alinéa 2 de la CDPH est libellé comme suit « </w:t>
      </w:r>
      <w:r w:rsidRPr="000530EA">
        <w:rPr>
          <w:rFonts w:asciiTheme="minorHAnsi" w:hAnsiTheme="minorHAnsi" w:cstheme="minorHAnsi"/>
          <w:b/>
          <w:sz w:val="24"/>
          <w:szCs w:val="24"/>
        </w:rPr>
        <w:t>Par personnes handicapées on entend des personnes qui présentent des incapacités physiques, mentales, intellectuelles ou sensorielles durables dont l’interaction avec diverses barrières peut faire obstacle à leur pleine et effective participation à la société sur la base de l’égalité avec les autres ».</w:t>
      </w:r>
    </w:p>
    <w:p w14:paraId="71217DBF" w14:textId="77777777" w:rsidR="00443315" w:rsidRDefault="00443315" w:rsidP="00443315">
      <w:pPr>
        <w:jc w:val="both"/>
        <w:rPr>
          <w:b/>
          <w:lang w:val="fr-FR"/>
        </w:rPr>
      </w:pPr>
      <w:r>
        <w:rPr>
          <w:b/>
          <w:lang w:val="fr-FR"/>
        </w:rPr>
        <w:t>Tout d’abord, pour une partie de la doctrine, minoritaire, il s’agit d’une définition. Pour une autre, majoritaire, dont le Comité dans sa décision S.C. contre Brésil de 2010, il s’agit d’une liste non exhaustive de caractéristiques dont on peut s’écarter en fonction des circonstances.</w:t>
      </w:r>
    </w:p>
    <w:p w14:paraId="2CE1F688" w14:textId="77777777" w:rsidR="00443315" w:rsidRDefault="00443315" w:rsidP="00443315">
      <w:pPr>
        <w:jc w:val="both"/>
        <w:rPr>
          <w:b/>
          <w:lang w:val="fr-FR"/>
        </w:rPr>
      </w:pPr>
    </w:p>
    <w:p w14:paraId="73BB99D8" w14:textId="77777777" w:rsidR="00443315" w:rsidRDefault="00443315" w:rsidP="00443315">
      <w:pPr>
        <w:jc w:val="both"/>
        <w:rPr>
          <w:b/>
          <w:lang w:val="fr-FR"/>
        </w:rPr>
      </w:pPr>
      <w:r>
        <w:rPr>
          <w:b/>
          <w:lang w:val="fr-FR"/>
        </w:rPr>
        <w:t xml:space="preserve">Pis, la version de ce texte change en fonction de la langue, donnant raison tantôt à l’une ou l’autre des interprétations du texte. Ainsi, les versions anglaises et espagnoles donnent raison à la doctrine majoritaire et à l’interprétation du Comité </w:t>
      </w:r>
      <w:r w:rsidRPr="009C1CF7">
        <w:rPr>
          <w:b/>
          <w:i/>
          <w:lang w:val="fr-FR"/>
        </w:rPr>
        <w:t>ad hoc</w:t>
      </w:r>
      <w:r>
        <w:rPr>
          <w:b/>
          <w:i/>
          <w:lang w:val="fr-FR"/>
        </w:rPr>
        <w:t xml:space="preserve"> </w:t>
      </w:r>
      <w:r>
        <w:rPr>
          <w:b/>
          <w:lang w:val="fr-FR"/>
        </w:rPr>
        <w:t xml:space="preserve">d’une liste indicative.  Par contre, les versions française et russe donnent, toutes deux, raison à l’approche minoritaire de la définition exhaustive. Il ne m’a pas encore été possible d’obtenir les versions arabes et chinoises, mais j’y compte bien ! </w:t>
      </w:r>
    </w:p>
    <w:p w14:paraId="7F09D685" w14:textId="77777777" w:rsidR="00443315" w:rsidRDefault="00443315" w:rsidP="00443315">
      <w:pPr>
        <w:jc w:val="both"/>
        <w:rPr>
          <w:b/>
          <w:lang w:val="fr-FR"/>
        </w:rPr>
      </w:pPr>
    </w:p>
    <w:p w14:paraId="3777B19D" w14:textId="77777777" w:rsidR="00443315" w:rsidRDefault="00443315" w:rsidP="00443315">
      <w:pPr>
        <w:jc w:val="both"/>
        <w:rPr>
          <w:rFonts w:cstheme="minorHAnsi"/>
          <w:b/>
          <w:lang w:val="fr-FR"/>
        </w:rPr>
      </w:pPr>
      <w:r>
        <w:rPr>
          <w:rFonts w:cstheme="minorHAnsi"/>
          <w:b/>
          <w:lang w:val="fr-FR"/>
        </w:rPr>
        <w:t>Ensuite, il est clair que l’approche médicale</w:t>
      </w:r>
      <w:r w:rsidR="006263A4">
        <w:rPr>
          <w:rFonts w:cstheme="minorHAnsi"/>
          <w:b/>
          <w:lang w:val="fr-FR"/>
        </w:rPr>
        <w:t xml:space="preserve"> exclusive</w:t>
      </w:r>
      <w:r>
        <w:rPr>
          <w:rFonts w:cstheme="minorHAnsi"/>
          <w:b/>
          <w:lang w:val="fr-FR"/>
        </w:rPr>
        <w:t xml:space="preserve"> est rejetée par ce texte en raison de l’interaction entre la déficience et l’organisation sociale handicapante.</w:t>
      </w:r>
    </w:p>
    <w:p w14:paraId="05E5B346" w14:textId="77777777" w:rsidR="00443315" w:rsidRDefault="00443315" w:rsidP="00443315">
      <w:pPr>
        <w:jc w:val="both"/>
        <w:rPr>
          <w:rFonts w:cstheme="minorHAnsi"/>
          <w:b/>
          <w:lang w:val="fr-FR"/>
        </w:rPr>
      </w:pPr>
    </w:p>
    <w:p w14:paraId="581B32BC" w14:textId="77777777" w:rsidR="00443315" w:rsidRDefault="00443315" w:rsidP="00443315">
      <w:pPr>
        <w:jc w:val="both"/>
        <w:rPr>
          <w:b/>
          <w:lang w:val="fr-FR"/>
        </w:rPr>
      </w:pPr>
      <w:r>
        <w:rPr>
          <w:rFonts w:cstheme="minorHAnsi"/>
          <w:b/>
          <w:lang w:val="fr-FR"/>
        </w:rPr>
        <w:t>Mais est-ce pour autant une approche sociale</w:t>
      </w:r>
      <w:r w:rsidR="006263A4">
        <w:rPr>
          <w:rFonts w:cstheme="minorHAnsi"/>
          <w:b/>
          <w:lang w:val="fr-FR"/>
        </w:rPr>
        <w:t xml:space="preserve"> pure</w:t>
      </w:r>
      <w:r>
        <w:rPr>
          <w:rFonts w:cstheme="minorHAnsi"/>
          <w:b/>
          <w:lang w:val="fr-FR"/>
        </w:rPr>
        <w:t xml:space="preserve"> ? Rien n’est moins sûr et les </w:t>
      </w:r>
      <w:r>
        <w:rPr>
          <w:b/>
          <w:lang w:val="fr-FR"/>
        </w:rPr>
        <w:t xml:space="preserve">deux doctrines précitées s’affrontent à nouveau. </w:t>
      </w:r>
    </w:p>
    <w:p w14:paraId="267639E1" w14:textId="77777777" w:rsidR="00443315" w:rsidRDefault="00443315" w:rsidP="00443315">
      <w:pPr>
        <w:jc w:val="both"/>
        <w:rPr>
          <w:b/>
          <w:lang w:val="fr-FR"/>
        </w:rPr>
      </w:pPr>
    </w:p>
    <w:p w14:paraId="20972F94" w14:textId="284D2421" w:rsidR="00443315" w:rsidRDefault="00443315" w:rsidP="00443315">
      <w:pPr>
        <w:jc w:val="both"/>
        <w:rPr>
          <w:b/>
          <w:lang w:val="fr-FR"/>
        </w:rPr>
      </w:pPr>
      <w:r>
        <w:rPr>
          <w:b/>
          <w:lang w:val="fr-FR"/>
        </w:rPr>
        <w:t xml:space="preserve">La majoritaire défend </w:t>
      </w:r>
      <w:r w:rsidRPr="000530EA">
        <w:rPr>
          <w:b/>
          <w:i/>
          <w:lang w:val="fr-FR"/>
        </w:rPr>
        <w:t>grosso modo</w:t>
      </w:r>
      <w:r>
        <w:rPr>
          <w:b/>
          <w:lang w:val="fr-FR"/>
        </w:rPr>
        <w:t xml:space="preserve"> le modèle social du handicap comme modèle de la Convention, et ce en se basant d’une part sur </w:t>
      </w:r>
      <w:r w:rsidR="00895343">
        <w:rPr>
          <w:b/>
          <w:lang w:val="fr-FR"/>
        </w:rPr>
        <w:t xml:space="preserve">la </w:t>
      </w:r>
      <w:r>
        <w:rPr>
          <w:b/>
          <w:lang w:val="fr-FR"/>
        </w:rPr>
        <w:t>version anglaise ou espagnole, et d’autre part sur l’interprétation des travaux préparatoires qui rechignaient à une définition, dans la crainte que « définir c’est exclure », pour reprendre le mot de Maxime Vanderstraeten (cf. la lettre du Président du comité de rédaction). En somme, la catégorie juridique de « personnes handicapées » est extrêmement large</w:t>
      </w:r>
      <w:r w:rsidR="006263A4">
        <w:rPr>
          <w:b/>
          <w:lang w:val="fr-FR"/>
        </w:rPr>
        <w:t> (</w:t>
      </w:r>
      <w:r>
        <w:rPr>
          <w:b/>
          <w:lang w:val="fr-FR"/>
        </w:rPr>
        <w:t xml:space="preserve">dans les versions les plus volontaristes, comme l’approche universaliste du handicap défendue par Lisa Waddington, la vieillesse ou des ongles incarnés peuvent être considérés comme un handicap en fonction des barrières sociales).  Cela a pour avantage de penser à des personnes auxquelles on n’aurait jamais pensé autrement et </w:t>
      </w:r>
      <w:r w:rsidR="00D13D89">
        <w:rPr>
          <w:b/>
          <w:lang w:val="fr-FR"/>
        </w:rPr>
        <w:t>d’</w:t>
      </w:r>
      <w:r>
        <w:rPr>
          <w:b/>
          <w:lang w:val="fr-FR"/>
        </w:rPr>
        <w:t>ainsi garantir leur</w:t>
      </w:r>
      <w:r w:rsidR="00D13D89">
        <w:rPr>
          <w:b/>
          <w:lang w:val="fr-FR"/>
        </w:rPr>
        <w:t>s</w:t>
      </w:r>
      <w:r>
        <w:rPr>
          <w:b/>
          <w:lang w:val="fr-FR"/>
        </w:rPr>
        <w:t xml:space="preserve"> droit</w:t>
      </w:r>
      <w:r w:rsidR="00D13D89">
        <w:rPr>
          <w:b/>
          <w:lang w:val="fr-FR"/>
        </w:rPr>
        <w:t>s</w:t>
      </w:r>
      <w:r>
        <w:rPr>
          <w:b/>
          <w:lang w:val="fr-FR"/>
        </w:rPr>
        <w:t xml:space="preserve"> avec ce régime spécifique (des personnes mutilées comme les femmes excisées ou les albinos d’Afrique orientale, des malades de longue durée comme les sidaïques et les cancéreux, etc.) </w:t>
      </w:r>
    </w:p>
    <w:p w14:paraId="6308F524" w14:textId="77777777" w:rsidR="00443315" w:rsidRDefault="00443315" w:rsidP="00443315">
      <w:pPr>
        <w:jc w:val="both"/>
        <w:rPr>
          <w:b/>
          <w:lang w:val="fr-FR"/>
        </w:rPr>
      </w:pPr>
    </w:p>
    <w:p w14:paraId="69B13EA4" w14:textId="326FD856" w:rsidR="00443315" w:rsidRDefault="00443315" w:rsidP="00443315">
      <w:pPr>
        <w:jc w:val="both"/>
        <w:rPr>
          <w:b/>
          <w:lang w:val="fr-FR"/>
        </w:rPr>
      </w:pPr>
      <w:r>
        <w:rPr>
          <w:b/>
          <w:lang w:val="fr-FR"/>
        </w:rPr>
        <w:t>Cela a néanmoins pour défaut de rendre flo</w:t>
      </w:r>
      <w:r w:rsidR="00D13D89">
        <w:rPr>
          <w:b/>
          <w:lang w:val="fr-FR"/>
        </w:rPr>
        <w:t>ue la délimitation du champ d’application personnel de</w:t>
      </w:r>
      <w:r>
        <w:rPr>
          <w:b/>
          <w:lang w:val="fr-FR"/>
        </w:rPr>
        <w:t xml:space="preserve"> la CDPH pour les États qui peuvent être condamnés à tout moment</w:t>
      </w:r>
      <w:r w:rsidR="006263A4">
        <w:rPr>
          <w:b/>
          <w:lang w:val="fr-FR"/>
        </w:rPr>
        <w:t xml:space="preserve"> pour des catégories auxquelles on ne pense pas d’ordinaire (tel l’exemple de S.C. contre Brésil)</w:t>
      </w:r>
      <w:r>
        <w:rPr>
          <w:b/>
          <w:lang w:val="fr-FR"/>
        </w:rPr>
        <w:t xml:space="preserve">. Par l’absurde, si tout le monde est susceptible d’être confronté à des barrières sociales en raison de caractéristiques biologiques jugées déficitaires, qu’en est-il d’une mannequin poilue des jambes ou moustachue ? Peut-on la considérer comme victime d’une discrimination sur base du handicap dans l’exercice de son emploi de mannequin en raison de sa pilosité (la pilosité entravant l’exercice de son emploi) ?   </w:t>
      </w:r>
    </w:p>
    <w:p w14:paraId="4FBD0E3E" w14:textId="77777777" w:rsidR="00443315" w:rsidRDefault="00443315" w:rsidP="00443315">
      <w:pPr>
        <w:jc w:val="both"/>
        <w:rPr>
          <w:b/>
          <w:lang w:val="fr-FR"/>
        </w:rPr>
      </w:pPr>
    </w:p>
    <w:p w14:paraId="22D8333F" w14:textId="548014D9" w:rsidR="00443315" w:rsidRDefault="00443315" w:rsidP="00443315">
      <w:pPr>
        <w:jc w:val="both"/>
        <w:rPr>
          <w:b/>
          <w:lang w:val="fr-FR"/>
        </w:rPr>
      </w:pPr>
      <w:r>
        <w:rPr>
          <w:b/>
          <w:lang w:val="fr-FR"/>
        </w:rPr>
        <w:lastRenderedPageBreak/>
        <w:t>De l’autre côté, la</w:t>
      </w:r>
      <w:r w:rsidR="00D13D89">
        <w:rPr>
          <w:b/>
          <w:lang w:val="fr-FR"/>
        </w:rPr>
        <w:t xml:space="preserve"> thèse</w:t>
      </w:r>
      <w:r>
        <w:rPr>
          <w:b/>
          <w:lang w:val="fr-FR"/>
        </w:rPr>
        <w:t xml:space="preserve"> minoritaire, </w:t>
      </w:r>
      <w:r w:rsidR="006263A4">
        <w:rPr>
          <w:b/>
          <w:lang w:val="fr-FR"/>
        </w:rPr>
        <w:t>fond</w:t>
      </w:r>
      <w:r>
        <w:rPr>
          <w:b/>
          <w:lang w:val="fr-FR"/>
        </w:rPr>
        <w:t>é</w:t>
      </w:r>
      <w:r w:rsidR="006263A4">
        <w:rPr>
          <w:b/>
          <w:lang w:val="fr-FR"/>
        </w:rPr>
        <w:t>e</w:t>
      </w:r>
      <w:r>
        <w:rPr>
          <w:b/>
          <w:lang w:val="fr-FR"/>
        </w:rPr>
        <w:t xml:space="preserve"> sur une lecture des textes français ou russe, et en se basant sur les mots des autres versions, défend une interprétation </w:t>
      </w:r>
      <w:r w:rsidR="006263A4">
        <w:rPr>
          <w:b/>
          <w:lang w:val="fr-FR"/>
        </w:rPr>
        <w:t>de l’alinéa 2 comme une définition exhaustive</w:t>
      </w:r>
      <w:r>
        <w:rPr>
          <w:b/>
          <w:lang w:val="fr-FR"/>
        </w:rPr>
        <w:t xml:space="preserve"> du handicap et donc limitative. De ce fait, elle défend une approche synthétique du handicap à savoir que le modèle social est nuancé par le début de la définition du 2d alinéa qui insiste sur les déficiences corporelles. Ainsi, pour cette doctrine, la CDPH ne nie pas la déficience, ni plus qu’elle nie le contexte social de celle-ci, mais prend en compt</w:t>
      </w:r>
      <w:r w:rsidR="006263A4">
        <w:rPr>
          <w:b/>
          <w:lang w:val="fr-FR"/>
        </w:rPr>
        <w:t>e, d’une part,</w:t>
      </w:r>
      <w:r>
        <w:rPr>
          <w:b/>
          <w:lang w:val="fr-FR"/>
        </w:rPr>
        <w:t xml:space="preserve"> la complexité du phénomène du handicap, à la fois biologique et environnemental, et prend en compte</w:t>
      </w:r>
      <w:r w:rsidR="006263A4">
        <w:rPr>
          <w:b/>
          <w:lang w:val="fr-FR"/>
        </w:rPr>
        <w:t>, d’autre part,</w:t>
      </w:r>
      <w:r>
        <w:rPr>
          <w:b/>
          <w:lang w:val="fr-FR"/>
        </w:rPr>
        <w:t xml:space="preserve"> la réponse que les personnes handicapées peuvent apporter à cette complexité</w:t>
      </w:r>
      <w:r w:rsidR="006263A4">
        <w:rPr>
          <w:b/>
          <w:lang w:val="fr-FR"/>
        </w:rPr>
        <w:t>, à l’instar des personnes sourdes qui ont établi une culture</w:t>
      </w:r>
      <w:r w:rsidR="00342705">
        <w:rPr>
          <w:b/>
          <w:lang w:val="fr-FR"/>
        </w:rPr>
        <w:t xml:space="preserve"> et une langue</w:t>
      </w:r>
      <w:r w:rsidR="006263A4">
        <w:rPr>
          <w:b/>
          <w:lang w:val="fr-FR"/>
        </w:rPr>
        <w:t xml:space="preserve"> originale</w:t>
      </w:r>
      <w:r w:rsidR="00342705">
        <w:rPr>
          <w:b/>
          <w:lang w:val="fr-FR"/>
        </w:rPr>
        <w:t>s</w:t>
      </w:r>
      <w:r w:rsidR="006263A4">
        <w:rPr>
          <w:b/>
          <w:lang w:val="fr-FR"/>
        </w:rPr>
        <w:t xml:space="preserve"> à partir d’un manque. </w:t>
      </w:r>
      <w:r>
        <w:rPr>
          <w:b/>
          <w:lang w:val="fr-FR"/>
        </w:rPr>
        <w:t xml:space="preserve">  </w:t>
      </w:r>
    </w:p>
    <w:p w14:paraId="5B32BFBE" w14:textId="77777777" w:rsidR="00443315" w:rsidRDefault="00443315" w:rsidP="00443315">
      <w:pPr>
        <w:jc w:val="both"/>
        <w:rPr>
          <w:b/>
          <w:lang w:val="fr-FR"/>
        </w:rPr>
      </w:pPr>
    </w:p>
    <w:p w14:paraId="44F2BD48" w14:textId="5B26E676" w:rsidR="00443315" w:rsidRDefault="00443315" w:rsidP="00443315">
      <w:pPr>
        <w:jc w:val="both"/>
        <w:rPr>
          <w:b/>
          <w:lang w:val="fr-FR"/>
        </w:rPr>
      </w:pPr>
      <w:r>
        <w:rPr>
          <w:b/>
          <w:lang w:val="fr-FR"/>
        </w:rPr>
        <w:t xml:space="preserve"> </w:t>
      </w:r>
      <w:r w:rsidR="00D13D89">
        <w:rPr>
          <w:b/>
          <w:lang w:val="fr-FR"/>
        </w:rPr>
        <w:t>L</w:t>
      </w:r>
      <w:r>
        <w:rPr>
          <w:b/>
          <w:lang w:val="fr-FR"/>
        </w:rPr>
        <w:t xml:space="preserve">a faiblesse </w:t>
      </w:r>
      <w:r w:rsidR="00D13D89">
        <w:rPr>
          <w:b/>
          <w:lang w:val="fr-FR"/>
        </w:rPr>
        <w:t>de cette thèse minoritaire réside</w:t>
      </w:r>
      <w:r>
        <w:rPr>
          <w:b/>
          <w:lang w:val="fr-FR"/>
        </w:rPr>
        <w:t xml:space="preserve"> dans le fait qu’elle </w:t>
      </w:r>
      <w:r w:rsidR="00D13D89">
        <w:rPr>
          <w:b/>
          <w:lang w:val="fr-FR"/>
        </w:rPr>
        <w:t>navigue</w:t>
      </w:r>
      <w:r>
        <w:rPr>
          <w:b/>
          <w:lang w:val="fr-FR"/>
        </w:rPr>
        <w:t xml:space="preserve"> à contre-courant du Comité. Sa force est dans sa capacité à circonscrire le handicap de telle façon que l’on mette en lumière les personnes dont les droits fondamentaux ont été niés ou </w:t>
      </w:r>
      <w:proofErr w:type="spellStart"/>
      <w:r>
        <w:rPr>
          <w:b/>
          <w:lang w:val="fr-FR"/>
        </w:rPr>
        <w:t>invisibilisés</w:t>
      </w:r>
      <w:proofErr w:type="spellEnd"/>
      <w:r>
        <w:rPr>
          <w:b/>
          <w:lang w:val="fr-FR"/>
        </w:rPr>
        <w:t xml:space="preserve"> jusqu’à présent parce qu’inscrits dans la catégorie large d’êtres humains. En bref, sa force est de répondre à l’objectif de la CDPH de </w:t>
      </w:r>
      <w:proofErr w:type="spellStart"/>
      <w:r>
        <w:rPr>
          <w:b/>
          <w:lang w:val="fr-FR"/>
        </w:rPr>
        <w:t>visibiliser</w:t>
      </w:r>
      <w:proofErr w:type="spellEnd"/>
      <w:r>
        <w:rPr>
          <w:b/>
          <w:lang w:val="fr-FR"/>
        </w:rPr>
        <w:t xml:space="preserve"> ces personnes et de clarifier leurs droits fondamentaux.   </w:t>
      </w:r>
    </w:p>
    <w:p w14:paraId="2F544428" w14:textId="77777777" w:rsidR="00443315" w:rsidRDefault="00443315" w:rsidP="00443315">
      <w:pPr>
        <w:jc w:val="both"/>
        <w:rPr>
          <w:b/>
          <w:lang w:val="fr-FR"/>
        </w:rPr>
      </w:pPr>
    </w:p>
    <w:p w14:paraId="4EC77392" w14:textId="77777777" w:rsidR="00443315" w:rsidRDefault="00443315" w:rsidP="00443315">
      <w:pPr>
        <w:jc w:val="both"/>
        <w:rPr>
          <w:b/>
          <w:lang w:val="fr-FR"/>
        </w:rPr>
      </w:pPr>
      <w:r>
        <w:rPr>
          <w:b/>
          <w:lang w:val="fr-FR"/>
        </w:rPr>
        <w:t>Toujours est-il que l’on choisisse l’une ou l’autre doctrine, les personnes sourdes sont toujours reprises dans la disposition de l’article 1</w:t>
      </w:r>
      <w:r w:rsidRPr="006953C4">
        <w:rPr>
          <w:b/>
          <w:vertAlign w:val="superscript"/>
          <w:lang w:val="fr-FR"/>
        </w:rPr>
        <w:t>er</w:t>
      </w:r>
      <w:r>
        <w:rPr>
          <w:b/>
          <w:lang w:val="fr-FR"/>
        </w:rPr>
        <w:t xml:space="preserve">, alinéa 2d, soit en raison d’une organisation sociale handicapante, soit en raison d’une correspondance entre exclusion sociale de la différence et déficience corporelle. </w:t>
      </w:r>
    </w:p>
    <w:p w14:paraId="54A974FD" w14:textId="77777777" w:rsidR="00443315" w:rsidRDefault="00443315" w:rsidP="00443315">
      <w:pPr>
        <w:jc w:val="both"/>
        <w:rPr>
          <w:b/>
          <w:lang w:val="fr-FR"/>
        </w:rPr>
      </w:pPr>
    </w:p>
    <w:p w14:paraId="03F9FCA8" w14:textId="77777777" w:rsidR="00443315" w:rsidRPr="00895EF6" w:rsidRDefault="00443315" w:rsidP="00443315">
      <w:pPr>
        <w:jc w:val="both"/>
        <w:rPr>
          <w:b/>
          <w:lang w:val="fr-FR"/>
        </w:rPr>
      </w:pPr>
      <w:r>
        <w:rPr>
          <w:b/>
          <w:lang w:val="fr-FR"/>
        </w:rPr>
        <w:t xml:space="preserve"> </w:t>
      </w:r>
    </w:p>
    <w:p w14:paraId="285E7E57" w14:textId="25A782DD" w:rsidR="00895EF6" w:rsidRDefault="00895EF6" w:rsidP="00531E3D">
      <w:pPr>
        <w:pStyle w:val="Titre1"/>
        <w:numPr>
          <w:ilvl w:val="0"/>
          <w:numId w:val="4"/>
        </w:numPr>
        <w:rPr>
          <w:lang w:val="fr-FR"/>
        </w:rPr>
      </w:pPr>
      <w:bookmarkStart w:id="7" w:name="_Toc5698747"/>
      <w:r>
        <w:rPr>
          <w:lang w:val="fr-FR"/>
        </w:rPr>
        <w:t>Le droi</w:t>
      </w:r>
      <w:r w:rsidR="007E6913">
        <w:rPr>
          <w:lang w:val="fr-FR"/>
        </w:rPr>
        <w:t>t de participation à la vie culturelle.</w:t>
      </w:r>
      <w:bookmarkEnd w:id="7"/>
      <w:r w:rsidR="007E6913">
        <w:rPr>
          <w:lang w:val="fr-FR"/>
        </w:rPr>
        <w:t xml:space="preserve"> </w:t>
      </w:r>
    </w:p>
    <w:p w14:paraId="4C21AA1E" w14:textId="77777777" w:rsidR="004E302B" w:rsidRDefault="004E302B" w:rsidP="00504C3A"/>
    <w:p w14:paraId="7CE37A65" w14:textId="77777777" w:rsidR="004E302B" w:rsidRDefault="004E302B" w:rsidP="00504C3A"/>
    <w:p w14:paraId="3DDB6CA7" w14:textId="77777777" w:rsidR="004E302B" w:rsidRDefault="004E302B" w:rsidP="004E302B">
      <w:pPr>
        <w:jc w:val="both"/>
        <w:rPr>
          <w:b/>
          <w:lang w:val="fr-FR"/>
        </w:rPr>
      </w:pPr>
      <w:r>
        <w:rPr>
          <w:b/>
          <w:lang w:val="fr-FR"/>
        </w:rPr>
        <w:t xml:space="preserve">Le projet de thèse se focalise donc sur les §§ 1, 2 et 4 de l’article 30 de la Convention relative aux droits des personnes handicapées. </w:t>
      </w:r>
    </w:p>
    <w:p w14:paraId="25E4152A" w14:textId="77777777" w:rsidR="004E302B" w:rsidRDefault="004E302B" w:rsidP="004E302B">
      <w:pPr>
        <w:jc w:val="both"/>
        <w:rPr>
          <w:b/>
          <w:lang w:val="fr-FR"/>
        </w:rPr>
      </w:pPr>
    </w:p>
    <w:p w14:paraId="3A0CC593" w14:textId="77777777" w:rsidR="004E302B" w:rsidRDefault="004E302B" w:rsidP="004E302B">
      <w:pPr>
        <w:jc w:val="both"/>
        <w:rPr>
          <w:b/>
          <w:lang w:val="fr-FR"/>
        </w:rPr>
      </w:pPr>
      <w:r>
        <w:rPr>
          <w:b/>
          <w:lang w:val="fr-FR"/>
        </w:rPr>
        <w:t xml:space="preserve">Le §1 s’intéresse à la question du droit d’accès à la vie culturelle de son choix, à savoir la vie culturelle </w:t>
      </w:r>
      <w:proofErr w:type="spellStart"/>
      <w:r>
        <w:rPr>
          <w:b/>
          <w:lang w:val="fr-FR"/>
        </w:rPr>
        <w:t>entendante</w:t>
      </w:r>
      <w:proofErr w:type="spellEnd"/>
      <w:r>
        <w:rPr>
          <w:b/>
          <w:lang w:val="fr-FR"/>
        </w:rPr>
        <w:t xml:space="preserve"> ou sourde, que ce soit aux niveaux des activités ou des produits culturels. Le §2, lui, s’intéresse à la question du droit de prendre part à la vie culturelle de son choix, qu’elle soit </w:t>
      </w:r>
      <w:proofErr w:type="spellStart"/>
      <w:r>
        <w:rPr>
          <w:b/>
          <w:lang w:val="fr-FR"/>
        </w:rPr>
        <w:t>entendante</w:t>
      </w:r>
      <w:proofErr w:type="spellEnd"/>
      <w:r>
        <w:rPr>
          <w:b/>
          <w:lang w:val="fr-FR"/>
        </w:rPr>
        <w:t xml:space="preserve"> ou sourde.</w:t>
      </w:r>
    </w:p>
    <w:p w14:paraId="17045FA9" w14:textId="77777777" w:rsidR="004E302B" w:rsidRDefault="004E302B" w:rsidP="004E302B">
      <w:pPr>
        <w:jc w:val="both"/>
        <w:rPr>
          <w:b/>
          <w:lang w:val="fr-FR"/>
        </w:rPr>
      </w:pPr>
    </w:p>
    <w:p w14:paraId="1DD6A645" w14:textId="77777777" w:rsidR="004E302B" w:rsidRDefault="004E302B" w:rsidP="004E302B">
      <w:pPr>
        <w:jc w:val="both"/>
        <w:rPr>
          <w:b/>
          <w:lang w:val="fr-FR"/>
        </w:rPr>
      </w:pPr>
      <w:r>
        <w:rPr>
          <w:b/>
          <w:lang w:val="fr-FR"/>
        </w:rPr>
        <w:t xml:space="preserve">Ces deux paragraphes font donc écho aux politiques de démocratie et démocratisation culturelles dont on a parlé plus tôt. </w:t>
      </w:r>
    </w:p>
    <w:p w14:paraId="4EB570AB" w14:textId="77777777" w:rsidR="004E302B" w:rsidRDefault="004E302B" w:rsidP="004E302B">
      <w:pPr>
        <w:jc w:val="both"/>
        <w:rPr>
          <w:b/>
          <w:lang w:val="fr-FR"/>
        </w:rPr>
      </w:pPr>
    </w:p>
    <w:p w14:paraId="21B03487" w14:textId="77777777" w:rsidR="004E302B" w:rsidRDefault="004E302B" w:rsidP="004E302B">
      <w:pPr>
        <w:jc w:val="both"/>
        <w:rPr>
          <w:b/>
          <w:lang w:val="fr-FR"/>
        </w:rPr>
      </w:pPr>
      <w:r>
        <w:rPr>
          <w:b/>
          <w:lang w:val="fr-FR"/>
        </w:rPr>
        <w:t>Le §4 s’intéresse particulièrement à la reconnaissance de et du soutien à l’identité, la langue et la communauté sourde. Cet article fait écho à l’article 27 du PIDCP et clarifie la position à adopter par les États-parties face à la Communauté sourde.</w:t>
      </w:r>
    </w:p>
    <w:p w14:paraId="7FDBE1CD" w14:textId="77777777" w:rsidR="004E302B" w:rsidRDefault="004E302B" w:rsidP="004E302B">
      <w:pPr>
        <w:jc w:val="both"/>
        <w:rPr>
          <w:b/>
          <w:lang w:val="fr-FR"/>
        </w:rPr>
      </w:pPr>
      <w:r>
        <w:rPr>
          <w:b/>
          <w:lang w:val="fr-FR"/>
        </w:rPr>
        <w:t xml:space="preserve"> </w:t>
      </w:r>
    </w:p>
    <w:p w14:paraId="31726F9B" w14:textId="77777777" w:rsidR="004E302B" w:rsidRDefault="004E302B" w:rsidP="004E302B">
      <w:pPr>
        <w:jc w:val="both"/>
        <w:rPr>
          <w:b/>
          <w:lang w:val="fr-FR"/>
        </w:rPr>
      </w:pPr>
      <w:r>
        <w:rPr>
          <w:b/>
          <w:lang w:val="fr-FR"/>
        </w:rPr>
        <w:t xml:space="preserve">Il nous faudra déterminer, entre autres, quels paragraphes ont un effet direct ou indirect, quelles interprétations jurisprudentielles ou doctrinales peut-on tirer de ceux-ci et leur influence sur les sources juridiques subordonnées, quels liens peuvent-ils entretenir avec d’autres dispositions juridiques internationales ou régionales, etc. </w:t>
      </w:r>
    </w:p>
    <w:p w14:paraId="0E306A26" w14:textId="77777777" w:rsidR="004E302B" w:rsidRDefault="004E302B" w:rsidP="007E6913"/>
    <w:p w14:paraId="7264E94D" w14:textId="77777777" w:rsidR="004E302B" w:rsidRPr="007E6913" w:rsidRDefault="004E302B" w:rsidP="007E6913"/>
    <w:p w14:paraId="24572357" w14:textId="77777777" w:rsidR="001A4EE4" w:rsidRDefault="00895EF6" w:rsidP="00531E3D">
      <w:pPr>
        <w:pStyle w:val="Titre2"/>
        <w:numPr>
          <w:ilvl w:val="0"/>
          <w:numId w:val="5"/>
        </w:numPr>
        <w:rPr>
          <w:lang w:val="fr-FR"/>
        </w:rPr>
      </w:pPr>
      <w:bookmarkStart w:id="8" w:name="_Toc5698748"/>
      <w:r>
        <w:rPr>
          <w:lang w:val="fr-FR"/>
        </w:rPr>
        <w:t>Les sources.</w:t>
      </w:r>
      <w:bookmarkEnd w:id="8"/>
      <w:r>
        <w:rPr>
          <w:lang w:val="fr-FR"/>
        </w:rPr>
        <w:t xml:space="preserve"> </w:t>
      </w:r>
    </w:p>
    <w:p w14:paraId="3DF37787" w14:textId="77777777" w:rsidR="001A4EE4" w:rsidRDefault="001A4EE4" w:rsidP="001A4EE4">
      <w:pPr>
        <w:jc w:val="both"/>
        <w:rPr>
          <w:b/>
          <w:lang w:val="fr-FR"/>
        </w:rPr>
      </w:pPr>
      <w:r>
        <w:rPr>
          <w:b/>
          <w:lang w:val="fr-FR"/>
        </w:rPr>
        <w:t>Le droit à la culture est une expression doctrinale qui ne se retrouve pas nominalement dans les sources du droit. Ainsi, on parlera davantage de droit de participation à la culture</w:t>
      </w:r>
      <w:r w:rsidR="00A057E7">
        <w:rPr>
          <w:b/>
          <w:lang w:val="fr-FR"/>
        </w:rPr>
        <w:t xml:space="preserve"> (art. 15 PIDESC)</w:t>
      </w:r>
      <w:r>
        <w:rPr>
          <w:b/>
          <w:lang w:val="fr-FR"/>
        </w:rPr>
        <w:t xml:space="preserve"> ou </w:t>
      </w:r>
      <w:r w:rsidR="00A057E7">
        <w:rPr>
          <w:b/>
          <w:lang w:val="fr-FR"/>
        </w:rPr>
        <w:t xml:space="preserve">de </w:t>
      </w:r>
      <w:r>
        <w:rPr>
          <w:b/>
          <w:lang w:val="fr-FR"/>
        </w:rPr>
        <w:t>droit à l’épanouissement culturel et social</w:t>
      </w:r>
      <w:r w:rsidR="00A057E7">
        <w:rPr>
          <w:b/>
          <w:lang w:val="fr-FR"/>
        </w:rPr>
        <w:t xml:space="preserve"> (Constitution)</w:t>
      </w:r>
      <w:r>
        <w:rPr>
          <w:b/>
          <w:lang w:val="fr-FR"/>
        </w:rPr>
        <w:t xml:space="preserve">, etc. </w:t>
      </w:r>
    </w:p>
    <w:p w14:paraId="403D555A" w14:textId="77777777" w:rsidR="001A4EE4" w:rsidRPr="001A4EE4" w:rsidRDefault="001A4EE4" w:rsidP="001A4EE4">
      <w:pPr>
        <w:jc w:val="both"/>
        <w:rPr>
          <w:b/>
          <w:lang w:val="fr-FR"/>
        </w:rPr>
      </w:pPr>
    </w:p>
    <w:p w14:paraId="0C003956" w14:textId="77777777" w:rsidR="00A057E7" w:rsidRDefault="00895EF6" w:rsidP="001A4EE4">
      <w:pPr>
        <w:jc w:val="both"/>
        <w:rPr>
          <w:b/>
          <w:lang w:val="fr-FR"/>
        </w:rPr>
      </w:pPr>
      <w:r w:rsidRPr="001A4EE4">
        <w:rPr>
          <w:b/>
          <w:lang w:val="fr-FR"/>
        </w:rPr>
        <w:t>Il existe différentes sources du droit à la culture</w:t>
      </w:r>
      <w:r w:rsidR="001A4EE4" w:rsidRPr="001A4EE4">
        <w:rPr>
          <w:b/>
          <w:lang w:val="fr-FR"/>
        </w:rPr>
        <w:t>.</w:t>
      </w:r>
      <w:r w:rsidR="001A4EE4">
        <w:rPr>
          <w:b/>
          <w:lang w:val="fr-FR"/>
        </w:rPr>
        <w:t xml:space="preserve"> Les plus importantes pour notre OJ sont l’article 23 de la Constitution, al. 3, 5° qui est lapidaire, l’article 15 du PIDESC</w:t>
      </w:r>
      <w:r w:rsidR="00912198">
        <w:rPr>
          <w:b/>
          <w:lang w:val="fr-FR"/>
        </w:rPr>
        <w:t xml:space="preserve"> qui parle de participation à la vie culturelle,</w:t>
      </w:r>
      <w:r w:rsidR="001A4EE4">
        <w:rPr>
          <w:b/>
          <w:lang w:val="fr-FR"/>
        </w:rPr>
        <w:t xml:space="preserve"> et l’article 27 du PIDCP qui traite, lui, spécifiquement de la protection des minorités culturelles, c’est-à-dire les minorités ethniques, linguistiques et religieuses (comme les Roms et les </w:t>
      </w:r>
      <w:proofErr w:type="spellStart"/>
      <w:r w:rsidR="001A4EE4">
        <w:rPr>
          <w:b/>
          <w:lang w:val="fr-FR"/>
        </w:rPr>
        <w:t>Sintis</w:t>
      </w:r>
      <w:proofErr w:type="spellEnd"/>
      <w:r w:rsidR="001A4EE4">
        <w:rPr>
          <w:b/>
          <w:lang w:val="fr-FR"/>
        </w:rPr>
        <w:t>, les Germanophones</w:t>
      </w:r>
      <w:r w:rsidR="00A057E7">
        <w:rPr>
          <w:b/>
          <w:lang w:val="fr-FR"/>
        </w:rPr>
        <w:t xml:space="preserve"> de Belgique</w:t>
      </w:r>
      <w:r w:rsidR="001A4EE4">
        <w:rPr>
          <w:b/>
          <w:lang w:val="fr-FR"/>
        </w:rPr>
        <w:t xml:space="preserve"> ou les Juifs), et donc la protection de leur identité.</w:t>
      </w:r>
      <w:r w:rsidR="00476F02">
        <w:rPr>
          <w:b/>
          <w:lang w:val="fr-FR"/>
        </w:rPr>
        <w:t xml:space="preserve"> </w:t>
      </w:r>
    </w:p>
    <w:p w14:paraId="7FA45156" w14:textId="77777777" w:rsidR="00A057E7" w:rsidRDefault="00A057E7" w:rsidP="001A4EE4">
      <w:pPr>
        <w:jc w:val="both"/>
        <w:rPr>
          <w:b/>
          <w:lang w:val="fr-FR"/>
        </w:rPr>
      </w:pPr>
    </w:p>
    <w:p w14:paraId="5DD139D1" w14:textId="77777777" w:rsidR="001A4EE4" w:rsidRDefault="00476F02" w:rsidP="001A4EE4">
      <w:pPr>
        <w:jc w:val="both"/>
        <w:rPr>
          <w:b/>
          <w:lang w:val="fr-FR"/>
        </w:rPr>
      </w:pPr>
      <w:r>
        <w:rPr>
          <w:b/>
          <w:lang w:val="fr-FR"/>
        </w:rPr>
        <w:t>Il y a également, au niveau européen, la Charte sociale européenne (pour les personnes handicapées, art. 15, §3 ; pour les personnes âgées, article 23, premier tiret, a ; pour les personnes pauvres, art. 30, a) et la Charte des droits fondamentaux de l’UE (art. 22 qui fait écho à l’article 27 PIDCP ainsi que l’article 25 pour les personnes âgées et 26 pour les personnes handicapées) qui ont un rôle à jouer</w:t>
      </w:r>
      <w:r>
        <w:rPr>
          <w:rStyle w:val="Appelnotedebasdep"/>
          <w:b/>
          <w:lang w:val="fr-FR"/>
        </w:rPr>
        <w:footnoteReference w:id="1"/>
      </w:r>
      <w:r>
        <w:rPr>
          <w:b/>
          <w:lang w:val="fr-FR"/>
        </w:rPr>
        <w:t xml:space="preserve">. </w:t>
      </w:r>
    </w:p>
    <w:p w14:paraId="3EA3DE38" w14:textId="77777777" w:rsidR="001A4EE4" w:rsidRDefault="001A4EE4" w:rsidP="001A4EE4">
      <w:pPr>
        <w:jc w:val="both"/>
        <w:rPr>
          <w:b/>
          <w:lang w:val="fr-FR"/>
        </w:rPr>
      </w:pPr>
    </w:p>
    <w:p w14:paraId="2F90D546" w14:textId="77777777" w:rsidR="00912198" w:rsidRPr="00912198" w:rsidRDefault="00912198" w:rsidP="00531E3D">
      <w:pPr>
        <w:pStyle w:val="Titre2"/>
        <w:numPr>
          <w:ilvl w:val="0"/>
          <w:numId w:val="5"/>
        </w:numPr>
        <w:rPr>
          <w:lang w:val="fr-FR"/>
        </w:rPr>
      </w:pPr>
      <w:bookmarkStart w:id="9" w:name="_Toc5698749"/>
      <w:r>
        <w:rPr>
          <w:lang w:val="fr-FR"/>
        </w:rPr>
        <w:t xml:space="preserve">Le droit </w:t>
      </w:r>
      <w:r w:rsidR="00342705">
        <w:rPr>
          <w:lang w:val="fr-FR"/>
        </w:rPr>
        <w:t>de participation à la vie culturelle : son contenu.</w:t>
      </w:r>
      <w:bookmarkEnd w:id="9"/>
      <w:r w:rsidR="00342705">
        <w:rPr>
          <w:lang w:val="fr-FR"/>
        </w:rPr>
        <w:t xml:space="preserve"> </w:t>
      </w:r>
    </w:p>
    <w:p w14:paraId="6252AA7B" w14:textId="77777777" w:rsidR="00912198" w:rsidRDefault="00912198" w:rsidP="001A4EE4">
      <w:pPr>
        <w:jc w:val="both"/>
        <w:rPr>
          <w:b/>
          <w:lang w:val="fr-FR"/>
        </w:rPr>
      </w:pPr>
    </w:p>
    <w:p w14:paraId="18631889" w14:textId="77777777" w:rsidR="00912198" w:rsidRDefault="00912198" w:rsidP="001A4EE4">
      <w:pPr>
        <w:jc w:val="both"/>
        <w:rPr>
          <w:b/>
          <w:lang w:val="fr-FR"/>
        </w:rPr>
      </w:pPr>
      <w:r>
        <w:rPr>
          <w:b/>
          <w:lang w:val="fr-FR"/>
        </w:rPr>
        <w:t xml:space="preserve">Le droit </w:t>
      </w:r>
      <w:r w:rsidR="00342705">
        <w:rPr>
          <w:b/>
          <w:lang w:val="fr-FR"/>
        </w:rPr>
        <w:t xml:space="preserve">de participation </w:t>
      </w:r>
      <w:r>
        <w:rPr>
          <w:b/>
          <w:lang w:val="fr-FR"/>
        </w:rPr>
        <w:t>à la</w:t>
      </w:r>
      <w:r w:rsidR="00342705">
        <w:rPr>
          <w:b/>
          <w:lang w:val="fr-FR"/>
        </w:rPr>
        <w:t xml:space="preserve"> vie </w:t>
      </w:r>
      <w:r>
        <w:rPr>
          <w:b/>
          <w:lang w:val="fr-FR"/>
        </w:rPr>
        <w:t>culture</w:t>
      </w:r>
      <w:r w:rsidR="00342705">
        <w:rPr>
          <w:b/>
          <w:lang w:val="fr-FR"/>
        </w:rPr>
        <w:t>lle</w:t>
      </w:r>
      <w:r>
        <w:rPr>
          <w:b/>
          <w:lang w:val="fr-FR"/>
        </w:rPr>
        <w:t xml:space="preserve"> dépend de l’acception que l’on a du concept de culture</w:t>
      </w:r>
      <w:r w:rsidR="00CE6A98">
        <w:rPr>
          <w:b/>
          <w:lang w:val="fr-FR"/>
        </w:rPr>
        <w:t>. Soit</w:t>
      </w:r>
      <w:r w:rsidR="00342705">
        <w:rPr>
          <w:b/>
          <w:lang w:val="fr-FR"/>
        </w:rPr>
        <w:t xml:space="preserve"> </w:t>
      </w:r>
      <w:r>
        <w:rPr>
          <w:b/>
          <w:lang w:val="fr-FR"/>
        </w:rPr>
        <w:t>la différence avec la nature : tout est culturel</w:t>
      </w:r>
      <w:r w:rsidR="00CE6A98">
        <w:rPr>
          <w:b/>
          <w:lang w:val="fr-FR"/>
        </w:rPr>
        <w:t xml:space="preserve">. Soit l’ensemble des </w:t>
      </w:r>
      <w:r>
        <w:rPr>
          <w:b/>
          <w:lang w:val="fr-FR"/>
        </w:rPr>
        <w:t>institutions d’une communauté : tout est politique à peu de chose près</w:t>
      </w:r>
      <w:r w:rsidR="00CE6A98">
        <w:rPr>
          <w:b/>
          <w:lang w:val="fr-FR"/>
        </w:rPr>
        <w:t xml:space="preserve"> (en ce compris la religion). Soit,</w:t>
      </w:r>
      <w:r>
        <w:rPr>
          <w:b/>
          <w:lang w:val="fr-FR"/>
        </w:rPr>
        <w:t xml:space="preserve"> le patrimoine matériel et immatériel de cette communauté : tout est une question d’identité et de traditions</w:t>
      </w:r>
      <w:r w:rsidR="00CE6A98">
        <w:rPr>
          <w:b/>
          <w:lang w:val="fr-FR"/>
        </w:rPr>
        <w:t xml:space="preserve"> (gastronomie, maçonnerie, etc.). </w:t>
      </w:r>
      <w:r>
        <w:rPr>
          <w:b/>
          <w:lang w:val="fr-FR"/>
        </w:rPr>
        <w:t xml:space="preserve"> </w:t>
      </w:r>
      <w:r w:rsidR="00CE6A98">
        <w:rPr>
          <w:b/>
          <w:lang w:val="fr-FR"/>
        </w:rPr>
        <w:t xml:space="preserve">Soit </w:t>
      </w:r>
      <w:r>
        <w:rPr>
          <w:b/>
          <w:lang w:val="fr-FR"/>
        </w:rPr>
        <w:t>l’expression artistique individuel : la culture c’est l’art</w:t>
      </w:r>
      <w:r w:rsidR="00CE6A98">
        <w:rPr>
          <w:b/>
          <w:lang w:val="fr-FR"/>
        </w:rPr>
        <w:t xml:space="preserve"> (tel chanteur, tel cuisinier, tel architecte, etc.)</w:t>
      </w:r>
      <w:r>
        <w:rPr>
          <w:b/>
          <w:lang w:val="fr-FR"/>
        </w:rPr>
        <w:t>.</w:t>
      </w:r>
    </w:p>
    <w:p w14:paraId="2CB1102B" w14:textId="77777777" w:rsidR="00912198" w:rsidRDefault="00912198" w:rsidP="001A4EE4">
      <w:pPr>
        <w:jc w:val="both"/>
        <w:rPr>
          <w:b/>
          <w:lang w:val="fr-FR"/>
        </w:rPr>
      </w:pPr>
    </w:p>
    <w:p w14:paraId="1FC617A4" w14:textId="77777777" w:rsidR="00342705" w:rsidRDefault="00912198" w:rsidP="001A4EE4">
      <w:pPr>
        <w:jc w:val="both"/>
        <w:rPr>
          <w:b/>
          <w:lang w:val="fr-FR"/>
        </w:rPr>
      </w:pPr>
      <w:r>
        <w:rPr>
          <w:b/>
          <w:lang w:val="fr-FR"/>
        </w:rPr>
        <w:t xml:space="preserve">Le droit à la culture, lui, </w:t>
      </w:r>
      <w:r w:rsidR="00CE6A98">
        <w:rPr>
          <w:b/>
          <w:lang w:val="fr-FR"/>
        </w:rPr>
        <w:t xml:space="preserve">s’intéresse à la troisième et à la 4è acception du terme culture. </w:t>
      </w:r>
    </w:p>
    <w:p w14:paraId="0D85B623" w14:textId="77777777" w:rsidR="00342705" w:rsidRDefault="00342705" w:rsidP="001A4EE4">
      <w:pPr>
        <w:jc w:val="both"/>
        <w:rPr>
          <w:b/>
          <w:lang w:val="fr-FR"/>
        </w:rPr>
      </w:pPr>
    </w:p>
    <w:p w14:paraId="5DA92219" w14:textId="77777777" w:rsidR="00342705" w:rsidRDefault="00342705" w:rsidP="001A4EE4">
      <w:pPr>
        <w:jc w:val="both"/>
        <w:rPr>
          <w:b/>
          <w:lang w:val="fr-FR"/>
        </w:rPr>
      </w:pPr>
      <w:r>
        <w:rPr>
          <w:b/>
          <w:lang w:val="fr-FR"/>
        </w:rPr>
        <w:t>Ainsi, le droit de participation à la vie culturelle tel que prévu à l’article 15 du PIDESC entretient un lien avec l’article 27 PIDCP en ce que la culture des minorités culturelles est comprise dans la diversité de la vie culturelle.</w:t>
      </w:r>
      <w:r w:rsidR="0018339D">
        <w:rPr>
          <w:b/>
          <w:lang w:val="fr-FR"/>
        </w:rPr>
        <w:t xml:space="preserve"> Je m’explique. </w:t>
      </w:r>
      <w:r>
        <w:rPr>
          <w:b/>
          <w:lang w:val="fr-FR"/>
        </w:rPr>
        <w:t xml:space="preserve"> </w:t>
      </w:r>
    </w:p>
    <w:p w14:paraId="3C8DFA90" w14:textId="77777777" w:rsidR="00342705" w:rsidRDefault="00342705" w:rsidP="001A4EE4">
      <w:pPr>
        <w:jc w:val="both"/>
        <w:rPr>
          <w:b/>
          <w:lang w:val="fr-FR"/>
        </w:rPr>
      </w:pPr>
    </w:p>
    <w:p w14:paraId="2DD24C37" w14:textId="77777777" w:rsidR="00342705" w:rsidRDefault="0018339D" w:rsidP="001A4EE4">
      <w:pPr>
        <w:jc w:val="both"/>
        <w:rPr>
          <w:b/>
          <w:lang w:val="fr-FR"/>
        </w:rPr>
      </w:pPr>
      <w:r>
        <w:rPr>
          <w:b/>
          <w:lang w:val="fr-FR"/>
        </w:rPr>
        <w:t>D’abord, l</w:t>
      </w:r>
      <w:r w:rsidR="00342705">
        <w:rPr>
          <w:b/>
          <w:lang w:val="fr-FR"/>
        </w:rPr>
        <w:t xml:space="preserve">e droit à la participation à la vie culturelle implique, du moins à l’origine, une participation des masses à la culture de l’élite (il s’agit de </w:t>
      </w:r>
      <w:proofErr w:type="spellStart"/>
      <w:r w:rsidR="00342705">
        <w:rPr>
          <w:b/>
          <w:lang w:val="fr-FR"/>
        </w:rPr>
        <w:t>déségreguer</w:t>
      </w:r>
      <w:proofErr w:type="spellEnd"/>
      <w:r w:rsidR="00342705">
        <w:rPr>
          <w:b/>
          <w:lang w:val="fr-FR"/>
        </w:rPr>
        <w:t xml:space="preserve"> la culture). </w:t>
      </w:r>
      <w:r w:rsidR="004D250F">
        <w:rPr>
          <w:b/>
          <w:lang w:val="fr-FR"/>
        </w:rPr>
        <w:t>Il s’agit donc de mettre en place une politique de démocratisation de la culture. C’est ce qu’on retrouve à l’article 30, §1 de la CDPH.</w:t>
      </w:r>
      <w:r>
        <w:rPr>
          <w:b/>
          <w:lang w:val="fr-FR"/>
        </w:rPr>
        <w:t xml:space="preserve"> Ainsi dans le cas du handicap, il s’agit de rendre accessible en fonction des besoins de chaque personne handicapée. Par exemple, pour les sourds, il s’agit d’un accès communicationnel (interprète en LS, support écrit, boucle à induction magnétique).</w:t>
      </w:r>
    </w:p>
    <w:p w14:paraId="77C2B504" w14:textId="77777777" w:rsidR="00342705" w:rsidRDefault="00342705" w:rsidP="001A4EE4">
      <w:pPr>
        <w:jc w:val="both"/>
        <w:rPr>
          <w:b/>
          <w:lang w:val="fr-FR"/>
        </w:rPr>
      </w:pPr>
    </w:p>
    <w:p w14:paraId="03A74EE5" w14:textId="77777777" w:rsidR="00342705" w:rsidRDefault="00342705" w:rsidP="001A4EE4">
      <w:pPr>
        <w:jc w:val="both"/>
        <w:rPr>
          <w:b/>
          <w:lang w:val="fr-FR"/>
        </w:rPr>
      </w:pPr>
      <w:r>
        <w:rPr>
          <w:b/>
          <w:lang w:val="fr-FR"/>
        </w:rPr>
        <w:t xml:space="preserve">Ensuite, l’interprétation a évolué vers un droit de participer à la diversité des vies culturelles. Cela implique donc de mettre également en valeur la culture populaire et </w:t>
      </w:r>
      <w:r>
        <w:rPr>
          <w:b/>
          <w:lang w:val="fr-FR"/>
        </w:rPr>
        <w:lastRenderedPageBreak/>
        <w:t xml:space="preserve">également les cultures minoritaires au sein d’un État. </w:t>
      </w:r>
      <w:r w:rsidR="004D250F">
        <w:rPr>
          <w:b/>
          <w:lang w:val="fr-FR"/>
        </w:rPr>
        <w:t xml:space="preserve">Il s’agit donc de démocratie culturelle. C’est ce que l’on retrouve à l’article 30, §2 de la CDPH.  </w:t>
      </w:r>
      <w:r w:rsidR="0018339D">
        <w:rPr>
          <w:b/>
          <w:lang w:val="fr-FR"/>
        </w:rPr>
        <w:t>Ainsi, d</w:t>
      </w:r>
      <w:r w:rsidR="004D250F">
        <w:rPr>
          <w:b/>
          <w:lang w:val="fr-FR"/>
        </w:rPr>
        <w:t xml:space="preserve">ans le cas du handicap, l’art ou la vie culturelle de ces personnes, comme le cyclo-danse, l’art brut, ou pour les personnes sourdes, la culture sourde. </w:t>
      </w:r>
      <w:r w:rsidR="0018339D">
        <w:rPr>
          <w:b/>
          <w:lang w:val="fr-FR"/>
        </w:rPr>
        <w:t xml:space="preserve">C’est pour cela que </w:t>
      </w:r>
      <w:r>
        <w:rPr>
          <w:b/>
          <w:lang w:val="fr-FR"/>
        </w:rPr>
        <w:t>Cette dernière interprétation</w:t>
      </w:r>
      <w:r w:rsidR="004D250F">
        <w:rPr>
          <w:b/>
          <w:lang w:val="fr-FR"/>
        </w:rPr>
        <w:t xml:space="preserve"> (droit de participer à la diversité des vies culturelles)</w:t>
      </w:r>
      <w:r>
        <w:rPr>
          <w:b/>
          <w:lang w:val="fr-FR"/>
        </w:rPr>
        <w:t xml:space="preserve"> entretient une relation entre l’article 15 du PIDESC et l’article 27 du PIDCP. </w:t>
      </w:r>
    </w:p>
    <w:p w14:paraId="448A6528" w14:textId="77777777" w:rsidR="004D250F" w:rsidRDefault="004D250F" w:rsidP="001A4EE4">
      <w:pPr>
        <w:jc w:val="both"/>
        <w:rPr>
          <w:b/>
          <w:lang w:val="fr-FR"/>
        </w:rPr>
      </w:pPr>
    </w:p>
    <w:p w14:paraId="0C5791B1" w14:textId="77777777" w:rsidR="004D250F" w:rsidRDefault="004D250F" w:rsidP="0018339D">
      <w:pPr>
        <w:pStyle w:val="Titre2"/>
        <w:numPr>
          <w:ilvl w:val="0"/>
          <w:numId w:val="5"/>
        </w:numPr>
        <w:rPr>
          <w:lang w:val="fr-FR"/>
        </w:rPr>
      </w:pPr>
      <w:bookmarkStart w:id="10" w:name="_Toc5698750"/>
      <w:r>
        <w:rPr>
          <w:lang w:val="fr-FR"/>
        </w:rPr>
        <w:t>Les titulaires du droit à la participation à la vie culturelle.</w:t>
      </w:r>
      <w:bookmarkEnd w:id="10"/>
      <w:r>
        <w:rPr>
          <w:lang w:val="fr-FR"/>
        </w:rPr>
        <w:t xml:space="preserve"> </w:t>
      </w:r>
    </w:p>
    <w:p w14:paraId="167CE4D5" w14:textId="77777777" w:rsidR="004D250F" w:rsidRDefault="004D250F" w:rsidP="004D250F">
      <w:pPr>
        <w:rPr>
          <w:lang w:val="fr-FR"/>
        </w:rPr>
      </w:pPr>
    </w:p>
    <w:p w14:paraId="50637554" w14:textId="77777777" w:rsidR="004D250F" w:rsidRPr="004D250F" w:rsidRDefault="004D250F" w:rsidP="004D250F">
      <w:pPr>
        <w:jc w:val="both"/>
        <w:rPr>
          <w:b/>
          <w:lang w:val="fr-FR"/>
        </w:rPr>
      </w:pPr>
      <w:r>
        <w:rPr>
          <w:b/>
          <w:lang w:val="fr-FR"/>
        </w:rPr>
        <w:t xml:space="preserve">Du point de vue des titulaires, le droit à la participation à la vie culturelle est un droit « individuel à dimension collective », pour reprendre l’expression de Céline Romainville. On peut également exercer ce droit seul, mais très généralement cela ne peut se faire seul. </w:t>
      </w:r>
    </w:p>
    <w:p w14:paraId="1298E8F7" w14:textId="77777777" w:rsidR="00342705" w:rsidRDefault="00342705" w:rsidP="001A4EE4">
      <w:pPr>
        <w:jc w:val="both"/>
        <w:rPr>
          <w:b/>
          <w:lang w:val="fr-FR"/>
        </w:rPr>
      </w:pPr>
    </w:p>
    <w:p w14:paraId="0F2E1038" w14:textId="77777777" w:rsidR="00B761BD" w:rsidRDefault="004D250F" w:rsidP="001A4EE4">
      <w:pPr>
        <w:jc w:val="both"/>
        <w:rPr>
          <w:b/>
          <w:lang w:val="fr-FR"/>
        </w:rPr>
      </w:pPr>
      <w:r>
        <w:rPr>
          <w:b/>
          <w:lang w:val="fr-FR"/>
        </w:rPr>
        <w:t xml:space="preserve">En effet, les titulaires puisent du droit à la participation à la vie culturelle </w:t>
      </w:r>
      <w:r w:rsidR="00912198">
        <w:rPr>
          <w:b/>
          <w:lang w:val="fr-FR"/>
        </w:rPr>
        <w:t>6 droits qui en sont chacun l’avatar</w:t>
      </w:r>
      <w:r w:rsidR="00B761BD">
        <w:rPr>
          <w:b/>
          <w:lang w:val="fr-FR"/>
        </w:rPr>
        <w:t xml:space="preserve">. </w:t>
      </w:r>
    </w:p>
    <w:p w14:paraId="7530E891" w14:textId="77777777" w:rsidR="004D250F" w:rsidRDefault="004D250F" w:rsidP="001A4EE4">
      <w:pPr>
        <w:jc w:val="both"/>
        <w:rPr>
          <w:b/>
          <w:lang w:val="fr-FR"/>
        </w:rPr>
      </w:pPr>
      <w:r>
        <w:rPr>
          <w:b/>
          <w:lang w:val="fr-FR"/>
        </w:rPr>
        <w:t xml:space="preserve">Il s’agit donc de : </w:t>
      </w:r>
    </w:p>
    <w:p w14:paraId="7056F3AA" w14:textId="77777777" w:rsidR="00B761BD" w:rsidRPr="00B761BD" w:rsidRDefault="00B761BD" w:rsidP="00B761BD">
      <w:pPr>
        <w:pStyle w:val="Paragraphedeliste"/>
        <w:numPr>
          <w:ilvl w:val="0"/>
          <w:numId w:val="8"/>
        </w:numPr>
        <w:jc w:val="both"/>
        <w:rPr>
          <w:b/>
          <w:lang w:val="fr-FR"/>
        </w:rPr>
      </w:pPr>
      <w:r w:rsidRPr="00B761BD">
        <w:rPr>
          <w:b/>
          <w:lang w:val="fr-FR"/>
        </w:rPr>
        <w:t>L</w:t>
      </w:r>
      <w:r w:rsidR="00CE6A98" w:rsidRPr="00B761BD">
        <w:rPr>
          <w:b/>
          <w:lang w:val="fr-FR"/>
        </w:rPr>
        <w:t>a liberté artistique</w:t>
      </w:r>
      <w:r w:rsidRPr="00B761BD">
        <w:rPr>
          <w:b/>
          <w:lang w:val="fr-FR"/>
        </w:rPr>
        <w:t xml:space="preserve"> : soit la </w:t>
      </w:r>
      <w:r w:rsidR="00CE6A98" w:rsidRPr="00B761BD">
        <w:rPr>
          <w:b/>
          <w:lang w:val="fr-FR"/>
        </w:rPr>
        <w:t xml:space="preserve">liberté </w:t>
      </w:r>
      <w:r>
        <w:rPr>
          <w:b/>
          <w:lang w:val="fr-FR"/>
        </w:rPr>
        <w:t xml:space="preserve">pour un artiste professionnel ou amateur </w:t>
      </w:r>
      <w:r w:rsidR="00CE6A98" w:rsidRPr="00B761BD">
        <w:rPr>
          <w:b/>
          <w:lang w:val="fr-FR"/>
        </w:rPr>
        <w:t>d’imaginer, créer, produire, diffuser</w:t>
      </w:r>
      <w:r w:rsidRPr="00B761BD">
        <w:rPr>
          <w:b/>
          <w:lang w:val="fr-FR"/>
        </w:rPr>
        <w:t xml:space="preserve"> une œuvre d’art. </w:t>
      </w:r>
    </w:p>
    <w:p w14:paraId="52CEBDAA" w14:textId="77777777" w:rsidR="00B761BD" w:rsidRDefault="00B761BD" w:rsidP="00B761BD">
      <w:pPr>
        <w:pStyle w:val="Paragraphedeliste"/>
        <w:numPr>
          <w:ilvl w:val="0"/>
          <w:numId w:val="8"/>
        </w:numPr>
        <w:jc w:val="both"/>
        <w:rPr>
          <w:b/>
          <w:lang w:val="fr-FR"/>
        </w:rPr>
      </w:pPr>
      <w:r>
        <w:rPr>
          <w:b/>
          <w:lang w:val="fr-FR"/>
        </w:rPr>
        <w:t>L</w:t>
      </w:r>
      <w:r w:rsidR="00CE6A98" w:rsidRPr="00B761BD">
        <w:rPr>
          <w:b/>
          <w:lang w:val="fr-FR"/>
        </w:rPr>
        <w:t>’accès à la culture</w:t>
      </w:r>
      <w:r>
        <w:rPr>
          <w:b/>
          <w:lang w:val="fr-FR"/>
        </w:rPr>
        <w:t xml:space="preserve"> : soit </w:t>
      </w:r>
      <w:r w:rsidR="00CE6A98" w:rsidRPr="00B761BD">
        <w:rPr>
          <w:b/>
          <w:lang w:val="fr-FR"/>
        </w:rPr>
        <w:t>le droit d’être spectateur de la culture</w:t>
      </w:r>
      <w:r w:rsidR="006953C4" w:rsidRPr="00B761BD">
        <w:rPr>
          <w:b/>
          <w:lang w:val="fr-FR"/>
        </w:rPr>
        <w:t>, ce qui implique une politique de démocratisation culturelle</w:t>
      </w:r>
      <w:r>
        <w:rPr>
          <w:b/>
          <w:lang w:val="fr-FR"/>
        </w:rPr>
        <w:t xml:space="preserve"> dont on parlera au point suivant. </w:t>
      </w:r>
    </w:p>
    <w:p w14:paraId="604EF4CD" w14:textId="77777777" w:rsidR="00B761BD" w:rsidRDefault="00B761BD" w:rsidP="00B761BD">
      <w:pPr>
        <w:pStyle w:val="Paragraphedeliste"/>
        <w:numPr>
          <w:ilvl w:val="0"/>
          <w:numId w:val="8"/>
        </w:numPr>
        <w:jc w:val="both"/>
        <w:rPr>
          <w:b/>
          <w:lang w:val="fr-FR"/>
        </w:rPr>
      </w:pPr>
      <w:r>
        <w:rPr>
          <w:b/>
          <w:lang w:val="fr-FR"/>
        </w:rPr>
        <w:t>L</w:t>
      </w:r>
      <w:r w:rsidR="00CE6A98" w:rsidRPr="00B761BD">
        <w:rPr>
          <w:b/>
          <w:lang w:val="fr-FR"/>
        </w:rPr>
        <w:t>a participatio</w:t>
      </w:r>
      <w:r>
        <w:rPr>
          <w:b/>
          <w:lang w:val="fr-FR"/>
        </w:rPr>
        <w:t>n</w:t>
      </w:r>
      <w:r w:rsidR="00CE6A98" w:rsidRPr="00B761BD">
        <w:rPr>
          <w:b/>
          <w:lang w:val="fr-FR"/>
        </w:rPr>
        <w:t xml:space="preserve"> (au sens strict du coup</w:t>
      </w:r>
      <w:r>
        <w:rPr>
          <w:b/>
          <w:lang w:val="fr-FR"/>
        </w:rPr>
        <w:t xml:space="preserve">) : </w:t>
      </w:r>
      <w:r w:rsidR="00CE6A98" w:rsidRPr="00B761BD">
        <w:rPr>
          <w:b/>
          <w:lang w:val="fr-FR"/>
        </w:rPr>
        <w:t>c’est-à-dire le droit de prendre part, d’être actif</w:t>
      </w:r>
      <w:r>
        <w:rPr>
          <w:b/>
          <w:lang w:val="fr-FR"/>
        </w:rPr>
        <w:t xml:space="preserve"> dans la vie culturelle, sans pour autant être un artiste confirmé,</w:t>
      </w:r>
      <w:r w:rsidR="008114E4">
        <w:rPr>
          <w:b/>
          <w:lang w:val="fr-FR"/>
        </w:rPr>
        <w:t xml:space="preserve"> comme être membre actif de la Confrérie de la tarte Al D’</w:t>
      </w:r>
      <w:proofErr w:type="spellStart"/>
      <w:r w:rsidR="008114E4">
        <w:rPr>
          <w:b/>
          <w:lang w:val="fr-FR"/>
        </w:rPr>
        <w:t>jote</w:t>
      </w:r>
      <w:proofErr w:type="spellEnd"/>
      <w:r w:rsidR="008114E4">
        <w:rPr>
          <w:b/>
          <w:lang w:val="fr-FR"/>
        </w:rPr>
        <w:t xml:space="preserve"> à Nivelles,</w:t>
      </w:r>
      <w:r>
        <w:rPr>
          <w:b/>
          <w:lang w:val="fr-FR"/>
        </w:rPr>
        <w:t xml:space="preserve"> </w:t>
      </w:r>
      <w:r w:rsidR="006953C4" w:rsidRPr="00B761BD">
        <w:rPr>
          <w:b/>
          <w:lang w:val="fr-FR"/>
        </w:rPr>
        <w:t xml:space="preserve">ce qui </w:t>
      </w:r>
      <w:r>
        <w:rPr>
          <w:b/>
          <w:lang w:val="fr-FR"/>
        </w:rPr>
        <w:t>implique une</w:t>
      </w:r>
      <w:r w:rsidR="006953C4" w:rsidRPr="00B761BD">
        <w:rPr>
          <w:b/>
          <w:lang w:val="fr-FR"/>
        </w:rPr>
        <w:t xml:space="preserve"> politique de démocratie culturelle</w:t>
      </w:r>
      <w:r>
        <w:rPr>
          <w:b/>
          <w:lang w:val="fr-FR"/>
        </w:rPr>
        <w:t xml:space="preserve"> dont on parlera au point suivant. </w:t>
      </w:r>
    </w:p>
    <w:p w14:paraId="501258B4" w14:textId="77777777" w:rsidR="008114E4" w:rsidRDefault="00B761BD" w:rsidP="008114E4">
      <w:pPr>
        <w:pStyle w:val="Paragraphedeliste"/>
        <w:numPr>
          <w:ilvl w:val="0"/>
          <w:numId w:val="8"/>
        </w:numPr>
        <w:jc w:val="both"/>
        <w:rPr>
          <w:b/>
          <w:lang w:val="fr-FR"/>
        </w:rPr>
      </w:pPr>
      <w:r>
        <w:rPr>
          <w:b/>
          <w:lang w:val="fr-FR"/>
        </w:rPr>
        <w:t>L</w:t>
      </w:r>
      <w:r w:rsidR="00CE6A98" w:rsidRPr="00B761BD">
        <w:rPr>
          <w:b/>
          <w:lang w:val="fr-FR"/>
        </w:rPr>
        <w:t>e libre choix en matière culturelle</w:t>
      </w:r>
      <w:r>
        <w:rPr>
          <w:b/>
          <w:lang w:val="fr-FR"/>
        </w:rPr>
        <w:t xml:space="preserve"> : soit, </w:t>
      </w:r>
      <w:r w:rsidR="00CE6A98" w:rsidRPr="00B761BD">
        <w:rPr>
          <w:b/>
          <w:lang w:val="fr-FR"/>
        </w:rPr>
        <w:t>choisir telle vie culturelle plutôt qu’une autre</w:t>
      </w:r>
      <w:r w:rsidR="008114E4">
        <w:rPr>
          <w:b/>
          <w:lang w:val="fr-FR"/>
        </w:rPr>
        <w:t>. E</w:t>
      </w:r>
      <w:r w:rsidR="00CE6A98" w:rsidRPr="00B761BD">
        <w:rPr>
          <w:b/>
          <w:lang w:val="fr-FR"/>
        </w:rPr>
        <w:t xml:space="preserve">ntre Stravinsky et </w:t>
      </w:r>
      <w:proofErr w:type="spellStart"/>
      <w:r w:rsidR="00CE6A98" w:rsidRPr="00B761BD">
        <w:rPr>
          <w:b/>
          <w:lang w:val="fr-FR"/>
        </w:rPr>
        <w:t>Marwa</w:t>
      </w:r>
      <w:proofErr w:type="spellEnd"/>
      <w:r w:rsidR="00CE6A98" w:rsidRPr="00B761BD">
        <w:rPr>
          <w:b/>
          <w:lang w:val="fr-FR"/>
        </w:rPr>
        <w:t xml:space="preserve"> </w:t>
      </w:r>
      <w:proofErr w:type="spellStart"/>
      <w:r w:rsidR="00CE6A98" w:rsidRPr="00B761BD">
        <w:rPr>
          <w:b/>
          <w:lang w:val="fr-FR"/>
        </w:rPr>
        <w:t>Loud</w:t>
      </w:r>
      <w:proofErr w:type="spellEnd"/>
      <w:r w:rsidR="00CE6A98" w:rsidRPr="00B761BD">
        <w:rPr>
          <w:b/>
          <w:lang w:val="fr-FR"/>
        </w:rPr>
        <w:t>, le choix</w:t>
      </w:r>
      <w:r w:rsidR="008114E4">
        <w:rPr>
          <w:b/>
          <w:lang w:val="fr-FR"/>
        </w:rPr>
        <w:t xml:space="preserve"> est égal. I</w:t>
      </w:r>
      <w:r w:rsidR="00CE6A98" w:rsidRPr="00B761BD">
        <w:rPr>
          <w:b/>
          <w:lang w:val="fr-FR"/>
        </w:rPr>
        <w:t>l n’y a pas juridiquement de préséance de l’un sur l’autre</w:t>
      </w:r>
      <w:r w:rsidR="003F6D27" w:rsidRPr="00B761BD">
        <w:rPr>
          <w:b/>
          <w:lang w:val="fr-FR"/>
        </w:rPr>
        <w:t xml:space="preserve"> ; </w:t>
      </w:r>
      <w:r w:rsidR="003F6D27" w:rsidRPr="008114E4">
        <w:rPr>
          <w:b/>
          <w:i/>
          <w:lang w:val="fr-FR"/>
        </w:rPr>
        <w:t>cf.</w:t>
      </w:r>
      <w:r w:rsidR="003F6D27" w:rsidRPr="00B761BD">
        <w:rPr>
          <w:b/>
          <w:lang w:val="fr-FR"/>
        </w:rPr>
        <w:t xml:space="preserve"> la jurisprudence </w:t>
      </w:r>
      <w:r w:rsidR="008114E4">
        <w:rPr>
          <w:b/>
          <w:lang w:val="fr-FR"/>
        </w:rPr>
        <w:t>« </w:t>
      </w:r>
      <w:r w:rsidR="003F6D27" w:rsidRPr="00B761BD">
        <w:rPr>
          <w:b/>
          <w:lang w:val="fr-FR"/>
        </w:rPr>
        <w:t>Carrefour</w:t>
      </w:r>
      <w:r w:rsidR="008114E4">
        <w:rPr>
          <w:b/>
          <w:lang w:val="fr-FR"/>
        </w:rPr>
        <w:t> » de la Cour constitutionnelle</w:t>
      </w:r>
      <w:r w:rsidR="003F6D27" w:rsidRPr="00B761BD">
        <w:rPr>
          <w:b/>
          <w:lang w:val="fr-FR"/>
        </w:rPr>
        <w:t xml:space="preserve"> à ce sujet. On retrouve ici aussi la question du libre choix de son identité</w:t>
      </w:r>
      <w:r w:rsidR="008114E4">
        <w:rPr>
          <w:b/>
          <w:lang w:val="fr-FR"/>
        </w:rPr>
        <w:t xml:space="preserve"> (M. Bidault</w:t>
      </w:r>
      <w:r w:rsidR="00CE6A98" w:rsidRPr="00B761BD">
        <w:rPr>
          <w:b/>
          <w:lang w:val="fr-FR"/>
        </w:rPr>
        <w:t>)</w:t>
      </w:r>
    </w:p>
    <w:p w14:paraId="6AE1D15F" w14:textId="77777777" w:rsidR="008114E4" w:rsidRDefault="008114E4" w:rsidP="008114E4">
      <w:pPr>
        <w:pStyle w:val="Paragraphedeliste"/>
        <w:numPr>
          <w:ilvl w:val="0"/>
          <w:numId w:val="8"/>
        </w:numPr>
        <w:jc w:val="both"/>
        <w:rPr>
          <w:b/>
          <w:lang w:val="fr-FR"/>
        </w:rPr>
      </w:pPr>
      <w:r>
        <w:rPr>
          <w:b/>
          <w:lang w:val="fr-FR"/>
        </w:rPr>
        <w:t>L</w:t>
      </w:r>
      <w:r w:rsidR="00CE6A98" w:rsidRPr="008114E4">
        <w:rPr>
          <w:b/>
          <w:lang w:val="fr-FR"/>
        </w:rPr>
        <w:t>e droit de participer aux politiques publiques culturelles (c’est un peu l’exemple des centres cultures en Communauté française)</w:t>
      </w:r>
      <w:r>
        <w:rPr>
          <w:b/>
          <w:lang w:val="fr-FR"/>
        </w:rPr>
        <w:t xml:space="preserve">. </w:t>
      </w:r>
    </w:p>
    <w:p w14:paraId="742A1D7F" w14:textId="77777777" w:rsidR="00022E28" w:rsidRDefault="008114E4" w:rsidP="001A4EE4">
      <w:pPr>
        <w:pStyle w:val="Paragraphedeliste"/>
        <w:numPr>
          <w:ilvl w:val="0"/>
          <w:numId w:val="8"/>
        </w:numPr>
        <w:jc w:val="both"/>
        <w:rPr>
          <w:b/>
          <w:lang w:val="fr-FR"/>
        </w:rPr>
      </w:pPr>
      <w:r w:rsidRPr="008114E4">
        <w:rPr>
          <w:b/>
          <w:lang w:val="fr-FR"/>
        </w:rPr>
        <w:t>L</w:t>
      </w:r>
      <w:r w:rsidR="00022E28" w:rsidRPr="008114E4">
        <w:rPr>
          <w:b/>
          <w:lang w:val="fr-FR"/>
        </w:rPr>
        <w:t>e droit au maintien, au développement et à la diffusion de son patrimoine culturel</w:t>
      </w:r>
      <w:r w:rsidRPr="008114E4">
        <w:rPr>
          <w:b/>
          <w:lang w:val="fr-FR"/>
        </w:rPr>
        <w:t xml:space="preserve"> : </w:t>
      </w:r>
      <w:r w:rsidR="00022E28" w:rsidRPr="008114E4">
        <w:rPr>
          <w:b/>
          <w:lang w:val="fr-FR"/>
        </w:rPr>
        <w:t>par exemple</w:t>
      </w:r>
      <w:r w:rsidRPr="008114E4">
        <w:rPr>
          <w:b/>
          <w:lang w:val="fr-FR"/>
        </w:rPr>
        <w:t xml:space="preserve"> la persévération de </w:t>
      </w:r>
      <w:r w:rsidR="00022E28" w:rsidRPr="008114E4">
        <w:rPr>
          <w:b/>
          <w:lang w:val="fr-FR"/>
        </w:rPr>
        <w:t>la butte du lion de Waterloo</w:t>
      </w:r>
      <w:r>
        <w:rPr>
          <w:b/>
          <w:lang w:val="fr-FR"/>
        </w:rPr>
        <w:t xml:space="preserve"> ou </w:t>
      </w:r>
      <w:r w:rsidRPr="008114E4">
        <w:rPr>
          <w:b/>
          <w:lang w:val="fr-FR"/>
        </w:rPr>
        <w:t xml:space="preserve">le maintien du </w:t>
      </w:r>
      <w:r w:rsidR="00022E28" w:rsidRPr="008114E4">
        <w:rPr>
          <w:b/>
          <w:lang w:val="fr-FR"/>
        </w:rPr>
        <w:t>Jeu de Jean et Alice à Wavre</w:t>
      </w:r>
      <w:r>
        <w:rPr>
          <w:b/>
          <w:lang w:val="fr-FR"/>
        </w:rPr>
        <w:t xml:space="preserve">. </w:t>
      </w:r>
    </w:p>
    <w:p w14:paraId="0EBA983C" w14:textId="77777777" w:rsidR="008114E4" w:rsidRPr="008114E4" w:rsidRDefault="008114E4" w:rsidP="008114E4">
      <w:pPr>
        <w:pStyle w:val="Paragraphedeliste"/>
        <w:ind w:left="1080"/>
        <w:jc w:val="both"/>
        <w:rPr>
          <w:b/>
          <w:lang w:val="fr-FR"/>
        </w:rPr>
      </w:pPr>
    </w:p>
    <w:p w14:paraId="276EFC75" w14:textId="77777777" w:rsidR="00022E28" w:rsidRDefault="00022E28" w:rsidP="001A4EE4">
      <w:pPr>
        <w:jc w:val="both"/>
        <w:rPr>
          <w:b/>
          <w:lang w:val="fr-FR"/>
        </w:rPr>
      </w:pPr>
      <w:r>
        <w:rPr>
          <w:b/>
          <w:lang w:val="fr-FR"/>
        </w:rPr>
        <w:t>Bien entendu, le droit à l’égalité et à la non-discrimination s’applique aussi au droit à la culture et à ses différentes composantes. C’est ce qui permet à chacun</w:t>
      </w:r>
      <w:r w:rsidR="008114E4">
        <w:rPr>
          <w:b/>
          <w:lang w:val="fr-FR"/>
        </w:rPr>
        <w:t>,</w:t>
      </w:r>
      <w:r>
        <w:rPr>
          <w:b/>
          <w:lang w:val="fr-FR"/>
        </w:rPr>
        <w:t xml:space="preserve"> chacune de pouvoir en jouir, mais aussi de garantir les pratiques minoritaires.  </w:t>
      </w:r>
    </w:p>
    <w:p w14:paraId="67D7D2FE" w14:textId="77777777" w:rsidR="00022E28" w:rsidRDefault="00022E28" w:rsidP="001A4EE4">
      <w:pPr>
        <w:jc w:val="both"/>
        <w:rPr>
          <w:b/>
          <w:lang w:val="fr-FR"/>
        </w:rPr>
      </w:pPr>
    </w:p>
    <w:p w14:paraId="5DC646D8" w14:textId="77777777" w:rsidR="00342705" w:rsidRDefault="00022E28" w:rsidP="001A4EE4">
      <w:pPr>
        <w:jc w:val="both"/>
        <w:rPr>
          <w:b/>
          <w:lang w:val="fr-FR"/>
        </w:rPr>
      </w:pPr>
      <w:r>
        <w:rPr>
          <w:b/>
          <w:lang w:val="fr-FR"/>
        </w:rPr>
        <w:t>On le voit bien ces 6 droits sont également, dans la pratique, imbriqués les uns aux autres et l’on exerce souvent l</w:t>
      </w:r>
      <w:r w:rsidR="008114E4">
        <w:rPr>
          <w:b/>
          <w:lang w:val="fr-FR"/>
        </w:rPr>
        <w:t xml:space="preserve">es </w:t>
      </w:r>
      <w:r>
        <w:rPr>
          <w:b/>
          <w:lang w:val="fr-FR"/>
        </w:rPr>
        <w:t>un</w:t>
      </w:r>
      <w:r w:rsidR="008114E4">
        <w:rPr>
          <w:b/>
          <w:lang w:val="fr-FR"/>
        </w:rPr>
        <w:t>s</w:t>
      </w:r>
      <w:r>
        <w:rPr>
          <w:b/>
          <w:lang w:val="fr-FR"/>
        </w:rPr>
        <w:t xml:space="preserve"> avec l</w:t>
      </w:r>
      <w:r w:rsidR="008114E4">
        <w:rPr>
          <w:b/>
          <w:lang w:val="fr-FR"/>
        </w:rPr>
        <w:t xml:space="preserve">es </w:t>
      </w:r>
      <w:r>
        <w:rPr>
          <w:b/>
          <w:lang w:val="fr-FR"/>
        </w:rPr>
        <w:t>autre</w:t>
      </w:r>
      <w:r w:rsidR="008114E4">
        <w:rPr>
          <w:b/>
          <w:lang w:val="fr-FR"/>
        </w:rPr>
        <w:t>s</w:t>
      </w:r>
      <w:r w:rsidR="004D250F">
        <w:rPr>
          <w:b/>
          <w:lang w:val="fr-FR"/>
        </w:rPr>
        <w:t>.</w:t>
      </w:r>
    </w:p>
    <w:p w14:paraId="1A98ADE1" w14:textId="77777777" w:rsidR="00342705" w:rsidRDefault="00342705" w:rsidP="001A4EE4">
      <w:pPr>
        <w:jc w:val="both"/>
        <w:rPr>
          <w:b/>
          <w:lang w:val="fr-FR"/>
        </w:rPr>
      </w:pPr>
    </w:p>
    <w:p w14:paraId="6E53494F" w14:textId="77777777" w:rsidR="00912198" w:rsidRDefault="00022E28" w:rsidP="001A4EE4">
      <w:pPr>
        <w:jc w:val="both"/>
        <w:rPr>
          <w:b/>
          <w:lang w:val="fr-FR"/>
        </w:rPr>
      </w:pPr>
      <w:r>
        <w:rPr>
          <w:b/>
          <w:lang w:val="fr-FR"/>
        </w:rPr>
        <w:t>Par exemple, pour une manifestation comme le jeu de Jean et Alice/ l’Ommegang</w:t>
      </w:r>
      <w:r>
        <w:rPr>
          <w:rStyle w:val="Appelnotedebasdep"/>
          <w:b/>
          <w:lang w:val="fr-FR"/>
        </w:rPr>
        <w:footnoteReference w:id="2"/>
      </w:r>
      <w:r>
        <w:rPr>
          <w:b/>
          <w:lang w:val="fr-FR"/>
        </w:rPr>
        <w:t xml:space="preserve">, ou la revue de la faculté de droit, on va retrouver, des metteurs en scène, des chorégraphes mais aussi des artistes comédiens, chanteurs et danseurs, des couturiers et décorateurs (le droit </w:t>
      </w:r>
      <w:r>
        <w:rPr>
          <w:b/>
          <w:lang w:val="fr-FR"/>
        </w:rPr>
        <w:lastRenderedPageBreak/>
        <w:t xml:space="preserve">de participer ainsi que la liberté artistique).  On va aussi retrouver un public (le droit d’accéder). Et tant les participants que le public ont choisi d’être là (le libre choix). On y retrouve également le droit au maintien, au développement et à la diffusion de son patrimoine culturelle et, dans une certaine mesure, le droit de prendre part aux politiques publiques culturelles. </w:t>
      </w:r>
    </w:p>
    <w:p w14:paraId="0C303ADD" w14:textId="77777777" w:rsidR="001A4EE4" w:rsidRDefault="001A4EE4" w:rsidP="001A4EE4">
      <w:pPr>
        <w:jc w:val="both"/>
        <w:rPr>
          <w:b/>
          <w:lang w:val="fr-FR"/>
        </w:rPr>
      </w:pPr>
    </w:p>
    <w:p w14:paraId="314ED7C6" w14:textId="77777777" w:rsidR="003F6D27" w:rsidRDefault="003F6D27" w:rsidP="00531E3D">
      <w:pPr>
        <w:pStyle w:val="Titre2"/>
        <w:numPr>
          <w:ilvl w:val="0"/>
          <w:numId w:val="5"/>
        </w:numPr>
        <w:rPr>
          <w:lang w:val="fr-FR"/>
        </w:rPr>
      </w:pPr>
      <w:bookmarkStart w:id="11" w:name="_Toc5698751"/>
      <w:r>
        <w:rPr>
          <w:lang w:val="fr-FR"/>
        </w:rPr>
        <w:t>Le</w:t>
      </w:r>
      <w:r w:rsidR="0018339D">
        <w:rPr>
          <w:lang w:val="fr-FR"/>
        </w:rPr>
        <w:t>s débiteurs du droit à la participation à la vie culturelle.</w:t>
      </w:r>
      <w:bookmarkEnd w:id="11"/>
      <w:r w:rsidR="0018339D">
        <w:rPr>
          <w:lang w:val="fr-FR"/>
        </w:rPr>
        <w:t xml:space="preserve"> </w:t>
      </w:r>
    </w:p>
    <w:p w14:paraId="38B89634" w14:textId="77777777" w:rsidR="003F6D27" w:rsidRDefault="003F6D27" w:rsidP="003F6D27">
      <w:pPr>
        <w:jc w:val="both"/>
        <w:rPr>
          <w:b/>
          <w:lang w:val="fr-FR"/>
        </w:rPr>
      </w:pPr>
      <w:r>
        <w:rPr>
          <w:b/>
          <w:lang w:val="fr-FR"/>
        </w:rPr>
        <w:t xml:space="preserve">La doctrine du triptyque </w:t>
      </w:r>
      <w:proofErr w:type="spellStart"/>
      <w:r>
        <w:rPr>
          <w:b/>
          <w:lang w:val="fr-FR"/>
        </w:rPr>
        <w:t>obligationnel</w:t>
      </w:r>
      <w:proofErr w:type="spellEnd"/>
      <w:r>
        <w:rPr>
          <w:b/>
          <w:lang w:val="fr-FR"/>
        </w:rPr>
        <w:t xml:space="preserve"> proposé par </w:t>
      </w:r>
      <w:proofErr w:type="spellStart"/>
      <w:r>
        <w:rPr>
          <w:b/>
          <w:lang w:val="fr-FR"/>
        </w:rPr>
        <w:t>Asbjorn</w:t>
      </w:r>
      <w:proofErr w:type="spellEnd"/>
      <w:r>
        <w:rPr>
          <w:b/>
          <w:lang w:val="fr-FR"/>
        </w:rPr>
        <w:t xml:space="preserve"> </w:t>
      </w:r>
      <w:proofErr w:type="spellStart"/>
      <w:r>
        <w:rPr>
          <w:b/>
          <w:lang w:val="fr-FR"/>
        </w:rPr>
        <w:t>Eide</w:t>
      </w:r>
      <w:proofErr w:type="spellEnd"/>
      <w:r>
        <w:rPr>
          <w:b/>
          <w:lang w:val="fr-FR"/>
        </w:rPr>
        <w:t xml:space="preserve"> du « respect, protection, réalisation » est désormais bien établie tant en droit international par les Comités (cf. les observations générales) qu’en droit national (cf. la doctrine : </w:t>
      </w:r>
      <w:proofErr w:type="spellStart"/>
      <w:r>
        <w:rPr>
          <w:b/>
          <w:lang w:val="fr-FR"/>
        </w:rPr>
        <w:t>Rmvlle</w:t>
      </w:r>
      <w:proofErr w:type="spellEnd"/>
      <w:r>
        <w:rPr>
          <w:b/>
          <w:lang w:val="fr-FR"/>
        </w:rPr>
        <w:t xml:space="preserve">, </w:t>
      </w:r>
      <w:proofErr w:type="spellStart"/>
      <w:r>
        <w:rPr>
          <w:b/>
          <w:lang w:val="fr-FR"/>
        </w:rPr>
        <w:t>Cuypers</w:t>
      </w:r>
      <w:proofErr w:type="spellEnd"/>
      <w:r>
        <w:rPr>
          <w:b/>
          <w:lang w:val="fr-FR"/>
        </w:rPr>
        <w:t xml:space="preserve"> et autres, D’</w:t>
      </w:r>
      <w:proofErr w:type="spellStart"/>
      <w:r>
        <w:rPr>
          <w:b/>
          <w:lang w:val="fr-FR"/>
        </w:rPr>
        <w:t>Espallier</w:t>
      </w:r>
      <w:proofErr w:type="spellEnd"/>
      <w:r>
        <w:rPr>
          <w:b/>
          <w:lang w:val="fr-FR"/>
        </w:rPr>
        <w:t xml:space="preserve">, etc.).   </w:t>
      </w:r>
    </w:p>
    <w:p w14:paraId="1C67297A" w14:textId="77777777" w:rsidR="003F6D27" w:rsidRDefault="003F6D27" w:rsidP="003F6D27">
      <w:pPr>
        <w:jc w:val="both"/>
        <w:rPr>
          <w:b/>
          <w:lang w:val="fr-FR"/>
        </w:rPr>
      </w:pPr>
    </w:p>
    <w:p w14:paraId="3CAEE5F7" w14:textId="77777777" w:rsidR="003F6D27" w:rsidRDefault="003F6D27" w:rsidP="003F6D27">
      <w:pPr>
        <w:jc w:val="both"/>
        <w:rPr>
          <w:b/>
          <w:lang w:val="fr-FR"/>
        </w:rPr>
      </w:pPr>
      <w:r>
        <w:rPr>
          <w:b/>
          <w:lang w:val="fr-FR"/>
        </w:rPr>
        <w:t xml:space="preserve">Par respect, il s’agit pour l’État de ne pas interférer dans l’exercice du droit (par exemple, l’État ne peut interférer avec la liberté artistique, sauf limites autorisées dans un régime démocratique : </w:t>
      </w:r>
      <w:r w:rsidRPr="00FF405A">
        <w:rPr>
          <w:b/>
          <w:i/>
          <w:lang w:val="fr-FR"/>
        </w:rPr>
        <w:t>cf</w:t>
      </w:r>
      <w:r>
        <w:rPr>
          <w:b/>
          <w:lang w:val="fr-FR"/>
        </w:rPr>
        <w:t xml:space="preserve">. la jurisprudence de la CEDH à ce sujet). </w:t>
      </w:r>
    </w:p>
    <w:p w14:paraId="1CB91ADC" w14:textId="77777777" w:rsidR="003F6D27" w:rsidRDefault="003F6D27" w:rsidP="003F6D27">
      <w:pPr>
        <w:jc w:val="both"/>
        <w:rPr>
          <w:b/>
          <w:lang w:val="fr-FR"/>
        </w:rPr>
      </w:pPr>
    </w:p>
    <w:p w14:paraId="04483381" w14:textId="77777777" w:rsidR="00531E3D" w:rsidRDefault="003F6D27" w:rsidP="003F6D27">
      <w:pPr>
        <w:jc w:val="both"/>
        <w:rPr>
          <w:b/>
          <w:lang w:val="fr-FR"/>
        </w:rPr>
      </w:pPr>
      <w:r>
        <w:rPr>
          <w:b/>
          <w:lang w:val="fr-FR"/>
        </w:rPr>
        <w:t xml:space="preserve">Par protection, il s’agit pour les pouvoirs publics de lutter substantiellement et </w:t>
      </w:r>
      <w:proofErr w:type="spellStart"/>
      <w:r>
        <w:rPr>
          <w:b/>
          <w:lang w:val="fr-FR"/>
        </w:rPr>
        <w:t>procéduralement</w:t>
      </w:r>
      <w:proofErr w:type="spellEnd"/>
      <w:r>
        <w:rPr>
          <w:b/>
          <w:lang w:val="fr-FR"/>
        </w:rPr>
        <w:t xml:space="preserve"> contre les discriminations dans l’exercice du droit à la culture, à travers ces 6 dimensions. Ainsi, l’État doit s’abstenir de discriminer telle ou telle pratique culturelle (par exemple réprimer la culture flamande ou wallonne au profit d’une culture unique bourgeoise et fransquillonne). Mais il doit aussi interdire aux personnes privées (tant morales que physiques</w:t>
      </w:r>
      <w:r w:rsidR="00FF405A">
        <w:rPr>
          <w:b/>
          <w:lang w:val="fr-FR"/>
        </w:rPr>
        <w:t>)</w:t>
      </w:r>
      <w:r>
        <w:rPr>
          <w:b/>
          <w:lang w:val="fr-FR"/>
        </w:rPr>
        <w:t xml:space="preserve"> de procéder de même. </w:t>
      </w:r>
    </w:p>
    <w:p w14:paraId="60EC9D93" w14:textId="77777777" w:rsidR="00531E3D" w:rsidRDefault="00531E3D" w:rsidP="003F6D27">
      <w:pPr>
        <w:jc w:val="both"/>
        <w:rPr>
          <w:b/>
          <w:lang w:val="fr-FR"/>
        </w:rPr>
      </w:pPr>
    </w:p>
    <w:p w14:paraId="7065F5B4" w14:textId="77777777" w:rsidR="00531E3D" w:rsidRDefault="003F6D27" w:rsidP="003F6D27">
      <w:pPr>
        <w:jc w:val="both"/>
        <w:rPr>
          <w:b/>
          <w:lang w:val="fr-FR"/>
        </w:rPr>
      </w:pPr>
      <w:r>
        <w:rPr>
          <w:b/>
          <w:lang w:val="fr-FR"/>
        </w:rPr>
        <w:t>Pour cela, il doit mettre en place des procédures adéquates de recours contre de tels agissements</w:t>
      </w:r>
      <w:r w:rsidR="00531E3D">
        <w:rPr>
          <w:b/>
          <w:lang w:val="fr-FR"/>
        </w:rPr>
        <w:t xml:space="preserve"> tant publics que privés</w:t>
      </w:r>
      <w:r>
        <w:rPr>
          <w:b/>
          <w:lang w:val="fr-FR"/>
        </w:rPr>
        <w:t xml:space="preserve"> par les victimes afin de faire cesser la discrimination (</w:t>
      </w:r>
      <w:r w:rsidRPr="00FF405A">
        <w:rPr>
          <w:b/>
          <w:i/>
          <w:lang w:val="fr-FR"/>
        </w:rPr>
        <w:t>cf.</w:t>
      </w:r>
      <w:r>
        <w:rPr>
          <w:b/>
          <w:lang w:val="fr-FR"/>
        </w:rPr>
        <w:t xml:space="preserve"> l’action en cessation chez nous). Il s’agit donc d’une </w:t>
      </w:r>
      <w:proofErr w:type="spellStart"/>
      <w:r>
        <w:rPr>
          <w:b/>
          <w:lang w:val="fr-FR"/>
        </w:rPr>
        <w:t>horizontalisation</w:t>
      </w:r>
      <w:proofErr w:type="spellEnd"/>
      <w:r>
        <w:rPr>
          <w:b/>
          <w:lang w:val="fr-FR"/>
        </w:rPr>
        <w:t xml:space="preserve"> du respect du droit à la culture.</w:t>
      </w:r>
    </w:p>
    <w:p w14:paraId="128FEA69" w14:textId="77777777" w:rsidR="00531E3D" w:rsidRDefault="00531E3D" w:rsidP="003F6D27">
      <w:pPr>
        <w:jc w:val="both"/>
        <w:rPr>
          <w:b/>
          <w:lang w:val="fr-FR"/>
        </w:rPr>
      </w:pPr>
    </w:p>
    <w:p w14:paraId="362086E7" w14:textId="77777777" w:rsidR="00FF405A" w:rsidRDefault="00531E3D" w:rsidP="003F6D27">
      <w:pPr>
        <w:jc w:val="both"/>
        <w:rPr>
          <w:b/>
          <w:lang w:val="fr-FR"/>
        </w:rPr>
      </w:pPr>
      <w:r>
        <w:rPr>
          <w:b/>
          <w:lang w:val="fr-FR"/>
        </w:rPr>
        <w:t>Matériellement, il s’agira aussi, d’octroyer, pour les personnes handicapées, des aménagements raisonnables et d’assurer la conception universelle</w:t>
      </w:r>
      <w:r w:rsidR="00FF405A">
        <w:rPr>
          <w:b/>
          <w:lang w:val="fr-FR"/>
        </w:rPr>
        <w:t>.</w:t>
      </w:r>
    </w:p>
    <w:p w14:paraId="18E40DB5" w14:textId="77777777" w:rsidR="00FF405A" w:rsidRDefault="00FF405A" w:rsidP="003F6D27">
      <w:pPr>
        <w:jc w:val="both"/>
        <w:rPr>
          <w:b/>
          <w:lang w:val="fr-FR"/>
        </w:rPr>
      </w:pPr>
    </w:p>
    <w:p w14:paraId="7FEE9EA9" w14:textId="77777777" w:rsidR="00FF405A" w:rsidRPr="00FF405A" w:rsidRDefault="00FF405A" w:rsidP="00FF405A">
      <w:pPr>
        <w:pStyle w:val="SingleTxt"/>
        <w:spacing w:after="140" w:line="300" w:lineRule="exact"/>
        <w:ind w:left="0" w:right="0"/>
        <w:rPr>
          <w:rFonts w:asciiTheme="minorHAnsi" w:hAnsiTheme="minorHAnsi" w:cstheme="minorHAnsi"/>
          <w:b/>
          <w:i/>
          <w:sz w:val="24"/>
          <w:szCs w:val="26"/>
        </w:rPr>
      </w:pPr>
      <w:r>
        <w:rPr>
          <w:b/>
          <w:lang w:val="fr-FR"/>
        </w:rPr>
        <w:t>C’est-à-dire :</w:t>
      </w:r>
      <w:r w:rsidRPr="00FF405A">
        <w:rPr>
          <w:rFonts w:asciiTheme="minorHAnsi" w:hAnsiTheme="minorHAnsi" w:cstheme="minorHAnsi"/>
          <w:b/>
          <w:sz w:val="24"/>
          <w:lang w:val="fr-FR"/>
        </w:rPr>
        <w:t xml:space="preserve"> </w:t>
      </w:r>
      <w:r>
        <w:rPr>
          <w:rFonts w:asciiTheme="minorHAnsi" w:hAnsiTheme="minorHAnsi" w:cstheme="minorHAnsi"/>
          <w:b/>
          <w:sz w:val="24"/>
          <w:lang w:val="fr-FR"/>
        </w:rPr>
        <w:t>« </w:t>
      </w:r>
      <w:r w:rsidRPr="00FF405A">
        <w:rPr>
          <w:rFonts w:asciiTheme="minorHAnsi" w:hAnsiTheme="minorHAnsi" w:cstheme="minorHAnsi"/>
          <w:b/>
          <w:i/>
          <w:sz w:val="24"/>
          <w:szCs w:val="26"/>
        </w:rPr>
        <w:t>On entend par « aménagement raisonnable » les modifications et ajustements nécessaires et appropriés n’imposant pas de charge disproportionnée ou indue apportés, en fonction des besoins dans une situation donnée, pour assurer aux personnes handicapées la jouissance ou l’exercice, sur la base de l’égalité avec les autres, de tous les droits de l’homme et de toutes les libertés fondamentales</w:t>
      </w:r>
      <w:r w:rsidRPr="00FF405A">
        <w:rPr>
          <w:rFonts w:asciiTheme="minorHAnsi" w:hAnsiTheme="minorHAnsi" w:cstheme="minorHAnsi"/>
          <w:b/>
          <w:i/>
          <w:sz w:val="24"/>
          <w:szCs w:val="26"/>
          <w:vertAlign w:val="subscript"/>
        </w:rPr>
        <w:t> </w:t>
      </w:r>
      <w:r w:rsidRPr="00FF405A">
        <w:rPr>
          <w:rFonts w:asciiTheme="minorHAnsi" w:hAnsiTheme="minorHAnsi" w:cstheme="minorHAnsi"/>
          <w:b/>
          <w:i/>
          <w:sz w:val="24"/>
          <w:szCs w:val="26"/>
        </w:rPr>
        <w:t>;</w:t>
      </w:r>
    </w:p>
    <w:p w14:paraId="0049A54C" w14:textId="77777777" w:rsidR="00FF405A" w:rsidRPr="00FF405A" w:rsidRDefault="00FF405A" w:rsidP="00FF405A">
      <w:pPr>
        <w:pStyle w:val="SingleTxt"/>
        <w:spacing w:after="140" w:line="300" w:lineRule="exact"/>
        <w:ind w:left="0" w:right="0"/>
        <w:rPr>
          <w:rFonts w:asciiTheme="minorHAnsi" w:hAnsiTheme="minorHAnsi" w:cstheme="minorHAnsi"/>
          <w:b/>
          <w:sz w:val="24"/>
          <w:szCs w:val="26"/>
        </w:rPr>
      </w:pPr>
      <w:r w:rsidRPr="00FF405A">
        <w:rPr>
          <w:rFonts w:asciiTheme="minorHAnsi" w:hAnsiTheme="minorHAnsi" w:cstheme="minorHAnsi"/>
          <w:b/>
          <w:i/>
          <w:sz w:val="24"/>
          <w:szCs w:val="26"/>
        </w:rPr>
        <w:tab/>
        <w:t>On entend par « conception universelle » la conception de produits, d’équipements, de programmes et de services qui puissent être utilisés par tous, dans toute la mesure possible, sans nécessiter ni adaptation ni conception spéciale. La « conception universelle » n’exclut pas les appareils et accessoires fonctionnels pour des catégories particulières de personnes handicapées là où ils sont nécessaires</w:t>
      </w:r>
      <w:r>
        <w:rPr>
          <w:rFonts w:asciiTheme="minorHAnsi" w:hAnsiTheme="minorHAnsi" w:cstheme="minorHAnsi"/>
          <w:b/>
          <w:i/>
          <w:sz w:val="24"/>
          <w:szCs w:val="26"/>
        </w:rPr>
        <w:t> »</w:t>
      </w:r>
      <w:r w:rsidRPr="00FF405A">
        <w:rPr>
          <w:rFonts w:asciiTheme="minorHAnsi" w:hAnsiTheme="minorHAnsi" w:cstheme="minorHAnsi"/>
          <w:b/>
          <w:i/>
          <w:sz w:val="24"/>
          <w:szCs w:val="26"/>
        </w:rPr>
        <w:t xml:space="preserve"> </w:t>
      </w:r>
      <w:r w:rsidRPr="00FF405A">
        <w:rPr>
          <w:rFonts w:asciiTheme="minorHAnsi" w:hAnsiTheme="minorHAnsi" w:cstheme="minorHAnsi"/>
          <w:b/>
          <w:sz w:val="24"/>
          <w:szCs w:val="26"/>
        </w:rPr>
        <w:t xml:space="preserve">(art. 4, alinéa 4 et 5). </w:t>
      </w:r>
    </w:p>
    <w:p w14:paraId="2456F74E" w14:textId="77777777" w:rsidR="00531E3D" w:rsidRDefault="00531E3D" w:rsidP="003F6D27">
      <w:pPr>
        <w:jc w:val="both"/>
        <w:rPr>
          <w:b/>
          <w:lang w:val="fr-FR"/>
        </w:rPr>
      </w:pPr>
    </w:p>
    <w:p w14:paraId="375A22A3" w14:textId="77777777" w:rsidR="006953C4" w:rsidRDefault="003F6D27" w:rsidP="001A4EE4">
      <w:pPr>
        <w:jc w:val="both"/>
        <w:rPr>
          <w:b/>
          <w:lang w:val="fr-FR"/>
        </w:rPr>
      </w:pPr>
      <w:r>
        <w:rPr>
          <w:b/>
          <w:lang w:val="fr-FR"/>
        </w:rPr>
        <w:t>Par réalisation, il s’agit pour les pouvoirs publics de réaliser les besoins q</w:t>
      </w:r>
      <w:r w:rsidR="00531E3D">
        <w:rPr>
          <w:b/>
          <w:lang w:val="fr-FR"/>
        </w:rPr>
        <w:t xml:space="preserve">ue les individus seuls ne sauraient accomplir eux-mêmes. C’est typiquement le cas d’une participation aux politiques publiques culturelles ou au maintien, à la diffusion et à la préservation du </w:t>
      </w:r>
      <w:r w:rsidR="00531E3D">
        <w:rPr>
          <w:b/>
          <w:lang w:val="fr-FR"/>
        </w:rPr>
        <w:lastRenderedPageBreak/>
        <w:t xml:space="preserve">patrimoine culturelle. </w:t>
      </w:r>
      <w:r w:rsidR="0018339D">
        <w:rPr>
          <w:b/>
          <w:lang w:val="fr-FR"/>
        </w:rPr>
        <w:t xml:space="preserve">C’est aussi le cas de la mise en place des politiques de démocratisation culturelle et de démocratie culturelle. </w:t>
      </w:r>
    </w:p>
    <w:p w14:paraId="17EF8B07" w14:textId="77777777" w:rsidR="006953C4" w:rsidRDefault="006953C4" w:rsidP="001A4EE4">
      <w:pPr>
        <w:jc w:val="both"/>
        <w:rPr>
          <w:b/>
          <w:lang w:val="fr-FR"/>
        </w:rPr>
      </w:pPr>
    </w:p>
    <w:p w14:paraId="5BB54DC7" w14:textId="77777777" w:rsidR="00FF405A" w:rsidRDefault="00FF405A" w:rsidP="00FF405A">
      <w:pPr>
        <w:jc w:val="both"/>
        <w:rPr>
          <w:b/>
          <w:lang w:val="fr-FR"/>
        </w:rPr>
      </w:pPr>
      <w:r>
        <w:rPr>
          <w:b/>
          <w:lang w:val="fr-FR"/>
        </w:rPr>
        <w:t xml:space="preserve">Il semble, en effet, difficile, à un seul individu </w:t>
      </w:r>
      <w:r w:rsidR="0018339D">
        <w:rPr>
          <w:b/>
          <w:lang w:val="fr-FR"/>
        </w:rPr>
        <w:t xml:space="preserve">ou à un groupe d’individus </w:t>
      </w:r>
      <w:r>
        <w:rPr>
          <w:b/>
          <w:lang w:val="fr-FR"/>
        </w:rPr>
        <w:t xml:space="preserve">d’instaurer une politique à long terme d’accessibilité à la vie culturelle, ou à moins de s’appeler Marc </w:t>
      </w:r>
      <w:proofErr w:type="spellStart"/>
      <w:r>
        <w:rPr>
          <w:b/>
          <w:lang w:val="fr-FR"/>
        </w:rPr>
        <w:t>Coucke</w:t>
      </w:r>
      <w:proofErr w:type="spellEnd"/>
      <w:r>
        <w:rPr>
          <w:b/>
          <w:lang w:val="fr-FR"/>
        </w:rPr>
        <w:t xml:space="preserve">, de préserver le patrimoine de sa région. </w:t>
      </w:r>
    </w:p>
    <w:p w14:paraId="5575BB03" w14:textId="77777777" w:rsidR="003F6D27" w:rsidRDefault="003F6D27" w:rsidP="001A4EE4">
      <w:pPr>
        <w:jc w:val="both"/>
        <w:rPr>
          <w:b/>
          <w:lang w:val="fr-FR"/>
        </w:rPr>
      </w:pPr>
    </w:p>
    <w:p w14:paraId="20943543" w14:textId="77777777" w:rsidR="00895EF6" w:rsidRDefault="005216B0" w:rsidP="0018339D">
      <w:pPr>
        <w:pStyle w:val="Titre1"/>
        <w:rPr>
          <w:lang w:val="fr-FR"/>
        </w:rPr>
      </w:pPr>
      <w:r>
        <w:rPr>
          <w:lang w:val="fr-FR"/>
        </w:rPr>
        <w:t xml:space="preserve"> </w:t>
      </w:r>
      <w:bookmarkStart w:id="12" w:name="_Toc5698752"/>
      <w:r w:rsidR="0018339D">
        <w:rPr>
          <w:lang w:val="fr-FR"/>
        </w:rPr>
        <w:t>CCL.</w:t>
      </w:r>
      <w:bookmarkEnd w:id="12"/>
      <w:r w:rsidR="0018339D">
        <w:rPr>
          <w:lang w:val="fr-FR"/>
        </w:rPr>
        <w:t xml:space="preserve"> </w:t>
      </w:r>
    </w:p>
    <w:p w14:paraId="70CC16A4" w14:textId="77777777" w:rsidR="0018339D" w:rsidRDefault="0018339D" w:rsidP="0018339D">
      <w:pPr>
        <w:rPr>
          <w:lang w:val="fr-FR"/>
        </w:rPr>
      </w:pPr>
    </w:p>
    <w:p w14:paraId="608D8078" w14:textId="67F0C9C1" w:rsidR="0018339D" w:rsidRPr="0047124E" w:rsidRDefault="0018339D" w:rsidP="0018339D">
      <w:pPr>
        <w:rPr>
          <w:b/>
          <w:lang w:val="fr-FR"/>
        </w:rPr>
      </w:pPr>
      <w:r w:rsidRPr="0047124E">
        <w:rPr>
          <w:b/>
          <w:lang w:val="fr-FR"/>
        </w:rPr>
        <w:t>Il nous semble que le droit de particip</w:t>
      </w:r>
      <w:r w:rsidR="00504C3A">
        <w:rPr>
          <w:b/>
          <w:lang w:val="fr-FR"/>
        </w:rPr>
        <w:t>er</w:t>
      </w:r>
      <w:r w:rsidRPr="0047124E">
        <w:rPr>
          <w:b/>
          <w:lang w:val="fr-FR"/>
        </w:rPr>
        <w:t xml:space="preserve"> à la vie culturelle des personnes sourdes est révélateur de différentes tensions au sein même de la CDPH et de son champ d’application </w:t>
      </w:r>
      <w:proofErr w:type="spellStart"/>
      <w:r w:rsidRPr="0047124E">
        <w:rPr>
          <w:b/>
          <w:i/>
          <w:lang w:val="fr-FR"/>
        </w:rPr>
        <w:t>ratione</w:t>
      </w:r>
      <w:proofErr w:type="spellEnd"/>
      <w:r w:rsidRPr="0047124E">
        <w:rPr>
          <w:b/>
          <w:i/>
          <w:lang w:val="fr-FR"/>
        </w:rPr>
        <w:t xml:space="preserve"> </w:t>
      </w:r>
      <w:proofErr w:type="spellStart"/>
      <w:r w:rsidRPr="0047124E">
        <w:rPr>
          <w:b/>
          <w:i/>
          <w:lang w:val="fr-FR"/>
        </w:rPr>
        <w:t>personnae</w:t>
      </w:r>
      <w:proofErr w:type="spellEnd"/>
      <w:r w:rsidRPr="0047124E">
        <w:rPr>
          <w:b/>
          <w:lang w:val="fr-FR"/>
        </w:rPr>
        <w:t xml:space="preserve">. </w:t>
      </w:r>
      <w:r w:rsidR="0047124E" w:rsidRPr="0047124E">
        <w:rPr>
          <w:b/>
          <w:lang w:val="fr-FR"/>
        </w:rPr>
        <w:t>Sommes-nous tous handicapés</w:t>
      </w:r>
      <w:r w:rsidR="00504C3A">
        <w:rPr>
          <w:b/>
          <w:lang w:val="fr-FR"/>
        </w:rPr>
        <w:t> ? EU égard à</w:t>
      </w:r>
      <w:r w:rsidR="0047124E" w:rsidRPr="0047124E">
        <w:rPr>
          <w:b/>
          <w:lang w:val="fr-FR"/>
        </w:rPr>
        <w:t xml:space="preserve"> leur langue et leur culture propre</w:t>
      </w:r>
      <w:r w:rsidR="00504C3A">
        <w:rPr>
          <w:b/>
          <w:lang w:val="fr-FR"/>
        </w:rPr>
        <w:t>, l</w:t>
      </w:r>
      <w:r w:rsidR="00504C3A" w:rsidRPr="0047124E">
        <w:rPr>
          <w:b/>
          <w:lang w:val="fr-FR"/>
        </w:rPr>
        <w:t>es personnes sourdes</w:t>
      </w:r>
      <w:r w:rsidR="0047124E" w:rsidRPr="0047124E">
        <w:rPr>
          <w:b/>
          <w:lang w:val="fr-FR"/>
        </w:rPr>
        <w:t xml:space="preserve"> le sont-elles encore ? </w:t>
      </w:r>
    </w:p>
    <w:p w14:paraId="2F867534" w14:textId="77777777" w:rsidR="0018339D" w:rsidRPr="0047124E" w:rsidRDefault="0018339D" w:rsidP="0018339D">
      <w:pPr>
        <w:rPr>
          <w:b/>
          <w:lang w:val="fr-FR"/>
        </w:rPr>
      </w:pPr>
    </w:p>
    <w:p w14:paraId="544B1E29" w14:textId="55CE0DFB" w:rsidR="0018339D" w:rsidRPr="0047124E" w:rsidRDefault="0018339D" w:rsidP="0018339D">
      <w:pPr>
        <w:rPr>
          <w:b/>
          <w:lang w:val="fr-FR"/>
        </w:rPr>
      </w:pPr>
      <w:r w:rsidRPr="0047124E">
        <w:rPr>
          <w:b/>
          <w:lang w:val="fr-FR"/>
        </w:rPr>
        <w:t xml:space="preserve">Mais, </w:t>
      </w:r>
      <w:r w:rsidR="007E6913">
        <w:rPr>
          <w:b/>
          <w:lang w:val="fr-FR"/>
        </w:rPr>
        <w:t>cette problématique est r</w:t>
      </w:r>
      <w:r w:rsidRPr="0047124E">
        <w:rPr>
          <w:b/>
          <w:lang w:val="fr-FR"/>
        </w:rPr>
        <w:t>évélat</w:t>
      </w:r>
      <w:r w:rsidR="007E6913">
        <w:rPr>
          <w:b/>
          <w:lang w:val="fr-FR"/>
        </w:rPr>
        <w:t>rice</w:t>
      </w:r>
      <w:r w:rsidRPr="0047124E">
        <w:rPr>
          <w:b/>
          <w:lang w:val="fr-FR"/>
        </w:rPr>
        <w:t xml:space="preserve"> des tensions au sein même du droit </w:t>
      </w:r>
      <w:r w:rsidR="00504C3A">
        <w:rPr>
          <w:b/>
          <w:lang w:val="fr-FR"/>
        </w:rPr>
        <w:t xml:space="preserve">de </w:t>
      </w:r>
      <w:r w:rsidRPr="0047124E">
        <w:rPr>
          <w:b/>
          <w:lang w:val="fr-FR"/>
        </w:rPr>
        <w:t>particip</w:t>
      </w:r>
      <w:r w:rsidR="00504C3A">
        <w:rPr>
          <w:b/>
          <w:lang w:val="fr-FR"/>
        </w:rPr>
        <w:t>er</w:t>
      </w:r>
      <w:r w:rsidRPr="0047124E">
        <w:rPr>
          <w:b/>
          <w:lang w:val="fr-FR"/>
        </w:rPr>
        <w:t xml:space="preserve"> à la vie culturelle. En effet, les personnes sourdes sont à la fois atteintes d’une déficience qui leur entrave l’accès à la culture majoritaire et auquel tend à répondre la CDPH par des politiques d’accessibilité (comme la conception universelle et les aménagements raisonnables). Mais il s’agit aussi, pour une partie d’entre </w:t>
      </w:r>
      <w:r w:rsidR="00504C3A">
        <w:rPr>
          <w:b/>
          <w:lang w:val="fr-FR"/>
        </w:rPr>
        <w:t>elles</w:t>
      </w:r>
      <w:r w:rsidRPr="0047124E">
        <w:rPr>
          <w:b/>
          <w:lang w:val="fr-FR"/>
        </w:rPr>
        <w:t xml:space="preserve">, du droit de voir leur identité, leur culture, leur langue respectées : ce qui marque un lien entre la protection des individus issus des minorités et </w:t>
      </w:r>
      <w:r w:rsidR="00504C3A">
        <w:rPr>
          <w:b/>
          <w:lang w:val="fr-FR"/>
        </w:rPr>
        <w:t>le</w:t>
      </w:r>
      <w:r w:rsidRPr="0047124E">
        <w:rPr>
          <w:b/>
          <w:lang w:val="fr-FR"/>
        </w:rPr>
        <w:t xml:space="preserve"> droit individuel à s’épanouir culturellement.  </w:t>
      </w:r>
    </w:p>
    <w:p w14:paraId="60D0F5AA" w14:textId="77777777" w:rsidR="0018339D" w:rsidRPr="0047124E" w:rsidRDefault="0018339D" w:rsidP="0018339D">
      <w:pPr>
        <w:rPr>
          <w:b/>
          <w:lang w:val="fr-FR"/>
        </w:rPr>
      </w:pPr>
    </w:p>
    <w:p w14:paraId="4B6D74BE" w14:textId="049466EB" w:rsidR="0047124E" w:rsidRPr="0047124E" w:rsidRDefault="0047124E" w:rsidP="0018339D">
      <w:pPr>
        <w:rPr>
          <w:b/>
          <w:lang w:val="fr-FR"/>
        </w:rPr>
      </w:pPr>
      <w:r w:rsidRPr="0047124E">
        <w:rPr>
          <w:b/>
          <w:lang w:val="fr-FR"/>
        </w:rPr>
        <w:t>Ce sont ces différentes tensions que nous devons d’abord déployer avant de chercher à tester notre hypothèse et ainsi répondre à notre question de départ</w:t>
      </w:r>
      <w:r w:rsidR="007E6913">
        <w:rPr>
          <w:b/>
          <w:lang w:val="fr-FR"/>
        </w:rPr>
        <w:t xml:space="preserve"> : l’inclusion comme garantie de l’effectivité du droit de participation à la vie culturelle des personnes sourdes.  </w:t>
      </w:r>
    </w:p>
    <w:p w14:paraId="41246BC6" w14:textId="440B62EE" w:rsidR="0047124E" w:rsidRDefault="0047124E" w:rsidP="0018339D">
      <w:pPr>
        <w:rPr>
          <w:lang w:val="fr-FR"/>
        </w:rPr>
      </w:pPr>
    </w:p>
    <w:p w14:paraId="22329ACB" w14:textId="12A032C4" w:rsidR="000F2A27" w:rsidRDefault="000F2A27" w:rsidP="000F2A27">
      <w:pPr>
        <w:jc w:val="both"/>
        <w:rPr>
          <w:b/>
          <w:lang w:val="fr-FR"/>
        </w:rPr>
      </w:pPr>
      <w:r>
        <w:rPr>
          <w:b/>
          <w:lang w:val="fr-FR"/>
        </w:rPr>
        <w:t>Tout ceci i</w:t>
      </w:r>
      <w:r>
        <w:rPr>
          <w:b/>
          <w:lang w:val="fr-FR"/>
        </w:rPr>
        <w:t>mplique</w:t>
      </w:r>
      <w:r>
        <w:rPr>
          <w:b/>
          <w:lang w:val="fr-FR"/>
        </w:rPr>
        <w:t xml:space="preserve"> d’étudier</w:t>
      </w:r>
      <w:r>
        <w:rPr>
          <w:b/>
          <w:lang w:val="fr-FR"/>
        </w:rPr>
        <w:t xml:space="preserve">, d’abord, </w:t>
      </w:r>
      <w:r>
        <w:rPr>
          <w:b/>
          <w:lang w:val="fr-FR"/>
        </w:rPr>
        <w:t>le</w:t>
      </w:r>
      <w:r>
        <w:rPr>
          <w:b/>
          <w:lang w:val="fr-FR"/>
        </w:rPr>
        <w:t xml:space="preserve"> respect, </w:t>
      </w:r>
      <w:r>
        <w:rPr>
          <w:b/>
          <w:lang w:val="fr-FR"/>
        </w:rPr>
        <w:t xml:space="preserve">la </w:t>
      </w:r>
      <w:r>
        <w:rPr>
          <w:b/>
          <w:lang w:val="fr-FR"/>
        </w:rPr>
        <w:t xml:space="preserve">protection et </w:t>
      </w:r>
      <w:r>
        <w:rPr>
          <w:b/>
          <w:lang w:val="fr-FR"/>
        </w:rPr>
        <w:t xml:space="preserve">la </w:t>
      </w:r>
      <w:r>
        <w:rPr>
          <w:b/>
          <w:lang w:val="fr-FR"/>
        </w:rPr>
        <w:t xml:space="preserve">promotion de leur différence, notamment via la reconnaissance de la langue des signes et de la culture sourde. Mais cela implique également la nécessité de rendre accessible la culture </w:t>
      </w:r>
      <w:proofErr w:type="spellStart"/>
      <w:r>
        <w:rPr>
          <w:b/>
          <w:lang w:val="fr-FR"/>
        </w:rPr>
        <w:t>entendante</w:t>
      </w:r>
      <w:proofErr w:type="spellEnd"/>
      <w:r>
        <w:rPr>
          <w:b/>
          <w:lang w:val="fr-FR"/>
        </w:rPr>
        <w:t xml:space="preserve"> par le biais de politiques, tant publiques que privée, d’aménagements raisonnables et de conception universelle.   </w:t>
      </w:r>
    </w:p>
    <w:p w14:paraId="03DF2246" w14:textId="77777777" w:rsidR="000F2A27" w:rsidRDefault="000F2A27" w:rsidP="0018339D">
      <w:pPr>
        <w:rPr>
          <w:lang w:val="fr-FR"/>
        </w:rPr>
      </w:pPr>
    </w:p>
    <w:p w14:paraId="2D476119" w14:textId="77777777" w:rsidR="0047124E" w:rsidRPr="0018339D" w:rsidRDefault="0047124E" w:rsidP="0018339D">
      <w:pPr>
        <w:rPr>
          <w:lang w:val="fr-FR"/>
        </w:rPr>
      </w:pPr>
    </w:p>
    <w:sectPr w:rsidR="0047124E" w:rsidRPr="0018339D" w:rsidSect="00C00731">
      <w:headerReference w:type="even" r:id="rId8"/>
      <w:headerReference w:type="default" r:id="rId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FE5493" w14:textId="77777777" w:rsidR="000716FB" w:rsidRDefault="000716FB" w:rsidP="00022E28">
      <w:r>
        <w:separator/>
      </w:r>
    </w:p>
  </w:endnote>
  <w:endnote w:type="continuationSeparator" w:id="0">
    <w:p w14:paraId="43C4CE3B" w14:textId="77777777" w:rsidR="000716FB" w:rsidRDefault="000716FB" w:rsidP="00022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roman"/>
    <w:notTrueType/>
    <w:pitch w:val="default"/>
  </w:font>
  <w:font w:name="Lucida Grande">
    <w:panose1 w:val="020B0600040502020204"/>
    <w:charset w:val="00"/>
    <w:family w:val="swiss"/>
    <w:pitch w:val="variable"/>
    <w:sig w:usb0="E1000AEF" w:usb1="5000A1FF" w:usb2="00000000" w:usb3="00000000" w:csb0="000001BF" w:csb1="00000000"/>
  </w:font>
  <w:font w:name="Yu Mincho">
    <w:altName w:val="游明朝"/>
    <w:panose1 w:val="020204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C52842" w14:textId="77777777" w:rsidR="000716FB" w:rsidRDefault="000716FB" w:rsidP="00022E28">
      <w:r>
        <w:separator/>
      </w:r>
    </w:p>
  </w:footnote>
  <w:footnote w:type="continuationSeparator" w:id="0">
    <w:p w14:paraId="01CDFDB6" w14:textId="77777777" w:rsidR="000716FB" w:rsidRDefault="000716FB" w:rsidP="00022E28">
      <w:r>
        <w:continuationSeparator/>
      </w:r>
    </w:p>
  </w:footnote>
  <w:footnote w:id="1">
    <w:p w14:paraId="1C5343BF" w14:textId="77777777" w:rsidR="00D13D89" w:rsidRPr="00476F02" w:rsidRDefault="00D13D89">
      <w:pPr>
        <w:pStyle w:val="Notedebasdepage"/>
        <w:rPr>
          <w:lang w:val="fr-FR"/>
        </w:rPr>
      </w:pPr>
      <w:r>
        <w:rPr>
          <w:rStyle w:val="Appelnotedebasdep"/>
        </w:rPr>
        <w:footnoteRef/>
      </w:r>
      <w:r>
        <w:t xml:space="preserve"> </w:t>
      </w:r>
      <w:r>
        <w:rPr>
          <w:lang w:val="fr-FR"/>
        </w:rPr>
        <w:t xml:space="preserve">Cette phrase est </w:t>
      </w:r>
      <w:proofErr w:type="spellStart"/>
      <w:r>
        <w:rPr>
          <w:lang w:val="fr-FR"/>
        </w:rPr>
        <w:t>réarangée</w:t>
      </w:r>
      <w:proofErr w:type="spellEnd"/>
      <w:r>
        <w:rPr>
          <w:lang w:val="fr-FR"/>
        </w:rPr>
        <w:t xml:space="preserve"> à l’oral. ;) </w:t>
      </w:r>
    </w:p>
  </w:footnote>
  <w:footnote w:id="2">
    <w:p w14:paraId="415AB04E" w14:textId="77777777" w:rsidR="00D13D89" w:rsidRPr="00022E28" w:rsidRDefault="00D13D89">
      <w:pPr>
        <w:pStyle w:val="Notedebasdepage"/>
        <w:rPr>
          <w:lang w:val="fr-FR"/>
        </w:rPr>
      </w:pPr>
      <w:r>
        <w:rPr>
          <w:rStyle w:val="Appelnotedebasdep"/>
        </w:rPr>
        <w:footnoteRef/>
      </w:r>
      <w:r>
        <w:t xml:space="preserve"> </w:t>
      </w:r>
      <w:r>
        <w:rPr>
          <w:lang w:val="fr-FR"/>
        </w:rPr>
        <w:t xml:space="preserve">Je dirai l’un ou l’autre événement en fonction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0A2B61" w14:textId="77777777" w:rsidR="00D13D89" w:rsidRDefault="00D13D89" w:rsidP="00895343">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66DF2D9" w14:textId="77777777" w:rsidR="00D13D89" w:rsidRDefault="00D13D89" w:rsidP="007E6913">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5C87AE" w14:textId="77777777" w:rsidR="00D13D89" w:rsidRDefault="00D13D89" w:rsidP="00895343">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504C3A">
      <w:rPr>
        <w:rStyle w:val="Numrodepage"/>
        <w:noProof/>
      </w:rPr>
      <w:t>1</w:t>
    </w:r>
    <w:r w:rsidR="00504C3A">
      <w:rPr>
        <w:rStyle w:val="Numrodepage"/>
        <w:noProof/>
      </w:rPr>
      <w:t>1</w:t>
    </w:r>
    <w:r>
      <w:rPr>
        <w:rStyle w:val="Numrodepage"/>
      </w:rPr>
      <w:fldChar w:fldCharType="end"/>
    </w:r>
  </w:p>
  <w:p w14:paraId="0756DCAD" w14:textId="77777777" w:rsidR="00D13D89" w:rsidRDefault="00D13D89" w:rsidP="007E6913">
    <w:pPr>
      <w:pStyle w:val="En-tt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B7099"/>
    <w:multiLevelType w:val="hybridMultilevel"/>
    <w:tmpl w:val="7D98B518"/>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1A3212E"/>
    <w:multiLevelType w:val="hybridMultilevel"/>
    <w:tmpl w:val="07CC74E2"/>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F5D4727"/>
    <w:multiLevelType w:val="hybridMultilevel"/>
    <w:tmpl w:val="FDDEF654"/>
    <w:lvl w:ilvl="0" w:tplc="9D80C916">
      <w:start w:val="1"/>
      <w:numFmt w:val="upperRoman"/>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15:restartNumberingAfterBreak="0">
    <w:nsid w:val="41C55FE0"/>
    <w:multiLevelType w:val="hybridMultilevel"/>
    <w:tmpl w:val="6902FB80"/>
    <w:lvl w:ilvl="0" w:tplc="040C001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41EE7EDA"/>
    <w:multiLevelType w:val="hybridMultilevel"/>
    <w:tmpl w:val="7A128CA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9410F68"/>
    <w:multiLevelType w:val="hybridMultilevel"/>
    <w:tmpl w:val="8C562F10"/>
    <w:lvl w:ilvl="0" w:tplc="ACFA86F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634215CB"/>
    <w:multiLevelType w:val="hybridMultilevel"/>
    <w:tmpl w:val="AC82A406"/>
    <w:lvl w:ilvl="0" w:tplc="C2C80DE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6563582A"/>
    <w:multiLevelType w:val="hybridMultilevel"/>
    <w:tmpl w:val="A0346C96"/>
    <w:lvl w:ilvl="0" w:tplc="9DE26F2E">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72417D9D"/>
    <w:multiLevelType w:val="hybridMultilevel"/>
    <w:tmpl w:val="013E182A"/>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6"/>
  </w:num>
  <w:num w:numId="3">
    <w:abstractNumId w:val="4"/>
  </w:num>
  <w:num w:numId="4">
    <w:abstractNumId w:val="5"/>
  </w:num>
  <w:num w:numId="5">
    <w:abstractNumId w:val="0"/>
  </w:num>
  <w:num w:numId="6">
    <w:abstractNumId w:val="8"/>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EF6"/>
    <w:rsid w:val="00022E28"/>
    <w:rsid w:val="000530EA"/>
    <w:rsid w:val="000716FB"/>
    <w:rsid w:val="000F2A27"/>
    <w:rsid w:val="0018339D"/>
    <w:rsid w:val="001A4EE4"/>
    <w:rsid w:val="002D123D"/>
    <w:rsid w:val="002F595C"/>
    <w:rsid w:val="00321EEC"/>
    <w:rsid w:val="00342705"/>
    <w:rsid w:val="003C631E"/>
    <w:rsid w:val="003F6D27"/>
    <w:rsid w:val="0041102F"/>
    <w:rsid w:val="00443315"/>
    <w:rsid w:val="0047124E"/>
    <w:rsid w:val="00476F02"/>
    <w:rsid w:val="004B48E0"/>
    <w:rsid w:val="004C1CE4"/>
    <w:rsid w:val="004D05A3"/>
    <w:rsid w:val="004D250F"/>
    <w:rsid w:val="004E302B"/>
    <w:rsid w:val="00504C3A"/>
    <w:rsid w:val="005216B0"/>
    <w:rsid w:val="00531E3D"/>
    <w:rsid w:val="00533893"/>
    <w:rsid w:val="006263A4"/>
    <w:rsid w:val="006360C0"/>
    <w:rsid w:val="006953C4"/>
    <w:rsid w:val="00793B8E"/>
    <w:rsid w:val="007B4FD1"/>
    <w:rsid w:val="007D311D"/>
    <w:rsid w:val="007E6913"/>
    <w:rsid w:val="008114E4"/>
    <w:rsid w:val="0083120A"/>
    <w:rsid w:val="00842271"/>
    <w:rsid w:val="00895343"/>
    <w:rsid w:val="00895EF6"/>
    <w:rsid w:val="008D4920"/>
    <w:rsid w:val="00912198"/>
    <w:rsid w:val="009123BB"/>
    <w:rsid w:val="00921516"/>
    <w:rsid w:val="009C1CF7"/>
    <w:rsid w:val="00A057E7"/>
    <w:rsid w:val="00A158C4"/>
    <w:rsid w:val="00B74114"/>
    <w:rsid w:val="00B761BD"/>
    <w:rsid w:val="00BC53B7"/>
    <w:rsid w:val="00C00731"/>
    <w:rsid w:val="00C46028"/>
    <w:rsid w:val="00C94C07"/>
    <w:rsid w:val="00CA45D5"/>
    <w:rsid w:val="00CE360A"/>
    <w:rsid w:val="00CE6A98"/>
    <w:rsid w:val="00D13D89"/>
    <w:rsid w:val="00DA2342"/>
    <w:rsid w:val="00E223A4"/>
    <w:rsid w:val="00E62F40"/>
    <w:rsid w:val="00E63283"/>
    <w:rsid w:val="00E636BA"/>
    <w:rsid w:val="00EC48F5"/>
    <w:rsid w:val="00ED1706"/>
    <w:rsid w:val="00F5571E"/>
    <w:rsid w:val="00F82F14"/>
    <w:rsid w:val="00FF405A"/>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71265A"/>
  <w15:docId w15:val="{8734A877-2652-D142-B4F3-FBEA4194B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rsid w:val="00531E3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531E3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EC48F5"/>
    <w:pPr>
      <w:keepNext/>
      <w:keepLines/>
      <w:spacing w:before="40"/>
      <w:outlineLvl w:val="2"/>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95EF6"/>
    <w:pPr>
      <w:ind w:left="720"/>
      <w:contextualSpacing/>
    </w:pPr>
  </w:style>
  <w:style w:type="paragraph" w:styleId="Notedebasdepage">
    <w:name w:val="footnote text"/>
    <w:basedOn w:val="Normal"/>
    <w:link w:val="NotedebasdepageCar"/>
    <w:uiPriority w:val="99"/>
    <w:semiHidden/>
    <w:unhideWhenUsed/>
    <w:rsid w:val="00022E28"/>
    <w:rPr>
      <w:sz w:val="20"/>
      <w:szCs w:val="20"/>
    </w:rPr>
  </w:style>
  <w:style w:type="character" w:customStyle="1" w:styleId="NotedebasdepageCar">
    <w:name w:val="Note de bas de page Car"/>
    <w:basedOn w:val="Policepardfaut"/>
    <w:link w:val="Notedebasdepage"/>
    <w:uiPriority w:val="99"/>
    <w:semiHidden/>
    <w:rsid w:val="00022E28"/>
    <w:rPr>
      <w:sz w:val="20"/>
      <w:szCs w:val="20"/>
    </w:rPr>
  </w:style>
  <w:style w:type="character" w:styleId="Appelnotedebasdep">
    <w:name w:val="footnote reference"/>
    <w:basedOn w:val="Policepardfaut"/>
    <w:uiPriority w:val="99"/>
    <w:semiHidden/>
    <w:unhideWhenUsed/>
    <w:rsid w:val="00022E28"/>
    <w:rPr>
      <w:vertAlign w:val="superscript"/>
    </w:rPr>
  </w:style>
  <w:style w:type="character" w:customStyle="1" w:styleId="Titre1Car">
    <w:name w:val="Titre 1 Car"/>
    <w:basedOn w:val="Policepardfaut"/>
    <w:link w:val="Titre1"/>
    <w:uiPriority w:val="9"/>
    <w:rsid w:val="00531E3D"/>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rsid w:val="00531E3D"/>
    <w:rPr>
      <w:rFonts w:asciiTheme="majorHAnsi" w:eastAsiaTheme="majorEastAsia" w:hAnsiTheme="majorHAnsi" w:cstheme="majorBidi"/>
      <w:color w:val="2F5496" w:themeColor="accent1" w:themeShade="BF"/>
      <w:sz w:val="26"/>
      <w:szCs w:val="26"/>
    </w:rPr>
  </w:style>
  <w:style w:type="character" w:customStyle="1" w:styleId="Titre3Car">
    <w:name w:val="Titre 3 Car"/>
    <w:basedOn w:val="Policepardfaut"/>
    <w:link w:val="Titre3"/>
    <w:uiPriority w:val="9"/>
    <w:rsid w:val="00EC48F5"/>
    <w:rPr>
      <w:rFonts w:asciiTheme="majorHAnsi" w:eastAsiaTheme="majorEastAsia" w:hAnsiTheme="majorHAnsi" w:cstheme="majorBidi"/>
      <w:color w:val="1F3763" w:themeColor="accent1" w:themeShade="7F"/>
    </w:rPr>
  </w:style>
  <w:style w:type="paragraph" w:customStyle="1" w:styleId="SingleTxt">
    <w:name w:val="__Single Txt"/>
    <w:basedOn w:val="Normal"/>
    <w:rsid w:val="00F82F14"/>
    <w:pPr>
      <w:tabs>
        <w:tab w:val="left" w:pos="475"/>
        <w:tab w:val="left" w:pos="950"/>
        <w:tab w:val="left" w:pos="1267"/>
        <w:tab w:val="left" w:pos="1426"/>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pPr>
    <w:rPr>
      <w:rFonts w:ascii="Times New Roman" w:eastAsia="Times New Roman" w:hAnsi="Times New Roman" w:cs="Times New Roman"/>
      <w:spacing w:val="4"/>
      <w:w w:val="103"/>
      <w:kern w:val="14"/>
      <w:sz w:val="26"/>
      <w:szCs w:val="20"/>
      <w:lang w:val="fr-CA" w:eastAsia="fr-FR"/>
    </w:rPr>
  </w:style>
  <w:style w:type="paragraph" w:styleId="En-ttedetabledesmatires">
    <w:name w:val="TOC Heading"/>
    <w:basedOn w:val="Titre1"/>
    <w:next w:val="Normal"/>
    <w:uiPriority w:val="39"/>
    <w:unhideWhenUsed/>
    <w:qFormat/>
    <w:rsid w:val="002F595C"/>
    <w:pPr>
      <w:spacing w:before="480" w:line="276" w:lineRule="auto"/>
      <w:outlineLvl w:val="9"/>
    </w:pPr>
    <w:rPr>
      <w:b/>
      <w:bCs/>
      <w:sz w:val="28"/>
      <w:szCs w:val="28"/>
      <w:lang w:eastAsia="fr-FR"/>
    </w:rPr>
  </w:style>
  <w:style w:type="paragraph" w:styleId="TM1">
    <w:name w:val="toc 1"/>
    <w:basedOn w:val="Normal"/>
    <w:next w:val="Normal"/>
    <w:autoRedefine/>
    <w:uiPriority w:val="39"/>
    <w:unhideWhenUsed/>
    <w:rsid w:val="002F595C"/>
    <w:pPr>
      <w:spacing w:before="120"/>
    </w:pPr>
    <w:rPr>
      <w:rFonts w:cstheme="minorHAnsi"/>
      <w:b/>
      <w:bCs/>
      <w:i/>
      <w:iCs/>
    </w:rPr>
  </w:style>
  <w:style w:type="paragraph" w:styleId="TM2">
    <w:name w:val="toc 2"/>
    <w:basedOn w:val="Normal"/>
    <w:next w:val="Normal"/>
    <w:autoRedefine/>
    <w:uiPriority w:val="39"/>
    <w:unhideWhenUsed/>
    <w:rsid w:val="002F595C"/>
    <w:pPr>
      <w:spacing w:before="120"/>
      <w:ind w:left="240"/>
    </w:pPr>
    <w:rPr>
      <w:rFonts w:cstheme="minorHAnsi"/>
      <w:b/>
      <w:bCs/>
      <w:sz w:val="22"/>
      <w:szCs w:val="22"/>
    </w:rPr>
  </w:style>
  <w:style w:type="character" w:styleId="Lienhypertexte">
    <w:name w:val="Hyperlink"/>
    <w:basedOn w:val="Policepardfaut"/>
    <w:uiPriority w:val="99"/>
    <w:unhideWhenUsed/>
    <w:rsid w:val="002F595C"/>
    <w:rPr>
      <w:color w:val="0563C1" w:themeColor="hyperlink"/>
      <w:u w:val="single"/>
    </w:rPr>
  </w:style>
  <w:style w:type="paragraph" w:styleId="TM3">
    <w:name w:val="toc 3"/>
    <w:basedOn w:val="Normal"/>
    <w:next w:val="Normal"/>
    <w:autoRedefine/>
    <w:uiPriority w:val="39"/>
    <w:semiHidden/>
    <w:unhideWhenUsed/>
    <w:rsid w:val="002F595C"/>
    <w:pPr>
      <w:ind w:left="480"/>
    </w:pPr>
    <w:rPr>
      <w:rFonts w:cstheme="minorHAnsi"/>
      <w:sz w:val="20"/>
      <w:szCs w:val="20"/>
    </w:rPr>
  </w:style>
  <w:style w:type="paragraph" w:styleId="TM4">
    <w:name w:val="toc 4"/>
    <w:basedOn w:val="Normal"/>
    <w:next w:val="Normal"/>
    <w:autoRedefine/>
    <w:uiPriority w:val="39"/>
    <w:semiHidden/>
    <w:unhideWhenUsed/>
    <w:rsid w:val="002F595C"/>
    <w:pPr>
      <w:ind w:left="720"/>
    </w:pPr>
    <w:rPr>
      <w:rFonts w:cstheme="minorHAnsi"/>
      <w:sz w:val="20"/>
      <w:szCs w:val="20"/>
    </w:rPr>
  </w:style>
  <w:style w:type="paragraph" w:styleId="TM5">
    <w:name w:val="toc 5"/>
    <w:basedOn w:val="Normal"/>
    <w:next w:val="Normal"/>
    <w:autoRedefine/>
    <w:uiPriority w:val="39"/>
    <w:semiHidden/>
    <w:unhideWhenUsed/>
    <w:rsid w:val="002F595C"/>
    <w:pPr>
      <w:ind w:left="960"/>
    </w:pPr>
    <w:rPr>
      <w:rFonts w:cstheme="minorHAnsi"/>
      <w:sz w:val="20"/>
      <w:szCs w:val="20"/>
    </w:rPr>
  </w:style>
  <w:style w:type="paragraph" w:styleId="TM6">
    <w:name w:val="toc 6"/>
    <w:basedOn w:val="Normal"/>
    <w:next w:val="Normal"/>
    <w:autoRedefine/>
    <w:uiPriority w:val="39"/>
    <w:semiHidden/>
    <w:unhideWhenUsed/>
    <w:rsid w:val="002F595C"/>
    <w:pPr>
      <w:ind w:left="1200"/>
    </w:pPr>
    <w:rPr>
      <w:rFonts w:cstheme="minorHAnsi"/>
      <w:sz w:val="20"/>
      <w:szCs w:val="20"/>
    </w:rPr>
  </w:style>
  <w:style w:type="paragraph" w:styleId="TM7">
    <w:name w:val="toc 7"/>
    <w:basedOn w:val="Normal"/>
    <w:next w:val="Normal"/>
    <w:autoRedefine/>
    <w:uiPriority w:val="39"/>
    <w:semiHidden/>
    <w:unhideWhenUsed/>
    <w:rsid w:val="002F595C"/>
    <w:pPr>
      <w:ind w:left="1440"/>
    </w:pPr>
    <w:rPr>
      <w:rFonts w:cstheme="minorHAnsi"/>
      <w:sz w:val="20"/>
      <w:szCs w:val="20"/>
    </w:rPr>
  </w:style>
  <w:style w:type="paragraph" w:styleId="TM8">
    <w:name w:val="toc 8"/>
    <w:basedOn w:val="Normal"/>
    <w:next w:val="Normal"/>
    <w:autoRedefine/>
    <w:uiPriority w:val="39"/>
    <w:semiHidden/>
    <w:unhideWhenUsed/>
    <w:rsid w:val="002F595C"/>
    <w:pPr>
      <w:ind w:left="1680"/>
    </w:pPr>
    <w:rPr>
      <w:rFonts w:cstheme="minorHAnsi"/>
      <w:sz w:val="20"/>
      <w:szCs w:val="20"/>
    </w:rPr>
  </w:style>
  <w:style w:type="paragraph" w:styleId="TM9">
    <w:name w:val="toc 9"/>
    <w:basedOn w:val="Normal"/>
    <w:next w:val="Normal"/>
    <w:autoRedefine/>
    <w:uiPriority w:val="39"/>
    <w:semiHidden/>
    <w:unhideWhenUsed/>
    <w:rsid w:val="002F595C"/>
    <w:pPr>
      <w:ind w:left="1920"/>
    </w:pPr>
    <w:rPr>
      <w:rFonts w:cstheme="minorHAnsi"/>
      <w:sz w:val="20"/>
      <w:szCs w:val="20"/>
    </w:rPr>
  </w:style>
  <w:style w:type="paragraph" w:styleId="Textedebulles">
    <w:name w:val="Balloon Text"/>
    <w:basedOn w:val="Normal"/>
    <w:link w:val="TextedebullesCar"/>
    <w:uiPriority w:val="99"/>
    <w:semiHidden/>
    <w:unhideWhenUsed/>
    <w:rsid w:val="0083120A"/>
    <w:rPr>
      <w:rFonts w:ascii="Lucida Grande" w:hAnsi="Lucida Grande"/>
      <w:sz w:val="18"/>
      <w:szCs w:val="18"/>
    </w:rPr>
  </w:style>
  <w:style w:type="character" w:customStyle="1" w:styleId="TextedebullesCar">
    <w:name w:val="Texte de bulles Car"/>
    <w:basedOn w:val="Policepardfaut"/>
    <w:link w:val="Textedebulles"/>
    <w:uiPriority w:val="99"/>
    <w:semiHidden/>
    <w:rsid w:val="0083120A"/>
    <w:rPr>
      <w:rFonts w:ascii="Lucida Grande" w:hAnsi="Lucida Grande"/>
      <w:sz w:val="18"/>
      <w:szCs w:val="18"/>
    </w:rPr>
  </w:style>
  <w:style w:type="character" w:styleId="Marquedecommentaire">
    <w:name w:val="annotation reference"/>
    <w:basedOn w:val="Policepardfaut"/>
    <w:uiPriority w:val="99"/>
    <w:semiHidden/>
    <w:unhideWhenUsed/>
    <w:rsid w:val="00BC53B7"/>
    <w:rPr>
      <w:sz w:val="18"/>
      <w:szCs w:val="18"/>
    </w:rPr>
  </w:style>
  <w:style w:type="paragraph" w:styleId="Commentaire">
    <w:name w:val="annotation text"/>
    <w:basedOn w:val="Normal"/>
    <w:link w:val="CommentaireCar"/>
    <w:uiPriority w:val="99"/>
    <w:semiHidden/>
    <w:unhideWhenUsed/>
    <w:rsid w:val="00BC53B7"/>
  </w:style>
  <w:style w:type="character" w:customStyle="1" w:styleId="CommentaireCar">
    <w:name w:val="Commentaire Car"/>
    <w:basedOn w:val="Policepardfaut"/>
    <w:link w:val="Commentaire"/>
    <w:uiPriority w:val="99"/>
    <w:semiHidden/>
    <w:rsid w:val="00BC53B7"/>
  </w:style>
  <w:style w:type="paragraph" w:styleId="Objetducommentaire">
    <w:name w:val="annotation subject"/>
    <w:basedOn w:val="Commentaire"/>
    <w:next w:val="Commentaire"/>
    <w:link w:val="ObjetducommentaireCar"/>
    <w:uiPriority w:val="99"/>
    <w:semiHidden/>
    <w:unhideWhenUsed/>
    <w:rsid w:val="00BC53B7"/>
    <w:rPr>
      <w:b/>
      <w:bCs/>
      <w:sz w:val="20"/>
      <w:szCs w:val="20"/>
    </w:rPr>
  </w:style>
  <w:style w:type="character" w:customStyle="1" w:styleId="ObjetducommentaireCar">
    <w:name w:val="Objet du commentaire Car"/>
    <w:basedOn w:val="CommentaireCar"/>
    <w:link w:val="Objetducommentaire"/>
    <w:uiPriority w:val="99"/>
    <w:semiHidden/>
    <w:rsid w:val="00BC53B7"/>
    <w:rPr>
      <w:b/>
      <w:bCs/>
      <w:sz w:val="20"/>
      <w:szCs w:val="20"/>
    </w:rPr>
  </w:style>
  <w:style w:type="paragraph" w:styleId="En-tte">
    <w:name w:val="header"/>
    <w:basedOn w:val="Normal"/>
    <w:link w:val="En-tteCar"/>
    <w:uiPriority w:val="99"/>
    <w:unhideWhenUsed/>
    <w:rsid w:val="007B4FD1"/>
    <w:pPr>
      <w:tabs>
        <w:tab w:val="center" w:pos="4536"/>
        <w:tab w:val="right" w:pos="9072"/>
      </w:tabs>
    </w:pPr>
  </w:style>
  <w:style w:type="character" w:customStyle="1" w:styleId="En-tteCar">
    <w:name w:val="En-tête Car"/>
    <w:basedOn w:val="Policepardfaut"/>
    <w:link w:val="En-tte"/>
    <w:uiPriority w:val="99"/>
    <w:rsid w:val="007B4FD1"/>
  </w:style>
  <w:style w:type="character" w:styleId="Numrodepage">
    <w:name w:val="page number"/>
    <w:basedOn w:val="Policepardfaut"/>
    <w:uiPriority w:val="99"/>
    <w:semiHidden/>
    <w:unhideWhenUsed/>
    <w:rsid w:val="007B4FD1"/>
  </w:style>
  <w:style w:type="paragraph" w:styleId="Rvision">
    <w:name w:val="Revision"/>
    <w:hidden/>
    <w:uiPriority w:val="99"/>
    <w:semiHidden/>
    <w:rsid w:val="00DA2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EDBF9C-D07B-A54A-AA18-56FAB39A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4767</Words>
  <Characters>26219</Characters>
  <Application>Microsoft Office Word</Application>
  <DocSecurity>0</DocSecurity>
  <Lines>218</Lines>
  <Paragraphs>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2019-04-09T08:38:00Z</dcterms:created>
  <dcterms:modified xsi:type="dcterms:W3CDTF">2019-04-09T08:39:00Z</dcterms:modified>
</cp:coreProperties>
</file>