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5E7" w:rsidRDefault="006915E7" w:rsidP="004F1767">
      <w:pPr>
        <w:jc w:val="center"/>
        <w:rPr>
          <w:rFonts w:cs="Times New Roman"/>
          <w:b/>
          <w:caps/>
          <w:color w:val="FFC000"/>
          <w:sz w:val="32"/>
          <w:szCs w:val="32"/>
        </w:rPr>
      </w:pPr>
    </w:p>
    <w:p w:rsidR="004F1767" w:rsidRPr="001D2947" w:rsidRDefault="004F1767" w:rsidP="004F1767">
      <w:pPr>
        <w:jc w:val="center"/>
        <w:rPr>
          <w:rFonts w:cs="Times New Roman"/>
          <w:b/>
          <w:caps/>
          <w:color w:val="FFC000"/>
          <w:sz w:val="32"/>
          <w:szCs w:val="32"/>
        </w:rPr>
      </w:pPr>
      <w:r w:rsidRPr="001D2947">
        <w:rPr>
          <w:rFonts w:cs="Times New Roman"/>
          <w:b/>
          <w:caps/>
          <w:color w:val="FFC000"/>
          <w:sz w:val="32"/>
          <w:szCs w:val="32"/>
        </w:rPr>
        <w:t>À la quête du « graal territorial ». Étude d’un processus d’appropriation d’un modèle territorial d’innovation: le cas des pôles de compétitivité wallons</w:t>
      </w:r>
    </w:p>
    <w:p w:rsidR="004F1767" w:rsidRDefault="004F1767" w:rsidP="004F1767">
      <w:pPr>
        <w:spacing w:after="0" w:line="360" w:lineRule="auto"/>
        <w:rPr>
          <w:b/>
          <w:sz w:val="24"/>
          <w:szCs w:val="32"/>
        </w:rPr>
      </w:pPr>
    </w:p>
    <w:p w:rsidR="004F1767" w:rsidRDefault="004F1767" w:rsidP="004F1767">
      <w:pPr>
        <w:spacing w:after="0" w:line="360" w:lineRule="auto"/>
        <w:jc w:val="center"/>
      </w:pPr>
      <w:r>
        <w:rPr>
          <w:b/>
          <w:sz w:val="24"/>
          <w:szCs w:val="32"/>
        </w:rPr>
        <w:t>Justin L</w:t>
      </w:r>
      <w:r w:rsidRPr="001D2947">
        <w:rPr>
          <w:b/>
          <w:caps/>
          <w:sz w:val="24"/>
          <w:szCs w:val="32"/>
        </w:rPr>
        <w:t>awarée</w:t>
      </w:r>
      <w:r>
        <w:rPr>
          <w:sz w:val="24"/>
          <w:szCs w:val="32"/>
        </w:rPr>
        <w:t xml:space="preserve">, Université catholique de Louvain  </w:t>
      </w:r>
    </w:p>
    <w:p w:rsidR="004F1767" w:rsidRDefault="004F1767" w:rsidP="004F1767">
      <w:pPr>
        <w:spacing w:after="0" w:line="360" w:lineRule="auto"/>
        <w:jc w:val="center"/>
      </w:pPr>
    </w:p>
    <w:p w:rsidR="004F1767" w:rsidRDefault="004F1767" w:rsidP="004F1767">
      <w:pPr>
        <w:spacing w:after="0" w:line="360" w:lineRule="auto"/>
        <w:jc w:val="center"/>
        <w:rPr>
          <w:rStyle w:val="Lienhypertexte"/>
          <w:sz w:val="24"/>
          <w:szCs w:val="32"/>
        </w:rPr>
      </w:pPr>
      <w:r>
        <w:rPr>
          <w:sz w:val="24"/>
          <w:szCs w:val="32"/>
        </w:rPr>
        <w:t xml:space="preserve">Contact : </w:t>
      </w:r>
      <w:hyperlink r:id="rId8" w:history="1">
        <w:r w:rsidRPr="00E76CF6">
          <w:rPr>
            <w:rStyle w:val="Lienhypertexte"/>
            <w:sz w:val="24"/>
            <w:szCs w:val="32"/>
          </w:rPr>
          <w:t>justin.lawaree@uclouvain.be</w:t>
        </w:r>
      </w:hyperlink>
    </w:p>
    <w:p w:rsidR="001D2947" w:rsidRDefault="001D2947" w:rsidP="001D2947">
      <w:pPr>
        <w:spacing w:after="0" w:line="360" w:lineRule="auto"/>
        <w:jc w:val="center"/>
        <w:rPr>
          <w:rStyle w:val="Lienhypertexte"/>
        </w:rPr>
      </w:pPr>
    </w:p>
    <w:p w:rsidR="004F1767" w:rsidRDefault="004F1767" w:rsidP="004F1767">
      <w:pPr>
        <w:spacing w:line="360" w:lineRule="auto"/>
        <w:jc w:val="both"/>
        <w:rPr>
          <w:b/>
          <w:sz w:val="24"/>
          <w:szCs w:val="32"/>
        </w:rPr>
      </w:pPr>
      <w:r w:rsidRPr="00A20721">
        <w:rPr>
          <w:b/>
          <w:sz w:val="24"/>
          <w:szCs w:val="32"/>
        </w:rPr>
        <w:t xml:space="preserve">Résumé </w:t>
      </w:r>
    </w:p>
    <w:p w:rsidR="0031327B" w:rsidRPr="0031327B" w:rsidRDefault="0031327B" w:rsidP="004F1767">
      <w:pPr>
        <w:spacing w:line="360" w:lineRule="auto"/>
        <w:jc w:val="both"/>
        <w:rPr>
          <w:b/>
          <w:sz w:val="24"/>
          <w:szCs w:val="32"/>
        </w:rPr>
      </w:pPr>
      <w:r>
        <w:rPr>
          <w:rFonts w:cs="Times New Roman"/>
        </w:rPr>
        <w:tab/>
      </w:r>
      <w:r w:rsidRPr="0031327B">
        <w:rPr>
          <w:rFonts w:cs="Times New Roman"/>
        </w:rPr>
        <w:t>Les modèles territoriaux d’innovations (MTI) représentent, dans le domaine des politiques régionales,  le « Graal territorial ». En effet, sur son territoire, tout décideur politique aspire à voir émerger et se développer un système d’innovation déclencheur d’un cercle vertueux de développement socio-économique</w:t>
      </w:r>
      <w:r w:rsidR="005B41DA">
        <w:rPr>
          <w:rFonts w:cs="Times New Roman"/>
        </w:rPr>
        <w:t>. Devenue</w:t>
      </w:r>
      <w:r w:rsidRPr="0031327B">
        <w:rPr>
          <w:rFonts w:cs="Times New Roman"/>
        </w:rPr>
        <w:t xml:space="preserve"> quasiment dogmatique, la quête du développement territorial via l’endogénéisation de l’innovation structure les politiques économiques et industrielles de régions, de provinces ou d’états au profil fort varié. L’application d’outils de développement territorial « génériques » au sein de contextes territoriaux spécifiques apparait quelque peu paradoxal et questionne les processus d’appropriation et d’adaptation des MIT. L’objectif de cette recherche est de comprendre le processus d’appropriation d’un instrument de politique régional</w:t>
      </w:r>
      <w:r w:rsidR="005B41DA">
        <w:rPr>
          <w:rFonts w:cs="Times New Roman"/>
        </w:rPr>
        <w:t>e</w:t>
      </w:r>
      <w:r w:rsidRPr="0031327B">
        <w:rPr>
          <w:rFonts w:cs="Times New Roman"/>
        </w:rPr>
        <w:t>. Notre recherche se focalise sur une étude de cas:  les pôles de compétitivité en Wallonie (2005-2015). La mise en œuvre des pôles de compétitivité (PC), en 2005, par le gouvernement apparait comme  un tournant dans la logique d’action et  l’émergence d’une politique industrielle faite par et pour les industriels.</w:t>
      </w:r>
    </w:p>
    <w:p w:rsidR="004F1767" w:rsidRDefault="004F1767" w:rsidP="004F1767">
      <w:pPr>
        <w:spacing w:line="360" w:lineRule="auto"/>
        <w:jc w:val="both"/>
        <w:rPr>
          <w:sz w:val="24"/>
          <w:szCs w:val="32"/>
        </w:rPr>
      </w:pPr>
    </w:p>
    <w:p w:rsidR="004F1767" w:rsidRPr="00A20721" w:rsidRDefault="004F1767" w:rsidP="004F1767">
      <w:pPr>
        <w:spacing w:line="360" w:lineRule="auto"/>
        <w:jc w:val="both"/>
        <w:rPr>
          <w:b/>
          <w:sz w:val="24"/>
          <w:szCs w:val="32"/>
        </w:rPr>
      </w:pPr>
      <w:r w:rsidRPr="00A20721">
        <w:rPr>
          <w:b/>
          <w:sz w:val="24"/>
          <w:szCs w:val="32"/>
        </w:rPr>
        <w:t xml:space="preserve">Mots clefs </w:t>
      </w:r>
    </w:p>
    <w:p w:rsidR="009A2C06" w:rsidRDefault="004F1767" w:rsidP="009A2C06">
      <w:pPr>
        <w:spacing w:line="360" w:lineRule="auto"/>
        <w:jc w:val="both"/>
        <w:rPr>
          <w:sz w:val="20"/>
        </w:rPr>
      </w:pPr>
      <w:r>
        <w:rPr>
          <w:szCs w:val="32"/>
        </w:rPr>
        <w:t>Pôles de compétitivité – processus d’appropriation – Innovation territoriale – Théorie de la traduction</w:t>
      </w:r>
      <w:r w:rsidR="009A2C06">
        <w:rPr>
          <w:sz w:val="20"/>
        </w:rPr>
        <w:t>.</w:t>
      </w:r>
    </w:p>
    <w:p w:rsidR="00421817" w:rsidRDefault="00421817">
      <w:pPr>
        <w:rPr>
          <w:sz w:val="20"/>
        </w:rPr>
      </w:pPr>
      <w:r>
        <w:rPr>
          <w:sz w:val="20"/>
        </w:rPr>
        <w:br w:type="page"/>
      </w:r>
    </w:p>
    <w:p w:rsidR="004B1745" w:rsidRPr="009A2C06" w:rsidRDefault="009A2C06" w:rsidP="009A2C06">
      <w:pPr>
        <w:spacing w:line="360" w:lineRule="auto"/>
        <w:jc w:val="both"/>
        <w:rPr>
          <w:sz w:val="20"/>
        </w:rPr>
      </w:pPr>
      <w:bookmarkStart w:id="0" w:name="_GoBack"/>
      <w:bookmarkEnd w:id="0"/>
      <w:r>
        <w:rPr>
          <w:sz w:val="20"/>
        </w:rPr>
        <w:lastRenderedPageBreak/>
        <w:tab/>
      </w:r>
      <w:r w:rsidR="004B1745" w:rsidRPr="001D2947">
        <w:rPr>
          <w:rFonts w:cs="Times New Roman"/>
        </w:rPr>
        <w:t xml:space="preserve">Les modèles </w:t>
      </w:r>
      <w:r w:rsidR="00670282" w:rsidRPr="001D2947">
        <w:rPr>
          <w:rFonts w:cs="Times New Roman"/>
        </w:rPr>
        <w:t>territoriaux</w:t>
      </w:r>
      <w:r w:rsidR="004B1745" w:rsidRPr="001D2947">
        <w:rPr>
          <w:rFonts w:cs="Times New Roman"/>
        </w:rPr>
        <w:t xml:space="preserve"> </w:t>
      </w:r>
      <w:r w:rsidR="00CB51B9" w:rsidRPr="001D2947">
        <w:rPr>
          <w:rFonts w:cs="Times New Roman"/>
        </w:rPr>
        <w:t xml:space="preserve">d’innovation </w:t>
      </w:r>
      <w:r w:rsidR="004B1745" w:rsidRPr="001D2947">
        <w:rPr>
          <w:rFonts w:cs="Times New Roman"/>
        </w:rPr>
        <w:t>(MTI) représentent, dans le domaine de</w:t>
      </w:r>
      <w:r w:rsidR="00CB51B9" w:rsidRPr="001D2947">
        <w:rPr>
          <w:rFonts w:cs="Times New Roman"/>
        </w:rPr>
        <w:t>s politiques régionales,  le « g</w:t>
      </w:r>
      <w:r w:rsidR="004B1745" w:rsidRPr="001D2947">
        <w:rPr>
          <w:rFonts w:cs="Times New Roman"/>
        </w:rPr>
        <w:t xml:space="preserve">raal territorial ». Sur son territoire, tout décideur politique aspire à voir émerger et se développer un système localisé d’innovation déclencheur d’un cercle vertueux entrainant des retombées économiques, politiques, culturelles ou encore sociales. Érigée par certains acteurs au rang de dogme, la quête du développement territorial via l’endogénéisation de l’innovation a influencé, durant les dernières décennies, les politiques économiques et industrielles de </w:t>
      </w:r>
      <w:r w:rsidR="00CB51B9" w:rsidRPr="001D2947">
        <w:rPr>
          <w:rFonts w:cs="Times New Roman"/>
        </w:rPr>
        <w:t>régions</w:t>
      </w:r>
      <w:r w:rsidR="004B1745" w:rsidRPr="001D2947">
        <w:rPr>
          <w:rFonts w:cs="Times New Roman"/>
        </w:rPr>
        <w:t xml:space="preserve"> aux profils forts variés. </w:t>
      </w:r>
    </w:p>
    <w:p w:rsidR="004B1745" w:rsidRPr="001D2947" w:rsidRDefault="004B1745" w:rsidP="001D2947">
      <w:pPr>
        <w:spacing w:line="360" w:lineRule="auto"/>
        <w:jc w:val="both"/>
        <w:rPr>
          <w:rFonts w:cs="Times New Roman"/>
        </w:rPr>
      </w:pPr>
      <w:r w:rsidRPr="001D2947">
        <w:rPr>
          <w:rFonts w:cs="Times New Roman"/>
        </w:rPr>
        <w:tab/>
        <w:t xml:space="preserve">La mise en œuvre d’instruments de développement territorial « génériques » au sein d’un contexte particulier apparait quelque peu ambivalente et questionne les processus d’appropriation et de diffusion des </w:t>
      </w:r>
      <w:r w:rsidR="00670282" w:rsidRPr="001D2947">
        <w:rPr>
          <w:rFonts w:cs="Times New Roman"/>
        </w:rPr>
        <w:t>MTI</w:t>
      </w:r>
      <w:r w:rsidRPr="001D2947">
        <w:rPr>
          <w:rFonts w:cs="Times New Roman"/>
        </w:rPr>
        <w:t xml:space="preserve">. Par appropriation, nous faisons référence à la gestion de la tension entre la logique d’action </w:t>
      </w:r>
      <w:r w:rsidR="00CB51B9" w:rsidRPr="001D2947">
        <w:rPr>
          <w:rFonts w:cs="Times New Roman"/>
        </w:rPr>
        <w:t xml:space="preserve">inscrite dans </w:t>
      </w:r>
      <w:r w:rsidRPr="001D2947">
        <w:rPr>
          <w:rFonts w:cs="Times New Roman"/>
        </w:rPr>
        <w:t xml:space="preserve">un concept et le contexte politico-économique d’un territoire donné. </w:t>
      </w:r>
      <w:r w:rsidR="001D2947">
        <w:rPr>
          <w:rFonts w:cs="Times New Roman"/>
        </w:rPr>
        <w:t>Il</w:t>
      </w:r>
      <w:r w:rsidRPr="001D2947">
        <w:rPr>
          <w:rFonts w:cs="Times New Roman"/>
        </w:rPr>
        <w:t xml:space="preserve"> s’agit de dépasser l’argument de la diffusion des « bonnes pratiques » pour questionner avec acuité les processus de légitimation, d’appropriation voire d’instrumentalisation dont </w:t>
      </w:r>
      <w:r w:rsidR="00CB51B9" w:rsidRPr="001D2947">
        <w:rPr>
          <w:rFonts w:cs="Times New Roman"/>
        </w:rPr>
        <w:t>les</w:t>
      </w:r>
      <w:r w:rsidRPr="001D2947">
        <w:rPr>
          <w:rFonts w:cs="Times New Roman"/>
        </w:rPr>
        <w:t xml:space="preserve"> </w:t>
      </w:r>
      <w:r w:rsidR="00670282" w:rsidRPr="001D2947">
        <w:rPr>
          <w:rFonts w:cs="Times New Roman"/>
        </w:rPr>
        <w:t>MTI</w:t>
      </w:r>
      <w:r w:rsidRPr="001D2947">
        <w:rPr>
          <w:rFonts w:cs="Times New Roman"/>
        </w:rPr>
        <w:t xml:space="preserve"> peu</w:t>
      </w:r>
      <w:r w:rsidR="00CB51B9" w:rsidRPr="001D2947">
        <w:rPr>
          <w:rFonts w:cs="Times New Roman"/>
        </w:rPr>
        <w:t>ven</w:t>
      </w:r>
      <w:r w:rsidRPr="001D2947">
        <w:rPr>
          <w:rFonts w:cs="Times New Roman"/>
        </w:rPr>
        <w:t>t être l’objet.</w:t>
      </w:r>
    </w:p>
    <w:p w:rsidR="004B1745" w:rsidRPr="001D2947" w:rsidRDefault="001D2947" w:rsidP="001D2947">
      <w:pPr>
        <w:spacing w:line="360" w:lineRule="auto"/>
        <w:jc w:val="both"/>
        <w:rPr>
          <w:rFonts w:cs="Times New Roman"/>
        </w:rPr>
      </w:pPr>
      <w:r>
        <w:rPr>
          <w:rFonts w:cs="Times New Roman"/>
        </w:rPr>
        <w:t xml:space="preserve"> </w:t>
      </w:r>
      <w:r>
        <w:rPr>
          <w:rFonts w:cs="Times New Roman"/>
        </w:rPr>
        <w:tab/>
        <w:t>L</w:t>
      </w:r>
      <w:r w:rsidR="004B1745" w:rsidRPr="001D2947">
        <w:rPr>
          <w:rFonts w:cs="Times New Roman"/>
        </w:rPr>
        <w:t xml:space="preserve">’implémentation d’un </w:t>
      </w:r>
      <w:r w:rsidR="00670282" w:rsidRPr="001D2947">
        <w:rPr>
          <w:rFonts w:cs="Times New Roman"/>
        </w:rPr>
        <w:t>MTI</w:t>
      </w:r>
      <w:r w:rsidR="004B1745" w:rsidRPr="001D2947">
        <w:rPr>
          <w:rFonts w:cs="Times New Roman"/>
        </w:rPr>
        <w:t xml:space="preserve"> est vue comme le résultat d’un processus de traduction d’un concept du paradigme de l’innovation territoriale </w:t>
      </w:r>
      <w:r w:rsidR="00CB51B9" w:rsidRPr="001D2947">
        <w:rPr>
          <w:rFonts w:cs="Times New Roman"/>
        </w:rPr>
        <w:t>par</w:t>
      </w:r>
      <w:r w:rsidR="004B1745" w:rsidRPr="001D2947">
        <w:rPr>
          <w:rFonts w:cs="Times New Roman"/>
        </w:rPr>
        <w:t xml:space="preserve"> des acteurs opérant au sein du contexte politico-économique </w:t>
      </w:r>
      <w:r w:rsidR="00CB51B9" w:rsidRPr="001D2947">
        <w:rPr>
          <w:rFonts w:cs="Times New Roman"/>
        </w:rPr>
        <w:t>particulier</w:t>
      </w:r>
      <w:r w:rsidR="004B1745" w:rsidRPr="001D2947">
        <w:rPr>
          <w:rFonts w:cs="Times New Roman"/>
        </w:rPr>
        <w:t xml:space="preserve">. L’exercice de traduction </w:t>
      </w:r>
      <w:r w:rsidR="00CB51B9" w:rsidRPr="001D2947">
        <w:rPr>
          <w:rFonts w:cs="Times New Roman"/>
        </w:rPr>
        <w:t>produit</w:t>
      </w:r>
      <w:r w:rsidR="006123CF">
        <w:rPr>
          <w:rFonts w:cs="Times New Roman"/>
        </w:rPr>
        <w:t xml:space="preserve"> </w:t>
      </w:r>
      <w:r w:rsidR="004B1745" w:rsidRPr="001D2947">
        <w:rPr>
          <w:rFonts w:cs="Times New Roman"/>
        </w:rPr>
        <w:t xml:space="preserve">un instrument de politique industrielle inédit. Effectivement, le caractère innovant du </w:t>
      </w:r>
      <w:r w:rsidR="00670282" w:rsidRPr="001D2947">
        <w:rPr>
          <w:rFonts w:cs="Times New Roman"/>
        </w:rPr>
        <w:t>MTI</w:t>
      </w:r>
      <w:r w:rsidR="004B1745" w:rsidRPr="001D2947">
        <w:rPr>
          <w:rFonts w:cs="Times New Roman"/>
        </w:rPr>
        <w:t xml:space="preserve"> implémenté n</w:t>
      </w:r>
      <w:r w:rsidR="00CB51B9" w:rsidRPr="001D2947">
        <w:rPr>
          <w:rFonts w:cs="Times New Roman"/>
        </w:rPr>
        <w:t xml:space="preserve">’est pas le résultat de la mise en œuvre </w:t>
      </w:r>
      <w:r w:rsidR="004B1745" w:rsidRPr="001D2947">
        <w:rPr>
          <w:rFonts w:cs="Times New Roman"/>
        </w:rPr>
        <w:t>du concept</w:t>
      </w:r>
      <w:r w:rsidR="00CB51B9" w:rsidRPr="001D2947">
        <w:rPr>
          <w:rFonts w:cs="Times New Roman"/>
        </w:rPr>
        <w:t>, mais de l’adaptation de ce dernier au contexte local</w:t>
      </w:r>
      <w:r w:rsidR="004B1745" w:rsidRPr="001D2947">
        <w:rPr>
          <w:rFonts w:cs="Times New Roman"/>
        </w:rPr>
        <w:t xml:space="preserve">. </w:t>
      </w:r>
      <w:r w:rsidR="00CB51B9" w:rsidRPr="001D2947">
        <w:rPr>
          <w:rFonts w:cs="Times New Roman"/>
        </w:rPr>
        <w:t>Notre</w:t>
      </w:r>
      <w:r w:rsidR="004B1745" w:rsidRPr="001D2947">
        <w:rPr>
          <w:rFonts w:cs="Times New Roman"/>
        </w:rPr>
        <w:t xml:space="preserve"> recherche se questionne principalement sur la manière dont les acteurs du territoire adaptent un modèle global au contexte local. </w:t>
      </w:r>
    </w:p>
    <w:p w:rsidR="004B1745" w:rsidRPr="001D2947" w:rsidRDefault="004B1745" w:rsidP="001D2947">
      <w:pPr>
        <w:pStyle w:val="Notedebasdepage"/>
        <w:spacing w:line="360" w:lineRule="auto"/>
        <w:jc w:val="both"/>
        <w:rPr>
          <w:rFonts w:cs="Times New Roman"/>
          <w:sz w:val="22"/>
          <w:szCs w:val="22"/>
        </w:rPr>
      </w:pPr>
      <w:r w:rsidRPr="001D2947">
        <w:rPr>
          <w:rFonts w:cs="Times New Roman"/>
          <w:sz w:val="22"/>
          <w:szCs w:val="22"/>
        </w:rPr>
        <w:tab/>
      </w:r>
      <w:r w:rsidR="00CB51B9" w:rsidRPr="001D2947">
        <w:rPr>
          <w:rFonts w:cs="Times New Roman"/>
          <w:sz w:val="22"/>
          <w:szCs w:val="22"/>
        </w:rPr>
        <w:t>Pour répondre à ces questions</w:t>
      </w:r>
      <w:r w:rsidRPr="001D2947">
        <w:rPr>
          <w:rFonts w:cs="Times New Roman"/>
          <w:sz w:val="22"/>
          <w:szCs w:val="22"/>
        </w:rPr>
        <w:t xml:space="preserve">, nous mobilisons </w:t>
      </w:r>
      <w:r w:rsidR="00670282" w:rsidRPr="001D2947">
        <w:rPr>
          <w:rFonts w:cs="Times New Roman"/>
          <w:sz w:val="22"/>
          <w:szCs w:val="22"/>
        </w:rPr>
        <w:t>la littérature sur</w:t>
      </w:r>
      <w:r w:rsidR="006123CF">
        <w:rPr>
          <w:rFonts w:cs="Times New Roman"/>
          <w:sz w:val="22"/>
          <w:szCs w:val="22"/>
        </w:rPr>
        <w:t xml:space="preserve"> l’innovation politique. </w:t>
      </w:r>
      <w:r w:rsidRPr="001D2947">
        <w:rPr>
          <w:rFonts w:cs="Times New Roman"/>
          <w:sz w:val="22"/>
          <w:szCs w:val="22"/>
        </w:rPr>
        <w:t>En mobilisant cette littérature, nous poursuivons l’objectif de décr</w:t>
      </w:r>
      <w:r w:rsidR="00CB51B9" w:rsidRPr="001D2947">
        <w:rPr>
          <w:rFonts w:cs="Times New Roman"/>
          <w:sz w:val="22"/>
          <w:szCs w:val="22"/>
        </w:rPr>
        <w:t>ire les mécanismes par lesquels</w:t>
      </w:r>
      <w:r w:rsidRPr="001D2947">
        <w:rPr>
          <w:rFonts w:cs="Times New Roman"/>
          <w:sz w:val="22"/>
          <w:szCs w:val="22"/>
        </w:rPr>
        <w:t xml:space="preserve"> les acteurs parviennent à « formuler, mettre en œuvre et diffuser de nouvelles visions politiques, de nouveaux objectifs et stratégies en vue de la réalisation d’une société meilleure» (Sorensen, 2013, p. 7).</w:t>
      </w:r>
    </w:p>
    <w:p w:rsidR="004B1745" w:rsidRPr="001D2947" w:rsidRDefault="004B1745" w:rsidP="001D2947">
      <w:pPr>
        <w:pStyle w:val="Notedebasdepage"/>
        <w:spacing w:line="360" w:lineRule="auto"/>
        <w:jc w:val="both"/>
        <w:rPr>
          <w:rFonts w:cs="Times New Roman"/>
          <w:sz w:val="22"/>
          <w:szCs w:val="22"/>
        </w:rPr>
      </w:pPr>
    </w:p>
    <w:p w:rsidR="004B1745" w:rsidRPr="001D2947" w:rsidRDefault="004B1745" w:rsidP="001D2947">
      <w:pPr>
        <w:pStyle w:val="Notedebasdepage"/>
        <w:spacing w:line="360" w:lineRule="auto"/>
        <w:jc w:val="both"/>
        <w:rPr>
          <w:rFonts w:cs="Times New Roman"/>
          <w:sz w:val="22"/>
          <w:szCs w:val="22"/>
        </w:rPr>
      </w:pPr>
      <w:r w:rsidRPr="001D2947">
        <w:rPr>
          <w:rFonts w:cs="Times New Roman"/>
          <w:sz w:val="22"/>
          <w:szCs w:val="22"/>
        </w:rPr>
        <w:tab/>
        <w:t xml:space="preserve">Nous focalisons notre étude sur l’élaboration des pôles de compétitivité en Wallonie. Ces derniers sont un instrument de la politique industrielle mis en œuvre en Wallonie en 2006 (Bayenet &amp; Capron, 2005). Les </w:t>
      </w:r>
      <w:r w:rsidR="00670282" w:rsidRPr="001D2947">
        <w:rPr>
          <w:rFonts w:cs="Times New Roman"/>
          <w:sz w:val="22"/>
          <w:szCs w:val="22"/>
        </w:rPr>
        <w:t>pôles</w:t>
      </w:r>
      <w:r w:rsidRPr="001D2947">
        <w:rPr>
          <w:rFonts w:cs="Times New Roman"/>
          <w:sz w:val="22"/>
          <w:szCs w:val="22"/>
        </w:rPr>
        <w:t xml:space="preserve"> constituent le premier axe du « Plan d’action prioritaire</w:t>
      </w:r>
      <w:r w:rsidRPr="001D2947">
        <w:rPr>
          <w:rStyle w:val="Appelnotedebasdep"/>
          <w:rFonts w:cs="Times New Roman"/>
          <w:sz w:val="22"/>
          <w:szCs w:val="22"/>
        </w:rPr>
        <w:footnoteReference w:id="1"/>
      </w:r>
      <w:r w:rsidRPr="001D2947">
        <w:rPr>
          <w:rFonts w:cs="Times New Roman"/>
          <w:sz w:val="22"/>
          <w:szCs w:val="22"/>
        </w:rPr>
        <w:t xml:space="preserve"> ». </w:t>
      </w:r>
      <w:r w:rsidR="00CB51B9" w:rsidRPr="001D2947">
        <w:rPr>
          <w:rFonts w:cs="Times New Roman"/>
          <w:sz w:val="22"/>
          <w:szCs w:val="22"/>
        </w:rPr>
        <w:t>C</w:t>
      </w:r>
      <w:r w:rsidRPr="001D2947">
        <w:rPr>
          <w:rFonts w:cs="Times New Roman"/>
          <w:sz w:val="22"/>
          <w:szCs w:val="22"/>
        </w:rPr>
        <w:t xml:space="preserve">onfrontée à un retard économique, la </w:t>
      </w:r>
      <w:r w:rsidR="00670282" w:rsidRPr="001D2947">
        <w:rPr>
          <w:rFonts w:cs="Times New Roman"/>
          <w:sz w:val="22"/>
          <w:szCs w:val="22"/>
        </w:rPr>
        <w:t xml:space="preserve">Wallonie </w:t>
      </w:r>
      <w:r w:rsidRPr="001D2947">
        <w:rPr>
          <w:rFonts w:cs="Times New Roman"/>
          <w:sz w:val="22"/>
          <w:szCs w:val="22"/>
        </w:rPr>
        <w:t xml:space="preserve">a pris la décision </w:t>
      </w:r>
      <w:r w:rsidR="006123CF">
        <w:rPr>
          <w:rFonts w:cs="Times New Roman"/>
          <w:sz w:val="22"/>
          <w:szCs w:val="22"/>
        </w:rPr>
        <w:t xml:space="preserve">via ce plan </w:t>
      </w:r>
      <w:r w:rsidRPr="001D2947">
        <w:rPr>
          <w:rFonts w:cs="Times New Roman"/>
          <w:sz w:val="22"/>
          <w:szCs w:val="22"/>
        </w:rPr>
        <w:t xml:space="preserve">d’amplifier la politique de mise en </w:t>
      </w:r>
      <w:r w:rsidRPr="001D2947">
        <w:rPr>
          <w:rFonts w:cs="Times New Roman"/>
          <w:sz w:val="22"/>
          <w:szCs w:val="22"/>
        </w:rPr>
        <w:lastRenderedPageBreak/>
        <w:t xml:space="preserve">réseau en </w:t>
      </w:r>
      <w:r w:rsidR="00670282" w:rsidRPr="001D2947">
        <w:rPr>
          <w:rFonts w:cs="Times New Roman"/>
          <w:sz w:val="22"/>
          <w:szCs w:val="22"/>
        </w:rPr>
        <w:t>misant sur</w:t>
      </w:r>
      <w:r w:rsidRPr="001D2947">
        <w:rPr>
          <w:rFonts w:cs="Times New Roman"/>
          <w:sz w:val="22"/>
          <w:szCs w:val="22"/>
        </w:rPr>
        <w:t xml:space="preserve"> le</w:t>
      </w:r>
      <w:r w:rsidR="00670282" w:rsidRPr="001D2947">
        <w:rPr>
          <w:rFonts w:cs="Times New Roman"/>
          <w:sz w:val="22"/>
          <w:szCs w:val="22"/>
        </w:rPr>
        <w:t>s</w:t>
      </w:r>
      <w:r w:rsidRPr="001D2947">
        <w:rPr>
          <w:rFonts w:cs="Times New Roman"/>
          <w:sz w:val="22"/>
          <w:szCs w:val="22"/>
        </w:rPr>
        <w:t xml:space="preserve"> principe</w:t>
      </w:r>
      <w:r w:rsidR="00670282" w:rsidRPr="001D2947">
        <w:rPr>
          <w:rFonts w:cs="Times New Roman"/>
          <w:sz w:val="22"/>
          <w:szCs w:val="22"/>
        </w:rPr>
        <w:t>s</w:t>
      </w:r>
      <w:r w:rsidRPr="001D2947">
        <w:rPr>
          <w:rFonts w:cs="Times New Roman"/>
          <w:sz w:val="22"/>
          <w:szCs w:val="22"/>
        </w:rPr>
        <w:t xml:space="preserve"> de la co</w:t>
      </w:r>
      <w:r w:rsidR="00670282" w:rsidRPr="001D2947">
        <w:rPr>
          <w:rFonts w:cs="Times New Roman"/>
          <w:sz w:val="22"/>
          <w:szCs w:val="22"/>
        </w:rPr>
        <w:t>opération entre divers acteurs et de la valorisation économique de la connaissance</w:t>
      </w:r>
      <w:r w:rsidRPr="001D2947">
        <w:rPr>
          <w:rFonts w:cs="Times New Roman"/>
          <w:sz w:val="22"/>
          <w:szCs w:val="22"/>
        </w:rPr>
        <w:t xml:space="preserve">. Les raisons justifiant l’étude des pôles de compétitivité wallons relèvent aussi des </w:t>
      </w:r>
      <w:r w:rsidR="00CB51B9" w:rsidRPr="001D2947">
        <w:rPr>
          <w:rFonts w:cs="Times New Roman"/>
          <w:sz w:val="22"/>
          <w:szCs w:val="22"/>
        </w:rPr>
        <w:t>particularités</w:t>
      </w:r>
      <w:r w:rsidRPr="001D2947">
        <w:rPr>
          <w:rFonts w:cs="Times New Roman"/>
          <w:sz w:val="22"/>
          <w:szCs w:val="22"/>
        </w:rPr>
        <w:t xml:space="preserve"> du système politique wallon. Premièrement, les démocraties belges et wallonnes représentent l’idéal type d’un processus décisionnel régi par des procédures consociatives</w:t>
      </w:r>
      <w:r w:rsidRPr="001D2947">
        <w:rPr>
          <w:rStyle w:val="Appelnotedebasdep"/>
          <w:rFonts w:cs="Times New Roman"/>
          <w:sz w:val="22"/>
          <w:szCs w:val="22"/>
        </w:rPr>
        <w:footnoteReference w:id="2"/>
      </w:r>
      <w:r w:rsidRPr="001D2947">
        <w:rPr>
          <w:rFonts w:cs="Times New Roman"/>
          <w:sz w:val="22"/>
          <w:szCs w:val="22"/>
        </w:rPr>
        <w:t xml:space="preserve"> impliquant la consultation</w:t>
      </w:r>
      <w:r w:rsidR="00CB51B9" w:rsidRPr="001D2947">
        <w:rPr>
          <w:rFonts w:cs="Times New Roman"/>
          <w:sz w:val="22"/>
          <w:szCs w:val="22"/>
        </w:rPr>
        <w:t xml:space="preserve"> voire la participation</w:t>
      </w:r>
      <w:r w:rsidRPr="001D2947">
        <w:rPr>
          <w:rFonts w:cs="Times New Roman"/>
          <w:sz w:val="22"/>
          <w:szCs w:val="22"/>
        </w:rPr>
        <w:t xml:space="preserve"> d’un grand nombre d’acteurs. Deuxièmement, les politiques industrielles mises en </w:t>
      </w:r>
      <w:r w:rsidR="00050025" w:rsidRPr="001D2947">
        <w:rPr>
          <w:rFonts w:cs="Times New Roman"/>
          <w:sz w:val="22"/>
          <w:szCs w:val="22"/>
        </w:rPr>
        <w:t>place</w:t>
      </w:r>
      <w:r w:rsidRPr="001D2947">
        <w:rPr>
          <w:rFonts w:cs="Times New Roman"/>
          <w:sz w:val="22"/>
          <w:szCs w:val="22"/>
        </w:rPr>
        <w:t xml:space="preserve"> depuis la régionalisation de la gestion des leviers économiques accordent une place </w:t>
      </w:r>
      <w:r w:rsidR="00050025" w:rsidRPr="001D2947">
        <w:rPr>
          <w:rFonts w:cs="Times New Roman"/>
          <w:sz w:val="22"/>
          <w:szCs w:val="22"/>
        </w:rPr>
        <w:t>prépondérante</w:t>
      </w:r>
      <w:r w:rsidRPr="001D2947">
        <w:rPr>
          <w:rFonts w:cs="Times New Roman"/>
          <w:sz w:val="22"/>
          <w:szCs w:val="22"/>
        </w:rPr>
        <w:t xml:space="preserve"> à l’initiative publique. Par conséquent, l’étude d’un processus d’appropriation dans ce contexte </w:t>
      </w:r>
      <w:r w:rsidR="00050025" w:rsidRPr="001D2947">
        <w:rPr>
          <w:rFonts w:cs="Times New Roman"/>
          <w:sz w:val="22"/>
          <w:szCs w:val="22"/>
        </w:rPr>
        <w:t>met davantage en lumière</w:t>
      </w:r>
      <w:r w:rsidRPr="001D2947">
        <w:rPr>
          <w:rFonts w:cs="Times New Roman"/>
          <w:sz w:val="22"/>
          <w:szCs w:val="22"/>
        </w:rPr>
        <w:t xml:space="preserve"> les stratégies des acteurs pour légitimer ou instrumentaliser un instrument de développement territorial.</w:t>
      </w:r>
    </w:p>
    <w:p w:rsidR="004B1745" w:rsidRPr="001D2947" w:rsidRDefault="004B1745" w:rsidP="001D2947">
      <w:pPr>
        <w:pStyle w:val="Notedebasdepage"/>
        <w:spacing w:line="360" w:lineRule="auto"/>
        <w:jc w:val="both"/>
        <w:rPr>
          <w:rFonts w:cs="Times New Roman"/>
          <w:sz w:val="22"/>
          <w:szCs w:val="22"/>
        </w:rPr>
      </w:pPr>
    </w:p>
    <w:p w:rsidR="004B1745" w:rsidRPr="001D2947" w:rsidRDefault="004B1745" w:rsidP="001D2947">
      <w:pPr>
        <w:pStyle w:val="Notedebasdepage"/>
        <w:spacing w:line="360" w:lineRule="auto"/>
        <w:jc w:val="both"/>
        <w:rPr>
          <w:rFonts w:cs="Times New Roman"/>
          <w:sz w:val="22"/>
          <w:szCs w:val="22"/>
        </w:rPr>
      </w:pPr>
      <w:r w:rsidRPr="001D2947">
        <w:rPr>
          <w:rFonts w:cs="Times New Roman"/>
          <w:sz w:val="22"/>
          <w:szCs w:val="22"/>
        </w:rPr>
        <w:tab/>
        <w:t xml:space="preserve">La recherche se structure en cinq parties. La première partie recense les postulats constituant le « paradigme territorial de l’innovation». Á travers cet exercice, </w:t>
      </w:r>
      <w:r w:rsidR="00050025" w:rsidRPr="001D2947">
        <w:rPr>
          <w:rFonts w:cs="Times New Roman"/>
          <w:sz w:val="22"/>
          <w:szCs w:val="22"/>
        </w:rPr>
        <w:t>nous qualifions</w:t>
      </w:r>
      <w:r w:rsidRPr="001D2947">
        <w:rPr>
          <w:rFonts w:cs="Times New Roman"/>
          <w:sz w:val="22"/>
          <w:szCs w:val="22"/>
        </w:rPr>
        <w:t xml:space="preserve"> la manière avec laquelle la communauté scientifique conçoit le rôle des institutions, le</w:t>
      </w:r>
      <w:r w:rsidR="00050025" w:rsidRPr="001D2947">
        <w:rPr>
          <w:rFonts w:cs="Times New Roman"/>
          <w:sz w:val="22"/>
          <w:szCs w:val="22"/>
        </w:rPr>
        <w:t xml:space="preserve"> rapport global/</w:t>
      </w:r>
      <w:r w:rsidRPr="001D2947">
        <w:rPr>
          <w:rFonts w:cs="Times New Roman"/>
          <w:sz w:val="22"/>
          <w:szCs w:val="22"/>
        </w:rPr>
        <w:t xml:space="preserve">local ainsi que la dynamique d’innovation (Moulaert &amp; Mehmood, 2009). La seconde partie </w:t>
      </w:r>
      <w:r w:rsidR="00050025" w:rsidRPr="001D2947">
        <w:rPr>
          <w:rFonts w:cs="Times New Roman"/>
          <w:sz w:val="22"/>
          <w:szCs w:val="22"/>
        </w:rPr>
        <w:t>présente</w:t>
      </w:r>
      <w:r w:rsidRPr="001D2947">
        <w:rPr>
          <w:rFonts w:cs="Times New Roman"/>
          <w:sz w:val="22"/>
          <w:szCs w:val="22"/>
        </w:rPr>
        <w:t xml:space="preserve"> les pôles de compétitivité wallons </w:t>
      </w:r>
      <w:r w:rsidR="00050025" w:rsidRPr="001D2947">
        <w:rPr>
          <w:rFonts w:cs="Times New Roman"/>
          <w:sz w:val="22"/>
          <w:szCs w:val="22"/>
        </w:rPr>
        <w:t xml:space="preserve">considérés </w:t>
      </w:r>
      <w:r w:rsidRPr="001D2947">
        <w:rPr>
          <w:rFonts w:cs="Times New Roman"/>
          <w:sz w:val="22"/>
          <w:szCs w:val="22"/>
        </w:rPr>
        <w:t xml:space="preserve">comme un cas d’application du paradigme territorial de l’innovation. La troisième partie décrit les processus de traduction et d’intéressement. Ce dernier </w:t>
      </w:r>
      <w:r w:rsidR="00050025" w:rsidRPr="001D2947">
        <w:rPr>
          <w:rFonts w:cs="Times New Roman"/>
          <w:sz w:val="22"/>
          <w:szCs w:val="22"/>
        </w:rPr>
        <w:t>est un modèle conçu pour expliquer</w:t>
      </w:r>
      <w:r w:rsidRPr="001D2947">
        <w:rPr>
          <w:rFonts w:cs="Times New Roman"/>
          <w:sz w:val="22"/>
          <w:szCs w:val="22"/>
        </w:rPr>
        <w:t xml:space="preserve"> le changement et la controverse technologique. La quatrième partie </w:t>
      </w:r>
      <w:r w:rsidR="00050025" w:rsidRPr="001D2947">
        <w:rPr>
          <w:rFonts w:cs="Times New Roman"/>
          <w:sz w:val="22"/>
          <w:szCs w:val="22"/>
        </w:rPr>
        <w:t>comprend</w:t>
      </w:r>
      <w:r w:rsidRPr="001D2947">
        <w:rPr>
          <w:rFonts w:cs="Times New Roman"/>
          <w:sz w:val="22"/>
          <w:szCs w:val="22"/>
        </w:rPr>
        <w:t xml:space="preserve"> le cadre d’analyse et l’opérationnalisation de la recherche. Enfin, la cinquième partie est une analyse de l’élaboration des pôles de compétitivité au prisme de la théorie de la traduction et de l’intéressement.</w:t>
      </w:r>
    </w:p>
    <w:p w:rsidR="00C13A2B" w:rsidRPr="001D2947" w:rsidRDefault="00C13A2B" w:rsidP="001D2947">
      <w:pPr>
        <w:pStyle w:val="Titre1"/>
        <w:numPr>
          <w:ilvl w:val="0"/>
          <w:numId w:val="15"/>
        </w:numPr>
        <w:spacing w:line="360" w:lineRule="auto"/>
        <w:rPr>
          <w:rFonts w:asciiTheme="minorHAnsi" w:hAnsiTheme="minorHAnsi"/>
          <w:sz w:val="22"/>
          <w:szCs w:val="22"/>
        </w:rPr>
      </w:pPr>
      <w:r w:rsidRPr="001D2947">
        <w:rPr>
          <w:rFonts w:asciiTheme="minorHAnsi" w:hAnsiTheme="minorHAnsi"/>
          <w:sz w:val="22"/>
          <w:szCs w:val="22"/>
        </w:rPr>
        <w:t>Le paradigme de l’innovation territoriale</w:t>
      </w:r>
    </w:p>
    <w:p w:rsidR="00670282" w:rsidRPr="001D2947" w:rsidRDefault="00C13A2B" w:rsidP="001D2947">
      <w:pPr>
        <w:pStyle w:val="Paragraphedeliste"/>
        <w:autoSpaceDE w:val="0"/>
        <w:autoSpaceDN w:val="0"/>
        <w:adjustRightInd w:val="0"/>
        <w:spacing w:after="0" w:line="360" w:lineRule="auto"/>
        <w:ind w:left="0"/>
        <w:jc w:val="both"/>
        <w:rPr>
          <w:rFonts w:cs="Times New Roman"/>
        </w:rPr>
      </w:pPr>
      <w:r w:rsidRPr="001D2947">
        <w:rPr>
          <w:rFonts w:cs="Times New Roman"/>
        </w:rPr>
        <w:tab/>
      </w:r>
      <w:r w:rsidR="00670282" w:rsidRPr="001D2947">
        <w:rPr>
          <w:rFonts w:cs="Times New Roman"/>
        </w:rPr>
        <w:t xml:space="preserve">Les modèles territoriaux d’innovation (MTI) sont </w:t>
      </w:r>
      <w:r w:rsidR="00050025" w:rsidRPr="001D2947">
        <w:rPr>
          <w:rFonts w:cs="Times New Roman"/>
        </w:rPr>
        <w:t>étudiés</w:t>
      </w:r>
      <w:r w:rsidR="00670282" w:rsidRPr="001D2947">
        <w:rPr>
          <w:rFonts w:cs="Times New Roman"/>
        </w:rPr>
        <w:t xml:space="preserve"> </w:t>
      </w:r>
      <w:r w:rsidR="00050025" w:rsidRPr="001D2947">
        <w:rPr>
          <w:rFonts w:cs="Times New Roman"/>
        </w:rPr>
        <w:t>en développement régional</w:t>
      </w:r>
      <w:r w:rsidR="00670282" w:rsidRPr="001D2947">
        <w:rPr>
          <w:rFonts w:cs="Times New Roman"/>
        </w:rPr>
        <w:t xml:space="preserve"> depuis près de deux décennies. Leur succès serait le produit de la diffusion des bonnes pr</w:t>
      </w:r>
      <w:r w:rsidR="00867483" w:rsidRPr="001D2947">
        <w:rPr>
          <w:rFonts w:cs="Times New Roman"/>
        </w:rPr>
        <w:t>atiques mises en œuvre par les r</w:t>
      </w:r>
      <w:r w:rsidR="00670282" w:rsidRPr="001D2947">
        <w:rPr>
          <w:rFonts w:cs="Times New Roman"/>
        </w:rPr>
        <w:t>é</w:t>
      </w:r>
      <w:r w:rsidR="00867483" w:rsidRPr="001D2947">
        <w:rPr>
          <w:rFonts w:cs="Times New Roman"/>
        </w:rPr>
        <w:t>gions prospères et concentrant l</w:t>
      </w:r>
      <w:r w:rsidR="00670282" w:rsidRPr="001D2947">
        <w:rPr>
          <w:rFonts w:cs="Times New Roman"/>
        </w:rPr>
        <w:t>es</w:t>
      </w:r>
      <w:r w:rsidR="00691386" w:rsidRPr="001D2947">
        <w:rPr>
          <w:rFonts w:cs="Times New Roman"/>
        </w:rPr>
        <w:t xml:space="preserve"> activités économiques de haute </w:t>
      </w:r>
      <w:r w:rsidR="00670282" w:rsidRPr="001D2947">
        <w:rPr>
          <w:rFonts w:cs="Times New Roman"/>
        </w:rPr>
        <w:t xml:space="preserve">technologie (Tödling &amp; Trippl, 2005). Malgré l’existence de différentes écoles de pensée, les MTI constituent un courant théorique partageant des postulats et des notions théoriques. Les exemples </w:t>
      </w:r>
      <w:r w:rsidR="00867483" w:rsidRPr="001D2947">
        <w:rPr>
          <w:rFonts w:cs="Times New Roman"/>
        </w:rPr>
        <w:t>pratiques de</w:t>
      </w:r>
      <w:r w:rsidR="00670282" w:rsidRPr="001D2947">
        <w:rPr>
          <w:rFonts w:cs="Times New Roman"/>
        </w:rPr>
        <w:t xml:space="preserve"> MTI incitent à se questionner sur la logique d’action diffusée par ceux-ci. Pour ce faire, nous décrivons le paradigme de l’innovation territoriale à travers cinq postulats émis</w:t>
      </w:r>
      <w:r w:rsidR="00670282" w:rsidRPr="001D2947">
        <w:rPr>
          <w:rStyle w:val="Appelnotedebasdep"/>
          <w:rFonts w:cs="Times New Roman"/>
        </w:rPr>
        <w:footnoteReference w:id="3"/>
      </w:r>
      <w:r w:rsidR="00670282" w:rsidRPr="001D2947">
        <w:rPr>
          <w:rFonts w:cs="Times New Roman"/>
        </w:rPr>
        <w:t xml:space="preserve">. </w:t>
      </w: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r w:rsidRPr="001D2947">
        <w:rPr>
          <w:rFonts w:cs="Times New Roman"/>
        </w:rPr>
        <w:lastRenderedPageBreak/>
        <w:tab/>
        <w:t xml:space="preserve">Le paradigme de l’innovation territoriale repose sur le postulat </w:t>
      </w:r>
      <w:r w:rsidR="00867483" w:rsidRPr="001D2947">
        <w:rPr>
          <w:rFonts w:cs="Times New Roman"/>
        </w:rPr>
        <w:t>que le</w:t>
      </w:r>
      <w:r w:rsidRPr="001D2947">
        <w:rPr>
          <w:rFonts w:cs="Times New Roman"/>
        </w:rPr>
        <w:t xml:space="preserve"> développement territorial s’opère sur la base d’une dynamique endogène (Moulaert &amp; Mehmood, 2010). La notion d’ « endogénéisation » renvoie à une approche du développement (1) incluant une diversité de facteurs à savoir les ressources naturelles, la structure industrielle, le système d’éducation, les pratiques socio-culturelles, les ressources premières ou encore le capital humain ; (2)  accordant une portée explicative au mode d’organisation des relations sociales et des valeurs culturelles</w:t>
      </w:r>
      <w:r w:rsidR="00867483" w:rsidRPr="001D2947">
        <w:rPr>
          <w:rFonts w:cs="Times New Roman"/>
        </w:rPr>
        <w:t xml:space="preserve">; (3) focalisant l’analyse </w:t>
      </w:r>
      <w:r w:rsidRPr="001D2947">
        <w:rPr>
          <w:rFonts w:cs="Times New Roman"/>
        </w:rPr>
        <w:t>sur la configuration du système institutionnel ainsi que s</w:t>
      </w:r>
      <w:r w:rsidR="00B67656" w:rsidRPr="001D2947">
        <w:rPr>
          <w:rFonts w:cs="Times New Roman"/>
        </w:rPr>
        <w:t>ur s</w:t>
      </w:r>
      <w:r w:rsidRPr="001D2947">
        <w:rPr>
          <w:rFonts w:cs="Times New Roman"/>
        </w:rPr>
        <w:t>on évolution (Moulaert &amp; Sekia, 2003, p.296).</w:t>
      </w: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r w:rsidRPr="001D2947">
        <w:rPr>
          <w:rFonts w:cs="Times New Roman"/>
        </w:rPr>
        <w:tab/>
      </w: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r w:rsidRPr="001D2947">
        <w:rPr>
          <w:rFonts w:cs="Times New Roman"/>
        </w:rPr>
        <w:tab/>
        <w:t>L’</w:t>
      </w:r>
      <w:r w:rsidR="00867483" w:rsidRPr="001D2947">
        <w:rPr>
          <w:rFonts w:cs="Times New Roman"/>
        </w:rPr>
        <w:t>intérêt porté à l’</w:t>
      </w:r>
      <w:r w:rsidRPr="001D2947">
        <w:rPr>
          <w:rFonts w:cs="Times New Roman"/>
        </w:rPr>
        <w:t>« end</w:t>
      </w:r>
      <w:r w:rsidR="00867483" w:rsidRPr="001D2947">
        <w:rPr>
          <w:rFonts w:cs="Times New Roman"/>
        </w:rPr>
        <w:t>ogénéisation</w:t>
      </w:r>
      <w:r w:rsidRPr="001D2947">
        <w:rPr>
          <w:rFonts w:cs="Times New Roman"/>
        </w:rPr>
        <w:t xml:space="preserve"> » découle d’un deuxième postulat : la mutation de l’environnement économique au niveau mondial accroit la concurrence </w:t>
      </w:r>
      <w:r w:rsidR="00867483" w:rsidRPr="001D2947">
        <w:rPr>
          <w:rFonts w:cs="Times New Roman"/>
        </w:rPr>
        <w:t>entre les</w:t>
      </w:r>
      <w:r w:rsidRPr="001D2947">
        <w:rPr>
          <w:rFonts w:cs="Times New Roman"/>
        </w:rPr>
        <w:t xml:space="preserve"> territoires (Pecqueur, 2007). Dans ce cadre, la connaissance</w:t>
      </w:r>
      <w:r w:rsidR="00867483" w:rsidRPr="001D2947">
        <w:rPr>
          <w:rFonts w:cs="Times New Roman"/>
        </w:rPr>
        <w:t xml:space="preserve"> constitue</w:t>
      </w:r>
      <w:r w:rsidRPr="001D2947">
        <w:rPr>
          <w:rFonts w:cs="Times New Roman"/>
        </w:rPr>
        <w:t xml:space="preserve"> le carburant du développement territorial. L’« économie de la connaissance » (Cooke, 2001)</w:t>
      </w:r>
      <w:r w:rsidRPr="001D2947">
        <w:rPr>
          <w:rFonts w:cs="Times New Roman"/>
          <w:color w:val="00B050"/>
        </w:rPr>
        <w:t xml:space="preserve"> </w:t>
      </w:r>
      <w:r w:rsidRPr="001D2947">
        <w:rPr>
          <w:rFonts w:cs="Times New Roman"/>
        </w:rPr>
        <w:t>ou encore l’« économie apprenante » (Lundvall, 1992) qualifient ce rapport global/local. Pour tirer profit de la globalisation, une région se doit d’organiser un système de production de connaissances</w:t>
      </w:r>
      <w:r w:rsidR="00867483" w:rsidRPr="001D2947">
        <w:rPr>
          <w:rFonts w:cs="Times New Roman"/>
        </w:rPr>
        <w:t xml:space="preserve"> localisé</w:t>
      </w:r>
      <w:r w:rsidRPr="001D2947">
        <w:rPr>
          <w:rFonts w:cs="Times New Roman"/>
        </w:rPr>
        <w:t xml:space="preserve">. </w:t>
      </w:r>
      <w:r w:rsidR="00867483" w:rsidRPr="001D2947">
        <w:rPr>
          <w:rFonts w:cs="Times New Roman"/>
        </w:rPr>
        <w:t>L</w:t>
      </w:r>
      <w:r w:rsidRPr="001D2947">
        <w:rPr>
          <w:rFonts w:cs="Times New Roman"/>
        </w:rPr>
        <w:t>’innovation est</w:t>
      </w:r>
      <w:r w:rsidR="00867483" w:rsidRPr="001D2947">
        <w:rPr>
          <w:rFonts w:cs="Times New Roman"/>
        </w:rPr>
        <w:t>, alors, perç</w:t>
      </w:r>
      <w:r w:rsidRPr="001D2947">
        <w:rPr>
          <w:rFonts w:cs="Times New Roman"/>
        </w:rPr>
        <w:t>ue comme le produit « de l’articulation des ressources de l’entreprise et de son environnement»  et constitue la base d’un avantage différenciatif (</w:t>
      </w:r>
      <w:proofErr w:type="spellStart"/>
      <w:r w:rsidRPr="001D2947">
        <w:rPr>
          <w:rFonts w:cs="Times New Roman"/>
        </w:rPr>
        <w:t>Crevoisier</w:t>
      </w:r>
      <w:proofErr w:type="spellEnd"/>
      <w:r w:rsidRPr="001D2947">
        <w:rPr>
          <w:rFonts w:cs="Times New Roman"/>
        </w:rPr>
        <w:t xml:space="preserve">, 2001, p.155). </w:t>
      </w: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r w:rsidRPr="001D2947">
        <w:rPr>
          <w:rFonts w:cs="Times New Roman"/>
        </w:rPr>
        <w:tab/>
      </w: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r w:rsidRPr="001D2947">
        <w:rPr>
          <w:rFonts w:cs="Times New Roman"/>
        </w:rPr>
        <w:tab/>
        <w:t>Les nombreuses recherches insistent sur le</w:t>
      </w:r>
      <w:r w:rsidR="00867483" w:rsidRPr="001D2947">
        <w:rPr>
          <w:rFonts w:cs="Times New Roman"/>
        </w:rPr>
        <w:t>s dimensions collectives</w:t>
      </w:r>
      <w:r w:rsidRPr="001D2947">
        <w:rPr>
          <w:rFonts w:cs="Times New Roman"/>
        </w:rPr>
        <w:t xml:space="preserve"> et ouvert</w:t>
      </w:r>
      <w:r w:rsidR="00867483" w:rsidRPr="001D2947">
        <w:rPr>
          <w:rFonts w:cs="Times New Roman"/>
        </w:rPr>
        <w:t>es</w:t>
      </w:r>
      <w:r w:rsidRPr="001D2947">
        <w:rPr>
          <w:rFonts w:cs="Times New Roman"/>
        </w:rPr>
        <w:t xml:space="preserve"> de l’innovation. Dans la littérature, les chercheurs postulent que la coopération, l’apprentissage et la coordination </w:t>
      </w:r>
      <w:r w:rsidR="00867483" w:rsidRPr="001D2947">
        <w:rPr>
          <w:rFonts w:cs="Times New Roman"/>
        </w:rPr>
        <w:t>sont</w:t>
      </w:r>
      <w:r w:rsidRPr="001D2947">
        <w:rPr>
          <w:rFonts w:cs="Times New Roman"/>
        </w:rPr>
        <w:t xml:space="preserve"> les sources de l’innovation. La coopération fait écho au développement d’un réseau d’acteurs coopérant entre eux dans le but d’acquérir des compétences particulières. L’apprentissage souligne le processus itératif et cumulatif </w:t>
      </w:r>
      <w:r w:rsidR="00270D97" w:rsidRPr="001D2947">
        <w:rPr>
          <w:rFonts w:cs="Times New Roman"/>
        </w:rPr>
        <w:t xml:space="preserve">de l’innovation </w:t>
      </w:r>
      <w:r w:rsidRPr="001D2947">
        <w:rPr>
          <w:rFonts w:cs="Times New Roman"/>
        </w:rPr>
        <w:t>(Moulaert &amp; Sekia, 2003 ; Jeannerat &amp; Crevoisier, 2016)</w:t>
      </w:r>
      <w:r w:rsidR="001D2947">
        <w:rPr>
          <w:rFonts w:cs="Times New Roman"/>
        </w:rPr>
        <w:t>. L</w:t>
      </w:r>
      <w:r w:rsidRPr="001D2947">
        <w:rPr>
          <w:rFonts w:cs="Times New Roman"/>
        </w:rPr>
        <w:t xml:space="preserve">’innovation résulte d’interdépendances tant commerciales que non-commerciales territorialisées et organisées en réseau (Morgan, 2007). Les MTI assurent que «  l’innovation et l’apprentissage amélioreront les performances économiques d’une région ou d’une localité et, que de cette façon ils pourront contribuer à la réalisation d’objectifs culturels, sociaux, politiques ou économiques sur le territoire en question » (Moulaert &amp; Mehmood, 2010, p.106). Toutefois, les études portant sur les processus d’innovation endogènes ont mis en évidence les risques de </w:t>
      </w:r>
      <w:r w:rsidRPr="001D2947">
        <w:rPr>
          <w:rFonts w:cs="Times New Roman"/>
          <w:i/>
        </w:rPr>
        <w:t>lock-in</w:t>
      </w:r>
      <w:r w:rsidRPr="001D2947">
        <w:rPr>
          <w:rFonts w:cs="Times New Roman"/>
        </w:rPr>
        <w:t>, de pétrification et de fermeture d’un réseau d’acteur</w:t>
      </w:r>
      <w:r w:rsidR="004C7015" w:rsidRPr="001D2947">
        <w:rPr>
          <w:rFonts w:cs="Times New Roman"/>
        </w:rPr>
        <w:t>s</w:t>
      </w:r>
      <w:r w:rsidR="00270D97" w:rsidRPr="001D2947">
        <w:rPr>
          <w:rFonts w:cs="Times New Roman"/>
        </w:rPr>
        <w:t xml:space="preserve"> (Bathelt et al., 2004)</w:t>
      </w:r>
      <w:r w:rsidRPr="001D2947">
        <w:rPr>
          <w:rFonts w:cs="Times New Roman"/>
        </w:rPr>
        <w:t>.</w:t>
      </w: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r w:rsidRPr="001D2947">
        <w:rPr>
          <w:rFonts w:cs="Times New Roman"/>
        </w:rPr>
        <w:t xml:space="preserve"> </w:t>
      </w:r>
      <w:r w:rsidRPr="001D2947">
        <w:rPr>
          <w:rFonts w:cs="Times New Roman"/>
        </w:rPr>
        <w:tab/>
        <w:t xml:space="preserve">Quatrièmement, un système d’innovation est positivement impacté par la </w:t>
      </w:r>
      <w:r w:rsidR="00270D97" w:rsidRPr="001D2947">
        <w:rPr>
          <w:rFonts w:cs="Times New Roman"/>
        </w:rPr>
        <w:t>proximité</w:t>
      </w:r>
      <w:r w:rsidRPr="001D2947">
        <w:rPr>
          <w:rFonts w:cs="Times New Roman"/>
        </w:rPr>
        <w:t xml:space="preserve"> relationnelle et la </w:t>
      </w:r>
      <w:r w:rsidR="00270D97" w:rsidRPr="001D2947">
        <w:rPr>
          <w:rFonts w:cs="Times New Roman"/>
        </w:rPr>
        <w:t>proximité</w:t>
      </w:r>
      <w:r w:rsidRPr="001D2947">
        <w:rPr>
          <w:rFonts w:cs="Times New Roman"/>
        </w:rPr>
        <w:t xml:space="preserve"> géographique (Doloreux &amp; Parto, 2005). Celles-ci sont</w:t>
      </w:r>
      <w:r w:rsidR="00867483" w:rsidRPr="001D2947">
        <w:rPr>
          <w:rFonts w:cs="Times New Roman"/>
        </w:rPr>
        <w:t xml:space="preserve"> </w:t>
      </w:r>
      <w:r w:rsidRPr="001D2947">
        <w:rPr>
          <w:rFonts w:cs="Times New Roman"/>
        </w:rPr>
        <w:t>des conditions nécessaires à la production d’innovation. La concentration/l’agglomération industrielle</w:t>
      </w:r>
      <w:r w:rsidR="00867483" w:rsidRPr="001D2947">
        <w:rPr>
          <w:rFonts w:cs="Times New Roman"/>
        </w:rPr>
        <w:t xml:space="preserve"> </w:t>
      </w:r>
      <w:r w:rsidRPr="001D2947">
        <w:rPr>
          <w:rFonts w:cs="Times New Roman"/>
        </w:rPr>
        <w:t xml:space="preserve">est censée améliorer les capacités d’apprentissage et de diffusion du </w:t>
      </w:r>
      <w:r w:rsidR="00867483" w:rsidRPr="001D2947">
        <w:rPr>
          <w:rFonts w:cs="Times New Roman"/>
        </w:rPr>
        <w:t>tissu industriel</w:t>
      </w:r>
      <w:r w:rsidRPr="001D2947">
        <w:rPr>
          <w:rFonts w:cs="Times New Roman"/>
        </w:rPr>
        <w:t xml:space="preserve">. </w:t>
      </w:r>
      <w:r w:rsidR="00D34DF9" w:rsidRPr="001D2947">
        <w:rPr>
          <w:rFonts w:cs="Times New Roman"/>
        </w:rPr>
        <w:t>L</w:t>
      </w:r>
      <w:r w:rsidRPr="001D2947">
        <w:rPr>
          <w:rFonts w:cs="Times New Roman"/>
        </w:rPr>
        <w:t xml:space="preserve">’impact positif de </w:t>
      </w:r>
      <w:r w:rsidRPr="001D2947">
        <w:rPr>
          <w:rFonts w:cs="Times New Roman"/>
        </w:rPr>
        <w:lastRenderedPageBreak/>
        <w:t xml:space="preserve">l’agglomération industrielle sur les capacités du système à innover représente le quatrième postulat. Néanmoins, le concept d’agglomération reste ambigu dans la littérature et prend des colorations différentes selon les écoles de pensées (Boschma, 2005). </w:t>
      </w: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p>
    <w:p w:rsidR="00670282" w:rsidRPr="001D2947" w:rsidRDefault="00670282" w:rsidP="001D2947">
      <w:pPr>
        <w:pStyle w:val="Paragraphedeliste"/>
        <w:autoSpaceDE w:val="0"/>
        <w:autoSpaceDN w:val="0"/>
        <w:adjustRightInd w:val="0"/>
        <w:spacing w:after="0" w:line="360" w:lineRule="auto"/>
        <w:ind w:left="0"/>
        <w:jc w:val="both"/>
        <w:rPr>
          <w:rFonts w:cs="Times New Roman"/>
        </w:rPr>
      </w:pPr>
      <w:r w:rsidRPr="001D2947">
        <w:rPr>
          <w:rFonts w:cs="Times New Roman"/>
        </w:rPr>
        <w:tab/>
        <w:t>Cinquièmement, les MTI confèrent un rôle prédominant aux institutions dans le processus constitutif d’une innovation. Les institutions sont nombreuses et variées : chambres de commerces, entreprises, centres de formation, centres de recherche, universités, organisations publiques et politiques</w:t>
      </w:r>
      <w:r w:rsidRPr="001D2947">
        <w:rPr>
          <w:rStyle w:val="Appelnotedebasdep"/>
          <w:rFonts w:cs="Times New Roman"/>
        </w:rPr>
        <w:footnoteReference w:id="4"/>
      </w:r>
      <w:r w:rsidRPr="001D2947">
        <w:rPr>
          <w:rFonts w:cs="Times New Roman"/>
        </w:rPr>
        <w:t xml:space="preserve">. La gestion d’un tel tissu organisationnel met en évidence le rôle du secteur public et des décideurs politiques dans la mise </w:t>
      </w:r>
      <w:r w:rsidR="00D34DF9" w:rsidRPr="001D2947">
        <w:rPr>
          <w:rFonts w:cs="Times New Roman"/>
        </w:rPr>
        <w:t>sur pied d’une gouvernance d’un</w:t>
      </w:r>
      <w:r w:rsidRPr="001D2947">
        <w:rPr>
          <w:rFonts w:cs="Times New Roman"/>
        </w:rPr>
        <w:t xml:space="preserve"> système productif. Le cinquième postulat consacre l’importance des politiques publiques dans le développement </w:t>
      </w:r>
      <w:r w:rsidR="00D34DF9" w:rsidRPr="001D2947">
        <w:rPr>
          <w:rFonts w:cs="Times New Roman"/>
        </w:rPr>
        <w:t>d’une dynamique d</w:t>
      </w:r>
      <w:r w:rsidRPr="001D2947">
        <w:rPr>
          <w:rFonts w:cs="Times New Roman"/>
        </w:rPr>
        <w:t xml:space="preserve">’apprentissage et </w:t>
      </w:r>
      <w:r w:rsidR="00D34DF9" w:rsidRPr="001D2947">
        <w:rPr>
          <w:rFonts w:cs="Times New Roman"/>
        </w:rPr>
        <w:t>de</w:t>
      </w:r>
      <w:r w:rsidRPr="001D2947">
        <w:rPr>
          <w:rFonts w:cs="Times New Roman"/>
        </w:rPr>
        <w:t xml:space="preserve"> coopération. Le système d’innovation territorial n’est pas « un objet spontané situé aléatoirement » (Leducq &amp; Lusso, 2011, p.9). L’étude des mécanismes de gouvernance </w:t>
      </w:r>
      <w:r w:rsidR="00D34DF9" w:rsidRPr="001D2947">
        <w:rPr>
          <w:rFonts w:cs="Times New Roman"/>
        </w:rPr>
        <w:t xml:space="preserve">est, donc, </w:t>
      </w:r>
      <w:r w:rsidRPr="001D2947">
        <w:rPr>
          <w:rFonts w:cs="Times New Roman"/>
        </w:rPr>
        <w:t>pertinent</w:t>
      </w:r>
      <w:r w:rsidR="00D34DF9" w:rsidRPr="001D2947">
        <w:rPr>
          <w:rFonts w:cs="Times New Roman"/>
        </w:rPr>
        <w:t>e</w:t>
      </w:r>
      <w:r w:rsidRPr="001D2947">
        <w:rPr>
          <w:rFonts w:cs="Times New Roman"/>
        </w:rPr>
        <w:t xml:space="preserve"> pour </w:t>
      </w:r>
      <w:r w:rsidR="00D34DF9" w:rsidRPr="001D2947">
        <w:rPr>
          <w:rFonts w:cs="Times New Roman"/>
        </w:rPr>
        <w:t xml:space="preserve">appréhender </w:t>
      </w:r>
      <w:r w:rsidRPr="001D2947">
        <w:rPr>
          <w:rFonts w:cs="Times New Roman"/>
        </w:rPr>
        <w:t xml:space="preserve">la dynamique </w:t>
      </w:r>
      <w:r w:rsidR="00D34DF9" w:rsidRPr="001D2947">
        <w:rPr>
          <w:rFonts w:cs="Times New Roman"/>
        </w:rPr>
        <w:t>endogène</w:t>
      </w:r>
      <w:r w:rsidRPr="001D2947">
        <w:rPr>
          <w:rFonts w:cs="Times New Roman"/>
        </w:rPr>
        <w:t xml:space="preserve">. </w:t>
      </w:r>
    </w:p>
    <w:p w:rsidR="00C13A2B" w:rsidRPr="001D2947" w:rsidRDefault="00C13A2B" w:rsidP="001D2947">
      <w:pPr>
        <w:pStyle w:val="Paragraphedeliste"/>
        <w:autoSpaceDE w:val="0"/>
        <w:autoSpaceDN w:val="0"/>
        <w:adjustRightInd w:val="0"/>
        <w:spacing w:after="0" w:line="360" w:lineRule="auto"/>
        <w:ind w:left="0"/>
        <w:jc w:val="both"/>
        <w:rPr>
          <w:rFonts w:cs="Times New Roman"/>
        </w:rPr>
      </w:pPr>
    </w:p>
    <w:p w:rsidR="00D34DF9" w:rsidRPr="001D2947" w:rsidRDefault="00D34DF9" w:rsidP="001D2947">
      <w:pPr>
        <w:spacing w:line="360" w:lineRule="auto"/>
        <w:rPr>
          <w:rFonts w:cs="Times New Roman"/>
          <w:b/>
        </w:rPr>
      </w:pPr>
      <w:r w:rsidRPr="001D2947">
        <w:rPr>
          <w:rFonts w:cs="Times New Roman"/>
          <w:b/>
        </w:rPr>
        <w:br w:type="page"/>
      </w:r>
    </w:p>
    <w:p w:rsidR="00C13A2B" w:rsidRPr="001D2947" w:rsidRDefault="00C13A2B" w:rsidP="001D2947">
      <w:pPr>
        <w:pStyle w:val="Paragraphedeliste"/>
        <w:autoSpaceDE w:val="0"/>
        <w:autoSpaceDN w:val="0"/>
        <w:adjustRightInd w:val="0"/>
        <w:spacing w:after="0" w:line="360" w:lineRule="auto"/>
        <w:ind w:left="0"/>
        <w:jc w:val="center"/>
        <w:rPr>
          <w:rFonts w:cs="Times New Roman"/>
          <w:b/>
        </w:rPr>
      </w:pPr>
      <w:r w:rsidRPr="001D2947">
        <w:rPr>
          <w:rFonts w:cs="Times New Roman"/>
          <w:b/>
        </w:rPr>
        <w:lastRenderedPageBreak/>
        <w:t>Tableau 1 : les composants génériques du paradigme de l’innovation territoriale</w:t>
      </w:r>
    </w:p>
    <w:p w:rsidR="00C13A2B" w:rsidRPr="001D2947" w:rsidRDefault="00C13A2B" w:rsidP="001D2947">
      <w:pPr>
        <w:pStyle w:val="Paragraphedeliste"/>
        <w:autoSpaceDE w:val="0"/>
        <w:autoSpaceDN w:val="0"/>
        <w:adjustRightInd w:val="0"/>
        <w:spacing w:after="0" w:line="360" w:lineRule="auto"/>
        <w:ind w:left="0"/>
        <w:jc w:val="both"/>
        <w:rPr>
          <w:rFonts w:cs="Times New Roman"/>
        </w:rPr>
      </w:pPr>
    </w:p>
    <w:tbl>
      <w:tblPr>
        <w:tblStyle w:val="Tramemoyenne1-Accent1"/>
        <w:tblW w:w="8829" w:type="dxa"/>
        <w:jc w:val="center"/>
        <w:tblInd w:w="-243" w:type="dxa"/>
        <w:tblLook w:val="04A0" w:firstRow="1" w:lastRow="0" w:firstColumn="1" w:lastColumn="0" w:noHBand="0" w:noVBand="1"/>
      </w:tblPr>
      <w:tblGrid>
        <w:gridCol w:w="1013"/>
        <w:gridCol w:w="2870"/>
        <w:gridCol w:w="2000"/>
        <w:gridCol w:w="2946"/>
      </w:tblGrid>
      <w:tr w:rsidR="00C13A2B" w:rsidRPr="001D2947">
        <w:trPr>
          <w:cnfStyle w:val="100000000000" w:firstRow="1" w:lastRow="0" w:firstColumn="0" w:lastColumn="0" w:oddVBand="0" w:evenVBand="0" w:oddHBand="0"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1013" w:type="dxa"/>
            <w:vMerge w:val="restart"/>
            <w:noWrap/>
          </w:tcPr>
          <w:p w:rsidR="00C13A2B" w:rsidRPr="001D2947" w:rsidRDefault="00C13A2B" w:rsidP="001D2947">
            <w:pPr>
              <w:spacing w:line="360" w:lineRule="auto"/>
              <w:jc w:val="center"/>
              <w:rPr>
                <w:rFonts w:eastAsia="Times New Roman" w:cs="Times New Roman"/>
                <w:lang w:eastAsia="fr-BE"/>
              </w:rPr>
            </w:pPr>
          </w:p>
        </w:tc>
        <w:tc>
          <w:tcPr>
            <w:tcW w:w="2870" w:type="dxa"/>
            <w:vMerge w:val="restart"/>
            <w:vAlign w:val="center"/>
          </w:tcPr>
          <w:p w:rsidR="00C13A2B" w:rsidRPr="001D2947" w:rsidRDefault="00C13A2B" w:rsidP="001D2947">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lang w:eastAsia="fr-BE"/>
              </w:rPr>
            </w:pPr>
            <w:r w:rsidRPr="001D2947">
              <w:rPr>
                <w:rFonts w:eastAsia="Times New Roman" w:cs="Times New Roman"/>
                <w:lang w:eastAsia="fr-BE"/>
              </w:rPr>
              <w:t>Postulat</w:t>
            </w:r>
          </w:p>
        </w:tc>
        <w:tc>
          <w:tcPr>
            <w:tcW w:w="2000" w:type="dxa"/>
            <w:vMerge w:val="restart"/>
            <w:vAlign w:val="center"/>
          </w:tcPr>
          <w:p w:rsidR="00C13A2B" w:rsidRPr="001D2947" w:rsidRDefault="00C13A2B" w:rsidP="001D2947">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lang w:eastAsia="fr-BE"/>
              </w:rPr>
            </w:pPr>
            <w:r w:rsidRPr="001D2947">
              <w:rPr>
                <w:rFonts w:eastAsia="Times New Roman" w:cs="Times New Roman"/>
                <w:lang w:eastAsia="fr-BE"/>
              </w:rPr>
              <w:t>Élément central</w:t>
            </w:r>
          </w:p>
        </w:tc>
        <w:tc>
          <w:tcPr>
            <w:tcW w:w="2946" w:type="dxa"/>
            <w:vMerge w:val="restart"/>
            <w:vAlign w:val="center"/>
          </w:tcPr>
          <w:p w:rsidR="00C13A2B" w:rsidRPr="001D2947" w:rsidRDefault="00C13A2B" w:rsidP="001D2947">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lang w:eastAsia="fr-BE"/>
              </w:rPr>
            </w:pPr>
            <w:r w:rsidRPr="001D2947">
              <w:rPr>
                <w:rFonts w:eastAsia="Times New Roman" w:cs="Times New Roman"/>
                <w:lang w:eastAsia="fr-BE"/>
              </w:rPr>
              <w:t>Processus étudié</w:t>
            </w:r>
          </w:p>
        </w:tc>
      </w:tr>
      <w:tr w:rsidR="00C13A2B" w:rsidRPr="001D2947">
        <w:trPr>
          <w:cnfStyle w:val="000000100000" w:firstRow="0" w:lastRow="0" w:firstColumn="0" w:lastColumn="0" w:oddVBand="0" w:evenVBand="0" w:oddHBand="1"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1013" w:type="dxa"/>
            <w:vMerge/>
          </w:tcPr>
          <w:p w:rsidR="00C13A2B" w:rsidRPr="001D2947" w:rsidRDefault="00C13A2B" w:rsidP="001D2947">
            <w:pPr>
              <w:spacing w:line="360" w:lineRule="auto"/>
              <w:rPr>
                <w:rFonts w:eastAsia="Times New Roman" w:cs="Times New Roman"/>
                <w:color w:val="000000"/>
                <w:lang w:eastAsia="fr-BE"/>
              </w:rPr>
            </w:pPr>
          </w:p>
        </w:tc>
        <w:tc>
          <w:tcPr>
            <w:tcW w:w="2870" w:type="dxa"/>
            <w:vMerge/>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eastAsia="fr-BE"/>
              </w:rPr>
            </w:pPr>
          </w:p>
        </w:tc>
        <w:tc>
          <w:tcPr>
            <w:tcW w:w="2000" w:type="dxa"/>
            <w:vMerge/>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eastAsia="fr-BE"/>
              </w:rPr>
            </w:pPr>
          </w:p>
        </w:tc>
        <w:tc>
          <w:tcPr>
            <w:tcW w:w="2946" w:type="dxa"/>
            <w:vMerge/>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lang w:eastAsia="fr-BE"/>
              </w:rPr>
            </w:pPr>
          </w:p>
        </w:tc>
      </w:tr>
      <w:tr w:rsidR="00C13A2B" w:rsidRPr="001D2947">
        <w:trPr>
          <w:cnfStyle w:val="000000010000" w:firstRow="0" w:lastRow="0" w:firstColumn="0" w:lastColumn="0" w:oddVBand="0" w:evenVBand="0" w:oddHBand="0" w:evenHBand="1" w:firstRowFirstColumn="0" w:firstRowLastColumn="0" w:lastRowFirstColumn="0" w:lastRowLastColumn="0"/>
          <w:trHeight w:val="1312"/>
          <w:jc w:val="center"/>
        </w:trPr>
        <w:tc>
          <w:tcPr>
            <w:cnfStyle w:val="001000000000" w:firstRow="0" w:lastRow="0" w:firstColumn="1" w:lastColumn="0" w:oddVBand="0" w:evenVBand="0" w:oddHBand="0" w:evenHBand="0" w:firstRowFirstColumn="0" w:firstRowLastColumn="0" w:lastRowFirstColumn="0" w:lastRowLastColumn="0"/>
            <w:tcW w:w="1013" w:type="dxa"/>
            <w:noWrap/>
            <w:vAlign w:val="center"/>
          </w:tcPr>
          <w:p w:rsidR="00C13A2B" w:rsidRPr="001D2947" w:rsidRDefault="00C13A2B"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1</w:t>
            </w:r>
          </w:p>
        </w:tc>
        <w:tc>
          <w:tcPr>
            <w:tcW w:w="2870"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 xml:space="preserve">Les mutations de l'environnement économique ont modifié les facteurs de compétitivité </w:t>
            </w:r>
          </w:p>
        </w:tc>
        <w:tc>
          <w:tcPr>
            <w:tcW w:w="2000"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 globalisation</w:t>
            </w:r>
          </w:p>
        </w:tc>
        <w:tc>
          <w:tcPr>
            <w:tcW w:w="2946"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 mise en concurrence des territoires</w:t>
            </w:r>
          </w:p>
        </w:tc>
      </w:tr>
      <w:tr w:rsidR="00C13A2B" w:rsidRPr="001D2947">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1013" w:type="dxa"/>
            <w:noWrap/>
            <w:vAlign w:val="center"/>
          </w:tcPr>
          <w:p w:rsidR="00C13A2B" w:rsidRPr="001D2947" w:rsidRDefault="00C13A2B"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2</w:t>
            </w:r>
          </w:p>
        </w:tc>
        <w:tc>
          <w:tcPr>
            <w:tcW w:w="2870" w:type="dxa"/>
            <w:vAlign w:val="center"/>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Le développement territorial s'opère sur la base d'une dynamique endogène</w:t>
            </w:r>
          </w:p>
        </w:tc>
        <w:tc>
          <w:tcPr>
            <w:tcW w:w="2000" w:type="dxa"/>
            <w:vAlign w:val="center"/>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 dynamique endogène</w:t>
            </w:r>
          </w:p>
        </w:tc>
        <w:tc>
          <w:tcPr>
            <w:tcW w:w="2946" w:type="dxa"/>
            <w:vAlign w:val="center"/>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Les modes d'organisation des relations socio-économiques</w:t>
            </w:r>
          </w:p>
        </w:tc>
      </w:tr>
      <w:tr w:rsidR="00C13A2B" w:rsidRPr="001D2947">
        <w:trPr>
          <w:cnfStyle w:val="000000010000" w:firstRow="0" w:lastRow="0" w:firstColumn="0" w:lastColumn="0" w:oddVBand="0" w:evenVBand="0" w:oddHBand="0" w:evenHBand="1" w:firstRowFirstColumn="0" w:firstRowLastColumn="0" w:lastRowFirstColumn="0" w:lastRowLastColumn="0"/>
          <w:trHeight w:val="1388"/>
          <w:jc w:val="center"/>
        </w:trPr>
        <w:tc>
          <w:tcPr>
            <w:cnfStyle w:val="001000000000" w:firstRow="0" w:lastRow="0" w:firstColumn="1" w:lastColumn="0" w:oddVBand="0" w:evenVBand="0" w:oddHBand="0" w:evenHBand="0" w:firstRowFirstColumn="0" w:firstRowLastColumn="0" w:lastRowFirstColumn="0" w:lastRowLastColumn="0"/>
            <w:tcW w:w="1013" w:type="dxa"/>
            <w:noWrap/>
            <w:vAlign w:val="center"/>
          </w:tcPr>
          <w:p w:rsidR="00C13A2B" w:rsidRPr="001D2947" w:rsidRDefault="00C13A2B"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3</w:t>
            </w:r>
          </w:p>
        </w:tc>
        <w:tc>
          <w:tcPr>
            <w:tcW w:w="2870"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L'acquisition d'un avantage différenciatif est fondamentale dans un contexte de concurrence territoriale</w:t>
            </w:r>
          </w:p>
        </w:tc>
        <w:tc>
          <w:tcPr>
            <w:tcW w:w="2000"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L'innovation</w:t>
            </w:r>
          </w:p>
        </w:tc>
        <w:tc>
          <w:tcPr>
            <w:tcW w:w="2946"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L'émergence et la gestion d'un réseau collaboratif d'acteurs</w:t>
            </w:r>
          </w:p>
        </w:tc>
      </w:tr>
      <w:tr w:rsidR="00C13A2B" w:rsidRPr="001D2947">
        <w:trPr>
          <w:cnfStyle w:val="000000100000" w:firstRow="0" w:lastRow="0" w:firstColumn="0" w:lastColumn="0" w:oddVBand="0" w:evenVBand="0" w:oddHBand="1" w:evenHBand="0" w:firstRowFirstColumn="0" w:firstRowLastColumn="0" w:lastRowFirstColumn="0" w:lastRowLastColumn="0"/>
          <w:trHeight w:val="996"/>
          <w:jc w:val="center"/>
        </w:trPr>
        <w:tc>
          <w:tcPr>
            <w:cnfStyle w:val="001000000000" w:firstRow="0" w:lastRow="0" w:firstColumn="1" w:lastColumn="0" w:oddVBand="0" w:evenVBand="0" w:oddHBand="0" w:evenHBand="0" w:firstRowFirstColumn="0" w:firstRowLastColumn="0" w:lastRowFirstColumn="0" w:lastRowLastColumn="0"/>
            <w:tcW w:w="1013" w:type="dxa"/>
            <w:noWrap/>
            <w:vAlign w:val="center"/>
          </w:tcPr>
          <w:p w:rsidR="00C13A2B" w:rsidRPr="001D2947" w:rsidRDefault="00C13A2B"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4</w:t>
            </w:r>
          </w:p>
        </w:tc>
        <w:tc>
          <w:tcPr>
            <w:tcW w:w="2870" w:type="dxa"/>
            <w:vAlign w:val="center"/>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L'agglomération industrielle favorise l'innovation sur un territoire</w:t>
            </w:r>
          </w:p>
        </w:tc>
        <w:tc>
          <w:tcPr>
            <w:tcW w:w="2000" w:type="dxa"/>
            <w:vAlign w:val="center"/>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 xml:space="preserve">La </w:t>
            </w:r>
            <w:r w:rsidR="00270D97" w:rsidRPr="001D2947">
              <w:rPr>
                <w:rFonts w:eastAsia="Times New Roman" w:cs="Times New Roman"/>
                <w:color w:val="000000"/>
                <w:lang w:eastAsia="fr-BE"/>
              </w:rPr>
              <w:t>proximité</w:t>
            </w:r>
            <w:r w:rsidRPr="001D2947">
              <w:rPr>
                <w:rFonts w:eastAsia="Times New Roman" w:cs="Times New Roman"/>
                <w:color w:val="000000"/>
                <w:lang w:eastAsia="fr-BE"/>
              </w:rPr>
              <w:t xml:space="preserve"> géographique</w:t>
            </w:r>
          </w:p>
        </w:tc>
        <w:tc>
          <w:tcPr>
            <w:tcW w:w="2946" w:type="dxa"/>
            <w:vAlign w:val="center"/>
          </w:tcPr>
          <w:p w:rsidR="00C13A2B" w:rsidRPr="001D2947" w:rsidRDefault="00C13A2B"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eastAsia="fr-BE"/>
              </w:rPr>
            </w:pPr>
            <w:r w:rsidRPr="001D2947">
              <w:rPr>
                <w:rFonts w:eastAsia="Times New Roman" w:cs="Times New Roman"/>
                <w:lang w:eastAsia="fr-BE"/>
              </w:rPr>
              <w:t>L'étude de la concentration industrielle sur la coopération et le partage d'informations</w:t>
            </w:r>
          </w:p>
        </w:tc>
      </w:tr>
      <w:tr w:rsidR="00C13A2B" w:rsidRPr="001D2947">
        <w:trPr>
          <w:cnfStyle w:val="000000010000" w:firstRow="0" w:lastRow="0" w:firstColumn="0" w:lastColumn="0" w:oddVBand="0" w:evenVBand="0" w:oddHBand="0" w:evenHBand="1" w:firstRowFirstColumn="0" w:firstRowLastColumn="0" w:lastRowFirstColumn="0" w:lastRowLastColumn="0"/>
          <w:trHeight w:val="1110"/>
          <w:jc w:val="center"/>
        </w:trPr>
        <w:tc>
          <w:tcPr>
            <w:cnfStyle w:val="001000000000" w:firstRow="0" w:lastRow="0" w:firstColumn="1" w:lastColumn="0" w:oddVBand="0" w:evenVBand="0" w:oddHBand="0" w:evenHBand="0" w:firstRowFirstColumn="0" w:firstRowLastColumn="0" w:lastRowFirstColumn="0" w:lastRowLastColumn="0"/>
            <w:tcW w:w="1013" w:type="dxa"/>
            <w:noWrap/>
            <w:vAlign w:val="center"/>
          </w:tcPr>
          <w:p w:rsidR="00C13A2B" w:rsidRPr="001D2947" w:rsidRDefault="00C13A2B"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5</w:t>
            </w:r>
          </w:p>
        </w:tc>
        <w:tc>
          <w:tcPr>
            <w:tcW w:w="2870"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Les pouvoirs publics jouent un rôle dans l'organisation du système d'innovation territorial</w:t>
            </w:r>
          </w:p>
        </w:tc>
        <w:tc>
          <w:tcPr>
            <w:tcW w:w="2000"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 gouvernance</w:t>
            </w:r>
          </w:p>
        </w:tc>
        <w:tc>
          <w:tcPr>
            <w:tcW w:w="2946" w:type="dxa"/>
            <w:vAlign w:val="center"/>
          </w:tcPr>
          <w:p w:rsidR="00C13A2B" w:rsidRPr="001D2947" w:rsidRDefault="00C13A2B"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lang w:eastAsia="fr-BE"/>
              </w:rPr>
            </w:pPr>
            <w:r w:rsidRPr="001D2947">
              <w:rPr>
                <w:rFonts w:eastAsia="Times New Roman" w:cs="Times New Roman"/>
                <w:lang w:eastAsia="fr-BE"/>
              </w:rPr>
              <w:t>L'analyse des politiques publiques dans le développement d'un système d'innovation</w:t>
            </w:r>
          </w:p>
        </w:tc>
      </w:tr>
    </w:tbl>
    <w:p w:rsidR="00C13A2B" w:rsidRPr="001D2947" w:rsidRDefault="00C13A2B" w:rsidP="001D2947">
      <w:pPr>
        <w:pStyle w:val="Paragraphedeliste"/>
        <w:autoSpaceDE w:val="0"/>
        <w:autoSpaceDN w:val="0"/>
        <w:adjustRightInd w:val="0"/>
        <w:spacing w:after="0" w:line="360" w:lineRule="auto"/>
        <w:ind w:left="0"/>
        <w:jc w:val="both"/>
        <w:rPr>
          <w:rFonts w:cs="Times New Roman"/>
        </w:rPr>
      </w:pPr>
    </w:p>
    <w:p w:rsidR="00C13A2B" w:rsidRPr="001D2947" w:rsidRDefault="00C13A2B" w:rsidP="001D2947">
      <w:pPr>
        <w:pStyle w:val="Paragraphedeliste"/>
        <w:autoSpaceDE w:val="0"/>
        <w:autoSpaceDN w:val="0"/>
        <w:adjustRightInd w:val="0"/>
        <w:spacing w:after="0" w:line="360" w:lineRule="auto"/>
        <w:ind w:left="0"/>
        <w:jc w:val="both"/>
        <w:rPr>
          <w:rFonts w:cs="Times New Roman"/>
        </w:rPr>
      </w:pPr>
      <w:r w:rsidRPr="001D2947">
        <w:rPr>
          <w:rFonts w:cs="Times New Roman"/>
        </w:rPr>
        <w:tab/>
      </w:r>
      <w:r w:rsidR="00D34DF9" w:rsidRPr="001D2947">
        <w:rPr>
          <w:rFonts w:cs="Times New Roman"/>
        </w:rPr>
        <w:t>Si</w:t>
      </w:r>
      <w:r w:rsidR="00270D97" w:rsidRPr="001D2947">
        <w:rPr>
          <w:rFonts w:cs="Times New Roman"/>
        </w:rPr>
        <w:t xml:space="preserve"> ce tableau donne</w:t>
      </w:r>
      <w:r w:rsidR="00D34DF9" w:rsidRPr="001D2947">
        <w:rPr>
          <w:rFonts w:cs="Times New Roman"/>
        </w:rPr>
        <w:t xml:space="preserve"> l’impression d’homogénéité, le</w:t>
      </w:r>
      <w:r w:rsidR="00270D97" w:rsidRPr="001D2947">
        <w:rPr>
          <w:rFonts w:cs="Times New Roman"/>
        </w:rPr>
        <w:t xml:space="preserve"> paradigme de l’innovation territoriale se </w:t>
      </w:r>
      <w:r w:rsidR="00D34DF9" w:rsidRPr="001D2947">
        <w:rPr>
          <w:rFonts w:cs="Times New Roman"/>
        </w:rPr>
        <w:t>divise</w:t>
      </w:r>
      <w:r w:rsidR="00270D97" w:rsidRPr="001D2947">
        <w:rPr>
          <w:rFonts w:cs="Times New Roman"/>
        </w:rPr>
        <w:t xml:space="preserve"> en trois traditions de recherche (Moulaert &amp; Sekia, 2003). La première met en exergue la capacité des institutions ancrées sur un territoire à produire une dynamique d’innovation. Le</w:t>
      </w:r>
      <w:r w:rsidR="00D34DF9" w:rsidRPr="001D2947">
        <w:rPr>
          <w:rFonts w:cs="Times New Roman"/>
        </w:rPr>
        <w:t xml:space="preserve"> milieu i</w:t>
      </w:r>
      <w:r w:rsidR="00270D97" w:rsidRPr="001D2947">
        <w:rPr>
          <w:rFonts w:cs="Times New Roman"/>
        </w:rPr>
        <w:t>nnovateur (Aydalot, 1986) et le district industriel (</w:t>
      </w:r>
      <w:proofErr w:type="spellStart"/>
      <w:r w:rsidR="00270D97" w:rsidRPr="001D2947">
        <w:rPr>
          <w:rFonts w:cs="Times New Roman"/>
        </w:rPr>
        <w:t>Piore</w:t>
      </w:r>
      <w:proofErr w:type="spellEnd"/>
      <w:r w:rsidR="00270D97" w:rsidRPr="001D2947">
        <w:rPr>
          <w:rFonts w:cs="Times New Roman"/>
        </w:rPr>
        <w:t xml:space="preserve"> &amp; </w:t>
      </w:r>
      <w:proofErr w:type="spellStart"/>
      <w:r w:rsidR="00270D97" w:rsidRPr="001D2947">
        <w:rPr>
          <w:rFonts w:cs="Times New Roman"/>
        </w:rPr>
        <w:t>Sabel</w:t>
      </w:r>
      <w:proofErr w:type="spellEnd"/>
      <w:r w:rsidR="00270D97" w:rsidRPr="001D2947">
        <w:rPr>
          <w:rFonts w:cs="Times New Roman"/>
        </w:rPr>
        <w:t>, 1984; Becattini, 1987) font partie de ce courant. La seconde examine la construction d’un système régional, voire d’une région apprenante (Cooke et al., 1997 ; Morgan &amp; Nauwelaerts, 1998). Il s’agit de comprendre l’organisation de l’innovation au niveau des interactions entre les sphères publiques, universitaires et industrielles. Le modèle de la triple hélice (Etzkowitz &amp; Leydesdorff, 2000), ou le système d’innovation régional (Lundvall, 1992) sont des exemples théoriques de ce courant. La troisième tradition de recherche aborde la thématique de l’organisation spatiale des grappes d’industries (</w:t>
      </w:r>
      <w:r w:rsidR="00270D97" w:rsidRPr="001D2947">
        <w:rPr>
          <w:rFonts w:cs="Times New Roman"/>
          <w:i/>
        </w:rPr>
        <w:t>clusters</w:t>
      </w:r>
      <w:r w:rsidR="00270D97" w:rsidRPr="001D2947">
        <w:rPr>
          <w:rFonts w:cs="Times New Roman"/>
        </w:rPr>
        <w:t xml:space="preserve">). La notion de </w:t>
      </w:r>
      <w:r w:rsidR="00270D97" w:rsidRPr="001D2947">
        <w:rPr>
          <w:rFonts w:cs="Times New Roman"/>
          <w:i/>
        </w:rPr>
        <w:lastRenderedPageBreak/>
        <w:t>cluster</w:t>
      </w:r>
      <w:r w:rsidR="00D34DF9" w:rsidRPr="001D2947">
        <w:rPr>
          <w:rFonts w:cs="Times New Roman"/>
        </w:rPr>
        <w:t xml:space="preserve"> telle que construit</w:t>
      </w:r>
      <w:r w:rsidR="00270D97" w:rsidRPr="001D2947">
        <w:rPr>
          <w:rFonts w:cs="Times New Roman"/>
        </w:rPr>
        <w:t>e par Porter (1990) repose sur la transposition d’un modèle stratégique des firmes aux pratiques du développement territorial.</w:t>
      </w:r>
    </w:p>
    <w:p w:rsidR="00270D97" w:rsidRPr="001D2947" w:rsidRDefault="00C13A2B" w:rsidP="001D2947">
      <w:pPr>
        <w:pStyle w:val="Titre2"/>
        <w:numPr>
          <w:ilvl w:val="0"/>
          <w:numId w:val="15"/>
        </w:numPr>
        <w:spacing w:line="360" w:lineRule="auto"/>
        <w:rPr>
          <w:rFonts w:asciiTheme="minorHAnsi" w:hAnsiTheme="minorHAnsi" w:cs="Times New Roman"/>
          <w:color w:val="00B050"/>
          <w:sz w:val="22"/>
          <w:szCs w:val="22"/>
        </w:rPr>
      </w:pPr>
      <w:r w:rsidRPr="001D2947">
        <w:rPr>
          <w:rFonts w:asciiTheme="minorHAnsi" w:hAnsiTheme="minorHAnsi" w:cs="Times New Roman"/>
          <w:sz w:val="22"/>
          <w:szCs w:val="22"/>
        </w:rPr>
        <w:t>Les pôles de compétit</w:t>
      </w:r>
      <w:r w:rsidR="004D06E5">
        <w:rPr>
          <w:rFonts w:asciiTheme="minorHAnsi" w:hAnsiTheme="minorHAnsi" w:cs="Times New Roman"/>
          <w:sz w:val="22"/>
          <w:szCs w:val="22"/>
        </w:rPr>
        <w:t>ivité en Wallonie de 2005 à 2015</w:t>
      </w:r>
      <w:r w:rsidRPr="001D2947">
        <w:rPr>
          <w:rFonts w:asciiTheme="minorHAnsi" w:hAnsiTheme="minorHAnsi" w:cs="Times New Roman"/>
          <w:sz w:val="22"/>
          <w:szCs w:val="22"/>
        </w:rPr>
        <w:t xml:space="preserve"> </w:t>
      </w:r>
      <w:r w:rsidR="00544EB1" w:rsidRPr="001D2947">
        <w:rPr>
          <w:rFonts w:asciiTheme="minorHAnsi" w:hAnsiTheme="minorHAnsi" w:cs="Times New Roman"/>
          <w:sz w:val="22"/>
          <w:szCs w:val="22"/>
        </w:rPr>
        <w:t xml:space="preserve">comme </w:t>
      </w:r>
      <w:r w:rsidR="005155F3" w:rsidRPr="001D2947">
        <w:rPr>
          <w:rFonts w:asciiTheme="minorHAnsi" w:hAnsiTheme="minorHAnsi" w:cs="Times New Roman"/>
          <w:sz w:val="22"/>
          <w:szCs w:val="22"/>
        </w:rPr>
        <w:t>mise en application du paradigme de l’innovation territorial?</w:t>
      </w:r>
    </w:p>
    <w:p w:rsidR="00270D97" w:rsidRPr="001D2947" w:rsidRDefault="00270D97" w:rsidP="001D2947">
      <w:pPr>
        <w:spacing w:line="360" w:lineRule="auto"/>
        <w:jc w:val="both"/>
        <w:rPr>
          <w:rFonts w:cs="Times New Roman"/>
        </w:rPr>
      </w:pPr>
      <w:r w:rsidRPr="001D2947">
        <w:rPr>
          <w:rFonts w:cs="Times New Roman"/>
        </w:rPr>
        <w:tab/>
        <w:t>En juillet 2004, un nouveau</w:t>
      </w:r>
      <w:r w:rsidR="0049194C" w:rsidRPr="001D2947">
        <w:rPr>
          <w:rFonts w:cs="Times New Roman"/>
        </w:rPr>
        <w:t xml:space="preserve"> Ministre de l’Économie </w:t>
      </w:r>
      <w:r w:rsidRPr="001D2947">
        <w:rPr>
          <w:rFonts w:cs="Times New Roman"/>
        </w:rPr>
        <w:t>est désigné (Wallonie, 2015). Le Ministre s’entoure d’un noyau de conseillers critiques à l’idée d’ « accompagner » la reconversion d’un</w:t>
      </w:r>
      <w:r w:rsidR="00A2315C" w:rsidRPr="001D2947">
        <w:rPr>
          <w:rFonts w:cs="Times New Roman"/>
        </w:rPr>
        <w:t xml:space="preserve"> tissu industriel structuré autour de secteurs traditionnels. </w:t>
      </w:r>
      <w:r w:rsidRPr="001D2947">
        <w:rPr>
          <w:rFonts w:cs="Times New Roman"/>
        </w:rPr>
        <w:t>Durant la législature 2005-2009</w:t>
      </w:r>
      <w:r w:rsidR="0049194C" w:rsidRPr="001D2947">
        <w:rPr>
          <w:rFonts w:cs="Times New Roman"/>
        </w:rPr>
        <w:t>,</w:t>
      </w:r>
      <w:r w:rsidRPr="001D2947">
        <w:rPr>
          <w:rFonts w:cs="Times New Roman"/>
        </w:rPr>
        <w:t xml:space="preserve"> </w:t>
      </w:r>
      <w:r w:rsidR="0049194C" w:rsidRPr="001D2947">
        <w:rPr>
          <w:rFonts w:cs="Times New Roman"/>
        </w:rPr>
        <w:t>les responsables politiques partagent le postulat que</w:t>
      </w:r>
      <w:r w:rsidRPr="001D2947">
        <w:rPr>
          <w:rFonts w:cs="Times New Roman"/>
        </w:rPr>
        <w:t xml:space="preserve"> « l’émergence de l’économie de la connaissance conduit à concevoir des politiques industrielles de nature plus systémique » et poursuit quatre objectifs : (1) l’amplification de la politique de clustering </w:t>
      </w:r>
      <w:r w:rsidRPr="001D2947">
        <w:rPr>
          <w:rFonts w:cs="Times New Roman"/>
          <w:i/>
        </w:rPr>
        <w:t>via</w:t>
      </w:r>
      <w:r w:rsidRPr="001D2947">
        <w:rPr>
          <w:rFonts w:cs="Times New Roman"/>
        </w:rPr>
        <w:t xml:space="preserve"> la concentration des mesures et l’augmentation des moyens d’action dédicacés, (2) le renforcement systémique </w:t>
      </w:r>
      <w:r w:rsidR="002B2292" w:rsidRPr="001D2947">
        <w:rPr>
          <w:rFonts w:cs="Times New Roman"/>
        </w:rPr>
        <w:t xml:space="preserve">de </w:t>
      </w:r>
      <w:r w:rsidRPr="001D2947">
        <w:rPr>
          <w:rFonts w:cs="Times New Roman"/>
        </w:rPr>
        <w:t xml:space="preserve">l’attractivité du territoire, (3) la mise en œuvre de l’auto-organisation des acteurs et (4) le dépassement des cloisonnements sectoriels et organisationnels (Bayenet &amp; Wunderle, 2009, p.7).  </w:t>
      </w:r>
    </w:p>
    <w:p w:rsidR="00C13A2B" w:rsidRPr="001D2947" w:rsidRDefault="00C13A2B" w:rsidP="001D2947">
      <w:pPr>
        <w:pStyle w:val="Titre3"/>
        <w:numPr>
          <w:ilvl w:val="1"/>
          <w:numId w:val="15"/>
        </w:numPr>
        <w:spacing w:line="360" w:lineRule="auto"/>
        <w:rPr>
          <w:rFonts w:asciiTheme="minorHAnsi" w:hAnsiTheme="minorHAnsi" w:cs="Times New Roman"/>
        </w:rPr>
      </w:pPr>
      <w:r w:rsidRPr="001D2947">
        <w:rPr>
          <w:rFonts w:asciiTheme="minorHAnsi" w:hAnsiTheme="minorHAnsi" w:cs="Times New Roman"/>
        </w:rPr>
        <w:t>La genèse des pôles de compétitivité wallon</w:t>
      </w:r>
      <w:r w:rsidR="002B2292" w:rsidRPr="001D2947">
        <w:rPr>
          <w:rFonts w:asciiTheme="minorHAnsi" w:hAnsiTheme="minorHAnsi" w:cs="Times New Roman"/>
        </w:rPr>
        <w:t>s</w:t>
      </w:r>
      <w:r w:rsidRPr="001D2947">
        <w:rPr>
          <w:rFonts w:asciiTheme="minorHAnsi" w:hAnsiTheme="minorHAnsi" w:cs="Times New Roman"/>
        </w:rPr>
        <w:t xml:space="preserve"> (de janvier 2005 à octobre 2006)</w:t>
      </w:r>
    </w:p>
    <w:p w:rsidR="00A2315C" w:rsidRPr="001D2947" w:rsidRDefault="00C13A2B" w:rsidP="001D2947">
      <w:pPr>
        <w:spacing w:line="360" w:lineRule="auto"/>
        <w:jc w:val="both"/>
        <w:rPr>
          <w:rFonts w:cs="Times New Roman"/>
        </w:rPr>
      </w:pPr>
      <w:r w:rsidRPr="001D2947">
        <w:rPr>
          <w:rFonts w:cs="Times New Roman"/>
        </w:rPr>
        <w:tab/>
      </w:r>
      <w:r w:rsidR="00A2315C" w:rsidRPr="001D2947">
        <w:rPr>
          <w:rFonts w:cs="Times New Roman"/>
        </w:rPr>
        <w:t xml:space="preserve">La création des pôles de </w:t>
      </w:r>
      <w:r w:rsidR="0049194C" w:rsidRPr="001D2947">
        <w:rPr>
          <w:rFonts w:cs="Times New Roman"/>
        </w:rPr>
        <w:t>compétitivité</w:t>
      </w:r>
      <w:r w:rsidR="00A2315C" w:rsidRPr="001D2947">
        <w:rPr>
          <w:rFonts w:cs="Times New Roman"/>
        </w:rPr>
        <w:t xml:space="preserve"> en Wallonie s</w:t>
      </w:r>
      <w:r w:rsidR="003D36D2">
        <w:rPr>
          <w:rFonts w:cs="Times New Roman"/>
        </w:rPr>
        <w:t xml:space="preserve">e développe « chemin-faisant ». </w:t>
      </w:r>
      <w:r w:rsidR="00A2315C" w:rsidRPr="001D2947">
        <w:rPr>
          <w:rFonts w:cs="Times New Roman"/>
        </w:rPr>
        <w:t xml:space="preserve">La mise en œuvre des </w:t>
      </w:r>
      <w:r w:rsidR="00A2315C" w:rsidRPr="001D2947">
        <w:rPr>
          <w:rFonts w:cs="Times New Roman"/>
          <w:i/>
        </w:rPr>
        <w:t>cluster</w:t>
      </w:r>
      <w:r w:rsidR="0049194C" w:rsidRPr="001D2947">
        <w:rPr>
          <w:rFonts w:cs="Times New Roman"/>
          <w:i/>
        </w:rPr>
        <w:t>s</w:t>
      </w:r>
      <w:r w:rsidR="00A2315C" w:rsidRPr="001D2947">
        <w:rPr>
          <w:rFonts w:cs="Times New Roman"/>
        </w:rPr>
        <w:t xml:space="preserve"> est effective en Wa</w:t>
      </w:r>
      <w:r w:rsidR="006123CF">
        <w:rPr>
          <w:rFonts w:cs="Times New Roman"/>
        </w:rPr>
        <w:t>llonie depuis 2000. L</w:t>
      </w:r>
      <w:r w:rsidR="00A2315C" w:rsidRPr="001D2947">
        <w:rPr>
          <w:rFonts w:cs="Times New Roman"/>
        </w:rPr>
        <w:t xml:space="preserve">’origine </w:t>
      </w:r>
      <w:r w:rsidR="00E94A53" w:rsidRPr="001D2947">
        <w:rPr>
          <w:rFonts w:cs="Times New Roman"/>
        </w:rPr>
        <w:t>des</w:t>
      </w:r>
      <w:r w:rsidR="00A2315C" w:rsidRPr="001D2947">
        <w:rPr>
          <w:rFonts w:cs="Times New Roman"/>
        </w:rPr>
        <w:t xml:space="preserve"> pôle de compétitivité est la phase de travail d’élaboration du plan stratégique « création d’activités économiques » (PST1). </w:t>
      </w:r>
      <w:r w:rsidR="00E94A53" w:rsidRPr="001D2947">
        <w:rPr>
          <w:rFonts w:cs="Times New Roman"/>
        </w:rPr>
        <w:t>Lors de</w:t>
      </w:r>
      <w:r w:rsidR="00A2315C" w:rsidRPr="001D2947">
        <w:rPr>
          <w:rFonts w:cs="Times New Roman"/>
        </w:rPr>
        <w:t xml:space="preserve"> cette période, les membres de la </w:t>
      </w:r>
      <w:r w:rsidR="00E94A53" w:rsidRPr="001D2947">
        <w:rPr>
          <w:rFonts w:cs="Times New Roman"/>
        </w:rPr>
        <w:t>« </w:t>
      </w:r>
      <w:r w:rsidR="00A2315C" w:rsidRPr="001D2947">
        <w:rPr>
          <w:rFonts w:cs="Times New Roman"/>
        </w:rPr>
        <w:t>cellule économie</w:t>
      </w:r>
      <w:r w:rsidR="00E94A53" w:rsidRPr="001D2947">
        <w:rPr>
          <w:rFonts w:cs="Times New Roman"/>
        </w:rPr>
        <w:t> »</w:t>
      </w:r>
      <w:r w:rsidR="00A2315C" w:rsidRPr="001D2947">
        <w:rPr>
          <w:rFonts w:cs="Times New Roman"/>
        </w:rPr>
        <w:t xml:space="preserve"> ont commandité un rapport auprès de consultants </w:t>
      </w:r>
      <w:r w:rsidR="00E94A53" w:rsidRPr="001D2947">
        <w:rPr>
          <w:rFonts w:cs="Times New Roman"/>
        </w:rPr>
        <w:t>pour</w:t>
      </w:r>
      <w:r w:rsidR="00A2315C" w:rsidRPr="001D2947">
        <w:rPr>
          <w:rFonts w:cs="Times New Roman"/>
        </w:rPr>
        <w:t xml:space="preserve"> préciser les forces et faiblesses de l’économie wallonne et </w:t>
      </w:r>
      <w:r w:rsidR="0007154A" w:rsidRPr="001D2947">
        <w:rPr>
          <w:rFonts w:cs="Times New Roman"/>
        </w:rPr>
        <w:t>pour</w:t>
      </w:r>
      <w:r w:rsidR="00A2315C" w:rsidRPr="001D2947">
        <w:rPr>
          <w:rFonts w:cs="Times New Roman"/>
        </w:rPr>
        <w:t xml:space="preserve"> dégager les </w:t>
      </w:r>
      <w:r w:rsidR="0007154A" w:rsidRPr="001D2947">
        <w:rPr>
          <w:rFonts w:cs="Times New Roman"/>
        </w:rPr>
        <w:t xml:space="preserve">grandes </w:t>
      </w:r>
      <w:r w:rsidR="00A2315C" w:rsidRPr="001D2947">
        <w:rPr>
          <w:rFonts w:cs="Times New Roman"/>
        </w:rPr>
        <w:t xml:space="preserve">lignes d’un plan de création d’activités économiques. Dans ce rapport, les consultants </w:t>
      </w:r>
      <w:r w:rsidR="0007154A" w:rsidRPr="001D2947">
        <w:rPr>
          <w:rFonts w:cs="Times New Roman"/>
        </w:rPr>
        <w:t xml:space="preserve">émettent </w:t>
      </w:r>
      <w:r w:rsidR="00A2315C" w:rsidRPr="001D2947">
        <w:rPr>
          <w:rFonts w:cs="Times New Roman"/>
        </w:rPr>
        <w:t>l’idée de cré</w:t>
      </w:r>
      <w:r w:rsidR="0007154A" w:rsidRPr="001D2947">
        <w:rPr>
          <w:rFonts w:cs="Times New Roman"/>
        </w:rPr>
        <w:t>er</w:t>
      </w:r>
      <w:r w:rsidR="00A2315C" w:rsidRPr="001D2947">
        <w:rPr>
          <w:rFonts w:cs="Times New Roman"/>
        </w:rPr>
        <w:t xml:space="preserve"> « </w:t>
      </w:r>
      <w:r w:rsidR="0007154A" w:rsidRPr="001D2947">
        <w:rPr>
          <w:rFonts w:cs="Times New Roman"/>
        </w:rPr>
        <w:t>un</w:t>
      </w:r>
      <w:r w:rsidR="00A2315C" w:rsidRPr="001D2947">
        <w:rPr>
          <w:rFonts w:cs="Times New Roman"/>
        </w:rPr>
        <w:t xml:space="preserve"> nombre limité de clusters d’envergure » en </w:t>
      </w:r>
      <w:r w:rsidR="0007154A" w:rsidRPr="001D2947">
        <w:rPr>
          <w:rFonts w:cs="Times New Roman"/>
        </w:rPr>
        <w:t>argumentant qu’il s’agit d’un projet d’une ampleur</w:t>
      </w:r>
      <w:r w:rsidR="00A2315C" w:rsidRPr="001D2947">
        <w:rPr>
          <w:rFonts w:cs="Times New Roman"/>
        </w:rPr>
        <w:t xml:space="preserve"> majeure en terme de création d’emploi, d’une complexité moyenne et vecteur d’une image porteuse (McKinsey, 2005 a, p.12). </w:t>
      </w:r>
    </w:p>
    <w:p w:rsidR="00A2315C" w:rsidRPr="001D2947" w:rsidRDefault="00A2315C" w:rsidP="001D2947">
      <w:pPr>
        <w:spacing w:line="360" w:lineRule="auto"/>
        <w:jc w:val="both"/>
        <w:rPr>
          <w:rFonts w:cs="Times New Roman"/>
        </w:rPr>
      </w:pPr>
      <w:r w:rsidRPr="001D2947">
        <w:rPr>
          <w:rFonts w:cs="Times New Roman"/>
        </w:rPr>
        <w:tab/>
        <w:t xml:space="preserve">Dans la définition du méga-cluster développée, quatre éléments constitutifs sont mis en avant : la concentration géographique, l’innovation, la collaboration et la masse critique. En outre, les consultants suggèrent </w:t>
      </w:r>
      <w:r w:rsidR="0007154A" w:rsidRPr="001D2947">
        <w:rPr>
          <w:rFonts w:cs="Times New Roman"/>
        </w:rPr>
        <w:t>la mise en place de</w:t>
      </w:r>
      <w:r w:rsidRPr="001D2947">
        <w:rPr>
          <w:rFonts w:cs="Times New Roman"/>
        </w:rPr>
        <w:t xml:space="preserve"> « deux politiques de soutien sectoriel menées en parallèle : le lancement par les pouvoirs publics de clusters d’envergure d’une part et le soutien actif aux réseaux d’entrepr</w:t>
      </w:r>
      <w:r w:rsidR="00283742" w:rsidRPr="001D2947">
        <w:rPr>
          <w:rFonts w:cs="Times New Roman"/>
        </w:rPr>
        <w:t>ises porteur de projets d’autre</w:t>
      </w:r>
      <w:r w:rsidRPr="001D2947">
        <w:rPr>
          <w:rFonts w:cs="Times New Roman"/>
        </w:rPr>
        <w:t xml:space="preserve"> part » (McKinsey, 2005 b, p.35). Le travail préalable à la rédaction dudit rapport a été suivi et commenté </w:t>
      </w:r>
      <w:r w:rsidR="0007154A" w:rsidRPr="001D2947">
        <w:rPr>
          <w:rFonts w:cs="Times New Roman"/>
        </w:rPr>
        <w:t>par un c</w:t>
      </w:r>
      <w:r w:rsidRPr="001D2947">
        <w:rPr>
          <w:rFonts w:cs="Times New Roman"/>
        </w:rPr>
        <w:t>omité scientifique composé d’académique</w:t>
      </w:r>
      <w:r w:rsidR="0007154A" w:rsidRPr="001D2947">
        <w:rPr>
          <w:rFonts w:cs="Times New Roman"/>
        </w:rPr>
        <w:t>s</w:t>
      </w:r>
      <w:r w:rsidRPr="001D2947">
        <w:rPr>
          <w:rFonts w:cs="Times New Roman"/>
        </w:rPr>
        <w:t>, de conseillers du ministre et de membre</w:t>
      </w:r>
      <w:r w:rsidR="0007154A" w:rsidRPr="001D2947">
        <w:rPr>
          <w:rFonts w:cs="Times New Roman"/>
        </w:rPr>
        <w:t>s</w:t>
      </w:r>
      <w:r w:rsidRPr="001D2947">
        <w:rPr>
          <w:rFonts w:cs="Times New Roman"/>
        </w:rPr>
        <w:t xml:space="preserve"> de l’Union wallonne des entreprises.</w:t>
      </w:r>
    </w:p>
    <w:p w:rsidR="00A2315C" w:rsidRPr="001D2947" w:rsidRDefault="00A2315C" w:rsidP="001D2947">
      <w:pPr>
        <w:spacing w:line="360" w:lineRule="auto"/>
        <w:jc w:val="both"/>
        <w:rPr>
          <w:rFonts w:cs="Times New Roman"/>
        </w:rPr>
      </w:pPr>
      <w:r w:rsidRPr="001D2947">
        <w:rPr>
          <w:rFonts w:cs="Times New Roman"/>
        </w:rPr>
        <w:tab/>
        <w:t xml:space="preserve">L’idée de créer un méga-cluster en Wallonie est également nourrie par les publications universitaires. En effet, les conseillers politiques ont parcouru une littérature abondante sur la question du </w:t>
      </w:r>
      <w:r w:rsidRPr="001D2947">
        <w:rPr>
          <w:rFonts w:cs="Times New Roman"/>
          <w:i/>
        </w:rPr>
        <w:t>clustering</w:t>
      </w:r>
      <w:r w:rsidRPr="001D2947">
        <w:rPr>
          <w:rFonts w:cs="Times New Roman"/>
        </w:rPr>
        <w:t xml:space="preserve">, principalement, les travaux de </w:t>
      </w:r>
      <w:r w:rsidRPr="001D2947">
        <w:rPr>
          <w:rFonts w:cs="Times New Roman"/>
          <w:i/>
        </w:rPr>
        <w:t>Porter</w:t>
      </w:r>
      <w:r w:rsidRPr="001D2947">
        <w:rPr>
          <w:rFonts w:cs="Times New Roman"/>
        </w:rPr>
        <w:t xml:space="preserve">. La pensée « portérienne » est </w:t>
      </w:r>
      <w:r w:rsidRPr="001D2947">
        <w:rPr>
          <w:rFonts w:cs="Times New Roman"/>
        </w:rPr>
        <w:lastRenderedPageBreak/>
        <w:t xml:space="preserve">considérée par ceux-ci comme un label intellectuel des politiques de </w:t>
      </w:r>
      <w:r w:rsidRPr="001D2947">
        <w:rPr>
          <w:rFonts w:cs="Times New Roman"/>
          <w:i/>
        </w:rPr>
        <w:t>clustering</w:t>
      </w:r>
      <w:r w:rsidRPr="001D2947">
        <w:rPr>
          <w:rFonts w:cs="Times New Roman"/>
        </w:rPr>
        <w:t>. Couplée</w:t>
      </w:r>
      <w:r w:rsidR="00B95910" w:rsidRPr="001D2947">
        <w:rPr>
          <w:rFonts w:cs="Times New Roman"/>
        </w:rPr>
        <w:t>s</w:t>
      </w:r>
      <w:r w:rsidRPr="001D2947">
        <w:rPr>
          <w:rFonts w:cs="Times New Roman"/>
        </w:rPr>
        <w:t xml:space="preserve"> aux rapports publiés par l’Organisation de Coopération et de Développement Économique (</w:t>
      </w:r>
      <w:r w:rsidR="00B95910" w:rsidRPr="001D2947">
        <w:rPr>
          <w:rFonts w:cs="Times New Roman"/>
        </w:rPr>
        <w:t xml:space="preserve">OCDE), les théories économiques mettant en avant l’importance de l’avantage différenciatif </w:t>
      </w:r>
      <w:r w:rsidRPr="001D2947">
        <w:rPr>
          <w:rFonts w:cs="Times New Roman"/>
        </w:rPr>
        <w:t>sont partagées par la sphère politique. Dans le cas wallon, il est primordial de souligner le rô</w:t>
      </w:r>
      <w:r w:rsidR="00BA3C26" w:rsidRPr="001D2947">
        <w:rPr>
          <w:rFonts w:cs="Times New Roman"/>
        </w:rPr>
        <w:t>le exercé par un professeur de l</w:t>
      </w:r>
      <w:r w:rsidRPr="001D2947">
        <w:rPr>
          <w:rFonts w:cs="Times New Roman"/>
        </w:rPr>
        <w:t>’Université Libre de Bruxelles. Ce dernier a participé au développement de</w:t>
      </w:r>
      <w:r w:rsidR="00B95910" w:rsidRPr="001D2947">
        <w:rPr>
          <w:rFonts w:cs="Times New Roman"/>
        </w:rPr>
        <w:t>s</w:t>
      </w:r>
      <w:r w:rsidRPr="001D2947">
        <w:rPr>
          <w:rFonts w:cs="Times New Roman"/>
        </w:rPr>
        <w:t xml:space="preserve"> politique</w:t>
      </w:r>
      <w:r w:rsidR="00B95910" w:rsidRPr="001D2947">
        <w:rPr>
          <w:rFonts w:cs="Times New Roman"/>
        </w:rPr>
        <w:t>s</w:t>
      </w:r>
      <w:r w:rsidRPr="001D2947">
        <w:rPr>
          <w:rFonts w:cs="Times New Roman"/>
        </w:rPr>
        <w:t xml:space="preserve"> de </w:t>
      </w:r>
      <w:r w:rsidRPr="001D2947">
        <w:rPr>
          <w:rFonts w:cs="Times New Roman"/>
          <w:i/>
        </w:rPr>
        <w:t>clustering</w:t>
      </w:r>
      <w:r w:rsidRPr="001D2947">
        <w:rPr>
          <w:rFonts w:cs="Times New Roman"/>
        </w:rPr>
        <w:t xml:space="preserve"> avant 2004 </w:t>
      </w:r>
      <w:r w:rsidR="00B95910" w:rsidRPr="001D2947">
        <w:rPr>
          <w:rFonts w:cs="Times New Roman"/>
        </w:rPr>
        <w:t>ainsi qu’</w:t>
      </w:r>
      <w:r w:rsidRPr="001D2947">
        <w:rPr>
          <w:rFonts w:cs="Times New Roman"/>
        </w:rPr>
        <w:t xml:space="preserve">à la programmation des fonds </w:t>
      </w:r>
      <w:r w:rsidR="00B95910" w:rsidRPr="001D2947">
        <w:rPr>
          <w:rFonts w:cs="Times New Roman"/>
        </w:rPr>
        <w:t>FEDER</w:t>
      </w:r>
      <w:r w:rsidRPr="001D2947">
        <w:rPr>
          <w:rFonts w:cs="Times New Roman"/>
        </w:rPr>
        <w:t xml:space="preserve"> pour la Wallonie 2007-2013.</w:t>
      </w:r>
    </w:p>
    <w:p w:rsidR="00A2315C" w:rsidRPr="001D2947" w:rsidRDefault="00A2315C" w:rsidP="001D2947">
      <w:pPr>
        <w:spacing w:line="360" w:lineRule="auto"/>
        <w:jc w:val="both"/>
        <w:rPr>
          <w:rFonts w:cs="Times New Roman"/>
        </w:rPr>
      </w:pPr>
      <w:r w:rsidRPr="001D2947">
        <w:rPr>
          <w:rFonts w:cs="Times New Roman"/>
        </w:rPr>
        <w:tab/>
        <w:t xml:space="preserve">Les expériences étrangères de </w:t>
      </w:r>
      <w:r w:rsidRPr="001D2947">
        <w:rPr>
          <w:rFonts w:cs="Times New Roman"/>
          <w:i/>
        </w:rPr>
        <w:t>clustering</w:t>
      </w:r>
      <w:r w:rsidRPr="001D2947">
        <w:rPr>
          <w:rFonts w:cs="Times New Roman"/>
        </w:rPr>
        <w:t xml:space="preserve"> ont également représenté </w:t>
      </w:r>
      <w:r w:rsidR="00B95910" w:rsidRPr="001D2947">
        <w:rPr>
          <w:rFonts w:cs="Times New Roman"/>
        </w:rPr>
        <w:t>des</w:t>
      </w:r>
      <w:r w:rsidRPr="001D2947">
        <w:rPr>
          <w:rFonts w:cs="Times New Roman"/>
        </w:rPr>
        <w:t xml:space="preserve"> source</w:t>
      </w:r>
      <w:r w:rsidR="00B95910" w:rsidRPr="001D2947">
        <w:rPr>
          <w:rFonts w:cs="Times New Roman"/>
        </w:rPr>
        <w:t>s</w:t>
      </w:r>
      <w:r w:rsidRPr="001D2947">
        <w:rPr>
          <w:rFonts w:cs="Times New Roman"/>
        </w:rPr>
        <w:t xml:space="preserve"> d’inspiration et d’information.  Parmi les différentes expériences qui ont été portées à la connaissance des conseillers wallons, il y a </w:t>
      </w:r>
      <w:r w:rsidR="00B95910" w:rsidRPr="001D2947">
        <w:rPr>
          <w:rFonts w:cs="Times New Roman"/>
        </w:rPr>
        <w:t xml:space="preserve">celle de la </w:t>
      </w:r>
      <w:r w:rsidRPr="001D2947">
        <w:rPr>
          <w:rFonts w:cs="Times New Roman"/>
        </w:rPr>
        <w:t>« </w:t>
      </w:r>
      <w:r w:rsidRPr="001D2947">
        <w:rPr>
          <w:rFonts w:cs="Times New Roman"/>
          <w:i/>
        </w:rPr>
        <w:t>Flanders Language Valley</w:t>
      </w:r>
      <w:r w:rsidRPr="001D2947">
        <w:rPr>
          <w:rFonts w:cs="Times New Roman"/>
        </w:rPr>
        <w:t xml:space="preserve"> », celle du cluster de la téléphonie mobile en Finlande et celle des pôles de compétitivité français. Selon les conseillers politiques et les représentants du monde économique, l’expérience française </w:t>
      </w:r>
      <w:r w:rsidR="00B95910" w:rsidRPr="001D2947">
        <w:rPr>
          <w:rFonts w:cs="Times New Roman"/>
        </w:rPr>
        <w:t xml:space="preserve">a </w:t>
      </w:r>
      <w:r w:rsidR="00BA3C26" w:rsidRPr="001D2947">
        <w:rPr>
          <w:rFonts w:cs="Times New Roman"/>
        </w:rPr>
        <w:t>grandement influencé</w:t>
      </w:r>
      <w:r w:rsidRPr="001D2947">
        <w:rPr>
          <w:rFonts w:cs="Times New Roman"/>
        </w:rPr>
        <w:t xml:space="preserve"> le concept des pôles wallons et ce, sur au moins trois points : la définition des pôles de compétitivité</w:t>
      </w:r>
      <w:r w:rsidRPr="001D2947">
        <w:rPr>
          <w:rStyle w:val="Appelnotedebasdep"/>
          <w:rFonts w:cs="Times New Roman"/>
        </w:rPr>
        <w:footnoteReference w:id="5"/>
      </w:r>
      <w:r w:rsidRPr="001D2947">
        <w:rPr>
          <w:rFonts w:cs="Times New Roman"/>
        </w:rPr>
        <w:t xml:space="preserve">, le choix d’un mode de fonctionnement et la médiatisation de l’instrument. En plus d’avoir apporté une définition du concept, l’expérience française l’a aussi médiatisé en Wallonie. L’apport lié au mode de fonctionnement </w:t>
      </w:r>
      <w:r w:rsidR="00B95910" w:rsidRPr="001D2947">
        <w:rPr>
          <w:rFonts w:cs="Times New Roman"/>
        </w:rPr>
        <w:t>est dû a</w:t>
      </w:r>
      <w:r w:rsidRPr="001D2947">
        <w:rPr>
          <w:rFonts w:cs="Times New Roman"/>
        </w:rPr>
        <w:t>u partage d’expérience</w:t>
      </w:r>
      <w:r w:rsidR="00B95910" w:rsidRPr="001D2947">
        <w:rPr>
          <w:rFonts w:cs="Times New Roman"/>
        </w:rPr>
        <w:t>s mené</w:t>
      </w:r>
      <w:r w:rsidRPr="001D2947">
        <w:rPr>
          <w:rFonts w:cs="Times New Roman"/>
        </w:rPr>
        <w:t xml:space="preserve"> entre la France et la Wallonie. Dans le</w:t>
      </w:r>
      <w:r w:rsidR="0018158E" w:rsidRPr="001D2947">
        <w:rPr>
          <w:rFonts w:cs="Times New Roman"/>
        </w:rPr>
        <w:t>s</w:t>
      </w:r>
      <w:r w:rsidRPr="001D2947">
        <w:rPr>
          <w:rFonts w:cs="Times New Roman"/>
        </w:rPr>
        <w:t xml:space="preserve"> faits, les conseillers politiques et le Ministre ont rencontré les acteurs à l’origine </w:t>
      </w:r>
      <w:r w:rsidR="00B95910" w:rsidRPr="001D2947">
        <w:rPr>
          <w:rFonts w:cs="Times New Roman"/>
        </w:rPr>
        <w:t>des pôles français</w:t>
      </w:r>
      <w:r w:rsidRPr="001D2947">
        <w:rPr>
          <w:rFonts w:cs="Times New Roman"/>
        </w:rPr>
        <w:t>. Ces derniers insistent sur les limites du modèle implémenté en France et note</w:t>
      </w:r>
      <w:r w:rsidR="005B41DA">
        <w:rPr>
          <w:rFonts w:cs="Times New Roman"/>
        </w:rPr>
        <w:t>nt</w:t>
      </w:r>
      <w:r w:rsidRPr="001D2947">
        <w:rPr>
          <w:rFonts w:cs="Times New Roman"/>
        </w:rPr>
        <w:t xml:space="preserve"> la bifurcation d’un modèle de développement économique vers un modèle de développement spatial. De plus,  deux autres problématiques sont évoquées : le nombre </w:t>
      </w:r>
      <w:r w:rsidR="00B95910" w:rsidRPr="001D2947">
        <w:rPr>
          <w:rFonts w:cs="Times New Roman"/>
        </w:rPr>
        <w:t xml:space="preserve">grandissant </w:t>
      </w:r>
      <w:r w:rsidRPr="001D2947">
        <w:rPr>
          <w:rFonts w:cs="Times New Roman"/>
        </w:rPr>
        <w:t xml:space="preserve">de pôles labellisés et l’impossibilité pour la sphère politique de maintenir le cadre. Á leur retour en Wallonie, la volonté des décideurs politiques est de fixer un modèle préalable résistant aux pressions tant </w:t>
      </w:r>
      <w:r w:rsidR="009772FE" w:rsidRPr="001D2947">
        <w:rPr>
          <w:rFonts w:cs="Times New Roman"/>
        </w:rPr>
        <w:t>politique qu’économique</w:t>
      </w:r>
      <w:r w:rsidRPr="001D2947">
        <w:rPr>
          <w:rFonts w:cs="Times New Roman"/>
        </w:rPr>
        <w:t xml:space="preserve">. </w:t>
      </w:r>
    </w:p>
    <w:p w:rsidR="00C13A2B" w:rsidRPr="001D2947" w:rsidRDefault="00A2315C" w:rsidP="001D2947">
      <w:pPr>
        <w:spacing w:line="360" w:lineRule="auto"/>
        <w:jc w:val="both"/>
        <w:rPr>
          <w:rFonts w:cs="Times New Roman"/>
        </w:rPr>
      </w:pPr>
      <w:r w:rsidRPr="001D2947">
        <w:rPr>
          <w:rFonts w:cs="Times New Roman"/>
        </w:rPr>
        <w:tab/>
        <w:t xml:space="preserve">Convaincu par une approche </w:t>
      </w:r>
      <w:r w:rsidR="009772FE" w:rsidRPr="001D2947">
        <w:rPr>
          <w:rFonts w:cs="Times New Roman"/>
        </w:rPr>
        <w:t>centrée</w:t>
      </w:r>
      <w:r w:rsidRPr="001D2947">
        <w:rPr>
          <w:rFonts w:cs="Times New Roman"/>
        </w:rPr>
        <w:t xml:space="preserve"> sur quelques domaines technologiques,</w:t>
      </w:r>
      <w:r w:rsidR="003D36D2">
        <w:rPr>
          <w:rFonts w:cs="Times New Roman"/>
        </w:rPr>
        <w:t xml:space="preserve"> l</w:t>
      </w:r>
      <w:r w:rsidR="00F00148" w:rsidRPr="001D2947">
        <w:rPr>
          <w:rFonts w:cs="Times New Roman"/>
        </w:rPr>
        <w:t>’E</w:t>
      </w:r>
      <w:r w:rsidR="009772FE" w:rsidRPr="001D2947">
        <w:rPr>
          <w:rFonts w:cs="Times New Roman"/>
        </w:rPr>
        <w:t xml:space="preserve">xécutif régional opte </w:t>
      </w:r>
      <w:r w:rsidRPr="001D2947">
        <w:rPr>
          <w:rFonts w:cs="Times New Roman"/>
        </w:rPr>
        <w:t>pour une procédure en trois temps. Tout d’abord, le pouvoir politique fixe les domaines dans lesquels les pôles de compétitivité sont à développer. Ensuite, les acteurs politiques laissent</w:t>
      </w:r>
      <w:r w:rsidR="00F00148" w:rsidRPr="001D2947">
        <w:rPr>
          <w:rFonts w:cs="Times New Roman"/>
        </w:rPr>
        <w:t xml:space="preserve"> la main aux acteurs de terrain </w:t>
      </w:r>
      <w:r w:rsidRPr="001D2947">
        <w:rPr>
          <w:rFonts w:cs="Times New Roman"/>
        </w:rPr>
        <w:t>afin d’él</w:t>
      </w:r>
      <w:r w:rsidR="00F00148" w:rsidRPr="001D2947">
        <w:rPr>
          <w:rFonts w:cs="Times New Roman"/>
        </w:rPr>
        <w:t>aborer des propositions de pôle</w:t>
      </w:r>
      <w:r w:rsidRPr="001D2947">
        <w:rPr>
          <w:rFonts w:cs="Times New Roman"/>
        </w:rPr>
        <w:t xml:space="preserve"> au Gouvernement. Enfin, Un jury international examine ces pro</w:t>
      </w:r>
      <w:r w:rsidR="00F00148" w:rsidRPr="001D2947">
        <w:rPr>
          <w:rFonts w:cs="Times New Roman"/>
        </w:rPr>
        <w:t>positions et remet un avis à l’Exécutif</w:t>
      </w:r>
      <w:r w:rsidRPr="001D2947">
        <w:rPr>
          <w:rFonts w:cs="Times New Roman"/>
        </w:rPr>
        <w:t xml:space="preserve"> régiona</w:t>
      </w:r>
      <w:r w:rsidR="00F00148" w:rsidRPr="001D2947">
        <w:rPr>
          <w:rFonts w:cs="Times New Roman"/>
        </w:rPr>
        <w:t>l compéte</w:t>
      </w:r>
      <w:r w:rsidRPr="001D2947">
        <w:rPr>
          <w:rFonts w:cs="Times New Roman"/>
        </w:rPr>
        <w:t>nt pour labell</w:t>
      </w:r>
      <w:r w:rsidR="00DB36A4" w:rsidRPr="001D2947">
        <w:rPr>
          <w:rFonts w:cs="Times New Roman"/>
        </w:rPr>
        <w:t>iser les pôles de compétitivité</w:t>
      </w:r>
      <w:r w:rsidRPr="001D2947">
        <w:rPr>
          <w:rFonts w:cs="Times New Roman"/>
        </w:rPr>
        <w:t>.</w:t>
      </w:r>
      <w:r w:rsidR="00C13A2B" w:rsidRPr="001D2947">
        <w:rPr>
          <w:rFonts w:cs="Times New Roman"/>
        </w:rPr>
        <w:t xml:space="preserve"> </w:t>
      </w:r>
    </w:p>
    <w:p w:rsidR="00C13A2B" w:rsidRPr="001D2947" w:rsidRDefault="00C13A2B" w:rsidP="001D2947">
      <w:pPr>
        <w:pStyle w:val="Titre4"/>
        <w:numPr>
          <w:ilvl w:val="2"/>
          <w:numId w:val="15"/>
        </w:numPr>
        <w:spacing w:line="360" w:lineRule="auto"/>
        <w:rPr>
          <w:rFonts w:asciiTheme="minorHAnsi" w:hAnsiTheme="minorHAnsi" w:cs="Times New Roman"/>
        </w:rPr>
      </w:pPr>
      <w:r w:rsidRPr="001D2947">
        <w:rPr>
          <w:rFonts w:asciiTheme="minorHAnsi" w:hAnsiTheme="minorHAnsi" w:cs="Times New Roman"/>
        </w:rPr>
        <w:lastRenderedPageBreak/>
        <w:t>La sélection des domaines technologiques</w:t>
      </w:r>
    </w:p>
    <w:p w:rsidR="00C13A2B" w:rsidRPr="001D2947" w:rsidRDefault="00C13A2B" w:rsidP="001D2947">
      <w:pPr>
        <w:spacing w:line="360" w:lineRule="auto"/>
        <w:jc w:val="both"/>
        <w:rPr>
          <w:rFonts w:cs="Times New Roman"/>
        </w:rPr>
      </w:pPr>
      <w:r w:rsidRPr="001D2947">
        <w:rPr>
          <w:rFonts w:cs="Times New Roman"/>
        </w:rPr>
        <w:tab/>
        <w:t xml:space="preserve">Pour </w:t>
      </w:r>
      <w:r w:rsidR="007C423A" w:rsidRPr="001D2947">
        <w:rPr>
          <w:rFonts w:cs="Times New Roman"/>
        </w:rPr>
        <w:t>répertorier</w:t>
      </w:r>
      <w:r w:rsidRPr="001D2947">
        <w:rPr>
          <w:rFonts w:cs="Times New Roman"/>
        </w:rPr>
        <w:t xml:space="preserve"> les différents domaines « porteurs », les membres de la </w:t>
      </w:r>
      <w:r w:rsidR="00F00148" w:rsidRPr="001D2947">
        <w:rPr>
          <w:rFonts w:cs="Times New Roman"/>
        </w:rPr>
        <w:t>« </w:t>
      </w:r>
      <w:r w:rsidRPr="001D2947">
        <w:rPr>
          <w:rFonts w:cs="Times New Roman"/>
        </w:rPr>
        <w:t>cellule économie</w:t>
      </w:r>
      <w:r w:rsidR="00F00148" w:rsidRPr="001D2947">
        <w:rPr>
          <w:rFonts w:cs="Times New Roman"/>
        </w:rPr>
        <w:t> »</w:t>
      </w:r>
      <w:r w:rsidRPr="001D2947">
        <w:rPr>
          <w:rFonts w:cs="Times New Roman"/>
        </w:rPr>
        <w:t xml:space="preserve"> du cabinet </w:t>
      </w:r>
      <w:r w:rsidR="00F00148" w:rsidRPr="001D2947">
        <w:rPr>
          <w:rFonts w:cs="Times New Roman"/>
        </w:rPr>
        <w:t>commande</w:t>
      </w:r>
      <w:r w:rsidR="005B41DA">
        <w:rPr>
          <w:rFonts w:cs="Times New Roman"/>
        </w:rPr>
        <w:t>nt</w:t>
      </w:r>
      <w:r w:rsidRPr="001D2947">
        <w:rPr>
          <w:rFonts w:cs="Times New Roman"/>
        </w:rPr>
        <w:t xml:space="preserve"> une étude </w:t>
      </w:r>
      <w:r w:rsidR="007C423A" w:rsidRPr="001D2947">
        <w:rPr>
          <w:rFonts w:cs="Times New Roman"/>
        </w:rPr>
        <w:t xml:space="preserve">à un </w:t>
      </w:r>
      <w:r w:rsidR="00F00148" w:rsidRPr="001D2947">
        <w:rPr>
          <w:rFonts w:cs="Times New Roman"/>
        </w:rPr>
        <w:t>spécialiste des politiques régionales</w:t>
      </w:r>
      <w:r w:rsidRPr="001D2947">
        <w:rPr>
          <w:rFonts w:cs="Times New Roman"/>
        </w:rPr>
        <w:t xml:space="preserve">. </w:t>
      </w:r>
      <w:r w:rsidR="00F00148" w:rsidRPr="001D2947">
        <w:rPr>
          <w:rFonts w:cs="Times New Roman"/>
        </w:rPr>
        <w:t>Le rapport d’étude</w:t>
      </w:r>
      <w:r w:rsidR="007C423A" w:rsidRPr="001D2947">
        <w:rPr>
          <w:rFonts w:cs="Times New Roman"/>
        </w:rPr>
        <w:t xml:space="preserve"> </w:t>
      </w:r>
      <w:r w:rsidR="00F00148" w:rsidRPr="001D2947">
        <w:rPr>
          <w:rFonts w:cs="Times New Roman"/>
        </w:rPr>
        <w:t>conclu</w:t>
      </w:r>
      <w:r w:rsidR="00DB36A4" w:rsidRPr="001D2947">
        <w:rPr>
          <w:rFonts w:cs="Times New Roman"/>
        </w:rPr>
        <w:t>t</w:t>
      </w:r>
      <w:r w:rsidRPr="001D2947">
        <w:rPr>
          <w:rFonts w:cs="Times New Roman"/>
        </w:rPr>
        <w:t xml:space="preserve"> que le domaine de la pharmacie-santé se démarque dans le tissu industriel wallon ainsi que, dans une moindre mesure</w:t>
      </w:r>
      <w:r w:rsidR="00F00148" w:rsidRPr="001D2947">
        <w:rPr>
          <w:rFonts w:cs="Times New Roman"/>
        </w:rPr>
        <w:t>,</w:t>
      </w:r>
      <w:r w:rsidRPr="001D2947">
        <w:rPr>
          <w:rFonts w:cs="Times New Roman"/>
        </w:rPr>
        <w:t xml:space="preserve"> le domaine l’agro-alimentaire</w:t>
      </w:r>
      <w:r w:rsidR="00A2315C" w:rsidRPr="001D2947">
        <w:rPr>
          <w:rFonts w:cs="Times New Roman"/>
        </w:rPr>
        <w:t xml:space="preserve">. </w:t>
      </w:r>
      <w:r w:rsidRPr="001D2947">
        <w:rPr>
          <w:rFonts w:cs="Times New Roman"/>
        </w:rPr>
        <w:t xml:space="preserve">Sur la base de son analyse, le </w:t>
      </w:r>
      <w:r w:rsidR="007C423A" w:rsidRPr="001D2947">
        <w:rPr>
          <w:rFonts w:cs="Times New Roman"/>
        </w:rPr>
        <w:t>chercheur</w:t>
      </w:r>
      <w:r w:rsidRPr="001D2947">
        <w:rPr>
          <w:rFonts w:cs="Times New Roman"/>
        </w:rPr>
        <w:t xml:space="preserve"> préconise de retenir les trois premiers domaines</w:t>
      </w:r>
      <w:r w:rsidR="00F00148" w:rsidRPr="001D2947">
        <w:rPr>
          <w:rFonts w:cs="Times New Roman"/>
        </w:rPr>
        <w:t>, à savoir</w:t>
      </w:r>
      <w:r w:rsidRPr="001D2947">
        <w:rPr>
          <w:rFonts w:cs="Times New Roman"/>
        </w:rPr>
        <w:t xml:space="preserve"> : la pharmacie-santé, l’agro-alimentaire et l’ingénierie mécanique (Capron, 2005). </w:t>
      </w:r>
    </w:p>
    <w:p w:rsidR="00F00148" w:rsidRPr="001D2947" w:rsidRDefault="00C13A2B" w:rsidP="001D2947">
      <w:pPr>
        <w:spacing w:line="360" w:lineRule="auto"/>
        <w:jc w:val="both"/>
        <w:rPr>
          <w:rFonts w:cs="Times New Roman"/>
        </w:rPr>
      </w:pPr>
      <w:r w:rsidRPr="001D2947">
        <w:rPr>
          <w:rFonts w:cs="Times New Roman"/>
        </w:rPr>
        <w:tab/>
        <w:t>Le nombre de pôles de compétitivité à mettre en œuvre divise les acteurs</w:t>
      </w:r>
      <w:r w:rsidR="00F00148" w:rsidRPr="001D2947">
        <w:rPr>
          <w:rFonts w:cs="Times New Roman"/>
        </w:rPr>
        <w:t xml:space="preserve">. À la suite de </w:t>
      </w:r>
      <w:r w:rsidRPr="001D2947">
        <w:rPr>
          <w:rFonts w:cs="Times New Roman"/>
        </w:rPr>
        <w:t xml:space="preserve">discussions politiques, le Ministre </w:t>
      </w:r>
      <w:r w:rsidR="00A2315C" w:rsidRPr="001D2947">
        <w:rPr>
          <w:rFonts w:cs="Times New Roman"/>
        </w:rPr>
        <w:t xml:space="preserve">de l’Économie </w:t>
      </w:r>
      <w:r w:rsidR="00F00148" w:rsidRPr="001D2947">
        <w:rPr>
          <w:rFonts w:cs="Times New Roman"/>
        </w:rPr>
        <w:t>obtient</w:t>
      </w:r>
      <w:r w:rsidRPr="001D2947">
        <w:rPr>
          <w:rFonts w:cs="Times New Roman"/>
        </w:rPr>
        <w:t xml:space="preserve"> un accord pour la création de cinq pôles de compétitivité en Wallo</w:t>
      </w:r>
      <w:r w:rsidR="00A2315C" w:rsidRPr="001D2947">
        <w:rPr>
          <w:rFonts w:cs="Times New Roman"/>
        </w:rPr>
        <w:t>nie. L’argument utilisé par celui</w:t>
      </w:r>
      <w:r w:rsidRPr="001D2947">
        <w:rPr>
          <w:rFonts w:cs="Times New Roman"/>
        </w:rPr>
        <w:t xml:space="preserve">-ci est la nécessité de concentrer les efforts sur des domaines d’excellence sur le marché mondial. </w:t>
      </w:r>
    </w:p>
    <w:p w:rsidR="00C13A2B" w:rsidRPr="001D2947" w:rsidRDefault="00F00148" w:rsidP="001D2947">
      <w:pPr>
        <w:spacing w:line="360" w:lineRule="auto"/>
        <w:jc w:val="both"/>
        <w:rPr>
          <w:rFonts w:cs="Times New Roman"/>
        </w:rPr>
      </w:pPr>
      <w:r w:rsidRPr="001D2947">
        <w:rPr>
          <w:rFonts w:cs="Times New Roman"/>
        </w:rPr>
        <w:tab/>
      </w:r>
      <w:r w:rsidR="00C13A2B" w:rsidRPr="001D2947">
        <w:rPr>
          <w:rFonts w:cs="Times New Roman"/>
        </w:rPr>
        <w:t xml:space="preserve">La sélection des domaines a également été un sujet de tension. </w:t>
      </w:r>
      <w:r w:rsidR="00C13A2B" w:rsidRPr="001D2947">
        <w:rPr>
          <w:rFonts w:cs="Times New Roman"/>
          <w:i/>
        </w:rPr>
        <w:t>De facto</w:t>
      </w:r>
      <w:r w:rsidR="00C13A2B" w:rsidRPr="001D2947">
        <w:rPr>
          <w:rFonts w:cs="Times New Roman"/>
        </w:rPr>
        <w:t>, les domaines retenus par le Gouvernement sont les cinq premiers du classement défini par l’étude</w:t>
      </w:r>
      <w:r w:rsidR="00C13A2B" w:rsidRPr="001D2947">
        <w:rPr>
          <w:rStyle w:val="Appelnotedebasdep"/>
          <w:rFonts w:cs="Times New Roman"/>
        </w:rPr>
        <w:footnoteReference w:id="6"/>
      </w:r>
      <w:r w:rsidR="00C13A2B" w:rsidRPr="001D2947">
        <w:rPr>
          <w:rFonts w:cs="Times New Roman"/>
        </w:rPr>
        <w:t xml:space="preserve">. </w:t>
      </w:r>
      <w:r w:rsidR="00A2315C" w:rsidRPr="001D2947">
        <w:rPr>
          <w:rFonts w:cs="Times New Roman"/>
        </w:rPr>
        <w:t>En réaction</w:t>
      </w:r>
      <w:r w:rsidR="00C13A2B" w:rsidRPr="001D2947">
        <w:rPr>
          <w:rFonts w:cs="Times New Roman"/>
        </w:rPr>
        <w:t xml:space="preserve"> à cette proposition, d’autres acteurs ont essayé de faire </w:t>
      </w:r>
      <w:r w:rsidR="007C423A" w:rsidRPr="001D2947">
        <w:rPr>
          <w:rFonts w:cs="Times New Roman"/>
        </w:rPr>
        <w:t>émerger</w:t>
      </w:r>
      <w:r w:rsidR="00C13A2B" w:rsidRPr="001D2947">
        <w:rPr>
          <w:rFonts w:cs="Times New Roman"/>
        </w:rPr>
        <w:t xml:space="preserve"> </w:t>
      </w:r>
      <w:r w:rsidRPr="001D2947">
        <w:rPr>
          <w:rFonts w:cs="Times New Roman"/>
        </w:rPr>
        <w:t xml:space="preserve">des </w:t>
      </w:r>
      <w:r w:rsidR="00C13A2B" w:rsidRPr="001D2947">
        <w:rPr>
          <w:rFonts w:cs="Times New Roman"/>
        </w:rPr>
        <w:t>domaines</w:t>
      </w:r>
      <w:r w:rsidR="00A2315C" w:rsidRPr="001D2947">
        <w:rPr>
          <w:rFonts w:cs="Times New Roman"/>
        </w:rPr>
        <w:t xml:space="preserve"> alternatifs</w:t>
      </w:r>
      <w:r w:rsidR="00C13A2B" w:rsidRPr="001D2947">
        <w:rPr>
          <w:rFonts w:cs="Times New Roman"/>
        </w:rPr>
        <w:t xml:space="preserve">. Toutefois, la capacité d’innovation </w:t>
      </w:r>
      <w:r w:rsidRPr="001D2947">
        <w:rPr>
          <w:rFonts w:cs="Times New Roman"/>
        </w:rPr>
        <w:t xml:space="preserve">endogène </w:t>
      </w:r>
      <w:r w:rsidR="00C13A2B" w:rsidRPr="001D2947">
        <w:rPr>
          <w:rFonts w:cs="Times New Roman"/>
        </w:rPr>
        <w:t xml:space="preserve">a été </w:t>
      </w:r>
      <w:r w:rsidRPr="001D2947">
        <w:rPr>
          <w:rFonts w:cs="Times New Roman"/>
        </w:rPr>
        <w:t>l’</w:t>
      </w:r>
      <w:r w:rsidR="00C13A2B" w:rsidRPr="001D2947">
        <w:rPr>
          <w:rFonts w:cs="Times New Roman"/>
        </w:rPr>
        <w:t xml:space="preserve">un des </w:t>
      </w:r>
      <w:r w:rsidR="00A2315C" w:rsidRPr="001D2947">
        <w:rPr>
          <w:rFonts w:cs="Times New Roman"/>
        </w:rPr>
        <w:t xml:space="preserve">arguments </w:t>
      </w:r>
      <w:r w:rsidRPr="001D2947">
        <w:rPr>
          <w:rFonts w:cs="Times New Roman"/>
        </w:rPr>
        <w:t>justifiant la sélection d</w:t>
      </w:r>
      <w:r w:rsidR="00C13A2B" w:rsidRPr="001D2947">
        <w:rPr>
          <w:rFonts w:cs="Times New Roman"/>
        </w:rPr>
        <w:t xml:space="preserve">es domaines technologiques </w:t>
      </w:r>
      <w:r w:rsidR="002359DE" w:rsidRPr="001D2947">
        <w:rPr>
          <w:rFonts w:cs="Times New Roman"/>
        </w:rPr>
        <w:t>(Entretien Conseiller</w:t>
      </w:r>
      <w:r w:rsidR="00C13A2B" w:rsidRPr="001D2947">
        <w:rPr>
          <w:rFonts w:cs="Times New Roman"/>
        </w:rPr>
        <w:t>, 2015)</w:t>
      </w:r>
      <w:r w:rsidR="00A2315C" w:rsidRPr="001D2947">
        <w:rPr>
          <w:rFonts w:cs="Times New Roman"/>
        </w:rPr>
        <w:t>.</w:t>
      </w:r>
    </w:p>
    <w:p w:rsidR="00C13A2B" w:rsidRPr="001D2947" w:rsidRDefault="00C13A2B" w:rsidP="001D2947">
      <w:pPr>
        <w:pStyle w:val="Titre4"/>
        <w:numPr>
          <w:ilvl w:val="2"/>
          <w:numId w:val="15"/>
        </w:numPr>
        <w:spacing w:line="360" w:lineRule="auto"/>
        <w:rPr>
          <w:rFonts w:asciiTheme="minorHAnsi" w:hAnsiTheme="minorHAnsi" w:cs="Times New Roman"/>
        </w:rPr>
      </w:pPr>
      <w:r w:rsidRPr="001D2947">
        <w:rPr>
          <w:rFonts w:asciiTheme="minorHAnsi" w:hAnsiTheme="minorHAnsi" w:cs="Times New Roman"/>
        </w:rPr>
        <w:t>L’élaboration des propositions de pôles de compétitivité</w:t>
      </w:r>
    </w:p>
    <w:p w:rsidR="00A56CC5" w:rsidRPr="001D2947" w:rsidRDefault="00C13A2B" w:rsidP="001D2947">
      <w:pPr>
        <w:spacing w:line="360" w:lineRule="auto"/>
        <w:jc w:val="both"/>
        <w:rPr>
          <w:rFonts w:cs="Times New Roman"/>
        </w:rPr>
      </w:pPr>
      <w:r w:rsidRPr="001D2947">
        <w:rPr>
          <w:rFonts w:cs="Times New Roman"/>
        </w:rPr>
        <w:tab/>
      </w:r>
      <w:r w:rsidR="00A2315C" w:rsidRPr="001D2947">
        <w:rPr>
          <w:rFonts w:cs="Times New Roman"/>
        </w:rPr>
        <w:t>En décembre 2005, le Gouv</w:t>
      </w:r>
      <w:r w:rsidR="00A56CC5" w:rsidRPr="001D2947">
        <w:rPr>
          <w:rFonts w:cs="Times New Roman"/>
        </w:rPr>
        <w:t>ernement wallon lance un appel pour</w:t>
      </w:r>
      <w:r w:rsidR="00A2315C" w:rsidRPr="001D2947">
        <w:rPr>
          <w:rFonts w:cs="Times New Roman"/>
        </w:rPr>
        <w:t xml:space="preserve"> constituer </w:t>
      </w:r>
      <w:r w:rsidR="00A56CC5" w:rsidRPr="001D2947">
        <w:rPr>
          <w:rFonts w:cs="Times New Roman"/>
        </w:rPr>
        <w:t>l</w:t>
      </w:r>
      <w:r w:rsidR="00A2315C" w:rsidRPr="001D2947">
        <w:rPr>
          <w:rFonts w:cs="Times New Roman"/>
        </w:rPr>
        <w:t>es pôles dans les domaines sélectionnés (Gouvernement wallon, 2005). L’élaboration des projets de pôle</w:t>
      </w:r>
      <w:r w:rsidR="0001503F" w:rsidRPr="001D2947">
        <w:rPr>
          <w:rFonts w:cs="Times New Roman"/>
        </w:rPr>
        <w:t>s</w:t>
      </w:r>
      <w:r w:rsidR="00A2315C" w:rsidRPr="001D2947">
        <w:rPr>
          <w:rFonts w:cs="Times New Roman"/>
        </w:rPr>
        <w:t xml:space="preserve"> a mobilisé les fédérations des entreprises et l’U</w:t>
      </w:r>
      <w:r w:rsidR="00A56CC5" w:rsidRPr="001D2947">
        <w:rPr>
          <w:rFonts w:cs="Times New Roman"/>
        </w:rPr>
        <w:t>nion wallonne des entreprises</w:t>
      </w:r>
      <w:r w:rsidR="00A2315C" w:rsidRPr="001D2947">
        <w:rPr>
          <w:rFonts w:cs="Times New Roman"/>
        </w:rPr>
        <w:t xml:space="preserve">. Les acteurs industriels se sont employés à construire des </w:t>
      </w:r>
      <w:r w:rsidR="00A2315C" w:rsidRPr="001D2947">
        <w:rPr>
          <w:rFonts w:cs="Times New Roman"/>
          <w:i/>
        </w:rPr>
        <w:t>consortiums</w:t>
      </w:r>
      <w:r w:rsidR="00A2315C" w:rsidRPr="001D2947">
        <w:rPr>
          <w:rFonts w:cs="Times New Roman"/>
        </w:rPr>
        <w:t xml:space="preserve"> tandis que les universitaires ont été incités à mettre sur pied des synergies de recherche.  Ces deux processus s’expliquent par la volonté politique de ne voir émerger qu’un seul projet de pôle par domaine technologique. </w:t>
      </w:r>
    </w:p>
    <w:p w:rsidR="00C13A2B" w:rsidRPr="001D2947" w:rsidRDefault="00A56CC5" w:rsidP="001D2947">
      <w:pPr>
        <w:spacing w:line="360" w:lineRule="auto"/>
        <w:jc w:val="both"/>
        <w:rPr>
          <w:rFonts w:cs="Times New Roman"/>
        </w:rPr>
      </w:pPr>
      <w:r w:rsidRPr="001D2947">
        <w:rPr>
          <w:rFonts w:cs="Times New Roman"/>
        </w:rPr>
        <w:tab/>
        <w:t xml:space="preserve">Chaque projet </w:t>
      </w:r>
      <w:r w:rsidR="00A2315C" w:rsidRPr="001D2947">
        <w:rPr>
          <w:rFonts w:cs="Times New Roman"/>
        </w:rPr>
        <w:t>est calqué sur un « cahier des charges » établi au préalable. Ce dernier es</w:t>
      </w:r>
      <w:r w:rsidRPr="001D2947">
        <w:rPr>
          <w:rFonts w:cs="Times New Roman"/>
        </w:rPr>
        <w:t>quisse les traits majeurs des pôles</w:t>
      </w:r>
      <w:r w:rsidR="00A2315C" w:rsidRPr="001D2947">
        <w:rPr>
          <w:rFonts w:cs="Times New Roman"/>
        </w:rPr>
        <w:t xml:space="preserve"> en </w:t>
      </w:r>
      <w:r w:rsidRPr="001D2947">
        <w:rPr>
          <w:rFonts w:cs="Times New Roman"/>
        </w:rPr>
        <w:t>Wallonie</w:t>
      </w:r>
      <w:r w:rsidR="00A2315C" w:rsidRPr="001D2947">
        <w:rPr>
          <w:rFonts w:cs="Times New Roman"/>
        </w:rPr>
        <w:t>, à savoir : (a) un partenariat entre des entreprises, des centres de recherche et des unités de formation qui élaborent des projets commun</w:t>
      </w:r>
      <w:r w:rsidRPr="001D2947">
        <w:rPr>
          <w:rFonts w:cs="Times New Roman"/>
        </w:rPr>
        <w:t>s</w:t>
      </w:r>
      <w:r w:rsidR="00A2315C" w:rsidRPr="001D2947">
        <w:rPr>
          <w:rFonts w:cs="Times New Roman"/>
        </w:rPr>
        <w:t xml:space="preserve"> à caractère innovant sur le territoire wallon ; (b) le secteur industriel joue le rôle de force motrice tand</w:t>
      </w:r>
      <w:r w:rsidRPr="001D2947">
        <w:rPr>
          <w:rFonts w:cs="Times New Roman"/>
        </w:rPr>
        <w:t>is que le secteur public lance l</w:t>
      </w:r>
      <w:r w:rsidR="00A2315C" w:rsidRPr="001D2947">
        <w:rPr>
          <w:rFonts w:cs="Times New Roman"/>
        </w:rPr>
        <w:t>es impulsions</w:t>
      </w:r>
      <w:r w:rsidR="00A2315C" w:rsidRPr="001D2947">
        <w:rPr>
          <w:rStyle w:val="Appelnotedebasdep"/>
          <w:rFonts w:cs="Times New Roman"/>
        </w:rPr>
        <w:footnoteReference w:id="7"/>
      </w:r>
      <w:r w:rsidR="00A2315C" w:rsidRPr="001D2947">
        <w:rPr>
          <w:rFonts w:cs="Times New Roman"/>
        </w:rPr>
        <w:t>; (c) dans les cinq domaines technologiques sélectionnés, chacun</w:t>
      </w:r>
      <w:r w:rsidRPr="001D2947">
        <w:rPr>
          <w:rFonts w:cs="Times New Roman"/>
        </w:rPr>
        <w:t>e</w:t>
      </w:r>
      <w:r w:rsidR="00A2315C" w:rsidRPr="001D2947">
        <w:rPr>
          <w:rFonts w:cs="Times New Roman"/>
        </w:rPr>
        <w:t xml:space="preserve"> </w:t>
      </w:r>
      <w:r w:rsidR="00A2315C" w:rsidRPr="001D2947">
        <w:rPr>
          <w:rFonts w:cs="Times New Roman"/>
        </w:rPr>
        <w:lastRenderedPageBreak/>
        <w:t>des propositions de</w:t>
      </w:r>
      <w:r w:rsidRPr="001D2947">
        <w:rPr>
          <w:rFonts w:cs="Times New Roman"/>
        </w:rPr>
        <w:t xml:space="preserve"> pôles doit identifier des axes</w:t>
      </w:r>
      <w:r w:rsidR="00A2315C" w:rsidRPr="001D2947">
        <w:rPr>
          <w:rFonts w:cs="Times New Roman"/>
        </w:rPr>
        <w:t xml:space="preserve"> de développement ayant des possibilité</w:t>
      </w:r>
      <w:r w:rsidRPr="001D2947">
        <w:rPr>
          <w:rFonts w:cs="Times New Roman"/>
        </w:rPr>
        <w:t>s</w:t>
      </w:r>
      <w:r w:rsidR="00A2315C" w:rsidRPr="001D2947">
        <w:rPr>
          <w:rFonts w:cs="Times New Roman"/>
        </w:rPr>
        <w:t xml:space="preserve"> </w:t>
      </w:r>
      <w:r w:rsidRPr="001D2947">
        <w:rPr>
          <w:rFonts w:cs="Times New Roman"/>
        </w:rPr>
        <w:t xml:space="preserve">à </w:t>
      </w:r>
      <w:r w:rsidR="00A2315C" w:rsidRPr="001D2947">
        <w:rPr>
          <w:rFonts w:cs="Times New Roman"/>
        </w:rPr>
        <w:t>moyen/long terme, un marché et un champ scientifique ; (d) c</w:t>
      </w:r>
      <w:r w:rsidRPr="001D2947">
        <w:rPr>
          <w:rFonts w:cs="Times New Roman"/>
        </w:rPr>
        <w:t>haque proposition de pôle liste ses objectifs et justifie</w:t>
      </w:r>
      <w:r w:rsidR="00A2315C" w:rsidRPr="001D2947">
        <w:rPr>
          <w:rFonts w:cs="Times New Roman"/>
        </w:rPr>
        <w:t xml:space="preserve"> le développement d’activités économiques en </w:t>
      </w:r>
      <w:r w:rsidRPr="001D2947">
        <w:rPr>
          <w:rFonts w:cs="Times New Roman"/>
        </w:rPr>
        <w:t>Wallonie</w:t>
      </w:r>
      <w:r w:rsidR="00A2315C" w:rsidRPr="001D2947">
        <w:rPr>
          <w:rFonts w:cs="Times New Roman"/>
        </w:rPr>
        <w:t> ; (e) le pôle doit atteindre une masse critique suffisante au niveau régional; (d) le partenariat doit être représentatif du tissu économique wallon ; (e) le projet de pôle doit intégrer un processus d’</w:t>
      </w:r>
      <w:r w:rsidRPr="001D2947">
        <w:rPr>
          <w:rFonts w:cs="Times New Roman"/>
        </w:rPr>
        <w:t>internationalisation et n’exclut pas</w:t>
      </w:r>
      <w:r w:rsidR="00A2315C" w:rsidRPr="001D2947">
        <w:rPr>
          <w:rFonts w:cs="Times New Roman"/>
        </w:rPr>
        <w:t xml:space="preserve"> la participation d’acteurs privés ou publics d’autres régions belges ; (f) les pôles ne doivent pas êtr</w:t>
      </w:r>
      <w:r w:rsidRPr="001D2947">
        <w:rPr>
          <w:rFonts w:cs="Times New Roman"/>
        </w:rPr>
        <w:t>e figés et doivent proposer un</w:t>
      </w:r>
      <w:r w:rsidR="00A2315C" w:rsidRPr="001D2947">
        <w:rPr>
          <w:rFonts w:cs="Times New Roman"/>
        </w:rPr>
        <w:t> </w:t>
      </w:r>
      <w:r w:rsidR="00A2315C" w:rsidRPr="001D2947">
        <w:rPr>
          <w:rFonts w:cs="Times New Roman"/>
          <w:i/>
        </w:rPr>
        <w:t>business plan</w:t>
      </w:r>
      <w:r w:rsidRPr="001D2947">
        <w:rPr>
          <w:rFonts w:cs="Times New Roman"/>
        </w:rPr>
        <w:t xml:space="preserve"> constitué</w:t>
      </w:r>
      <w:r w:rsidR="00A2315C" w:rsidRPr="001D2947">
        <w:rPr>
          <w:rFonts w:cs="Times New Roman"/>
        </w:rPr>
        <w:t xml:space="preserve"> d’une stratégie de développement, des partenaires impliqués ainsi que des projets de collaboration concrets (</w:t>
      </w:r>
      <w:r w:rsidRPr="001D2947">
        <w:rPr>
          <w:rFonts w:cs="Times New Roman"/>
        </w:rPr>
        <w:t>Gouvernement wallon</w:t>
      </w:r>
      <w:r w:rsidR="00A2315C" w:rsidRPr="001D2947">
        <w:rPr>
          <w:rFonts w:cs="Times New Roman"/>
        </w:rPr>
        <w:t>, 2005 b, pp. 2-4).</w:t>
      </w:r>
    </w:p>
    <w:p w:rsidR="00C13A2B" w:rsidRPr="001D2947" w:rsidRDefault="00C13A2B" w:rsidP="001D2947">
      <w:pPr>
        <w:pStyle w:val="Titre4"/>
        <w:numPr>
          <w:ilvl w:val="2"/>
          <w:numId w:val="15"/>
        </w:numPr>
        <w:spacing w:line="360" w:lineRule="auto"/>
        <w:jc w:val="both"/>
        <w:rPr>
          <w:rFonts w:asciiTheme="minorHAnsi" w:hAnsiTheme="minorHAnsi" w:cs="Times New Roman"/>
        </w:rPr>
      </w:pPr>
      <w:r w:rsidRPr="001D2947">
        <w:rPr>
          <w:rFonts w:asciiTheme="minorHAnsi" w:hAnsiTheme="minorHAnsi" w:cs="Times New Roman"/>
        </w:rPr>
        <w:t>L’examen des proposition</w:t>
      </w:r>
      <w:r w:rsidR="00A56CC5" w:rsidRPr="001D2947">
        <w:rPr>
          <w:rFonts w:asciiTheme="minorHAnsi" w:hAnsiTheme="minorHAnsi" w:cs="Times New Roman"/>
        </w:rPr>
        <w:t>s</w:t>
      </w:r>
      <w:r w:rsidRPr="001D2947">
        <w:rPr>
          <w:rFonts w:asciiTheme="minorHAnsi" w:hAnsiTheme="minorHAnsi" w:cs="Times New Roman"/>
        </w:rPr>
        <w:t xml:space="preserve"> de pôle</w:t>
      </w:r>
      <w:r w:rsidR="00422AC0" w:rsidRPr="001D2947">
        <w:rPr>
          <w:rFonts w:asciiTheme="minorHAnsi" w:hAnsiTheme="minorHAnsi" w:cs="Times New Roman"/>
        </w:rPr>
        <w:t>s</w:t>
      </w:r>
      <w:r w:rsidRPr="001D2947">
        <w:rPr>
          <w:rFonts w:asciiTheme="minorHAnsi" w:hAnsiTheme="minorHAnsi" w:cs="Times New Roman"/>
        </w:rPr>
        <w:t xml:space="preserve"> de compétitivité par un jury international</w:t>
      </w:r>
    </w:p>
    <w:p w:rsidR="00C52302" w:rsidRPr="001D2947" w:rsidRDefault="00C13A2B" w:rsidP="001D2947">
      <w:pPr>
        <w:spacing w:line="360" w:lineRule="auto"/>
        <w:jc w:val="both"/>
        <w:rPr>
          <w:rFonts w:cs="Times New Roman"/>
        </w:rPr>
      </w:pPr>
      <w:r w:rsidRPr="001D2947">
        <w:rPr>
          <w:rFonts w:cs="Times New Roman"/>
        </w:rPr>
        <w:tab/>
      </w:r>
      <w:r w:rsidR="00C52302" w:rsidRPr="001D2947">
        <w:rPr>
          <w:rFonts w:cs="Times New Roman"/>
        </w:rPr>
        <w:t>En mai 2005, les propositions de pôles de compétitivité ont été examinées par un jury international. Ce dernier a pour fonction de rendre un avis sur la base duquel le Gouvernement wallon décide de labelliser ou non les pôles de compétitivité (Gouvernement wallon, 2005 b, p.6). Dans le processus de labellisation</w:t>
      </w:r>
      <w:r w:rsidR="00C52302" w:rsidRPr="001D2947">
        <w:rPr>
          <w:rStyle w:val="Appelnotedebasdep"/>
          <w:rFonts w:cs="Times New Roman"/>
        </w:rPr>
        <w:footnoteReference w:id="8"/>
      </w:r>
      <w:r w:rsidR="00C52302" w:rsidRPr="001D2947">
        <w:rPr>
          <w:rFonts w:cs="Times New Roman"/>
        </w:rPr>
        <w:t xml:space="preserve">, c’est le jury international qui joue le rôle de l’examinateur et non l’administration régionale. </w:t>
      </w:r>
    </w:p>
    <w:p w:rsidR="00991EAC" w:rsidRPr="001D2947" w:rsidRDefault="00C52302" w:rsidP="001D2947">
      <w:pPr>
        <w:spacing w:line="360" w:lineRule="auto"/>
        <w:jc w:val="both"/>
        <w:rPr>
          <w:rFonts w:cs="Times New Roman"/>
        </w:rPr>
      </w:pPr>
      <w:r w:rsidRPr="001D2947">
        <w:rPr>
          <w:rFonts w:cs="Times New Roman"/>
        </w:rPr>
        <w:tab/>
        <w:t xml:space="preserve">La liste des membres du jury international a été approuvée par le Gouvernement sur la base des recommandations formulées par le Ministre de l’Économie. Ce dernier a été assisté par un consultant pour l’élaboration du jury international (Gouvernement wallon, 2005 a, p.14). Des </w:t>
      </w:r>
      <w:r w:rsidR="00991EAC" w:rsidRPr="001D2947">
        <w:rPr>
          <w:rFonts w:cs="Times New Roman"/>
        </w:rPr>
        <w:t>académiques</w:t>
      </w:r>
      <w:r w:rsidRPr="001D2947">
        <w:rPr>
          <w:rFonts w:cs="Times New Roman"/>
        </w:rPr>
        <w:t xml:space="preserve"> spécialisés en politique régionale siègent </w:t>
      </w:r>
      <w:r w:rsidR="00A12A58" w:rsidRPr="001D2947">
        <w:rPr>
          <w:rFonts w:cs="Times New Roman"/>
        </w:rPr>
        <w:t xml:space="preserve">avec des </w:t>
      </w:r>
      <w:r w:rsidRPr="001D2947">
        <w:rPr>
          <w:rFonts w:cs="Times New Roman"/>
        </w:rPr>
        <w:t>industriels spécialisés dans les domaines technologiques, d</w:t>
      </w:r>
      <w:r w:rsidR="00A12A58" w:rsidRPr="001D2947">
        <w:rPr>
          <w:rFonts w:cs="Times New Roman"/>
        </w:rPr>
        <w:t xml:space="preserve">es </w:t>
      </w:r>
      <w:r w:rsidRPr="001D2947">
        <w:rPr>
          <w:rFonts w:cs="Times New Roman"/>
        </w:rPr>
        <w:t>experts étrangers soit spécialisés dans les domain</w:t>
      </w:r>
      <w:r w:rsidR="00991EAC" w:rsidRPr="001D2947">
        <w:rPr>
          <w:rFonts w:cs="Times New Roman"/>
        </w:rPr>
        <w:t>es</w:t>
      </w:r>
      <w:r w:rsidR="00893EEE" w:rsidRPr="001D2947">
        <w:rPr>
          <w:rFonts w:cs="Times New Roman"/>
        </w:rPr>
        <w:t xml:space="preserve"> désignés</w:t>
      </w:r>
      <w:r w:rsidR="00991EAC" w:rsidRPr="001D2947">
        <w:rPr>
          <w:rFonts w:cs="Times New Roman"/>
        </w:rPr>
        <w:t>, soit ayant p</w:t>
      </w:r>
      <w:r w:rsidR="00B7322B" w:rsidRPr="001D2947">
        <w:rPr>
          <w:rFonts w:cs="Times New Roman"/>
        </w:rPr>
        <w:t>articipé</w:t>
      </w:r>
      <w:r w:rsidR="00991EAC" w:rsidRPr="001D2947">
        <w:rPr>
          <w:rFonts w:cs="Times New Roman"/>
        </w:rPr>
        <w:t xml:space="preserve"> à l’expérience des pôles </w:t>
      </w:r>
      <w:r w:rsidRPr="001D2947">
        <w:rPr>
          <w:rFonts w:cs="Times New Roman"/>
        </w:rPr>
        <w:t>en France. À leurs côtés, des membres de l’administrati</w:t>
      </w:r>
      <w:r w:rsidR="00991EAC" w:rsidRPr="001D2947">
        <w:rPr>
          <w:rFonts w:cs="Times New Roman"/>
        </w:rPr>
        <w:t xml:space="preserve">on </w:t>
      </w:r>
      <w:r w:rsidR="00A12A58" w:rsidRPr="001D2947">
        <w:rPr>
          <w:rFonts w:cs="Times New Roman"/>
        </w:rPr>
        <w:t>participent</w:t>
      </w:r>
      <w:r w:rsidRPr="001D2947">
        <w:rPr>
          <w:rFonts w:cs="Times New Roman"/>
        </w:rPr>
        <w:t xml:space="preserve"> également en tant qu’observateur</w:t>
      </w:r>
      <w:r w:rsidR="00B7322B" w:rsidRPr="001D2947">
        <w:rPr>
          <w:rFonts w:cs="Times New Roman"/>
        </w:rPr>
        <w:t>s</w:t>
      </w:r>
      <w:r w:rsidRPr="001D2947">
        <w:rPr>
          <w:rFonts w:cs="Times New Roman"/>
        </w:rPr>
        <w:t xml:space="preserve">. Le support administratif est fourni par un consultant. La composition du jury international fait l’objet d’un renouvellement </w:t>
      </w:r>
      <w:r w:rsidR="00991EAC" w:rsidRPr="001D2947">
        <w:rPr>
          <w:rFonts w:cs="Times New Roman"/>
        </w:rPr>
        <w:t>à</w:t>
      </w:r>
      <w:r w:rsidRPr="001D2947">
        <w:rPr>
          <w:rFonts w:cs="Times New Roman"/>
        </w:rPr>
        <w:t xml:space="preserve"> chaque début de législature. </w:t>
      </w:r>
    </w:p>
    <w:p w:rsidR="00C52302" w:rsidRPr="001D2947" w:rsidRDefault="00991EAC" w:rsidP="001D2947">
      <w:pPr>
        <w:spacing w:line="360" w:lineRule="auto"/>
        <w:jc w:val="both"/>
        <w:rPr>
          <w:rFonts w:cs="Times New Roman"/>
        </w:rPr>
      </w:pPr>
      <w:r w:rsidRPr="001D2947">
        <w:rPr>
          <w:rFonts w:cs="Times New Roman"/>
        </w:rPr>
        <w:tab/>
      </w:r>
      <w:r w:rsidR="00C52302" w:rsidRPr="001D2947">
        <w:rPr>
          <w:rFonts w:cs="Times New Roman"/>
        </w:rPr>
        <w:t xml:space="preserve">Le Président du jury est un industriel flamand </w:t>
      </w:r>
      <w:r w:rsidR="00A12A58" w:rsidRPr="001D2947">
        <w:rPr>
          <w:rFonts w:cs="Times New Roman"/>
        </w:rPr>
        <w:t>ayant</w:t>
      </w:r>
      <w:r w:rsidR="00C52302" w:rsidRPr="001D2947">
        <w:rPr>
          <w:rFonts w:cs="Times New Roman"/>
        </w:rPr>
        <w:t xml:space="preserve"> dirigé la Fédération des entreprises belges (FEB). Présidant le jury depuis 2005, il a balisé la fonction des jurés et organisé les procédures internes. Par ailleurs, il entretient les relations entre le jury et les sphères politique et industrielle.</w:t>
      </w:r>
    </w:p>
    <w:p w:rsidR="00C52302" w:rsidRPr="001D2947" w:rsidRDefault="00C52302" w:rsidP="001D2947">
      <w:pPr>
        <w:spacing w:line="360" w:lineRule="auto"/>
        <w:jc w:val="both"/>
        <w:rPr>
          <w:rFonts w:cs="Times New Roman"/>
        </w:rPr>
      </w:pPr>
      <w:r w:rsidRPr="001D2947">
        <w:rPr>
          <w:rFonts w:cs="Times New Roman"/>
        </w:rPr>
        <w:tab/>
        <w:t xml:space="preserve">La figure ci-dessous schématise l’ensemble de la procédure de sélection des pôles de compétitivité  wallons réalisée en 2006. </w:t>
      </w:r>
    </w:p>
    <w:p w:rsidR="00C13A2B" w:rsidRPr="001D2947" w:rsidRDefault="00991EAC" w:rsidP="00515A28">
      <w:pPr>
        <w:spacing w:line="360" w:lineRule="auto"/>
        <w:rPr>
          <w:rFonts w:cs="Times New Roman"/>
          <w:b/>
        </w:rPr>
      </w:pPr>
      <w:r w:rsidRPr="001D2947">
        <w:rPr>
          <w:rFonts w:cs="Times New Roman"/>
          <w:b/>
        </w:rPr>
        <w:lastRenderedPageBreak/>
        <w:br w:type="page"/>
      </w:r>
      <w:r w:rsidR="00C13A2B" w:rsidRPr="001D2947">
        <w:rPr>
          <w:rFonts w:cs="Times New Roman"/>
          <w:b/>
        </w:rPr>
        <w:lastRenderedPageBreak/>
        <w:t>Figure 1 : La sélection des propositions de pôles et des projets concrets (Source : Pôle de compétitivité, 2005, p.6)</w:t>
      </w:r>
    </w:p>
    <w:p w:rsidR="00C13A2B" w:rsidRPr="001D2947" w:rsidRDefault="00C13A2B" w:rsidP="001D2947">
      <w:pPr>
        <w:spacing w:line="360" w:lineRule="auto"/>
        <w:jc w:val="center"/>
        <w:rPr>
          <w:rFonts w:cs="Times New Roman"/>
          <w:color w:val="00B050"/>
        </w:rPr>
      </w:pPr>
      <w:r w:rsidRPr="001D2947">
        <w:rPr>
          <w:rFonts w:cs="Times New Roman"/>
          <w:noProof/>
          <w:lang w:eastAsia="fr-BE"/>
        </w:rPr>
        <w:drawing>
          <wp:inline distT="0" distB="0" distL="0" distR="0" wp14:anchorId="787DD964" wp14:editId="0F09C7B8">
            <wp:extent cx="5383033" cy="3646109"/>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386750" cy="3648627"/>
                    </a:xfrm>
                    <a:prstGeom prst="rect">
                      <a:avLst/>
                    </a:prstGeom>
                  </pic:spPr>
                </pic:pic>
              </a:graphicData>
            </a:graphic>
          </wp:inline>
        </w:drawing>
      </w:r>
    </w:p>
    <w:p w:rsidR="00C13A2B" w:rsidRPr="001D2947" w:rsidRDefault="00C13A2B" w:rsidP="001D2947">
      <w:pPr>
        <w:pStyle w:val="Titre3"/>
        <w:numPr>
          <w:ilvl w:val="1"/>
          <w:numId w:val="15"/>
        </w:numPr>
        <w:spacing w:line="360" w:lineRule="auto"/>
        <w:jc w:val="both"/>
        <w:rPr>
          <w:rFonts w:asciiTheme="minorHAnsi" w:hAnsiTheme="minorHAnsi" w:cs="Times New Roman"/>
        </w:rPr>
      </w:pPr>
      <w:r w:rsidRPr="001D2947">
        <w:rPr>
          <w:rFonts w:asciiTheme="minorHAnsi" w:hAnsiTheme="minorHAnsi" w:cs="Times New Roman"/>
        </w:rPr>
        <w:t xml:space="preserve">Le </w:t>
      </w:r>
      <w:r w:rsidR="00991EAC" w:rsidRPr="001D2947">
        <w:rPr>
          <w:rFonts w:asciiTheme="minorHAnsi" w:hAnsiTheme="minorHAnsi" w:cs="Times New Roman"/>
        </w:rPr>
        <w:t>fonctionnement des pôles de compétitivité wallon</w:t>
      </w:r>
      <w:r w:rsidR="00A94868" w:rsidRPr="001D2947">
        <w:rPr>
          <w:rFonts w:asciiTheme="minorHAnsi" w:hAnsiTheme="minorHAnsi" w:cs="Times New Roman"/>
        </w:rPr>
        <w:t>s</w:t>
      </w:r>
      <w:r w:rsidR="00991EAC" w:rsidRPr="001D2947">
        <w:rPr>
          <w:rFonts w:asciiTheme="minorHAnsi" w:hAnsiTheme="minorHAnsi" w:cs="Times New Roman"/>
        </w:rPr>
        <w:t xml:space="preserve"> et le système de</w:t>
      </w:r>
      <w:r w:rsidRPr="001D2947">
        <w:rPr>
          <w:rFonts w:asciiTheme="minorHAnsi" w:hAnsiTheme="minorHAnsi" w:cs="Times New Roman"/>
        </w:rPr>
        <w:t xml:space="preserve"> gouvernance </w:t>
      </w:r>
    </w:p>
    <w:p w:rsidR="00C13A2B" w:rsidRPr="001D2947" w:rsidRDefault="00C13A2B" w:rsidP="001D2947">
      <w:pPr>
        <w:spacing w:line="360" w:lineRule="auto"/>
        <w:jc w:val="both"/>
        <w:rPr>
          <w:rFonts w:cs="Times New Roman"/>
        </w:rPr>
      </w:pPr>
      <w:r w:rsidRPr="001D2947">
        <w:rPr>
          <w:rFonts w:cs="Times New Roman"/>
        </w:rPr>
        <w:tab/>
        <w:t>Dans cette section, nous décrivons le fonctionnement des appels à projet</w:t>
      </w:r>
      <w:r w:rsidR="001551B3" w:rsidRPr="001D2947">
        <w:rPr>
          <w:rFonts w:cs="Times New Roman"/>
        </w:rPr>
        <w:t>s</w:t>
      </w:r>
      <w:r w:rsidRPr="001D2947">
        <w:rPr>
          <w:rFonts w:cs="Times New Roman"/>
        </w:rPr>
        <w:t>, la structure organisationnelle des pôles et l</w:t>
      </w:r>
      <w:r w:rsidR="00991EAC" w:rsidRPr="001D2947">
        <w:rPr>
          <w:rFonts w:cs="Times New Roman"/>
        </w:rPr>
        <w:t>e système de gouvernance</w:t>
      </w:r>
      <w:r w:rsidRPr="001D2947">
        <w:rPr>
          <w:rFonts w:cs="Times New Roman"/>
        </w:rPr>
        <w:t>.</w:t>
      </w:r>
    </w:p>
    <w:p w:rsidR="00C13A2B" w:rsidRPr="001D2947" w:rsidRDefault="00C13A2B" w:rsidP="001D2947">
      <w:pPr>
        <w:pStyle w:val="Titre4"/>
        <w:numPr>
          <w:ilvl w:val="2"/>
          <w:numId w:val="15"/>
        </w:numPr>
        <w:spacing w:line="360" w:lineRule="auto"/>
        <w:jc w:val="both"/>
        <w:rPr>
          <w:rFonts w:asciiTheme="minorHAnsi" w:hAnsiTheme="minorHAnsi" w:cs="Times New Roman"/>
        </w:rPr>
      </w:pPr>
      <w:r w:rsidRPr="001D2947">
        <w:rPr>
          <w:rFonts w:asciiTheme="minorHAnsi" w:hAnsiTheme="minorHAnsi" w:cs="Times New Roman"/>
        </w:rPr>
        <w:t>Le fonctionnement des appels à projet</w:t>
      </w:r>
      <w:r w:rsidR="001551B3" w:rsidRPr="001D2947">
        <w:rPr>
          <w:rFonts w:asciiTheme="minorHAnsi" w:hAnsiTheme="minorHAnsi" w:cs="Times New Roman"/>
        </w:rPr>
        <w:t>s</w:t>
      </w:r>
    </w:p>
    <w:p w:rsidR="00C13A2B" w:rsidRPr="001D2947" w:rsidRDefault="00C13A2B" w:rsidP="001D2947">
      <w:pPr>
        <w:spacing w:line="360" w:lineRule="auto"/>
        <w:jc w:val="both"/>
        <w:rPr>
          <w:rFonts w:cs="Times New Roman"/>
        </w:rPr>
      </w:pPr>
      <w:r w:rsidRPr="001D2947">
        <w:rPr>
          <w:rFonts w:cs="Times New Roman"/>
        </w:rPr>
        <w:tab/>
        <w:t>Les pouvoirs publics financent les projet</w:t>
      </w:r>
      <w:r w:rsidR="001551B3" w:rsidRPr="001D2947">
        <w:rPr>
          <w:rFonts w:cs="Times New Roman"/>
        </w:rPr>
        <w:t>s</w:t>
      </w:r>
      <w:r w:rsidRPr="001D2947">
        <w:rPr>
          <w:rFonts w:cs="Times New Roman"/>
        </w:rPr>
        <w:t xml:space="preserve"> </w:t>
      </w:r>
      <w:r w:rsidR="005C075C" w:rsidRPr="001D2947">
        <w:rPr>
          <w:rFonts w:cs="Times New Roman"/>
        </w:rPr>
        <w:t>montés</w:t>
      </w:r>
      <w:r w:rsidRPr="001D2947">
        <w:rPr>
          <w:rFonts w:cs="Times New Roman"/>
        </w:rPr>
        <w:t xml:space="preserve"> par les membres des pôles. Pour obtenir ce financement, une procédure en quatre phases a été élaborée : (1) le lancement de l’appel à projet, (2) le montage des projets, (3) l’examen et la labellisation des projets, (4) le conventionnement des projets (Gouvernement wallon, 2013).</w:t>
      </w:r>
    </w:p>
    <w:p w:rsidR="00C13A2B" w:rsidRPr="001D2947" w:rsidRDefault="005C075C" w:rsidP="001D2947">
      <w:pPr>
        <w:spacing w:line="360" w:lineRule="auto"/>
        <w:jc w:val="both"/>
        <w:rPr>
          <w:rFonts w:cs="Times New Roman"/>
        </w:rPr>
      </w:pPr>
      <w:r w:rsidRPr="001D2947">
        <w:rPr>
          <w:rFonts w:cs="Times New Roman"/>
        </w:rPr>
        <w:tab/>
        <w:t>Chaque année, d</w:t>
      </w:r>
      <w:r w:rsidR="00C13A2B" w:rsidRPr="001D2947">
        <w:rPr>
          <w:rFonts w:cs="Times New Roman"/>
        </w:rPr>
        <w:t>urant les mois d’octobre ou de novembre, le Gouvernement wallon lance un appel à projets</w:t>
      </w:r>
      <w:r w:rsidR="00123393">
        <w:rPr>
          <w:rStyle w:val="Appelnotedebasdep"/>
          <w:rFonts w:cs="Times New Roman"/>
        </w:rPr>
        <w:footnoteReference w:id="9"/>
      </w:r>
      <w:r w:rsidR="00C13A2B" w:rsidRPr="001D2947">
        <w:rPr>
          <w:rFonts w:cs="Times New Roman"/>
        </w:rPr>
        <w:t>. En fonction de la nature de l’appel, les cellules opérationnelles des pôles de compétitivité se chargent de stimuler et d’accompagner leurs membres dans le montage d’un projet (Gouvernement wallon, 2013).</w:t>
      </w:r>
    </w:p>
    <w:p w:rsidR="00C13A2B" w:rsidRPr="001D2947" w:rsidRDefault="00C13A2B" w:rsidP="001D2947">
      <w:pPr>
        <w:spacing w:line="360" w:lineRule="auto"/>
        <w:jc w:val="both"/>
        <w:rPr>
          <w:rFonts w:cs="Times New Roman"/>
        </w:rPr>
      </w:pPr>
      <w:r w:rsidRPr="001D2947">
        <w:rPr>
          <w:rFonts w:cs="Times New Roman"/>
        </w:rPr>
        <w:tab/>
        <w:t xml:space="preserve">Le montage du projet débute par une lettre d’intention envoyée par les porteurs du projet à la cellule opérationnelle du pôle. Par la suite, la cellule opérationnelle aide administrativement </w:t>
      </w:r>
      <w:r w:rsidR="0076462F" w:rsidRPr="001D2947">
        <w:rPr>
          <w:rFonts w:cs="Times New Roman"/>
        </w:rPr>
        <w:t xml:space="preserve">les </w:t>
      </w:r>
      <w:r w:rsidR="0076462F" w:rsidRPr="001D2947">
        <w:rPr>
          <w:rFonts w:cs="Times New Roman"/>
        </w:rPr>
        <w:lastRenderedPageBreak/>
        <w:t>membres à remplir</w:t>
      </w:r>
      <w:r w:rsidRPr="001D2947">
        <w:rPr>
          <w:rFonts w:cs="Times New Roman"/>
        </w:rPr>
        <w:t xml:space="preserve"> un </w:t>
      </w:r>
      <w:r w:rsidR="005C075C" w:rsidRPr="001D2947">
        <w:rPr>
          <w:rFonts w:cs="Times New Roman"/>
        </w:rPr>
        <w:t>avant-projet</w:t>
      </w:r>
      <w:r w:rsidRPr="001D2947">
        <w:rPr>
          <w:rFonts w:cs="Times New Roman"/>
        </w:rPr>
        <w:t>. La cellule opérationnelle se charg</w:t>
      </w:r>
      <w:r w:rsidR="005C075C" w:rsidRPr="001D2947">
        <w:rPr>
          <w:rFonts w:cs="Times New Roman"/>
        </w:rPr>
        <w:t>e de transmettre le formulaire à</w:t>
      </w:r>
      <w:r w:rsidRPr="001D2947">
        <w:rPr>
          <w:rFonts w:cs="Times New Roman"/>
        </w:rPr>
        <w:t xml:space="preserve"> </w:t>
      </w:r>
      <w:r w:rsidR="005C075C" w:rsidRPr="001D2947">
        <w:rPr>
          <w:rFonts w:cs="Times New Roman"/>
        </w:rPr>
        <w:t>l’administration</w:t>
      </w:r>
      <w:r w:rsidRPr="001D2947">
        <w:rPr>
          <w:rFonts w:cs="Times New Roman"/>
        </w:rPr>
        <w:t xml:space="preserve">. </w:t>
      </w:r>
      <w:r w:rsidR="005C075C" w:rsidRPr="001D2947">
        <w:rPr>
          <w:rFonts w:cs="Times New Roman"/>
        </w:rPr>
        <w:t>Au</w:t>
      </w:r>
      <w:r w:rsidRPr="001D2947">
        <w:rPr>
          <w:rFonts w:cs="Times New Roman"/>
        </w:rPr>
        <w:t xml:space="preserve"> cours du mois de janvier ou de février, les membres sont appelés à présenter leur avant-projet lors d’une réunion avec la cellule opérationnelle et l’administration. L’objectif de cette réunion est « d’examiner  les chances de recevabilité du projet » (Gouvernement wallon, 2013, p. 19). Enfin, le montage du projet s’achève par une analyse du </w:t>
      </w:r>
      <w:r w:rsidR="00991EAC" w:rsidRPr="001D2947">
        <w:rPr>
          <w:rFonts w:cs="Times New Roman"/>
        </w:rPr>
        <w:t>comité</w:t>
      </w:r>
      <w:r w:rsidRPr="001D2947">
        <w:rPr>
          <w:rFonts w:cs="Times New Roman"/>
        </w:rPr>
        <w:t xml:space="preserve"> de sélection interne </w:t>
      </w:r>
      <w:r w:rsidR="00991EAC" w:rsidRPr="001D2947">
        <w:rPr>
          <w:rFonts w:cs="Times New Roman"/>
        </w:rPr>
        <w:t>propre</w:t>
      </w:r>
      <w:r w:rsidRPr="001D2947">
        <w:rPr>
          <w:rFonts w:cs="Times New Roman"/>
        </w:rPr>
        <w:t xml:space="preserve"> à chaque pôle. Un avis positif du </w:t>
      </w:r>
      <w:r w:rsidR="00991EAC" w:rsidRPr="001D2947">
        <w:rPr>
          <w:rFonts w:cs="Times New Roman"/>
        </w:rPr>
        <w:t>comité</w:t>
      </w:r>
      <w:r w:rsidRPr="001D2947">
        <w:rPr>
          <w:rFonts w:cs="Times New Roman"/>
        </w:rPr>
        <w:t xml:space="preserve"> est obligatoire pour la formalisation et le dépôt du projet à l’administration (Gouvernement wallon, 2013).</w:t>
      </w:r>
    </w:p>
    <w:p w:rsidR="00C13A2B" w:rsidRPr="001D2947" w:rsidRDefault="00C13A2B" w:rsidP="001D2947">
      <w:pPr>
        <w:spacing w:line="360" w:lineRule="auto"/>
        <w:jc w:val="both"/>
        <w:rPr>
          <w:rFonts w:cs="Times New Roman"/>
        </w:rPr>
      </w:pPr>
      <w:r w:rsidRPr="001D2947">
        <w:rPr>
          <w:rFonts w:cs="Times New Roman"/>
        </w:rPr>
        <w:tab/>
        <w:t>Le dépôt du projet à l’administration permet à celle-ci de formuler un avis purement technique</w:t>
      </w:r>
      <w:r w:rsidR="003D36D2">
        <w:rPr>
          <w:rFonts w:cs="Times New Roman"/>
        </w:rPr>
        <w:t xml:space="preserve">. </w:t>
      </w:r>
      <w:r w:rsidRPr="001D2947">
        <w:rPr>
          <w:rFonts w:cs="Times New Roman"/>
        </w:rPr>
        <w:t>Par après, le jury international des pôles est chargé de l’examen de l’ensemble du dossier. L</w:t>
      </w:r>
      <w:r w:rsidR="00991EAC" w:rsidRPr="001D2947">
        <w:rPr>
          <w:rFonts w:cs="Times New Roman"/>
        </w:rPr>
        <w:t>e jury</w:t>
      </w:r>
      <w:r w:rsidRPr="001D2947">
        <w:rPr>
          <w:rFonts w:cs="Times New Roman"/>
        </w:rPr>
        <w:t xml:space="preserve"> focalise son analyse sur la pertinence et l’opportunité dudit projet. Sur la base d’une décision collégiale, </w:t>
      </w:r>
      <w:r w:rsidR="00991EAC" w:rsidRPr="001D2947">
        <w:rPr>
          <w:rFonts w:cs="Times New Roman"/>
        </w:rPr>
        <w:t xml:space="preserve">il </w:t>
      </w:r>
      <w:r w:rsidRPr="001D2947">
        <w:rPr>
          <w:rFonts w:cs="Times New Roman"/>
        </w:rPr>
        <w:t xml:space="preserve">recommande ou non, avec ou sans modification, au Gouvernement de labelliser un projet. En fonction de l’avis du jury international, le Gouvernement prend la décision de financer </w:t>
      </w:r>
      <w:r w:rsidR="0076462F" w:rsidRPr="001D2947">
        <w:rPr>
          <w:rFonts w:cs="Times New Roman"/>
        </w:rPr>
        <w:t xml:space="preserve">ou </w:t>
      </w:r>
      <w:r w:rsidR="00991EAC" w:rsidRPr="001D2947">
        <w:rPr>
          <w:rFonts w:cs="Times New Roman"/>
        </w:rPr>
        <w:t xml:space="preserve">non le projet </w:t>
      </w:r>
      <w:r w:rsidRPr="001D2947">
        <w:rPr>
          <w:rFonts w:cs="Times New Roman"/>
        </w:rPr>
        <w:t>(Gouvernement wallon, 2013).</w:t>
      </w:r>
    </w:p>
    <w:p w:rsidR="00C13A2B" w:rsidRPr="001D2947" w:rsidRDefault="00C13A2B" w:rsidP="001D2947">
      <w:pPr>
        <w:spacing w:line="360" w:lineRule="auto"/>
        <w:jc w:val="both"/>
        <w:rPr>
          <w:rFonts w:cs="Times New Roman"/>
        </w:rPr>
      </w:pPr>
      <w:r w:rsidRPr="001D2947">
        <w:rPr>
          <w:rFonts w:cs="Times New Roman"/>
        </w:rPr>
        <w:tab/>
        <w:t>La labellisation d’un projet pôle se termine par le conventionnement. La phase de conventionnement est assurée par l’administration compétente sur la base des él</w:t>
      </w:r>
      <w:r w:rsidR="00DB25AA" w:rsidRPr="001D2947">
        <w:rPr>
          <w:rFonts w:cs="Times New Roman"/>
        </w:rPr>
        <w:t>éments contenus dans le dossier</w:t>
      </w:r>
      <w:r w:rsidRPr="001D2947">
        <w:rPr>
          <w:rFonts w:cs="Times New Roman"/>
        </w:rPr>
        <w:t xml:space="preserve">. La signature de la convention entre les organisations participantes au projet </w:t>
      </w:r>
      <w:r w:rsidR="00991EAC" w:rsidRPr="001D2947">
        <w:rPr>
          <w:rFonts w:cs="Times New Roman"/>
        </w:rPr>
        <w:t>labellisé</w:t>
      </w:r>
      <w:r w:rsidRPr="001D2947">
        <w:rPr>
          <w:rFonts w:cs="Times New Roman"/>
        </w:rPr>
        <w:t xml:space="preserve"> et l’administration wallonne est précédée d’un accord de </w:t>
      </w:r>
      <w:r w:rsidRPr="001D2947">
        <w:rPr>
          <w:rFonts w:cs="Times New Roman"/>
          <w:i/>
        </w:rPr>
        <w:t>consortium</w:t>
      </w:r>
      <w:r w:rsidRPr="001D2947">
        <w:rPr>
          <w:rFonts w:cs="Times New Roman"/>
        </w:rPr>
        <w:t xml:space="preserve">. L’accord de </w:t>
      </w:r>
      <w:r w:rsidRPr="001D2947">
        <w:rPr>
          <w:rFonts w:cs="Times New Roman"/>
          <w:i/>
        </w:rPr>
        <w:t>consortium</w:t>
      </w:r>
      <w:r w:rsidRPr="001D2947">
        <w:rPr>
          <w:rFonts w:cs="Times New Roman"/>
        </w:rPr>
        <w:t xml:space="preserve"> règle les questions de propriété intellectuelle et de valorisation économique du produit développé. Le projet débute une f</w:t>
      </w:r>
      <w:r w:rsidR="00991EAC" w:rsidRPr="001D2947">
        <w:rPr>
          <w:rFonts w:cs="Times New Roman"/>
        </w:rPr>
        <w:t>ois la convention signée par l’ensemble des</w:t>
      </w:r>
      <w:r w:rsidRPr="001D2947">
        <w:rPr>
          <w:rFonts w:cs="Times New Roman"/>
        </w:rPr>
        <w:t xml:space="preserve"> partie</w:t>
      </w:r>
      <w:r w:rsidR="00991EAC" w:rsidRPr="001D2947">
        <w:rPr>
          <w:rFonts w:cs="Times New Roman"/>
        </w:rPr>
        <w:t xml:space="preserve">s </w:t>
      </w:r>
      <w:r w:rsidRPr="001D2947">
        <w:rPr>
          <w:rFonts w:cs="Times New Roman"/>
        </w:rPr>
        <w:t>(Gouvernement wallon, 2013).</w:t>
      </w:r>
    </w:p>
    <w:p w:rsidR="00C13A2B" w:rsidRPr="001D2947" w:rsidRDefault="00C13A2B" w:rsidP="001D2947">
      <w:pPr>
        <w:pStyle w:val="Titre4"/>
        <w:numPr>
          <w:ilvl w:val="2"/>
          <w:numId w:val="15"/>
        </w:numPr>
        <w:spacing w:line="360" w:lineRule="auto"/>
        <w:rPr>
          <w:rFonts w:asciiTheme="minorHAnsi" w:hAnsiTheme="minorHAnsi" w:cs="Times New Roman"/>
        </w:rPr>
      </w:pPr>
      <w:r w:rsidRPr="001D2947">
        <w:rPr>
          <w:rFonts w:asciiTheme="minorHAnsi" w:hAnsiTheme="minorHAnsi" w:cs="Times New Roman"/>
        </w:rPr>
        <w:t xml:space="preserve">Le structure des pôles </w:t>
      </w:r>
    </w:p>
    <w:p w:rsidR="00C13A2B" w:rsidRPr="001D2947" w:rsidRDefault="00C13A2B" w:rsidP="001D2947">
      <w:pPr>
        <w:spacing w:line="360" w:lineRule="auto"/>
        <w:jc w:val="both"/>
        <w:rPr>
          <w:rFonts w:cs="Times New Roman"/>
        </w:rPr>
      </w:pPr>
      <w:r w:rsidRPr="001D2947">
        <w:rPr>
          <w:rFonts w:cs="Times New Roman"/>
        </w:rPr>
        <w:tab/>
        <w:t xml:space="preserve">D’un point de vue organisationnel, les pôles de compétitivité wallons </w:t>
      </w:r>
      <w:r w:rsidR="006D1C54" w:rsidRPr="001D2947">
        <w:rPr>
          <w:rFonts w:cs="Times New Roman"/>
        </w:rPr>
        <w:t>se composent de deux organes internes : le c</w:t>
      </w:r>
      <w:r w:rsidRPr="001D2947">
        <w:rPr>
          <w:rFonts w:cs="Times New Roman"/>
        </w:rPr>
        <w:t xml:space="preserve">onseil de gouvernance et la cellule opérationnelle (Bayenet &amp; Wunderle, 2009). </w:t>
      </w:r>
    </w:p>
    <w:p w:rsidR="00C13A2B" w:rsidRPr="003D36D2" w:rsidRDefault="006D1C54" w:rsidP="001D2947">
      <w:pPr>
        <w:spacing w:line="360" w:lineRule="auto"/>
        <w:jc w:val="both"/>
        <w:rPr>
          <w:rFonts w:cs="Times New Roman"/>
        </w:rPr>
      </w:pPr>
      <w:r w:rsidRPr="001D2947">
        <w:rPr>
          <w:rFonts w:cs="Times New Roman"/>
        </w:rPr>
        <w:tab/>
        <w:t>Le c</w:t>
      </w:r>
      <w:r w:rsidR="00C13A2B" w:rsidRPr="001D2947">
        <w:rPr>
          <w:rFonts w:cs="Times New Roman"/>
        </w:rPr>
        <w:t xml:space="preserve">onseil de gouvernance est présidé par un industriel </w:t>
      </w:r>
      <w:r w:rsidR="005C075C" w:rsidRPr="001D2947">
        <w:rPr>
          <w:rFonts w:cs="Times New Roman"/>
        </w:rPr>
        <w:t xml:space="preserve">qui est </w:t>
      </w:r>
      <w:r w:rsidRPr="001D2947">
        <w:rPr>
          <w:rFonts w:cs="Times New Roman"/>
        </w:rPr>
        <w:t>soutenu  par un Vice-président</w:t>
      </w:r>
      <w:r w:rsidR="00C13A2B" w:rsidRPr="001D2947">
        <w:rPr>
          <w:rFonts w:cs="Times New Roman"/>
        </w:rPr>
        <w:t xml:space="preserve"> </w:t>
      </w:r>
      <w:r w:rsidR="005C075C" w:rsidRPr="001D2947">
        <w:rPr>
          <w:rFonts w:cs="Times New Roman"/>
        </w:rPr>
        <w:t>issu</w:t>
      </w:r>
      <w:r w:rsidR="00C13A2B" w:rsidRPr="001D2947">
        <w:rPr>
          <w:rFonts w:cs="Times New Roman"/>
        </w:rPr>
        <w:t xml:space="preserve"> du monde académique. Les décideurs politiques envoient deux représentants et d</w:t>
      </w:r>
      <w:r w:rsidRPr="001D2947">
        <w:rPr>
          <w:rFonts w:cs="Times New Roman"/>
        </w:rPr>
        <w:t>emandent que la composition du c</w:t>
      </w:r>
      <w:r w:rsidR="00C13A2B" w:rsidRPr="001D2947">
        <w:rPr>
          <w:rFonts w:cs="Times New Roman"/>
        </w:rPr>
        <w:t>onseil de gouvernance veille à maintenir un équilibre entre les petit</w:t>
      </w:r>
      <w:r w:rsidR="0078621C" w:rsidRPr="001D2947">
        <w:rPr>
          <w:rFonts w:cs="Times New Roman"/>
        </w:rPr>
        <w:t>e</w:t>
      </w:r>
      <w:r w:rsidR="00C13A2B" w:rsidRPr="001D2947">
        <w:rPr>
          <w:rFonts w:cs="Times New Roman"/>
        </w:rPr>
        <w:t>s et moyennes entreprises (PME) et les grandes entreprises (GE) ainsi qu’en</w:t>
      </w:r>
      <w:r w:rsidR="005C075C" w:rsidRPr="001D2947">
        <w:rPr>
          <w:rFonts w:cs="Times New Roman"/>
        </w:rPr>
        <w:t>tre</w:t>
      </w:r>
      <w:r w:rsidR="00C13A2B" w:rsidRPr="001D2947">
        <w:rPr>
          <w:rFonts w:cs="Times New Roman"/>
        </w:rPr>
        <w:t xml:space="preserve"> le monde de la recherche et celui de l’industrie (Bayenet &amp; Wunderle, 2009). </w:t>
      </w:r>
      <w:r w:rsidR="005C075C" w:rsidRPr="001D2947">
        <w:rPr>
          <w:rFonts w:cs="Times New Roman"/>
        </w:rPr>
        <w:t>Le</w:t>
      </w:r>
      <w:r w:rsidRPr="001D2947">
        <w:rPr>
          <w:rFonts w:cs="Times New Roman"/>
        </w:rPr>
        <w:t xml:space="preserve"> c</w:t>
      </w:r>
      <w:r w:rsidR="00C13A2B" w:rsidRPr="001D2947">
        <w:rPr>
          <w:rFonts w:cs="Times New Roman"/>
        </w:rPr>
        <w:t>onseil de go</w:t>
      </w:r>
      <w:r w:rsidRPr="001D2947">
        <w:rPr>
          <w:rFonts w:cs="Times New Roman"/>
        </w:rPr>
        <w:t>uvernance est « responsable de l</w:t>
      </w:r>
      <w:r w:rsidR="00C13A2B" w:rsidRPr="001D2947">
        <w:rPr>
          <w:rFonts w:cs="Times New Roman"/>
        </w:rPr>
        <w:t>a définition du pôle de compétitivité, de la sélection des axes stratégiques de développement, de la première sélection des projets ainsi que de la présentation des projets aux autorités régionales » (Bayenet &amp; Wunderle, 2009, p.20). La cellule opérationnelle</w:t>
      </w:r>
      <w:r w:rsidR="003D36D2">
        <w:rPr>
          <w:rFonts w:cs="Times New Roman"/>
        </w:rPr>
        <w:t>, pour sa part,</w:t>
      </w:r>
      <w:r w:rsidR="00332E00" w:rsidRPr="001D2947">
        <w:rPr>
          <w:rFonts w:cs="Times New Roman"/>
        </w:rPr>
        <w:t xml:space="preserve"> </w:t>
      </w:r>
      <w:r w:rsidR="00C13A2B" w:rsidRPr="001D2947">
        <w:rPr>
          <w:rFonts w:cs="Times New Roman"/>
        </w:rPr>
        <w:t xml:space="preserve">s’attèle à la gestion </w:t>
      </w:r>
      <w:r w:rsidR="00332E00" w:rsidRPr="001D2947">
        <w:rPr>
          <w:rFonts w:cs="Times New Roman"/>
        </w:rPr>
        <w:t>quotidienne, au suivi des projets du</w:t>
      </w:r>
      <w:r w:rsidR="00C13A2B" w:rsidRPr="001D2947">
        <w:rPr>
          <w:rFonts w:cs="Times New Roman"/>
        </w:rPr>
        <w:t xml:space="preserve"> pôle ainsi qu’à la « maintenance » d’une base de donnée</w:t>
      </w:r>
      <w:r w:rsidR="0078621C" w:rsidRPr="001D2947">
        <w:rPr>
          <w:rFonts w:cs="Times New Roman"/>
        </w:rPr>
        <w:t>s</w:t>
      </w:r>
      <w:r w:rsidR="00C13A2B" w:rsidRPr="001D2947">
        <w:rPr>
          <w:rFonts w:cs="Times New Roman"/>
        </w:rPr>
        <w:t xml:space="preserve"> (Bayenet &amp; Wunderle, 2009). </w:t>
      </w:r>
    </w:p>
    <w:p w:rsidR="00C13A2B" w:rsidRPr="001D2947" w:rsidRDefault="00C13A2B" w:rsidP="001D2947">
      <w:pPr>
        <w:pStyle w:val="Titre4"/>
        <w:numPr>
          <w:ilvl w:val="2"/>
          <w:numId w:val="15"/>
        </w:numPr>
        <w:spacing w:line="360" w:lineRule="auto"/>
        <w:rPr>
          <w:rFonts w:asciiTheme="minorHAnsi" w:hAnsiTheme="minorHAnsi" w:cs="Times New Roman"/>
        </w:rPr>
      </w:pPr>
      <w:r w:rsidRPr="001D2947">
        <w:rPr>
          <w:rFonts w:asciiTheme="minorHAnsi" w:hAnsiTheme="minorHAnsi" w:cs="Times New Roman"/>
        </w:rPr>
        <w:lastRenderedPageBreak/>
        <w:t xml:space="preserve">Le système de gouvernance </w:t>
      </w:r>
    </w:p>
    <w:p w:rsidR="00D33B00" w:rsidRPr="001D2947" w:rsidRDefault="00C13A2B" w:rsidP="001D2947">
      <w:pPr>
        <w:spacing w:line="360" w:lineRule="auto"/>
        <w:jc w:val="both"/>
        <w:rPr>
          <w:rFonts w:cs="Times New Roman"/>
        </w:rPr>
      </w:pPr>
      <w:r w:rsidRPr="001D2947">
        <w:rPr>
          <w:rFonts w:cs="Times New Roman"/>
        </w:rPr>
        <w:tab/>
        <w:t>Les déci</w:t>
      </w:r>
      <w:r w:rsidR="002A0533" w:rsidRPr="001D2947">
        <w:rPr>
          <w:rFonts w:cs="Times New Roman"/>
        </w:rPr>
        <w:t>deurs régionaux ont ancré les pôles</w:t>
      </w:r>
      <w:r w:rsidRPr="001D2947">
        <w:rPr>
          <w:rFonts w:cs="Times New Roman"/>
        </w:rPr>
        <w:t xml:space="preserve"> dans un système de gouvernance inédit pour la politique industrielle wallonne. Ce système se singularise par la place laissée au monde industriel</w:t>
      </w:r>
      <w:r w:rsidR="00E845A8" w:rsidRPr="001D2947">
        <w:rPr>
          <w:rStyle w:val="Appelnotedebasdep"/>
          <w:rFonts w:cs="Times New Roman"/>
        </w:rPr>
        <w:footnoteReference w:id="10"/>
      </w:r>
      <w:r w:rsidR="00E845A8" w:rsidRPr="001D2947">
        <w:rPr>
          <w:rFonts w:cs="Times New Roman"/>
        </w:rPr>
        <w:t xml:space="preserve"> et se concrétise par la création de </w:t>
      </w:r>
      <w:r w:rsidR="00542572" w:rsidRPr="001D2947">
        <w:rPr>
          <w:rFonts w:cs="Times New Roman"/>
        </w:rPr>
        <w:t xml:space="preserve">deux </w:t>
      </w:r>
      <w:r w:rsidRPr="001D2947">
        <w:rPr>
          <w:rFonts w:cs="Times New Roman"/>
        </w:rPr>
        <w:t>organes</w:t>
      </w:r>
      <w:r w:rsidR="00F37D11" w:rsidRPr="001D2947">
        <w:rPr>
          <w:rFonts w:cs="Times New Roman"/>
        </w:rPr>
        <w:t xml:space="preserve"> </w:t>
      </w:r>
      <w:r w:rsidR="00542572" w:rsidRPr="001D2947">
        <w:rPr>
          <w:rFonts w:cs="Times New Roman"/>
        </w:rPr>
        <w:t>:</w:t>
      </w:r>
      <w:r w:rsidRPr="001D2947">
        <w:rPr>
          <w:rFonts w:cs="Times New Roman"/>
        </w:rPr>
        <w:t xml:space="preserve"> un Co</w:t>
      </w:r>
      <w:r w:rsidR="00D33B00" w:rsidRPr="001D2947">
        <w:rPr>
          <w:rFonts w:cs="Times New Roman"/>
        </w:rPr>
        <w:t>mit</w:t>
      </w:r>
      <w:r w:rsidRPr="001D2947">
        <w:rPr>
          <w:rFonts w:cs="Times New Roman"/>
        </w:rPr>
        <w:t>é Inter-pôles et un Haut-co</w:t>
      </w:r>
      <w:r w:rsidR="00D33B00" w:rsidRPr="001D2947">
        <w:rPr>
          <w:rFonts w:cs="Times New Roman"/>
        </w:rPr>
        <w:t>mit</w:t>
      </w:r>
      <w:r w:rsidRPr="001D2947">
        <w:rPr>
          <w:rFonts w:cs="Times New Roman"/>
        </w:rPr>
        <w:t xml:space="preserve">é. </w:t>
      </w:r>
    </w:p>
    <w:p w:rsidR="00D33B00" w:rsidRPr="001D2947" w:rsidRDefault="00D33B00" w:rsidP="001D2947">
      <w:pPr>
        <w:spacing w:line="360" w:lineRule="auto"/>
        <w:jc w:val="both"/>
        <w:rPr>
          <w:rFonts w:cs="Times New Roman"/>
        </w:rPr>
      </w:pPr>
      <w:r w:rsidRPr="001D2947">
        <w:rPr>
          <w:rFonts w:cs="Times New Roman"/>
        </w:rPr>
        <w:tab/>
      </w:r>
      <w:r w:rsidR="00C13A2B" w:rsidRPr="001D2947">
        <w:rPr>
          <w:rFonts w:cs="Times New Roman"/>
        </w:rPr>
        <w:t>Le premier, se réunit après chaque séance thématique du gouvernement pour informer les directe</w:t>
      </w:r>
      <w:r w:rsidRPr="001D2947">
        <w:rPr>
          <w:rFonts w:cs="Times New Roman"/>
        </w:rPr>
        <w:t>ur</w:t>
      </w:r>
      <w:r w:rsidR="00C808CD" w:rsidRPr="001D2947">
        <w:rPr>
          <w:rFonts w:cs="Times New Roman"/>
        </w:rPr>
        <w:t>s des cellules opérationnelles,</w:t>
      </w:r>
      <w:r w:rsidRPr="001D2947">
        <w:rPr>
          <w:rFonts w:cs="Times New Roman"/>
        </w:rPr>
        <w:t xml:space="preserve"> pour </w:t>
      </w:r>
      <w:r w:rsidR="00C13A2B" w:rsidRPr="001D2947">
        <w:rPr>
          <w:rFonts w:cs="Times New Roman"/>
        </w:rPr>
        <w:t>améliorer l’échange d’information</w:t>
      </w:r>
      <w:r w:rsidRPr="001D2947">
        <w:rPr>
          <w:rFonts w:cs="Times New Roman"/>
        </w:rPr>
        <w:t>s</w:t>
      </w:r>
      <w:r w:rsidR="00C13A2B" w:rsidRPr="001D2947">
        <w:rPr>
          <w:rFonts w:cs="Times New Roman"/>
        </w:rPr>
        <w:t xml:space="preserve"> et pour évoquer, avec les divers opérateurs publics</w:t>
      </w:r>
      <w:r w:rsidRPr="001D2947">
        <w:rPr>
          <w:rFonts w:cs="Times New Roman"/>
        </w:rPr>
        <w:t>,</w:t>
      </w:r>
      <w:r w:rsidR="00C13A2B" w:rsidRPr="001D2947">
        <w:rPr>
          <w:rFonts w:cs="Times New Roman"/>
        </w:rPr>
        <w:t xml:space="preserve"> les </w:t>
      </w:r>
      <w:r w:rsidRPr="001D2947">
        <w:rPr>
          <w:rFonts w:cs="Times New Roman"/>
        </w:rPr>
        <w:t>problèmes quotidiens vécu</w:t>
      </w:r>
      <w:r w:rsidR="002A0533" w:rsidRPr="001D2947">
        <w:rPr>
          <w:rFonts w:cs="Times New Roman"/>
        </w:rPr>
        <w:t>s par les pôles</w:t>
      </w:r>
      <w:r w:rsidR="00C13A2B" w:rsidRPr="001D2947">
        <w:rPr>
          <w:rFonts w:cs="Times New Roman"/>
        </w:rPr>
        <w:t>. L’animation de l’Inter-pôles est assurée par l’U</w:t>
      </w:r>
      <w:r w:rsidRPr="001D2947">
        <w:rPr>
          <w:rFonts w:cs="Times New Roman"/>
        </w:rPr>
        <w:t>nion wallonne des entreprises</w:t>
      </w:r>
      <w:r w:rsidR="00C13A2B" w:rsidRPr="001D2947">
        <w:rPr>
          <w:rFonts w:cs="Times New Roman"/>
        </w:rPr>
        <w:t xml:space="preserve">. </w:t>
      </w:r>
    </w:p>
    <w:p w:rsidR="00C13A2B" w:rsidRPr="001D2947" w:rsidRDefault="00D33B00" w:rsidP="001D2947">
      <w:pPr>
        <w:spacing w:line="360" w:lineRule="auto"/>
        <w:jc w:val="both"/>
        <w:rPr>
          <w:rFonts w:cs="Times New Roman"/>
        </w:rPr>
      </w:pPr>
      <w:r w:rsidRPr="001D2947">
        <w:rPr>
          <w:rFonts w:cs="Times New Roman"/>
        </w:rPr>
        <w:tab/>
      </w:r>
      <w:r w:rsidR="00C13A2B" w:rsidRPr="001D2947">
        <w:rPr>
          <w:rFonts w:cs="Times New Roman"/>
        </w:rPr>
        <w:t xml:space="preserve">Le second rassemble les Présidents, les Vice-présidents </w:t>
      </w:r>
      <w:r w:rsidRPr="001D2947">
        <w:rPr>
          <w:rFonts w:cs="Times New Roman"/>
        </w:rPr>
        <w:t>des</w:t>
      </w:r>
      <w:r w:rsidR="00C13A2B" w:rsidRPr="001D2947">
        <w:rPr>
          <w:rFonts w:cs="Times New Roman"/>
        </w:rPr>
        <w:t xml:space="preserve"> </w:t>
      </w:r>
      <w:r w:rsidRPr="001D2947">
        <w:rPr>
          <w:rFonts w:cs="Times New Roman"/>
        </w:rPr>
        <w:t>pôles et</w:t>
      </w:r>
      <w:r w:rsidR="00C13A2B" w:rsidRPr="001D2947">
        <w:rPr>
          <w:rFonts w:cs="Times New Roman"/>
        </w:rPr>
        <w:t xml:space="preserve"> a pour finalité principale « d’informer les représentants des travailleurs des projets mis en œuvre dans les pôles et les stratégies mise</w:t>
      </w:r>
      <w:r w:rsidRPr="001D2947">
        <w:rPr>
          <w:rFonts w:cs="Times New Roman"/>
        </w:rPr>
        <w:t>s</w:t>
      </w:r>
      <w:r w:rsidR="00C13A2B" w:rsidRPr="001D2947">
        <w:rPr>
          <w:rFonts w:cs="Times New Roman"/>
        </w:rPr>
        <w:t xml:space="preserve"> en place ; d’informer les représentation</w:t>
      </w:r>
      <w:r w:rsidRPr="001D2947">
        <w:rPr>
          <w:rFonts w:cs="Times New Roman"/>
        </w:rPr>
        <w:t>s</w:t>
      </w:r>
      <w:r w:rsidR="00C13A2B" w:rsidRPr="001D2947">
        <w:rPr>
          <w:rFonts w:cs="Times New Roman"/>
        </w:rPr>
        <w:t xml:space="preserve"> des travailleurs de l’évolution des pô</w:t>
      </w:r>
      <w:r w:rsidRPr="001D2947">
        <w:rPr>
          <w:rFonts w:cs="Times New Roman"/>
        </w:rPr>
        <w:t>les et des projets concrets; et</w:t>
      </w:r>
      <w:r w:rsidR="00C13A2B" w:rsidRPr="001D2947">
        <w:rPr>
          <w:rFonts w:cs="Times New Roman"/>
        </w:rPr>
        <w:t> de prop</w:t>
      </w:r>
      <w:r w:rsidRPr="001D2947">
        <w:rPr>
          <w:rFonts w:cs="Times New Roman"/>
        </w:rPr>
        <w:t>oser des mesures de partenariat</w:t>
      </w:r>
      <w:r w:rsidR="00C13A2B" w:rsidRPr="001D2947">
        <w:rPr>
          <w:rFonts w:cs="Times New Roman"/>
        </w:rPr>
        <w:t xml:space="preserve"> entre les différents acteurs permettant d’améliorer le fonctionnement des pôles » (Bayenet &amp; Wunderle, 2009, p.23).</w:t>
      </w:r>
      <w:r w:rsidR="00F37D11" w:rsidRPr="001D2947">
        <w:rPr>
          <w:rFonts w:cs="Times New Roman"/>
        </w:rPr>
        <w:t xml:space="preserve"> Dans les faits, le Haut-</w:t>
      </w:r>
      <w:r w:rsidRPr="001D2947">
        <w:rPr>
          <w:rFonts w:cs="Times New Roman"/>
        </w:rPr>
        <w:t>Comité</w:t>
      </w:r>
      <w:r w:rsidR="00F37D11" w:rsidRPr="001D2947">
        <w:rPr>
          <w:rFonts w:cs="Times New Roman"/>
        </w:rPr>
        <w:t xml:space="preserve"> est tombé en désuétude tandis que le </w:t>
      </w:r>
      <w:r w:rsidRPr="001D2947">
        <w:rPr>
          <w:rFonts w:cs="Times New Roman"/>
        </w:rPr>
        <w:t>Comité</w:t>
      </w:r>
      <w:r w:rsidR="00F37D11" w:rsidRPr="001D2947">
        <w:rPr>
          <w:rFonts w:cs="Times New Roman"/>
        </w:rPr>
        <w:t xml:space="preserve"> Inter-pôle</w:t>
      </w:r>
      <w:r w:rsidR="002A0533" w:rsidRPr="001D2947">
        <w:rPr>
          <w:rFonts w:cs="Times New Roman"/>
        </w:rPr>
        <w:t>s</w:t>
      </w:r>
      <w:r w:rsidR="00F37D11" w:rsidRPr="001D2947">
        <w:rPr>
          <w:rFonts w:cs="Times New Roman"/>
        </w:rPr>
        <w:t xml:space="preserve"> </w:t>
      </w:r>
      <w:r w:rsidRPr="001D2947">
        <w:rPr>
          <w:rFonts w:cs="Times New Roman"/>
        </w:rPr>
        <w:t>continue de se réunir</w:t>
      </w:r>
      <w:r w:rsidR="00F37D11" w:rsidRPr="001D2947">
        <w:rPr>
          <w:rFonts w:cs="Times New Roman"/>
        </w:rPr>
        <w:t xml:space="preserve"> après chaque séance thématique du Gouvernement wallon.</w:t>
      </w:r>
    </w:p>
    <w:p w:rsidR="00C13A2B" w:rsidRPr="001D2947" w:rsidRDefault="00F37D11" w:rsidP="001D2947">
      <w:pPr>
        <w:spacing w:line="360" w:lineRule="auto"/>
        <w:jc w:val="both"/>
        <w:rPr>
          <w:rFonts w:cs="Times New Roman"/>
        </w:rPr>
      </w:pPr>
      <w:r w:rsidRPr="001D2947">
        <w:rPr>
          <w:rFonts w:cs="Times New Roman"/>
        </w:rPr>
        <w:tab/>
      </w:r>
      <w:r w:rsidR="00026F55" w:rsidRPr="001D2947">
        <w:rPr>
          <w:rFonts w:cs="Times New Roman"/>
        </w:rPr>
        <w:t>Indéniablement</w:t>
      </w:r>
      <w:r w:rsidRPr="001D2947">
        <w:rPr>
          <w:rFonts w:cs="Times New Roman"/>
        </w:rPr>
        <w:t xml:space="preserve">, les pôles de compétitivité </w:t>
      </w:r>
      <w:r w:rsidR="00D33B00" w:rsidRPr="001D2947">
        <w:rPr>
          <w:rFonts w:cs="Times New Roman"/>
        </w:rPr>
        <w:t>sont</w:t>
      </w:r>
      <w:r w:rsidRPr="001D2947">
        <w:rPr>
          <w:rFonts w:cs="Times New Roman"/>
        </w:rPr>
        <w:t xml:space="preserve"> un instrument de développement régional ancré dans le paradigme de l’innovation territorial</w:t>
      </w:r>
      <w:r w:rsidR="00C808CD" w:rsidRPr="001D2947">
        <w:rPr>
          <w:rFonts w:cs="Times New Roman"/>
        </w:rPr>
        <w:t>e</w:t>
      </w:r>
      <w:r w:rsidRPr="001D2947">
        <w:rPr>
          <w:rFonts w:cs="Times New Roman"/>
        </w:rPr>
        <w:t>. Toutefois, par rapport à la littérature</w:t>
      </w:r>
      <w:r w:rsidR="00D33B00" w:rsidRPr="001D2947">
        <w:rPr>
          <w:rFonts w:cs="Times New Roman"/>
        </w:rPr>
        <w:t>, nous notons une adaptation de ces</w:t>
      </w:r>
      <w:r w:rsidR="005A4303" w:rsidRPr="001D2947">
        <w:rPr>
          <w:rFonts w:cs="Times New Roman"/>
        </w:rPr>
        <w:t xml:space="preserve"> outils théoriques par les autorités régionales. Dès lors, l’intérêt de cette recherche porte sur la compréhension du processus d’appropriation du concept de pôles/</w:t>
      </w:r>
      <w:r w:rsidR="005A4303" w:rsidRPr="001D2947">
        <w:rPr>
          <w:rFonts w:cs="Times New Roman"/>
          <w:i/>
        </w:rPr>
        <w:t xml:space="preserve">clusters </w:t>
      </w:r>
      <w:r w:rsidR="005A4303" w:rsidRPr="001D2947">
        <w:rPr>
          <w:rFonts w:cs="Times New Roman"/>
        </w:rPr>
        <w:t>par les décideurs politiques sur un territoire donné.</w:t>
      </w:r>
      <w:r w:rsidR="00C13A2B" w:rsidRPr="001D2947">
        <w:rPr>
          <w:rFonts w:cs="Times New Roman"/>
        </w:rPr>
        <w:t xml:space="preserve"> </w:t>
      </w:r>
    </w:p>
    <w:p w:rsidR="001D5A38" w:rsidRPr="001D2947" w:rsidRDefault="00667E2E" w:rsidP="001D2947">
      <w:pPr>
        <w:pStyle w:val="Titre1"/>
        <w:numPr>
          <w:ilvl w:val="0"/>
          <w:numId w:val="12"/>
        </w:numPr>
        <w:spacing w:line="360" w:lineRule="auto"/>
        <w:rPr>
          <w:rFonts w:asciiTheme="minorHAnsi" w:hAnsiTheme="minorHAnsi" w:cs="Times New Roman"/>
          <w:sz w:val="22"/>
          <w:szCs w:val="22"/>
        </w:rPr>
      </w:pPr>
      <w:r w:rsidRPr="001D2947">
        <w:rPr>
          <w:rFonts w:asciiTheme="minorHAnsi" w:hAnsiTheme="minorHAnsi" w:cs="Times New Roman"/>
          <w:sz w:val="22"/>
          <w:szCs w:val="22"/>
        </w:rPr>
        <w:t>Le c</w:t>
      </w:r>
      <w:r w:rsidR="00DE202D" w:rsidRPr="001D2947">
        <w:rPr>
          <w:rFonts w:asciiTheme="minorHAnsi" w:hAnsiTheme="minorHAnsi" w:cs="Times New Roman"/>
          <w:sz w:val="22"/>
          <w:szCs w:val="22"/>
        </w:rPr>
        <w:t xml:space="preserve">adre d’analyse et </w:t>
      </w:r>
      <w:r w:rsidRPr="001D2947">
        <w:rPr>
          <w:rFonts w:asciiTheme="minorHAnsi" w:hAnsiTheme="minorHAnsi" w:cs="Times New Roman"/>
          <w:sz w:val="22"/>
          <w:szCs w:val="22"/>
        </w:rPr>
        <w:t xml:space="preserve">la </w:t>
      </w:r>
      <w:r w:rsidR="00DE202D" w:rsidRPr="001D2947">
        <w:rPr>
          <w:rFonts w:asciiTheme="minorHAnsi" w:hAnsiTheme="minorHAnsi" w:cs="Times New Roman"/>
          <w:sz w:val="22"/>
          <w:szCs w:val="22"/>
        </w:rPr>
        <w:t>méthodologie</w:t>
      </w:r>
    </w:p>
    <w:p w:rsidR="00DE202D" w:rsidRPr="001D2947" w:rsidRDefault="00667E2E" w:rsidP="001D2947">
      <w:pPr>
        <w:pStyle w:val="Titre2"/>
        <w:numPr>
          <w:ilvl w:val="1"/>
          <w:numId w:val="12"/>
        </w:numPr>
        <w:spacing w:line="360" w:lineRule="auto"/>
        <w:rPr>
          <w:rFonts w:asciiTheme="minorHAnsi" w:hAnsiTheme="minorHAnsi" w:cs="Times New Roman"/>
          <w:sz w:val="22"/>
          <w:szCs w:val="22"/>
        </w:rPr>
      </w:pPr>
      <w:r w:rsidRPr="001D2947">
        <w:rPr>
          <w:rFonts w:asciiTheme="minorHAnsi" w:hAnsiTheme="minorHAnsi" w:cs="Times New Roman"/>
          <w:sz w:val="22"/>
          <w:szCs w:val="22"/>
        </w:rPr>
        <w:t xml:space="preserve">La </w:t>
      </w:r>
      <w:r w:rsidR="00DE202D" w:rsidRPr="001D2947">
        <w:rPr>
          <w:rFonts w:asciiTheme="minorHAnsi" w:hAnsiTheme="minorHAnsi" w:cs="Times New Roman"/>
          <w:sz w:val="22"/>
          <w:szCs w:val="22"/>
        </w:rPr>
        <w:t xml:space="preserve">Question de recherche et </w:t>
      </w:r>
      <w:r w:rsidRPr="001D2947">
        <w:rPr>
          <w:rFonts w:asciiTheme="minorHAnsi" w:hAnsiTheme="minorHAnsi" w:cs="Times New Roman"/>
          <w:sz w:val="22"/>
          <w:szCs w:val="22"/>
        </w:rPr>
        <w:t xml:space="preserve">la </w:t>
      </w:r>
      <w:r w:rsidR="00DE202D" w:rsidRPr="001D2947">
        <w:rPr>
          <w:rFonts w:asciiTheme="minorHAnsi" w:hAnsiTheme="minorHAnsi" w:cs="Times New Roman"/>
          <w:sz w:val="22"/>
          <w:szCs w:val="22"/>
        </w:rPr>
        <w:t>focale d’analyse</w:t>
      </w:r>
    </w:p>
    <w:p w:rsidR="0015080A" w:rsidRPr="001D2947" w:rsidRDefault="00667E2E" w:rsidP="001D2947">
      <w:pPr>
        <w:spacing w:line="360" w:lineRule="auto"/>
        <w:jc w:val="both"/>
        <w:rPr>
          <w:rFonts w:cs="Times New Roman"/>
        </w:rPr>
      </w:pPr>
      <w:r w:rsidRPr="001D2947">
        <w:rPr>
          <w:rFonts w:cs="Times New Roman"/>
        </w:rPr>
        <w:tab/>
      </w:r>
      <w:r w:rsidR="009636AC" w:rsidRPr="001D2947">
        <w:rPr>
          <w:rFonts w:cs="Times New Roman"/>
        </w:rPr>
        <w:t>La compréhension du processus d</w:t>
      </w:r>
      <w:r w:rsidR="00026F55" w:rsidRPr="001D2947">
        <w:rPr>
          <w:rFonts w:cs="Times New Roman"/>
        </w:rPr>
        <w:t xml:space="preserve">’appropriation </w:t>
      </w:r>
      <w:r w:rsidR="0015080A" w:rsidRPr="001D2947">
        <w:rPr>
          <w:rFonts w:cs="Times New Roman"/>
        </w:rPr>
        <w:t>d’un concept par les acteurs est au centre de cette recherche</w:t>
      </w:r>
      <w:r w:rsidRPr="001D2947">
        <w:rPr>
          <w:rFonts w:cs="Times New Roman"/>
        </w:rPr>
        <w:t xml:space="preserve">. </w:t>
      </w:r>
      <w:r w:rsidR="0015080A" w:rsidRPr="001D2947">
        <w:rPr>
          <w:rFonts w:cs="Times New Roman"/>
        </w:rPr>
        <w:t>Nous ancrons la présente recherche dans une approche politiste. Précisément</w:t>
      </w:r>
      <w:r w:rsidR="009636AC" w:rsidRPr="001D2947">
        <w:rPr>
          <w:rFonts w:cs="Times New Roman"/>
        </w:rPr>
        <w:t>, nous</w:t>
      </w:r>
      <w:r w:rsidR="00026F55" w:rsidRPr="001D2947">
        <w:rPr>
          <w:rFonts w:cs="Times New Roman"/>
        </w:rPr>
        <w:t xml:space="preserve"> </w:t>
      </w:r>
      <w:r w:rsidR="0084007E" w:rsidRPr="001D2947">
        <w:rPr>
          <w:rFonts w:cs="Times New Roman"/>
        </w:rPr>
        <w:t>analysons</w:t>
      </w:r>
      <w:r w:rsidR="00026F55" w:rsidRPr="001D2947">
        <w:rPr>
          <w:rFonts w:cs="Times New Roman"/>
        </w:rPr>
        <w:t xml:space="preserve"> </w:t>
      </w:r>
      <w:r w:rsidR="0015080A" w:rsidRPr="001D2947">
        <w:rPr>
          <w:rFonts w:cs="Times New Roman"/>
        </w:rPr>
        <w:t xml:space="preserve">la création des pôles de compétitivité </w:t>
      </w:r>
      <w:r w:rsidR="0084007E" w:rsidRPr="001D2947">
        <w:rPr>
          <w:rFonts w:cs="Times New Roman"/>
        </w:rPr>
        <w:t>au prisme</w:t>
      </w:r>
      <w:r w:rsidR="0015080A" w:rsidRPr="001D2947">
        <w:rPr>
          <w:rFonts w:cs="Times New Roman"/>
        </w:rPr>
        <w:t xml:space="preserve"> de la littérature sur l’innovation politique.  </w:t>
      </w:r>
    </w:p>
    <w:p w:rsidR="009D5FEF" w:rsidRPr="001D2947" w:rsidRDefault="0015080A" w:rsidP="001D2947">
      <w:pPr>
        <w:spacing w:line="360" w:lineRule="auto"/>
        <w:jc w:val="both"/>
        <w:rPr>
          <w:rFonts w:cs="Times New Roman"/>
        </w:rPr>
      </w:pPr>
      <w:r w:rsidRPr="001D2947">
        <w:rPr>
          <w:rFonts w:cs="Times New Roman"/>
        </w:rPr>
        <w:tab/>
        <w:t xml:space="preserve">Dans la littérature, il existe une série de modèles explicatifs de l’innovation dans le contexte politique: le modèle de l’entrepreneuriat public/politique (Bernier &amp; Hafsi, 2007 ; Battilana et al, 2009), le modèle de la diffusion (Gray, 1973 ; Mintrom, 1997; Berry &amp; Berry, 1999 ), le modèle de </w:t>
      </w:r>
      <w:r w:rsidR="00B5616E" w:rsidRPr="001D2947">
        <w:rPr>
          <w:rFonts w:cs="Times New Roman"/>
        </w:rPr>
        <w:t xml:space="preserve">la </w:t>
      </w:r>
      <w:r w:rsidR="00B5616E" w:rsidRPr="001D2947">
        <w:rPr>
          <w:rFonts w:cs="Times New Roman"/>
        </w:rPr>
        <w:lastRenderedPageBreak/>
        <w:t xml:space="preserve">traduction et de </w:t>
      </w:r>
      <w:r w:rsidRPr="001D2947">
        <w:rPr>
          <w:rFonts w:cs="Times New Roman"/>
        </w:rPr>
        <w:t xml:space="preserve">l’intéressement (Callon, </w:t>
      </w:r>
      <w:r w:rsidR="002359DE" w:rsidRPr="001D2947">
        <w:rPr>
          <w:rFonts w:cs="Times New Roman"/>
        </w:rPr>
        <w:t>1986</w:t>
      </w:r>
      <w:r w:rsidRPr="001D2947">
        <w:rPr>
          <w:rFonts w:cs="Times New Roman"/>
        </w:rPr>
        <w:t> ; 1989 ; 1990 ; 1991 ; Callon &amp; Latour, 1990 ; Akrich et al., 2009), le modèle organisationnel (Damanpour, 1991; Walker, 2015), l’approche de l’innovation par les réseaux et la collaboration (McGuire, 2000 ; Sörensen, 2013</w:t>
      </w:r>
      <w:r w:rsidR="00916FCE" w:rsidRPr="001D2947">
        <w:rPr>
          <w:rFonts w:cs="Times New Roman"/>
        </w:rPr>
        <w:t xml:space="preserve"> a)</w:t>
      </w:r>
      <w:r w:rsidRPr="001D2947">
        <w:rPr>
          <w:rFonts w:cs="Times New Roman"/>
        </w:rPr>
        <w:t xml:space="preserve">. Au vu de la thématique, nous </w:t>
      </w:r>
      <w:r w:rsidR="00B5616E" w:rsidRPr="001D2947">
        <w:rPr>
          <w:rFonts w:cs="Times New Roman"/>
        </w:rPr>
        <w:t xml:space="preserve">mobilisons </w:t>
      </w:r>
      <w:r w:rsidRPr="001D2947">
        <w:rPr>
          <w:rFonts w:cs="Times New Roman"/>
        </w:rPr>
        <w:t>le modèle de la traduction</w:t>
      </w:r>
      <w:r w:rsidR="00B5616E" w:rsidRPr="001D2947">
        <w:rPr>
          <w:rFonts w:cs="Times New Roman"/>
        </w:rPr>
        <w:t xml:space="preserve"> et de l’intéressement pour répondre à la question de recherche suivante : Comment les acteurs ont </w:t>
      </w:r>
      <w:r w:rsidR="00916FCE" w:rsidRPr="001D2947">
        <w:rPr>
          <w:rFonts w:cs="Times New Roman"/>
        </w:rPr>
        <w:t>opéré la traduction d’</w:t>
      </w:r>
      <w:r w:rsidR="00B5616E" w:rsidRPr="001D2947">
        <w:rPr>
          <w:rFonts w:cs="Times New Roman"/>
        </w:rPr>
        <w:t>une logique d’action contenue dans le paradigme de l’innovation en un instrument de politique régionale contextualisé au système institutionnel wallon durant les années 2005-2006?</w:t>
      </w:r>
    </w:p>
    <w:p w:rsidR="00544EB1" w:rsidRPr="001D2947" w:rsidRDefault="00544EB1" w:rsidP="001D2947">
      <w:pPr>
        <w:pStyle w:val="Titre2"/>
        <w:numPr>
          <w:ilvl w:val="1"/>
          <w:numId w:val="13"/>
        </w:numPr>
        <w:spacing w:line="360" w:lineRule="auto"/>
        <w:rPr>
          <w:rFonts w:asciiTheme="minorHAnsi" w:hAnsiTheme="minorHAnsi" w:cs="Times New Roman"/>
          <w:sz w:val="22"/>
          <w:szCs w:val="22"/>
        </w:rPr>
      </w:pPr>
      <w:r w:rsidRPr="001D2947">
        <w:rPr>
          <w:rFonts w:asciiTheme="minorHAnsi" w:hAnsiTheme="minorHAnsi" w:cs="Times New Roman"/>
          <w:sz w:val="22"/>
          <w:szCs w:val="22"/>
        </w:rPr>
        <w:t>L’opérationnalisation de la recherche</w:t>
      </w:r>
    </w:p>
    <w:p w:rsidR="004F528C" w:rsidRPr="001D2947" w:rsidRDefault="00544EB1" w:rsidP="001D2947">
      <w:pPr>
        <w:spacing w:line="360" w:lineRule="auto"/>
        <w:jc w:val="both"/>
        <w:rPr>
          <w:rFonts w:cs="Times New Roman"/>
        </w:rPr>
      </w:pPr>
      <w:r w:rsidRPr="001D2947">
        <w:rPr>
          <w:rFonts w:cs="Times New Roman"/>
        </w:rPr>
        <w:tab/>
      </w:r>
      <w:r w:rsidR="004F528C" w:rsidRPr="001D2947">
        <w:rPr>
          <w:rFonts w:cs="Times New Roman"/>
        </w:rPr>
        <w:t xml:space="preserve">Après avoir décrit les phases composant le processus de traduction, nous utilisons ce phasage pour </w:t>
      </w:r>
      <w:r w:rsidR="00A852FA" w:rsidRPr="001D2947">
        <w:rPr>
          <w:rFonts w:cs="Times New Roman"/>
        </w:rPr>
        <w:t>construire</w:t>
      </w:r>
      <w:r w:rsidR="004F528C" w:rsidRPr="001D2947">
        <w:rPr>
          <w:rFonts w:cs="Times New Roman"/>
        </w:rPr>
        <w:t xml:space="preserve"> notre analyse. La principale difficulté dans cet exercice est de rendre compte </w:t>
      </w:r>
      <w:r w:rsidR="00A852FA" w:rsidRPr="001D2947">
        <w:rPr>
          <w:rFonts w:cs="Times New Roman"/>
        </w:rPr>
        <w:t>d’un processus de traduction itératif</w:t>
      </w:r>
      <w:r w:rsidR="00C65C12" w:rsidRPr="001D2947">
        <w:rPr>
          <w:rFonts w:cs="Times New Roman"/>
        </w:rPr>
        <w:t>. Par ailleurs, nous élaborons l’analyse sur la base de trois principes de recherche avancé</w:t>
      </w:r>
      <w:r w:rsidR="00A852FA" w:rsidRPr="001D2947">
        <w:rPr>
          <w:rFonts w:cs="Times New Roman"/>
        </w:rPr>
        <w:t>s</w:t>
      </w:r>
      <w:r w:rsidR="00C65C12" w:rsidRPr="001D2947">
        <w:rPr>
          <w:rFonts w:cs="Times New Roman"/>
        </w:rPr>
        <w:t xml:space="preserve"> par Callon (1986) : (1) laisser la place à l’expression des multiples décisions hétérogènes prises au cours du processus, (2) ne pas censurer/dégager les argumentations développées au moment où les décisions sont prises, (3) prendre en considération l’ensemble des acteurs revendiquant avoir pris part au processus.</w:t>
      </w:r>
    </w:p>
    <w:p w:rsidR="00544EB1" w:rsidRPr="006123CF" w:rsidRDefault="00C65C12" w:rsidP="001D2947">
      <w:pPr>
        <w:spacing w:line="360" w:lineRule="auto"/>
        <w:jc w:val="both"/>
        <w:rPr>
          <w:rFonts w:cs="Times New Roman"/>
        </w:rPr>
      </w:pPr>
      <w:r w:rsidRPr="001D2947">
        <w:rPr>
          <w:rFonts w:cs="Times New Roman"/>
        </w:rPr>
        <w:tab/>
      </w:r>
      <w:r w:rsidR="008D3E94" w:rsidRPr="001D2947">
        <w:rPr>
          <w:rFonts w:cs="Times New Roman"/>
        </w:rPr>
        <w:t>La recherche s’</w:t>
      </w:r>
      <w:r w:rsidR="004F528C" w:rsidRPr="001D2947">
        <w:rPr>
          <w:rFonts w:cs="Times New Roman"/>
        </w:rPr>
        <w:t>inscrit</w:t>
      </w:r>
      <w:r w:rsidR="008D3E94" w:rsidRPr="001D2947">
        <w:rPr>
          <w:rFonts w:cs="Times New Roman"/>
        </w:rPr>
        <w:t xml:space="preserve"> dans une perspective qualitative </w:t>
      </w:r>
      <w:r w:rsidR="004F528C" w:rsidRPr="001D2947">
        <w:rPr>
          <w:rFonts w:cs="Times New Roman"/>
        </w:rPr>
        <w:t xml:space="preserve">et </w:t>
      </w:r>
      <w:r w:rsidR="00A852FA" w:rsidRPr="001D2947">
        <w:rPr>
          <w:rFonts w:cs="Times New Roman"/>
        </w:rPr>
        <w:t>porte</w:t>
      </w:r>
      <w:r w:rsidR="004F528C" w:rsidRPr="001D2947">
        <w:rPr>
          <w:rFonts w:cs="Times New Roman"/>
        </w:rPr>
        <w:t xml:space="preserve"> sur une étude de cas en profondeur </w:t>
      </w:r>
      <w:r w:rsidR="008D3E94" w:rsidRPr="001D2947">
        <w:rPr>
          <w:rFonts w:cs="Times New Roman"/>
        </w:rPr>
        <w:t xml:space="preserve">(Yin, 2009). Les données collectées </w:t>
      </w:r>
      <w:r w:rsidR="004F528C" w:rsidRPr="001D2947">
        <w:rPr>
          <w:rFonts w:cs="Times New Roman"/>
        </w:rPr>
        <w:t xml:space="preserve">pour étudier l’élaboration des pôles de compétitivité en Wallonie </w:t>
      </w:r>
      <w:r w:rsidR="008D3E94" w:rsidRPr="001D2947">
        <w:rPr>
          <w:rFonts w:cs="Times New Roman"/>
        </w:rPr>
        <w:t>sont d</w:t>
      </w:r>
      <w:r w:rsidRPr="001D2947">
        <w:rPr>
          <w:rFonts w:cs="Times New Roman"/>
        </w:rPr>
        <w:t>es entretiens semi-directifs</w:t>
      </w:r>
      <w:r w:rsidRPr="001D2947">
        <w:rPr>
          <w:rStyle w:val="Appelnotedebasdep"/>
          <w:rFonts w:cs="Times New Roman"/>
        </w:rPr>
        <w:footnoteReference w:id="11"/>
      </w:r>
      <w:r w:rsidR="008D3E94" w:rsidRPr="001D2947">
        <w:rPr>
          <w:rFonts w:cs="Times New Roman"/>
        </w:rPr>
        <w:t xml:space="preserve"> réalisés au cours de l’année 2015</w:t>
      </w:r>
      <w:r w:rsidR="004F528C" w:rsidRPr="001D2947">
        <w:rPr>
          <w:rFonts w:cs="Times New Roman"/>
        </w:rPr>
        <w:t>, des documents gouvernementaux et des rapports de l’administration</w:t>
      </w:r>
      <w:r w:rsidR="008D3E94" w:rsidRPr="001D2947">
        <w:rPr>
          <w:rFonts w:cs="Times New Roman"/>
        </w:rPr>
        <w:t xml:space="preserve">. </w:t>
      </w:r>
      <w:r w:rsidR="006123CF">
        <w:rPr>
          <w:rFonts w:cs="Times New Roman"/>
        </w:rPr>
        <w:t>L</w:t>
      </w:r>
      <w:r w:rsidRPr="001D2947">
        <w:rPr>
          <w:rFonts w:cs="Times New Roman"/>
        </w:rPr>
        <w:t xml:space="preserve">es entretiens ont été soumis à une analyse de contenu </w:t>
      </w:r>
      <w:r w:rsidR="00BD5D47" w:rsidRPr="001D2947">
        <w:rPr>
          <w:rFonts w:cs="Times New Roman"/>
        </w:rPr>
        <w:t>au moyen du logiciel N-Vivo.</w:t>
      </w:r>
    </w:p>
    <w:p w:rsidR="00544EB1" w:rsidRPr="001D2947" w:rsidRDefault="00544EB1" w:rsidP="001D2947">
      <w:pPr>
        <w:pStyle w:val="Titre2"/>
        <w:numPr>
          <w:ilvl w:val="0"/>
          <w:numId w:val="13"/>
        </w:numPr>
        <w:spacing w:line="360" w:lineRule="auto"/>
        <w:jc w:val="both"/>
        <w:rPr>
          <w:rFonts w:asciiTheme="minorHAnsi" w:hAnsiTheme="minorHAnsi" w:cs="Times New Roman"/>
          <w:sz w:val="22"/>
          <w:szCs w:val="22"/>
        </w:rPr>
      </w:pPr>
      <w:r w:rsidRPr="001D2947">
        <w:rPr>
          <w:rFonts w:asciiTheme="minorHAnsi" w:hAnsiTheme="minorHAnsi" w:cs="Times New Roman"/>
          <w:sz w:val="22"/>
          <w:szCs w:val="22"/>
        </w:rPr>
        <w:t>La théorie de la traduction et le modèle de l’intéressement pour étudier un cas d’innovation politique</w:t>
      </w:r>
    </w:p>
    <w:p w:rsidR="00544EB1" w:rsidRPr="001D2947" w:rsidRDefault="00544EB1" w:rsidP="001D2947">
      <w:pPr>
        <w:spacing w:line="360" w:lineRule="auto"/>
        <w:jc w:val="both"/>
        <w:rPr>
          <w:rFonts w:cs="Times New Roman"/>
        </w:rPr>
      </w:pPr>
      <w:r w:rsidRPr="001D2947">
        <w:rPr>
          <w:rFonts w:cs="Times New Roman"/>
        </w:rPr>
        <w:tab/>
        <w:t>Callon a élaboré  un modèle d’analyse des controverses et des changements technologiques reposant sur une vision intégrative des dimensions sociale</w:t>
      </w:r>
      <w:r w:rsidR="00BD5D47" w:rsidRPr="001D2947">
        <w:rPr>
          <w:rFonts w:cs="Times New Roman"/>
        </w:rPr>
        <w:t>s</w:t>
      </w:r>
      <w:r w:rsidRPr="001D2947">
        <w:rPr>
          <w:rFonts w:cs="Times New Roman"/>
        </w:rPr>
        <w:t xml:space="preserve"> et technologique</w:t>
      </w:r>
      <w:r w:rsidR="00BD5D47" w:rsidRPr="001D2947">
        <w:rPr>
          <w:rFonts w:cs="Times New Roman"/>
        </w:rPr>
        <w:t>s</w:t>
      </w:r>
      <w:r w:rsidRPr="001D2947">
        <w:rPr>
          <w:rFonts w:cs="Times New Roman"/>
        </w:rPr>
        <w:t xml:space="preserve"> (Callon, 1981). L</w:t>
      </w:r>
      <w:r w:rsidR="00BD5D47" w:rsidRPr="001D2947">
        <w:rPr>
          <w:rFonts w:cs="Times New Roman"/>
        </w:rPr>
        <w:t>’étude de tels changements</w:t>
      </w:r>
      <w:r w:rsidRPr="001D2947">
        <w:rPr>
          <w:rFonts w:cs="Times New Roman"/>
        </w:rPr>
        <w:t xml:space="preserve"> implique la prise en compte des facteurs sociaux, techniques et humains. En outre, dans leur publication « Á quoi tient le succès des innovations ? 1 : L’art de l’intéressement ; 2 : Le choix des porte-parole », Akrich, Callon et Latour (2009) mobilisent le modèle de l’intéressement pour </w:t>
      </w:r>
      <w:r w:rsidR="00BD5D47" w:rsidRPr="001D2947">
        <w:rPr>
          <w:rFonts w:cs="Times New Roman"/>
        </w:rPr>
        <w:t>examiner des</w:t>
      </w:r>
      <w:r w:rsidRPr="001D2947">
        <w:rPr>
          <w:rFonts w:cs="Times New Roman"/>
        </w:rPr>
        <w:t xml:space="preserve"> processus d’innovation. Plus qu’un simple élargissement de la perspective technologique, l’étude de l’innovation met en lumière les choix difficiles à poser, les contours flous et mouvant</w:t>
      </w:r>
      <w:r w:rsidR="003878C8" w:rsidRPr="001D2947">
        <w:rPr>
          <w:rFonts w:cs="Times New Roman"/>
        </w:rPr>
        <w:t>s</w:t>
      </w:r>
      <w:r w:rsidRPr="001D2947">
        <w:rPr>
          <w:rFonts w:cs="Times New Roman"/>
        </w:rPr>
        <w:t xml:space="preserve"> du public cible ainsi que le débat sur les solutions techniques (Akrich</w:t>
      </w:r>
      <w:r w:rsidR="00BD5D47" w:rsidRPr="001D2947">
        <w:rPr>
          <w:rFonts w:cs="Times New Roman"/>
        </w:rPr>
        <w:t xml:space="preserve"> et al.</w:t>
      </w:r>
      <w:r w:rsidRPr="001D2947">
        <w:rPr>
          <w:rFonts w:cs="Times New Roman"/>
        </w:rPr>
        <w:t xml:space="preserve">, 2009). Á travers la mobilisation de l’art de l’intéressement, l’objectif est d’élucider les mécanismes </w:t>
      </w:r>
      <w:r w:rsidRPr="001D2947">
        <w:rPr>
          <w:rFonts w:cs="Times New Roman"/>
        </w:rPr>
        <w:lastRenderedPageBreak/>
        <w:t>d’adaptation, de né</w:t>
      </w:r>
      <w:r w:rsidR="00E81126" w:rsidRPr="001D2947">
        <w:rPr>
          <w:rFonts w:cs="Times New Roman"/>
        </w:rPr>
        <w:t>gociations et de compromis sous-</w:t>
      </w:r>
      <w:r w:rsidRPr="001D2947">
        <w:rPr>
          <w:rFonts w:cs="Times New Roman"/>
        </w:rPr>
        <w:t>tendant la dynamique de construction s</w:t>
      </w:r>
      <w:r w:rsidR="00BD5D47" w:rsidRPr="001D2947">
        <w:rPr>
          <w:rFonts w:cs="Times New Roman"/>
        </w:rPr>
        <w:t xml:space="preserve">ociale d’une innovation (Akrich et al. </w:t>
      </w:r>
      <w:r w:rsidRPr="001D2947">
        <w:rPr>
          <w:rFonts w:cs="Times New Roman"/>
        </w:rPr>
        <w:t xml:space="preserve">, 2009). Pour présenter ce modèle, nous structurons la section en cinq parties : une présentation de la théorie de la traduction puis chacune </w:t>
      </w:r>
      <w:r w:rsidR="00E81126" w:rsidRPr="001D2947">
        <w:rPr>
          <w:rFonts w:cs="Times New Roman"/>
        </w:rPr>
        <w:t>des quatre étapes qu’elle inclut</w:t>
      </w:r>
      <w:r w:rsidRPr="001D2947">
        <w:rPr>
          <w:rFonts w:cs="Times New Roman"/>
        </w:rPr>
        <w:t>, à savoir la problématisation,  l’intéressement, l’enrôlement et la mobilisation des alliés (Callon, 1986).</w:t>
      </w:r>
    </w:p>
    <w:p w:rsidR="003D36D2" w:rsidRPr="001D2947" w:rsidRDefault="00544EB1" w:rsidP="003D36D2">
      <w:pPr>
        <w:spacing w:line="360" w:lineRule="auto"/>
        <w:jc w:val="both"/>
        <w:rPr>
          <w:rFonts w:cs="Times New Roman"/>
        </w:rPr>
      </w:pPr>
      <w:r w:rsidRPr="001D2947">
        <w:rPr>
          <w:rFonts w:cs="Times New Roman"/>
        </w:rPr>
        <w:tab/>
        <w:t>Dans leur ouvrage « La science telle qu’elle se fait. Anthologie de la sociologie des sciences de langue anglaise » (1991), Callon et Latour qualifient la « traduction »  de lien entre des activités hétérogènes, des déclarations et des enjeux</w:t>
      </w:r>
      <w:r w:rsidR="00BD5D47" w:rsidRPr="001D2947">
        <w:rPr>
          <w:rFonts w:cs="Times New Roman"/>
        </w:rPr>
        <w:t xml:space="preserve">. </w:t>
      </w:r>
      <w:r w:rsidRPr="001D2947">
        <w:rPr>
          <w:rFonts w:cs="Times New Roman"/>
        </w:rPr>
        <w:t xml:space="preserve">La théorie de la traduction telle que conceptualisée par les deux scientifiques est axée sur l’action des acteurs au sein d’un réseau en constante mutation. </w:t>
      </w:r>
      <w:r w:rsidR="009B7ABD" w:rsidRPr="001D2947">
        <w:rPr>
          <w:rFonts w:cs="Times New Roman"/>
        </w:rPr>
        <w:t xml:space="preserve">La théorie </w:t>
      </w:r>
      <w:r w:rsidRPr="001D2947">
        <w:rPr>
          <w:rFonts w:cs="Times New Roman"/>
        </w:rPr>
        <w:t xml:space="preserve">de </w:t>
      </w:r>
      <w:r w:rsidR="009B7ABD" w:rsidRPr="001D2947">
        <w:rPr>
          <w:rFonts w:cs="Times New Roman"/>
        </w:rPr>
        <w:t xml:space="preserve">la </w:t>
      </w:r>
      <w:r w:rsidRPr="001D2947">
        <w:rPr>
          <w:rFonts w:cs="Times New Roman"/>
        </w:rPr>
        <w:t xml:space="preserve">traduction </w:t>
      </w:r>
      <w:r w:rsidR="00BD5D47" w:rsidRPr="001D2947">
        <w:rPr>
          <w:rFonts w:cs="Times New Roman"/>
        </w:rPr>
        <w:t>défini</w:t>
      </w:r>
      <w:r w:rsidR="00E81126" w:rsidRPr="001D2947">
        <w:rPr>
          <w:rFonts w:cs="Times New Roman"/>
        </w:rPr>
        <w:t>t</w:t>
      </w:r>
      <w:r w:rsidR="00BD5D47" w:rsidRPr="001D2947">
        <w:rPr>
          <w:rFonts w:cs="Times New Roman"/>
        </w:rPr>
        <w:t xml:space="preserve"> la notion</w:t>
      </w:r>
      <w:r w:rsidRPr="001D2947">
        <w:rPr>
          <w:rFonts w:cs="Times New Roman"/>
        </w:rPr>
        <w:t xml:space="preserve"> </w:t>
      </w:r>
      <w:r w:rsidR="009B7ABD" w:rsidRPr="001D2947">
        <w:rPr>
          <w:rFonts w:cs="Times New Roman"/>
        </w:rPr>
        <w:t>d’</w:t>
      </w:r>
      <w:r w:rsidRPr="001D2947">
        <w:rPr>
          <w:rFonts w:cs="Times New Roman"/>
        </w:rPr>
        <w:t xml:space="preserve">acteur </w:t>
      </w:r>
      <w:r w:rsidR="009B7ABD" w:rsidRPr="001D2947">
        <w:rPr>
          <w:rFonts w:cs="Times New Roman"/>
        </w:rPr>
        <w:t xml:space="preserve">comme </w:t>
      </w:r>
      <w:r w:rsidRPr="001D2947">
        <w:rPr>
          <w:rFonts w:cs="Times New Roman"/>
        </w:rPr>
        <w:t>« n’importe quel élément qui cherche à courber l’espace autour de lui, à ren</w:t>
      </w:r>
      <w:r w:rsidR="00E81126" w:rsidRPr="001D2947">
        <w:rPr>
          <w:rFonts w:cs="Times New Roman"/>
        </w:rPr>
        <w:t>dre d’autres éléments dépendant</w:t>
      </w:r>
      <w:r w:rsidRPr="001D2947">
        <w:rPr>
          <w:rFonts w:cs="Times New Roman"/>
        </w:rPr>
        <w:t xml:space="preserve"> de lui, à traduire les volontés dans son propre langage » (Callon &amp; Latour, 1981, p.20). La théorie de la traduction vise à expliquer le changement technique en postulant que celui-ci résulte des interactions entre un large nombre </w:t>
      </w:r>
      <w:r w:rsidR="00BD5D47" w:rsidRPr="001D2947">
        <w:rPr>
          <w:rFonts w:cs="Times New Roman"/>
        </w:rPr>
        <w:t xml:space="preserve">d’acteurs (Callon, 1990). </w:t>
      </w:r>
    </w:p>
    <w:p w:rsidR="00544EB1" w:rsidRPr="001D2947" w:rsidRDefault="003D36D2" w:rsidP="001D2947">
      <w:pPr>
        <w:spacing w:line="360" w:lineRule="auto"/>
        <w:jc w:val="both"/>
        <w:rPr>
          <w:rFonts w:cs="Times New Roman"/>
        </w:rPr>
      </w:pPr>
      <w:r>
        <w:rPr>
          <w:rFonts w:cs="Times New Roman"/>
        </w:rPr>
        <w:tab/>
      </w:r>
      <w:r w:rsidR="00544EB1" w:rsidRPr="001D2947">
        <w:rPr>
          <w:rFonts w:cs="Times New Roman"/>
        </w:rPr>
        <w:t>Dans la théorie de la traduction, le changement est conceptualisé comme un processus dynamique et itératif. Ce dernier débute par la phase de problématisation. Lo</w:t>
      </w:r>
      <w:r w:rsidR="0023188B" w:rsidRPr="001D2947">
        <w:rPr>
          <w:rFonts w:cs="Times New Roman"/>
        </w:rPr>
        <w:t>rs de cette étape, l</w:t>
      </w:r>
      <w:r w:rsidR="00544EB1" w:rsidRPr="001D2947">
        <w:rPr>
          <w:rFonts w:cs="Times New Roman"/>
        </w:rPr>
        <w:t xml:space="preserve">es efforts des acteurs portent sur la formulation des problèmes. Toutefois, il ne s’agit pas </w:t>
      </w:r>
      <w:r w:rsidR="0023188B" w:rsidRPr="001D2947">
        <w:rPr>
          <w:rFonts w:cs="Times New Roman"/>
        </w:rPr>
        <w:t>uniquement</w:t>
      </w:r>
      <w:r w:rsidR="00544EB1" w:rsidRPr="001D2947">
        <w:rPr>
          <w:rFonts w:cs="Times New Roman"/>
        </w:rPr>
        <w:t xml:space="preserve"> de fixer les contours et les termes du problème identifié. La question du « comment se rendre indispensable</w:t>
      </w:r>
      <w:r w:rsidR="0023188B" w:rsidRPr="001D2947">
        <w:rPr>
          <w:rFonts w:cs="Times New Roman"/>
        </w:rPr>
        <w:t> ?</w:t>
      </w:r>
      <w:r w:rsidR="00544EB1" w:rsidRPr="001D2947">
        <w:rPr>
          <w:rFonts w:cs="Times New Roman"/>
        </w:rPr>
        <w:t xml:space="preserve"> » est la motivation première des acteurs du réseau (Callon, 1986, p.180). La phase de problématisation va au-delà de la formulation, elle voit émerger « les points de passage obligés » (Callon, 1986). </w:t>
      </w:r>
      <w:r w:rsidR="00544EB1" w:rsidRPr="001D2947">
        <w:rPr>
          <w:rFonts w:cs="Times New Roman"/>
          <w:i/>
        </w:rPr>
        <w:t>De facto</w:t>
      </w:r>
      <w:r w:rsidR="00544EB1" w:rsidRPr="001D2947">
        <w:rPr>
          <w:rFonts w:cs="Times New Roman"/>
        </w:rPr>
        <w:t>, la problématisation contribue à définir les obstacles à surmonter et conditionne le système d’alliance</w:t>
      </w:r>
      <w:r w:rsidR="0023188B" w:rsidRPr="001D2947">
        <w:rPr>
          <w:rFonts w:cs="Times New Roman"/>
        </w:rPr>
        <w:t>s</w:t>
      </w:r>
      <w:r w:rsidR="00544EB1" w:rsidRPr="001D2947">
        <w:rPr>
          <w:rFonts w:cs="Times New Roman"/>
        </w:rPr>
        <w:t xml:space="preserve"> entre les différents acteurs.</w:t>
      </w:r>
    </w:p>
    <w:p w:rsidR="00544EB1" w:rsidRPr="001D2947" w:rsidRDefault="00544EB1" w:rsidP="001D2947">
      <w:pPr>
        <w:spacing w:line="360" w:lineRule="auto"/>
        <w:jc w:val="both"/>
        <w:rPr>
          <w:rFonts w:cs="Times New Roman"/>
        </w:rPr>
      </w:pPr>
      <w:r w:rsidRPr="001D2947">
        <w:rPr>
          <w:rFonts w:cs="Times New Roman"/>
        </w:rPr>
        <w:tab/>
        <w:t>L’étape de l’intéressement met l’accent sur les mécanismes de constitution des systèmes d’alliance</w:t>
      </w:r>
      <w:r w:rsidR="0023188B" w:rsidRPr="001D2947">
        <w:rPr>
          <w:rFonts w:cs="Times New Roman"/>
        </w:rPr>
        <w:t>s</w:t>
      </w:r>
      <w:r w:rsidRPr="001D2947">
        <w:rPr>
          <w:rFonts w:cs="Times New Roman"/>
        </w:rPr>
        <w:t>. L’intéressement est défini comme étant «  l’ensemble des actions par le</w:t>
      </w:r>
      <w:r w:rsidR="0023188B" w:rsidRPr="001D2947">
        <w:rPr>
          <w:rFonts w:cs="Times New Roman"/>
        </w:rPr>
        <w:t>quel</w:t>
      </w:r>
      <w:r w:rsidRPr="001D2947">
        <w:rPr>
          <w:rFonts w:cs="Times New Roman"/>
        </w:rPr>
        <w:t xml:space="preserve"> une entité s’efforce d’imposer et de stabiliser l’identité des autres acteurs qu’elle a défini par sa problématisation » (Callon, 1986, p.185). L’étude des dispositifs d’intéressement (co-)construit</w:t>
      </w:r>
      <w:r w:rsidR="001D5060" w:rsidRPr="001D2947">
        <w:rPr>
          <w:rFonts w:cs="Times New Roman"/>
        </w:rPr>
        <w:t>s</w:t>
      </w:r>
      <w:r w:rsidRPr="001D2947">
        <w:rPr>
          <w:rFonts w:cs="Times New Roman"/>
        </w:rPr>
        <w:t xml:space="preserve"> par les acteurs au sein du réseau sociotechnique met en lumière le large panel des stratégies des acteurs. L’acteur courbe le réseau en essayant de faire graviter autour de lui d’autres acteurs, ou mobilisant des intermédiaires pour transformer les termes de la problématisation. À ce titre, l’introduction de nouveaux intermédiaires ou </w:t>
      </w:r>
      <w:r w:rsidR="0023188B" w:rsidRPr="001D2947">
        <w:rPr>
          <w:rFonts w:cs="Times New Roman"/>
        </w:rPr>
        <w:t>la</w:t>
      </w:r>
      <w:r w:rsidRPr="001D2947">
        <w:rPr>
          <w:rFonts w:cs="Times New Roman"/>
        </w:rPr>
        <w:t xml:space="preserve"> réallocation d’intermédiaires impactent le dispositif d’intéressement et, </w:t>
      </w:r>
      <w:r w:rsidRPr="001D2947">
        <w:rPr>
          <w:rFonts w:cs="Times New Roman"/>
          <w:i/>
        </w:rPr>
        <w:t>in fine</w:t>
      </w:r>
      <w:r w:rsidR="0023188B" w:rsidRPr="001D2947">
        <w:rPr>
          <w:rFonts w:cs="Times New Roman"/>
        </w:rPr>
        <w:t>, le système d’alliances</w:t>
      </w:r>
      <w:r w:rsidRPr="001D2947">
        <w:rPr>
          <w:rFonts w:cs="Times New Roman"/>
        </w:rPr>
        <w:t xml:space="preserve"> construit préalablement. L’étape de l’intéressement montre la dimension intersubjective dans la construction des  réalités sociales et techniques. Enfin, les dispositifs d’intéressement conditionnent « une fixation des entités à enrôler, tout en interrompant </w:t>
      </w:r>
      <w:r w:rsidRPr="001D2947">
        <w:rPr>
          <w:rFonts w:cs="Times New Roman"/>
        </w:rPr>
        <w:lastRenderedPageBreak/>
        <w:t>d’éventuelles associations concurrentes et en construisant un système d’alliances » (Callon, 1986, p.187).</w:t>
      </w:r>
    </w:p>
    <w:p w:rsidR="00544EB1" w:rsidRPr="001D2947" w:rsidRDefault="00544EB1" w:rsidP="001D2947">
      <w:pPr>
        <w:spacing w:line="360" w:lineRule="auto"/>
        <w:jc w:val="both"/>
        <w:rPr>
          <w:rFonts w:cs="Times New Roman"/>
        </w:rPr>
      </w:pPr>
      <w:r w:rsidRPr="001D2947">
        <w:rPr>
          <w:rFonts w:cs="Times New Roman"/>
        </w:rPr>
        <w:tab/>
        <w:t xml:space="preserve">Le système d’alliances créé, il convient de préciser les rôles et de coordonner les acteurs prenant part au changement. Cette phase est nommée l’enrôlement. Ce dernier qualifie « le mécanisme par lequel un rôle est défini et attribué à un acteur qui l’accepte » (Callon, 1986, p.189). </w:t>
      </w:r>
      <w:r w:rsidRPr="001D2947">
        <w:rPr>
          <w:rFonts w:cs="Times New Roman"/>
          <w:i/>
        </w:rPr>
        <w:t>Via</w:t>
      </w:r>
      <w:r w:rsidRPr="001D2947">
        <w:rPr>
          <w:rFonts w:cs="Times New Roman"/>
        </w:rPr>
        <w:t xml:space="preserve"> l’enrôlement, il s’agit de concrétiser la vision du monde, les attentes et solutions techniques porté</w:t>
      </w:r>
      <w:r w:rsidR="00074E22" w:rsidRPr="001D2947">
        <w:rPr>
          <w:rFonts w:cs="Times New Roman"/>
        </w:rPr>
        <w:t>e</w:t>
      </w:r>
      <w:r w:rsidRPr="001D2947">
        <w:rPr>
          <w:rFonts w:cs="Times New Roman"/>
        </w:rPr>
        <w:t xml:space="preserve">s par les acteurs alliés. Dans cette optique, Callon évoque l’expression « dispositif de capture » (1986, p.189). Celui se réfère à la domination du réseau sociotechnique par un groupe d’acteurs qui, par l’utilisation d’intermédiaires, traduit la problématisation préalablement formulée en « une série d’énoncés considérés comme certain » (Callon, 1986). Lors de ces travaux antérieurs, Callon (1981) a mis en évidence les mécanismes de construction des mythes et, par ailleurs, du concept de certitude au sein des forums officiels et officieux. </w:t>
      </w:r>
    </w:p>
    <w:p w:rsidR="00544EB1" w:rsidRPr="001D2947" w:rsidRDefault="00544EB1" w:rsidP="001D2947">
      <w:pPr>
        <w:spacing w:line="360" w:lineRule="auto"/>
        <w:jc w:val="both"/>
        <w:rPr>
          <w:rFonts w:cs="Times New Roman"/>
        </w:rPr>
      </w:pPr>
      <w:r w:rsidRPr="001D2947">
        <w:rPr>
          <w:rFonts w:cs="Times New Roman"/>
        </w:rPr>
        <w:tab/>
        <w:t xml:space="preserve">La dernière phase </w:t>
      </w:r>
      <w:r w:rsidR="0023188B" w:rsidRPr="001D2947">
        <w:rPr>
          <w:rFonts w:cs="Times New Roman"/>
        </w:rPr>
        <w:t xml:space="preserve">du processus de traduction est </w:t>
      </w:r>
      <w:r w:rsidRPr="001D2947">
        <w:rPr>
          <w:rFonts w:cs="Times New Roman"/>
        </w:rPr>
        <w:t>la mobilisation des allié</w:t>
      </w:r>
      <w:r w:rsidR="0023188B" w:rsidRPr="001D2947">
        <w:rPr>
          <w:rFonts w:cs="Times New Roman"/>
        </w:rPr>
        <w:t>s. Celle-ci questionne la diffusion de la vision et d</w:t>
      </w:r>
      <w:r w:rsidRPr="001D2947">
        <w:rPr>
          <w:rFonts w:cs="Times New Roman"/>
        </w:rPr>
        <w:t>es énoncés déf</w:t>
      </w:r>
      <w:r w:rsidR="0023188B" w:rsidRPr="001D2947">
        <w:rPr>
          <w:rFonts w:cs="Times New Roman"/>
        </w:rPr>
        <w:t>endus par le système d’alliances. Par conséquent, c</w:t>
      </w:r>
      <w:r w:rsidRPr="001D2947">
        <w:rPr>
          <w:rFonts w:cs="Times New Roman"/>
        </w:rPr>
        <w:t>es interlocuteurs jouent le rôle de porte-parole</w:t>
      </w:r>
      <w:r w:rsidR="0023188B" w:rsidRPr="001D2947">
        <w:rPr>
          <w:rFonts w:cs="Times New Roman"/>
        </w:rPr>
        <w:t xml:space="preserve"> et</w:t>
      </w:r>
      <w:r w:rsidRPr="001D2947">
        <w:rPr>
          <w:rFonts w:cs="Times New Roman"/>
        </w:rPr>
        <w:t xml:space="preserve"> sont « porteurs des perspectives des actant qu’ils représentent » (Walsh &amp; Renaud, 2011, p.5). </w:t>
      </w:r>
    </w:p>
    <w:p w:rsidR="00544EB1" w:rsidRPr="001D2947" w:rsidRDefault="00544EB1" w:rsidP="001D2947">
      <w:pPr>
        <w:spacing w:line="360" w:lineRule="auto"/>
        <w:jc w:val="both"/>
        <w:rPr>
          <w:rFonts w:cs="Times New Roman"/>
        </w:rPr>
      </w:pPr>
      <w:r w:rsidRPr="001D2947">
        <w:rPr>
          <w:rFonts w:cs="Times New Roman"/>
        </w:rPr>
        <w:tab/>
      </w:r>
      <w:r w:rsidR="0023188B" w:rsidRPr="001D2947">
        <w:rPr>
          <w:rFonts w:cs="Times New Roman"/>
        </w:rPr>
        <w:t>Le</w:t>
      </w:r>
      <w:r w:rsidRPr="001D2947">
        <w:rPr>
          <w:rFonts w:cs="Times New Roman"/>
        </w:rPr>
        <w:t xml:space="preserve"> changement est conceptualisé par la théorie de la traduction comme un processus incertain et itératif (Akrich, Callon &amp; Latour, 2009). </w:t>
      </w:r>
      <w:r w:rsidR="009B7ABD" w:rsidRPr="001D2947">
        <w:rPr>
          <w:rFonts w:cs="Times New Roman"/>
        </w:rPr>
        <w:t xml:space="preserve">Les acteurs luttent pour imposer leurs </w:t>
      </w:r>
      <w:r w:rsidRPr="001D2947">
        <w:rPr>
          <w:rFonts w:cs="Times New Roman"/>
        </w:rPr>
        <w:t xml:space="preserve">représentations sociales et techniques </w:t>
      </w:r>
      <w:r w:rsidR="0023188B" w:rsidRPr="001D2947">
        <w:rPr>
          <w:rFonts w:cs="Times New Roman"/>
        </w:rPr>
        <w:t>pour</w:t>
      </w:r>
      <w:r w:rsidRPr="001D2947">
        <w:rPr>
          <w:rFonts w:cs="Times New Roman"/>
        </w:rPr>
        <w:t xml:space="preserve"> faire vaciller la trajectoire du changement. Ainsi, le changement te</w:t>
      </w:r>
      <w:r w:rsidR="0023188B" w:rsidRPr="001D2947">
        <w:rPr>
          <w:rFonts w:cs="Times New Roman"/>
        </w:rPr>
        <w:t xml:space="preserve">chnique proposé n’est ni neutre, </w:t>
      </w:r>
      <w:r w:rsidRPr="001D2947">
        <w:rPr>
          <w:rFonts w:cs="Times New Roman"/>
        </w:rPr>
        <w:t>ni définitif. Il est construit par et pour des acteurs déjà ancrés au sein de</w:t>
      </w:r>
      <w:r w:rsidR="0023188B" w:rsidRPr="001D2947">
        <w:rPr>
          <w:rFonts w:cs="Times New Roman"/>
        </w:rPr>
        <w:t>s</w:t>
      </w:r>
      <w:r w:rsidRPr="001D2947">
        <w:rPr>
          <w:rFonts w:cs="Times New Roman"/>
        </w:rPr>
        <w:t xml:space="preserve"> contextes sociaux et techniques. Ces acteurs hétérogènes interagissent et </w:t>
      </w:r>
      <w:r w:rsidR="0023188B" w:rsidRPr="001D2947">
        <w:rPr>
          <w:rFonts w:cs="Times New Roman"/>
        </w:rPr>
        <w:t>poursuiv</w:t>
      </w:r>
      <w:r w:rsidRPr="001D2947">
        <w:rPr>
          <w:rFonts w:cs="Times New Roman"/>
        </w:rPr>
        <w:t>e</w:t>
      </w:r>
      <w:r w:rsidR="0023188B" w:rsidRPr="001D2947">
        <w:rPr>
          <w:rFonts w:cs="Times New Roman"/>
        </w:rPr>
        <w:t>nt</w:t>
      </w:r>
      <w:r w:rsidRPr="001D2947">
        <w:rPr>
          <w:rFonts w:cs="Times New Roman"/>
        </w:rPr>
        <w:t xml:space="preserve"> leurs i</w:t>
      </w:r>
      <w:r w:rsidR="0023188B" w:rsidRPr="001D2947">
        <w:rPr>
          <w:rFonts w:cs="Times New Roman"/>
        </w:rPr>
        <w:t xml:space="preserve">ntérêts propres (Callon, 1979). </w:t>
      </w:r>
      <w:r w:rsidRPr="001D2947">
        <w:rPr>
          <w:rFonts w:cs="Times New Roman"/>
        </w:rPr>
        <w:t xml:space="preserve">L’émergence d’un compromis autour d’une solution technique socialement acceptable, bien que possédant un caractère temporaire, a également des effets sur la trajectoire du réseau sociotechnique. </w:t>
      </w:r>
    </w:p>
    <w:p w:rsidR="003D36D2" w:rsidRDefault="003D36D2">
      <w:pPr>
        <w:rPr>
          <w:rFonts w:cs="Times New Roman"/>
          <w:b/>
        </w:rPr>
      </w:pPr>
      <w:r>
        <w:rPr>
          <w:rFonts w:cs="Times New Roman"/>
          <w:b/>
        </w:rPr>
        <w:br w:type="page"/>
      </w:r>
    </w:p>
    <w:p w:rsidR="00544EB1" w:rsidRPr="001D2947" w:rsidRDefault="00544EB1" w:rsidP="001D2947">
      <w:pPr>
        <w:spacing w:line="360" w:lineRule="auto"/>
        <w:jc w:val="center"/>
        <w:rPr>
          <w:rFonts w:cs="Times New Roman"/>
          <w:b/>
        </w:rPr>
      </w:pPr>
      <w:r w:rsidRPr="001D2947">
        <w:rPr>
          <w:rFonts w:cs="Times New Roman"/>
          <w:b/>
        </w:rPr>
        <w:lastRenderedPageBreak/>
        <w:t>Tableau 1 : Les étapes constitutives du processus de traduction (source:  Callon, 1986)</w:t>
      </w:r>
    </w:p>
    <w:tbl>
      <w:tblPr>
        <w:tblStyle w:val="Tramemoyenne1-Accent1"/>
        <w:tblW w:w="9180" w:type="dxa"/>
        <w:jc w:val="center"/>
        <w:tblInd w:w="108" w:type="dxa"/>
        <w:tblLook w:val="04A0" w:firstRow="1" w:lastRow="0" w:firstColumn="1" w:lastColumn="0" w:noHBand="0" w:noVBand="1"/>
      </w:tblPr>
      <w:tblGrid>
        <w:gridCol w:w="1092"/>
        <w:gridCol w:w="2380"/>
        <w:gridCol w:w="2835"/>
        <w:gridCol w:w="2873"/>
      </w:tblGrid>
      <w:tr w:rsidR="00544EB1" w:rsidRPr="001D2947">
        <w:trPr>
          <w:cnfStyle w:val="100000000000" w:firstRow="1" w:lastRow="0" w:firstColumn="0" w:lastColumn="0" w:oddVBand="0" w:evenVBand="0" w:oddHBand="0" w:evenHBand="0" w:firstRowFirstColumn="0" w:firstRowLastColumn="0" w:lastRowFirstColumn="0" w:lastRowLastColumn="0"/>
          <w:trHeight w:val="665"/>
          <w:jc w:val="center"/>
        </w:trPr>
        <w:tc>
          <w:tcPr>
            <w:cnfStyle w:val="001000000000" w:firstRow="0" w:lastRow="0" w:firstColumn="1" w:lastColumn="0" w:oddVBand="0" w:evenVBand="0" w:oddHBand="0" w:evenHBand="0" w:firstRowFirstColumn="0" w:firstRowLastColumn="0" w:lastRowFirstColumn="0" w:lastRowLastColumn="0"/>
            <w:tcW w:w="1092" w:type="dxa"/>
          </w:tcPr>
          <w:p w:rsidR="00544EB1" w:rsidRPr="001D2947" w:rsidRDefault="00544EB1" w:rsidP="001D2947">
            <w:pPr>
              <w:spacing w:line="360" w:lineRule="auto"/>
              <w:rPr>
                <w:rFonts w:eastAsia="Times New Roman" w:cs="Times New Roman"/>
                <w:color w:val="000000"/>
                <w:lang w:eastAsia="fr-BE"/>
              </w:rPr>
            </w:pPr>
          </w:p>
        </w:tc>
        <w:tc>
          <w:tcPr>
            <w:tcW w:w="2380" w:type="dxa"/>
            <w:vAlign w:val="center"/>
          </w:tcPr>
          <w:p w:rsidR="00544EB1" w:rsidRPr="001D2947" w:rsidRDefault="00544EB1" w:rsidP="001D2947">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lang w:eastAsia="fr-BE"/>
              </w:rPr>
            </w:pPr>
            <w:r w:rsidRPr="001D2947">
              <w:rPr>
                <w:rFonts w:eastAsia="Times New Roman" w:cs="Times New Roman"/>
                <w:lang w:eastAsia="fr-BE"/>
              </w:rPr>
              <w:t>Étape</w:t>
            </w:r>
          </w:p>
        </w:tc>
        <w:tc>
          <w:tcPr>
            <w:tcW w:w="2835" w:type="dxa"/>
            <w:vAlign w:val="center"/>
          </w:tcPr>
          <w:p w:rsidR="00544EB1" w:rsidRPr="001D2947" w:rsidRDefault="00544EB1" w:rsidP="001D2947">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lang w:eastAsia="fr-BE"/>
              </w:rPr>
            </w:pPr>
            <w:r w:rsidRPr="001D2947">
              <w:rPr>
                <w:rFonts w:eastAsia="Times New Roman" w:cs="Times New Roman"/>
                <w:lang w:eastAsia="fr-BE"/>
              </w:rPr>
              <w:t>Finalités de l’étape</w:t>
            </w:r>
          </w:p>
        </w:tc>
        <w:tc>
          <w:tcPr>
            <w:tcW w:w="2873" w:type="dxa"/>
            <w:vAlign w:val="center"/>
          </w:tcPr>
          <w:p w:rsidR="00544EB1" w:rsidRPr="001D2947" w:rsidRDefault="00544EB1" w:rsidP="001D2947">
            <w:pPr>
              <w:spacing w:line="360" w:lineRule="auto"/>
              <w:cnfStyle w:val="100000000000" w:firstRow="1" w:lastRow="0" w:firstColumn="0" w:lastColumn="0" w:oddVBand="0" w:evenVBand="0" w:oddHBand="0" w:evenHBand="0" w:firstRowFirstColumn="0" w:firstRowLastColumn="0" w:lastRowFirstColumn="0" w:lastRowLastColumn="0"/>
              <w:rPr>
                <w:rFonts w:eastAsia="Times New Roman" w:cs="Times New Roman"/>
                <w:lang w:eastAsia="fr-BE"/>
              </w:rPr>
            </w:pPr>
            <w:r w:rsidRPr="001D2947">
              <w:rPr>
                <w:rFonts w:eastAsia="Times New Roman" w:cs="Times New Roman"/>
                <w:lang w:eastAsia="fr-BE"/>
              </w:rPr>
              <w:t>Question posée par les acteurs lors de l’étape</w:t>
            </w:r>
          </w:p>
        </w:tc>
      </w:tr>
      <w:tr w:rsidR="00544EB1" w:rsidRPr="001D2947">
        <w:trPr>
          <w:cnfStyle w:val="000000100000" w:firstRow="0" w:lastRow="0" w:firstColumn="0" w:lastColumn="0" w:oddVBand="0" w:evenVBand="0" w:oddHBand="1" w:evenHBand="0" w:firstRowFirstColumn="0" w:firstRowLastColumn="0" w:lastRowFirstColumn="0" w:lastRowLastColumn="0"/>
          <w:trHeight w:val="972"/>
          <w:jc w:val="center"/>
        </w:trPr>
        <w:tc>
          <w:tcPr>
            <w:cnfStyle w:val="001000000000" w:firstRow="0" w:lastRow="0" w:firstColumn="1" w:lastColumn="0" w:oddVBand="0" w:evenVBand="0" w:oddHBand="0" w:evenHBand="0" w:firstRowFirstColumn="0" w:firstRowLastColumn="0" w:lastRowFirstColumn="0" w:lastRowLastColumn="0"/>
            <w:tcW w:w="1092" w:type="dxa"/>
            <w:vAlign w:val="center"/>
          </w:tcPr>
          <w:p w:rsidR="00544EB1" w:rsidRPr="001D2947" w:rsidRDefault="00544EB1"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1.</w:t>
            </w:r>
          </w:p>
        </w:tc>
        <w:tc>
          <w:tcPr>
            <w:tcW w:w="2380" w:type="dxa"/>
            <w:vAlign w:val="center"/>
          </w:tcPr>
          <w:p w:rsidR="00544EB1" w:rsidRPr="001D2947" w:rsidRDefault="00544EB1"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 problématisation</w:t>
            </w:r>
          </w:p>
        </w:tc>
        <w:tc>
          <w:tcPr>
            <w:tcW w:w="2835" w:type="dxa"/>
            <w:vAlign w:val="center"/>
          </w:tcPr>
          <w:p w:rsidR="00544EB1" w:rsidRPr="001D2947" w:rsidRDefault="00544EB1"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Formuler le problème, entre-définir les acteurs et définir les points de passages obligés</w:t>
            </w:r>
          </w:p>
        </w:tc>
        <w:tc>
          <w:tcPr>
            <w:tcW w:w="2873" w:type="dxa"/>
            <w:vAlign w:val="center"/>
          </w:tcPr>
          <w:p w:rsidR="00544EB1" w:rsidRPr="001D2947" w:rsidRDefault="00544EB1"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Comment, en tant qu'acteur</w:t>
            </w:r>
            <w:r w:rsidR="00E067F3" w:rsidRPr="001D2947">
              <w:rPr>
                <w:rFonts w:eastAsia="Times New Roman" w:cs="Times New Roman"/>
                <w:color w:val="000000"/>
                <w:lang w:eastAsia="fr-BE"/>
              </w:rPr>
              <w:t>s</w:t>
            </w:r>
            <w:r w:rsidRPr="001D2947">
              <w:rPr>
                <w:rFonts w:eastAsia="Times New Roman" w:cs="Times New Roman"/>
                <w:color w:val="000000"/>
                <w:lang w:eastAsia="fr-BE"/>
              </w:rPr>
              <w:t>, se rendre indispensables?</w:t>
            </w:r>
          </w:p>
        </w:tc>
      </w:tr>
      <w:tr w:rsidR="00544EB1" w:rsidRPr="001D2947">
        <w:trPr>
          <w:cnfStyle w:val="000000010000" w:firstRow="0" w:lastRow="0" w:firstColumn="0" w:lastColumn="0" w:oddVBand="0" w:evenVBand="0" w:oddHBand="0" w:evenHBand="1"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092" w:type="dxa"/>
            <w:vAlign w:val="center"/>
          </w:tcPr>
          <w:p w:rsidR="00544EB1" w:rsidRPr="001D2947" w:rsidRDefault="00544EB1"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2.</w:t>
            </w:r>
          </w:p>
        </w:tc>
        <w:tc>
          <w:tcPr>
            <w:tcW w:w="2380" w:type="dxa"/>
            <w:vAlign w:val="center"/>
          </w:tcPr>
          <w:p w:rsidR="00544EB1" w:rsidRPr="001D2947" w:rsidRDefault="00544EB1"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L'intéressement</w:t>
            </w:r>
          </w:p>
        </w:tc>
        <w:tc>
          <w:tcPr>
            <w:tcW w:w="2835" w:type="dxa"/>
            <w:vAlign w:val="center"/>
          </w:tcPr>
          <w:p w:rsidR="00544EB1" w:rsidRPr="001D2947" w:rsidRDefault="009C6BF3"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Imposer</w:t>
            </w:r>
            <w:r w:rsidR="00544EB1" w:rsidRPr="001D2947">
              <w:rPr>
                <w:rFonts w:eastAsia="Times New Roman" w:cs="Times New Roman"/>
                <w:color w:val="000000"/>
                <w:lang w:eastAsia="fr-BE"/>
              </w:rPr>
              <w:t xml:space="preserve"> et stabiliser les identités des autres acteurs</w:t>
            </w:r>
          </w:p>
        </w:tc>
        <w:tc>
          <w:tcPr>
            <w:tcW w:w="2873" w:type="dxa"/>
            <w:vAlign w:val="center"/>
          </w:tcPr>
          <w:p w:rsidR="00544EB1" w:rsidRPr="001D2947" w:rsidRDefault="00544EB1"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Comment  sceller, une association,  un système d'alliance?</w:t>
            </w:r>
          </w:p>
        </w:tc>
      </w:tr>
      <w:tr w:rsidR="00544EB1" w:rsidRPr="001D2947">
        <w:trPr>
          <w:cnfStyle w:val="000000100000" w:firstRow="0" w:lastRow="0" w:firstColumn="0" w:lastColumn="0" w:oddVBand="0" w:evenVBand="0" w:oddHBand="1" w:evenHBand="0" w:firstRowFirstColumn="0" w:firstRowLastColumn="0" w:lastRowFirstColumn="0" w:lastRowLastColumn="0"/>
          <w:trHeight w:val="1200"/>
          <w:jc w:val="center"/>
        </w:trPr>
        <w:tc>
          <w:tcPr>
            <w:cnfStyle w:val="001000000000" w:firstRow="0" w:lastRow="0" w:firstColumn="1" w:lastColumn="0" w:oddVBand="0" w:evenVBand="0" w:oddHBand="0" w:evenHBand="0" w:firstRowFirstColumn="0" w:firstRowLastColumn="0" w:lastRowFirstColumn="0" w:lastRowLastColumn="0"/>
            <w:tcW w:w="1092" w:type="dxa"/>
            <w:vAlign w:val="center"/>
          </w:tcPr>
          <w:p w:rsidR="00544EB1" w:rsidRPr="001D2947" w:rsidRDefault="00544EB1"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3.</w:t>
            </w:r>
          </w:p>
        </w:tc>
        <w:tc>
          <w:tcPr>
            <w:tcW w:w="2380" w:type="dxa"/>
            <w:vAlign w:val="center"/>
          </w:tcPr>
          <w:p w:rsidR="00544EB1" w:rsidRPr="001D2947" w:rsidRDefault="00544EB1"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L'enrôlement</w:t>
            </w:r>
          </w:p>
        </w:tc>
        <w:tc>
          <w:tcPr>
            <w:tcW w:w="2835" w:type="dxa"/>
            <w:vAlign w:val="center"/>
          </w:tcPr>
          <w:p w:rsidR="00544EB1" w:rsidRPr="001D2947" w:rsidRDefault="00544EB1"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Préciser les rôles et formuler une série d’énoncés considérés comme certains</w:t>
            </w:r>
          </w:p>
        </w:tc>
        <w:tc>
          <w:tcPr>
            <w:tcW w:w="2873" w:type="dxa"/>
            <w:vAlign w:val="center"/>
          </w:tcPr>
          <w:p w:rsidR="00544EB1" w:rsidRPr="001D2947" w:rsidRDefault="00544EB1" w:rsidP="001D2947">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Comment définir et concrétiser les rôles des acteurs?</w:t>
            </w:r>
          </w:p>
        </w:tc>
      </w:tr>
      <w:tr w:rsidR="00544EB1" w:rsidRPr="001D2947">
        <w:trPr>
          <w:cnfStyle w:val="000000010000" w:firstRow="0" w:lastRow="0" w:firstColumn="0" w:lastColumn="0" w:oddVBand="0" w:evenVBand="0" w:oddHBand="0" w:evenHBand="1" w:firstRowFirstColumn="0" w:firstRowLastColumn="0" w:lastRowFirstColumn="0" w:lastRowLastColumn="0"/>
          <w:trHeight w:val="900"/>
          <w:jc w:val="center"/>
        </w:trPr>
        <w:tc>
          <w:tcPr>
            <w:cnfStyle w:val="001000000000" w:firstRow="0" w:lastRow="0" w:firstColumn="1" w:lastColumn="0" w:oddVBand="0" w:evenVBand="0" w:oddHBand="0" w:evenHBand="0" w:firstRowFirstColumn="0" w:firstRowLastColumn="0" w:lastRowFirstColumn="0" w:lastRowLastColumn="0"/>
            <w:tcW w:w="1092" w:type="dxa"/>
            <w:vAlign w:val="center"/>
          </w:tcPr>
          <w:p w:rsidR="00544EB1" w:rsidRPr="001D2947" w:rsidRDefault="00544EB1" w:rsidP="001D2947">
            <w:pPr>
              <w:spacing w:line="360" w:lineRule="auto"/>
              <w:jc w:val="center"/>
              <w:rPr>
                <w:rFonts w:eastAsia="Times New Roman" w:cs="Times New Roman"/>
                <w:color w:val="000000"/>
                <w:lang w:eastAsia="fr-BE"/>
              </w:rPr>
            </w:pPr>
            <w:r w:rsidRPr="001D2947">
              <w:rPr>
                <w:rFonts w:eastAsia="Times New Roman" w:cs="Times New Roman"/>
                <w:color w:val="000000"/>
                <w:lang w:eastAsia="fr-BE"/>
              </w:rPr>
              <w:t>4.</w:t>
            </w:r>
          </w:p>
        </w:tc>
        <w:tc>
          <w:tcPr>
            <w:tcW w:w="2380" w:type="dxa"/>
            <w:vAlign w:val="center"/>
          </w:tcPr>
          <w:p w:rsidR="00544EB1" w:rsidRPr="001D2947" w:rsidRDefault="00544EB1"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La mobilisation des alliés</w:t>
            </w:r>
          </w:p>
        </w:tc>
        <w:tc>
          <w:tcPr>
            <w:tcW w:w="2835" w:type="dxa"/>
            <w:vAlign w:val="center"/>
          </w:tcPr>
          <w:p w:rsidR="00544EB1" w:rsidRPr="001D2947" w:rsidRDefault="00544EB1"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Porter la vision du monde et les énoncés défendus par l'alliance</w:t>
            </w:r>
          </w:p>
        </w:tc>
        <w:tc>
          <w:tcPr>
            <w:tcW w:w="2873" w:type="dxa"/>
            <w:vAlign w:val="center"/>
          </w:tcPr>
          <w:p w:rsidR="00544EB1" w:rsidRPr="001D2947" w:rsidRDefault="00544EB1" w:rsidP="001D2947">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cs="Times New Roman"/>
                <w:color w:val="000000"/>
                <w:lang w:eastAsia="fr-BE"/>
              </w:rPr>
            </w:pPr>
            <w:r w:rsidRPr="001D2947">
              <w:rPr>
                <w:rFonts w:eastAsia="Times New Roman" w:cs="Times New Roman"/>
                <w:color w:val="000000"/>
                <w:lang w:eastAsia="fr-BE"/>
              </w:rPr>
              <w:t>Qui parle au nom de qui?</w:t>
            </w:r>
          </w:p>
        </w:tc>
      </w:tr>
    </w:tbl>
    <w:p w:rsidR="00544EB1" w:rsidRPr="001D2947" w:rsidRDefault="00544EB1" w:rsidP="001D2947">
      <w:pPr>
        <w:spacing w:line="360" w:lineRule="auto"/>
        <w:jc w:val="both"/>
        <w:rPr>
          <w:rFonts w:cs="Times New Roman"/>
        </w:rPr>
      </w:pPr>
    </w:p>
    <w:p w:rsidR="00850C4B" w:rsidRPr="001D2947" w:rsidRDefault="00850C4B" w:rsidP="001D2947">
      <w:pPr>
        <w:pStyle w:val="Titre1"/>
        <w:numPr>
          <w:ilvl w:val="0"/>
          <w:numId w:val="13"/>
        </w:numPr>
        <w:spacing w:line="360" w:lineRule="auto"/>
        <w:rPr>
          <w:rFonts w:asciiTheme="minorHAnsi" w:hAnsiTheme="minorHAnsi" w:cs="Times New Roman"/>
          <w:sz w:val="22"/>
          <w:szCs w:val="22"/>
        </w:rPr>
      </w:pPr>
      <w:r w:rsidRPr="001D2947">
        <w:rPr>
          <w:rFonts w:asciiTheme="minorHAnsi" w:hAnsiTheme="minorHAnsi" w:cs="Times New Roman"/>
          <w:sz w:val="22"/>
          <w:szCs w:val="22"/>
        </w:rPr>
        <w:t xml:space="preserve">Analyse </w:t>
      </w:r>
    </w:p>
    <w:p w:rsidR="00335FC4" w:rsidRPr="001D2947" w:rsidRDefault="00335FC4" w:rsidP="001D2947">
      <w:pPr>
        <w:pStyle w:val="Titre3"/>
        <w:numPr>
          <w:ilvl w:val="1"/>
          <w:numId w:val="13"/>
        </w:numPr>
        <w:spacing w:line="360" w:lineRule="auto"/>
        <w:rPr>
          <w:rFonts w:asciiTheme="minorHAnsi" w:hAnsiTheme="minorHAnsi" w:cs="Times New Roman"/>
        </w:rPr>
      </w:pPr>
      <w:r w:rsidRPr="001D2947">
        <w:rPr>
          <w:rFonts w:asciiTheme="minorHAnsi" w:hAnsiTheme="minorHAnsi" w:cs="Times New Roman"/>
        </w:rPr>
        <w:t>L’étape de la problématisation</w:t>
      </w:r>
    </w:p>
    <w:p w:rsidR="00335FC4" w:rsidRPr="001D2947" w:rsidRDefault="00335FC4" w:rsidP="001D2947">
      <w:pPr>
        <w:pStyle w:val="Paragraphedeliste"/>
        <w:spacing w:line="360" w:lineRule="auto"/>
        <w:ind w:left="0"/>
        <w:jc w:val="both"/>
        <w:rPr>
          <w:rFonts w:cs="Times New Roman"/>
        </w:rPr>
      </w:pPr>
      <w:r w:rsidRPr="001D2947">
        <w:rPr>
          <w:rFonts w:cs="Times New Roman"/>
        </w:rPr>
        <w:tab/>
        <w:t xml:space="preserve">La formulation du problème politique à traiter est un enjeu stratégique pour définir les acteurs indispensables ainsi que les points de passage obligés. Les treize personnes interrogées qui ont énoncé la problématique à laquelle prétendent répondre les pôles de compétitivité ont un dénominateur commun : la Wallonie connait un déclin industriel et ne parvient pas à amorcer un redéploiement économique. Les raisons évoquées pour expliquer ce déclin sont plus nuancées et sont les suivantes : (1) la croyance de la Wallonie dans le maintien toute sa puissance industrielle ; (2) un raisonnement industriel mû par une rationalité politique davantage qu’économique ; (3) l’individualisme et le cloisonnement des acteurs économiques et universitaires ; (4) un système d’aide traditionnel et inadapté ; (5) aucune émergence naturelle de </w:t>
      </w:r>
      <w:r w:rsidRPr="001D2947">
        <w:rPr>
          <w:rFonts w:cs="Times New Roman"/>
          <w:i/>
        </w:rPr>
        <w:t xml:space="preserve">cluster </w:t>
      </w:r>
      <w:r w:rsidRPr="001D2947">
        <w:rPr>
          <w:rFonts w:cs="Times New Roman"/>
        </w:rPr>
        <w:t>en Wallonie ; (5) des moyens limités.</w:t>
      </w:r>
    </w:p>
    <w:p w:rsidR="00335FC4" w:rsidRPr="001D2947" w:rsidRDefault="00335FC4" w:rsidP="001D2947">
      <w:pPr>
        <w:pStyle w:val="Paragraphedeliste"/>
        <w:spacing w:line="360" w:lineRule="auto"/>
        <w:ind w:left="0"/>
        <w:jc w:val="both"/>
        <w:rPr>
          <w:rFonts w:cs="Times New Roman"/>
        </w:rPr>
      </w:pPr>
    </w:p>
    <w:p w:rsidR="00335FC4" w:rsidRPr="001D2947" w:rsidRDefault="00335FC4" w:rsidP="001D2947">
      <w:pPr>
        <w:pStyle w:val="Paragraphedeliste"/>
        <w:spacing w:line="360" w:lineRule="auto"/>
        <w:ind w:left="0"/>
        <w:jc w:val="both"/>
        <w:rPr>
          <w:rFonts w:cs="Times New Roman"/>
        </w:rPr>
      </w:pPr>
      <w:r w:rsidRPr="001D2947">
        <w:rPr>
          <w:rFonts w:cs="Times New Roman"/>
        </w:rPr>
        <w:tab/>
        <w:t xml:space="preserve">En réponse à ce problème, les personnes interrogées ont été amenées à proposer des solutions. Celles-ci se concentrent sur quatre principes d’action : (1), réformer en profondeur le </w:t>
      </w:r>
      <w:r w:rsidRPr="001D2947">
        <w:rPr>
          <w:rFonts w:cs="Times New Roman"/>
        </w:rPr>
        <w:lastRenderedPageBreak/>
        <w:t>système économique wallon ; (2) développer et planifier une véritable politique industrielle en se basant sur les points forts de la Wallonie ; (3) adapter les mesures de développement régional au fonctionnement du système politico-administratif, (4) amplifier la politique de clustering mise en œuvre en 2000.</w:t>
      </w:r>
    </w:p>
    <w:p w:rsidR="00335FC4" w:rsidRPr="001D2947" w:rsidRDefault="00335FC4" w:rsidP="001D2947">
      <w:pPr>
        <w:pStyle w:val="Paragraphedeliste"/>
        <w:spacing w:line="360" w:lineRule="auto"/>
        <w:ind w:left="0"/>
        <w:jc w:val="both"/>
        <w:rPr>
          <w:rFonts w:cs="Times New Roman"/>
        </w:rPr>
      </w:pPr>
    </w:p>
    <w:p w:rsidR="00335FC4" w:rsidRPr="001D2947" w:rsidRDefault="00335FC4" w:rsidP="001D2947">
      <w:pPr>
        <w:pStyle w:val="Paragraphedeliste"/>
        <w:spacing w:line="360" w:lineRule="auto"/>
        <w:ind w:left="0"/>
        <w:jc w:val="both"/>
        <w:rPr>
          <w:rFonts w:cs="Times New Roman"/>
        </w:rPr>
      </w:pPr>
      <w:r w:rsidRPr="001D2947">
        <w:rPr>
          <w:rFonts w:cs="Times New Roman"/>
        </w:rPr>
        <w:tab/>
        <w:t xml:space="preserve">L’analyse montre un </w:t>
      </w:r>
      <w:r w:rsidRPr="001D2947">
        <w:rPr>
          <w:rFonts w:cs="Times New Roman"/>
          <w:i/>
        </w:rPr>
        <w:t>consensus</w:t>
      </w:r>
      <w:r w:rsidRPr="001D2947">
        <w:rPr>
          <w:rFonts w:cs="Times New Roman"/>
        </w:rPr>
        <w:t xml:space="preserve"> autour de la formulation du problème et des solutions à apporter. S’il est pertinent de signaler que les acteurs impliqués dans la politique industrielle wallonne ont été réceptifs aux concepts et postulats véhiculés par les modèles d’innovation territoriaux, ceux-ci conçoivent le renforcement des </w:t>
      </w:r>
      <w:r w:rsidRPr="001D2947">
        <w:rPr>
          <w:rFonts w:cs="Times New Roman"/>
          <w:i/>
        </w:rPr>
        <w:t>clusters</w:t>
      </w:r>
      <w:r w:rsidRPr="001D2947">
        <w:rPr>
          <w:rFonts w:cs="Times New Roman"/>
        </w:rPr>
        <w:t xml:space="preserve"> uniquement à travers l’action publique. Cependant, la mise en œuvre d’un tel modèle nécessite pour certains acteurs, en particulier administratifs et syndicaux, une adaptation au fonctionnement des institutions régionales.</w:t>
      </w:r>
    </w:p>
    <w:p w:rsidR="00335FC4" w:rsidRPr="001D2947" w:rsidRDefault="00335FC4" w:rsidP="001D2947">
      <w:pPr>
        <w:pStyle w:val="Titre3"/>
        <w:numPr>
          <w:ilvl w:val="1"/>
          <w:numId w:val="13"/>
        </w:numPr>
        <w:spacing w:line="360" w:lineRule="auto"/>
        <w:rPr>
          <w:rFonts w:asciiTheme="minorHAnsi" w:hAnsiTheme="minorHAnsi" w:cs="Times New Roman"/>
        </w:rPr>
      </w:pPr>
      <w:r w:rsidRPr="001D2947">
        <w:rPr>
          <w:rFonts w:asciiTheme="minorHAnsi" w:hAnsiTheme="minorHAnsi" w:cs="Times New Roman"/>
        </w:rPr>
        <w:t>L’étape de l’intéressement</w:t>
      </w:r>
    </w:p>
    <w:p w:rsidR="00335FC4" w:rsidRPr="001D2947" w:rsidRDefault="00335FC4" w:rsidP="001D2947">
      <w:pPr>
        <w:spacing w:line="360" w:lineRule="auto"/>
        <w:jc w:val="both"/>
        <w:rPr>
          <w:rFonts w:cs="Times New Roman"/>
        </w:rPr>
      </w:pPr>
      <w:r w:rsidRPr="001D2947">
        <w:rPr>
          <w:rFonts w:cs="Times New Roman"/>
        </w:rPr>
        <w:tab/>
        <w:t>L’intéressement élucide les mécanismes par lesquels un système d’alliance est scellé. Dans le cas des pôles wallons, il convient de souligner la place prépondérante de l’autorité publique, particulièrement des cabinets ministériels, dans l’élaboration de la politique indust</w:t>
      </w:r>
      <w:r w:rsidR="005665A8" w:rsidRPr="001D2947">
        <w:rPr>
          <w:rFonts w:cs="Times New Roman"/>
        </w:rPr>
        <w:t>rielle. À cet égard, de nombreuses</w:t>
      </w:r>
      <w:r w:rsidRPr="001D2947">
        <w:rPr>
          <w:rFonts w:cs="Times New Roman"/>
        </w:rPr>
        <w:t xml:space="preserve"> personnes interrogées qualifient le Ministre de l’Économie et </w:t>
      </w:r>
      <w:r w:rsidR="005665A8" w:rsidRPr="001D2947">
        <w:rPr>
          <w:rFonts w:cs="Times New Roman"/>
        </w:rPr>
        <w:t>ses conseillers</w:t>
      </w:r>
      <w:r w:rsidRPr="001D2947">
        <w:rPr>
          <w:rFonts w:cs="Times New Roman"/>
        </w:rPr>
        <w:t xml:space="preserve"> </w:t>
      </w:r>
      <w:r w:rsidR="00BD1C4A" w:rsidRPr="001D2947">
        <w:rPr>
          <w:rFonts w:cs="Times New Roman"/>
        </w:rPr>
        <w:t>« d’</w:t>
      </w:r>
      <w:r w:rsidRPr="001D2947">
        <w:rPr>
          <w:rFonts w:cs="Times New Roman"/>
        </w:rPr>
        <w:t>acteurs centraux</w:t>
      </w:r>
      <w:r w:rsidR="00BD1C4A" w:rsidRPr="001D2947">
        <w:rPr>
          <w:rFonts w:cs="Times New Roman"/>
        </w:rPr>
        <w:t> »</w:t>
      </w:r>
      <w:r w:rsidR="005665A8" w:rsidRPr="001D2947">
        <w:rPr>
          <w:rFonts w:cs="Times New Roman"/>
        </w:rPr>
        <w:t xml:space="preserve"> des pôles</w:t>
      </w:r>
      <w:r w:rsidRPr="001D2947">
        <w:rPr>
          <w:rFonts w:cs="Times New Roman"/>
        </w:rPr>
        <w:t>.</w:t>
      </w:r>
    </w:p>
    <w:p w:rsidR="00335FC4" w:rsidRPr="001D2947" w:rsidRDefault="00BD1C4A" w:rsidP="001D2947">
      <w:pPr>
        <w:spacing w:line="360" w:lineRule="auto"/>
        <w:jc w:val="both"/>
        <w:rPr>
          <w:rFonts w:cs="Times New Roman"/>
        </w:rPr>
      </w:pPr>
      <w:r w:rsidRPr="001D2947">
        <w:rPr>
          <w:rFonts w:cs="Times New Roman"/>
        </w:rPr>
        <w:tab/>
        <w:t xml:space="preserve">La </w:t>
      </w:r>
      <w:r w:rsidR="00335FC4" w:rsidRPr="001D2947">
        <w:rPr>
          <w:rFonts w:cs="Times New Roman"/>
        </w:rPr>
        <w:t>définition des identités débute par la volonté du Ministre de l’économie de se démarquer de son prédécesseur</w:t>
      </w:r>
      <w:r w:rsidR="005665A8" w:rsidRPr="001D2947">
        <w:rPr>
          <w:rStyle w:val="Appelnotedebasdep"/>
          <w:rFonts w:cs="Times New Roman"/>
        </w:rPr>
        <w:footnoteReference w:id="12"/>
      </w:r>
      <w:r w:rsidR="005665A8" w:rsidRPr="001D2947">
        <w:rPr>
          <w:rFonts w:cs="Times New Roman"/>
        </w:rPr>
        <w:t xml:space="preserve">. </w:t>
      </w:r>
      <w:r w:rsidR="00335FC4" w:rsidRPr="001D2947">
        <w:rPr>
          <w:rFonts w:cs="Times New Roman"/>
        </w:rPr>
        <w:t>Le Ministre et ses conseillers politiques prennent contact directement avec les acteurs industriels régionaux– capitaines d’industrie, Union wallonne des entreprises, fédérations d’entreprises</w:t>
      </w:r>
      <w:r w:rsidR="005665A8" w:rsidRPr="001D2947">
        <w:rPr>
          <w:rFonts w:cs="Times New Roman"/>
        </w:rPr>
        <w:t xml:space="preserve"> </w:t>
      </w:r>
      <w:r w:rsidR="00335FC4" w:rsidRPr="001D2947">
        <w:rPr>
          <w:rFonts w:cs="Times New Roman"/>
        </w:rPr>
        <w:t>- . Lors de</w:t>
      </w:r>
      <w:r w:rsidR="005665A8" w:rsidRPr="001D2947">
        <w:rPr>
          <w:rFonts w:cs="Times New Roman"/>
        </w:rPr>
        <w:t>s</w:t>
      </w:r>
      <w:r w:rsidR="00335FC4" w:rsidRPr="001D2947">
        <w:rPr>
          <w:rFonts w:cs="Times New Roman"/>
        </w:rPr>
        <w:t xml:space="preserve"> entrevues, le monde industriel communique son intérêt pour une politique de </w:t>
      </w:r>
      <w:r w:rsidR="00335FC4" w:rsidRPr="001D2947">
        <w:rPr>
          <w:rFonts w:cs="Times New Roman"/>
          <w:i/>
        </w:rPr>
        <w:t>clustering</w:t>
      </w:r>
      <w:r w:rsidR="00335FC4" w:rsidRPr="001D2947">
        <w:rPr>
          <w:rFonts w:cs="Times New Roman"/>
        </w:rPr>
        <w:t xml:space="preserve"> amplifiée. Les deux parties arrivent à un </w:t>
      </w:r>
      <w:r w:rsidR="00335FC4" w:rsidRPr="001D2947">
        <w:rPr>
          <w:rFonts w:cs="Times New Roman"/>
          <w:i/>
        </w:rPr>
        <w:t>consensus</w:t>
      </w:r>
      <w:r w:rsidR="00335FC4" w:rsidRPr="001D2947">
        <w:rPr>
          <w:rFonts w:cs="Times New Roman"/>
        </w:rPr>
        <w:t xml:space="preserve"> sur la nécessité de lancer une politique industrielle organisant l’innovation. </w:t>
      </w:r>
      <w:r w:rsidR="005665A8" w:rsidRPr="001D2947">
        <w:rPr>
          <w:rFonts w:cs="Times New Roman"/>
        </w:rPr>
        <w:t>Dans l’élaboration de la</w:t>
      </w:r>
      <w:r w:rsidR="00335FC4" w:rsidRPr="001D2947">
        <w:rPr>
          <w:rFonts w:cs="Times New Roman"/>
        </w:rPr>
        <w:t xml:space="preserve"> politique, les conseillers ont carte blanche et échangent avec des académiques spécialisés dans le développement régional. </w:t>
      </w:r>
      <w:r w:rsidR="005665A8" w:rsidRPr="001D2947">
        <w:rPr>
          <w:rFonts w:cs="Times New Roman"/>
        </w:rPr>
        <w:t>Ceux-ci</w:t>
      </w:r>
      <w:r w:rsidR="00335FC4" w:rsidRPr="001D2947">
        <w:rPr>
          <w:rFonts w:cs="Times New Roman"/>
        </w:rPr>
        <w:t xml:space="preserve"> conseillent et légitiment scientifiquement la démarche. </w:t>
      </w:r>
    </w:p>
    <w:p w:rsidR="00335FC4" w:rsidRPr="001D2947" w:rsidRDefault="00335FC4" w:rsidP="001D2947">
      <w:pPr>
        <w:spacing w:line="360" w:lineRule="auto"/>
        <w:jc w:val="both"/>
        <w:rPr>
          <w:rFonts w:cs="Times New Roman"/>
        </w:rPr>
      </w:pPr>
      <w:r w:rsidRPr="001D2947">
        <w:rPr>
          <w:rFonts w:cs="Times New Roman"/>
        </w:rPr>
        <w:tab/>
        <w:t>Au niveau du Gouvernement, le Ministre-Président laisse la main à son homologue en charge de l’économie. Ce dernier négocie également avec le Ministre de la recherche scientifique et est désigné par le Gouvernement comme Ministre de tutelle des pôles. En outre, le monde universitaire wallon entrevoit la mise en œuvre des pôles comme un moyen de se partager un nouveau marché.</w:t>
      </w:r>
      <w:r w:rsidR="005665A8" w:rsidRPr="001D2947">
        <w:rPr>
          <w:rFonts w:cs="Times New Roman"/>
        </w:rPr>
        <w:t xml:space="preserve"> Toutefois, le système d’alliance dénonce le cloisonnement des instituions et confie aux universités le rôle de « producteur » de connaissances.</w:t>
      </w:r>
      <w:r w:rsidRPr="001D2947">
        <w:rPr>
          <w:rFonts w:cs="Times New Roman"/>
        </w:rPr>
        <w:t xml:space="preserve"> L’administration régionale, bien que possédant l’expérience dans la gestion des </w:t>
      </w:r>
      <w:r w:rsidRPr="001D2947">
        <w:rPr>
          <w:rFonts w:cs="Times New Roman"/>
          <w:i/>
        </w:rPr>
        <w:t>clusters</w:t>
      </w:r>
      <w:r w:rsidRPr="001D2947">
        <w:rPr>
          <w:rFonts w:cs="Times New Roman"/>
        </w:rPr>
        <w:t>, est tenue éloignée durant la phase d’élaboration des pôles.</w:t>
      </w:r>
    </w:p>
    <w:p w:rsidR="00335FC4" w:rsidRPr="001D2947" w:rsidRDefault="00335FC4" w:rsidP="001D2947">
      <w:pPr>
        <w:spacing w:line="360" w:lineRule="auto"/>
        <w:jc w:val="both"/>
        <w:rPr>
          <w:rFonts w:cs="Times New Roman"/>
        </w:rPr>
      </w:pPr>
      <w:r w:rsidRPr="001D2947">
        <w:rPr>
          <w:rFonts w:cs="Times New Roman"/>
        </w:rPr>
        <w:lastRenderedPageBreak/>
        <w:tab/>
        <w:t>L’étape de l’intéressement met en avant l’association entre le Ministre de l’Économie et le monde industriel. La coordination et le maintien du lien entre les divers acteurs du système d’alliance se concrétise</w:t>
      </w:r>
      <w:r w:rsidR="005665A8" w:rsidRPr="001D2947">
        <w:rPr>
          <w:rFonts w:cs="Times New Roman"/>
        </w:rPr>
        <w:t>nt</w:t>
      </w:r>
      <w:r w:rsidRPr="001D2947">
        <w:rPr>
          <w:rFonts w:cs="Times New Roman"/>
        </w:rPr>
        <w:t xml:space="preserve"> par la constitution d’un jury international indépendant. Ce dernier est présidé par un industriel et s’engage à juger les propositions de projets en dehors de tout débat politique. Le jury international est un </w:t>
      </w:r>
      <w:r w:rsidRPr="001D2947">
        <w:rPr>
          <w:rFonts w:cs="Times New Roman"/>
          <w:i/>
        </w:rPr>
        <w:t>artefact</w:t>
      </w:r>
      <w:r w:rsidRPr="001D2947">
        <w:rPr>
          <w:rFonts w:cs="Times New Roman"/>
        </w:rPr>
        <w:t xml:space="preserve"> permettant à la sphère politique de montrer « ses bonnes intentions ». La logique d’appel à projets limités résulte </w:t>
      </w:r>
      <w:r w:rsidR="002964E7" w:rsidRPr="001D2947">
        <w:rPr>
          <w:rFonts w:cs="Times New Roman"/>
        </w:rPr>
        <w:t>de l’accord</w:t>
      </w:r>
      <w:r w:rsidRPr="001D2947">
        <w:rPr>
          <w:rFonts w:cs="Times New Roman"/>
        </w:rPr>
        <w:t xml:space="preserve"> suivant : </w:t>
      </w:r>
      <w:r w:rsidR="002964E7" w:rsidRPr="001D2947">
        <w:rPr>
          <w:rFonts w:cs="Times New Roman"/>
        </w:rPr>
        <w:t>la</w:t>
      </w:r>
      <w:r w:rsidRPr="001D2947">
        <w:rPr>
          <w:rFonts w:cs="Times New Roman"/>
        </w:rPr>
        <w:t xml:space="preserve"> mise en avant du bien-fondé des pôles par les acteurs économiques en échange d</w:t>
      </w:r>
      <w:r w:rsidR="002964E7" w:rsidRPr="001D2947">
        <w:rPr>
          <w:rFonts w:cs="Times New Roman"/>
        </w:rPr>
        <w:t>e la</w:t>
      </w:r>
      <w:r w:rsidRPr="001D2947">
        <w:rPr>
          <w:rFonts w:cs="Times New Roman"/>
        </w:rPr>
        <w:t xml:space="preserve"> </w:t>
      </w:r>
      <w:r w:rsidR="002964E7" w:rsidRPr="001D2947">
        <w:rPr>
          <w:rFonts w:cs="Times New Roman"/>
        </w:rPr>
        <w:t>mainmise</w:t>
      </w:r>
      <w:r w:rsidRPr="001D2947">
        <w:rPr>
          <w:rFonts w:cs="Times New Roman"/>
        </w:rPr>
        <w:t xml:space="preserve"> du monde de l’industrie et d’une </w:t>
      </w:r>
      <w:r w:rsidR="002964E7" w:rsidRPr="001D2947">
        <w:rPr>
          <w:rFonts w:cs="Times New Roman"/>
        </w:rPr>
        <w:t>transformation</w:t>
      </w:r>
      <w:r w:rsidRPr="001D2947">
        <w:rPr>
          <w:rFonts w:cs="Times New Roman"/>
        </w:rPr>
        <w:t xml:space="preserve"> </w:t>
      </w:r>
      <w:r w:rsidR="002964E7" w:rsidRPr="001D2947">
        <w:rPr>
          <w:rFonts w:cs="Times New Roman"/>
        </w:rPr>
        <w:t xml:space="preserve">d’un modèle de production de la connaissance mû par les critères académiques </w:t>
      </w:r>
      <w:r w:rsidRPr="001D2947">
        <w:rPr>
          <w:rFonts w:cs="Times New Roman"/>
        </w:rPr>
        <w:t xml:space="preserve">vers </w:t>
      </w:r>
      <w:r w:rsidR="002964E7" w:rsidRPr="001D2947">
        <w:rPr>
          <w:rFonts w:cs="Times New Roman"/>
        </w:rPr>
        <w:t xml:space="preserve"> un modèle centré sur </w:t>
      </w:r>
      <w:r w:rsidRPr="001D2947">
        <w:rPr>
          <w:rFonts w:cs="Times New Roman"/>
        </w:rPr>
        <w:t>la valorisation économique</w:t>
      </w:r>
      <w:r w:rsidR="002964E7" w:rsidRPr="001D2947">
        <w:rPr>
          <w:rFonts w:cs="Times New Roman"/>
        </w:rPr>
        <w:t xml:space="preserve"> de la connaissance</w:t>
      </w:r>
      <w:r w:rsidRPr="001D2947">
        <w:rPr>
          <w:rFonts w:cs="Times New Roman"/>
        </w:rPr>
        <w:t>.</w:t>
      </w:r>
    </w:p>
    <w:p w:rsidR="00335FC4" w:rsidRPr="001D2947" w:rsidRDefault="00335FC4" w:rsidP="001D2947">
      <w:pPr>
        <w:pStyle w:val="Titre3"/>
        <w:numPr>
          <w:ilvl w:val="1"/>
          <w:numId w:val="13"/>
        </w:numPr>
        <w:spacing w:line="360" w:lineRule="auto"/>
        <w:rPr>
          <w:rFonts w:asciiTheme="minorHAnsi" w:hAnsiTheme="minorHAnsi" w:cs="Times New Roman"/>
        </w:rPr>
      </w:pPr>
      <w:r w:rsidRPr="001D2947">
        <w:rPr>
          <w:rFonts w:asciiTheme="minorHAnsi" w:hAnsiTheme="minorHAnsi" w:cs="Times New Roman"/>
        </w:rPr>
        <w:t>L’étape de l’enrôlement</w:t>
      </w:r>
    </w:p>
    <w:p w:rsidR="00335FC4" w:rsidRPr="001D2947" w:rsidRDefault="00335FC4" w:rsidP="00F41FCB">
      <w:pPr>
        <w:spacing w:line="360" w:lineRule="auto"/>
        <w:jc w:val="both"/>
        <w:rPr>
          <w:rFonts w:cs="Times New Roman"/>
        </w:rPr>
      </w:pPr>
      <w:r w:rsidRPr="001D2947">
        <w:rPr>
          <w:rFonts w:cs="Times New Roman"/>
        </w:rPr>
        <w:tab/>
        <w:t xml:space="preserve">L’étape de l’enrôlement se </w:t>
      </w:r>
      <w:r w:rsidR="00BD1C4A" w:rsidRPr="001D2947">
        <w:rPr>
          <w:rFonts w:cs="Times New Roman"/>
        </w:rPr>
        <w:t>centre</w:t>
      </w:r>
      <w:r w:rsidRPr="001D2947">
        <w:rPr>
          <w:rFonts w:cs="Times New Roman"/>
        </w:rPr>
        <w:t xml:space="preserve"> sur la définition d</w:t>
      </w:r>
      <w:r w:rsidR="00113E49" w:rsidRPr="001D2947">
        <w:rPr>
          <w:rFonts w:cs="Times New Roman"/>
        </w:rPr>
        <w:t>u rôle</w:t>
      </w:r>
      <w:r w:rsidRPr="001D2947">
        <w:rPr>
          <w:rFonts w:cs="Times New Roman"/>
        </w:rPr>
        <w:t xml:space="preserve"> des acteurs. Dans le système d’alliance établi, nous notons une </w:t>
      </w:r>
      <w:r w:rsidR="00113E49" w:rsidRPr="001D2947">
        <w:rPr>
          <w:rFonts w:cs="Times New Roman"/>
        </w:rPr>
        <w:t>diversité de</w:t>
      </w:r>
      <w:r w:rsidRPr="001D2947">
        <w:rPr>
          <w:rFonts w:cs="Times New Roman"/>
        </w:rPr>
        <w:t xml:space="preserve"> rôles. Le Ministre est le protecteur des pôles. Le cabinet est </w:t>
      </w:r>
      <w:r w:rsidR="00113E49" w:rsidRPr="001D2947">
        <w:rPr>
          <w:rFonts w:cs="Times New Roman"/>
        </w:rPr>
        <w:t>l’organisateur. Il fait</w:t>
      </w:r>
      <w:r w:rsidRPr="001D2947">
        <w:rPr>
          <w:rFonts w:cs="Times New Roman"/>
        </w:rPr>
        <w:t xml:space="preserve"> évoluer le modèle tout en maintenant la ligne de conduite fixée. À ce titre, le monde politique développe le modèle </w:t>
      </w:r>
      <w:r w:rsidR="00113E49" w:rsidRPr="001D2947">
        <w:rPr>
          <w:rFonts w:cs="Times New Roman"/>
        </w:rPr>
        <w:t>en continu</w:t>
      </w:r>
      <w:r w:rsidRPr="001D2947">
        <w:rPr>
          <w:rFonts w:cs="Times New Roman"/>
        </w:rPr>
        <w:t xml:space="preserve"> et le défend tant au niveau politique qu’au</w:t>
      </w:r>
      <w:r w:rsidR="006123CF">
        <w:rPr>
          <w:rFonts w:cs="Times New Roman"/>
        </w:rPr>
        <w:t xml:space="preserve"> niveau des partenaires sociaux.</w:t>
      </w:r>
    </w:p>
    <w:p w:rsidR="00335FC4" w:rsidRPr="001D2947" w:rsidRDefault="00335FC4" w:rsidP="001D2947">
      <w:pPr>
        <w:spacing w:line="360" w:lineRule="auto"/>
        <w:jc w:val="both"/>
        <w:rPr>
          <w:rFonts w:cs="Times New Roman"/>
        </w:rPr>
      </w:pPr>
      <w:r w:rsidRPr="001D2947">
        <w:rPr>
          <w:rFonts w:cs="Times New Roman"/>
        </w:rPr>
        <w:tab/>
        <w:t>Le</w:t>
      </w:r>
      <w:r w:rsidR="00113E49" w:rsidRPr="001D2947">
        <w:rPr>
          <w:rFonts w:cs="Times New Roman"/>
        </w:rPr>
        <w:t xml:space="preserve"> monde industriel promeut</w:t>
      </w:r>
      <w:r w:rsidRPr="001D2947">
        <w:rPr>
          <w:rFonts w:cs="Times New Roman"/>
        </w:rPr>
        <w:t xml:space="preserve"> la collaboration entre les universités et les entreprises. Par ailleurs, les entreprises sont les porteurs des projets. L’Union wallonne des entreprises et les fédérations d’industries, pour </w:t>
      </w:r>
      <w:r w:rsidR="00113E49" w:rsidRPr="001D2947">
        <w:rPr>
          <w:rFonts w:cs="Times New Roman"/>
        </w:rPr>
        <w:t xml:space="preserve">leur </w:t>
      </w:r>
      <w:r w:rsidRPr="001D2947">
        <w:rPr>
          <w:rFonts w:cs="Times New Roman"/>
        </w:rPr>
        <w:t xml:space="preserve">part, </w:t>
      </w:r>
      <w:r w:rsidR="00113E49" w:rsidRPr="001D2947">
        <w:rPr>
          <w:rFonts w:cs="Times New Roman"/>
        </w:rPr>
        <w:t>collaborent</w:t>
      </w:r>
      <w:r w:rsidRPr="001D2947">
        <w:rPr>
          <w:rFonts w:cs="Times New Roman"/>
        </w:rPr>
        <w:t xml:space="preserve"> pour développer le modèle et </w:t>
      </w:r>
      <w:r w:rsidR="00113E49" w:rsidRPr="001D2947">
        <w:rPr>
          <w:rFonts w:cs="Times New Roman"/>
        </w:rPr>
        <w:t xml:space="preserve">encouragent </w:t>
      </w:r>
      <w:r w:rsidRPr="001D2947">
        <w:rPr>
          <w:rFonts w:cs="Times New Roman"/>
        </w:rPr>
        <w:t xml:space="preserve">la mobilisation des acteurs économiques. Actuellement, </w:t>
      </w:r>
      <w:r w:rsidR="00113E49" w:rsidRPr="001D2947">
        <w:rPr>
          <w:rFonts w:cs="Times New Roman"/>
        </w:rPr>
        <w:t>l’Union wallonne des entreprises assure le rôle</w:t>
      </w:r>
      <w:r w:rsidRPr="001D2947">
        <w:rPr>
          <w:rFonts w:cs="Times New Roman"/>
        </w:rPr>
        <w:t xml:space="preserve"> de coord</w:t>
      </w:r>
      <w:r w:rsidR="00113E49" w:rsidRPr="001D2947">
        <w:rPr>
          <w:rFonts w:cs="Times New Roman"/>
        </w:rPr>
        <w:t>inatrice du</w:t>
      </w:r>
      <w:r w:rsidRPr="001D2947">
        <w:rPr>
          <w:rFonts w:cs="Times New Roman"/>
        </w:rPr>
        <w:t xml:space="preserve"> </w:t>
      </w:r>
      <w:r w:rsidR="00113E49" w:rsidRPr="001D2947">
        <w:rPr>
          <w:rFonts w:cs="Times New Roman"/>
        </w:rPr>
        <w:t xml:space="preserve">Comité Inter-pôles. Elle veille également à ce que </w:t>
      </w:r>
      <w:r w:rsidRPr="001D2947">
        <w:rPr>
          <w:rFonts w:cs="Times New Roman"/>
        </w:rPr>
        <w:t xml:space="preserve">la logique d’action </w:t>
      </w:r>
      <w:r w:rsidR="00113E49" w:rsidRPr="001D2947">
        <w:rPr>
          <w:rFonts w:cs="Times New Roman"/>
        </w:rPr>
        <w:t>soit</w:t>
      </w:r>
      <w:r w:rsidRPr="001D2947">
        <w:rPr>
          <w:rFonts w:cs="Times New Roman"/>
        </w:rPr>
        <w:t xml:space="preserve"> </w:t>
      </w:r>
      <w:r w:rsidR="00113E49" w:rsidRPr="001D2947">
        <w:rPr>
          <w:rFonts w:cs="Times New Roman"/>
        </w:rPr>
        <w:t>respectée</w:t>
      </w:r>
      <w:r w:rsidRPr="001D2947">
        <w:rPr>
          <w:rFonts w:cs="Times New Roman"/>
        </w:rPr>
        <w:t>.</w:t>
      </w:r>
      <w:r w:rsidR="00113E49" w:rsidRPr="001D2947">
        <w:rPr>
          <w:rFonts w:cs="Times New Roman"/>
        </w:rPr>
        <w:t xml:space="preserve"> Ains</w:t>
      </w:r>
      <w:r w:rsidRPr="001D2947">
        <w:rPr>
          <w:rFonts w:cs="Times New Roman"/>
        </w:rPr>
        <w:t>i, l’Union wallonne des entreprises se montre ferme sur la question de la gouvernance des pôles par les industriels et ce, au détriment de la représentation syndicale.</w:t>
      </w:r>
    </w:p>
    <w:p w:rsidR="00335FC4" w:rsidRPr="001D2947" w:rsidRDefault="00335FC4" w:rsidP="001D2947">
      <w:pPr>
        <w:spacing w:line="360" w:lineRule="auto"/>
        <w:jc w:val="both"/>
        <w:rPr>
          <w:rFonts w:cs="Times New Roman"/>
        </w:rPr>
      </w:pPr>
      <w:r w:rsidRPr="001D2947">
        <w:rPr>
          <w:rFonts w:cs="Times New Roman"/>
        </w:rPr>
        <w:tab/>
        <w:t>Pour élaborer l’outil « pôle de compétitivité », les conseillers politiques du Ministre ont fait appel à plusieurs académiques. Leurs fonctions ont été de proposer les politiques de clusters, de déterminer les domaines technologiques et de coordonner un colloque autour de la thématique. Par la suite, une partie des académiques impliqués lors de la conceptualisation des pôles ont été nommés comme membres du jury international.</w:t>
      </w:r>
    </w:p>
    <w:p w:rsidR="00335FC4" w:rsidRPr="001D2947" w:rsidRDefault="00335FC4" w:rsidP="001D2947">
      <w:pPr>
        <w:spacing w:line="360" w:lineRule="auto"/>
        <w:jc w:val="both"/>
        <w:rPr>
          <w:rFonts w:cs="Times New Roman"/>
        </w:rPr>
      </w:pPr>
      <w:r w:rsidRPr="001D2947">
        <w:rPr>
          <w:rFonts w:cs="Times New Roman"/>
        </w:rPr>
        <w:tab/>
        <w:t>Le jury international a pour fonction première de formuler des recommandations à l’usage du Ministre de l’Économie. Par ailleurs, il veille à amélior</w:t>
      </w:r>
      <w:r w:rsidR="00A50ECC" w:rsidRPr="001D2947">
        <w:rPr>
          <w:rFonts w:cs="Times New Roman"/>
        </w:rPr>
        <w:t>er</w:t>
      </w:r>
      <w:r w:rsidRPr="001D2947">
        <w:rPr>
          <w:rFonts w:cs="Times New Roman"/>
        </w:rPr>
        <w:t xml:space="preserve"> </w:t>
      </w:r>
      <w:r w:rsidR="00A50ECC" w:rsidRPr="001D2947">
        <w:rPr>
          <w:rFonts w:cs="Times New Roman"/>
        </w:rPr>
        <w:t>le fonctionnement</w:t>
      </w:r>
      <w:r w:rsidRPr="001D2947">
        <w:rPr>
          <w:rFonts w:cs="Times New Roman"/>
        </w:rPr>
        <w:t xml:space="preserve"> système</w:t>
      </w:r>
      <w:r w:rsidR="00A50ECC" w:rsidRPr="001D2947">
        <w:rPr>
          <w:rFonts w:cs="Times New Roman"/>
        </w:rPr>
        <w:t xml:space="preserve"> – principalement sur les critères d’évaluation des dossiers et sur les délais -. D</w:t>
      </w:r>
      <w:r w:rsidRPr="001D2947">
        <w:rPr>
          <w:rFonts w:cs="Times New Roman"/>
        </w:rPr>
        <w:t xml:space="preserve">epuis 2010, </w:t>
      </w:r>
      <w:r w:rsidR="00A50ECC" w:rsidRPr="001D2947">
        <w:rPr>
          <w:rFonts w:cs="Times New Roman"/>
        </w:rPr>
        <w:t>il assure un retour sur</w:t>
      </w:r>
      <w:r w:rsidRPr="001D2947">
        <w:rPr>
          <w:rFonts w:cs="Times New Roman"/>
        </w:rPr>
        <w:t xml:space="preserve"> la stratégie des pôles de compétitivité. Le Président du jury international entretient un lien avec les sphères politique et industrielle. </w:t>
      </w:r>
      <w:r w:rsidR="00A50ECC" w:rsidRPr="001D2947">
        <w:rPr>
          <w:rFonts w:cs="Times New Roman"/>
        </w:rPr>
        <w:t>L</w:t>
      </w:r>
      <w:r w:rsidRPr="001D2947">
        <w:rPr>
          <w:rFonts w:cs="Times New Roman"/>
        </w:rPr>
        <w:t xml:space="preserve">a fonction de secrétaire </w:t>
      </w:r>
      <w:r w:rsidR="00A50ECC" w:rsidRPr="001D2947">
        <w:rPr>
          <w:rFonts w:cs="Times New Roman"/>
        </w:rPr>
        <w:t xml:space="preserve">du jury </w:t>
      </w:r>
      <w:r w:rsidRPr="001D2947">
        <w:rPr>
          <w:rFonts w:cs="Times New Roman"/>
        </w:rPr>
        <w:t xml:space="preserve">est assurée par un consultant. </w:t>
      </w:r>
    </w:p>
    <w:p w:rsidR="00335FC4" w:rsidRPr="001D2947" w:rsidRDefault="00335FC4" w:rsidP="001D2947">
      <w:pPr>
        <w:spacing w:line="360" w:lineRule="auto"/>
        <w:jc w:val="both"/>
        <w:rPr>
          <w:rFonts w:cs="Times New Roman"/>
        </w:rPr>
      </w:pPr>
      <w:r w:rsidRPr="001D2947">
        <w:rPr>
          <w:rFonts w:cs="Times New Roman"/>
        </w:rPr>
        <w:lastRenderedPageBreak/>
        <w:tab/>
        <w:t>Bien que mise de côté durant les travaux préparatifs des pôles, l’administration a été réintégrée dans le modèle. Ses principales missions sont d’une part, d’évaluer administrativement et techniquement les dossiers déposés par les pôles et d’autre part, de procéder au travail de conventionnement</w:t>
      </w:r>
      <w:r w:rsidRPr="001D2947">
        <w:rPr>
          <w:rStyle w:val="Appelnotedebasdep"/>
          <w:rFonts w:cs="Times New Roman"/>
        </w:rPr>
        <w:footnoteReference w:id="13"/>
      </w:r>
      <w:r w:rsidRPr="001D2947">
        <w:rPr>
          <w:rFonts w:cs="Times New Roman"/>
        </w:rPr>
        <w:t>. Aussi, une cellule de l’administration gère la base de données « pôles ». Plus largement, l’administration informe les acteurs sur les rouages administratifs régionaux ainsi que sur les normes juridiques en vigueur.</w:t>
      </w:r>
    </w:p>
    <w:p w:rsidR="00335FC4" w:rsidRPr="001D2947" w:rsidRDefault="00335FC4" w:rsidP="00F41FCB">
      <w:pPr>
        <w:spacing w:line="360" w:lineRule="auto"/>
        <w:jc w:val="both"/>
        <w:rPr>
          <w:rFonts w:cs="Times New Roman"/>
        </w:rPr>
      </w:pPr>
      <w:r w:rsidRPr="001D2947">
        <w:rPr>
          <w:rFonts w:cs="Times New Roman"/>
        </w:rPr>
        <w:t xml:space="preserve"> </w:t>
      </w:r>
      <w:r w:rsidRPr="001D2947">
        <w:rPr>
          <w:rFonts w:cs="Times New Roman"/>
        </w:rPr>
        <w:tab/>
        <w:t xml:space="preserve">Soutenant </w:t>
      </w:r>
      <w:r w:rsidR="00A50ECC" w:rsidRPr="001D2947">
        <w:rPr>
          <w:rFonts w:cs="Times New Roman"/>
        </w:rPr>
        <w:t xml:space="preserve">pourtant </w:t>
      </w:r>
      <w:r w:rsidRPr="001D2947">
        <w:rPr>
          <w:rFonts w:cs="Times New Roman"/>
        </w:rPr>
        <w:t xml:space="preserve">l’idée d’amplifier la politique industrielle, les syndicats ont été évincés des pôles de compétitivité </w:t>
      </w:r>
      <w:r w:rsidR="00A50ECC" w:rsidRPr="001D2947">
        <w:rPr>
          <w:rFonts w:cs="Times New Roman"/>
        </w:rPr>
        <w:t>et</w:t>
      </w:r>
      <w:r w:rsidRPr="001D2947">
        <w:rPr>
          <w:rFonts w:cs="Times New Roman"/>
        </w:rPr>
        <w:t xml:space="preserve"> du jury. Leurs accès à l’information </w:t>
      </w:r>
      <w:r w:rsidR="00A50ECC" w:rsidRPr="001D2947">
        <w:rPr>
          <w:rFonts w:cs="Times New Roman"/>
        </w:rPr>
        <w:t>se font</w:t>
      </w:r>
      <w:r w:rsidRPr="001D2947">
        <w:rPr>
          <w:rFonts w:cs="Times New Roman"/>
        </w:rPr>
        <w:t>, théoriquement, via le Haut Comité</w:t>
      </w:r>
      <w:r w:rsidR="00A50ECC" w:rsidRPr="001D2947">
        <w:rPr>
          <w:rFonts w:cs="Times New Roman"/>
        </w:rPr>
        <w:t xml:space="preserve"> ou</w:t>
      </w:r>
      <w:r w:rsidRPr="001D2947">
        <w:rPr>
          <w:rFonts w:cs="Times New Roman"/>
        </w:rPr>
        <w:t xml:space="preserve"> via le conseil d’entreprises des membres des pôles. </w:t>
      </w:r>
    </w:p>
    <w:p w:rsidR="00335FC4" w:rsidRPr="001D2947" w:rsidRDefault="00335FC4" w:rsidP="001D2947">
      <w:pPr>
        <w:spacing w:line="360" w:lineRule="auto"/>
        <w:jc w:val="both"/>
        <w:rPr>
          <w:rFonts w:cs="Times New Roman"/>
        </w:rPr>
      </w:pPr>
      <w:r w:rsidRPr="001D2947">
        <w:tab/>
      </w:r>
      <w:r w:rsidRPr="001D2947">
        <w:rPr>
          <w:rFonts w:cs="Times New Roman"/>
        </w:rPr>
        <w:t xml:space="preserve">À travers l’étape de la mobilisation des alliés, </w:t>
      </w:r>
      <w:r w:rsidR="00B57615" w:rsidRPr="001D2947">
        <w:rPr>
          <w:rFonts w:cs="Times New Roman"/>
        </w:rPr>
        <w:t>nous</w:t>
      </w:r>
      <w:r w:rsidRPr="001D2947">
        <w:rPr>
          <w:rFonts w:cs="Times New Roman"/>
        </w:rPr>
        <w:t xml:space="preserve"> </w:t>
      </w:r>
      <w:r w:rsidR="00B57615" w:rsidRPr="001D2947">
        <w:rPr>
          <w:rFonts w:cs="Times New Roman"/>
        </w:rPr>
        <w:t>examinons</w:t>
      </w:r>
      <w:r w:rsidRPr="001D2947">
        <w:rPr>
          <w:rFonts w:cs="Times New Roman"/>
        </w:rPr>
        <w:t xml:space="preserve"> comment les acteurs ont construit une vision du monde justifiant les mesures prises par le système d’alliance</w:t>
      </w:r>
      <w:r w:rsidR="001C09CE" w:rsidRPr="001D2947">
        <w:rPr>
          <w:rFonts w:cs="Times New Roman"/>
        </w:rPr>
        <w:t>s</w:t>
      </w:r>
      <w:r w:rsidRPr="001D2947">
        <w:rPr>
          <w:rFonts w:cs="Times New Roman"/>
        </w:rPr>
        <w:t xml:space="preserve">. Dans cette optique, nous </w:t>
      </w:r>
      <w:r w:rsidR="00B57615" w:rsidRPr="001D2947">
        <w:rPr>
          <w:rFonts w:cs="Times New Roman"/>
        </w:rPr>
        <w:t>répertorions</w:t>
      </w:r>
      <w:r w:rsidRPr="001D2947">
        <w:rPr>
          <w:rFonts w:cs="Times New Roman"/>
        </w:rPr>
        <w:t xml:space="preserve"> trois énoncés </w:t>
      </w:r>
      <w:r w:rsidR="00B57615" w:rsidRPr="001D2947">
        <w:rPr>
          <w:rFonts w:cs="Times New Roman"/>
        </w:rPr>
        <w:t>conditionnant</w:t>
      </w:r>
      <w:r w:rsidRPr="001D2947">
        <w:rPr>
          <w:rFonts w:cs="Times New Roman"/>
        </w:rPr>
        <w:t xml:space="preserve"> l’appropriation des pôles de compétitivité.</w:t>
      </w:r>
    </w:p>
    <w:p w:rsidR="00335FC4" w:rsidRPr="001D2947" w:rsidRDefault="00335FC4" w:rsidP="001D2947">
      <w:pPr>
        <w:spacing w:line="360" w:lineRule="auto"/>
        <w:jc w:val="both"/>
        <w:rPr>
          <w:rFonts w:cs="Times New Roman"/>
        </w:rPr>
      </w:pPr>
      <w:r w:rsidRPr="001D2947">
        <w:rPr>
          <w:rFonts w:cs="Times New Roman"/>
        </w:rPr>
        <w:tab/>
        <w:t xml:space="preserve">Tout d’abord, l’implémentation des pôles de compétitivité en Wallonie repose sur le postulat que le pouvoir public doit faire émerger et organiser la gestion d’un réseau d’acteurs. Ce postulat est partagé par l’administration wallonne et les industriels depuis le lancement des </w:t>
      </w:r>
      <w:r w:rsidRPr="001D2947">
        <w:rPr>
          <w:rFonts w:cs="Times New Roman"/>
          <w:i/>
        </w:rPr>
        <w:t xml:space="preserve">clusters </w:t>
      </w:r>
      <w:r w:rsidRPr="001D2947">
        <w:rPr>
          <w:rFonts w:cs="Times New Roman"/>
        </w:rPr>
        <w:t xml:space="preserve">en 2000. Toutefois, depuis 2004, le Cabinet du Ministre de l’Économie s’est employé à montrer l’inefficacité de ces derniers. Pour ce faire, il s’appuie sur les rapports d’activité ainsi que sur les rapport d’évaluation pour démontrer l’inadéquation entre la portée des </w:t>
      </w:r>
      <w:r w:rsidRPr="001D2947">
        <w:rPr>
          <w:rFonts w:cs="Times New Roman"/>
          <w:i/>
        </w:rPr>
        <w:t xml:space="preserve">clusters </w:t>
      </w:r>
      <w:r w:rsidRPr="001D2947">
        <w:rPr>
          <w:rFonts w:cs="Times New Roman"/>
        </w:rPr>
        <w:t>et l’ampleur du problème à traiter. « Amplifier la mise en réseau des acteurs tout en concentrant les moyens » résume la logique d’action publique justifiant les pôles de compétitivité.</w:t>
      </w:r>
    </w:p>
    <w:p w:rsidR="00F41FCB" w:rsidRDefault="00335FC4" w:rsidP="001D2947">
      <w:pPr>
        <w:spacing w:line="360" w:lineRule="auto"/>
        <w:jc w:val="both"/>
        <w:rPr>
          <w:rFonts w:cs="Times New Roman"/>
        </w:rPr>
      </w:pPr>
      <w:r w:rsidRPr="001D2947">
        <w:rPr>
          <w:rFonts w:cs="Times New Roman"/>
        </w:rPr>
        <w:tab/>
        <w:t xml:space="preserve">Ensuite, en réponse à la mise en concurrence des territoires, les décideurs wallons </w:t>
      </w:r>
      <w:r w:rsidR="002A7FE3" w:rsidRPr="001D2947">
        <w:rPr>
          <w:rFonts w:cs="Times New Roman"/>
        </w:rPr>
        <w:t>s’inscrivent dans</w:t>
      </w:r>
      <w:r w:rsidRPr="001D2947">
        <w:rPr>
          <w:rFonts w:cs="Times New Roman"/>
        </w:rPr>
        <w:t xml:space="preserve"> la logique de l’avantage différenciatif et veulent développer la Wallonie </w:t>
      </w:r>
      <w:r w:rsidRPr="001D2947">
        <w:rPr>
          <w:rFonts w:cs="Times New Roman"/>
          <w:i/>
        </w:rPr>
        <w:t>via</w:t>
      </w:r>
      <w:r w:rsidRPr="001D2947">
        <w:rPr>
          <w:rFonts w:cs="Times New Roman"/>
        </w:rPr>
        <w:t xml:space="preserve"> la </w:t>
      </w:r>
      <w:r w:rsidR="002A7FE3" w:rsidRPr="001D2947">
        <w:rPr>
          <w:rFonts w:cs="Times New Roman"/>
        </w:rPr>
        <w:t>création</w:t>
      </w:r>
      <w:r w:rsidRPr="001D2947">
        <w:rPr>
          <w:rFonts w:cs="Times New Roman"/>
        </w:rPr>
        <w:t xml:space="preserve"> d’un système d’innovation territorialisé. L’élaboration d’un tel système nécessite à leurs yeux une gouvernance flexible, réactive et </w:t>
      </w:r>
      <w:r w:rsidR="002A7FE3" w:rsidRPr="001D2947">
        <w:rPr>
          <w:rFonts w:cs="Times New Roman"/>
        </w:rPr>
        <w:t>efficace</w:t>
      </w:r>
      <w:r w:rsidRPr="001D2947">
        <w:rPr>
          <w:rFonts w:cs="Times New Roman"/>
        </w:rPr>
        <w:t>. Par conséquent, ils doutent du fonctionnement « classique » de l’administration et se chargent de conceptualiser les pôles de compétitivité avec l’aide des industriels et de consultants.</w:t>
      </w:r>
    </w:p>
    <w:p w:rsidR="00335FC4" w:rsidRPr="001D2947" w:rsidRDefault="002A7FE3" w:rsidP="001D2947">
      <w:pPr>
        <w:spacing w:line="360" w:lineRule="auto"/>
        <w:jc w:val="both"/>
        <w:rPr>
          <w:rFonts w:cs="Times New Roman"/>
        </w:rPr>
      </w:pPr>
      <w:r w:rsidRPr="001D2947">
        <w:rPr>
          <w:rFonts w:cs="Times New Roman"/>
        </w:rPr>
        <w:tab/>
        <w:t>Enfin, l</w:t>
      </w:r>
      <w:r w:rsidR="00335FC4" w:rsidRPr="001D2947">
        <w:rPr>
          <w:rFonts w:cs="Times New Roman"/>
        </w:rPr>
        <w:t xml:space="preserve">’énoncé </w:t>
      </w:r>
      <w:r w:rsidRPr="001D2947">
        <w:rPr>
          <w:rFonts w:cs="Times New Roman"/>
        </w:rPr>
        <w:t>justifiant</w:t>
      </w:r>
      <w:r w:rsidR="00335FC4" w:rsidRPr="001D2947">
        <w:rPr>
          <w:rFonts w:cs="Times New Roman"/>
        </w:rPr>
        <w:t xml:space="preserve"> la désignation des domaines technologiques est que l’agglomération industrielle favorise l’innovation sur un territoire donné. En combinant les notions de masse critique et de secteur innovant, l’étude fait ainsi émerger des </w:t>
      </w:r>
      <w:r w:rsidR="006123CF">
        <w:rPr>
          <w:rFonts w:cs="Times New Roman"/>
        </w:rPr>
        <w:t xml:space="preserve">secteurs </w:t>
      </w:r>
      <w:r w:rsidR="00335FC4" w:rsidRPr="001D2947">
        <w:rPr>
          <w:rFonts w:cs="Times New Roman"/>
        </w:rPr>
        <w:t xml:space="preserve">possédant un poids économique fort </w:t>
      </w:r>
      <w:r w:rsidR="00335FC4" w:rsidRPr="001D2947">
        <w:rPr>
          <w:rFonts w:cs="Times New Roman"/>
        </w:rPr>
        <w:lastRenderedPageBreak/>
        <w:t>au détriment d’autres secteurs</w:t>
      </w:r>
      <w:r w:rsidRPr="001D2947">
        <w:rPr>
          <w:rFonts w:cs="Times New Roman"/>
        </w:rPr>
        <w:t xml:space="preserve"> potentiels ou en émergence</w:t>
      </w:r>
      <w:r w:rsidR="00335FC4" w:rsidRPr="001D2947">
        <w:rPr>
          <w:rFonts w:cs="Times New Roman"/>
        </w:rPr>
        <w:t xml:space="preserve"> (l’industrie du recyclage, les technologies de l’information et de la communication</w:t>
      </w:r>
      <w:r w:rsidRPr="001D2947">
        <w:rPr>
          <w:rFonts w:cs="Times New Roman"/>
        </w:rPr>
        <w:t>).</w:t>
      </w:r>
    </w:p>
    <w:p w:rsidR="009D5FEF" w:rsidRPr="001D2947" w:rsidRDefault="009D5FEF" w:rsidP="001D2947">
      <w:pPr>
        <w:pStyle w:val="Titre1"/>
        <w:numPr>
          <w:ilvl w:val="0"/>
          <w:numId w:val="13"/>
        </w:numPr>
        <w:spacing w:line="360" w:lineRule="auto"/>
        <w:rPr>
          <w:rFonts w:asciiTheme="minorHAnsi" w:hAnsiTheme="minorHAnsi" w:cs="Times New Roman"/>
          <w:sz w:val="22"/>
          <w:szCs w:val="22"/>
        </w:rPr>
      </w:pPr>
      <w:r w:rsidRPr="001D2947">
        <w:rPr>
          <w:rFonts w:asciiTheme="minorHAnsi" w:hAnsiTheme="minorHAnsi" w:cs="Times New Roman"/>
          <w:sz w:val="22"/>
          <w:szCs w:val="22"/>
        </w:rPr>
        <w:t>Conclusion</w:t>
      </w:r>
    </w:p>
    <w:p w:rsidR="004C21A3" w:rsidRPr="001D2947" w:rsidRDefault="00D14AEB" w:rsidP="001D2947">
      <w:pPr>
        <w:autoSpaceDE w:val="0"/>
        <w:autoSpaceDN w:val="0"/>
        <w:adjustRightInd w:val="0"/>
        <w:spacing w:after="0" w:line="360" w:lineRule="auto"/>
        <w:jc w:val="both"/>
        <w:rPr>
          <w:rFonts w:cs="Times New Roman"/>
        </w:rPr>
      </w:pPr>
      <w:r w:rsidRPr="001D2947">
        <w:rPr>
          <w:rFonts w:cs="Times New Roman"/>
        </w:rPr>
        <w:tab/>
        <w:t xml:space="preserve">L’étude de l’appropriation d’un instrument de politique publique par les acteurs </w:t>
      </w:r>
      <w:r w:rsidR="00E45EEC" w:rsidRPr="001D2947">
        <w:rPr>
          <w:rFonts w:cs="Times New Roman"/>
        </w:rPr>
        <w:t>met en exergue</w:t>
      </w:r>
      <w:r w:rsidR="003E5EEE" w:rsidRPr="001D2947">
        <w:rPr>
          <w:rFonts w:cs="Times New Roman"/>
        </w:rPr>
        <w:t xml:space="preserve"> </w:t>
      </w:r>
      <w:r w:rsidR="00E45EEC" w:rsidRPr="001D2947">
        <w:rPr>
          <w:rFonts w:cs="Times New Roman"/>
        </w:rPr>
        <w:t>les</w:t>
      </w:r>
      <w:r w:rsidRPr="001D2947">
        <w:rPr>
          <w:rFonts w:cs="Times New Roman"/>
        </w:rPr>
        <w:t xml:space="preserve"> mécanismes d’intéressement et d’instrumentalisation. Durant la recherche, nous avons montré </w:t>
      </w:r>
      <w:r w:rsidR="00570657" w:rsidRPr="001D2947">
        <w:rPr>
          <w:rFonts w:cs="Times New Roman"/>
        </w:rPr>
        <w:t xml:space="preserve">que </w:t>
      </w:r>
      <w:r w:rsidRPr="001D2947">
        <w:rPr>
          <w:rFonts w:cs="Times New Roman"/>
        </w:rPr>
        <w:t xml:space="preserve">l’élaboration d’un </w:t>
      </w:r>
      <w:r w:rsidR="00670282" w:rsidRPr="001D2947">
        <w:rPr>
          <w:rFonts w:cs="Times New Roman"/>
        </w:rPr>
        <w:t>MTI</w:t>
      </w:r>
      <w:r w:rsidRPr="001D2947">
        <w:rPr>
          <w:rFonts w:cs="Times New Roman"/>
        </w:rPr>
        <w:t xml:space="preserve"> résulte d’un construit collectif</w:t>
      </w:r>
      <w:r w:rsidR="003E5EEE" w:rsidRPr="001D2947">
        <w:rPr>
          <w:rFonts w:cs="Times New Roman"/>
        </w:rPr>
        <w:t xml:space="preserve">, </w:t>
      </w:r>
      <w:r w:rsidR="00E45EEC" w:rsidRPr="001D2947">
        <w:rPr>
          <w:rFonts w:cs="Times New Roman"/>
        </w:rPr>
        <w:t xml:space="preserve">qu’il </w:t>
      </w:r>
      <w:r w:rsidR="003E5EEE" w:rsidRPr="001D2947">
        <w:rPr>
          <w:rFonts w:cs="Times New Roman"/>
        </w:rPr>
        <w:t>se fait « chemin-faisant »</w:t>
      </w:r>
      <w:r w:rsidRPr="001D2947">
        <w:rPr>
          <w:rFonts w:cs="Times New Roman"/>
        </w:rPr>
        <w:t xml:space="preserve"> et</w:t>
      </w:r>
      <w:r w:rsidR="003E5EEE" w:rsidRPr="001D2947">
        <w:rPr>
          <w:rFonts w:cs="Times New Roman"/>
        </w:rPr>
        <w:t xml:space="preserve"> </w:t>
      </w:r>
      <w:r w:rsidR="00E45EEC" w:rsidRPr="001D2947">
        <w:rPr>
          <w:rFonts w:cs="Times New Roman"/>
        </w:rPr>
        <w:t xml:space="preserve">qu’il </w:t>
      </w:r>
      <w:r w:rsidR="003E5EEE" w:rsidRPr="001D2947">
        <w:rPr>
          <w:rFonts w:cs="Times New Roman"/>
        </w:rPr>
        <w:t>implique des luttes de pouvoir</w:t>
      </w:r>
      <w:r w:rsidRPr="001D2947">
        <w:rPr>
          <w:rFonts w:cs="Times New Roman"/>
        </w:rPr>
        <w:t xml:space="preserve"> institutionnalisées. En ce sens, la configuration du système politique </w:t>
      </w:r>
      <w:r w:rsidR="003E5EEE" w:rsidRPr="001D2947">
        <w:rPr>
          <w:rFonts w:cs="Times New Roman"/>
        </w:rPr>
        <w:t>conditionne tant l’allocation des ressources que le comportement des acteurs. À cet égard, il influence le</w:t>
      </w:r>
      <w:r w:rsidR="00570657" w:rsidRPr="001D2947">
        <w:rPr>
          <w:rFonts w:cs="Times New Roman"/>
        </w:rPr>
        <w:t xml:space="preserve"> processus d’appropriation. Néanmoins, l’analyse effectuée ci-dessus suggère que la constitution d’un système d’alliance</w:t>
      </w:r>
      <w:r w:rsidR="00BD1C4A" w:rsidRPr="001D2947">
        <w:rPr>
          <w:rFonts w:cs="Times New Roman"/>
        </w:rPr>
        <w:t>s</w:t>
      </w:r>
      <w:r w:rsidR="00570657" w:rsidRPr="001D2947">
        <w:rPr>
          <w:rFonts w:cs="Times New Roman"/>
        </w:rPr>
        <w:t xml:space="preserve"> </w:t>
      </w:r>
      <w:r w:rsidR="00C10446" w:rsidRPr="001D2947">
        <w:rPr>
          <w:rFonts w:cs="Times New Roman"/>
        </w:rPr>
        <w:t>explique davantage l’appropriation d’un instrument de politique régionale.</w:t>
      </w:r>
    </w:p>
    <w:p w:rsidR="00127E70" w:rsidRPr="001D2947" w:rsidRDefault="00127E70" w:rsidP="001D2947">
      <w:pPr>
        <w:autoSpaceDE w:val="0"/>
        <w:autoSpaceDN w:val="0"/>
        <w:adjustRightInd w:val="0"/>
        <w:spacing w:after="0" w:line="360" w:lineRule="auto"/>
        <w:jc w:val="both"/>
        <w:rPr>
          <w:rFonts w:cs="Times New Roman"/>
        </w:rPr>
      </w:pPr>
    </w:p>
    <w:p w:rsidR="00570657" w:rsidRPr="001D2947" w:rsidRDefault="00570657" w:rsidP="001D2947">
      <w:pPr>
        <w:autoSpaceDE w:val="0"/>
        <w:autoSpaceDN w:val="0"/>
        <w:adjustRightInd w:val="0"/>
        <w:spacing w:after="0" w:line="360" w:lineRule="auto"/>
        <w:jc w:val="both"/>
        <w:rPr>
          <w:rFonts w:cs="Times New Roman"/>
        </w:rPr>
      </w:pPr>
      <w:r w:rsidRPr="001D2947">
        <w:rPr>
          <w:rFonts w:cs="Times New Roman"/>
        </w:rPr>
        <w:tab/>
        <w:t>En émergeant, le système d’alliance</w:t>
      </w:r>
      <w:r w:rsidR="00BD1C4A" w:rsidRPr="001D2947">
        <w:rPr>
          <w:rFonts w:cs="Times New Roman"/>
        </w:rPr>
        <w:t>s</w:t>
      </w:r>
      <w:r w:rsidRPr="001D2947">
        <w:rPr>
          <w:rFonts w:cs="Times New Roman"/>
        </w:rPr>
        <w:t xml:space="preserve"> façonne le</w:t>
      </w:r>
      <w:r w:rsidR="00FD39BF" w:rsidRPr="001D2947">
        <w:rPr>
          <w:rFonts w:cs="Times New Roman"/>
        </w:rPr>
        <w:t xml:space="preserve"> problème à traiter, définit le rôle</w:t>
      </w:r>
      <w:r w:rsidRPr="001D2947">
        <w:rPr>
          <w:rFonts w:cs="Times New Roman"/>
        </w:rPr>
        <w:t xml:space="preserve"> des acteurs et </w:t>
      </w:r>
      <w:r w:rsidR="00C10446" w:rsidRPr="001D2947">
        <w:rPr>
          <w:rFonts w:cs="Times New Roman"/>
        </w:rPr>
        <w:t>énonce une série de principes cadrant l’action publique</w:t>
      </w:r>
      <w:r w:rsidRPr="001D2947">
        <w:rPr>
          <w:rFonts w:cs="Times New Roman"/>
        </w:rPr>
        <w:t xml:space="preserve">. Dans le cas des pôles de compétitivité wallons, les décideurs politiques et le monde industriel s’allient pour façonner une politique « pragmatique » confiant les commandes aux industriels et finançant des projets de recherche « privés » avec des fonds publics. </w:t>
      </w:r>
      <w:r w:rsidR="0078354D" w:rsidRPr="001D2947">
        <w:rPr>
          <w:rFonts w:cs="Times New Roman"/>
        </w:rPr>
        <w:t>Dans le même temps, les organisations représentant le monde industriel s’engagent à mobiliser les acteurs</w:t>
      </w:r>
      <w:r w:rsidR="00C10446" w:rsidRPr="001D2947">
        <w:rPr>
          <w:rFonts w:cs="Times New Roman"/>
        </w:rPr>
        <w:t xml:space="preserve"> économiques et</w:t>
      </w:r>
      <w:r w:rsidR="0078354D" w:rsidRPr="001D2947">
        <w:rPr>
          <w:rFonts w:cs="Times New Roman"/>
        </w:rPr>
        <w:t xml:space="preserve"> à promouvoir </w:t>
      </w:r>
      <w:r w:rsidR="00C10446" w:rsidRPr="001D2947">
        <w:rPr>
          <w:rFonts w:cs="Times New Roman"/>
        </w:rPr>
        <w:t>les pôles de compétitivité</w:t>
      </w:r>
      <w:r w:rsidR="0078354D" w:rsidRPr="001D2947">
        <w:rPr>
          <w:rFonts w:cs="Times New Roman"/>
        </w:rPr>
        <w:t xml:space="preserve">. </w:t>
      </w:r>
      <w:r w:rsidR="00C10446" w:rsidRPr="001D2947">
        <w:rPr>
          <w:rFonts w:cs="Times New Roman"/>
          <w:i/>
        </w:rPr>
        <w:t xml:space="preserve">De </w:t>
      </w:r>
      <w:r w:rsidR="00FD39BF" w:rsidRPr="001D2947">
        <w:rPr>
          <w:rFonts w:cs="Times New Roman"/>
          <w:i/>
        </w:rPr>
        <w:t>facto</w:t>
      </w:r>
      <w:r w:rsidR="00C10446" w:rsidRPr="001D2947">
        <w:rPr>
          <w:rFonts w:cs="Times New Roman"/>
        </w:rPr>
        <w:t>,</w:t>
      </w:r>
      <w:r w:rsidR="0078354D" w:rsidRPr="001D2947">
        <w:rPr>
          <w:rFonts w:cs="Times New Roman"/>
        </w:rPr>
        <w:t xml:space="preserve"> le système d’alliance</w:t>
      </w:r>
      <w:r w:rsidR="00BD1C4A" w:rsidRPr="001D2947">
        <w:rPr>
          <w:rFonts w:cs="Times New Roman"/>
        </w:rPr>
        <w:t>s</w:t>
      </w:r>
      <w:r w:rsidR="0078354D" w:rsidRPr="001D2947">
        <w:rPr>
          <w:rFonts w:cs="Times New Roman"/>
        </w:rPr>
        <w:t xml:space="preserve"> </w:t>
      </w:r>
      <w:r w:rsidR="00C10446" w:rsidRPr="001D2947">
        <w:rPr>
          <w:rFonts w:cs="Times New Roman"/>
        </w:rPr>
        <w:t xml:space="preserve">fait </w:t>
      </w:r>
      <w:r w:rsidR="0078354D" w:rsidRPr="001D2947">
        <w:rPr>
          <w:rFonts w:cs="Times New Roman"/>
        </w:rPr>
        <w:t>bascule</w:t>
      </w:r>
      <w:r w:rsidR="00FD39BF" w:rsidRPr="001D2947">
        <w:rPr>
          <w:rFonts w:cs="Times New Roman"/>
        </w:rPr>
        <w:t>r la</w:t>
      </w:r>
      <w:r w:rsidR="0078354D" w:rsidRPr="001D2947">
        <w:rPr>
          <w:rFonts w:cs="Times New Roman"/>
        </w:rPr>
        <w:t xml:space="preserve"> gestion administrative des aides à la recherche</w:t>
      </w:r>
      <w:r w:rsidR="00FD39BF" w:rsidRPr="001D2947">
        <w:rPr>
          <w:rFonts w:cs="Times New Roman"/>
        </w:rPr>
        <w:t xml:space="preserve"> vers un modèle centré</w:t>
      </w:r>
      <w:r w:rsidR="0078354D" w:rsidRPr="001D2947">
        <w:rPr>
          <w:rFonts w:cs="Times New Roman"/>
        </w:rPr>
        <w:t xml:space="preserve"> sur la valorisation économique de l’innovation</w:t>
      </w:r>
      <w:r w:rsidR="00F41FCB">
        <w:rPr>
          <w:rFonts w:cs="Times New Roman"/>
        </w:rPr>
        <w:t xml:space="preserve">. </w:t>
      </w:r>
      <w:r w:rsidR="00D16AA5" w:rsidRPr="001D2947">
        <w:rPr>
          <w:rFonts w:cs="Times New Roman"/>
        </w:rPr>
        <w:t xml:space="preserve">Enfin, dans ce cas-ci, le </w:t>
      </w:r>
      <w:r w:rsidR="00C10446" w:rsidRPr="001D2947">
        <w:rPr>
          <w:rFonts w:cs="Times New Roman"/>
        </w:rPr>
        <w:t xml:space="preserve">système d’alliance </w:t>
      </w:r>
      <w:r w:rsidR="00FD39BF" w:rsidRPr="001D2947">
        <w:rPr>
          <w:rFonts w:cs="Times New Roman"/>
        </w:rPr>
        <w:t xml:space="preserve">crée </w:t>
      </w:r>
      <w:r w:rsidR="00C10446" w:rsidRPr="001D2947">
        <w:rPr>
          <w:rFonts w:cs="Times New Roman"/>
        </w:rPr>
        <w:t xml:space="preserve">de nouvelles </w:t>
      </w:r>
      <w:r w:rsidR="00FD39BF" w:rsidRPr="001D2947">
        <w:rPr>
          <w:rFonts w:cs="Times New Roman"/>
        </w:rPr>
        <w:t>organisations</w:t>
      </w:r>
      <w:r w:rsidR="00F41FCB">
        <w:rPr>
          <w:rFonts w:cs="Times New Roman"/>
        </w:rPr>
        <w:t xml:space="preserve">, </w:t>
      </w:r>
      <w:r w:rsidR="00D16AA5" w:rsidRPr="001D2947">
        <w:rPr>
          <w:rFonts w:cs="Times New Roman"/>
        </w:rPr>
        <w:t xml:space="preserve">de nouvelles </w:t>
      </w:r>
      <w:r w:rsidR="00C10446" w:rsidRPr="001D2947">
        <w:rPr>
          <w:rFonts w:cs="Times New Roman"/>
        </w:rPr>
        <w:t>procédures et</w:t>
      </w:r>
      <w:r w:rsidR="00D16AA5" w:rsidRPr="001D2947">
        <w:rPr>
          <w:rFonts w:cs="Times New Roman"/>
        </w:rPr>
        <w:t xml:space="preserve"> </w:t>
      </w:r>
      <w:r w:rsidR="00FD39BF" w:rsidRPr="001D2947">
        <w:rPr>
          <w:rFonts w:cs="Times New Roman"/>
        </w:rPr>
        <w:t xml:space="preserve">génère </w:t>
      </w:r>
      <w:r w:rsidR="00D16AA5" w:rsidRPr="001D2947">
        <w:rPr>
          <w:rFonts w:cs="Times New Roman"/>
        </w:rPr>
        <w:t xml:space="preserve">de nouvelles </w:t>
      </w:r>
      <w:r w:rsidR="00F41FCB">
        <w:rPr>
          <w:rFonts w:cs="Times New Roman"/>
        </w:rPr>
        <w:t>compétences</w:t>
      </w:r>
      <w:r w:rsidR="007D08ED" w:rsidRPr="001D2947">
        <w:rPr>
          <w:rFonts w:cs="Times New Roman"/>
        </w:rPr>
        <w:t xml:space="preserve">. </w:t>
      </w:r>
    </w:p>
    <w:p w:rsidR="00127E70" w:rsidRPr="001D2947" w:rsidRDefault="00127E70" w:rsidP="001D2947">
      <w:pPr>
        <w:autoSpaceDE w:val="0"/>
        <w:autoSpaceDN w:val="0"/>
        <w:adjustRightInd w:val="0"/>
        <w:spacing w:after="0" w:line="360" w:lineRule="auto"/>
        <w:jc w:val="both"/>
        <w:rPr>
          <w:rFonts w:cs="Times New Roman"/>
        </w:rPr>
      </w:pPr>
    </w:p>
    <w:p w:rsidR="00D16AA5" w:rsidRPr="001D2947" w:rsidRDefault="00D16AA5" w:rsidP="001D2947">
      <w:pPr>
        <w:autoSpaceDE w:val="0"/>
        <w:autoSpaceDN w:val="0"/>
        <w:adjustRightInd w:val="0"/>
        <w:spacing w:after="0" w:line="360" w:lineRule="auto"/>
        <w:jc w:val="both"/>
        <w:rPr>
          <w:rFonts w:cs="Times New Roman"/>
        </w:rPr>
      </w:pPr>
      <w:r w:rsidRPr="001D2947">
        <w:rPr>
          <w:rFonts w:cs="Times New Roman"/>
        </w:rPr>
        <w:tab/>
      </w:r>
      <w:r w:rsidR="00B631AA" w:rsidRPr="001D2947">
        <w:rPr>
          <w:rFonts w:cs="Times New Roman"/>
        </w:rPr>
        <w:t>L’étude de cas a mis en lumière le processus de négociation entre les acteurs du réseau. Paradoxalement, pour sceller l’alliance, les acteurs édictent des principes d’action non négociables. À ce titre, l</w:t>
      </w:r>
      <w:r w:rsidRPr="001D2947">
        <w:rPr>
          <w:rFonts w:cs="Times New Roman"/>
        </w:rPr>
        <w:t xml:space="preserve">’indépendance du jury international </w:t>
      </w:r>
      <w:r w:rsidR="00B631AA" w:rsidRPr="001D2947">
        <w:rPr>
          <w:rFonts w:cs="Times New Roman"/>
        </w:rPr>
        <w:t>a été</w:t>
      </w:r>
      <w:r w:rsidRPr="001D2947">
        <w:rPr>
          <w:rFonts w:cs="Times New Roman"/>
        </w:rPr>
        <w:t xml:space="preserve"> une </w:t>
      </w:r>
      <w:r w:rsidR="00FD39BF" w:rsidRPr="001D2947">
        <w:rPr>
          <w:rFonts w:cs="Times New Roman"/>
        </w:rPr>
        <w:t>obligation</w:t>
      </w:r>
      <w:r w:rsidRPr="001D2947">
        <w:rPr>
          <w:rFonts w:cs="Times New Roman"/>
        </w:rPr>
        <w:t xml:space="preserve"> </w:t>
      </w:r>
      <w:r w:rsidR="00B631AA" w:rsidRPr="001D2947">
        <w:rPr>
          <w:rFonts w:cs="Times New Roman"/>
        </w:rPr>
        <w:t xml:space="preserve">posée par le monde industriel. </w:t>
      </w:r>
      <w:r w:rsidRPr="001D2947">
        <w:rPr>
          <w:rFonts w:cs="Times New Roman"/>
        </w:rPr>
        <w:t>Bien que</w:t>
      </w:r>
      <w:r w:rsidR="00FD39BF" w:rsidRPr="001D2947">
        <w:rPr>
          <w:rFonts w:cs="Times New Roman"/>
        </w:rPr>
        <w:t xml:space="preserve"> le système politique permette</w:t>
      </w:r>
      <w:r w:rsidRPr="001D2947">
        <w:rPr>
          <w:rFonts w:cs="Times New Roman"/>
        </w:rPr>
        <w:t xml:space="preserve"> au Ministre de l’Économie d’avoir le dernier mot sur la labellisation des projets, </w:t>
      </w:r>
      <w:r w:rsidR="00350459" w:rsidRPr="001D2947">
        <w:rPr>
          <w:rFonts w:cs="Times New Roman"/>
        </w:rPr>
        <w:t xml:space="preserve">le décideur politique n’a jamais été à l’encontre d’une </w:t>
      </w:r>
      <w:r w:rsidR="00B631AA" w:rsidRPr="001D2947">
        <w:rPr>
          <w:rFonts w:cs="Times New Roman"/>
        </w:rPr>
        <w:t>recommandation</w:t>
      </w:r>
      <w:r w:rsidR="00350459" w:rsidRPr="001D2947">
        <w:rPr>
          <w:rFonts w:cs="Times New Roman"/>
        </w:rPr>
        <w:t xml:space="preserve"> du jury</w:t>
      </w:r>
      <w:r w:rsidR="00B631AA" w:rsidRPr="001D2947">
        <w:rPr>
          <w:rFonts w:cs="Times New Roman"/>
        </w:rPr>
        <w:t xml:space="preserve"> international</w:t>
      </w:r>
      <w:r w:rsidR="00350459" w:rsidRPr="001D2947">
        <w:rPr>
          <w:rFonts w:cs="Times New Roman"/>
        </w:rPr>
        <w:t>.</w:t>
      </w:r>
    </w:p>
    <w:p w:rsidR="00127E70" w:rsidRPr="001D2947" w:rsidRDefault="00127E70" w:rsidP="001D2947">
      <w:pPr>
        <w:autoSpaceDE w:val="0"/>
        <w:autoSpaceDN w:val="0"/>
        <w:adjustRightInd w:val="0"/>
        <w:spacing w:after="0" w:line="360" w:lineRule="auto"/>
        <w:jc w:val="both"/>
        <w:rPr>
          <w:rFonts w:cs="Times New Roman"/>
        </w:rPr>
      </w:pPr>
    </w:p>
    <w:p w:rsidR="00350459" w:rsidRPr="001D2947" w:rsidRDefault="00350459" w:rsidP="001D2947">
      <w:pPr>
        <w:autoSpaceDE w:val="0"/>
        <w:autoSpaceDN w:val="0"/>
        <w:adjustRightInd w:val="0"/>
        <w:spacing w:after="0" w:line="360" w:lineRule="auto"/>
        <w:jc w:val="both"/>
        <w:rPr>
          <w:rFonts w:cs="Times New Roman"/>
        </w:rPr>
      </w:pPr>
      <w:r w:rsidRPr="001D2947">
        <w:rPr>
          <w:rFonts w:cs="Times New Roman"/>
        </w:rPr>
        <w:tab/>
        <w:t>L’appropriation d’un concept est</w:t>
      </w:r>
      <w:r w:rsidR="008E78AA" w:rsidRPr="001D2947">
        <w:rPr>
          <w:rFonts w:cs="Times New Roman"/>
        </w:rPr>
        <w:t>, avant tout,</w:t>
      </w:r>
      <w:r w:rsidRPr="001D2947">
        <w:rPr>
          <w:rFonts w:cs="Times New Roman"/>
        </w:rPr>
        <w:t xml:space="preserve"> un processus contextualisé. Au-delà de la diffusion des bonnes pratiques, </w:t>
      </w:r>
      <w:r w:rsidR="008E78AA" w:rsidRPr="001D2947">
        <w:rPr>
          <w:rFonts w:cs="Times New Roman"/>
        </w:rPr>
        <w:t>elle</w:t>
      </w:r>
      <w:r w:rsidRPr="001D2947">
        <w:rPr>
          <w:rFonts w:cs="Times New Roman"/>
        </w:rPr>
        <w:t xml:space="preserve"> questionne la capacité de certain territoire à mettre en œuvre des </w:t>
      </w:r>
      <w:r w:rsidR="00670282" w:rsidRPr="001D2947">
        <w:rPr>
          <w:rFonts w:cs="Times New Roman"/>
        </w:rPr>
        <w:t>MTI</w:t>
      </w:r>
      <w:r w:rsidRPr="001D2947">
        <w:rPr>
          <w:rFonts w:cs="Times New Roman"/>
        </w:rPr>
        <w:t xml:space="preserve"> fonctionnels. </w:t>
      </w:r>
    </w:p>
    <w:p w:rsidR="00127E70" w:rsidRPr="001D2947" w:rsidRDefault="00127E70" w:rsidP="001D2947">
      <w:pPr>
        <w:autoSpaceDE w:val="0"/>
        <w:autoSpaceDN w:val="0"/>
        <w:adjustRightInd w:val="0"/>
        <w:spacing w:after="0" w:line="360" w:lineRule="auto"/>
        <w:jc w:val="both"/>
        <w:rPr>
          <w:rFonts w:cs="Times New Roman"/>
        </w:rPr>
      </w:pPr>
    </w:p>
    <w:p w:rsidR="004C21A3" w:rsidRPr="001D2947" w:rsidRDefault="003768F5" w:rsidP="001D2947">
      <w:pPr>
        <w:autoSpaceDE w:val="0"/>
        <w:autoSpaceDN w:val="0"/>
        <w:adjustRightInd w:val="0"/>
        <w:spacing w:after="0" w:line="360" w:lineRule="auto"/>
        <w:jc w:val="both"/>
        <w:rPr>
          <w:rFonts w:cs="Times New Roman"/>
        </w:rPr>
      </w:pPr>
      <w:r w:rsidRPr="001D2947">
        <w:rPr>
          <w:rFonts w:cs="Times New Roman"/>
        </w:rPr>
        <w:tab/>
      </w:r>
      <w:r w:rsidR="00BD1C4A" w:rsidRPr="001D2947">
        <w:rPr>
          <w:rFonts w:cs="Times New Roman"/>
        </w:rPr>
        <w:t>Néanmoins la</w:t>
      </w:r>
      <w:r w:rsidRPr="001D2947">
        <w:rPr>
          <w:rFonts w:cs="Times New Roman"/>
        </w:rPr>
        <w:t xml:space="preserve"> recherche s’est basée</w:t>
      </w:r>
      <w:r w:rsidR="00127E70" w:rsidRPr="001D2947">
        <w:rPr>
          <w:rFonts w:cs="Times New Roman"/>
        </w:rPr>
        <w:t xml:space="preserve"> sur une seule étude de cas. Dès lors, il est difficile d’atteindre</w:t>
      </w:r>
      <w:r w:rsidR="00A56ABB" w:rsidRPr="001D2947">
        <w:rPr>
          <w:rFonts w:cs="Times New Roman"/>
        </w:rPr>
        <w:t xml:space="preserve"> un haut degré de généralité</w:t>
      </w:r>
      <w:r w:rsidR="00127E70" w:rsidRPr="001D2947">
        <w:rPr>
          <w:rFonts w:cs="Times New Roman"/>
        </w:rPr>
        <w:t xml:space="preserve">. </w:t>
      </w:r>
      <w:r w:rsidR="00A56ABB" w:rsidRPr="001D2947">
        <w:rPr>
          <w:rFonts w:cs="Times New Roman"/>
        </w:rPr>
        <w:t>À cet égard, il serait pertinent</w:t>
      </w:r>
      <w:r w:rsidR="00127E70" w:rsidRPr="001D2947">
        <w:rPr>
          <w:rFonts w:cs="Times New Roman"/>
        </w:rPr>
        <w:t xml:space="preserve"> d’</w:t>
      </w:r>
      <w:r w:rsidR="00A56ABB" w:rsidRPr="001D2947">
        <w:rPr>
          <w:rFonts w:cs="Times New Roman"/>
        </w:rPr>
        <w:t>effectuer une analyse comparative</w:t>
      </w:r>
      <w:r w:rsidR="00127E70" w:rsidRPr="001D2947">
        <w:rPr>
          <w:rFonts w:cs="Times New Roman"/>
        </w:rPr>
        <w:t xml:space="preserve"> des processus d’appropriation </w:t>
      </w:r>
      <w:r w:rsidR="001A707D" w:rsidRPr="001D2947">
        <w:rPr>
          <w:rFonts w:cs="Times New Roman"/>
        </w:rPr>
        <w:t xml:space="preserve">de </w:t>
      </w:r>
      <w:r w:rsidR="00670282" w:rsidRPr="001D2947">
        <w:rPr>
          <w:rFonts w:cs="Times New Roman"/>
        </w:rPr>
        <w:t>MTI</w:t>
      </w:r>
      <w:r w:rsidR="001A707D" w:rsidRPr="001D2947">
        <w:rPr>
          <w:rFonts w:cs="Times New Roman"/>
        </w:rPr>
        <w:t xml:space="preserve"> </w:t>
      </w:r>
      <w:r w:rsidR="00A56ABB" w:rsidRPr="001D2947">
        <w:rPr>
          <w:rFonts w:cs="Times New Roman"/>
        </w:rPr>
        <w:t xml:space="preserve">afin de </w:t>
      </w:r>
      <w:r w:rsidR="00127E70" w:rsidRPr="001D2947">
        <w:rPr>
          <w:rFonts w:cs="Times New Roman"/>
        </w:rPr>
        <w:t xml:space="preserve">saisir les </w:t>
      </w:r>
      <w:r w:rsidR="001A707D" w:rsidRPr="001D2947">
        <w:rPr>
          <w:rFonts w:cs="Times New Roman"/>
        </w:rPr>
        <w:t>mécanismes à l’œuvre dans les choix/arbitrages effectués par les acteurs d’un territoire.</w:t>
      </w:r>
      <w:r w:rsidR="00127E70" w:rsidRPr="001D2947">
        <w:rPr>
          <w:rFonts w:cs="Times New Roman"/>
        </w:rPr>
        <w:t xml:space="preserve"> </w:t>
      </w:r>
      <w:r w:rsidR="001A707D" w:rsidRPr="001D2947">
        <w:rPr>
          <w:rFonts w:cs="Times New Roman"/>
        </w:rPr>
        <w:t xml:space="preserve">Dans cette perspective, </w:t>
      </w:r>
      <w:r w:rsidR="00127E70" w:rsidRPr="001D2947">
        <w:rPr>
          <w:rFonts w:cs="Times New Roman"/>
        </w:rPr>
        <w:t xml:space="preserve">la théorie de la traduction et de l’intéressement </w:t>
      </w:r>
      <w:r w:rsidR="001A707D" w:rsidRPr="001D2947">
        <w:rPr>
          <w:rFonts w:cs="Times New Roman"/>
        </w:rPr>
        <w:t>se révèle comme un cadre théori</w:t>
      </w:r>
      <w:r w:rsidR="00A56ABB" w:rsidRPr="001D2947">
        <w:rPr>
          <w:rFonts w:cs="Times New Roman"/>
        </w:rPr>
        <w:t>qu</w:t>
      </w:r>
      <w:r w:rsidR="001A707D" w:rsidRPr="001D2947">
        <w:rPr>
          <w:rFonts w:cs="Times New Roman"/>
        </w:rPr>
        <w:t>e p</w:t>
      </w:r>
      <w:r w:rsidR="00A56ABB" w:rsidRPr="001D2947">
        <w:rPr>
          <w:rFonts w:cs="Times New Roman"/>
        </w:rPr>
        <w:t>orteur</w:t>
      </w:r>
      <w:r w:rsidR="001A707D" w:rsidRPr="001D2947">
        <w:rPr>
          <w:rFonts w:cs="Times New Roman"/>
        </w:rPr>
        <w:t xml:space="preserve"> et laisse entrevoir plusieurs thématiques de recherche</w:t>
      </w:r>
      <w:r w:rsidR="001C09CE" w:rsidRPr="001D2947">
        <w:rPr>
          <w:rFonts w:cs="Times New Roman"/>
        </w:rPr>
        <w:t xml:space="preserve"> telles que</w:t>
      </w:r>
      <w:r w:rsidR="00A56ABB" w:rsidRPr="001D2947">
        <w:rPr>
          <w:rFonts w:cs="Times New Roman"/>
        </w:rPr>
        <w:t xml:space="preserve"> </w:t>
      </w:r>
      <w:r w:rsidRPr="001D2947">
        <w:rPr>
          <w:rFonts w:cs="Times New Roman"/>
        </w:rPr>
        <w:t xml:space="preserve">les stratégies des acteurs </w:t>
      </w:r>
      <w:r w:rsidR="00FD39BF" w:rsidRPr="001D2947">
        <w:rPr>
          <w:rFonts w:cs="Times New Roman"/>
        </w:rPr>
        <w:t>d</w:t>
      </w:r>
      <w:r w:rsidRPr="001D2947">
        <w:rPr>
          <w:rFonts w:cs="Times New Roman"/>
        </w:rPr>
        <w:t>ans la constitution d’un système d’alliance, la formulation des énoncés et leur mise en œuvre dans un système de gouvernance, l’analyse d’une gouvernance multi-niveau</w:t>
      </w:r>
      <w:r w:rsidR="001C09CE" w:rsidRPr="001D2947">
        <w:rPr>
          <w:rFonts w:cs="Times New Roman"/>
        </w:rPr>
        <w:t>x</w:t>
      </w:r>
      <w:r w:rsidRPr="001D2947">
        <w:rPr>
          <w:rFonts w:cs="Times New Roman"/>
        </w:rPr>
        <w:t xml:space="preserve"> sur le fonctionnement d’un </w:t>
      </w:r>
      <w:r w:rsidRPr="001D2947">
        <w:rPr>
          <w:rFonts w:cs="Times New Roman"/>
          <w:i/>
        </w:rPr>
        <w:t>cluster</w:t>
      </w:r>
      <w:r w:rsidRPr="001D2947">
        <w:rPr>
          <w:rFonts w:cs="Times New Roman"/>
        </w:rPr>
        <w:t xml:space="preserve"> ou encore la constitution d’un système de valeurs inclusif dépassant la tension </w:t>
      </w:r>
      <w:r w:rsidR="001C09CE" w:rsidRPr="001D2947">
        <w:rPr>
          <w:rFonts w:cs="Times New Roman"/>
        </w:rPr>
        <w:t xml:space="preserve">entre la </w:t>
      </w:r>
      <w:r w:rsidRPr="001D2947">
        <w:rPr>
          <w:rFonts w:cs="Times New Roman"/>
        </w:rPr>
        <w:t xml:space="preserve">logique </w:t>
      </w:r>
      <w:r w:rsidR="001C09CE" w:rsidRPr="001D2947">
        <w:rPr>
          <w:rFonts w:cs="Times New Roman"/>
        </w:rPr>
        <w:t>administrative et la</w:t>
      </w:r>
      <w:r w:rsidR="00FD39BF" w:rsidRPr="001D2947">
        <w:rPr>
          <w:rFonts w:cs="Times New Roman"/>
          <w:i/>
        </w:rPr>
        <w:t xml:space="preserve"> </w:t>
      </w:r>
      <w:r w:rsidRPr="001D2947">
        <w:rPr>
          <w:rFonts w:cs="Times New Roman"/>
        </w:rPr>
        <w:t>logique économique.</w:t>
      </w:r>
    </w:p>
    <w:p w:rsidR="00C44107" w:rsidRPr="001D2947" w:rsidRDefault="00C44107" w:rsidP="001D2947">
      <w:pPr>
        <w:autoSpaceDE w:val="0"/>
        <w:autoSpaceDN w:val="0"/>
        <w:adjustRightInd w:val="0"/>
        <w:spacing w:after="0" w:line="360" w:lineRule="auto"/>
        <w:jc w:val="both"/>
        <w:rPr>
          <w:rFonts w:cs="Times New Roman"/>
        </w:rPr>
      </w:pPr>
    </w:p>
    <w:p w:rsidR="000B512C" w:rsidRPr="001D2947" w:rsidRDefault="00AB6EC8" w:rsidP="001D2947">
      <w:pPr>
        <w:autoSpaceDE w:val="0"/>
        <w:autoSpaceDN w:val="0"/>
        <w:adjustRightInd w:val="0"/>
        <w:spacing w:after="0" w:line="360" w:lineRule="auto"/>
        <w:jc w:val="both"/>
        <w:rPr>
          <w:rFonts w:cs="Times New Roman"/>
        </w:rPr>
      </w:pPr>
      <w:r w:rsidRPr="001D2947">
        <w:rPr>
          <w:rFonts w:cs="Times New Roman"/>
        </w:rPr>
        <w:t xml:space="preserve"> </w:t>
      </w:r>
    </w:p>
    <w:p w:rsidR="000B512C" w:rsidRPr="001D2947" w:rsidRDefault="000B512C" w:rsidP="001D2947">
      <w:pPr>
        <w:spacing w:line="360" w:lineRule="auto"/>
        <w:rPr>
          <w:rFonts w:cs="Times New Roman"/>
        </w:rPr>
      </w:pPr>
      <w:r w:rsidRPr="001D2947">
        <w:rPr>
          <w:rFonts w:cs="Times New Roman"/>
        </w:rPr>
        <w:br w:type="page"/>
      </w:r>
    </w:p>
    <w:p w:rsidR="0037056C" w:rsidRPr="001D2947" w:rsidRDefault="000E415F" w:rsidP="001D2947">
      <w:pPr>
        <w:autoSpaceDE w:val="0"/>
        <w:autoSpaceDN w:val="0"/>
        <w:adjustRightInd w:val="0"/>
        <w:spacing w:after="0" w:line="360" w:lineRule="auto"/>
        <w:jc w:val="both"/>
        <w:rPr>
          <w:rFonts w:cs="Times New Roman"/>
          <w:b/>
        </w:rPr>
      </w:pPr>
      <w:r w:rsidRPr="001D2947">
        <w:rPr>
          <w:rFonts w:cs="Times New Roman"/>
          <w:b/>
        </w:rPr>
        <w:lastRenderedPageBreak/>
        <w:t>Bibliographie</w:t>
      </w:r>
    </w:p>
    <w:p w:rsidR="000E415F" w:rsidRPr="001D2947" w:rsidRDefault="000E415F" w:rsidP="001D2947">
      <w:pPr>
        <w:autoSpaceDE w:val="0"/>
        <w:autoSpaceDN w:val="0"/>
        <w:adjustRightInd w:val="0"/>
        <w:spacing w:after="0" w:line="360" w:lineRule="auto"/>
        <w:jc w:val="both"/>
        <w:rPr>
          <w:rFonts w:cs="Times New Roman"/>
        </w:rPr>
      </w:pPr>
    </w:p>
    <w:p w:rsidR="00580544" w:rsidRPr="001D2947" w:rsidRDefault="00580544" w:rsidP="001D2947">
      <w:pPr>
        <w:spacing w:line="360" w:lineRule="auto"/>
        <w:jc w:val="both"/>
        <w:rPr>
          <w:rFonts w:cs="Times New Roman"/>
        </w:rPr>
      </w:pPr>
      <w:r w:rsidRPr="001D2947">
        <w:rPr>
          <w:rFonts w:cs="Times New Roman"/>
          <w:smallCaps/>
        </w:rPr>
        <w:t>Accaputo, A., Bayenet, B., Pagano, G</w:t>
      </w:r>
      <w:r w:rsidRPr="001D2947">
        <w:rPr>
          <w:rFonts w:cs="Times New Roman"/>
        </w:rPr>
        <w:t xml:space="preserve">. (2006), </w:t>
      </w:r>
      <w:r w:rsidRPr="001D2947">
        <w:rPr>
          <w:rFonts w:cs="Times New Roman"/>
          <w:i/>
          <w:iCs/>
        </w:rPr>
        <w:t>Le Plan Marshall pour la Wallonie</w:t>
      </w:r>
      <w:r w:rsidRPr="001D2947">
        <w:rPr>
          <w:rFonts w:cs="Times New Roman"/>
        </w:rPr>
        <w:t xml:space="preserve">, Courrier Hebdomadaire du CRISP, 1919-1920, 74 p. </w:t>
      </w:r>
    </w:p>
    <w:p w:rsidR="00735DFC" w:rsidRPr="00F41FCB" w:rsidRDefault="000C1C99" w:rsidP="00F41FCB">
      <w:pPr>
        <w:spacing w:line="360" w:lineRule="auto"/>
        <w:jc w:val="both"/>
        <w:rPr>
          <w:rFonts w:cs="Times New Roman"/>
        </w:rPr>
      </w:pPr>
      <w:proofErr w:type="spellStart"/>
      <w:r w:rsidRPr="001D2947">
        <w:rPr>
          <w:rFonts w:cs="Times New Roman"/>
          <w:smallCaps/>
        </w:rPr>
        <w:t>Akrich</w:t>
      </w:r>
      <w:proofErr w:type="spellEnd"/>
      <w:r w:rsidRPr="001D2947">
        <w:rPr>
          <w:rFonts w:cs="Times New Roman"/>
          <w:smallCaps/>
        </w:rPr>
        <w:t xml:space="preserve">, M., Callon, M., </w:t>
      </w:r>
      <w:proofErr w:type="spellStart"/>
      <w:r w:rsidRPr="001D2947">
        <w:rPr>
          <w:rFonts w:cs="Times New Roman"/>
          <w:smallCaps/>
        </w:rPr>
        <w:t>Latour</w:t>
      </w:r>
      <w:proofErr w:type="spellEnd"/>
      <w:r w:rsidRPr="001D2947">
        <w:rPr>
          <w:rFonts w:cs="Times New Roman"/>
          <w:smallCaps/>
        </w:rPr>
        <w:t>, B</w:t>
      </w:r>
      <w:r w:rsidRPr="001D2947">
        <w:rPr>
          <w:rFonts w:cs="Times New Roman"/>
        </w:rPr>
        <w:t xml:space="preserve">. (1988), A quoi sert le succès des innovations? 1 : L’art de l’intéressement ; 2 : le choix des porte-paroles. Gérer et comprendre, in </w:t>
      </w:r>
      <w:r w:rsidRPr="001D2947">
        <w:rPr>
          <w:rFonts w:cs="Times New Roman"/>
          <w:i/>
        </w:rPr>
        <w:t>Annales des mines</w:t>
      </w:r>
      <w:r w:rsidRPr="001D2947">
        <w:rPr>
          <w:rFonts w:cs="Times New Roman"/>
        </w:rPr>
        <w:t>, pp. 4-17 &amp; 14-29.</w:t>
      </w:r>
    </w:p>
    <w:p w:rsidR="00621489" w:rsidRDefault="009161C8" w:rsidP="001D2947">
      <w:pPr>
        <w:autoSpaceDE w:val="0"/>
        <w:autoSpaceDN w:val="0"/>
        <w:adjustRightInd w:val="0"/>
        <w:spacing w:after="0" w:line="360" w:lineRule="auto"/>
        <w:jc w:val="both"/>
        <w:rPr>
          <w:rFonts w:cs="Times New Roman"/>
        </w:rPr>
      </w:pPr>
      <w:r w:rsidRPr="001D2947">
        <w:rPr>
          <w:rFonts w:cs="Times New Roman"/>
          <w:smallCaps/>
        </w:rPr>
        <w:t xml:space="preserve">Aydalot, p. (1986), </w:t>
      </w:r>
      <w:r w:rsidRPr="001D2947">
        <w:rPr>
          <w:rFonts w:cs="Times New Roman"/>
          <w:i/>
        </w:rPr>
        <w:t xml:space="preserve">Milieux innovateurs en Europe, </w:t>
      </w:r>
      <w:r w:rsidRPr="001D2947">
        <w:rPr>
          <w:rFonts w:cs="Times New Roman"/>
        </w:rPr>
        <w:t>GREMI, Paris.</w:t>
      </w:r>
    </w:p>
    <w:p w:rsidR="00F41FCB" w:rsidRPr="001D2947" w:rsidRDefault="00F41FCB" w:rsidP="001D2947">
      <w:pPr>
        <w:autoSpaceDE w:val="0"/>
        <w:autoSpaceDN w:val="0"/>
        <w:adjustRightInd w:val="0"/>
        <w:spacing w:after="0" w:line="360" w:lineRule="auto"/>
        <w:jc w:val="both"/>
        <w:rPr>
          <w:rFonts w:cs="Times New Roman"/>
        </w:rPr>
      </w:pPr>
    </w:p>
    <w:p w:rsidR="00580544" w:rsidRDefault="00621489"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Bathelt</w:t>
      </w:r>
      <w:proofErr w:type="spellEnd"/>
      <w:r w:rsidRPr="001D2947">
        <w:rPr>
          <w:rFonts w:cs="Times New Roman"/>
          <w:smallCaps/>
          <w:lang w:val="en-US"/>
        </w:rPr>
        <w:t xml:space="preserve">, H., </w:t>
      </w:r>
      <w:proofErr w:type="spellStart"/>
      <w:r w:rsidRPr="001D2947">
        <w:rPr>
          <w:rFonts w:cs="Times New Roman"/>
          <w:smallCaps/>
          <w:lang w:val="en-US"/>
        </w:rPr>
        <w:t>Malmberg</w:t>
      </w:r>
      <w:proofErr w:type="spellEnd"/>
      <w:r w:rsidRPr="001D2947">
        <w:rPr>
          <w:rFonts w:cs="Times New Roman"/>
          <w:smallCaps/>
          <w:lang w:val="en-US"/>
        </w:rPr>
        <w:t xml:space="preserve"> , A., </w:t>
      </w:r>
      <w:proofErr w:type="spellStart"/>
      <w:r w:rsidRPr="001D2947">
        <w:rPr>
          <w:rFonts w:cs="Times New Roman"/>
          <w:smallCaps/>
          <w:lang w:val="en-US"/>
        </w:rPr>
        <w:t>Maskelt</w:t>
      </w:r>
      <w:proofErr w:type="spellEnd"/>
      <w:r w:rsidRPr="001D2947">
        <w:rPr>
          <w:rFonts w:cs="Times New Roman"/>
          <w:smallCaps/>
          <w:lang w:val="en-US"/>
        </w:rPr>
        <w:t>, P.</w:t>
      </w:r>
      <w:r w:rsidRPr="001D2947">
        <w:rPr>
          <w:rFonts w:cs="Times New Roman"/>
          <w:lang w:val="en-US"/>
        </w:rPr>
        <w:t xml:space="preserve"> (2004), Clusters Knowledge : local buzz, global pipelines and the process of knowledge creation, in </w:t>
      </w:r>
      <w:proofErr w:type="spellStart"/>
      <w:r w:rsidRPr="001D2947">
        <w:rPr>
          <w:rFonts w:cs="Times New Roman"/>
          <w:i/>
          <w:lang w:val="en-US"/>
        </w:rPr>
        <w:t>Progess</w:t>
      </w:r>
      <w:proofErr w:type="spellEnd"/>
      <w:r w:rsidRPr="001D2947">
        <w:rPr>
          <w:rFonts w:cs="Times New Roman"/>
          <w:i/>
          <w:lang w:val="en-US"/>
        </w:rPr>
        <w:t xml:space="preserve"> in Human Geography,</w:t>
      </w:r>
      <w:r w:rsidRPr="001D2947">
        <w:rPr>
          <w:rFonts w:cs="Times New Roman"/>
          <w:lang w:val="en-US"/>
        </w:rPr>
        <w:t xml:space="preserve"> vol. 28, n°1, pp. 31-56.</w:t>
      </w:r>
    </w:p>
    <w:p w:rsidR="00F41FCB" w:rsidRPr="001D2947" w:rsidRDefault="00F41FCB" w:rsidP="001D2947">
      <w:pPr>
        <w:autoSpaceDE w:val="0"/>
        <w:autoSpaceDN w:val="0"/>
        <w:adjustRightInd w:val="0"/>
        <w:spacing w:after="0" w:line="360" w:lineRule="auto"/>
        <w:jc w:val="both"/>
        <w:rPr>
          <w:rFonts w:cs="Times New Roman"/>
          <w:lang w:val="en-US"/>
        </w:rPr>
      </w:pPr>
    </w:p>
    <w:p w:rsidR="009161C8" w:rsidRPr="001D2947" w:rsidRDefault="00580544" w:rsidP="001D2947">
      <w:pPr>
        <w:spacing w:line="360" w:lineRule="auto"/>
        <w:jc w:val="both"/>
        <w:rPr>
          <w:rFonts w:cs="Times New Roman"/>
          <w:bCs/>
          <w:lang w:val="en-US"/>
        </w:rPr>
      </w:pPr>
      <w:r w:rsidRPr="001D2947">
        <w:rPr>
          <w:rFonts w:cs="Times New Roman"/>
          <w:bCs/>
          <w:smallCaps/>
          <w:lang w:val="en-US"/>
        </w:rPr>
        <w:t xml:space="preserve">Battilana, J., </w:t>
      </w:r>
      <w:proofErr w:type="spellStart"/>
      <w:r w:rsidRPr="001D2947">
        <w:rPr>
          <w:rFonts w:cs="Times New Roman"/>
          <w:bCs/>
          <w:smallCaps/>
          <w:lang w:val="en-US"/>
        </w:rPr>
        <w:t>Leca</w:t>
      </w:r>
      <w:proofErr w:type="spellEnd"/>
      <w:r w:rsidRPr="001D2947">
        <w:rPr>
          <w:rFonts w:cs="Times New Roman"/>
          <w:bCs/>
          <w:smallCaps/>
          <w:lang w:val="en-US"/>
        </w:rPr>
        <w:t xml:space="preserve">, B., </w:t>
      </w:r>
      <w:proofErr w:type="spellStart"/>
      <w:r w:rsidRPr="001D2947">
        <w:rPr>
          <w:rFonts w:cs="Times New Roman"/>
          <w:bCs/>
          <w:smallCaps/>
          <w:lang w:val="en-US"/>
        </w:rPr>
        <w:t>Boxenbaum</w:t>
      </w:r>
      <w:proofErr w:type="spellEnd"/>
      <w:r w:rsidRPr="001D2947">
        <w:rPr>
          <w:rFonts w:cs="Times New Roman"/>
          <w:bCs/>
          <w:smallCaps/>
          <w:lang w:val="en-US"/>
        </w:rPr>
        <w:t>, E.</w:t>
      </w:r>
      <w:r w:rsidRPr="001D2947">
        <w:rPr>
          <w:rFonts w:cs="Times New Roman"/>
          <w:bCs/>
          <w:lang w:val="en-US"/>
        </w:rPr>
        <w:t xml:space="preserve"> (2009), How Actors Change Institutions: Towards a Theory of Institutional Entrepreneurship, </w:t>
      </w:r>
      <w:r w:rsidRPr="001D2947">
        <w:rPr>
          <w:rFonts w:cs="Times New Roman"/>
          <w:bCs/>
          <w:i/>
          <w:lang w:val="en-US"/>
        </w:rPr>
        <w:t>Academy of Management Annals</w:t>
      </w:r>
      <w:r w:rsidRPr="001D2947">
        <w:rPr>
          <w:rFonts w:cs="Times New Roman"/>
          <w:bCs/>
          <w:lang w:val="en-US"/>
        </w:rPr>
        <w:t>, vol. 3, no. 1, pp. 65-107.</w:t>
      </w:r>
    </w:p>
    <w:p w:rsidR="00621489" w:rsidRPr="001D2947" w:rsidRDefault="00621489" w:rsidP="001D2947">
      <w:pPr>
        <w:spacing w:line="360" w:lineRule="auto"/>
        <w:jc w:val="both"/>
        <w:rPr>
          <w:rFonts w:cs="Times New Roman"/>
          <w:bCs/>
        </w:rPr>
      </w:pPr>
      <w:r w:rsidRPr="001D2947">
        <w:rPr>
          <w:rFonts w:cs="Times New Roman"/>
          <w:bCs/>
          <w:smallCaps/>
        </w:rPr>
        <w:t>Bayenet, B., Capron, H</w:t>
      </w:r>
      <w:r w:rsidRPr="001D2947">
        <w:rPr>
          <w:rFonts w:cs="Times New Roman"/>
          <w:bCs/>
        </w:rPr>
        <w:t xml:space="preserve">. (2012), Les pôles de compétitivité : un nouvel instrument de la politique industrielle de la Wallonie, in </w:t>
      </w:r>
      <w:r w:rsidRPr="001D2947">
        <w:rPr>
          <w:rFonts w:cs="Times New Roman"/>
          <w:bCs/>
          <w:i/>
        </w:rPr>
        <w:t>Reflets et perspectives de la vie économique</w:t>
      </w:r>
      <w:r w:rsidRPr="001D2947">
        <w:rPr>
          <w:rFonts w:cs="Times New Roman"/>
          <w:bCs/>
        </w:rPr>
        <w:t>, vol.1, pp. 77-98.</w:t>
      </w:r>
    </w:p>
    <w:p w:rsidR="006613A4" w:rsidRPr="001D2947" w:rsidRDefault="006613A4" w:rsidP="001D2947">
      <w:pPr>
        <w:autoSpaceDE w:val="0"/>
        <w:autoSpaceDN w:val="0"/>
        <w:adjustRightInd w:val="0"/>
        <w:spacing w:after="0" w:line="360" w:lineRule="auto"/>
        <w:jc w:val="both"/>
        <w:rPr>
          <w:rFonts w:cs="Times New Roman"/>
        </w:rPr>
      </w:pPr>
      <w:r w:rsidRPr="00F41FCB">
        <w:rPr>
          <w:rFonts w:cs="Times New Roman"/>
          <w:smallCaps/>
        </w:rPr>
        <w:t>Bayenet, B., Wunderle</w:t>
      </w:r>
      <w:r w:rsidRPr="001D2947">
        <w:rPr>
          <w:rFonts w:cs="Times New Roman"/>
        </w:rPr>
        <w:t xml:space="preserve">, M., (2009), Les pôles de compétitivité wallons, in </w:t>
      </w:r>
      <w:r w:rsidRPr="001D2947">
        <w:rPr>
          <w:rFonts w:cs="Times New Roman"/>
          <w:i/>
          <w:iCs/>
        </w:rPr>
        <w:t>Courrier hebdomadaire du CRISP</w:t>
      </w:r>
      <w:r w:rsidRPr="001D2947">
        <w:rPr>
          <w:rFonts w:cs="Times New Roman"/>
        </w:rPr>
        <w:t>, vol. 23, n° 2030, p. 7-41.</w:t>
      </w:r>
    </w:p>
    <w:p w:rsidR="006613A4" w:rsidRPr="001D2947" w:rsidRDefault="006613A4" w:rsidP="001D2947">
      <w:pPr>
        <w:autoSpaceDE w:val="0"/>
        <w:autoSpaceDN w:val="0"/>
        <w:adjustRightInd w:val="0"/>
        <w:spacing w:after="0" w:line="360" w:lineRule="auto"/>
        <w:jc w:val="both"/>
        <w:rPr>
          <w:rFonts w:cs="Arial"/>
        </w:rPr>
      </w:pPr>
    </w:p>
    <w:p w:rsidR="009161C8" w:rsidRPr="001D2947" w:rsidRDefault="009161C8" w:rsidP="001D2947">
      <w:pPr>
        <w:autoSpaceDE w:val="0"/>
        <w:autoSpaceDN w:val="0"/>
        <w:adjustRightInd w:val="0"/>
        <w:spacing w:after="0" w:line="360" w:lineRule="auto"/>
        <w:jc w:val="both"/>
        <w:rPr>
          <w:rFonts w:cs="Times New Roman"/>
        </w:rPr>
      </w:pPr>
      <w:r w:rsidRPr="001D2947">
        <w:rPr>
          <w:rFonts w:cs="Times New Roman"/>
          <w:smallCaps/>
        </w:rPr>
        <w:t>Becattini, G.</w:t>
      </w:r>
      <w:r w:rsidRPr="001D2947">
        <w:rPr>
          <w:rFonts w:cs="Times New Roman"/>
        </w:rPr>
        <w:t xml:space="preserve"> (1981), Le district industriel : milieux créatif, </w:t>
      </w:r>
      <w:r w:rsidRPr="001D2947">
        <w:rPr>
          <w:rFonts w:cs="Times New Roman"/>
          <w:i/>
        </w:rPr>
        <w:t>Espace et Sociétés</w:t>
      </w:r>
      <w:r w:rsidRPr="001D2947">
        <w:rPr>
          <w:rFonts w:cs="Times New Roman"/>
        </w:rPr>
        <w:t>, pp. 147-164.</w:t>
      </w:r>
    </w:p>
    <w:p w:rsidR="006A2F84" w:rsidRPr="001D2947" w:rsidRDefault="006A2F84" w:rsidP="001D2947">
      <w:pPr>
        <w:autoSpaceDE w:val="0"/>
        <w:autoSpaceDN w:val="0"/>
        <w:adjustRightInd w:val="0"/>
        <w:spacing w:after="0" w:line="360" w:lineRule="auto"/>
        <w:jc w:val="both"/>
        <w:rPr>
          <w:rFonts w:cs="Times New Roman"/>
        </w:rPr>
      </w:pPr>
    </w:p>
    <w:p w:rsidR="009161C8" w:rsidRPr="001D2947" w:rsidRDefault="00580544" w:rsidP="001D2947">
      <w:pPr>
        <w:spacing w:line="360" w:lineRule="auto"/>
        <w:jc w:val="both"/>
        <w:rPr>
          <w:rFonts w:cs="Times New Roman"/>
          <w:lang w:val="en-US"/>
        </w:rPr>
      </w:pPr>
      <w:r w:rsidRPr="001D2947">
        <w:rPr>
          <w:rFonts w:cs="Times New Roman"/>
          <w:smallCaps/>
          <w:lang w:val="en-US"/>
        </w:rPr>
        <w:t xml:space="preserve">Bernier, L., Hafsi, T. (2007), </w:t>
      </w:r>
      <w:r w:rsidRPr="001D2947">
        <w:rPr>
          <w:rFonts w:cs="Times New Roman"/>
          <w:lang w:val="en-US"/>
        </w:rPr>
        <w:t xml:space="preserve">The Changing Nature of Public Entrepreneurship, </w:t>
      </w:r>
      <w:r w:rsidRPr="001D2947">
        <w:rPr>
          <w:rFonts w:cs="Times New Roman"/>
          <w:i/>
          <w:lang w:val="en-US"/>
        </w:rPr>
        <w:t>Public Administration Review</w:t>
      </w:r>
      <w:r w:rsidRPr="001D2947">
        <w:rPr>
          <w:rFonts w:cs="Times New Roman"/>
          <w:lang w:val="en-US"/>
        </w:rPr>
        <w:t>, pp.488-503.</w:t>
      </w:r>
    </w:p>
    <w:p w:rsidR="00580544" w:rsidRPr="001D2947" w:rsidRDefault="00580544" w:rsidP="001D2947">
      <w:pPr>
        <w:spacing w:line="360" w:lineRule="auto"/>
        <w:jc w:val="both"/>
        <w:rPr>
          <w:rFonts w:cs="Times New Roman"/>
          <w:lang w:val="en-US"/>
        </w:rPr>
      </w:pPr>
      <w:r w:rsidRPr="001D2947">
        <w:rPr>
          <w:rFonts w:cs="Times New Roman"/>
          <w:smallCaps/>
          <w:lang w:val="en-US"/>
        </w:rPr>
        <w:t>Berry, F. S., Berry, W. D</w:t>
      </w:r>
      <w:r w:rsidRPr="001D2947">
        <w:rPr>
          <w:rFonts w:cs="Times New Roman"/>
          <w:lang w:val="en-US"/>
        </w:rPr>
        <w:t xml:space="preserve">., (1999). Innovation and diffusion models in policy research. </w:t>
      </w:r>
      <w:r w:rsidRPr="001D2947">
        <w:rPr>
          <w:rFonts w:cs="Times New Roman"/>
          <w:i/>
          <w:iCs/>
          <w:lang w:val="en-US"/>
        </w:rPr>
        <w:t>Theories of the policy process</w:t>
      </w:r>
      <w:r w:rsidRPr="001D2947">
        <w:rPr>
          <w:rFonts w:cs="Times New Roman"/>
          <w:lang w:val="en-US"/>
        </w:rPr>
        <w:t>, vol.</w:t>
      </w:r>
      <w:r w:rsidRPr="001D2947">
        <w:rPr>
          <w:rFonts w:cs="Times New Roman"/>
          <w:iCs/>
          <w:lang w:val="en-US"/>
        </w:rPr>
        <w:t>169</w:t>
      </w:r>
      <w:r w:rsidRPr="001D2947">
        <w:rPr>
          <w:rFonts w:cs="Times New Roman"/>
          <w:lang w:val="en-US"/>
        </w:rPr>
        <w:t>, pp.223-253.</w:t>
      </w:r>
    </w:p>
    <w:p w:rsidR="009161C8" w:rsidRPr="001D2947" w:rsidRDefault="009161C8"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Boschma</w:t>
      </w:r>
      <w:proofErr w:type="spellEnd"/>
      <w:r w:rsidRPr="001D2947">
        <w:rPr>
          <w:rFonts w:cs="Times New Roman"/>
          <w:smallCaps/>
          <w:lang w:val="en-US"/>
        </w:rPr>
        <w:t>, R.</w:t>
      </w:r>
      <w:r w:rsidRPr="001D2947">
        <w:rPr>
          <w:rFonts w:cs="Times New Roman"/>
          <w:lang w:val="en-US"/>
        </w:rPr>
        <w:t xml:space="preserve"> (</w:t>
      </w:r>
      <w:r w:rsidR="00105A45" w:rsidRPr="001D2947">
        <w:rPr>
          <w:rFonts w:cs="Times New Roman"/>
          <w:lang w:val="en-US"/>
        </w:rPr>
        <w:t>2005), Proxi</w:t>
      </w:r>
      <w:r w:rsidR="00F41FCB">
        <w:rPr>
          <w:rFonts w:cs="Times New Roman"/>
          <w:lang w:val="en-US"/>
        </w:rPr>
        <w:t>mit</w:t>
      </w:r>
      <w:r w:rsidR="00105A45" w:rsidRPr="001D2947">
        <w:rPr>
          <w:rFonts w:cs="Times New Roman"/>
          <w:lang w:val="en-US"/>
        </w:rPr>
        <w:t xml:space="preserve">y and innovation: A Critical Assessment, in </w:t>
      </w:r>
      <w:r w:rsidR="00105A45" w:rsidRPr="001D2947">
        <w:rPr>
          <w:rFonts w:cs="Times New Roman"/>
          <w:i/>
          <w:lang w:val="en-US"/>
        </w:rPr>
        <w:t>Regional Studies</w:t>
      </w:r>
      <w:r w:rsidR="00105A45" w:rsidRPr="001D2947">
        <w:rPr>
          <w:rFonts w:cs="Times New Roman"/>
          <w:lang w:val="en-US"/>
        </w:rPr>
        <w:t>, vol. 39, n°1, pp. 61-74</w:t>
      </w:r>
    </w:p>
    <w:p w:rsidR="00D51FD1" w:rsidRPr="001D2947" w:rsidRDefault="00D51FD1" w:rsidP="001D2947">
      <w:pPr>
        <w:autoSpaceDE w:val="0"/>
        <w:autoSpaceDN w:val="0"/>
        <w:adjustRightInd w:val="0"/>
        <w:spacing w:after="0" w:line="360" w:lineRule="auto"/>
        <w:jc w:val="both"/>
        <w:rPr>
          <w:rFonts w:cs="Times New Roman"/>
          <w:lang w:val="en-US"/>
        </w:rPr>
      </w:pPr>
    </w:p>
    <w:p w:rsidR="000C1C99" w:rsidRPr="001D2947" w:rsidRDefault="00D51FD1" w:rsidP="001D2947">
      <w:pPr>
        <w:autoSpaceDE w:val="0"/>
        <w:autoSpaceDN w:val="0"/>
        <w:adjustRightInd w:val="0"/>
        <w:spacing w:after="0" w:line="360" w:lineRule="auto"/>
        <w:jc w:val="both"/>
        <w:rPr>
          <w:rFonts w:cs="Times New Roman"/>
        </w:rPr>
      </w:pPr>
      <w:r w:rsidRPr="001D2947">
        <w:rPr>
          <w:rFonts w:cs="Times New Roman"/>
          <w:smallCaps/>
        </w:rPr>
        <w:t>Callon, M</w:t>
      </w:r>
      <w:r w:rsidR="000C1C99" w:rsidRPr="001D2947">
        <w:rPr>
          <w:rFonts w:cs="Times New Roman"/>
        </w:rPr>
        <w:t>.(1979), L’État face à l’innovation technique. Le cas du véhicule électrique, in</w:t>
      </w:r>
      <w:r w:rsidR="000C1C99" w:rsidRPr="001D2947">
        <w:rPr>
          <w:rFonts w:cs="Times New Roman"/>
          <w:i/>
        </w:rPr>
        <w:t xml:space="preserve"> Revue française de science politique</w:t>
      </w:r>
      <w:r w:rsidR="000C1C99" w:rsidRPr="001D2947">
        <w:rPr>
          <w:rFonts w:cs="Times New Roman"/>
        </w:rPr>
        <w:t>, vol. 29, n°3, pp. 426-447.</w:t>
      </w:r>
    </w:p>
    <w:p w:rsidR="000C1C99" w:rsidRPr="001D2947" w:rsidRDefault="000C1C99" w:rsidP="001D2947">
      <w:pPr>
        <w:autoSpaceDE w:val="0"/>
        <w:autoSpaceDN w:val="0"/>
        <w:adjustRightInd w:val="0"/>
        <w:spacing w:after="0" w:line="360" w:lineRule="auto"/>
        <w:jc w:val="both"/>
        <w:rPr>
          <w:rFonts w:cs="Times New Roman"/>
        </w:rPr>
      </w:pPr>
    </w:p>
    <w:p w:rsidR="000C1C99" w:rsidRPr="001D2947" w:rsidRDefault="00F41FCB" w:rsidP="001D2947">
      <w:pPr>
        <w:autoSpaceDE w:val="0"/>
        <w:autoSpaceDN w:val="0"/>
        <w:adjustRightInd w:val="0"/>
        <w:spacing w:after="0" w:line="360" w:lineRule="auto"/>
        <w:jc w:val="both"/>
        <w:rPr>
          <w:rFonts w:cs="Times New Roman"/>
        </w:rPr>
      </w:pPr>
      <w:r>
        <w:rPr>
          <w:rFonts w:cs="Times New Roman"/>
        </w:rPr>
        <w:lastRenderedPageBreak/>
        <w:t>-, (1981), Pour une sociol</w:t>
      </w:r>
      <w:r w:rsidR="000C1C99" w:rsidRPr="001D2947">
        <w:rPr>
          <w:rFonts w:cs="Times New Roman"/>
        </w:rPr>
        <w:t xml:space="preserve">ogie des controverses technologiques, in </w:t>
      </w:r>
      <w:r w:rsidR="000C1C99" w:rsidRPr="001D2947">
        <w:rPr>
          <w:rFonts w:cs="Times New Roman"/>
          <w:i/>
        </w:rPr>
        <w:t>Fondamental science</w:t>
      </w:r>
      <w:r w:rsidR="000C1C99" w:rsidRPr="001D2947">
        <w:rPr>
          <w:rFonts w:cs="Times New Roman"/>
        </w:rPr>
        <w:t>, vol. 2, n°3,  pp. 381-398.</w:t>
      </w:r>
    </w:p>
    <w:p w:rsidR="000C1C99" w:rsidRPr="001D2947" w:rsidRDefault="000C1C99" w:rsidP="001D2947">
      <w:pPr>
        <w:autoSpaceDE w:val="0"/>
        <w:autoSpaceDN w:val="0"/>
        <w:adjustRightInd w:val="0"/>
        <w:spacing w:after="0" w:line="360" w:lineRule="auto"/>
        <w:jc w:val="both"/>
        <w:rPr>
          <w:rFonts w:cs="Times New Roman"/>
        </w:rPr>
      </w:pPr>
    </w:p>
    <w:p w:rsidR="00D51FD1" w:rsidRPr="001D2947" w:rsidRDefault="000C1C99" w:rsidP="001D2947">
      <w:pPr>
        <w:autoSpaceDE w:val="0"/>
        <w:autoSpaceDN w:val="0"/>
        <w:adjustRightInd w:val="0"/>
        <w:spacing w:after="0" w:line="360" w:lineRule="auto"/>
        <w:jc w:val="both"/>
        <w:rPr>
          <w:rFonts w:cs="Times New Roman"/>
        </w:rPr>
      </w:pPr>
      <w:r w:rsidRPr="001D2947">
        <w:rPr>
          <w:rFonts w:cs="Times New Roman"/>
        </w:rPr>
        <w:t xml:space="preserve">-, </w:t>
      </w:r>
      <w:r w:rsidR="00D51FD1" w:rsidRPr="001D2947">
        <w:rPr>
          <w:rFonts w:cs="Times New Roman"/>
        </w:rPr>
        <w:t xml:space="preserve">(1986). Éléments pour une sociologie de la traduction: la domestication des coquilles Saint-Jacques et des marins-pêcheurs dans la baie de Saint-Brieuc, in </w:t>
      </w:r>
      <w:r w:rsidR="00D51FD1" w:rsidRPr="001D2947">
        <w:rPr>
          <w:rFonts w:cs="Times New Roman"/>
          <w:i/>
          <w:iCs/>
        </w:rPr>
        <w:t>L'Année sociologique (1940/1948-)</w:t>
      </w:r>
      <w:r w:rsidR="00D51FD1" w:rsidRPr="001D2947">
        <w:rPr>
          <w:rFonts w:cs="Times New Roman"/>
        </w:rPr>
        <w:t xml:space="preserve">, </w:t>
      </w:r>
      <w:r w:rsidR="00D51FD1" w:rsidRPr="001D2947">
        <w:rPr>
          <w:rFonts w:cs="Times New Roman"/>
          <w:i/>
          <w:iCs/>
        </w:rPr>
        <w:t>36</w:t>
      </w:r>
      <w:r w:rsidR="00D51FD1" w:rsidRPr="001D2947">
        <w:rPr>
          <w:rFonts w:cs="Times New Roman"/>
        </w:rPr>
        <w:t>, 169-208.</w:t>
      </w:r>
    </w:p>
    <w:p w:rsidR="000C1C99" w:rsidRPr="001D2947" w:rsidRDefault="000C1C99" w:rsidP="001D2947">
      <w:pPr>
        <w:autoSpaceDE w:val="0"/>
        <w:autoSpaceDN w:val="0"/>
        <w:adjustRightInd w:val="0"/>
        <w:spacing w:after="0" w:line="360" w:lineRule="auto"/>
        <w:jc w:val="both"/>
        <w:rPr>
          <w:rFonts w:cs="Times New Roman"/>
        </w:rPr>
      </w:pPr>
    </w:p>
    <w:p w:rsidR="000C1C99" w:rsidRPr="001D2947" w:rsidRDefault="000C1C99" w:rsidP="001D2947">
      <w:pPr>
        <w:autoSpaceDE w:val="0"/>
        <w:autoSpaceDN w:val="0"/>
        <w:adjustRightInd w:val="0"/>
        <w:spacing w:after="0" w:line="360" w:lineRule="auto"/>
        <w:jc w:val="both"/>
        <w:rPr>
          <w:rFonts w:cs="Times New Roman"/>
          <w:lang w:val="en-US"/>
        </w:rPr>
      </w:pPr>
      <w:r w:rsidRPr="001D2947">
        <w:rPr>
          <w:rFonts w:cs="Times New Roman"/>
          <w:lang w:val="en-US"/>
        </w:rPr>
        <w:t xml:space="preserve">-, (1990), Techno-economic networks and irreversibility, in </w:t>
      </w:r>
      <w:r w:rsidRPr="001D2947">
        <w:rPr>
          <w:rFonts w:cs="Times New Roman"/>
          <w:i/>
          <w:iCs/>
          <w:lang w:val="en-US"/>
        </w:rPr>
        <w:t>The Sociological Review</w:t>
      </w:r>
      <w:r w:rsidRPr="001D2947">
        <w:rPr>
          <w:rFonts w:cs="Times New Roman"/>
          <w:lang w:val="en-US"/>
        </w:rPr>
        <w:t xml:space="preserve">, </w:t>
      </w:r>
      <w:r w:rsidRPr="001D2947">
        <w:rPr>
          <w:rFonts w:cs="Times New Roman"/>
          <w:i/>
          <w:iCs/>
          <w:lang w:val="en-US"/>
        </w:rPr>
        <w:t>Vol 38, n°</w:t>
      </w:r>
      <w:r w:rsidRPr="001D2947">
        <w:rPr>
          <w:rFonts w:cs="Times New Roman"/>
          <w:lang w:val="en-US"/>
        </w:rPr>
        <w:t>1, pp. 132-161.</w:t>
      </w:r>
    </w:p>
    <w:p w:rsidR="006A2F84" w:rsidRPr="001D2947" w:rsidRDefault="006A2F84" w:rsidP="001D2947">
      <w:pPr>
        <w:autoSpaceDE w:val="0"/>
        <w:autoSpaceDN w:val="0"/>
        <w:adjustRightInd w:val="0"/>
        <w:spacing w:after="0" w:line="360" w:lineRule="auto"/>
        <w:jc w:val="both"/>
        <w:rPr>
          <w:rFonts w:cs="Times New Roman"/>
          <w:lang w:val="en-US"/>
        </w:rPr>
      </w:pPr>
    </w:p>
    <w:p w:rsidR="000E415F" w:rsidRPr="001D2947" w:rsidRDefault="000E415F" w:rsidP="001D2947">
      <w:pPr>
        <w:autoSpaceDE w:val="0"/>
        <w:autoSpaceDN w:val="0"/>
        <w:adjustRightInd w:val="0"/>
        <w:spacing w:after="0" w:line="360" w:lineRule="auto"/>
        <w:jc w:val="both"/>
        <w:rPr>
          <w:rFonts w:cs="Times New Roman"/>
          <w:lang w:val="en-US"/>
        </w:rPr>
      </w:pPr>
      <w:r w:rsidRPr="001D2947">
        <w:rPr>
          <w:rFonts w:cs="Times New Roman"/>
          <w:smallCaps/>
          <w:lang w:val="en-US"/>
        </w:rPr>
        <w:t xml:space="preserve">Cooke, P., Gomez </w:t>
      </w:r>
      <w:proofErr w:type="spellStart"/>
      <w:r w:rsidRPr="001D2947">
        <w:rPr>
          <w:rFonts w:cs="Times New Roman"/>
          <w:smallCaps/>
          <w:lang w:val="en-US"/>
        </w:rPr>
        <w:t>Uranga</w:t>
      </w:r>
      <w:proofErr w:type="spellEnd"/>
      <w:r w:rsidRPr="001D2947">
        <w:rPr>
          <w:rFonts w:cs="Times New Roman"/>
          <w:smallCaps/>
          <w:lang w:val="en-US"/>
        </w:rPr>
        <w:t xml:space="preserve">, M., </w:t>
      </w:r>
      <w:proofErr w:type="spellStart"/>
      <w:r w:rsidRPr="001D2947">
        <w:rPr>
          <w:rFonts w:cs="Times New Roman"/>
          <w:smallCaps/>
          <w:lang w:val="en-US"/>
        </w:rPr>
        <w:t>Etxebarria</w:t>
      </w:r>
      <w:proofErr w:type="spellEnd"/>
      <w:r w:rsidRPr="001D2947">
        <w:rPr>
          <w:rFonts w:cs="Times New Roman"/>
          <w:smallCaps/>
          <w:lang w:val="en-US"/>
        </w:rPr>
        <w:t>, G</w:t>
      </w:r>
      <w:r w:rsidRPr="001D2947">
        <w:rPr>
          <w:rFonts w:cs="Times New Roman"/>
          <w:lang w:val="en-US"/>
        </w:rPr>
        <w:t xml:space="preserve">. (1997), Regional Innovation Systems: Institutional and </w:t>
      </w:r>
      <w:proofErr w:type="spellStart"/>
      <w:r w:rsidRPr="001D2947">
        <w:rPr>
          <w:rFonts w:cs="Times New Roman"/>
          <w:lang w:val="en-US"/>
        </w:rPr>
        <w:t>Organisational</w:t>
      </w:r>
      <w:proofErr w:type="spellEnd"/>
      <w:r w:rsidRPr="001D2947">
        <w:rPr>
          <w:rFonts w:cs="Times New Roman"/>
          <w:lang w:val="en-US"/>
        </w:rPr>
        <w:t xml:space="preserve"> </w:t>
      </w:r>
      <w:r w:rsidR="00F94F6E" w:rsidRPr="001D2947">
        <w:rPr>
          <w:rFonts w:cs="Times New Roman"/>
          <w:lang w:val="en-US"/>
        </w:rPr>
        <w:t xml:space="preserve">Dimensions, in </w:t>
      </w:r>
      <w:r w:rsidR="00F94F6E" w:rsidRPr="001D2947">
        <w:rPr>
          <w:rFonts w:cs="Times New Roman"/>
          <w:i/>
          <w:lang w:val="en-US"/>
        </w:rPr>
        <w:t>Research Policy</w:t>
      </w:r>
      <w:r w:rsidR="00F94F6E" w:rsidRPr="001D2947">
        <w:rPr>
          <w:rFonts w:cs="Times New Roman"/>
          <w:lang w:val="en-US"/>
        </w:rPr>
        <w:t>, n°27, pp. 475-491</w:t>
      </w:r>
    </w:p>
    <w:p w:rsidR="006A2F84" w:rsidRPr="001D2947" w:rsidRDefault="006A2F84" w:rsidP="001D2947">
      <w:pPr>
        <w:autoSpaceDE w:val="0"/>
        <w:autoSpaceDN w:val="0"/>
        <w:adjustRightInd w:val="0"/>
        <w:spacing w:after="0" w:line="360" w:lineRule="auto"/>
        <w:jc w:val="both"/>
        <w:rPr>
          <w:rFonts w:cs="Times New Roman"/>
          <w:lang w:val="en-US"/>
        </w:rPr>
      </w:pPr>
    </w:p>
    <w:p w:rsidR="00F94F6E" w:rsidRPr="001D2947" w:rsidRDefault="00F94F6E"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Etzkowitz</w:t>
      </w:r>
      <w:proofErr w:type="spellEnd"/>
      <w:r w:rsidRPr="001D2947">
        <w:rPr>
          <w:rFonts w:cs="Times New Roman"/>
          <w:smallCaps/>
          <w:lang w:val="en-US"/>
        </w:rPr>
        <w:t xml:space="preserve">, H., </w:t>
      </w:r>
      <w:proofErr w:type="spellStart"/>
      <w:r w:rsidRPr="001D2947">
        <w:rPr>
          <w:rFonts w:cs="Times New Roman"/>
          <w:smallCaps/>
          <w:lang w:val="en-US"/>
        </w:rPr>
        <w:t>Leydesdorff</w:t>
      </w:r>
      <w:proofErr w:type="spellEnd"/>
      <w:r w:rsidRPr="001D2947">
        <w:rPr>
          <w:rFonts w:cs="Times New Roman"/>
          <w:smallCaps/>
          <w:lang w:val="en-US"/>
        </w:rPr>
        <w:t>, L</w:t>
      </w:r>
      <w:r w:rsidRPr="001D2947">
        <w:rPr>
          <w:rFonts w:cs="Times New Roman"/>
          <w:lang w:val="en-US"/>
        </w:rPr>
        <w:t xml:space="preserve">. (2000), The dynamics of innovation: from National Systems and ‘‘Mode 2’’ to a Triple Helix of university–industry–government relations, in </w:t>
      </w:r>
      <w:r w:rsidRPr="001D2947">
        <w:rPr>
          <w:rFonts w:cs="Times New Roman"/>
          <w:i/>
          <w:lang w:val="en-US"/>
        </w:rPr>
        <w:t>Research Policy</w:t>
      </w:r>
      <w:r w:rsidRPr="001D2947">
        <w:rPr>
          <w:rFonts w:cs="Times New Roman"/>
          <w:lang w:val="en-US"/>
        </w:rPr>
        <w:t>, n°29, pp. 109-123.</w:t>
      </w:r>
    </w:p>
    <w:p w:rsidR="004B6D1F" w:rsidRPr="001D2947" w:rsidRDefault="004B6D1F" w:rsidP="001D2947">
      <w:pPr>
        <w:autoSpaceDE w:val="0"/>
        <w:autoSpaceDN w:val="0"/>
        <w:adjustRightInd w:val="0"/>
        <w:spacing w:after="0" w:line="360" w:lineRule="auto"/>
        <w:jc w:val="both"/>
        <w:rPr>
          <w:rFonts w:cs="Times New Roman"/>
          <w:lang w:val="en-US"/>
        </w:rPr>
      </w:pPr>
    </w:p>
    <w:p w:rsidR="003C7B4A" w:rsidRPr="001D2947" w:rsidRDefault="004B6D1F" w:rsidP="001D2947">
      <w:pPr>
        <w:spacing w:line="360" w:lineRule="auto"/>
        <w:jc w:val="both"/>
        <w:rPr>
          <w:rFonts w:cs="Times New Roman"/>
          <w:lang w:val="en-US"/>
        </w:rPr>
      </w:pPr>
      <w:proofErr w:type="spellStart"/>
      <w:r w:rsidRPr="001D2947">
        <w:rPr>
          <w:rFonts w:cs="Times New Roman"/>
          <w:smallCaps/>
          <w:lang w:val="en-US"/>
        </w:rPr>
        <w:t>Damanpour</w:t>
      </w:r>
      <w:proofErr w:type="spellEnd"/>
      <w:r w:rsidRPr="001D2947">
        <w:rPr>
          <w:rFonts w:cs="Times New Roman"/>
          <w:smallCaps/>
          <w:lang w:val="en-US"/>
        </w:rPr>
        <w:t>, F.</w:t>
      </w:r>
      <w:r w:rsidRPr="001D2947">
        <w:rPr>
          <w:rFonts w:cs="Times New Roman"/>
          <w:lang w:val="en-US"/>
        </w:rPr>
        <w:t xml:space="preserve"> (1991), Organizational Innovation: A Meta-Analysis of Effects of Determinants and Moderators, </w:t>
      </w:r>
      <w:r w:rsidRPr="001D2947">
        <w:rPr>
          <w:rFonts w:cs="Times New Roman"/>
          <w:i/>
          <w:lang w:val="en-US"/>
        </w:rPr>
        <w:t>The Academy of Management Journal</w:t>
      </w:r>
      <w:r w:rsidRPr="001D2947">
        <w:rPr>
          <w:rFonts w:cs="Times New Roman"/>
          <w:lang w:val="en-US"/>
        </w:rPr>
        <w:t>, vol. 34, no. 3, pp. 555-590.</w:t>
      </w:r>
    </w:p>
    <w:p w:rsidR="003C7B4A" w:rsidRPr="001D2947" w:rsidRDefault="003C7B4A"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Deschouwer</w:t>
      </w:r>
      <w:proofErr w:type="spellEnd"/>
      <w:r w:rsidRPr="001D2947">
        <w:rPr>
          <w:rFonts w:cs="Times New Roman"/>
          <w:smallCaps/>
          <w:lang w:val="en-US"/>
        </w:rPr>
        <w:t>, K.</w:t>
      </w:r>
      <w:r w:rsidRPr="001D2947">
        <w:rPr>
          <w:rFonts w:cs="Times New Roman"/>
          <w:lang w:val="en-US"/>
        </w:rPr>
        <w:t xml:space="preserve"> (2009), </w:t>
      </w:r>
      <w:r w:rsidRPr="001D2947">
        <w:rPr>
          <w:rFonts w:cs="Times New Roman"/>
          <w:i/>
          <w:lang w:val="en-US"/>
        </w:rPr>
        <w:t>The Politics of Belgium. Governing a Divided Society</w:t>
      </w:r>
      <w:r w:rsidRPr="001D2947">
        <w:rPr>
          <w:rFonts w:cs="Times New Roman"/>
          <w:lang w:val="en-US"/>
        </w:rPr>
        <w:t>, Palgrave MacMillan, 262 p.</w:t>
      </w:r>
    </w:p>
    <w:p w:rsidR="00105A45" w:rsidRPr="001D2947" w:rsidRDefault="00105A45" w:rsidP="001D2947">
      <w:pPr>
        <w:autoSpaceDE w:val="0"/>
        <w:autoSpaceDN w:val="0"/>
        <w:adjustRightInd w:val="0"/>
        <w:spacing w:after="0" w:line="360" w:lineRule="auto"/>
        <w:jc w:val="both"/>
        <w:rPr>
          <w:rFonts w:cs="Times New Roman"/>
          <w:lang w:val="en-US"/>
        </w:rPr>
      </w:pPr>
    </w:p>
    <w:p w:rsidR="00105A45" w:rsidRPr="001D2947" w:rsidRDefault="00105A45"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Doloreux</w:t>
      </w:r>
      <w:proofErr w:type="spellEnd"/>
      <w:r w:rsidRPr="001D2947">
        <w:rPr>
          <w:rFonts w:cs="Times New Roman"/>
          <w:smallCaps/>
          <w:lang w:val="en-US"/>
        </w:rPr>
        <w:t xml:space="preserve">, D. &amp; </w:t>
      </w:r>
      <w:proofErr w:type="spellStart"/>
      <w:r w:rsidRPr="001D2947">
        <w:rPr>
          <w:rFonts w:cs="Times New Roman"/>
          <w:smallCaps/>
          <w:lang w:val="en-US"/>
        </w:rPr>
        <w:t>Parto</w:t>
      </w:r>
      <w:proofErr w:type="spellEnd"/>
      <w:r w:rsidRPr="001D2947">
        <w:rPr>
          <w:rFonts w:cs="Times New Roman"/>
          <w:smallCaps/>
          <w:lang w:val="en-US"/>
        </w:rPr>
        <w:t>, S.</w:t>
      </w:r>
      <w:r w:rsidRPr="001D2947">
        <w:rPr>
          <w:rFonts w:cs="Times New Roman"/>
          <w:lang w:val="en-US"/>
        </w:rPr>
        <w:t xml:space="preserve"> (2005), Regional innovation systems: Current discourse and unresolved issues, in </w:t>
      </w:r>
      <w:r w:rsidRPr="001D2947">
        <w:rPr>
          <w:rFonts w:cs="Times New Roman"/>
          <w:i/>
          <w:lang w:val="en-US"/>
        </w:rPr>
        <w:t>Technology in Society</w:t>
      </w:r>
      <w:r w:rsidR="00697154" w:rsidRPr="001D2947">
        <w:rPr>
          <w:rFonts w:cs="Times New Roman"/>
          <w:lang w:val="en-US"/>
        </w:rPr>
        <w:t>, vol. 27, pp. 133-153.</w:t>
      </w:r>
    </w:p>
    <w:p w:rsidR="00042F5B" w:rsidRPr="001D2947" w:rsidRDefault="00042F5B" w:rsidP="001D2947">
      <w:pPr>
        <w:autoSpaceDE w:val="0"/>
        <w:autoSpaceDN w:val="0"/>
        <w:adjustRightInd w:val="0"/>
        <w:spacing w:after="0" w:line="360" w:lineRule="auto"/>
        <w:jc w:val="both"/>
        <w:rPr>
          <w:rFonts w:cs="Times New Roman"/>
          <w:lang w:val="en-US"/>
        </w:rPr>
      </w:pPr>
    </w:p>
    <w:p w:rsidR="00697154" w:rsidRPr="001D2947" w:rsidRDefault="00042F5B" w:rsidP="001D2947">
      <w:pPr>
        <w:spacing w:line="360" w:lineRule="auto"/>
        <w:jc w:val="both"/>
        <w:rPr>
          <w:rFonts w:cs="Times New Roman"/>
          <w:lang w:val="en-US"/>
        </w:rPr>
      </w:pPr>
      <w:r w:rsidRPr="001D2947">
        <w:rPr>
          <w:rFonts w:cs="Times New Roman"/>
          <w:smallCaps/>
          <w:lang w:val="en-US"/>
        </w:rPr>
        <w:t>Gray, V</w:t>
      </w:r>
      <w:r w:rsidRPr="001D2947">
        <w:rPr>
          <w:rFonts w:cs="Times New Roman"/>
          <w:lang w:val="en-US"/>
        </w:rPr>
        <w:t xml:space="preserve">. (1973), Innovation in the States: A Diffusion Study, </w:t>
      </w:r>
      <w:r w:rsidRPr="001D2947">
        <w:rPr>
          <w:rFonts w:cs="Times New Roman"/>
          <w:i/>
          <w:lang w:val="en-US"/>
        </w:rPr>
        <w:t>The American Political Science Review</w:t>
      </w:r>
      <w:r w:rsidRPr="001D2947">
        <w:rPr>
          <w:rFonts w:cs="Times New Roman"/>
          <w:lang w:val="en-US"/>
        </w:rPr>
        <w:t>, vol. 67, no. 4, pp. 1174-1185.</w:t>
      </w:r>
    </w:p>
    <w:p w:rsidR="00697154" w:rsidRPr="001D2947" w:rsidRDefault="00697154" w:rsidP="001D2947">
      <w:pPr>
        <w:autoSpaceDE w:val="0"/>
        <w:autoSpaceDN w:val="0"/>
        <w:adjustRightInd w:val="0"/>
        <w:spacing w:after="0" w:line="360" w:lineRule="auto"/>
        <w:jc w:val="both"/>
        <w:rPr>
          <w:rFonts w:cs="Times New Roman"/>
        </w:rPr>
      </w:pPr>
      <w:r w:rsidRPr="001D2947">
        <w:rPr>
          <w:rFonts w:cs="Times New Roman"/>
          <w:smallCaps/>
        </w:rPr>
        <w:t>Leducq, D., Lusso, B.</w:t>
      </w:r>
      <w:r w:rsidRPr="001D2947">
        <w:rPr>
          <w:rFonts w:cs="Times New Roman"/>
        </w:rPr>
        <w:t xml:space="preserve"> (2011), Le cluster innovant: conceptualization et application territorial, in </w:t>
      </w:r>
      <w:r w:rsidRPr="001D2947">
        <w:rPr>
          <w:rFonts w:cs="Times New Roman"/>
          <w:i/>
        </w:rPr>
        <w:t>Espace, Société et Territoire</w:t>
      </w:r>
      <w:r w:rsidRPr="001D2947">
        <w:rPr>
          <w:rFonts w:cs="Times New Roman"/>
        </w:rPr>
        <w:t>, pp. 1-22.</w:t>
      </w:r>
    </w:p>
    <w:p w:rsidR="006A2F84" w:rsidRPr="005B41DA" w:rsidRDefault="006A2F84" w:rsidP="001D2947">
      <w:pPr>
        <w:autoSpaceDE w:val="0"/>
        <w:autoSpaceDN w:val="0"/>
        <w:adjustRightInd w:val="0"/>
        <w:spacing w:after="0" w:line="360" w:lineRule="auto"/>
        <w:jc w:val="both"/>
        <w:rPr>
          <w:rFonts w:cs="Times New Roman"/>
        </w:rPr>
      </w:pPr>
    </w:p>
    <w:p w:rsidR="00F94F6E" w:rsidRPr="001D2947" w:rsidRDefault="009161C8" w:rsidP="001D2947">
      <w:pPr>
        <w:autoSpaceDE w:val="0"/>
        <w:autoSpaceDN w:val="0"/>
        <w:adjustRightInd w:val="0"/>
        <w:spacing w:after="0" w:line="360" w:lineRule="auto"/>
        <w:jc w:val="both"/>
        <w:rPr>
          <w:rFonts w:cs="Times New Roman"/>
          <w:lang w:val="en-US"/>
        </w:rPr>
      </w:pPr>
      <w:r w:rsidRPr="001D2947">
        <w:rPr>
          <w:rFonts w:cs="Times New Roman"/>
          <w:smallCaps/>
          <w:lang w:val="en-US"/>
        </w:rPr>
        <w:t>Lundvall, B.-A. (</w:t>
      </w:r>
      <w:proofErr w:type="spellStart"/>
      <w:r w:rsidRPr="001D2947">
        <w:rPr>
          <w:rFonts w:cs="Times New Roman"/>
          <w:lang w:val="en-US"/>
        </w:rPr>
        <w:t>Eds</w:t>
      </w:r>
      <w:proofErr w:type="spellEnd"/>
      <w:r w:rsidRPr="001D2947">
        <w:rPr>
          <w:rFonts w:cs="Times New Roman"/>
          <w:lang w:val="en-US"/>
        </w:rPr>
        <w:t xml:space="preserve">) (1992), </w:t>
      </w:r>
      <w:r w:rsidRPr="001D2947">
        <w:rPr>
          <w:rFonts w:cs="Times New Roman"/>
          <w:i/>
          <w:lang w:val="en-US"/>
        </w:rPr>
        <w:t>National Systems of Innovation: Towards a Theory of Innovation and Interactive Learning</w:t>
      </w:r>
      <w:r w:rsidRPr="001D2947">
        <w:rPr>
          <w:rFonts w:cs="Times New Roman"/>
          <w:lang w:val="en-US"/>
        </w:rPr>
        <w:t>, Frances Pinter, London/New-York.</w:t>
      </w:r>
    </w:p>
    <w:p w:rsidR="006613A4" w:rsidRPr="001D2947" w:rsidRDefault="006613A4" w:rsidP="001D2947">
      <w:pPr>
        <w:autoSpaceDE w:val="0"/>
        <w:autoSpaceDN w:val="0"/>
        <w:adjustRightInd w:val="0"/>
        <w:spacing w:after="0" w:line="360" w:lineRule="auto"/>
        <w:jc w:val="both"/>
        <w:rPr>
          <w:rFonts w:cs="Times New Roman"/>
          <w:lang w:val="en-US"/>
        </w:rPr>
      </w:pPr>
    </w:p>
    <w:p w:rsidR="006613A4" w:rsidRPr="001D2947" w:rsidRDefault="006613A4" w:rsidP="001D2947">
      <w:pPr>
        <w:autoSpaceDE w:val="0"/>
        <w:autoSpaceDN w:val="0"/>
        <w:adjustRightInd w:val="0"/>
        <w:spacing w:after="0" w:line="360" w:lineRule="auto"/>
        <w:jc w:val="both"/>
        <w:rPr>
          <w:rFonts w:cs="Times New Roman"/>
          <w:bCs/>
          <w:lang w:val="en-US"/>
        </w:rPr>
      </w:pPr>
      <w:r w:rsidRPr="001D2947">
        <w:rPr>
          <w:rFonts w:cs="Times New Roman"/>
          <w:smallCaps/>
          <w:lang w:val="en-US"/>
        </w:rPr>
        <w:lastRenderedPageBreak/>
        <w:t>McGuire, M</w:t>
      </w:r>
      <w:r w:rsidRPr="001D2947">
        <w:rPr>
          <w:rFonts w:cs="Times New Roman"/>
          <w:lang w:val="en-US"/>
        </w:rPr>
        <w:t xml:space="preserve">. (2000), </w:t>
      </w:r>
      <w:r w:rsidR="00761B79" w:rsidRPr="001D2947">
        <w:rPr>
          <w:rFonts w:cs="Times New Roman"/>
          <w:bCs/>
          <w:lang w:val="en-US"/>
        </w:rPr>
        <w:t xml:space="preserve">Collaborative Policy Making and Administration: The Operational Demands of Local Economic </w:t>
      </w:r>
      <w:r w:rsidRPr="001D2947">
        <w:rPr>
          <w:rFonts w:cs="Times New Roman"/>
          <w:bCs/>
          <w:lang w:val="en-US"/>
        </w:rPr>
        <w:t>Development</w:t>
      </w:r>
      <w:r w:rsidR="00761B79" w:rsidRPr="001D2947">
        <w:rPr>
          <w:rFonts w:cs="Times New Roman"/>
          <w:bCs/>
          <w:lang w:val="en-US"/>
        </w:rPr>
        <w:t xml:space="preserve">, in </w:t>
      </w:r>
      <w:proofErr w:type="spellStart"/>
      <w:r w:rsidR="00761B79" w:rsidRPr="001D2947">
        <w:rPr>
          <w:rFonts w:cs="Times New Roman"/>
          <w:i/>
          <w:lang w:val="en-US"/>
        </w:rPr>
        <w:t>Eonomic</w:t>
      </w:r>
      <w:proofErr w:type="spellEnd"/>
      <w:r w:rsidR="00761B79" w:rsidRPr="001D2947">
        <w:rPr>
          <w:rFonts w:cs="Times New Roman"/>
          <w:i/>
          <w:lang w:val="en-US"/>
        </w:rPr>
        <w:t xml:space="preserve"> Development </w:t>
      </w:r>
      <w:proofErr w:type="spellStart"/>
      <w:r w:rsidR="00761B79" w:rsidRPr="001D2947">
        <w:rPr>
          <w:rFonts w:cs="Times New Roman"/>
          <w:i/>
          <w:lang w:val="en-US"/>
        </w:rPr>
        <w:t>Quartely</w:t>
      </w:r>
      <w:proofErr w:type="spellEnd"/>
      <w:r w:rsidR="00761B79" w:rsidRPr="001D2947">
        <w:rPr>
          <w:rFonts w:cs="Times New Roman"/>
          <w:lang w:val="en-US"/>
        </w:rPr>
        <w:t>, vol. 14, n°. 3, pp.278-291.</w:t>
      </w:r>
    </w:p>
    <w:p w:rsidR="006A2F84" w:rsidRPr="001D2947" w:rsidRDefault="006A2F84" w:rsidP="001D2947">
      <w:pPr>
        <w:autoSpaceDE w:val="0"/>
        <w:autoSpaceDN w:val="0"/>
        <w:adjustRightInd w:val="0"/>
        <w:spacing w:after="0" w:line="360" w:lineRule="auto"/>
        <w:jc w:val="both"/>
        <w:rPr>
          <w:rFonts w:cs="Times New Roman"/>
          <w:lang w:val="en-US"/>
        </w:rPr>
      </w:pPr>
    </w:p>
    <w:p w:rsidR="000E415F" w:rsidRPr="001D2947" w:rsidRDefault="000E415F"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Moulaert</w:t>
      </w:r>
      <w:proofErr w:type="spellEnd"/>
      <w:r w:rsidRPr="001D2947">
        <w:rPr>
          <w:rFonts w:cs="Times New Roman"/>
          <w:smallCaps/>
          <w:lang w:val="en-US"/>
        </w:rPr>
        <w:t xml:space="preserve">, F., </w:t>
      </w:r>
      <w:proofErr w:type="spellStart"/>
      <w:r w:rsidRPr="001D2947">
        <w:rPr>
          <w:rFonts w:cs="Times New Roman"/>
          <w:smallCaps/>
          <w:lang w:val="en-US"/>
        </w:rPr>
        <w:t>Sekia</w:t>
      </w:r>
      <w:proofErr w:type="spellEnd"/>
      <w:r w:rsidRPr="001D2947">
        <w:rPr>
          <w:rFonts w:cs="Times New Roman"/>
          <w:smallCaps/>
          <w:lang w:val="en-US"/>
        </w:rPr>
        <w:t>, F.</w:t>
      </w:r>
      <w:r w:rsidRPr="001D2947">
        <w:rPr>
          <w:rFonts w:cs="Times New Roman"/>
          <w:lang w:val="en-US"/>
        </w:rPr>
        <w:t xml:space="preserve"> (2003), Territorial Innovation Models : A critical Survey, in </w:t>
      </w:r>
      <w:r w:rsidRPr="001D2947">
        <w:rPr>
          <w:rFonts w:cs="Times New Roman"/>
          <w:i/>
          <w:lang w:val="en-US"/>
        </w:rPr>
        <w:t>Regional Studies</w:t>
      </w:r>
      <w:r w:rsidRPr="001D2947">
        <w:rPr>
          <w:rFonts w:cs="Times New Roman"/>
          <w:lang w:val="en-US"/>
        </w:rPr>
        <w:t>, vol. 37, n°3, pp. 289-302.</w:t>
      </w:r>
    </w:p>
    <w:p w:rsidR="00105A45" w:rsidRPr="001D2947" w:rsidRDefault="00105A45" w:rsidP="001D2947">
      <w:pPr>
        <w:autoSpaceDE w:val="0"/>
        <w:autoSpaceDN w:val="0"/>
        <w:adjustRightInd w:val="0"/>
        <w:spacing w:after="0" w:line="360" w:lineRule="auto"/>
        <w:jc w:val="both"/>
        <w:rPr>
          <w:rFonts w:cs="Times New Roman"/>
          <w:lang w:val="en-US"/>
        </w:rPr>
      </w:pPr>
    </w:p>
    <w:p w:rsidR="00105A45" w:rsidRPr="001D2947" w:rsidRDefault="00105A45" w:rsidP="001D2947">
      <w:pPr>
        <w:autoSpaceDE w:val="0"/>
        <w:autoSpaceDN w:val="0"/>
        <w:adjustRightInd w:val="0"/>
        <w:spacing w:after="0" w:line="360" w:lineRule="auto"/>
        <w:jc w:val="both"/>
        <w:rPr>
          <w:rFonts w:cs="Times New Roman"/>
          <w:lang w:val="en-US"/>
        </w:rPr>
      </w:pPr>
      <w:r w:rsidRPr="001D2947">
        <w:rPr>
          <w:rFonts w:cs="Times New Roman"/>
          <w:smallCaps/>
          <w:lang w:val="en-US"/>
        </w:rPr>
        <w:t>Morgan, K.</w:t>
      </w:r>
      <w:r w:rsidRPr="001D2947">
        <w:rPr>
          <w:rFonts w:cs="Times New Roman"/>
          <w:lang w:val="en-US"/>
        </w:rPr>
        <w:t xml:space="preserve"> (2007), The Learning Region: Institutions, Innovation and Regional Renewal, in </w:t>
      </w:r>
      <w:r w:rsidRPr="001D2947">
        <w:rPr>
          <w:rFonts w:cs="Times New Roman"/>
          <w:i/>
          <w:lang w:val="en-US"/>
        </w:rPr>
        <w:t>Regional Studies</w:t>
      </w:r>
      <w:r w:rsidRPr="001D2947">
        <w:rPr>
          <w:rFonts w:cs="Times New Roman"/>
          <w:lang w:val="en-US"/>
        </w:rPr>
        <w:t>, Vol.41, n°1, pp. 147-159.</w:t>
      </w:r>
    </w:p>
    <w:p w:rsidR="002643EE" w:rsidRPr="001D2947" w:rsidRDefault="002643EE" w:rsidP="001D2947">
      <w:pPr>
        <w:autoSpaceDE w:val="0"/>
        <w:autoSpaceDN w:val="0"/>
        <w:adjustRightInd w:val="0"/>
        <w:spacing w:after="0" w:line="360" w:lineRule="auto"/>
        <w:jc w:val="both"/>
        <w:rPr>
          <w:rFonts w:cs="Times New Roman"/>
          <w:lang w:val="en-US"/>
        </w:rPr>
      </w:pPr>
    </w:p>
    <w:p w:rsidR="00105A45" w:rsidRPr="001D2947" w:rsidRDefault="00105A45" w:rsidP="001D2947">
      <w:pPr>
        <w:autoSpaceDE w:val="0"/>
        <w:autoSpaceDN w:val="0"/>
        <w:adjustRightInd w:val="0"/>
        <w:spacing w:after="0" w:line="360" w:lineRule="auto"/>
        <w:jc w:val="both"/>
        <w:rPr>
          <w:rFonts w:cs="Times New Roman"/>
          <w:lang w:val="en-US"/>
        </w:rPr>
      </w:pPr>
      <w:r w:rsidRPr="001D2947">
        <w:rPr>
          <w:rFonts w:cs="Times New Roman"/>
          <w:lang w:val="en-US"/>
        </w:rPr>
        <w:t>-</w:t>
      </w:r>
      <w:r w:rsidR="002643EE" w:rsidRPr="001D2947">
        <w:rPr>
          <w:rFonts w:cs="Times New Roman"/>
          <w:lang w:val="en-US"/>
        </w:rPr>
        <w:t xml:space="preserve">. &amp; </w:t>
      </w:r>
      <w:proofErr w:type="spellStart"/>
      <w:r w:rsidR="002643EE" w:rsidRPr="001D2947">
        <w:rPr>
          <w:rFonts w:cs="Times New Roman"/>
          <w:lang w:val="en-US"/>
        </w:rPr>
        <w:t>Nauwelaers</w:t>
      </w:r>
      <w:proofErr w:type="spellEnd"/>
      <w:r w:rsidR="002643EE" w:rsidRPr="001D2947">
        <w:rPr>
          <w:rFonts w:cs="Times New Roman"/>
          <w:lang w:val="en-US"/>
        </w:rPr>
        <w:t xml:space="preserve">, C. </w:t>
      </w:r>
      <w:r w:rsidR="009161C8" w:rsidRPr="001D2947">
        <w:rPr>
          <w:rFonts w:cs="Times New Roman"/>
          <w:lang w:val="en-US"/>
        </w:rPr>
        <w:t xml:space="preserve"> (</w:t>
      </w:r>
      <w:proofErr w:type="spellStart"/>
      <w:r w:rsidR="009161C8" w:rsidRPr="001D2947">
        <w:rPr>
          <w:rFonts w:cs="Times New Roman"/>
          <w:lang w:val="en-US"/>
        </w:rPr>
        <w:t>Eds</w:t>
      </w:r>
      <w:proofErr w:type="spellEnd"/>
      <w:r w:rsidR="009161C8" w:rsidRPr="001D2947">
        <w:rPr>
          <w:rFonts w:cs="Times New Roman"/>
          <w:lang w:val="en-US"/>
        </w:rPr>
        <w:t xml:space="preserve">) </w:t>
      </w:r>
      <w:r w:rsidR="002643EE" w:rsidRPr="001D2947">
        <w:rPr>
          <w:rFonts w:cs="Times New Roman"/>
          <w:lang w:val="en-US"/>
        </w:rPr>
        <w:t xml:space="preserve">(1998), </w:t>
      </w:r>
      <w:r w:rsidR="009161C8" w:rsidRPr="001D2947">
        <w:rPr>
          <w:rFonts w:cs="Times New Roman"/>
          <w:i/>
          <w:lang w:val="en-US"/>
        </w:rPr>
        <w:t xml:space="preserve">Regional Innovation Strategies: the Challenge for less </w:t>
      </w:r>
      <w:proofErr w:type="spellStart"/>
      <w:r w:rsidR="009161C8" w:rsidRPr="001D2947">
        <w:rPr>
          <w:rFonts w:cs="Times New Roman"/>
          <w:i/>
          <w:lang w:val="en-US"/>
        </w:rPr>
        <w:t>favoured</w:t>
      </w:r>
      <w:proofErr w:type="spellEnd"/>
      <w:r w:rsidR="009161C8" w:rsidRPr="001D2947">
        <w:rPr>
          <w:rFonts w:cs="Times New Roman"/>
          <w:i/>
          <w:lang w:val="en-US"/>
        </w:rPr>
        <w:t xml:space="preserve"> Regions, </w:t>
      </w:r>
      <w:r w:rsidR="009161C8" w:rsidRPr="001D2947">
        <w:rPr>
          <w:rFonts w:cs="Times New Roman"/>
          <w:lang w:val="en-US"/>
        </w:rPr>
        <w:t>Jessica Kingsley, London</w:t>
      </w:r>
    </w:p>
    <w:p w:rsidR="00042F5B" w:rsidRPr="001D2947" w:rsidRDefault="00042F5B" w:rsidP="001D2947">
      <w:pPr>
        <w:autoSpaceDE w:val="0"/>
        <w:autoSpaceDN w:val="0"/>
        <w:adjustRightInd w:val="0"/>
        <w:spacing w:after="0" w:line="360" w:lineRule="auto"/>
        <w:jc w:val="both"/>
        <w:rPr>
          <w:rFonts w:cs="Times New Roman"/>
          <w:lang w:val="en-US"/>
        </w:rPr>
      </w:pPr>
    </w:p>
    <w:p w:rsidR="006A2F84" w:rsidRPr="001D2947" w:rsidRDefault="00042F5B" w:rsidP="001D2947">
      <w:pPr>
        <w:spacing w:line="360" w:lineRule="auto"/>
        <w:jc w:val="both"/>
        <w:rPr>
          <w:rFonts w:cs="Times New Roman"/>
          <w:lang w:val="en-US"/>
        </w:rPr>
      </w:pPr>
      <w:r w:rsidRPr="001D2947">
        <w:rPr>
          <w:rFonts w:cs="Times New Roman"/>
          <w:smallCaps/>
          <w:lang w:val="en-US"/>
        </w:rPr>
        <w:t>Mintrom</w:t>
      </w:r>
      <w:r w:rsidRPr="001D2947">
        <w:rPr>
          <w:rFonts w:cs="Times New Roman"/>
          <w:lang w:val="en-US"/>
        </w:rPr>
        <w:t xml:space="preserve">, M. (1997), Policy Entrepreneurs and the Diffusion of Innovation, </w:t>
      </w:r>
      <w:r w:rsidRPr="001D2947">
        <w:rPr>
          <w:rFonts w:cs="Times New Roman"/>
          <w:i/>
          <w:lang w:val="en-US"/>
        </w:rPr>
        <w:t>Journal of Political Science</w:t>
      </w:r>
      <w:r w:rsidRPr="001D2947">
        <w:rPr>
          <w:rFonts w:cs="Times New Roman"/>
          <w:lang w:val="en-US"/>
        </w:rPr>
        <w:t>, vol. 41, no. 3, pp. 738-770.</w:t>
      </w:r>
    </w:p>
    <w:p w:rsidR="000E415F" w:rsidRPr="001D2947" w:rsidRDefault="000E415F" w:rsidP="001D2947">
      <w:pPr>
        <w:autoSpaceDE w:val="0"/>
        <w:autoSpaceDN w:val="0"/>
        <w:adjustRightInd w:val="0"/>
        <w:spacing w:after="0" w:line="360" w:lineRule="auto"/>
        <w:jc w:val="both"/>
        <w:rPr>
          <w:rFonts w:cs="Times New Roman"/>
        </w:rPr>
      </w:pPr>
      <w:r w:rsidRPr="001D2947">
        <w:rPr>
          <w:rFonts w:cs="Times New Roman"/>
          <w:smallCaps/>
        </w:rPr>
        <w:t>Pecqueur, B.</w:t>
      </w:r>
      <w:r w:rsidRPr="001D2947">
        <w:rPr>
          <w:rFonts w:cs="Times New Roman"/>
        </w:rPr>
        <w:t xml:space="preserve"> (2007), L’économie territorial: une autre analyse de la globalization, in L’Économie politique, vol. 1, n°33, pp. 41-52</w:t>
      </w:r>
      <w:r w:rsidR="00F94F6E" w:rsidRPr="001D2947">
        <w:rPr>
          <w:rFonts w:cs="Times New Roman"/>
        </w:rPr>
        <w:t xml:space="preserve"> </w:t>
      </w:r>
    </w:p>
    <w:p w:rsidR="002643EE" w:rsidRPr="001D2947" w:rsidRDefault="002643EE" w:rsidP="001D2947">
      <w:pPr>
        <w:autoSpaceDE w:val="0"/>
        <w:autoSpaceDN w:val="0"/>
        <w:adjustRightInd w:val="0"/>
        <w:spacing w:after="0" w:line="360" w:lineRule="auto"/>
        <w:jc w:val="both"/>
        <w:rPr>
          <w:rFonts w:cs="Times New Roman"/>
        </w:rPr>
      </w:pPr>
    </w:p>
    <w:p w:rsidR="002643EE" w:rsidRPr="001D2947" w:rsidRDefault="002643EE"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Piore</w:t>
      </w:r>
      <w:proofErr w:type="spellEnd"/>
      <w:r w:rsidRPr="001D2947">
        <w:rPr>
          <w:rFonts w:cs="Times New Roman"/>
          <w:smallCaps/>
          <w:lang w:val="en-US"/>
        </w:rPr>
        <w:t xml:space="preserve">, M. &amp; </w:t>
      </w:r>
      <w:proofErr w:type="spellStart"/>
      <w:r w:rsidRPr="001D2947">
        <w:rPr>
          <w:rFonts w:cs="Times New Roman"/>
          <w:smallCaps/>
          <w:lang w:val="en-US"/>
        </w:rPr>
        <w:t>Sabel</w:t>
      </w:r>
      <w:proofErr w:type="spellEnd"/>
      <w:r w:rsidRPr="001D2947">
        <w:rPr>
          <w:rFonts w:cs="Times New Roman"/>
          <w:smallCaps/>
          <w:lang w:val="en-US"/>
        </w:rPr>
        <w:t>, C.</w:t>
      </w:r>
      <w:r w:rsidRPr="001D2947">
        <w:rPr>
          <w:rFonts w:cs="Times New Roman"/>
          <w:lang w:val="en-US"/>
        </w:rPr>
        <w:t xml:space="preserve"> (1984), </w:t>
      </w:r>
      <w:r w:rsidRPr="001D2947">
        <w:rPr>
          <w:rFonts w:cs="Times New Roman"/>
          <w:i/>
          <w:lang w:val="en-US"/>
        </w:rPr>
        <w:t>The Second industrial Divide</w:t>
      </w:r>
      <w:r w:rsidRPr="001D2947">
        <w:rPr>
          <w:rFonts w:cs="Times New Roman"/>
          <w:lang w:val="en-US"/>
        </w:rPr>
        <w:t>, Basic Books, New-</w:t>
      </w:r>
      <w:proofErr w:type="spellStart"/>
      <w:r w:rsidRPr="001D2947">
        <w:rPr>
          <w:rFonts w:cs="Times New Roman"/>
          <w:lang w:val="en-US"/>
        </w:rPr>
        <w:t>york</w:t>
      </w:r>
      <w:proofErr w:type="spellEnd"/>
      <w:r w:rsidRPr="001D2947">
        <w:rPr>
          <w:rFonts w:cs="Times New Roman"/>
          <w:lang w:val="en-US"/>
        </w:rPr>
        <w:t>.</w:t>
      </w:r>
    </w:p>
    <w:p w:rsidR="002643EE" w:rsidRPr="001D2947" w:rsidRDefault="002643EE" w:rsidP="001D2947">
      <w:pPr>
        <w:autoSpaceDE w:val="0"/>
        <w:autoSpaceDN w:val="0"/>
        <w:adjustRightInd w:val="0"/>
        <w:spacing w:after="0" w:line="360" w:lineRule="auto"/>
        <w:jc w:val="both"/>
        <w:rPr>
          <w:rFonts w:cs="Times New Roman"/>
          <w:lang w:val="en-US"/>
        </w:rPr>
      </w:pPr>
    </w:p>
    <w:p w:rsidR="002643EE" w:rsidRPr="001D2947" w:rsidRDefault="002643EE" w:rsidP="001D2947">
      <w:pPr>
        <w:autoSpaceDE w:val="0"/>
        <w:autoSpaceDN w:val="0"/>
        <w:adjustRightInd w:val="0"/>
        <w:spacing w:after="0" w:line="360" w:lineRule="auto"/>
        <w:jc w:val="both"/>
        <w:rPr>
          <w:rFonts w:cs="Times New Roman"/>
          <w:lang w:val="en-US"/>
        </w:rPr>
      </w:pPr>
      <w:r w:rsidRPr="001D2947">
        <w:rPr>
          <w:rFonts w:cs="Times New Roman"/>
          <w:smallCaps/>
          <w:lang w:val="en-US"/>
        </w:rPr>
        <w:t>Porter, M.</w:t>
      </w:r>
      <w:r w:rsidRPr="001D2947">
        <w:rPr>
          <w:rFonts w:cs="Times New Roman"/>
          <w:lang w:val="en-US"/>
        </w:rPr>
        <w:t xml:space="preserve"> (1990), </w:t>
      </w:r>
      <w:r w:rsidRPr="001D2947">
        <w:rPr>
          <w:rFonts w:cs="Times New Roman"/>
          <w:i/>
          <w:lang w:val="en-US"/>
        </w:rPr>
        <w:t>The Competitive Advantages of Nations</w:t>
      </w:r>
      <w:r w:rsidRPr="001D2947">
        <w:rPr>
          <w:rFonts w:cs="Times New Roman"/>
          <w:lang w:val="en-US"/>
        </w:rPr>
        <w:t>, MacMillan, London.</w:t>
      </w:r>
    </w:p>
    <w:p w:rsidR="00042F5B" w:rsidRPr="001D2947" w:rsidRDefault="00042F5B" w:rsidP="001D2947">
      <w:pPr>
        <w:autoSpaceDE w:val="0"/>
        <w:autoSpaceDN w:val="0"/>
        <w:adjustRightInd w:val="0"/>
        <w:spacing w:after="0" w:line="360" w:lineRule="auto"/>
        <w:jc w:val="both"/>
        <w:rPr>
          <w:rFonts w:cs="Times New Roman"/>
          <w:lang w:val="en-US"/>
        </w:rPr>
      </w:pPr>
    </w:p>
    <w:p w:rsidR="00042F5B" w:rsidRPr="001D2947" w:rsidRDefault="00042F5B" w:rsidP="001D2947">
      <w:pPr>
        <w:spacing w:line="360" w:lineRule="auto"/>
        <w:jc w:val="both"/>
        <w:rPr>
          <w:rFonts w:cs="Times New Roman"/>
          <w:lang w:val="en-US"/>
        </w:rPr>
      </w:pPr>
      <w:r w:rsidRPr="001D2947">
        <w:rPr>
          <w:rFonts w:cs="Times New Roman"/>
          <w:smallCaps/>
          <w:lang w:val="en-US"/>
        </w:rPr>
        <w:t>Sorensen, E.</w:t>
      </w:r>
      <w:r w:rsidRPr="001D2947">
        <w:rPr>
          <w:rFonts w:cs="Times New Roman"/>
          <w:lang w:val="en-US"/>
        </w:rPr>
        <w:t xml:space="preserve"> (2013 a ), Governance and Innovation in the Public Sector, pp. 215-227, in </w:t>
      </w:r>
      <w:r w:rsidRPr="001D2947">
        <w:rPr>
          <w:rFonts w:cs="Times New Roman"/>
          <w:smallCaps/>
          <w:lang w:val="en-US"/>
        </w:rPr>
        <w:t>Levi-</w:t>
      </w:r>
      <w:proofErr w:type="spellStart"/>
      <w:r w:rsidRPr="001D2947">
        <w:rPr>
          <w:rFonts w:cs="Times New Roman"/>
          <w:smallCaps/>
          <w:lang w:val="en-US"/>
        </w:rPr>
        <w:t>Faur</w:t>
      </w:r>
      <w:proofErr w:type="spellEnd"/>
      <w:r w:rsidRPr="001D2947">
        <w:rPr>
          <w:rFonts w:cs="Times New Roman"/>
          <w:lang w:val="en-US"/>
        </w:rPr>
        <w:t xml:space="preserve"> (Eds.), </w:t>
      </w:r>
      <w:r w:rsidRPr="001D2947">
        <w:rPr>
          <w:rFonts w:cs="Times New Roman"/>
          <w:i/>
          <w:lang w:val="en-US"/>
        </w:rPr>
        <w:t>The Oxford Handbook of Governance</w:t>
      </w:r>
      <w:r w:rsidRPr="001D2947">
        <w:rPr>
          <w:rFonts w:cs="Times New Roman"/>
          <w:lang w:val="en-US"/>
        </w:rPr>
        <w:t>, New-York, Oxford University Press.</w:t>
      </w:r>
    </w:p>
    <w:p w:rsidR="00697154" w:rsidRPr="001D2947" w:rsidRDefault="00042F5B" w:rsidP="001D2947">
      <w:pPr>
        <w:spacing w:line="360" w:lineRule="auto"/>
        <w:jc w:val="both"/>
        <w:rPr>
          <w:rFonts w:cs="Times New Roman"/>
        </w:rPr>
      </w:pPr>
      <w:r w:rsidRPr="001D2947">
        <w:rPr>
          <w:rFonts w:cs="Times New Roman"/>
        </w:rPr>
        <w:t xml:space="preserve">-, (2013 b), Favoriser l’innovation dans l’élaboration des politiques: un nouveau rôle pour les politiciens, </w:t>
      </w:r>
      <w:r w:rsidRPr="001D2947">
        <w:rPr>
          <w:rFonts w:cs="Times New Roman"/>
          <w:i/>
        </w:rPr>
        <w:t>Télescope</w:t>
      </w:r>
      <w:r w:rsidRPr="001D2947">
        <w:rPr>
          <w:rFonts w:cs="Times New Roman"/>
        </w:rPr>
        <w:t>, vol. 19, no. 2, pp. 1-17.</w:t>
      </w:r>
      <w:r w:rsidRPr="001D2947">
        <w:rPr>
          <w:rFonts w:cs="Times New Roman"/>
        </w:rPr>
        <w:tab/>
      </w:r>
    </w:p>
    <w:p w:rsidR="00697154" w:rsidRPr="001D2947" w:rsidRDefault="00697154" w:rsidP="001D2947">
      <w:pPr>
        <w:autoSpaceDE w:val="0"/>
        <w:autoSpaceDN w:val="0"/>
        <w:adjustRightInd w:val="0"/>
        <w:spacing w:after="0" w:line="360" w:lineRule="auto"/>
        <w:jc w:val="both"/>
        <w:rPr>
          <w:rFonts w:cs="Times New Roman"/>
          <w:lang w:val="en-US"/>
        </w:rPr>
      </w:pPr>
      <w:proofErr w:type="spellStart"/>
      <w:r w:rsidRPr="001D2947">
        <w:rPr>
          <w:rFonts w:cs="Times New Roman"/>
          <w:smallCaps/>
          <w:lang w:val="en-US"/>
        </w:rPr>
        <w:t>Tödling</w:t>
      </w:r>
      <w:proofErr w:type="spellEnd"/>
      <w:r w:rsidRPr="001D2947">
        <w:rPr>
          <w:rFonts w:cs="Times New Roman"/>
          <w:smallCaps/>
          <w:lang w:val="en-US"/>
        </w:rPr>
        <w:t xml:space="preserve">, F., </w:t>
      </w:r>
      <w:proofErr w:type="spellStart"/>
      <w:r w:rsidRPr="001D2947">
        <w:rPr>
          <w:rFonts w:cs="Times New Roman"/>
          <w:smallCaps/>
          <w:lang w:val="en-US"/>
        </w:rPr>
        <w:t>Trippl</w:t>
      </w:r>
      <w:proofErr w:type="spellEnd"/>
      <w:r w:rsidRPr="001D2947">
        <w:rPr>
          <w:rFonts w:cs="Times New Roman"/>
          <w:smallCaps/>
          <w:lang w:val="en-US"/>
        </w:rPr>
        <w:t>, M.</w:t>
      </w:r>
      <w:r w:rsidRPr="001D2947">
        <w:rPr>
          <w:rFonts w:cs="Times New Roman"/>
          <w:lang w:val="en-US"/>
        </w:rPr>
        <w:t xml:space="preserve"> (2005), One Size Fits All? Towards A Differentiated Regional Innovation Policy Approach, in </w:t>
      </w:r>
      <w:r w:rsidRPr="001D2947">
        <w:rPr>
          <w:rFonts w:cs="Times New Roman"/>
          <w:i/>
          <w:lang w:val="en-US"/>
        </w:rPr>
        <w:t>Research Policy</w:t>
      </w:r>
      <w:r w:rsidRPr="001D2947">
        <w:rPr>
          <w:rFonts w:cs="Times New Roman"/>
          <w:lang w:val="en-US"/>
        </w:rPr>
        <w:t xml:space="preserve">, Vol. 34, pp. 1203-1219. </w:t>
      </w:r>
    </w:p>
    <w:p w:rsidR="00042F5B" w:rsidRPr="001D2947" w:rsidRDefault="00042F5B" w:rsidP="001D2947">
      <w:pPr>
        <w:autoSpaceDE w:val="0"/>
        <w:autoSpaceDN w:val="0"/>
        <w:adjustRightInd w:val="0"/>
        <w:spacing w:after="0" w:line="360" w:lineRule="auto"/>
        <w:jc w:val="both"/>
        <w:rPr>
          <w:rFonts w:cs="Times New Roman"/>
          <w:lang w:val="en-US"/>
        </w:rPr>
      </w:pPr>
    </w:p>
    <w:p w:rsidR="00B37D81" w:rsidRPr="001D2947" w:rsidRDefault="00042F5B" w:rsidP="001D2947">
      <w:pPr>
        <w:spacing w:line="360" w:lineRule="auto"/>
        <w:jc w:val="both"/>
        <w:rPr>
          <w:rFonts w:cs="Times New Roman"/>
          <w:lang w:val="en-US"/>
        </w:rPr>
      </w:pPr>
      <w:r w:rsidRPr="001D2947">
        <w:rPr>
          <w:rFonts w:cs="Times New Roman"/>
          <w:smallCaps/>
          <w:lang w:val="en-US"/>
        </w:rPr>
        <w:t>Walker, J.</w:t>
      </w:r>
      <w:r w:rsidRPr="001D2947">
        <w:rPr>
          <w:rFonts w:cs="Times New Roman"/>
          <w:lang w:val="en-US"/>
        </w:rPr>
        <w:t xml:space="preserve"> (1969), The Diffusion of Innovations among the American States, </w:t>
      </w:r>
      <w:r w:rsidRPr="001D2947">
        <w:rPr>
          <w:rFonts w:cs="Times New Roman"/>
          <w:i/>
          <w:lang w:val="en-US"/>
        </w:rPr>
        <w:t>The American Political Science Review</w:t>
      </w:r>
      <w:r w:rsidRPr="001D2947">
        <w:rPr>
          <w:rFonts w:cs="Times New Roman"/>
          <w:lang w:val="en-US"/>
        </w:rPr>
        <w:t>, vol. 63, no. 3, pp. 880-899.</w:t>
      </w:r>
    </w:p>
    <w:p w:rsidR="003C7B4A" w:rsidRPr="001D2947" w:rsidRDefault="003C7B4A" w:rsidP="001D2947">
      <w:pPr>
        <w:autoSpaceDE w:val="0"/>
        <w:autoSpaceDN w:val="0"/>
        <w:adjustRightInd w:val="0"/>
        <w:spacing w:after="0" w:line="360" w:lineRule="auto"/>
        <w:jc w:val="both"/>
        <w:rPr>
          <w:rFonts w:cs="Times New Roman"/>
          <w:bCs/>
          <w:lang w:val="en-US"/>
        </w:rPr>
      </w:pPr>
      <w:r w:rsidRPr="001D2947">
        <w:rPr>
          <w:rFonts w:cs="Times New Roman"/>
          <w:smallCaps/>
          <w:lang w:val="nl-BE"/>
        </w:rPr>
        <w:t>Walker, R.M.</w:t>
      </w:r>
      <w:r w:rsidR="004B6D1F" w:rsidRPr="001D2947">
        <w:rPr>
          <w:rFonts w:cs="Times New Roman"/>
          <w:lang w:val="nl-BE"/>
        </w:rPr>
        <w:t xml:space="preserve"> et al.</w:t>
      </w:r>
      <w:r w:rsidRPr="001D2947">
        <w:rPr>
          <w:rFonts w:cs="Times New Roman"/>
          <w:lang w:val="nl-BE"/>
        </w:rPr>
        <w:t xml:space="preserve"> </w:t>
      </w:r>
      <w:r w:rsidRPr="001D2947">
        <w:rPr>
          <w:rFonts w:cs="Times New Roman"/>
          <w:lang w:val="en-US"/>
        </w:rPr>
        <w:t xml:space="preserve">(2015), </w:t>
      </w:r>
      <w:r w:rsidRPr="001D2947">
        <w:rPr>
          <w:rFonts w:cs="Times New Roman"/>
          <w:bCs/>
          <w:lang w:val="en-US"/>
        </w:rPr>
        <w:t xml:space="preserve">Limits on innovativeness </w:t>
      </w:r>
      <w:r w:rsidR="004B6D1F" w:rsidRPr="001D2947">
        <w:rPr>
          <w:rFonts w:cs="Times New Roman"/>
          <w:bCs/>
          <w:lang w:val="en-US"/>
        </w:rPr>
        <w:t>in loc</w:t>
      </w:r>
      <w:r w:rsidRPr="001D2947">
        <w:rPr>
          <w:rFonts w:cs="Times New Roman"/>
          <w:bCs/>
          <w:lang w:val="en-US"/>
        </w:rPr>
        <w:t>al government:</w:t>
      </w:r>
      <w:r w:rsidR="004B6D1F" w:rsidRPr="001D2947">
        <w:rPr>
          <w:rFonts w:cs="Times New Roman"/>
          <w:bCs/>
          <w:lang w:val="en-US"/>
        </w:rPr>
        <w:t xml:space="preserve"> Examining</w:t>
      </w:r>
      <w:r w:rsidRPr="001D2947">
        <w:rPr>
          <w:rFonts w:cs="Times New Roman"/>
          <w:bCs/>
          <w:lang w:val="en-US"/>
        </w:rPr>
        <w:t xml:space="preserve"> capacity, community, complexity and</w:t>
      </w:r>
      <w:r w:rsidR="004B6D1F" w:rsidRPr="001D2947">
        <w:rPr>
          <w:rFonts w:cs="Times New Roman"/>
          <w:bCs/>
          <w:lang w:val="en-US"/>
        </w:rPr>
        <w:t xml:space="preserve"> Dynamism in Organiz</w:t>
      </w:r>
      <w:r w:rsidRPr="001D2947">
        <w:rPr>
          <w:rFonts w:cs="Times New Roman"/>
          <w:bCs/>
          <w:lang w:val="en-US"/>
        </w:rPr>
        <w:t xml:space="preserve">ational Task </w:t>
      </w:r>
      <w:r w:rsidR="004B6D1F" w:rsidRPr="001D2947">
        <w:rPr>
          <w:rFonts w:cs="Times New Roman"/>
          <w:bCs/>
          <w:lang w:val="en-US"/>
        </w:rPr>
        <w:t>environments</w:t>
      </w:r>
    </w:p>
    <w:p w:rsidR="003C7B4A" w:rsidRPr="001D2947" w:rsidRDefault="003C7B4A" w:rsidP="001D2947">
      <w:pPr>
        <w:spacing w:line="360" w:lineRule="auto"/>
        <w:jc w:val="both"/>
        <w:rPr>
          <w:rFonts w:cs="Times New Roman"/>
          <w:bCs/>
          <w:lang w:val="en-US"/>
        </w:rPr>
      </w:pPr>
      <w:r w:rsidRPr="001D2947">
        <w:rPr>
          <w:rFonts w:cs="Times New Roman"/>
          <w:bCs/>
          <w:lang w:val="en-US"/>
        </w:rPr>
        <w:t xml:space="preserve">, in </w:t>
      </w:r>
      <w:r w:rsidRPr="001D2947">
        <w:rPr>
          <w:rFonts w:cs="Times New Roman"/>
          <w:bCs/>
          <w:i/>
          <w:lang w:val="en-US"/>
        </w:rPr>
        <w:t>Public Administration</w:t>
      </w:r>
      <w:r w:rsidRPr="001D2947">
        <w:rPr>
          <w:rFonts w:cs="Times New Roman"/>
          <w:bCs/>
          <w:lang w:val="en-US"/>
        </w:rPr>
        <w:t>, pp. 1-21.</w:t>
      </w:r>
    </w:p>
    <w:p w:rsidR="004B6D1F" w:rsidRPr="001D2947" w:rsidRDefault="004B6D1F" w:rsidP="001D2947">
      <w:pPr>
        <w:spacing w:after="0" w:line="360" w:lineRule="auto"/>
        <w:jc w:val="both"/>
        <w:rPr>
          <w:rFonts w:eastAsia="Times New Roman" w:cs="Times New Roman"/>
          <w:lang w:val="en-US" w:eastAsia="fr-BE"/>
        </w:rPr>
      </w:pPr>
      <w:r w:rsidRPr="001D2947">
        <w:rPr>
          <w:rFonts w:eastAsia="Times New Roman" w:cs="Times New Roman"/>
          <w:smallCaps/>
          <w:lang w:val="en-US" w:eastAsia="fr-BE"/>
        </w:rPr>
        <w:lastRenderedPageBreak/>
        <w:t>Walsh, I., Renaud, A.</w:t>
      </w:r>
      <w:r w:rsidRPr="001D2947">
        <w:rPr>
          <w:rFonts w:eastAsia="Times New Roman" w:cs="Times New Roman"/>
          <w:lang w:val="en-US" w:eastAsia="fr-BE"/>
        </w:rPr>
        <w:t xml:space="preserve"> (2011). </w:t>
      </w:r>
      <w:r w:rsidRPr="001D2947">
        <w:rPr>
          <w:rFonts w:eastAsia="Times New Roman" w:cs="Times New Roman"/>
          <w:lang w:eastAsia="fr-BE"/>
        </w:rPr>
        <w:t xml:space="preserve">La théorie de la traduction revisitée ou la conduite du changement traduit. Application à un cas de fusion-acquisition nécessitant un changement de Système d'Information. </w:t>
      </w:r>
      <w:r w:rsidRPr="001D2947">
        <w:rPr>
          <w:rFonts w:eastAsia="Times New Roman" w:cs="Times New Roman"/>
          <w:i/>
          <w:iCs/>
          <w:lang w:val="en-US" w:eastAsia="fr-BE"/>
        </w:rPr>
        <w:t xml:space="preserve">Management &amp; </w:t>
      </w:r>
      <w:proofErr w:type="spellStart"/>
      <w:r w:rsidRPr="001D2947">
        <w:rPr>
          <w:rFonts w:eastAsia="Times New Roman" w:cs="Times New Roman"/>
          <w:i/>
          <w:iCs/>
          <w:lang w:val="en-US" w:eastAsia="fr-BE"/>
        </w:rPr>
        <w:t>Avenir</w:t>
      </w:r>
      <w:proofErr w:type="spellEnd"/>
      <w:r w:rsidRPr="001D2947">
        <w:rPr>
          <w:rFonts w:eastAsia="Times New Roman" w:cs="Times New Roman"/>
          <w:lang w:val="en-US" w:eastAsia="fr-BE"/>
        </w:rPr>
        <w:t>, vol.9, pp. 283-302.</w:t>
      </w:r>
    </w:p>
    <w:p w:rsidR="004B6D1F" w:rsidRPr="001D2947" w:rsidRDefault="004B6D1F" w:rsidP="001D2947">
      <w:pPr>
        <w:spacing w:after="0" w:line="360" w:lineRule="auto"/>
        <w:jc w:val="both"/>
        <w:rPr>
          <w:rFonts w:eastAsia="Times New Roman" w:cs="Times New Roman"/>
          <w:lang w:val="en-US" w:eastAsia="fr-BE"/>
        </w:rPr>
      </w:pPr>
    </w:p>
    <w:p w:rsidR="00B37D81" w:rsidRPr="001D2947" w:rsidRDefault="00B37D81" w:rsidP="001D2947">
      <w:pPr>
        <w:autoSpaceDE w:val="0"/>
        <w:autoSpaceDN w:val="0"/>
        <w:adjustRightInd w:val="0"/>
        <w:spacing w:after="0" w:line="360" w:lineRule="auto"/>
        <w:jc w:val="both"/>
        <w:rPr>
          <w:rFonts w:cs="Times New Roman"/>
        </w:rPr>
      </w:pPr>
      <w:r w:rsidRPr="001D2947">
        <w:rPr>
          <w:rFonts w:cs="Times New Roman"/>
          <w:smallCaps/>
          <w:lang w:val="en-US"/>
        </w:rPr>
        <w:t>Yin, R. K.</w:t>
      </w:r>
      <w:r w:rsidR="00D67F42" w:rsidRPr="001D2947">
        <w:rPr>
          <w:rFonts w:cs="Times New Roman"/>
          <w:lang w:val="en-US"/>
        </w:rPr>
        <w:t xml:space="preserve"> (2009</w:t>
      </w:r>
      <w:r w:rsidRPr="001D2947">
        <w:rPr>
          <w:rFonts w:cs="Times New Roman"/>
          <w:lang w:val="en-US"/>
        </w:rPr>
        <w:t xml:space="preserve">). </w:t>
      </w:r>
      <w:r w:rsidRPr="001D2947">
        <w:rPr>
          <w:rFonts w:cs="Times New Roman"/>
          <w:i/>
          <w:iCs/>
          <w:lang w:val="en-US"/>
        </w:rPr>
        <w:t>Case study research: Design and methods</w:t>
      </w:r>
      <w:r w:rsidRPr="001D2947">
        <w:rPr>
          <w:rFonts w:cs="Times New Roman"/>
          <w:lang w:val="en-US"/>
        </w:rPr>
        <w:t xml:space="preserve">. </w:t>
      </w:r>
      <w:r w:rsidRPr="001D2947">
        <w:rPr>
          <w:rFonts w:cs="Times New Roman"/>
        </w:rPr>
        <w:t>Sage publications.</w:t>
      </w:r>
    </w:p>
    <w:p w:rsidR="00D67F42" w:rsidRPr="001D2947" w:rsidRDefault="00D67F42" w:rsidP="001D2947">
      <w:pPr>
        <w:spacing w:line="360" w:lineRule="auto"/>
        <w:jc w:val="both"/>
        <w:rPr>
          <w:rFonts w:cs="Times New Roman"/>
          <w:b/>
        </w:rPr>
      </w:pPr>
    </w:p>
    <w:p w:rsidR="008920A8" w:rsidRPr="001D2947" w:rsidRDefault="00F577B9" w:rsidP="001D2947">
      <w:pPr>
        <w:tabs>
          <w:tab w:val="left" w:pos="2510"/>
        </w:tabs>
        <w:spacing w:line="360" w:lineRule="auto"/>
        <w:jc w:val="both"/>
        <w:rPr>
          <w:rFonts w:cs="Times New Roman"/>
          <w:b/>
        </w:rPr>
      </w:pPr>
      <w:r w:rsidRPr="001D2947">
        <w:rPr>
          <w:rFonts w:cs="Times New Roman"/>
          <w:b/>
        </w:rPr>
        <w:t>Documents et rapports officiels :</w:t>
      </w:r>
    </w:p>
    <w:p w:rsidR="00F577B9" w:rsidRPr="001D2947" w:rsidRDefault="00F577B9" w:rsidP="001D2947">
      <w:pPr>
        <w:spacing w:line="360" w:lineRule="auto"/>
        <w:jc w:val="both"/>
        <w:rPr>
          <w:rFonts w:cs="Times New Roman"/>
        </w:rPr>
      </w:pPr>
      <w:r w:rsidRPr="001D2947">
        <w:rPr>
          <w:rFonts w:cs="Times New Roman"/>
          <w:smallCaps/>
        </w:rPr>
        <w:t>Blanc, C.</w:t>
      </w:r>
      <w:r w:rsidRPr="001D2947">
        <w:rPr>
          <w:rFonts w:cs="Times New Roman"/>
        </w:rPr>
        <w:t xml:space="preserve"> (2004), </w:t>
      </w:r>
      <w:r w:rsidRPr="001D2947">
        <w:rPr>
          <w:rFonts w:cs="Times New Roman"/>
          <w:i/>
        </w:rPr>
        <w:t>Pour un écosystème de la croissance</w:t>
      </w:r>
      <w:r w:rsidRPr="001D2947">
        <w:rPr>
          <w:rFonts w:cs="Times New Roman"/>
        </w:rPr>
        <w:t>, rapport au Premier-ministre de la République de France.</w:t>
      </w:r>
    </w:p>
    <w:p w:rsidR="00256BF9" w:rsidRPr="001D2947" w:rsidRDefault="00256BF9" w:rsidP="001D2947">
      <w:pPr>
        <w:spacing w:line="360" w:lineRule="auto"/>
        <w:jc w:val="both"/>
        <w:rPr>
          <w:rFonts w:cs="Times New Roman"/>
        </w:rPr>
      </w:pPr>
      <w:r w:rsidRPr="001D2947">
        <w:rPr>
          <w:rFonts w:cs="Times New Roman"/>
          <w:smallCaps/>
        </w:rPr>
        <w:t>Capron, H.</w:t>
      </w:r>
      <w:r w:rsidRPr="001D2947">
        <w:rPr>
          <w:rFonts w:cs="Times New Roman"/>
        </w:rPr>
        <w:t xml:space="preserve"> (2005), Les pôles de compétitivité wallon. Étude réalisée pour la sélection des domaines de pôles.</w:t>
      </w:r>
    </w:p>
    <w:p w:rsidR="00761B79" w:rsidRPr="001D2947" w:rsidRDefault="000C1C99" w:rsidP="001D2947">
      <w:pPr>
        <w:spacing w:line="360" w:lineRule="auto"/>
        <w:jc w:val="both"/>
        <w:rPr>
          <w:rFonts w:cs="Times New Roman"/>
        </w:rPr>
      </w:pPr>
      <w:r w:rsidRPr="001D2947">
        <w:rPr>
          <w:rFonts w:cs="Times New Roman"/>
          <w:smallCaps/>
        </w:rPr>
        <w:t>Gouvernement wallon</w:t>
      </w:r>
      <w:r w:rsidR="00761B79" w:rsidRPr="001D2947">
        <w:rPr>
          <w:rFonts w:cs="Times New Roman"/>
        </w:rPr>
        <w:t xml:space="preserve"> (2005 a)</w:t>
      </w:r>
      <w:r w:rsidR="00761B79" w:rsidRPr="001D2947">
        <w:rPr>
          <w:rFonts w:cs="Times New Roman"/>
          <w:smallCaps/>
        </w:rPr>
        <w:t xml:space="preserve"> ,</w:t>
      </w:r>
      <w:r w:rsidR="00761B79" w:rsidRPr="001D2947">
        <w:rPr>
          <w:rFonts w:cs="Times New Roman"/>
        </w:rPr>
        <w:t xml:space="preserve"> Les actions prioritaires pour l’avenir wallon. </w:t>
      </w:r>
    </w:p>
    <w:p w:rsidR="000C1C99" w:rsidRPr="001D2947" w:rsidRDefault="00761B79" w:rsidP="001D2947">
      <w:pPr>
        <w:spacing w:line="360" w:lineRule="auto"/>
        <w:jc w:val="both"/>
        <w:rPr>
          <w:rFonts w:cs="Times New Roman"/>
        </w:rPr>
      </w:pPr>
      <w:r w:rsidRPr="001D2947">
        <w:rPr>
          <w:rFonts w:cs="Times New Roman"/>
        </w:rPr>
        <w:t xml:space="preserve">-, </w:t>
      </w:r>
      <w:r w:rsidR="000C1C99" w:rsidRPr="001D2947">
        <w:rPr>
          <w:rFonts w:cs="Times New Roman"/>
        </w:rPr>
        <w:t>(2005</w:t>
      </w:r>
      <w:r w:rsidRPr="001D2947">
        <w:rPr>
          <w:rFonts w:cs="Times New Roman"/>
        </w:rPr>
        <w:t xml:space="preserve"> b</w:t>
      </w:r>
      <w:r w:rsidR="000C1C99" w:rsidRPr="001D2947">
        <w:rPr>
          <w:rFonts w:cs="Times New Roman"/>
        </w:rPr>
        <w:t xml:space="preserve">), </w:t>
      </w:r>
      <w:r w:rsidR="00F577B9" w:rsidRPr="001D2947">
        <w:rPr>
          <w:rFonts w:cs="Times New Roman"/>
          <w:i/>
        </w:rPr>
        <w:t>Les pôles de compétitivité. Le rôles des pouvoirs publics</w:t>
      </w:r>
      <w:r w:rsidR="00F577B9" w:rsidRPr="001D2947">
        <w:rPr>
          <w:rFonts w:cs="Times New Roman"/>
        </w:rPr>
        <w:t>, note du gouvernement.</w:t>
      </w:r>
    </w:p>
    <w:p w:rsidR="00F577B9" w:rsidRPr="001D2947" w:rsidRDefault="00761B79" w:rsidP="001D2947">
      <w:pPr>
        <w:spacing w:line="360" w:lineRule="auto"/>
        <w:jc w:val="both"/>
        <w:rPr>
          <w:rFonts w:cs="Times New Roman"/>
        </w:rPr>
      </w:pPr>
      <w:r w:rsidRPr="001D2947">
        <w:rPr>
          <w:rFonts w:cs="Times New Roman"/>
        </w:rPr>
        <w:t>-, (2005 c</w:t>
      </w:r>
      <w:r w:rsidR="00F577B9" w:rsidRPr="001D2947">
        <w:rPr>
          <w:rFonts w:cs="Times New Roman"/>
        </w:rPr>
        <w:t xml:space="preserve">), </w:t>
      </w:r>
      <w:r w:rsidR="00F577B9" w:rsidRPr="001D2947">
        <w:rPr>
          <w:rFonts w:cs="Times New Roman"/>
          <w:i/>
        </w:rPr>
        <w:t>Les pôles de compétitivité. Philosophie générale</w:t>
      </w:r>
      <w:r w:rsidR="00F577B9" w:rsidRPr="001D2947">
        <w:rPr>
          <w:rFonts w:cs="Times New Roman"/>
        </w:rPr>
        <w:t>, note du gouvernement.</w:t>
      </w:r>
    </w:p>
    <w:p w:rsidR="00F577B9" w:rsidRPr="001D2947" w:rsidRDefault="00F577B9" w:rsidP="001D2947">
      <w:pPr>
        <w:spacing w:line="360" w:lineRule="auto"/>
        <w:jc w:val="both"/>
        <w:rPr>
          <w:rFonts w:cs="Times New Roman"/>
        </w:rPr>
      </w:pPr>
      <w:r w:rsidRPr="001D2947">
        <w:rPr>
          <w:rFonts w:cs="Times New Roman"/>
          <w:smallCaps/>
        </w:rPr>
        <w:t>-,</w:t>
      </w:r>
      <w:r w:rsidRPr="001D2947">
        <w:rPr>
          <w:rFonts w:cs="Times New Roman"/>
        </w:rPr>
        <w:t xml:space="preserve"> (2013), </w:t>
      </w:r>
      <w:r w:rsidRPr="001D2947">
        <w:rPr>
          <w:rFonts w:cs="Times New Roman"/>
          <w:i/>
        </w:rPr>
        <w:t>Vade-mecum des appels à projets pour les pôles de compétitivité</w:t>
      </w:r>
      <w:r w:rsidRPr="001D2947">
        <w:rPr>
          <w:rFonts w:cs="Times New Roman"/>
        </w:rPr>
        <w:t>, note du cabinet du Ministre de l’économie.</w:t>
      </w:r>
    </w:p>
    <w:p w:rsidR="008920A8" w:rsidRPr="001D2947" w:rsidRDefault="00135F02" w:rsidP="001D2947">
      <w:pPr>
        <w:spacing w:line="360" w:lineRule="auto"/>
        <w:jc w:val="both"/>
        <w:rPr>
          <w:rFonts w:cs="Times New Roman"/>
          <w:b/>
        </w:rPr>
      </w:pPr>
      <w:r w:rsidRPr="001D2947">
        <w:rPr>
          <w:rFonts w:cs="Times New Roman"/>
          <w:b/>
        </w:rPr>
        <w:t>Présentation</w:t>
      </w:r>
      <w:r w:rsidR="00621489" w:rsidRPr="001D2947">
        <w:rPr>
          <w:rFonts w:cs="Times New Roman"/>
          <w:b/>
        </w:rPr>
        <w:t xml:space="preserve"> colloque :</w:t>
      </w:r>
    </w:p>
    <w:p w:rsidR="00621489" w:rsidRPr="001D2947" w:rsidRDefault="00621489" w:rsidP="001D2947">
      <w:pPr>
        <w:spacing w:line="360" w:lineRule="auto"/>
        <w:jc w:val="both"/>
        <w:rPr>
          <w:rFonts w:cs="Times New Roman"/>
        </w:rPr>
      </w:pPr>
      <w:r w:rsidRPr="001D2947">
        <w:rPr>
          <w:rFonts w:cs="Times New Roman"/>
          <w:smallCaps/>
        </w:rPr>
        <w:t>Lepage, V. (2009),</w:t>
      </w:r>
      <w:r w:rsidRPr="001D2947">
        <w:rPr>
          <w:rFonts w:cs="Times New Roman"/>
        </w:rPr>
        <w:t xml:space="preserve"> </w:t>
      </w:r>
      <w:r w:rsidRPr="001D2947">
        <w:rPr>
          <w:rFonts w:cs="Times New Roman"/>
          <w:i/>
        </w:rPr>
        <w:t>L’évaluation externe comme outils de pilotage de la politique de clustering : leçons tirées de 5 années de pratiques en Région Wallonne</w:t>
      </w:r>
      <w:r w:rsidRPr="001D2947">
        <w:rPr>
          <w:rFonts w:cs="Times New Roman"/>
        </w:rPr>
        <w:t xml:space="preserve">, Colloque Pôles de </w:t>
      </w:r>
      <w:proofErr w:type="spellStart"/>
      <w:r w:rsidRPr="001D2947">
        <w:rPr>
          <w:rFonts w:cs="Times New Roman"/>
        </w:rPr>
        <w:t>compétititivité</w:t>
      </w:r>
      <w:proofErr w:type="spellEnd"/>
      <w:r w:rsidRPr="001D2947">
        <w:rPr>
          <w:rFonts w:cs="Times New Roman"/>
        </w:rPr>
        <w:t xml:space="preserve"> et développement économique régional, 2 et 3 mars 2009, Liège (Belgique).</w:t>
      </w:r>
    </w:p>
    <w:sectPr w:rsidR="00621489" w:rsidRPr="001D2947" w:rsidSect="008B01F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211" w:rsidRDefault="00160211" w:rsidP="00EC4DCE">
      <w:pPr>
        <w:spacing w:after="0" w:line="240" w:lineRule="auto"/>
      </w:pPr>
      <w:r>
        <w:separator/>
      </w:r>
    </w:p>
  </w:endnote>
  <w:endnote w:type="continuationSeparator" w:id="0">
    <w:p w:rsidR="00160211" w:rsidRDefault="00160211" w:rsidP="00EC4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5E7" w:rsidRDefault="006915E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5142497"/>
      <w:docPartObj>
        <w:docPartGallery w:val="Page Numbers (Bottom of Page)"/>
        <w:docPartUnique/>
      </w:docPartObj>
    </w:sdtPr>
    <w:sdtEndPr/>
    <w:sdtContent>
      <w:p w:rsidR="00B2448D" w:rsidRDefault="00B2448D">
        <w:pPr>
          <w:pStyle w:val="Pieddepage"/>
          <w:jc w:val="right"/>
        </w:pPr>
        <w:r>
          <w:fldChar w:fldCharType="begin"/>
        </w:r>
        <w:r>
          <w:instrText>PAGE   \* MERGEFORMAT</w:instrText>
        </w:r>
        <w:r>
          <w:fldChar w:fldCharType="separate"/>
        </w:r>
        <w:r w:rsidR="00421817" w:rsidRPr="00421817">
          <w:rPr>
            <w:noProof/>
            <w:lang w:val="fr-FR"/>
          </w:rPr>
          <w:t>1</w:t>
        </w:r>
        <w:r>
          <w:fldChar w:fldCharType="end"/>
        </w:r>
      </w:p>
    </w:sdtContent>
  </w:sdt>
  <w:p w:rsidR="00511A54" w:rsidRDefault="00511A5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5E7" w:rsidRDefault="006915E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211" w:rsidRDefault="00160211" w:rsidP="00EC4DCE">
      <w:pPr>
        <w:spacing w:after="0" w:line="240" w:lineRule="auto"/>
      </w:pPr>
      <w:r>
        <w:separator/>
      </w:r>
    </w:p>
  </w:footnote>
  <w:footnote w:type="continuationSeparator" w:id="0">
    <w:p w:rsidR="00160211" w:rsidRDefault="00160211" w:rsidP="00EC4DCE">
      <w:pPr>
        <w:spacing w:after="0" w:line="240" w:lineRule="auto"/>
      </w:pPr>
      <w:r>
        <w:continuationSeparator/>
      </w:r>
    </w:p>
  </w:footnote>
  <w:footnote w:id="1">
    <w:p w:rsidR="00511A54" w:rsidRPr="001D2947" w:rsidRDefault="00511A54" w:rsidP="004B1745">
      <w:pPr>
        <w:pStyle w:val="Notedebasdepage"/>
        <w:rPr>
          <w:rFonts w:cs="Times New Roman"/>
        </w:rPr>
      </w:pPr>
      <w:r w:rsidRPr="001D2947">
        <w:rPr>
          <w:rStyle w:val="Appelnotedebasdep"/>
          <w:rFonts w:cs="Times New Roman"/>
        </w:rPr>
        <w:footnoteRef/>
      </w:r>
      <w:r w:rsidRPr="001D2947">
        <w:rPr>
          <w:rFonts w:cs="Times New Roman"/>
        </w:rPr>
        <w:t xml:space="preserve"> Le Plan d’action prioritaire se compose de cinq axes : (1) créer des pôles de compétitivité, (2) stimuler la création d’activités, (3) alléger la fiscalité sur les entreprises, (4) doper la recherche et l’innovation en lien avec les entreprises et (5) susciter des compétences pour l’emploi (PAP, 2005).</w:t>
      </w:r>
    </w:p>
  </w:footnote>
  <w:footnote w:id="2">
    <w:p w:rsidR="00511A54" w:rsidRPr="001D2947" w:rsidRDefault="00511A54" w:rsidP="004B1745">
      <w:pPr>
        <w:spacing w:line="240" w:lineRule="auto"/>
        <w:rPr>
          <w:rFonts w:cs="Times New Roman"/>
          <w:sz w:val="20"/>
          <w:szCs w:val="20"/>
        </w:rPr>
      </w:pPr>
      <w:r w:rsidRPr="001D2947">
        <w:rPr>
          <w:rStyle w:val="Appelnotedebasdep"/>
          <w:rFonts w:cs="Times New Roman"/>
          <w:sz w:val="20"/>
          <w:szCs w:val="20"/>
        </w:rPr>
        <w:footnoteRef/>
      </w:r>
      <w:r w:rsidRPr="001D2947">
        <w:rPr>
          <w:rFonts w:cs="Times New Roman"/>
          <w:sz w:val="20"/>
          <w:szCs w:val="20"/>
        </w:rPr>
        <w:t xml:space="preserve"> La démocratie </w:t>
      </w:r>
      <w:proofErr w:type="spellStart"/>
      <w:r w:rsidRPr="001D2947">
        <w:rPr>
          <w:rFonts w:cs="Times New Roman"/>
          <w:sz w:val="20"/>
          <w:szCs w:val="20"/>
        </w:rPr>
        <w:t>consociative</w:t>
      </w:r>
      <w:proofErr w:type="spellEnd"/>
      <w:r w:rsidRPr="001D2947">
        <w:rPr>
          <w:rFonts w:cs="Times New Roman"/>
          <w:sz w:val="20"/>
          <w:szCs w:val="20"/>
        </w:rPr>
        <w:t xml:space="preserve"> consiste en « un ensemble de pratiques permettant aux sociétés segmentées et divisées de survivre. Les pratiques premières consistent à organiser le partage du pouvoir entre les élites des segments et l’autonomie segmentaire ». (Deschouwer, 2009, p.4).</w:t>
      </w:r>
    </w:p>
    <w:p w:rsidR="00511A54" w:rsidRPr="001D2947" w:rsidRDefault="00511A54" w:rsidP="004B1745">
      <w:pPr>
        <w:pStyle w:val="Notedebasdepage"/>
        <w:rPr>
          <w:rFonts w:cs="Times New Roman"/>
        </w:rPr>
      </w:pPr>
    </w:p>
  </w:footnote>
  <w:footnote w:id="3">
    <w:p w:rsidR="00511A54" w:rsidRPr="001D2947" w:rsidRDefault="00511A54" w:rsidP="00670282">
      <w:pPr>
        <w:pStyle w:val="Notedebasdepage"/>
        <w:rPr>
          <w:rFonts w:cs="Times New Roman"/>
        </w:rPr>
      </w:pPr>
      <w:r w:rsidRPr="001D2947">
        <w:rPr>
          <w:rStyle w:val="Appelnotedebasdep"/>
          <w:rFonts w:cs="Times New Roman"/>
        </w:rPr>
        <w:footnoteRef/>
      </w:r>
      <w:r w:rsidRPr="001D2947">
        <w:rPr>
          <w:rFonts w:cs="Times New Roman"/>
        </w:rPr>
        <w:t xml:space="preserve"> Ces postulats ont été identifiés au moyen d’une revue de littérature menée sur les études publiées par les revues </w:t>
      </w:r>
      <w:r w:rsidRPr="001D2947">
        <w:rPr>
          <w:rFonts w:cs="Times New Roman"/>
          <w:i/>
        </w:rPr>
        <w:t>Regional Studies</w:t>
      </w:r>
      <w:r w:rsidRPr="001D2947">
        <w:rPr>
          <w:rFonts w:cs="Times New Roman"/>
        </w:rPr>
        <w:t xml:space="preserve"> et </w:t>
      </w:r>
      <w:r w:rsidRPr="001D2947">
        <w:rPr>
          <w:rFonts w:cs="Times New Roman"/>
          <w:i/>
        </w:rPr>
        <w:t>Research Policy</w:t>
      </w:r>
      <w:r w:rsidRPr="001D2947">
        <w:rPr>
          <w:rFonts w:cs="Times New Roman"/>
        </w:rPr>
        <w:t>.</w:t>
      </w:r>
    </w:p>
  </w:footnote>
  <w:footnote w:id="4">
    <w:p w:rsidR="00511A54" w:rsidRPr="001D2947" w:rsidRDefault="00511A54" w:rsidP="00670282">
      <w:pPr>
        <w:pStyle w:val="Notedebasdepage"/>
        <w:rPr>
          <w:rFonts w:cs="Times New Roman"/>
        </w:rPr>
      </w:pPr>
      <w:r w:rsidRPr="001D2947">
        <w:rPr>
          <w:rStyle w:val="Appelnotedebasdep"/>
          <w:rFonts w:cs="Times New Roman"/>
        </w:rPr>
        <w:footnoteRef/>
      </w:r>
      <w:r w:rsidRPr="001D2947">
        <w:rPr>
          <w:rFonts w:cs="Times New Roman"/>
        </w:rPr>
        <w:t xml:space="preserve"> Différence entre organisations publiques et politiques</w:t>
      </w:r>
    </w:p>
  </w:footnote>
  <w:footnote w:id="5">
    <w:p w:rsidR="00511A54" w:rsidRPr="001D2947" w:rsidRDefault="00511A54" w:rsidP="00A2315C">
      <w:pPr>
        <w:spacing w:line="240" w:lineRule="auto"/>
        <w:rPr>
          <w:rFonts w:cs="Times New Roman"/>
          <w:sz w:val="20"/>
          <w:szCs w:val="20"/>
        </w:rPr>
      </w:pPr>
      <w:r w:rsidRPr="001D2947">
        <w:rPr>
          <w:rStyle w:val="Appelnotedebasdep"/>
          <w:rFonts w:cs="Times New Roman"/>
          <w:sz w:val="20"/>
          <w:szCs w:val="20"/>
        </w:rPr>
        <w:footnoteRef/>
      </w:r>
      <w:r w:rsidRPr="001D2947">
        <w:rPr>
          <w:rFonts w:cs="Times New Roman"/>
          <w:sz w:val="20"/>
          <w:szCs w:val="20"/>
        </w:rPr>
        <w:t xml:space="preserve"> «  L’addition d’un cluster industriel et d’une base scientifique ou la synergie d’un pôle d’excellence et </w:t>
      </w:r>
      <w:r w:rsidRPr="001D2947">
        <w:rPr>
          <w:rFonts w:cs="Times New Roman"/>
          <w:sz w:val="20"/>
          <w:szCs w:val="20"/>
        </w:rPr>
        <w:tab/>
        <w:t>d’un tissu d’industries. Il se caractérise par la dynamique d’une agglomération entière qui met à contribution tout un tissu qui suit et soutien l’industrie innovante : service de proximité, transport, secteur financier… Le moteur de la croissance est endogène au pôle : c’est la richesse des synergies et des capacités critiques accumulées dans les domaines scientifiques et industriels ; ce moteur s’alimente de flux migratoires d’hommes et d’entreprises attirés par le dynamisme des pôles » (Rapport Blanc, 2004, p.26).</w:t>
      </w:r>
    </w:p>
  </w:footnote>
  <w:footnote w:id="6">
    <w:p w:rsidR="00511A54" w:rsidRPr="001D2947" w:rsidRDefault="00511A54" w:rsidP="00C13A2B">
      <w:pPr>
        <w:pStyle w:val="Notedebasdepage"/>
        <w:rPr>
          <w:rFonts w:cs="Times New Roman"/>
        </w:rPr>
      </w:pPr>
      <w:r w:rsidRPr="001D2947">
        <w:rPr>
          <w:rStyle w:val="Appelnotedebasdep"/>
          <w:rFonts w:cs="Times New Roman"/>
        </w:rPr>
        <w:footnoteRef/>
      </w:r>
      <w:r w:rsidRPr="001D2947">
        <w:rPr>
          <w:rFonts w:cs="Times New Roman"/>
        </w:rPr>
        <w:t xml:space="preserve"> Il s’agit des domaines des sciences du vivant, de l’agro-alimentaire, du génie mécanique, de l’aéronautique et de la logistique (Capron, 2005).</w:t>
      </w:r>
      <w:r w:rsidR="00433F12">
        <w:rPr>
          <w:rFonts w:cs="Times New Roman"/>
        </w:rPr>
        <w:t xml:space="preserve"> Lors de la législature 2009-2014, un sixième pôle a été constitué autour de la chimie verte. Ce sixième pole a été nommé « Greenwin ».</w:t>
      </w:r>
    </w:p>
  </w:footnote>
  <w:footnote w:id="7">
    <w:p w:rsidR="00511A54" w:rsidRPr="001D2947" w:rsidRDefault="00511A54" w:rsidP="00A2315C">
      <w:pPr>
        <w:pStyle w:val="Notedebasdepage"/>
        <w:rPr>
          <w:rFonts w:cs="Times New Roman"/>
        </w:rPr>
      </w:pPr>
      <w:r w:rsidRPr="001D2947">
        <w:rPr>
          <w:rStyle w:val="Appelnotedebasdep"/>
          <w:rFonts w:cs="Times New Roman"/>
        </w:rPr>
        <w:footnoteRef/>
      </w:r>
      <w:r w:rsidRPr="001D2947">
        <w:rPr>
          <w:rFonts w:cs="Times New Roman"/>
        </w:rPr>
        <w:t xml:space="preserve"> La Région wallonne s’engage à soutenir les pôles labellisés via le recours à divers outils : (1) des investissements publics en actifs et participations ; (2) des aides à la recherche ; (3) des aides à l’investissement ; (4) l’organisation de formation ; (5) l’accueil des investissements étrangers ; (6) le soutien aux exportations (Gouvernement wallon, 2005 a, p. 1).</w:t>
      </w:r>
    </w:p>
  </w:footnote>
  <w:footnote w:id="8">
    <w:p w:rsidR="00511A54" w:rsidRPr="001D2947" w:rsidRDefault="00511A54" w:rsidP="00C52302">
      <w:pPr>
        <w:pStyle w:val="Notedebasdepage"/>
        <w:rPr>
          <w:rFonts w:cs="Times New Roman"/>
        </w:rPr>
      </w:pPr>
      <w:r w:rsidRPr="001D2947">
        <w:rPr>
          <w:rStyle w:val="Appelnotedebasdep"/>
          <w:rFonts w:cs="Times New Roman"/>
        </w:rPr>
        <w:footnoteRef/>
      </w:r>
      <w:r w:rsidRPr="001D2947">
        <w:rPr>
          <w:rFonts w:cs="Times New Roman"/>
        </w:rPr>
        <w:t xml:space="preserve"> Le processus de labellisation consiste à reconnaitre par le Gouvernement wallon les propositions de pôles de compétitivité. Lorsqu’un pôle a été labellisé, ces projets moyennant avis favorable du jury international font l’objet d’un financement public. Par ailleurs, la cellule de gestion opérationnelle du pôles est également financée par des fonds publics. Dans les faits, les cinq PC ont été labellisés par le Gouvernement en juillet et en octobre 2006.</w:t>
      </w:r>
    </w:p>
  </w:footnote>
  <w:footnote w:id="9">
    <w:p w:rsidR="00123393" w:rsidRDefault="00123393">
      <w:pPr>
        <w:pStyle w:val="Notedebasdepage"/>
      </w:pPr>
      <w:r>
        <w:rPr>
          <w:rStyle w:val="Appelnotedebasdep"/>
        </w:rPr>
        <w:footnoteRef/>
      </w:r>
      <w:r>
        <w:t xml:space="preserve"> Il est possible que deux appels à projets soient lancés au cours de l’année</w:t>
      </w:r>
    </w:p>
  </w:footnote>
  <w:footnote w:id="10">
    <w:p w:rsidR="00511A54" w:rsidRPr="001D2947" w:rsidRDefault="00511A54">
      <w:pPr>
        <w:pStyle w:val="Notedebasdepage"/>
        <w:rPr>
          <w:rFonts w:cs="Times New Roman"/>
        </w:rPr>
      </w:pPr>
      <w:r w:rsidRPr="001D2947">
        <w:rPr>
          <w:rStyle w:val="Appelnotedebasdep"/>
          <w:rFonts w:cs="Times New Roman"/>
        </w:rPr>
        <w:footnoteRef/>
      </w:r>
      <w:r w:rsidRPr="001D2947">
        <w:rPr>
          <w:rFonts w:cs="Times New Roman"/>
        </w:rPr>
        <w:t xml:space="preserve"> Les industriels occupent à la fois une place de choix dans le Conseil de gouvernance ainsi que dans le jury international chargé d’évaluer les projets soumis par les pôles.</w:t>
      </w:r>
    </w:p>
  </w:footnote>
  <w:footnote w:id="11">
    <w:p w:rsidR="00511A54" w:rsidRPr="001D2947" w:rsidRDefault="00511A54">
      <w:pPr>
        <w:pStyle w:val="Notedebasdepage"/>
        <w:rPr>
          <w:rFonts w:cs="Times New Roman"/>
        </w:rPr>
      </w:pPr>
      <w:r w:rsidRPr="001D2947">
        <w:rPr>
          <w:rStyle w:val="Appelnotedebasdep"/>
          <w:rFonts w:cs="Times New Roman"/>
        </w:rPr>
        <w:footnoteRef/>
      </w:r>
      <w:r w:rsidRPr="001D2947">
        <w:rPr>
          <w:rFonts w:cs="Times New Roman"/>
        </w:rPr>
        <w:t xml:space="preserve"> Le panel des 28 personnes interrogées est varié et comprend des conseillers politiques, des fonctionnaires, des industriels, des membres du jury international, des académiques et des consultants.</w:t>
      </w:r>
    </w:p>
  </w:footnote>
  <w:footnote w:id="12">
    <w:p w:rsidR="00511A54" w:rsidRPr="001D2947" w:rsidRDefault="00511A54">
      <w:pPr>
        <w:pStyle w:val="Notedebasdepage"/>
        <w:rPr>
          <w:rFonts w:cs="Times New Roman"/>
        </w:rPr>
      </w:pPr>
      <w:r w:rsidRPr="001D2947">
        <w:rPr>
          <w:rStyle w:val="Appelnotedebasdep"/>
          <w:rFonts w:cs="Times New Roman"/>
        </w:rPr>
        <w:footnoteRef/>
      </w:r>
      <w:r w:rsidRPr="001D2947">
        <w:rPr>
          <w:rFonts w:cs="Times New Roman"/>
        </w:rPr>
        <w:t xml:space="preserve"> Ce dernier a lancé, durant la législature 1999-2004, les </w:t>
      </w:r>
      <w:r w:rsidRPr="001D2947">
        <w:rPr>
          <w:rFonts w:cs="Times New Roman"/>
          <w:i/>
        </w:rPr>
        <w:t>clusters</w:t>
      </w:r>
      <w:r w:rsidRPr="001D2947">
        <w:rPr>
          <w:rFonts w:cs="Times New Roman"/>
        </w:rPr>
        <w:t xml:space="preserve"> en Wallonie.</w:t>
      </w:r>
    </w:p>
  </w:footnote>
  <w:footnote w:id="13">
    <w:p w:rsidR="00511A54" w:rsidRPr="001D2947" w:rsidRDefault="00511A54" w:rsidP="00335FC4">
      <w:pPr>
        <w:pStyle w:val="Notedebasdepage"/>
        <w:rPr>
          <w:rFonts w:cs="Times New Roman"/>
        </w:rPr>
      </w:pPr>
      <w:r w:rsidRPr="001D2947">
        <w:rPr>
          <w:rStyle w:val="Appelnotedebasdep"/>
          <w:rFonts w:cs="Times New Roman"/>
        </w:rPr>
        <w:footnoteRef/>
      </w:r>
      <w:r w:rsidRPr="001D2947">
        <w:rPr>
          <w:rFonts w:cs="Times New Roman"/>
        </w:rPr>
        <w:t xml:space="preserve"> Il s’agit du processus administratif conduisant à la signature d’une convention entre les acteurs de la recherche et la Wallonie.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5E7" w:rsidRDefault="006915E7">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5E7" w:rsidRDefault="006915E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5E7" w:rsidRDefault="006915E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4608"/>
    <w:multiLevelType w:val="hybridMultilevel"/>
    <w:tmpl w:val="6C625A8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1BCF0D70"/>
    <w:multiLevelType w:val="multilevel"/>
    <w:tmpl w:val="08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
    <w:nsid w:val="28E80FC8"/>
    <w:multiLevelType w:val="multilevel"/>
    <w:tmpl w:val="32FC33D8"/>
    <w:lvl w:ilvl="0">
      <w:start w:val="1"/>
      <w:numFmt w:val="decimal"/>
      <w:lvlText w:val="%1."/>
      <w:lvlJc w:val="left"/>
      <w:pPr>
        <w:ind w:left="420" w:hanging="420"/>
      </w:pPr>
      <w:rPr>
        <w:rFonts w:hint="default"/>
        <w:color w:val="4F81BD" w:themeColor="accent1"/>
      </w:rPr>
    </w:lvl>
    <w:lvl w:ilvl="1">
      <w:start w:val="1"/>
      <w:numFmt w:val="decimal"/>
      <w:lvlText w:val="%1.%2."/>
      <w:lvlJc w:val="left"/>
      <w:pPr>
        <w:ind w:left="1428" w:hanging="720"/>
      </w:pPr>
      <w:rPr>
        <w:rFonts w:hint="default"/>
        <w:color w:val="4F81BD" w:themeColor="accent1"/>
      </w:rPr>
    </w:lvl>
    <w:lvl w:ilvl="2">
      <w:start w:val="1"/>
      <w:numFmt w:val="decimal"/>
      <w:lvlText w:val="%1.%2.%3."/>
      <w:lvlJc w:val="left"/>
      <w:pPr>
        <w:ind w:left="3272" w:hanging="720"/>
      </w:pPr>
      <w:rPr>
        <w:rFonts w:hint="default"/>
        <w:color w:val="4F81BD" w:themeColor="accent1"/>
      </w:rPr>
    </w:lvl>
    <w:lvl w:ilvl="3">
      <w:start w:val="1"/>
      <w:numFmt w:val="decimal"/>
      <w:lvlText w:val="%1.%2.%3.%4."/>
      <w:lvlJc w:val="left"/>
      <w:pPr>
        <w:ind w:left="3204" w:hanging="1080"/>
      </w:pPr>
      <w:rPr>
        <w:rFonts w:hint="default"/>
        <w:color w:val="4F81BD" w:themeColor="accent1"/>
      </w:rPr>
    </w:lvl>
    <w:lvl w:ilvl="4">
      <w:start w:val="1"/>
      <w:numFmt w:val="decimal"/>
      <w:lvlText w:val="%1.%2.%3.%4.%5."/>
      <w:lvlJc w:val="left"/>
      <w:pPr>
        <w:ind w:left="4272" w:hanging="1440"/>
      </w:pPr>
      <w:rPr>
        <w:rFonts w:hint="default"/>
        <w:color w:val="4F81BD" w:themeColor="accent1"/>
      </w:rPr>
    </w:lvl>
    <w:lvl w:ilvl="5">
      <w:start w:val="1"/>
      <w:numFmt w:val="decimal"/>
      <w:lvlText w:val="%1.%2.%3.%4.%5.%6."/>
      <w:lvlJc w:val="left"/>
      <w:pPr>
        <w:ind w:left="4980" w:hanging="1440"/>
      </w:pPr>
      <w:rPr>
        <w:rFonts w:hint="default"/>
        <w:color w:val="4F81BD" w:themeColor="accent1"/>
      </w:rPr>
    </w:lvl>
    <w:lvl w:ilvl="6">
      <w:start w:val="1"/>
      <w:numFmt w:val="decimal"/>
      <w:lvlText w:val="%1.%2.%3.%4.%5.%6.%7."/>
      <w:lvlJc w:val="left"/>
      <w:pPr>
        <w:ind w:left="6048" w:hanging="1800"/>
      </w:pPr>
      <w:rPr>
        <w:rFonts w:hint="default"/>
        <w:color w:val="4F81BD" w:themeColor="accent1"/>
      </w:rPr>
    </w:lvl>
    <w:lvl w:ilvl="7">
      <w:start w:val="1"/>
      <w:numFmt w:val="decimal"/>
      <w:lvlText w:val="%1.%2.%3.%4.%5.%6.%7.%8."/>
      <w:lvlJc w:val="left"/>
      <w:pPr>
        <w:ind w:left="6756" w:hanging="1800"/>
      </w:pPr>
      <w:rPr>
        <w:rFonts w:hint="default"/>
        <w:color w:val="4F81BD" w:themeColor="accent1"/>
      </w:rPr>
    </w:lvl>
    <w:lvl w:ilvl="8">
      <w:start w:val="1"/>
      <w:numFmt w:val="decimal"/>
      <w:lvlText w:val="%1.%2.%3.%4.%5.%6.%7.%8.%9."/>
      <w:lvlJc w:val="left"/>
      <w:pPr>
        <w:ind w:left="7824" w:hanging="2160"/>
      </w:pPr>
      <w:rPr>
        <w:rFonts w:hint="default"/>
        <w:color w:val="4F81BD" w:themeColor="accent1"/>
      </w:rPr>
    </w:lvl>
  </w:abstractNum>
  <w:abstractNum w:abstractNumId="3">
    <w:nsid w:val="38D216E7"/>
    <w:multiLevelType w:val="hybridMultilevel"/>
    <w:tmpl w:val="EF24C73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3BCA00CB"/>
    <w:multiLevelType w:val="multilevel"/>
    <w:tmpl w:val="32FC33D8"/>
    <w:lvl w:ilvl="0">
      <w:start w:val="1"/>
      <w:numFmt w:val="decimal"/>
      <w:lvlText w:val="%1."/>
      <w:lvlJc w:val="left"/>
      <w:pPr>
        <w:ind w:left="420" w:hanging="420"/>
      </w:pPr>
      <w:rPr>
        <w:rFonts w:hint="default"/>
        <w:color w:val="4F81BD" w:themeColor="accent1"/>
      </w:rPr>
    </w:lvl>
    <w:lvl w:ilvl="1">
      <w:start w:val="1"/>
      <w:numFmt w:val="decimal"/>
      <w:lvlText w:val="%1.%2."/>
      <w:lvlJc w:val="left"/>
      <w:pPr>
        <w:ind w:left="1428" w:hanging="720"/>
      </w:pPr>
      <w:rPr>
        <w:rFonts w:hint="default"/>
        <w:color w:val="4F81BD" w:themeColor="accent1"/>
      </w:rPr>
    </w:lvl>
    <w:lvl w:ilvl="2">
      <w:start w:val="1"/>
      <w:numFmt w:val="decimal"/>
      <w:lvlText w:val="%1.%2.%3."/>
      <w:lvlJc w:val="left"/>
      <w:pPr>
        <w:ind w:left="3272" w:hanging="720"/>
      </w:pPr>
      <w:rPr>
        <w:rFonts w:hint="default"/>
        <w:color w:val="4F81BD" w:themeColor="accent1"/>
      </w:rPr>
    </w:lvl>
    <w:lvl w:ilvl="3">
      <w:start w:val="1"/>
      <w:numFmt w:val="decimal"/>
      <w:lvlText w:val="%1.%2.%3.%4."/>
      <w:lvlJc w:val="left"/>
      <w:pPr>
        <w:ind w:left="3204" w:hanging="1080"/>
      </w:pPr>
      <w:rPr>
        <w:rFonts w:hint="default"/>
        <w:color w:val="4F81BD" w:themeColor="accent1"/>
      </w:rPr>
    </w:lvl>
    <w:lvl w:ilvl="4">
      <w:start w:val="1"/>
      <w:numFmt w:val="decimal"/>
      <w:lvlText w:val="%1.%2.%3.%4.%5."/>
      <w:lvlJc w:val="left"/>
      <w:pPr>
        <w:ind w:left="4272" w:hanging="1440"/>
      </w:pPr>
      <w:rPr>
        <w:rFonts w:hint="default"/>
        <w:color w:val="4F81BD" w:themeColor="accent1"/>
      </w:rPr>
    </w:lvl>
    <w:lvl w:ilvl="5">
      <w:start w:val="1"/>
      <w:numFmt w:val="decimal"/>
      <w:lvlText w:val="%1.%2.%3.%4.%5.%6."/>
      <w:lvlJc w:val="left"/>
      <w:pPr>
        <w:ind w:left="4980" w:hanging="1440"/>
      </w:pPr>
      <w:rPr>
        <w:rFonts w:hint="default"/>
        <w:color w:val="4F81BD" w:themeColor="accent1"/>
      </w:rPr>
    </w:lvl>
    <w:lvl w:ilvl="6">
      <w:start w:val="1"/>
      <w:numFmt w:val="decimal"/>
      <w:lvlText w:val="%1.%2.%3.%4.%5.%6.%7."/>
      <w:lvlJc w:val="left"/>
      <w:pPr>
        <w:ind w:left="6048" w:hanging="1800"/>
      </w:pPr>
      <w:rPr>
        <w:rFonts w:hint="default"/>
        <w:color w:val="4F81BD" w:themeColor="accent1"/>
      </w:rPr>
    </w:lvl>
    <w:lvl w:ilvl="7">
      <w:start w:val="1"/>
      <w:numFmt w:val="decimal"/>
      <w:lvlText w:val="%1.%2.%3.%4.%5.%6.%7.%8."/>
      <w:lvlJc w:val="left"/>
      <w:pPr>
        <w:ind w:left="6756" w:hanging="1800"/>
      </w:pPr>
      <w:rPr>
        <w:rFonts w:hint="default"/>
        <w:color w:val="4F81BD" w:themeColor="accent1"/>
      </w:rPr>
    </w:lvl>
    <w:lvl w:ilvl="8">
      <w:start w:val="1"/>
      <w:numFmt w:val="decimal"/>
      <w:lvlText w:val="%1.%2.%3.%4.%5.%6.%7.%8.%9."/>
      <w:lvlJc w:val="left"/>
      <w:pPr>
        <w:ind w:left="7824" w:hanging="2160"/>
      </w:pPr>
      <w:rPr>
        <w:rFonts w:hint="default"/>
        <w:color w:val="4F81BD" w:themeColor="accent1"/>
      </w:rPr>
    </w:lvl>
  </w:abstractNum>
  <w:abstractNum w:abstractNumId="5">
    <w:nsid w:val="480E14B4"/>
    <w:multiLevelType w:val="hybridMultilevel"/>
    <w:tmpl w:val="6C625A8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4B274E5B"/>
    <w:multiLevelType w:val="multilevel"/>
    <w:tmpl w:val="080C001F"/>
    <w:lvl w:ilvl="0">
      <w:start w:val="1"/>
      <w:numFmt w:val="decimal"/>
      <w:lvlText w:val="%1."/>
      <w:lvlJc w:val="left"/>
      <w:pPr>
        <w:ind w:left="360" w:hanging="360"/>
      </w:pPr>
      <w:rPr>
        <w:rFonts w:hint="default"/>
        <w:color w:val="4F81BD" w:themeColor="accen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26B1E94"/>
    <w:multiLevelType w:val="multilevel"/>
    <w:tmpl w:val="32FC33D8"/>
    <w:lvl w:ilvl="0">
      <w:start w:val="1"/>
      <w:numFmt w:val="decimal"/>
      <w:lvlText w:val="%1."/>
      <w:lvlJc w:val="left"/>
      <w:pPr>
        <w:ind w:left="420" w:hanging="420"/>
      </w:pPr>
      <w:rPr>
        <w:rFonts w:hint="default"/>
        <w:color w:val="4F81BD" w:themeColor="accent1"/>
      </w:rPr>
    </w:lvl>
    <w:lvl w:ilvl="1">
      <w:start w:val="1"/>
      <w:numFmt w:val="decimal"/>
      <w:lvlText w:val="%1.%2."/>
      <w:lvlJc w:val="left"/>
      <w:pPr>
        <w:ind w:left="1428" w:hanging="720"/>
      </w:pPr>
      <w:rPr>
        <w:rFonts w:hint="default"/>
        <w:color w:val="4F81BD" w:themeColor="accent1"/>
      </w:rPr>
    </w:lvl>
    <w:lvl w:ilvl="2">
      <w:start w:val="1"/>
      <w:numFmt w:val="decimal"/>
      <w:lvlText w:val="%1.%2.%3."/>
      <w:lvlJc w:val="left"/>
      <w:pPr>
        <w:ind w:left="3272" w:hanging="720"/>
      </w:pPr>
      <w:rPr>
        <w:rFonts w:hint="default"/>
        <w:color w:val="4F81BD" w:themeColor="accent1"/>
      </w:rPr>
    </w:lvl>
    <w:lvl w:ilvl="3">
      <w:start w:val="1"/>
      <w:numFmt w:val="decimal"/>
      <w:lvlText w:val="%1.%2.%3.%4."/>
      <w:lvlJc w:val="left"/>
      <w:pPr>
        <w:ind w:left="3204" w:hanging="1080"/>
      </w:pPr>
      <w:rPr>
        <w:rFonts w:hint="default"/>
        <w:color w:val="4F81BD" w:themeColor="accent1"/>
      </w:rPr>
    </w:lvl>
    <w:lvl w:ilvl="4">
      <w:start w:val="1"/>
      <w:numFmt w:val="decimal"/>
      <w:lvlText w:val="%1.%2.%3.%4.%5."/>
      <w:lvlJc w:val="left"/>
      <w:pPr>
        <w:ind w:left="4272" w:hanging="1440"/>
      </w:pPr>
      <w:rPr>
        <w:rFonts w:hint="default"/>
        <w:color w:val="4F81BD" w:themeColor="accent1"/>
      </w:rPr>
    </w:lvl>
    <w:lvl w:ilvl="5">
      <w:start w:val="1"/>
      <w:numFmt w:val="decimal"/>
      <w:lvlText w:val="%1.%2.%3.%4.%5.%6."/>
      <w:lvlJc w:val="left"/>
      <w:pPr>
        <w:ind w:left="4980" w:hanging="1440"/>
      </w:pPr>
      <w:rPr>
        <w:rFonts w:hint="default"/>
        <w:color w:val="4F81BD" w:themeColor="accent1"/>
      </w:rPr>
    </w:lvl>
    <w:lvl w:ilvl="6">
      <w:start w:val="1"/>
      <w:numFmt w:val="decimal"/>
      <w:lvlText w:val="%1.%2.%3.%4.%5.%6.%7."/>
      <w:lvlJc w:val="left"/>
      <w:pPr>
        <w:ind w:left="6048" w:hanging="1800"/>
      </w:pPr>
      <w:rPr>
        <w:rFonts w:hint="default"/>
        <w:color w:val="4F81BD" w:themeColor="accent1"/>
      </w:rPr>
    </w:lvl>
    <w:lvl w:ilvl="7">
      <w:start w:val="1"/>
      <w:numFmt w:val="decimal"/>
      <w:lvlText w:val="%1.%2.%3.%4.%5.%6.%7.%8."/>
      <w:lvlJc w:val="left"/>
      <w:pPr>
        <w:ind w:left="6756" w:hanging="1800"/>
      </w:pPr>
      <w:rPr>
        <w:rFonts w:hint="default"/>
        <w:color w:val="4F81BD" w:themeColor="accent1"/>
      </w:rPr>
    </w:lvl>
    <w:lvl w:ilvl="8">
      <w:start w:val="1"/>
      <w:numFmt w:val="decimal"/>
      <w:lvlText w:val="%1.%2.%3.%4.%5.%6.%7.%8.%9."/>
      <w:lvlJc w:val="left"/>
      <w:pPr>
        <w:ind w:left="7824" w:hanging="2160"/>
      </w:pPr>
      <w:rPr>
        <w:rFonts w:hint="default"/>
        <w:color w:val="4F81BD" w:themeColor="accent1"/>
      </w:rPr>
    </w:lvl>
  </w:abstractNum>
  <w:abstractNum w:abstractNumId="8">
    <w:nsid w:val="52D746AC"/>
    <w:multiLevelType w:val="hybridMultilevel"/>
    <w:tmpl w:val="ECA86644"/>
    <w:lvl w:ilvl="0" w:tplc="080C000F">
      <w:start w:val="1"/>
      <w:numFmt w:val="decimal"/>
      <w:lvlText w:val="%1."/>
      <w:lvlJc w:val="left"/>
      <w:pPr>
        <w:ind w:left="1425" w:hanging="360"/>
      </w:pPr>
    </w:lvl>
    <w:lvl w:ilvl="1" w:tplc="080C0019">
      <w:start w:val="1"/>
      <w:numFmt w:val="lowerLetter"/>
      <w:lvlText w:val="%2."/>
      <w:lvlJc w:val="left"/>
      <w:pPr>
        <w:ind w:left="2145" w:hanging="360"/>
      </w:pPr>
    </w:lvl>
    <w:lvl w:ilvl="2" w:tplc="080C001B" w:tentative="1">
      <w:start w:val="1"/>
      <w:numFmt w:val="lowerRoman"/>
      <w:lvlText w:val="%3."/>
      <w:lvlJc w:val="right"/>
      <w:pPr>
        <w:ind w:left="2865" w:hanging="180"/>
      </w:pPr>
    </w:lvl>
    <w:lvl w:ilvl="3" w:tplc="080C000F" w:tentative="1">
      <w:start w:val="1"/>
      <w:numFmt w:val="decimal"/>
      <w:lvlText w:val="%4."/>
      <w:lvlJc w:val="left"/>
      <w:pPr>
        <w:ind w:left="3585" w:hanging="360"/>
      </w:pPr>
    </w:lvl>
    <w:lvl w:ilvl="4" w:tplc="080C0019" w:tentative="1">
      <w:start w:val="1"/>
      <w:numFmt w:val="lowerLetter"/>
      <w:lvlText w:val="%5."/>
      <w:lvlJc w:val="left"/>
      <w:pPr>
        <w:ind w:left="4305" w:hanging="360"/>
      </w:pPr>
    </w:lvl>
    <w:lvl w:ilvl="5" w:tplc="080C001B" w:tentative="1">
      <w:start w:val="1"/>
      <w:numFmt w:val="lowerRoman"/>
      <w:lvlText w:val="%6."/>
      <w:lvlJc w:val="right"/>
      <w:pPr>
        <w:ind w:left="5025" w:hanging="180"/>
      </w:pPr>
    </w:lvl>
    <w:lvl w:ilvl="6" w:tplc="080C000F" w:tentative="1">
      <w:start w:val="1"/>
      <w:numFmt w:val="decimal"/>
      <w:lvlText w:val="%7."/>
      <w:lvlJc w:val="left"/>
      <w:pPr>
        <w:ind w:left="5745" w:hanging="360"/>
      </w:pPr>
    </w:lvl>
    <w:lvl w:ilvl="7" w:tplc="080C0019" w:tentative="1">
      <w:start w:val="1"/>
      <w:numFmt w:val="lowerLetter"/>
      <w:lvlText w:val="%8."/>
      <w:lvlJc w:val="left"/>
      <w:pPr>
        <w:ind w:left="6465" w:hanging="360"/>
      </w:pPr>
    </w:lvl>
    <w:lvl w:ilvl="8" w:tplc="080C001B" w:tentative="1">
      <w:start w:val="1"/>
      <w:numFmt w:val="lowerRoman"/>
      <w:lvlText w:val="%9."/>
      <w:lvlJc w:val="right"/>
      <w:pPr>
        <w:ind w:left="7185" w:hanging="180"/>
      </w:pPr>
    </w:lvl>
  </w:abstractNum>
  <w:abstractNum w:abstractNumId="9">
    <w:nsid w:val="57C44C8C"/>
    <w:multiLevelType w:val="hybridMultilevel"/>
    <w:tmpl w:val="A400096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5C155894"/>
    <w:multiLevelType w:val="hybridMultilevel"/>
    <w:tmpl w:val="28E41EB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6BAA36B5"/>
    <w:multiLevelType w:val="multilevel"/>
    <w:tmpl w:val="080C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nsid w:val="79601C24"/>
    <w:multiLevelType w:val="multilevel"/>
    <w:tmpl w:val="32FC33D8"/>
    <w:lvl w:ilvl="0">
      <w:start w:val="1"/>
      <w:numFmt w:val="decimal"/>
      <w:lvlText w:val="%1."/>
      <w:lvlJc w:val="left"/>
      <w:pPr>
        <w:ind w:left="420" w:hanging="420"/>
      </w:pPr>
      <w:rPr>
        <w:rFonts w:hint="default"/>
        <w:color w:val="4F81BD" w:themeColor="accent1"/>
      </w:rPr>
    </w:lvl>
    <w:lvl w:ilvl="1">
      <w:start w:val="1"/>
      <w:numFmt w:val="decimal"/>
      <w:lvlText w:val="%1.%2."/>
      <w:lvlJc w:val="left"/>
      <w:pPr>
        <w:ind w:left="1428" w:hanging="720"/>
      </w:pPr>
      <w:rPr>
        <w:rFonts w:hint="default"/>
        <w:color w:val="4F81BD" w:themeColor="accent1"/>
      </w:rPr>
    </w:lvl>
    <w:lvl w:ilvl="2">
      <w:start w:val="1"/>
      <w:numFmt w:val="decimal"/>
      <w:lvlText w:val="%1.%2.%3."/>
      <w:lvlJc w:val="left"/>
      <w:pPr>
        <w:ind w:left="2136" w:hanging="720"/>
      </w:pPr>
      <w:rPr>
        <w:rFonts w:hint="default"/>
        <w:color w:val="4F81BD" w:themeColor="accent1"/>
      </w:rPr>
    </w:lvl>
    <w:lvl w:ilvl="3">
      <w:start w:val="1"/>
      <w:numFmt w:val="decimal"/>
      <w:lvlText w:val="%1.%2.%3.%4."/>
      <w:lvlJc w:val="left"/>
      <w:pPr>
        <w:ind w:left="3204" w:hanging="1080"/>
      </w:pPr>
      <w:rPr>
        <w:rFonts w:hint="default"/>
        <w:color w:val="4F81BD" w:themeColor="accent1"/>
      </w:rPr>
    </w:lvl>
    <w:lvl w:ilvl="4">
      <w:start w:val="1"/>
      <w:numFmt w:val="decimal"/>
      <w:lvlText w:val="%1.%2.%3.%4.%5."/>
      <w:lvlJc w:val="left"/>
      <w:pPr>
        <w:ind w:left="4272" w:hanging="1440"/>
      </w:pPr>
      <w:rPr>
        <w:rFonts w:hint="default"/>
        <w:color w:val="4F81BD" w:themeColor="accent1"/>
      </w:rPr>
    </w:lvl>
    <w:lvl w:ilvl="5">
      <w:start w:val="1"/>
      <w:numFmt w:val="decimal"/>
      <w:lvlText w:val="%1.%2.%3.%4.%5.%6."/>
      <w:lvlJc w:val="left"/>
      <w:pPr>
        <w:ind w:left="4980" w:hanging="1440"/>
      </w:pPr>
      <w:rPr>
        <w:rFonts w:hint="default"/>
        <w:color w:val="4F81BD" w:themeColor="accent1"/>
      </w:rPr>
    </w:lvl>
    <w:lvl w:ilvl="6">
      <w:start w:val="1"/>
      <w:numFmt w:val="decimal"/>
      <w:lvlText w:val="%1.%2.%3.%4.%5.%6.%7."/>
      <w:lvlJc w:val="left"/>
      <w:pPr>
        <w:ind w:left="6048" w:hanging="1800"/>
      </w:pPr>
      <w:rPr>
        <w:rFonts w:hint="default"/>
        <w:color w:val="4F81BD" w:themeColor="accent1"/>
      </w:rPr>
    </w:lvl>
    <w:lvl w:ilvl="7">
      <w:start w:val="1"/>
      <w:numFmt w:val="decimal"/>
      <w:lvlText w:val="%1.%2.%3.%4.%5.%6.%7.%8."/>
      <w:lvlJc w:val="left"/>
      <w:pPr>
        <w:ind w:left="6756" w:hanging="1800"/>
      </w:pPr>
      <w:rPr>
        <w:rFonts w:hint="default"/>
        <w:color w:val="4F81BD" w:themeColor="accent1"/>
      </w:rPr>
    </w:lvl>
    <w:lvl w:ilvl="8">
      <w:start w:val="1"/>
      <w:numFmt w:val="decimal"/>
      <w:lvlText w:val="%1.%2.%3.%4.%5.%6.%7.%8.%9."/>
      <w:lvlJc w:val="left"/>
      <w:pPr>
        <w:ind w:left="7824" w:hanging="2160"/>
      </w:pPr>
      <w:rPr>
        <w:rFonts w:hint="default"/>
        <w:color w:val="4F81BD" w:themeColor="accent1"/>
      </w:rPr>
    </w:lvl>
  </w:abstractNum>
  <w:abstractNum w:abstractNumId="13">
    <w:nsid w:val="7C7909A7"/>
    <w:multiLevelType w:val="hybridMultilevel"/>
    <w:tmpl w:val="B9E06B6E"/>
    <w:lvl w:ilvl="0" w:tplc="080C000F">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4">
    <w:nsid w:val="7D8524CC"/>
    <w:multiLevelType w:val="multilevel"/>
    <w:tmpl w:val="080C001F"/>
    <w:lvl w:ilvl="0">
      <w:start w:val="1"/>
      <w:numFmt w:val="decimal"/>
      <w:lvlText w:val="%1."/>
      <w:lvlJc w:val="left"/>
      <w:pPr>
        <w:ind w:left="1776" w:hanging="360"/>
      </w:pPr>
      <w:rPr>
        <w:rFonts w:hint="default"/>
      </w:rPr>
    </w:lvl>
    <w:lvl w:ilvl="1">
      <w:start w:val="1"/>
      <w:numFmt w:val="decimal"/>
      <w:lvlText w:val="%1.%2."/>
      <w:lvlJc w:val="left"/>
      <w:pPr>
        <w:ind w:left="2208" w:hanging="432"/>
      </w:pPr>
    </w:lvl>
    <w:lvl w:ilvl="2">
      <w:start w:val="1"/>
      <w:numFmt w:val="decimal"/>
      <w:lvlText w:val="%1.%2.%3."/>
      <w:lvlJc w:val="left"/>
      <w:pPr>
        <w:ind w:left="2640" w:hanging="504"/>
      </w:pPr>
    </w:lvl>
    <w:lvl w:ilvl="3">
      <w:start w:val="1"/>
      <w:numFmt w:val="decimal"/>
      <w:lvlText w:val="%1.%2.%3.%4."/>
      <w:lvlJc w:val="left"/>
      <w:pPr>
        <w:ind w:left="3144" w:hanging="648"/>
      </w:pPr>
    </w:lvl>
    <w:lvl w:ilvl="4">
      <w:start w:val="1"/>
      <w:numFmt w:val="decimal"/>
      <w:lvlText w:val="%1.%2.%3.%4.%5."/>
      <w:lvlJc w:val="left"/>
      <w:pPr>
        <w:ind w:left="3648" w:hanging="792"/>
      </w:pPr>
    </w:lvl>
    <w:lvl w:ilvl="5">
      <w:start w:val="1"/>
      <w:numFmt w:val="decimal"/>
      <w:lvlText w:val="%1.%2.%3.%4.%5.%6."/>
      <w:lvlJc w:val="left"/>
      <w:pPr>
        <w:ind w:left="4152" w:hanging="936"/>
      </w:pPr>
    </w:lvl>
    <w:lvl w:ilvl="6">
      <w:start w:val="1"/>
      <w:numFmt w:val="decimal"/>
      <w:lvlText w:val="%1.%2.%3.%4.%5.%6.%7."/>
      <w:lvlJc w:val="left"/>
      <w:pPr>
        <w:ind w:left="4656" w:hanging="1080"/>
      </w:pPr>
    </w:lvl>
    <w:lvl w:ilvl="7">
      <w:start w:val="1"/>
      <w:numFmt w:val="decimal"/>
      <w:lvlText w:val="%1.%2.%3.%4.%5.%6.%7.%8."/>
      <w:lvlJc w:val="left"/>
      <w:pPr>
        <w:ind w:left="5160" w:hanging="1224"/>
      </w:pPr>
    </w:lvl>
    <w:lvl w:ilvl="8">
      <w:start w:val="1"/>
      <w:numFmt w:val="decimal"/>
      <w:lvlText w:val="%1.%2.%3.%4.%5.%6.%7.%8.%9."/>
      <w:lvlJc w:val="left"/>
      <w:pPr>
        <w:ind w:left="5736" w:hanging="1440"/>
      </w:pPr>
    </w:lvl>
  </w:abstractNum>
  <w:num w:numId="1">
    <w:abstractNumId w:val="0"/>
  </w:num>
  <w:num w:numId="2">
    <w:abstractNumId w:val="8"/>
  </w:num>
  <w:num w:numId="3">
    <w:abstractNumId w:val="1"/>
  </w:num>
  <w:num w:numId="4">
    <w:abstractNumId w:val="11"/>
  </w:num>
  <w:num w:numId="5">
    <w:abstractNumId w:val="2"/>
  </w:num>
  <w:num w:numId="6">
    <w:abstractNumId w:val="5"/>
  </w:num>
  <w:num w:numId="7">
    <w:abstractNumId w:val="12"/>
  </w:num>
  <w:num w:numId="8">
    <w:abstractNumId w:val="3"/>
  </w:num>
  <w:num w:numId="9">
    <w:abstractNumId w:val="14"/>
  </w:num>
  <w:num w:numId="10">
    <w:abstractNumId w:val="9"/>
  </w:num>
  <w:num w:numId="11">
    <w:abstractNumId w:val="13"/>
  </w:num>
  <w:num w:numId="12">
    <w:abstractNumId w:val="7"/>
  </w:num>
  <w:num w:numId="13">
    <w:abstractNumId w:val="4"/>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56C"/>
    <w:rsid w:val="00000B82"/>
    <w:rsid w:val="0000372F"/>
    <w:rsid w:val="0001503F"/>
    <w:rsid w:val="00020524"/>
    <w:rsid w:val="00026F55"/>
    <w:rsid w:val="00036DC5"/>
    <w:rsid w:val="00040C37"/>
    <w:rsid w:val="00042F5B"/>
    <w:rsid w:val="00050025"/>
    <w:rsid w:val="00054B37"/>
    <w:rsid w:val="00063E42"/>
    <w:rsid w:val="00070475"/>
    <w:rsid w:val="00071387"/>
    <w:rsid w:val="0007154A"/>
    <w:rsid w:val="00073683"/>
    <w:rsid w:val="00073D0C"/>
    <w:rsid w:val="00074E22"/>
    <w:rsid w:val="00081921"/>
    <w:rsid w:val="000869B9"/>
    <w:rsid w:val="00095AC5"/>
    <w:rsid w:val="000973A5"/>
    <w:rsid w:val="000A15EC"/>
    <w:rsid w:val="000A2CBA"/>
    <w:rsid w:val="000A44AD"/>
    <w:rsid w:val="000B4134"/>
    <w:rsid w:val="000B512C"/>
    <w:rsid w:val="000B7F4B"/>
    <w:rsid w:val="000C1C99"/>
    <w:rsid w:val="000C3250"/>
    <w:rsid w:val="000D0AA6"/>
    <w:rsid w:val="000D127D"/>
    <w:rsid w:val="000D7281"/>
    <w:rsid w:val="000E1725"/>
    <w:rsid w:val="000E415F"/>
    <w:rsid w:val="000E622B"/>
    <w:rsid w:val="000E72EF"/>
    <w:rsid w:val="00102809"/>
    <w:rsid w:val="001053A2"/>
    <w:rsid w:val="00105A45"/>
    <w:rsid w:val="001108C8"/>
    <w:rsid w:val="00113E2C"/>
    <w:rsid w:val="00113E49"/>
    <w:rsid w:val="00123393"/>
    <w:rsid w:val="00127E70"/>
    <w:rsid w:val="00135F02"/>
    <w:rsid w:val="00146353"/>
    <w:rsid w:val="0015080A"/>
    <w:rsid w:val="001551B3"/>
    <w:rsid w:val="00156A7D"/>
    <w:rsid w:val="001600F7"/>
    <w:rsid w:val="00160211"/>
    <w:rsid w:val="00173D8D"/>
    <w:rsid w:val="00176166"/>
    <w:rsid w:val="0018158E"/>
    <w:rsid w:val="001948FA"/>
    <w:rsid w:val="001960C6"/>
    <w:rsid w:val="001A707D"/>
    <w:rsid w:val="001B38D9"/>
    <w:rsid w:val="001B5726"/>
    <w:rsid w:val="001B7939"/>
    <w:rsid w:val="001C09CE"/>
    <w:rsid w:val="001D2947"/>
    <w:rsid w:val="001D3AFB"/>
    <w:rsid w:val="001D5060"/>
    <w:rsid w:val="001D5A38"/>
    <w:rsid w:val="002003E8"/>
    <w:rsid w:val="00200ED2"/>
    <w:rsid w:val="00202D90"/>
    <w:rsid w:val="00210849"/>
    <w:rsid w:val="0021390E"/>
    <w:rsid w:val="00214274"/>
    <w:rsid w:val="0022016C"/>
    <w:rsid w:val="0023188B"/>
    <w:rsid w:val="00232A80"/>
    <w:rsid w:val="00233DBF"/>
    <w:rsid w:val="002359DE"/>
    <w:rsid w:val="002413C4"/>
    <w:rsid w:val="00256BF9"/>
    <w:rsid w:val="002602EA"/>
    <w:rsid w:val="002643EE"/>
    <w:rsid w:val="00270533"/>
    <w:rsid w:val="00270D97"/>
    <w:rsid w:val="00275CAE"/>
    <w:rsid w:val="00283742"/>
    <w:rsid w:val="002927A7"/>
    <w:rsid w:val="002964E7"/>
    <w:rsid w:val="00296606"/>
    <w:rsid w:val="002A0533"/>
    <w:rsid w:val="002A25C8"/>
    <w:rsid w:val="002A7FE3"/>
    <w:rsid w:val="002B2292"/>
    <w:rsid w:val="002F54E0"/>
    <w:rsid w:val="002F5517"/>
    <w:rsid w:val="003003E0"/>
    <w:rsid w:val="0031327B"/>
    <w:rsid w:val="00320358"/>
    <w:rsid w:val="00324856"/>
    <w:rsid w:val="00325845"/>
    <w:rsid w:val="00332368"/>
    <w:rsid w:val="00332E00"/>
    <w:rsid w:val="00334D75"/>
    <w:rsid w:val="00335074"/>
    <w:rsid w:val="00335FC4"/>
    <w:rsid w:val="003405FC"/>
    <w:rsid w:val="00345F5F"/>
    <w:rsid w:val="00350459"/>
    <w:rsid w:val="0037056C"/>
    <w:rsid w:val="003728C0"/>
    <w:rsid w:val="00374502"/>
    <w:rsid w:val="003768F5"/>
    <w:rsid w:val="003878C8"/>
    <w:rsid w:val="00397E6B"/>
    <w:rsid w:val="003A3794"/>
    <w:rsid w:val="003A426E"/>
    <w:rsid w:val="003A4F91"/>
    <w:rsid w:val="003B25F1"/>
    <w:rsid w:val="003B4B00"/>
    <w:rsid w:val="003C46D6"/>
    <w:rsid w:val="003C5541"/>
    <w:rsid w:val="003C7B4A"/>
    <w:rsid w:val="003D36D2"/>
    <w:rsid w:val="003D44E8"/>
    <w:rsid w:val="003D4CCE"/>
    <w:rsid w:val="003E4B4C"/>
    <w:rsid w:val="003E5A40"/>
    <w:rsid w:val="003E5EEE"/>
    <w:rsid w:val="004113BC"/>
    <w:rsid w:val="00421817"/>
    <w:rsid w:val="00421B48"/>
    <w:rsid w:val="00422AC0"/>
    <w:rsid w:val="00432B06"/>
    <w:rsid w:val="00433F12"/>
    <w:rsid w:val="004403D2"/>
    <w:rsid w:val="00467AF7"/>
    <w:rsid w:val="00475ACB"/>
    <w:rsid w:val="00483C6D"/>
    <w:rsid w:val="0048597C"/>
    <w:rsid w:val="004918CF"/>
    <w:rsid w:val="0049194C"/>
    <w:rsid w:val="004B1745"/>
    <w:rsid w:val="004B21C3"/>
    <w:rsid w:val="004B6D1F"/>
    <w:rsid w:val="004C21A3"/>
    <w:rsid w:val="004C7015"/>
    <w:rsid w:val="004D06E5"/>
    <w:rsid w:val="004E1C7C"/>
    <w:rsid w:val="004E465D"/>
    <w:rsid w:val="004F1767"/>
    <w:rsid w:val="004F528C"/>
    <w:rsid w:val="00511A54"/>
    <w:rsid w:val="005155F3"/>
    <w:rsid w:val="00515A28"/>
    <w:rsid w:val="00522955"/>
    <w:rsid w:val="005249D6"/>
    <w:rsid w:val="00533391"/>
    <w:rsid w:val="00542572"/>
    <w:rsid w:val="00544EB1"/>
    <w:rsid w:val="00546923"/>
    <w:rsid w:val="005647B1"/>
    <w:rsid w:val="00564EB2"/>
    <w:rsid w:val="005665A8"/>
    <w:rsid w:val="00570657"/>
    <w:rsid w:val="005707E8"/>
    <w:rsid w:val="00577B13"/>
    <w:rsid w:val="00577DCB"/>
    <w:rsid w:val="00580544"/>
    <w:rsid w:val="00581811"/>
    <w:rsid w:val="00595E6E"/>
    <w:rsid w:val="005A4303"/>
    <w:rsid w:val="005B2012"/>
    <w:rsid w:val="005B41DA"/>
    <w:rsid w:val="005B511F"/>
    <w:rsid w:val="005B728A"/>
    <w:rsid w:val="005C075C"/>
    <w:rsid w:val="005E0E3B"/>
    <w:rsid w:val="00600411"/>
    <w:rsid w:val="006123CF"/>
    <w:rsid w:val="00621489"/>
    <w:rsid w:val="006340EE"/>
    <w:rsid w:val="006355BB"/>
    <w:rsid w:val="0064107E"/>
    <w:rsid w:val="0064195B"/>
    <w:rsid w:val="006613A4"/>
    <w:rsid w:val="00661D45"/>
    <w:rsid w:val="00665335"/>
    <w:rsid w:val="00667E2E"/>
    <w:rsid w:val="00670282"/>
    <w:rsid w:val="006713A8"/>
    <w:rsid w:val="00672E6E"/>
    <w:rsid w:val="00690ECA"/>
    <w:rsid w:val="00691386"/>
    <w:rsid w:val="006915E7"/>
    <w:rsid w:val="006945C1"/>
    <w:rsid w:val="00697154"/>
    <w:rsid w:val="006A2F84"/>
    <w:rsid w:val="006A676B"/>
    <w:rsid w:val="006C7B63"/>
    <w:rsid w:val="006D1C54"/>
    <w:rsid w:val="007071BA"/>
    <w:rsid w:val="00717EC6"/>
    <w:rsid w:val="00722421"/>
    <w:rsid w:val="00732A06"/>
    <w:rsid w:val="00735DFC"/>
    <w:rsid w:val="0073759B"/>
    <w:rsid w:val="007400CC"/>
    <w:rsid w:val="0074553A"/>
    <w:rsid w:val="007461E5"/>
    <w:rsid w:val="00750B01"/>
    <w:rsid w:val="00752EBE"/>
    <w:rsid w:val="00761B79"/>
    <w:rsid w:val="007644BD"/>
    <w:rsid w:val="0076462F"/>
    <w:rsid w:val="007647EB"/>
    <w:rsid w:val="007714D4"/>
    <w:rsid w:val="00777FA6"/>
    <w:rsid w:val="00780683"/>
    <w:rsid w:val="0078354D"/>
    <w:rsid w:val="0078621C"/>
    <w:rsid w:val="007A2BB1"/>
    <w:rsid w:val="007A5687"/>
    <w:rsid w:val="007B22E2"/>
    <w:rsid w:val="007C423A"/>
    <w:rsid w:val="007C510F"/>
    <w:rsid w:val="007C6D2A"/>
    <w:rsid w:val="007D08ED"/>
    <w:rsid w:val="007D16F7"/>
    <w:rsid w:val="007D233C"/>
    <w:rsid w:val="007D3915"/>
    <w:rsid w:val="007E153C"/>
    <w:rsid w:val="007F4D5C"/>
    <w:rsid w:val="008007D2"/>
    <w:rsid w:val="0080388B"/>
    <w:rsid w:val="00805030"/>
    <w:rsid w:val="00811335"/>
    <w:rsid w:val="0081758A"/>
    <w:rsid w:val="00817622"/>
    <w:rsid w:val="00824B13"/>
    <w:rsid w:val="0084007E"/>
    <w:rsid w:val="00850C4B"/>
    <w:rsid w:val="00865388"/>
    <w:rsid w:val="00867483"/>
    <w:rsid w:val="0088015E"/>
    <w:rsid w:val="0088639F"/>
    <w:rsid w:val="008920A8"/>
    <w:rsid w:val="00893EEE"/>
    <w:rsid w:val="00894F8B"/>
    <w:rsid w:val="008A057E"/>
    <w:rsid w:val="008A4509"/>
    <w:rsid w:val="008B01F1"/>
    <w:rsid w:val="008B268A"/>
    <w:rsid w:val="008C1F6D"/>
    <w:rsid w:val="008D3E94"/>
    <w:rsid w:val="008D5E9B"/>
    <w:rsid w:val="008E4288"/>
    <w:rsid w:val="008E6C3B"/>
    <w:rsid w:val="008E78AA"/>
    <w:rsid w:val="008F6C6D"/>
    <w:rsid w:val="008F7386"/>
    <w:rsid w:val="00915724"/>
    <w:rsid w:val="009158D9"/>
    <w:rsid w:val="009161C8"/>
    <w:rsid w:val="00916FCE"/>
    <w:rsid w:val="00920683"/>
    <w:rsid w:val="00930347"/>
    <w:rsid w:val="00930ADF"/>
    <w:rsid w:val="00937475"/>
    <w:rsid w:val="009401EA"/>
    <w:rsid w:val="0094140E"/>
    <w:rsid w:val="00955A83"/>
    <w:rsid w:val="009567A5"/>
    <w:rsid w:val="0095776A"/>
    <w:rsid w:val="00961C52"/>
    <w:rsid w:val="009636AC"/>
    <w:rsid w:val="00971BA3"/>
    <w:rsid w:val="009772FE"/>
    <w:rsid w:val="00981759"/>
    <w:rsid w:val="00983171"/>
    <w:rsid w:val="00991EAC"/>
    <w:rsid w:val="009A2C06"/>
    <w:rsid w:val="009A2FCB"/>
    <w:rsid w:val="009A57F7"/>
    <w:rsid w:val="009B2A18"/>
    <w:rsid w:val="009B313B"/>
    <w:rsid w:val="009B4BB7"/>
    <w:rsid w:val="009B53C6"/>
    <w:rsid w:val="009B7ABD"/>
    <w:rsid w:val="009C6BF3"/>
    <w:rsid w:val="009D2392"/>
    <w:rsid w:val="009D26AB"/>
    <w:rsid w:val="009D5C57"/>
    <w:rsid w:val="009D5FEF"/>
    <w:rsid w:val="009D7169"/>
    <w:rsid w:val="009D73E2"/>
    <w:rsid w:val="009E04BF"/>
    <w:rsid w:val="009E196A"/>
    <w:rsid w:val="009E5F8D"/>
    <w:rsid w:val="009E757E"/>
    <w:rsid w:val="009F1786"/>
    <w:rsid w:val="00A106CC"/>
    <w:rsid w:val="00A12A58"/>
    <w:rsid w:val="00A22EF7"/>
    <w:rsid w:val="00A2315C"/>
    <w:rsid w:val="00A422E5"/>
    <w:rsid w:val="00A436D4"/>
    <w:rsid w:val="00A50ECC"/>
    <w:rsid w:val="00A56ABB"/>
    <w:rsid w:val="00A56CC5"/>
    <w:rsid w:val="00A649B7"/>
    <w:rsid w:val="00A852FA"/>
    <w:rsid w:val="00A94868"/>
    <w:rsid w:val="00A95A77"/>
    <w:rsid w:val="00A9756B"/>
    <w:rsid w:val="00AA2843"/>
    <w:rsid w:val="00AA4A24"/>
    <w:rsid w:val="00AA5BBA"/>
    <w:rsid w:val="00AA7F74"/>
    <w:rsid w:val="00AB1F9D"/>
    <w:rsid w:val="00AB5E66"/>
    <w:rsid w:val="00AB6463"/>
    <w:rsid w:val="00AB6EC8"/>
    <w:rsid w:val="00AE2E9E"/>
    <w:rsid w:val="00AE308B"/>
    <w:rsid w:val="00AE3C6B"/>
    <w:rsid w:val="00AE465F"/>
    <w:rsid w:val="00AF29B0"/>
    <w:rsid w:val="00B02518"/>
    <w:rsid w:val="00B04B92"/>
    <w:rsid w:val="00B106B3"/>
    <w:rsid w:val="00B1282D"/>
    <w:rsid w:val="00B16277"/>
    <w:rsid w:val="00B2448D"/>
    <w:rsid w:val="00B30AA4"/>
    <w:rsid w:val="00B33F67"/>
    <w:rsid w:val="00B3790D"/>
    <w:rsid w:val="00B37D81"/>
    <w:rsid w:val="00B4799A"/>
    <w:rsid w:val="00B538FB"/>
    <w:rsid w:val="00B54274"/>
    <w:rsid w:val="00B5616E"/>
    <w:rsid w:val="00B57615"/>
    <w:rsid w:val="00B600AA"/>
    <w:rsid w:val="00B631AA"/>
    <w:rsid w:val="00B666B1"/>
    <w:rsid w:val="00B67656"/>
    <w:rsid w:val="00B7322B"/>
    <w:rsid w:val="00B95910"/>
    <w:rsid w:val="00B966BE"/>
    <w:rsid w:val="00BA0A30"/>
    <w:rsid w:val="00BA3C26"/>
    <w:rsid w:val="00BB4254"/>
    <w:rsid w:val="00BC494A"/>
    <w:rsid w:val="00BD1C4A"/>
    <w:rsid w:val="00BD5D47"/>
    <w:rsid w:val="00BE1571"/>
    <w:rsid w:val="00BE34E8"/>
    <w:rsid w:val="00C10358"/>
    <w:rsid w:val="00C10446"/>
    <w:rsid w:val="00C13A2B"/>
    <w:rsid w:val="00C20989"/>
    <w:rsid w:val="00C21132"/>
    <w:rsid w:val="00C22723"/>
    <w:rsid w:val="00C367F5"/>
    <w:rsid w:val="00C370CE"/>
    <w:rsid w:val="00C3721F"/>
    <w:rsid w:val="00C42FD5"/>
    <w:rsid w:val="00C44107"/>
    <w:rsid w:val="00C52302"/>
    <w:rsid w:val="00C65C12"/>
    <w:rsid w:val="00C66137"/>
    <w:rsid w:val="00C808CD"/>
    <w:rsid w:val="00C80C14"/>
    <w:rsid w:val="00C854D4"/>
    <w:rsid w:val="00C90256"/>
    <w:rsid w:val="00CA3A03"/>
    <w:rsid w:val="00CB51B9"/>
    <w:rsid w:val="00CD1FFE"/>
    <w:rsid w:val="00CD3CFB"/>
    <w:rsid w:val="00CE5AB2"/>
    <w:rsid w:val="00CE62FB"/>
    <w:rsid w:val="00CE68A4"/>
    <w:rsid w:val="00CE7A21"/>
    <w:rsid w:val="00CF46E2"/>
    <w:rsid w:val="00CF5273"/>
    <w:rsid w:val="00CF65DC"/>
    <w:rsid w:val="00CF7E35"/>
    <w:rsid w:val="00D07C87"/>
    <w:rsid w:val="00D14AEB"/>
    <w:rsid w:val="00D162A2"/>
    <w:rsid w:val="00D16AA5"/>
    <w:rsid w:val="00D27C88"/>
    <w:rsid w:val="00D3251E"/>
    <w:rsid w:val="00D33B00"/>
    <w:rsid w:val="00D34DF9"/>
    <w:rsid w:val="00D44254"/>
    <w:rsid w:val="00D51FD1"/>
    <w:rsid w:val="00D579CA"/>
    <w:rsid w:val="00D60D10"/>
    <w:rsid w:val="00D67F42"/>
    <w:rsid w:val="00D72AC7"/>
    <w:rsid w:val="00D754D0"/>
    <w:rsid w:val="00D839F8"/>
    <w:rsid w:val="00DA39B0"/>
    <w:rsid w:val="00DA3C4B"/>
    <w:rsid w:val="00DA3DB3"/>
    <w:rsid w:val="00DB0453"/>
    <w:rsid w:val="00DB25AA"/>
    <w:rsid w:val="00DB36A4"/>
    <w:rsid w:val="00DD2158"/>
    <w:rsid w:val="00DD30E7"/>
    <w:rsid w:val="00DE202D"/>
    <w:rsid w:val="00DF71A7"/>
    <w:rsid w:val="00DF77C3"/>
    <w:rsid w:val="00E067F3"/>
    <w:rsid w:val="00E251FC"/>
    <w:rsid w:val="00E312BB"/>
    <w:rsid w:val="00E334E6"/>
    <w:rsid w:val="00E456F4"/>
    <w:rsid w:val="00E45EEC"/>
    <w:rsid w:val="00E47386"/>
    <w:rsid w:val="00E53C3E"/>
    <w:rsid w:val="00E81126"/>
    <w:rsid w:val="00E81F77"/>
    <w:rsid w:val="00E845A8"/>
    <w:rsid w:val="00E87F14"/>
    <w:rsid w:val="00E94A53"/>
    <w:rsid w:val="00EB742D"/>
    <w:rsid w:val="00EC4DCE"/>
    <w:rsid w:val="00EC6BC9"/>
    <w:rsid w:val="00F00148"/>
    <w:rsid w:val="00F05037"/>
    <w:rsid w:val="00F23657"/>
    <w:rsid w:val="00F37B64"/>
    <w:rsid w:val="00F37D11"/>
    <w:rsid w:val="00F41FCB"/>
    <w:rsid w:val="00F523F5"/>
    <w:rsid w:val="00F577B9"/>
    <w:rsid w:val="00F60F62"/>
    <w:rsid w:val="00F65FC1"/>
    <w:rsid w:val="00F86DA9"/>
    <w:rsid w:val="00F94F6E"/>
    <w:rsid w:val="00F96C22"/>
    <w:rsid w:val="00FA21AB"/>
    <w:rsid w:val="00FA7B05"/>
    <w:rsid w:val="00FB3F39"/>
    <w:rsid w:val="00FB4C44"/>
    <w:rsid w:val="00FC02E7"/>
    <w:rsid w:val="00FC1200"/>
    <w:rsid w:val="00FD39BF"/>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D5F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D5FE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8E4288"/>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8D5E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A3A03"/>
    <w:rPr>
      <w:sz w:val="18"/>
      <w:szCs w:val="18"/>
    </w:rPr>
  </w:style>
  <w:style w:type="paragraph" w:styleId="Commentaire">
    <w:name w:val="annotation text"/>
    <w:basedOn w:val="Normal"/>
    <w:link w:val="CommentaireCar"/>
    <w:uiPriority w:val="99"/>
    <w:semiHidden/>
    <w:unhideWhenUsed/>
    <w:rsid w:val="00CA3A03"/>
    <w:pPr>
      <w:spacing w:line="240" w:lineRule="auto"/>
    </w:pPr>
    <w:rPr>
      <w:sz w:val="24"/>
      <w:szCs w:val="24"/>
    </w:rPr>
  </w:style>
  <w:style w:type="character" w:customStyle="1" w:styleId="CommentaireCar">
    <w:name w:val="Commentaire Car"/>
    <w:basedOn w:val="Policepardfaut"/>
    <w:link w:val="Commentaire"/>
    <w:uiPriority w:val="99"/>
    <w:semiHidden/>
    <w:rsid w:val="00CA3A03"/>
    <w:rPr>
      <w:sz w:val="24"/>
      <w:szCs w:val="24"/>
    </w:rPr>
  </w:style>
  <w:style w:type="paragraph" w:styleId="Objetducommentaire">
    <w:name w:val="annotation subject"/>
    <w:basedOn w:val="Commentaire"/>
    <w:next w:val="Commentaire"/>
    <w:link w:val="ObjetducommentaireCar"/>
    <w:uiPriority w:val="99"/>
    <w:semiHidden/>
    <w:unhideWhenUsed/>
    <w:rsid w:val="00CA3A03"/>
    <w:rPr>
      <w:b/>
      <w:bCs/>
      <w:sz w:val="20"/>
      <w:szCs w:val="20"/>
    </w:rPr>
  </w:style>
  <w:style w:type="character" w:customStyle="1" w:styleId="ObjetducommentaireCar">
    <w:name w:val="Objet du commentaire Car"/>
    <w:basedOn w:val="CommentaireCar"/>
    <w:link w:val="Objetducommentaire"/>
    <w:uiPriority w:val="99"/>
    <w:semiHidden/>
    <w:rsid w:val="00CA3A03"/>
    <w:rPr>
      <w:b/>
      <w:bCs/>
      <w:sz w:val="20"/>
      <w:szCs w:val="20"/>
    </w:rPr>
  </w:style>
  <w:style w:type="paragraph" w:styleId="Textedebulles">
    <w:name w:val="Balloon Text"/>
    <w:basedOn w:val="Normal"/>
    <w:link w:val="TextedebullesCar"/>
    <w:uiPriority w:val="99"/>
    <w:semiHidden/>
    <w:unhideWhenUsed/>
    <w:rsid w:val="00CA3A03"/>
    <w:pPr>
      <w:spacing w:after="0" w:line="240" w:lineRule="auto"/>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CA3A03"/>
    <w:rPr>
      <w:rFonts w:ascii="Lucida Grande" w:hAnsi="Lucida Grande"/>
      <w:sz w:val="18"/>
      <w:szCs w:val="18"/>
    </w:rPr>
  </w:style>
  <w:style w:type="paragraph" w:styleId="Notedebasdepage">
    <w:name w:val="footnote text"/>
    <w:basedOn w:val="Normal"/>
    <w:link w:val="NotedebasdepageCar"/>
    <w:uiPriority w:val="99"/>
    <w:unhideWhenUsed/>
    <w:rsid w:val="00EC4DCE"/>
    <w:pPr>
      <w:spacing w:after="0" w:line="240" w:lineRule="auto"/>
    </w:pPr>
    <w:rPr>
      <w:sz w:val="20"/>
      <w:szCs w:val="20"/>
    </w:rPr>
  </w:style>
  <w:style w:type="character" w:customStyle="1" w:styleId="NotedebasdepageCar">
    <w:name w:val="Note de bas de page Car"/>
    <w:basedOn w:val="Policepardfaut"/>
    <w:link w:val="Notedebasdepage"/>
    <w:uiPriority w:val="99"/>
    <w:rsid w:val="00EC4DCE"/>
    <w:rPr>
      <w:sz w:val="20"/>
      <w:szCs w:val="20"/>
    </w:rPr>
  </w:style>
  <w:style w:type="character" w:styleId="Appelnotedebasdep">
    <w:name w:val="footnote reference"/>
    <w:basedOn w:val="Policepardfaut"/>
    <w:uiPriority w:val="99"/>
    <w:semiHidden/>
    <w:unhideWhenUsed/>
    <w:rsid w:val="00EC4DCE"/>
    <w:rPr>
      <w:vertAlign w:val="superscript"/>
    </w:rPr>
  </w:style>
  <w:style w:type="character" w:customStyle="1" w:styleId="Titre1Car">
    <w:name w:val="Titre 1 Car"/>
    <w:basedOn w:val="Policepardfaut"/>
    <w:link w:val="Titre1"/>
    <w:uiPriority w:val="9"/>
    <w:rsid w:val="009D5FE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D5FEF"/>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9D5FEF"/>
    <w:pPr>
      <w:ind w:left="720"/>
      <w:contextualSpacing/>
    </w:pPr>
  </w:style>
  <w:style w:type="table" w:styleId="Tramemoyenne1-Accent1">
    <w:name w:val="Medium Shading 1 Accent 1"/>
    <w:basedOn w:val="TableauNormal"/>
    <w:uiPriority w:val="63"/>
    <w:rsid w:val="00040C3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Titre3Car">
    <w:name w:val="Titre 3 Car"/>
    <w:basedOn w:val="Policepardfaut"/>
    <w:link w:val="Titre3"/>
    <w:uiPriority w:val="9"/>
    <w:rsid w:val="008E4288"/>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8D5E9B"/>
    <w:rPr>
      <w:rFonts w:asciiTheme="majorHAnsi" w:eastAsiaTheme="majorEastAsia" w:hAnsiTheme="majorHAnsi" w:cstheme="majorBidi"/>
      <w:b/>
      <w:bCs/>
      <w:i/>
      <w:iCs/>
      <w:color w:val="4F81BD" w:themeColor="accent1"/>
    </w:rPr>
  </w:style>
  <w:style w:type="character" w:customStyle="1" w:styleId="st">
    <w:name w:val="st"/>
    <w:basedOn w:val="Policepardfaut"/>
    <w:rsid w:val="00210849"/>
  </w:style>
  <w:style w:type="paragraph" w:styleId="NormalWeb">
    <w:name w:val="Normal (Web)"/>
    <w:basedOn w:val="Normal"/>
    <w:uiPriority w:val="99"/>
    <w:unhideWhenUsed/>
    <w:rsid w:val="004B1745"/>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En-tte">
    <w:name w:val="header"/>
    <w:basedOn w:val="Normal"/>
    <w:link w:val="En-tteCar"/>
    <w:uiPriority w:val="99"/>
    <w:unhideWhenUsed/>
    <w:rsid w:val="00BD5D47"/>
    <w:pPr>
      <w:tabs>
        <w:tab w:val="center" w:pos="4536"/>
        <w:tab w:val="right" w:pos="9072"/>
      </w:tabs>
      <w:spacing w:after="0" w:line="240" w:lineRule="auto"/>
    </w:pPr>
  </w:style>
  <w:style w:type="character" w:customStyle="1" w:styleId="En-tteCar">
    <w:name w:val="En-tête Car"/>
    <w:basedOn w:val="Policepardfaut"/>
    <w:link w:val="En-tte"/>
    <w:uiPriority w:val="99"/>
    <w:rsid w:val="00BD5D47"/>
  </w:style>
  <w:style w:type="paragraph" w:styleId="Pieddepage">
    <w:name w:val="footer"/>
    <w:basedOn w:val="Normal"/>
    <w:link w:val="PieddepageCar"/>
    <w:uiPriority w:val="99"/>
    <w:unhideWhenUsed/>
    <w:rsid w:val="00BD5D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5D47"/>
  </w:style>
  <w:style w:type="character" w:styleId="Lienhypertexte">
    <w:name w:val="Hyperlink"/>
    <w:basedOn w:val="Policepardfaut"/>
    <w:rsid w:val="001D294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D5F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D5FE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8E4288"/>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8D5E9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A3A03"/>
    <w:rPr>
      <w:sz w:val="18"/>
      <w:szCs w:val="18"/>
    </w:rPr>
  </w:style>
  <w:style w:type="paragraph" w:styleId="Commentaire">
    <w:name w:val="annotation text"/>
    <w:basedOn w:val="Normal"/>
    <w:link w:val="CommentaireCar"/>
    <w:uiPriority w:val="99"/>
    <w:semiHidden/>
    <w:unhideWhenUsed/>
    <w:rsid w:val="00CA3A03"/>
    <w:pPr>
      <w:spacing w:line="240" w:lineRule="auto"/>
    </w:pPr>
    <w:rPr>
      <w:sz w:val="24"/>
      <w:szCs w:val="24"/>
    </w:rPr>
  </w:style>
  <w:style w:type="character" w:customStyle="1" w:styleId="CommentaireCar">
    <w:name w:val="Commentaire Car"/>
    <w:basedOn w:val="Policepardfaut"/>
    <w:link w:val="Commentaire"/>
    <w:uiPriority w:val="99"/>
    <w:semiHidden/>
    <w:rsid w:val="00CA3A03"/>
    <w:rPr>
      <w:sz w:val="24"/>
      <w:szCs w:val="24"/>
    </w:rPr>
  </w:style>
  <w:style w:type="paragraph" w:styleId="Objetducommentaire">
    <w:name w:val="annotation subject"/>
    <w:basedOn w:val="Commentaire"/>
    <w:next w:val="Commentaire"/>
    <w:link w:val="ObjetducommentaireCar"/>
    <w:uiPriority w:val="99"/>
    <w:semiHidden/>
    <w:unhideWhenUsed/>
    <w:rsid w:val="00CA3A03"/>
    <w:rPr>
      <w:b/>
      <w:bCs/>
      <w:sz w:val="20"/>
      <w:szCs w:val="20"/>
    </w:rPr>
  </w:style>
  <w:style w:type="character" w:customStyle="1" w:styleId="ObjetducommentaireCar">
    <w:name w:val="Objet du commentaire Car"/>
    <w:basedOn w:val="CommentaireCar"/>
    <w:link w:val="Objetducommentaire"/>
    <w:uiPriority w:val="99"/>
    <w:semiHidden/>
    <w:rsid w:val="00CA3A03"/>
    <w:rPr>
      <w:b/>
      <w:bCs/>
      <w:sz w:val="20"/>
      <w:szCs w:val="20"/>
    </w:rPr>
  </w:style>
  <w:style w:type="paragraph" w:styleId="Textedebulles">
    <w:name w:val="Balloon Text"/>
    <w:basedOn w:val="Normal"/>
    <w:link w:val="TextedebullesCar"/>
    <w:uiPriority w:val="99"/>
    <w:semiHidden/>
    <w:unhideWhenUsed/>
    <w:rsid w:val="00CA3A03"/>
    <w:pPr>
      <w:spacing w:after="0" w:line="240" w:lineRule="auto"/>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CA3A03"/>
    <w:rPr>
      <w:rFonts w:ascii="Lucida Grande" w:hAnsi="Lucida Grande"/>
      <w:sz w:val="18"/>
      <w:szCs w:val="18"/>
    </w:rPr>
  </w:style>
  <w:style w:type="paragraph" w:styleId="Notedebasdepage">
    <w:name w:val="footnote text"/>
    <w:basedOn w:val="Normal"/>
    <w:link w:val="NotedebasdepageCar"/>
    <w:uiPriority w:val="99"/>
    <w:unhideWhenUsed/>
    <w:rsid w:val="00EC4DCE"/>
    <w:pPr>
      <w:spacing w:after="0" w:line="240" w:lineRule="auto"/>
    </w:pPr>
    <w:rPr>
      <w:sz w:val="20"/>
      <w:szCs w:val="20"/>
    </w:rPr>
  </w:style>
  <w:style w:type="character" w:customStyle="1" w:styleId="NotedebasdepageCar">
    <w:name w:val="Note de bas de page Car"/>
    <w:basedOn w:val="Policepardfaut"/>
    <w:link w:val="Notedebasdepage"/>
    <w:uiPriority w:val="99"/>
    <w:rsid w:val="00EC4DCE"/>
    <w:rPr>
      <w:sz w:val="20"/>
      <w:szCs w:val="20"/>
    </w:rPr>
  </w:style>
  <w:style w:type="character" w:styleId="Appelnotedebasdep">
    <w:name w:val="footnote reference"/>
    <w:basedOn w:val="Policepardfaut"/>
    <w:uiPriority w:val="99"/>
    <w:semiHidden/>
    <w:unhideWhenUsed/>
    <w:rsid w:val="00EC4DCE"/>
    <w:rPr>
      <w:vertAlign w:val="superscript"/>
    </w:rPr>
  </w:style>
  <w:style w:type="character" w:customStyle="1" w:styleId="Titre1Car">
    <w:name w:val="Titre 1 Car"/>
    <w:basedOn w:val="Policepardfaut"/>
    <w:link w:val="Titre1"/>
    <w:uiPriority w:val="9"/>
    <w:rsid w:val="009D5FE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D5FEF"/>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9D5FEF"/>
    <w:pPr>
      <w:ind w:left="720"/>
      <w:contextualSpacing/>
    </w:pPr>
  </w:style>
  <w:style w:type="table" w:styleId="Tramemoyenne1-Accent1">
    <w:name w:val="Medium Shading 1 Accent 1"/>
    <w:basedOn w:val="TableauNormal"/>
    <w:uiPriority w:val="63"/>
    <w:rsid w:val="00040C3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Titre3Car">
    <w:name w:val="Titre 3 Car"/>
    <w:basedOn w:val="Policepardfaut"/>
    <w:link w:val="Titre3"/>
    <w:uiPriority w:val="9"/>
    <w:rsid w:val="008E4288"/>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8D5E9B"/>
    <w:rPr>
      <w:rFonts w:asciiTheme="majorHAnsi" w:eastAsiaTheme="majorEastAsia" w:hAnsiTheme="majorHAnsi" w:cstheme="majorBidi"/>
      <w:b/>
      <w:bCs/>
      <w:i/>
      <w:iCs/>
      <w:color w:val="4F81BD" w:themeColor="accent1"/>
    </w:rPr>
  </w:style>
  <w:style w:type="character" w:customStyle="1" w:styleId="st">
    <w:name w:val="st"/>
    <w:basedOn w:val="Policepardfaut"/>
    <w:rsid w:val="00210849"/>
  </w:style>
  <w:style w:type="paragraph" w:styleId="NormalWeb">
    <w:name w:val="Normal (Web)"/>
    <w:basedOn w:val="Normal"/>
    <w:uiPriority w:val="99"/>
    <w:unhideWhenUsed/>
    <w:rsid w:val="004B1745"/>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En-tte">
    <w:name w:val="header"/>
    <w:basedOn w:val="Normal"/>
    <w:link w:val="En-tteCar"/>
    <w:uiPriority w:val="99"/>
    <w:unhideWhenUsed/>
    <w:rsid w:val="00BD5D47"/>
    <w:pPr>
      <w:tabs>
        <w:tab w:val="center" w:pos="4536"/>
        <w:tab w:val="right" w:pos="9072"/>
      </w:tabs>
      <w:spacing w:after="0" w:line="240" w:lineRule="auto"/>
    </w:pPr>
  </w:style>
  <w:style w:type="character" w:customStyle="1" w:styleId="En-tteCar">
    <w:name w:val="En-tête Car"/>
    <w:basedOn w:val="Policepardfaut"/>
    <w:link w:val="En-tte"/>
    <w:uiPriority w:val="99"/>
    <w:rsid w:val="00BD5D47"/>
  </w:style>
  <w:style w:type="paragraph" w:styleId="Pieddepage">
    <w:name w:val="footer"/>
    <w:basedOn w:val="Normal"/>
    <w:link w:val="PieddepageCar"/>
    <w:uiPriority w:val="99"/>
    <w:unhideWhenUsed/>
    <w:rsid w:val="00BD5D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D5D47"/>
  </w:style>
  <w:style w:type="character" w:styleId="Lienhypertexte">
    <w:name w:val="Hyperlink"/>
    <w:basedOn w:val="Policepardfaut"/>
    <w:rsid w:val="001D29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84835">
      <w:bodyDiv w:val="1"/>
      <w:marLeft w:val="0"/>
      <w:marRight w:val="0"/>
      <w:marTop w:val="0"/>
      <w:marBottom w:val="0"/>
      <w:divBdr>
        <w:top w:val="none" w:sz="0" w:space="0" w:color="auto"/>
        <w:left w:val="none" w:sz="0" w:space="0" w:color="auto"/>
        <w:bottom w:val="none" w:sz="0" w:space="0" w:color="auto"/>
        <w:right w:val="none" w:sz="0" w:space="0" w:color="auto"/>
      </w:divBdr>
      <w:divsChild>
        <w:div w:id="2124154500">
          <w:marLeft w:val="0"/>
          <w:marRight w:val="0"/>
          <w:marTop w:val="0"/>
          <w:marBottom w:val="0"/>
          <w:divBdr>
            <w:top w:val="none" w:sz="0" w:space="0" w:color="auto"/>
            <w:left w:val="none" w:sz="0" w:space="0" w:color="auto"/>
            <w:bottom w:val="none" w:sz="0" w:space="0" w:color="auto"/>
            <w:right w:val="none" w:sz="0" w:space="0" w:color="auto"/>
          </w:divBdr>
        </w:div>
      </w:divsChild>
    </w:div>
    <w:div w:id="269162514">
      <w:bodyDiv w:val="1"/>
      <w:marLeft w:val="0"/>
      <w:marRight w:val="0"/>
      <w:marTop w:val="0"/>
      <w:marBottom w:val="0"/>
      <w:divBdr>
        <w:top w:val="none" w:sz="0" w:space="0" w:color="auto"/>
        <w:left w:val="none" w:sz="0" w:space="0" w:color="auto"/>
        <w:bottom w:val="none" w:sz="0" w:space="0" w:color="auto"/>
        <w:right w:val="none" w:sz="0" w:space="0" w:color="auto"/>
      </w:divBdr>
    </w:div>
    <w:div w:id="842622011">
      <w:bodyDiv w:val="1"/>
      <w:marLeft w:val="0"/>
      <w:marRight w:val="0"/>
      <w:marTop w:val="0"/>
      <w:marBottom w:val="0"/>
      <w:divBdr>
        <w:top w:val="none" w:sz="0" w:space="0" w:color="auto"/>
        <w:left w:val="none" w:sz="0" w:space="0" w:color="auto"/>
        <w:bottom w:val="none" w:sz="0" w:space="0" w:color="auto"/>
        <w:right w:val="none" w:sz="0" w:space="0" w:color="auto"/>
      </w:divBdr>
    </w:div>
    <w:div w:id="1950967826">
      <w:bodyDiv w:val="1"/>
      <w:marLeft w:val="0"/>
      <w:marRight w:val="0"/>
      <w:marTop w:val="0"/>
      <w:marBottom w:val="0"/>
      <w:divBdr>
        <w:top w:val="none" w:sz="0" w:space="0" w:color="auto"/>
        <w:left w:val="none" w:sz="0" w:space="0" w:color="auto"/>
        <w:bottom w:val="none" w:sz="0" w:space="0" w:color="auto"/>
        <w:right w:val="none" w:sz="0" w:space="0" w:color="auto"/>
      </w:divBdr>
    </w:div>
    <w:div w:id="196044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in.lawaree@uclouvain.be"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27</Pages>
  <Words>8885</Words>
  <Characters>48871</Characters>
  <Application>Microsoft Office Word</Application>
  <DocSecurity>0</DocSecurity>
  <Lines>407</Lines>
  <Paragraphs>115</Paragraphs>
  <ScaleCrop>false</ScaleCrop>
  <HeadingPairs>
    <vt:vector size="2" baseType="variant">
      <vt:variant>
        <vt:lpstr>Titre</vt:lpstr>
      </vt:variant>
      <vt:variant>
        <vt:i4>1</vt:i4>
      </vt:variant>
    </vt:vector>
  </HeadingPairs>
  <TitlesOfParts>
    <vt:vector size="1" baseType="lpstr">
      <vt:lpstr/>
    </vt:vector>
  </TitlesOfParts>
  <Company>UCL Mons</Company>
  <LinksUpToDate>false</LinksUpToDate>
  <CharactersWithSpaces>57641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Lawarée</dc:creator>
  <cp:lastModifiedBy>Justin Lawarée</cp:lastModifiedBy>
  <cp:revision>8</cp:revision>
  <cp:lastPrinted>2016-06-17T20:57:00Z</cp:lastPrinted>
  <dcterms:created xsi:type="dcterms:W3CDTF">2016-06-17T23:06:00Z</dcterms:created>
  <dcterms:modified xsi:type="dcterms:W3CDTF">2016-09-05T08:24:00Z</dcterms:modified>
</cp:coreProperties>
</file>