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618BE" w:rsidRDefault="001618BE" w:rsidP="001618BE">
      <w:pPr>
        <w:pStyle w:val="NormalWeb"/>
      </w:pPr>
      <w:bookmarkStart w:id="0" w:name="_GoBack"/>
      <w:bookmarkEnd w:id="0"/>
      <w:r w:rsidRPr="001618BE">
        <w:rPr>
          <w:rStyle w:val="Accentuation"/>
          <w:rFonts w:ascii="Calibri" w:hAnsi="Calibri"/>
          <w:b/>
          <w:bCs/>
          <w:sz w:val="32"/>
          <w:szCs w:val="32"/>
        </w:rPr>
        <w:t>Exploring the normativity and effectiveness of Global Public Goods with two case studies: the Global Seed Commons and the Convention on the Law of the Non-navigational Uses of International Watercourses </w:t>
      </w:r>
      <w:r>
        <w:t>​</w:t>
      </w:r>
    </w:p>
    <w:p w:rsidR="001618BE" w:rsidRDefault="001618BE" w:rsidP="001618BE">
      <w:pPr>
        <w:pStyle w:val="NormalWeb"/>
      </w:pPr>
    </w:p>
    <w:p w:rsidR="001618BE" w:rsidRDefault="00CA7CE3" w:rsidP="001618BE">
      <w:pPr>
        <w:pStyle w:val="NormalWeb"/>
      </w:pPr>
      <w:r>
        <w:rPr>
          <w:rFonts w:ascii="Calibri" w:hAnsi="Calibri"/>
          <w:color w:val="000000"/>
          <w:shd w:val="clear" w:color="auto" w:fill="FFFFFF"/>
        </w:rPr>
        <w:t>Global Public Goods, Global Seed Commons</w:t>
      </w:r>
      <w:r w:rsidR="001618BE">
        <w:rPr>
          <w:rFonts w:ascii="Calibri" w:hAnsi="Calibri"/>
          <w:color w:val="000000"/>
          <w:shd w:val="clear" w:color="auto" w:fill="FFFFFF"/>
        </w:rPr>
        <w:t>, Water, International Law, Multi-level governance, comparative law analysis</w:t>
      </w:r>
    </w:p>
    <w:p w:rsidR="001618BE" w:rsidRDefault="001618BE" w:rsidP="001618BE">
      <w:pPr>
        <w:pStyle w:val="NormalWeb"/>
      </w:pPr>
    </w:p>
    <w:p w:rsidR="001618BE" w:rsidRPr="001618BE" w:rsidRDefault="001618BE" w:rsidP="001618BE">
      <w:pPr>
        <w:pStyle w:val="NormalWeb"/>
      </w:pPr>
      <w:r>
        <w:t>Today, markets, States or international institutions are ill-equipped to provide the G</w:t>
      </w:r>
      <w:r w:rsidR="005A1173">
        <w:t xml:space="preserve">lobal </w:t>
      </w:r>
      <w:r>
        <w:t>P</w:t>
      </w:r>
      <w:r w:rsidR="005A1173">
        <w:t xml:space="preserve">ublic </w:t>
      </w:r>
      <w:r>
        <w:t>G</w:t>
      </w:r>
      <w:r w:rsidR="005A1173">
        <w:t>oods</w:t>
      </w:r>
      <w:r>
        <w:t xml:space="preserve"> needed such as stable international financial </w:t>
      </w:r>
      <w:r w:rsidR="00C622F9">
        <w:t>markets,</w:t>
      </w:r>
      <w:r>
        <w:t xml:space="preserve"> fight against</w:t>
      </w:r>
      <w:r w:rsidR="005A1173">
        <w:t xml:space="preserve"> climate change,</w:t>
      </w:r>
      <w:r>
        <w:t xml:space="preserve"> </w:t>
      </w:r>
      <w:r w:rsidR="00C622F9">
        <w:t>hunger</w:t>
      </w:r>
      <w:r w:rsidR="005A1173">
        <w:t xml:space="preserve"> and poverty</w:t>
      </w:r>
      <w:r>
        <w:t xml:space="preserve"> </w:t>
      </w:r>
      <w:r w:rsidR="005A1173">
        <w:t>or</w:t>
      </w:r>
      <w:r w:rsidR="00C622F9">
        <w:t xml:space="preserve"> </w:t>
      </w:r>
      <w:r w:rsidR="005A1173">
        <w:t xml:space="preserve">international </w:t>
      </w:r>
      <w:r w:rsidR="00C622F9">
        <w:t xml:space="preserve">freshwater </w:t>
      </w:r>
      <w:r w:rsidR="005A1173">
        <w:t>management</w:t>
      </w:r>
      <w:r>
        <w:t xml:space="preserve">. The </w:t>
      </w:r>
      <w:r w:rsidR="005A1173">
        <w:t xml:space="preserve">Global Public Goods </w:t>
      </w:r>
      <w:r>
        <w:t xml:space="preserve">theory attempts to provide answers to such problems related to globalization. Kaul </w:t>
      </w:r>
      <w:r>
        <w:rPr>
          <w:rStyle w:val="Accentuation"/>
        </w:rPr>
        <w:t>et al</w:t>
      </w:r>
      <w:r>
        <w:t xml:space="preserve"> argue that many of today’s international crises have their roots in serious </w:t>
      </w:r>
      <w:r w:rsidR="005A1173">
        <w:t xml:space="preserve">Global Public Goods </w:t>
      </w:r>
      <w:r>
        <w:t xml:space="preserve">undersupply. They identify three policy gaps to be closed for their theory to reach normative and effective impacts on international legal regimes: a ‘jurisdictional gap’, a ‘participation gap’, and an ‘incentive gap’. The jurisdictional gap focuses on the “discrepancy between a globalized world and national, separate unites of policy-making.” The participation gap highlights that today international cooperation is still mainly an intergovernmental process, whereas important new global actors, such as international non-governmental organizations or citizens’ actions, have emerged. The incentive gap stresses on the importance of promoting international cooperation in the implementation of international agreements. In this paper, we analyse if and how mitigating these gaps could improve the effectiveness of two specific legal regimes: the Global Seed Commons of the International Treaty on Plant Genetic Resources for Food and Agriculture and the Convention on the Law of the Non-navigational Uses of International Watercourses. First we explore the theoretical potential of the </w:t>
      </w:r>
      <w:r w:rsidR="005A1173">
        <w:t xml:space="preserve">Global Public Goods </w:t>
      </w:r>
      <w:r>
        <w:t>theory</w:t>
      </w:r>
      <w:r w:rsidR="005A1173">
        <w:t>. Second we apply it t</w:t>
      </w:r>
      <w:r>
        <w:t xml:space="preserve">o both case studies using </w:t>
      </w:r>
      <w:r w:rsidR="00C622F9">
        <w:t>a legal research method</w:t>
      </w:r>
      <w:r w:rsidR="005A1173">
        <w:t xml:space="preserve"> and compare the findings for the two treaties</w:t>
      </w:r>
      <w:r w:rsidR="00C622F9">
        <w:t>. Third</w:t>
      </w:r>
      <w:r>
        <w:t xml:space="preserve">, we show that in both cases, the classical regime dichotomy of goods (private / public goods) should be overcome to effectively govern seed and water resources. This would contribute to normatively affect existing regimes rendering them more modular and heterogenic i.e. mixed governance regimes better equipped to fulfil the treaties’ objectives. </w:t>
      </w:r>
      <w:r w:rsidRPr="001618BE">
        <w:rPr>
          <w:rStyle w:val="lev"/>
          <w:b w:val="0"/>
        </w:rPr>
        <w:t>Finally</w:t>
      </w:r>
      <w:r w:rsidRPr="001618BE">
        <w:t xml:space="preserve">, we investigate to what extent both international instruments constitute </w:t>
      </w:r>
      <w:r>
        <w:t xml:space="preserve">obstacles or on the contrary levers to the </w:t>
      </w:r>
      <w:r w:rsidR="005A1173">
        <w:t xml:space="preserve">development </w:t>
      </w:r>
      <w:r>
        <w:t xml:space="preserve">of </w:t>
      </w:r>
      <w:r w:rsidR="005A1173">
        <w:t xml:space="preserve">seed / water </w:t>
      </w:r>
      <w:r>
        <w:t>local</w:t>
      </w:r>
      <w:r w:rsidR="005A1173">
        <w:t xml:space="preserve"> management</w:t>
      </w:r>
      <w:r>
        <w:t xml:space="preserve"> dynamics </w:t>
      </w:r>
      <w:r w:rsidR="00C622F9">
        <w:t xml:space="preserve">entrenched in the commons theory and to the recognition of related knowledge, without seeking to homogenize these different practices. </w:t>
      </w:r>
    </w:p>
    <w:p w:rsidR="00905D10" w:rsidRDefault="00905D10"/>
    <w:sectPr w:rsidR="00905D10">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618BE"/>
    <w:rsid w:val="00000ECA"/>
    <w:rsid w:val="00006D81"/>
    <w:rsid w:val="00052A8E"/>
    <w:rsid w:val="00061062"/>
    <w:rsid w:val="0008207E"/>
    <w:rsid w:val="00084C18"/>
    <w:rsid w:val="00087253"/>
    <w:rsid w:val="000D1F17"/>
    <w:rsid w:val="000D1F36"/>
    <w:rsid w:val="000D2145"/>
    <w:rsid w:val="000D26C3"/>
    <w:rsid w:val="000D76EC"/>
    <w:rsid w:val="000E5EB4"/>
    <w:rsid w:val="000F6F18"/>
    <w:rsid w:val="00107D4B"/>
    <w:rsid w:val="001100FE"/>
    <w:rsid w:val="0012168E"/>
    <w:rsid w:val="00125DE3"/>
    <w:rsid w:val="00146440"/>
    <w:rsid w:val="001618BE"/>
    <w:rsid w:val="0016447E"/>
    <w:rsid w:val="0017102C"/>
    <w:rsid w:val="00195C3B"/>
    <w:rsid w:val="001A5219"/>
    <w:rsid w:val="001B5F63"/>
    <w:rsid w:val="001C1C42"/>
    <w:rsid w:val="001D0A14"/>
    <w:rsid w:val="001E0795"/>
    <w:rsid w:val="001E7E02"/>
    <w:rsid w:val="00201645"/>
    <w:rsid w:val="00221249"/>
    <w:rsid w:val="002336C1"/>
    <w:rsid w:val="00242DFD"/>
    <w:rsid w:val="00246FDE"/>
    <w:rsid w:val="0026791D"/>
    <w:rsid w:val="002B2C4F"/>
    <w:rsid w:val="002B4A30"/>
    <w:rsid w:val="002E7003"/>
    <w:rsid w:val="00302D77"/>
    <w:rsid w:val="00303519"/>
    <w:rsid w:val="003142FF"/>
    <w:rsid w:val="00316D73"/>
    <w:rsid w:val="00320DA4"/>
    <w:rsid w:val="0033604E"/>
    <w:rsid w:val="0035129A"/>
    <w:rsid w:val="0037588E"/>
    <w:rsid w:val="00396148"/>
    <w:rsid w:val="003F66A6"/>
    <w:rsid w:val="003F6DAE"/>
    <w:rsid w:val="00425BC7"/>
    <w:rsid w:val="00454068"/>
    <w:rsid w:val="004602D9"/>
    <w:rsid w:val="004623E8"/>
    <w:rsid w:val="004720DD"/>
    <w:rsid w:val="004E1ED8"/>
    <w:rsid w:val="004E2DA4"/>
    <w:rsid w:val="00506F0A"/>
    <w:rsid w:val="00510C18"/>
    <w:rsid w:val="00546E27"/>
    <w:rsid w:val="00553766"/>
    <w:rsid w:val="00556186"/>
    <w:rsid w:val="005576AC"/>
    <w:rsid w:val="0056301D"/>
    <w:rsid w:val="00581FA2"/>
    <w:rsid w:val="005831D5"/>
    <w:rsid w:val="00583B19"/>
    <w:rsid w:val="005A1173"/>
    <w:rsid w:val="005A19FC"/>
    <w:rsid w:val="005B2234"/>
    <w:rsid w:val="005C094B"/>
    <w:rsid w:val="00604B44"/>
    <w:rsid w:val="00637B69"/>
    <w:rsid w:val="00642932"/>
    <w:rsid w:val="006777D9"/>
    <w:rsid w:val="0068122C"/>
    <w:rsid w:val="006C44CE"/>
    <w:rsid w:val="006D191A"/>
    <w:rsid w:val="00704D7C"/>
    <w:rsid w:val="007124F5"/>
    <w:rsid w:val="007163F4"/>
    <w:rsid w:val="007322EC"/>
    <w:rsid w:val="007503ED"/>
    <w:rsid w:val="007624D2"/>
    <w:rsid w:val="00763FAE"/>
    <w:rsid w:val="00793315"/>
    <w:rsid w:val="00793642"/>
    <w:rsid w:val="007A4B29"/>
    <w:rsid w:val="007B2F03"/>
    <w:rsid w:val="007E0F41"/>
    <w:rsid w:val="00805CEB"/>
    <w:rsid w:val="00820990"/>
    <w:rsid w:val="008304A1"/>
    <w:rsid w:val="00851891"/>
    <w:rsid w:val="0085290A"/>
    <w:rsid w:val="00855047"/>
    <w:rsid w:val="00855443"/>
    <w:rsid w:val="00896B0B"/>
    <w:rsid w:val="008A0239"/>
    <w:rsid w:val="008A15E8"/>
    <w:rsid w:val="008C446B"/>
    <w:rsid w:val="008C665B"/>
    <w:rsid w:val="008D6589"/>
    <w:rsid w:val="008E37CF"/>
    <w:rsid w:val="008E6A7E"/>
    <w:rsid w:val="008E7A33"/>
    <w:rsid w:val="00905D10"/>
    <w:rsid w:val="009267EB"/>
    <w:rsid w:val="00943D54"/>
    <w:rsid w:val="009454C5"/>
    <w:rsid w:val="00956BEA"/>
    <w:rsid w:val="009715B3"/>
    <w:rsid w:val="009823D2"/>
    <w:rsid w:val="009956D5"/>
    <w:rsid w:val="009D7A62"/>
    <w:rsid w:val="009F2CD0"/>
    <w:rsid w:val="00A13E78"/>
    <w:rsid w:val="00A225D1"/>
    <w:rsid w:val="00A26D34"/>
    <w:rsid w:val="00A31087"/>
    <w:rsid w:val="00A42CD5"/>
    <w:rsid w:val="00A67F12"/>
    <w:rsid w:val="00A95D9C"/>
    <w:rsid w:val="00AA1E01"/>
    <w:rsid w:val="00AB7A8F"/>
    <w:rsid w:val="00AC01BD"/>
    <w:rsid w:val="00AE6077"/>
    <w:rsid w:val="00AF55FD"/>
    <w:rsid w:val="00B06323"/>
    <w:rsid w:val="00B115D1"/>
    <w:rsid w:val="00B12229"/>
    <w:rsid w:val="00B17F5D"/>
    <w:rsid w:val="00B23D7C"/>
    <w:rsid w:val="00B30C5F"/>
    <w:rsid w:val="00B41EBD"/>
    <w:rsid w:val="00B46C7D"/>
    <w:rsid w:val="00B530E9"/>
    <w:rsid w:val="00B66C0E"/>
    <w:rsid w:val="00BD2209"/>
    <w:rsid w:val="00BD22F4"/>
    <w:rsid w:val="00C04348"/>
    <w:rsid w:val="00C14407"/>
    <w:rsid w:val="00C2062B"/>
    <w:rsid w:val="00C24217"/>
    <w:rsid w:val="00C321BB"/>
    <w:rsid w:val="00C40F44"/>
    <w:rsid w:val="00C51C44"/>
    <w:rsid w:val="00C54D24"/>
    <w:rsid w:val="00C561E6"/>
    <w:rsid w:val="00C622F9"/>
    <w:rsid w:val="00C6626C"/>
    <w:rsid w:val="00C72FC2"/>
    <w:rsid w:val="00C73658"/>
    <w:rsid w:val="00CA0DE1"/>
    <w:rsid w:val="00CA4392"/>
    <w:rsid w:val="00CA5228"/>
    <w:rsid w:val="00CA7CE3"/>
    <w:rsid w:val="00CC6049"/>
    <w:rsid w:val="00CD6EC5"/>
    <w:rsid w:val="00CE3D12"/>
    <w:rsid w:val="00CF58A5"/>
    <w:rsid w:val="00D15B9D"/>
    <w:rsid w:val="00D176A5"/>
    <w:rsid w:val="00D24440"/>
    <w:rsid w:val="00D256CF"/>
    <w:rsid w:val="00D26C4C"/>
    <w:rsid w:val="00D336BB"/>
    <w:rsid w:val="00D6704F"/>
    <w:rsid w:val="00D73B6E"/>
    <w:rsid w:val="00DD3591"/>
    <w:rsid w:val="00E06D9C"/>
    <w:rsid w:val="00E24976"/>
    <w:rsid w:val="00E4288F"/>
    <w:rsid w:val="00E51E7F"/>
    <w:rsid w:val="00E65254"/>
    <w:rsid w:val="00E75E52"/>
    <w:rsid w:val="00E81C14"/>
    <w:rsid w:val="00E9567D"/>
    <w:rsid w:val="00EA2692"/>
    <w:rsid w:val="00EA270A"/>
    <w:rsid w:val="00EC0501"/>
    <w:rsid w:val="00EC5E7B"/>
    <w:rsid w:val="00ED19B6"/>
    <w:rsid w:val="00EE1CAF"/>
    <w:rsid w:val="00F15472"/>
    <w:rsid w:val="00F22632"/>
    <w:rsid w:val="00F22F12"/>
    <w:rsid w:val="00F23328"/>
    <w:rsid w:val="00F665A8"/>
    <w:rsid w:val="00F81576"/>
    <w:rsid w:val="00FB3BB1"/>
    <w:rsid w:val="00FB4E42"/>
    <w:rsid w:val="00FC1207"/>
    <w:rsid w:val="00FD7D65"/>
    <w:rsid w:val="00FE34F3"/>
    <w:rsid w:val="00FE44E2"/>
    <w:rsid w:val="00FF640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D7A361A-071C-4809-9F2B-206C17C961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rmalWeb">
    <w:name w:val="Normal (Web)"/>
    <w:basedOn w:val="Normal"/>
    <w:uiPriority w:val="99"/>
    <w:semiHidden/>
    <w:unhideWhenUsed/>
    <w:rsid w:val="001618B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Lienhypertexte">
    <w:name w:val="Hyperlink"/>
    <w:basedOn w:val="Policepardfaut"/>
    <w:uiPriority w:val="99"/>
    <w:semiHidden/>
    <w:unhideWhenUsed/>
    <w:rsid w:val="001618BE"/>
    <w:rPr>
      <w:color w:val="0000FF"/>
      <w:u w:val="single"/>
    </w:rPr>
  </w:style>
  <w:style w:type="character" w:styleId="Accentuation">
    <w:name w:val="Emphasis"/>
    <w:basedOn w:val="Policepardfaut"/>
    <w:uiPriority w:val="20"/>
    <w:qFormat/>
    <w:rsid w:val="001618BE"/>
    <w:rPr>
      <w:i/>
      <w:iCs/>
    </w:rPr>
  </w:style>
  <w:style w:type="character" w:styleId="lev">
    <w:name w:val="Strong"/>
    <w:basedOn w:val="Policepardfaut"/>
    <w:uiPriority w:val="22"/>
    <w:qFormat/>
    <w:rsid w:val="001618BE"/>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018552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413</Words>
  <Characters>2272</Characters>
  <Application>Microsoft Office Word</Application>
  <DocSecurity>0</DocSecurity>
  <Lines>18</Lines>
  <Paragraphs>5</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
      <vt:lpstr/>
    </vt:vector>
  </TitlesOfParts>
  <Company>Université catholique de Louvain</Company>
  <LinksUpToDate>false</LinksUpToDate>
  <CharactersWithSpaces>2680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Microsoft account</dc:creator>
  <cp:lastModifiedBy>Caroline Van Schendel</cp:lastModifiedBy>
  <cp:revision>2</cp:revision>
  <dcterms:created xsi:type="dcterms:W3CDTF">2020-01-27T12:20:00Z</dcterms:created>
  <dcterms:modified xsi:type="dcterms:W3CDTF">2020-01-27T12:20:00Z</dcterms:modified>
</cp:coreProperties>
</file>