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D97" w:rsidRPr="00D565A7" w:rsidRDefault="00B31D97" w:rsidP="00265629">
      <w:pPr>
        <w:pStyle w:val="Heading1"/>
        <w:jc w:val="both"/>
        <w:rPr>
          <w:lang w:val="en-GB"/>
        </w:rPr>
      </w:pPr>
      <w:r w:rsidRPr="00D565A7">
        <w:rPr>
          <w:lang w:val="en-GB"/>
        </w:rPr>
        <w:t>Frankfurt's double standard: the politics of the European Central Bank during the Eurozone crisis</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r w:rsidRPr="00D565A7">
        <w:rPr>
          <w:rFonts w:ascii="Times New Roman" w:hAnsi="Times New Roman" w:cs="Times New Roman"/>
          <w:lang w:val="en-GB"/>
        </w:rPr>
        <w:t>Abstract</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r w:rsidRPr="00D565A7">
        <w:rPr>
          <w:rFonts w:ascii="Times New Roman" w:hAnsi="Times New Roman" w:cs="Times New Roman"/>
          <w:lang w:val="en-GB"/>
        </w:rPr>
        <w:t xml:space="preserve">In this article, I examine the bias in favour of financial markets displayed by the European Central Bank (ECB) during the Eurozone </w:t>
      </w:r>
      <w:r w:rsidR="00F7232B" w:rsidRPr="00D565A7">
        <w:rPr>
          <w:rFonts w:ascii="Times New Roman" w:hAnsi="Times New Roman" w:cs="Times New Roman"/>
          <w:lang w:val="en-GB"/>
        </w:rPr>
        <w:t>crisis.</w:t>
      </w:r>
      <w:r w:rsidRPr="00D565A7">
        <w:rPr>
          <w:rFonts w:ascii="Times New Roman" w:hAnsi="Times New Roman" w:cs="Times New Roman"/>
          <w:lang w:val="en-GB"/>
        </w:rPr>
        <w:t xml:space="preserve"> Having analysed the roots of the ECB’s bias, I explore the discrepancy between the conditionality of ECB financial support which is directed towards states and that which is directed towards markets. On the one hand, the ECB has exerted strong coercive and cognitive pressures to reform Eurozone economic governance in a market-friendly way. On the other hand, it has employed monetary measures to save large Eurozone banks from a complete meltdown without controlling how these banks use their provided liquidities. I conclude by stressing the democratic problems engendered by the ECB’s bias.</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r w:rsidRPr="00D565A7">
        <w:rPr>
          <w:rFonts w:ascii="Times New Roman" w:hAnsi="Times New Roman" w:cs="Times New Roman"/>
          <w:lang w:val="en-GB"/>
        </w:rPr>
        <w:t>Keywords.</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r w:rsidRPr="00D565A7">
        <w:rPr>
          <w:rFonts w:ascii="Times New Roman" w:hAnsi="Times New Roman" w:cs="Times New Roman"/>
          <w:lang w:val="en-GB"/>
        </w:rPr>
        <w:t>European Central Bank, Eurozone crisis, Central Banking, Monetary Policy, Post-democracy, Unintended consequences.</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r w:rsidRPr="00D565A7">
        <w:rPr>
          <w:rFonts w:ascii="Times New Roman" w:hAnsi="Times New Roman" w:cs="Times New Roman"/>
          <w:lang w:val="en-GB"/>
        </w:rPr>
        <w:t>Author details</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r w:rsidRPr="00D565A7">
        <w:rPr>
          <w:rFonts w:ascii="Times New Roman" w:hAnsi="Times New Roman" w:cs="Times New Roman"/>
          <w:lang w:val="en-GB"/>
        </w:rPr>
        <w:t xml:space="preserve">Clement Fontan, post-doctoral researcher at the </w:t>
      </w:r>
      <w:r w:rsidR="00651DC1">
        <w:rPr>
          <w:rFonts w:ascii="Times New Roman" w:hAnsi="Times New Roman" w:cs="Times New Roman"/>
          <w:lang w:val="en-GB"/>
        </w:rPr>
        <w:t>Financial Ethics G</w:t>
      </w:r>
      <w:r w:rsidRPr="00D565A7">
        <w:rPr>
          <w:rFonts w:ascii="Times New Roman" w:hAnsi="Times New Roman" w:cs="Times New Roman"/>
          <w:lang w:val="en-GB"/>
        </w:rPr>
        <w:t xml:space="preserve">roup, Goteborg University. </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r w:rsidRPr="00D565A7">
        <w:rPr>
          <w:rFonts w:ascii="Times New Roman" w:hAnsi="Times New Roman" w:cs="Times New Roman"/>
          <w:lang w:val="en-GB"/>
        </w:rPr>
        <w:t>Department of Philosophy, Linguistics and Theory of Science</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r w:rsidRPr="00D565A7">
        <w:rPr>
          <w:rFonts w:ascii="Times New Roman" w:hAnsi="Times New Roman" w:cs="Times New Roman"/>
          <w:lang w:val="en-GB"/>
        </w:rPr>
        <w:t>Olof Wijksgatan 6, 412 55 Göteborg</w:t>
      </w: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lang w:val="en-GB"/>
        </w:rPr>
      </w:pPr>
    </w:p>
    <w:p w:rsidR="00B31D97" w:rsidRPr="00D565A7" w:rsidRDefault="00B31D97" w:rsidP="00265629">
      <w:pPr>
        <w:widowControl/>
        <w:suppressAutoHyphens w:val="0"/>
        <w:overflowPunct/>
        <w:spacing w:line="276" w:lineRule="auto"/>
        <w:jc w:val="both"/>
        <w:textAlignment w:val="auto"/>
        <w:rPr>
          <w:rFonts w:ascii="Times New Roman" w:hAnsi="Times New Roman" w:cs="Times New Roman"/>
          <w:b/>
          <w:sz w:val="22"/>
          <w:szCs w:val="22"/>
          <w:lang w:val="en-GB" w:eastAsia="en-US" w:bidi="ar-SA"/>
        </w:rPr>
      </w:pPr>
      <w:r w:rsidRPr="00D565A7">
        <w:rPr>
          <w:rFonts w:ascii="Times New Roman" w:hAnsi="Times New Roman" w:cs="Times New Roman"/>
          <w:lang w:val="en-GB"/>
        </w:rPr>
        <w:t xml:space="preserve">Biographical note: Clément Fontan holds a PhD in Political Science from Sciences-Po Grenoble. He has been conducting his research on </w:t>
      </w:r>
      <w:r w:rsidR="00441D3F" w:rsidRPr="00D565A7">
        <w:rPr>
          <w:rFonts w:ascii="Times New Roman" w:hAnsi="Times New Roman" w:cs="Times New Roman"/>
          <w:lang w:val="en-GB"/>
        </w:rPr>
        <w:t xml:space="preserve">central banking </w:t>
      </w:r>
      <w:r w:rsidRPr="00D565A7">
        <w:rPr>
          <w:rFonts w:ascii="Times New Roman" w:hAnsi="Times New Roman" w:cs="Times New Roman"/>
          <w:lang w:val="en-GB"/>
        </w:rPr>
        <w:t>at the Center of Research in Ethics (Montreal University), the Hoover chair (U</w:t>
      </w:r>
      <w:r w:rsidR="00441D3F" w:rsidRPr="00D565A7">
        <w:rPr>
          <w:rFonts w:ascii="Times New Roman" w:hAnsi="Times New Roman" w:cs="Times New Roman"/>
          <w:lang w:val="en-GB"/>
        </w:rPr>
        <w:t>c</w:t>
      </w:r>
      <w:r w:rsidRPr="00D565A7">
        <w:rPr>
          <w:rFonts w:ascii="Times New Roman" w:hAnsi="Times New Roman" w:cs="Times New Roman"/>
          <w:lang w:val="en-GB"/>
        </w:rPr>
        <w:t xml:space="preserve">L), the CNRS and the Financial Ethics group (Goteborg University). </w:t>
      </w:r>
      <w:r w:rsidR="00441D3F" w:rsidRPr="00D565A7">
        <w:rPr>
          <w:rFonts w:ascii="Times New Roman" w:hAnsi="Times New Roman" w:cs="Times New Roman"/>
          <w:lang w:val="en-GB"/>
        </w:rPr>
        <w:t>He has co-authored</w:t>
      </w:r>
      <w:r w:rsidRPr="00D565A7">
        <w:rPr>
          <w:rFonts w:ascii="Times New Roman" w:hAnsi="Times New Roman" w:cs="Times New Roman"/>
          <w:lang w:val="en-GB"/>
        </w:rPr>
        <w:t xml:space="preserve"> </w:t>
      </w:r>
      <w:r w:rsidR="00441D3F" w:rsidRPr="00D565A7">
        <w:rPr>
          <w:rFonts w:ascii="Times New Roman" w:hAnsi="Times New Roman" w:cs="Times New Roman"/>
          <w:lang w:val="en-GB"/>
        </w:rPr>
        <w:t xml:space="preserve">the essay </w:t>
      </w:r>
      <w:r w:rsidRPr="00D565A7">
        <w:rPr>
          <w:rFonts w:ascii="Times New Roman" w:hAnsi="Times New Roman" w:cs="Times New Roman"/>
          <w:lang w:val="en-GB"/>
        </w:rPr>
        <w:t>“Do central banks promote the good of the people?” (Polity</w:t>
      </w:r>
      <w:r w:rsidR="00441D3F" w:rsidRPr="00D565A7">
        <w:rPr>
          <w:rFonts w:ascii="Times New Roman" w:hAnsi="Times New Roman" w:cs="Times New Roman"/>
          <w:lang w:val="en-GB"/>
        </w:rPr>
        <w:t>, 2018</w:t>
      </w:r>
      <w:r w:rsidRPr="00D565A7">
        <w:rPr>
          <w:rFonts w:ascii="Times New Roman" w:hAnsi="Times New Roman" w:cs="Times New Roman"/>
          <w:lang w:val="en-GB"/>
        </w:rPr>
        <w:t xml:space="preserve">).  </w:t>
      </w:r>
      <w:r w:rsidRPr="00D565A7">
        <w:rPr>
          <w:rFonts w:ascii="Times New Roman" w:hAnsi="Times New Roman" w:cs="Times New Roman"/>
          <w:lang w:val="en-GB"/>
        </w:rPr>
        <w:br w:type="page"/>
      </w:r>
    </w:p>
    <w:p w:rsidR="003C5A5E" w:rsidRPr="00D565A7" w:rsidRDefault="003A01D2" w:rsidP="004C367A">
      <w:pPr>
        <w:pStyle w:val="Titre11"/>
        <w:pageBreakBefore/>
        <w:numPr>
          <w:ilvl w:val="0"/>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lastRenderedPageBreak/>
        <w:t>Introduction</w:t>
      </w:r>
    </w:p>
    <w:p w:rsidR="0082688E" w:rsidRPr="00D565A7" w:rsidRDefault="003A01D2" w:rsidP="004C367A">
      <w:pPr>
        <w:spacing w:line="480" w:lineRule="auto"/>
        <w:jc w:val="both"/>
        <w:rPr>
          <w:rFonts w:ascii="Times New Roman" w:hAnsi="Times New Roman" w:cs="Times New Roman"/>
          <w:lang w:val="en-GB" w:eastAsia="en-US" w:bidi="ar-SA"/>
        </w:rPr>
      </w:pPr>
      <w:r w:rsidRPr="00F15905">
        <w:rPr>
          <w:rFonts w:ascii="Times New Roman" w:hAnsi="Times New Roman" w:cs="Times New Roman"/>
          <w:lang w:val="en-GB" w:eastAsia="en-US" w:bidi="ar-SA"/>
        </w:rPr>
        <w:t>Because central banks play an interface role between financial markets and democratic states, they are crucial regulatory authorities that are located at t</w:t>
      </w:r>
      <w:r w:rsidR="00240ECF" w:rsidRPr="00F15905">
        <w:rPr>
          <w:rFonts w:ascii="Times New Roman" w:hAnsi="Times New Roman" w:cs="Times New Roman"/>
          <w:lang w:val="en-GB" w:eastAsia="en-US" w:bidi="ar-SA"/>
        </w:rPr>
        <w:t>he heart of capitalist systems</w:t>
      </w:r>
      <w:r w:rsidR="0097608D">
        <w:rPr>
          <w:rStyle w:val="EndnoteReference"/>
          <w:rFonts w:ascii="Times New Roman" w:hAnsi="Times New Roman" w:cs="Times New Roman"/>
          <w:lang w:val="en-GB" w:eastAsia="en-US" w:bidi="ar-SA"/>
        </w:rPr>
        <w:endnoteReference w:id="1"/>
      </w:r>
      <w:r w:rsidR="00240ECF" w:rsidRPr="00F15905">
        <w:rPr>
          <w:rFonts w:ascii="Times New Roman" w:hAnsi="Times New Roman" w:cs="Times New Roman"/>
          <w:lang w:val="en-GB" w:eastAsia="en-US" w:bidi="ar-SA"/>
        </w:rPr>
        <w:t>.</w:t>
      </w:r>
      <w:r w:rsidRPr="00F15905">
        <w:rPr>
          <w:rFonts w:ascii="Times New Roman" w:hAnsi="Times New Roman" w:cs="Times New Roman"/>
          <w:lang w:val="en-GB" w:eastAsia="en-US" w:bidi="ar-SA"/>
        </w:rPr>
        <w:t xml:space="preserve"> Throughout history, the autonomy of central banks relative to </w:t>
      </w:r>
      <w:r w:rsidRPr="00D565A7">
        <w:rPr>
          <w:rFonts w:ascii="Times New Roman" w:hAnsi="Times New Roman" w:cs="Times New Roman"/>
          <w:lang w:val="en-GB" w:eastAsia="en-US" w:bidi="ar-SA"/>
        </w:rPr>
        <w:t>the authority of markets and states has fluctuated according to the dominant economic paradigms</w:t>
      </w:r>
      <w:r w:rsidR="006F5BC5" w:rsidRPr="00D565A7">
        <w:rPr>
          <w:rFonts w:ascii="Times New Roman" w:hAnsi="Times New Roman" w:cs="Times New Roman"/>
          <w:lang w:val="en-GB" w:eastAsia="en-US" w:bidi="ar-SA"/>
        </w:rPr>
        <w:t xml:space="preserve"> (Singleton 2010</w:t>
      </w:r>
      <w:r w:rsidR="00AE1A76" w:rsidRPr="00D565A7">
        <w:rPr>
          <w:rFonts w:ascii="Times New Roman" w:hAnsi="Times New Roman" w:cs="Times New Roman"/>
          <w:lang w:val="en-GB" w:eastAsia="en-US" w:bidi="ar-SA"/>
        </w:rPr>
        <w:t>, Kna</w:t>
      </w:r>
      <w:r w:rsidR="005004D6" w:rsidRPr="00D565A7">
        <w:rPr>
          <w:rFonts w:ascii="Times New Roman" w:hAnsi="Times New Roman" w:cs="Times New Roman"/>
          <w:lang w:val="en-GB" w:eastAsia="en-US" w:bidi="ar-SA"/>
        </w:rPr>
        <w:t>fo 2013</w:t>
      </w:r>
      <w:r w:rsidR="006F5BC5"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w:t>
      </w:r>
      <w:r w:rsidR="00C75091" w:rsidRPr="00D565A7">
        <w:rPr>
          <w:rFonts w:ascii="Times New Roman" w:hAnsi="Times New Roman" w:cs="Times New Roman"/>
          <w:lang w:val="en-GB" w:eastAsia="en-US" w:bidi="ar-SA"/>
        </w:rPr>
        <w:t xml:space="preserve"> </w:t>
      </w:r>
      <w:r w:rsidR="0082688E" w:rsidRPr="00D565A7">
        <w:rPr>
          <w:rFonts w:ascii="Times New Roman" w:hAnsi="Times New Roman" w:cs="Times New Roman"/>
          <w:lang w:val="en-GB" w:eastAsia="en-US" w:bidi="ar-SA"/>
        </w:rPr>
        <w:t>Following the diffusion of neo-classical ideas and the coercive pressure of international organizations in the 1980s, the Central Bank Independence (CBI) template</w:t>
      </w:r>
      <w:r w:rsidR="00487586" w:rsidRPr="00F15905">
        <w:rPr>
          <w:rStyle w:val="EndnoteReference"/>
          <w:rFonts w:ascii="Times New Roman" w:hAnsi="Times New Roman" w:cs="Times New Roman"/>
          <w:lang w:val="en-GB" w:eastAsia="en-US" w:bidi="ar-SA"/>
        </w:rPr>
        <w:endnoteReference w:id="2"/>
      </w:r>
      <w:r w:rsidR="0082688E" w:rsidRPr="00F15905">
        <w:rPr>
          <w:rFonts w:ascii="Times New Roman" w:hAnsi="Times New Roman" w:cs="Times New Roman"/>
          <w:lang w:val="en-GB" w:eastAsia="en-US" w:bidi="ar-SA"/>
        </w:rPr>
        <w:t xml:space="preserve"> became the organizational norm for central banking in advanced industrial economies. The European Central Bank</w:t>
      </w:r>
      <w:r w:rsidR="00B45F05" w:rsidRPr="00F15905">
        <w:rPr>
          <w:rFonts w:ascii="Times New Roman" w:hAnsi="Times New Roman" w:cs="Times New Roman"/>
          <w:lang w:val="en-GB" w:eastAsia="en-US" w:bidi="ar-SA"/>
        </w:rPr>
        <w:t xml:space="preserve"> (ECB)</w:t>
      </w:r>
      <w:r w:rsidR="0082688E" w:rsidRPr="00F15905">
        <w:rPr>
          <w:rFonts w:ascii="Times New Roman" w:hAnsi="Times New Roman" w:cs="Times New Roman"/>
          <w:lang w:val="en-GB" w:eastAsia="en-US" w:bidi="ar-SA"/>
        </w:rPr>
        <w:t xml:space="preserve"> is one of the best examples of this phenomenon (McNamara</w:t>
      </w:r>
      <w:r w:rsidR="0082688E" w:rsidRPr="00D565A7">
        <w:rPr>
          <w:rFonts w:ascii="Times New Roman" w:hAnsi="Times New Roman" w:cs="Times New Roman"/>
          <w:lang w:val="en-GB" w:eastAsia="en-US" w:bidi="ar-SA"/>
        </w:rPr>
        <w:t xml:space="preserve"> 2002).</w:t>
      </w:r>
    </w:p>
    <w:p w:rsidR="000B2CF7" w:rsidRPr="00D565A7" w:rsidRDefault="000B2CF7" w:rsidP="004C367A">
      <w:pPr>
        <w:spacing w:line="480" w:lineRule="auto"/>
        <w:jc w:val="both"/>
        <w:rPr>
          <w:rFonts w:ascii="Calibri" w:hAnsi="Calibri" w:cs="Calibri"/>
          <w:lang w:val="en-GB"/>
        </w:rPr>
      </w:pPr>
    </w:p>
    <w:p w:rsidR="00B2191F" w:rsidRPr="00D565A7" w:rsidRDefault="00522A19" w:rsidP="004C367A">
      <w:pPr>
        <w:spacing w:line="480" w:lineRule="auto"/>
        <w:jc w:val="both"/>
        <w:rPr>
          <w:rFonts w:ascii="Calibri" w:hAnsi="Calibri" w:cs="Calibri"/>
          <w:lang w:val="en-GB"/>
        </w:rPr>
      </w:pPr>
      <w:r w:rsidRPr="00D565A7">
        <w:rPr>
          <w:rFonts w:ascii="Calibri" w:hAnsi="Calibri" w:cs="Calibri"/>
          <w:lang w:val="en-GB"/>
        </w:rPr>
        <w:t>With t</w:t>
      </w:r>
      <w:r w:rsidR="00D51076" w:rsidRPr="00D565A7">
        <w:rPr>
          <w:rFonts w:ascii="Calibri" w:hAnsi="Calibri" w:cs="Calibri"/>
          <w:lang w:val="en-GB"/>
        </w:rPr>
        <w:t>he advent of the CBI template</w:t>
      </w:r>
      <w:r w:rsidRPr="00D565A7">
        <w:rPr>
          <w:rFonts w:ascii="Calibri" w:hAnsi="Calibri" w:cs="Calibri"/>
          <w:lang w:val="en-GB"/>
        </w:rPr>
        <w:t>,</w:t>
      </w:r>
      <w:r w:rsidR="00487586" w:rsidRPr="00D565A7">
        <w:rPr>
          <w:rFonts w:ascii="Calibri" w:hAnsi="Calibri" w:cs="Calibri"/>
          <w:lang w:val="en-GB"/>
        </w:rPr>
        <w:t xml:space="preserve"> </w:t>
      </w:r>
      <w:r w:rsidRPr="00D565A7">
        <w:rPr>
          <w:rFonts w:ascii="Calibri" w:hAnsi="Calibri" w:cs="Calibri"/>
          <w:lang w:val="en-GB"/>
        </w:rPr>
        <w:t xml:space="preserve">most of </w:t>
      </w:r>
      <w:r w:rsidR="00487586" w:rsidRPr="00D565A7">
        <w:rPr>
          <w:rFonts w:ascii="Calibri" w:hAnsi="Calibri" w:cs="Calibri"/>
          <w:lang w:val="en-GB"/>
        </w:rPr>
        <w:t xml:space="preserve">the </w:t>
      </w:r>
      <w:r w:rsidR="00386367" w:rsidRPr="00D565A7">
        <w:rPr>
          <w:rFonts w:ascii="Calibri" w:hAnsi="Calibri" w:cs="Calibri"/>
          <w:lang w:val="en-GB"/>
        </w:rPr>
        <w:t>monetary policy literature</w:t>
      </w:r>
      <w:r w:rsidR="00407EA0" w:rsidRPr="00D565A7">
        <w:rPr>
          <w:rFonts w:ascii="Calibri" w:hAnsi="Calibri" w:cs="Calibri"/>
          <w:lang w:val="en-GB"/>
        </w:rPr>
        <w:t xml:space="preserve"> and political debates</w:t>
      </w:r>
      <w:r w:rsidRPr="00D565A7">
        <w:rPr>
          <w:rFonts w:ascii="Calibri" w:hAnsi="Calibri" w:cs="Calibri"/>
          <w:lang w:val="en-GB"/>
        </w:rPr>
        <w:t xml:space="preserve"> focused on</w:t>
      </w:r>
      <w:r w:rsidR="00386367" w:rsidRPr="00D565A7">
        <w:rPr>
          <w:rFonts w:ascii="Calibri" w:hAnsi="Calibri" w:cs="Calibri"/>
          <w:lang w:val="en-GB"/>
        </w:rPr>
        <w:t xml:space="preserve"> how to ensure</w:t>
      </w:r>
      <w:r w:rsidR="000B2CF7" w:rsidRPr="00D565A7">
        <w:rPr>
          <w:rFonts w:ascii="Calibri" w:hAnsi="Calibri" w:cs="Calibri"/>
          <w:lang w:val="en-GB"/>
        </w:rPr>
        <w:t xml:space="preserve"> </w:t>
      </w:r>
      <w:r w:rsidR="00487586" w:rsidRPr="00D565A7">
        <w:rPr>
          <w:rFonts w:ascii="Calibri" w:hAnsi="Calibri" w:cs="Calibri"/>
          <w:lang w:val="en-GB"/>
        </w:rPr>
        <w:t>t</w:t>
      </w:r>
      <w:r w:rsidR="00B94796" w:rsidRPr="00D565A7">
        <w:rPr>
          <w:rFonts w:ascii="Calibri" w:hAnsi="Calibri" w:cs="Calibri"/>
          <w:lang w:val="en-GB"/>
        </w:rPr>
        <w:t>he independence of central banks vis-à-vis governments</w:t>
      </w:r>
      <w:r w:rsidR="000B2CF7" w:rsidRPr="00D565A7">
        <w:rPr>
          <w:rFonts w:ascii="Calibri" w:hAnsi="Calibri" w:cs="Calibri"/>
          <w:lang w:val="en-GB"/>
        </w:rPr>
        <w:t xml:space="preserve"> </w:t>
      </w:r>
      <w:r w:rsidR="00B701B9" w:rsidRPr="00D565A7">
        <w:rPr>
          <w:rFonts w:ascii="Calibri" w:hAnsi="Calibri" w:cs="Calibri"/>
          <w:lang w:val="en-GB"/>
        </w:rPr>
        <w:t>(</w:t>
      </w:r>
      <w:r w:rsidR="00B56BC7" w:rsidRPr="00D565A7">
        <w:rPr>
          <w:rFonts w:ascii="Calibri" w:hAnsi="Calibri" w:cs="Calibri"/>
          <w:lang w:val="en-GB"/>
        </w:rPr>
        <w:t xml:space="preserve">Alesina </w:t>
      </w:r>
      <w:r w:rsidR="000D2B62" w:rsidRPr="00D565A7">
        <w:rPr>
          <w:rFonts w:ascii="Calibri" w:hAnsi="Calibri" w:cs="Calibri"/>
          <w:lang w:val="en-GB"/>
        </w:rPr>
        <w:t xml:space="preserve">&amp; </w:t>
      </w:r>
      <w:r w:rsidR="00B56BC7" w:rsidRPr="00D565A7">
        <w:rPr>
          <w:rFonts w:ascii="Calibri" w:hAnsi="Calibri" w:cs="Calibri"/>
          <w:lang w:val="en-GB"/>
        </w:rPr>
        <w:t>Summers 1993</w:t>
      </w:r>
      <w:r w:rsidR="00B701B9" w:rsidRPr="00D565A7">
        <w:rPr>
          <w:rFonts w:ascii="Calibri" w:hAnsi="Calibri" w:cs="Calibri"/>
          <w:lang w:val="en-GB"/>
        </w:rPr>
        <w:t>)</w:t>
      </w:r>
      <w:r w:rsidR="000B2CF7" w:rsidRPr="00D565A7">
        <w:rPr>
          <w:rFonts w:ascii="Calibri" w:hAnsi="Calibri" w:cs="Calibri"/>
          <w:lang w:val="en-GB"/>
        </w:rPr>
        <w:t xml:space="preserve">. </w:t>
      </w:r>
      <w:r w:rsidR="00D51076" w:rsidRPr="00D565A7">
        <w:rPr>
          <w:rFonts w:ascii="Calibri" w:hAnsi="Calibri" w:cs="Calibri"/>
          <w:lang w:val="en-GB"/>
        </w:rPr>
        <w:t>Conversely, c</w:t>
      </w:r>
      <w:r w:rsidR="000B2CF7" w:rsidRPr="00D565A7">
        <w:rPr>
          <w:rFonts w:ascii="Calibri" w:hAnsi="Calibri" w:cs="Calibri"/>
          <w:lang w:val="en-GB"/>
        </w:rPr>
        <w:t>oncerns about</w:t>
      </w:r>
      <w:r w:rsidR="00B94796" w:rsidRPr="00D565A7">
        <w:rPr>
          <w:rFonts w:ascii="Calibri" w:hAnsi="Calibri" w:cs="Calibri"/>
          <w:lang w:val="en-GB"/>
        </w:rPr>
        <w:t xml:space="preserve"> the other </w:t>
      </w:r>
      <w:r w:rsidR="00E23B0A" w:rsidRPr="00D565A7">
        <w:rPr>
          <w:rFonts w:ascii="Calibri" w:hAnsi="Calibri" w:cs="Calibri"/>
          <w:lang w:val="en-GB"/>
        </w:rPr>
        <w:t xml:space="preserve">dimension </w:t>
      </w:r>
      <w:r w:rsidR="00B94796" w:rsidRPr="00D565A7">
        <w:rPr>
          <w:rFonts w:ascii="Calibri" w:hAnsi="Calibri" w:cs="Calibri"/>
          <w:lang w:val="en-GB"/>
        </w:rPr>
        <w:t xml:space="preserve">of central bank independence </w:t>
      </w:r>
      <w:r w:rsidR="00E66350" w:rsidRPr="00D565A7">
        <w:rPr>
          <w:rFonts w:ascii="Calibri" w:hAnsi="Calibri" w:cs="Calibri"/>
          <w:lang w:val="en-GB"/>
        </w:rPr>
        <w:t xml:space="preserve">(vis-à-vis financial markets) </w:t>
      </w:r>
      <w:r w:rsidR="000B2CF7" w:rsidRPr="00D565A7">
        <w:rPr>
          <w:rFonts w:ascii="Calibri" w:hAnsi="Calibri" w:cs="Calibri"/>
          <w:lang w:val="en-GB"/>
        </w:rPr>
        <w:t>were</w:t>
      </w:r>
      <w:r w:rsidR="00E66350" w:rsidRPr="00D565A7">
        <w:rPr>
          <w:rFonts w:ascii="Calibri" w:hAnsi="Calibri" w:cs="Calibri"/>
          <w:lang w:val="en-GB"/>
        </w:rPr>
        <w:t xml:space="preserve"> put on the back burner. </w:t>
      </w:r>
      <w:r w:rsidR="00585C45" w:rsidRPr="00D565A7">
        <w:rPr>
          <w:rFonts w:ascii="Calibri" w:hAnsi="Calibri" w:cs="Calibri"/>
          <w:lang w:val="en-GB"/>
        </w:rPr>
        <w:t xml:space="preserve">For example, the </w:t>
      </w:r>
      <w:r w:rsidR="00E23B0A" w:rsidRPr="00D565A7">
        <w:rPr>
          <w:rFonts w:ascii="Calibri" w:hAnsi="Calibri" w:cs="Calibri"/>
          <w:lang w:val="en-GB"/>
        </w:rPr>
        <w:t>main point of contention between European States during the creation of the ECB was on its appropriate degree of isolation from political pressures</w:t>
      </w:r>
      <w:r w:rsidR="00B2191F" w:rsidRPr="00D565A7">
        <w:rPr>
          <w:rFonts w:ascii="Calibri" w:hAnsi="Calibri" w:cs="Calibri"/>
          <w:lang w:val="en-GB"/>
        </w:rPr>
        <w:t xml:space="preserve"> (</w:t>
      </w:r>
      <w:r w:rsidR="00487586" w:rsidRPr="00D565A7">
        <w:rPr>
          <w:rFonts w:ascii="Calibri" w:hAnsi="Calibri" w:cs="Calibri"/>
          <w:lang w:val="en-GB"/>
        </w:rPr>
        <w:t xml:space="preserve">Dyson and Featherstone 1999, </w:t>
      </w:r>
      <w:r w:rsidR="00B2191F" w:rsidRPr="00D565A7">
        <w:rPr>
          <w:rFonts w:ascii="Calibri" w:hAnsi="Calibri" w:cs="Calibri"/>
          <w:lang w:val="en-GB"/>
        </w:rPr>
        <w:t>How</w:t>
      </w:r>
      <w:r w:rsidR="00C7559A" w:rsidRPr="00D565A7">
        <w:rPr>
          <w:rFonts w:ascii="Calibri" w:hAnsi="Calibri" w:cs="Calibri"/>
          <w:lang w:val="en-GB"/>
        </w:rPr>
        <w:t xml:space="preserve">arth </w:t>
      </w:r>
      <w:r w:rsidR="009969DD" w:rsidRPr="00D565A7">
        <w:rPr>
          <w:rFonts w:ascii="Calibri" w:hAnsi="Calibri" w:cs="Calibri"/>
          <w:lang w:val="en-GB"/>
        </w:rPr>
        <w:t xml:space="preserve">&amp; </w:t>
      </w:r>
      <w:r w:rsidR="00C7559A" w:rsidRPr="00D565A7">
        <w:rPr>
          <w:rFonts w:ascii="Calibri" w:hAnsi="Calibri" w:cs="Calibri"/>
          <w:lang w:val="en-GB"/>
        </w:rPr>
        <w:t>Loedel 2005, chap.5).</w:t>
      </w:r>
    </w:p>
    <w:p w:rsidR="005C561C" w:rsidRPr="00D565A7" w:rsidRDefault="005C561C" w:rsidP="004C367A">
      <w:pPr>
        <w:spacing w:line="480" w:lineRule="auto"/>
        <w:jc w:val="both"/>
        <w:rPr>
          <w:rFonts w:ascii="Calibri" w:hAnsi="Calibri" w:cs="Calibri"/>
          <w:lang w:val="en-GB"/>
        </w:rPr>
      </w:pPr>
    </w:p>
    <w:p w:rsidR="0092294E" w:rsidRPr="00F15905" w:rsidRDefault="00B2191F" w:rsidP="004C367A">
      <w:pPr>
        <w:spacing w:line="480" w:lineRule="auto"/>
        <w:jc w:val="both"/>
        <w:rPr>
          <w:rFonts w:ascii="Times New Roman" w:hAnsi="Times New Roman" w:cs="Times New Roman"/>
          <w:lang w:val="en-GB" w:eastAsia="en-US" w:bidi="ar-SA"/>
        </w:rPr>
      </w:pPr>
      <w:r w:rsidRPr="00D565A7">
        <w:rPr>
          <w:rFonts w:ascii="Calibri" w:hAnsi="Calibri" w:cs="Calibri"/>
          <w:lang w:val="en-GB"/>
        </w:rPr>
        <w:t>From th</w:t>
      </w:r>
      <w:r w:rsidR="00441D3F" w:rsidRPr="00D565A7">
        <w:rPr>
          <w:rFonts w:ascii="Calibri" w:hAnsi="Calibri" w:cs="Calibri"/>
          <w:lang w:val="en-GB"/>
        </w:rPr>
        <w:t>is</w:t>
      </w:r>
      <w:r w:rsidRPr="00D565A7">
        <w:rPr>
          <w:rFonts w:ascii="Calibri" w:hAnsi="Calibri" w:cs="Calibri"/>
          <w:lang w:val="en-GB"/>
        </w:rPr>
        <w:t xml:space="preserve"> perspective, the 2007 financial crisis was a game-changer as it </w:t>
      </w:r>
      <w:r w:rsidR="00C7559A" w:rsidRPr="00D565A7">
        <w:rPr>
          <w:rFonts w:ascii="Calibri" w:hAnsi="Calibri" w:cs="Calibri"/>
          <w:lang w:val="en-GB"/>
        </w:rPr>
        <w:t xml:space="preserve">renewed public attention and academic debates </w:t>
      </w:r>
      <w:r w:rsidR="005C561C" w:rsidRPr="00D565A7">
        <w:rPr>
          <w:rFonts w:ascii="Calibri" w:hAnsi="Calibri" w:cs="Calibri"/>
          <w:lang w:val="en-GB"/>
        </w:rPr>
        <w:t xml:space="preserve">on </w:t>
      </w:r>
      <w:r w:rsidR="00585C45" w:rsidRPr="00D565A7">
        <w:rPr>
          <w:rFonts w:ascii="Calibri" w:hAnsi="Calibri" w:cs="Calibri"/>
          <w:lang w:val="en-GB"/>
        </w:rPr>
        <w:t xml:space="preserve">the financial dimension of central bank independence. </w:t>
      </w:r>
      <w:r w:rsidR="00146FD0" w:rsidRPr="00F15905">
        <w:rPr>
          <w:rFonts w:ascii="Times New Roman" w:hAnsi="Times New Roman" w:cs="Times New Roman"/>
          <w:lang w:val="en-GB" w:eastAsia="en-US" w:bidi="ar-SA"/>
        </w:rPr>
        <w:t>S</w:t>
      </w:r>
      <w:r w:rsidR="004D02CC" w:rsidRPr="00F15905">
        <w:rPr>
          <w:rFonts w:ascii="Times New Roman" w:hAnsi="Times New Roman" w:cs="Times New Roman"/>
          <w:lang w:val="en-GB" w:eastAsia="en-US" w:bidi="ar-SA"/>
        </w:rPr>
        <w:t>cholars have</w:t>
      </w:r>
      <w:r w:rsidR="0092294E" w:rsidRPr="00F15905">
        <w:rPr>
          <w:rFonts w:ascii="Times New Roman" w:hAnsi="Times New Roman" w:cs="Times New Roman"/>
          <w:lang w:val="en-GB" w:eastAsia="en-US" w:bidi="ar-SA"/>
        </w:rPr>
        <w:t xml:space="preserve"> </w:t>
      </w:r>
      <w:r w:rsidR="00C771C5" w:rsidRPr="00D565A7">
        <w:rPr>
          <w:rFonts w:ascii="Times New Roman" w:hAnsi="Times New Roman" w:cs="Times New Roman"/>
          <w:lang w:val="en-GB" w:eastAsia="en-US" w:bidi="ar-SA"/>
        </w:rPr>
        <w:t>identified</w:t>
      </w:r>
      <w:r w:rsidR="0092294E" w:rsidRPr="00D565A7">
        <w:rPr>
          <w:rFonts w:ascii="Times New Roman" w:hAnsi="Times New Roman" w:cs="Times New Roman"/>
          <w:lang w:val="en-GB" w:eastAsia="en-US" w:bidi="ar-SA"/>
        </w:rPr>
        <w:t xml:space="preserve"> three </w:t>
      </w:r>
      <w:r w:rsidR="00622B4F" w:rsidRPr="00D565A7">
        <w:rPr>
          <w:rFonts w:ascii="Times New Roman" w:hAnsi="Times New Roman" w:cs="Times New Roman"/>
          <w:lang w:val="en-GB" w:eastAsia="en-US" w:bidi="ar-SA"/>
        </w:rPr>
        <w:t>causal explanations for the influence of commercial banks</w:t>
      </w:r>
      <w:r w:rsidR="00146FD0" w:rsidRPr="00D565A7">
        <w:rPr>
          <w:rFonts w:ascii="Times New Roman" w:hAnsi="Times New Roman" w:cs="Times New Roman"/>
          <w:lang w:val="en-GB" w:eastAsia="en-US" w:bidi="ar-SA"/>
        </w:rPr>
        <w:t xml:space="preserve"> over central banks</w:t>
      </w:r>
      <w:r w:rsidR="0047109E" w:rsidRPr="00D565A7">
        <w:rPr>
          <w:rFonts w:ascii="Times New Roman" w:hAnsi="Times New Roman" w:cs="Times New Roman"/>
          <w:lang w:val="en-GB" w:eastAsia="en-US" w:bidi="ar-SA"/>
        </w:rPr>
        <w:t xml:space="preserve">. First, </w:t>
      </w:r>
      <w:r w:rsidR="00B95AD9" w:rsidRPr="00D565A7">
        <w:rPr>
          <w:rFonts w:ascii="Times New Roman" w:hAnsi="Times New Roman" w:cs="Times New Roman"/>
          <w:lang w:val="en-GB" w:eastAsia="en-US" w:bidi="ar-SA"/>
        </w:rPr>
        <w:t>as any other regulator</w:t>
      </w:r>
      <w:r w:rsidR="00522A19" w:rsidRPr="00D565A7">
        <w:rPr>
          <w:rFonts w:ascii="Times New Roman" w:hAnsi="Times New Roman" w:cs="Times New Roman"/>
          <w:lang w:val="en-GB" w:eastAsia="en-US" w:bidi="ar-SA"/>
        </w:rPr>
        <w:t>y agency</w:t>
      </w:r>
      <w:r w:rsidR="00B95AD9" w:rsidRPr="00D565A7">
        <w:rPr>
          <w:rFonts w:ascii="Times New Roman" w:hAnsi="Times New Roman" w:cs="Times New Roman"/>
          <w:lang w:val="en-GB" w:eastAsia="en-US" w:bidi="ar-SA"/>
        </w:rPr>
        <w:t xml:space="preserve">, </w:t>
      </w:r>
      <w:r w:rsidR="00146FD0" w:rsidRPr="00D565A7">
        <w:rPr>
          <w:rFonts w:ascii="Times New Roman" w:hAnsi="Times New Roman" w:cs="Times New Roman"/>
          <w:lang w:val="en-GB" w:eastAsia="en-US" w:bidi="ar-SA"/>
        </w:rPr>
        <w:t>central banks are</w:t>
      </w:r>
      <w:r w:rsidR="00B95AD9" w:rsidRPr="00D565A7">
        <w:rPr>
          <w:rFonts w:ascii="Times New Roman" w:hAnsi="Times New Roman" w:cs="Times New Roman"/>
          <w:lang w:val="en-GB" w:eastAsia="en-US" w:bidi="ar-SA"/>
        </w:rPr>
        <w:t xml:space="preserve"> prone </w:t>
      </w:r>
      <w:r w:rsidR="0047109E" w:rsidRPr="00D565A7">
        <w:rPr>
          <w:rFonts w:ascii="Times New Roman" w:hAnsi="Times New Roman" w:cs="Times New Roman"/>
          <w:lang w:val="en-GB" w:eastAsia="en-US" w:bidi="ar-SA"/>
        </w:rPr>
        <w:t xml:space="preserve">to ex-ante and ex-post </w:t>
      </w:r>
      <w:r w:rsidR="0047109E" w:rsidRPr="00D565A7">
        <w:rPr>
          <w:rFonts w:ascii="Times New Roman" w:hAnsi="Times New Roman" w:cs="Times New Roman"/>
          <w:i/>
          <w:lang w:val="en-GB" w:eastAsia="en-US" w:bidi="ar-SA"/>
        </w:rPr>
        <w:t>regulatory</w:t>
      </w:r>
      <w:r w:rsidR="0047109E" w:rsidRPr="00D565A7">
        <w:rPr>
          <w:rFonts w:ascii="Times New Roman" w:hAnsi="Times New Roman" w:cs="Times New Roman"/>
          <w:lang w:val="en-GB" w:eastAsia="en-US" w:bidi="ar-SA"/>
        </w:rPr>
        <w:t xml:space="preserve"> </w:t>
      </w:r>
      <w:r w:rsidR="0097758F" w:rsidRPr="00D565A7">
        <w:rPr>
          <w:rFonts w:ascii="Times New Roman" w:hAnsi="Times New Roman" w:cs="Times New Roman"/>
          <w:i/>
          <w:lang w:val="en-GB" w:eastAsia="en-US" w:bidi="ar-SA"/>
        </w:rPr>
        <w:t>capture</w:t>
      </w:r>
      <w:r w:rsidR="0097758F" w:rsidRPr="00F15905">
        <w:rPr>
          <w:rStyle w:val="EndnoteReference"/>
          <w:rFonts w:ascii="Times New Roman" w:hAnsi="Times New Roman" w:cs="Times New Roman"/>
          <w:i/>
          <w:lang w:val="en-GB" w:eastAsia="en-US" w:bidi="ar-SA"/>
        </w:rPr>
        <w:endnoteReference w:id="3"/>
      </w:r>
      <w:r w:rsidR="0047109E" w:rsidRPr="00F15905">
        <w:rPr>
          <w:rFonts w:ascii="Times New Roman" w:hAnsi="Times New Roman" w:cs="Times New Roman"/>
          <w:i/>
          <w:lang w:val="en-GB" w:eastAsia="en-US" w:bidi="ar-SA"/>
        </w:rPr>
        <w:t xml:space="preserve"> </w:t>
      </w:r>
      <w:r w:rsidR="0047109E" w:rsidRPr="00F15905">
        <w:rPr>
          <w:rFonts w:ascii="Times New Roman" w:hAnsi="Times New Roman" w:cs="Times New Roman"/>
          <w:lang w:val="en-GB" w:eastAsia="en-US" w:bidi="ar-SA"/>
        </w:rPr>
        <w:t>by financial institutions (Adolph</w:t>
      </w:r>
      <w:r w:rsidR="0047109E" w:rsidRPr="00D565A7">
        <w:rPr>
          <w:rFonts w:ascii="Times New Roman" w:hAnsi="Times New Roman" w:cs="Times New Roman"/>
          <w:lang w:val="en-GB" w:eastAsia="en-US" w:bidi="ar-SA"/>
        </w:rPr>
        <w:t xml:space="preserve"> 2013</w:t>
      </w:r>
      <w:r w:rsidR="00522A19" w:rsidRPr="00D565A7">
        <w:rPr>
          <w:rFonts w:ascii="Times New Roman" w:hAnsi="Times New Roman" w:cs="Times New Roman"/>
          <w:lang w:val="en-GB" w:eastAsia="en-US" w:bidi="ar-SA"/>
        </w:rPr>
        <w:t xml:space="preserve">, </w:t>
      </w:r>
      <w:r w:rsidR="00577AE3" w:rsidRPr="00D565A7">
        <w:rPr>
          <w:rFonts w:ascii="Times New Roman" w:hAnsi="Times New Roman" w:cs="Times New Roman"/>
          <w:lang w:val="en-GB" w:eastAsia="en-US" w:bidi="ar-SA"/>
        </w:rPr>
        <w:t>Kwak 2013</w:t>
      </w:r>
      <w:r w:rsidR="0047109E" w:rsidRPr="00D565A7">
        <w:rPr>
          <w:rFonts w:ascii="Times New Roman" w:hAnsi="Times New Roman" w:cs="Times New Roman"/>
          <w:lang w:val="en-GB" w:eastAsia="en-US" w:bidi="ar-SA"/>
        </w:rPr>
        <w:t>).</w:t>
      </w:r>
      <w:r w:rsidR="0097758F" w:rsidRPr="00D565A7">
        <w:rPr>
          <w:rFonts w:ascii="Times New Roman" w:hAnsi="Times New Roman" w:cs="Times New Roman"/>
          <w:lang w:val="en-GB" w:eastAsia="en-US" w:bidi="ar-SA"/>
        </w:rPr>
        <w:t xml:space="preserve"> </w:t>
      </w:r>
      <w:r w:rsidR="0043392F" w:rsidRPr="00D565A7">
        <w:rPr>
          <w:rFonts w:ascii="Times New Roman" w:hAnsi="Times New Roman" w:cs="Times New Roman"/>
          <w:lang w:val="en-GB" w:eastAsia="en-US" w:bidi="ar-SA"/>
        </w:rPr>
        <w:t>Second,</w:t>
      </w:r>
      <w:r w:rsidR="00B95AD9" w:rsidRPr="00D565A7">
        <w:rPr>
          <w:rFonts w:ascii="Times New Roman" w:hAnsi="Times New Roman" w:cs="Times New Roman"/>
          <w:lang w:val="en-GB" w:eastAsia="en-US" w:bidi="ar-SA"/>
        </w:rPr>
        <w:t xml:space="preserve"> as </w:t>
      </w:r>
      <w:r w:rsidR="00146FD0" w:rsidRPr="00D565A7">
        <w:rPr>
          <w:rFonts w:ascii="Times New Roman" w:hAnsi="Times New Roman" w:cs="Times New Roman"/>
          <w:lang w:val="en-GB" w:eastAsia="en-US" w:bidi="ar-SA"/>
        </w:rPr>
        <w:t>central bankers rely</w:t>
      </w:r>
      <w:r w:rsidR="00B95AD9" w:rsidRPr="00D565A7">
        <w:rPr>
          <w:rFonts w:ascii="Times New Roman" w:hAnsi="Times New Roman" w:cs="Times New Roman"/>
          <w:lang w:val="en-GB" w:eastAsia="en-US" w:bidi="ar-SA"/>
        </w:rPr>
        <w:t xml:space="preserve"> on the cooperation of financial operators to have an indirect impact on the economy</w:t>
      </w:r>
      <w:r w:rsidR="00522A19" w:rsidRPr="00D565A7">
        <w:rPr>
          <w:rFonts w:ascii="Times New Roman" w:hAnsi="Times New Roman" w:cs="Times New Roman"/>
          <w:lang w:val="en-GB" w:eastAsia="en-US" w:bidi="ar-SA"/>
        </w:rPr>
        <w:t xml:space="preserve"> through the channels of transmission of its monetary policy</w:t>
      </w:r>
      <w:r w:rsidR="00B95AD9" w:rsidRPr="00D565A7">
        <w:rPr>
          <w:rFonts w:ascii="Times New Roman" w:hAnsi="Times New Roman" w:cs="Times New Roman"/>
          <w:lang w:val="en-GB" w:eastAsia="en-US" w:bidi="ar-SA"/>
        </w:rPr>
        <w:t xml:space="preserve">, the financial sector exercise an </w:t>
      </w:r>
      <w:r w:rsidR="00B95AD9" w:rsidRPr="00D565A7">
        <w:rPr>
          <w:rFonts w:ascii="Times New Roman" w:hAnsi="Times New Roman" w:cs="Times New Roman"/>
          <w:i/>
          <w:lang w:val="en-GB" w:eastAsia="en-US" w:bidi="ar-SA"/>
        </w:rPr>
        <w:t>infrastructural power</w:t>
      </w:r>
      <w:r w:rsidR="00B95AD9" w:rsidRPr="00D565A7">
        <w:rPr>
          <w:rFonts w:ascii="Times New Roman" w:hAnsi="Times New Roman" w:cs="Times New Roman"/>
          <w:lang w:val="en-GB" w:eastAsia="en-US" w:bidi="ar-SA"/>
        </w:rPr>
        <w:t xml:space="preserve"> over </w:t>
      </w:r>
      <w:r w:rsidR="000157F3" w:rsidRPr="00D565A7">
        <w:rPr>
          <w:rFonts w:ascii="Times New Roman" w:hAnsi="Times New Roman" w:cs="Times New Roman"/>
          <w:lang w:val="en-GB" w:eastAsia="en-US" w:bidi="ar-SA"/>
        </w:rPr>
        <w:t>central banks</w:t>
      </w:r>
      <w:r w:rsidR="0092294E" w:rsidRPr="00D565A7">
        <w:rPr>
          <w:rFonts w:ascii="Times New Roman" w:hAnsi="Times New Roman" w:cs="Times New Roman"/>
          <w:lang w:val="en-GB" w:eastAsia="en-US" w:bidi="ar-SA"/>
        </w:rPr>
        <w:t xml:space="preserve"> (Braun </w:t>
      </w:r>
      <w:r w:rsidR="00577AE3" w:rsidRPr="00D565A7">
        <w:rPr>
          <w:rFonts w:ascii="Times New Roman" w:hAnsi="Times New Roman" w:cs="Times New Roman"/>
          <w:lang w:val="en-GB" w:eastAsia="en-US" w:bidi="ar-SA"/>
        </w:rPr>
        <w:t>2018</w:t>
      </w:r>
      <w:r w:rsidR="0092294E" w:rsidRPr="00D565A7">
        <w:rPr>
          <w:rFonts w:ascii="Times New Roman" w:hAnsi="Times New Roman" w:cs="Times New Roman"/>
          <w:lang w:val="en-GB" w:eastAsia="en-US" w:bidi="ar-SA"/>
        </w:rPr>
        <w:t xml:space="preserve">, Gabor </w:t>
      </w:r>
      <w:r w:rsidR="009969DD" w:rsidRPr="00D565A7">
        <w:rPr>
          <w:rFonts w:ascii="Times New Roman" w:hAnsi="Times New Roman" w:cs="Times New Roman"/>
          <w:lang w:val="en-GB" w:eastAsia="en-US" w:bidi="ar-SA"/>
        </w:rPr>
        <w:t xml:space="preserve">&amp; </w:t>
      </w:r>
      <w:r w:rsidR="0092294E" w:rsidRPr="00D565A7">
        <w:rPr>
          <w:rFonts w:ascii="Times New Roman" w:hAnsi="Times New Roman" w:cs="Times New Roman"/>
          <w:lang w:val="en-GB" w:eastAsia="en-US" w:bidi="ar-SA"/>
        </w:rPr>
        <w:lastRenderedPageBreak/>
        <w:t>Ban 2016)</w:t>
      </w:r>
      <w:r w:rsidR="00B95AD9" w:rsidRPr="00D565A7">
        <w:rPr>
          <w:rFonts w:ascii="Times New Roman" w:hAnsi="Times New Roman" w:cs="Times New Roman"/>
          <w:lang w:val="en-GB" w:eastAsia="en-US" w:bidi="ar-SA"/>
        </w:rPr>
        <w:t xml:space="preserve">. Third, </w:t>
      </w:r>
      <w:r w:rsidR="00CD0706" w:rsidRPr="00D565A7">
        <w:rPr>
          <w:rFonts w:ascii="Times New Roman" w:hAnsi="Times New Roman" w:cs="Times New Roman"/>
          <w:lang w:val="en-GB" w:eastAsia="en-US" w:bidi="ar-SA"/>
        </w:rPr>
        <w:t xml:space="preserve">the sheer size and interconnectedness of financial institutions give them </w:t>
      </w:r>
      <w:r w:rsidR="00CD0706" w:rsidRPr="00D565A7">
        <w:rPr>
          <w:rFonts w:ascii="Times New Roman" w:hAnsi="Times New Roman" w:cs="Times New Roman"/>
          <w:i/>
          <w:lang w:val="en-GB" w:eastAsia="en-US" w:bidi="ar-SA"/>
        </w:rPr>
        <w:t>structural power</w:t>
      </w:r>
      <w:r w:rsidR="00CD0706" w:rsidRPr="00D565A7">
        <w:rPr>
          <w:rFonts w:ascii="Times New Roman" w:hAnsi="Times New Roman" w:cs="Times New Roman"/>
          <w:lang w:val="en-GB" w:eastAsia="en-US" w:bidi="ar-SA"/>
        </w:rPr>
        <w:t xml:space="preserve"> over </w:t>
      </w:r>
      <w:r w:rsidR="00146FD0" w:rsidRPr="00D565A7">
        <w:rPr>
          <w:rFonts w:ascii="Times New Roman" w:hAnsi="Times New Roman" w:cs="Times New Roman"/>
          <w:lang w:val="en-GB" w:eastAsia="en-US" w:bidi="ar-SA"/>
        </w:rPr>
        <w:t xml:space="preserve">central banks </w:t>
      </w:r>
      <w:r w:rsidR="00485341" w:rsidRPr="00D565A7">
        <w:rPr>
          <w:rFonts w:ascii="Times New Roman" w:hAnsi="Times New Roman" w:cs="Times New Roman"/>
          <w:lang w:val="en-GB" w:eastAsia="en-US" w:bidi="ar-SA"/>
        </w:rPr>
        <w:t>because</w:t>
      </w:r>
      <w:r w:rsidR="00CD0706" w:rsidRPr="00D565A7">
        <w:rPr>
          <w:rFonts w:ascii="Times New Roman" w:hAnsi="Times New Roman" w:cs="Times New Roman"/>
          <w:lang w:val="en-GB" w:eastAsia="en-US" w:bidi="ar-SA"/>
        </w:rPr>
        <w:t xml:space="preserve"> </w:t>
      </w:r>
      <w:r w:rsidR="00485341" w:rsidRPr="00D565A7">
        <w:rPr>
          <w:rFonts w:ascii="Times New Roman" w:hAnsi="Times New Roman" w:cs="Times New Roman"/>
          <w:lang w:val="en-GB" w:eastAsia="en-US" w:bidi="ar-SA"/>
        </w:rPr>
        <w:t xml:space="preserve">the economic and social costs linked to the collapse too-big-to-fail banks invite preferential treatment from the monetary authority </w:t>
      </w:r>
      <w:r w:rsidR="00CD0706" w:rsidRPr="00D565A7">
        <w:rPr>
          <w:rFonts w:ascii="Times New Roman" w:hAnsi="Times New Roman" w:cs="Times New Roman"/>
          <w:lang w:val="en-GB" w:eastAsia="en-US" w:bidi="ar-SA"/>
        </w:rPr>
        <w:t>(Dyson 2009</w:t>
      </w:r>
      <w:r w:rsidR="0092294E" w:rsidRPr="00D565A7">
        <w:rPr>
          <w:rFonts w:ascii="Times New Roman" w:hAnsi="Times New Roman" w:cs="Times New Roman"/>
          <w:lang w:val="en-GB" w:eastAsia="en-US" w:bidi="ar-SA"/>
        </w:rPr>
        <w:t>, Blyth 2013</w:t>
      </w:r>
      <w:r w:rsidR="00741CB1" w:rsidRPr="00D565A7">
        <w:rPr>
          <w:rFonts w:ascii="Times New Roman" w:hAnsi="Times New Roman" w:cs="Times New Roman"/>
          <w:lang w:val="en-GB" w:eastAsia="en-US" w:bidi="ar-SA"/>
        </w:rPr>
        <w:t xml:space="preserve">, </w:t>
      </w:r>
      <w:r w:rsidR="0092294E" w:rsidRPr="00D565A7">
        <w:rPr>
          <w:rFonts w:ascii="Times New Roman" w:hAnsi="Times New Roman" w:cs="Times New Roman"/>
          <w:lang w:val="en-GB" w:eastAsia="en-US" w:bidi="ar-SA"/>
        </w:rPr>
        <w:t>chap.3</w:t>
      </w:r>
      <w:r w:rsidR="00CD0706" w:rsidRPr="00D565A7">
        <w:rPr>
          <w:rFonts w:ascii="Times New Roman" w:hAnsi="Times New Roman" w:cs="Times New Roman"/>
          <w:lang w:val="en-GB" w:eastAsia="en-US" w:bidi="ar-SA"/>
        </w:rPr>
        <w:t xml:space="preserve">). </w:t>
      </w:r>
      <w:r w:rsidR="000157F3" w:rsidRPr="00D565A7">
        <w:rPr>
          <w:rFonts w:ascii="Times New Roman" w:hAnsi="Times New Roman" w:cs="Times New Roman"/>
          <w:lang w:val="en-GB"/>
        </w:rPr>
        <w:t>In addition to these causal explanations, descriptive analyses on the financial dimension of central bank independence are emerging in the literature. For example,</w:t>
      </w:r>
      <w:r w:rsidR="00146FD0" w:rsidRPr="00D565A7">
        <w:rPr>
          <w:rFonts w:ascii="Times New Roman" w:hAnsi="Times New Roman" w:cs="Times New Roman"/>
          <w:lang w:val="en-GB"/>
        </w:rPr>
        <w:t xml:space="preserve"> Federal Reserve has been criticized on the grounds that it “constantly favors banks and investment firms” (Jacobs </w:t>
      </w:r>
      <w:r w:rsidR="008D454B" w:rsidRPr="00D565A7">
        <w:rPr>
          <w:rFonts w:ascii="Times New Roman" w:hAnsi="Times New Roman" w:cs="Times New Roman"/>
          <w:lang w:val="en-GB"/>
        </w:rPr>
        <w:t>&amp;</w:t>
      </w:r>
      <w:r w:rsidR="009969DD" w:rsidRPr="00D565A7">
        <w:rPr>
          <w:rFonts w:ascii="Times New Roman" w:hAnsi="Times New Roman" w:cs="Times New Roman"/>
          <w:lang w:val="en-GB"/>
        </w:rPr>
        <w:t xml:space="preserve"> </w:t>
      </w:r>
      <w:r w:rsidR="00146FD0" w:rsidRPr="00D565A7">
        <w:rPr>
          <w:rFonts w:ascii="Times New Roman" w:hAnsi="Times New Roman" w:cs="Times New Roman"/>
          <w:lang w:val="en-GB"/>
        </w:rPr>
        <w:t>Kings 2016, 3)</w:t>
      </w:r>
      <w:r w:rsidR="000157F3" w:rsidRPr="00D565A7">
        <w:rPr>
          <w:rFonts w:ascii="Times New Roman" w:hAnsi="Times New Roman" w:cs="Times New Roman"/>
          <w:lang w:val="en-GB"/>
        </w:rPr>
        <w:t xml:space="preserve">. Such study has not </w:t>
      </w:r>
      <w:r w:rsidR="009969DD" w:rsidRPr="00D565A7">
        <w:rPr>
          <w:rFonts w:ascii="Times New Roman" w:hAnsi="Times New Roman" w:cs="Times New Roman"/>
          <w:lang w:val="en-GB"/>
        </w:rPr>
        <w:t xml:space="preserve">yet </w:t>
      </w:r>
      <w:r w:rsidR="000157F3" w:rsidRPr="00D565A7">
        <w:rPr>
          <w:rFonts w:ascii="Times New Roman" w:hAnsi="Times New Roman" w:cs="Times New Roman"/>
          <w:lang w:val="en-GB"/>
        </w:rPr>
        <w:t>been conducted in the case of the ECB.</w:t>
      </w:r>
    </w:p>
    <w:p w:rsidR="009F0BD9" w:rsidRPr="00D565A7" w:rsidRDefault="009F0BD9" w:rsidP="004C367A">
      <w:pPr>
        <w:spacing w:line="480" w:lineRule="auto"/>
        <w:jc w:val="both"/>
        <w:rPr>
          <w:rFonts w:ascii="Times New Roman" w:hAnsi="Times New Roman" w:cs="Times New Roman"/>
          <w:lang w:val="en-GB" w:eastAsia="en-US" w:bidi="ar-SA"/>
        </w:rPr>
      </w:pPr>
    </w:p>
    <w:p w:rsidR="00CF78AE" w:rsidRPr="00D565A7" w:rsidRDefault="007157CF"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How does this power of finance </w:t>
      </w:r>
      <w:r w:rsidR="00146FD0" w:rsidRPr="00D565A7">
        <w:rPr>
          <w:rFonts w:ascii="Times New Roman" w:hAnsi="Times New Roman" w:cs="Times New Roman"/>
          <w:lang w:val="en-GB" w:eastAsia="en-US" w:bidi="ar-SA"/>
        </w:rPr>
        <w:t>over the</w:t>
      </w:r>
      <w:r w:rsidRPr="00D565A7">
        <w:rPr>
          <w:rFonts w:ascii="Times New Roman" w:hAnsi="Times New Roman" w:cs="Times New Roman"/>
          <w:lang w:val="en-GB" w:eastAsia="en-US" w:bidi="ar-SA"/>
        </w:rPr>
        <w:t xml:space="preserve"> ECB </w:t>
      </w:r>
      <w:r w:rsidR="00146FD0" w:rsidRPr="00D565A7">
        <w:rPr>
          <w:rFonts w:ascii="Times New Roman" w:hAnsi="Times New Roman" w:cs="Times New Roman"/>
          <w:lang w:val="en-GB" w:eastAsia="en-US" w:bidi="ar-SA"/>
        </w:rPr>
        <w:t xml:space="preserve">translate into its </w:t>
      </w:r>
      <w:r w:rsidRPr="00D565A7">
        <w:rPr>
          <w:rFonts w:ascii="Times New Roman" w:hAnsi="Times New Roman" w:cs="Times New Roman"/>
          <w:lang w:val="en-GB" w:eastAsia="en-US" w:bidi="ar-SA"/>
        </w:rPr>
        <w:t xml:space="preserve">policies and politics? </w:t>
      </w:r>
      <w:r w:rsidR="00146FD0" w:rsidRPr="00D565A7">
        <w:rPr>
          <w:rFonts w:ascii="Times New Roman" w:hAnsi="Times New Roman" w:cs="Times New Roman"/>
          <w:lang w:val="en-GB" w:eastAsia="en-US" w:bidi="ar-SA"/>
        </w:rPr>
        <w:t>M</w:t>
      </w:r>
      <w:r w:rsidR="004D02CC" w:rsidRPr="00D565A7">
        <w:rPr>
          <w:rFonts w:ascii="Times New Roman" w:hAnsi="Times New Roman" w:cs="Times New Roman"/>
          <w:lang w:val="en-GB" w:eastAsia="en-US" w:bidi="ar-SA"/>
        </w:rPr>
        <w:t>y thesis in this article is that</w:t>
      </w:r>
      <w:r w:rsidR="00441D3F" w:rsidRPr="00D565A7">
        <w:rPr>
          <w:rFonts w:ascii="Times New Roman" w:hAnsi="Times New Roman" w:cs="Times New Roman"/>
          <w:lang w:val="en-GB" w:eastAsia="en-US" w:bidi="ar-SA"/>
        </w:rPr>
        <w:t>, since the crisis,</w:t>
      </w:r>
      <w:r w:rsidR="00E96F68" w:rsidRPr="00D565A7">
        <w:rPr>
          <w:rFonts w:ascii="Times New Roman" w:hAnsi="Times New Roman" w:cs="Times New Roman"/>
          <w:lang w:val="en-GB" w:eastAsia="en-US" w:bidi="ar-SA"/>
        </w:rPr>
        <w:t xml:space="preserve"> </w:t>
      </w:r>
      <w:r w:rsidR="00146FD0" w:rsidRPr="00D565A7">
        <w:rPr>
          <w:rFonts w:ascii="Times New Roman" w:hAnsi="Times New Roman" w:cs="Times New Roman"/>
          <w:lang w:val="en-GB" w:eastAsia="en-US" w:bidi="ar-SA"/>
        </w:rPr>
        <w:t>there is an asymmetry in the ECB’s conditionality attached to its monetary instruments</w:t>
      </w:r>
      <w:r w:rsidR="00441D3F" w:rsidRPr="00D565A7">
        <w:rPr>
          <w:rFonts w:ascii="Times New Roman" w:hAnsi="Times New Roman" w:cs="Times New Roman"/>
          <w:lang w:val="en-GB" w:eastAsia="en-US" w:bidi="ar-SA"/>
        </w:rPr>
        <w:t xml:space="preserve">: central bankers </w:t>
      </w:r>
      <w:r w:rsidR="00146FD0" w:rsidRPr="00D565A7">
        <w:rPr>
          <w:rFonts w:ascii="Times New Roman" w:hAnsi="Times New Roman" w:cs="Times New Roman"/>
          <w:lang w:val="en-GB" w:eastAsia="en-US" w:bidi="ar-SA"/>
        </w:rPr>
        <w:t xml:space="preserve">ask for very strict conditions when </w:t>
      </w:r>
      <w:r w:rsidR="00441D3F" w:rsidRPr="00D565A7">
        <w:rPr>
          <w:rFonts w:ascii="Times New Roman" w:hAnsi="Times New Roman" w:cs="Times New Roman"/>
          <w:lang w:val="en-GB" w:eastAsia="en-US" w:bidi="ar-SA"/>
        </w:rPr>
        <w:t xml:space="preserve">they </w:t>
      </w:r>
      <w:r w:rsidR="00146FD0" w:rsidRPr="00D565A7">
        <w:rPr>
          <w:rFonts w:ascii="Times New Roman" w:hAnsi="Times New Roman" w:cs="Times New Roman"/>
          <w:lang w:val="en-GB" w:eastAsia="en-US" w:bidi="ar-SA"/>
        </w:rPr>
        <w:t>intervene to stabilize Eurozone states while</w:t>
      </w:r>
      <w:r w:rsidR="00441D3F" w:rsidRPr="00D565A7">
        <w:rPr>
          <w:rFonts w:ascii="Times New Roman" w:hAnsi="Times New Roman" w:cs="Times New Roman"/>
          <w:lang w:val="en-GB" w:eastAsia="en-US" w:bidi="ar-SA"/>
        </w:rPr>
        <w:t xml:space="preserve"> they are </w:t>
      </w:r>
      <w:r w:rsidR="00146FD0" w:rsidRPr="00D565A7">
        <w:rPr>
          <w:rFonts w:ascii="Times New Roman" w:hAnsi="Times New Roman" w:cs="Times New Roman"/>
          <w:lang w:val="en-GB" w:eastAsia="en-US" w:bidi="ar-SA"/>
        </w:rPr>
        <w:t xml:space="preserve">much more lenient when </w:t>
      </w:r>
      <w:r w:rsidR="00441D3F" w:rsidRPr="00D565A7">
        <w:rPr>
          <w:rFonts w:ascii="Times New Roman" w:hAnsi="Times New Roman" w:cs="Times New Roman"/>
          <w:lang w:val="en-GB" w:eastAsia="en-US" w:bidi="ar-SA"/>
        </w:rPr>
        <w:t>they</w:t>
      </w:r>
      <w:r w:rsidR="00146FD0" w:rsidRPr="00D565A7">
        <w:rPr>
          <w:rFonts w:ascii="Times New Roman" w:hAnsi="Times New Roman" w:cs="Times New Roman"/>
          <w:lang w:val="en-GB" w:eastAsia="en-US" w:bidi="ar-SA"/>
        </w:rPr>
        <w:t xml:space="preserve"> provide liqui</w:t>
      </w:r>
      <w:r w:rsidR="00E96F68" w:rsidRPr="00D565A7">
        <w:rPr>
          <w:rFonts w:ascii="Times New Roman" w:hAnsi="Times New Roman" w:cs="Times New Roman"/>
          <w:lang w:val="en-GB" w:eastAsia="en-US" w:bidi="ar-SA"/>
        </w:rPr>
        <w:t xml:space="preserve">dity to Eurozone banks. </w:t>
      </w:r>
      <w:r w:rsidR="00441D3F" w:rsidRPr="00D565A7">
        <w:rPr>
          <w:rFonts w:ascii="Times New Roman" w:hAnsi="Times New Roman" w:cs="Times New Roman"/>
          <w:lang w:val="en-GB" w:eastAsia="en-US" w:bidi="ar-SA"/>
        </w:rPr>
        <w:t xml:space="preserve">In fact, </w:t>
      </w:r>
      <w:r w:rsidR="00CF78AE" w:rsidRPr="00D565A7">
        <w:rPr>
          <w:rFonts w:ascii="Times New Roman" w:hAnsi="Times New Roman" w:cs="Times New Roman"/>
          <w:lang w:val="en-GB" w:eastAsia="en-US" w:bidi="ar-SA"/>
        </w:rPr>
        <w:t xml:space="preserve">ECB politics and policies have been characterized by a strong bias towards the protection of private financial interests, and this bias became exacerbated because the ECB managed to extend its power and influence since the beginning of the crisis. </w:t>
      </w:r>
    </w:p>
    <w:p w:rsidR="00CF78AE" w:rsidRPr="00D565A7" w:rsidRDefault="00CF78AE" w:rsidP="004C367A">
      <w:pPr>
        <w:spacing w:line="480" w:lineRule="auto"/>
        <w:jc w:val="both"/>
        <w:rPr>
          <w:rFonts w:ascii="Times New Roman" w:hAnsi="Times New Roman" w:cs="Times New Roman"/>
          <w:lang w:val="en-GB" w:eastAsia="en-US" w:bidi="ar-SA"/>
        </w:rPr>
      </w:pPr>
    </w:p>
    <w:p w:rsidR="00C771C5" w:rsidRPr="00F15905" w:rsidRDefault="00B91DBA"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The argument for my focus on the ECB's conditionality goes as follows. </w:t>
      </w:r>
      <w:r w:rsidR="008F23F4" w:rsidRPr="00D565A7">
        <w:rPr>
          <w:rFonts w:ascii="Times New Roman" w:hAnsi="Times New Roman" w:cs="Times New Roman"/>
          <w:lang w:val="en-GB" w:eastAsia="en-US" w:bidi="ar-SA"/>
        </w:rPr>
        <w:t xml:space="preserve">In order to avoid a collapse of </w:t>
      </w:r>
      <w:r w:rsidRPr="00D565A7">
        <w:rPr>
          <w:rFonts w:ascii="Times New Roman" w:hAnsi="Times New Roman" w:cs="Times New Roman"/>
          <w:lang w:val="en-GB" w:eastAsia="en-US" w:bidi="ar-SA"/>
        </w:rPr>
        <w:t xml:space="preserve">the financial system, the ECB and other central banks heavily use their balance-sheets (instead of concentrating solely on the setting of interest rates) to provide long-terms loans to the banks with relaxed collateral conditions and purchase </w:t>
      </w:r>
      <w:r w:rsidR="001F57F7" w:rsidRPr="00D565A7">
        <w:rPr>
          <w:rFonts w:ascii="Times New Roman" w:hAnsi="Times New Roman" w:cs="Times New Roman"/>
          <w:lang w:val="en-GB" w:eastAsia="en-US" w:bidi="ar-SA"/>
        </w:rPr>
        <w:t>financial assets</w:t>
      </w:r>
      <w:r w:rsidRPr="00D565A7">
        <w:rPr>
          <w:rFonts w:ascii="Times New Roman" w:hAnsi="Times New Roman" w:cs="Times New Roman"/>
          <w:lang w:val="en-GB" w:eastAsia="en-US" w:bidi="ar-SA"/>
        </w:rPr>
        <w:t xml:space="preserve"> on secondary markets (Borio 2011, Goodhart 2011, Ertürk 2014). Since banks’ and states’ balance sheets are deeply interlinked, one could argue, alongside central bankers themselves, that these unconventional policy measures benefit society as a whole. Yet, central banks' interventions </w:t>
      </w:r>
      <w:r w:rsidR="006526AE" w:rsidRPr="00D565A7">
        <w:rPr>
          <w:rFonts w:ascii="Times New Roman" w:hAnsi="Times New Roman" w:cs="Times New Roman"/>
          <w:lang w:val="en-GB" w:eastAsia="en-US" w:bidi="ar-SA"/>
        </w:rPr>
        <w:t xml:space="preserve">as lender of last resort </w:t>
      </w:r>
      <w:r w:rsidRPr="00D565A7">
        <w:rPr>
          <w:rFonts w:ascii="Times New Roman" w:hAnsi="Times New Roman" w:cs="Times New Roman"/>
          <w:lang w:val="en-GB" w:eastAsia="en-US" w:bidi="ar-SA"/>
        </w:rPr>
        <w:t>always came at the price of conditionality</w:t>
      </w:r>
      <w:r w:rsidR="0022082B" w:rsidRPr="00D565A7">
        <w:rPr>
          <w:rFonts w:ascii="Times New Roman" w:hAnsi="Times New Roman" w:cs="Times New Roman"/>
          <w:lang w:val="en-GB" w:eastAsia="en-US" w:bidi="ar-SA"/>
        </w:rPr>
        <w:t xml:space="preserve"> in order to avoid moral hazard</w:t>
      </w:r>
      <w:r w:rsidR="002241A9" w:rsidRPr="00F15905">
        <w:rPr>
          <w:rStyle w:val="EndnoteReference"/>
          <w:rFonts w:ascii="Times New Roman" w:hAnsi="Times New Roman" w:cs="Times New Roman"/>
          <w:lang w:val="en-GB" w:eastAsia="en-US" w:bidi="ar-SA"/>
        </w:rPr>
        <w:endnoteReference w:id="4"/>
      </w:r>
      <w:r w:rsidRPr="00F15905">
        <w:rPr>
          <w:rFonts w:ascii="Times New Roman" w:hAnsi="Times New Roman" w:cs="Times New Roman"/>
          <w:lang w:val="en-GB" w:eastAsia="en-US" w:bidi="ar-SA"/>
        </w:rPr>
        <w:t>. Since the ECB is not supposed to fuel moral hazard by providing financial help to fai</w:t>
      </w:r>
      <w:r w:rsidR="0022082B" w:rsidRPr="00D565A7">
        <w:rPr>
          <w:rFonts w:ascii="Times New Roman" w:hAnsi="Times New Roman" w:cs="Times New Roman"/>
          <w:lang w:val="en-GB" w:eastAsia="en-US" w:bidi="ar-SA"/>
        </w:rPr>
        <w:t>led states, nor to failed banks</w:t>
      </w:r>
      <w:r w:rsidRPr="00D565A7">
        <w:rPr>
          <w:rFonts w:ascii="Times New Roman" w:hAnsi="Times New Roman" w:cs="Times New Roman"/>
          <w:lang w:val="en-GB" w:eastAsia="en-US" w:bidi="ar-SA"/>
        </w:rPr>
        <w:t xml:space="preserve">, an analysis of the ECB’s conditionality helps to define the scope of its </w:t>
      </w:r>
      <w:r w:rsidRPr="00D565A7">
        <w:rPr>
          <w:rFonts w:ascii="Times New Roman" w:hAnsi="Times New Roman" w:cs="Times New Roman"/>
          <w:lang w:val="en-GB" w:eastAsia="en-US" w:bidi="ar-SA"/>
        </w:rPr>
        <w:lastRenderedPageBreak/>
        <w:t>political choices which extends beyond economic and legal constraints</w:t>
      </w:r>
      <w:r w:rsidR="000D2B62" w:rsidRPr="00F15905">
        <w:rPr>
          <w:rStyle w:val="EndnoteReference"/>
          <w:rFonts w:ascii="Times New Roman" w:hAnsi="Times New Roman" w:cs="Times New Roman"/>
          <w:lang w:val="en-GB" w:eastAsia="en-US" w:bidi="ar-SA"/>
        </w:rPr>
        <w:endnoteReference w:id="5"/>
      </w:r>
      <w:r w:rsidRPr="00F15905">
        <w:rPr>
          <w:rFonts w:ascii="Times New Roman" w:hAnsi="Times New Roman" w:cs="Times New Roman"/>
          <w:lang w:val="en-GB" w:eastAsia="en-US" w:bidi="ar-SA"/>
        </w:rPr>
        <w:t xml:space="preserve">. </w:t>
      </w:r>
    </w:p>
    <w:p w:rsidR="00CC5470" w:rsidRPr="00D565A7" w:rsidRDefault="00CC5470" w:rsidP="004C367A">
      <w:pPr>
        <w:spacing w:line="480" w:lineRule="auto"/>
        <w:jc w:val="both"/>
        <w:rPr>
          <w:rFonts w:ascii="Times New Roman" w:hAnsi="Times New Roman" w:cs="Times New Roman"/>
          <w:lang w:val="en-GB" w:eastAsia="en-US" w:bidi="ar-SA"/>
        </w:rPr>
      </w:pPr>
    </w:p>
    <w:p w:rsidR="001F57F7" w:rsidRPr="00D565A7" w:rsidRDefault="005D7D61"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My analysis of the bias </w:t>
      </w:r>
      <w:r w:rsidR="00211507" w:rsidRPr="00D565A7">
        <w:rPr>
          <w:rFonts w:ascii="Times New Roman" w:hAnsi="Times New Roman" w:cs="Times New Roman"/>
          <w:lang w:val="en-GB" w:eastAsia="en-US" w:bidi="ar-SA"/>
        </w:rPr>
        <w:t xml:space="preserve">displayed by the ECB </w:t>
      </w:r>
      <w:r w:rsidRPr="00D565A7">
        <w:rPr>
          <w:rFonts w:ascii="Times New Roman" w:hAnsi="Times New Roman" w:cs="Times New Roman"/>
          <w:lang w:val="en-GB" w:eastAsia="en-US" w:bidi="ar-SA"/>
        </w:rPr>
        <w:t>stands in strong contrast</w:t>
      </w:r>
      <w:r w:rsidR="00AA7457" w:rsidRPr="00D565A7">
        <w:rPr>
          <w:rFonts w:ascii="Times New Roman" w:hAnsi="Times New Roman" w:cs="Times New Roman"/>
          <w:lang w:val="en-GB" w:eastAsia="en-US" w:bidi="ar-SA"/>
        </w:rPr>
        <w:t xml:space="preserve"> with</w:t>
      </w:r>
      <w:r w:rsidR="00B04057" w:rsidRPr="00D565A7">
        <w:rPr>
          <w:rFonts w:ascii="Times New Roman" w:hAnsi="Times New Roman" w:cs="Times New Roman"/>
          <w:lang w:val="en-GB" w:eastAsia="en-US" w:bidi="ar-SA"/>
        </w:rPr>
        <w:t xml:space="preserve"> </w:t>
      </w:r>
      <w:r w:rsidR="00AD2C76" w:rsidRPr="00D565A7">
        <w:rPr>
          <w:rFonts w:ascii="Times New Roman" w:hAnsi="Times New Roman" w:cs="Times New Roman"/>
          <w:lang w:val="en-GB" w:eastAsia="en-US" w:bidi="ar-SA"/>
        </w:rPr>
        <w:t xml:space="preserve">the </w:t>
      </w:r>
      <w:r w:rsidR="00D95E44" w:rsidRPr="00D565A7">
        <w:rPr>
          <w:rFonts w:ascii="Times New Roman" w:hAnsi="Times New Roman" w:cs="Times New Roman"/>
          <w:lang w:val="en-GB" w:eastAsia="en-US" w:bidi="ar-SA"/>
        </w:rPr>
        <w:t>(implicit rather than explicit) positive evolution</w:t>
      </w:r>
      <w:r w:rsidR="00AD2C76" w:rsidRPr="00D565A7">
        <w:rPr>
          <w:rFonts w:ascii="Times New Roman" w:hAnsi="Times New Roman" w:cs="Times New Roman"/>
          <w:lang w:val="en-GB" w:eastAsia="en-US" w:bidi="ar-SA"/>
        </w:rPr>
        <w:t xml:space="preserve"> </w:t>
      </w:r>
      <w:r w:rsidR="00D95E44" w:rsidRPr="00D565A7">
        <w:rPr>
          <w:rFonts w:ascii="Times New Roman" w:hAnsi="Times New Roman" w:cs="Times New Roman"/>
          <w:lang w:val="en-GB" w:eastAsia="en-US" w:bidi="ar-SA"/>
        </w:rPr>
        <w:t xml:space="preserve">of the role played </w:t>
      </w:r>
      <w:r w:rsidRPr="00D565A7">
        <w:rPr>
          <w:rFonts w:ascii="Times New Roman" w:hAnsi="Times New Roman" w:cs="Times New Roman"/>
          <w:lang w:val="en-GB" w:eastAsia="en-US" w:bidi="ar-SA"/>
        </w:rPr>
        <w:t xml:space="preserve">by central bankers </w:t>
      </w:r>
      <w:r w:rsidR="00D95E44" w:rsidRPr="00D565A7">
        <w:rPr>
          <w:rFonts w:ascii="Times New Roman" w:hAnsi="Times New Roman" w:cs="Times New Roman"/>
          <w:lang w:val="en-GB" w:eastAsia="en-US" w:bidi="ar-SA"/>
        </w:rPr>
        <w:t xml:space="preserve">during the crisis </w:t>
      </w:r>
      <w:r w:rsidR="00AD2C76" w:rsidRPr="00D565A7">
        <w:rPr>
          <w:rFonts w:ascii="Times New Roman" w:hAnsi="Times New Roman" w:cs="Times New Roman"/>
          <w:lang w:val="en-GB" w:eastAsia="en-US" w:bidi="ar-SA"/>
        </w:rPr>
        <w:t>in</w:t>
      </w:r>
      <w:r w:rsidRPr="00D565A7">
        <w:rPr>
          <w:rFonts w:ascii="Times New Roman" w:hAnsi="Times New Roman" w:cs="Times New Roman"/>
          <w:lang w:val="en-GB" w:eastAsia="en-US" w:bidi="ar-SA"/>
        </w:rPr>
        <w:t xml:space="preserve"> most of</w:t>
      </w:r>
      <w:r w:rsidR="00AD2C76" w:rsidRPr="00D565A7">
        <w:rPr>
          <w:rFonts w:ascii="Times New Roman" w:hAnsi="Times New Roman" w:cs="Times New Roman"/>
          <w:lang w:val="en-GB" w:eastAsia="en-US" w:bidi="ar-SA"/>
        </w:rPr>
        <w:t xml:space="preserve"> the political sciences</w:t>
      </w:r>
      <w:r w:rsidR="00441D3F" w:rsidRPr="00D565A7">
        <w:rPr>
          <w:rFonts w:ascii="Times New Roman" w:hAnsi="Times New Roman" w:cs="Times New Roman"/>
          <w:lang w:val="en-GB" w:eastAsia="en-US" w:bidi="ar-SA"/>
        </w:rPr>
        <w:t>’</w:t>
      </w:r>
      <w:r w:rsidR="00AD2C76" w:rsidRPr="00D565A7">
        <w:rPr>
          <w:rFonts w:ascii="Times New Roman" w:hAnsi="Times New Roman" w:cs="Times New Roman"/>
          <w:lang w:val="en-GB" w:eastAsia="en-US" w:bidi="ar-SA"/>
        </w:rPr>
        <w:t xml:space="preserve"> literature</w:t>
      </w:r>
      <w:r w:rsidR="00016D00" w:rsidRPr="00F15905">
        <w:rPr>
          <w:rStyle w:val="EndnoteReference"/>
          <w:rFonts w:ascii="Times New Roman" w:hAnsi="Times New Roman" w:cs="Times New Roman"/>
          <w:lang w:val="en-GB" w:eastAsia="en-US" w:bidi="ar-SA"/>
        </w:rPr>
        <w:endnoteReference w:id="6"/>
      </w:r>
      <w:r w:rsidRPr="00F15905">
        <w:rPr>
          <w:rFonts w:ascii="Times New Roman" w:hAnsi="Times New Roman" w:cs="Times New Roman"/>
          <w:lang w:val="en-GB" w:eastAsia="en-US" w:bidi="ar-SA"/>
        </w:rPr>
        <w:t xml:space="preserve"> </w:t>
      </w:r>
      <w:r w:rsidR="000165D5" w:rsidRPr="00F15905">
        <w:rPr>
          <w:rFonts w:ascii="Times New Roman" w:hAnsi="Times New Roman" w:cs="Times New Roman"/>
          <w:lang w:val="en-GB" w:eastAsia="en-US" w:bidi="ar-SA"/>
        </w:rPr>
        <w:t xml:space="preserve">(Salines </w:t>
      </w:r>
      <w:r w:rsidR="000165D5" w:rsidRPr="00D565A7">
        <w:rPr>
          <w:rFonts w:ascii="Times New Roman" w:hAnsi="Times New Roman" w:cs="Times New Roman"/>
          <w:i/>
          <w:lang w:val="en-GB" w:eastAsia="en-US" w:bidi="ar-SA"/>
        </w:rPr>
        <w:t>et al.</w:t>
      </w:r>
      <w:r w:rsidR="000165D5" w:rsidRPr="00F15905">
        <w:rPr>
          <w:rFonts w:ascii="Times New Roman" w:hAnsi="Times New Roman" w:cs="Times New Roman"/>
          <w:lang w:val="en-GB" w:eastAsia="en-US" w:bidi="ar-SA"/>
        </w:rPr>
        <w:t xml:space="preserve"> 2012, Torres</w:t>
      </w:r>
      <w:r w:rsidR="000165D5" w:rsidRPr="00D565A7">
        <w:rPr>
          <w:rFonts w:ascii="Times New Roman" w:hAnsi="Times New Roman" w:cs="Times New Roman"/>
          <w:lang w:val="en-GB" w:eastAsia="en-US" w:bidi="ar-SA"/>
        </w:rPr>
        <w:t xml:space="preserve"> 2013, Henning 2016, Genovese </w:t>
      </w:r>
      <w:r w:rsidR="000165D5" w:rsidRPr="00D565A7">
        <w:rPr>
          <w:rFonts w:ascii="Times New Roman" w:hAnsi="Times New Roman" w:cs="Times New Roman"/>
          <w:i/>
          <w:lang w:val="en-GB" w:eastAsia="en-US" w:bidi="ar-SA"/>
        </w:rPr>
        <w:t xml:space="preserve">et al. </w:t>
      </w:r>
      <w:r w:rsidR="000165D5" w:rsidRPr="00F15905">
        <w:rPr>
          <w:rFonts w:ascii="Times New Roman" w:hAnsi="Times New Roman" w:cs="Times New Roman"/>
          <w:lang w:val="en-GB" w:eastAsia="en-US" w:bidi="ar-SA"/>
        </w:rPr>
        <w:t>2016, Verdun</w:t>
      </w:r>
      <w:r w:rsidR="000165D5" w:rsidRPr="00D565A7">
        <w:rPr>
          <w:rFonts w:ascii="Times New Roman" w:hAnsi="Times New Roman" w:cs="Times New Roman"/>
          <w:lang w:val="en-GB" w:eastAsia="en-US" w:bidi="ar-SA"/>
        </w:rPr>
        <w:t xml:space="preserve"> 2017). Rather, </w:t>
      </w:r>
      <w:r w:rsidR="00016D00" w:rsidRPr="00D565A7">
        <w:rPr>
          <w:rFonts w:ascii="Times New Roman" w:hAnsi="Times New Roman" w:cs="Times New Roman"/>
          <w:lang w:val="en-GB" w:eastAsia="en-US" w:bidi="ar-SA"/>
        </w:rPr>
        <w:t xml:space="preserve">my study of the ECB double standard articulates with </w:t>
      </w:r>
      <w:r w:rsidR="003600E7" w:rsidRPr="00D565A7">
        <w:rPr>
          <w:rFonts w:ascii="Times New Roman" w:hAnsi="Times New Roman" w:cs="Times New Roman"/>
          <w:lang w:val="en-GB" w:eastAsia="en-US" w:bidi="ar-SA"/>
        </w:rPr>
        <w:t>the critical</w:t>
      </w:r>
      <w:r w:rsidR="00CC5470" w:rsidRPr="00D565A7">
        <w:rPr>
          <w:rFonts w:ascii="Times New Roman" w:hAnsi="Times New Roman" w:cs="Times New Roman"/>
          <w:lang w:val="en-GB" w:eastAsia="en-US" w:bidi="ar-SA"/>
        </w:rPr>
        <w:t xml:space="preserve"> political economy </w:t>
      </w:r>
      <w:r w:rsidR="003600E7" w:rsidRPr="00D565A7">
        <w:rPr>
          <w:rFonts w:ascii="Times New Roman" w:hAnsi="Times New Roman" w:cs="Times New Roman"/>
          <w:lang w:val="en-GB" w:eastAsia="en-US" w:bidi="ar-SA"/>
        </w:rPr>
        <w:t>literature that analyses</w:t>
      </w:r>
      <w:r w:rsidR="00CC5470" w:rsidRPr="00D565A7">
        <w:rPr>
          <w:rFonts w:ascii="Times New Roman" w:hAnsi="Times New Roman" w:cs="Times New Roman"/>
          <w:lang w:val="en-GB" w:eastAsia="en-US" w:bidi="ar-SA"/>
        </w:rPr>
        <w:t xml:space="preserve"> financial constraints on democratic systems (Crouch 2004, </w:t>
      </w:r>
      <w:r w:rsidR="003600E7" w:rsidRPr="00D565A7">
        <w:rPr>
          <w:rFonts w:ascii="Times New Roman" w:hAnsi="Times New Roman" w:cs="Times New Roman"/>
          <w:lang w:val="en-GB" w:eastAsia="en-US" w:bidi="ar-SA"/>
        </w:rPr>
        <w:t xml:space="preserve">Hay 2007, </w:t>
      </w:r>
      <w:r w:rsidR="00CC5470" w:rsidRPr="00D565A7">
        <w:rPr>
          <w:rFonts w:ascii="Times New Roman" w:hAnsi="Times New Roman" w:cs="Times New Roman"/>
          <w:lang w:val="en-GB" w:eastAsia="en-US" w:bidi="ar-SA"/>
        </w:rPr>
        <w:t xml:space="preserve">Streeck </w:t>
      </w:r>
      <w:r w:rsidR="009969DD" w:rsidRPr="00D565A7">
        <w:rPr>
          <w:rFonts w:ascii="Times New Roman" w:hAnsi="Times New Roman" w:cs="Times New Roman"/>
          <w:lang w:val="en-GB" w:eastAsia="en-US" w:bidi="ar-SA"/>
        </w:rPr>
        <w:t xml:space="preserve">&amp; </w:t>
      </w:r>
      <w:r w:rsidR="00CC5470" w:rsidRPr="00D565A7">
        <w:rPr>
          <w:rFonts w:ascii="Times New Roman" w:hAnsi="Times New Roman" w:cs="Times New Roman"/>
          <w:lang w:val="en-GB" w:eastAsia="en-US" w:bidi="ar-SA"/>
        </w:rPr>
        <w:t xml:space="preserve">Schaeffer 2013). In particular, </w:t>
      </w:r>
      <w:r w:rsidR="00407EA0" w:rsidRPr="00D565A7">
        <w:rPr>
          <w:rFonts w:ascii="Times New Roman" w:hAnsi="Times New Roman" w:cs="Times New Roman"/>
          <w:lang w:val="en-GB" w:eastAsia="en-US" w:bidi="ar-SA"/>
        </w:rPr>
        <w:t xml:space="preserve">following Streeck and Schaeffer’s framework, </w:t>
      </w:r>
      <w:r w:rsidR="00AA7457" w:rsidRPr="00D565A7">
        <w:rPr>
          <w:rFonts w:ascii="Times New Roman" w:hAnsi="Times New Roman" w:cs="Times New Roman"/>
          <w:lang w:val="en-GB" w:eastAsia="en-US" w:bidi="ar-SA"/>
        </w:rPr>
        <w:t>I highlight</w:t>
      </w:r>
      <w:r w:rsidR="00CC5470" w:rsidRPr="00D565A7">
        <w:rPr>
          <w:rFonts w:ascii="Times New Roman" w:hAnsi="Times New Roman" w:cs="Times New Roman"/>
          <w:lang w:val="en-GB" w:eastAsia="en-US" w:bidi="ar-SA"/>
        </w:rPr>
        <w:t xml:space="preserve"> the crucial role played by central bankers</w:t>
      </w:r>
      <w:r w:rsidR="003938BC" w:rsidRPr="00D565A7">
        <w:rPr>
          <w:rFonts w:ascii="Times New Roman" w:hAnsi="Times New Roman" w:cs="Times New Roman"/>
          <w:lang w:val="en-GB" w:eastAsia="en-US" w:bidi="ar-SA"/>
        </w:rPr>
        <w:t xml:space="preserve"> in the promotion of the interests of the “market” constituency</w:t>
      </w:r>
      <w:r w:rsidR="00407EA0" w:rsidRPr="00D565A7">
        <w:rPr>
          <w:rFonts w:ascii="Times New Roman" w:hAnsi="Times New Roman" w:cs="Times New Roman"/>
          <w:lang w:val="en-GB" w:eastAsia="en-US" w:bidi="ar-SA"/>
        </w:rPr>
        <w:t>,</w:t>
      </w:r>
      <w:r w:rsidR="003938BC" w:rsidRPr="00D565A7">
        <w:rPr>
          <w:rFonts w:ascii="Times New Roman" w:hAnsi="Times New Roman" w:cs="Times New Roman"/>
          <w:lang w:val="en-GB" w:eastAsia="en-US" w:bidi="ar-SA"/>
        </w:rPr>
        <w:t xml:space="preserve"> at the expens</w:t>
      </w:r>
      <w:r w:rsidR="003E0BB2" w:rsidRPr="00D565A7">
        <w:rPr>
          <w:rFonts w:ascii="Times New Roman" w:hAnsi="Times New Roman" w:cs="Times New Roman"/>
          <w:lang w:val="en-GB" w:eastAsia="en-US" w:bidi="ar-SA"/>
        </w:rPr>
        <w:t>e of the “people” constituency.</w:t>
      </w:r>
    </w:p>
    <w:p w:rsidR="00091A37" w:rsidRPr="00D565A7" w:rsidRDefault="00091A37" w:rsidP="004C367A">
      <w:pPr>
        <w:spacing w:line="480" w:lineRule="auto"/>
        <w:jc w:val="both"/>
        <w:rPr>
          <w:rFonts w:ascii="Times New Roman" w:hAnsi="Times New Roman" w:cs="Times New Roman"/>
          <w:lang w:val="en-GB" w:eastAsia="en-US" w:bidi="ar-SA"/>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From a methodological point of view, this article relies on primary and secondary sources, including semi-structured interviews with high-level policy-makers who are involved daily in the Eurozone crisis resolution process. </w:t>
      </w:r>
      <w:r w:rsidR="00E34555" w:rsidRPr="00D565A7">
        <w:rPr>
          <w:rFonts w:ascii="Times New Roman" w:hAnsi="Times New Roman" w:cs="Times New Roman"/>
          <w:lang w:val="en-GB" w:eastAsia="en-US" w:bidi="ar-SA"/>
        </w:rPr>
        <w:t>S</w:t>
      </w:r>
      <w:r w:rsidRPr="00D565A7">
        <w:rPr>
          <w:rFonts w:ascii="Times New Roman" w:hAnsi="Times New Roman" w:cs="Times New Roman"/>
          <w:lang w:val="en-GB" w:eastAsia="en-US" w:bidi="ar-SA"/>
        </w:rPr>
        <w:t xml:space="preserve">ince the Eurozone crisis resolution process is heavily shaped by intergovernmental dynamics (Bickerton </w:t>
      </w:r>
      <w:r w:rsidRPr="00D565A7">
        <w:rPr>
          <w:rFonts w:ascii="Times New Roman" w:hAnsi="Times New Roman" w:cs="Times New Roman"/>
          <w:i/>
          <w:lang w:val="en-GB" w:eastAsia="en-US" w:bidi="ar-SA"/>
        </w:rPr>
        <w:t>et al.</w:t>
      </w:r>
      <w:r w:rsidRPr="00F15905">
        <w:rPr>
          <w:rFonts w:ascii="Times New Roman" w:hAnsi="Times New Roman" w:cs="Times New Roman"/>
          <w:lang w:val="en-GB" w:eastAsia="en-US" w:bidi="ar-SA"/>
        </w:rPr>
        <w:t xml:space="preserve"> 2015), and central bankers are very reluctant to disclose information, I gained infor</w:t>
      </w:r>
      <w:r w:rsidRPr="00D565A7">
        <w:rPr>
          <w:rFonts w:ascii="Times New Roman" w:hAnsi="Times New Roman" w:cs="Times New Roman"/>
          <w:lang w:val="en-GB" w:eastAsia="en-US" w:bidi="ar-SA"/>
        </w:rPr>
        <w:t xml:space="preserve">mation about perceptions of the ECB and empirical data about the crisis resolution process from member state representatives. I did this by interviewing members of the preparatory committee of intergovernmental meetings in the Economic and Financial Committee (EFC), which is the hearth of Eurozone economic governance (Grosche </w:t>
      </w:r>
      <w:r w:rsidR="009969DD" w:rsidRPr="00D565A7">
        <w:rPr>
          <w:rFonts w:ascii="Times New Roman" w:hAnsi="Times New Roman" w:cs="Times New Roman"/>
          <w:lang w:val="en-GB" w:eastAsia="en-US" w:bidi="ar-SA"/>
        </w:rPr>
        <w:t xml:space="preserve">&amp; </w:t>
      </w:r>
      <w:r w:rsidRPr="00D565A7">
        <w:rPr>
          <w:rFonts w:ascii="Times New Roman" w:hAnsi="Times New Roman" w:cs="Times New Roman"/>
          <w:lang w:val="en-GB" w:eastAsia="en-US" w:bidi="ar-SA"/>
        </w:rPr>
        <w:t>Puetter 2008), in November 2010. These interviews focus on the policy solutions and temporary arrangements chosen during the first phases of the Eurozone crisis (January-November 2010). According to the “path-dependency” concept lying at the heart of the historical institutionalist approach, these first phases were crucial since t</w:t>
      </w:r>
      <w:r w:rsidR="00137ABB" w:rsidRPr="00D565A7">
        <w:rPr>
          <w:rFonts w:ascii="Times New Roman" w:hAnsi="Times New Roman" w:cs="Times New Roman"/>
          <w:lang w:val="en-GB" w:eastAsia="en-US" w:bidi="ar-SA"/>
        </w:rPr>
        <w:t xml:space="preserve">hey narrowed down the range of </w:t>
      </w:r>
      <w:r w:rsidRPr="00D565A7">
        <w:rPr>
          <w:rFonts w:ascii="Times New Roman" w:hAnsi="Times New Roman" w:cs="Times New Roman"/>
          <w:lang w:val="en-GB" w:eastAsia="en-US" w:bidi="ar-SA"/>
        </w:rPr>
        <w:t>policy options and institutions available to policy-makers in the subsequent phases of the crisis (Verdun 2015)</w:t>
      </w:r>
      <w:r w:rsidR="00EF48D3" w:rsidRPr="00D565A7">
        <w:rPr>
          <w:rFonts w:ascii="Times New Roman" w:hAnsi="Times New Roman" w:cs="Times New Roman"/>
          <w:lang w:val="en-GB" w:eastAsia="en-US" w:bidi="ar-SA"/>
        </w:rPr>
        <w:t>.</w:t>
      </w:r>
    </w:p>
    <w:p w:rsidR="001F57F7" w:rsidRPr="00D565A7" w:rsidRDefault="001F57F7" w:rsidP="004C367A">
      <w:pPr>
        <w:spacing w:line="480" w:lineRule="auto"/>
        <w:jc w:val="both"/>
        <w:rPr>
          <w:rFonts w:ascii="Times New Roman" w:hAnsi="Times New Roman" w:cs="Times New Roman"/>
          <w:lang w:val="en-GB" w:eastAsia="en-US" w:bidi="ar-SA"/>
        </w:rPr>
      </w:pPr>
    </w:p>
    <w:p w:rsidR="00091A37" w:rsidRPr="00D565A7" w:rsidRDefault="00091A37"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lastRenderedPageBreak/>
        <w:t>This article unfolds as follows. The aim of my first section is to demonstrate the ECB’s long-standing bias towards the protection of financial interests. Before the crisis, the impact of the ECB's bias was limited because it could not exert much influence over both the Member-States' economies and the regulation and supervision of financial systems. The next section explains why the crisis was a game-changer with the presentation of the two channels of influence that permitted the ECB to extend its power within the Eurozone and use the crisis as a window of opportunity to pursue its reform agenda beyond the realm of monetary policy. The last two sections show how the ECB’s bias became exacerbated during the crisis by analysing the conditionality of the ECB's financial support towards states and financial markets.</w:t>
      </w:r>
    </w:p>
    <w:p w:rsidR="003C5A5E" w:rsidRPr="00D565A7" w:rsidRDefault="003A01D2" w:rsidP="004C367A">
      <w:pPr>
        <w:pStyle w:val="Titre11"/>
        <w:numPr>
          <w:ilvl w:val="0"/>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1. The two faces of the ECB independence</w:t>
      </w:r>
    </w:p>
    <w:p w:rsidR="003C5A5E" w:rsidRPr="00D565A7" w:rsidRDefault="003A01D2" w:rsidP="004C367A">
      <w:pPr>
        <w:pStyle w:val="Corpsdetexte1"/>
        <w:spacing w:line="480" w:lineRule="auto"/>
        <w:jc w:val="both"/>
        <w:rPr>
          <w:rFonts w:ascii="Times New Roman" w:hAnsi="Times New Roman" w:cs="Times New Roman"/>
          <w:lang w:val="en-GB" w:eastAsia="en-US" w:bidi="ar-SA"/>
        </w:rPr>
      </w:pPr>
      <w:r w:rsidRPr="00D565A7">
        <w:rPr>
          <w:rFonts w:ascii="Times New Roman" w:hAnsi="Times New Roman" w:cs="Times New Roman"/>
          <w:i/>
          <w:lang w:val="en-GB" w:eastAsia="en-US" w:bidi="ar-SA"/>
        </w:rPr>
        <w:t>Bundesbank</w:t>
      </w:r>
      <w:r w:rsidRPr="00D565A7">
        <w:rPr>
          <w:rFonts w:ascii="Times New Roman" w:hAnsi="Times New Roman" w:cs="Times New Roman"/>
          <w:lang w:val="en-GB" w:eastAsia="en-US" w:bidi="ar-SA"/>
        </w:rPr>
        <w:t xml:space="preserve"> policies and the CBI template heavily influenced the creation of the ECB (Dyson and Featherstone 1999). As a result, the ECB is tasked with an overarching objective of price stability, and it is considered to be the most </w:t>
      </w:r>
      <w:r w:rsidR="005A4FF8" w:rsidRPr="00D565A7">
        <w:rPr>
          <w:rFonts w:ascii="Times New Roman" w:hAnsi="Times New Roman" w:cs="Times New Roman"/>
          <w:lang w:val="en-GB" w:eastAsia="en-US" w:bidi="ar-SA"/>
        </w:rPr>
        <w:t>independent central bank for three</w:t>
      </w:r>
      <w:r w:rsidRPr="00D565A7">
        <w:rPr>
          <w:rFonts w:ascii="Times New Roman" w:hAnsi="Times New Roman" w:cs="Times New Roman"/>
          <w:lang w:val="en-GB" w:eastAsia="en-US" w:bidi="ar-SA"/>
        </w:rPr>
        <w:t xml:space="preserve"> main reasons. First, Eurozone governmental and legislative authorities are fragmented because of divergent policy interests, economic ideas and institutional structures and, therefore, lack policy leadership and oversight power in relation to the ECB (Jabko 2009). </w:t>
      </w:r>
      <w:r w:rsidR="0059440B" w:rsidRPr="00D565A7">
        <w:rPr>
          <w:rFonts w:ascii="Times New Roman" w:hAnsi="Times New Roman" w:cs="Times New Roman"/>
          <w:lang w:val="en-GB" w:eastAsia="en-US" w:bidi="ar-SA"/>
        </w:rPr>
        <w:t>Moreover, as there is no legal basis for the monetary dialog taking place between the ECB and the European Parliament, the latter lacks effective tools to control the activities of the forme</w:t>
      </w:r>
      <w:r w:rsidR="005A4FF8" w:rsidRPr="00D565A7">
        <w:rPr>
          <w:rFonts w:ascii="Times New Roman" w:hAnsi="Times New Roman" w:cs="Times New Roman"/>
          <w:lang w:val="en-GB" w:eastAsia="en-US" w:bidi="ar-SA"/>
        </w:rPr>
        <w:t xml:space="preserve">r (Collignon </w:t>
      </w:r>
      <w:r w:rsidR="009969DD" w:rsidRPr="00D565A7">
        <w:rPr>
          <w:rFonts w:ascii="Times New Roman" w:hAnsi="Times New Roman" w:cs="Times New Roman"/>
          <w:lang w:val="en-GB" w:eastAsia="en-US" w:bidi="ar-SA"/>
        </w:rPr>
        <w:t xml:space="preserve">&amp; </w:t>
      </w:r>
      <w:r w:rsidR="005A4FF8" w:rsidRPr="00D565A7">
        <w:rPr>
          <w:rFonts w:ascii="Times New Roman" w:hAnsi="Times New Roman" w:cs="Times New Roman"/>
          <w:lang w:val="en-GB" w:eastAsia="en-US" w:bidi="ar-SA"/>
        </w:rPr>
        <w:t>Diessner 2016)</w:t>
      </w:r>
      <w:r w:rsidR="0059440B" w:rsidRPr="00D565A7">
        <w:rPr>
          <w:rFonts w:ascii="Times New Roman" w:hAnsi="Times New Roman" w:cs="Times New Roman"/>
          <w:lang w:val="en-GB" w:eastAsia="en-US" w:bidi="ar-SA"/>
        </w:rPr>
        <w:t xml:space="preserve">. </w:t>
      </w:r>
      <w:r w:rsidR="00407EA0" w:rsidRPr="00D565A7">
        <w:rPr>
          <w:rFonts w:ascii="Times New Roman" w:hAnsi="Times New Roman" w:cs="Times New Roman"/>
          <w:lang w:val="en-GB" w:eastAsia="en-US" w:bidi="ar-SA"/>
        </w:rPr>
        <w:t xml:space="preserve">Second, ECB decision-making procedures are more opaque than in other currency areas since the individual composition of the votes taking place at the Governing Council is kept secret. This lack of transparency gives leverage to the ECB to the extent that </w:t>
      </w:r>
      <w:r w:rsidR="0059440B" w:rsidRPr="00D565A7">
        <w:rPr>
          <w:rFonts w:ascii="Times New Roman" w:hAnsi="Times New Roman" w:cs="Times New Roman"/>
          <w:lang w:val="en-GB" w:eastAsia="en-US" w:bidi="ar-SA"/>
        </w:rPr>
        <w:t>governments cannot</w:t>
      </w:r>
      <w:r w:rsidR="00407EA0" w:rsidRPr="00D565A7">
        <w:rPr>
          <w:rFonts w:ascii="Times New Roman" w:hAnsi="Times New Roman" w:cs="Times New Roman"/>
          <w:lang w:val="en-GB" w:eastAsia="en-US" w:bidi="ar-SA"/>
        </w:rPr>
        <w:t xml:space="preserve"> held </w:t>
      </w:r>
      <w:r w:rsidR="0059440B" w:rsidRPr="00D565A7">
        <w:rPr>
          <w:rFonts w:ascii="Times New Roman" w:hAnsi="Times New Roman" w:cs="Times New Roman"/>
          <w:lang w:val="en-GB" w:eastAsia="en-US" w:bidi="ar-SA"/>
        </w:rPr>
        <w:t xml:space="preserve">individual central bankers </w:t>
      </w:r>
      <w:r w:rsidR="00407EA0" w:rsidRPr="00D565A7">
        <w:rPr>
          <w:rFonts w:ascii="Times New Roman" w:hAnsi="Times New Roman" w:cs="Times New Roman"/>
          <w:lang w:val="en-GB" w:eastAsia="en-US" w:bidi="ar-SA"/>
        </w:rPr>
        <w:t xml:space="preserve">accountable for their decisions. </w:t>
      </w:r>
      <w:r w:rsidR="005A4FF8" w:rsidRPr="00D565A7">
        <w:rPr>
          <w:rFonts w:ascii="Times New Roman" w:hAnsi="Times New Roman" w:cs="Times New Roman"/>
          <w:lang w:val="en-GB" w:eastAsia="en-US" w:bidi="ar-SA"/>
        </w:rPr>
        <w:t xml:space="preserve">This discrepancy of power is greater than in the cases of the Federal Reserve system (Fed) and the Bank of England (BoE) (Goodhart </w:t>
      </w:r>
      <w:r w:rsidR="009969DD" w:rsidRPr="00D565A7">
        <w:rPr>
          <w:rFonts w:ascii="Times New Roman" w:hAnsi="Times New Roman" w:cs="Times New Roman"/>
          <w:lang w:val="en-GB" w:eastAsia="en-US" w:bidi="ar-SA"/>
        </w:rPr>
        <w:t xml:space="preserve">&amp; </w:t>
      </w:r>
      <w:r w:rsidR="005A4FF8" w:rsidRPr="00D565A7">
        <w:rPr>
          <w:rFonts w:ascii="Times New Roman" w:hAnsi="Times New Roman" w:cs="Times New Roman"/>
          <w:lang w:val="en-GB" w:eastAsia="en-US" w:bidi="ar-SA"/>
        </w:rPr>
        <w:t xml:space="preserve">Meade 2004). </w:t>
      </w:r>
      <w:r w:rsidR="00407EA0" w:rsidRPr="00D565A7">
        <w:rPr>
          <w:rFonts w:ascii="Times New Roman" w:hAnsi="Times New Roman" w:cs="Times New Roman"/>
          <w:lang w:val="en-GB" w:eastAsia="en-US" w:bidi="ar-SA"/>
        </w:rPr>
        <w:t>Third</w:t>
      </w:r>
      <w:r w:rsidRPr="00D565A7">
        <w:rPr>
          <w:rFonts w:ascii="Times New Roman" w:hAnsi="Times New Roman" w:cs="Times New Roman"/>
          <w:lang w:val="en-GB" w:eastAsia="en-US" w:bidi="ar-SA"/>
        </w:rPr>
        <w:t>, the ECB is better able to resist governmental pressures than the Fed and the BoE since the change of its treaty-based statute would require the highly unlikely unanimous ap</w:t>
      </w:r>
      <w:r w:rsidR="00D95103" w:rsidRPr="00D565A7">
        <w:rPr>
          <w:rFonts w:ascii="Times New Roman" w:hAnsi="Times New Roman" w:cs="Times New Roman"/>
          <w:lang w:val="en-GB" w:eastAsia="en-US" w:bidi="ar-SA"/>
        </w:rPr>
        <w:t>proval of the 28</w:t>
      </w:r>
      <w:r w:rsidRPr="00D565A7">
        <w:rPr>
          <w:rFonts w:ascii="Times New Roman" w:hAnsi="Times New Roman" w:cs="Times New Roman"/>
          <w:lang w:val="en-GB" w:eastAsia="en-US" w:bidi="ar-SA"/>
        </w:rPr>
        <w:t xml:space="preserve"> EU </w:t>
      </w:r>
      <w:r w:rsidRPr="00D565A7">
        <w:rPr>
          <w:rFonts w:ascii="Times New Roman" w:hAnsi="Times New Roman" w:cs="Times New Roman"/>
          <w:lang w:val="en-GB" w:eastAsia="en-US" w:bidi="ar-SA"/>
        </w:rPr>
        <w:lastRenderedPageBreak/>
        <w:t>Member-States. While the ECB’s level of independence from elected officials has been thoroughly scrutinized in the literature, the other face of its independence, namely its independence from financial interests, has been overlooked. I examine here the two faces of the ECB’s independence in order to show the roots of its market-friendly policy preferences.</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 xml:space="preserve">The ECB as a </w:t>
      </w:r>
      <w:r w:rsidR="00EF48D3" w:rsidRPr="00D565A7">
        <w:rPr>
          <w:rFonts w:ascii="Times New Roman" w:hAnsi="Times New Roman" w:cs="Times New Roman"/>
          <w:lang w:val="en-GB"/>
        </w:rPr>
        <w:t>promoter of market-friendly reforms</w:t>
      </w: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How do governments gain from delegating their monetary policies to independent agencies? What are the political effects of this kind of delegation?</w:t>
      </w:r>
    </w:p>
    <w:p w:rsidR="0059440B" w:rsidRPr="00D565A7" w:rsidRDefault="0059440B" w:rsidP="004C367A">
      <w:pPr>
        <w:spacing w:line="480" w:lineRule="auto"/>
        <w:jc w:val="both"/>
        <w:rPr>
          <w:rFonts w:ascii="Times New Roman" w:hAnsi="Times New Roman" w:cs="Times New Roman"/>
          <w:lang w:val="en-GB" w:eastAsia="en-US" w:bidi="ar-SA"/>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CBI is strategically motivated in the sense that, like certain other forms of statecraft, it allows governments officials to tie their hands in a way that is perceived as being politically advantageous (Crouch 2004). Indeed, it allows governments to deny responsibility for the socio-economic changes associated with the goal of low inflation (such as market-friendly labour market reforms or budgetary controls) while reap</w:t>
      </w:r>
      <w:r w:rsidR="004B3723" w:rsidRPr="00D565A7">
        <w:rPr>
          <w:rFonts w:ascii="Times New Roman" w:hAnsi="Times New Roman" w:cs="Times New Roman"/>
          <w:lang w:val="en-GB" w:eastAsia="en-US" w:bidi="ar-SA"/>
        </w:rPr>
        <w:t xml:space="preserve">ing the economic benefits from </w:t>
      </w:r>
      <w:r w:rsidRPr="00D565A7">
        <w:rPr>
          <w:rFonts w:ascii="Times New Roman" w:hAnsi="Times New Roman" w:cs="Times New Roman"/>
          <w:lang w:val="en-GB" w:eastAsia="en-US" w:bidi="ar-SA"/>
        </w:rPr>
        <w:t>the increased confidence of financial markets (such as lower sovereign interest rates). For example, French and Italian policymakers perceived the creation of the euro as a window of opportunity to reform their economies without taking any political responsibility for the negative consequences of their reforms (Dyson and Featherstone 1999). These strategic and ideational factors have been strong enough to ensure that Eurozone governments have not seriously attempted to alter the ECB’s monetary policy since its creation (Howarth 2004).</w:t>
      </w:r>
    </w:p>
    <w:p w:rsidR="003C5A5E" w:rsidRPr="00D565A7" w:rsidRDefault="003C5A5E" w:rsidP="004C367A">
      <w:pPr>
        <w:spacing w:line="480" w:lineRule="auto"/>
        <w:jc w:val="both"/>
        <w:rPr>
          <w:rFonts w:ascii="Times New Roman" w:hAnsi="Times New Roman" w:cs="Times New Roman"/>
          <w:lang w:val="en-GB"/>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Second, the ECB has been promoting market-friendly economic reforms within the Eurozone since its creation in 1999. Although their competencies are officially limited to monetary policy, central bankers have vested interests to extend their influence beyond their official responsibilities</w:t>
      </w:r>
      <w:r w:rsidR="00441D3F" w:rsidRPr="00D565A7">
        <w:rPr>
          <w:rFonts w:ascii="Times New Roman" w:hAnsi="Times New Roman" w:cs="Times New Roman"/>
          <w:lang w:val="en-GB" w:eastAsia="en-US" w:bidi="ar-SA"/>
        </w:rPr>
        <w:t xml:space="preserve"> in order to protect their level of independence</w:t>
      </w:r>
      <w:r w:rsidRPr="00D565A7">
        <w:rPr>
          <w:rFonts w:ascii="Times New Roman" w:hAnsi="Times New Roman" w:cs="Times New Roman"/>
          <w:lang w:val="en-GB" w:eastAsia="en-US" w:bidi="ar-SA"/>
        </w:rPr>
        <w:t xml:space="preserve"> (Forder 2002). This is partly a result of ideational factors: a weakening of the neo-classical consensus would impair the ideational roots of its independence. Moreover, the ECB’s </w:t>
      </w:r>
      <w:r w:rsidRPr="00D565A7">
        <w:rPr>
          <w:rFonts w:ascii="Times New Roman" w:hAnsi="Times New Roman" w:cs="Times New Roman"/>
          <w:lang w:val="en-GB" w:eastAsia="en-US" w:bidi="ar-SA"/>
        </w:rPr>
        <w:lastRenderedPageBreak/>
        <w:t>legitimacy is output-oriented and is assessed solely according to its success in achieving price stability (Scharpf 1997). Consequently, ECB representatives try to prevent the implementation of any non-monetary policies that might spur inflation. For example, the ECB has called every month for the swift implementation of so-called structural reforms (</w:t>
      </w:r>
      <w:r w:rsidR="00741CB1" w:rsidRPr="00D565A7">
        <w:rPr>
          <w:rFonts w:ascii="Times New Roman" w:hAnsi="Times New Roman" w:cs="Times New Roman"/>
          <w:lang w:val="en-GB" w:eastAsia="en-US" w:bidi="ar-SA"/>
        </w:rPr>
        <w:t>aiming at</w:t>
      </w:r>
      <w:r w:rsidRPr="00D565A7">
        <w:rPr>
          <w:rFonts w:ascii="Times New Roman" w:hAnsi="Times New Roman" w:cs="Times New Roman"/>
          <w:lang w:val="en-GB" w:eastAsia="en-US" w:bidi="ar-SA"/>
        </w:rPr>
        <w:t xml:space="preserve"> labour market flexibilization) and budgetary “sustainability” measures, despite lacking the means to effectively influence governmental policies prior to the crisis (</w:t>
      </w:r>
      <w:r w:rsidR="00741CB1" w:rsidRPr="00D565A7">
        <w:rPr>
          <w:rFonts w:ascii="Times New Roman" w:hAnsi="Times New Roman" w:cs="Times New Roman"/>
          <w:lang w:val="en-GB" w:eastAsia="en-US" w:bidi="ar-SA"/>
        </w:rPr>
        <w:t>Fontan</w:t>
      </w:r>
      <w:r w:rsidRPr="00D565A7">
        <w:rPr>
          <w:rFonts w:ascii="Times New Roman" w:hAnsi="Times New Roman" w:cs="Times New Roman"/>
          <w:lang w:val="en-GB" w:eastAsia="en-US" w:bidi="ar-SA"/>
        </w:rPr>
        <w:t xml:space="preserve"> 2013). In this sense, the ECB is a political player that attempts to isolate economic policies (and thus issues of distribution) from electoral outcomes, arguably for the benefit of the most well-off. </w:t>
      </w:r>
    </w:p>
    <w:p w:rsidR="0059440B" w:rsidRPr="00D565A7" w:rsidRDefault="0059440B" w:rsidP="004C367A">
      <w:pPr>
        <w:spacing w:line="480" w:lineRule="auto"/>
        <w:jc w:val="both"/>
        <w:rPr>
          <w:rFonts w:ascii="Times New Roman" w:hAnsi="Times New Roman" w:cs="Times New Roman"/>
          <w:lang w:val="en-GB" w:eastAsia="en-US" w:bidi="ar-SA"/>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So far, I have showed that the CBI template has not confined the ECB interests to the monetary realm. On the contrary, although they were unable to do so before the Eurozone crisis, European central bankers have promoted the isolation of Eurozone economic governance from electoral pressures. This permanent pressure on non-monetary policies is even more striking when compared to the weak ECB interest in financial regulation.</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The ECB’s benign neglect towards problematic finance</w:t>
      </w: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Since the mid-1990s, </w:t>
      </w:r>
      <w:r w:rsidR="0077251E" w:rsidRPr="00D565A7">
        <w:rPr>
          <w:rFonts w:ascii="Times New Roman" w:hAnsi="Times New Roman" w:cs="Times New Roman"/>
          <w:lang w:val="en-GB" w:eastAsia="en-US" w:bidi="ar-SA"/>
        </w:rPr>
        <w:t>financial institutions have</w:t>
      </w:r>
      <w:r w:rsidRPr="00D565A7">
        <w:rPr>
          <w:rFonts w:ascii="Times New Roman" w:hAnsi="Times New Roman" w:cs="Times New Roman"/>
          <w:lang w:val="en-GB" w:eastAsia="en-US" w:bidi="ar-SA"/>
        </w:rPr>
        <w:t xml:space="preserve"> increased in size, complexity and instability. Th</w:t>
      </w:r>
      <w:r w:rsidR="00EF2B7D" w:rsidRPr="00D565A7">
        <w:rPr>
          <w:rFonts w:ascii="Times New Roman" w:hAnsi="Times New Roman" w:cs="Times New Roman"/>
          <w:lang w:val="en-GB" w:eastAsia="en-US" w:bidi="ar-SA"/>
        </w:rPr>
        <w:t>is process of financialization has</w:t>
      </w:r>
      <w:r w:rsidRPr="00D565A7">
        <w:rPr>
          <w:rFonts w:ascii="Times New Roman" w:hAnsi="Times New Roman" w:cs="Times New Roman"/>
          <w:lang w:val="en-GB" w:eastAsia="en-US" w:bidi="ar-SA"/>
        </w:rPr>
        <w:t xml:space="preserve"> diminished the central banks regulatory capacities and their control over liquidity circulation. </w:t>
      </w:r>
      <w:r w:rsidR="00EF2B7D" w:rsidRPr="00D565A7">
        <w:rPr>
          <w:rFonts w:ascii="Times New Roman" w:hAnsi="Times New Roman" w:cs="Times New Roman"/>
          <w:lang w:val="en-GB" w:eastAsia="en-US" w:bidi="ar-SA"/>
        </w:rPr>
        <w:t>It has</w:t>
      </w:r>
      <w:r w:rsidRPr="00D565A7">
        <w:rPr>
          <w:rFonts w:ascii="Times New Roman" w:hAnsi="Times New Roman" w:cs="Times New Roman"/>
          <w:lang w:val="en-GB" w:eastAsia="en-US" w:bidi="ar-SA"/>
        </w:rPr>
        <w:t xml:space="preserve"> been driven by regulatory and political choices in which central banks have been active players rather than powerless spectators (Engelen </w:t>
      </w:r>
      <w:r w:rsidRPr="00D565A7">
        <w:rPr>
          <w:rFonts w:ascii="Times New Roman" w:hAnsi="Times New Roman" w:cs="Times New Roman"/>
          <w:i/>
          <w:lang w:val="en-GB" w:eastAsia="en-US" w:bidi="ar-SA"/>
        </w:rPr>
        <w:t>et al</w:t>
      </w:r>
      <w:r w:rsidRPr="00F15905">
        <w:rPr>
          <w:rFonts w:ascii="Times New Roman" w:hAnsi="Times New Roman" w:cs="Times New Roman"/>
          <w:lang w:val="en-GB" w:eastAsia="en-US" w:bidi="ar-SA"/>
        </w:rPr>
        <w:t xml:space="preserve"> 2011). While the Federal Reserve (Fed), with its policy of “benign neglect,” has often been singled out as a symbol of complacency towards the interests of financial markets, the ECB has been spared from such criticism in Eurozone polic</w:t>
      </w:r>
      <w:r w:rsidRPr="00D565A7">
        <w:rPr>
          <w:rFonts w:ascii="Times New Roman" w:hAnsi="Times New Roman" w:cs="Times New Roman"/>
          <w:lang w:val="en-GB" w:eastAsia="en-US" w:bidi="ar-SA"/>
        </w:rPr>
        <w:t>y circles (cf. Section 2). This is surprising, because, as the following two arguments will indicate, the policy preferences of the ECB towards financial</w:t>
      </w:r>
      <w:r w:rsidR="00EF2B7D" w:rsidRPr="00D565A7">
        <w:rPr>
          <w:rFonts w:ascii="Times New Roman" w:hAnsi="Times New Roman" w:cs="Times New Roman"/>
          <w:lang w:val="en-GB" w:eastAsia="en-US" w:bidi="ar-SA"/>
        </w:rPr>
        <w:t xml:space="preserve">ization </w:t>
      </w:r>
      <w:r w:rsidRPr="00D565A7">
        <w:rPr>
          <w:rFonts w:ascii="Times New Roman" w:hAnsi="Times New Roman" w:cs="Times New Roman"/>
          <w:lang w:val="en-GB" w:eastAsia="en-US" w:bidi="ar-SA"/>
        </w:rPr>
        <w:t>were not different than those of the Fed prior to the crisis</w:t>
      </w:r>
      <w:r w:rsidR="0077251E" w:rsidRPr="00D565A7">
        <w:rPr>
          <w:rFonts w:ascii="Times New Roman" w:hAnsi="Times New Roman" w:cs="Times New Roman"/>
          <w:lang w:val="en-GB" w:eastAsia="en-US" w:bidi="ar-SA"/>
        </w:rPr>
        <w:t xml:space="preserve"> (</w:t>
      </w:r>
      <w:r w:rsidR="00741CB1" w:rsidRPr="00D565A7">
        <w:rPr>
          <w:rFonts w:ascii="Times New Roman" w:hAnsi="Times New Roman" w:cs="Times New Roman"/>
          <w:lang w:val="en-GB" w:eastAsia="en-US" w:bidi="ar-SA"/>
        </w:rPr>
        <w:t xml:space="preserve">Dietsch </w:t>
      </w:r>
      <w:r w:rsidR="0077251E" w:rsidRPr="00D565A7">
        <w:rPr>
          <w:rFonts w:ascii="Times New Roman" w:hAnsi="Times New Roman" w:cs="Times New Roman"/>
          <w:i/>
          <w:lang w:val="en-GB" w:eastAsia="en-US" w:bidi="ar-SA"/>
        </w:rPr>
        <w:t>et al</w:t>
      </w:r>
      <w:r w:rsidR="0077251E" w:rsidRPr="00F15905">
        <w:rPr>
          <w:rFonts w:ascii="Times New Roman" w:hAnsi="Times New Roman" w:cs="Times New Roman"/>
          <w:lang w:val="en-GB" w:eastAsia="en-US" w:bidi="ar-SA"/>
        </w:rPr>
        <w:t>. 2018</w:t>
      </w:r>
      <w:r w:rsidR="00741CB1" w:rsidRPr="00F15905">
        <w:rPr>
          <w:rFonts w:ascii="Times New Roman" w:hAnsi="Times New Roman" w:cs="Times New Roman"/>
          <w:lang w:val="en-GB" w:eastAsia="en-US" w:bidi="ar-SA"/>
        </w:rPr>
        <w:t>,</w:t>
      </w:r>
      <w:r w:rsidR="0077251E" w:rsidRPr="00D565A7">
        <w:rPr>
          <w:rFonts w:ascii="Times New Roman" w:hAnsi="Times New Roman" w:cs="Times New Roman"/>
          <w:lang w:val="en-GB" w:eastAsia="en-US" w:bidi="ar-SA"/>
        </w:rPr>
        <w:t xml:space="preserve"> chap.3</w:t>
      </w:r>
      <w:r w:rsidR="00741CB1"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w:t>
      </w:r>
    </w:p>
    <w:p w:rsidR="003C5A5E" w:rsidRPr="00D565A7" w:rsidRDefault="003C5A5E" w:rsidP="004C367A">
      <w:pPr>
        <w:spacing w:line="480" w:lineRule="auto"/>
        <w:jc w:val="both"/>
        <w:rPr>
          <w:rFonts w:ascii="Times New Roman" w:hAnsi="Times New Roman" w:cs="Times New Roman"/>
          <w:lang w:val="en-GB"/>
        </w:rPr>
      </w:pPr>
    </w:p>
    <w:p w:rsidR="003C5A5E" w:rsidRPr="00F15905"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First, the ECB has been one of the promoters of the “regulatory liberalism” paradigm in the EU (on this paradigm, see Mügge 2011). Indeed, even though it did not have any kind of formal financial supervision competency before 2010, the ECB is part of the “Basel Committee” forums and it delivers many legal opinions on supervisory issues. For example, Jean-Claude Trichet</w:t>
      </w:r>
      <w:r w:rsidRPr="00F15905">
        <w:rPr>
          <w:rStyle w:val="Ancredenotedefin"/>
          <w:rFonts w:ascii="Times New Roman" w:hAnsi="Times New Roman" w:cs="Times New Roman"/>
          <w:lang w:val="en-GB" w:eastAsia="en-US" w:bidi="ar-SA"/>
        </w:rPr>
        <w:endnoteReference w:id="7"/>
      </w:r>
      <w:r w:rsidRPr="00F15905">
        <w:rPr>
          <w:rFonts w:ascii="Times New Roman" w:hAnsi="Times New Roman" w:cs="Times New Roman"/>
          <w:lang w:val="en-GB" w:eastAsia="en-US" w:bidi="ar-SA"/>
        </w:rPr>
        <w:t xml:space="preserve"> promoted the self-regulation of markets as the best regulatory opt</w:t>
      </w:r>
      <w:r w:rsidR="00EF48D3" w:rsidRPr="00F15905">
        <w:rPr>
          <w:rFonts w:ascii="Times New Roman" w:hAnsi="Times New Roman" w:cs="Times New Roman"/>
          <w:lang w:val="en-GB" w:eastAsia="en-US" w:bidi="ar-SA"/>
        </w:rPr>
        <w:t>ion until at least October 2007</w:t>
      </w:r>
      <w:r w:rsidRPr="00F15905">
        <w:rPr>
          <w:rStyle w:val="Ancredenotedefin"/>
          <w:rFonts w:ascii="Times New Roman" w:hAnsi="Times New Roman" w:cs="Times New Roman"/>
          <w:lang w:val="en-GB" w:eastAsia="en-US" w:bidi="ar-SA"/>
        </w:rPr>
        <w:endnoteReference w:id="8"/>
      </w:r>
      <w:r w:rsidR="00EF48D3" w:rsidRPr="00F15905">
        <w:rPr>
          <w:rFonts w:ascii="Times New Roman" w:hAnsi="Times New Roman" w:cs="Times New Roman"/>
          <w:lang w:val="en-GB" w:eastAsia="en-US" w:bidi="ar-SA"/>
        </w:rPr>
        <w:t xml:space="preserve">. </w:t>
      </w:r>
    </w:p>
    <w:p w:rsidR="00052475" w:rsidRPr="00D565A7" w:rsidRDefault="00052475" w:rsidP="004C367A">
      <w:pPr>
        <w:spacing w:line="480" w:lineRule="auto"/>
        <w:jc w:val="both"/>
        <w:rPr>
          <w:rFonts w:ascii="Times New Roman" w:hAnsi="Times New Roman" w:cs="Times New Roman"/>
          <w:lang w:val="en-GB" w:eastAsia="en-US" w:bidi="ar-SA"/>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Second, the ECB has been one of the main players that, in the name of EU </w:t>
      </w:r>
      <w:r w:rsidR="00395CB8" w:rsidRPr="00D565A7">
        <w:rPr>
          <w:rFonts w:ascii="Times New Roman" w:hAnsi="Times New Roman" w:cs="Times New Roman"/>
          <w:lang w:val="en-GB" w:eastAsia="en-US" w:bidi="ar-SA"/>
        </w:rPr>
        <w:t>economic</w:t>
      </w:r>
      <w:r w:rsidRPr="00D565A7">
        <w:rPr>
          <w:rFonts w:ascii="Times New Roman" w:hAnsi="Times New Roman" w:cs="Times New Roman"/>
          <w:lang w:val="en-GB" w:eastAsia="en-US" w:bidi="ar-SA"/>
        </w:rPr>
        <w:t xml:space="preserve"> integration, has actively promoted EU financial integration and </w:t>
      </w:r>
      <w:r w:rsidR="003C1601" w:rsidRPr="00D565A7">
        <w:rPr>
          <w:rFonts w:ascii="Times New Roman" w:hAnsi="Times New Roman" w:cs="Times New Roman"/>
          <w:lang w:val="en-GB" w:eastAsia="en-US" w:bidi="ar-SA"/>
        </w:rPr>
        <w:t>participated in</w:t>
      </w:r>
      <w:r w:rsidRPr="00D565A7">
        <w:rPr>
          <w:rFonts w:ascii="Times New Roman" w:hAnsi="Times New Roman" w:cs="Times New Roman"/>
          <w:lang w:val="en-GB" w:eastAsia="en-US" w:bidi="ar-SA"/>
        </w:rPr>
        <w:t xml:space="preserve"> the build-up of financial imbalances in the Eurozone. In particular, the financial incentives that encouraged risky, large-scale lending to the Eurozone periphery countries were very similar to those that led to the American subprime mortgage crisis, with the key difference that they involved public debt rather than private debt. </w:t>
      </w:r>
      <w:r w:rsidR="00052475" w:rsidRPr="00D565A7">
        <w:rPr>
          <w:rFonts w:ascii="Times New Roman" w:hAnsi="Times New Roman" w:cs="Times New Roman"/>
          <w:lang w:val="en-GB" w:eastAsia="en-US" w:bidi="ar-SA"/>
        </w:rPr>
        <w:t>T</w:t>
      </w:r>
      <w:r w:rsidRPr="00D565A7">
        <w:rPr>
          <w:rFonts w:ascii="Times New Roman" w:hAnsi="Times New Roman" w:cs="Times New Roman"/>
          <w:lang w:val="en-GB" w:eastAsia="en-US" w:bidi="ar-SA"/>
        </w:rPr>
        <w:t>he ECB created a basket of government securities in which the debt of any Eurozone country (Greece or Germany for example) has the same value when used as collateral in ECB refinancing</w:t>
      </w:r>
      <w:r w:rsidR="009F16AC" w:rsidRPr="00D565A7">
        <w:rPr>
          <w:rFonts w:ascii="Times New Roman" w:hAnsi="Times New Roman" w:cs="Times New Roman"/>
          <w:lang w:val="en-GB" w:eastAsia="en-US" w:bidi="ar-SA"/>
        </w:rPr>
        <w:t xml:space="preserve"> operations (Gabor </w:t>
      </w:r>
      <w:r w:rsidR="00741CB1" w:rsidRPr="00D565A7">
        <w:rPr>
          <w:rFonts w:ascii="Times New Roman" w:hAnsi="Times New Roman" w:cs="Times New Roman"/>
          <w:lang w:val="en-GB" w:eastAsia="en-US" w:bidi="ar-SA"/>
        </w:rPr>
        <w:t xml:space="preserve">&amp; </w:t>
      </w:r>
      <w:r w:rsidR="009F16AC" w:rsidRPr="00D565A7">
        <w:rPr>
          <w:rFonts w:ascii="Times New Roman" w:hAnsi="Times New Roman" w:cs="Times New Roman"/>
          <w:lang w:val="en-GB" w:eastAsia="en-US" w:bidi="ar-SA"/>
        </w:rPr>
        <w:t>Ban 2016</w:t>
      </w:r>
      <w:r w:rsidRPr="00D565A7">
        <w:rPr>
          <w:rFonts w:ascii="Times New Roman" w:hAnsi="Times New Roman" w:cs="Times New Roman"/>
          <w:lang w:val="en-GB" w:eastAsia="en-US" w:bidi="ar-SA"/>
        </w:rPr>
        <w:t>)</w:t>
      </w:r>
      <w:r w:rsidR="00B73A0F" w:rsidRPr="00F15905">
        <w:rPr>
          <w:rStyle w:val="EndnoteReference"/>
          <w:rFonts w:ascii="Times New Roman" w:hAnsi="Times New Roman" w:cs="Times New Roman"/>
          <w:lang w:val="en-GB" w:eastAsia="en-US" w:bidi="ar-SA"/>
        </w:rPr>
        <w:endnoteReference w:id="9"/>
      </w:r>
      <w:r w:rsidRPr="00F15905">
        <w:rPr>
          <w:rFonts w:ascii="Times New Roman" w:hAnsi="Times New Roman" w:cs="Times New Roman"/>
          <w:lang w:val="en-GB" w:eastAsia="en-US" w:bidi="ar-SA"/>
        </w:rPr>
        <w:t>. By doing so, it encouraged financial operators to use government debts as collateral for Eurozone’s repo market in an undifferentiated way. This policy revived the Eurozone repo market: its size tripled between 2001 and 2008, mostly because 75% of the repo transactions used government debt as collateral for other risky financial opera</w:t>
      </w:r>
      <w:r w:rsidRPr="00D565A7">
        <w:rPr>
          <w:rFonts w:ascii="Times New Roman" w:hAnsi="Times New Roman" w:cs="Times New Roman"/>
          <w:lang w:val="en-GB" w:eastAsia="en-US" w:bidi="ar-SA"/>
        </w:rPr>
        <w:t xml:space="preserve">tions. This recycling </w:t>
      </w:r>
      <w:r w:rsidR="00052475" w:rsidRPr="00D565A7">
        <w:rPr>
          <w:rFonts w:ascii="Times New Roman" w:hAnsi="Times New Roman" w:cs="Times New Roman"/>
          <w:lang w:val="en-GB" w:eastAsia="en-US" w:bidi="ar-SA"/>
        </w:rPr>
        <w:t>was conducive to</w:t>
      </w:r>
      <w:r w:rsidRPr="00D565A7">
        <w:rPr>
          <w:rFonts w:ascii="Times New Roman" w:hAnsi="Times New Roman" w:cs="Times New Roman"/>
          <w:lang w:val="en-GB" w:eastAsia="en-US" w:bidi="ar-SA"/>
        </w:rPr>
        <w:t xml:space="preserve"> the major banks’ risky financial expansion and the build-up of the Eurozone financial imbalances (Blyth 2013</w:t>
      </w:r>
      <w:r w:rsidR="00741CB1"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 xml:space="preserve"> chap</w:t>
      </w:r>
      <w:r w:rsidR="00CA760F"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 xml:space="preserve"> 3).</w:t>
      </w:r>
    </w:p>
    <w:p w:rsidR="003C5A5E" w:rsidRPr="00D565A7" w:rsidRDefault="003C5A5E" w:rsidP="004C367A">
      <w:pPr>
        <w:spacing w:line="480" w:lineRule="auto"/>
        <w:jc w:val="both"/>
        <w:rPr>
          <w:rFonts w:ascii="Times New Roman" w:hAnsi="Times New Roman" w:cs="Times New Roman"/>
          <w:lang w:val="en-GB" w:eastAsia="en-US" w:bidi="ar-SA"/>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This analysis of the two faces of the ECB independence shows that central bankers were in favour of market-friendly policies in both economic governance and financial regulation. Yet, until 2010, the ECB’s influence on these issues was limited, because it did not have the means to convince elected policymakers to enact economic reforms, nor did it play a central role in financial supervision and regulation.</w:t>
      </w:r>
    </w:p>
    <w:p w:rsidR="003C5A5E" w:rsidRPr="00D565A7" w:rsidRDefault="003A01D2" w:rsidP="004C367A">
      <w:pPr>
        <w:pStyle w:val="Titre11"/>
        <w:numPr>
          <w:ilvl w:val="0"/>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lastRenderedPageBreak/>
        <w:t>2. The ECB channels of influence during the crisis</w:t>
      </w:r>
    </w:p>
    <w:p w:rsidR="005904D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Although financial crises are inherently linked to financial cycles an</w:t>
      </w:r>
      <w:r w:rsidR="00052475" w:rsidRPr="00D565A7">
        <w:rPr>
          <w:rFonts w:ascii="Times New Roman" w:hAnsi="Times New Roman" w:cs="Times New Roman"/>
          <w:lang w:val="en-GB" w:eastAsia="en-US" w:bidi="ar-SA"/>
        </w:rPr>
        <w:t xml:space="preserve">d are not extraordinary events, </w:t>
      </w:r>
      <w:r w:rsidRPr="00D565A7">
        <w:rPr>
          <w:rFonts w:ascii="Times New Roman" w:hAnsi="Times New Roman" w:cs="Times New Roman"/>
          <w:lang w:val="en-GB" w:eastAsia="en-US" w:bidi="ar-SA"/>
        </w:rPr>
        <w:t>these unexpected critical junctures can change the balance of power within political systems (Dobry 1992). This potential power shift is linked to ideational changes, which are more likely in times of crisis (Blyth 2002</w:t>
      </w:r>
      <w:r w:rsidR="00741CB1" w:rsidRPr="00D565A7">
        <w:rPr>
          <w:rFonts w:ascii="Times New Roman" w:hAnsi="Times New Roman" w:cs="Times New Roman"/>
          <w:lang w:val="en-GB" w:eastAsia="en-US" w:bidi="ar-SA"/>
        </w:rPr>
        <w:t>)</w:t>
      </w:r>
      <w:r w:rsidR="005904DE" w:rsidRPr="00D565A7">
        <w:rPr>
          <w:rFonts w:ascii="Times New Roman" w:hAnsi="Times New Roman" w:cs="Times New Roman"/>
          <w:lang w:val="en-GB" w:eastAsia="en-US" w:bidi="ar-SA"/>
        </w:rPr>
        <w:t xml:space="preserve">. For example, if the dominant crisis narrative would have highlight the role played by core Eurozone banks in the build-up of financial imbalances, the likely set of policy </w:t>
      </w:r>
      <w:r w:rsidR="00D00466" w:rsidRPr="00D565A7">
        <w:rPr>
          <w:rFonts w:ascii="Times New Roman" w:hAnsi="Times New Roman" w:cs="Times New Roman"/>
          <w:lang w:val="en-GB" w:eastAsia="en-US" w:bidi="ar-SA"/>
        </w:rPr>
        <w:t>prescriptions</w:t>
      </w:r>
      <w:r w:rsidR="00EF2B7D" w:rsidRPr="00D565A7">
        <w:rPr>
          <w:rFonts w:ascii="Times New Roman" w:hAnsi="Times New Roman" w:cs="Times New Roman"/>
          <w:lang w:val="en-GB" w:eastAsia="en-US" w:bidi="ar-SA"/>
        </w:rPr>
        <w:t xml:space="preserve"> would aim at reversing the process of financialization</w:t>
      </w:r>
      <w:r w:rsidR="005A4FF8" w:rsidRPr="00D565A7">
        <w:rPr>
          <w:rFonts w:ascii="Times New Roman" w:hAnsi="Times New Roman" w:cs="Times New Roman"/>
          <w:lang w:val="en-GB" w:eastAsia="en-US" w:bidi="ar-SA"/>
        </w:rPr>
        <w:t>.</w:t>
      </w:r>
      <w:r w:rsidR="005904DE" w:rsidRPr="00D565A7">
        <w:rPr>
          <w:rFonts w:ascii="Times New Roman" w:hAnsi="Times New Roman" w:cs="Times New Roman"/>
          <w:lang w:val="en-GB" w:eastAsia="en-US" w:bidi="ar-SA"/>
        </w:rPr>
        <w:t xml:space="preserve"> </w:t>
      </w:r>
      <w:r w:rsidR="00D00466" w:rsidRPr="00D565A7">
        <w:rPr>
          <w:rFonts w:ascii="Times New Roman" w:hAnsi="Times New Roman" w:cs="Times New Roman"/>
          <w:lang w:val="en-GB" w:eastAsia="en-US" w:bidi="ar-SA"/>
        </w:rPr>
        <w:t>However, t</w:t>
      </w:r>
      <w:r w:rsidRPr="00D565A7">
        <w:rPr>
          <w:rFonts w:ascii="Times New Roman" w:hAnsi="Times New Roman" w:cs="Times New Roman"/>
          <w:lang w:val="en-GB" w:eastAsia="en-US" w:bidi="ar-SA"/>
        </w:rPr>
        <w:t>hese changes are not automatic, because crises can also counter-intuitively reinforce prevailing ideas and dominant political players</w:t>
      </w:r>
      <w:r w:rsidR="00BA6568" w:rsidRPr="00D565A7">
        <w:rPr>
          <w:rFonts w:ascii="Times New Roman" w:hAnsi="Times New Roman" w:cs="Times New Roman"/>
          <w:lang w:val="en-GB" w:eastAsia="en-US" w:bidi="ar-SA"/>
        </w:rPr>
        <w:t>.</w:t>
      </w:r>
      <w:r w:rsidR="005904DE" w:rsidRPr="00D565A7">
        <w:rPr>
          <w:rFonts w:ascii="Times New Roman" w:hAnsi="Times New Roman" w:cs="Times New Roman"/>
          <w:lang w:val="en-GB" w:eastAsia="en-US" w:bidi="ar-SA"/>
        </w:rPr>
        <w:t xml:space="preserve"> </w:t>
      </w:r>
      <w:r w:rsidR="00D00466" w:rsidRPr="00D565A7">
        <w:rPr>
          <w:rFonts w:ascii="Times New Roman" w:hAnsi="Times New Roman" w:cs="Times New Roman"/>
          <w:lang w:val="en-GB" w:eastAsia="en-US" w:bidi="ar-SA"/>
        </w:rPr>
        <w:t xml:space="preserve">The case of the Eurozone crisis is exemplary in this regard as dominant </w:t>
      </w:r>
      <w:r w:rsidR="00C8567C" w:rsidRPr="00D565A7">
        <w:rPr>
          <w:rFonts w:ascii="Times New Roman" w:hAnsi="Times New Roman" w:cs="Times New Roman"/>
          <w:lang w:val="en-GB" w:eastAsia="en-US" w:bidi="ar-SA"/>
        </w:rPr>
        <w:t xml:space="preserve">orthodox </w:t>
      </w:r>
      <w:r w:rsidR="00D00466" w:rsidRPr="00D565A7">
        <w:rPr>
          <w:rFonts w:ascii="Times New Roman" w:hAnsi="Times New Roman" w:cs="Times New Roman"/>
          <w:lang w:val="en-GB" w:eastAsia="en-US" w:bidi="ar-SA"/>
        </w:rPr>
        <w:t xml:space="preserve">political players (such as Germany) managed to impose their crisis narrative, and subsequent policy solutions, against competing explanations (Matthijs </w:t>
      </w:r>
      <w:r w:rsidR="00741CB1" w:rsidRPr="00D565A7">
        <w:rPr>
          <w:rFonts w:ascii="Times New Roman" w:hAnsi="Times New Roman" w:cs="Times New Roman"/>
          <w:lang w:val="en-GB" w:eastAsia="en-US" w:bidi="ar-SA"/>
        </w:rPr>
        <w:t xml:space="preserve">&amp; </w:t>
      </w:r>
      <w:r w:rsidR="00D00466" w:rsidRPr="00D565A7">
        <w:rPr>
          <w:rFonts w:ascii="Times New Roman" w:hAnsi="Times New Roman" w:cs="Times New Roman"/>
          <w:lang w:val="en-GB" w:eastAsia="en-US" w:bidi="ar-SA"/>
        </w:rPr>
        <w:t>McNamara 2015).</w:t>
      </w:r>
    </w:p>
    <w:p w:rsidR="005904DE" w:rsidRPr="00D565A7" w:rsidRDefault="005904DE" w:rsidP="004C367A">
      <w:pPr>
        <w:spacing w:line="480" w:lineRule="auto"/>
        <w:jc w:val="both"/>
        <w:rPr>
          <w:rFonts w:ascii="Times New Roman" w:hAnsi="Times New Roman" w:cs="Times New Roman"/>
          <w:lang w:val="en-GB" w:eastAsia="en-US" w:bidi="ar-SA"/>
        </w:rPr>
      </w:pPr>
    </w:p>
    <w:p w:rsidR="003C5A5E" w:rsidRPr="00D565A7" w:rsidRDefault="005904DE"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Consequently</w:t>
      </w:r>
      <w:r w:rsidR="003A01D2" w:rsidRPr="00D565A7">
        <w:rPr>
          <w:rFonts w:ascii="Times New Roman" w:hAnsi="Times New Roman" w:cs="Times New Roman"/>
          <w:lang w:val="en-GB" w:eastAsia="en-US" w:bidi="ar-SA"/>
        </w:rPr>
        <w:t xml:space="preserve">, the on-going financial crisis is both a risk and a window of opportunity for the ECB. On the one hand, if the banking sector were to collapse, the ECB would be perceived as a failed regulatory organization and it would lose its current level of autonomy. Similarly, a paradigmatic shift towards economic ideas in which </w:t>
      </w:r>
      <w:r w:rsidR="00A86C21" w:rsidRPr="00D565A7">
        <w:rPr>
          <w:rFonts w:ascii="Times New Roman" w:hAnsi="Times New Roman" w:cs="Times New Roman"/>
          <w:lang w:val="en-GB" w:eastAsia="en-US" w:bidi="ar-SA"/>
        </w:rPr>
        <w:t>financial</w:t>
      </w:r>
      <w:r w:rsidR="003A01D2" w:rsidRPr="00D565A7">
        <w:rPr>
          <w:rFonts w:ascii="Times New Roman" w:hAnsi="Times New Roman" w:cs="Times New Roman"/>
          <w:lang w:val="en-GB" w:eastAsia="en-US" w:bidi="ar-SA"/>
        </w:rPr>
        <w:t xml:space="preserve"> mechanisms are contested would weaken the ECB</w:t>
      </w:r>
      <w:r w:rsidR="00D00466" w:rsidRPr="00D565A7">
        <w:rPr>
          <w:rFonts w:ascii="Times New Roman" w:hAnsi="Times New Roman" w:cs="Times New Roman"/>
          <w:lang w:val="en-GB" w:eastAsia="en-US" w:bidi="ar-SA"/>
        </w:rPr>
        <w:t xml:space="preserve">, in part because it was active in promoting </w:t>
      </w:r>
      <w:r w:rsidR="00AF288A" w:rsidRPr="00D565A7">
        <w:rPr>
          <w:rFonts w:ascii="Times New Roman" w:hAnsi="Times New Roman" w:cs="Times New Roman"/>
          <w:lang w:val="en-GB" w:eastAsia="en-US" w:bidi="ar-SA"/>
        </w:rPr>
        <w:t>financialization</w:t>
      </w:r>
      <w:r w:rsidR="001814E2" w:rsidRPr="00D565A7">
        <w:rPr>
          <w:rFonts w:ascii="Times New Roman" w:hAnsi="Times New Roman" w:cs="Times New Roman"/>
          <w:lang w:val="en-GB" w:eastAsia="en-US" w:bidi="ar-SA"/>
        </w:rPr>
        <w:t xml:space="preserve"> </w:t>
      </w:r>
      <w:r w:rsidR="00C8567C" w:rsidRPr="00D565A7">
        <w:rPr>
          <w:rFonts w:ascii="Times New Roman" w:hAnsi="Times New Roman" w:cs="Times New Roman"/>
          <w:lang w:val="en-GB" w:eastAsia="en-US" w:bidi="ar-SA"/>
        </w:rPr>
        <w:t xml:space="preserve">before the crisis </w:t>
      </w:r>
      <w:r w:rsidR="001814E2" w:rsidRPr="00D565A7">
        <w:rPr>
          <w:rFonts w:ascii="Times New Roman" w:hAnsi="Times New Roman" w:cs="Times New Roman"/>
          <w:lang w:val="en-GB" w:eastAsia="en-US" w:bidi="ar-SA"/>
        </w:rPr>
        <w:t>(cf. Section 1</w:t>
      </w:r>
      <w:r w:rsidR="00D00466" w:rsidRPr="00D565A7">
        <w:rPr>
          <w:rFonts w:ascii="Times New Roman" w:hAnsi="Times New Roman" w:cs="Times New Roman"/>
          <w:lang w:val="en-GB" w:eastAsia="en-US" w:bidi="ar-SA"/>
        </w:rPr>
        <w:t>).</w:t>
      </w:r>
      <w:r w:rsidR="003A01D2" w:rsidRPr="00D565A7">
        <w:rPr>
          <w:rFonts w:ascii="Times New Roman" w:hAnsi="Times New Roman" w:cs="Times New Roman"/>
          <w:lang w:val="en-GB" w:eastAsia="en-US" w:bidi="ar-SA"/>
        </w:rPr>
        <w:t xml:space="preserve"> Consequently, the ECB aims to stabilize the collapsing financial system while framing the crisis as fiscal in nature rather than financial. On the other hand, the role played by the ECB as an intermediary between financial and political systems has increased the power of central bankers during the financial crisis</w:t>
      </w:r>
      <w:r w:rsidR="00C12100" w:rsidRPr="00D565A7">
        <w:rPr>
          <w:rFonts w:ascii="Times New Roman" w:hAnsi="Times New Roman" w:cs="Times New Roman"/>
          <w:lang w:val="en-GB" w:eastAsia="en-US" w:bidi="ar-SA"/>
        </w:rPr>
        <w:t xml:space="preserve"> (Dyson </w:t>
      </w:r>
      <w:r w:rsidR="00441D3F" w:rsidRPr="00D565A7">
        <w:rPr>
          <w:rFonts w:ascii="Times New Roman" w:hAnsi="Times New Roman" w:cs="Times New Roman"/>
          <w:lang w:val="en-GB" w:eastAsia="en-US" w:bidi="ar-SA"/>
        </w:rPr>
        <w:t>2009</w:t>
      </w:r>
      <w:r w:rsidR="003A01D2" w:rsidRPr="00D565A7">
        <w:rPr>
          <w:rFonts w:ascii="Times New Roman" w:hAnsi="Times New Roman" w:cs="Times New Roman"/>
          <w:lang w:val="en-GB" w:eastAsia="en-US" w:bidi="ar-SA"/>
        </w:rPr>
        <w:t>). Indeed, the ECB’s expertise over financial issues and its monopoly over liquidity supply become crucial strategic resources during times of crisis. These two elements constitute the ECB’s two channels of influence (</w:t>
      </w:r>
      <w:r w:rsidR="00741CB1" w:rsidRPr="00D565A7">
        <w:rPr>
          <w:rFonts w:ascii="Times New Roman" w:hAnsi="Times New Roman" w:cs="Times New Roman"/>
          <w:lang w:val="en-GB" w:eastAsia="en-US" w:bidi="ar-SA"/>
        </w:rPr>
        <w:t xml:space="preserve">Fontan </w:t>
      </w:r>
      <w:r w:rsidR="003A01D2" w:rsidRPr="00D565A7">
        <w:rPr>
          <w:rFonts w:ascii="Times New Roman" w:hAnsi="Times New Roman" w:cs="Times New Roman"/>
          <w:lang w:val="en-GB" w:eastAsia="en-US" w:bidi="ar-SA"/>
        </w:rPr>
        <w:t xml:space="preserve"> 2013). Whereas the former is cognitive, the latter is coercive (on this distinction, Orenstein 2008). The ECB relies on these two channels to control the risks associated with the crisis and to use the crisis as an </w:t>
      </w:r>
      <w:r w:rsidR="003A01D2" w:rsidRPr="00D565A7">
        <w:rPr>
          <w:rFonts w:ascii="Times New Roman" w:hAnsi="Times New Roman" w:cs="Times New Roman"/>
          <w:lang w:val="en-GB" w:eastAsia="en-US" w:bidi="ar-SA"/>
        </w:rPr>
        <w:lastRenderedPageBreak/>
        <w:t>opportunity to extend its influence on Eurozone governance.</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The expertise over financial issues</w:t>
      </w: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rPr>
        <w:t>T</w:t>
      </w:r>
      <w:r w:rsidRPr="00D565A7">
        <w:rPr>
          <w:rFonts w:ascii="Times New Roman" w:hAnsi="Times New Roman" w:cs="Times New Roman"/>
          <w:lang w:val="en-GB" w:eastAsia="en-US" w:bidi="ar-SA"/>
        </w:rPr>
        <w:t>he ECB has the largest research centre amongst EMU institutions (on the ECB's strategy of hyper-scientization, M</w:t>
      </w:r>
      <w:r w:rsidR="00F15905">
        <w:rPr>
          <w:rFonts w:ascii="Times New Roman" w:hAnsi="Times New Roman" w:cs="Times New Roman"/>
          <w:lang w:val="en-GB" w:eastAsia="en-US" w:bidi="ar-SA"/>
        </w:rPr>
        <w:t>ü</w:t>
      </w:r>
      <w:r w:rsidRPr="00F15905">
        <w:rPr>
          <w:rFonts w:ascii="Times New Roman" w:hAnsi="Times New Roman" w:cs="Times New Roman"/>
          <w:lang w:val="en-GB" w:eastAsia="en-US" w:bidi="ar-SA"/>
        </w:rPr>
        <w:t xml:space="preserve">dge </w:t>
      </w:r>
      <w:r w:rsidR="00741CB1" w:rsidRPr="00F15905">
        <w:rPr>
          <w:rFonts w:ascii="Times New Roman" w:hAnsi="Times New Roman" w:cs="Times New Roman"/>
          <w:lang w:val="en-GB" w:eastAsia="en-US" w:bidi="ar-SA"/>
        </w:rPr>
        <w:t xml:space="preserve">&amp; </w:t>
      </w:r>
      <w:r w:rsidRPr="00F15905">
        <w:rPr>
          <w:rFonts w:ascii="Times New Roman" w:hAnsi="Times New Roman" w:cs="Times New Roman"/>
          <w:lang w:val="en-GB" w:eastAsia="en-US" w:bidi="ar-SA"/>
        </w:rPr>
        <w:t>Vauchez2016). It has a practitioner's point of view on financial developments, because trades are made on a daily basis with financial operators. Besides, the perceived complexity of financial systems increases the perceived value of</w:t>
      </w:r>
      <w:r w:rsidR="00052475" w:rsidRPr="00D565A7">
        <w:rPr>
          <w:rFonts w:ascii="Times New Roman" w:hAnsi="Times New Roman" w:cs="Times New Roman"/>
          <w:lang w:val="en-GB" w:eastAsia="en-US" w:bidi="ar-SA"/>
        </w:rPr>
        <w:t xml:space="preserve"> the central bankers' expertise. </w:t>
      </w:r>
      <w:r w:rsidRPr="00D565A7">
        <w:rPr>
          <w:rFonts w:ascii="Times New Roman" w:hAnsi="Times New Roman" w:cs="Times New Roman"/>
          <w:lang w:val="en-GB" w:eastAsia="en-US" w:bidi="ar-SA"/>
        </w:rPr>
        <w:t xml:space="preserve">The recognition of this value enables central bankers to insulate their policies from external criticism and to extend their influence over other policies. Indeed, the scientization of monetary and financial matters since the 1990's apoliticised the activities of central bankers and granted the ECB increased autonomy in the conduct of its policies and greater recognition for its opinions on non-monetary matters (Marcussen, 2009). Here, I rely on the semi-directed interviews that I conducted with Economic and Financial Committee's (EFC) agents (cf. Introduction) to show how the ECB relied on the recognition of its expertise in the first phases of the crisis to both frame the crisis as a fiscal and competitiveness crisis and build alliances in favour of specific policy solutions. </w:t>
      </w:r>
    </w:p>
    <w:p w:rsidR="003C5A5E" w:rsidRPr="00D565A7" w:rsidRDefault="003C5A5E" w:rsidP="004C367A">
      <w:pPr>
        <w:spacing w:line="480" w:lineRule="auto"/>
        <w:jc w:val="both"/>
        <w:rPr>
          <w:rFonts w:ascii="Times New Roman" w:hAnsi="Times New Roman" w:cs="Times New Roman"/>
          <w:lang w:val="en-GB"/>
        </w:rPr>
      </w:pPr>
    </w:p>
    <w:p w:rsidR="003C5A5E" w:rsidRPr="00D565A7" w:rsidRDefault="003A01D2" w:rsidP="004C367A">
      <w:pPr>
        <w:spacing w:line="480" w:lineRule="auto"/>
        <w:jc w:val="both"/>
        <w:rPr>
          <w:rFonts w:ascii="Times New Roman" w:hAnsi="Times New Roman" w:cs="Times New Roman"/>
          <w:lang w:val="en-GB" w:bidi="ar-SA"/>
        </w:rPr>
      </w:pPr>
      <w:r w:rsidRPr="00F15905">
        <w:rPr>
          <w:rFonts w:ascii="Times New Roman" w:hAnsi="Times New Roman" w:cs="Times New Roman"/>
          <w:lang w:val="en-GB" w:eastAsia="en-US" w:bidi="ar-SA"/>
        </w:rPr>
        <w:t>First, an interviewee explains why the EFC agents trusted more the ECB's expertise than their own supervisors' analysis to assess financial risks in the context of the creation of the European Financial Stabilit</w:t>
      </w:r>
      <w:r w:rsidRPr="00D565A7">
        <w:rPr>
          <w:rFonts w:ascii="Times New Roman" w:hAnsi="Times New Roman" w:cs="Times New Roman"/>
          <w:lang w:val="en-GB" w:eastAsia="en-US" w:bidi="ar-SA"/>
        </w:rPr>
        <w:t>y Fund (EFSF)</w:t>
      </w:r>
      <w:r w:rsidRPr="00D565A7">
        <w:rPr>
          <w:rFonts w:ascii="Times New Roman" w:hAnsi="Times New Roman" w:cs="Times New Roman"/>
          <w:lang w:val="en-GB" w:bidi="ar-SA"/>
        </w:rPr>
        <w:t>:</w:t>
      </w:r>
    </w:p>
    <w:p w:rsidR="003C5A5E" w:rsidRPr="00D565A7" w:rsidRDefault="003C5A5E" w:rsidP="004C367A">
      <w:pPr>
        <w:spacing w:line="480" w:lineRule="auto"/>
        <w:jc w:val="both"/>
        <w:rPr>
          <w:rFonts w:ascii="Times New Roman" w:hAnsi="Times New Roman" w:cs="Times New Roman"/>
          <w:lang w:val="en-GB"/>
        </w:rPr>
      </w:pPr>
    </w:p>
    <w:p w:rsidR="003C5A5E" w:rsidRPr="00D565A7" w:rsidRDefault="003A01D2" w:rsidP="004C367A">
      <w:pPr>
        <w:pStyle w:val="FootnoteText"/>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bidi="ar-SA"/>
        </w:rPr>
        <w:t xml:space="preserve">My feeling is that the ECB knew how the markets were unfolding. You’ve got the screen on your desk, you look at it, but you don't have the </w:t>
      </w:r>
      <w:r w:rsidRPr="00D565A7">
        <w:rPr>
          <w:rFonts w:ascii="Times New Roman" w:eastAsia="Times New Roman" w:hAnsi="Times New Roman" w:cs="Times New Roman"/>
          <w:szCs w:val="24"/>
          <w:lang w:val="en-GB" w:eastAsia="fr-FR" w:bidi="ar-SA"/>
        </w:rPr>
        <w:t xml:space="preserve">practitioner’s </w:t>
      </w:r>
      <w:r w:rsidRPr="00D565A7">
        <w:rPr>
          <w:rFonts w:ascii="Times New Roman" w:hAnsi="Times New Roman" w:cs="Times New Roman"/>
          <w:lang w:val="en-GB" w:bidi="ar-SA"/>
        </w:rPr>
        <w:t xml:space="preserve">point of view of how it is developing, you don't have a realistic view on how this is impacting you through the conference calls with the banking supervisors. (...) </w:t>
      </w:r>
      <w:r w:rsidRPr="00D565A7">
        <w:rPr>
          <w:rFonts w:ascii="Times New Roman" w:hAnsi="Times New Roman" w:cs="Times New Roman"/>
          <w:lang w:val="en-GB" w:eastAsia="en-US" w:bidi="ar-SA"/>
        </w:rPr>
        <w:t>they were the ones we relied upon to say “things are getting worse but they are not catastrophic”, and then when they said “now we’re going to do it over the coming week-end</w:t>
      </w:r>
      <w:r w:rsidRPr="00F15905">
        <w:rPr>
          <w:rStyle w:val="Ancredenotedefin"/>
          <w:rFonts w:ascii="Times New Roman" w:hAnsi="Times New Roman" w:cs="Times New Roman"/>
          <w:lang w:val="en-GB" w:eastAsia="en-US" w:bidi="ar-SA"/>
        </w:rPr>
        <w:endnoteReference w:id="10"/>
      </w:r>
      <w:r w:rsidRPr="00F15905">
        <w:rPr>
          <w:rFonts w:ascii="Times New Roman" w:hAnsi="Times New Roman" w:cs="Times New Roman"/>
          <w:lang w:val="en-GB" w:eastAsia="en-US" w:bidi="ar-SA"/>
        </w:rPr>
        <w:t xml:space="preserve">”, </w:t>
      </w:r>
      <w:r w:rsidRPr="00D565A7">
        <w:rPr>
          <w:rFonts w:ascii="Times New Roman" w:hAnsi="Times New Roman" w:cs="Times New Roman"/>
          <w:lang w:val="en-GB" w:eastAsia="en-US" w:bidi="ar-SA"/>
        </w:rPr>
        <w:t>everybody knew, this is it. They’ve got the credibility to say it. (Interview 1).</w:t>
      </w:r>
    </w:p>
    <w:p w:rsidR="003C5A5E" w:rsidRPr="00D565A7" w:rsidRDefault="003C5A5E" w:rsidP="004C367A">
      <w:pPr>
        <w:pStyle w:val="FootnoteText"/>
        <w:spacing w:line="480" w:lineRule="auto"/>
        <w:jc w:val="both"/>
        <w:rPr>
          <w:rFonts w:ascii="Times New Roman" w:hAnsi="Times New Roman" w:cs="Times New Roman"/>
          <w:lang w:val="en-GB"/>
        </w:rPr>
      </w:pPr>
    </w:p>
    <w:p w:rsidR="003C5A5E" w:rsidRPr="00D565A7" w:rsidRDefault="003A01D2" w:rsidP="004C367A">
      <w:pPr>
        <w:spacing w:line="480" w:lineRule="auto"/>
        <w:ind w:firstLine="227"/>
        <w:jc w:val="both"/>
        <w:rPr>
          <w:rFonts w:ascii="Times New Roman" w:hAnsi="Times New Roman" w:cs="Times New Roman"/>
          <w:lang w:val="en-GB" w:bidi="ar-SA"/>
        </w:rPr>
      </w:pPr>
      <w:r w:rsidRPr="00D565A7">
        <w:rPr>
          <w:rFonts w:ascii="Times New Roman" w:hAnsi="Times New Roman" w:cs="Times New Roman"/>
          <w:lang w:val="en-GB" w:bidi="ar-SA"/>
        </w:rPr>
        <w:lastRenderedPageBreak/>
        <w:t>The ECB’s statute of independence complements this recognition its practical expertise:</w:t>
      </w:r>
    </w:p>
    <w:p w:rsidR="003C5A5E" w:rsidRPr="00D565A7" w:rsidRDefault="003C5A5E" w:rsidP="004C367A">
      <w:pPr>
        <w:spacing w:line="480" w:lineRule="auto"/>
        <w:ind w:firstLine="227"/>
        <w:jc w:val="both"/>
        <w:rPr>
          <w:rFonts w:ascii="Times New Roman" w:hAnsi="Times New Roman" w:cs="Times New Roman"/>
          <w:lang w:val="en-GB"/>
        </w:rPr>
      </w:pPr>
    </w:p>
    <w:p w:rsidR="003C5A5E" w:rsidRPr="00D565A7" w:rsidRDefault="003A01D2" w:rsidP="004C367A">
      <w:pPr>
        <w:pStyle w:val="FootnoteText"/>
        <w:spacing w:line="480" w:lineRule="auto"/>
        <w:jc w:val="both"/>
        <w:rPr>
          <w:rFonts w:ascii="Times New Roman" w:hAnsi="Times New Roman" w:cs="Times New Roman"/>
          <w:lang w:val="en-GB" w:bidi="ar-SA"/>
        </w:rPr>
      </w:pPr>
      <w:r w:rsidRPr="00D565A7">
        <w:rPr>
          <w:rFonts w:ascii="Times New Roman" w:hAnsi="Times New Roman" w:cs="Times New Roman"/>
          <w:lang w:val="en-GB" w:bidi="ar-SA"/>
        </w:rPr>
        <w:t>The most important reason [for the ECB influence] is the idea that the ECB is independent, lots of institutions are independent, but the ECB is the most independent one, you cannot accuse them of any collusion...there is the idea that if the ECB is saying that, it is true, it is an opinion without pressure from the governments, it is the right figure, there is a sure effect of this aura of independence (Interview 2)</w:t>
      </w:r>
    </w:p>
    <w:p w:rsidR="003C5A5E" w:rsidRPr="00D565A7" w:rsidRDefault="003C5A5E" w:rsidP="004C367A">
      <w:pPr>
        <w:pStyle w:val="FootnoteText"/>
        <w:spacing w:line="480" w:lineRule="auto"/>
        <w:jc w:val="both"/>
        <w:rPr>
          <w:rFonts w:ascii="Times New Roman" w:hAnsi="Times New Roman" w:cs="Times New Roman"/>
          <w:lang w:val="en-GB"/>
        </w:rPr>
      </w:pPr>
    </w:p>
    <w:p w:rsidR="003C5A5E" w:rsidRPr="00D565A7" w:rsidRDefault="003A01D2" w:rsidP="004C367A">
      <w:pPr>
        <w:pStyle w:val="FootnoteText"/>
        <w:spacing w:line="480" w:lineRule="auto"/>
        <w:jc w:val="both"/>
        <w:rPr>
          <w:rFonts w:ascii="Times New Roman" w:hAnsi="Times New Roman" w:cs="Times New Roman"/>
          <w:lang w:val="en-GB" w:bidi="ar-SA"/>
        </w:rPr>
      </w:pPr>
      <w:r w:rsidRPr="00D565A7">
        <w:rPr>
          <w:rFonts w:ascii="Times New Roman" w:hAnsi="Times New Roman" w:cs="Times New Roman"/>
          <w:lang w:val="en-GB" w:bidi="ar-SA"/>
        </w:rPr>
        <w:t>The Commission is seen as a political body by many when the ECB is more of an expert, people don’t doubt their position, they don’t see a political interest behind it, when they talk, it’s closer to the truth" (Interview 3)</w:t>
      </w:r>
    </w:p>
    <w:p w:rsidR="003C5A5E" w:rsidRPr="00D565A7" w:rsidRDefault="003C5A5E" w:rsidP="004C367A">
      <w:pPr>
        <w:pStyle w:val="FootnoteText"/>
        <w:spacing w:line="480" w:lineRule="auto"/>
        <w:ind w:firstLine="227"/>
        <w:jc w:val="both"/>
        <w:rPr>
          <w:rFonts w:ascii="Times New Roman" w:hAnsi="Times New Roman" w:cs="Times New Roman"/>
          <w:lang w:val="en-GB"/>
        </w:rPr>
      </w:pPr>
    </w:p>
    <w:p w:rsidR="003C5A5E" w:rsidRPr="00D565A7" w:rsidRDefault="003A01D2" w:rsidP="004C367A">
      <w:pPr>
        <w:spacing w:line="480" w:lineRule="auto"/>
        <w:jc w:val="both"/>
        <w:rPr>
          <w:rFonts w:ascii="Times New Roman" w:hAnsi="Times New Roman" w:cs="Times New Roman"/>
          <w:lang w:val="en-GB" w:bidi="ar-SA"/>
        </w:rPr>
      </w:pPr>
      <w:r w:rsidRPr="00D565A7">
        <w:rPr>
          <w:rFonts w:ascii="Times New Roman" w:hAnsi="Times New Roman" w:cs="Times New Roman"/>
          <w:lang w:val="en-GB" w:bidi="ar-SA"/>
        </w:rPr>
        <w:t>Moreover, its orthodox reputation (cf. Section 1) helped the ECB gain confidence from creditor countries such as Germany. Since the crisis was framed as a f</w:t>
      </w:r>
      <w:r w:rsidR="003C1601" w:rsidRPr="00D565A7">
        <w:rPr>
          <w:rFonts w:ascii="Times New Roman" w:hAnsi="Times New Roman" w:cs="Times New Roman"/>
          <w:lang w:val="en-GB" w:bidi="ar-SA"/>
        </w:rPr>
        <w:t xml:space="preserve">iscal crisis, </w:t>
      </w:r>
      <w:r w:rsidRPr="00D565A7">
        <w:rPr>
          <w:rFonts w:ascii="Times New Roman" w:hAnsi="Times New Roman" w:cs="Times New Roman"/>
          <w:lang w:val="en-GB" w:bidi="ar-SA"/>
        </w:rPr>
        <w:t>the ECB’s past positions on structural reforms and budgetary consolidation reinforced the positive perceptions of creditor countries on its role:</w:t>
      </w:r>
    </w:p>
    <w:p w:rsidR="003C5A5E" w:rsidRPr="00D565A7" w:rsidRDefault="003C5A5E" w:rsidP="004C367A">
      <w:pPr>
        <w:spacing w:line="480" w:lineRule="auto"/>
        <w:jc w:val="both"/>
        <w:rPr>
          <w:rFonts w:ascii="Times New Roman" w:hAnsi="Times New Roman" w:cs="Times New Roman"/>
          <w:lang w:val="en-GB"/>
        </w:rPr>
      </w:pPr>
    </w:p>
    <w:p w:rsidR="003C5A5E" w:rsidRPr="00D565A7" w:rsidRDefault="003A01D2" w:rsidP="004C367A">
      <w:pPr>
        <w:spacing w:line="480" w:lineRule="auto"/>
        <w:jc w:val="both"/>
        <w:rPr>
          <w:rStyle w:val="FootnoteTextChar"/>
          <w:rFonts w:ascii="Times New Roman" w:hAnsi="Times New Roman" w:cs="Times New Roman"/>
          <w:lang w:val="en-GB" w:bidi="ar-SA"/>
        </w:rPr>
      </w:pPr>
      <w:r w:rsidRPr="00D565A7">
        <w:rPr>
          <w:rStyle w:val="FootnoteTextChar"/>
          <w:rFonts w:ascii="Times New Roman" w:hAnsi="Times New Roman" w:cs="Times New Roman"/>
          <w:lang w:val="en-GB" w:bidi="ar-SA"/>
        </w:rPr>
        <w:t>So, who's got the credibility? The ECB, because they got people who were so unpopular like Jürgen Stark</w:t>
      </w:r>
      <w:r w:rsidRPr="00F15905">
        <w:rPr>
          <w:rStyle w:val="Ancredenotedefin"/>
          <w:rFonts w:ascii="Times New Roman" w:hAnsi="Times New Roman" w:cs="Times New Roman"/>
          <w:lang w:val="en-GB" w:bidi="ar-SA"/>
        </w:rPr>
        <w:endnoteReference w:id="11"/>
      </w:r>
      <w:r w:rsidRPr="00F15905">
        <w:rPr>
          <w:rStyle w:val="FootnoteTextChar"/>
          <w:rFonts w:ascii="Times New Roman" w:hAnsi="Times New Roman" w:cs="Times New Roman"/>
          <w:lang w:val="en-GB" w:bidi="ar-SA"/>
        </w:rPr>
        <w:t>, in case you got budgetary deficit, Jürgen would stand in front of you and say “this is a catastrophe” when we were not taking it seriously (interview 1)</w:t>
      </w:r>
    </w:p>
    <w:p w:rsidR="003C5A5E" w:rsidRPr="00D565A7" w:rsidRDefault="003C5A5E" w:rsidP="004C367A">
      <w:pPr>
        <w:spacing w:line="480" w:lineRule="auto"/>
        <w:jc w:val="both"/>
        <w:rPr>
          <w:rFonts w:ascii="Times New Roman" w:hAnsi="Times New Roman" w:cs="Times New Roman"/>
          <w:lang w:val="en-GB"/>
        </w:rPr>
      </w:pPr>
    </w:p>
    <w:p w:rsidR="003C5A5E" w:rsidRPr="00D565A7" w:rsidRDefault="003A01D2" w:rsidP="004C367A">
      <w:pPr>
        <w:spacing w:line="480" w:lineRule="auto"/>
        <w:ind w:firstLine="227"/>
        <w:jc w:val="both"/>
        <w:rPr>
          <w:rFonts w:ascii="Times New Roman" w:hAnsi="Times New Roman" w:cs="Times New Roman"/>
          <w:lang w:val="en-GB" w:bidi="ar-SA"/>
        </w:rPr>
      </w:pPr>
      <w:r w:rsidRPr="00D565A7">
        <w:rPr>
          <w:rFonts w:ascii="Times New Roman" w:hAnsi="Times New Roman" w:cs="Times New Roman"/>
          <w:lang w:val="en-GB" w:bidi="ar-SA"/>
        </w:rPr>
        <w:t>Second, its orthodox reputation convinced creditor countries to participate in Eurozone rescue plans. An official from the EFC explained this well with the example of the EFSF:</w:t>
      </w:r>
    </w:p>
    <w:p w:rsidR="003C5A5E" w:rsidRPr="00D565A7" w:rsidRDefault="003C5A5E" w:rsidP="004C367A">
      <w:pPr>
        <w:spacing w:line="480" w:lineRule="auto"/>
        <w:ind w:firstLine="227"/>
        <w:jc w:val="both"/>
        <w:rPr>
          <w:rFonts w:ascii="Times New Roman" w:hAnsi="Times New Roman" w:cs="Times New Roman"/>
          <w:lang w:val="en-GB"/>
        </w:rPr>
      </w:pPr>
    </w:p>
    <w:p w:rsidR="003C5A5E" w:rsidRPr="00D565A7" w:rsidRDefault="003A01D2" w:rsidP="004C367A">
      <w:pPr>
        <w:pStyle w:val="citation"/>
        <w:jc w:val="both"/>
        <w:rPr>
          <w:rFonts w:ascii="Times New Roman" w:hAnsi="Times New Roman" w:cs="Times New Roman"/>
          <w:sz w:val="20"/>
          <w:szCs w:val="20"/>
          <w:lang w:val="en-GB" w:bidi="ar-SA"/>
        </w:rPr>
      </w:pPr>
      <w:r w:rsidRPr="00D565A7">
        <w:rPr>
          <w:rFonts w:ascii="Times New Roman" w:hAnsi="Times New Roman" w:cs="Times New Roman"/>
          <w:sz w:val="20"/>
          <w:szCs w:val="20"/>
          <w:lang w:val="en-GB" w:bidi="ar-SA"/>
        </w:rPr>
        <w:t>You really need that, to have at least one institution that is credible to other ones when it says now we need to do that.</w:t>
      </w:r>
    </w:p>
    <w:p w:rsidR="003C5A5E" w:rsidRPr="00D565A7" w:rsidRDefault="003A01D2" w:rsidP="004C367A">
      <w:pPr>
        <w:pStyle w:val="citation"/>
        <w:jc w:val="both"/>
        <w:rPr>
          <w:rFonts w:ascii="Times New Roman" w:hAnsi="Times New Roman" w:cs="Times New Roman"/>
          <w:sz w:val="20"/>
          <w:szCs w:val="20"/>
          <w:lang w:val="en-GB" w:bidi="ar-SA"/>
        </w:rPr>
      </w:pPr>
      <w:r w:rsidRPr="00D565A7">
        <w:rPr>
          <w:rFonts w:ascii="Times New Roman" w:hAnsi="Times New Roman" w:cs="Times New Roman"/>
          <w:sz w:val="20"/>
          <w:szCs w:val="20"/>
          <w:lang w:val="en-GB" w:bidi="ar-SA"/>
        </w:rPr>
        <w:t>Q: You mean, credible enough to take the Germans on board?</w:t>
      </w:r>
    </w:p>
    <w:p w:rsidR="003C5A5E" w:rsidRPr="00D565A7" w:rsidRDefault="003A01D2" w:rsidP="004C367A">
      <w:pPr>
        <w:pStyle w:val="citation"/>
        <w:jc w:val="both"/>
        <w:rPr>
          <w:rFonts w:ascii="Times New Roman" w:hAnsi="Times New Roman" w:cs="Times New Roman"/>
          <w:sz w:val="20"/>
          <w:szCs w:val="20"/>
          <w:lang w:val="en-GB" w:bidi="ar-SA"/>
        </w:rPr>
      </w:pPr>
      <w:r w:rsidRPr="00D565A7">
        <w:rPr>
          <w:rFonts w:ascii="Times New Roman" w:hAnsi="Times New Roman" w:cs="Times New Roman"/>
          <w:sz w:val="20"/>
          <w:szCs w:val="20"/>
          <w:lang w:val="en-GB" w:bidi="ar-SA"/>
        </w:rPr>
        <w:t>A: Yes, you need a stable institution to rely on, an anchor of confidence (interview 2)</w:t>
      </w:r>
    </w:p>
    <w:p w:rsidR="003C5A5E" w:rsidRPr="00D565A7" w:rsidRDefault="003C5A5E" w:rsidP="004C367A">
      <w:pPr>
        <w:pStyle w:val="citation"/>
        <w:jc w:val="both"/>
        <w:rPr>
          <w:rFonts w:ascii="Times New Roman" w:hAnsi="Times New Roman" w:cs="Times New Roman"/>
          <w:lang w:val="en-GB"/>
        </w:rPr>
      </w:pPr>
    </w:p>
    <w:p w:rsidR="003C5A5E" w:rsidRPr="00D565A7" w:rsidRDefault="003A01D2" w:rsidP="004C367A">
      <w:pPr>
        <w:pStyle w:val="sansindetation"/>
        <w:jc w:val="both"/>
        <w:rPr>
          <w:rFonts w:ascii="Times New Roman" w:hAnsi="Times New Roman" w:cs="Times New Roman"/>
          <w:lang w:val="en-GB" w:bidi="ar-SA"/>
        </w:rPr>
      </w:pPr>
      <w:r w:rsidRPr="00D565A7">
        <w:rPr>
          <w:rFonts w:ascii="Times New Roman" w:hAnsi="Times New Roman" w:cs="Times New Roman"/>
          <w:lang w:val="en-GB" w:bidi="ar-SA"/>
        </w:rPr>
        <w:t xml:space="preserve">Interestingly, the ECB played a broker role between the Eurozone’s governments during the creation of the EFSF; the debtor countries then recognized this role positively (interview 4), as another official from </w:t>
      </w:r>
      <w:r w:rsidRPr="00D565A7">
        <w:rPr>
          <w:rFonts w:ascii="Times New Roman" w:hAnsi="Times New Roman" w:cs="Times New Roman"/>
          <w:lang w:val="en-GB" w:bidi="ar-SA"/>
        </w:rPr>
        <w:lastRenderedPageBreak/>
        <w:t>the EFC explains. ‘In May [2010], when we moved away from traditional orthodoxy during that weekend, Germany, Finland and the Netherlands were brought on board by the ECB’ (interview 3). The ECB was thus well-beyond its “advisory role” enshrined in the treaties since it played the traditional</w:t>
      </w:r>
      <w:r w:rsidR="00887B1B" w:rsidRPr="00D565A7">
        <w:rPr>
          <w:rFonts w:ascii="Times New Roman" w:hAnsi="Times New Roman" w:cs="Times New Roman"/>
          <w:lang w:val="en-GB" w:bidi="ar-SA"/>
        </w:rPr>
        <w:t xml:space="preserve"> “broker”</w:t>
      </w:r>
      <w:r w:rsidRPr="00D565A7">
        <w:rPr>
          <w:rFonts w:ascii="Times New Roman" w:hAnsi="Times New Roman" w:cs="Times New Roman"/>
          <w:lang w:val="en-GB" w:bidi="ar-SA"/>
        </w:rPr>
        <w:t xml:space="preserve"> role that the Commission used to endorse </w:t>
      </w:r>
      <w:r w:rsidR="0080538E" w:rsidRPr="00D565A7">
        <w:rPr>
          <w:rFonts w:ascii="Times New Roman" w:hAnsi="Times New Roman" w:cs="Times New Roman"/>
          <w:lang w:val="en-GB" w:bidi="ar-SA"/>
        </w:rPr>
        <w:t>during the creation of the euro</w:t>
      </w:r>
      <w:r w:rsidR="00F15905" w:rsidRPr="00D565A7">
        <w:rPr>
          <w:rFonts w:ascii="Times New Roman" w:hAnsi="Times New Roman" w:cs="Times New Roman"/>
          <w:lang w:val="en-GB" w:bidi="ar-SA"/>
        </w:rPr>
        <w:t xml:space="preserve"> (Jabko</w:t>
      </w:r>
      <w:r w:rsidR="00887B1B" w:rsidRPr="00D565A7">
        <w:rPr>
          <w:rFonts w:ascii="Times New Roman" w:hAnsi="Times New Roman" w:cs="Times New Roman"/>
          <w:lang w:val="en-GB" w:bidi="ar-SA"/>
        </w:rPr>
        <w:t xml:space="preserve"> 2006)</w:t>
      </w:r>
      <w:r w:rsidR="0080538E" w:rsidRPr="00D565A7">
        <w:rPr>
          <w:rFonts w:ascii="Times New Roman" w:hAnsi="Times New Roman" w:cs="Times New Roman"/>
          <w:lang w:val="en-GB" w:bidi="ar-SA"/>
        </w:rPr>
        <w:t xml:space="preserve">. </w:t>
      </w:r>
      <w:r w:rsidRPr="00D565A7">
        <w:rPr>
          <w:rFonts w:ascii="Times New Roman" w:hAnsi="Times New Roman" w:cs="Times New Roman"/>
          <w:lang w:val="en-GB" w:bidi="ar-SA"/>
        </w:rPr>
        <w:t>As an official from the EFC puts it: ‘The German members of the Committee were saying, there is just one person Merkel will listen to, it is Trichet, nobody else. Not Sarkozy, not Barroso’ (interview 1).</w:t>
      </w:r>
    </w:p>
    <w:p w:rsidR="003C5A5E" w:rsidRPr="00D565A7" w:rsidRDefault="003C5A5E" w:rsidP="004C367A">
      <w:pPr>
        <w:pStyle w:val="sansindetation"/>
        <w:jc w:val="both"/>
        <w:rPr>
          <w:rFonts w:ascii="Times New Roman" w:hAnsi="Times New Roman" w:cs="Times New Roman"/>
          <w:lang w:val="en-GB"/>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To conclude, the ECB has been relying on the recognition of its expertise to be a crucial player, along with the German hegemon and other creditor countries, in the crafting of the EU “financial rescue-cum-austerity” answer to the crisis. Blyth (2013) argues that this framing was a hidden bailout of core European major banks.</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The monopoly on liquidity</w:t>
      </w: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In normal times, central banks set interest rates through open market operations</w:t>
      </w:r>
      <w:r w:rsidRPr="00F15905">
        <w:rPr>
          <w:rStyle w:val="Ancredenotedefin"/>
          <w:rFonts w:ascii="Times New Roman" w:hAnsi="Times New Roman" w:cs="Times New Roman"/>
          <w:lang w:val="en-GB" w:eastAsia="en-US" w:bidi="ar-SA"/>
        </w:rPr>
        <w:endnoteReference w:id="12"/>
      </w:r>
      <w:r w:rsidRPr="00F15905">
        <w:rPr>
          <w:rFonts w:ascii="Times New Roman" w:hAnsi="Times New Roman" w:cs="Times New Roman"/>
          <w:lang w:val="en-GB" w:eastAsia="en-US" w:bidi="ar-SA"/>
        </w:rPr>
        <w:t xml:space="preserve"> to maintain price stability, a humdrum exercise, rarely noticed by most of the people (Goodhart 2011). Yet, in times of crisis, central bankers become lenders of last resort (LoLR) of both the banking and the sovereign systems and, as such, </w:t>
      </w:r>
      <w:r w:rsidRPr="00D565A7">
        <w:rPr>
          <w:rFonts w:ascii="Times New Roman" w:hAnsi="Times New Roman" w:cs="Times New Roman"/>
          <w:lang w:val="en-GB" w:eastAsia="en-US" w:bidi="ar-SA"/>
        </w:rPr>
        <w:t>are at the forefront of the political response to the crisis.</w:t>
      </w:r>
      <w:r w:rsidRPr="00F15905">
        <w:rPr>
          <w:rStyle w:val="Ancredenotedefin"/>
          <w:rFonts w:ascii="Times New Roman" w:hAnsi="Times New Roman" w:cs="Times New Roman"/>
          <w:lang w:val="en-GB" w:eastAsia="en-US" w:bidi="ar-SA"/>
        </w:rPr>
        <w:endnoteReference w:id="13"/>
      </w:r>
      <w:r w:rsidR="0080538E" w:rsidRPr="00F15905">
        <w:rPr>
          <w:rFonts w:ascii="Times New Roman" w:hAnsi="Times New Roman" w:cs="Times New Roman"/>
          <w:lang w:val="en-GB" w:eastAsia="en-US" w:bidi="ar-SA"/>
        </w:rPr>
        <w:t xml:space="preserve"> C</w:t>
      </w:r>
      <w:r w:rsidRPr="00F15905">
        <w:rPr>
          <w:rFonts w:ascii="Times New Roman" w:hAnsi="Times New Roman" w:cs="Times New Roman"/>
          <w:lang w:val="en-GB" w:eastAsia="en-US" w:bidi="ar-SA"/>
        </w:rPr>
        <w:t>entral banks are on the top of the financial system hierarchy, because they are the first providers of liquidity and have (in theory)</w:t>
      </w:r>
      <w:r w:rsidR="0080538E" w:rsidRPr="00D565A7">
        <w:rPr>
          <w:rFonts w:ascii="Times New Roman" w:hAnsi="Times New Roman" w:cs="Times New Roman"/>
          <w:lang w:val="en-GB" w:eastAsia="en-US" w:bidi="ar-SA"/>
        </w:rPr>
        <w:t xml:space="preserve"> unlimited financial resources </w:t>
      </w:r>
      <w:r w:rsidRPr="00D565A7">
        <w:rPr>
          <w:rFonts w:ascii="Times New Roman" w:hAnsi="Times New Roman" w:cs="Times New Roman"/>
          <w:lang w:val="en-GB" w:eastAsia="en-US" w:bidi="ar-SA"/>
        </w:rPr>
        <w:t xml:space="preserve">(Pistor 2013). </w:t>
      </w:r>
      <w:r w:rsidR="0080538E" w:rsidRPr="00D565A7">
        <w:rPr>
          <w:rFonts w:ascii="Times New Roman" w:hAnsi="Times New Roman" w:cs="Times New Roman"/>
          <w:lang w:val="en-GB" w:eastAsia="en-US" w:bidi="ar-SA"/>
        </w:rPr>
        <w:t>In crisis times</w:t>
      </w:r>
      <w:r w:rsidRPr="00D565A7">
        <w:rPr>
          <w:rFonts w:ascii="Times New Roman" w:hAnsi="Times New Roman" w:cs="Times New Roman"/>
          <w:lang w:val="en-GB" w:eastAsia="en-US" w:bidi="ar-SA"/>
        </w:rPr>
        <w:t xml:space="preserve">, central banks have the authority to decide which financial contracts should be honoured, and through these decisions, they can impose their will on </w:t>
      </w:r>
      <w:r w:rsidR="0080538E" w:rsidRPr="00D565A7">
        <w:rPr>
          <w:rFonts w:ascii="Times New Roman" w:hAnsi="Times New Roman" w:cs="Times New Roman"/>
          <w:lang w:val="en-GB" w:eastAsia="en-US" w:bidi="ar-SA"/>
        </w:rPr>
        <w:t>other financial</w:t>
      </w:r>
      <w:r w:rsidRPr="00D565A7">
        <w:rPr>
          <w:rFonts w:ascii="Times New Roman" w:hAnsi="Times New Roman" w:cs="Times New Roman"/>
          <w:lang w:val="en-GB" w:eastAsia="en-US" w:bidi="ar-SA"/>
        </w:rPr>
        <w:t xml:space="preserve"> players. For example, </w:t>
      </w:r>
      <w:r w:rsidR="0080538E" w:rsidRPr="00D565A7">
        <w:rPr>
          <w:rFonts w:ascii="Times New Roman" w:hAnsi="Times New Roman" w:cs="Times New Roman"/>
          <w:lang w:val="en-GB" w:eastAsia="en-US" w:bidi="ar-SA"/>
        </w:rPr>
        <w:t xml:space="preserve">when </w:t>
      </w:r>
      <w:r w:rsidRPr="00D565A7">
        <w:rPr>
          <w:rFonts w:ascii="Times New Roman" w:hAnsi="Times New Roman" w:cs="Times New Roman"/>
          <w:lang w:val="en-GB" w:eastAsia="en-US" w:bidi="ar-SA"/>
        </w:rPr>
        <w:t>the ECB determine</w:t>
      </w:r>
      <w:r w:rsidR="0080538E" w:rsidRPr="00D565A7">
        <w:rPr>
          <w:rFonts w:ascii="Times New Roman" w:hAnsi="Times New Roman" w:cs="Times New Roman"/>
          <w:lang w:val="en-GB" w:eastAsia="en-US" w:bidi="ar-SA"/>
        </w:rPr>
        <w:t>s</w:t>
      </w:r>
      <w:r w:rsidRPr="00D565A7">
        <w:rPr>
          <w:rFonts w:ascii="Times New Roman" w:hAnsi="Times New Roman" w:cs="Times New Roman"/>
          <w:lang w:val="en-GB" w:eastAsia="en-US" w:bidi="ar-SA"/>
        </w:rPr>
        <w:t xml:space="preserve"> which financial assets are accepted in its open-market operations and at what price</w:t>
      </w:r>
      <w:r w:rsidR="0080538E" w:rsidRPr="00D565A7">
        <w:rPr>
          <w:rFonts w:ascii="Times New Roman" w:hAnsi="Times New Roman" w:cs="Times New Roman"/>
          <w:lang w:val="en-GB" w:eastAsia="en-US" w:bidi="ar-SA"/>
        </w:rPr>
        <w:t>, its decisions impact other traders in the financial system</w:t>
      </w:r>
      <w:r w:rsidR="00A779A4" w:rsidRPr="00D565A7">
        <w:rPr>
          <w:rFonts w:ascii="Times New Roman" w:hAnsi="Times New Roman" w:cs="Times New Roman"/>
          <w:lang w:val="en-GB" w:eastAsia="en-US" w:bidi="ar-SA"/>
        </w:rPr>
        <w:t xml:space="preserve">. In particular, the </w:t>
      </w:r>
      <w:r w:rsidR="009F16AC" w:rsidRPr="00D565A7">
        <w:rPr>
          <w:rFonts w:ascii="Times New Roman" w:hAnsi="Times New Roman" w:cs="Times New Roman"/>
          <w:lang w:val="en-GB" w:eastAsia="en-US" w:bidi="ar-SA"/>
        </w:rPr>
        <w:t xml:space="preserve">ECB </w:t>
      </w:r>
      <w:r w:rsidR="00A779A4" w:rsidRPr="00D565A7">
        <w:rPr>
          <w:rFonts w:ascii="Times New Roman" w:hAnsi="Times New Roman" w:cs="Times New Roman"/>
          <w:lang w:val="en-GB" w:eastAsia="en-US" w:bidi="ar-SA"/>
        </w:rPr>
        <w:t>ac</w:t>
      </w:r>
      <w:r w:rsidR="009404C5" w:rsidRPr="00D565A7">
        <w:rPr>
          <w:rFonts w:ascii="Times New Roman" w:hAnsi="Times New Roman" w:cs="Times New Roman"/>
          <w:lang w:val="en-GB" w:eastAsia="en-US" w:bidi="ar-SA"/>
        </w:rPr>
        <w:t>ceptance of illiquid collatera</w:t>
      </w:r>
      <w:r w:rsidR="00CA3673" w:rsidRPr="00D565A7">
        <w:rPr>
          <w:rFonts w:ascii="Times New Roman" w:hAnsi="Times New Roman" w:cs="Times New Roman"/>
          <w:lang w:val="en-GB" w:eastAsia="en-US" w:bidi="ar-SA"/>
        </w:rPr>
        <w:t>l, say the government paper of Eurozone countries</w:t>
      </w:r>
      <w:r w:rsidR="009404C5" w:rsidRPr="00D565A7">
        <w:rPr>
          <w:rFonts w:ascii="Times New Roman" w:hAnsi="Times New Roman" w:cs="Times New Roman"/>
          <w:lang w:val="en-GB" w:eastAsia="en-US" w:bidi="ar-SA"/>
        </w:rPr>
        <w:t xml:space="preserve"> in financial difficulty, is decisive for ensuring the stability of banks’ and States’ balance sheets</w:t>
      </w:r>
      <w:r w:rsidR="00CC2E5D" w:rsidRPr="00D565A7">
        <w:rPr>
          <w:rFonts w:ascii="Times New Roman" w:hAnsi="Times New Roman" w:cs="Times New Roman"/>
          <w:lang w:val="en-GB" w:eastAsia="en-US" w:bidi="ar-SA"/>
        </w:rPr>
        <w:t xml:space="preserve"> (</w:t>
      </w:r>
      <w:r w:rsidR="005A68DC" w:rsidRPr="00D565A7">
        <w:rPr>
          <w:rFonts w:ascii="Times New Roman" w:hAnsi="Times New Roman" w:cs="Times New Roman"/>
          <w:lang w:val="en-GB" w:eastAsia="en-US" w:bidi="ar-SA"/>
        </w:rPr>
        <w:t>Gabor 2016</w:t>
      </w:r>
      <w:r w:rsidR="00741CB1" w:rsidRPr="00D565A7">
        <w:rPr>
          <w:rFonts w:ascii="Times New Roman" w:hAnsi="Times New Roman" w:cs="Times New Roman"/>
          <w:lang w:val="en-GB" w:eastAsia="en-US" w:bidi="ar-SA"/>
        </w:rPr>
        <w:t>b</w:t>
      </w:r>
      <w:r w:rsidR="005A68DC" w:rsidRPr="00D565A7">
        <w:rPr>
          <w:rFonts w:ascii="Times New Roman" w:hAnsi="Times New Roman" w:cs="Times New Roman"/>
          <w:lang w:val="en-GB" w:eastAsia="en-US" w:bidi="ar-SA"/>
        </w:rPr>
        <w:t xml:space="preserve">, </w:t>
      </w:r>
      <w:r w:rsidR="00CC2E5D" w:rsidRPr="00D565A7">
        <w:rPr>
          <w:rFonts w:ascii="Times New Roman" w:hAnsi="Times New Roman" w:cs="Times New Roman"/>
          <w:lang w:val="en-GB" w:eastAsia="en-US" w:bidi="ar-SA"/>
        </w:rPr>
        <w:t xml:space="preserve">Barthélemy </w:t>
      </w:r>
      <w:r w:rsidR="00CC2E5D" w:rsidRPr="00D565A7">
        <w:rPr>
          <w:rFonts w:ascii="Times New Roman" w:hAnsi="Times New Roman" w:cs="Times New Roman"/>
          <w:i/>
          <w:lang w:val="en-GB" w:eastAsia="en-US" w:bidi="ar-SA"/>
        </w:rPr>
        <w:t>et al</w:t>
      </w:r>
      <w:r w:rsidR="00CC2E5D" w:rsidRPr="00D565A7">
        <w:rPr>
          <w:rFonts w:ascii="Times New Roman" w:hAnsi="Times New Roman" w:cs="Times New Roman"/>
          <w:lang w:val="en-GB" w:eastAsia="en-US" w:bidi="ar-SA"/>
        </w:rPr>
        <w:t>. 2017)</w:t>
      </w:r>
      <w:r w:rsidR="009404C5" w:rsidRPr="00D565A7">
        <w:rPr>
          <w:rFonts w:ascii="Times New Roman" w:hAnsi="Times New Roman" w:cs="Times New Roman"/>
          <w:lang w:val="en-GB" w:eastAsia="en-US" w:bidi="ar-SA"/>
        </w:rPr>
        <w:t>.</w:t>
      </w:r>
    </w:p>
    <w:p w:rsidR="0080538E" w:rsidRPr="00D565A7" w:rsidRDefault="0080538E" w:rsidP="004C367A">
      <w:pPr>
        <w:spacing w:line="480" w:lineRule="auto"/>
        <w:jc w:val="both"/>
        <w:rPr>
          <w:rFonts w:ascii="Times New Roman" w:hAnsi="Times New Roman" w:cs="Times New Roman"/>
          <w:lang w:val="en-GB" w:eastAsia="en-US" w:bidi="ar-SA"/>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Moreover, when the financial crisis morphed into a sovereign crisis, the Eurozone’s governance lacked the institutional mechanisms and the political willingness to shelter the more exposed Eurozone states from financial volatility. In addition, the combined effect of decades of budget constraints and bailouts of oversized financial sectors in 2008 and 2009 was the impairment of the Eurozone states’ financial capacity to respond to the crisis (Streeck </w:t>
      </w:r>
      <w:r w:rsidR="00741CB1" w:rsidRPr="00D565A7">
        <w:rPr>
          <w:rFonts w:ascii="Times New Roman" w:hAnsi="Times New Roman" w:cs="Times New Roman"/>
          <w:lang w:val="en-GB" w:eastAsia="en-US" w:bidi="ar-SA"/>
        </w:rPr>
        <w:t xml:space="preserve">&amp; </w:t>
      </w:r>
      <w:r w:rsidRPr="00D565A7">
        <w:rPr>
          <w:rFonts w:ascii="Times New Roman" w:hAnsi="Times New Roman" w:cs="Times New Roman"/>
          <w:lang w:val="en-GB" w:eastAsia="en-US" w:bidi="ar-SA"/>
        </w:rPr>
        <w:t>Schaeffer 2013). Because the European treaties forbid any form of monetary financing</w:t>
      </w:r>
      <w:r w:rsidRPr="00F15905">
        <w:rPr>
          <w:rStyle w:val="Ancredenotedefin"/>
          <w:rFonts w:ascii="Times New Roman" w:hAnsi="Times New Roman" w:cs="Times New Roman"/>
          <w:lang w:val="en-GB" w:eastAsia="en-US" w:bidi="ar-SA"/>
        </w:rPr>
        <w:endnoteReference w:id="14"/>
      </w:r>
      <w:r w:rsidRPr="00F15905">
        <w:rPr>
          <w:rFonts w:ascii="Times New Roman" w:hAnsi="Times New Roman" w:cs="Times New Roman"/>
          <w:lang w:val="en-GB" w:eastAsia="en-US" w:bidi="ar-SA"/>
        </w:rPr>
        <w:t xml:space="preserve">, the ECB sovereign purchases were initially limited, but they eventually reached the magnitude of the purchasing programs of other central banks. In the end, the ECB became the LoLR for both the Eurozone banking sector and the Eurozone states (Buiter </w:t>
      </w:r>
      <w:r w:rsidR="00741CB1" w:rsidRPr="00D565A7">
        <w:rPr>
          <w:rFonts w:ascii="Times New Roman" w:hAnsi="Times New Roman" w:cs="Times New Roman"/>
          <w:lang w:val="en-GB" w:eastAsia="en-US" w:bidi="ar-SA"/>
        </w:rPr>
        <w:t xml:space="preserve">&amp; </w:t>
      </w:r>
      <w:r w:rsidRPr="00D565A7">
        <w:rPr>
          <w:rFonts w:ascii="Times New Roman" w:hAnsi="Times New Roman" w:cs="Times New Roman"/>
          <w:lang w:val="en-GB" w:eastAsia="en-US" w:bidi="ar-SA"/>
        </w:rPr>
        <w:t>Rahbari, 2012). The ECB is thus in a unique position to use the conditionality of its monetary support to impose its policy preferences on states and financial institutions, neither of which can rely on other forms of financing.</w:t>
      </w:r>
    </w:p>
    <w:p w:rsidR="003C5A5E" w:rsidRPr="00D565A7" w:rsidRDefault="003C5A5E" w:rsidP="004C367A">
      <w:pPr>
        <w:spacing w:line="480" w:lineRule="auto"/>
        <w:jc w:val="both"/>
        <w:rPr>
          <w:rFonts w:ascii="Times New Roman" w:hAnsi="Times New Roman" w:cs="Times New Roman"/>
          <w:lang w:val="en-GB"/>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To conclude, the crisis represents an unprecedented window of opportunity for the ECB to extend its influence on Eurozone governance. The ECB will only be able to benefit from this opportunity if it harnesses the recognition of its expertise to frame the crisis as a fiscal crisis. Its role as the LoLR for states and financial institutions allow</w:t>
      </w:r>
      <w:r w:rsidR="0080538E" w:rsidRPr="00D565A7">
        <w:rPr>
          <w:rFonts w:ascii="Times New Roman" w:hAnsi="Times New Roman" w:cs="Times New Roman"/>
          <w:lang w:val="en-GB" w:eastAsia="en-US" w:bidi="ar-SA"/>
        </w:rPr>
        <w:t>s</w:t>
      </w:r>
      <w:r w:rsidRPr="00D565A7">
        <w:rPr>
          <w:rFonts w:ascii="Times New Roman" w:hAnsi="Times New Roman" w:cs="Times New Roman"/>
          <w:lang w:val="en-GB" w:eastAsia="en-US" w:bidi="ar-SA"/>
        </w:rPr>
        <w:t xml:space="preserve"> a greater room of influence for the ECB to impose its policy preferences over these two entities. The two next sections will show that the conditions which the ECB exerts in the financial rescue of Eurozone countries are much more stringent than those which it applies to the bailout of financial institutions.</w:t>
      </w:r>
    </w:p>
    <w:p w:rsidR="003C5A5E" w:rsidRPr="00D565A7" w:rsidRDefault="003A01D2" w:rsidP="004C367A">
      <w:pPr>
        <w:pStyle w:val="Titre11"/>
        <w:numPr>
          <w:ilvl w:val="0"/>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3. The coercive ECB’s financial rescue of Eurozone member-states.</w:t>
      </w:r>
    </w:p>
    <w:p w:rsidR="003C5A5E" w:rsidRPr="00D565A7" w:rsidRDefault="003A01D2" w:rsidP="004C367A">
      <w:pPr>
        <w:pStyle w:val="LO-Normal"/>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rPr>
        <w:t xml:space="preserve">From January 2010 onwards, the most fragile Eurozone member states had to rely on either intergovernmental loans or the ECB monetary interventions to stabilize their banking systems and the refinancing of their sovereign debt. ECB interventions were either supplementary to intergovernmental loans, or, if member states could not agree on financial rescue mechanisms quickly enough, unilateral. </w:t>
      </w:r>
      <w:r w:rsidRPr="00D565A7">
        <w:rPr>
          <w:rFonts w:ascii="Times New Roman" w:hAnsi="Times New Roman" w:cs="Times New Roman"/>
          <w:lang w:val="en-GB"/>
        </w:rPr>
        <w:lastRenderedPageBreak/>
        <w:t>In both cases, the conditionality of ECB interventions took the form of austerity policies whose implementation was tightly controlled by the expert groups of the Troika</w:t>
      </w:r>
      <w:r w:rsidRPr="00F15905">
        <w:rPr>
          <w:rStyle w:val="Ancredenotedefin"/>
          <w:rFonts w:ascii="Times New Roman" w:hAnsi="Times New Roman" w:cs="Times New Roman"/>
          <w:lang w:val="en-GB"/>
        </w:rPr>
        <w:endnoteReference w:id="15"/>
      </w:r>
      <w:r w:rsidRPr="00F15905">
        <w:rPr>
          <w:rFonts w:ascii="Times New Roman" w:hAnsi="Times New Roman" w:cs="Times New Roman"/>
          <w:lang w:val="en-GB"/>
        </w:rPr>
        <w:t xml:space="preserve">. </w:t>
      </w:r>
      <w:r w:rsidRPr="00F15905">
        <w:rPr>
          <w:rFonts w:ascii="Times New Roman" w:hAnsi="Times New Roman" w:cs="Times New Roman"/>
          <w:lang w:val="en-GB" w:eastAsia="en-US" w:bidi="ar-SA"/>
        </w:rPr>
        <w:t xml:space="preserve">These interventions can be divided in three categories: its bond-purchasing programmes, its collateral rules and its emergency liquidity </w:t>
      </w:r>
      <w:r w:rsidRPr="00D565A7">
        <w:rPr>
          <w:rFonts w:ascii="Times New Roman" w:hAnsi="Times New Roman" w:cs="Times New Roman"/>
          <w:lang w:val="en-GB" w:eastAsia="en-US" w:bidi="ar-SA"/>
        </w:rPr>
        <w:t>assistance (ELA) instrument.</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iCs/>
          <w:lang w:val="en-GB"/>
        </w:rPr>
      </w:pPr>
      <w:r w:rsidRPr="00D565A7">
        <w:rPr>
          <w:rFonts w:ascii="Times New Roman" w:hAnsi="Times New Roman" w:cs="Times New Roman"/>
          <w:iCs/>
          <w:lang w:val="en-GB"/>
        </w:rPr>
        <w:t>The ECB bond purchasing programs</w:t>
      </w:r>
    </w:p>
    <w:p w:rsidR="003C5A5E" w:rsidRPr="00D565A7" w:rsidRDefault="003A01D2" w:rsidP="004C367A">
      <w:pPr>
        <w:pStyle w:val="LO-Normal"/>
        <w:spacing w:line="480" w:lineRule="auto"/>
        <w:ind w:firstLine="227"/>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Since May 9 2010, the ECB implemented three sovereign bond buying programmes on the secondary markets: the Securities Market Program (SMP) in May 2010, the Outright Monetary Transactions program (OMT) in September 2012 and the Quantitative Easing (QE) program in </w:t>
      </w:r>
      <w:r w:rsidR="00887B1B" w:rsidRPr="00D565A7">
        <w:rPr>
          <w:rFonts w:ascii="Times New Roman" w:hAnsi="Times New Roman" w:cs="Times New Roman"/>
          <w:lang w:val="en-GB" w:eastAsia="en-US" w:bidi="ar-SA"/>
        </w:rPr>
        <w:t xml:space="preserve">March </w:t>
      </w:r>
      <w:r w:rsidRPr="00D565A7">
        <w:rPr>
          <w:rFonts w:ascii="Times New Roman" w:hAnsi="Times New Roman" w:cs="Times New Roman"/>
          <w:lang w:val="en-GB" w:eastAsia="en-US" w:bidi="ar-SA"/>
        </w:rPr>
        <w:t>2015. These unconventional measures triggered strong internal criticism and the resignation of two notable orthodox members of the ECB board of governors, Jürgen Stark and Axel Weber. These programs differ in size, implementation and motivation, but they are all rooted in a common principle: if the ECB intervenes on secondary markets to purchase government bonds, governments must implement a certain number of reforms. This conditionality was exerted in two different forms, the first of which was official and multilateral and the second of which was unofficial and bilateral.</w:t>
      </w:r>
    </w:p>
    <w:p w:rsidR="003C5A5E" w:rsidRPr="00D565A7" w:rsidRDefault="003C5A5E" w:rsidP="004C367A">
      <w:pPr>
        <w:pStyle w:val="LO-Normal"/>
        <w:spacing w:line="480" w:lineRule="auto"/>
        <w:ind w:firstLine="227"/>
        <w:jc w:val="both"/>
        <w:rPr>
          <w:rFonts w:ascii="Times New Roman" w:hAnsi="Times New Roman" w:cs="Times New Roman"/>
          <w:lang w:val="en-GB"/>
        </w:rPr>
      </w:pPr>
    </w:p>
    <w:p w:rsidR="003C5A5E" w:rsidRPr="00D565A7" w:rsidRDefault="003A01D2" w:rsidP="004C367A">
      <w:pPr>
        <w:pStyle w:val="LO-Normal"/>
        <w:spacing w:line="480" w:lineRule="auto"/>
        <w:jc w:val="both"/>
        <w:rPr>
          <w:rFonts w:ascii="Times New Roman" w:hAnsi="Times New Roman" w:cs="Times New Roman"/>
          <w:lang w:val="en-GB" w:eastAsia="en-US" w:bidi="ar-SA"/>
        </w:rPr>
      </w:pPr>
      <w:r w:rsidRPr="00F15905">
        <w:rPr>
          <w:rFonts w:ascii="Times New Roman" w:hAnsi="Times New Roman" w:cs="Times New Roman"/>
          <w:lang w:val="en-GB" w:eastAsia="en-US" w:bidi="ar-SA"/>
        </w:rPr>
        <w:t>First, the Greek, Irish, Portuguese and Cypriot governments applied for a loan from other Eurozone governments and from the IMF. In exchange, all the main national political parties had to agree on and comply with a set of measures written in a memorandum of understanding (MoU). Once the general principles of the MoU were agreed upon within t</w:t>
      </w:r>
      <w:r w:rsidRPr="00D565A7">
        <w:rPr>
          <w:rFonts w:ascii="Times New Roman" w:hAnsi="Times New Roman" w:cs="Times New Roman"/>
          <w:lang w:val="en-GB" w:eastAsia="en-US" w:bidi="ar-SA"/>
        </w:rPr>
        <w:t xml:space="preserve">he European Council (and more specifically the Eurogroup), the writing and supervision of the MoU were delegated to the Troika.  The disbursement of the loan and the buying of government bonds by the ECB could both be stopped if the governments failed to implement the reforms. The ECB is thus the only EU institution that provides financial support to Eurozone countries which can directly control the implementation of associated reforms. </w:t>
      </w:r>
    </w:p>
    <w:p w:rsidR="003C5A5E" w:rsidRPr="00D565A7" w:rsidRDefault="003C5A5E" w:rsidP="004C367A">
      <w:pPr>
        <w:pStyle w:val="sansindetation"/>
        <w:jc w:val="both"/>
        <w:rPr>
          <w:rFonts w:ascii="Times New Roman" w:hAnsi="Times New Roman" w:cs="Times New Roman"/>
          <w:lang w:val="en-GB" w:eastAsia="en-US" w:bidi="ar-SA"/>
        </w:rPr>
      </w:pPr>
    </w:p>
    <w:p w:rsidR="003C5A5E" w:rsidRPr="00D565A7" w:rsidRDefault="003A01D2" w:rsidP="004C367A">
      <w:pPr>
        <w:pStyle w:val="sansindetation"/>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lastRenderedPageBreak/>
        <w:t>In a preliminary opinion for a ruling on the OMT’s legality, the European Court of Justice's general advocate emphasized that the importance of the ECB’s role in the Troika blurs the limits between fiscal and monetary policies.</w:t>
      </w:r>
      <w:r w:rsidRPr="00F15905">
        <w:rPr>
          <w:rStyle w:val="Ancredenotedefin"/>
          <w:rFonts w:ascii="Times New Roman" w:hAnsi="Times New Roman" w:cs="Times New Roman"/>
          <w:lang w:val="en-GB" w:eastAsia="en-US" w:bidi="ar-SA"/>
        </w:rPr>
        <w:endnoteReference w:id="16"/>
      </w:r>
      <w:r w:rsidRPr="00F15905">
        <w:rPr>
          <w:rFonts w:ascii="Times New Roman" w:hAnsi="Times New Roman" w:cs="Times New Roman"/>
          <w:lang w:val="en-GB" w:eastAsia="en-US" w:bidi="ar-SA"/>
        </w:rPr>
        <w:t xml:space="preserve"> He concluded that it was fundamental for the ECB to stop its involvement in the Troika immediately. In addition, an enquiry of the European Parliament (EP)</w:t>
      </w:r>
      <w:r w:rsidRPr="00F15905">
        <w:rPr>
          <w:rStyle w:val="Ancredenotedefin"/>
          <w:rFonts w:ascii="Times New Roman" w:hAnsi="Times New Roman" w:cs="Times New Roman"/>
          <w:lang w:val="en-GB" w:eastAsia="en-US" w:bidi="ar-SA"/>
        </w:rPr>
        <w:endnoteReference w:id="17"/>
      </w:r>
      <w:r w:rsidRPr="00F15905">
        <w:rPr>
          <w:rFonts w:ascii="Times New Roman" w:hAnsi="Times New Roman" w:cs="Times New Roman"/>
          <w:lang w:val="en-GB" w:eastAsia="en-US" w:bidi="ar-SA"/>
        </w:rPr>
        <w:t xml:space="preserve"> </w:t>
      </w:r>
      <w:r w:rsidRPr="00F15905">
        <w:rPr>
          <w:rFonts w:ascii="Times New Roman" w:hAnsi="Times New Roman" w:cs="Times New Roman"/>
          <w:lang w:val="en-GB" w:bidi="ar-SA"/>
        </w:rPr>
        <w:t>concluded that the ECB</w:t>
      </w:r>
      <w:r w:rsidRPr="00D565A7">
        <w:rPr>
          <w:rFonts w:ascii="Times New Roman" w:hAnsi="Times New Roman" w:cs="Times New Roman"/>
          <w:lang w:val="en-GB" w:eastAsia="en-US" w:bidi="ar-SA"/>
        </w:rPr>
        <w:t xml:space="preserve"> was widening the democratic deficit, because </w:t>
      </w:r>
      <w:r w:rsidRPr="00D565A7">
        <w:rPr>
          <w:rFonts w:ascii="Times New Roman" w:hAnsi="Times New Roman" w:cs="Times New Roman"/>
          <w:lang w:val="en-GB" w:bidi="ar-SA"/>
        </w:rPr>
        <w:t xml:space="preserve">its participation in a vast array of reforms – including the liberalization of </w:t>
      </w:r>
      <w:r w:rsidRPr="00D565A7">
        <w:rPr>
          <w:rFonts w:ascii="Times New Roman" w:hAnsi="Times New Roman" w:cs="Times New Roman"/>
          <w:lang w:val="en-GB" w:eastAsia="en-US" w:bidi="ar-SA"/>
        </w:rPr>
        <w:t>public health services</w:t>
      </w:r>
      <w:r w:rsidRPr="00D565A7">
        <w:rPr>
          <w:rFonts w:ascii="Times New Roman" w:hAnsi="Times New Roman" w:cs="Times New Roman"/>
          <w:lang w:val="en-GB" w:bidi="ar-SA"/>
        </w:rPr>
        <w:t xml:space="preserve"> and professions – extended beyond its monetary responsibilities.</w:t>
      </w:r>
      <w:r w:rsidRPr="00F15905">
        <w:rPr>
          <w:rStyle w:val="Ancredenotedefin"/>
          <w:rFonts w:ascii="Times New Roman" w:hAnsi="Times New Roman" w:cs="Times New Roman"/>
          <w:lang w:val="en-GB" w:bidi="ar-SA"/>
        </w:rPr>
        <w:endnoteReference w:id="18"/>
      </w:r>
      <w:r w:rsidRPr="00F15905">
        <w:rPr>
          <w:rFonts w:ascii="Times New Roman" w:hAnsi="Times New Roman" w:cs="Times New Roman"/>
          <w:lang w:val="en-GB" w:eastAsia="en-US" w:bidi="ar-SA"/>
        </w:rPr>
        <w:t xml:space="preserve"> Given this conclusion, the EP advised the ECB to restrict itself to the role of “silent observer” in the Troika</w:t>
      </w:r>
      <w:r w:rsidRPr="00F15905">
        <w:rPr>
          <w:rFonts w:ascii="Times New Roman" w:hAnsi="Times New Roman" w:cs="Times New Roman"/>
          <w:lang w:val="en-GB" w:bidi="ar-SA"/>
        </w:rPr>
        <w:t xml:space="preserve">. </w:t>
      </w:r>
      <w:r w:rsidRPr="00F15905">
        <w:rPr>
          <w:rFonts w:ascii="Times New Roman" w:hAnsi="Times New Roman" w:cs="Times New Roman"/>
          <w:lang w:val="en-GB" w:eastAsia="en-US" w:bidi="ar-SA"/>
        </w:rPr>
        <w:t>The reforms in which the ECB was involved were clearly backed by “expansionary austerity” principles a</w:t>
      </w:r>
      <w:r w:rsidRPr="00D565A7">
        <w:rPr>
          <w:rFonts w:ascii="Times New Roman" w:hAnsi="Times New Roman" w:cs="Times New Roman"/>
          <w:lang w:val="en-GB" w:eastAsia="en-US" w:bidi="ar-SA"/>
        </w:rPr>
        <w:t xml:space="preserve">nd were aiming at gaining market confidence through privatization, market flexibilization and budgetary cuts. Furthermore, the European Parliament emphasized that although these reforms had minimal economic results, they triggered severe social and democratic disruptions (see also Stuckler </w:t>
      </w:r>
      <w:r w:rsidR="00741CB1" w:rsidRPr="00D565A7">
        <w:rPr>
          <w:rFonts w:ascii="Times New Roman" w:hAnsi="Times New Roman" w:cs="Times New Roman"/>
          <w:lang w:val="en-GB" w:eastAsia="en-US" w:bidi="ar-SA"/>
        </w:rPr>
        <w:t xml:space="preserve">&amp; </w:t>
      </w:r>
      <w:r w:rsidRPr="00D565A7">
        <w:rPr>
          <w:rFonts w:ascii="Times New Roman" w:hAnsi="Times New Roman" w:cs="Times New Roman"/>
          <w:lang w:val="en-GB" w:eastAsia="en-US" w:bidi="ar-SA"/>
        </w:rPr>
        <w:t>Basu 2012</w:t>
      </w:r>
      <w:r w:rsidR="00741CB1"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 xml:space="preserve"> chap</w:t>
      </w:r>
      <w:r w:rsidR="00741CB1"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 xml:space="preserve"> 5). Interestingly, it was the ECB and the European Commission, rather than the IMF, that advocated for the severity of these austerity measures (Blustein</w:t>
      </w:r>
      <w:r w:rsidR="00741CB1"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 xml:space="preserve"> 2015), as it was already the case for the Troika groups sent into Eastern and Central Europe in 2008 (Lütz </w:t>
      </w:r>
      <w:r w:rsidR="00741CB1" w:rsidRPr="00D565A7">
        <w:rPr>
          <w:rFonts w:ascii="Times New Roman" w:hAnsi="Times New Roman" w:cs="Times New Roman"/>
          <w:lang w:val="en-GB" w:eastAsia="en-US" w:bidi="ar-SA"/>
        </w:rPr>
        <w:t xml:space="preserve">&amp; </w:t>
      </w:r>
      <w:r w:rsidRPr="00D565A7">
        <w:rPr>
          <w:rFonts w:ascii="Times New Roman" w:hAnsi="Times New Roman" w:cs="Times New Roman"/>
          <w:lang w:val="en-GB" w:eastAsia="en-US" w:bidi="ar-SA"/>
        </w:rPr>
        <w:t xml:space="preserve">Kranke 2014). To conclude,  the ECB’s determination to </w:t>
      </w:r>
      <w:r w:rsidR="00887B1B" w:rsidRPr="00D565A7">
        <w:rPr>
          <w:rFonts w:ascii="Times New Roman" w:hAnsi="Times New Roman" w:cs="Times New Roman"/>
          <w:lang w:val="en-GB" w:eastAsia="en-US" w:bidi="ar-SA"/>
        </w:rPr>
        <w:t>impose strict conditionality and participate in</w:t>
      </w:r>
      <w:r w:rsidRPr="00D565A7">
        <w:rPr>
          <w:rFonts w:ascii="Times New Roman" w:hAnsi="Times New Roman" w:cs="Times New Roman"/>
          <w:lang w:val="en-GB" w:eastAsia="en-US" w:bidi="ar-SA"/>
        </w:rPr>
        <w:t xml:space="preserve"> the Troika groups was generally unaffected by the IMF’s internal criticism and the warnings from the European Parliament and the European Court of Justice.</w:t>
      </w:r>
    </w:p>
    <w:p w:rsidR="007C3461" w:rsidRPr="00D565A7" w:rsidRDefault="007C3461" w:rsidP="004C367A">
      <w:pPr>
        <w:pStyle w:val="sansindetation"/>
        <w:jc w:val="both"/>
        <w:rPr>
          <w:rFonts w:ascii="Times New Roman" w:hAnsi="Times New Roman" w:cs="Times New Roman"/>
          <w:lang w:val="en-GB" w:eastAsia="en-US" w:bidi="ar-SA"/>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Second, this clear conditionality contrasts with the previous unofficial bilateral coercive pressures exerted through the SMP in Portugal, before its rescue in May 2011, and in Italy and Spain from August 2011. Even though there are no official sources revealing this pressure, an official from the Portuguese government explains that the ECB bond-purchasing program has been a game-changer:</w:t>
      </w:r>
    </w:p>
    <w:p w:rsidR="003C5A5E" w:rsidRPr="00D565A7" w:rsidRDefault="003C5A5E" w:rsidP="004C367A">
      <w:pPr>
        <w:pStyle w:val="FootnoteText"/>
        <w:spacing w:line="480" w:lineRule="auto"/>
        <w:jc w:val="both"/>
        <w:rPr>
          <w:rFonts w:ascii="Times New Roman" w:hAnsi="Times New Roman" w:cs="Times New Roman"/>
          <w:lang w:val="en-GB"/>
        </w:rPr>
      </w:pPr>
    </w:p>
    <w:p w:rsidR="003C5A5E" w:rsidRPr="00D565A7" w:rsidRDefault="003A01D2" w:rsidP="004C367A">
      <w:pPr>
        <w:pStyle w:val="FootnoteText"/>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“The ECB put us under pressure as well that we had to speed up our consolidation processes […]. Our finance minister had always been listening to them and was agreeing most of the time […]. But now that the ECB was buying our bonds it was not </w:t>
      </w:r>
      <w:r w:rsidRPr="00D565A7">
        <w:rPr>
          <w:rFonts w:ascii="Times New Roman" w:hAnsi="Times New Roman" w:cs="Times New Roman"/>
          <w:lang w:val="en-GB" w:eastAsia="en-US" w:bidi="ar-SA"/>
        </w:rPr>
        <w:lastRenderedPageBreak/>
        <w:t>only the Finance minister who was listening to them but the Prime minister as well (Interview 4).</w:t>
      </w:r>
    </w:p>
    <w:p w:rsidR="003C5A5E" w:rsidRPr="00D565A7" w:rsidRDefault="003C5A5E" w:rsidP="004C367A">
      <w:pPr>
        <w:pStyle w:val="FootnoteText"/>
        <w:spacing w:line="480" w:lineRule="auto"/>
        <w:jc w:val="both"/>
        <w:rPr>
          <w:rFonts w:ascii="Times New Roman" w:hAnsi="Times New Roman" w:cs="Times New Roman"/>
          <w:lang w:val="en-GB"/>
        </w:rPr>
      </w:pPr>
    </w:p>
    <w:p w:rsidR="003C5A5E" w:rsidRPr="00D565A7" w:rsidRDefault="003A01D2" w:rsidP="004C367A">
      <w:pPr>
        <w:spacing w:line="480" w:lineRule="auto"/>
        <w:jc w:val="both"/>
        <w:rPr>
          <w:rFonts w:ascii="Times New Roman" w:hAnsi="Times New Roman" w:cs="Times New Roman"/>
          <w:lang w:val="en-GB" w:bidi="ar-SA"/>
        </w:rPr>
      </w:pPr>
      <w:r w:rsidRPr="00D565A7">
        <w:rPr>
          <w:rFonts w:ascii="Times New Roman" w:hAnsi="Times New Roman" w:cs="Times New Roman"/>
          <w:lang w:val="en-GB" w:eastAsia="en-US" w:bidi="ar-SA"/>
        </w:rPr>
        <w:t>On August 4 2011, against a background of acute tension over Italian and Spanish sovereigns, the ECB decided to purchase their sovereigns. The following day, letter</w:t>
      </w:r>
      <w:r w:rsidR="007C3461" w:rsidRPr="00D565A7">
        <w:rPr>
          <w:rFonts w:ascii="Times New Roman" w:hAnsi="Times New Roman" w:cs="Times New Roman"/>
          <w:lang w:val="en-GB" w:eastAsia="en-US" w:bidi="ar-SA"/>
        </w:rPr>
        <w:t>s were</w:t>
      </w:r>
      <w:r w:rsidRPr="00D565A7">
        <w:rPr>
          <w:rFonts w:ascii="Times New Roman" w:hAnsi="Times New Roman" w:cs="Times New Roman"/>
          <w:lang w:val="en-GB" w:eastAsia="en-US" w:bidi="ar-SA"/>
        </w:rPr>
        <w:t xml:space="preserve"> sent by the ECB to </w:t>
      </w:r>
      <w:r w:rsidR="007C3461" w:rsidRPr="00D565A7">
        <w:rPr>
          <w:rFonts w:ascii="Times New Roman" w:hAnsi="Times New Roman" w:cs="Times New Roman"/>
          <w:lang w:val="en-GB" w:eastAsia="en-US" w:bidi="ar-SA"/>
        </w:rPr>
        <w:t>the Spanish and Italian governments to specify</w:t>
      </w:r>
      <w:r w:rsidRPr="00D565A7">
        <w:rPr>
          <w:rFonts w:ascii="Times New Roman" w:hAnsi="Times New Roman" w:cs="Times New Roman"/>
          <w:lang w:val="en-GB" w:eastAsia="en-US" w:bidi="ar-SA"/>
        </w:rPr>
        <w:t xml:space="preserve"> the reforms </w:t>
      </w:r>
      <w:r w:rsidR="007C3461" w:rsidRPr="00D565A7">
        <w:rPr>
          <w:rFonts w:ascii="Times New Roman" w:hAnsi="Times New Roman" w:cs="Times New Roman"/>
          <w:lang w:val="en-GB" w:eastAsia="en-US" w:bidi="ar-SA"/>
        </w:rPr>
        <w:t>th</w:t>
      </w:r>
      <w:r w:rsidRPr="00D565A7">
        <w:rPr>
          <w:rFonts w:ascii="Times New Roman" w:hAnsi="Times New Roman" w:cs="Times New Roman"/>
          <w:lang w:val="en-GB" w:eastAsia="en-US" w:bidi="ar-SA"/>
        </w:rPr>
        <w:t>e</w:t>
      </w:r>
      <w:r w:rsidR="007C3461" w:rsidRPr="00D565A7">
        <w:rPr>
          <w:rFonts w:ascii="Times New Roman" w:hAnsi="Times New Roman" w:cs="Times New Roman"/>
          <w:lang w:val="en-GB" w:eastAsia="en-US" w:bidi="ar-SA"/>
        </w:rPr>
        <w:t>y</w:t>
      </w:r>
      <w:r w:rsidRPr="00D565A7">
        <w:rPr>
          <w:rFonts w:ascii="Times New Roman" w:hAnsi="Times New Roman" w:cs="Times New Roman"/>
          <w:lang w:val="en-GB" w:eastAsia="en-US" w:bidi="ar-SA"/>
        </w:rPr>
        <w:t xml:space="preserve"> must implement as a condition for the bank’s support</w:t>
      </w:r>
      <w:r w:rsidR="007C3461" w:rsidRPr="00F15905">
        <w:rPr>
          <w:rStyle w:val="Ancredenotedefin"/>
          <w:rFonts w:ascii="Times New Roman" w:hAnsi="Times New Roman" w:cs="Times New Roman"/>
          <w:lang w:val="en-GB" w:eastAsia="en-US" w:bidi="ar-SA"/>
        </w:rPr>
        <w:endnoteReference w:id="19"/>
      </w:r>
      <w:r w:rsidR="007C3461" w:rsidRPr="00D565A7">
        <w:rPr>
          <w:rFonts w:ascii="Times New Roman" w:hAnsi="Times New Roman" w:cs="Times New Roman"/>
          <w:lang w:val="en-GB" w:eastAsia="en-US" w:bidi="ar-SA"/>
        </w:rPr>
        <w:t xml:space="preserve">. </w:t>
      </w:r>
      <w:r w:rsidRPr="00D565A7">
        <w:rPr>
          <w:rFonts w:ascii="Times New Roman" w:hAnsi="Times New Roman" w:cs="Times New Roman"/>
          <w:lang w:val="en-GB" w:eastAsia="en-US" w:bidi="ar-SA"/>
        </w:rPr>
        <w:t>In Italy, where the government had undermined some aspects of the reforms late in the legislative process, the ECB considered that the unofficial conditionality had not been respected. On 7 November, Italian sovereign interest rates reached a new record high; nevertheless the ECB undertook only a limited buying of Italian bonds in order to keep up the pressure on the implementation process. Later that day, when Silvio Berlusconi pledged to resign, the ECB made bulk purchases of Italian sovereigns (Dinmore 2011). In these three cases, although the elected governments did not sign a MoU and did not request the Eurozone’s financial assistance, the ECB acted as the Eurogroup's “financial arm” and exerted strong pressures on its domestic politics and policies.</w:t>
      </w:r>
      <w:r w:rsidRPr="00D565A7">
        <w:rPr>
          <w:rFonts w:ascii="Times New Roman" w:hAnsi="Times New Roman" w:cs="Times New Roman"/>
          <w:lang w:val="en-GB" w:bidi="ar-SA"/>
        </w:rPr>
        <w:t xml:space="preserve"> </w:t>
      </w:r>
    </w:p>
    <w:p w:rsidR="003C5A5E" w:rsidRPr="00D565A7" w:rsidRDefault="003C5A5E" w:rsidP="004C367A">
      <w:pPr>
        <w:pStyle w:val="sansindetation"/>
        <w:jc w:val="both"/>
        <w:rPr>
          <w:rFonts w:ascii="Times New Roman" w:hAnsi="Times New Roman" w:cs="Times New Roman"/>
          <w:lang w:val="en-GB" w:bidi="ar-SA"/>
        </w:rPr>
      </w:pPr>
    </w:p>
    <w:p w:rsidR="009E0B9F" w:rsidRPr="00D565A7" w:rsidRDefault="003A01D2" w:rsidP="004C367A">
      <w:pPr>
        <w:spacing w:line="480" w:lineRule="auto"/>
        <w:jc w:val="both"/>
        <w:rPr>
          <w:rFonts w:ascii="Times New Roman" w:hAnsi="Times New Roman" w:cs="Times New Roman"/>
          <w:lang w:val="en-GB" w:bidi="ar-SA"/>
        </w:rPr>
      </w:pPr>
      <w:bookmarkStart w:id="1" w:name="__UnoMark__7981_1355400211"/>
      <w:r w:rsidRPr="00D565A7">
        <w:rPr>
          <w:rFonts w:ascii="Times New Roman" w:hAnsi="Times New Roman" w:cs="Times New Roman"/>
          <w:lang w:val="en-GB" w:bidi="ar-SA"/>
        </w:rPr>
        <w:t>No bilateral pressures on the Member-states' economic reforms have been exerted by the ECB under its Quantitative Easing (QE) programme as yet. However, its collateral eligibility criteria could lead to such a scenario</w:t>
      </w:r>
      <w:r w:rsidR="00DD2D89" w:rsidRPr="00D565A7">
        <w:rPr>
          <w:rFonts w:ascii="Times New Roman" w:hAnsi="Times New Roman" w:cs="Times New Roman"/>
          <w:lang w:val="en-GB" w:bidi="ar-SA"/>
        </w:rPr>
        <w:t xml:space="preserve"> </w:t>
      </w:r>
      <w:r w:rsidR="00887B1B" w:rsidRPr="00D565A7">
        <w:rPr>
          <w:rFonts w:ascii="Times New Roman" w:hAnsi="Times New Roman" w:cs="Times New Roman"/>
          <w:lang w:val="en-GB" w:bidi="ar-SA"/>
        </w:rPr>
        <w:t>for</w:t>
      </w:r>
      <w:r w:rsidR="007A59D8" w:rsidRPr="00D565A7">
        <w:rPr>
          <w:rFonts w:ascii="Times New Roman" w:hAnsi="Times New Roman" w:cs="Times New Roman"/>
          <w:lang w:val="en-GB" w:bidi="ar-SA"/>
        </w:rPr>
        <w:t xml:space="preserve"> </w:t>
      </w:r>
      <w:r w:rsidR="00AB2939" w:rsidRPr="00D565A7">
        <w:rPr>
          <w:rFonts w:ascii="Times New Roman" w:hAnsi="Times New Roman" w:cs="Times New Roman"/>
          <w:lang w:val="en-GB" w:bidi="ar-SA"/>
        </w:rPr>
        <w:t>E</w:t>
      </w:r>
      <w:r w:rsidR="00DD2D89" w:rsidRPr="00D565A7">
        <w:rPr>
          <w:rFonts w:ascii="Times New Roman" w:hAnsi="Times New Roman" w:cs="Times New Roman"/>
          <w:lang w:val="en-GB" w:bidi="ar-SA"/>
        </w:rPr>
        <w:t xml:space="preserve">urozone countries </w:t>
      </w:r>
      <w:r w:rsidR="009E0B9F" w:rsidRPr="00D565A7">
        <w:rPr>
          <w:rFonts w:ascii="Times New Roman" w:hAnsi="Times New Roman" w:cs="Times New Roman"/>
          <w:lang w:val="en-GB" w:bidi="ar-SA"/>
        </w:rPr>
        <w:t>following</w:t>
      </w:r>
      <w:r w:rsidR="00DD2D89" w:rsidRPr="00D565A7">
        <w:rPr>
          <w:rFonts w:ascii="Times New Roman" w:hAnsi="Times New Roman" w:cs="Times New Roman"/>
          <w:lang w:val="en-GB" w:bidi="ar-SA"/>
        </w:rPr>
        <w:t xml:space="preserve"> </w:t>
      </w:r>
      <w:r w:rsidR="009E0B9F" w:rsidRPr="00D565A7">
        <w:rPr>
          <w:rFonts w:ascii="Times New Roman" w:hAnsi="Times New Roman" w:cs="Times New Roman"/>
          <w:lang w:val="en-GB" w:bidi="ar-SA"/>
        </w:rPr>
        <w:t xml:space="preserve">EU funding programmes </w:t>
      </w:r>
      <w:r w:rsidR="00DD2D89" w:rsidRPr="00D565A7">
        <w:rPr>
          <w:rFonts w:ascii="Times New Roman" w:hAnsi="Times New Roman" w:cs="Times New Roman"/>
          <w:lang w:val="en-GB" w:bidi="ar-SA"/>
        </w:rPr>
        <w:t>and non-programme countries</w:t>
      </w:r>
      <w:r w:rsidRPr="00D565A7">
        <w:rPr>
          <w:rFonts w:ascii="Times New Roman" w:hAnsi="Times New Roman" w:cs="Times New Roman"/>
          <w:lang w:val="en-GB" w:bidi="ar-SA"/>
        </w:rPr>
        <w:t xml:space="preserve">. </w:t>
      </w:r>
      <w:r w:rsidR="009E0B9F" w:rsidRPr="00D565A7">
        <w:rPr>
          <w:rFonts w:ascii="Times New Roman" w:hAnsi="Times New Roman" w:cs="Times New Roman"/>
          <w:lang w:val="en-GB" w:bidi="ar-SA"/>
        </w:rPr>
        <w:t xml:space="preserve">In </w:t>
      </w:r>
      <w:r w:rsidR="00335D59" w:rsidRPr="00D565A7">
        <w:rPr>
          <w:rFonts w:ascii="Times New Roman" w:hAnsi="Times New Roman" w:cs="Times New Roman"/>
          <w:lang w:val="en-GB" w:bidi="ar-SA"/>
        </w:rPr>
        <w:t>the first case</w:t>
      </w:r>
      <w:r w:rsidR="009E0B9F" w:rsidRPr="00D565A7">
        <w:rPr>
          <w:rFonts w:ascii="Times New Roman" w:hAnsi="Times New Roman" w:cs="Times New Roman"/>
          <w:lang w:val="en-GB" w:bidi="ar-SA"/>
        </w:rPr>
        <w:t>,</w:t>
      </w:r>
      <w:r w:rsidRPr="00D565A7">
        <w:rPr>
          <w:rFonts w:ascii="Times New Roman" w:hAnsi="Times New Roman" w:cs="Times New Roman"/>
          <w:lang w:val="en-GB" w:bidi="ar-SA"/>
        </w:rPr>
        <w:t xml:space="preserve"> the ECB did not purchase Greek sovereign bonds under its QE programme until now since Greece does not meet the ECB's eligibility criteria</w:t>
      </w:r>
      <w:r w:rsidR="00DD2D89" w:rsidRPr="00D565A7">
        <w:rPr>
          <w:rFonts w:ascii="Times New Roman" w:hAnsi="Times New Roman" w:cs="Times New Roman"/>
          <w:lang w:val="en-GB" w:bidi="ar-SA"/>
        </w:rPr>
        <w:t>,</w:t>
      </w:r>
      <w:r w:rsidRPr="00D565A7">
        <w:rPr>
          <w:rFonts w:ascii="Times New Roman" w:hAnsi="Times New Roman" w:cs="Times New Roman"/>
          <w:lang w:val="en-GB" w:bidi="ar-SA"/>
        </w:rPr>
        <w:t xml:space="preserve"> which is linked to the positive assessment of the implementation of austerity reforms by the Troika for the countries under financial assistance</w:t>
      </w:r>
      <w:r w:rsidRPr="00D565A7">
        <w:rPr>
          <w:rStyle w:val="Ancredenotedefin"/>
          <w:rFonts w:ascii="Times New Roman" w:hAnsi="Times New Roman" w:cs="Times New Roman"/>
          <w:lang w:val="en-GB" w:bidi="ar-SA"/>
        </w:rPr>
        <w:endnoteReference w:id="20"/>
      </w:r>
      <w:r w:rsidRPr="00D565A7">
        <w:rPr>
          <w:rFonts w:ascii="Times New Roman" w:hAnsi="Times New Roman" w:cs="Times New Roman"/>
          <w:lang w:val="en-GB" w:bidi="ar-SA"/>
        </w:rPr>
        <w:t xml:space="preserve">. Mario Draghi underlined that, even if Greece would receive a positive review, the ECB would have to perform its own </w:t>
      </w:r>
      <w:r w:rsidRPr="00F15905">
        <w:rPr>
          <w:rFonts w:ascii="Times New Roman" w:hAnsi="Times New Roman" w:cs="Times New Roman"/>
          <w:lang w:val="en-GB" w:bidi="ar-SA"/>
        </w:rPr>
        <w:t>debt sustainability analysis before starting such purchases</w:t>
      </w:r>
      <w:r w:rsidRPr="00F15905">
        <w:rPr>
          <w:rStyle w:val="Ancredenotedefin"/>
          <w:rFonts w:ascii="Times New Roman" w:hAnsi="Times New Roman" w:cs="Times New Roman"/>
          <w:lang w:val="en-GB" w:bidi="ar-SA"/>
        </w:rPr>
        <w:endnoteReference w:id="21"/>
      </w:r>
      <w:r w:rsidRPr="00F15905">
        <w:rPr>
          <w:rFonts w:ascii="Times New Roman" w:hAnsi="Times New Roman" w:cs="Times New Roman"/>
          <w:lang w:val="en-GB" w:bidi="ar-SA"/>
        </w:rPr>
        <w:t xml:space="preserve">. Since the ECB is part of the Troika, it is pretty clear that the conditionality of its QE programme is one of the coercive tools it uses to force Greece's compliance with the austerity measures. </w:t>
      </w:r>
    </w:p>
    <w:p w:rsidR="003C5A5E" w:rsidRPr="00D565A7" w:rsidRDefault="009E0B9F" w:rsidP="004C367A">
      <w:pPr>
        <w:spacing w:line="480" w:lineRule="auto"/>
        <w:jc w:val="both"/>
        <w:rPr>
          <w:rFonts w:ascii="Times New Roman" w:hAnsi="Times New Roman" w:cs="Times New Roman"/>
          <w:lang w:val="en-GB" w:bidi="ar-SA"/>
        </w:rPr>
      </w:pPr>
      <w:r w:rsidRPr="00F15905">
        <w:rPr>
          <w:rFonts w:ascii="Times New Roman" w:hAnsi="Times New Roman" w:cs="Times New Roman"/>
          <w:lang w:val="en-GB" w:bidi="ar-SA"/>
        </w:rPr>
        <w:t>In the case of non-programme countries</w:t>
      </w:r>
      <w:r w:rsidR="003A01D2" w:rsidRPr="00F15905">
        <w:rPr>
          <w:rFonts w:ascii="Times New Roman" w:hAnsi="Times New Roman" w:cs="Times New Roman"/>
          <w:lang w:val="en-GB" w:bidi="ar-SA"/>
        </w:rPr>
        <w:t>,</w:t>
      </w:r>
      <w:r w:rsidRPr="00F15905">
        <w:rPr>
          <w:rFonts w:ascii="Times New Roman" w:hAnsi="Times New Roman" w:cs="Times New Roman"/>
          <w:lang w:val="en-GB" w:bidi="ar-SA"/>
        </w:rPr>
        <w:t xml:space="preserve"> the QE could also be conditional</w:t>
      </w:r>
      <w:r w:rsidR="007A59D8" w:rsidRPr="00D565A7">
        <w:rPr>
          <w:rFonts w:ascii="Times New Roman" w:hAnsi="Times New Roman" w:cs="Times New Roman"/>
          <w:lang w:val="en-GB" w:bidi="ar-SA"/>
        </w:rPr>
        <w:t xml:space="preserve"> since government bonds must </w:t>
      </w:r>
      <w:r w:rsidR="007A59D8" w:rsidRPr="00D565A7">
        <w:rPr>
          <w:rFonts w:ascii="Times New Roman" w:hAnsi="Times New Roman" w:cs="Times New Roman"/>
          <w:lang w:val="en-GB" w:bidi="ar-SA"/>
        </w:rPr>
        <w:lastRenderedPageBreak/>
        <w:t xml:space="preserve">be </w:t>
      </w:r>
      <w:r w:rsidR="00163B61" w:rsidRPr="00D565A7">
        <w:rPr>
          <w:rFonts w:ascii="Times New Roman" w:hAnsi="Times New Roman" w:cs="Times New Roman"/>
          <w:lang w:val="en-GB" w:bidi="ar-SA"/>
        </w:rPr>
        <w:t>given an</w:t>
      </w:r>
      <w:r w:rsidR="007A59D8" w:rsidRPr="00D565A7">
        <w:rPr>
          <w:rFonts w:ascii="Times New Roman" w:hAnsi="Times New Roman" w:cs="Times New Roman"/>
          <w:lang w:val="en-GB" w:bidi="ar-SA"/>
        </w:rPr>
        <w:t xml:space="preserve"> investment grade by at least one rating agenc</w:t>
      </w:r>
      <w:r w:rsidR="00AB2939" w:rsidRPr="00D565A7">
        <w:rPr>
          <w:rFonts w:ascii="Times New Roman" w:hAnsi="Times New Roman" w:cs="Times New Roman"/>
          <w:lang w:val="en-GB" w:bidi="ar-SA"/>
        </w:rPr>
        <w:t>y</w:t>
      </w:r>
      <w:r w:rsidR="007A59D8" w:rsidRPr="00D565A7">
        <w:rPr>
          <w:rFonts w:ascii="Times New Roman" w:hAnsi="Times New Roman" w:cs="Times New Roman"/>
          <w:lang w:val="en-GB" w:bidi="ar-SA"/>
        </w:rPr>
        <w:t xml:space="preserve"> in order </w:t>
      </w:r>
      <w:r w:rsidR="00163B61" w:rsidRPr="00D565A7">
        <w:rPr>
          <w:rFonts w:ascii="Times New Roman" w:hAnsi="Times New Roman" w:cs="Times New Roman"/>
          <w:lang w:val="en-GB" w:bidi="ar-SA"/>
        </w:rPr>
        <w:t>to be eligible in the operations of the ECB</w:t>
      </w:r>
      <w:r w:rsidRPr="00D565A7">
        <w:rPr>
          <w:rFonts w:ascii="Times New Roman" w:hAnsi="Times New Roman" w:cs="Times New Roman"/>
          <w:lang w:val="en-GB" w:bidi="ar-SA"/>
        </w:rPr>
        <w:t>. D</w:t>
      </w:r>
      <w:r w:rsidR="003A01D2" w:rsidRPr="00D565A7">
        <w:rPr>
          <w:rFonts w:ascii="Times New Roman" w:hAnsi="Times New Roman" w:cs="Times New Roman"/>
          <w:lang w:val="en-GB" w:bidi="ar-SA"/>
        </w:rPr>
        <w:t>uring Portuguese governmental instability</w:t>
      </w:r>
      <w:r w:rsidRPr="00F15905">
        <w:rPr>
          <w:rStyle w:val="EndnoteReference"/>
          <w:rFonts w:ascii="Times New Roman" w:hAnsi="Times New Roman" w:cs="Times New Roman"/>
          <w:lang w:val="en-GB" w:bidi="ar-SA"/>
        </w:rPr>
        <w:endnoteReference w:id="22"/>
      </w:r>
      <w:r w:rsidR="003A01D2" w:rsidRPr="00F15905">
        <w:rPr>
          <w:rFonts w:ascii="Times New Roman" w:hAnsi="Times New Roman" w:cs="Times New Roman"/>
          <w:lang w:val="en-GB" w:bidi="ar-SA"/>
        </w:rPr>
        <w:t xml:space="preserve"> in November 2015, only one rating company (DBRS Ltd) gave Portuguese bonds an investment grade. If this specific company would have downgraded Portugal, Portuguese bonds would not have reached the collateral eligibility criteria and the ECB purchases could have stopped</w:t>
      </w:r>
      <w:bookmarkEnd w:id="1"/>
      <w:r w:rsidR="003A01D2" w:rsidRPr="00F15905">
        <w:rPr>
          <w:rFonts w:ascii="Times New Roman" w:hAnsi="Times New Roman" w:cs="Times New Roman"/>
          <w:lang w:val="en-GB" w:bidi="ar-SA"/>
        </w:rPr>
        <w:t xml:space="preserve"> (Mnyanda</w:t>
      </w:r>
      <w:r w:rsidR="003A01D2" w:rsidRPr="00D565A7">
        <w:rPr>
          <w:rFonts w:ascii="Times New Roman" w:hAnsi="Times New Roman" w:cs="Times New Roman"/>
          <w:lang w:val="en-GB" w:bidi="ar-SA"/>
        </w:rPr>
        <w:t xml:space="preserve"> 2015). However, a waiver allowing the ECB to keep buying their bonds could be possible under specific conditions defined unilaterally by the ECB. In </w:t>
      </w:r>
      <w:r w:rsidR="00163B61" w:rsidRPr="00D565A7">
        <w:rPr>
          <w:rFonts w:ascii="Times New Roman" w:hAnsi="Times New Roman" w:cs="Times New Roman"/>
          <w:lang w:val="en-GB" w:bidi="ar-SA"/>
        </w:rPr>
        <w:t>short</w:t>
      </w:r>
      <w:r w:rsidR="003A01D2" w:rsidRPr="00D565A7">
        <w:rPr>
          <w:rFonts w:ascii="Times New Roman" w:hAnsi="Times New Roman" w:cs="Times New Roman"/>
          <w:lang w:val="en-GB" w:bidi="ar-SA"/>
        </w:rPr>
        <w:t xml:space="preserve">, </w:t>
      </w:r>
      <w:r w:rsidR="00AB2939" w:rsidRPr="00D565A7">
        <w:rPr>
          <w:rFonts w:ascii="Times New Roman" w:hAnsi="Times New Roman" w:cs="Times New Roman"/>
          <w:lang w:val="en-GB" w:bidi="ar-SA"/>
        </w:rPr>
        <w:t xml:space="preserve">QE </w:t>
      </w:r>
      <w:r w:rsidR="009F448F" w:rsidRPr="00D565A7">
        <w:rPr>
          <w:rFonts w:ascii="Times New Roman" w:hAnsi="Times New Roman" w:cs="Times New Roman"/>
          <w:lang w:val="en-GB" w:bidi="ar-SA"/>
        </w:rPr>
        <w:t xml:space="preserve">conditionality is not systematic but it is explicit </w:t>
      </w:r>
      <w:r w:rsidR="00AB2939" w:rsidRPr="00D565A7">
        <w:rPr>
          <w:rFonts w:ascii="Times New Roman" w:hAnsi="Times New Roman" w:cs="Times New Roman"/>
          <w:lang w:val="en-GB"/>
        </w:rPr>
        <w:t>if E</w:t>
      </w:r>
      <w:r w:rsidR="009F448F" w:rsidRPr="00D565A7">
        <w:rPr>
          <w:rFonts w:ascii="Times New Roman" w:hAnsi="Times New Roman" w:cs="Times New Roman"/>
          <w:lang w:val="en-GB"/>
        </w:rPr>
        <w:t>urozone countries</w:t>
      </w:r>
      <w:r w:rsidR="00CC08C3" w:rsidRPr="00D565A7">
        <w:rPr>
          <w:rFonts w:ascii="Times New Roman" w:hAnsi="Times New Roman" w:cs="Times New Roman"/>
          <w:lang w:val="en-GB" w:bidi="ar-SA"/>
        </w:rPr>
        <w:t xml:space="preserve"> are under EU financial programmes or if they </w:t>
      </w:r>
      <w:r w:rsidR="009F448F" w:rsidRPr="00D565A7">
        <w:rPr>
          <w:rFonts w:ascii="Times New Roman" w:hAnsi="Times New Roman" w:cs="Times New Roman"/>
          <w:lang w:val="en-GB"/>
        </w:rPr>
        <w:t>lose the</w:t>
      </w:r>
      <w:r w:rsidR="009F448F" w:rsidRPr="00D565A7">
        <w:rPr>
          <w:rFonts w:ascii="Times New Roman" w:hAnsi="Times New Roman" w:cs="Times New Roman"/>
          <w:lang w:val="en-GB" w:bidi="ar-SA"/>
        </w:rPr>
        <w:t xml:space="preserve"> </w:t>
      </w:r>
      <w:r w:rsidR="009F448F" w:rsidRPr="00D565A7">
        <w:rPr>
          <w:rFonts w:ascii="Times New Roman" w:hAnsi="Times New Roman" w:cs="Times New Roman"/>
          <w:lang w:val="en-GB"/>
        </w:rPr>
        <w:t>confidence of rating agencies</w:t>
      </w:r>
      <w:r w:rsidR="009F448F" w:rsidRPr="00D565A7">
        <w:rPr>
          <w:rFonts w:ascii="Times New Roman" w:hAnsi="Times New Roman" w:cs="Times New Roman"/>
          <w:lang w:val="en-GB" w:bidi="ar-SA"/>
        </w:rPr>
        <w:t>.</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iCs/>
          <w:lang w:val="en-GB"/>
        </w:rPr>
      </w:pPr>
      <w:r w:rsidRPr="00D565A7">
        <w:rPr>
          <w:rFonts w:ascii="Times New Roman" w:hAnsi="Times New Roman" w:cs="Times New Roman"/>
          <w:iCs/>
          <w:lang w:val="en-GB"/>
        </w:rPr>
        <w:t xml:space="preserve">The ECB collateral policy </w:t>
      </w: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As early as March 2010, the International Monetary Fund (IMF) sought a partial default on Greek debt – a policy choice branded as private sector involvement (PSI) – in order to make the Greek rescue program sustainable and to avoid excessive social costs. Since the very beginning, the ECB had been the most vocal player against this option (Blustein 2015</w:t>
      </w:r>
      <w:r w:rsidR="001D228A"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 xml:space="preserve"> 11). After a bilateral agreement between France and Germany in late 2010, the Eurozone leaders unanimously agreed on the Greek PSI in May 2011 and considered this option for other countries. Contrary to this agreement, the ECB undermined this policy decision by threatening its partners that it would refuse Greek bonds as collateral in its open-market operations (Atkins 2011). Such a refusal would have led to a bankruptcy of the Greek banking system and threatened the Eurozone’s stability. Consequently, the ECB won a compromise on the PSI: it would be a one-time option and would not be applied to the bonds owned by the ECB (Wilson 2011</w:t>
      </w:r>
      <w:r w:rsidR="002F1254" w:rsidRPr="00D565A7">
        <w:rPr>
          <w:rFonts w:ascii="Times New Roman" w:hAnsi="Times New Roman" w:cs="Times New Roman"/>
          <w:lang w:val="en-GB" w:eastAsia="en-US" w:bidi="ar-SA"/>
        </w:rPr>
        <w:t>)</w:t>
      </w:r>
      <w:r w:rsidRPr="00D565A7">
        <w:rPr>
          <w:rFonts w:ascii="Times New Roman" w:hAnsi="Times New Roman" w:cs="Times New Roman"/>
          <w:lang w:val="en-GB" w:eastAsia="en-US" w:bidi="ar-SA"/>
        </w:rPr>
        <w:t>. Moreover, in February 2015, the ECB decided to refuse Greek sovereign bonds as collateral, because of the disagreement between the newly elected Syriza government and its creditors on the implementation of austerity measures.</w:t>
      </w:r>
      <w:r w:rsidRPr="00F15905">
        <w:rPr>
          <w:rStyle w:val="Ancredenotedefin"/>
          <w:rFonts w:ascii="Times New Roman" w:hAnsi="Times New Roman" w:cs="Times New Roman"/>
          <w:lang w:val="en-GB" w:eastAsia="en-US" w:bidi="ar-SA"/>
        </w:rPr>
        <w:endnoteReference w:id="23"/>
      </w:r>
      <w:r w:rsidR="00864936" w:rsidRPr="00F15905">
        <w:rPr>
          <w:rFonts w:ascii="Times New Roman" w:hAnsi="Times New Roman" w:cs="Times New Roman"/>
          <w:lang w:val="en-GB" w:eastAsia="en-US" w:bidi="ar-SA"/>
        </w:rPr>
        <w:t xml:space="preserve"> Following Gabor and Ban’s (2016</w:t>
      </w:r>
      <w:r w:rsidRPr="00F15905">
        <w:rPr>
          <w:rFonts w:ascii="Times New Roman" w:hAnsi="Times New Roman" w:cs="Times New Roman"/>
          <w:lang w:val="en-GB" w:eastAsia="en-US" w:bidi="ar-SA"/>
        </w:rPr>
        <w:t>) conclusions, the ECB behaved like a “shadow bank,” because its collateral practices were pro-cyclical and were destabilizin</w:t>
      </w:r>
      <w:r w:rsidRPr="00D565A7">
        <w:rPr>
          <w:rFonts w:ascii="Times New Roman" w:hAnsi="Times New Roman" w:cs="Times New Roman"/>
          <w:lang w:val="en-GB" w:eastAsia="en-US" w:bidi="ar-SA"/>
        </w:rPr>
        <w:t xml:space="preserve">g the country economy. </w:t>
      </w:r>
    </w:p>
    <w:p w:rsidR="003C5A5E" w:rsidRPr="00D565A7" w:rsidRDefault="003C5A5E" w:rsidP="004C367A">
      <w:pPr>
        <w:pStyle w:val="LO-Normal"/>
        <w:spacing w:line="480" w:lineRule="auto"/>
        <w:jc w:val="both"/>
        <w:rPr>
          <w:rFonts w:ascii="Times New Roman" w:hAnsi="Times New Roman" w:cs="Times New Roman"/>
          <w:lang w:val="en-GB"/>
        </w:rPr>
      </w:pPr>
    </w:p>
    <w:p w:rsidR="003C5A5E" w:rsidRPr="00D565A7" w:rsidRDefault="002F1254"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lastRenderedPageBreak/>
        <w:t>Three factors can explain the ECB’s opposition to the PSI,</w:t>
      </w:r>
      <w:r w:rsidR="003A01D2" w:rsidRPr="00D565A7">
        <w:rPr>
          <w:rFonts w:ascii="Times New Roman" w:hAnsi="Times New Roman" w:cs="Times New Roman"/>
          <w:lang w:val="en-GB" w:eastAsia="en-US" w:bidi="ar-SA"/>
        </w:rPr>
        <w:t xml:space="preserve"> a policy option that is often used in international bailouts but was branded by an ECB policymaker as a “strong masochistic tendency.”</w:t>
      </w:r>
      <w:r w:rsidR="003A01D2" w:rsidRPr="00F15905">
        <w:rPr>
          <w:rStyle w:val="Ancredenotedefin"/>
          <w:rFonts w:ascii="Times New Roman" w:hAnsi="Times New Roman" w:cs="Times New Roman"/>
          <w:lang w:val="en-GB" w:eastAsia="en-US" w:bidi="ar-SA"/>
        </w:rPr>
        <w:endnoteReference w:id="24"/>
      </w:r>
      <w:r w:rsidR="003A01D2" w:rsidRPr="00F15905">
        <w:rPr>
          <w:rFonts w:ascii="Times New Roman" w:hAnsi="Times New Roman" w:cs="Times New Roman"/>
          <w:lang w:val="en-GB" w:eastAsia="en-US" w:bidi="ar-SA"/>
        </w:rPr>
        <w:t xml:space="preserve"> The first </w:t>
      </w:r>
      <w:r w:rsidRPr="00D565A7">
        <w:rPr>
          <w:rFonts w:ascii="Times New Roman" w:hAnsi="Times New Roman" w:cs="Times New Roman"/>
          <w:lang w:val="en-GB" w:eastAsia="en-US" w:bidi="ar-SA"/>
        </w:rPr>
        <w:t>explanation</w:t>
      </w:r>
      <w:r w:rsidR="003A01D2" w:rsidRPr="00D565A7">
        <w:rPr>
          <w:rFonts w:ascii="Times New Roman" w:hAnsi="Times New Roman" w:cs="Times New Roman"/>
          <w:lang w:val="en-GB" w:eastAsia="en-US" w:bidi="ar-SA"/>
        </w:rPr>
        <w:t xml:space="preserve"> is ideational: ECB leaders believed that PSI could undermine investors’ confidence. The second is strategic: PSI could endanger the stability of the French and German banks that were heavily exposed to Greek debt (until late 2010). The third is institutional: when central bankers purchased governments' bonds (from May 2010), they behaved as an investor, as they were reluctant to accept losses on their balance sheets (Mehrling 2010). Common these three </w:t>
      </w:r>
      <w:r w:rsidRPr="00D565A7">
        <w:rPr>
          <w:rFonts w:ascii="Times New Roman" w:hAnsi="Times New Roman" w:cs="Times New Roman"/>
          <w:lang w:val="en-GB" w:eastAsia="en-US" w:bidi="ar-SA"/>
        </w:rPr>
        <w:t>explanations</w:t>
      </w:r>
      <w:r w:rsidR="003A01D2" w:rsidRPr="00D565A7">
        <w:rPr>
          <w:rFonts w:ascii="Times New Roman" w:hAnsi="Times New Roman" w:cs="Times New Roman"/>
          <w:lang w:val="en-GB" w:eastAsia="en-US" w:bidi="ar-SA"/>
        </w:rPr>
        <w:t xml:space="preserve"> is the priority given to the creditors' rights at the expense of potential social costs.</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bCs/>
          <w:lang w:val="en-GB"/>
        </w:rPr>
      </w:pPr>
      <w:r w:rsidRPr="00D565A7">
        <w:rPr>
          <w:rFonts w:ascii="Times New Roman" w:hAnsi="Times New Roman" w:cs="Times New Roman"/>
          <w:bCs/>
          <w:lang w:val="en-GB"/>
        </w:rPr>
        <w:t xml:space="preserve">The Emergency Liquidity Assistance </w:t>
      </w:r>
    </w:p>
    <w:p w:rsidR="003C5A5E" w:rsidRPr="00D565A7" w:rsidRDefault="003A01D2" w:rsidP="004C367A">
      <w:pPr>
        <w:pStyle w:val="LO-Normal"/>
        <w:spacing w:line="480" w:lineRule="auto"/>
        <w:ind w:firstLine="227"/>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The ECB used its Emergency Liquidity Assistance (ELA) instrument</w:t>
      </w:r>
      <w:r w:rsidRPr="00F15905">
        <w:rPr>
          <w:rStyle w:val="Ancredenotedefin"/>
          <w:rFonts w:ascii="Times New Roman" w:hAnsi="Times New Roman" w:cs="Times New Roman"/>
          <w:lang w:val="en-GB" w:eastAsia="en-US" w:bidi="ar-SA"/>
        </w:rPr>
        <w:endnoteReference w:id="25"/>
      </w:r>
      <w:r w:rsidRPr="00F15905">
        <w:rPr>
          <w:rFonts w:ascii="Times New Roman" w:hAnsi="Times New Roman" w:cs="Times New Roman"/>
          <w:lang w:val="en-GB" w:eastAsia="en-US" w:bidi="ar-SA"/>
        </w:rPr>
        <w:t xml:space="preserve"> to force Ireland, Cyprus and Greece to ask for a financial bailout in November 2010, March 2012 and July 2015, respectively. In the cases of Ireland and Cyprus, the ECB sought a recapitalization of their national banking systems through the EU financial support. The ECB’s “credible threat” was to cut off their national banks’ access to the ELA, which would have triggered the</w:t>
      </w:r>
      <w:r w:rsidRPr="00D565A7">
        <w:rPr>
          <w:rFonts w:ascii="Times New Roman" w:hAnsi="Times New Roman" w:cs="Times New Roman"/>
          <w:lang w:val="en-GB" w:eastAsia="en-US" w:bidi="ar-SA"/>
        </w:rPr>
        <w:t xml:space="preserve"> bankruptcy of their entire oversized banking systems. In both these cases, the ECB was the only Eurozone player asking for the bailout of these countries, and it did not ultimately need to resort to this credible threat.</w:t>
      </w:r>
    </w:p>
    <w:p w:rsidR="003C5A5E" w:rsidRPr="00D565A7" w:rsidRDefault="003A01D2" w:rsidP="004C367A">
      <w:pPr>
        <w:pStyle w:val="LO-Normal"/>
        <w:spacing w:line="480" w:lineRule="auto"/>
        <w:ind w:firstLine="227"/>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The use of ELA in Greece during the summer of 2015 was different. Even though the ECB did not cut off ELA access nor lower the amount allotted to Greek banks, ELA parameters were set to force bank foreclosure and impose capital controls that would influence domestic politics. More precisely, when the Greek government announced a referendum on the terms of a third Eurozone bailout on June 27, both the deposit withdrawals from and the refinancing needs of the Greek banks rose. Yet, the ECB decided to maintain the ELA’s amount at its former level (</w:t>
      </w:r>
      <w:r w:rsidRPr="00D565A7">
        <w:rPr>
          <w:rFonts w:ascii="Times New Roman" w:eastAsia="Calibri" w:hAnsi="Times New Roman" w:cs="Times New Roman"/>
          <w:color w:val="000000"/>
          <w:sz w:val="22"/>
          <w:shd w:val="clear" w:color="auto" w:fill="FFFFFF"/>
          <w:lang w:val="en-GB" w:eastAsia="en-US" w:bidi="ar-SA"/>
        </w:rPr>
        <w:t>€90</w:t>
      </w:r>
      <w:r w:rsidRPr="00D565A7">
        <w:rPr>
          <w:rFonts w:ascii="Times New Roman" w:hAnsi="Times New Roman" w:cs="Times New Roman"/>
          <w:lang w:val="en-GB" w:eastAsia="en-US" w:bidi="ar-SA"/>
        </w:rPr>
        <w:t>bn) and apply a haircut on the Greek bonds used as collateral in these operations.</w:t>
      </w:r>
      <w:r w:rsidRPr="00F15905">
        <w:rPr>
          <w:rStyle w:val="Ancredenotedefin"/>
          <w:rFonts w:ascii="Times New Roman" w:hAnsi="Times New Roman" w:cs="Times New Roman"/>
          <w:lang w:val="en-GB" w:eastAsia="en-US" w:bidi="ar-SA"/>
        </w:rPr>
        <w:endnoteReference w:id="26"/>
      </w:r>
      <w:r w:rsidRPr="00F15905">
        <w:rPr>
          <w:rFonts w:ascii="Times New Roman" w:hAnsi="Times New Roman" w:cs="Times New Roman"/>
          <w:lang w:val="en-GB" w:eastAsia="en-US" w:bidi="ar-SA"/>
        </w:rPr>
        <w:t xml:space="preserve"> This decision contrasts with the higher cap on ELA allotments to Greek banks in May 2012 (</w:t>
      </w:r>
      <w:r w:rsidRPr="00F15905">
        <w:rPr>
          <w:rFonts w:ascii="Times New Roman" w:eastAsia="Calibri" w:hAnsi="Times New Roman" w:cs="Times New Roman"/>
          <w:color w:val="000000"/>
          <w:sz w:val="22"/>
          <w:shd w:val="clear" w:color="auto" w:fill="FFFFFF"/>
          <w:lang w:val="en-GB" w:eastAsia="en-US" w:bidi="ar-SA"/>
        </w:rPr>
        <w:t>€</w:t>
      </w:r>
      <w:r w:rsidRPr="00F15905">
        <w:rPr>
          <w:rFonts w:ascii="Times New Roman" w:hAnsi="Times New Roman" w:cs="Times New Roman"/>
          <w:lang w:val="en-GB" w:eastAsia="en-US" w:bidi="ar-SA"/>
        </w:rPr>
        <w:t>125bn) when bank withdrawals were more limited.</w:t>
      </w:r>
      <w:r w:rsidRPr="00F15905">
        <w:rPr>
          <w:rStyle w:val="Ancredenotedefin"/>
          <w:rFonts w:ascii="Times New Roman" w:hAnsi="Times New Roman" w:cs="Times New Roman"/>
          <w:lang w:val="en-GB" w:eastAsia="en-US" w:bidi="ar-SA"/>
        </w:rPr>
        <w:endnoteReference w:id="27"/>
      </w:r>
      <w:r w:rsidRPr="00F15905">
        <w:rPr>
          <w:rFonts w:ascii="Times New Roman" w:hAnsi="Times New Roman" w:cs="Times New Roman"/>
          <w:lang w:val="en-GB" w:eastAsia="en-US" w:bidi="ar-SA"/>
        </w:rPr>
        <w:t xml:space="preserve"> In other words, the ECB</w:t>
      </w:r>
      <w:r w:rsidR="00D1643E" w:rsidRPr="00F15905">
        <w:rPr>
          <w:rFonts w:ascii="Times New Roman" w:hAnsi="Times New Roman" w:cs="Times New Roman"/>
          <w:lang w:val="en-GB" w:eastAsia="en-US" w:bidi="ar-SA"/>
        </w:rPr>
        <w:t xml:space="preserve"> did </w:t>
      </w:r>
      <w:r w:rsidR="00D1643E" w:rsidRPr="00F15905">
        <w:rPr>
          <w:rFonts w:ascii="Times New Roman" w:hAnsi="Times New Roman" w:cs="Times New Roman"/>
          <w:lang w:val="en-GB" w:eastAsia="en-US" w:bidi="ar-SA"/>
        </w:rPr>
        <w:lastRenderedPageBreak/>
        <w:t>not use ELA to alleviat</w:t>
      </w:r>
      <w:r w:rsidR="001814E2" w:rsidRPr="00D565A7">
        <w:rPr>
          <w:rFonts w:ascii="Times New Roman" w:hAnsi="Times New Roman" w:cs="Times New Roman"/>
          <w:lang w:val="en-GB" w:eastAsia="en-US" w:bidi="ar-SA"/>
        </w:rPr>
        <w:t>e the financial pressures on the Greek</w:t>
      </w:r>
      <w:r w:rsidR="00D1643E" w:rsidRPr="00D565A7">
        <w:rPr>
          <w:rFonts w:ascii="Times New Roman" w:hAnsi="Times New Roman" w:cs="Times New Roman"/>
          <w:lang w:val="en-GB" w:eastAsia="en-US" w:bidi="ar-SA"/>
        </w:rPr>
        <w:t xml:space="preserve"> banking system. In effect, this lack of support </w:t>
      </w:r>
      <w:r w:rsidR="001B30E4" w:rsidRPr="00D565A7">
        <w:rPr>
          <w:rFonts w:ascii="Times New Roman" w:hAnsi="Times New Roman" w:cs="Times New Roman"/>
          <w:lang w:val="en-GB" w:eastAsia="en-US" w:bidi="ar-SA"/>
        </w:rPr>
        <w:t xml:space="preserve">was conducive </w:t>
      </w:r>
      <w:r w:rsidR="00D1643E" w:rsidRPr="00D565A7">
        <w:rPr>
          <w:rFonts w:ascii="Times New Roman" w:hAnsi="Times New Roman" w:cs="Times New Roman"/>
          <w:lang w:val="en-GB" w:eastAsia="en-US" w:bidi="ar-SA"/>
        </w:rPr>
        <w:t xml:space="preserve">to the Greek banks’ </w:t>
      </w:r>
      <w:r w:rsidR="001B30E4" w:rsidRPr="00D565A7">
        <w:rPr>
          <w:rFonts w:ascii="Times New Roman" w:hAnsi="Times New Roman" w:cs="Times New Roman"/>
          <w:lang w:val="en-GB" w:eastAsia="en-US" w:bidi="ar-SA"/>
        </w:rPr>
        <w:t>foreclosure</w:t>
      </w:r>
      <w:r w:rsidR="00D1643E" w:rsidRPr="00D565A7">
        <w:rPr>
          <w:rFonts w:ascii="Times New Roman" w:hAnsi="Times New Roman" w:cs="Times New Roman"/>
          <w:lang w:val="en-GB" w:eastAsia="en-US" w:bidi="ar-SA"/>
        </w:rPr>
        <w:t xml:space="preserve"> </w:t>
      </w:r>
      <w:r w:rsidR="001B30E4" w:rsidRPr="00D565A7">
        <w:rPr>
          <w:rFonts w:ascii="Times New Roman" w:hAnsi="Times New Roman" w:cs="Times New Roman"/>
          <w:lang w:val="en-GB" w:eastAsia="en-US" w:bidi="ar-SA"/>
        </w:rPr>
        <w:t>during the week preceding the referendum vote</w:t>
      </w:r>
      <w:r w:rsidR="005451A4" w:rsidRPr="00D565A7">
        <w:rPr>
          <w:rFonts w:ascii="Times New Roman" w:hAnsi="Times New Roman" w:cs="Times New Roman"/>
          <w:lang w:val="en-GB" w:eastAsia="en-US" w:bidi="ar-SA"/>
        </w:rPr>
        <w:t xml:space="preserve"> on the bail-out terms</w:t>
      </w:r>
      <w:r w:rsidR="001B30E4" w:rsidRPr="00D565A7">
        <w:rPr>
          <w:rFonts w:ascii="Times New Roman" w:hAnsi="Times New Roman" w:cs="Times New Roman"/>
          <w:lang w:val="en-GB" w:eastAsia="en-US" w:bidi="ar-SA"/>
        </w:rPr>
        <w:t xml:space="preserve">. </w:t>
      </w:r>
      <w:r w:rsidR="006358C9" w:rsidRPr="00D565A7">
        <w:rPr>
          <w:rFonts w:ascii="Times New Roman" w:hAnsi="Times New Roman" w:cs="Times New Roman"/>
          <w:lang w:val="en-GB" w:eastAsia="en-US" w:bidi="ar-SA"/>
        </w:rPr>
        <w:t>It was</w:t>
      </w:r>
      <w:r w:rsidR="00651F10" w:rsidRPr="00D565A7">
        <w:rPr>
          <w:rFonts w:ascii="Times New Roman" w:hAnsi="Times New Roman" w:cs="Times New Roman"/>
          <w:lang w:val="en-GB" w:eastAsia="en-US" w:bidi="ar-SA"/>
        </w:rPr>
        <w:t xml:space="preserve"> only </w:t>
      </w:r>
      <w:r w:rsidR="001814E2" w:rsidRPr="00D565A7">
        <w:rPr>
          <w:rFonts w:ascii="Times New Roman" w:hAnsi="Times New Roman" w:cs="Times New Roman"/>
          <w:lang w:val="en-GB" w:eastAsia="en-US" w:bidi="ar-SA"/>
        </w:rPr>
        <w:t xml:space="preserve">on July 16, 2015, </w:t>
      </w:r>
      <w:r w:rsidR="00651F10" w:rsidRPr="00D565A7">
        <w:rPr>
          <w:rFonts w:ascii="Times New Roman" w:hAnsi="Times New Roman" w:cs="Times New Roman"/>
          <w:lang w:val="en-GB" w:eastAsia="en-US" w:bidi="ar-SA"/>
        </w:rPr>
        <w:t>when the Greek government</w:t>
      </w:r>
      <w:r w:rsidR="001814E2" w:rsidRPr="00D565A7">
        <w:rPr>
          <w:rFonts w:ascii="Times New Roman" w:hAnsi="Times New Roman" w:cs="Times New Roman"/>
          <w:lang w:val="en-GB" w:eastAsia="en-US" w:bidi="ar-SA"/>
        </w:rPr>
        <w:t xml:space="preserve"> overrode the referendum outcome</w:t>
      </w:r>
      <w:r w:rsidR="006358C9" w:rsidRPr="00D565A7">
        <w:rPr>
          <w:rFonts w:ascii="Times New Roman" w:hAnsi="Times New Roman" w:cs="Times New Roman"/>
          <w:lang w:val="en-GB" w:eastAsia="en-US" w:bidi="ar-SA"/>
        </w:rPr>
        <w:t xml:space="preserve"> and</w:t>
      </w:r>
      <w:r w:rsidR="00651F10" w:rsidRPr="00D565A7">
        <w:rPr>
          <w:rFonts w:ascii="Times New Roman" w:hAnsi="Times New Roman" w:cs="Times New Roman"/>
          <w:lang w:val="en-GB" w:eastAsia="en-US" w:bidi="ar-SA"/>
        </w:rPr>
        <w:t xml:space="preserve"> agreed on the bail-out terms, that the ECB raised ELA amounts to meet the Greek bank’s financing need</w:t>
      </w:r>
      <w:r w:rsidR="006358C9" w:rsidRPr="00D565A7">
        <w:rPr>
          <w:rFonts w:ascii="Times New Roman" w:hAnsi="Times New Roman" w:cs="Times New Roman"/>
          <w:lang w:val="en-GB" w:eastAsia="en-US" w:bidi="ar-SA"/>
        </w:rPr>
        <w:t>s</w:t>
      </w:r>
      <w:r w:rsidR="00651F10" w:rsidRPr="00D565A7">
        <w:rPr>
          <w:rFonts w:ascii="Times New Roman" w:hAnsi="Times New Roman" w:cs="Times New Roman"/>
          <w:lang w:val="en-GB" w:eastAsia="en-US" w:bidi="ar-SA"/>
        </w:rPr>
        <w:t xml:space="preserve">. </w:t>
      </w:r>
      <w:r w:rsidR="006358C9" w:rsidRPr="00D565A7">
        <w:rPr>
          <w:rFonts w:ascii="Times New Roman" w:hAnsi="Times New Roman" w:cs="Times New Roman"/>
          <w:lang w:val="en-GB" w:eastAsia="en-US" w:bidi="ar-SA"/>
        </w:rPr>
        <w:t xml:space="preserve">Arguably, the ECB used ELA to force the Greek government to accept the terms of a third bail-out.  </w:t>
      </w:r>
    </w:p>
    <w:p w:rsidR="006358C9" w:rsidRPr="00D565A7" w:rsidRDefault="006358C9" w:rsidP="004C367A">
      <w:pPr>
        <w:pStyle w:val="LO-Normal"/>
        <w:spacing w:line="480" w:lineRule="auto"/>
        <w:ind w:firstLine="227"/>
        <w:jc w:val="both"/>
        <w:rPr>
          <w:rFonts w:ascii="Times New Roman" w:hAnsi="Times New Roman" w:cs="Times New Roman"/>
          <w:lang w:val="en-GB" w:eastAsia="en-US" w:bidi="ar-SA"/>
        </w:rPr>
      </w:pPr>
    </w:p>
    <w:p w:rsidR="004A242B" w:rsidRPr="00D565A7" w:rsidRDefault="003A01D2" w:rsidP="00CE6B9D">
      <w:pPr>
        <w:pStyle w:val="LO-Normal"/>
        <w:spacing w:line="480" w:lineRule="auto"/>
        <w:ind w:firstLine="227"/>
        <w:jc w:val="both"/>
        <w:rPr>
          <w:rFonts w:ascii="Times New Roman" w:hAnsi="Times New Roman" w:cs="Times New Roman"/>
          <w:highlight w:val="yellow"/>
          <w:lang w:val="en-GB" w:bidi="ar-SA"/>
        </w:rPr>
      </w:pPr>
      <w:r w:rsidRPr="00D565A7">
        <w:rPr>
          <w:rFonts w:ascii="Times New Roman" w:hAnsi="Times New Roman" w:cs="Times New Roman"/>
          <w:lang w:val="en-GB" w:bidi="ar-SA"/>
        </w:rPr>
        <w:t>To conclude, what were striking about the ECB’s use of its monetary instruments were the variety of policy areas in which it exerted direct coercive pressures and the effectiveness of these pressures. The ECB’s role in the Troika demonstrates its clear willingness to get actively involved reforming policy areas that are beyond its competencies. Moreover, the ECB’s actions regarding PSI and ELA indicate that it can impose its policy preferences</w:t>
      </w:r>
      <w:r w:rsidR="009F0BD9" w:rsidRPr="00D565A7">
        <w:rPr>
          <w:rFonts w:ascii="Times New Roman" w:hAnsi="Times New Roman" w:cs="Times New Roman"/>
          <w:lang w:val="en-GB" w:bidi="ar-SA"/>
        </w:rPr>
        <w:t>, sometimes</w:t>
      </w:r>
      <w:r w:rsidRPr="00D565A7">
        <w:rPr>
          <w:rFonts w:ascii="Times New Roman" w:hAnsi="Times New Roman" w:cs="Times New Roman"/>
          <w:lang w:val="en-GB" w:bidi="ar-SA"/>
        </w:rPr>
        <w:t xml:space="preserve"> against the unanimity of the Eurozone states. </w:t>
      </w:r>
      <w:r w:rsidR="0097182C" w:rsidRPr="00D565A7">
        <w:rPr>
          <w:rFonts w:ascii="Times New Roman" w:hAnsi="Times New Roman" w:cs="Times New Roman"/>
          <w:lang w:val="en-GB" w:bidi="ar-SA"/>
        </w:rPr>
        <w:t xml:space="preserve">Finally, </w:t>
      </w:r>
      <w:r w:rsidR="00D214A6" w:rsidRPr="00D565A7">
        <w:rPr>
          <w:rFonts w:ascii="Times New Roman" w:hAnsi="Times New Roman" w:cs="Times New Roman"/>
          <w:lang w:val="en-GB" w:bidi="ar-SA"/>
        </w:rPr>
        <w:t xml:space="preserve">the pro-cyclical tendencies of the </w:t>
      </w:r>
      <w:r w:rsidR="004A242B" w:rsidRPr="00D565A7">
        <w:rPr>
          <w:rFonts w:ascii="Times New Roman" w:hAnsi="Times New Roman" w:cs="Times New Roman"/>
          <w:lang w:val="en-GB" w:bidi="ar-SA"/>
        </w:rPr>
        <w:t>ECB</w:t>
      </w:r>
      <w:r w:rsidR="0097182C" w:rsidRPr="00D565A7">
        <w:rPr>
          <w:rFonts w:ascii="Times New Roman" w:hAnsi="Times New Roman" w:cs="Times New Roman"/>
          <w:lang w:val="en-GB" w:bidi="ar-SA"/>
        </w:rPr>
        <w:t xml:space="preserve"> </w:t>
      </w:r>
      <w:r w:rsidR="00D214A6" w:rsidRPr="00D565A7">
        <w:rPr>
          <w:rFonts w:ascii="Times New Roman" w:hAnsi="Times New Roman" w:cs="Times New Roman"/>
          <w:lang w:val="en-GB" w:bidi="ar-SA"/>
        </w:rPr>
        <w:t>conditionality hampers</w:t>
      </w:r>
      <w:r w:rsidR="00D66B78" w:rsidRPr="00D565A7">
        <w:rPr>
          <w:rFonts w:ascii="Times New Roman" w:hAnsi="Times New Roman" w:cs="Times New Roman"/>
          <w:lang w:val="en-GB" w:bidi="ar-SA"/>
        </w:rPr>
        <w:t xml:space="preserve"> its financial stability objective. </w:t>
      </w:r>
      <w:r w:rsidR="00636631" w:rsidRPr="00D565A7">
        <w:rPr>
          <w:rFonts w:ascii="Times New Roman" w:hAnsi="Times New Roman" w:cs="Times New Roman"/>
          <w:lang w:val="en-GB" w:bidi="ar-SA"/>
        </w:rPr>
        <w:t xml:space="preserve">For example, </w:t>
      </w:r>
      <w:r w:rsidR="00E813BC" w:rsidRPr="00D565A7">
        <w:rPr>
          <w:rFonts w:ascii="Times New Roman" w:hAnsi="Times New Roman" w:cs="Times New Roman"/>
          <w:lang w:val="en-GB" w:bidi="ar-SA"/>
        </w:rPr>
        <w:t xml:space="preserve">when the ECB </w:t>
      </w:r>
      <w:r w:rsidR="00CE6B9D" w:rsidRPr="00D565A7">
        <w:rPr>
          <w:rFonts w:ascii="Times New Roman" w:hAnsi="Times New Roman" w:cs="Times New Roman"/>
          <w:lang w:val="en-GB" w:bidi="ar-SA"/>
        </w:rPr>
        <w:t>used the settings of</w:t>
      </w:r>
      <w:r w:rsidR="00E813BC" w:rsidRPr="00D565A7">
        <w:rPr>
          <w:rFonts w:ascii="Times New Roman" w:hAnsi="Times New Roman" w:cs="Times New Roman"/>
          <w:lang w:val="en-GB" w:bidi="ar-SA"/>
        </w:rPr>
        <w:t xml:space="preserve"> </w:t>
      </w:r>
      <w:r w:rsidR="00D214A6" w:rsidRPr="00D565A7">
        <w:rPr>
          <w:rFonts w:ascii="Times New Roman" w:hAnsi="Times New Roman" w:cs="Times New Roman"/>
          <w:lang w:val="en-GB" w:bidi="ar-SA"/>
        </w:rPr>
        <w:t>its</w:t>
      </w:r>
      <w:r w:rsidR="00636631" w:rsidRPr="00D565A7">
        <w:rPr>
          <w:rFonts w:ascii="Times New Roman" w:hAnsi="Times New Roman" w:cs="Times New Roman"/>
          <w:lang w:val="en-GB" w:bidi="ar-SA"/>
        </w:rPr>
        <w:t xml:space="preserve"> collateral framework </w:t>
      </w:r>
      <w:r w:rsidR="00D214A6" w:rsidRPr="00D565A7">
        <w:rPr>
          <w:rFonts w:ascii="Times New Roman" w:hAnsi="Times New Roman" w:cs="Times New Roman"/>
          <w:lang w:val="en-GB" w:bidi="ar-SA"/>
        </w:rPr>
        <w:t xml:space="preserve">to pressure </w:t>
      </w:r>
      <w:r w:rsidR="0035344F" w:rsidRPr="00D565A7">
        <w:rPr>
          <w:rFonts w:ascii="Times New Roman" w:hAnsi="Times New Roman" w:cs="Times New Roman"/>
          <w:lang w:val="en-GB" w:bidi="ar-SA"/>
        </w:rPr>
        <w:t xml:space="preserve">the Greek government in February 2015, it increased </w:t>
      </w:r>
      <w:r w:rsidR="00596DDE" w:rsidRPr="00D565A7">
        <w:rPr>
          <w:rFonts w:ascii="Times New Roman" w:hAnsi="Times New Roman" w:cs="Times New Roman"/>
          <w:lang w:val="en-GB" w:bidi="ar-SA"/>
        </w:rPr>
        <w:t xml:space="preserve">financial </w:t>
      </w:r>
      <w:r w:rsidR="0035344F" w:rsidRPr="00D565A7">
        <w:rPr>
          <w:rFonts w:ascii="Times New Roman" w:hAnsi="Times New Roman" w:cs="Times New Roman"/>
          <w:lang w:val="en-GB" w:bidi="ar-SA"/>
        </w:rPr>
        <w:t>pressures on Greek sovereign debt</w:t>
      </w:r>
      <w:r w:rsidR="00CE6B9D" w:rsidRPr="00D565A7">
        <w:rPr>
          <w:rFonts w:ascii="Times New Roman" w:hAnsi="Times New Roman" w:cs="Times New Roman"/>
          <w:lang w:val="en-GB" w:bidi="ar-SA"/>
        </w:rPr>
        <w:t>.</w:t>
      </w:r>
      <w:r w:rsidR="0035344F" w:rsidRPr="00D565A7">
        <w:rPr>
          <w:rFonts w:ascii="Times New Roman" w:hAnsi="Times New Roman" w:cs="Times New Roman"/>
          <w:lang w:val="en-GB" w:bidi="ar-SA"/>
        </w:rPr>
        <w:t xml:space="preserve"> These difficulties made it harder for the Greek authorities to </w:t>
      </w:r>
      <w:r w:rsidR="00596DDE" w:rsidRPr="00D565A7">
        <w:rPr>
          <w:rFonts w:ascii="Times New Roman" w:hAnsi="Times New Roman" w:cs="Times New Roman"/>
          <w:lang w:val="en-GB" w:bidi="ar-SA"/>
        </w:rPr>
        <w:t>regain market confidence</w:t>
      </w:r>
      <w:r w:rsidR="0035344F" w:rsidRPr="00D565A7">
        <w:rPr>
          <w:rFonts w:ascii="Times New Roman" w:hAnsi="Times New Roman" w:cs="Times New Roman"/>
          <w:lang w:val="en-GB" w:bidi="ar-SA"/>
        </w:rPr>
        <w:t>.</w:t>
      </w:r>
      <w:r w:rsidR="00CE6B9D" w:rsidRPr="00D565A7">
        <w:rPr>
          <w:rFonts w:ascii="Times New Roman" w:hAnsi="Times New Roman" w:cs="Times New Roman"/>
          <w:lang w:val="en-GB" w:bidi="ar-SA"/>
        </w:rPr>
        <w:t xml:space="preserve"> Ironically, these </w:t>
      </w:r>
      <w:r w:rsidR="0035344F" w:rsidRPr="00D565A7">
        <w:rPr>
          <w:rFonts w:ascii="Times New Roman" w:hAnsi="Times New Roman" w:cs="Times New Roman"/>
          <w:lang w:val="en-GB" w:bidi="ar-SA"/>
        </w:rPr>
        <w:t xml:space="preserve">pro-cyclical </w:t>
      </w:r>
      <w:r w:rsidR="00CE6B9D" w:rsidRPr="00D565A7">
        <w:rPr>
          <w:rFonts w:ascii="Times New Roman" w:hAnsi="Times New Roman" w:cs="Times New Roman"/>
          <w:lang w:val="en-GB" w:bidi="ar-SA"/>
        </w:rPr>
        <w:t xml:space="preserve">consequences </w:t>
      </w:r>
      <w:r w:rsidR="000157F3" w:rsidRPr="00D565A7">
        <w:rPr>
          <w:rFonts w:ascii="Times New Roman" w:hAnsi="Times New Roman" w:cs="Times New Roman"/>
          <w:lang w:val="en-GB" w:bidi="ar-SA"/>
        </w:rPr>
        <w:t>are</w:t>
      </w:r>
      <w:r w:rsidR="00D214A6" w:rsidRPr="00D565A7">
        <w:rPr>
          <w:rFonts w:ascii="Times New Roman" w:hAnsi="Times New Roman" w:cs="Times New Roman"/>
          <w:lang w:val="en-GB" w:bidi="ar-SA"/>
        </w:rPr>
        <w:t xml:space="preserve"> similar to </w:t>
      </w:r>
      <w:r w:rsidR="00CE6B9D" w:rsidRPr="00D565A7">
        <w:rPr>
          <w:rFonts w:ascii="Times New Roman" w:hAnsi="Times New Roman" w:cs="Times New Roman"/>
          <w:lang w:val="en-GB" w:bidi="ar-SA"/>
        </w:rPr>
        <w:t xml:space="preserve">the ones caused by </w:t>
      </w:r>
      <w:r w:rsidR="00626B83" w:rsidRPr="00D565A7">
        <w:rPr>
          <w:rFonts w:ascii="Times New Roman" w:hAnsi="Times New Roman" w:cs="Times New Roman"/>
          <w:lang w:val="en-GB" w:bidi="ar-SA"/>
        </w:rPr>
        <w:t>downgrades</w:t>
      </w:r>
      <w:r w:rsidR="0035344F" w:rsidRPr="00D565A7">
        <w:rPr>
          <w:rFonts w:ascii="Times New Roman" w:hAnsi="Times New Roman" w:cs="Times New Roman"/>
          <w:lang w:val="en-GB" w:bidi="ar-SA"/>
        </w:rPr>
        <w:t xml:space="preserve"> of credit rating agencies</w:t>
      </w:r>
      <w:r w:rsidR="00CE6B9D" w:rsidRPr="00D565A7">
        <w:rPr>
          <w:rFonts w:ascii="Times New Roman" w:hAnsi="Times New Roman" w:cs="Times New Roman"/>
          <w:lang w:val="en-GB" w:bidi="ar-SA"/>
        </w:rPr>
        <w:t xml:space="preserve">, which were criticized by </w:t>
      </w:r>
      <w:r w:rsidR="00636631" w:rsidRPr="00D565A7">
        <w:rPr>
          <w:rFonts w:ascii="Times New Roman" w:hAnsi="Times New Roman" w:cs="Times New Roman"/>
          <w:lang w:val="en-GB" w:bidi="ar-SA"/>
        </w:rPr>
        <w:t>central bankers themselves</w:t>
      </w:r>
      <w:r w:rsidR="00D66B78" w:rsidRPr="00F15905">
        <w:rPr>
          <w:rStyle w:val="EndnoteReference"/>
          <w:rFonts w:ascii="Times New Roman" w:hAnsi="Times New Roman" w:cs="Times New Roman"/>
          <w:lang w:val="en-GB" w:bidi="ar-SA"/>
        </w:rPr>
        <w:endnoteReference w:id="28"/>
      </w:r>
      <w:r w:rsidR="00D21DEF" w:rsidRPr="00F15905">
        <w:rPr>
          <w:rFonts w:ascii="Times New Roman" w:hAnsi="Times New Roman" w:cs="Times New Roman"/>
          <w:lang w:val="en-GB" w:bidi="ar-SA"/>
        </w:rPr>
        <w:t>.</w:t>
      </w:r>
      <w:r w:rsidR="004A242B" w:rsidRPr="00F15905">
        <w:rPr>
          <w:rFonts w:ascii="Times New Roman" w:hAnsi="Times New Roman" w:cs="Times New Roman"/>
          <w:lang w:val="en-GB" w:bidi="ar-SA"/>
        </w:rPr>
        <w:t xml:space="preserve"> </w:t>
      </w:r>
      <w:r w:rsidR="001814E2" w:rsidRPr="00F15905">
        <w:rPr>
          <w:rFonts w:ascii="Times New Roman" w:hAnsi="Times New Roman" w:cs="Times New Roman"/>
          <w:lang w:val="en-GB" w:bidi="ar-SA"/>
        </w:rPr>
        <w:t>In all these cases, the coercive use of monetary instruments aims at regaining market confidence, often at the expense of the interests of the “people” constituency.</w:t>
      </w:r>
    </w:p>
    <w:p w:rsidR="003C5A5E" w:rsidRPr="00D565A7" w:rsidRDefault="003A01D2" w:rsidP="004C367A">
      <w:pPr>
        <w:pStyle w:val="Titre11"/>
        <w:numPr>
          <w:ilvl w:val="0"/>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4. The ECB protection of problematic finance</w:t>
      </w:r>
    </w:p>
    <w:p w:rsidR="003C5A5E" w:rsidRPr="00D565A7" w:rsidRDefault="003A01D2" w:rsidP="004C367A">
      <w:pPr>
        <w:pStyle w:val="sansindetation"/>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When acting as a LoLR for financial institutions, the ECB’s conditionality is weaker than that of the sovereigns, despite involving similar risks of moral hazard. In addition to lowering its main interest rates to a level close to zero, the ECB has used two monetary instruments to stabilize the financial system: its (Targeted) Long-Term Refinancing Operations ((T)LTRO) and its quantitative easing program (QE). </w:t>
      </w:r>
      <w:r w:rsidRPr="00D565A7">
        <w:rPr>
          <w:rFonts w:ascii="Times New Roman" w:hAnsi="Times New Roman" w:cs="Times New Roman"/>
          <w:lang w:val="en-GB" w:eastAsia="en-US" w:bidi="ar-SA"/>
        </w:rPr>
        <w:lastRenderedPageBreak/>
        <w:t xml:space="preserve">Since the conditionality attached to these instruments was weak, their “unintended consequences” profited financial players through “carry-trade” operations and “wealth effects” respectively. Moreover, despite its new competences of financial supervision, the ECB did not aim to overhaul the financial patterns that triggered the crisis. </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The (T)LTRO</w:t>
      </w:r>
    </w:p>
    <w:p w:rsidR="003C5A5E" w:rsidRPr="00F15905" w:rsidRDefault="003A01D2" w:rsidP="004C367A">
      <w:pPr>
        <w:pStyle w:val="sansindetation"/>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The ECB implemented two LTROs with a maturity of three years in December 2011 and January 2012. These open-market operations provided over €1000bn of liquidity (9% of the Eurozone’s GDP) for the Eurozone financial system at a fixed rate of 1% with unlimited ceiling and relaxed collateral requirements</w:t>
      </w:r>
      <w:r w:rsidRPr="00F15905">
        <w:rPr>
          <w:rStyle w:val="Ancredenotedefin"/>
          <w:rFonts w:ascii="Times New Roman" w:hAnsi="Times New Roman" w:cs="Times New Roman"/>
          <w:lang w:val="en-GB" w:eastAsia="en-US" w:bidi="ar-SA"/>
        </w:rPr>
        <w:endnoteReference w:id="29"/>
      </w:r>
      <w:r w:rsidRPr="00F15905">
        <w:rPr>
          <w:rFonts w:ascii="Times New Roman" w:hAnsi="Times New Roman" w:cs="Times New Roman"/>
          <w:lang w:val="en-GB" w:eastAsia="en-US" w:bidi="ar-SA"/>
        </w:rPr>
        <w:t>. They aimed at directly helping banks meet their refinancing needs and indirectly helping the real economy by providing easier lending conditions. The LTRO measures did stabilize Eurozone’s financial institutions, but it failed to revive growth</w:t>
      </w:r>
      <w:r w:rsidRPr="00F15905">
        <w:rPr>
          <w:rStyle w:val="Ancredenotedefin"/>
          <w:rFonts w:ascii="Times New Roman" w:hAnsi="Times New Roman" w:cs="Times New Roman"/>
          <w:lang w:val="en-GB" w:eastAsia="en-US" w:bidi="ar-SA"/>
        </w:rPr>
        <w:t xml:space="preserve"> </w:t>
      </w:r>
      <w:r w:rsidRPr="00D565A7">
        <w:rPr>
          <w:rFonts w:ascii="Times New Roman" w:hAnsi="Times New Roman" w:cs="Times New Roman"/>
          <w:lang w:val="en-GB" w:eastAsia="en-US" w:bidi="ar-SA"/>
        </w:rPr>
        <w:t xml:space="preserve">and it had unintended consequences. Indeed, commercial banks swapped the risky assets they did not want to hold anymore (usually Eurozone “periphery” sovereigns) against liquidity. </w:t>
      </w:r>
      <w:r w:rsidR="000C53A5" w:rsidRPr="00D565A7">
        <w:rPr>
          <w:rFonts w:ascii="Times New Roman" w:hAnsi="Times New Roman" w:cs="Times New Roman"/>
          <w:lang w:val="en-GB" w:eastAsia="en-US" w:bidi="ar-SA"/>
        </w:rPr>
        <w:t xml:space="preserve">Insider </w:t>
      </w:r>
      <w:r w:rsidRPr="00D565A7">
        <w:rPr>
          <w:rFonts w:ascii="Times New Roman" w:hAnsi="Times New Roman" w:cs="Times New Roman"/>
          <w:lang w:val="en-GB" w:eastAsia="en-US" w:bidi="ar-SA"/>
        </w:rPr>
        <w:t>ECB critics argue that this transfer of (privately held) risky assets to the (public) ECB balance sheet mainly benefited the major banks based in Paris and Frankfurt (Cour-Thimann 2013). Moreover, because the ECB did not control how banks used this liquidity, these banks frequently engaged in controversial carry-trade operations. Banks were borrowing liquidity for 3 years at a rate of 1% to purchase sovereign bonds with an equivalent maturity at a higher rate to pocket the difference and boost their profits. In other words, the liquidity created by the ECB did not help the real economy that much overall. Instead, it helped banks to maintain their profitability by recycling sovereign debt on r</w:t>
      </w:r>
      <w:r w:rsidR="0097182C" w:rsidRPr="00D565A7">
        <w:rPr>
          <w:rFonts w:ascii="Times New Roman" w:hAnsi="Times New Roman" w:cs="Times New Roman"/>
          <w:lang w:val="en-GB" w:eastAsia="en-US" w:bidi="ar-SA"/>
        </w:rPr>
        <w:t xml:space="preserve">epo markets (Gabor </w:t>
      </w:r>
      <w:r w:rsidR="00A000EE" w:rsidRPr="00D565A7">
        <w:rPr>
          <w:rFonts w:ascii="Times New Roman" w:hAnsi="Times New Roman" w:cs="Times New Roman"/>
          <w:lang w:val="en-GB" w:eastAsia="en-US" w:bidi="ar-SA"/>
        </w:rPr>
        <w:t xml:space="preserve">&amp; </w:t>
      </w:r>
      <w:r w:rsidR="0097182C" w:rsidRPr="00D565A7">
        <w:rPr>
          <w:rFonts w:ascii="Times New Roman" w:hAnsi="Times New Roman" w:cs="Times New Roman"/>
          <w:lang w:val="en-GB" w:eastAsia="en-US" w:bidi="ar-SA"/>
        </w:rPr>
        <w:t>Ban 2016</w:t>
      </w:r>
      <w:r w:rsidRPr="00D565A7">
        <w:rPr>
          <w:rFonts w:ascii="Times New Roman" w:hAnsi="Times New Roman" w:cs="Times New Roman"/>
          <w:lang w:val="en-GB" w:eastAsia="en-US" w:bidi="ar-SA"/>
        </w:rPr>
        <w:t>). As a result, senior banking staff be</w:t>
      </w:r>
      <w:r w:rsidR="002908C3" w:rsidRPr="00D565A7">
        <w:rPr>
          <w:rFonts w:ascii="Times New Roman" w:hAnsi="Times New Roman" w:cs="Times New Roman"/>
          <w:lang w:val="en-GB" w:eastAsia="en-US" w:bidi="ar-SA"/>
        </w:rPr>
        <w:t xml:space="preserve">nefited from high remunerations. </w:t>
      </w:r>
      <w:r w:rsidRPr="00D565A7">
        <w:rPr>
          <w:rFonts w:ascii="Times New Roman" w:hAnsi="Times New Roman" w:cs="Times New Roman"/>
          <w:lang w:val="en-GB" w:eastAsia="en-US" w:bidi="ar-SA"/>
        </w:rPr>
        <w:t>Mario Draghi himself acknowledged these problematic carry-trade operations in front of the European Parliament</w:t>
      </w:r>
      <w:r w:rsidRPr="00F15905">
        <w:rPr>
          <w:rStyle w:val="Ancredenotedefin"/>
          <w:rFonts w:ascii="Times New Roman" w:hAnsi="Times New Roman" w:cs="Times New Roman"/>
          <w:lang w:val="en-GB" w:eastAsia="en-US" w:bidi="ar-SA"/>
        </w:rPr>
        <w:endnoteReference w:id="30"/>
      </w:r>
      <w:r w:rsidRPr="00F15905">
        <w:rPr>
          <w:rFonts w:ascii="Times New Roman" w:hAnsi="Times New Roman" w:cs="Times New Roman"/>
          <w:lang w:val="en-GB" w:eastAsia="en-US" w:bidi="ar-SA"/>
        </w:rPr>
        <w:t>.</w:t>
      </w:r>
    </w:p>
    <w:p w:rsidR="003C5A5E" w:rsidRPr="00F15905" w:rsidRDefault="003A01D2" w:rsidP="004C367A">
      <w:pPr>
        <w:pStyle w:val="sansindetation"/>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To address these critics, the ECB implemented the Targeted LTRO (TLTRO) in September and December 2014 with a four-year maturity. TLTRO added conditionality measures to the LTRO: banks </w:t>
      </w:r>
      <w:r w:rsidRPr="00D565A7">
        <w:rPr>
          <w:rFonts w:ascii="Times New Roman" w:hAnsi="Times New Roman" w:cs="Times New Roman"/>
          <w:lang w:val="en-GB" w:eastAsia="en-US" w:bidi="ar-SA"/>
        </w:rPr>
        <w:lastRenderedPageBreak/>
        <w:t>had to lend the borrowed liquidities to the real economy, and if they didn’t, they would have to reimburse the liquidities before their maturity date and could not participate in additional LTROs</w:t>
      </w:r>
      <w:r w:rsidRPr="00F15905">
        <w:rPr>
          <w:rStyle w:val="Ancredenotedefin"/>
          <w:rFonts w:ascii="Times New Roman" w:hAnsi="Times New Roman" w:cs="Times New Roman"/>
          <w:lang w:val="en-GB" w:eastAsia="en-US" w:bidi="ar-SA"/>
        </w:rPr>
        <w:endnoteReference w:id="31"/>
      </w:r>
      <w:r w:rsidRPr="00F15905">
        <w:rPr>
          <w:rFonts w:ascii="Times New Roman" w:hAnsi="Times New Roman" w:cs="Times New Roman"/>
          <w:lang w:val="en-GB" w:eastAsia="en-US" w:bidi="ar-SA"/>
        </w:rPr>
        <w:t>. Yet, because the be</w:t>
      </w:r>
      <w:r w:rsidRPr="00D565A7">
        <w:rPr>
          <w:rFonts w:ascii="Times New Roman" w:hAnsi="Times New Roman" w:cs="Times New Roman"/>
          <w:lang w:val="en-GB" w:eastAsia="en-US" w:bidi="ar-SA"/>
        </w:rPr>
        <w:t>nchmark was calculated on past loans made by the commercial banks – which were very low at that time – this benchmark could be reached very easily. Even if it was not reached, no penalty would be attached to liquidity misallocations. The TLTRO did not have a great success however, as European banks were reluctant to borrow liquidity at such conditions. As a consequence, in March 2016, the ECB abandoned the mandatory requirement for banks to return the funds they had borrowed and, thus, the rationale behind TLTRO (forcing banks to lend to the real economy)</w:t>
      </w:r>
      <w:r w:rsidRPr="00F15905">
        <w:rPr>
          <w:rStyle w:val="Ancredenotedefin"/>
          <w:rFonts w:ascii="Times New Roman" w:hAnsi="Times New Roman" w:cs="Times New Roman"/>
          <w:lang w:val="en-GB" w:eastAsia="en-US" w:bidi="ar-SA"/>
        </w:rPr>
        <w:endnoteReference w:id="32"/>
      </w:r>
      <w:r w:rsidRPr="00F15905">
        <w:rPr>
          <w:rFonts w:ascii="Times New Roman" w:hAnsi="Times New Roman" w:cs="Times New Roman"/>
          <w:lang w:val="en-GB" w:eastAsia="en-US" w:bidi="ar-SA"/>
        </w:rPr>
        <w:t>.</w:t>
      </w:r>
    </w:p>
    <w:p w:rsidR="003C5A5E" w:rsidRPr="00D565A7" w:rsidRDefault="003A01D2" w:rsidP="004C367A">
      <w:pPr>
        <w:pStyle w:val="Titre21"/>
        <w:numPr>
          <w:ilvl w:val="1"/>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The QE</w:t>
      </w:r>
    </w:p>
    <w:p w:rsidR="003C5A5E" w:rsidRPr="00D565A7" w:rsidRDefault="00492007"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The QE programme of the ECB</w:t>
      </w:r>
      <w:r w:rsidR="003A01D2" w:rsidRPr="00D565A7">
        <w:rPr>
          <w:rFonts w:ascii="Times New Roman" w:hAnsi="Times New Roman" w:cs="Times New Roman"/>
          <w:lang w:val="en-GB" w:eastAsia="en-US" w:bidi="ar-SA"/>
        </w:rPr>
        <w:t xml:space="preserve"> aim</w:t>
      </w:r>
      <w:r w:rsidRPr="00D565A7">
        <w:rPr>
          <w:rFonts w:ascii="Times New Roman" w:hAnsi="Times New Roman" w:cs="Times New Roman"/>
          <w:lang w:val="en-GB" w:eastAsia="en-US" w:bidi="ar-SA"/>
        </w:rPr>
        <w:t>s</w:t>
      </w:r>
      <w:r w:rsidR="003A01D2" w:rsidRPr="00D565A7">
        <w:rPr>
          <w:rFonts w:ascii="Times New Roman" w:hAnsi="Times New Roman" w:cs="Times New Roman"/>
          <w:lang w:val="en-GB" w:eastAsia="en-US" w:bidi="ar-SA"/>
        </w:rPr>
        <w:t xml:space="preserve"> at reviving gr</w:t>
      </w:r>
      <w:r w:rsidRPr="00D565A7">
        <w:rPr>
          <w:rFonts w:ascii="Times New Roman" w:hAnsi="Times New Roman" w:cs="Times New Roman"/>
          <w:lang w:val="en-GB" w:eastAsia="en-US" w:bidi="ar-SA"/>
        </w:rPr>
        <w:t>owth through the purchase of financial assets including sovereign bonds, asset backed securities and corporate bonds</w:t>
      </w:r>
      <w:r w:rsidR="003A01D2" w:rsidRPr="00D565A7">
        <w:rPr>
          <w:rFonts w:ascii="Times New Roman" w:hAnsi="Times New Roman" w:cs="Times New Roman"/>
          <w:lang w:val="en-GB" w:eastAsia="en-US" w:bidi="ar-SA"/>
        </w:rPr>
        <w:t xml:space="preserve">. The ECB started its QE in March 2015 and planned to continue it until at least </w:t>
      </w:r>
      <w:r w:rsidR="00887B1B" w:rsidRPr="00D565A7">
        <w:rPr>
          <w:rFonts w:ascii="Times New Roman" w:hAnsi="Times New Roman" w:cs="Times New Roman"/>
          <w:lang w:val="en-GB" w:eastAsia="en-US" w:bidi="ar-SA"/>
        </w:rPr>
        <w:t>September 2018</w:t>
      </w:r>
      <w:r w:rsidR="003A01D2" w:rsidRPr="00D565A7">
        <w:rPr>
          <w:rFonts w:ascii="Times New Roman" w:hAnsi="Times New Roman" w:cs="Times New Roman"/>
          <w:lang w:val="en-GB" w:eastAsia="en-US" w:bidi="ar-SA"/>
        </w:rPr>
        <w:t xml:space="preserve">. In </w:t>
      </w:r>
      <w:r w:rsidR="00887B1B" w:rsidRPr="00D565A7">
        <w:rPr>
          <w:rFonts w:ascii="Times New Roman" w:hAnsi="Times New Roman" w:cs="Times New Roman"/>
          <w:lang w:val="en-GB" w:eastAsia="en-US" w:bidi="ar-SA"/>
        </w:rPr>
        <w:t xml:space="preserve">April </w:t>
      </w:r>
      <w:r w:rsidRPr="00D565A7">
        <w:rPr>
          <w:rFonts w:ascii="Times New Roman" w:hAnsi="Times New Roman" w:cs="Times New Roman"/>
          <w:lang w:val="en-GB" w:eastAsia="en-US" w:bidi="ar-SA"/>
        </w:rPr>
        <w:t>201</w:t>
      </w:r>
      <w:r w:rsidR="00887B1B" w:rsidRPr="00D565A7">
        <w:rPr>
          <w:rFonts w:ascii="Times New Roman" w:hAnsi="Times New Roman" w:cs="Times New Roman"/>
          <w:lang w:val="en-GB" w:eastAsia="en-US" w:bidi="ar-SA"/>
        </w:rPr>
        <w:t>8</w:t>
      </w:r>
      <w:r w:rsidR="003A01D2" w:rsidRPr="00D565A7">
        <w:rPr>
          <w:rFonts w:ascii="Times New Roman" w:hAnsi="Times New Roman" w:cs="Times New Roman"/>
          <w:lang w:val="en-GB" w:eastAsia="en-US" w:bidi="ar-SA"/>
        </w:rPr>
        <w:t xml:space="preserve">, </w:t>
      </w:r>
      <w:r w:rsidRPr="00D565A7">
        <w:rPr>
          <w:rFonts w:ascii="Times New Roman" w:hAnsi="Times New Roman" w:cs="Times New Roman"/>
          <w:lang w:val="en-GB" w:eastAsia="en-US" w:bidi="ar-SA"/>
        </w:rPr>
        <w:t>the amounts of bonds purchased under the QE was worth €</w:t>
      </w:r>
      <w:r w:rsidR="00EF4184" w:rsidRPr="00D565A7">
        <w:rPr>
          <w:rFonts w:ascii="Times New Roman" w:hAnsi="Times New Roman" w:cs="Times New Roman"/>
          <w:lang w:val="en-GB" w:eastAsia="en-US" w:bidi="ar-SA"/>
        </w:rPr>
        <w:t>2,4</w:t>
      </w:r>
      <w:r w:rsidR="00887B1B" w:rsidRPr="00D565A7">
        <w:rPr>
          <w:rFonts w:ascii="Times New Roman" w:hAnsi="Times New Roman" w:cs="Times New Roman"/>
          <w:lang w:val="en-GB" w:eastAsia="en-US" w:bidi="ar-SA"/>
        </w:rPr>
        <w:t>t</w:t>
      </w:r>
      <w:r w:rsidRPr="00D565A7">
        <w:rPr>
          <w:rFonts w:ascii="Times New Roman" w:hAnsi="Times New Roman" w:cs="Times New Roman"/>
          <w:lang w:val="en-GB" w:eastAsia="en-US" w:bidi="ar-SA"/>
        </w:rPr>
        <w:t>n</w:t>
      </w:r>
      <w:r w:rsidR="003A01D2" w:rsidRPr="00D565A7">
        <w:rPr>
          <w:rFonts w:ascii="Times New Roman" w:hAnsi="Times New Roman" w:cs="Times New Roman"/>
          <w:lang w:val="en-GB" w:eastAsia="en-US" w:bidi="ar-SA"/>
        </w:rPr>
        <w:t>. Theoretically, QE programs boost economic activity through three channels; the wealth effect (a global increase of the bonds' price), the portfolio effect (a shift towards riskier assets in investors' portfolios) and a boost on exports (through the depreciation of the currency)</w:t>
      </w:r>
      <w:r w:rsidR="003A01D2" w:rsidRPr="00F15905">
        <w:rPr>
          <w:rStyle w:val="Ancredenotedefin"/>
          <w:rFonts w:ascii="Times New Roman" w:hAnsi="Times New Roman" w:cs="Times New Roman"/>
          <w:lang w:val="en-GB" w:eastAsia="en-US" w:bidi="ar-SA"/>
        </w:rPr>
        <w:endnoteReference w:id="33"/>
      </w:r>
      <w:r w:rsidR="003A01D2" w:rsidRPr="00F15905">
        <w:rPr>
          <w:rFonts w:ascii="Times New Roman" w:hAnsi="Times New Roman" w:cs="Times New Roman"/>
          <w:lang w:val="en-GB" w:eastAsia="en-US" w:bidi="ar-SA"/>
        </w:rPr>
        <w:t>. In addition, the QE programme helps to keep sovereign debt yields down allowing Eurozone countries more budgetary margin of manoeuvre</w:t>
      </w:r>
      <w:r w:rsidR="003A01D2" w:rsidRPr="00F15905">
        <w:rPr>
          <w:rFonts w:ascii="Times New Roman" w:hAnsi="Times New Roman" w:cs="Times New Roman"/>
          <w:lang w:val="en-GB"/>
        </w:rPr>
        <w:t xml:space="preserve"> and, thus, potential growth friendly fiscal measures.</w:t>
      </w:r>
      <w:r w:rsidR="003A01D2" w:rsidRPr="00D565A7">
        <w:rPr>
          <w:rFonts w:ascii="Times New Roman" w:hAnsi="Times New Roman" w:cs="Times New Roman"/>
          <w:lang w:val="en-GB" w:eastAsia="en-US" w:bidi="ar-SA"/>
        </w:rPr>
        <w:t xml:space="preserve"> Although the associated rise of asset prices saved the financial system from a complete meltdown and mitigated deflationary tendencies, the QE measures taken by the Fed, the Bank of Japan and the Bank of England in 2009 did not impact growth dynamics to a significant extent (Borio 2011).</w:t>
      </w:r>
    </w:p>
    <w:p w:rsidR="003C5A5E" w:rsidRPr="00D565A7" w:rsidRDefault="003C5A5E" w:rsidP="004C367A">
      <w:pPr>
        <w:pStyle w:val="sansindetation"/>
        <w:jc w:val="both"/>
        <w:rPr>
          <w:rFonts w:ascii="Times New Roman" w:hAnsi="Times New Roman" w:cs="Times New Roman"/>
          <w:lang w:val="en-GB" w:eastAsia="en-US" w:bidi="ar-SA"/>
        </w:rPr>
      </w:pPr>
    </w:p>
    <w:p w:rsidR="003C5A5E" w:rsidRPr="00F15905"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This raises concerns about the cost of stabilizing banks without conditionality. The OECD (2015: 36-37), the IMF (2015) and the Bank of International Settlements (2015) argue that central banks should restrain from unconditional stabilization programmes because their negative unintended consequences </w:t>
      </w:r>
      <w:r w:rsidRPr="00D565A7">
        <w:rPr>
          <w:rFonts w:ascii="Times New Roman" w:hAnsi="Times New Roman" w:cs="Times New Roman"/>
          <w:lang w:val="en-GB" w:eastAsia="en-US" w:bidi="ar-SA"/>
        </w:rPr>
        <w:lastRenderedPageBreak/>
        <w:t xml:space="preserve">may exceed their positive outcomes (White 2012). In addition to inflationary and asset bubble risks, the </w:t>
      </w:r>
      <w:r w:rsidR="00454ED7" w:rsidRPr="00D565A7">
        <w:rPr>
          <w:rFonts w:ascii="Times New Roman" w:hAnsi="Times New Roman" w:cs="Times New Roman"/>
          <w:lang w:val="en-GB" w:eastAsia="en-US" w:bidi="ar-SA"/>
        </w:rPr>
        <w:t xml:space="preserve">ECB </w:t>
      </w:r>
      <w:r w:rsidRPr="00D565A7">
        <w:rPr>
          <w:rFonts w:ascii="Times New Roman" w:hAnsi="Times New Roman" w:cs="Times New Roman"/>
          <w:lang w:val="en-GB" w:eastAsia="en-US" w:bidi="ar-SA"/>
        </w:rPr>
        <w:t xml:space="preserve">bond purchases have distributive consequences, because their “wealth effect” directly benefits the asset owners who are already the most well off in society (Domanski et al. 2016). </w:t>
      </w:r>
      <w:r w:rsidR="000C53A5" w:rsidRPr="00D565A7">
        <w:rPr>
          <w:rFonts w:ascii="Times New Roman" w:hAnsi="Times New Roman" w:cs="Times New Roman"/>
          <w:lang w:val="en-GB" w:eastAsia="en-US" w:bidi="ar-SA"/>
        </w:rPr>
        <w:t>Moreover</w:t>
      </w:r>
      <w:r w:rsidRPr="00D565A7">
        <w:rPr>
          <w:rFonts w:ascii="Times New Roman" w:hAnsi="Times New Roman" w:cs="Times New Roman"/>
          <w:lang w:val="en-GB" w:eastAsia="en-US" w:bidi="ar-SA"/>
        </w:rPr>
        <w:t>, rising asset prices and low interest rates encourage corporate share buybacks</w:t>
      </w:r>
      <w:r w:rsidRPr="00F15905">
        <w:rPr>
          <w:rStyle w:val="Ancredenotedefin"/>
          <w:rFonts w:ascii="Times New Roman" w:hAnsi="Times New Roman" w:cs="Times New Roman"/>
          <w:lang w:val="en-GB" w:eastAsia="en-US" w:bidi="ar-SA"/>
        </w:rPr>
        <w:endnoteReference w:id="34"/>
      </w:r>
      <w:r w:rsidRPr="00F15905">
        <w:rPr>
          <w:rFonts w:ascii="Times New Roman" w:hAnsi="Times New Roman" w:cs="Times New Roman"/>
          <w:lang w:val="en-GB" w:eastAsia="en-US" w:bidi="ar-SA"/>
        </w:rPr>
        <w:t xml:space="preserve"> instead of productive investment and economic recovery (BIS 2015</w:t>
      </w:r>
      <w:r w:rsidR="00A000EE" w:rsidRPr="00D565A7">
        <w:rPr>
          <w:rFonts w:ascii="Times New Roman" w:hAnsi="Times New Roman" w:cs="Times New Roman"/>
          <w:lang w:val="en-GB" w:eastAsia="en-US" w:bidi="ar-SA"/>
        </w:rPr>
        <w:t xml:space="preserve">, </w:t>
      </w:r>
      <w:r w:rsidRPr="00D565A7">
        <w:rPr>
          <w:rFonts w:ascii="Times New Roman" w:hAnsi="Times New Roman" w:cs="Times New Roman"/>
          <w:lang w:val="en-GB" w:eastAsia="en-US" w:bidi="ar-SA"/>
        </w:rPr>
        <w:t xml:space="preserve"> 29). In other words, the lack of both growth perspective and control over bank's credit policies impact the outcomes of QE programmes </w:t>
      </w:r>
      <w:r w:rsidR="000C53A5" w:rsidRPr="00D565A7">
        <w:rPr>
          <w:rFonts w:ascii="Times New Roman" w:hAnsi="Times New Roman" w:cs="Times New Roman"/>
          <w:lang w:val="en-GB" w:eastAsia="en-US" w:bidi="ar-SA"/>
        </w:rPr>
        <w:t>on the real economy</w:t>
      </w:r>
      <w:r w:rsidRPr="00F15905">
        <w:rPr>
          <w:rStyle w:val="Ancredenotedefin"/>
          <w:rFonts w:ascii="Times New Roman" w:hAnsi="Times New Roman" w:cs="Times New Roman"/>
          <w:lang w:val="en-GB" w:eastAsia="en-US" w:bidi="ar-SA"/>
        </w:rPr>
        <w:endnoteReference w:id="35"/>
      </w:r>
      <w:r w:rsidRPr="00F15905">
        <w:rPr>
          <w:rFonts w:ascii="Times New Roman" w:hAnsi="Times New Roman" w:cs="Times New Roman"/>
          <w:lang w:val="en-GB" w:eastAsia="en-US" w:bidi="ar-SA"/>
        </w:rPr>
        <w:t>.  Finally, the QE has a “substitution impact” in the sense that this form of policy activism occludes alternative strategies such as</w:t>
      </w:r>
      <w:r w:rsidRPr="00D565A7">
        <w:rPr>
          <w:rFonts w:ascii="Times New Roman" w:hAnsi="Times New Roman" w:cs="Times New Roman"/>
          <w:lang w:val="en-GB"/>
        </w:rPr>
        <w:t xml:space="preserve"> redistributive fiscal policy</w:t>
      </w:r>
      <w:r w:rsidRPr="00F15905">
        <w:rPr>
          <w:rFonts w:ascii="Times New Roman" w:hAnsi="Times New Roman" w:cs="Times New Roman"/>
          <w:lang w:val="en-GB" w:eastAsia="en-US" w:bidi="ar-SA"/>
        </w:rPr>
        <w:t xml:space="preserve"> or monetary tools with less inegalitarian effects, such as helicopter money</w:t>
      </w:r>
      <w:r w:rsidRPr="00F15905">
        <w:rPr>
          <w:rStyle w:val="Ancredenotedefin"/>
          <w:rFonts w:ascii="Times New Roman" w:hAnsi="Times New Roman" w:cs="Times New Roman"/>
          <w:lang w:val="en-GB" w:eastAsia="en-US" w:bidi="ar-SA"/>
        </w:rPr>
        <w:endnoteReference w:id="36"/>
      </w:r>
      <w:r w:rsidRPr="00F15905">
        <w:rPr>
          <w:rFonts w:ascii="Times New Roman" w:hAnsi="Times New Roman" w:cs="Times New Roman"/>
          <w:lang w:val="en-GB" w:eastAsia="en-US" w:bidi="ar-SA"/>
        </w:rPr>
        <w:t xml:space="preserve"> (</w:t>
      </w:r>
      <w:r w:rsidR="00A000EE" w:rsidRPr="00D565A7">
        <w:rPr>
          <w:rFonts w:ascii="Times New Roman" w:hAnsi="Times New Roman" w:cs="Times New Roman"/>
          <w:lang w:val="en-GB" w:eastAsia="en-US" w:bidi="ar-SA"/>
        </w:rPr>
        <w:t xml:space="preserve">Fontan </w:t>
      </w:r>
      <w:r w:rsidRPr="00D565A7">
        <w:rPr>
          <w:rFonts w:ascii="Times New Roman" w:hAnsi="Times New Roman" w:cs="Times New Roman"/>
          <w:i/>
          <w:lang w:val="en-GB" w:eastAsia="en-US" w:bidi="ar-SA"/>
        </w:rPr>
        <w:t>et al.</w:t>
      </w:r>
      <w:r w:rsidRPr="00F15905">
        <w:rPr>
          <w:rFonts w:ascii="Times New Roman" w:hAnsi="Times New Roman" w:cs="Times New Roman"/>
          <w:lang w:val="en-GB" w:eastAsia="en-US" w:bidi="ar-SA"/>
        </w:rPr>
        <w:t xml:space="preserve"> 2016).</w:t>
      </w:r>
    </w:p>
    <w:p w:rsidR="003C5A5E" w:rsidRPr="00D565A7" w:rsidRDefault="003C5A5E" w:rsidP="004C367A">
      <w:pPr>
        <w:pStyle w:val="sansindetation"/>
        <w:jc w:val="both"/>
        <w:rPr>
          <w:rFonts w:ascii="Times New Roman" w:hAnsi="Times New Roman" w:cs="Times New Roman"/>
          <w:i/>
          <w:iCs/>
          <w:lang w:val="en-GB" w:eastAsia="en-US" w:bidi="ar-SA"/>
        </w:rPr>
      </w:pPr>
    </w:p>
    <w:p w:rsidR="003C5A5E" w:rsidRPr="00D565A7" w:rsidRDefault="003A01D2" w:rsidP="004C367A">
      <w:pPr>
        <w:pStyle w:val="sansindetation"/>
        <w:jc w:val="both"/>
        <w:rPr>
          <w:rFonts w:ascii="Times New Roman" w:hAnsi="Times New Roman" w:cs="Times New Roman"/>
          <w:i/>
          <w:iCs/>
          <w:lang w:val="en-GB" w:eastAsia="en-US" w:bidi="ar-SA"/>
        </w:rPr>
      </w:pPr>
      <w:r w:rsidRPr="00D565A7">
        <w:rPr>
          <w:rFonts w:ascii="Times New Roman" w:hAnsi="Times New Roman" w:cs="Times New Roman"/>
          <w:i/>
          <w:iCs/>
          <w:lang w:val="en-GB" w:eastAsia="en-US" w:bidi="ar-SA"/>
        </w:rPr>
        <w:t>The lack of constraints over financial activities.</w:t>
      </w:r>
    </w:p>
    <w:p w:rsidR="003C5A5E" w:rsidRPr="00D565A7" w:rsidRDefault="003C5A5E" w:rsidP="004C367A">
      <w:pPr>
        <w:pStyle w:val="sansindetation"/>
        <w:jc w:val="both"/>
        <w:rPr>
          <w:rFonts w:ascii="Times New Roman" w:hAnsi="Times New Roman" w:cs="Times New Roman"/>
          <w:i/>
          <w:iCs/>
          <w:lang w:val="en-GB"/>
        </w:rPr>
      </w:pPr>
    </w:p>
    <w:p w:rsidR="003C5A5E" w:rsidRPr="00D565A7" w:rsidRDefault="00F44DA6"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In order to address the “unexpected consequences” of unconventional monetary policy, the Bank of England advised a stronger regulation of the financial system</w:t>
      </w:r>
      <w:r w:rsidRPr="00F15905">
        <w:rPr>
          <w:rStyle w:val="Ancredenotedefin"/>
          <w:rFonts w:ascii="Times New Roman" w:hAnsi="Times New Roman" w:cs="Times New Roman"/>
          <w:lang w:val="en-GB" w:eastAsia="en-US" w:bidi="ar-SA"/>
        </w:rPr>
        <w:endnoteReference w:id="37"/>
      </w:r>
      <w:r w:rsidRPr="00F15905">
        <w:rPr>
          <w:rFonts w:ascii="Times New Roman" w:hAnsi="Times New Roman" w:cs="Times New Roman"/>
          <w:lang w:val="en-GB" w:eastAsia="en-US" w:bidi="ar-SA"/>
        </w:rPr>
        <w:t xml:space="preserve"> . </w:t>
      </w:r>
      <w:r w:rsidR="00F15CCF" w:rsidRPr="00F15905">
        <w:rPr>
          <w:rFonts w:ascii="Times New Roman" w:hAnsi="Times New Roman" w:cs="Times New Roman"/>
          <w:lang w:val="en-GB" w:eastAsia="en-US" w:bidi="ar-SA"/>
        </w:rPr>
        <w:t>In contrast with the BoE, the ECB sought to minimize the chal</w:t>
      </w:r>
      <w:r w:rsidR="00F15CCF" w:rsidRPr="00D565A7">
        <w:rPr>
          <w:rFonts w:ascii="Times New Roman" w:hAnsi="Times New Roman" w:cs="Times New Roman"/>
          <w:lang w:val="en-GB" w:eastAsia="en-US" w:bidi="ar-SA"/>
        </w:rPr>
        <w:t xml:space="preserve">lenges faced by Eurozone banks both in terms of financial supervision and regulation. </w:t>
      </w:r>
      <w:r w:rsidR="0047281C" w:rsidRPr="00D565A7">
        <w:rPr>
          <w:rFonts w:ascii="Times New Roman" w:hAnsi="Times New Roman" w:cs="Times New Roman"/>
          <w:lang w:val="en-GB" w:eastAsia="en-US" w:bidi="ar-SA"/>
        </w:rPr>
        <w:t>Even though t</w:t>
      </w:r>
      <w:r w:rsidR="00361F1F" w:rsidRPr="00D565A7">
        <w:rPr>
          <w:rFonts w:ascii="Times New Roman" w:hAnsi="Times New Roman" w:cs="Times New Roman"/>
          <w:lang w:val="en-GB" w:eastAsia="en-US" w:bidi="ar-SA"/>
        </w:rPr>
        <w:t>he ECB has no formal competence</w:t>
      </w:r>
      <w:r w:rsidRPr="00D565A7">
        <w:rPr>
          <w:rFonts w:ascii="Times New Roman" w:hAnsi="Times New Roman" w:cs="Times New Roman"/>
          <w:lang w:val="en-GB" w:eastAsia="en-US" w:bidi="ar-SA"/>
        </w:rPr>
        <w:t xml:space="preserve"> in terms of </w:t>
      </w:r>
      <w:r w:rsidR="00B646A8" w:rsidRPr="00D565A7">
        <w:rPr>
          <w:rFonts w:ascii="Times New Roman" w:hAnsi="Times New Roman" w:cs="Times New Roman"/>
          <w:lang w:val="en-GB" w:eastAsia="en-US" w:bidi="ar-SA"/>
        </w:rPr>
        <w:t>financial regulation</w:t>
      </w:r>
      <w:r w:rsidR="0047281C" w:rsidRPr="00D565A7">
        <w:rPr>
          <w:rFonts w:ascii="Times New Roman" w:hAnsi="Times New Roman" w:cs="Times New Roman"/>
          <w:lang w:val="en-GB" w:eastAsia="en-US" w:bidi="ar-SA"/>
        </w:rPr>
        <w:t>,</w:t>
      </w:r>
      <w:r w:rsidR="00CE668D" w:rsidRPr="00D565A7">
        <w:rPr>
          <w:rFonts w:ascii="Times New Roman" w:hAnsi="Times New Roman" w:cs="Times New Roman"/>
          <w:lang w:val="en-GB" w:eastAsia="en-US" w:bidi="ar-SA"/>
        </w:rPr>
        <w:t xml:space="preserve"> </w:t>
      </w:r>
      <w:r w:rsidR="00B646A8" w:rsidRPr="00D565A7">
        <w:rPr>
          <w:rFonts w:ascii="Times New Roman" w:hAnsi="Times New Roman" w:cs="Times New Roman"/>
          <w:lang w:val="en-GB" w:eastAsia="en-US" w:bidi="ar-SA"/>
        </w:rPr>
        <w:t>it does exert some influence on the</w:t>
      </w:r>
      <w:r w:rsidR="00F15CCF" w:rsidRPr="00D565A7">
        <w:rPr>
          <w:rFonts w:ascii="Times New Roman" w:hAnsi="Times New Roman" w:cs="Times New Roman"/>
          <w:lang w:val="en-GB" w:eastAsia="en-US" w:bidi="ar-SA"/>
        </w:rPr>
        <w:t xml:space="preserve"> set of legal constraints faced by financial institutions </w:t>
      </w:r>
      <w:r w:rsidR="00880CFB" w:rsidRPr="00D565A7">
        <w:rPr>
          <w:rFonts w:ascii="Times New Roman" w:hAnsi="Times New Roman" w:cs="Times New Roman"/>
          <w:lang w:val="en-GB" w:eastAsia="en-US" w:bidi="ar-SA"/>
        </w:rPr>
        <w:t>for t</w:t>
      </w:r>
      <w:r w:rsidR="001E5D43" w:rsidRPr="00D565A7">
        <w:rPr>
          <w:rFonts w:ascii="Times New Roman" w:hAnsi="Times New Roman" w:cs="Times New Roman"/>
          <w:lang w:val="en-GB" w:eastAsia="en-US" w:bidi="ar-SA"/>
        </w:rPr>
        <w:t xml:space="preserve">wo </w:t>
      </w:r>
      <w:r w:rsidR="00880CFB" w:rsidRPr="00D565A7">
        <w:rPr>
          <w:rFonts w:ascii="Times New Roman" w:hAnsi="Times New Roman" w:cs="Times New Roman"/>
          <w:lang w:val="en-GB" w:eastAsia="en-US" w:bidi="ar-SA"/>
        </w:rPr>
        <w:t xml:space="preserve">reasons. </w:t>
      </w:r>
      <w:r w:rsidR="001E5D43" w:rsidRPr="00D565A7">
        <w:rPr>
          <w:rFonts w:ascii="Times New Roman" w:hAnsi="Times New Roman" w:cs="Times New Roman"/>
          <w:lang w:val="en-GB" w:eastAsia="en-US" w:bidi="ar-SA"/>
        </w:rPr>
        <w:t>First</w:t>
      </w:r>
      <w:r w:rsidR="00577AE3" w:rsidRPr="00D565A7">
        <w:rPr>
          <w:rFonts w:ascii="Times New Roman" w:hAnsi="Times New Roman" w:cs="Times New Roman"/>
          <w:lang w:val="en-GB" w:eastAsia="en-US" w:bidi="ar-SA"/>
        </w:rPr>
        <w:t>,</w:t>
      </w:r>
      <w:r w:rsidR="00880CFB" w:rsidRPr="00D565A7">
        <w:rPr>
          <w:rFonts w:ascii="Times New Roman" w:hAnsi="Times New Roman" w:cs="Times New Roman"/>
          <w:lang w:val="en-GB" w:eastAsia="en-US" w:bidi="ar-SA"/>
        </w:rPr>
        <w:t xml:space="preserve"> when the ECB </w:t>
      </w:r>
      <w:r w:rsidR="00CE668D" w:rsidRPr="00F15905">
        <w:rPr>
          <w:rFonts w:ascii="Times New Roman" w:hAnsi="Times New Roman" w:cs="Times New Roman"/>
          <w:lang w:val="en-GB" w:eastAsia="en-US" w:bidi="ar-SA"/>
        </w:rPr>
        <w:t>became</w:t>
      </w:r>
      <w:r w:rsidRPr="00F15905">
        <w:rPr>
          <w:rFonts w:ascii="Times New Roman" w:hAnsi="Times New Roman" w:cs="Times New Roman"/>
          <w:lang w:val="en-GB" w:eastAsia="en-US" w:bidi="ar-SA"/>
        </w:rPr>
        <w:t xml:space="preserve"> </w:t>
      </w:r>
      <w:r w:rsidR="00B646A8" w:rsidRPr="00F15905">
        <w:rPr>
          <w:rFonts w:ascii="Times New Roman" w:hAnsi="Times New Roman" w:cs="Times New Roman"/>
          <w:lang w:val="en-GB" w:eastAsia="en-US" w:bidi="ar-SA"/>
        </w:rPr>
        <w:t xml:space="preserve">the supervisor of the Eurozone’s banking system </w:t>
      </w:r>
      <w:r w:rsidR="00CE668D" w:rsidRPr="00F15905">
        <w:rPr>
          <w:rFonts w:ascii="Times New Roman" w:hAnsi="Times New Roman" w:cs="Times New Roman"/>
          <w:lang w:val="en-GB" w:eastAsia="en-US" w:bidi="ar-SA"/>
        </w:rPr>
        <w:t xml:space="preserve">in </w:t>
      </w:r>
      <w:r w:rsidRPr="00F15905">
        <w:rPr>
          <w:rFonts w:ascii="Times New Roman" w:hAnsi="Times New Roman" w:cs="Times New Roman"/>
          <w:lang w:val="en-GB" w:eastAsia="en-US" w:bidi="ar-SA"/>
        </w:rPr>
        <w:t>2014</w:t>
      </w:r>
      <w:r w:rsidR="00880CFB" w:rsidRPr="00D565A7">
        <w:rPr>
          <w:rFonts w:ascii="Times New Roman" w:hAnsi="Times New Roman" w:cs="Times New Roman"/>
          <w:lang w:val="en-GB" w:eastAsia="en-US" w:bidi="ar-SA"/>
        </w:rPr>
        <w:t xml:space="preserve">, it </w:t>
      </w:r>
      <w:r w:rsidR="006740AE" w:rsidRPr="00D565A7">
        <w:rPr>
          <w:rFonts w:ascii="Times New Roman" w:hAnsi="Times New Roman" w:cs="Times New Roman"/>
          <w:lang w:val="en-GB" w:eastAsia="en-US" w:bidi="ar-SA"/>
        </w:rPr>
        <w:t xml:space="preserve">acquired </w:t>
      </w:r>
      <w:r w:rsidR="00F15CCF" w:rsidRPr="00D565A7">
        <w:rPr>
          <w:rFonts w:ascii="Times New Roman" w:hAnsi="Times New Roman" w:cs="Times New Roman"/>
          <w:lang w:val="en-GB" w:eastAsia="en-US" w:bidi="ar-SA"/>
        </w:rPr>
        <w:t>coercive</w:t>
      </w:r>
      <w:r w:rsidR="00880CFB" w:rsidRPr="00D565A7">
        <w:rPr>
          <w:rFonts w:ascii="Times New Roman" w:hAnsi="Times New Roman" w:cs="Times New Roman"/>
          <w:lang w:val="en-GB" w:eastAsia="en-US" w:bidi="ar-SA"/>
        </w:rPr>
        <w:t xml:space="preserve"> powers over banking </w:t>
      </w:r>
      <w:r w:rsidR="00F15CCF" w:rsidRPr="00D565A7">
        <w:rPr>
          <w:rFonts w:ascii="Times New Roman" w:hAnsi="Times New Roman" w:cs="Times New Roman"/>
          <w:lang w:val="en-GB" w:eastAsia="en-US" w:bidi="ar-SA"/>
        </w:rPr>
        <w:t>activities</w:t>
      </w:r>
      <w:r w:rsidR="00BB0E68" w:rsidRPr="00D565A7">
        <w:rPr>
          <w:rFonts w:ascii="Times New Roman" w:hAnsi="Times New Roman" w:cs="Times New Roman"/>
          <w:lang w:val="en-GB" w:eastAsia="en-US" w:bidi="ar-SA"/>
        </w:rPr>
        <w:t xml:space="preserve"> (McPhilemy 2016)</w:t>
      </w:r>
      <w:r w:rsidR="00B646A8" w:rsidRPr="00D565A7">
        <w:rPr>
          <w:rFonts w:ascii="Times New Roman" w:hAnsi="Times New Roman" w:cs="Times New Roman"/>
          <w:lang w:val="en-GB" w:eastAsia="en-US" w:bidi="ar-SA"/>
        </w:rPr>
        <w:t>.</w:t>
      </w:r>
      <w:r w:rsidR="00F15CCF" w:rsidRPr="00D565A7">
        <w:rPr>
          <w:rFonts w:ascii="Times New Roman" w:hAnsi="Times New Roman" w:cs="Times New Roman"/>
          <w:lang w:val="en-GB" w:eastAsia="en-US" w:bidi="ar-SA"/>
        </w:rPr>
        <w:t xml:space="preserve"> </w:t>
      </w:r>
      <w:r w:rsidR="001E5D43" w:rsidRPr="00D565A7">
        <w:rPr>
          <w:rFonts w:ascii="Times New Roman" w:hAnsi="Times New Roman" w:cs="Times New Roman"/>
          <w:lang w:val="en-GB" w:eastAsia="en-US" w:bidi="ar-SA"/>
        </w:rPr>
        <w:t>Second</w:t>
      </w:r>
      <w:r w:rsidR="006740AE" w:rsidRPr="00D565A7">
        <w:rPr>
          <w:rFonts w:ascii="Times New Roman" w:hAnsi="Times New Roman" w:cs="Times New Roman"/>
          <w:lang w:val="en-GB" w:eastAsia="en-US" w:bidi="ar-SA"/>
        </w:rPr>
        <w:t xml:space="preserve">, </w:t>
      </w:r>
      <w:r w:rsidR="00E90634" w:rsidRPr="00D565A7">
        <w:rPr>
          <w:rFonts w:ascii="Times New Roman" w:hAnsi="Times New Roman" w:cs="Times New Roman"/>
          <w:lang w:val="en-GB" w:eastAsia="en-US" w:bidi="ar-SA"/>
        </w:rPr>
        <w:t xml:space="preserve">the expertise of the ECB on financial issues is highly recognized in Eurozone policy circles (see Section 2). </w:t>
      </w:r>
      <w:r w:rsidR="00F15CCF" w:rsidRPr="00F15905">
        <w:rPr>
          <w:rFonts w:ascii="Times New Roman" w:hAnsi="Times New Roman" w:cs="Times New Roman"/>
          <w:lang w:val="en-GB" w:eastAsia="en-US" w:bidi="ar-SA"/>
        </w:rPr>
        <w:t xml:space="preserve">I provide </w:t>
      </w:r>
      <w:r w:rsidR="00215A88" w:rsidRPr="00F15905">
        <w:rPr>
          <w:rFonts w:ascii="Times New Roman" w:hAnsi="Times New Roman" w:cs="Times New Roman"/>
          <w:lang w:val="en-GB" w:eastAsia="en-US" w:bidi="ar-SA"/>
        </w:rPr>
        <w:t>five</w:t>
      </w:r>
      <w:r w:rsidR="00F15CCF" w:rsidRPr="00F15905">
        <w:rPr>
          <w:rFonts w:ascii="Times New Roman" w:hAnsi="Times New Roman" w:cs="Times New Roman"/>
          <w:lang w:val="en-GB" w:eastAsia="en-US" w:bidi="ar-SA"/>
        </w:rPr>
        <w:t xml:space="preserve"> examples of the protection of problematic financial activities by the ECB. </w:t>
      </w:r>
    </w:p>
    <w:p w:rsidR="003C5A5E" w:rsidRPr="00D565A7" w:rsidRDefault="003C5A5E" w:rsidP="004C367A">
      <w:pPr>
        <w:pStyle w:val="sansindetation"/>
        <w:jc w:val="both"/>
        <w:rPr>
          <w:rFonts w:ascii="Times New Roman" w:hAnsi="Times New Roman" w:cs="Times New Roman"/>
          <w:lang w:val="en-GB"/>
        </w:rPr>
      </w:pPr>
    </w:p>
    <w:p w:rsidR="00D1248C" w:rsidRPr="00D565A7" w:rsidRDefault="003A01D2" w:rsidP="004C367A">
      <w:pPr>
        <w:spacing w:line="480" w:lineRule="auto"/>
        <w:jc w:val="both"/>
        <w:rPr>
          <w:rFonts w:ascii="Times New Roman" w:hAnsi="Times New Roman" w:cs="Times New Roman"/>
          <w:lang w:val="en-GB" w:eastAsia="en-US" w:bidi="ar-SA"/>
        </w:rPr>
      </w:pPr>
      <w:r w:rsidRPr="00F15905">
        <w:rPr>
          <w:rFonts w:ascii="Times New Roman" w:hAnsi="Times New Roman" w:cs="Times New Roman"/>
          <w:lang w:val="en-GB" w:eastAsia="en-US" w:bidi="ar-SA"/>
        </w:rPr>
        <w:t xml:space="preserve">First, the most important ECB supervisory task was to assess whether the quality of capital held by Eurozone banks would be sufficient in case of a crisis. The methodology of this “comprehensive assessment” was questionable, because the ECB relied on a ratio comparing bank capital to risk-weighted </w:t>
      </w:r>
      <w:r w:rsidRPr="00F15905">
        <w:rPr>
          <w:rFonts w:ascii="Times New Roman" w:hAnsi="Times New Roman" w:cs="Times New Roman"/>
          <w:lang w:val="en-GB" w:eastAsia="en-US" w:bidi="ar-SA"/>
        </w:rPr>
        <w:lastRenderedPageBreak/>
        <w:t>assets. According to Haldane</w:t>
      </w:r>
      <w:r w:rsidRPr="00F15905">
        <w:rPr>
          <w:rStyle w:val="Ancredenotedefin"/>
          <w:rFonts w:ascii="Times New Roman" w:hAnsi="Times New Roman" w:cs="Times New Roman"/>
          <w:lang w:val="en-GB" w:eastAsia="en-US" w:bidi="ar-SA"/>
        </w:rPr>
        <w:endnoteReference w:id="38"/>
      </w:r>
      <w:r w:rsidRPr="00F15905">
        <w:rPr>
          <w:rFonts w:ascii="Times New Roman" w:hAnsi="Times New Roman" w:cs="Times New Roman"/>
          <w:lang w:val="en-GB" w:eastAsia="en-US" w:bidi="ar-SA"/>
        </w:rPr>
        <w:t xml:space="preserve">, this methodology </w:t>
      </w:r>
      <w:r w:rsidR="00E90634" w:rsidRPr="00F15905">
        <w:rPr>
          <w:rFonts w:ascii="Times New Roman" w:hAnsi="Times New Roman" w:cs="Times New Roman"/>
          <w:lang w:val="en-GB" w:eastAsia="en-US" w:bidi="ar-SA"/>
        </w:rPr>
        <w:t>is</w:t>
      </w:r>
      <w:r w:rsidRPr="00F15905">
        <w:rPr>
          <w:rFonts w:ascii="Times New Roman" w:hAnsi="Times New Roman" w:cs="Times New Roman"/>
          <w:lang w:val="en-GB" w:eastAsia="en-US" w:bidi="ar-SA"/>
        </w:rPr>
        <w:t xml:space="preserve"> too complex and inefficient, espec</w:t>
      </w:r>
      <w:r w:rsidRPr="00D565A7">
        <w:rPr>
          <w:rFonts w:ascii="Times New Roman" w:hAnsi="Times New Roman" w:cs="Times New Roman"/>
          <w:lang w:val="en-GB" w:eastAsia="en-US" w:bidi="ar-SA"/>
        </w:rPr>
        <w:t xml:space="preserve">ially in a time of crisis, and should </w:t>
      </w:r>
      <w:r w:rsidR="00E90634" w:rsidRPr="00D565A7">
        <w:rPr>
          <w:rFonts w:ascii="Times New Roman" w:hAnsi="Times New Roman" w:cs="Times New Roman"/>
          <w:lang w:val="en-GB" w:eastAsia="en-US" w:bidi="ar-SA"/>
        </w:rPr>
        <w:t xml:space="preserve">be </w:t>
      </w:r>
      <w:r w:rsidRPr="00D565A7">
        <w:rPr>
          <w:rFonts w:ascii="Times New Roman" w:hAnsi="Times New Roman" w:cs="Times New Roman"/>
          <w:lang w:val="en-GB" w:eastAsia="en-US" w:bidi="ar-SA"/>
        </w:rPr>
        <w:t>replaced by a simpler leverage ratio.</w:t>
      </w:r>
      <w:r w:rsidRPr="00F15905">
        <w:rPr>
          <w:rStyle w:val="Ancredenotedefin"/>
          <w:rFonts w:ascii="Times New Roman" w:hAnsi="Times New Roman" w:cs="Times New Roman"/>
          <w:lang w:val="en-GB" w:eastAsia="en-US" w:bidi="ar-SA"/>
        </w:rPr>
        <w:endnoteReference w:id="39"/>
      </w:r>
      <w:r w:rsidRPr="00F15905">
        <w:rPr>
          <w:rFonts w:ascii="Times New Roman" w:hAnsi="Times New Roman" w:cs="Times New Roman"/>
          <w:lang w:val="en-GB" w:eastAsia="en-US" w:bidi="ar-SA"/>
        </w:rPr>
        <w:t xml:space="preserve"> If this latter ratio had been applied, core Eurozone universal banks would not have passed the test (Braithwaith 2014).</w:t>
      </w:r>
      <w:r w:rsidR="004E0DD5" w:rsidRPr="00D565A7">
        <w:rPr>
          <w:rFonts w:ascii="Times New Roman" w:hAnsi="Times New Roman" w:cs="Times New Roman"/>
          <w:lang w:val="en-GB" w:eastAsia="en-US" w:bidi="ar-SA"/>
        </w:rPr>
        <w:t xml:space="preserve"> </w:t>
      </w:r>
      <w:r w:rsidR="00F60E92" w:rsidRPr="00D565A7">
        <w:rPr>
          <w:rFonts w:ascii="Times New Roman" w:hAnsi="Times New Roman" w:cs="Times New Roman"/>
          <w:lang w:val="en-GB" w:eastAsia="en-US" w:bidi="ar-SA"/>
        </w:rPr>
        <w:t xml:space="preserve">In other words, the ECB, among other EU regulators, displays a bias in favour of large Eurozone universal </w:t>
      </w:r>
      <w:r w:rsidR="00C8687B" w:rsidRPr="00D565A7">
        <w:rPr>
          <w:rFonts w:ascii="Times New Roman" w:hAnsi="Times New Roman" w:cs="Times New Roman"/>
          <w:lang w:val="en-GB" w:eastAsia="en-US" w:bidi="ar-SA"/>
        </w:rPr>
        <w:t>banks in its tasks of financial supervision. For example, Deutsche</w:t>
      </w:r>
      <w:r w:rsidR="00BB25C1" w:rsidRPr="00D565A7">
        <w:rPr>
          <w:rFonts w:ascii="Times New Roman" w:hAnsi="Times New Roman" w:cs="Times New Roman"/>
          <w:lang w:val="en-GB" w:eastAsia="en-US" w:bidi="ar-SA"/>
        </w:rPr>
        <w:t xml:space="preserve"> </w:t>
      </w:r>
      <w:r w:rsidR="00C8687B" w:rsidRPr="00D565A7">
        <w:rPr>
          <w:rFonts w:ascii="Times New Roman" w:hAnsi="Times New Roman" w:cs="Times New Roman"/>
          <w:lang w:val="en-GB" w:eastAsia="en-US" w:bidi="ar-SA"/>
        </w:rPr>
        <w:t xml:space="preserve">bank, the biggest German </w:t>
      </w:r>
      <w:r w:rsidR="00BB25C1" w:rsidRPr="00D565A7">
        <w:rPr>
          <w:rFonts w:ascii="Times New Roman" w:hAnsi="Times New Roman" w:cs="Times New Roman"/>
          <w:lang w:val="en-GB" w:eastAsia="en-US" w:bidi="ar-SA"/>
        </w:rPr>
        <w:t>bank</w:t>
      </w:r>
      <w:r w:rsidR="00C8687B" w:rsidRPr="00D565A7">
        <w:rPr>
          <w:rFonts w:ascii="Times New Roman" w:hAnsi="Times New Roman" w:cs="Times New Roman"/>
          <w:lang w:val="en-GB" w:eastAsia="en-US" w:bidi="ar-SA"/>
        </w:rPr>
        <w:t>, passed</w:t>
      </w:r>
      <w:r w:rsidR="00BB25C1" w:rsidRPr="00D565A7">
        <w:rPr>
          <w:rFonts w:ascii="Times New Roman" w:hAnsi="Times New Roman" w:cs="Times New Roman"/>
          <w:lang w:val="en-GB" w:eastAsia="en-US" w:bidi="ar-SA"/>
        </w:rPr>
        <w:t xml:space="preserve"> </w:t>
      </w:r>
      <w:r w:rsidR="001E5D43" w:rsidRPr="00D565A7">
        <w:rPr>
          <w:rFonts w:ascii="Times New Roman" w:hAnsi="Times New Roman" w:cs="Times New Roman"/>
          <w:lang w:val="en-GB" w:eastAsia="en-US" w:bidi="ar-SA"/>
        </w:rPr>
        <w:t xml:space="preserve">easily </w:t>
      </w:r>
      <w:r w:rsidR="00BB25C1" w:rsidRPr="00D565A7">
        <w:rPr>
          <w:rFonts w:ascii="Times New Roman" w:hAnsi="Times New Roman" w:cs="Times New Roman"/>
          <w:lang w:val="en-GB" w:eastAsia="en-US" w:bidi="ar-SA"/>
        </w:rPr>
        <w:t>the 2014 ECB-led comprehensive assessment and the 2016 summer EU stress tests</w:t>
      </w:r>
      <w:r w:rsidR="00BB25C1" w:rsidRPr="00F15905">
        <w:rPr>
          <w:rStyle w:val="EndnoteReference"/>
          <w:rFonts w:ascii="Times New Roman" w:hAnsi="Times New Roman" w:cs="Times New Roman"/>
          <w:lang w:val="en-GB" w:eastAsia="en-US" w:bidi="ar-SA"/>
        </w:rPr>
        <w:endnoteReference w:id="40"/>
      </w:r>
      <w:r w:rsidR="00BB25C1" w:rsidRPr="00F15905">
        <w:rPr>
          <w:rFonts w:ascii="Times New Roman" w:hAnsi="Times New Roman" w:cs="Times New Roman"/>
          <w:lang w:val="en-GB" w:eastAsia="en-US" w:bidi="ar-SA"/>
        </w:rPr>
        <w:t xml:space="preserve">. </w:t>
      </w:r>
      <w:r w:rsidR="00D14D58" w:rsidRPr="00F15905">
        <w:rPr>
          <w:rFonts w:ascii="Times New Roman" w:hAnsi="Times New Roman" w:cs="Times New Roman"/>
          <w:lang w:val="en-GB" w:eastAsia="en-US" w:bidi="ar-SA"/>
        </w:rPr>
        <w:t xml:space="preserve">This positive assessment is in strong contrast with financial difficulties </w:t>
      </w:r>
      <w:r w:rsidR="00E90634" w:rsidRPr="00D565A7">
        <w:rPr>
          <w:rFonts w:ascii="Times New Roman" w:hAnsi="Times New Roman" w:cs="Times New Roman"/>
          <w:lang w:val="en-GB" w:eastAsia="en-US" w:bidi="ar-SA"/>
        </w:rPr>
        <w:t xml:space="preserve">of Deustche Bank </w:t>
      </w:r>
      <w:r w:rsidR="00D14D58" w:rsidRPr="00D565A7">
        <w:rPr>
          <w:rFonts w:ascii="Times New Roman" w:hAnsi="Times New Roman" w:cs="Times New Roman"/>
          <w:lang w:val="en-GB" w:eastAsia="en-US" w:bidi="ar-SA"/>
        </w:rPr>
        <w:t>since the beginning of 2016</w:t>
      </w:r>
      <w:r w:rsidR="00C57843" w:rsidRPr="00D565A7">
        <w:rPr>
          <w:rFonts w:ascii="Times New Roman" w:hAnsi="Times New Roman" w:cs="Times New Roman"/>
          <w:lang w:val="en-GB" w:eastAsia="en-US" w:bidi="ar-SA"/>
        </w:rPr>
        <w:t xml:space="preserve"> </w:t>
      </w:r>
      <w:r w:rsidR="00D14D58" w:rsidRPr="00D565A7">
        <w:rPr>
          <w:rFonts w:ascii="Times New Roman" w:hAnsi="Times New Roman" w:cs="Times New Roman"/>
          <w:lang w:val="en-GB" w:eastAsia="en-US" w:bidi="ar-SA"/>
        </w:rPr>
        <w:t>and its failure to pass IMF and Federal Reserve stress tests (Geiger 2016).</w:t>
      </w:r>
    </w:p>
    <w:p w:rsidR="00D1248C"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Second, despite the fact that universal banks are strongly linked to the “too-big-to-fail” problem in the Eurozone, Danielle Nouy, the head of the ECB's financial supervision arm (Single Supervision Mechanism), defends this banking model. Indeed, she stated that the Germany and French banking regulation reforms, which </w:t>
      </w:r>
      <w:r w:rsidRPr="00D565A7">
        <w:rPr>
          <w:rFonts w:ascii="Times New Roman" w:hAnsi="Times New Roman" w:cs="Times New Roman"/>
          <w:lang w:val="en-GB"/>
        </w:rPr>
        <w:t xml:space="preserve">are considered to be the most protective of the universal banking models in the Eurozone (Hardie </w:t>
      </w:r>
      <w:r w:rsidR="00A000EE" w:rsidRPr="00D565A7">
        <w:rPr>
          <w:rFonts w:ascii="Times New Roman" w:hAnsi="Times New Roman" w:cs="Times New Roman"/>
          <w:lang w:val="en-GB"/>
        </w:rPr>
        <w:t xml:space="preserve">&amp; </w:t>
      </w:r>
      <w:r w:rsidRPr="00D565A7">
        <w:rPr>
          <w:rFonts w:ascii="Times New Roman" w:hAnsi="Times New Roman" w:cs="Times New Roman"/>
          <w:lang w:val="en-GB"/>
        </w:rPr>
        <w:t xml:space="preserve">Macartney 2016), </w:t>
      </w:r>
      <w:r w:rsidRPr="00F15905">
        <w:rPr>
          <w:rFonts w:ascii="Times New Roman" w:hAnsi="Times New Roman" w:cs="Times New Roman"/>
          <w:lang w:val="en-GB" w:eastAsia="en-US" w:bidi="ar-SA"/>
        </w:rPr>
        <w:t>are “sensible” and she “would have serious reservations about going beyond that”</w:t>
      </w:r>
      <w:r w:rsidRPr="00F15905">
        <w:rPr>
          <w:rStyle w:val="Ancredenotedefin"/>
          <w:rFonts w:ascii="Times New Roman" w:hAnsi="Times New Roman" w:cs="Times New Roman"/>
          <w:lang w:val="en-GB" w:eastAsia="en-US" w:bidi="ar-SA"/>
        </w:rPr>
        <w:endnoteReference w:id="41"/>
      </w:r>
      <w:r w:rsidRPr="00F15905">
        <w:rPr>
          <w:rFonts w:ascii="Times New Roman" w:hAnsi="Times New Roman" w:cs="Times New Roman"/>
          <w:lang w:val="en-GB" w:eastAsia="en-US" w:bidi="ar-SA"/>
        </w:rPr>
        <w:t>. This statement is in strong contrast with the global assessment that universal banking is a risk for growth and financial st</w:t>
      </w:r>
      <w:r w:rsidR="00215A88" w:rsidRPr="00D565A7">
        <w:rPr>
          <w:rFonts w:ascii="Times New Roman" w:hAnsi="Times New Roman" w:cs="Times New Roman"/>
          <w:lang w:val="en-GB" w:eastAsia="en-US" w:bidi="ar-SA"/>
        </w:rPr>
        <w:t xml:space="preserve">ability (Liikanen Report 2012) </w:t>
      </w:r>
      <w:r w:rsidRPr="00D565A7">
        <w:rPr>
          <w:rFonts w:ascii="Times New Roman" w:hAnsi="Times New Roman" w:cs="Times New Roman"/>
          <w:lang w:val="en-GB" w:eastAsia="en-US" w:bidi="ar-SA"/>
        </w:rPr>
        <w:t xml:space="preserve">and the US and UK regulatory efforts which adopted “ring-fencing” measures. </w:t>
      </w:r>
    </w:p>
    <w:p w:rsidR="003C5A5E" w:rsidRPr="00F15905"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Third, while the Bank of England advised to defer market operators’ bonuses until their retirement, the ECB restricted the non-distribution of dividends to the banks that failed the comprehensive assessment</w:t>
      </w:r>
      <w:r w:rsidRPr="00F15905">
        <w:rPr>
          <w:rStyle w:val="Ancredenotedefin"/>
          <w:rFonts w:ascii="Times New Roman" w:hAnsi="Times New Roman" w:cs="Times New Roman"/>
          <w:lang w:val="en-GB" w:eastAsia="en-US" w:bidi="ar-SA"/>
        </w:rPr>
        <w:endnoteReference w:id="42"/>
      </w:r>
      <w:r w:rsidRPr="00F15905">
        <w:rPr>
          <w:rFonts w:ascii="Times New Roman" w:hAnsi="Times New Roman" w:cs="Times New Roman"/>
          <w:lang w:val="en-GB" w:eastAsia="en-US" w:bidi="ar-SA"/>
        </w:rPr>
        <w:t>. Fourth, the ECB was very hesitant about the proposed European Financial Transaction Tax and it offered its help in 2013 to “redesign” the Tax to minimize its potential impact (Gabor</w:t>
      </w:r>
      <w:r w:rsidRPr="00D565A7">
        <w:rPr>
          <w:rFonts w:ascii="Times New Roman" w:hAnsi="Times New Roman" w:cs="Times New Roman"/>
          <w:lang w:val="en-GB" w:eastAsia="en-US" w:bidi="ar-SA"/>
        </w:rPr>
        <w:t xml:space="preserve"> 201</w:t>
      </w:r>
      <w:r w:rsidR="009969DD" w:rsidRPr="00D565A7">
        <w:rPr>
          <w:rFonts w:ascii="Times New Roman" w:hAnsi="Times New Roman" w:cs="Times New Roman"/>
          <w:lang w:val="en-GB" w:eastAsia="en-US" w:bidi="ar-SA"/>
        </w:rPr>
        <w:t>6</w:t>
      </w:r>
      <w:r w:rsidR="00A000EE" w:rsidRPr="00D565A7">
        <w:rPr>
          <w:rFonts w:ascii="Times New Roman" w:hAnsi="Times New Roman" w:cs="Times New Roman"/>
          <w:lang w:val="en-GB" w:eastAsia="en-US" w:bidi="ar-SA"/>
        </w:rPr>
        <w:t>, Kalaitzake 2017, 719, Kastner 2017, 13</w:t>
      </w:r>
      <w:r w:rsidRPr="00D565A7">
        <w:rPr>
          <w:rFonts w:ascii="Times New Roman" w:hAnsi="Times New Roman" w:cs="Times New Roman"/>
          <w:lang w:val="en-GB" w:eastAsia="en-US" w:bidi="ar-SA"/>
        </w:rPr>
        <w:t xml:space="preserve">). </w:t>
      </w:r>
      <w:r w:rsidR="00215A88" w:rsidRPr="00D565A7">
        <w:rPr>
          <w:rFonts w:ascii="Times New Roman" w:hAnsi="Times New Roman" w:cs="Times New Roman"/>
          <w:lang w:val="en-GB" w:eastAsia="en-US" w:bidi="ar-SA"/>
        </w:rPr>
        <w:t>Fifth</w:t>
      </w:r>
      <w:r w:rsidRPr="00D565A7">
        <w:rPr>
          <w:rFonts w:ascii="Times New Roman" w:hAnsi="Times New Roman" w:cs="Times New Roman"/>
          <w:lang w:val="en-GB" w:eastAsia="en-US" w:bidi="ar-SA"/>
        </w:rPr>
        <w:t>, the ECB has been at the forefront of the push by public authorities</w:t>
      </w:r>
      <w:r w:rsidR="00D95103" w:rsidRPr="00F15905">
        <w:rPr>
          <w:rFonts w:ascii="Times New Roman" w:hAnsi="Times New Roman" w:cs="Times New Roman"/>
          <w:vertAlign w:val="superscript"/>
          <w:lang w:val="en-GB" w:eastAsia="en-US" w:bidi="ar-SA"/>
        </w:rPr>
        <w:endnoteReference w:id="43"/>
      </w:r>
      <w:r w:rsidRPr="00F15905">
        <w:rPr>
          <w:rFonts w:ascii="Times New Roman" w:hAnsi="Times New Roman" w:cs="Times New Roman"/>
          <w:lang w:val="en-GB" w:eastAsia="en-US" w:bidi="ar-SA"/>
        </w:rPr>
        <w:t xml:space="preserve"> to revive the European market of securization to stimulate growth, despite all the problems created by this class of financial assets in the past</w:t>
      </w:r>
      <w:r w:rsidR="00D95103" w:rsidRPr="00F15905">
        <w:rPr>
          <w:rFonts w:ascii="Times New Roman" w:hAnsi="Times New Roman" w:cs="Times New Roman"/>
          <w:lang w:val="en-GB" w:eastAsia="en-US" w:bidi="ar-SA"/>
        </w:rPr>
        <w:t xml:space="preserve"> (</w:t>
      </w:r>
      <w:r w:rsidR="00A000EE" w:rsidRPr="00D565A7">
        <w:rPr>
          <w:rFonts w:ascii="Times New Roman" w:hAnsi="Times New Roman" w:cs="Times New Roman"/>
          <w:lang w:val="en-GB" w:eastAsia="en-US" w:bidi="ar-SA"/>
        </w:rPr>
        <w:t xml:space="preserve">Braun </w:t>
      </w:r>
      <w:r w:rsidR="00A000EE" w:rsidRPr="00D565A7">
        <w:rPr>
          <w:rFonts w:ascii="Times New Roman" w:hAnsi="Times New Roman" w:cs="Times New Roman"/>
          <w:i/>
          <w:lang w:val="en-GB" w:eastAsia="en-US" w:bidi="ar-SA"/>
        </w:rPr>
        <w:t>et al.</w:t>
      </w:r>
      <w:r w:rsidR="00A000EE" w:rsidRPr="00D565A7">
        <w:rPr>
          <w:rFonts w:ascii="Times New Roman" w:hAnsi="Times New Roman" w:cs="Times New Roman"/>
          <w:lang w:val="en-GB" w:eastAsia="en-US" w:bidi="ar-SA"/>
        </w:rPr>
        <w:t xml:space="preserve"> 2018 and other articles in </w:t>
      </w:r>
      <w:r w:rsidR="00EF3760" w:rsidRPr="00D565A7">
        <w:rPr>
          <w:rFonts w:ascii="Times New Roman" w:hAnsi="Times New Roman" w:cs="Times New Roman"/>
          <w:lang w:val="en-GB" w:eastAsia="en-US" w:bidi="ar-SA"/>
        </w:rPr>
        <w:t xml:space="preserve">the special issue Competition &amp; Change 22 </w:t>
      </w:r>
      <w:r w:rsidR="000D2B62" w:rsidRPr="00D565A7">
        <w:rPr>
          <w:rFonts w:ascii="Times New Roman" w:hAnsi="Times New Roman" w:cs="Times New Roman"/>
          <w:lang w:val="en-GB" w:eastAsia="en-US" w:bidi="ar-SA"/>
        </w:rPr>
        <w:t>(</w:t>
      </w:r>
      <w:r w:rsidR="00A000EE" w:rsidRPr="00D565A7">
        <w:rPr>
          <w:rFonts w:ascii="Times New Roman" w:hAnsi="Times New Roman" w:cs="Times New Roman"/>
          <w:lang w:val="en-GB" w:eastAsia="en-US" w:bidi="ar-SA"/>
        </w:rPr>
        <w:t>2</w:t>
      </w:r>
      <w:r w:rsidR="000D2B62" w:rsidRPr="00D565A7">
        <w:rPr>
          <w:rFonts w:ascii="Times New Roman" w:hAnsi="Times New Roman" w:cs="Times New Roman"/>
          <w:lang w:val="en-GB" w:eastAsia="en-US" w:bidi="ar-SA"/>
        </w:rPr>
        <w:t>)</w:t>
      </w:r>
      <w:r w:rsidR="00D95103" w:rsidRPr="00D565A7">
        <w:rPr>
          <w:rFonts w:ascii="Times New Roman" w:hAnsi="Times New Roman" w:cs="Times New Roman"/>
          <w:lang w:val="en-GB" w:eastAsia="en-US" w:bidi="ar-SA"/>
        </w:rPr>
        <w:t xml:space="preserve">). </w:t>
      </w:r>
    </w:p>
    <w:p w:rsidR="003C5A5E" w:rsidRPr="00D565A7" w:rsidRDefault="003C5A5E" w:rsidP="004C367A">
      <w:pPr>
        <w:pStyle w:val="sansindetation"/>
        <w:jc w:val="both"/>
        <w:rPr>
          <w:rFonts w:ascii="Times New Roman" w:hAnsi="Times New Roman" w:cs="Times New Roman"/>
          <w:lang w:val="en-GB"/>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lastRenderedPageBreak/>
        <w:t xml:space="preserve">To conclude, although the ECB had an unprecedented opportunity to rely on its two channels of influence to shape financial sector reforms – as it had done to shape national economic reforms – </w:t>
      </w:r>
      <w:r w:rsidR="00707A0E" w:rsidRPr="00D565A7">
        <w:rPr>
          <w:rFonts w:ascii="Times New Roman" w:hAnsi="Times New Roman" w:cs="Times New Roman"/>
          <w:lang w:val="en-GB" w:eastAsia="en-US" w:bidi="ar-SA"/>
        </w:rPr>
        <w:t xml:space="preserve">and reverse the process of financialization, </w:t>
      </w:r>
      <w:r w:rsidRPr="00D565A7">
        <w:rPr>
          <w:rFonts w:ascii="Times New Roman" w:hAnsi="Times New Roman" w:cs="Times New Roman"/>
          <w:lang w:val="en-GB" w:eastAsia="en-US" w:bidi="ar-SA"/>
        </w:rPr>
        <w:t>it chose not to do so. An assessment of ECB policies would suggest that financial markets have been not only the cause but also the perceived solution to the crisis. Besides, the ECB continues to shelter the Eurozone’s financial system from a paradigmatic change in the regulations of its activities.</w:t>
      </w:r>
    </w:p>
    <w:p w:rsidR="003C5A5E" w:rsidRPr="00D565A7" w:rsidRDefault="003C5A5E" w:rsidP="004C367A">
      <w:pPr>
        <w:spacing w:line="480" w:lineRule="auto"/>
        <w:jc w:val="both"/>
        <w:rPr>
          <w:rFonts w:ascii="Times New Roman" w:hAnsi="Times New Roman" w:cs="Times New Roman"/>
          <w:lang w:val="en-GB"/>
        </w:rPr>
      </w:pPr>
    </w:p>
    <w:p w:rsidR="003C5A5E" w:rsidRPr="00D565A7" w:rsidRDefault="003A01D2" w:rsidP="004C367A">
      <w:pPr>
        <w:pStyle w:val="Titre11"/>
        <w:numPr>
          <w:ilvl w:val="0"/>
          <w:numId w:val="1"/>
        </w:numPr>
        <w:spacing w:line="480" w:lineRule="auto"/>
        <w:jc w:val="both"/>
        <w:rPr>
          <w:rFonts w:ascii="Times New Roman" w:hAnsi="Times New Roman" w:cs="Times New Roman"/>
          <w:lang w:val="en-GB"/>
        </w:rPr>
      </w:pPr>
      <w:r w:rsidRPr="00D565A7">
        <w:rPr>
          <w:rFonts w:ascii="Times New Roman" w:hAnsi="Times New Roman" w:cs="Times New Roman"/>
          <w:lang w:val="en-GB"/>
        </w:rPr>
        <w:t>Conclusion</w:t>
      </w:r>
    </w:p>
    <w:p w:rsidR="003C5A5E" w:rsidRPr="00D565A7" w:rsidRDefault="003C5A5E" w:rsidP="004C367A">
      <w:pPr>
        <w:pStyle w:val="sansindetation"/>
        <w:jc w:val="both"/>
        <w:rPr>
          <w:rFonts w:ascii="Times New Roman" w:hAnsi="Times New Roman" w:cs="Times New Roman"/>
          <w:lang w:val="en-GB"/>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 xml:space="preserve">The ECB used the crisis as a window of opportunity to further isolate economic governance from electoral outcomes. To do so, the ECB relied on its two channels of influence: the coercive channel, which consists in the conditionality of ECB monetary interventions, and the cognitive channel, which consists in the ECB’s influence in the Eurozone’s policy circles. This twofold pressure on economic governance contrasts strongly with the almost unconditional help that the ECB provided to the financial sector. </w:t>
      </w:r>
    </w:p>
    <w:p w:rsidR="002908C3" w:rsidRPr="00D565A7" w:rsidRDefault="002908C3" w:rsidP="004C367A">
      <w:pPr>
        <w:spacing w:line="480" w:lineRule="auto"/>
        <w:jc w:val="both"/>
        <w:rPr>
          <w:rFonts w:ascii="Times New Roman" w:hAnsi="Times New Roman" w:cs="Times New Roman"/>
          <w:lang w:val="en-GB" w:eastAsia="en-US" w:bidi="ar-SA"/>
        </w:rPr>
      </w:pPr>
    </w:p>
    <w:p w:rsidR="003C5A5E" w:rsidRPr="00D565A7" w:rsidRDefault="003A01D2" w:rsidP="004C367A">
      <w:pPr>
        <w:spacing w:line="480" w:lineRule="auto"/>
        <w:jc w:val="both"/>
        <w:rPr>
          <w:rFonts w:ascii="Times New Roman" w:hAnsi="Times New Roman" w:cs="Times New Roman"/>
          <w:lang w:val="en-GB" w:eastAsia="en-US" w:bidi="ar-SA"/>
        </w:rPr>
      </w:pPr>
      <w:r w:rsidRPr="00D565A7">
        <w:rPr>
          <w:rFonts w:ascii="Times New Roman" w:hAnsi="Times New Roman" w:cs="Times New Roman"/>
          <w:lang w:val="en-GB" w:eastAsia="en-US" w:bidi="ar-SA"/>
        </w:rPr>
        <w:t>The research results of this article can be interpreted in two ways. A moderate interpretation would see these results as undermining the following quote of Norman Montagu “</w:t>
      </w:r>
      <w:r w:rsidRPr="00D565A7">
        <w:rPr>
          <w:rFonts w:ascii="Times New Roman" w:hAnsi="Times New Roman" w:cs="Times New Roman"/>
          <w:lang w:val="en-GB"/>
        </w:rPr>
        <w:t>that no Central Bank can be greater than its own State — the creature greater than the creator.</w:t>
      </w:r>
      <w:r w:rsidRPr="00F15905">
        <w:rPr>
          <w:rStyle w:val="Ancredenotedefin"/>
          <w:rFonts w:ascii="Times New Roman" w:hAnsi="Times New Roman" w:cs="Times New Roman"/>
          <w:lang w:val="en-GB"/>
        </w:rPr>
        <w:endnoteReference w:id="44"/>
      </w:r>
      <w:r w:rsidRPr="00F15905">
        <w:rPr>
          <w:rFonts w:ascii="Times New Roman" w:hAnsi="Times New Roman" w:cs="Times New Roman"/>
          <w:lang w:val="en-GB"/>
        </w:rPr>
        <w:t>” Indeed, despite maintaining a high level of independence, the ECB went beyond its official responsibilities as laid out in the Treaties by harnessing its increased influence on economic governance. This is demonstrated by the case of Greece. Keeping this imbalance in mind</w:t>
      </w:r>
      <w:r w:rsidRPr="00D565A7">
        <w:rPr>
          <w:rFonts w:ascii="Times New Roman" w:hAnsi="Times New Roman" w:cs="Times New Roman"/>
          <w:lang w:val="en-GB"/>
        </w:rPr>
        <w:t xml:space="preserve">, it can be argued that the “Frankenstein” Eurozone states somewhat lost control of their “creature”. </w:t>
      </w:r>
      <w:r w:rsidRPr="00D565A7">
        <w:rPr>
          <w:rFonts w:ascii="Times New Roman" w:hAnsi="Times New Roman" w:cs="Times New Roman"/>
          <w:lang w:val="en-GB" w:eastAsia="en-US" w:bidi="ar-SA"/>
        </w:rPr>
        <w:t xml:space="preserve">A stronger interpretation of these results would identify the ECB as a failed regulatory organization and a driver of post-democratic dynamics. Indeed, because ECB policies isolate </w:t>
      </w:r>
      <w:r w:rsidRPr="00D565A7">
        <w:rPr>
          <w:rFonts w:ascii="Times New Roman" w:hAnsi="Times New Roman" w:cs="Times New Roman"/>
          <w:lang w:val="en-GB" w:eastAsia="en-US" w:bidi="ar-SA"/>
        </w:rPr>
        <w:lastRenderedPageBreak/>
        <w:t xml:space="preserve">macro-economic governance from electoral pressure and fail to sufficiently control the use of liquidities provided to the financial sector, they amplify the power discrepancy between private financial interests and the preferences of citizens. </w:t>
      </w:r>
    </w:p>
    <w:p w:rsidR="003C5A5E" w:rsidRPr="00D565A7" w:rsidRDefault="003A01D2" w:rsidP="004C367A">
      <w:pPr>
        <w:pStyle w:val="Titre11"/>
        <w:numPr>
          <w:ilvl w:val="0"/>
          <w:numId w:val="1"/>
        </w:numPr>
        <w:tabs>
          <w:tab w:val="left" w:pos="0"/>
        </w:tabs>
        <w:spacing w:line="480" w:lineRule="auto"/>
        <w:jc w:val="both"/>
        <w:rPr>
          <w:rFonts w:ascii="Times New Roman" w:hAnsi="Times New Roman" w:cs="Times New Roman"/>
          <w:lang w:val="en-GB"/>
        </w:rPr>
      </w:pPr>
      <w:r w:rsidRPr="00D565A7">
        <w:rPr>
          <w:rFonts w:ascii="Times New Roman" w:hAnsi="Times New Roman" w:cs="Times New Roman"/>
          <w:lang w:val="en-GB"/>
        </w:rPr>
        <w:t>Interviews (conducted by the author)</w:t>
      </w:r>
    </w:p>
    <w:p w:rsidR="003C5A5E" w:rsidRPr="00D565A7" w:rsidRDefault="003A01D2" w:rsidP="004C367A">
      <w:pPr>
        <w:spacing w:line="480" w:lineRule="auto"/>
        <w:ind w:left="709" w:hanging="709"/>
        <w:jc w:val="both"/>
        <w:rPr>
          <w:rFonts w:ascii="Times New Roman" w:hAnsi="Times New Roman" w:cs="Times New Roman"/>
          <w:lang w:val="en-GB"/>
        </w:rPr>
      </w:pPr>
      <w:r w:rsidRPr="00D565A7">
        <w:rPr>
          <w:rFonts w:ascii="Times New Roman" w:hAnsi="Times New Roman" w:cs="Times New Roman"/>
          <w:lang w:val="en-GB"/>
        </w:rPr>
        <w:t>1.</w:t>
      </w:r>
      <w:r w:rsidRPr="00D565A7">
        <w:rPr>
          <w:rFonts w:ascii="Times New Roman" w:hAnsi="Times New Roman" w:cs="Times New Roman"/>
          <w:lang w:val="en-GB"/>
        </w:rPr>
        <w:tab/>
        <w:t>EFC Member 1, Brussels, November 2010.</w:t>
      </w:r>
    </w:p>
    <w:p w:rsidR="003C5A5E" w:rsidRPr="00D565A7" w:rsidRDefault="003A01D2" w:rsidP="004C367A">
      <w:pPr>
        <w:spacing w:line="480" w:lineRule="auto"/>
        <w:ind w:left="709" w:hanging="709"/>
        <w:jc w:val="both"/>
        <w:rPr>
          <w:rFonts w:ascii="Times New Roman" w:hAnsi="Times New Roman" w:cs="Times New Roman"/>
          <w:lang w:val="en-GB"/>
        </w:rPr>
      </w:pPr>
      <w:r w:rsidRPr="00D565A7">
        <w:rPr>
          <w:rFonts w:ascii="Times New Roman" w:hAnsi="Times New Roman" w:cs="Times New Roman"/>
          <w:lang w:val="en-GB"/>
        </w:rPr>
        <w:t>2.</w:t>
      </w:r>
      <w:r w:rsidRPr="00D565A7">
        <w:rPr>
          <w:rFonts w:ascii="Times New Roman" w:hAnsi="Times New Roman" w:cs="Times New Roman"/>
          <w:lang w:val="en-GB"/>
        </w:rPr>
        <w:tab/>
        <w:t>EFC Member 2, Brussels, November 2010.</w:t>
      </w:r>
    </w:p>
    <w:p w:rsidR="003C5A5E" w:rsidRPr="00D565A7" w:rsidRDefault="003A01D2" w:rsidP="004C367A">
      <w:pPr>
        <w:spacing w:line="480" w:lineRule="auto"/>
        <w:ind w:left="709" w:hanging="709"/>
        <w:jc w:val="both"/>
        <w:rPr>
          <w:rFonts w:ascii="Times New Roman" w:hAnsi="Times New Roman" w:cs="Times New Roman"/>
          <w:lang w:val="en-GB"/>
        </w:rPr>
      </w:pPr>
      <w:r w:rsidRPr="00D565A7">
        <w:rPr>
          <w:rFonts w:ascii="Times New Roman" w:hAnsi="Times New Roman" w:cs="Times New Roman"/>
          <w:lang w:val="en-GB"/>
        </w:rPr>
        <w:t>3.</w:t>
      </w:r>
      <w:r w:rsidRPr="00D565A7">
        <w:rPr>
          <w:rFonts w:ascii="Times New Roman" w:hAnsi="Times New Roman" w:cs="Times New Roman"/>
          <w:lang w:val="en-GB"/>
        </w:rPr>
        <w:tab/>
        <w:t>EFC Member 3, Brussels, November 2010.</w:t>
      </w:r>
    </w:p>
    <w:p w:rsidR="003C5A5E" w:rsidRPr="00D565A7" w:rsidRDefault="003A01D2" w:rsidP="004C367A">
      <w:pPr>
        <w:spacing w:line="480" w:lineRule="auto"/>
        <w:ind w:left="709" w:hanging="709"/>
        <w:jc w:val="both"/>
        <w:rPr>
          <w:rFonts w:ascii="Times New Roman" w:hAnsi="Times New Roman" w:cs="Times New Roman"/>
          <w:lang w:val="en-GB"/>
        </w:rPr>
      </w:pPr>
      <w:r w:rsidRPr="00D565A7">
        <w:rPr>
          <w:rFonts w:ascii="Times New Roman" w:hAnsi="Times New Roman" w:cs="Times New Roman"/>
          <w:lang w:val="en-GB"/>
        </w:rPr>
        <w:t xml:space="preserve">4. </w:t>
      </w:r>
      <w:r w:rsidRPr="00D565A7">
        <w:rPr>
          <w:rFonts w:ascii="Times New Roman" w:hAnsi="Times New Roman" w:cs="Times New Roman"/>
          <w:lang w:val="en-GB"/>
        </w:rPr>
        <w:tab/>
        <w:t>Portuguese Finance Ministry member, Brussels, November 2010</w:t>
      </w:r>
    </w:p>
    <w:p w:rsidR="00D565A7" w:rsidRDefault="003A01D2" w:rsidP="004C367A">
      <w:pPr>
        <w:spacing w:line="480" w:lineRule="auto"/>
        <w:ind w:left="709" w:hanging="709"/>
        <w:jc w:val="both"/>
        <w:rPr>
          <w:rFonts w:ascii="Times New Roman" w:hAnsi="Times New Roman" w:cs="Times New Roman"/>
          <w:lang w:val="en-GB"/>
        </w:rPr>
      </w:pPr>
      <w:r w:rsidRPr="00D565A7">
        <w:rPr>
          <w:rFonts w:ascii="Times New Roman" w:hAnsi="Times New Roman" w:cs="Times New Roman"/>
          <w:lang w:val="en-GB"/>
        </w:rPr>
        <w:t>5.</w:t>
      </w:r>
      <w:r w:rsidRPr="00D565A7">
        <w:rPr>
          <w:rFonts w:ascii="Times New Roman" w:hAnsi="Times New Roman" w:cs="Times New Roman"/>
          <w:lang w:val="en-GB"/>
        </w:rPr>
        <w:tab/>
        <w:t>Member of the ECB, Frankfurt, December 2010</w:t>
      </w:r>
    </w:p>
    <w:p w:rsidR="00D565A7" w:rsidRDefault="00D565A7" w:rsidP="00D565A7">
      <w:pPr>
        <w:rPr>
          <w:rFonts w:ascii="Times New Roman" w:hAnsi="Times New Roman" w:cs="Times New Roman"/>
          <w:lang w:val="en-GB"/>
        </w:rPr>
      </w:pPr>
    </w:p>
    <w:p w:rsidR="00D565A7" w:rsidRDefault="00D565A7" w:rsidP="00D565A7">
      <w:pPr>
        <w:tabs>
          <w:tab w:val="left" w:pos="5597"/>
        </w:tabs>
        <w:rPr>
          <w:rFonts w:ascii="Times New Roman" w:hAnsi="Times New Roman" w:cs="Times New Roman"/>
          <w:lang w:val="en-GB"/>
        </w:rPr>
      </w:pPr>
      <w:r>
        <w:rPr>
          <w:rFonts w:ascii="Times New Roman" w:hAnsi="Times New Roman" w:cs="Times New Roman"/>
          <w:lang w:val="en-GB"/>
        </w:rPr>
        <w:tab/>
      </w:r>
    </w:p>
    <w:p w:rsidR="003C5A5E" w:rsidRPr="00D565A7" w:rsidRDefault="00D565A7" w:rsidP="00D565A7">
      <w:pPr>
        <w:tabs>
          <w:tab w:val="left" w:pos="5597"/>
        </w:tabs>
        <w:rPr>
          <w:rFonts w:ascii="Times New Roman" w:hAnsi="Times New Roman" w:cs="Times New Roman"/>
          <w:lang w:val="en-GB"/>
        </w:rPr>
        <w:sectPr w:rsidR="003C5A5E" w:rsidRPr="00D565A7">
          <w:endnotePr>
            <w:numFmt w:val="decimal"/>
          </w:endnotePr>
          <w:pgSz w:w="12240" w:h="15840"/>
          <w:pgMar w:top="1134" w:right="1134" w:bottom="1134" w:left="1134" w:header="0" w:footer="0" w:gutter="0"/>
          <w:cols w:space="720"/>
          <w:formProt w:val="0"/>
          <w:docGrid w:linePitch="240" w:charSpace="-6145"/>
        </w:sectPr>
      </w:pPr>
      <w:r>
        <w:rPr>
          <w:rFonts w:ascii="Times New Roman" w:hAnsi="Times New Roman" w:cs="Times New Roman"/>
          <w:lang w:val="en-GB"/>
        </w:rPr>
        <w:tab/>
      </w:r>
    </w:p>
    <w:p w:rsidR="003C5A5E" w:rsidRPr="00D565A7" w:rsidRDefault="003A01D2" w:rsidP="004C367A">
      <w:pPr>
        <w:pStyle w:val="Titre11"/>
        <w:numPr>
          <w:ilvl w:val="0"/>
          <w:numId w:val="1"/>
        </w:numPr>
        <w:jc w:val="both"/>
        <w:rPr>
          <w:rFonts w:ascii="Times New Roman" w:hAnsi="Times New Roman" w:cs="Times New Roman"/>
          <w:lang w:val="en-GB"/>
        </w:rPr>
      </w:pPr>
      <w:r w:rsidRPr="00D565A7">
        <w:rPr>
          <w:rFonts w:ascii="Times New Roman" w:hAnsi="Times New Roman" w:cs="Times New Roman"/>
          <w:lang w:val="en-GB"/>
        </w:rPr>
        <w:lastRenderedPageBreak/>
        <w:t>Bibliography</w:t>
      </w:r>
    </w:p>
    <w:p w:rsidR="00487A91" w:rsidRPr="00D565A7" w:rsidRDefault="00487A91" w:rsidP="00487A91">
      <w:pPr>
        <w:ind w:hanging="480"/>
        <w:rPr>
          <w:rFonts w:ascii="Times New Roman" w:eastAsia="Times New Roman" w:hAnsi="Times New Roman" w:cs="Times New Roman"/>
          <w:lang w:val="en-GB" w:eastAsia="sv-SE"/>
        </w:rPr>
      </w:pPr>
      <w:r w:rsidRPr="00D565A7">
        <w:rPr>
          <w:rFonts w:ascii="Times New Roman" w:hAnsi="Times New Roman" w:cs="Times New Roman"/>
          <w:lang w:val="en-GB"/>
        </w:rPr>
        <w:t xml:space="preserve">Adolph, Christopher (2013) </w:t>
      </w:r>
      <w:r w:rsidRPr="00D565A7">
        <w:rPr>
          <w:rFonts w:ascii="Times New Roman" w:hAnsi="Times New Roman" w:cs="Times New Roman"/>
          <w:i/>
          <w:iCs/>
          <w:lang w:val="en-GB"/>
        </w:rPr>
        <w:t>Bankers, Bureaucrats, and Central Bank Politics: The Myth of Neutrality</w:t>
      </w:r>
      <w:r w:rsidRPr="00D565A7">
        <w:rPr>
          <w:rFonts w:ascii="Times New Roman" w:hAnsi="Times New Roman" w:cs="Times New Roman"/>
          <w:lang w:val="en-GB"/>
        </w:rPr>
        <w:t xml:space="preserve"> (Cambridge: Cambridge University Press).</w:t>
      </w:r>
    </w:p>
    <w:p w:rsidR="00487A91"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Alesina, Alberto</w:t>
      </w:r>
      <w:r w:rsidR="00D1248C" w:rsidRPr="00D565A7">
        <w:rPr>
          <w:rFonts w:ascii="Times New Roman" w:eastAsia="Times New Roman" w:hAnsi="Times New Roman" w:cs="Times New Roman"/>
          <w:lang w:val="en-GB" w:eastAsia="sv-SE"/>
        </w:rPr>
        <w:t xml:space="preserve"> and Lawrence H. Summers (1993)</w:t>
      </w:r>
      <w:r w:rsidRPr="00D565A7">
        <w:rPr>
          <w:rFonts w:ascii="Times New Roman" w:eastAsia="Times New Roman" w:hAnsi="Times New Roman" w:cs="Times New Roman"/>
          <w:lang w:val="en-GB" w:eastAsia="sv-SE"/>
        </w:rPr>
        <w:t xml:space="preserve"> “Central Bank Independence and Macroeconomic Performance: Some Comparative Evidence.”</w:t>
      </w:r>
      <w:r w:rsidR="00D1248C"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Journal of Money, Credit and Banking</w:t>
      </w:r>
      <w:r w:rsidR="00D1248C" w:rsidRPr="00D565A7">
        <w:rPr>
          <w:rFonts w:ascii="Times New Roman" w:eastAsia="Times New Roman" w:hAnsi="Times New Roman" w:cs="Times New Roman"/>
          <w:i/>
          <w:iCs/>
          <w:lang w:val="en-GB" w:eastAsia="sv-SE"/>
        </w:rPr>
        <w:t>,</w:t>
      </w:r>
      <w:r w:rsidR="00D1248C" w:rsidRPr="00D565A7">
        <w:rPr>
          <w:rFonts w:ascii="Times New Roman" w:eastAsia="Times New Roman" w:hAnsi="Times New Roman" w:cs="Times New Roman"/>
          <w:lang w:val="en-GB" w:eastAsia="sv-SE"/>
        </w:rPr>
        <w:t xml:space="preserve"> 25 (2), 151–162</w:t>
      </w:r>
    </w:p>
    <w:p w:rsidR="00D1248C" w:rsidRPr="00D565A7" w:rsidRDefault="00D1248C"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 xml:space="preserve">Atkins, </w:t>
      </w:r>
      <w:r w:rsidRPr="00D565A7">
        <w:rPr>
          <w:rFonts w:ascii="Times New Roman" w:eastAsia="Times New Roman" w:hAnsi="Times New Roman" w:cs="Times New Roman"/>
          <w:lang w:val="en-GB" w:eastAsia="sv-SE"/>
        </w:rPr>
        <w:t>Ralph</w:t>
      </w:r>
      <w:r w:rsidRPr="00F15905">
        <w:rPr>
          <w:rFonts w:ascii="Times New Roman" w:hAnsi="Times New Roman" w:cs="Times New Roman"/>
          <w:lang w:val="en-GB"/>
        </w:rPr>
        <w:t xml:space="preserve"> (2011)</w:t>
      </w:r>
      <w:r w:rsidR="00D7700F" w:rsidRPr="00F15905">
        <w:rPr>
          <w:rFonts w:ascii="Times New Roman" w:hAnsi="Times New Roman" w:cs="Times New Roman"/>
          <w:lang w:val="en-GB"/>
        </w:rPr>
        <w:t xml:space="preserve"> “ECB’s political tensions flare over Greece”, </w:t>
      </w:r>
      <w:r w:rsidR="00D7700F" w:rsidRPr="00D565A7">
        <w:rPr>
          <w:rFonts w:ascii="Times New Roman" w:hAnsi="Times New Roman" w:cs="Times New Roman"/>
          <w:i/>
          <w:iCs/>
          <w:lang w:val="en-GB"/>
        </w:rPr>
        <w:t>Financial Times</w:t>
      </w:r>
      <w:r w:rsidRPr="00D565A7">
        <w:rPr>
          <w:rFonts w:ascii="Times New Roman" w:hAnsi="Times New Roman" w:cs="Times New Roman"/>
          <w:lang w:val="en-GB"/>
        </w:rPr>
        <w:t>, 19 May.</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Barthélemy, Jean, Vin</w:t>
      </w:r>
      <w:r w:rsidR="00D1248C" w:rsidRPr="00D565A7">
        <w:rPr>
          <w:rFonts w:ascii="Times New Roman" w:eastAsia="Times New Roman" w:hAnsi="Times New Roman" w:cs="Times New Roman"/>
          <w:lang w:val="en-GB" w:eastAsia="sv-SE"/>
        </w:rPr>
        <w:t>cent Bignon, and Benoît Nguyen (</w:t>
      </w:r>
      <w:r w:rsidRPr="00D565A7">
        <w:rPr>
          <w:rFonts w:ascii="Times New Roman" w:eastAsia="Times New Roman" w:hAnsi="Times New Roman" w:cs="Times New Roman"/>
          <w:lang w:val="en-GB" w:eastAsia="sv-SE"/>
        </w:rPr>
        <w:t>2017</w:t>
      </w:r>
      <w:r w:rsidR="00D1248C"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“Monetary Policy, Illiquid Collateral and Bank Lending during the European Sovereign Debt Crisis.”</w:t>
      </w:r>
      <w:r w:rsidR="00D1248C"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Economie et Statistique</w:t>
      </w:r>
      <w:r w:rsidR="00D1248C" w:rsidRPr="00D565A7">
        <w:rPr>
          <w:rFonts w:ascii="Times New Roman" w:eastAsia="Times New Roman" w:hAnsi="Times New Roman" w:cs="Times New Roman"/>
          <w:lang w:val="en-GB" w:eastAsia="sv-SE"/>
        </w:rPr>
        <w:t xml:space="preserve"> 494 (1),</w:t>
      </w:r>
      <w:r w:rsidRPr="00D565A7">
        <w:rPr>
          <w:rFonts w:ascii="Times New Roman" w:eastAsia="Times New Roman" w:hAnsi="Times New Roman" w:cs="Times New Roman"/>
          <w:lang w:val="en-GB" w:eastAsia="sv-SE"/>
        </w:rPr>
        <w:t xml:space="preserve"> 111–30</w:t>
      </w:r>
    </w:p>
    <w:p w:rsidR="00D7700F" w:rsidRPr="00D565A7" w:rsidRDefault="00D7700F" w:rsidP="00D1248C">
      <w:pPr>
        <w:ind w:hanging="480"/>
        <w:rPr>
          <w:rFonts w:ascii="Times New Roman" w:hAnsi="Times New Roman" w:cs="Times New Roman"/>
          <w:lang w:val="en-GB"/>
        </w:rPr>
      </w:pPr>
      <w:r w:rsidRPr="00D565A7">
        <w:rPr>
          <w:rFonts w:ascii="Times New Roman" w:eastAsia="Times New Roman" w:hAnsi="Times New Roman" w:cs="Times New Roman"/>
          <w:lang w:val="en-GB" w:eastAsia="sv-SE"/>
        </w:rPr>
        <w:t>Bickerton, Christopher J.,</w:t>
      </w:r>
      <w:r w:rsidR="00D1248C" w:rsidRPr="00D565A7">
        <w:rPr>
          <w:rFonts w:ascii="Times New Roman" w:eastAsia="Times New Roman" w:hAnsi="Times New Roman" w:cs="Times New Roman"/>
          <w:lang w:val="en-GB" w:eastAsia="sv-SE"/>
        </w:rPr>
        <w:t xml:space="preserve"> Dermot Hodson, and Uwe Puetter</w:t>
      </w:r>
      <w:r w:rsidRPr="00D565A7">
        <w:rPr>
          <w:rFonts w:ascii="Times New Roman" w:eastAsia="Times New Roman" w:hAnsi="Times New Roman" w:cs="Times New Roman"/>
          <w:lang w:val="en-GB" w:eastAsia="sv-SE"/>
        </w:rPr>
        <w:t xml:space="preserve"> </w:t>
      </w:r>
      <w:r w:rsidR="00D1248C" w:rsidRPr="00F15905">
        <w:rPr>
          <w:rFonts w:ascii="Times New Roman" w:hAnsi="Times New Roman" w:cs="Times New Roman"/>
          <w:lang w:val="en-GB"/>
        </w:rPr>
        <w:t>(2015) “The New Intergovernmentalism: Euro</w:t>
      </w:r>
      <w:r w:rsidR="00D1248C" w:rsidRPr="00D565A7">
        <w:rPr>
          <w:rFonts w:ascii="Times New Roman" w:hAnsi="Times New Roman" w:cs="Times New Roman"/>
          <w:lang w:val="en-GB"/>
        </w:rPr>
        <w:t xml:space="preserve">pean Integration in the Post-Maastricht Era”, </w:t>
      </w:r>
      <w:r w:rsidR="00D1248C" w:rsidRPr="00D565A7">
        <w:rPr>
          <w:rFonts w:ascii="Times New Roman" w:hAnsi="Times New Roman" w:cs="Times New Roman"/>
          <w:i/>
          <w:lang w:val="en-GB"/>
        </w:rPr>
        <w:t>J</w:t>
      </w:r>
      <w:r w:rsidR="00D1248C" w:rsidRPr="00D565A7">
        <w:rPr>
          <w:rFonts w:ascii="Times New Roman" w:hAnsi="Times New Roman" w:cs="Times New Roman"/>
          <w:i/>
          <w:iCs/>
          <w:lang w:val="en-GB"/>
        </w:rPr>
        <w:t>ournal of Common Market Studies,</w:t>
      </w:r>
      <w:r w:rsidR="00D1248C" w:rsidRPr="00D565A7">
        <w:rPr>
          <w:rFonts w:ascii="Times New Roman" w:hAnsi="Times New Roman" w:cs="Times New Roman"/>
          <w:lang w:val="en-GB"/>
        </w:rPr>
        <w:t xml:space="preserve"> 53, 703–722. </w:t>
      </w:r>
    </w:p>
    <w:p w:rsidR="00D1248C" w:rsidRPr="00D565A7" w:rsidRDefault="00D1248C"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Blustein, Paul (2015)</w:t>
      </w:r>
      <w:r w:rsidR="00D7700F" w:rsidRPr="00D565A7">
        <w:rPr>
          <w:rFonts w:ascii="Times New Roman" w:eastAsia="Times New Roman" w:hAnsi="Times New Roman" w:cs="Times New Roman"/>
          <w:lang w:val="en-GB" w:eastAsia="sv-SE"/>
        </w:rPr>
        <w:t xml:space="preserve"> “Laid Low: The IMF, the Euro Zone and the First Rescue of Greece.” </w:t>
      </w:r>
      <w:r w:rsidR="00D7700F" w:rsidRPr="00D565A7">
        <w:rPr>
          <w:rFonts w:ascii="Times New Roman" w:eastAsia="Times New Roman" w:hAnsi="Times New Roman" w:cs="Times New Roman"/>
          <w:i/>
          <w:iCs/>
          <w:lang w:val="en-GB" w:eastAsia="sv-SE"/>
        </w:rPr>
        <w:t>CIGI Papers Series</w:t>
      </w:r>
      <w:r w:rsidRPr="00D565A7">
        <w:rPr>
          <w:rFonts w:ascii="Times New Roman" w:eastAsia="Times New Roman" w:hAnsi="Times New Roman" w:cs="Times New Roman"/>
          <w:lang w:val="en-GB" w:eastAsia="sv-SE"/>
        </w:rPr>
        <w:t>, no. 61.</w:t>
      </w:r>
    </w:p>
    <w:p w:rsidR="00D1248C" w:rsidRPr="00D565A7" w:rsidRDefault="00D1248C"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Blyth, Mark</w:t>
      </w:r>
      <w:r w:rsidR="00D7700F" w:rsidRPr="00F15905">
        <w:rPr>
          <w:rFonts w:ascii="Times New Roman" w:hAnsi="Times New Roman" w:cs="Times New Roman"/>
          <w:lang w:val="en-GB"/>
        </w:rPr>
        <w:t xml:space="preserve"> (2002), </w:t>
      </w:r>
      <w:r w:rsidR="00D7700F" w:rsidRPr="00F15905">
        <w:rPr>
          <w:rFonts w:ascii="Times New Roman" w:hAnsi="Times New Roman" w:cs="Times New Roman"/>
          <w:i/>
          <w:iCs/>
          <w:lang w:val="en-GB"/>
        </w:rPr>
        <w:t xml:space="preserve">Great transformations: economic ideas and institutional change in the twentieth century, </w:t>
      </w:r>
      <w:r w:rsidR="00D7700F" w:rsidRPr="00D565A7">
        <w:rPr>
          <w:rFonts w:ascii="Times New Roman" w:hAnsi="Times New Roman" w:cs="Times New Roman"/>
          <w:lang w:val="en-GB"/>
        </w:rPr>
        <w:t>(Cambridge: Cambridge University Press).</w:t>
      </w:r>
    </w:p>
    <w:p w:rsidR="00D1248C" w:rsidRPr="00D565A7" w:rsidRDefault="00D1248C"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Blyth, Mark</w:t>
      </w:r>
      <w:r w:rsidR="00D7700F" w:rsidRPr="00F15905">
        <w:rPr>
          <w:rFonts w:ascii="Times New Roman" w:hAnsi="Times New Roman" w:cs="Times New Roman"/>
          <w:lang w:val="en-GB"/>
        </w:rPr>
        <w:t xml:space="preserve"> (2013), </w:t>
      </w:r>
      <w:r w:rsidR="00D7700F" w:rsidRPr="00F15905">
        <w:rPr>
          <w:rFonts w:ascii="Times New Roman" w:hAnsi="Times New Roman" w:cs="Times New Roman"/>
          <w:i/>
          <w:iCs/>
          <w:lang w:val="en-GB"/>
        </w:rPr>
        <w:t>Austerity: the history of a dangerous idea,</w:t>
      </w:r>
      <w:r w:rsidR="00D7700F" w:rsidRPr="00F15905">
        <w:rPr>
          <w:rFonts w:ascii="Times New Roman" w:hAnsi="Times New Roman" w:cs="Times New Roman"/>
          <w:lang w:val="en-GB"/>
        </w:rPr>
        <w:t xml:space="preserve"> (Oxford: Oxford University Press).</w:t>
      </w:r>
    </w:p>
    <w:p w:rsidR="00D1248C" w:rsidRPr="00D565A7" w:rsidRDefault="00D1248C"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Borio, Claudio (2011)</w:t>
      </w:r>
      <w:r w:rsidR="00D7700F" w:rsidRPr="00D565A7">
        <w:rPr>
          <w:rFonts w:ascii="Times New Roman" w:eastAsia="Times New Roman" w:hAnsi="Times New Roman" w:cs="Times New Roman"/>
          <w:lang w:val="en-GB" w:eastAsia="sv-SE"/>
        </w:rPr>
        <w:t xml:space="preserve"> “Central Banking Post-Crisis: What Compass for Unchartered Waters?”</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BIS Working Paper</w:t>
      </w:r>
      <w:r w:rsidRPr="00D565A7">
        <w:rPr>
          <w:rFonts w:ascii="Times New Roman" w:eastAsia="Times New Roman" w:hAnsi="Times New Roman" w:cs="Times New Roman"/>
          <w:lang w:val="en-GB" w:eastAsia="sv-SE"/>
        </w:rPr>
        <w:t xml:space="preserve">, vol. 353., </w:t>
      </w:r>
      <w:hyperlink r:id="rId8" w:history="1">
        <w:r w:rsidR="00D7700F" w:rsidRPr="00D565A7">
          <w:rPr>
            <w:rFonts w:ascii="Times New Roman" w:eastAsia="Times New Roman" w:hAnsi="Times New Roman" w:cs="Times New Roman"/>
            <w:color w:val="0000FF"/>
            <w:u w:val="single"/>
            <w:lang w:val="en-GB" w:eastAsia="sv-SE"/>
          </w:rPr>
          <w:t>http://www.bankofengland.co.uk/research/Documents/ccbs/cbs_cew2011/paper_borio2.pdf</w:t>
        </w:r>
      </w:hyperlink>
      <w:r w:rsidR="00D7700F" w:rsidRPr="00D565A7">
        <w:rPr>
          <w:rFonts w:ascii="Times New Roman" w:eastAsia="Times New Roman" w:hAnsi="Times New Roman" w:cs="Times New Roman"/>
          <w:lang w:val="en-GB" w:eastAsia="sv-SE"/>
        </w:rPr>
        <w:t>.</w:t>
      </w:r>
    </w:p>
    <w:p w:rsidR="00D7700F" w:rsidRPr="00D565A7" w:rsidRDefault="00D1248C"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Braithwaite, Tom, (2014)</w:t>
      </w:r>
      <w:r w:rsidR="00D7700F" w:rsidRPr="00D565A7">
        <w:rPr>
          <w:rFonts w:ascii="Times New Roman" w:hAnsi="Times New Roman" w:cs="Times New Roman"/>
          <w:lang w:val="en-GB"/>
        </w:rPr>
        <w:t xml:space="preserve"> “Alternative stress tests find French banks are weakest in Europe”</w:t>
      </w:r>
      <w:r w:rsidR="00D7700F" w:rsidRPr="00D565A7">
        <w:rPr>
          <w:rFonts w:ascii="Times New Roman" w:hAnsi="Times New Roman" w:cs="Times New Roman"/>
          <w:i/>
          <w:iCs/>
          <w:lang w:val="en-GB"/>
        </w:rPr>
        <w:t>,</w:t>
      </w:r>
      <w:r w:rsidR="00D7700F" w:rsidRPr="00D565A7">
        <w:rPr>
          <w:rFonts w:ascii="Times New Roman" w:hAnsi="Times New Roman" w:cs="Times New Roman"/>
          <w:lang w:val="en-GB"/>
        </w:rPr>
        <w:t xml:space="preserve"> </w:t>
      </w:r>
      <w:r w:rsidR="00D7700F" w:rsidRPr="00D565A7">
        <w:rPr>
          <w:rFonts w:ascii="Times New Roman" w:hAnsi="Times New Roman" w:cs="Times New Roman"/>
          <w:i/>
          <w:iCs/>
          <w:lang w:val="en-GB"/>
        </w:rPr>
        <w:t>Financial Times</w:t>
      </w:r>
      <w:r w:rsidR="00D7700F" w:rsidRPr="00D565A7">
        <w:rPr>
          <w:rFonts w:ascii="Times New Roman" w:hAnsi="Times New Roman" w:cs="Times New Roman"/>
          <w:lang w:val="en-GB"/>
        </w:rPr>
        <w:t xml:space="preserve">, 27 October </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Braun, Benjamin, D</w:t>
      </w:r>
      <w:r w:rsidR="00487A91" w:rsidRPr="00D565A7">
        <w:rPr>
          <w:rFonts w:ascii="Times New Roman" w:eastAsia="Times New Roman" w:hAnsi="Times New Roman" w:cs="Times New Roman"/>
          <w:lang w:val="en-GB" w:eastAsia="sv-SE"/>
        </w:rPr>
        <w:t>aniela Gabor, and Marina Hübner</w:t>
      </w:r>
      <w:r w:rsidRPr="00D565A7">
        <w:rPr>
          <w:rFonts w:ascii="Times New Roman" w:eastAsia="Times New Roman" w:hAnsi="Times New Roman" w:cs="Times New Roman"/>
          <w:lang w:val="en-GB" w:eastAsia="sv-SE"/>
        </w:rPr>
        <w:t xml:space="preserve"> </w:t>
      </w:r>
      <w:r w:rsidR="00D1248C"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2018</w:t>
      </w:r>
      <w:r w:rsidR="00D1248C"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“Governing through Financial Markets: Towards a Critical Political Economy of Capital Markets Union.”</w:t>
      </w:r>
      <w:r w:rsidR="00D1248C"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Competition &amp; Change</w:t>
      </w:r>
      <w:r w:rsidR="00D1248C" w:rsidRPr="00D565A7">
        <w:rPr>
          <w:rFonts w:ascii="Times New Roman" w:eastAsia="Times New Roman" w:hAnsi="Times New Roman" w:cs="Times New Roman"/>
          <w:i/>
          <w:iCs/>
          <w:lang w:val="en-GB" w:eastAsia="sv-SE"/>
        </w:rPr>
        <w:t>,</w:t>
      </w:r>
      <w:r w:rsidR="00D1248C" w:rsidRPr="00D565A7">
        <w:rPr>
          <w:rFonts w:ascii="Times New Roman" w:eastAsia="Times New Roman" w:hAnsi="Times New Roman" w:cs="Times New Roman"/>
          <w:lang w:val="en-GB" w:eastAsia="sv-SE"/>
        </w:rPr>
        <w:t xml:space="preserve"> 22 (2), 101–16.</w:t>
      </w:r>
    </w:p>
    <w:p w:rsidR="00D7700F" w:rsidRPr="00D565A7" w:rsidRDefault="00D1248C"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Braun, Benjamin</w:t>
      </w:r>
      <w:r w:rsidR="00D7700F"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20</w:t>
      </w:r>
      <w:r w:rsidRPr="00D565A7">
        <w:rPr>
          <w:rFonts w:ascii="Times New Roman" w:eastAsia="Times New Roman" w:hAnsi="Times New Roman" w:cs="Times New Roman"/>
          <w:lang w:val="en-GB" w:eastAsia="sv-SE"/>
        </w:rPr>
        <w:t>18)</w:t>
      </w:r>
      <w:r w:rsidR="00D7700F" w:rsidRPr="00D565A7">
        <w:rPr>
          <w:rFonts w:ascii="Times New Roman" w:eastAsia="Times New Roman" w:hAnsi="Times New Roman" w:cs="Times New Roman"/>
          <w:lang w:val="en-GB" w:eastAsia="sv-SE"/>
        </w:rPr>
        <w:t xml:space="preserve"> “Central Banking and the Infrastructural Power of Finance: The Case of ECB Support for Repo and Securitization Markets.”</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Socio-Economic Review</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hyperlink r:id="rId9" w:history="1">
        <w:r w:rsidR="00D7700F" w:rsidRPr="00D565A7">
          <w:rPr>
            <w:rFonts w:ascii="Times New Roman" w:eastAsia="Times New Roman" w:hAnsi="Times New Roman" w:cs="Times New Roman"/>
            <w:color w:val="0000FF"/>
            <w:u w:val="single"/>
            <w:lang w:val="en-GB" w:eastAsia="sv-SE"/>
          </w:rPr>
          <w:t>https://doi.org/10.17605/OSF.IO/NRMT4</w:t>
        </w:r>
      </w:hyperlink>
      <w:r w:rsidR="00D7700F" w:rsidRPr="00D565A7">
        <w:rPr>
          <w:rFonts w:ascii="Times New Roman" w:eastAsia="Times New Roman" w:hAnsi="Times New Roman" w:cs="Times New Roman"/>
          <w:lang w:val="en-GB" w:eastAsia="sv-SE"/>
        </w:rPr>
        <w:t>.</w:t>
      </w:r>
    </w:p>
    <w:p w:rsidR="00D1248C"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Buiter, Willem, and Ebrahim Rahbari</w:t>
      </w:r>
      <w:r w:rsidR="00D1248C" w:rsidRPr="00D565A7">
        <w:rPr>
          <w:rFonts w:ascii="Times New Roman" w:eastAsia="Times New Roman" w:hAnsi="Times New Roman" w:cs="Times New Roman"/>
          <w:lang w:val="en-GB" w:eastAsia="sv-SE"/>
        </w:rPr>
        <w:t xml:space="preserve"> </w:t>
      </w:r>
      <w:r w:rsidR="00D1248C" w:rsidRPr="00F15905">
        <w:rPr>
          <w:rFonts w:ascii="Times New Roman" w:hAnsi="Times New Roman" w:cs="Times New Roman"/>
          <w:lang w:val="en-GB"/>
        </w:rPr>
        <w:t xml:space="preserve">(2012) “The European Central Bank as Lender of Last Resort for Sovereigns in the Eurozone”, </w:t>
      </w:r>
      <w:r w:rsidR="00D1248C" w:rsidRPr="00F15905">
        <w:rPr>
          <w:rFonts w:ascii="Times New Roman" w:hAnsi="Times New Roman" w:cs="Times New Roman"/>
          <w:i/>
          <w:iCs/>
          <w:lang w:val="en-GB"/>
        </w:rPr>
        <w:t>Journal of Common Market Studies,</w:t>
      </w:r>
      <w:r w:rsidR="00D1248C" w:rsidRPr="00F15905">
        <w:rPr>
          <w:rFonts w:ascii="Times New Roman" w:hAnsi="Times New Roman" w:cs="Times New Roman"/>
          <w:lang w:val="en-GB"/>
        </w:rPr>
        <w:t xml:space="preserve"> 50, 6–35</w:t>
      </w:r>
      <w:r w:rsidRPr="00D565A7">
        <w:rPr>
          <w:rFonts w:ascii="Times New Roman" w:eastAsia="Times New Roman" w:hAnsi="Times New Roman" w:cs="Times New Roman"/>
          <w:lang w:val="en-GB" w:eastAsia="sv-SE"/>
        </w:rPr>
        <w:t>.</w:t>
      </w:r>
    </w:p>
    <w:p w:rsidR="00D1248C" w:rsidRPr="00D565A7" w:rsidRDefault="00D7700F"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 xml:space="preserve">Bureau of </w:t>
      </w:r>
      <w:r w:rsidR="00487A91" w:rsidRPr="00F15905">
        <w:rPr>
          <w:rFonts w:ascii="Times New Roman" w:hAnsi="Times New Roman" w:cs="Times New Roman"/>
          <w:lang w:val="en-GB"/>
        </w:rPr>
        <w:t>International Settlements (BIS)</w:t>
      </w:r>
      <w:r w:rsidRPr="00F15905">
        <w:rPr>
          <w:rFonts w:ascii="Times New Roman" w:hAnsi="Times New Roman" w:cs="Times New Roman"/>
          <w:lang w:val="en-GB"/>
        </w:rPr>
        <w:t xml:space="preserve"> (2015), “International banking and financial market  developments”, </w:t>
      </w:r>
      <w:r w:rsidRPr="00D565A7">
        <w:rPr>
          <w:rFonts w:ascii="Times New Roman" w:hAnsi="Times New Roman" w:cs="Times New Roman"/>
          <w:i/>
          <w:iCs/>
          <w:lang w:val="en-GB"/>
        </w:rPr>
        <w:t>Quarterly Review</w:t>
      </w:r>
      <w:r w:rsidR="00D1248C" w:rsidRPr="00D565A7">
        <w:rPr>
          <w:rFonts w:ascii="Times New Roman" w:eastAsia="Times New Roman" w:hAnsi="Times New Roman" w:cs="Times New Roman"/>
          <w:lang w:val="en-GB" w:eastAsia="sv-SE"/>
        </w:rPr>
        <w:t>,</w:t>
      </w:r>
      <w:r w:rsidR="00487A91" w:rsidRPr="00D565A7">
        <w:rPr>
          <w:rFonts w:ascii="Times New Roman" w:eastAsia="Times New Roman" w:hAnsi="Times New Roman" w:cs="Times New Roman"/>
          <w:lang w:val="en-GB" w:eastAsia="sv-SE"/>
        </w:rPr>
        <w:t xml:space="preserve"> March</w:t>
      </w:r>
      <w:r w:rsidR="00D1248C" w:rsidRPr="00D565A7">
        <w:rPr>
          <w:rFonts w:ascii="Times New Roman" w:eastAsia="Times New Roman" w:hAnsi="Times New Roman" w:cs="Times New Roman"/>
          <w:lang w:val="en-GB" w:eastAsia="sv-SE"/>
        </w:rPr>
        <w:t xml:space="preserve"> </w:t>
      </w:r>
    </w:p>
    <w:p w:rsidR="00EF4184"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Collignon,</w:t>
      </w:r>
      <w:r w:rsidR="00D1248C" w:rsidRPr="00D565A7">
        <w:rPr>
          <w:rFonts w:ascii="Times New Roman" w:eastAsia="Times New Roman" w:hAnsi="Times New Roman" w:cs="Times New Roman"/>
          <w:lang w:val="en-GB" w:eastAsia="sv-SE"/>
        </w:rPr>
        <w:t xml:space="preserve"> Stefan, and Sebastian Diessner</w:t>
      </w:r>
      <w:r w:rsidRPr="00D565A7">
        <w:rPr>
          <w:rFonts w:ascii="Times New Roman" w:eastAsia="Times New Roman" w:hAnsi="Times New Roman" w:cs="Times New Roman"/>
          <w:lang w:val="en-GB" w:eastAsia="sv-SE"/>
        </w:rPr>
        <w:t xml:space="preserve"> </w:t>
      </w:r>
      <w:r w:rsidR="00D1248C" w:rsidRPr="00F15905">
        <w:rPr>
          <w:rFonts w:ascii="Times New Roman" w:eastAsia="Times New Roman" w:hAnsi="Times New Roman" w:cs="Times New Roman"/>
          <w:color w:val="auto"/>
          <w:lang w:val="en-GB" w:eastAsia="en-GB" w:bidi="ar-SA"/>
        </w:rPr>
        <w:t>(2016), “The ECB's Monetary Dialogue with the European Parliament: Efficiency and Accountability during the Euro Crisis?”,</w:t>
      </w:r>
      <w:r w:rsidR="00D1248C" w:rsidRPr="00D565A7">
        <w:rPr>
          <w:rFonts w:ascii="Times New Roman" w:eastAsia="Times New Roman" w:hAnsi="Times New Roman" w:cs="Times New Roman"/>
          <w:color w:val="auto"/>
          <w:lang w:val="en-GB" w:eastAsia="en-GB" w:bidi="ar-SA"/>
        </w:rPr>
        <w:t xml:space="preserve"> </w:t>
      </w:r>
      <w:r w:rsidR="00D1248C" w:rsidRPr="00D565A7">
        <w:rPr>
          <w:rFonts w:ascii="Times New Roman" w:eastAsia="Times New Roman" w:hAnsi="Times New Roman" w:cs="Times New Roman"/>
          <w:i/>
          <w:iCs/>
          <w:color w:val="auto"/>
          <w:lang w:val="en-GB" w:eastAsia="en-GB" w:bidi="ar-SA"/>
        </w:rPr>
        <w:t>Journal of Common Market Studies</w:t>
      </w:r>
      <w:r w:rsidR="00D1248C" w:rsidRPr="00D565A7">
        <w:rPr>
          <w:rFonts w:ascii="Times New Roman" w:eastAsia="Times New Roman" w:hAnsi="Times New Roman" w:cs="Times New Roman"/>
          <w:color w:val="auto"/>
          <w:lang w:val="en-GB" w:eastAsia="en-GB" w:bidi="ar-SA"/>
        </w:rPr>
        <w:t xml:space="preserve">, </w:t>
      </w:r>
      <w:r w:rsidR="00D1248C" w:rsidRPr="00D565A7">
        <w:rPr>
          <w:rFonts w:ascii="Times New Roman" w:eastAsia="Times New Roman" w:hAnsi="Times New Roman" w:cs="Times New Roman"/>
          <w:iCs/>
          <w:color w:val="auto"/>
          <w:lang w:val="en-GB" w:eastAsia="en-GB" w:bidi="ar-SA"/>
        </w:rPr>
        <w:t>54</w:t>
      </w:r>
      <w:r w:rsidR="00D1248C" w:rsidRPr="00D565A7">
        <w:rPr>
          <w:rFonts w:ascii="Times New Roman" w:eastAsia="Times New Roman" w:hAnsi="Times New Roman" w:cs="Times New Roman"/>
          <w:color w:val="auto"/>
          <w:lang w:val="en-GB" w:eastAsia="en-GB" w:bidi="ar-SA"/>
        </w:rPr>
        <w:t>(6), 1296-1312.</w:t>
      </w:r>
    </w:p>
    <w:p w:rsidR="00EF4184" w:rsidRPr="00D565A7" w:rsidRDefault="00D7700F" w:rsidP="00EF4184">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Cour-Thimann, Philipp</w:t>
      </w:r>
      <w:r w:rsidR="00487A91" w:rsidRPr="00D565A7">
        <w:rPr>
          <w:rFonts w:ascii="Times New Roman" w:eastAsia="Times New Roman" w:hAnsi="Times New Roman" w:cs="Times New Roman"/>
          <w:lang w:val="en-GB" w:eastAsia="sv-SE"/>
        </w:rPr>
        <w:t>ine</w:t>
      </w:r>
      <w:r w:rsidRPr="00D565A7">
        <w:rPr>
          <w:rFonts w:ascii="Times New Roman" w:eastAsia="Times New Roman" w:hAnsi="Times New Roman" w:cs="Times New Roman"/>
          <w:lang w:val="en-GB" w:eastAsia="sv-SE"/>
        </w:rPr>
        <w:t xml:space="preserve"> </w:t>
      </w:r>
      <w:r w:rsidR="00EF4184" w:rsidRPr="00F15905">
        <w:rPr>
          <w:rFonts w:ascii="Times New Roman" w:hAnsi="Times New Roman" w:cs="Times New Roman"/>
          <w:lang w:val="en-GB"/>
        </w:rPr>
        <w:t xml:space="preserve">(2013), “Monetary policy and redistribution: information from central bank balance sheets in the Euro area and the US”, </w:t>
      </w:r>
      <w:r w:rsidR="00EF4184" w:rsidRPr="00D565A7">
        <w:rPr>
          <w:rFonts w:ascii="Times New Roman" w:hAnsi="Times New Roman" w:cs="Times New Roman"/>
          <w:i/>
          <w:iCs/>
          <w:lang w:val="en-GB"/>
        </w:rPr>
        <w:t>Review of Economics,</w:t>
      </w:r>
      <w:r w:rsidR="00EF4184" w:rsidRPr="00D565A7">
        <w:rPr>
          <w:rFonts w:ascii="Times New Roman" w:hAnsi="Times New Roman" w:cs="Times New Roman"/>
          <w:lang w:val="en-GB"/>
        </w:rPr>
        <w:t xml:space="preserve"> 64, 293–324.</w:t>
      </w:r>
    </w:p>
    <w:p w:rsidR="00D7700F" w:rsidRPr="00D565A7" w:rsidRDefault="00EF4184" w:rsidP="00EF4184">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Crouch, Colin</w:t>
      </w:r>
      <w:r w:rsidR="00D7700F" w:rsidRPr="00D565A7">
        <w:rPr>
          <w:rFonts w:ascii="Times New Roman" w:eastAsia="Times New Roman" w:hAnsi="Times New Roman" w:cs="Times New Roman"/>
          <w:lang w:val="en-GB" w:eastAsia="sv-SE"/>
        </w:rPr>
        <w:t xml:space="preserve"> </w:t>
      </w:r>
      <w:r w:rsidRPr="00F15905">
        <w:rPr>
          <w:rFonts w:ascii="Times New Roman" w:hAnsi="Times New Roman" w:cs="Times New Roman"/>
          <w:lang w:val="en-GB"/>
        </w:rPr>
        <w:t xml:space="preserve">(2004) </w:t>
      </w:r>
      <w:r w:rsidRPr="00F15905">
        <w:rPr>
          <w:rFonts w:ascii="Times New Roman" w:hAnsi="Times New Roman" w:cs="Times New Roman"/>
          <w:i/>
          <w:iCs/>
          <w:lang w:val="en-GB"/>
        </w:rPr>
        <w:t>Post-democracy,</w:t>
      </w:r>
      <w:r w:rsidRPr="00F15905">
        <w:rPr>
          <w:rFonts w:ascii="Times New Roman" w:hAnsi="Times New Roman" w:cs="Times New Roman"/>
          <w:lang w:val="en-GB"/>
        </w:rPr>
        <w:t xml:space="preserve"> (Cambridge: Polity).</w:t>
      </w:r>
    </w:p>
    <w:p w:rsidR="00EF4184"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Dietsch, Peter, Franç</w:t>
      </w:r>
      <w:r w:rsidR="00EF4184" w:rsidRPr="00D565A7">
        <w:rPr>
          <w:rFonts w:ascii="Times New Roman" w:eastAsia="Times New Roman" w:hAnsi="Times New Roman" w:cs="Times New Roman"/>
          <w:lang w:val="en-GB" w:eastAsia="sv-SE"/>
        </w:rPr>
        <w:t>ois Claveau, and Clément Fontan</w:t>
      </w:r>
      <w:r w:rsidRPr="00D565A7">
        <w:rPr>
          <w:rFonts w:ascii="Times New Roman" w:eastAsia="Times New Roman" w:hAnsi="Times New Roman" w:cs="Times New Roman"/>
          <w:lang w:val="en-GB" w:eastAsia="sv-SE"/>
        </w:rPr>
        <w:t xml:space="preserve"> </w:t>
      </w:r>
      <w:r w:rsidR="00EF4184" w:rsidRPr="00D565A7">
        <w:rPr>
          <w:rFonts w:ascii="Times New Roman" w:eastAsia="Times New Roman" w:hAnsi="Times New Roman" w:cs="Times New Roman"/>
          <w:lang w:val="en-GB" w:eastAsia="sv-SE"/>
        </w:rPr>
        <w:t>(2018)</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Do Central Banks Serve The People?</w:t>
      </w:r>
      <w:r w:rsidR="00EF4184" w:rsidRPr="00D565A7">
        <w:rPr>
          <w:rFonts w:ascii="Times New Roman" w:eastAsia="Times New Roman" w:hAnsi="Times New Roman" w:cs="Times New Roman"/>
          <w:i/>
          <w:iCs/>
          <w:lang w:val="en-GB" w:eastAsia="sv-SE"/>
        </w:rPr>
        <w:t>,</w:t>
      </w:r>
      <w:r w:rsidRPr="00D565A7">
        <w:rPr>
          <w:rFonts w:ascii="Times New Roman" w:eastAsia="Times New Roman" w:hAnsi="Times New Roman" w:cs="Times New Roman"/>
          <w:lang w:val="en-GB" w:eastAsia="sv-SE"/>
        </w:rPr>
        <w:t xml:space="preserve"> </w:t>
      </w:r>
      <w:r w:rsidR="00EF4184"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Cambrige: Polity</w:t>
      </w:r>
      <w:r w:rsidR="00EF4184" w:rsidRPr="00D565A7">
        <w:rPr>
          <w:rFonts w:ascii="Times New Roman" w:eastAsia="Times New Roman" w:hAnsi="Times New Roman" w:cs="Times New Roman"/>
          <w:lang w:val="en-GB" w:eastAsia="sv-SE"/>
        </w:rPr>
        <w:t>).</w:t>
      </w:r>
    </w:p>
    <w:p w:rsidR="00D7700F" w:rsidRPr="00D565A7" w:rsidRDefault="00EF4184"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Dinmore, Guy</w:t>
      </w:r>
      <w:r w:rsidR="00D7700F" w:rsidRPr="00D565A7">
        <w:rPr>
          <w:rFonts w:ascii="Times New Roman" w:hAnsi="Times New Roman" w:cs="Times New Roman"/>
          <w:lang w:val="en-GB"/>
        </w:rPr>
        <w:t xml:space="preserve"> and </w:t>
      </w:r>
      <w:r w:rsidRPr="00D565A7">
        <w:rPr>
          <w:rFonts w:ascii="Times New Roman" w:hAnsi="Times New Roman" w:cs="Times New Roman"/>
          <w:lang w:val="en-GB"/>
        </w:rPr>
        <w:t>Ralph Atkins (2011)</w:t>
      </w:r>
      <w:r w:rsidR="00D7700F" w:rsidRPr="00D565A7">
        <w:rPr>
          <w:rFonts w:ascii="Times New Roman" w:hAnsi="Times New Roman" w:cs="Times New Roman"/>
          <w:lang w:val="en-GB"/>
        </w:rPr>
        <w:t xml:space="preserve"> “ECB letter shows pressure on Berlusconi”, </w:t>
      </w:r>
      <w:r w:rsidR="00D7700F" w:rsidRPr="00D565A7">
        <w:rPr>
          <w:rFonts w:ascii="Times New Roman" w:hAnsi="Times New Roman" w:cs="Times New Roman"/>
          <w:i/>
          <w:lang w:val="en-GB"/>
        </w:rPr>
        <w:t xml:space="preserve">Financial </w:t>
      </w:r>
      <w:r w:rsidR="00D7700F" w:rsidRPr="00D565A7">
        <w:rPr>
          <w:rFonts w:ascii="Times New Roman" w:hAnsi="Times New Roman" w:cs="Times New Roman"/>
          <w:i/>
          <w:lang w:val="en-GB"/>
        </w:rPr>
        <w:lastRenderedPageBreak/>
        <w:t>Times</w:t>
      </w:r>
      <w:r w:rsidR="00D7700F" w:rsidRPr="00F15905">
        <w:rPr>
          <w:rFonts w:ascii="Times New Roman" w:hAnsi="Times New Roman" w:cs="Times New Roman"/>
          <w:lang w:val="en-GB"/>
        </w:rPr>
        <w:t>, 11 September.</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Dinmore, Guy. </w:t>
      </w:r>
      <w:r w:rsidR="00EF4184" w:rsidRPr="00F15905">
        <w:rPr>
          <w:rFonts w:ascii="Times New Roman" w:hAnsi="Times New Roman" w:cs="Times New Roman"/>
          <w:lang w:val="en-GB"/>
        </w:rPr>
        <w:t>(2011) “Berlusconi fights</w:t>
      </w:r>
      <w:r w:rsidR="00EF4184" w:rsidRPr="00D565A7">
        <w:rPr>
          <w:rFonts w:ascii="Times New Roman" w:hAnsi="Times New Roman" w:cs="Times New Roman"/>
          <w:lang w:val="en-GB"/>
        </w:rPr>
        <w:t xml:space="preserve"> to the end as debt costs soar”, </w:t>
      </w:r>
      <w:r w:rsidR="00EF4184" w:rsidRPr="00D565A7">
        <w:rPr>
          <w:rFonts w:ascii="Times New Roman" w:hAnsi="Times New Roman" w:cs="Times New Roman"/>
          <w:i/>
          <w:lang w:val="en-GB"/>
        </w:rPr>
        <w:t>Financial Times</w:t>
      </w:r>
      <w:r w:rsidR="00EF4184" w:rsidRPr="00D565A7">
        <w:rPr>
          <w:rFonts w:ascii="Times New Roman" w:hAnsi="Times New Roman" w:cs="Times New Roman"/>
          <w:lang w:val="en-GB"/>
        </w:rPr>
        <w:t>, 7 November</w:t>
      </w:r>
    </w:p>
    <w:p w:rsidR="00EF4184" w:rsidRPr="00D565A7" w:rsidRDefault="00EF4184"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Dobry, Michel (1992)</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Sociologie Des Crises Politiques</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Paris: Presses de </w:t>
      </w:r>
      <w:r w:rsidRPr="00D565A7">
        <w:rPr>
          <w:rFonts w:ascii="Times New Roman" w:eastAsia="Times New Roman" w:hAnsi="Times New Roman" w:cs="Times New Roman"/>
          <w:lang w:val="en-GB" w:eastAsia="sv-SE"/>
        </w:rPr>
        <w:t>Sciences-Po)</w:t>
      </w:r>
    </w:p>
    <w:p w:rsidR="00EF4184"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Domanski, Dietrich, M</w:t>
      </w:r>
      <w:r w:rsidR="00EF4184" w:rsidRPr="00D565A7">
        <w:rPr>
          <w:rFonts w:ascii="Times New Roman" w:eastAsia="Times New Roman" w:hAnsi="Times New Roman" w:cs="Times New Roman"/>
          <w:lang w:val="en-GB" w:eastAsia="sv-SE"/>
        </w:rPr>
        <w:t>ichela Scatigna, and Anna Zabai</w:t>
      </w:r>
      <w:r w:rsidRPr="00D565A7">
        <w:rPr>
          <w:rFonts w:ascii="Times New Roman" w:eastAsia="Times New Roman" w:hAnsi="Times New Roman" w:cs="Times New Roman"/>
          <w:lang w:val="en-GB" w:eastAsia="sv-SE"/>
        </w:rPr>
        <w:t xml:space="preserve"> </w:t>
      </w:r>
      <w:r w:rsidR="00EF4184" w:rsidRPr="00D565A7">
        <w:rPr>
          <w:rFonts w:ascii="Times New Roman" w:eastAsia="Times New Roman" w:hAnsi="Times New Roman" w:cs="Times New Roman"/>
          <w:lang w:val="en-GB" w:eastAsia="fr-CA" w:bidi="ar-SA"/>
        </w:rPr>
        <w:t xml:space="preserve">(2016) “Wealth inequality and monetary policy”, </w:t>
      </w:r>
      <w:r w:rsidR="00EF4184" w:rsidRPr="00D565A7">
        <w:rPr>
          <w:rFonts w:ascii="Times New Roman" w:eastAsia="Times New Roman" w:hAnsi="Times New Roman" w:cs="Times New Roman"/>
          <w:i/>
          <w:iCs/>
          <w:lang w:val="en-GB" w:eastAsia="fr-CA" w:bidi="ar-SA"/>
        </w:rPr>
        <w:t xml:space="preserve">BIS Quarterly Review, </w:t>
      </w:r>
      <w:r w:rsidR="00EF4184" w:rsidRPr="00D565A7">
        <w:rPr>
          <w:rFonts w:ascii="Times New Roman" w:eastAsia="Times New Roman" w:hAnsi="Times New Roman" w:cs="Times New Roman"/>
          <w:iCs/>
          <w:lang w:val="en-GB" w:eastAsia="fr-CA" w:bidi="ar-SA"/>
        </w:rPr>
        <w:t>March</w:t>
      </w:r>
      <w:r w:rsidR="00EF4184" w:rsidRPr="00D565A7">
        <w:rPr>
          <w:rFonts w:ascii="Times New Roman" w:eastAsia="Times New Roman" w:hAnsi="Times New Roman" w:cs="Times New Roman"/>
          <w:lang w:val="en-GB" w:eastAsia="fr-CA" w:bidi="ar-SA"/>
        </w:rPr>
        <w:t>.</w:t>
      </w:r>
    </w:p>
    <w:p w:rsidR="00D7700F" w:rsidRPr="00D565A7" w:rsidRDefault="00EF4184" w:rsidP="00EF4184">
      <w:pPr>
        <w:ind w:hanging="480"/>
        <w:rPr>
          <w:rFonts w:ascii="Times New Roman" w:hAnsi="Times New Roman" w:cs="Times New Roman"/>
          <w:lang w:val="en-GB"/>
        </w:rPr>
      </w:pPr>
      <w:r w:rsidRPr="00D565A7">
        <w:rPr>
          <w:rFonts w:ascii="Times New Roman" w:hAnsi="Times New Roman" w:cs="Times New Roman"/>
          <w:lang w:val="en-GB"/>
        </w:rPr>
        <w:t>Dyson, Kenneth and Kevin Featherstone (1999)</w:t>
      </w:r>
      <w:r w:rsidR="00D7700F" w:rsidRPr="00D565A7">
        <w:rPr>
          <w:rFonts w:ascii="Times New Roman" w:hAnsi="Times New Roman" w:cs="Times New Roman"/>
          <w:lang w:val="en-GB"/>
        </w:rPr>
        <w:t xml:space="preserve"> </w:t>
      </w:r>
      <w:r w:rsidR="00D7700F" w:rsidRPr="00D565A7">
        <w:rPr>
          <w:rFonts w:ascii="Times New Roman" w:hAnsi="Times New Roman" w:cs="Times New Roman"/>
          <w:i/>
          <w:iCs/>
          <w:lang w:val="en-GB"/>
        </w:rPr>
        <w:t>The road to Maastricht: negotiating Economic and Monetary Union,</w:t>
      </w:r>
      <w:r w:rsidR="00D7700F" w:rsidRPr="00D565A7">
        <w:rPr>
          <w:rFonts w:ascii="Times New Roman" w:hAnsi="Times New Roman" w:cs="Times New Roman"/>
          <w:lang w:val="en-GB"/>
        </w:rPr>
        <w:t xml:space="preserve"> (Oxford: Oxford University Press).</w:t>
      </w:r>
    </w:p>
    <w:p w:rsidR="00FF581B"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Dyson, Kenneth </w:t>
      </w:r>
      <w:r w:rsidR="00EF4184"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2009</w:t>
      </w:r>
      <w:r w:rsidR="00EF4184"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“The Age of the Euro: A Structural Break? Europeanization, Convergence, and Power in Central Banking.” In </w:t>
      </w:r>
      <w:r w:rsidR="00EF4184" w:rsidRPr="00D565A7">
        <w:rPr>
          <w:rFonts w:ascii="Times New Roman" w:eastAsia="Times New Roman" w:hAnsi="Times New Roman" w:cs="Times New Roman"/>
          <w:lang w:val="en-GB" w:eastAsia="sv-SE"/>
        </w:rPr>
        <w:t>Martin Marcussen and Kenneth Dyson (eds)</w:t>
      </w:r>
      <w:r w:rsidR="00EF4184" w:rsidRPr="00D565A7">
        <w:rPr>
          <w:rFonts w:ascii="Times New Roman" w:eastAsia="Times New Roman" w:hAnsi="Times New Roman" w:cs="Times New Roman"/>
          <w:i/>
          <w:iCs/>
          <w:lang w:val="en-GB" w:eastAsia="sv-SE"/>
        </w:rPr>
        <w:t xml:space="preserve"> </w:t>
      </w:r>
      <w:r w:rsidRPr="00D565A7">
        <w:rPr>
          <w:rFonts w:ascii="Times New Roman" w:eastAsia="Times New Roman" w:hAnsi="Times New Roman" w:cs="Times New Roman"/>
          <w:i/>
          <w:iCs/>
          <w:lang w:val="en-GB" w:eastAsia="sv-SE"/>
        </w:rPr>
        <w:t>Central Banks in the Age of the Euro : Europeanization, Convergence and Power</w:t>
      </w:r>
      <w:r w:rsidRPr="00D565A7">
        <w:rPr>
          <w:rFonts w:ascii="Times New Roman" w:eastAsia="Times New Roman" w:hAnsi="Times New Roman" w:cs="Times New Roman"/>
          <w:lang w:val="en-GB" w:eastAsia="sv-SE"/>
        </w:rPr>
        <w:t xml:space="preserve">, </w:t>
      </w:r>
      <w:r w:rsidR="00EF4184" w:rsidRPr="00D565A7">
        <w:rPr>
          <w:rFonts w:ascii="Times New Roman" w:eastAsia="Times New Roman" w:hAnsi="Times New Roman" w:cs="Times New Roman"/>
          <w:lang w:val="en-GB" w:eastAsia="sv-SE"/>
        </w:rPr>
        <w:t>(Oxford: Oxford University Press)</w:t>
      </w:r>
      <w:r w:rsidR="00FF581B" w:rsidRPr="00D565A7">
        <w:rPr>
          <w:rFonts w:ascii="Times New Roman" w:eastAsia="Times New Roman" w:hAnsi="Times New Roman" w:cs="Times New Roman"/>
          <w:lang w:val="en-GB" w:eastAsia="sv-SE"/>
        </w:rPr>
        <w:t>, 2-50.</w:t>
      </w:r>
    </w:p>
    <w:p w:rsidR="00FF581B" w:rsidRPr="00D565A7" w:rsidRDefault="00D7700F" w:rsidP="00D565A7">
      <w:pPr>
        <w:ind w:hanging="480"/>
        <w:rPr>
          <w:rFonts w:ascii="Times New Roman" w:hAnsi="Times New Roman" w:cs="Times New Roman"/>
          <w:lang w:val="en-GB"/>
        </w:rPr>
      </w:pPr>
      <w:r w:rsidRPr="00D565A7">
        <w:rPr>
          <w:rFonts w:ascii="Times New Roman" w:hAnsi="Times New Roman" w:cs="Times New Roman"/>
          <w:lang w:val="en-GB"/>
        </w:rPr>
        <w:t>ECB (2002) ‘Main Features of th</w:t>
      </w:r>
      <w:r w:rsidR="00FF581B" w:rsidRPr="00D565A7">
        <w:rPr>
          <w:rFonts w:ascii="Times New Roman" w:hAnsi="Times New Roman" w:cs="Times New Roman"/>
          <w:lang w:val="en-GB"/>
        </w:rPr>
        <w:t>e Repo Market in the Euro Area’,</w:t>
      </w:r>
      <w:r w:rsidRPr="00D565A7">
        <w:rPr>
          <w:rFonts w:ascii="Times New Roman" w:hAnsi="Times New Roman" w:cs="Times New Roman"/>
          <w:lang w:val="en-GB"/>
        </w:rPr>
        <w:t xml:space="preserve"> </w:t>
      </w:r>
      <w:r w:rsidRPr="00D565A7">
        <w:rPr>
          <w:rFonts w:ascii="Times New Roman" w:hAnsi="Times New Roman" w:cs="Times New Roman"/>
          <w:i/>
          <w:lang w:val="en-GB"/>
        </w:rPr>
        <w:t>Monthly Bulletin</w:t>
      </w:r>
      <w:r w:rsidRPr="00D565A7">
        <w:rPr>
          <w:rFonts w:ascii="Times New Roman" w:hAnsi="Times New Roman" w:cs="Times New Roman"/>
          <w:lang w:val="en-GB"/>
        </w:rPr>
        <w:t>, October, 45–67</w:t>
      </w:r>
    </w:p>
    <w:p w:rsidR="00FF581B" w:rsidRPr="00D565A7" w:rsidRDefault="00FF581B" w:rsidP="00D565A7">
      <w:pPr>
        <w:ind w:hanging="480"/>
        <w:rPr>
          <w:rFonts w:ascii="Times New Roman" w:hAnsi="Times New Roman" w:cs="Times New Roman"/>
          <w:lang w:val="en-GB"/>
        </w:rPr>
      </w:pPr>
      <w:r w:rsidRPr="00D565A7">
        <w:rPr>
          <w:rFonts w:ascii="Times New Roman" w:hAnsi="Times New Roman" w:cs="Times New Roman"/>
          <w:lang w:val="en-GB"/>
        </w:rPr>
        <w:t>Engelen, Ewald</w:t>
      </w:r>
      <w:r w:rsidR="00D7700F" w:rsidRPr="00D565A7">
        <w:rPr>
          <w:rFonts w:ascii="Times New Roman" w:hAnsi="Times New Roman" w:cs="Times New Roman"/>
          <w:lang w:val="en-GB"/>
        </w:rPr>
        <w:t xml:space="preserve">, </w:t>
      </w:r>
      <w:r w:rsidR="00D7700F" w:rsidRPr="00D565A7">
        <w:rPr>
          <w:rFonts w:ascii="Times New Roman" w:hAnsi="Times New Roman" w:cs="Times New Roman"/>
          <w:i/>
          <w:iCs/>
          <w:lang w:val="en-GB"/>
        </w:rPr>
        <w:t>et al.</w:t>
      </w:r>
      <w:r w:rsidRPr="00D565A7">
        <w:rPr>
          <w:rFonts w:ascii="Times New Roman" w:hAnsi="Times New Roman" w:cs="Times New Roman"/>
          <w:lang w:val="en-GB"/>
        </w:rPr>
        <w:t xml:space="preserve"> (2011)</w:t>
      </w:r>
      <w:r w:rsidR="00D7700F" w:rsidRPr="00D565A7">
        <w:rPr>
          <w:rFonts w:ascii="Times New Roman" w:hAnsi="Times New Roman" w:cs="Times New Roman"/>
          <w:lang w:val="en-GB"/>
        </w:rPr>
        <w:t xml:space="preserve"> </w:t>
      </w:r>
      <w:r w:rsidR="00D7700F" w:rsidRPr="00D565A7">
        <w:rPr>
          <w:rFonts w:ascii="Times New Roman" w:hAnsi="Times New Roman" w:cs="Times New Roman"/>
          <w:i/>
          <w:iCs/>
          <w:lang w:val="en-GB"/>
        </w:rPr>
        <w:t>After the great complacence: Financial crisis and the politics of reform</w:t>
      </w:r>
      <w:r w:rsidRPr="00D565A7">
        <w:rPr>
          <w:rFonts w:ascii="Times New Roman" w:hAnsi="Times New Roman" w:cs="Times New Roman"/>
          <w:lang w:val="en-GB"/>
        </w:rPr>
        <w:t>,</w:t>
      </w:r>
      <w:r w:rsidR="00D7700F" w:rsidRPr="00D565A7">
        <w:rPr>
          <w:rFonts w:ascii="Times New Roman" w:hAnsi="Times New Roman" w:cs="Times New Roman"/>
          <w:lang w:val="en-GB"/>
        </w:rPr>
        <w:t xml:space="preserve"> (Oxford: Oxford University Press). </w:t>
      </w:r>
    </w:p>
    <w:p w:rsidR="00FF581B" w:rsidRPr="00D565A7" w:rsidRDefault="00FF581B" w:rsidP="00FF581B">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Ertürk, Ismail</w:t>
      </w:r>
      <w:r w:rsidR="00D7700F" w:rsidRPr="00D565A7">
        <w:rPr>
          <w:rFonts w:ascii="Times New Roman" w:eastAsia="Times New Roman" w:hAnsi="Times New Roman" w:cs="Times New Roman"/>
          <w:lang w:val="en-GB" w:eastAsia="sv-SE"/>
        </w:rPr>
        <w:t xml:space="preserve"> </w:t>
      </w:r>
      <w:r w:rsidRPr="00D565A7">
        <w:rPr>
          <w:rFonts w:ascii="Times New Roman" w:hAnsi="Times New Roman" w:cs="Times New Roman"/>
          <w:lang w:val="en-GB"/>
        </w:rPr>
        <w:t>(2014) “Reconceptualizin</w:t>
      </w:r>
      <w:r w:rsidRPr="00F15905">
        <w:rPr>
          <w:rFonts w:ascii="Times New Roman" w:hAnsi="Times New Roman" w:cs="Times New Roman"/>
          <w:lang w:val="en-GB"/>
        </w:rPr>
        <w:t xml:space="preserve">g Central Bank Unconventional Policies: Long Positions on No-Growth Capitalism.” In Goodhart Charles </w:t>
      </w:r>
      <w:r w:rsidRPr="00D565A7">
        <w:rPr>
          <w:rFonts w:ascii="Times New Roman" w:hAnsi="Times New Roman" w:cs="Times New Roman"/>
          <w:i/>
          <w:lang w:val="en-GB"/>
        </w:rPr>
        <w:t>et al</w:t>
      </w:r>
      <w:r w:rsidRPr="00F15905">
        <w:rPr>
          <w:rFonts w:ascii="Times New Roman" w:hAnsi="Times New Roman" w:cs="Times New Roman"/>
          <w:lang w:val="en-GB"/>
        </w:rPr>
        <w:t xml:space="preserve">. (eds), </w:t>
      </w:r>
      <w:r w:rsidRPr="00F15905">
        <w:rPr>
          <w:rFonts w:ascii="Times New Roman" w:hAnsi="Times New Roman" w:cs="Times New Roman"/>
          <w:i/>
          <w:lang w:val="en-GB"/>
        </w:rPr>
        <w:t>Central Banking at a Crossroads: Europe and Beyond</w:t>
      </w:r>
      <w:r w:rsidRPr="00D565A7">
        <w:rPr>
          <w:rFonts w:ascii="Times New Roman" w:hAnsi="Times New Roman" w:cs="Times New Roman"/>
          <w:lang w:val="en-GB"/>
        </w:rPr>
        <w:t xml:space="preserve"> (London: Anthem Press), 217–28.</w:t>
      </w:r>
    </w:p>
    <w:p w:rsidR="00D7700F" w:rsidRPr="00D565A7" w:rsidRDefault="00D7700F" w:rsidP="00FF581B">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Fontan, Clément, Fran</w:t>
      </w:r>
      <w:r w:rsidR="00FF581B" w:rsidRPr="00D565A7">
        <w:rPr>
          <w:rFonts w:ascii="Times New Roman" w:eastAsia="Times New Roman" w:hAnsi="Times New Roman" w:cs="Times New Roman"/>
          <w:lang w:val="en-GB" w:eastAsia="sv-SE"/>
        </w:rPr>
        <w:t>çois Claveau, and Peter Dietsch (2016)</w:t>
      </w:r>
      <w:r w:rsidRPr="00D565A7">
        <w:rPr>
          <w:rFonts w:ascii="Times New Roman" w:eastAsia="Times New Roman" w:hAnsi="Times New Roman" w:cs="Times New Roman"/>
          <w:lang w:val="en-GB" w:eastAsia="sv-SE"/>
        </w:rPr>
        <w:t xml:space="preserve"> “Central Banking and Inequalities: Taking off the Blinders.”</w:t>
      </w:r>
      <w:r w:rsidR="00FF581B"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Politics, Philosophy &amp; Economics</w:t>
      </w:r>
      <w:r w:rsidR="00FF581B" w:rsidRPr="00D565A7">
        <w:rPr>
          <w:rFonts w:ascii="Times New Roman" w:eastAsia="Times New Roman" w:hAnsi="Times New Roman" w:cs="Times New Roman"/>
          <w:i/>
          <w:iCs/>
          <w:lang w:val="en-GB" w:eastAsia="sv-SE"/>
        </w:rPr>
        <w:t>,</w:t>
      </w:r>
      <w:r w:rsidR="00FF581B" w:rsidRPr="00D565A7">
        <w:rPr>
          <w:rFonts w:ascii="Times New Roman" w:eastAsia="Times New Roman" w:hAnsi="Times New Roman" w:cs="Times New Roman"/>
          <w:lang w:val="en-GB" w:eastAsia="sv-SE"/>
        </w:rPr>
        <w:t xml:space="preserve"> 15 (4),</w:t>
      </w:r>
      <w:r w:rsidRPr="00D565A7">
        <w:rPr>
          <w:rFonts w:ascii="Times New Roman" w:eastAsia="Times New Roman" w:hAnsi="Times New Roman" w:cs="Times New Roman"/>
          <w:lang w:val="en-GB" w:eastAsia="sv-SE"/>
        </w:rPr>
        <w:t xml:space="preserve"> 319–57. </w:t>
      </w:r>
    </w:p>
    <w:p w:rsidR="00FF581B" w:rsidRPr="00D565A7" w:rsidRDefault="00FF581B" w:rsidP="00FF581B">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Fontan, Clément (2013)</w:t>
      </w:r>
      <w:r w:rsidR="00D7700F" w:rsidRPr="00D565A7">
        <w:rPr>
          <w:rFonts w:ascii="Times New Roman" w:eastAsia="Times New Roman" w:hAnsi="Times New Roman" w:cs="Times New Roman"/>
          <w:lang w:val="en-GB" w:eastAsia="sv-SE"/>
        </w:rPr>
        <w:t xml:space="preserve"> “Frankenstein in Europe. The impact of the European Central Bank on the management of the eurozone crisis.”</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Politique européenne</w:t>
      </w:r>
      <w:r w:rsidRPr="00D565A7">
        <w:rPr>
          <w:rFonts w:ascii="Times New Roman" w:eastAsia="Times New Roman" w:hAnsi="Times New Roman" w:cs="Times New Roman"/>
          <w:i/>
          <w:iCs/>
          <w:lang w:val="en-GB" w:eastAsia="sv-SE"/>
        </w:rPr>
        <w:t>,</w:t>
      </w:r>
      <w:r w:rsidRPr="00D565A7">
        <w:rPr>
          <w:rFonts w:ascii="Times New Roman" w:eastAsia="Times New Roman" w:hAnsi="Times New Roman" w:cs="Times New Roman"/>
          <w:lang w:val="en-GB" w:eastAsia="sv-SE"/>
        </w:rPr>
        <w:t xml:space="preserve"> 42 (4),</w:t>
      </w:r>
      <w:r w:rsidR="00D7700F" w:rsidRPr="00D565A7">
        <w:rPr>
          <w:rFonts w:ascii="Times New Roman" w:eastAsia="Times New Roman" w:hAnsi="Times New Roman" w:cs="Times New Roman"/>
          <w:lang w:val="en-GB" w:eastAsia="sv-SE"/>
        </w:rPr>
        <w:t xml:space="preserve"> 22–45. </w:t>
      </w:r>
    </w:p>
    <w:p w:rsidR="00FF581B" w:rsidRPr="00D565A7" w:rsidRDefault="00FF581B"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Forder, James</w:t>
      </w:r>
      <w:r w:rsidR="00D7700F" w:rsidRPr="00D565A7">
        <w:rPr>
          <w:rFonts w:ascii="Times New Roman" w:eastAsia="Times New Roman" w:hAnsi="Times New Roman" w:cs="Times New Roman"/>
          <w:lang w:val="en-GB" w:eastAsia="sv-SE"/>
        </w:rPr>
        <w:t xml:space="preserve"> </w:t>
      </w:r>
      <w:r w:rsidRPr="00F15905">
        <w:rPr>
          <w:rFonts w:ascii="Times New Roman" w:hAnsi="Times New Roman" w:cs="Times New Roman"/>
          <w:lang w:val="en-GB"/>
        </w:rPr>
        <w:t xml:space="preserve">(2002) “Interests and “Independence”: The European Central Bank and the theory of bureaucracy”, </w:t>
      </w:r>
      <w:r w:rsidRPr="00D565A7">
        <w:rPr>
          <w:rFonts w:ascii="Times New Roman" w:hAnsi="Times New Roman" w:cs="Times New Roman"/>
          <w:i/>
          <w:iCs/>
          <w:lang w:val="en-GB"/>
        </w:rPr>
        <w:t>International Review of Applied Economics,</w:t>
      </w:r>
      <w:r w:rsidRPr="00D565A7">
        <w:rPr>
          <w:rFonts w:ascii="Times New Roman" w:hAnsi="Times New Roman" w:cs="Times New Roman"/>
          <w:lang w:val="en-GB"/>
        </w:rPr>
        <w:t xml:space="preserve"> 16, 51–69.</w:t>
      </w:r>
    </w:p>
    <w:p w:rsidR="00D7700F" w:rsidRPr="00D565A7" w:rsidRDefault="00FF581B"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Gabor, Daniela</w:t>
      </w:r>
      <w:r w:rsidRPr="00D565A7">
        <w:rPr>
          <w:rFonts w:ascii="Times New Roman" w:hAnsi="Times New Roman" w:cs="Times New Roman"/>
          <w:lang w:val="en-GB"/>
        </w:rPr>
        <w:t xml:space="preserve"> and </w:t>
      </w:r>
      <w:r w:rsidR="00487A91" w:rsidRPr="00D565A7">
        <w:rPr>
          <w:rFonts w:ascii="Times New Roman" w:hAnsi="Times New Roman" w:cs="Times New Roman"/>
          <w:lang w:val="en-GB"/>
        </w:rPr>
        <w:t>Cornell</w:t>
      </w:r>
      <w:r w:rsidRPr="00D565A7">
        <w:rPr>
          <w:rFonts w:ascii="Times New Roman" w:hAnsi="Times New Roman" w:cs="Times New Roman"/>
          <w:lang w:val="en-GB"/>
        </w:rPr>
        <w:t xml:space="preserve"> Ban</w:t>
      </w:r>
      <w:r w:rsidR="00D7700F" w:rsidRPr="00D565A7">
        <w:rPr>
          <w:rFonts w:ascii="Times New Roman" w:hAnsi="Times New Roman" w:cs="Times New Roman"/>
          <w:lang w:val="en-GB"/>
        </w:rPr>
        <w:t xml:space="preserve"> (2016</w:t>
      </w:r>
      <w:r w:rsidRPr="00D565A7">
        <w:rPr>
          <w:rFonts w:ascii="Times New Roman" w:hAnsi="Times New Roman" w:cs="Times New Roman"/>
          <w:lang w:val="en-GB"/>
        </w:rPr>
        <w:t>)</w:t>
      </w:r>
      <w:r w:rsidR="00D7700F" w:rsidRPr="00D565A7">
        <w:rPr>
          <w:rFonts w:ascii="Times New Roman" w:hAnsi="Times New Roman" w:cs="Times New Roman"/>
          <w:lang w:val="en-GB"/>
        </w:rPr>
        <w:t xml:space="preserve"> “Banking on Bonds: The New Links Between States and Markets”</w:t>
      </w:r>
      <w:r w:rsidRPr="00D565A7">
        <w:rPr>
          <w:rFonts w:ascii="Times New Roman" w:hAnsi="Times New Roman" w:cs="Times New Roman"/>
          <w:lang w:val="en-GB"/>
        </w:rPr>
        <w:t>,</w:t>
      </w:r>
      <w:r w:rsidR="00D7700F" w:rsidRPr="00D565A7">
        <w:rPr>
          <w:rFonts w:ascii="Times New Roman" w:hAnsi="Times New Roman" w:cs="Times New Roman"/>
          <w:lang w:val="en-GB"/>
        </w:rPr>
        <w:t xml:space="preserve"> </w:t>
      </w:r>
      <w:r w:rsidR="00D7700F" w:rsidRPr="00D565A7">
        <w:rPr>
          <w:rFonts w:ascii="Times New Roman" w:hAnsi="Times New Roman" w:cs="Times New Roman"/>
          <w:i/>
          <w:lang w:val="en-GB"/>
        </w:rPr>
        <w:t>Journal of Common Market Studies</w:t>
      </w:r>
      <w:r w:rsidRPr="00D565A7">
        <w:rPr>
          <w:rFonts w:ascii="Times New Roman" w:hAnsi="Times New Roman" w:cs="Times New Roman"/>
          <w:i/>
          <w:lang w:val="en-GB"/>
        </w:rPr>
        <w:t>,</w:t>
      </w:r>
      <w:r w:rsidR="00D7700F" w:rsidRPr="00D565A7">
        <w:rPr>
          <w:rFonts w:ascii="Times New Roman" w:hAnsi="Times New Roman" w:cs="Times New Roman"/>
          <w:lang w:val="en-GB"/>
        </w:rPr>
        <w:t xml:space="preserve"> 54, 617–635.</w:t>
      </w:r>
    </w:p>
    <w:p w:rsidR="00FF581B" w:rsidRPr="00D565A7" w:rsidRDefault="00487A91" w:rsidP="00FF581B">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Gabor, Daniela</w:t>
      </w:r>
      <w:r w:rsidR="00FF581B" w:rsidRPr="00D565A7">
        <w:rPr>
          <w:rFonts w:ascii="Times New Roman" w:eastAsia="Times New Roman" w:hAnsi="Times New Roman" w:cs="Times New Roman"/>
          <w:lang w:val="en-GB" w:eastAsia="sv-SE"/>
        </w:rPr>
        <w:t xml:space="preserve"> (2016a) “A Step Too Far? The European Financial Transactions Tax on Shadow Banking.”, </w:t>
      </w:r>
      <w:r w:rsidR="00FF581B" w:rsidRPr="00D565A7">
        <w:rPr>
          <w:rFonts w:ascii="Times New Roman" w:eastAsia="Times New Roman" w:hAnsi="Times New Roman" w:cs="Times New Roman"/>
          <w:i/>
          <w:iCs/>
          <w:lang w:val="en-GB" w:eastAsia="sv-SE"/>
        </w:rPr>
        <w:t>Journal of European Public Policy,</w:t>
      </w:r>
      <w:r w:rsidR="00FF581B" w:rsidRPr="00D565A7">
        <w:rPr>
          <w:rFonts w:ascii="Times New Roman" w:eastAsia="Times New Roman" w:hAnsi="Times New Roman" w:cs="Times New Roman"/>
          <w:lang w:val="en-GB" w:eastAsia="sv-SE"/>
        </w:rPr>
        <w:t xml:space="preserve"> 23 (6), 925–945.</w:t>
      </w:r>
    </w:p>
    <w:p w:rsidR="00FF581B" w:rsidRPr="00D565A7" w:rsidRDefault="00487A91"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Gabor, Daniela</w:t>
      </w:r>
      <w:r w:rsidR="00FF581B" w:rsidRPr="00D565A7">
        <w:rPr>
          <w:rFonts w:ascii="Times New Roman" w:eastAsia="Times New Roman" w:hAnsi="Times New Roman" w:cs="Times New Roman"/>
          <w:lang w:val="en-GB" w:eastAsia="sv-SE"/>
        </w:rPr>
        <w:t xml:space="preserve">  (2016b)</w:t>
      </w:r>
      <w:r w:rsidR="00D7700F" w:rsidRPr="00D565A7">
        <w:rPr>
          <w:rFonts w:ascii="Times New Roman" w:eastAsia="Times New Roman" w:hAnsi="Times New Roman" w:cs="Times New Roman"/>
          <w:lang w:val="en-GB" w:eastAsia="sv-SE"/>
        </w:rPr>
        <w:t xml:space="preserve"> “The (Impossible) Repo Trinity: The Political Economy of Repo Markets.”</w:t>
      </w:r>
      <w:r w:rsidR="00FF581B"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Review of International Political Economy</w:t>
      </w:r>
      <w:r w:rsidR="00FF581B" w:rsidRPr="00D565A7">
        <w:rPr>
          <w:rFonts w:ascii="Times New Roman" w:eastAsia="Times New Roman" w:hAnsi="Times New Roman" w:cs="Times New Roman"/>
          <w:i/>
          <w:iCs/>
          <w:lang w:val="en-GB" w:eastAsia="sv-SE"/>
        </w:rPr>
        <w:t>,</w:t>
      </w:r>
      <w:r w:rsidR="00FF581B" w:rsidRPr="00D565A7">
        <w:rPr>
          <w:rFonts w:ascii="Times New Roman" w:eastAsia="Times New Roman" w:hAnsi="Times New Roman" w:cs="Times New Roman"/>
          <w:lang w:val="en-GB" w:eastAsia="sv-SE"/>
        </w:rPr>
        <w:t xml:space="preserve"> 23 (6), 967–1000.</w:t>
      </w:r>
    </w:p>
    <w:p w:rsidR="00D7700F" w:rsidRPr="00D565A7" w:rsidRDefault="00FF581B"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Geiger, Friedrich</w:t>
      </w:r>
      <w:r w:rsidRPr="00D565A7">
        <w:rPr>
          <w:rFonts w:ascii="Times New Roman" w:hAnsi="Times New Roman" w:cs="Times New Roman"/>
          <w:lang w:val="en-GB"/>
        </w:rPr>
        <w:t xml:space="preserve"> and Ryan Tracy (2016)</w:t>
      </w:r>
      <w:r w:rsidR="00D7700F" w:rsidRPr="00D565A7">
        <w:rPr>
          <w:rFonts w:ascii="Times New Roman" w:hAnsi="Times New Roman" w:cs="Times New Roman"/>
          <w:lang w:val="en-GB"/>
        </w:rPr>
        <w:t xml:space="preserve"> “Deutsche Bank Shares Hit Over 30-Year Low After Fed, IMF Rebuke”, </w:t>
      </w:r>
      <w:r w:rsidR="00D7700F" w:rsidRPr="00D565A7">
        <w:rPr>
          <w:rFonts w:ascii="Times New Roman" w:hAnsi="Times New Roman" w:cs="Times New Roman"/>
          <w:i/>
          <w:lang w:val="en-GB"/>
        </w:rPr>
        <w:t>Wall Street Journal,</w:t>
      </w:r>
      <w:r w:rsidRPr="00D565A7">
        <w:rPr>
          <w:rFonts w:ascii="Times New Roman" w:hAnsi="Times New Roman" w:cs="Times New Roman"/>
          <w:i/>
          <w:lang w:val="en-GB"/>
        </w:rPr>
        <w:t xml:space="preserve"> </w:t>
      </w:r>
      <w:r w:rsidRPr="00D565A7">
        <w:rPr>
          <w:rFonts w:ascii="Times New Roman" w:hAnsi="Times New Roman" w:cs="Times New Roman"/>
          <w:lang w:val="en-GB"/>
        </w:rPr>
        <w:t>30</w:t>
      </w:r>
      <w:r w:rsidR="00D7700F" w:rsidRPr="00F15905">
        <w:rPr>
          <w:rFonts w:ascii="Times New Roman" w:hAnsi="Times New Roman" w:cs="Times New Roman"/>
          <w:i/>
          <w:lang w:val="en-GB"/>
        </w:rPr>
        <w:t xml:space="preserve"> </w:t>
      </w:r>
      <w:r w:rsidRPr="00F15905">
        <w:rPr>
          <w:rFonts w:ascii="Times New Roman" w:hAnsi="Times New Roman" w:cs="Times New Roman"/>
          <w:lang w:val="en-GB"/>
        </w:rPr>
        <w:t>June</w:t>
      </w:r>
    </w:p>
    <w:p w:rsidR="00487A91"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Genovese, Federica, Gera</w:t>
      </w:r>
      <w:r w:rsidR="00FF581B" w:rsidRPr="00D565A7">
        <w:rPr>
          <w:rFonts w:ascii="Times New Roman" w:eastAsia="Times New Roman" w:hAnsi="Times New Roman" w:cs="Times New Roman"/>
          <w:lang w:val="en-GB" w:eastAsia="sv-SE"/>
        </w:rPr>
        <w:t>ld Schneider, and Pia Wassmann (2016)</w:t>
      </w:r>
      <w:r w:rsidRPr="00D565A7">
        <w:rPr>
          <w:rFonts w:ascii="Times New Roman" w:eastAsia="Times New Roman" w:hAnsi="Times New Roman" w:cs="Times New Roman"/>
          <w:lang w:val="en-GB" w:eastAsia="sv-SE"/>
        </w:rPr>
        <w:t xml:space="preserve"> “The Eurotower Strikes Back: Crises, Adjustments, and Europe’s Austerity Protests.” </w:t>
      </w:r>
      <w:r w:rsidRPr="00D565A7">
        <w:rPr>
          <w:rFonts w:ascii="Times New Roman" w:eastAsia="Times New Roman" w:hAnsi="Times New Roman" w:cs="Times New Roman"/>
          <w:i/>
          <w:iCs/>
          <w:lang w:val="en-GB" w:eastAsia="sv-SE"/>
        </w:rPr>
        <w:t>Comparative Political Studies</w:t>
      </w:r>
      <w:r w:rsidR="00FF581B" w:rsidRPr="00D565A7">
        <w:rPr>
          <w:rFonts w:ascii="Times New Roman" w:eastAsia="Times New Roman" w:hAnsi="Times New Roman" w:cs="Times New Roman"/>
          <w:i/>
          <w:iCs/>
          <w:lang w:val="en-GB" w:eastAsia="sv-SE"/>
        </w:rPr>
        <w:t>,</w:t>
      </w:r>
      <w:r w:rsidR="00FF581B" w:rsidRPr="00D565A7">
        <w:rPr>
          <w:rFonts w:ascii="Times New Roman" w:eastAsia="Times New Roman" w:hAnsi="Times New Roman" w:cs="Times New Roman"/>
          <w:lang w:val="en-GB" w:eastAsia="sv-SE"/>
        </w:rPr>
        <w:t xml:space="preserve"> 49 (7),</w:t>
      </w:r>
      <w:r w:rsidR="00487A91" w:rsidRPr="00D565A7">
        <w:rPr>
          <w:rFonts w:ascii="Times New Roman" w:eastAsia="Times New Roman" w:hAnsi="Times New Roman" w:cs="Times New Roman"/>
          <w:lang w:val="en-GB" w:eastAsia="sv-SE"/>
        </w:rPr>
        <w:t xml:space="preserve"> 939–967.</w:t>
      </w:r>
    </w:p>
    <w:p w:rsidR="00D7700F" w:rsidRPr="00D565A7" w:rsidRDefault="00487A91" w:rsidP="00D565A7">
      <w:pPr>
        <w:ind w:hanging="480"/>
        <w:rPr>
          <w:rFonts w:ascii="Times New Roman" w:eastAsia="Times New Roman" w:hAnsi="Times New Roman" w:cs="Times New Roman"/>
          <w:lang w:val="en-GB" w:eastAsia="sv-SE"/>
        </w:rPr>
      </w:pPr>
      <w:r w:rsidRPr="00D565A7">
        <w:rPr>
          <w:rFonts w:ascii="Times New Roman" w:hAnsi="Times New Roman" w:cs="Times New Roman"/>
          <w:lang w:val="en-GB"/>
        </w:rPr>
        <w:t>Giovannini, Alessandro</w:t>
      </w:r>
      <w:r w:rsidR="00D7700F" w:rsidRPr="00D565A7">
        <w:rPr>
          <w:rFonts w:ascii="Times New Roman" w:hAnsi="Times New Roman" w:cs="Times New Roman"/>
          <w:lang w:val="en-GB"/>
        </w:rPr>
        <w:t xml:space="preserve">, (1999), “EU Repo Markets: Opportunities for Change. Report of the Giovannini Group to the European Commission”, </w:t>
      </w:r>
      <w:r w:rsidRPr="00D565A7">
        <w:rPr>
          <w:rFonts w:ascii="Times New Roman" w:hAnsi="Times New Roman" w:cs="Times New Roman"/>
          <w:i/>
          <w:lang w:val="en-GB"/>
        </w:rPr>
        <w:t>EuroPapers</w:t>
      </w:r>
      <w:r w:rsidRPr="00D565A7">
        <w:rPr>
          <w:rFonts w:ascii="Times New Roman" w:hAnsi="Times New Roman" w:cs="Times New Roman"/>
          <w:lang w:val="en-GB"/>
        </w:rPr>
        <w:t xml:space="preserve">, 35 </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Goo</w:t>
      </w:r>
      <w:r w:rsidR="00487A91" w:rsidRPr="00D565A7">
        <w:rPr>
          <w:rFonts w:ascii="Times New Roman" w:eastAsia="Times New Roman" w:hAnsi="Times New Roman" w:cs="Times New Roman"/>
          <w:lang w:val="en-GB" w:eastAsia="sv-SE"/>
        </w:rPr>
        <w:t>dhart, Charles, and Ellen Meade</w:t>
      </w:r>
      <w:r w:rsidRPr="00D565A7">
        <w:rPr>
          <w:rFonts w:ascii="Times New Roman" w:eastAsia="Times New Roman" w:hAnsi="Times New Roman" w:cs="Times New Roman"/>
          <w:lang w:val="en-GB" w:eastAsia="sv-SE"/>
        </w:rPr>
        <w:t xml:space="preserve"> </w:t>
      </w:r>
      <w:r w:rsidR="00487A91" w:rsidRPr="00F15905">
        <w:rPr>
          <w:rFonts w:ascii="Times New Roman" w:hAnsi="Times New Roman" w:cs="Times New Roman"/>
          <w:lang w:val="en-GB"/>
        </w:rPr>
        <w:t>(2004) “Central banks and supreme courts.”</w:t>
      </w:r>
      <w:r w:rsidR="00487A91" w:rsidRPr="00D565A7">
        <w:rPr>
          <w:rFonts w:ascii="Times New Roman" w:hAnsi="Times New Roman" w:cs="Times New Roman"/>
          <w:lang w:val="en-GB"/>
        </w:rPr>
        <w:t xml:space="preserve">, </w:t>
      </w:r>
      <w:r w:rsidR="00487A91" w:rsidRPr="00D565A7">
        <w:rPr>
          <w:rFonts w:ascii="Times New Roman" w:hAnsi="Times New Roman" w:cs="Times New Roman"/>
          <w:i/>
          <w:lang w:val="en-GB"/>
        </w:rPr>
        <w:t>Moneda y Crédito,</w:t>
      </w:r>
      <w:r w:rsidR="00487A91" w:rsidRPr="00D565A7">
        <w:rPr>
          <w:rFonts w:ascii="Times New Roman" w:hAnsi="Times New Roman" w:cs="Times New Roman"/>
          <w:lang w:val="en-GB"/>
        </w:rPr>
        <w:t xml:space="preserve"> 218, 11-42.</w:t>
      </w:r>
      <w:r w:rsidRPr="00D565A7">
        <w:rPr>
          <w:rFonts w:ascii="Times New Roman" w:eastAsia="Times New Roman" w:hAnsi="Times New Roman" w:cs="Times New Roman"/>
          <w:lang w:val="en-GB" w:eastAsia="sv-SE"/>
        </w:rPr>
        <w:t>.</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Goodhart, Charles. 2011. “The Changing Role of Central Banks.” </w:t>
      </w:r>
      <w:r w:rsidRPr="00D565A7">
        <w:rPr>
          <w:rFonts w:ascii="Times New Roman" w:eastAsia="Times New Roman" w:hAnsi="Times New Roman" w:cs="Times New Roman"/>
          <w:i/>
          <w:iCs/>
          <w:lang w:val="en-GB" w:eastAsia="sv-SE"/>
        </w:rPr>
        <w:t>Financial History Review</w:t>
      </w:r>
      <w:r w:rsidRPr="00D565A7">
        <w:rPr>
          <w:rFonts w:ascii="Times New Roman" w:eastAsia="Times New Roman" w:hAnsi="Times New Roman" w:cs="Times New Roman"/>
          <w:lang w:val="en-GB" w:eastAsia="sv-SE"/>
        </w:rPr>
        <w:t xml:space="preserve"> 18 (02): 135–154.</w:t>
      </w:r>
    </w:p>
    <w:p w:rsidR="00D7700F" w:rsidRPr="00D565A7" w:rsidRDefault="00D7700F" w:rsidP="00D7700F">
      <w:pPr>
        <w:ind w:left="720" w:hanging="720"/>
        <w:jc w:val="both"/>
        <w:rPr>
          <w:rFonts w:ascii="Times New Roman" w:hAnsi="Times New Roman" w:cs="Times New Roman"/>
          <w:lang w:val="en-GB"/>
        </w:rPr>
      </w:pPr>
      <w:r w:rsidRPr="00F15905">
        <w:rPr>
          <w:rFonts w:ascii="Times New Roman" w:hAnsi="Times New Roman" w:cs="Times New Roman"/>
          <w:lang w:val="en-GB"/>
        </w:rPr>
        <w:t xml:space="preserve">Grosche, G., Puetter, U., (2008), “Preparing the Economic and Financial Committee and the Economic Policy Committee for Enlargement”, </w:t>
      </w:r>
      <w:r w:rsidRPr="00F15905">
        <w:rPr>
          <w:rFonts w:ascii="Times New Roman" w:hAnsi="Times New Roman" w:cs="Times New Roman"/>
          <w:i/>
          <w:iCs/>
          <w:lang w:val="en-GB"/>
        </w:rPr>
        <w:t>Journal of European</w:t>
      </w:r>
      <w:r w:rsidRPr="00D565A7">
        <w:rPr>
          <w:rFonts w:ascii="Times New Roman" w:hAnsi="Times New Roman" w:cs="Times New Roman"/>
          <w:i/>
          <w:iCs/>
          <w:lang w:val="en-GB"/>
        </w:rPr>
        <w:t xml:space="preserve"> Integration,</w:t>
      </w:r>
      <w:r w:rsidRPr="00D565A7">
        <w:rPr>
          <w:rFonts w:ascii="Times New Roman" w:hAnsi="Times New Roman" w:cs="Times New Roman"/>
          <w:lang w:val="en-GB"/>
        </w:rPr>
        <w:t xml:space="preserve"> 30, pp. 527–543.</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lastRenderedPageBreak/>
        <w:t xml:space="preserve">Grosche, Günter, and Uwe Puetter. 2008. “Preparing the Economic and Financial Committee and the Economic Policy Committee for Enlargement.” </w:t>
      </w:r>
      <w:r w:rsidRPr="00D565A7">
        <w:rPr>
          <w:rFonts w:ascii="Times New Roman" w:eastAsia="Times New Roman" w:hAnsi="Times New Roman" w:cs="Times New Roman"/>
          <w:i/>
          <w:iCs/>
          <w:lang w:val="en-GB" w:eastAsia="sv-SE"/>
        </w:rPr>
        <w:t>Journal of European Integration</w:t>
      </w:r>
      <w:r w:rsidRPr="00D565A7">
        <w:rPr>
          <w:rFonts w:ascii="Times New Roman" w:eastAsia="Times New Roman" w:hAnsi="Times New Roman" w:cs="Times New Roman"/>
          <w:lang w:val="en-GB" w:eastAsia="sv-SE"/>
        </w:rPr>
        <w:t xml:space="preserve"> 30 (4): 527–43. </w:t>
      </w:r>
      <w:hyperlink r:id="rId10" w:history="1">
        <w:r w:rsidRPr="00D565A7">
          <w:rPr>
            <w:rFonts w:ascii="Times New Roman" w:eastAsia="Times New Roman" w:hAnsi="Times New Roman" w:cs="Times New Roman"/>
            <w:color w:val="0000FF"/>
            <w:u w:val="single"/>
            <w:lang w:val="en-GB" w:eastAsia="sv-SE"/>
          </w:rPr>
          <w:t>https://doi.org/10.1080/07036330802294862</w:t>
        </w:r>
      </w:hyperlink>
      <w:r w:rsidRPr="00D565A7">
        <w:rPr>
          <w:rFonts w:ascii="Times New Roman" w:eastAsia="Times New Roman" w:hAnsi="Times New Roman" w:cs="Times New Roman"/>
          <w:lang w:val="en-GB" w:eastAsia="sv-SE"/>
        </w:rPr>
        <w:t>.</w:t>
      </w:r>
    </w:p>
    <w:p w:rsidR="00D7700F" w:rsidRPr="00D565A7" w:rsidRDefault="00D7700F" w:rsidP="00D7700F">
      <w:pPr>
        <w:ind w:left="720" w:hanging="720"/>
        <w:jc w:val="both"/>
        <w:rPr>
          <w:rFonts w:ascii="Times New Roman" w:hAnsi="Times New Roman" w:cs="Times New Roman"/>
          <w:lang w:val="en-GB"/>
        </w:rPr>
      </w:pPr>
      <w:r w:rsidRPr="00F15905">
        <w:rPr>
          <w:rFonts w:ascii="Times New Roman" w:hAnsi="Times New Roman" w:cs="Times New Roman"/>
          <w:lang w:val="en-GB"/>
        </w:rPr>
        <w:t xml:space="preserve">Hardie, I., Macartney, H., (2016), “EU ring-fencing and the defence of too-big-to-fail banks”, </w:t>
      </w:r>
      <w:r w:rsidRPr="00D565A7">
        <w:rPr>
          <w:rFonts w:ascii="Times New Roman" w:hAnsi="Times New Roman" w:cs="Times New Roman"/>
          <w:i/>
          <w:iCs/>
          <w:lang w:val="en-GB"/>
        </w:rPr>
        <w:t>West European Politics</w:t>
      </w:r>
      <w:r w:rsidRPr="00D565A7">
        <w:rPr>
          <w:rFonts w:ascii="Times New Roman" w:hAnsi="Times New Roman" w:cs="Times New Roman"/>
          <w:lang w:val="en-GB"/>
        </w:rPr>
        <w:t>, 39(3), pp. 503-525</w:t>
      </w:r>
    </w:p>
    <w:p w:rsidR="00D7700F" w:rsidRPr="00D565A7" w:rsidRDefault="00D7700F" w:rsidP="00D7700F">
      <w:pPr>
        <w:ind w:left="720" w:hanging="720"/>
        <w:jc w:val="both"/>
        <w:rPr>
          <w:rFonts w:ascii="Times New Roman" w:hAnsi="Times New Roman" w:cs="Times New Roman"/>
          <w:lang w:val="en-GB"/>
        </w:rPr>
      </w:pPr>
      <w:r w:rsidRPr="00D565A7">
        <w:rPr>
          <w:rFonts w:ascii="Times New Roman" w:hAnsi="Times New Roman" w:cs="Times New Roman"/>
          <w:lang w:val="en-GB"/>
        </w:rPr>
        <w:t xml:space="preserve">Hay, C., 2007. </w:t>
      </w:r>
      <w:r w:rsidRPr="00D565A7">
        <w:rPr>
          <w:rFonts w:ascii="Times New Roman" w:hAnsi="Times New Roman" w:cs="Times New Roman"/>
          <w:i/>
          <w:lang w:val="en-GB"/>
        </w:rPr>
        <w:t>Why we hate politics</w:t>
      </w:r>
      <w:r w:rsidRPr="00D565A7">
        <w:rPr>
          <w:rFonts w:ascii="Times New Roman" w:hAnsi="Times New Roman" w:cs="Times New Roman"/>
          <w:lang w:val="en-GB"/>
        </w:rPr>
        <w:t>. Polity.</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Hay, Colin. 2007. </w:t>
      </w:r>
      <w:r w:rsidRPr="00D565A7">
        <w:rPr>
          <w:rFonts w:ascii="Times New Roman" w:eastAsia="Times New Roman" w:hAnsi="Times New Roman" w:cs="Times New Roman"/>
          <w:i/>
          <w:iCs/>
          <w:lang w:val="en-GB" w:eastAsia="sv-SE"/>
        </w:rPr>
        <w:t>Why We Hate Politics</w:t>
      </w:r>
      <w:r w:rsidRPr="00D565A7">
        <w:rPr>
          <w:rFonts w:ascii="Times New Roman" w:eastAsia="Times New Roman" w:hAnsi="Times New Roman" w:cs="Times New Roman"/>
          <w:lang w:val="en-GB" w:eastAsia="sv-SE"/>
        </w:rPr>
        <w:t>. Vol. 5. Polity.</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Henning, C. Randall. 2015. “The ECB as a Strategic Actor: Central Banking in a Politically Fragmented Monetary Union.” </w:t>
      </w:r>
      <w:r w:rsidRPr="00D565A7">
        <w:rPr>
          <w:rFonts w:ascii="Times New Roman" w:eastAsia="Times New Roman" w:hAnsi="Times New Roman" w:cs="Times New Roman"/>
          <w:i/>
          <w:iCs/>
          <w:lang w:val="en-GB" w:eastAsia="sv-SE"/>
        </w:rPr>
        <w:t>C. Randall Henning," The ECB as a Strategic Actor: Central Banking in a Politically Fragmented Monetary Union," in Europe’s Crises: Economic and Political Challenges of the Monetary Union, Edited by James A. Caporaso and Martin Rhodes (New York: Oxford University Press, Forthcoming)</w:t>
      </w:r>
      <w:r w:rsidRPr="00D565A7">
        <w:rPr>
          <w:rFonts w:ascii="Times New Roman" w:eastAsia="Times New Roman" w:hAnsi="Times New Roman" w:cs="Times New Roman"/>
          <w:lang w:val="en-GB" w:eastAsia="sv-SE"/>
        </w:rPr>
        <w:t xml:space="preserve">. </w:t>
      </w:r>
      <w:hyperlink r:id="rId11" w:history="1">
        <w:r w:rsidRPr="00D565A7">
          <w:rPr>
            <w:rFonts w:ascii="Times New Roman" w:eastAsia="Times New Roman" w:hAnsi="Times New Roman" w:cs="Times New Roman"/>
            <w:color w:val="0000FF"/>
            <w:u w:val="single"/>
            <w:lang w:val="en-GB" w:eastAsia="sv-SE"/>
          </w:rPr>
          <w:t>http://papers.ssrn.com/sol3/papers.cfm?abstract_id=2548333</w:t>
        </w:r>
      </w:hyperlink>
      <w:r w:rsidRPr="00D565A7">
        <w:rPr>
          <w:rFonts w:ascii="Times New Roman" w:eastAsia="Times New Roman" w:hAnsi="Times New Roman" w:cs="Times New Roman"/>
          <w:lang w:val="en-GB" w:eastAsia="sv-SE"/>
        </w:rPr>
        <w:t>.</w:t>
      </w:r>
    </w:p>
    <w:p w:rsidR="00D7700F" w:rsidRPr="00F15905" w:rsidRDefault="00D7700F" w:rsidP="00D7700F">
      <w:pPr>
        <w:widowControl/>
        <w:suppressAutoHyphens w:val="0"/>
        <w:overflowPunct/>
        <w:jc w:val="both"/>
        <w:textAlignment w:val="auto"/>
        <w:rPr>
          <w:rFonts w:ascii="Times New Roman" w:eastAsia="Times New Roman" w:hAnsi="Times New Roman" w:cs="Times New Roman"/>
          <w:color w:val="auto"/>
          <w:lang w:val="en-GB" w:eastAsia="en-GB" w:bidi="ar-SA"/>
        </w:rPr>
      </w:pPr>
      <w:r w:rsidRPr="00F15905">
        <w:rPr>
          <w:rFonts w:ascii="Times New Roman" w:eastAsia="Times New Roman" w:hAnsi="Times New Roman" w:cs="Times New Roman"/>
          <w:color w:val="auto"/>
          <w:lang w:val="en-GB" w:eastAsia="en-GB" w:bidi="ar-SA"/>
        </w:rPr>
        <w:t>Henning, R. (2016). "The ECB as a strategic actor: Central banking in a</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Hinarejos, Alicia. 2015. “Gauweiler and the Outright Monetary Transactions Programme: The Mandate of the European Central Bank and the Changing Nature of Economic and Monetary Union.” </w:t>
      </w:r>
      <w:r w:rsidRPr="00D565A7">
        <w:rPr>
          <w:rFonts w:ascii="Times New Roman" w:eastAsia="Times New Roman" w:hAnsi="Times New Roman" w:cs="Times New Roman"/>
          <w:i/>
          <w:iCs/>
          <w:lang w:val="en-GB" w:eastAsia="sv-SE"/>
        </w:rPr>
        <w:t>European Constitutional Law Review</w:t>
      </w:r>
      <w:r w:rsidRPr="00D565A7">
        <w:rPr>
          <w:rFonts w:ascii="Times New Roman" w:eastAsia="Times New Roman" w:hAnsi="Times New Roman" w:cs="Times New Roman"/>
          <w:lang w:val="en-GB" w:eastAsia="sv-SE"/>
        </w:rPr>
        <w:t xml:space="preserve"> 11 (3): 563.</w:t>
      </w:r>
    </w:p>
    <w:p w:rsidR="00570F67"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Högenauer, Anna-Lena, and David Howarth. 2016. </w:t>
      </w:r>
      <w:r w:rsidR="00570F67" w:rsidRPr="00F15905">
        <w:rPr>
          <w:rFonts w:ascii="Times New Roman" w:eastAsia="Times New Roman" w:hAnsi="Times New Roman" w:cs="Times New Roman"/>
          <w:color w:val="auto"/>
          <w:lang w:val="en-GB" w:eastAsia="en-GB" w:bidi="ar-SA"/>
        </w:rPr>
        <w:t>(2016), “Unconventional Monetary Policies and the European Central Bank's Problematic Democratic Legitimacy”,</w:t>
      </w:r>
      <w:r w:rsidR="00570F67" w:rsidRPr="00D565A7">
        <w:rPr>
          <w:rFonts w:ascii="Times New Roman" w:eastAsia="Times New Roman" w:hAnsi="Times New Roman" w:cs="Times New Roman"/>
          <w:color w:val="auto"/>
          <w:lang w:val="en-GB" w:eastAsia="en-GB" w:bidi="ar-SA"/>
        </w:rPr>
        <w:t xml:space="preserve"> </w:t>
      </w:r>
      <w:r w:rsidR="00570F67" w:rsidRPr="00D565A7">
        <w:rPr>
          <w:rFonts w:ascii="Times New Roman" w:eastAsia="Times New Roman" w:hAnsi="Times New Roman" w:cs="Times New Roman"/>
          <w:i/>
          <w:iCs/>
          <w:color w:val="auto"/>
          <w:lang w:val="en-GB" w:eastAsia="en-GB" w:bidi="ar-SA"/>
        </w:rPr>
        <w:t>Zeitschrift für öffentliches Recht</w:t>
      </w:r>
      <w:r w:rsidR="00570F67" w:rsidRPr="00D565A7">
        <w:rPr>
          <w:rFonts w:ascii="Times New Roman" w:eastAsia="Times New Roman" w:hAnsi="Times New Roman" w:cs="Times New Roman"/>
          <w:color w:val="auto"/>
          <w:lang w:val="en-GB" w:eastAsia="en-GB" w:bidi="ar-SA"/>
        </w:rPr>
        <w:t xml:space="preserve">, </w:t>
      </w:r>
      <w:r w:rsidR="00570F67" w:rsidRPr="00D565A7">
        <w:rPr>
          <w:rFonts w:ascii="Times New Roman" w:eastAsia="Times New Roman" w:hAnsi="Times New Roman" w:cs="Times New Roman"/>
          <w:i/>
          <w:iCs/>
          <w:color w:val="auto"/>
          <w:lang w:val="en-GB" w:eastAsia="en-GB" w:bidi="ar-SA"/>
        </w:rPr>
        <w:t>71</w:t>
      </w:r>
      <w:r w:rsidR="00570F67" w:rsidRPr="00D565A7">
        <w:rPr>
          <w:rFonts w:ascii="Times New Roman" w:eastAsia="Times New Roman" w:hAnsi="Times New Roman" w:cs="Times New Roman"/>
          <w:color w:val="auto"/>
          <w:lang w:val="en-GB" w:eastAsia="en-GB" w:bidi="ar-SA"/>
        </w:rPr>
        <w:t>(2), 1-24.</w:t>
      </w:r>
    </w:p>
    <w:p w:rsidR="00570F67"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Howarth, D</w:t>
      </w:r>
      <w:r w:rsidR="00570F67" w:rsidRPr="00D565A7">
        <w:rPr>
          <w:rFonts w:ascii="Times New Roman" w:eastAsia="Times New Roman" w:hAnsi="Times New Roman" w:cs="Times New Roman"/>
          <w:lang w:val="en-GB" w:eastAsia="sv-SE"/>
        </w:rPr>
        <w:t>avid, and Peter Loedel. (2005),</w:t>
      </w:r>
      <w:r w:rsidRPr="00D565A7">
        <w:rPr>
          <w:rFonts w:ascii="Times New Roman" w:eastAsia="Times New Roman" w:hAnsi="Times New Roman" w:cs="Times New Roman"/>
          <w:lang w:val="en-GB" w:eastAsia="sv-SE"/>
        </w:rPr>
        <w:t xml:space="preserve"> </w:t>
      </w:r>
      <w:r w:rsidR="00570F67" w:rsidRPr="00F15905">
        <w:rPr>
          <w:rFonts w:ascii="Times New Roman" w:eastAsia="Times New Roman" w:hAnsi="Times New Roman" w:cs="Times New Roman"/>
          <w:i/>
          <w:iCs/>
          <w:color w:val="auto"/>
          <w:lang w:val="en-GB" w:eastAsia="en-GB" w:bidi="ar-SA"/>
        </w:rPr>
        <w:t>The European Central Bank: The New European Leviathan?</w:t>
      </w:r>
      <w:r w:rsidR="00570F67" w:rsidRPr="00D565A7">
        <w:rPr>
          <w:rFonts w:ascii="Times New Roman" w:eastAsia="Times New Roman" w:hAnsi="Times New Roman" w:cs="Times New Roman"/>
          <w:color w:val="auto"/>
          <w:lang w:val="en-GB" w:eastAsia="en-GB" w:bidi="ar-SA"/>
        </w:rPr>
        <w:t>, (Berlin: Springer).</w:t>
      </w:r>
    </w:p>
    <w:p w:rsidR="00570F67"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Howarth, David</w:t>
      </w:r>
      <w:r w:rsidR="00570F67" w:rsidRPr="00D565A7">
        <w:rPr>
          <w:rFonts w:ascii="Times New Roman" w:eastAsia="Times New Roman" w:hAnsi="Times New Roman" w:cs="Times New Roman"/>
          <w:lang w:val="en-GB" w:eastAsia="sv-SE"/>
        </w:rPr>
        <w:t xml:space="preserve"> </w:t>
      </w:r>
      <w:r w:rsidR="00570F67" w:rsidRPr="00F15905">
        <w:rPr>
          <w:rFonts w:ascii="Times New Roman" w:hAnsi="Times New Roman" w:cs="Times New Roman"/>
          <w:lang w:val="en-GB"/>
        </w:rPr>
        <w:t xml:space="preserve">(2004), “The ECB and the Stability Pact: policeman and judge?”, </w:t>
      </w:r>
      <w:r w:rsidR="00570F67" w:rsidRPr="00F15905">
        <w:rPr>
          <w:rFonts w:ascii="Times New Roman" w:hAnsi="Times New Roman" w:cs="Times New Roman"/>
          <w:i/>
          <w:iCs/>
          <w:lang w:val="en-GB"/>
        </w:rPr>
        <w:t>Journal of European Public Policy,</w:t>
      </w:r>
      <w:r w:rsidR="00570F67" w:rsidRPr="00D565A7">
        <w:rPr>
          <w:rFonts w:ascii="Times New Roman" w:hAnsi="Times New Roman" w:cs="Times New Roman"/>
          <w:lang w:val="en-GB"/>
        </w:rPr>
        <w:t xml:space="preserve"> 11, 832–853. </w:t>
      </w:r>
    </w:p>
    <w:p w:rsidR="00D7700F" w:rsidRPr="00D565A7" w:rsidRDefault="00570F67" w:rsidP="00D565A7">
      <w:pPr>
        <w:ind w:hanging="480"/>
        <w:rPr>
          <w:rFonts w:ascii="Times New Roman" w:eastAsia="Times New Roman" w:hAnsi="Times New Roman" w:cs="Times New Roman"/>
          <w:lang w:val="en-GB" w:eastAsia="sv-SE"/>
        </w:rPr>
      </w:pPr>
      <w:r w:rsidRPr="00D565A7">
        <w:rPr>
          <w:rFonts w:ascii="Times New Roman" w:hAnsi="Times New Roman" w:cs="Times New Roman"/>
          <w:lang w:val="en-GB"/>
        </w:rPr>
        <w:t>International Monetary Fund</w:t>
      </w:r>
      <w:r w:rsidR="00D7700F" w:rsidRPr="00D565A7">
        <w:rPr>
          <w:rFonts w:ascii="Times New Roman" w:hAnsi="Times New Roman" w:cs="Times New Roman"/>
          <w:lang w:val="en-GB"/>
        </w:rPr>
        <w:t xml:space="preserve"> (2015), “Navigating Monetary Policy Challenges and Managing Risks”, </w:t>
      </w:r>
      <w:r w:rsidR="00D7700F" w:rsidRPr="00D565A7">
        <w:rPr>
          <w:rFonts w:ascii="Times New Roman" w:hAnsi="Times New Roman" w:cs="Times New Roman"/>
          <w:i/>
          <w:iCs/>
          <w:lang w:val="en-GB"/>
        </w:rPr>
        <w:t>Global Financial Stability Report,</w:t>
      </w:r>
      <w:r w:rsidR="00D7700F" w:rsidRPr="00D565A7">
        <w:rPr>
          <w:rFonts w:ascii="Times New Roman" w:hAnsi="Times New Roman" w:cs="Times New Roman"/>
          <w:lang w:val="en-GB"/>
        </w:rPr>
        <w:t xml:space="preserve"> Washington.</w:t>
      </w:r>
    </w:p>
    <w:p w:rsidR="00D7700F" w:rsidRPr="00D565A7" w:rsidRDefault="00570F67"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Jabko, Nicolas (2006),</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Playing the Market: A Political Strategy for Uniting Europe, 1985-2005</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Ithaca: Cornell University Press</w:t>
      </w:r>
      <w:r w:rsidRPr="00D565A7">
        <w:rPr>
          <w:rFonts w:ascii="Times New Roman" w:eastAsia="Times New Roman" w:hAnsi="Times New Roman" w:cs="Times New Roman"/>
          <w:lang w:val="en-GB" w:eastAsia="sv-SE"/>
        </w:rPr>
        <w:t>)</w:t>
      </w:r>
    </w:p>
    <w:p w:rsidR="00D7700F" w:rsidRPr="00F15905" w:rsidRDefault="00570F67" w:rsidP="00D565A7">
      <w:pPr>
        <w:ind w:hanging="480"/>
        <w:rPr>
          <w:rFonts w:ascii="Times New Roman" w:hAnsi="Times New Roman" w:cs="Times New Roman"/>
          <w:lang w:val="en-GB"/>
        </w:rPr>
      </w:pPr>
      <w:r w:rsidRPr="00D565A7">
        <w:rPr>
          <w:rFonts w:ascii="Times New Roman" w:eastAsia="Times New Roman" w:hAnsi="Times New Roman" w:cs="Times New Roman"/>
          <w:lang w:val="en-GB" w:eastAsia="sv-SE"/>
        </w:rPr>
        <w:t>Jabko, Nicolas</w:t>
      </w:r>
      <w:r w:rsidR="00D7700F"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lang w:val="en-GB" w:eastAsia="sv-SE"/>
        </w:rPr>
        <w:t>(2009)</w:t>
      </w:r>
      <w:r w:rsidR="00D7700F" w:rsidRPr="00D565A7">
        <w:rPr>
          <w:rFonts w:ascii="Times New Roman" w:eastAsia="Times New Roman" w:hAnsi="Times New Roman" w:cs="Times New Roman"/>
          <w:lang w:val="en-GB" w:eastAsia="sv-SE"/>
        </w:rPr>
        <w:t xml:space="preserve"> “Transparency and Accountability.” In </w:t>
      </w:r>
      <w:r w:rsidRPr="00D565A7">
        <w:rPr>
          <w:rFonts w:ascii="Times New Roman" w:eastAsia="Times New Roman" w:hAnsi="Times New Roman" w:cs="Times New Roman"/>
          <w:lang w:val="en-GB" w:eastAsia="sv-SE"/>
        </w:rPr>
        <w:t>Martin Marcussen and Kenneth Dyson (eds)</w:t>
      </w:r>
      <w:r w:rsidRPr="00D565A7">
        <w:rPr>
          <w:rFonts w:ascii="Times New Roman" w:eastAsia="Times New Roman" w:hAnsi="Times New Roman" w:cs="Times New Roman"/>
          <w:i/>
          <w:iCs/>
          <w:lang w:val="en-GB" w:eastAsia="sv-SE"/>
        </w:rPr>
        <w:t xml:space="preserve"> </w:t>
      </w:r>
      <w:r w:rsidR="00D7700F" w:rsidRPr="00D565A7">
        <w:rPr>
          <w:rFonts w:ascii="Times New Roman" w:eastAsia="Times New Roman" w:hAnsi="Times New Roman" w:cs="Times New Roman"/>
          <w:i/>
          <w:iCs/>
          <w:lang w:val="en-GB" w:eastAsia="sv-SE"/>
        </w:rPr>
        <w:t>Central Banks in the Age of the Euro : Europeanization, Convergence and Power</w:t>
      </w:r>
      <w:r w:rsidRPr="00D565A7">
        <w:rPr>
          <w:rFonts w:ascii="Times New Roman" w:eastAsia="Times New Roman" w:hAnsi="Times New Roman" w:cs="Times New Roman"/>
          <w:lang w:val="en-GB" w:eastAsia="sv-SE"/>
        </w:rPr>
        <w:t>, (Oxford: Oxford University Press), 391–406</w:t>
      </w:r>
      <w:r w:rsidR="00D7700F" w:rsidRPr="00F15905">
        <w:rPr>
          <w:rFonts w:ascii="Times New Roman" w:hAnsi="Times New Roman" w:cs="Times New Roman"/>
          <w:lang w:val="en-GB"/>
        </w:rPr>
        <w:t>.</w:t>
      </w:r>
    </w:p>
    <w:p w:rsidR="00570F67" w:rsidRPr="00D565A7" w:rsidRDefault="00D7700F" w:rsidP="00D565A7">
      <w:pPr>
        <w:ind w:hanging="480"/>
        <w:rPr>
          <w:rFonts w:ascii="Times New Roman" w:hAnsi="Times New Roman" w:cs="Times New Roman"/>
          <w:lang w:val="en-GB"/>
        </w:rPr>
      </w:pPr>
      <w:r w:rsidRPr="00D565A7">
        <w:rPr>
          <w:rFonts w:ascii="Times New Roman" w:eastAsia="Times New Roman" w:hAnsi="Times New Roman" w:cs="Times New Roman"/>
          <w:lang w:val="en-GB" w:eastAsia="sv-SE"/>
        </w:rPr>
        <w:t xml:space="preserve">Jacobs, Lawrence R., and Desmond S. King. </w:t>
      </w:r>
      <w:r w:rsidR="00570F67" w:rsidRPr="00D565A7">
        <w:rPr>
          <w:rFonts w:ascii="Times New Roman" w:eastAsia="Times New Roman" w:hAnsi="Times New Roman" w:cs="Times New Roman"/>
          <w:lang w:val="en-GB" w:eastAsia="sv-SE"/>
        </w:rPr>
        <w:t>(</w:t>
      </w:r>
      <w:r w:rsidR="00570F67" w:rsidRPr="00F15905">
        <w:rPr>
          <w:rFonts w:ascii="Times New Roman" w:hAnsi="Times New Roman" w:cs="Times New Roman"/>
          <w:lang w:val="en-GB"/>
        </w:rPr>
        <w:t xml:space="preserve">2016) </w:t>
      </w:r>
      <w:r w:rsidR="00570F67" w:rsidRPr="00D565A7">
        <w:rPr>
          <w:rFonts w:ascii="Times New Roman" w:hAnsi="Times New Roman" w:cs="Times New Roman"/>
          <w:i/>
          <w:lang w:val="en-GB"/>
        </w:rPr>
        <w:t>Fed Power: How Finance Wins</w:t>
      </w:r>
      <w:r w:rsidR="00570F67" w:rsidRPr="00D565A7">
        <w:rPr>
          <w:rFonts w:ascii="Times New Roman" w:hAnsi="Times New Roman" w:cs="Times New Roman"/>
          <w:lang w:val="en-GB"/>
        </w:rPr>
        <w:t>, (Oxford: Oxford University Press)</w:t>
      </w:r>
    </w:p>
    <w:p w:rsidR="00D7700F" w:rsidRPr="00D565A7" w:rsidRDefault="00570F67" w:rsidP="00D565A7">
      <w:pPr>
        <w:ind w:hanging="480"/>
        <w:rPr>
          <w:rFonts w:ascii="Times New Roman" w:eastAsia="Times New Roman" w:hAnsi="Times New Roman" w:cs="Times New Roman"/>
          <w:lang w:val="en-GB" w:eastAsia="sv-SE"/>
        </w:rPr>
      </w:pPr>
      <w:r w:rsidRPr="00D565A7">
        <w:rPr>
          <w:rFonts w:ascii="Times New Roman" w:hAnsi="Times New Roman" w:cs="Times New Roman"/>
          <w:lang w:val="en-GB"/>
        </w:rPr>
        <w:t>James, Harold</w:t>
      </w:r>
      <w:r w:rsidR="00D7700F" w:rsidRPr="00D565A7">
        <w:rPr>
          <w:rFonts w:ascii="Times New Roman" w:hAnsi="Times New Roman" w:cs="Times New Roman"/>
          <w:lang w:val="en-GB"/>
        </w:rPr>
        <w:t xml:space="preserve">, (2009), </w:t>
      </w:r>
      <w:r w:rsidR="00D7700F" w:rsidRPr="00D565A7">
        <w:rPr>
          <w:rFonts w:ascii="Times New Roman" w:hAnsi="Times New Roman" w:cs="Times New Roman"/>
          <w:i/>
          <w:lang w:val="en-GB"/>
        </w:rPr>
        <w:t>The End of Globalization: lessons from the Great</w:t>
      </w:r>
      <w:r w:rsidR="00D7700F" w:rsidRPr="00D565A7">
        <w:rPr>
          <w:rFonts w:ascii="Times New Roman" w:hAnsi="Times New Roman" w:cs="Times New Roman"/>
          <w:lang w:val="en-GB"/>
        </w:rPr>
        <w:t xml:space="preserve"> </w:t>
      </w:r>
      <w:r w:rsidR="00D7700F" w:rsidRPr="00D565A7">
        <w:rPr>
          <w:rFonts w:ascii="Times New Roman" w:hAnsi="Times New Roman" w:cs="Times New Roman"/>
          <w:i/>
          <w:lang w:val="en-GB"/>
        </w:rPr>
        <w:t>Depression.</w:t>
      </w:r>
      <w:r w:rsidR="00D7700F" w:rsidRPr="00D565A7">
        <w:rPr>
          <w:rFonts w:ascii="Times New Roman" w:hAnsi="Times New Roman" w:cs="Times New Roman"/>
          <w:lang w:val="en-GB"/>
        </w:rPr>
        <w:t xml:space="preserve"> (Cambridge, Harvard University Press). </w:t>
      </w:r>
    </w:p>
    <w:p w:rsidR="00D7700F" w:rsidRPr="00D565A7" w:rsidRDefault="00570F67"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Kalaitzake, Manolis (2017)</w:t>
      </w:r>
      <w:r w:rsidR="00D7700F" w:rsidRPr="00D565A7">
        <w:rPr>
          <w:rFonts w:ascii="Times New Roman" w:eastAsia="Times New Roman" w:hAnsi="Times New Roman" w:cs="Times New Roman"/>
          <w:lang w:val="en-GB" w:eastAsia="sv-SE"/>
        </w:rPr>
        <w:t xml:space="preserve"> “Death by a Thousand Cuts? Financial Political Power and the Case of the European Financial Transaction Tax.”</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New Political Economy</w:t>
      </w:r>
      <w:r w:rsidRPr="00D565A7">
        <w:rPr>
          <w:rFonts w:ascii="Times New Roman" w:eastAsia="Times New Roman" w:hAnsi="Times New Roman" w:cs="Times New Roman"/>
          <w:i/>
          <w:iCs/>
          <w:lang w:val="en-GB" w:eastAsia="sv-SE"/>
        </w:rPr>
        <w:t>,</w:t>
      </w:r>
      <w:r w:rsidRPr="00D565A7">
        <w:rPr>
          <w:rFonts w:ascii="Times New Roman" w:eastAsia="Times New Roman" w:hAnsi="Times New Roman" w:cs="Times New Roman"/>
          <w:lang w:val="en-GB" w:eastAsia="sv-SE"/>
        </w:rPr>
        <w:t xml:space="preserve"> 22 (6),</w:t>
      </w:r>
      <w:r w:rsidR="00D7700F" w:rsidRPr="00D565A7">
        <w:rPr>
          <w:rFonts w:ascii="Times New Roman" w:eastAsia="Times New Roman" w:hAnsi="Times New Roman" w:cs="Times New Roman"/>
          <w:lang w:val="en-GB" w:eastAsia="sv-SE"/>
        </w:rPr>
        <w:t xml:space="preserve"> 709–726.</w:t>
      </w:r>
    </w:p>
    <w:p w:rsidR="00D7700F" w:rsidRPr="00D565A7" w:rsidRDefault="00570F67"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Kastner, Lisa (</w:t>
      </w:r>
      <w:r w:rsidR="00D7700F" w:rsidRPr="00D565A7">
        <w:rPr>
          <w:rFonts w:ascii="Times New Roman" w:eastAsia="Times New Roman" w:hAnsi="Times New Roman" w:cs="Times New Roman"/>
          <w:lang w:val="en-GB" w:eastAsia="sv-SE"/>
        </w:rPr>
        <w:t>2017</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“Business Lobbying under Salience – Financial Industry Mobilization against the European Financial Transaction Tax.”</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Journal of European Public Policy</w:t>
      </w:r>
      <w:r w:rsidRPr="00D565A7">
        <w:rPr>
          <w:rFonts w:ascii="Times New Roman" w:eastAsia="Times New Roman" w:hAnsi="Times New Roman" w:cs="Times New Roman"/>
          <w:lang w:val="en-GB" w:eastAsia="sv-SE"/>
        </w:rPr>
        <w:t xml:space="preserve">, </w:t>
      </w:r>
      <w:hyperlink r:id="rId12" w:history="1">
        <w:r w:rsidR="00D7700F" w:rsidRPr="00D565A7">
          <w:rPr>
            <w:rFonts w:ascii="Times New Roman" w:eastAsia="Times New Roman" w:hAnsi="Times New Roman" w:cs="Times New Roman"/>
            <w:color w:val="0000FF"/>
            <w:u w:val="single"/>
            <w:lang w:val="en-GB" w:eastAsia="sv-SE"/>
          </w:rPr>
          <w:t>https://doi.org/10.1080/13501763.2017.1330357</w:t>
        </w:r>
      </w:hyperlink>
      <w:r w:rsidR="00D7700F" w:rsidRPr="00D565A7">
        <w:rPr>
          <w:rFonts w:ascii="Times New Roman" w:eastAsia="Times New Roman" w:hAnsi="Times New Roman" w:cs="Times New Roman"/>
          <w:lang w:val="en-GB" w:eastAsia="sv-SE"/>
        </w:rPr>
        <w:t>.</w:t>
      </w:r>
    </w:p>
    <w:p w:rsidR="00570F67" w:rsidRPr="00D565A7" w:rsidRDefault="00570F67"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Knafo, Samuel (2013)</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The Making of Modern Finance: Liberal Governance and the Gold Standard</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London: Routledge</w:t>
      </w:r>
      <w:r w:rsidRPr="00D565A7">
        <w:rPr>
          <w:rFonts w:ascii="Times New Roman" w:eastAsia="Times New Roman" w:hAnsi="Times New Roman" w:cs="Times New Roman"/>
          <w:lang w:val="en-GB" w:eastAsia="sv-SE"/>
        </w:rPr>
        <w:t>).</w:t>
      </w:r>
    </w:p>
    <w:p w:rsidR="00D7700F" w:rsidRPr="00D565A7" w:rsidRDefault="00570F67"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Kwak, James</w:t>
      </w:r>
      <w:r w:rsidR="00D7700F" w:rsidRPr="00F15905">
        <w:rPr>
          <w:rFonts w:ascii="Times New Roman" w:hAnsi="Times New Roman" w:cs="Times New Roman"/>
          <w:lang w:val="en-GB"/>
        </w:rPr>
        <w:t xml:space="preserve">, 2013. </w:t>
      </w:r>
      <w:r w:rsidR="00D7700F" w:rsidRPr="00D565A7">
        <w:rPr>
          <w:rFonts w:ascii="Times New Roman" w:hAnsi="Times New Roman" w:cs="Times New Roman"/>
          <w:lang w:val="en-GB"/>
        </w:rPr>
        <w:t xml:space="preserve">“Cultural Capture and the Financial Crisis”, in: Carpenter, D., Moss, D.A. (Eds.), </w:t>
      </w:r>
      <w:r w:rsidR="00D7700F" w:rsidRPr="00D565A7">
        <w:rPr>
          <w:rFonts w:ascii="Times New Roman" w:hAnsi="Times New Roman" w:cs="Times New Roman"/>
          <w:i/>
          <w:lang w:val="en-GB"/>
        </w:rPr>
        <w:t>Preventing Regulatory Capture: Special Interest Influence and How to Limit It</w:t>
      </w:r>
      <w:r w:rsidR="00D7700F" w:rsidRPr="00D565A7">
        <w:rPr>
          <w:rFonts w:ascii="Times New Roman" w:hAnsi="Times New Roman" w:cs="Times New Roman"/>
          <w:lang w:val="en-GB"/>
        </w:rPr>
        <w:t xml:space="preserve">. </w:t>
      </w:r>
      <w:r w:rsidRPr="00D565A7">
        <w:rPr>
          <w:rFonts w:ascii="Times New Roman" w:hAnsi="Times New Roman" w:cs="Times New Roman"/>
          <w:lang w:val="en-GB"/>
        </w:rPr>
        <w:t>(New York: Cambridge University Press)</w:t>
      </w:r>
      <w:r w:rsidR="00D7700F" w:rsidRPr="00D565A7">
        <w:rPr>
          <w:rFonts w:ascii="Times New Roman" w:hAnsi="Times New Roman" w:cs="Times New Roman"/>
          <w:lang w:val="en-GB"/>
        </w:rPr>
        <w:t xml:space="preserve"> pp. 71–98.</w:t>
      </w:r>
    </w:p>
    <w:p w:rsidR="00570F67" w:rsidRPr="00D565A7" w:rsidRDefault="00D7700F" w:rsidP="00570F67">
      <w:pPr>
        <w:ind w:hanging="480"/>
        <w:rPr>
          <w:rFonts w:ascii="Times New Roman" w:hAnsi="Times New Roman" w:cs="Times New Roman"/>
          <w:lang w:val="en-GB"/>
        </w:rPr>
      </w:pPr>
      <w:r w:rsidRPr="00D565A7">
        <w:rPr>
          <w:rFonts w:ascii="Times New Roman" w:eastAsia="Times New Roman" w:hAnsi="Times New Roman" w:cs="Times New Roman"/>
          <w:lang w:val="en-GB" w:eastAsia="sv-SE"/>
        </w:rPr>
        <w:lastRenderedPageBreak/>
        <w:t xml:space="preserve">Kydland, Finn E., and Edward C. Prescott. </w:t>
      </w:r>
      <w:r w:rsidR="00570F67" w:rsidRPr="00F15905">
        <w:rPr>
          <w:rFonts w:ascii="Times New Roman" w:hAnsi="Times New Roman" w:cs="Times New Roman"/>
          <w:lang w:val="en-GB"/>
        </w:rPr>
        <w:t xml:space="preserve">(1977),“Rules rather than discretion: The inconsistency of optimal plans”, </w:t>
      </w:r>
      <w:r w:rsidR="00570F67" w:rsidRPr="00D565A7">
        <w:rPr>
          <w:rFonts w:ascii="Times New Roman" w:hAnsi="Times New Roman" w:cs="Times New Roman"/>
          <w:i/>
          <w:iCs/>
          <w:lang w:val="en-GB"/>
        </w:rPr>
        <w:t xml:space="preserve">The Journal of Political Economy, </w:t>
      </w:r>
      <w:r w:rsidR="00570F67" w:rsidRPr="00D565A7">
        <w:rPr>
          <w:rFonts w:ascii="Times New Roman" w:hAnsi="Times New Roman" w:cs="Times New Roman"/>
          <w:lang w:val="en-GB"/>
        </w:rPr>
        <w:t>85(3)</w:t>
      </w:r>
      <w:r w:rsidR="00570F67" w:rsidRPr="00D565A7">
        <w:rPr>
          <w:rFonts w:ascii="Times New Roman" w:hAnsi="Times New Roman" w:cs="Times New Roman"/>
          <w:i/>
          <w:iCs/>
          <w:lang w:val="en-GB"/>
        </w:rPr>
        <w:t xml:space="preserve">, </w:t>
      </w:r>
      <w:r w:rsidR="00570F67" w:rsidRPr="00D565A7">
        <w:rPr>
          <w:rFonts w:ascii="Times New Roman" w:hAnsi="Times New Roman" w:cs="Times New Roman"/>
          <w:lang w:val="en-GB"/>
        </w:rPr>
        <w:t>473–491.</w:t>
      </w:r>
    </w:p>
    <w:p w:rsidR="00D7700F" w:rsidRPr="00D565A7" w:rsidRDefault="00D7700F" w:rsidP="00570F67">
      <w:pPr>
        <w:ind w:hanging="480"/>
        <w:rPr>
          <w:rFonts w:ascii="Times New Roman" w:hAnsi="Times New Roman" w:cs="Times New Roman"/>
          <w:lang w:val="en-GB"/>
        </w:rPr>
      </w:pPr>
      <w:r w:rsidRPr="00D565A7">
        <w:rPr>
          <w:rFonts w:ascii="Times New Roman" w:hAnsi="Times New Roman" w:cs="Times New Roman"/>
          <w:lang w:val="en-GB"/>
        </w:rPr>
        <w:t xml:space="preserve">Liikanen E., et al., (2012), “Final Report of the high- level expert group on reforming the structure of the EU banking sector”, </w:t>
      </w:r>
      <w:r w:rsidRPr="00D565A7">
        <w:rPr>
          <w:rFonts w:ascii="Times New Roman" w:hAnsi="Times New Roman" w:cs="Times New Roman"/>
          <w:i/>
          <w:lang w:val="en-GB"/>
        </w:rPr>
        <w:t>European Commission</w:t>
      </w:r>
      <w:r w:rsidRPr="00D565A7">
        <w:rPr>
          <w:rFonts w:ascii="Times New Roman" w:hAnsi="Times New Roman" w:cs="Times New Roman"/>
          <w:lang w:val="en-GB"/>
        </w:rPr>
        <w:t>, 2 October</w:t>
      </w:r>
    </w:p>
    <w:p w:rsidR="00570F67" w:rsidRPr="00D565A7" w:rsidRDefault="00D7700F"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Lütz, Susanne, and Matthias Kranke. 2014. “The European Rescue of the Washington Consensus? EU and IMF Lending to Central and Eastern European Countries.”</w:t>
      </w:r>
      <w:r w:rsidR="00570F67"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Review of International Political Economy</w:t>
      </w:r>
      <w:r w:rsidR="00570F67" w:rsidRPr="00D565A7">
        <w:rPr>
          <w:rFonts w:ascii="Times New Roman" w:eastAsia="Times New Roman" w:hAnsi="Times New Roman" w:cs="Times New Roman"/>
          <w:i/>
          <w:iCs/>
          <w:lang w:val="en-GB" w:eastAsia="sv-SE"/>
        </w:rPr>
        <w:t>,</w:t>
      </w:r>
      <w:r w:rsidR="00570F67" w:rsidRPr="00D565A7">
        <w:rPr>
          <w:rFonts w:ascii="Times New Roman" w:eastAsia="Times New Roman" w:hAnsi="Times New Roman" w:cs="Times New Roman"/>
          <w:lang w:val="en-GB" w:eastAsia="sv-SE"/>
        </w:rPr>
        <w:t xml:space="preserve"> 21 (2), 310–38</w:t>
      </w:r>
    </w:p>
    <w:p w:rsidR="00D7700F" w:rsidRPr="00D565A7" w:rsidRDefault="00F1291D" w:rsidP="00D565A7">
      <w:pPr>
        <w:ind w:hanging="480"/>
        <w:rPr>
          <w:rFonts w:ascii="Times New Roman" w:eastAsia="Times New Roman" w:hAnsi="Times New Roman" w:cs="Times New Roman"/>
          <w:lang w:val="en-GB" w:eastAsia="sv-SE"/>
        </w:rPr>
      </w:pPr>
      <w:r w:rsidRPr="00D565A7">
        <w:rPr>
          <w:rFonts w:ascii="Times New Roman" w:hAnsi="Times New Roman" w:cs="Times New Roman"/>
          <w:lang w:val="en-GB"/>
        </w:rPr>
        <w:t>Marcussen, Martin (2009)</w:t>
      </w:r>
      <w:r w:rsidR="00D7700F" w:rsidRPr="00D565A7">
        <w:rPr>
          <w:rFonts w:ascii="Times New Roman" w:hAnsi="Times New Roman" w:cs="Times New Roman"/>
          <w:lang w:val="en-GB"/>
        </w:rPr>
        <w:t xml:space="preserve"> “Scientization of Central Banking: The Politics of</w:t>
      </w:r>
      <w:r w:rsidRPr="00D565A7">
        <w:rPr>
          <w:rFonts w:ascii="Times New Roman" w:hAnsi="Times New Roman" w:cs="Times New Roman"/>
          <w:lang w:val="en-GB"/>
        </w:rPr>
        <w:t xml:space="preserve"> A-Politicization” I</w:t>
      </w:r>
      <w:r w:rsidR="00570F67" w:rsidRPr="00D565A7">
        <w:rPr>
          <w:rFonts w:ascii="Times New Roman" w:hAnsi="Times New Roman" w:cs="Times New Roman"/>
          <w:lang w:val="en-GB"/>
        </w:rPr>
        <w:t>n Dyson, Kenneth and Marcussen, Martin</w:t>
      </w:r>
      <w:r w:rsidR="00D7700F" w:rsidRPr="00D565A7">
        <w:rPr>
          <w:rFonts w:ascii="Times New Roman" w:hAnsi="Times New Roman" w:cs="Times New Roman"/>
          <w:lang w:val="en-GB"/>
        </w:rPr>
        <w:t xml:space="preserve">, </w:t>
      </w:r>
      <w:r w:rsidR="00D7700F" w:rsidRPr="00D565A7">
        <w:rPr>
          <w:rFonts w:ascii="Times New Roman" w:hAnsi="Times New Roman" w:cs="Times New Roman"/>
          <w:i/>
          <w:iCs/>
          <w:lang w:val="en-GB"/>
        </w:rPr>
        <w:t>Central Banks in the Age of the Euro</w:t>
      </w:r>
      <w:r w:rsidR="00D7700F" w:rsidRPr="00D565A7">
        <w:rPr>
          <w:rFonts w:ascii="Times New Roman" w:hAnsi="Times New Roman" w:cs="Times New Roman"/>
          <w:lang w:val="en-GB"/>
        </w:rPr>
        <w:t>, (Oxford: Oxford University Press373-391</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Matthijs, </w:t>
      </w:r>
      <w:r w:rsidR="00F1291D" w:rsidRPr="00D565A7">
        <w:rPr>
          <w:rFonts w:ascii="Times New Roman" w:eastAsia="Times New Roman" w:hAnsi="Times New Roman" w:cs="Times New Roman"/>
          <w:lang w:val="en-GB" w:eastAsia="sv-SE"/>
        </w:rPr>
        <w:t>Matthias, and Kathleen McNamara</w:t>
      </w:r>
      <w:r w:rsidRPr="00D565A7">
        <w:rPr>
          <w:rFonts w:ascii="Times New Roman" w:eastAsia="Times New Roman" w:hAnsi="Times New Roman" w:cs="Times New Roman"/>
          <w:lang w:val="en-GB" w:eastAsia="sv-SE"/>
        </w:rPr>
        <w:t xml:space="preserve"> </w:t>
      </w:r>
      <w:r w:rsidR="00F1291D" w:rsidRPr="00D565A7">
        <w:rPr>
          <w:rFonts w:ascii="Times New Roman" w:eastAsia="Times New Roman" w:hAnsi="Times New Roman" w:cs="Times New Roman"/>
          <w:lang w:val="en-GB" w:eastAsia="sv-SE"/>
        </w:rPr>
        <w:t>(2015)</w:t>
      </w:r>
      <w:r w:rsidRPr="00D565A7">
        <w:rPr>
          <w:rFonts w:ascii="Times New Roman" w:eastAsia="Times New Roman" w:hAnsi="Times New Roman" w:cs="Times New Roman"/>
          <w:lang w:val="en-GB" w:eastAsia="sv-SE"/>
        </w:rPr>
        <w:t xml:space="preserve"> “The Euro Crisis’ Theory Effect: Northern Saints, Southern Sinners, and the Demise of the Eurobond.”</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Journal of European Integration</w:t>
      </w:r>
      <w:r w:rsidR="00F1291D" w:rsidRPr="00D565A7">
        <w:rPr>
          <w:rFonts w:ascii="Times New Roman" w:eastAsia="Times New Roman" w:hAnsi="Times New Roman" w:cs="Times New Roman"/>
          <w:i/>
          <w:iCs/>
          <w:lang w:val="en-GB" w:eastAsia="sv-SE"/>
        </w:rPr>
        <w:t>,</w:t>
      </w:r>
      <w:r w:rsidR="00F1291D" w:rsidRPr="00D565A7">
        <w:rPr>
          <w:rFonts w:ascii="Times New Roman" w:eastAsia="Times New Roman" w:hAnsi="Times New Roman" w:cs="Times New Roman"/>
          <w:lang w:val="en-GB" w:eastAsia="sv-SE"/>
        </w:rPr>
        <w:t xml:space="preserve"> 37 (2),</w:t>
      </w:r>
      <w:r w:rsidRPr="00D565A7">
        <w:rPr>
          <w:rFonts w:ascii="Times New Roman" w:eastAsia="Times New Roman" w:hAnsi="Times New Roman" w:cs="Times New Roman"/>
          <w:lang w:val="en-GB" w:eastAsia="sv-SE"/>
        </w:rPr>
        <w:t xml:space="preserve"> 229–45. </w:t>
      </w:r>
    </w:p>
    <w:p w:rsidR="00F1291D" w:rsidRPr="00D565A7" w:rsidRDefault="00F1291D"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McNamara, Kathleen (2002)</w:t>
      </w:r>
      <w:r w:rsidR="00D7700F" w:rsidRPr="00D565A7">
        <w:rPr>
          <w:rFonts w:ascii="Times New Roman" w:eastAsia="Times New Roman" w:hAnsi="Times New Roman" w:cs="Times New Roman"/>
          <w:lang w:val="en-GB" w:eastAsia="sv-SE"/>
        </w:rPr>
        <w:t xml:space="preserve"> “Rational Fictions: Central Bank Independence and the Social Logic of Delegation.”</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West European Politics</w:t>
      </w:r>
      <w:r w:rsidRPr="00D565A7">
        <w:rPr>
          <w:rFonts w:ascii="Times New Roman" w:eastAsia="Times New Roman" w:hAnsi="Times New Roman" w:cs="Times New Roman"/>
          <w:i/>
          <w:iCs/>
          <w:lang w:val="en-GB" w:eastAsia="sv-SE"/>
        </w:rPr>
        <w:t>,</w:t>
      </w:r>
      <w:r w:rsidRPr="00D565A7">
        <w:rPr>
          <w:rFonts w:ascii="Times New Roman" w:eastAsia="Times New Roman" w:hAnsi="Times New Roman" w:cs="Times New Roman"/>
          <w:lang w:val="en-GB" w:eastAsia="sv-SE"/>
        </w:rPr>
        <w:t xml:space="preserve"> 25 (1), 47–76.</w:t>
      </w:r>
    </w:p>
    <w:p w:rsidR="00F1291D" w:rsidRPr="00D565A7" w:rsidRDefault="00F1291D" w:rsidP="00D565A7">
      <w:pPr>
        <w:ind w:hanging="480"/>
        <w:rPr>
          <w:rFonts w:ascii="Times New Roman" w:eastAsia="Times New Roman" w:hAnsi="Times New Roman" w:cs="Times New Roman"/>
          <w:lang w:val="en-GB" w:eastAsia="sv-SE"/>
        </w:rPr>
      </w:pPr>
      <w:r w:rsidRPr="00D565A7">
        <w:rPr>
          <w:rFonts w:ascii="Times New Roman" w:hAnsi="Times New Roman" w:cs="Times New Roman"/>
          <w:lang w:val="en-GB"/>
        </w:rPr>
        <w:t>McPhilemy, Samuel (2016)</w:t>
      </w:r>
      <w:r w:rsidR="00D7700F" w:rsidRPr="00D565A7">
        <w:rPr>
          <w:rFonts w:ascii="Times New Roman" w:hAnsi="Times New Roman" w:cs="Times New Roman"/>
          <w:lang w:val="en-GB"/>
        </w:rPr>
        <w:t xml:space="preserve"> “Integrating macro-prudential policy: central banks as the ‘third force’in EU financial reform”, </w:t>
      </w:r>
      <w:r w:rsidR="00D7700F" w:rsidRPr="00D565A7">
        <w:rPr>
          <w:rFonts w:ascii="Times New Roman" w:hAnsi="Times New Roman" w:cs="Times New Roman"/>
          <w:i/>
          <w:lang w:val="en-GB"/>
        </w:rPr>
        <w:t>West European Politics</w:t>
      </w:r>
      <w:r w:rsidRPr="00D565A7">
        <w:rPr>
          <w:rFonts w:ascii="Times New Roman" w:hAnsi="Times New Roman" w:cs="Times New Roman"/>
          <w:lang w:val="en-GB"/>
        </w:rPr>
        <w:t>, 39(3),</w:t>
      </w:r>
      <w:r w:rsidR="00D7700F" w:rsidRPr="00D565A7">
        <w:rPr>
          <w:rFonts w:ascii="Times New Roman" w:hAnsi="Times New Roman" w:cs="Times New Roman"/>
          <w:lang w:val="en-GB"/>
        </w:rPr>
        <w:t xml:space="preserve"> 526-544.</w:t>
      </w:r>
    </w:p>
    <w:p w:rsidR="00F1291D" w:rsidRPr="00D565A7" w:rsidRDefault="00F1291D"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Mehrling, Perry </w:t>
      </w:r>
      <w:r w:rsidRPr="00D565A7">
        <w:rPr>
          <w:rFonts w:ascii="Times New Roman" w:hAnsi="Times New Roman" w:cs="Times New Roman"/>
          <w:lang w:val="en-GB"/>
        </w:rPr>
        <w:t>(2010)</w:t>
      </w:r>
      <w:r w:rsidRPr="00D565A7">
        <w:rPr>
          <w:rFonts w:ascii="Times New Roman" w:hAnsi="Times New Roman" w:cs="Times New Roman"/>
          <w:i/>
          <w:iCs/>
          <w:lang w:val="en-GB"/>
        </w:rPr>
        <w:t xml:space="preserve"> The New Lombard Street: How the Fed Became the Dealer of Last Resort,</w:t>
      </w:r>
      <w:r w:rsidRPr="00D565A7">
        <w:rPr>
          <w:rFonts w:ascii="Times New Roman" w:hAnsi="Times New Roman" w:cs="Times New Roman"/>
          <w:lang w:val="en-GB"/>
        </w:rPr>
        <w:t xml:space="preserve"> (Princeton: Princeton University Press).</w:t>
      </w:r>
    </w:p>
    <w:p w:rsidR="00F1291D" w:rsidRPr="00D565A7" w:rsidRDefault="00D7700F" w:rsidP="00F1291D">
      <w:pPr>
        <w:ind w:hanging="480"/>
        <w:rPr>
          <w:rFonts w:ascii="Times New Roman" w:hAnsi="Times New Roman" w:cs="Times New Roman"/>
          <w:lang w:val="en-GB"/>
        </w:rPr>
      </w:pPr>
      <w:r w:rsidRPr="00D565A7">
        <w:rPr>
          <w:rFonts w:ascii="Times New Roman" w:hAnsi="Times New Roman" w:cs="Times New Roman"/>
          <w:lang w:val="en-GB"/>
        </w:rPr>
        <w:t xml:space="preserve">Mnyanda, L., (2015), “Portugal Bonds Hurt by Politics May Face QE Eligibility Headwind”, </w:t>
      </w:r>
      <w:r w:rsidRPr="00D565A7">
        <w:rPr>
          <w:rFonts w:ascii="Times New Roman" w:hAnsi="Times New Roman" w:cs="Times New Roman"/>
          <w:i/>
          <w:lang w:val="en-GB"/>
        </w:rPr>
        <w:t>Bloomberg.com</w:t>
      </w:r>
      <w:r w:rsidRPr="00D565A7">
        <w:rPr>
          <w:rFonts w:ascii="Times New Roman" w:hAnsi="Times New Roman" w:cs="Times New Roman"/>
          <w:lang w:val="en-GB"/>
        </w:rPr>
        <w:t>, 11 November, http://www.bloomberg.com/news/articles/2015-11-11/portugal-bonds-hurt-by-politics-may-face-qe-eligibility-headwind</w:t>
      </w:r>
      <w:r w:rsidR="00F1291D" w:rsidRPr="00D565A7">
        <w:rPr>
          <w:rFonts w:ascii="Times New Roman" w:hAnsi="Times New Roman" w:cs="Times New Roman"/>
          <w:lang w:val="en-GB"/>
        </w:rPr>
        <w:t>, accessed on 04/29/2016</w:t>
      </w:r>
    </w:p>
    <w:p w:rsidR="00D7700F" w:rsidRPr="00F15905" w:rsidRDefault="00D7700F" w:rsidP="00F1291D">
      <w:pPr>
        <w:ind w:hanging="480"/>
        <w:rPr>
          <w:rFonts w:ascii="Times New Roman" w:hAnsi="Times New Roman" w:cs="Times New Roman"/>
          <w:lang w:val="en-GB"/>
        </w:rPr>
      </w:pPr>
      <w:r w:rsidRPr="00D565A7">
        <w:rPr>
          <w:rFonts w:ascii="Times New Roman" w:eastAsia="Times New Roman" w:hAnsi="Times New Roman" w:cs="Times New Roman"/>
          <w:lang w:val="en-GB" w:eastAsia="sv-SE"/>
        </w:rPr>
        <w:t xml:space="preserve">Mudge, Stephanie L., and Antoine Vauchez. </w:t>
      </w:r>
      <w:r w:rsidR="00F1291D" w:rsidRPr="00D565A7">
        <w:rPr>
          <w:rFonts w:ascii="Times New Roman" w:hAnsi="Times New Roman" w:cs="Times New Roman"/>
          <w:lang w:val="en-GB"/>
        </w:rPr>
        <w:t xml:space="preserve">(2016), “Fielding supranationalism: the European Central Bank as a field effect”, </w:t>
      </w:r>
      <w:r w:rsidR="00F1291D" w:rsidRPr="00D565A7">
        <w:rPr>
          <w:rFonts w:ascii="Times New Roman" w:hAnsi="Times New Roman" w:cs="Times New Roman"/>
          <w:i/>
          <w:lang w:val="en-GB"/>
        </w:rPr>
        <w:t>The Sociological Review Monographs</w:t>
      </w:r>
      <w:r w:rsidR="00F1291D" w:rsidRPr="00D565A7">
        <w:rPr>
          <w:rFonts w:ascii="Times New Roman" w:hAnsi="Times New Roman" w:cs="Times New Roman"/>
          <w:lang w:val="en-GB"/>
        </w:rPr>
        <w:t>, 64(2), 146-169</w:t>
      </w:r>
      <w:r w:rsidRPr="00F15905">
        <w:rPr>
          <w:rFonts w:ascii="Times New Roman" w:hAnsi="Times New Roman" w:cs="Times New Roman"/>
          <w:lang w:val="en-GB"/>
        </w:rPr>
        <w:t xml:space="preserve"> </w:t>
      </w:r>
    </w:p>
    <w:p w:rsidR="00F1291D" w:rsidRPr="00D565A7" w:rsidRDefault="00F1291D"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Mügge, Daniel (2011)</w:t>
      </w:r>
      <w:r w:rsidR="00D7700F" w:rsidRPr="00D565A7">
        <w:rPr>
          <w:rFonts w:ascii="Times New Roman" w:eastAsia="Times New Roman" w:hAnsi="Times New Roman" w:cs="Times New Roman"/>
          <w:lang w:val="en-GB" w:eastAsia="sv-SE"/>
        </w:rPr>
        <w:t xml:space="preserve"> “From Pragmatism to Dogmatism: European Union Governance, Policy Paradigms and Financial Meltdown.”</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New Political Economy</w:t>
      </w:r>
      <w:r w:rsidRPr="00D565A7">
        <w:rPr>
          <w:rFonts w:ascii="Times New Roman" w:eastAsia="Times New Roman" w:hAnsi="Times New Roman" w:cs="Times New Roman"/>
          <w:i/>
          <w:iCs/>
          <w:lang w:val="en-GB" w:eastAsia="sv-SE"/>
        </w:rPr>
        <w:t>,</w:t>
      </w:r>
      <w:r w:rsidRPr="00D565A7">
        <w:rPr>
          <w:rFonts w:ascii="Times New Roman" w:eastAsia="Times New Roman" w:hAnsi="Times New Roman" w:cs="Times New Roman"/>
          <w:lang w:val="en-GB" w:eastAsia="sv-SE"/>
        </w:rPr>
        <w:t xml:space="preserve"> 16 (2),</w:t>
      </w:r>
      <w:r w:rsidR="00D7700F" w:rsidRPr="00D565A7">
        <w:rPr>
          <w:rFonts w:ascii="Times New Roman" w:eastAsia="Times New Roman" w:hAnsi="Times New Roman" w:cs="Times New Roman"/>
          <w:lang w:val="en-GB" w:eastAsia="sv-SE"/>
        </w:rPr>
        <w:t xml:space="preserve"> 185–206. </w:t>
      </w:r>
    </w:p>
    <w:p w:rsidR="00F1291D" w:rsidRPr="00D565A7" w:rsidRDefault="00D7700F"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Noon</w:t>
      </w:r>
      <w:r w:rsidR="00F1291D" w:rsidRPr="00F15905">
        <w:rPr>
          <w:rFonts w:ascii="Times New Roman" w:hAnsi="Times New Roman" w:cs="Times New Roman"/>
          <w:lang w:val="en-GB"/>
        </w:rPr>
        <w:t>an, L., Binham, C., Shooter, J. (2016)</w:t>
      </w:r>
      <w:r w:rsidRPr="00D565A7">
        <w:rPr>
          <w:rFonts w:ascii="Times New Roman" w:hAnsi="Times New Roman" w:cs="Times New Roman"/>
          <w:lang w:val="en-GB"/>
        </w:rPr>
        <w:t xml:space="preserve"> “Deutsche Bank received special treatment in EU stress tests”, </w:t>
      </w:r>
      <w:r w:rsidRPr="00D565A7">
        <w:rPr>
          <w:rFonts w:ascii="Times New Roman" w:hAnsi="Times New Roman" w:cs="Times New Roman"/>
          <w:i/>
          <w:lang w:val="en-GB"/>
        </w:rPr>
        <w:t xml:space="preserve">Financial Times, </w:t>
      </w:r>
      <w:r w:rsidR="00F1291D" w:rsidRPr="00D565A7">
        <w:rPr>
          <w:rFonts w:ascii="Times New Roman" w:hAnsi="Times New Roman" w:cs="Times New Roman"/>
          <w:lang w:val="en-GB"/>
        </w:rPr>
        <w:t>10</w:t>
      </w:r>
      <w:r w:rsidR="00F1291D" w:rsidRPr="00D565A7">
        <w:rPr>
          <w:rFonts w:ascii="Times New Roman" w:hAnsi="Times New Roman" w:cs="Times New Roman"/>
          <w:i/>
          <w:lang w:val="en-GB"/>
        </w:rPr>
        <w:t xml:space="preserve"> </w:t>
      </w:r>
      <w:r w:rsidR="00F1291D" w:rsidRPr="00D565A7">
        <w:rPr>
          <w:rFonts w:ascii="Times New Roman" w:hAnsi="Times New Roman" w:cs="Times New Roman"/>
          <w:lang w:val="en-GB"/>
        </w:rPr>
        <w:t>October</w:t>
      </w:r>
    </w:p>
    <w:p w:rsidR="00D7700F" w:rsidRPr="00D565A7" w:rsidRDefault="00F1291D" w:rsidP="00D565A7">
      <w:pPr>
        <w:ind w:hanging="480"/>
        <w:rPr>
          <w:rFonts w:ascii="Times New Roman" w:eastAsia="Times New Roman" w:hAnsi="Times New Roman" w:cs="Times New Roman"/>
          <w:lang w:val="en-GB" w:eastAsia="sv-SE"/>
        </w:rPr>
      </w:pPr>
      <w:r w:rsidRPr="00F15905">
        <w:rPr>
          <w:rFonts w:ascii="Times New Roman" w:hAnsi="Times New Roman" w:cs="Times New Roman"/>
          <w:lang w:val="en-GB"/>
        </w:rPr>
        <w:t xml:space="preserve">OECD (2015) </w:t>
      </w:r>
      <w:r w:rsidR="00D7700F" w:rsidRPr="00D565A7">
        <w:rPr>
          <w:rFonts w:ascii="Times New Roman" w:hAnsi="Times New Roman" w:cs="Times New Roman"/>
          <w:i/>
          <w:iCs/>
          <w:lang w:val="en-GB"/>
        </w:rPr>
        <w:t>OECD Economic Outlook</w:t>
      </w:r>
      <w:r w:rsidR="00D7700F" w:rsidRPr="00D565A7">
        <w:rPr>
          <w:rFonts w:ascii="Times New Roman" w:hAnsi="Times New Roman" w:cs="Times New Roman"/>
          <w:lang w:val="en-GB"/>
        </w:rPr>
        <w:t>, Vol.1, Paris.</w:t>
      </w:r>
    </w:p>
    <w:p w:rsidR="00F1291D" w:rsidRPr="00D565A7" w:rsidRDefault="00F1291D"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Orenstein, Mitchell Alexander</w:t>
      </w:r>
      <w:r w:rsidR="00D7700F" w:rsidRPr="00D565A7">
        <w:rPr>
          <w:rFonts w:ascii="Times New Roman" w:eastAsia="Times New Roman" w:hAnsi="Times New Roman" w:cs="Times New Roman"/>
          <w:lang w:val="en-GB" w:eastAsia="sv-SE"/>
        </w:rPr>
        <w:t xml:space="preserve"> </w:t>
      </w:r>
      <w:r w:rsidRPr="00F15905">
        <w:rPr>
          <w:rFonts w:ascii="Times New Roman" w:hAnsi="Times New Roman" w:cs="Times New Roman"/>
          <w:lang w:val="en-GB"/>
        </w:rPr>
        <w:t xml:space="preserve">(2008) </w:t>
      </w:r>
      <w:r w:rsidRPr="00F15905">
        <w:rPr>
          <w:rFonts w:ascii="Times New Roman" w:hAnsi="Times New Roman" w:cs="Times New Roman"/>
          <w:i/>
          <w:iCs/>
          <w:lang w:val="en-GB"/>
        </w:rPr>
        <w:t>Privatizing pensions: the transnational campaign for s</w:t>
      </w:r>
      <w:r w:rsidRPr="00D565A7">
        <w:rPr>
          <w:rFonts w:ascii="Times New Roman" w:hAnsi="Times New Roman" w:cs="Times New Roman"/>
          <w:i/>
          <w:iCs/>
          <w:lang w:val="en-GB"/>
        </w:rPr>
        <w:t>ocial security reform</w:t>
      </w:r>
      <w:r w:rsidRPr="00D565A7">
        <w:rPr>
          <w:rFonts w:ascii="Times New Roman" w:hAnsi="Times New Roman" w:cs="Times New Roman"/>
          <w:lang w:val="en-GB"/>
        </w:rPr>
        <w:t>, (Princeton, Princeton University Press).</w:t>
      </w:r>
    </w:p>
    <w:p w:rsidR="00D7700F" w:rsidRPr="00D565A7" w:rsidRDefault="00D7700F" w:rsidP="00D565A7">
      <w:pPr>
        <w:ind w:hanging="480"/>
        <w:rPr>
          <w:rFonts w:ascii="Times New Roman" w:eastAsia="Times New Roman" w:hAnsi="Times New Roman" w:cs="Times New Roman"/>
          <w:lang w:val="en-GB" w:eastAsia="sv-SE"/>
        </w:rPr>
      </w:pPr>
      <w:r w:rsidRPr="00F15905">
        <w:rPr>
          <w:rFonts w:ascii="Times New Roman" w:eastAsia="Times New Roman" w:hAnsi="Times New Roman" w:cs="Times New Roman"/>
          <w:color w:val="auto"/>
          <w:lang w:val="en-GB" w:eastAsia="en-GB" w:bidi="ar-SA"/>
        </w:rPr>
        <w:t>Peroni, Giulio (2017), “The European C</w:t>
      </w:r>
      <w:r w:rsidRPr="00D565A7">
        <w:rPr>
          <w:rFonts w:ascii="Times New Roman" w:eastAsia="Times New Roman" w:hAnsi="Times New Roman" w:cs="Times New Roman"/>
          <w:color w:val="auto"/>
          <w:lang w:val="en-GB" w:eastAsia="en-GB" w:bidi="ar-SA"/>
        </w:rPr>
        <w:t>entral Bank (ECB) and European Democracy: A Technocratic Institution to Rule All E</w:t>
      </w:r>
      <w:r w:rsidR="00F1291D" w:rsidRPr="00D565A7">
        <w:rPr>
          <w:rFonts w:ascii="Times New Roman" w:eastAsia="Times New Roman" w:hAnsi="Times New Roman" w:cs="Times New Roman"/>
          <w:color w:val="auto"/>
          <w:lang w:val="en-GB" w:eastAsia="en-GB" w:bidi="ar-SA"/>
        </w:rPr>
        <w:t>uropean States?”. In Daniele, Luigi</w:t>
      </w:r>
      <w:r w:rsidRPr="00D565A7">
        <w:rPr>
          <w:rFonts w:ascii="Times New Roman" w:eastAsia="Times New Roman" w:hAnsi="Times New Roman" w:cs="Times New Roman"/>
          <w:color w:val="auto"/>
          <w:lang w:val="en-GB" w:eastAsia="en-GB" w:bidi="ar-SA"/>
        </w:rPr>
        <w:t xml:space="preserve"> </w:t>
      </w:r>
      <w:r w:rsidRPr="00D565A7">
        <w:rPr>
          <w:rFonts w:ascii="Times New Roman" w:eastAsia="Times New Roman" w:hAnsi="Times New Roman" w:cs="Times New Roman"/>
          <w:i/>
          <w:color w:val="auto"/>
          <w:lang w:val="en-GB" w:eastAsia="en-GB" w:bidi="ar-SA"/>
        </w:rPr>
        <w:t>et al</w:t>
      </w:r>
      <w:r w:rsidRPr="00D565A7">
        <w:rPr>
          <w:rFonts w:ascii="Times New Roman" w:eastAsia="Times New Roman" w:hAnsi="Times New Roman" w:cs="Times New Roman"/>
          <w:color w:val="auto"/>
          <w:lang w:val="en-GB" w:eastAsia="en-GB" w:bidi="ar-SA"/>
        </w:rPr>
        <w:t xml:space="preserve">,   </w:t>
      </w:r>
      <w:r w:rsidRPr="00D565A7">
        <w:rPr>
          <w:rFonts w:ascii="Times New Roman" w:eastAsia="Times New Roman" w:hAnsi="Times New Roman" w:cs="Times New Roman"/>
          <w:i/>
          <w:iCs/>
          <w:color w:val="auto"/>
          <w:lang w:val="en-GB" w:eastAsia="en-GB" w:bidi="ar-SA"/>
        </w:rPr>
        <w:t>Democracy in the EMU in the Aftermath of the Crisis</w:t>
      </w:r>
      <w:r w:rsidR="00F1291D" w:rsidRPr="00D565A7">
        <w:rPr>
          <w:rFonts w:ascii="Times New Roman" w:eastAsia="Times New Roman" w:hAnsi="Times New Roman" w:cs="Times New Roman"/>
          <w:i/>
          <w:iCs/>
          <w:color w:val="auto"/>
          <w:lang w:val="en-GB" w:eastAsia="en-GB" w:bidi="ar-SA"/>
        </w:rPr>
        <w:t>,</w:t>
      </w:r>
      <w:r w:rsidRPr="00D565A7">
        <w:rPr>
          <w:rFonts w:ascii="Times New Roman" w:eastAsia="Times New Roman" w:hAnsi="Times New Roman" w:cs="Times New Roman"/>
          <w:color w:val="auto"/>
          <w:lang w:val="en-GB" w:eastAsia="en-GB" w:bidi="ar-SA"/>
        </w:rPr>
        <w:t xml:space="preserve"> </w:t>
      </w:r>
      <w:r w:rsidR="00F1291D" w:rsidRPr="00D565A7">
        <w:rPr>
          <w:rFonts w:ascii="Times New Roman" w:eastAsia="Times New Roman" w:hAnsi="Times New Roman" w:cs="Times New Roman"/>
          <w:color w:val="auto"/>
          <w:lang w:val="en-GB" w:eastAsia="en-GB" w:bidi="ar-SA"/>
        </w:rPr>
        <w:t xml:space="preserve">(Berlin: Springer), </w:t>
      </w:r>
      <w:r w:rsidRPr="00D565A7">
        <w:rPr>
          <w:rFonts w:ascii="Times New Roman" w:eastAsia="Times New Roman" w:hAnsi="Times New Roman" w:cs="Times New Roman"/>
          <w:color w:val="auto"/>
          <w:lang w:val="en-GB" w:eastAsia="en-GB" w:bidi="ar-SA"/>
        </w:rPr>
        <w:t>249-264</w:t>
      </w:r>
    </w:p>
    <w:p w:rsidR="00D7700F" w:rsidRPr="00D565A7" w:rsidRDefault="00F1291D"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Pistor, Katharina (2013)</w:t>
      </w:r>
      <w:r w:rsidR="00D7700F" w:rsidRPr="00D565A7">
        <w:rPr>
          <w:rFonts w:ascii="Times New Roman" w:eastAsia="Times New Roman" w:hAnsi="Times New Roman" w:cs="Times New Roman"/>
          <w:lang w:val="en-GB" w:eastAsia="sv-SE"/>
        </w:rPr>
        <w:t xml:space="preserve"> “A Legal Theory of Finance.” </w:t>
      </w:r>
      <w:r w:rsidR="00D7700F" w:rsidRPr="00D565A7">
        <w:rPr>
          <w:rFonts w:ascii="Times New Roman" w:eastAsia="Times New Roman" w:hAnsi="Times New Roman" w:cs="Times New Roman"/>
          <w:i/>
          <w:iCs/>
          <w:lang w:val="en-GB" w:eastAsia="sv-SE"/>
        </w:rPr>
        <w:t>Journal of Comparative Economics</w:t>
      </w:r>
      <w:r w:rsidRPr="00D565A7">
        <w:rPr>
          <w:rFonts w:ascii="Times New Roman" w:eastAsia="Times New Roman" w:hAnsi="Times New Roman" w:cs="Times New Roman"/>
          <w:i/>
          <w:iCs/>
          <w:lang w:val="en-GB" w:eastAsia="sv-SE"/>
        </w:rPr>
        <w:t>,</w:t>
      </w:r>
      <w:r w:rsidRPr="00D565A7">
        <w:rPr>
          <w:rFonts w:ascii="Times New Roman" w:eastAsia="Times New Roman" w:hAnsi="Times New Roman" w:cs="Times New Roman"/>
          <w:lang w:val="en-GB" w:eastAsia="sv-SE"/>
        </w:rPr>
        <w:t xml:space="preserve"> 41 (2),</w:t>
      </w:r>
      <w:r w:rsidR="00D7700F" w:rsidRPr="00D565A7">
        <w:rPr>
          <w:rFonts w:ascii="Times New Roman" w:eastAsia="Times New Roman" w:hAnsi="Times New Roman" w:cs="Times New Roman"/>
          <w:lang w:val="en-GB" w:eastAsia="sv-SE"/>
        </w:rPr>
        <w:t xml:space="preserve"> 315–330.</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Rogoff, Kenneth</w:t>
      </w:r>
      <w:r w:rsidR="00F1291D" w:rsidRPr="00D565A7">
        <w:rPr>
          <w:rFonts w:ascii="Times New Roman" w:eastAsia="Times New Roman" w:hAnsi="Times New Roman" w:cs="Times New Roman"/>
          <w:lang w:val="en-GB" w:eastAsia="sv-SE"/>
        </w:rPr>
        <w:t xml:space="preserve"> (1985)</w:t>
      </w:r>
      <w:r w:rsidRPr="00D565A7">
        <w:rPr>
          <w:rFonts w:ascii="Times New Roman" w:eastAsia="Times New Roman" w:hAnsi="Times New Roman" w:cs="Times New Roman"/>
          <w:lang w:val="en-GB" w:eastAsia="sv-SE"/>
        </w:rPr>
        <w:t xml:space="preserve"> “The Optimal Degree of Commitment to an Intermediate Monetary Target.”</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The Quarterly Journal of Economics</w:t>
      </w:r>
      <w:r w:rsidR="00F1291D" w:rsidRPr="00D565A7">
        <w:rPr>
          <w:rFonts w:ascii="Times New Roman" w:eastAsia="Times New Roman" w:hAnsi="Times New Roman" w:cs="Times New Roman"/>
          <w:i/>
          <w:iCs/>
          <w:lang w:val="en-GB" w:eastAsia="sv-SE"/>
        </w:rPr>
        <w:t>,</w:t>
      </w:r>
      <w:r w:rsidR="00F1291D" w:rsidRPr="00D565A7">
        <w:rPr>
          <w:rFonts w:ascii="Times New Roman" w:eastAsia="Times New Roman" w:hAnsi="Times New Roman" w:cs="Times New Roman"/>
          <w:lang w:val="en-GB" w:eastAsia="sv-SE"/>
        </w:rPr>
        <w:t xml:space="preserve"> 100 (4),</w:t>
      </w:r>
      <w:r w:rsidRPr="00D565A7">
        <w:rPr>
          <w:rFonts w:ascii="Times New Roman" w:eastAsia="Times New Roman" w:hAnsi="Times New Roman" w:cs="Times New Roman"/>
          <w:lang w:val="en-GB" w:eastAsia="sv-SE"/>
        </w:rPr>
        <w:t xml:space="preserve"> 1169–89.</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Salines, Marion, Gabriel Glöc</w:t>
      </w:r>
      <w:r w:rsidR="00F1291D" w:rsidRPr="00D565A7">
        <w:rPr>
          <w:rFonts w:ascii="Times New Roman" w:eastAsia="Times New Roman" w:hAnsi="Times New Roman" w:cs="Times New Roman"/>
          <w:lang w:val="en-GB" w:eastAsia="sv-SE"/>
        </w:rPr>
        <w:t>kler, and Zbigniew Truchlewski (</w:t>
      </w:r>
      <w:r w:rsidRPr="00D565A7">
        <w:rPr>
          <w:rFonts w:ascii="Times New Roman" w:eastAsia="Times New Roman" w:hAnsi="Times New Roman" w:cs="Times New Roman"/>
          <w:lang w:val="en-GB" w:eastAsia="sv-SE"/>
        </w:rPr>
        <w:t>2012</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“Existential Crisis, Incremental Response: The Eurozone’s Dual Institutional Evolution 2007–2011.”</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Journal of European Public Policy</w:t>
      </w:r>
      <w:r w:rsidR="00F1291D" w:rsidRPr="00D565A7">
        <w:rPr>
          <w:rFonts w:ascii="Times New Roman" w:eastAsia="Times New Roman" w:hAnsi="Times New Roman" w:cs="Times New Roman"/>
          <w:i/>
          <w:iCs/>
          <w:lang w:val="en-GB" w:eastAsia="sv-SE"/>
        </w:rPr>
        <w:t>,</w:t>
      </w:r>
      <w:r w:rsidR="00F1291D" w:rsidRPr="00D565A7">
        <w:rPr>
          <w:rFonts w:ascii="Times New Roman" w:eastAsia="Times New Roman" w:hAnsi="Times New Roman" w:cs="Times New Roman"/>
          <w:lang w:val="en-GB" w:eastAsia="sv-SE"/>
        </w:rPr>
        <w:t xml:space="preserve"> 19 (5),</w:t>
      </w:r>
      <w:r w:rsidRPr="00D565A7">
        <w:rPr>
          <w:rFonts w:ascii="Times New Roman" w:eastAsia="Times New Roman" w:hAnsi="Times New Roman" w:cs="Times New Roman"/>
          <w:lang w:val="en-GB" w:eastAsia="sv-SE"/>
        </w:rPr>
        <w:t xml:space="preserve"> 665–81. </w:t>
      </w:r>
    </w:p>
    <w:p w:rsidR="00D7700F" w:rsidRPr="00D565A7" w:rsidRDefault="00F1291D"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Scharpf, Fritz W</w:t>
      </w:r>
      <w:r w:rsidR="00D7700F" w:rsidRPr="00D565A7">
        <w:rPr>
          <w:rFonts w:ascii="Times New Roman" w:eastAsia="Times New Roman" w:hAnsi="Times New Roman" w:cs="Times New Roman"/>
          <w:lang w:val="en-GB" w:eastAsia="sv-SE"/>
        </w:rPr>
        <w:t xml:space="preserve"> </w:t>
      </w:r>
      <w:r w:rsidRPr="00F15905">
        <w:rPr>
          <w:rFonts w:ascii="Times New Roman" w:hAnsi="Times New Roman" w:cs="Times New Roman"/>
          <w:lang w:val="en-GB"/>
        </w:rPr>
        <w:t xml:space="preserve">(1997) “Economic integration, democracy and the welfare state”. </w:t>
      </w:r>
      <w:r w:rsidRPr="00D565A7">
        <w:rPr>
          <w:rFonts w:ascii="Times New Roman" w:hAnsi="Times New Roman" w:cs="Times New Roman"/>
          <w:i/>
          <w:iCs/>
          <w:lang w:val="en-GB"/>
        </w:rPr>
        <w:t>Journal of European Public Policy,</w:t>
      </w:r>
      <w:r w:rsidRPr="00D565A7">
        <w:rPr>
          <w:rFonts w:ascii="Times New Roman" w:hAnsi="Times New Roman" w:cs="Times New Roman"/>
          <w:lang w:val="en-GB"/>
        </w:rPr>
        <w:t xml:space="preserve"> 4,18–36.</w:t>
      </w:r>
      <w:r w:rsidR="00D7700F" w:rsidRPr="00D565A7">
        <w:rPr>
          <w:rFonts w:ascii="Times New Roman" w:eastAsia="Times New Roman" w:hAnsi="Times New Roman" w:cs="Times New Roman"/>
          <w:lang w:val="en-GB" w:eastAsia="sv-SE"/>
        </w:rPr>
        <w:t>.</w:t>
      </w:r>
    </w:p>
    <w:p w:rsidR="00F1291D" w:rsidRPr="00D565A7" w:rsidRDefault="00F1291D" w:rsidP="00D565A7">
      <w:pPr>
        <w:jc w:val="both"/>
        <w:rPr>
          <w:rFonts w:ascii="Times New Roman" w:hAnsi="Times New Roman" w:cs="Times New Roman"/>
          <w:lang w:val="en-GB"/>
        </w:rPr>
      </w:pPr>
    </w:p>
    <w:p w:rsidR="00D7700F" w:rsidRPr="00D565A7" w:rsidRDefault="00F1291D"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Singleton, John (2010)</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Central Banking in the Twentieth Century</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Cambri</w:t>
      </w:r>
      <w:r w:rsidRPr="00D565A7">
        <w:rPr>
          <w:rFonts w:ascii="Times New Roman" w:eastAsia="Times New Roman" w:hAnsi="Times New Roman" w:cs="Times New Roman"/>
          <w:lang w:val="en-GB" w:eastAsia="sv-SE"/>
        </w:rPr>
        <w:t xml:space="preserve">dge: Cambridge </w:t>
      </w:r>
      <w:r w:rsidRPr="00D565A7">
        <w:rPr>
          <w:rFonts w:ascii="Times New Roman" w:eastAsia="Times New Roman" w:hAnsi="Times New Roman" w:cs="Times New Roman"/>
          <w:lang w:val="en-GB" w:eastAsia="sv-SE"/>
        </w:rPr>
        <w:lastRenderedPageBreak/>
        <w:t>University Press)</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Stree</w:t>
      </w:r>
      <w:r w:rsidR="00F1291D" w:rsidRPr="00D565A7">
        <w:rPr>
          <w:rFonts w:ascii="Times New Roman" w:eastAsia="Times New Roman" w:hAnsi="Times New Roman" w:cs="Times New Roman"/>
          <w:lang w:val="en-GB" w:eastAsia="sv-SE"/>
        </w:rPr>
        <w:t>ck, Wolfgang, and Armin Schäfer</w:t>
      </w:r>
      <w:r w:rsidRPr="00D565A7">
        <w:rPr>
          <w:rFonts w:ascii="Times New Roman" w:eastAsia="Times New Roman" w:hAnsi="Times New Roman" w:cs="Times New Roman"/>
          <w:lang w:val="en-GB" w:eastAsia="sv-SE"/>
        </w:rPr>
        <w:t xml:space="preserve"> </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2013</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Politics in the Age of Austerity</w:t>
      </w:r>
      <w:r w:rsidRPr="00D565A7">
        <w:rPr>
          <w:rFonts w:ascii="Times New Roman" w:eastAsia="Times New Roman" w:hAnsi="Times New Roman" w:cs="Times New Roman"/>
          <w:lang w:val="en-GB" w:eastAsia="sv-SE"/>
        </w:rPr>
        <w:t xml:space="preserve">. </w:t>
      </w:r>
      <w:r w:rsidR="00F1291D" w:rsidRPr="00D565A7">
        <w:rPr>
          <w:rFonts w:ascii="Times New Roman" w:eastAsia="Times New Roman" w:hAnsi="Times New Roman" w:cs="Times New Roman"/>
          <w:lang w:val="en-GB" w:eastAsia="sv-SE"/>
        </w:rPr>
        <w:t>(Hoboken: John Wiley &amp; Sons)</w:t>
      </w: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S</w:t>
      </w:r>
      <w:r w:rsidR="00F1291D" w:rsidRPr="00D565A7">
        <w:rPr>
          <w:rFonts w:ascii="Times New Roman" w:eastAsia="Times New Roman" w:hAnsi="Times New Roman" w:cs="Times New Roman"/>
          <w:lang w:val="en-GB" w:eastAsia="sv-SE"/>
        </w:rPr>
        <w:t>tuckler, David, and Sanjay Basu</w:t>
      </w:r>
      <w:r w:rsidRPr="00D565A7">
        <w:rPr>
          <w:rFonts w:ascii="Times New Roman" w:eastAsia="Times New Roman" w:hAnsi="Times New Roman" w:cs="Times New Roman"/>
          <w:lang w:val="en-GB" w:eastAsia="sv-SE"/>
        </w:rPr>
        <w:t xml:space="preserve"> </w:t>
      </w:r>
      <w:r w:rsidR="00F1291D" w:rsidRPr="00D565A7">
        <w:rPr>
          <w:rFonts w:ascii="Times New Roman" w:eastAsia="Times New Roman" w:hAnsi="Times New Roman" w:cs="Times New Roman"/>
          <w:lang w:val="en-GB" w:eastAsia="sv-SE"/>
        </w:rPr>
        <w:t>(2013)</w:t>
      </w:r>
      <w:r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i/>
          <w:iCs/>
          <w:lang w:val="en-GB" w:eastAsia="sv-SE"/>
        </w:rPr>
        <w:t>The Body Economic: Why Austerity Kills - Recessions, Budget Battles, and The Politics of Life and Death</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 xml:space="preserve"> </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New York: Harper Collins</w:t>
      </w:r>
      <w:r w:rsidR="00F1291D" w:rsidRPr="00D565A7">
        <w:rPr>
          <w:rFonts w:ascii="Times New Roman" w:eastAsia="Times New Roman" w:hAnsi="Times New Roman" w:cs="Times New Roman"/>
          <w:lang w:val="en-GB" w:eastAsia="sv-SE"/>
        </w:rPr>
        <w:t>)</w:t>
      </w:r>
      <w:r w:rsidRPr="00D565A7">
        <w:rPr>
          <w:rFonts w:ascii="Times New Roman" w:eastAsia="Times New Roman" w:hAnsi="Times New Roman" w:cs="Times New Roman"/>
          <w:lang w:val="en-GB" w:eastAsia="sv-SE"/>
        </w:rPr>
        <w:t>.</w:t>
      </w:r>
    </w:p>
    <w:p w:rsidR="00D7700F" w:rsidRPr="00D565A7" w:rsidRDefault="00F1291D" w:rsidP="00D565A7">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Torres, Francisco</w:t>
      </w:r>
      <w:r w:rsidR="00D7700F" w:rsidRPr="00D565A7">
        <w:rPr>
          <w:rFonts w:ascii="Times New Roman" w:eastAsia="Times New Roman" w:hAnsi="Times New Roman" w:cs="Times New Roman"/>
          <w:lang w:val="en-GB" w:eastAsia="sv-SE"/>
        </w:rPr>
        <w:t xml:space="preserve"> </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2013</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“The EMU’s Legitimacy and the ECB as a Strategic Political Player in the Crisis Context.”</w:t>
      </w:r>
      <w:r w:rsidRPr="00D565A7">
        <w:rPr>
          <w:rFonts w:ascii="Times New Roman" w:eastAsia="Times New Roman" w:hAnsi="Times New Roman" w:cs="Times New Roman"/>
          <w:lang w:val="en-GB" w:eastAsia="sv-SE"/>
        </w:rPr>
        <w:t>,</w:t>
      </w:r>
      <w:r w:rsidR="00D7700F" w:rsidRPr="00D565A7">
        <w:rPr>
          <w:rFonts w:ascii="Times New Roman" w:eastAsia="Times New Roman" w:hAnsi="Times New Roman" w:cs="Times New Roman"/>
          <w:lang w:val="en-GB" w:eastAsia="sv-SE"/>
        </w:rPr>
        <w:t xml:space="preserve"> </w:t>
      </w:r>
      <w:r w:rsidR="00D7700F" w:rsidRPr="00D565A7">
        <w:rPr>
          <w:rFonts w:ascii="Times New Roman" w:eastAsia="Times New Roman" w:hAnsi="Times New Roman" w:cs="Times New Roman"/>
          <w:i/>
          <w:iCs/>
          <w:lang w:val="en-GB" w:eastAsia="sv-SE"/>
        </w:rPr>
        <w:t>Journal of European Integration</w:t>
      </w:r>
      <w:r w:rsidRPr="00D565A7">
        <w:rPr>
          <w:rFonts w:ascii="Times New Roman" w:eastAsia="Times New Roman" w:hAnsi="Times New Roman" w:cs="Times New Roman"/>
          <w:i/>
          <w:iCs/>
          <w:lang w:val="en-GB" w:eastAsia="sv-SE"/>
        </w:rPr>
        <w:t>,</w:t>
      </w:r>
      <w:r w:rsidRPr="00D565A7">
        <w:rPr>
          <w:rFonts w:ascii="Times New Roman" w:eastAsia="Times New Roman" w:hAnsi="Times New Roman" w:cs="Times New Roman"/>
          <w:lang w:val="en-GB" w:eastAsia="sv-SE"/>
        </w:rPr>
        <w:t xml:space="preserve"> 35 (3),</w:t>
      </w:r>
      <w:r w:rsidR="00D7700F" w:rsidRPr="00D565A7">
        <w:rPr>
          <w:rFonts w:ascii="Times New Roman" w:eastAsia="Times New Roman" w:hAnsi="Times New Roman" w:cs="Times New Roman"/>
          <w:lang w:val="en-GB" w:eastAsia="sv-SE"/>
        </w:rPr>
        <w:t xml:space="preserve"> 287–300. </w:t>
      </w:r>
    </w:p>
    <w:p w:rsidR="00BA1F93" w:rsidRPr="00D565A7" w:rsidRDefault="00BA1F93" w:rsidP="00BA1F93">
      <w:pPr>
        <w:ind w:hanging="480"/>
        <w:rPr>
          <w:rFonts w:ascii="Times New Roman" w:hAnsi="Times New Roman" w:cs="Times New Roman"/>
          <w:lang w:val="en-GB"/>
        </w:rPr>
      </w:pPr>
      <w:r w:rsidRPr="00D565A7">
        <w:rPr>
          <w:rFonts w:ascii="Times New Roman" w:hAnsi="Times New Roman" w:cs="Times New Roman"/>
          <w:lang w:val="en-GB"/>
        </w:rPr>
        <w:t>Verdun, Amy (2015)</w:t>
      </w:r>
      <w:r w:rsidR="00D7700F" w:rsidRPr="00D565A7">
        <w:rPr>
          <w:rFonts w:ascii="Times New Roman" w:hAnsi="Times New Roman" w:cs="Times New Roman"/>
          <w:lang w:val="en-GB"/>
        </w:rPr>
        <w:t xml:space="preserve"> “A historical institutionalist explanation of the EU's responses to the euro area financial crisis”. </w:t>
      </w:r>
      <w:r w:rsidR="00D7700F" w:rsidRPr="00D565A7">
        <w:rPr>
          <w:rFonts w:ascii="Times New Roman" w:hAnsi="Times New Roman" w:cs="Times New Roman"/>
          <w:i/>
          <w:lang w:val="en-GB"/>
        </w:rPr>
        <w:t>Journal of European Public Policy</w:t>
      </w:r>
      <w:r w:rsidR="00D7700F" w:rsidRPr="00D565A7">
        <w:rPr>
          <w:rFonts w:ascii="Times New Roman" w:hAnsi="Times New Roman" w:cs="Times New Roman"/>
          <w:lang w:val="en-GB"/>
        </w:rPr>
        <w:t>, 22(2), 219-237.</w:t>
      </w:r>
      <w:r w:rsidRPr="00D565A7">
        <w:rPr>
          <w:rFonts w:ascii="Times New Roman" w:hAnsi="Times New Roman" w:cs="Times New Roman"/>
          <w:lang w:val="en-GB"/>
        </w:rPr>
        <w:t xml:space="preserve"> </w:t>
      </w:r>
    </w:p>
    <w:p w:rsidR="00BA1F93" w:rsidRPr="00D565A7" w:rsidRDefault="00BA1F93" w:rsidP="00BA1F93">
      <w:pPr>
        <w:ind w:hanging="480"/>
        <w:rPr>
          <w:rFonts w:ascii="Times New Roman" w:eastAsia="Times New Roman" w:hAnsi="Times New Roman" w:cs="Times New Roman"/>
          <w:lang w:val="en-GB" w:eastAsia="sv-SE"/>
        </w:rPr>
      </w:pPr>
      <w:r w:rsidRPr="00D565A7">
        <w:rPr>
          <w:rFonts w:ascii="Times New Roman" w:hAnsi="Times New Roman" w:cs="Times New Roman"/>
          <w:lang w:val="en-GB"/>
        </w:rPr>
        <w:t xml:space="preserve">Verdun, Amy (2017) Political leadership of the European Central Bank. </w:t>
      </w:r>
      <w:r w:rsidRPr="00D565A7">
        <w:rPr>
          <w:rFonts w:ascii="Times New Roman" w:hAnsi="Times New Roman" w:cs="Times New Roman"/>
          <w:i/>
          <w:lang w:val="en-GB"/>
        </w:rPr>
        <w:t>Journal of European Integration</w:t>
      </w:r>
      <w:r w:rsidRPr="00D565A7">
        <w:rPr>
          <w:rFonts w:ascii="Times New Roman" w:hAnsi="Times New Roman" w:cs="Times New Roman"/>
          <w:lang w:val="en-GB"/>
        </w:rPr>
        <w:t>, 39(2), 207-221.</w:t>
      </w:r>
    </w:p>
    <w:p w:rsidR="00D7700F" w:rsidRPr="00D565A7" w:rsidRDefault="00D7700F" w:rsidP="00D565A7">
      <w:pPr>
        <w:ind w:hanging="480"/>
        <w:rPr>
          <w:rFonts w:ascii="Times New Roman" w:eastAsia="Times New Roman" w:hAnsi="Times New Roman" w:cs="Times New Roman"/>
          <w:lang w:val="en-GB" w:eastAsia="sv-SE"/>
        </w:rPr>
      </w:pPr>
    </w:p>
    <w:p w:rsidR="00D7700F" w:rsidRPr="00D565A7" w:rsidRDefault="00D7700F" w:rsidP="00D7700F">
      <w:pPr>
        <w:ind w:hanging="480"/>
        <w:rPr>
          <w:rFonts w:ascii="Times New Roman" w:eastAsia="Times New Roman" w:hAnsi="Times New Roman" w:cs="Times New Roman"/>
          <w:lang w:val="en-GB" w:eastAsia="sv-SE"/>
        </w:rPr>
      </w:pPr>
      <w:r w:rsidRPr="00D565A7">
        <w:rPr>
          <w:rFonts w:ascii="Times New Roman" w:eastAsia="Times New Roman" w:hAnsi="Times New Roman" w:cs="Times New Roman"/>
          <w:lang w:val="en-GB" w:eastAsia="sv-SE"/>
        </w:rPr>
        <w:t xml:space="preserve">Wilson, James. 2011. “ECB Satisfied at Deal Struck.” </w:t>
      </w:r>
      <w:r w:rsidRPr="00D565A7">
        <w:rPr>
          <w:rFonts w:ascii="Times New Roman" w:eastAsia="Times New Roman" w:hAnsi="Times New Roman" w:cs="Times New Roman"/>
          <w:i/>
          <w:iCs/>
          <w:lang w:val="en-GB" w:eastAsia="sv-SE"/>
        </w:rPr>
        <w:t>Financial Times</w:t>
      </w:r>
      <w:r w:rsidRPr="00D565A7">
        <w:rPr>
          <w:rFonts w:ascii="Times New Roman" w:eastAsia="Times New Roman" w:hAnsi="Times New Roman" w:cs="Times New Roman"/>
          <w:lang w:val="en-GB" w:eastAsia="sv-SE"/>
        </w:rPr>
        <w:t xml:space="preserve">, </w:t>
      </w:r>
      <w:r w:rsidR="00BA1F93" w:rsidRPr="00D565A7">
        <w:rPr>
          <w:rFonts w:ascii="Times New Roman" w:eastAsia="Times New Roman" w:hAnsi="Times New Roman" w:cs="Times New Roman"/>
          <w:lang w:val="en-GB" w:eastAsia="sv-SE"/>
        </w:rPr>
        <w:t xml:space="preserve">22 </w:t>
      </w:r>
      <w:r w:rsidRPr="00D565A7">
        <w:rPr>
          <w:rFonts w:ascii="Times New Roman" w:eastAsia="Times New Roman" w:hAnsi="Times New Roman" w:cs="Times New Roman"/>
          <w:lang w:val="en-GB" w:eastAsia="sv-SE"/>
        </w:rPr>
        <w:t xml:space="preserve">July </w:t>
      </w:r>
    </w:p>
    <w:p w:rsidR="003C5A5E" w:rsidRPr="00D565A7" w:rsidRDefault="003C5A5E" w:rsidP="004C367A">
      <w:pPr>
        <w:jc w:val="both"/>
        <w:rPr>
          <w:rFonts w:ascii="Times New Roman" w:hAnsi="Times New Roman" w:cs="Times New Roman"/>
          <w:lang w:val="en-GB"/>
        </w:rPr>
      </w:pPr>
    </w:p>
    <w:sectPr w:rsidR="003C5A5E" w:rsidRPr="00D565A7" w:rsidSect="003C5A5E">
      <w:pgSz w:w="12240" w:h="15840"/>
      <w:pgMar w:top="1440" w:right="1800" w:bottom="1440" w:left="1800" w:header="0"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C0C" w:rsidRDefault="00780C0C">
      <w:r>
        <w:separator/>
      </w:r>
    </w:p>
  </w:endnote>
  <w:endnote w:type="continuationSeparator" w:id="0">
    <w:p w:rsidR="00780C0C" w:rsidRDefault="00780C0C">
      <w:r>
        <w:continuationSeparator/>
      </w:r>
    </w:p>
  </w:endnote>
  <w:endnote w:id="1">
    <w:p w:rsidR="0097608D" w:rsidRPr="0097608D" w:rsidRDefault="0097608D">
      <w:pPr>
        <w:pStyle w:val="EndnoteText"/>
        <w:rPr>
          <w:rFonts w:ascii="Times New Roman" w:hAnsi="Times New Roman" w:cs="Times New Roman"/>
        </w:rPr>
      </w:pPr>
      <w:r w:rsidRPr="0097608D">
        <w:rPr>
          <w:rStyle w:val="EndnoteReference"/>
          <w:rFonts w:ascii="Times New Roman" w:hAnsi="Times New Roman" w:cs="Times New Roman"/>
        </w:rPr>
        <w:endnoteRef/>
      </w:r>
      <w:r w:rsidRPr="0097608D">
        <w:rPr>
          <w:rFonts w:ascii="Times New Roman" w:hAnsi="Times New Roman" w:cs="Times New Roman"/>
        </w:rPr>
        <w:t xml:space="preserve"> </w:t>
      </w:r>
      <w:r>
        <w:rPr>
          <w:rFonts w:ascii="Times New Roman" w:hAnsi="Times New Roman" w:cs="Times New Roman"/>
        </w:rPr>
        <w:t>I would like to thank three anonymous re</w:t>
      </w:r>
      <w:r w:rsidR="0075416F">
        <w:rPr>
          <w:rFonts w:ascii="Times New Roman" w:hAnsi="Times New Roman" w:cs="Times New Roman"/>
        </w:rPr>
        <w:t>viewers</w:t>
      </w:r>
      <w:r>
        <w:rPr>
          <w:rFonts w:ascii="Times New Roman" w:hAnsi="Times New Roman" w:cs="Times New Roman"/>
        </w:rPr>
        <w:t xml:space="preserve"> and my numerous colleagues who helped me to significantly improve this article, in particular François Claveau, </w:t>
      </w:r>
      <w:r w:rsidR="0075416F">
        <w:rPr>
          <w:rFonts w:ascii="Times New Roman" w:hAnsi="Times New Roman" w:cs="Times New Roman"/>
        </w:rPr>
        <w:t xml:space="preserve">Peter Dietsch, </w:t>
      </w:r>
      <w:r>
        <w:rPr>
          <w:rFonts w:ascii="Times New Roman" w:hAnsi="Times New Roman" w:cs="Times New Roman"/>
        </w:rPr>
        <w:t xml:space="preserve">Frédéric Mérand, </w:t>
      </w:r>
      <w:r w:rsidRPr="0097608D">
        <w:rPr>
          <w:rFonts w:ascii="Times New Roman" w:hAnsi="Times New Roman" w:cs="Times New Roman"/>
        </w:rPr>
        <w:t>Vincent Arel-Bundock</w:t>
      </w:r>
      <w:r>
        <w:rPr>
          <w:rFonts w:ascii="Times New Roman" w:hAnsi="Times New Roman" w:cs="Times New Roman"/>
        </w:rPr>
        <w:t xml:space="preserve">, Randall Germain, Richard Endörfer, Alexander Andersson and Joakim Sandberg. </w:t>
      </w:r>
      <w:r w:rsidR="0075416F">
        <w:rPr>
          <w:rFonts w:ascii="Times New Roman" w:hAnsi="Times New Roman" w:cs="Times New Roman"/>
        </w:rPr>
        <w:t xml:space="preserve">The usual disclaimer apply. </w:t>
      </w:r>
      <w:bookmarkStart w:id="0" w:name="_GoBack"/>
      <w:bookmarkEnd w:id="0"/>
    </w:p>
  </w:endnote>
  <w:endnote w:id="2">
    <w:p w:rsidR="00487A91" w:rsidRPr="00651DC1" w:rsidRDefault="00487A91">
      <w:pPr>
        <w:pStyle w:val="EndnoteText"/>
        <w:rPr>
          <w:rFonts w:ascii="Times New Roman" w:hAnsi="Times New Roman" w:cs="Times New Roman"/>
          <w:lang w:val="en-US"/>
        </w:rPr>
      </w:pPr>
      <w:r w:rsidRPr="00651DC1">
        <w:rPr>
          <w:rStyle w:val="EndnoteReference"/>
          <w:rFonts w:ascii="Times New Roman" w:hAnsi="Times New Roman" w:cs="Times New Roman"/>
        </w:rPr>
        <w:endnoteRef/>
      </w:r>
      <w:r w:rsidRPr="00651DC1">
        <w:rPr>
          <w:rFonts w:ascii="Times New Roman" w:hAnsi="Times New Roman" w:cs="Times New Roman"/>
          <w:lang w:val="en-US"/>
        </w:rPr>
        <w:t xml:space="preserve"> The CBI template prescribes that the objectives of central banks should be limited to price stability. To achieve this goal, central banks should be protected from political interferences. According to the New Classical Economics literature, without such protections, central banks would not be credible in the eyes of market operators in their commitment to reach price stability (Kydland and Prescott 1977; Rogoff, 1985).</w:t>
      </w:r>
    </w:p>
  </w:endnote>
  <w:endnote w:id="3">
    <w:p w:rsidR="00487A91" w:rsidRPr="00651DC1" w:rsidRDefault="00487A91">
      <w:pPr>
        <w:pStyle w:val="EndnoteText"/>
        <w:rPr>
          <w:rFonts w:ascii="Times New Roman" w:hAnsi="Times New Roman" w:cs="Times New Roman"/>
          <w:lang w:val="en-US"/>
        </w:rPr>
      </w:pPr>
      <w:r w:rsidRPr="00651DC1">
        <w:rPr>
          <w:rStyle w:val="EndnoteReference"/>
          <w:rFonts w:ascii="Times New Roman" w:hAnsi="Times New Roman" w:cs="Times New Roman"/>
        </w:rPr>
        <w:endnoteRef/>
      </w:r>
      <w:r w:rsidRPr="00651DC1">
        <w:rPr>
          <w:rFonts w:ascii="Times New Roman" w:hAnsi="Times New Roman" w:cs="Times New Roman"/>
          <w:lang w:val="en-US"/>
        </w:rPr>
        <w:t xml:space="preserve"> Ex-ante capture relates with career socialization concerns: when central bankers used to work within the financial industry, it is more likely that the banking sector influenced their economic beliefs. Ex-post capture refers to the hiring of central bankers by the financial industry. In this case, central bankers have an incentive to send favorable signals to their future employer in the financial sector</w:t>
      </w:r>
    </w:p>
  </w:endnote>
  <w:endnote w:id="4">
    <w:p w:rsidR="00487A91" w:rsidRPr="00651DC1" w:rsidRDefault="00487A91">
      <w:pPr>
        <w:pStyle w:val="EndnoteText"/>
        <w:rPr>
          <w:rFonts w:ascii="Times New Roman" w:hAnsi="Times New Roman" w:cs="Times New Roman"/>
          <w:lang w:val="en-US"/>
        </w:rPr>
      </w:pPr>
      <w:r w:rsidRPr="00651DC1">
        <w:rPr>
          <w:rStyle w:val="EndnoteReference"/>
          <w:rFonts w:ascii="Times New Roman" w:hAnsi="Times New Roman" w:cs="Times New Roman"/>
        </w:rPr>
        <w:endnoteRef/>
      </w:r>
      <w:r w:rsidRPr="00651DC1">
        <w:rPr>
          <w:rFonts w:ascii="Times New Roman" w:hAnsi="Times New Roman" w:cs="Times New Roman"/>
          <w:lang w:val="en-US"/>
        </w:rPr>
        <w:t xml:space="preserve"> Moral hazard occurs when financial players take excessive risks because of the knowledge that they will be bailed out by a lender of last resort in crisis times. </w:t>
      </w:r>
    </w:p>
  </w:endnote>
  <w:endnote w:id="5">
    <w:p w:rsidR="00487A91" w:rsidRPr="00651DC1" w:rsidRDefault="00487A91">
      <w:pPr>
        <w:pStyle w:val="EndnoteText"/>
        <w:rPr>
          <w:rFonts w:ascii="Times New Roman" w:hAnsi="Times New Roman" w:cs="Times New Roman"/>
          <w:lang w:val="en-CA"/>
        </w:rPr>
      </w:pPr>
      <w:r w:rsidRPr="00651DC1">
        <w:rPr>
          <w:rStyle w:val="EndnoteReference"/>
          <w:rFonts w:ascii="Times New Roman" w:hAnsi="Times New Roman" w:cs="Times New Roman"/>
        </w:rPr>
        <w:endnoteRef/>
      </w:r>
      <w:r w:rsidRPr="00651DC1">
        <w:rPr>
          <w:rFonts w:ascii="Times New Roman" w:hAnsi="Times New Roman" w:cs="Times New Roman"/>
          <w:lang w:val="en-CA"/>
        </w:rPr>
        <w:t xml:space="preserve"> </w:t>
      </w:r>
      <w:r w:rsidR="00BA1F93" w:rsidRPr="00651DC1">
        <w:rPr>
          <w:rFonts w:ascii="Times New Roman" w:hAnsi="Times New Roman" w:cs="Times New Roman"/>
          <w:lang w:val="en-CA"/>
        </w:rPr>
        <w:t xml:space="preserve">While economic and legal factors constrain ECB policies, the latter still has a room of manoeuvre. </w:t>
      </w:r>
      <w:r w:rsidRPr="00651DC1">
        <w:rPr>
          <w:rFonts w:ascii="Times New Roman" w:hAnsi="Times New Roman" w:cs="Times New Roman"/>
          <w:lang w:val="en-CA"/>
        </w:rPr>
        <w:t xml:space="preserve">For example, </w:t>
      </w:r>
      <w:r w:rsidR="00BA1F93" w:rsidRPr="00651DC1">
        <w:rPr>
          <w:rFonts w:ascii="Times New Roman" w:hAnsi="Times New Roman" w:cs="Times New Roman"/>
          <w:lang w:val="en-CA"/>
        </w:rPr>
        <w:t>in its “Gauweiler ruling” on the OMT programme (see section 2), the CJEU granted</w:t>
      </w:r>
      <w:r w:rsidRPr="00651DC1">
        <w:rPr>
          <w:rFonts w:ascii="Times New Roman" w:hAnsi="Times New Roman" w:cs="Times New Roman"/>
          <w:lang w:val="en-CA"/>
        </w:rPr>
        <w:t xml:space="preserve"> broad discretion to the ECB in the definition of its monetary po</w:t>
      </w:r>
      <w:r w:rsidR="00BA1F93" w:rsidRPr="00651DC1">
        <w:rPr>
          <w:rFonts w:ascii="Times New Roman" w:hAnsi="Times New Roman" w:cs="Times New Roman"/>
          <w:lang w:val="en-CA"/>
        </w:rPr>
        <w:t>licy and conditionality (Hinarej</w:t>
      </w:r>
      <w:r w:rsidRPr="00651DC1">
        <w:rPr>
          <w:rFonts w:ascii="Times New Roman" w:hAnsi="Times New Roman" w:cs="Times New Roman"/>
          <w:lang w:val="en-CA"/>
        </w:rPr>
        <w:t xml:space="preserve">os 2015). While they are not the focus of this article, the interactions between the Court and the ECB offer vibrant future research perspectives.   </w:t>
      </w:r>
    </w:p>
  </w:endnote>
  <w:endnote w:id="6">
    <w:p w:rsidR="00487A91" w:rsidRPr="00651DC1" w:rsidRDefault="00487A91">
      <w:pPr>
        <w:pStyle w:val="EndnoteText"/>
        <w:rPr>
          <w:rFonts w:ascii="Times New Roman" w:hAnsi="Times New Roman" w:cs="Times New Roman"/>
          <w:lang w:val="en-US"/>
        </w:rPr>
      </w:pPr>
      <w:r w:rsidRPr="00651DC1">
        <w:rPr>
          <w:rStyle w:val="EndnoteReference"/>
          <w:rFonts w:ascii="Times New Roman" w:hAnsi="Times New Roman" w:cs="Times New Roman"/>
        </w:rPr>
        <w:endnoteRef/>
      </w:r>
      <w:r w:rsidRPr="00651DC1">
        <w:rPr>
          <w:rFonts w:ascii="Times New Roman" w:hAnsi="Times New Roman" w:cs="Times New Roman"/>
          <w:lang w:val="en-US"/>
        </w:rPr>
        <w:t xml:space="preserve"> These authors claim that the ECB leadership helped to foster EU integration and tame market and social pressures. An important exception is the growing stream of critical research on the ECB democratic accountability (Högenauer &amp;Howarth 2016, Peroni 2017).</w:t>
      </w:r>
    </w:p>
  </w:endnote>
  <w:endnote w:id="7">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Former ECB chairman (2003-2011).</w:t>
      </w:r>
    </w:p>
  </w:endnote>
  <w:endnote w:id="8">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Speech of Jean-Claude Trichet, November, 3, 2007. All the speeches are available on the ECB website http://www.ecb.europa.eu</w:t>
      </w:r>
    </w:p>
  </w:endnote>
  <w:endnote w:id="9">
    <w:p w:rsidR="00487A91" w:rsidRPr="00651DC1" w:rsidRDefault="00487A91" w:rsidP="00033FC5">
      <w:pPr>
        <w:pStyle w:val="EndnoteText"/>
        <w:rPr>
          <w:rFonts w:ascii="Times New Roman" w:hAnsi="Times New Roman" w:cs="Times New Roman"/>
          <w:lang w:val="en-CA"/>
        </w:rPr>
      </w:pPr>
      <w:r w:rsidRPr="00D565A7">
        <w:rPr>
          <w:rStyle w:val="EndnoteReference"/>
          <w:rFonts w:ascii="Times New Roman" w:hAnsi="Times New Roman" w:cs="Times New Roman"/>
          <w:vertAlign w:val="baseline"/>
        </w:rPr>
        <w:endnoteRef/>
      </w:r>
      <w:r w:rsidRPr="00D565A7">
        <w:rPr>
          <w:rFonts w:ascii="Times New Roman" w:hAnsi="Times New Roman" w:cs="Times New Roman"/>
          <w:lang w:val="en-CA"/>
        </w:rPr>
        <w:t xml:space="preserve"> More precisely, a report from a high-level expert group created by the Commission first pointed out the problems raised by the lack of integration of Eurozone repo markets (Giovannini</w:t>
      </w:r>
      <w:r w:rsidRPr="00651DC1">
        <w:rPr>
          <w:rFonts w:ascii="Times New Roman" w:hAnsi="Times New Roman" w:cs="Times New Roman"/>
          <w:lang w:val="en-CA"/>
        </w:rPr>
        <w:t xml:space="preserve"> 1999). Then, through its collateralised operations, the ECB encouraged private actors to create “baskets” of Eurozone sovereign bonds (ECB 2002,  66) and, finally threw its weight behind the European Commission’s Financial Collateral directive.</w:t>
      </w:r>
    </w:p>
  </w:endnote>
  <w:endnote w:id="10">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May, 9, 2010</w:t>
      </w:r>
    </w:p>
  </w:endnote>
  <w:endnote w:id="11">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Former member of the ECB executive board (2006-2011).</w:t>
      </w:r>
    </w:p>
  </w:endnote>
  <w:endnote w:id="12">
    <w:p w:rsidR="00487A91" w:rsidRPr="00D565A7" w:rsidRDefault="00487A91">
      <w:pPr>
        <w:pStyle w:val="Notedefin1"/>
        <w:rPr>
          <w:rFonts w:ascii="Times New Roman" w:hAnsi="Times New Roman" w:cs="Times New Roman"/>
          <w:sz w:val="20"/>
          <w:szCs w:val="20"/>
          <w:lang w:val="en-CA" w:eastAsia="en-US" w:bidi="ar-SA"/>
        </w:rPr>
      </w:pPr>
      <w:r w:rsidRPr="00D565A7">
        <w:rPr>
          <w:rFonts w:ascii="Times New Roman" w:hAnsi="Times New Roman" w:cs="Times New Roman"/>
          <w:sz w:val="20"/>
          <w:szCs w:val="20"/>
          <w:lang w:val="en-CA" w:eastAsia="en-US" w:bidi="ar-SA"/>
        </w:rPr>
        <w:endnoteRef/>
      </w:r>
      <w:r w:rsidRPr="00D565A7">
        <w:rPr>
          <w:rFonts w:ascii="Times New Roman" w:hAnsi="Times New Roman" w:cs="Times New Roman"/>
          <w:sz w:val="20"/>
          <w:szCs w:val="20"/>
          <w:lang w:val="en-CA" w:eastAsia="en-US" w:bidi="ar-SA"/>
        </w:rPr>
        <w:t>In these open-market operations, the ECB conducts an auction to loan a certain amount of liquidity to commercial banks at a certain rate (the main refinancing rate) against specified forms of collateral. They are the main central banks policy tools.</w:t>
      </w:r>
    </w:p>
  </w:endnote>
  <w:endnote w:id="13">
    <w:p w:rsidR="00487A91" w:rsidRPr="00651DC1"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 xml:space="preserve">The LoLR </w:t>
      </w:r>
      <w:r w:rsidRPr="00D565A7">
        <w:rPr>
          <w:rFonts w:ascii="Times New Roman" w:hAnsi="Times New Roman" w:cs="Times New Roman"/>
          <w:sz w:val="20"/>
          <w:szCs w:val="20"/>
          <w:lang w:val="en-GB"/>
        </w:rPr>
        <w:t>is the authority which has the resources to act as the ultimate source of credit in an attempt to avoid a liquidity cris</w:t>
      </w:r>
      <w:r w:rsidRPr="00651DC1">
        <w:rPr>
          <w:rFonts w:ascii="Times New Roman" w:hAnsi="Times New Roman" w:cs="Times New Roman"/>
          <w:sz w:val="20"/>
          <w:szCs w:val="20"/>
          <w:lang w:val="en-CA"/>
        </w:rPr>
        <w:t>is.</w:t>
      </w:r>
    </w:p>
  </w:endnote>
  <w:endnote w:id="14">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Article 123, TFEU.</w:t>
      </w:r>
    </w:p>
  </w:endnote>
  <w:endnote w:id="15">
    <w:p w:rsidR="00487A91" w:rsidRPr="00D565A7" w:rsidRDefault="00487A91">
      <w:pPr>
        <w:pStyle w:val="Notedefin1"/>
        <w:rPr>
          <w:rFonts w:ascii="Times New Roman" w:hAnsi="Times New Roman" w:cs="Times New Roman"/>
          <w:sz w:val="20"/>
          <w:szCs w:val="20"/>
          <w:lang w:val="en-CA" w:eastAsia="en-US" w:bidi="ar-SA"/>
        </w:rPr>
      </w:pPr>
      <w:r w:rsidRPr="00D565A7">
        <w:rPr>
          <w:rFonts w:ascii="Times New Roman" w:hAnsi="Times New Roman" w:cs="Times New Roman"/>
          <w:sz w:val="20"/>
          <w:szCs w:val="20"/>
          <w:lang w:val="en-CA" w:eastAsia="en-US" w:bidi="ar-SA"/>
        </w:rPr>
        <w:endnoteRef/>
      </w:r>
      <w:r w:rsidRPr="00D565A7">
        <w:rPr>
          <w:rFonts w:ascii="Times New Roman" w:hAnsi="Times New Roman" w:cs="Times New Roman"/>
          <w:sz w:val="20"/>
          <w:szCs w:val="20"/>
          <w:lang w:val="en-CA" w:eastAsia="en-US" w:bidi="ar-SA"/>
        </w:rPr>
        <w:t>The Troika is composed of officials from the IMF, the European Commission and the ECB.</w:t>
      </w:r>
    </w:p>
  </w:endnote>
  <w:endnote w:id="16">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 xml:space="preserve">ECJ Press release, January, 14, 2015. The final ECJ judgement does not replicate the advocate general's arguments on the ECB participation to the Troika. </w:t>
      </w:r>
    </w:p>
  </w:endnote>
  <w:endnote w:id="17">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European Parliament resolution, March, 13 2014. 2013/2277 (INI).</w:t>
      </w:r>
    </w:p>
  </w:endnote>
  <w:endnote w:id="18">
    <w:p w:rsidR="00487A91" w:rsidRPr="00651DC1" w:rsidRDefault="00487A91">
      <w:pPr>
        <w:pStyle w:val="Notedefin1"/>
        <w:rPr>
          <w:rFonts w:ascii="Times New Roman" w:hAnsi="Times New Roman" w:cs="Times New Roman"/>
          <w:sz w:val="20"/>
          <w:szCs w:val="20"/>
          <w:lang w:val="en-GB" w:eastAsia="en-US" w:bidi="ar-SA"/>
        </w:rPr>
      </w:pPr>
      <w:r w:rsidRPr="00D565A7">
        <w:rPr>
          <w:rFonts w:ascii="Times New Roman" w:hAnsi="Times New Roman" w:cs="Times New Roman"/>
          <w:sz w:val="20"/>
          <w:szCs w:val="20"/>
          <w:lang w:val="en-GB" w:bidi="ar-SA"/>
        </w:rPr>
        <w:endnoteRef/>
      </w:r>
      <w:r w:rsidRPr="00D565A7">
        <w:rPr>
          <w:rFonts w:ascii="Times New Roman" w:hAnsi="Times New Roman" w:cs="Times New Roman"/>
          <w:sz w:val="20"/>
          <w:szCs w:val="20"/>
          <w:lang w:val="en-GB" w:bidi="ar-SA"/>
        </w:rPr>
        <w:t>A</w:t>
      </w:r>
      <w:r w:rsidRPr="00D565A7">
        <w:rPr>
          <w:rFonts w:ascii="Times New Roman" w:hAnsi="Times New Roman" w:cs="Times New Roman"/>
          <w:sz w:val="20"/>
          <w:szCs w:val="20"/>
          <w:lang w:val="en-GB" w:eastAsia="en-US" w:bidi="ar-SA"/>
        </w:rPr>
        <w:t xml:space="preserve"> member from the ECB’s staff who had been participating to these groups confirmed that the ECB </w:t>
      </w:r>
      <w:r w:rsidRPr="00651DC1">
        <w:rPr>
          <w:rFonts w:ascii="Times New Roman" w:hAnsi="Times New Roman" w:cs="Times New Roman"/>
          <w:sz w:val="20"/>
          <w:szCs w:val="20"/>
          <w:lang w:val="en-GB" w:eastAsia="en-US" w:bidi="ar-SA"/>
        </w:rPr>
        <w:t>has been consulted on these particular policy areas (interview 5).</w:t>
      </w:r>
    </w:p>
  </w:endnote>
  <w:endnote w:id="19">
    <w:p w:rsidR="00487A91" w:rsidRPr="00D565A7" w:rsidRDefault="00487A91" w:rsidP="007C346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EU press rel</w:t>
      </w:r>
      <w:r w:rsidRPr="00D565A7">
        <w:rPr>
          <w:rFonts w:ascii="Times New Roman" w:hAnsi="Times New Roman" w:cs="Times New Roman"/>
          <w:sz w:val="20"/>
          <w:szCs w:val="20"/>
          <w:lang w:val="en-US"/>
        </w:rPr>
        <w:t>e</w:t>
      </w:r>
      <w:r w:rsidRPr="00D565A7">
        <w:rPr>
          <w:rFonts w:ascii="Times New Roman" w:hAnsi="Times New Roman" w:cs="Times New Roman"/>
          <w:sz w:val="20"/>
          <w:szCs w:val="20"/>
          <w:lang w:val="en-CA"/>
        </w:rPr>
        <w:t>ase (EO/12/15), “Ombudsman: ECB letter did not suggest changes to Spanish Constitution”, July 31, 2012.</w:t>
      </w:r>
    </w:p>
  </w:endnote>
  <w:endnote w:id="20">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 xml:space="preserve">Other reasons are also at play: ECB purchases are subject to an issue limit (33% of each issuer’s debt). As the ECB owns more that 33% of the negotiable Greek bonds, QE purchases cannot apply. </w:t>
      </w:r>
    </w:p>
  </w:endnote>
  <w:endnote w:id="21">
    <w:p w:rsidR="00487A91" w:rsidRPr="00D565A7" w:rsidRDefault="00487A91">
      <w:pPr>
        <w:pStyle w:val="Notedefin1"/>
        <w:rPr>
          <w:rFonts w:ascii="Times New Roman" w:hAnsi="Times New Roman" w:cs="Times New Roman"/>
          <w:sz w:val="20"/>
          <w:szCs w:val="20"/>
          <w:lang w:val="en-GB" w:bidi="ar-S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ECB p</w:t>
      </w:r>
      <w:r w:rsidRPr="00D565A7">
        <w:rPr>
          <w:rFonts w:ascii="Times New Roman" w:hAnsi="Times New Roman" w:cs="Times New Roman"/>
          <w:sz w:val="20"/>
          <w:szCs w:val="20"/>
          <w:lang w:val="en-GB" w:bidi="ar-SA"/>
        </w:rPr>
        <w:t>ress conference, September, 3, 2015.</w:t>
      </w:r>
    </w:p>
  </w:endnote>
  <w:endnote w:id="22">
    <w:p w:rsidR="00487A91" w:rsidRPr="00D565A7" w:rsidRDefault="00487A91">
      <w:pPr>
        <w:pStyle w:val="EndnoteText"/>
        <w:rPr>
          <w:rFonts w:ascii="Times New Roman" w:hAnsi="Times New Roman" w:cs="Times New Roman"/>
          <w:lang w:val="en-CA"/>
        </w:rPr>
      </w:pPr>
      <w:r w:rsidRPr="00D565A7">
        <w:rPr>
          <w:rStyle w:val="EndnoteReference"/>
          <w:rFonts w:ascii="Times New Roman" w:hAnsi="Times New Roman" w:cs="Times New Roman"/>
        </w:rPr>
        <w:endnoteRef/>
      </w:r>
      <w:r w:rsidRPr="00D565A7">
        <w:rPr>
          <w:rFonts w:ascii="Times New Roman" w:hAnsi="Times New Roman" w:cs="Times New Roman"/>
          <w:lang w:val="en-CA"/>
        </w:rPr>
        <w:t xml:space="preserve"> Portugal left its rescue programme since June 2014.</w:t>
      </w:r>
    </w:p>
  </w:endnote>
  <w:endnote w:id="23">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ECB press release, February 4, 2015.</w:t>
      </w:r>
    </w:p>
  </w:endnote>
  <w:endnote w:id="24">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Speech of Lorenzo Bini-Smaghi, June 6, 2011.</w:t>
      </w:r>
    </w:p>
  </w:endnote>
  <w:endnote w:id="25">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The ELA is a monetary instrument which is used by national central banks when they act as a LoLR for their domestic banking system. ELA amounts are capped by the ECB governing Council.</w:t>
      </w:r>
    </w:p>
  </w:endnote>
  <w:endnote w:id="26">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 xml:space="preserve">ECB press release, “ELA to Greek banks maintained”, July 6, 2015. Greek banks were using almost exclusively Greek bonds as collateral in the ELA operations. </w:t>
      </w:r>
    </w:p>
  </w:endnote>
  <w:endnote w:id="27">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Bank of Greece, « Financial Statement », May, 31, 2012.</w:t>
      </w:r>
    </w:p>
  </w:endnote>
  <w:endnote w:id="28">
    <w:p w:rsidR="00487A91" w:rsidRPr="00651DC1" w:rsidRDefault="00487A91">
      <w:pPr>
        <w:pStyle w:val="EndnoteText"/>
        <w:rPr>
          <w:rFonts w:ascii="Times New Roman" w:hAnsi="Times New Roman" w:cs="Times New Roman"/>
          <w:lang w:val="en-US"/>
        </w:rPr>
      </w:pPr>
      <w:r w:rsidRPr="00651DC1">
        <w:rPr>
          <w:rStyle w:val="EndnoteReference"/>
          <w:rFonts w:ascii="Times New Roman" w:hAnsi="Times New Roman" w:cs="Times New Roman"/>
        </w:rPr>
        <w:endnoteRef/>
      </w:r>
      <w:r w:rsidRPr="00651DC1">
        <w:rPr>
          <w:rFonts w:ascii="Times New Roman" w:hAnsi="Times New Roman" w:cs="Times New Roman"/>
          <w:lang w:val="en-US"/>
        </w:rPr>
        <w:t xml:space="preserve"> Eurosystem reply to the european commission’s public consultation on credit rating agencies. February 2011. Available on https://www.ecb.europa.eu/pub/pdf/other/ecpublicconsultationcreditratingagencieseurosystemreplyen.pdf</w:t>
      </w:r>
    </w:p>
  </w:endnote>
  <w:endnote w:id="29">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 xml:space="preserve">ECB Press Release, December 8, 2011. </w:t>
      </w:r>
    </w:p>
  </w:endnote>
  <w:endnote w:id="30">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Speech of M.Draghi, European Parliement , July 14, 2014.</w:t>
      </w:r>
    </w:p>
  </w:endnote>
  <w:endnote w:id="31">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ECB Press Release, June 5, 2014.</w:t>
      </w:r>
    </w:p>
  </w:endnote>
  <w:endnote w:id="32">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GB"/>
        </w:rPr>
        <w:endnoteRef/>
      </w:r>
      <w:r w:rsidRPr="00D565A7">
        <w:rPr>
          <w:rFonts w:ascii="Times New Roman" w:hAnsi="Times New Roman" w:cs="Times New Roman"/>
          <w:sz w:val="20"/>
          <w:szCs w:val="20"/>
          <w:lang w:val="en-GB"/>
        </w:rPr>
        <w:t xml:space="preserve">“There will be no requirement for mandatory early repayments under TLTRO II” , </w:t>
      </w:r>
      <w:r w:rsidRPr="00D565A7">
        <w:rPr>
          <w:rFonts w:ascii="Times New Roman" w:hAnsi="Times New Roman" w:cs="Times New Roman"/>
          <w:sz w:val="20"/>
          <w:szCs w:val="20"/>
          <w:lang w:val="en-CA"/>
        </w:rPr>
        <w:t>Speech of Mario Draghi, March, 10, 2016.</w:t>
      </w:r>
    </w:p>
  </w:endnote>
  <w:endnote w:id="33">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Speech of Mario Draghi, January, 22, 2015.</w:t>
      </w:r>
    </w:p>
  </w:endnote>
  <w:endnote w:id="34">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Buybacks allow companies to invest in themselves through the purchasing of their own shares in the market. It is an alternative to dividends.</w:t>
      </w:r>
    </w:p>
  </w:endnote>
  <w:endnote w:id="35">
    <w:p w:rsidR="00487A91" w:rsidRPr="00651DC1"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 xml:space="preserve">While the European stock markets' valuation (Euronext 100) rose by 22, 69% between 2011 and 2016, the European GDP </w:t>
      </w:r>
      <w:r w:rsidRPr="00651DC1">
        <w:rPr>
          <w:rFonts w:ascii="Times New Roman" w:hAnsi="Times New Roman" w:cs="Times New Roman"/>
          <w:sz w:val="20"/>
          <w:szCs w:val="20"/>
          <w:lang w:val="en-CA"/>
        </w:rPr>
        <w:t xml:space="preserve">remained stable in the same period.  </w:t>
      </w:r>
    </w:p>
  </w:endnote>
  <w:endnote w:id="36">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Helicopter money consists in the creation of new money by the central bank, which bypasses the financial sector and gives it directly to households and individual businesses without any counterparts (unlike open market operations).</w:t>
      </w:r>
    </w:p>
  </w:endnote>
  <w:endnote w:id="37">
    <w:p w:rsidR="00487A91" w:rsidRPr="00D565A7" w:rsidRDefault="00487A91" w:rsidP="00F44DA6">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Speech of Mark Carney, February, 25, 2013.</w:t>
      </w:r>
    </w:p>
  </w:endnote>
  <w:endnote w:id="38">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Speech of Andrew Haldane, August, 31, 2012.</w:t>
      </w:r>
    </w:p>
  </w:endnote>
  <w:endnote w:id="39">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The assumption behind this simplification is that a financial crisis triggers the fall of all the asset prices.</w:t>
      </w:r>
    </w:p>
  </w:endnote>
  <w:endnote w:id="40">
    <w:p w:rsidR="00487A91" w:rsidRPr="00651DC1" w:rsidRDefault="00487A91">
      <w:pPr>
        <w:pStyle w:val="EndnoteText"/>
        <w:rPr>
          <w:rFonts w:ascii="Times New Roman" w:hAnsi="Times New Roman" w:cs="Times New Roman"/>
          <w:lang w:val="en-CA"/>
        </w:rPr>
      </w:pPr>
      <w:r w:rsidRPr="00D565A7">
        <w:rPr>
          <w:rStyle w:val="EndnoteReference"/>
          <w:rFonts w:ascii="Times New Roman" w:hAnsi="Times New Roman" w:cs="Times New Roman"/>
        </w:rPr>
        <w:endnoteRef/>
      </w:r>
      <w:r w:rsidRPr="00D565A7">
        <w:rPr>
          <w:rFonts w:ascii="Times New Roman" w:hAnsi="Times New Roman" w:cs="Times New Roman"/>
          <w:lang w:val="en-CA"/>
        </w:rPr>
        <w:t xml:space="preserve"> During this stress test, Deustche bank’s results were boosted by a special concession agreed by its supervisor, the ECB (Noonan </w:t>
      </w:r>
      <w:r w:rsidRPr="00651DC1">
        <w:rPr>
          <w:rFonts w:ascii="Times New Roman" w:hAnsi="Times New Roman" w:cs="Times New Roman"/>
          <w:i/>
          <w:lang w:val="en-CA"/>
        </w:rPr>
        <w:t xml:space="preserve">et al. </w:t>
      </w:r>
      <w:r w:rsidRPr="00651DC1">
        <w:rPr>
          <w:rFonts w:ascii="Times New Roman" w:hAnsi="Times New Roman" w:cs="Times New Roman"/>
          <w:lang w:val="en-CA"/>
        </w:rPr>
        <w:t xml:space="preserve">2016). </w:t>
      </w:r>
    </w:p>
  </w:endnote>
  <w:endnote w:id="41">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Interview of Danielle Nouy with Handelsblatt, April, 1, 2015.</w:t>
      </w:r>
    </w:p>
  </w:endnote>
  <w:endnote w:id="42">
    <w:p w:rsidR="00487A91" w:rsidRPr="00D565A7" w:rsidRDefault="00487A91">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Recommendation ECB/2015/2 on dividend distribution policies.</w:t>
      </w:r>
    </w:p>
  </w:endnote>
  <w:endnote w:id="43">
    <w:p w:rsidR="00487A91" w:rsidRPr="00D565A7" w:rsidRDefault="00487A91" w:rsidP="00D95103">
      <w:pPr>
        <w:pStyle w:val="Notedefin1"/>
        <w:rPr>
          <w:rFonts w:ascii="Times New Roman" w:hAnsi="Times New Roman" w:cs="Times New Roman"/>
          <w:sz w:val="20"/>
          <w:szCs w:val="20"/>
          <w:lang w:val="en-CA"/>
        </w:rPr>
      </w:pPr>
      <w:r w:rsidRPr="00D565A7">
        <w:rPr>
          <w:rFonts w:ascii="Times New Roman" w:hAnsi="Times New Roman" w:cs="Times New Roman"/>
          <w:sz w:val="20"/>
          <w:szCs w:val="20"/>
          <w:lang w:val="en-CA"/>
        </w:rPr>
        <w:endnoteRef/>
      </w:r>
      <w:r w:rsidRPr="00D565A7">
        <w:rPr>
          <w:rFonts w:ascii="Times New Roman" w:hAnsi="Times New Roman" w:cs="Times New Roman"/>
          <w:sz w:val="20"/>
          <w:szCs w:val="20"/>
          <w:lang w:val="en-CA"/>
        </w:rPr>
        <w:t>ECB and BoE discussion paper, “The case for a better functioning securitisation market in the European Union”, May 2014. The ECB is also buying securized financial products since December 2014.</w:t>
      </w:r>
    </w:p>
  </w:endnote>
  <w:endnote w:id="44">
    <w:p w:rsidR="00487A91" w:rsidRPr="00D565A7" w:rsidRDefault="00487A91">
      <w:pPr>
        <w:pStyle w:val="Notedefin1"/>
        <w:rPr>
          <w:rFonts w:ascii="Times New Roman" w:hAnsi="Times New Roman" w:cs="Times New Roman"/>
          <w:sz w:val="20"/>
          <w:szCs w:val="20"/>
        </w:rPr>
      </w:pPr>
      <w:r w:rsidRPr="00D565A7">
        <w:rPr>
          <w:rFonts w:ascii="Times New Roman" w:hAnsi="Times New Roman" w:cs="Times New Roman"/>
          <w:sz w:val="20"/>
          <w:szCs w:val="20"/>
        </w:rPr>
        <w:endnoteRef/>
      </w:r>
      <w:r w:rsidRPr="00D565A7">
        <w:rPr>
          <w:rFonts w:ascii="Times New Roman" w:hAnsi="Times New Roman" w:cs="Times New Roman"/>
          <w:sz w:val="20"/>
          <w:szCs w:val="20"/>
        </w:rPr>
        <w:t>Quoted in James (2009, 36).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Droid Sans Fallback">
    <w:altName w:val="Times New Roman"/>
    <w:charset w:val="01"/>
    <w:family w:val="auto"/>
    <w:pitch w:val="variable"/>
  </w:font>
  <w:font w:name="DejaVu Sans">
    <w:altName w:val="Arial"/>
    <w:charset w:val="00"/>
    <w:family w:val="swiss"/>
    <w:pitch w:val="variable"/>
    <w:sig w:usb0="00000000" w:usb1="D200FDFF" w:usb2="0A246029" w:usb3="00000000" w:csb0="000001FF" w:csb1="00000000"/>
  </w:font>
  <w:font w:name="Liberation Serif">
    <w:altName w:val="Microsoft Sans Serif"/>
    <w:charset w:val="00"/>
    <w:family w:val="roman"/>
    <w:pitch w:val="variable"/>
    <w:sig w:usb0="E0000AFF" w:usb1="500078FF" w:usb2="00000021" w:usb3="00000000" w:csb0="000001BF" w:csb1="00000000"/>
  </w:font>
  <w:font w:name="FreeSans">
    <w:altName w:val="Arial"/>
    <w:charset w:val="01"/>
    <w:family w:val="auto"/>
    <w:pitch w:val="variable"/>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Lohit Marath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C0C" w:rsidRDefault="00780C0C" w:rsidP="003C5A5E">
      <w:r>
        <w:separator/>
      </w:r>
    </w:p>
  </w:footnote>
  <w:footnote w:type="continuationSeparator" w:id="0">
    <w:p w:rsidR="00780C0C" w:rsidRDefault="00780C0C" w:rsidP="003C5A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BD375A"/>
    <w:multiLevelType w:val="multilevel"/>
    <w:tmpl w:val="8E40D0F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7403697D"/>
    <w:multiLevelType w:val="multilevel"/>
    <w:tmpl w:val="0400DEE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fr-CA" w:vendorID="64" w:dllVersion="131078"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fr-BE" w:vendorID="64" w:dllVersion="131078" w:nlCheck="1" w:checkStyle="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A5E"/>
    <w:rsid w:val="00004000"/>
    <w:rsid w:val="000157F3"/>
    <w:rsid w:val="000165D5"/>
    <w:rsid w:val="00016D00"/>
    <w:rsid w:val="00033FC5"/>
    <w:rsid w:val="00035F8E"/>
    <w:rsid w:val="00047A38"/>
    <w:rsid w:val="00052475"/>
    <w:rsid w:val="00072E2F"/>
    <w:rsid w:val="00073685"/>
    <w:rsid w:val="00082A52"/>
    <w:rsid w:val="00087ACC"/>
    <w:rsid w:val="00091A37"/>
    <w:rsid w:val="0009282D"/>
    <w:rsid w:val="000B28E4"/>
    <w:rsid w:val="000B2CF7"/>
    <w:rsid w:val="000C53A5"/>
    <w:rsid w:val="000C6DF0"/>
    <w:rsid w:val="000D2B62"/>
    <w:rsid w:val="000F29F2"/>
    <w:rsid w:val="001146A4"/>
    <w:rsid w:val="00137195"/>
    <w:rsid w:val="00137ABB"/>
    <w:rsid w:val="00146FD0"/>
    <w:rsid w:val="00163B61"/>
    <w:rsid w:val="00172308"/>
    <w:rsid w:val="001814E2"/>
    <w:rsid w:val="001A0D7F"/>
    <w:rsid w:val="001A5566"/>
    <w:rsid w:val="001A57E7"/>
    <w:rsid w:val="001B2EF3"/>
    <w:rsid w:val="001B30E4"/>
    <w:rsid w:val="001C4504"/>
    <w:rsid w:val="001D228A"/>
    <w:rsid w:val="001E5D43"/>
    <w:rsid w:val="001F02C1"/>
    <w:rsid w:val="001F2417"/>
    <w:rsid w:val="001F57F7"/>
    <w:rsid w:val="00205B1B"/>
    <w:rsid w:val="00205EE2"/>
    <w:rsid w:val="00211507"/>
    <w:rsid w:val="00215A88"/>
    <w:rsid w:val="0022082B"/>
    <w:rsid w:val="002241A9"/>
    <w:rsid w:val="00240ECF"/>
    <w:rsid w:val="00265629"/>
    <w:rsid w:val="002908C3"/>
    <w:rsid w:val="002B5388"/>
    <w:rsid w:val="002E1A18"/>
    <w:rsid w:val="002F1254"/>
    <w:rsid w:val="002F49D6"/>
    <w:rsid w:val="00323E9A"/>
    <w:rsid w:val="00335D59"/>
    <w:rsid w:val="0035344F"/>
    <w:rsid w:val="003600E7"/>
    <w:rsid w:val="00361F1F"/>
    <w:rsid w:val="00366602"/>
    <w:rsid w:val="00381F90"/>
    <w:rsid w:val="00386367"/>
    <w:rsid w:val="003938BC"/>
    <w:rsid w:val="00395CB8"/>
    <w:rsid w:val="003A01D2"/>
    <w:rsid w:val="003C0206"/>
    <w:rsid w:val="003C1601"/>
    <w:rsid w:val="003C5A5E"/>
    <w:rsid w:val="003D0A9F"/>
    <w:rsid w:val="003E0BB2"/>
    <w:rsid w:val="003E43F7"/>
    <w:rsid w:val="004063D7"/>
    <w:rsid w:val="00407EA0"/>
    <w:rsid w:val="004127F1"/>
    <w:rsid w:val="0041785C"/>
    <w:rsid w:val="0043392F"/>
    <w:rsid w:val="00441D3F"/>
    <w:rsid w:val="00451EAC"/>
    <w:rsid w:val="00454ED7"/>
    <w:rsid w:val="0047109E"/>
    <w:rsid w:val="0047281C"/>
    <w:rsid w:val="00485341"/>
    <w:rsid w:val="00487586"/>
    <w:rsid w:val="00487A91"/>
    <w:rsid w:val="00492007"/>
    <w:rsid w:val="00493A71"/>
    <w:rsid w:val="004A242B"/>
    <w:rsid w:val="004B3723"/>
    <w:rsid w:val="004B641F"/>
    <w:rsid w:val="004C0866"/>
    <w:rsid w:val="004C367A"/>
    <w:rsid w:val="004D02CC"/>
    <w:rsid w:val="004D0993"/>
    <w:rsid w:val="004E0DD5"/>
    <w:rsid w:val="005004D6"/>
    <w:rsid w:val="00520FBC"/>
    <w:rsid w:val="00522A19"/>
    <w:rsid w:val="005451A4"/>
    <w:rsid w:val="0055394C"/>
    <w:rsid w:val="00570F67"/>
    <w:rsid w:val="005718C1"/>
    <w:rsid w:val="00577AE3"/>
    <w:rsid w:val="00585C45"/>
    <w:rsid w:val="005904DE"/>
    <w:rsid w:val="0059440B"/>
    <w:rsid w:val="0059484E"/>
    <w:rsid w:val="00594AC5"/>
    <w:rsid w:val="00596DDE"/>
    <w:rsid w:val="005A4FF8"/>
    <w:rsid w:val="005A68DC"/>
    <w:rsid w:val="005B032E"/>
    <w:rsid w:val="005C561C"/>
    <w:rsid w:val="005C7883"/>
    <w:rsid w:val="005D13FC"/>
    <w:rsid w:val="005D7D61"/>
    <w:rsid w:val="005F25B6"/>
    <w:rsid w:val="005F2679"/>
    <w:rsid w:val="00600057"/>
    <w:rsid w:val="00616E24"/>
    <w:rsid w:val="00617B7D"/>
    <w:rsid w:val="00622B4F"/>
    <w:rsid w:val="00626B83"/>
    <w:rsid w:val="006358C9"/>
    <w:rsid w:val="00636631"/>
    <w:rsid w:val="00646E59"/>
    <w:rsid w:val="00651DC1"/>
    <w:rsid w:val="00651F10"/>
    <w:rsid w:val="006526AE"/>
    <w:rsid w:val="006608D8"/>
    <w:rsid w:val="006740AE"/>
    <w:rsid w:val="00676F62"/>
    <w:rsid w:val="0069336F"/>
    <w:rsid w:val="006A1DC0"/>
    <w:rsid w:val="006A59CC"/>
    <w:rsid w:val="006A7904"/>
    <w:rsid w:val="006D7016"/>
    <w:rsid w:val="006F5BC5"/>
    <w:rsid w:val="00707A0E"/>
    <w:rsid w:val="0071575D"/>
    <w:rsid w:val="007157CF"/>
    <w:rsid w:val="00741CB1"/>
    <w:rsid w:val="0074216C"/>
    <w:rsid w:val="00745652"/>
    <w:rsid w:val="0075416F"/>
    <w:rsid w:val="00772482"/>
    <w:rsid w:val="0077251E"/>
    <w:rsid w:val="00780C0C"/>
    <w:rsid w:val="007A59D8"/>
    <w:rsid w:val="007C3461"/>
    <w:rsid w:val="007D2702"/>
    <w:rsid w:val="007E4448"/>
    <w:rsid w:val="007E4CEA"/>
    <w:rsid w:val="0080538E"/>
    <w:rsid w:val="008143AF"/>
    <w:rsid w:val="0082688E"/>
    <w:rsid w:val="00852826"/>
    <w:rsid w:val="00864936"/>
    <w:rsid w:val="00864D44"/>
    <w:rsid w:val="00866A36"/>
    <w:rsid w:val="008711AD"/>
    <w:rsid w:val="00880CFB"/>
    <w:rsid w:val="00884C85"/>
    <w:rsid w:val="00887B1B"/>
    <w:rsid w:val="00887EE4"/>
    <w:rsid w:val="008B2370"/>
    <w:rsid w:val="008C2EFA"/>
    <w:rsid w:val="008D2943"/>
    <w:rsid w:val="008D454B"/>
    <w:rsid w:val="008F23F4"/>
    <w:rsid w:val="008F4A1F"/>
    <w:rsid w:val="00921C03"/>
    <w:rsid w:val="0092294E"/>
    <w:rsid w:val="009269F7"/>
    <w:rsid w:val="009404C5"/>
    <w:rsid w:val="00954A11"/>
    <w:rsid w:val="0097182C"/>
    <w:rsid w:val="0097608D"/>
    <w:rsid w:val="0097758F"/>
    <w:rsid w:val="00987988"/>
    <w:rsid w:val="009919AC"/>
    <w:rsid w:val="00993D27"/>
    <w:rsid w:val="009969DD"/>
    <w:rsid w:val="009E0B9F"/>
    <w:rsid w:val="009E5F1C"/>
    <w:rsid w:val="009F0BD9"/>
    <w:rsid w:val="009F16AC"/>
    <w:rsid w:val="009F448F"/>
    <w:rsid w:val="00A000EE"/>
    <w:rsid w:val="00A255F3"/>
    <w:rsid w:val="00A332FC"/>
    <w:rsid w:val="00A3674F"/>
    <w:rsid w:val="00A72766"/>
    <w:rsid w:val="00A779A4"/>
    <w:rsid w:val="00A86C21"/>
    <w:rsid w:val="00A9612A"/>
    <w:rsid w:val="00A97FE5"/>
    <w:rsid w:val="00AA3A6E"/>
    <w:rsid w:val="00AA7457"/>
    <w:rsid w:val="00AB2939"/>
    <w:rsid w:val="00AD2C76"/>
    <w:rsid w:val="00AE1A76"/>
    <w:rsid w:val="00AF19B3"/>
    <w:rsid w:val="00AF288A"/>
    <w:rsid w:val="00AF6DD8"/>
    <w:rsid w:val="00B04057"/>
    <w:rsid w:val="00B2191F"/>
    <w:rsid w:val="00B25F49"/>
    <w:rsid w:val="00B26F5A"/>
    <w:rsid w:val="00B31D97"/>
    <w:rsid w:val="00B369A3"/>
    <w:rsid w:val="00B45F05"/>
    <w:rsid w:val="00B50648"/>
    <w:rsid w:val="00B56BC7"/>
    <w:rsid w:val="00B60F67"/>
    <w:rsid w:val="00B646A8"/>
    <w:rsid w:val="00B701B9"/>
    <w:rsid w:val="00B73A0F"/>
    <w:rsid w:val="00B82069"/>
    <w:rsid w:val="00B856EF"/>
    <w:rsid w:val="00B91DBA"/>
    <w:rsid w:val="00B94796"/>
    <w:rsid w:val="00B95AD9"/>
    <w:rsid w:val="00BA1F93"/>
    <w:rsid w:val="00BA6568"/>
    <w:rsid w:val="00BB0E68"/>
    <w:rsid w:val="00BB25C1"/>
    <w:rsid w:val="00BB7175"/>
    <w:rsid w:val="00BC009C"/>
    <w:rsid w:val="00BD4045"/>
    <w:rsid w:val="00C067C6"/>
    <w:rsid w:val="00C12100"/>
    <w:rsid w:val="00C17B35"/>
    <w:rsid w:val="00C57843"/>
    <w:rsid w:val="00C67DE4"/>
    <w:rsid w:val="00C7291D"/>
    <w:rsid w:val="00C74921"/>
    <w:rsid w:val="00C75091"/>
    <w:rsid w:val="00C7559A"/>
    <w:rsid w:val="00C771C5"/>
    <w:rsid w:val="00C8301B"/>
    <w:rsid w:val="00C837AB"/>
    <w:rsid w:val="00C83A07"/>
    <w:rsid w:val="00C8567C"/>
    <w:rsid w:val="00C8687B"/>
    <w:rsid w:val="00CA32E3"/>
    <w:rsid w:val="00CA3673"/>
    <w:rsid w:val="00CA760F"/>
    <w:rsid w:val="00CC08C3"/>
    <w:rsid w:val="00CC2E5D"/>
    <w:rsid w:val="00CC5470"/>
    <w:rsid w:val="00CD0706"/>
    <w:rsid w:val="00CE668D"/>
    <w:rsid w:val="00CE6B9D"/>
    <w:rsid w:val="00CF2827"/>
    <w:rsid w:val="00CF7036"/>
    <w:rsid w:val="00CF78AE"/>
    <w:rsid w:val="00D00466"/>
    <w:rsid w:val="00D1248C"/>
    <w:rsid w:val="00D14D58"/>
    <w:rsid w:val="00D1643E"/>
    <w:rsid w:val="00D214A6"/>
    <w:rsid w:val="00D21DEF"/>
    <w:rsid w:val="00D51076"/>
    <w:rsid w:val="00D565A7"/>
    <w:rsid w:val="00D61368"/>
    <w:rsid w:val="00D66B78"/>
    <w:rsid w:val="00D66C3E"/>
    <w:rsid w:val="00D7700F"/>
    <w:rsid w:val="00D83A0D"/>
    <w:rsid w:val="00D95103"/>
    <w:rsid w:val="00D95E44"/>
    <w:rsid w:val="00DB67B0"/>
    <w:rsid w:val="00DC0B26"/>
    <w:rsid w:val="00DC10A3"/>
    <w:rsid w:val="00DD2D89"/>
    <w:rsid w:val="00E20561"/>
    <w:rsid w:val="00E2118C"/>
    <w:rsid w:val="00E23B0A"/>
    <w:rsid w:val="00E325C2"/>
    <w:rsid w:val="00E34555"/>
    <w:rsid w:val="00E35D7A"/>
    <w:rsid w:val="00E54633"/>
    <w:rsid w:val="00E64740"/>
    <w:rsid w:val="00E66350"/>
    <w:rsid w:val="00E71922"/>
    <w:rsid w:val="00E813BC"/>
    <w:rsid w:val="00E83EB7"/>
    <w:rsid w:val="00E90634"/>
    <w:rsid w:val="00E96F68"/>
    <w:rsid w:val="00E9779B"/>
    <w:rsid w:val="00EC6DBC"/>
    <w:rsid w:val="00ED5051"/>
    <w:rsid w:val="00EF03BC"/>
    <w:rsid w:val="00EF2B7D"/>
    <w:rsid w:val="00EF3760"/>
    <w:rsid w:val="00EF4184"/>
    <w:rsid w:val="00EF48D3"/>
    <w:rsid w:val="00F014BB"/>
    <w:rsid w:val="00F03D34"/>
    <w:rsid w:val="00F11C73"/>
    <w:rsid w:val="00F1291D"/>
    <w:rsid w:val="00F15905"/>
    <w:rsid w:val="00F15CCF"/>
    <w:rsid w:val="00F22337"/>
    <w:rsid w:val="00F34E0A"/>
    <w:rsid w:val="00F4415E"/>
    <w:rsid w:val="00F44DA6"/>
    <w:rsid w:val="00F60E92"/>
    <w:rsid w:val="00F70451"/>
    <w:rsid w:val="00F720F4"/>
    <w:rsid w:val="00F7232B"/>
    <w:rsid w:val="00F83D60"/>
    <w:rsid w:val="00F84C6F"/>
    <w:rsid w:val="00F94429"/>
    <w:rsid w:val="00F96114"/>
    <w:rsid w:val="00FA021B"/>
    <w:rsid w:val="00FD048D"/>
    <w:rsid w:val="00FD6651"/>
    <w:rsid w:val="00FF58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6DFE"/>
  <w15:docId w15:val="{0D7F7227-E0A9-40A9-9248-BB313A286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DejaVu Sans"/>
        <w:sz w:val="22"/>
        <w:szCs w:val="22"/>
        <w:lang w:val="fr-CA"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C5A5E"/>
    <w:pPr>
      <w:widowControl w:val="0"/>
      <w:suppressAutoHyphens/>
      <w:overflowPunct w:val="0"/>
      <w:spacing w:line="240" w:lineRule="auto"/>
      <w:textAlignment w:val="baseline"/>
    </w:pPr>
    <w:rPr>
      <w:rFonts w:ascii="Liberation Serif" w:hAnsi="Liberation Serif" w:cs="FreeSans"/>
      <w:color w:val="00000A"/>
      <w:sz w:val="24"/>
      <w:szCs w:val="24"/>
      <w:lang w:eastAsia="zh-CN" w:bidi="hi-IN"/>
    </w:rPr>
  </w:style>
  <w:style w:type="paragraph" w:styleId="Heading1">
    <w:name w:val="heading 1"/>
    <w:basedOn w:val="Normal"/>
    <w:next w:val="Normal"/>
    <w:link w:val="Heading1Char1"/>
    <w:uiPriority w:val="9"/>
    <w:qFormat/>
    <w:rsid w:val="00B31D97"/>
    <w:pPr>
      <w:keepNext/>
      <w:keepLines/>
      <w:spacing w:before="240"/>
      <w:outlineLvl w:val="0"/>
    </w:pPr>
    <w:rPr>
      <w:rFonts w:asciiTheme="majorHAnsi" w:eastAsiaTheme="majorEastAsia" w:hAnsiTheme="majorHAnsi" w:cs="Mangal"/>
      <w:color w:val="365F91"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11">
    <w:name w:val="Titre 11"/>
    <w:basedOn w:val="Titre1"/>
    <w:rsid w:val="003C5A5E"/>
    <w:pPr>
      <w:widowControl/>
      <w:spacing w:line="276" w:lineRule="auto"/>
      <w:textAlignment w:val="auto"/>
      <w:outlineLvl w:val="0"/>
    </w:pPr>
    <w:rPr>
      <w:rFonts w:ascii="Calibri" w:hAnsi="Calibri" w:cs="DejaVu Sans"/>
      <w:b/>
      <w:sz w:val="22"/>
      <w:szCs w:val="22"/>
      <w:lang w:eastAsia="en-US" w:bidi="ar-SA"/>
    </w:rPr>
  </w:style>
  <w:style w:type="paragraph" w:customStyle="1" w:styleId="Titre21">
    <w:name w:val="Titre 21"/>
    <w:basedOn w:val="Titre1"/>
    <w:rsid w:val="003C5A5E"/>
    <w:pPr>
      <w:widowControl/>
      <w:spacing w:line="276" w:lineRule="auto"/>
      <w:textAlignment w:val="auto"/>
      <w:outlineLvl w:val="1"/>
    </w:pPr>
    <w:rPr>
      <w:rFonts w:ascii="Calibri" w:hAnsi="Calibri" w:cs="DejaVu Sans"/>
      <w:i/>
      <w:sz w:val="22"/>
      <w:szCs w:val="22"/>
      <w:lang w:eastAsia="en-US" w:bidi="ar-SA"/>
    </w:rPr>
  </w:style>
  <w:style w:type="paragraph" w:customStyle="1" w:styleId="Titre31">
    <w:name w:val="Titre 31"/>
    <w:basedOn w:val="Normal"/>
    <w:rsid w:val="003C5A5E"/>
    <w:pPr>
      <w:keepNext/>
      <w:spacing w:before="140"/>
      <w:outlineLvl w:val="2"/>
    </w:pPr>
    <w:rPr>
      <w:rFonts w:ascii="Liberation Sans" w:hAnsi="Liberation Sans"/>
      <w:b/>
      <w:bCs/>
      <w:color w:val="808080"/>
      <w:sz w:val="28"/>
      <w:szCs w:val="28"/>
    </w:rPr>
  </w:style>
  <w:style w:type="character" w:customStyle="1" w:styleId="Heading1Char">
    <w:name w:val="Heading 1 Char"/>
    <w:basedOn w:val="DefaultParagraphFont"/>
    <w:rsid w:val="003C5A5E"/>
    <w:rPr>
      <w:rFonts w:ascii="Liberation Sans" w:eastAsia="Droid Sans Fallback" w:hAnsi="Liberation Sans" w:cs="FreeSans"/>
      <w:b/>
      <w:color w:val="00000A"/>
      <w:sz w:val="28"/>
      <w:szCs w:val="28"/>
    </w:rPr>
  </w:style>
  <w:style w:type="character" w:customStyle="1" w:styleId="Heading2Char">
    <w:name w:val="Heading 2 Char"/>
    <w:basedOn w:val="DefaultParagraphFont"/>
    <w:rsid w:val="003C5A5E"/>
    <w:rPr>
      <w:rFonts w:ascii="Liberation Sans" w:eastAsia="Droid Sans Fallback" w:hAnsi="Liberation Sans" w:cs="FreeSans"/>
      <w:i/>
      <w:color w:val="00000A"/>
      <w:sz w:val="24"/>
      <w:szCs w:val="28"/>
    </w:rPr>
  </w:style>
  <w:style w:type="character" w:customStyle="1" w:styleId="Heading3Char">
    <w:name w:val="Heading 3 Char"/>
    <w:basedOn w:val="DefaultParagraphFont"/>
    <w:rsid w:val="003C5A5E"/>
    <w:rPr>
      <w:rFonts w:ascii="Liberation Sans" w:eastAsia="Droid Sans Fallback" w:hAnsi="Liberation Sans" w:cs="FreeSans"/>
      <w:b/>
      <w:bCs/>
      <w:color w:val="808080"/>
      <w:sz w:val="28"/>
      <w:szCs w:val="28"/>
      <w:lang w:eastAsia="zh-CN" w:bidi="hi-IN"/>
    </w:rPr>
  </w:style>
  <w:style w:type="character" w:styleId="FootnoteReference">
    <w:name w:val="footnote reference"/>
    <w:rsid w:val="003C5A5E"/>
    <w:rPr>
      <w:rFonts w:ascii="Times New Roman" w:hAnsi="Times New Roman"/>
      <w:sz w:val="16"/>
    </w:rPr>
  </w:style>
  <w:style w:type="character" w:customStyle="1" w:styleId="FootnoteTextChar">
    <w:name w:val="Footnote Text Char"/>
    <w:rsid w:val="003C5A5E"/>
    <w:rPr>
      <w:sz w:val="20"/>
      <w:szCs w:val="20"/>
    </w:rPr>
  </w:style>
  <w:style w:type="character" w:customStyle="1" w:styleId="Accentuation1">
    <w:name w:val="Accentuation1"/>
    <w:rsid w:val="003C5A5E"/>
    <w:rPr>
      <w:i/>
      <w:iCs/>
    </w:rPr>
  </w:style>
  <w:style w:type="character" w:customStyle="1" w:styleId="BodyTextChar">
    <w:name w:val="Body Text Char"/>
    <w:basedOn w:val="DefaultParagraphFont"/>
    <w:rsid w:val="003C5A5E"/>
    <w:rPr>
      <w:rFonts w:ascii="Liberation Serif" w:eastAsia="Droid Sans Fallback" w:hAnsi="Liberation Serif" w:cs="FreeSans"/>
      <w:sz w:val="24"/>
      <w:szCs w:val="24"/>
      <w:lang w:eastAsia="zh-CN" w:bidi="hi-IN"/>
    </w:rPr>
  </w:style>
  <w:style w:type="character" w:customStyle="1" w:styleId="FootnoteTextChar1">
    <w:name w:val="Footnote Text Char1"/>
    <w:basedOn w:val="DefaultParagraphFont"/>
    <w:rsid w:val="003C5A5E"/>
    <w:rPr>
      <w:rFonts w:ascii="Calibri" w:eastAsia="Droid Sans Fallback" w:hAnsi="Calibri" w:cs="FreeSans"/>
      <w:sz w:val="20"/>
      <w:szCs w:val="20"/>
      <w:lang w:eastAsia="zh-CN" w:bidi="hi-IN"/>
    </w:rPr>
  </w:style>
  <w:style w:type="character" w:customStyle="1" w:styleId="TitleChar">
    <w:name w:val="Title Char"/>
    <w:basedOn w:val="DefaultParagraphFont"/>
    <w:rsid w:val="003C5A5E"/>
    <w:rPr>
      <w:rFonts w:ascii="Liberation Sans" w:eastAsia="Droid Sans Fallback" w:hAnsi="Liberation Sans" w:cs="FreeSans"/>
      <w:b/>
      <w:bCs/>
      <w:sz w:val="56"/>
      <w:szCs w:val="56"/>
      <w:lang w:eastAsia="zh-CN" w:bidi="hi-IN"/>
    </w:rPr>
  </w:style>
  <w:style w:type="character" w:customStyle="1" w:styleId="BalloonTextChar">
    <w:name w:val="Balloon Text Char"/>
    <w:basedOn w:val="DefaultParagraphFont"/>
    <w:rsid w:val="003C5A5E"/>
    <w:rPr>
      <w:rFonts w:ascii="Segoe UI" w:eastAsia="Droid Sans Fallback" w:hAnsi="Segoe UI" w:cs="Mangal"/>
      <w:sz w:val="18"/>
      <w:szCs w:val="16"/>
      <w:lang w:eastAsia="zh-CN" w:bidi="hi-IN"/>
    </w:rPr>
  </w:style>
  <w:style w:type="character" w:customStyle="1" w:styleId="EndnoteTextChar">
    <w:name w:val="Endnote Text Char"/>
    <w:basedOn w:val="DefaultParagraphFont"/>
    <w:rsid w:val="003C5A5E"/>
    <w:rPr>
      <w:rFonts w:ascii="Liberation Serif" w:eastAsia="Droid Sans Fallback" w:hAnsi="Liberation Serif" w:cs="Mangal"/>
      <w:sz w:val="20"/>
      <w:szCs w:val="18"/>
      <w:lang w:eastAsia="zh-CN" w:bidi="hi-IN"/>
    </w:rPr>
  </w:style>
  <w:style w:type="character" w:styleId="EndnoteReference">
    <w:name w:val="endnote reference"/>
    <w:basedOn w:val="DefaultParagraphFont"/>
    <w:rsid w:val="003C5A5E"/>
    <w:rPr>
      <w:vertAlign w:val="superscript"/>
    </w:rPr>
  </w:style>
  <w:style w:type="character" w:customStyle="1" w:styleId="HeaderChar">
    <w:name w:val="Header Char"/>
    <w:basedOn w:val="DefaultParagraphFont"/>
    <w:rsid w:val="003C5A5E"/>
    <w:rPr>
      <w:rFonts w:ascii="Liberation Serif" w:eastAsia="Droid Sans Fallback" w:hAnsi="Liberation Serif" w:cs="Mangal"/>
      <w:sz w:val="24"/>
      <w:szCs w:val="21"/>
      <w:lang w:eastAsia="zh-CN" w:bidi="hi-IN"/>
    </w:rPr>
  </w:style>
  <w:style w:type="character" w:customStyle="1" w:styleId="FooterChar">
    <w:name w:val="Footer Char"/>
    <w:basedOn w:val="DefaultParagraphFont"/>
    <w:rsid w:val="003C5A5E"/>
    <w:rPr>
      <w:rFonts w:ascii="Liberation Serif" w:eastAsia="Droid Sans Fallback" w:hAnsi="Liberation Serif" w:cs="Mangal"/>
      <w:sz w:val="24"/>
      <w:szCs w:val="21"/>
      <w:lang w:eastAsia="zh-CN" w:bidi="hi-IN"/>
    </w:rPr>
  </w:style>
  <w:style w:type="character" w:customStyle="1" w:styleId="Ancredenotedebasdepage">
    <w:name w:val="Ancre de note de bas de page"/>
    <w:rsid w:val="003C5A5E"/>
    <w:rPr>
      <w:vertAlign w:val="superscript"/>
    </w:rPr>
  </w:style>
  <w:style w:type="character" w:customStyle="1" w:styleId="Ancredenotedefin">
    <w:name w:val="Ancre de note de fin"/>
    <w:rsid w:val="003C5A5E"/>
    <w:rPr>
      <w:vertAlign w:val="superscript"/>
    </w:rPr>
  </w:style>
  <w:style w:type="character" w:customStyle="1" w:styleId="LienInternet">
    <w:name w:val="Lien Internet"/>
    <w:rsid w:val="003C5A5E"/>
    <w:rPr>
      <w:color w:val="000080"/>
      <w:u w:val="single"/>
    </w:rPr>
  </w:style>
  <w:style w:type="character" w:customStyle="1" w:styleId="FootnoteAnchor">
    <w:name w:val="Footnote Anchor"/>
    <w:rsid w:val="003C5A5E"/>
    <w:rPr>
      <w:vertAlign w:val="superscript"/>
    </w:rPr>
  </w:style>
  <w:style w:type="character" w:customStyle="1" w:styleId="EndnoteAnchor">
    <w:name w:val="Endnote Anchor"/>
    <w:rsid w:val="003C5A5E"/>
    <w:rPr>
      <w:vertAlign w:val="superscript"/>
    </w:rPr>
  </w:style>
  <w:style w:type="character" w:customStyle="1" w:styleId="EndnoteCharacters">
    <w:name w:val="Endnote Characters"/>
    <w:rsid w:val="003C5A5E"/>
  </w:style>
  <w:style w:type="character" w:customStyle="1" w:styleId="FootnoteCharacters">
    <w:name w:val="Footnote Characters"/>
    <w:rsid w:val="003C5A5E"/>
  </w:style>
  <w:style w:type="character" w:customStyle="1" w:styleId="Caractresdenotedefin">
    <w:name w:val="Caractères de note de fin"/>
    <w:rsid w:val="003C5A5E"/>
  </w:style>
  <w:style w:type="character" w:customStyle="1" w:styleId="Caractresdenotedebasdepage">
    <w:name w:val="Caractères de note de bas de page"/>
    <w:rsid w:val="003C5A5E"/>
  </w:style>
  <w:style w:type="paragraph" w:customStyle="1" w:styleId="Titre1">
    <w:name w:val="Titre1"/>
    <w:basedOn w:val="Normal"/>
    <w:next w:val="Corpsdetexte1"/>
    <w:rsid w:val="003C5A5E"/>
    <w:pPr>
      <w:keepNext/>
      <w:spacing w:before="240" w:after="120"/>
    </w:pPr>
    <w:rPr>
      <w:rFonts w:ascii="Liberation Sans" w:hAnsi="Liberation Sans" w:cs="Lohit Marathi"/>
      <w:sz w:val="28"/>
      <w:szCs w:val="28"/>
    </w:rPr>
  </w:style>
  <w:style w:type="paragraph" w:customStyle="1" w:styleId="Corpsdetexte1">
    <w:name w:val="Corps de texte1"/>
    <w:basedOn w:val="Normal"/>
    <w:rsid w:val="003C5A5E"/>
    <w:pPr>
      <w:spacing w:after="140" w:line="288" w:lineRule="auto"/>
    </w:pPr>
  </w:style>
  <w:style w:type="paragraph" w:customStyle="1" w:styleId="Liste1">
    <w:name w:val="Liste1"/>
    <w:basedOn w:val="Corpsdetexte1"/>
    <w:rsid w:val="003C5A5E"/>
    <w:rPr>
      <w:rFonts w:cs="Lohit Marathi"/>
    </w:rPr>
  </w:style>
  <w:style w:type="paragraph" w:customStyle="1" w:styleId="Lgende1">
    <w:name w:val="Légende1"/>
    <w:basedOn w:val="Normal"/>
    <w:rsid w:val="003C5A5E"/>
    <w:pPr>
      <w:suppressLineNumbers/>
      <w:spacing w:before="120" w:after="120"/>
    </w:pPr>
    <w:rPr>
      <w:rFonts w:cs="Lohit Marathi"/>
      <w:i/>
      <w:iCs/>
    </w:rPr>
  </w:style>
  <w:style w:type="paragraph" w:customStyle="1" w:styleId="Index">
    <w:name w:val="Index"/>
    <w:basedOn w:val="Normal"/>
    <w:rsid w:val="003C5A5E"/>
    <w:pPr>
      <w:suppressLineNumbers/>
    </w:pPr>
    <w:rPr>
      <w:rFonts w:cs="Lohit Marathi"/>
    </w:rPr>
  </w:style>
  <w:style w:type="paragraph" w:customStyle="1" w:styleId="TextBody">
    <w:name w:val="Text Body"/>
    <w:basedOn w:val="Normal"/>
    <w:rsid w:val="003C5A5E"/>
    <w:pPr>
      <w:spacing w:after="140" w:line="288" w:lineRule="auto"/>
    </w:pPr>
  </w:style>
  <w:style w:type="paragraph" w:customStyle="1" w:styleId="LO-Normal">
    <w:name w:val="LO-Normal"/>
    <w:rsid w:val="003C5A5E"/>
    <w:pPr>
      <w:widowControl w:val="0"/>
      <w:suppressAutoHyphens/>
      <w:overflowPunct w:val="0"/>
      <w:spacing w:line="240" w:lineRule="auto"/>
      <w:textAlignment w:val="baseline"/>
    </w:pPr>
    <w:rPr>
      <w:rFonts w:ascii="Liberation Serif" w:hAnsi="Liberation Serif" w:cs="FreeSans"/>
      <w:color w:val="00000A"/>
      <w:sz w:val="24"/>
      <w:szCs w:val="24"/>
      <w:lang w:eastAsia="zh-CN" w:bidi="hi-IN"/>
    </w:rPr>
  </w:style>
  <w:style w:type="paragraph" w:styleId="FootnoteText">
    <w:name w:val="footnote text"/>
    <w:basedOn w:val="Normal"/>
    <w:rsid w:val="003C5A5E"/>
    <w:rPr>
      <w:rFonts w:ascii="Calibri" w:hAnsi="Calibri"/>
      <w:sz w:val="20"/>
      <w:szCs w:val="20"/>
    </w:rPr>
  </w:style>
  <w:style w:type="paragraph" w:customStyle="1" w:styleId="Titreprincipal">
    <w:name w:val="Titre principal"/>
    <w:basedOn w:val="Normal"/>
    <w:rsid w:val="003C5A5E"/>
    <w:pPr>
      <w:keepNext/>
      <w:spacing w:before="240" w:after="120"/>
      <w:jc w:val="center"/>
    </w:pPr>
    <w:rPr>
      <w:rFonts w:ascii="Liberation Sans" w:hAnsi="Liberation Sans"/>
      <w:b/>
      <w:bCs/>
      <w:sz w:val="56"/>
      <w:szCs w:val="56"/>
    </w:rPr>
  </w:style>
  <w:style w:type="paragraph" w:customStyle="1" w:styleId="citation">
    <w:name w:val="citation"/>
    <w:basedOn w:val="Normal"/>
    <w:rsid w:val="003C5A5E"/>
    <w:pPr>
      <w:spacing w:line="480" w:lineRule="auto"/>
      <w:ind w:left="284" w:right="284"/>
    </w:pPr>
    <w:rPr>
      <w:lang w:eastAsia="fr-FR"/>
    </w:rPr>
  </w:style>
  <w:style w:type="paragraph" w:customStyle="1" w:styleId="sansindetation">
    <w:name w:val="sans indetation"/>
    <w:basedOn w:val="Normal"/>
    <w:rsid w:val="003C5A5E"/>
    <w:pPr>
      <w:spacing w:line="480" w:lineRule="auto"/>
    </w:pPr>
  </w:style>
  <w:style w:type="paragraph" w:styleId="BalloonText">
    <w:name w:val="Balloon Text"/>
    <w:basedOn w:val="Normal"/>
    <w:rsid w:val="003C5A5E"/>
    <w:rPr>
      <w:rFonts w:ascii="Segoe UI" w:hAnsi="Segoe UI" w:cs="Mangal"/>
      <w:sz w:val="18"/>
      <w:szCs w:val="16"/>
    </w:rPr>
  </w:style>
  <w:style w:type="paragraph" w:styleId="EndnoteText">
    <w:name w:val="endnote text"/>
    <w:basedOn w:val="Normal"/>
    <w:rsid w:val="003C5A5E"/>
    <w:rPr>
      <w:rFonts w:cs="Mangal"/>
      <w:sz w:val="20"/>
      <w:szCs w:val="18"/>
    </w:rPr>
  </w:style>
  <w:style w:type="paragraph" w:customStyle="1" w:styleId="En-tte1">
    <w:name w:val="En-tête1"/>
    <w:basedOn w:val="Normal"/>
    <w:rsid w:val="003C5A5E"/>
    <w:pPr>
      <w:tabs>
        <w:tab w:val="center" w:pos="4320"/>
        <w:tab w:val="right" w:pos="8640"/>
      </w:tabs>
    </w:pPr>
    <w:rPr>
      <w:rFonts w:cs="Mangal"/>
      <w:szCs w:val="21"/>
    </w:rPr>
  </w:style>
  <w:style w:type="paragraph" w:customStyle="1" w:styleId="Pieddepage1">
    <w:name w:val="Pied de page1"/>
    <w:basedOn w:val="Normal"/>
    <w:rsid w:val="003C5A5E"/>
    <w:pPr>
      <w:tabs>
        <w:tab w:val="center" w:pos="4320"/>
        <w:tab w:val="right" w:pos="8640"/>
      </w:tabs>
    </w:pPr>
    <w:rPr>
      <w:rFonts w:cs="Mangal"/>
      <w:szCs w:val="21"/>
    </w:rPr>
  </w:style>
  <w:style w:type="paragraph" w:customStyle="1" w:styleId="Notedebasdepage1">
    <w:name w:val="Note de bas de page1"/>
    <w:basedOn w:val="Normal"/>
    <w:rsid w:val="003C5A5E"/>
  </w:style>
  <w:style w:type="paragraph" w:customStyle="1" w:styleId="Notedefin1">
    <w:name w:val="Note de fin1"/>
    <w:basedOn w:val="Normal"/>
    <w:rsid w:val="003C5A5E"/>
  </w:style>
  <w:style w:type="paragraph" w:customStyle="1" w:styleId="Normal1">
    <w:name w:val="Normal1"/>
    <w:rsid w:val="003C5A5E"/>
    <w:pPr>
      <w:suppressAutoHyphens/>
      <w:overflowPunct w:val="0"/>
    </w:pPr>
    <w:rPr>
      <w:color w:val="00000A"/>
    </w:rPr>
  </w:style>
  <w:style w:type="paragraph" w:customStyle="1" w:styleId="References">
    <w:name w:val="References"/>
    <w:basedOn w:val="Normal1"/>
    <w:rsid w:val="003C5A5E"/>
    <w:pPr>
      <w:ind w:left="567" w:hanging="567"/>
    </w:pPr>
  </w:style>
  <w:style w:type="paragraph" w:styleId="Revision">
    <w:name w:val="Revision"/>
    <w:rsid w:val="003C5A5E"/>
    <w:pPr>
      <w:suppressAutoHyphens/>
      <w:overflowPunct w:val="0"/>
      <w:spacing w:line="240" w:lineRule="auto"/>
    </w:pPr>
    <w:rPr>
      <w:rFonts w:ascii="Liberation Serif" w:hAnsi="Liberation Serif" w:cs="Mangal"/>
      <w:color w:val="00000A"/>
      <w:sz w:val="24"/>
      <w:szCs w:val="21"/>
      <w:lang w:eastAsia="zh-CN" w:bidi="hi-IN"/>
    </w:rPr>
  </w:style>
  <w:style w:type="paragraph" w:customStyle="1" w:styleId="Citation1">
    <w:name w:val="Citation1"/>
    <w:basedOn w:val="Normal"/>
    <w:rsid w:val="003C5A5E"/>
  </w:style>
  <w:style w:type="paragraph" w:customStyle="1" w:styleId="Sous-titre1">
    <w:name w:val="Sous-titre1"/>
    <w:basedOn w:val="Titre1"/>
    <w:rsid w:val="003C5A5E"/>
  </w:style>
  <w:style w:type="paragraph" w:styleId="ListParagraph">
    <w:name w:val="List Paragraph"/>
    <w:basedOn w:val="Normal"/>
    <w:uiPriority w:val="34"/>
    <w:qFormat/>
    <w:rsid w:val="00361F1F"/>
    <w:pPr>
      <w:ind w:left="720"/>
      <w:contextualSpacing/>
    </w:pPr>
    <w:rPr>
      <w:rFonts w:cs="Mangal"/>
      <w:szCs w:val="21"/>
    </w:rPr>
  </w:style>
  <w:style w:type="character" w:customStyle="1" w:styleId="Heading1Char1">
    <w:name w:val="Heading 1 Char1"/>
    <w:basedOn w:val="DefaultParagraphFont"/>
    <w:link w:val="Heading1"/>
    <w:uiPriority w:val="9"/>
    <w:rsid w:val="00B31D97"/>
    <w:rPr>
      <w:rFonts w:asciiTheme="majorHAnsi" w:eastAsiaTheme="majorEastAsia" w:hAnsiTheme="majorHAnsi" w:cs="Mangal"/>
      <w:color w:val="365F91" w:themeColor="accent1" w:themeShade="BF"/>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74716">
      <w:bodyDiv w:val="1"/>
      <w:marLeft w:val="0"/>
      <w:marRight w:val="0"/>
      <w:marTop w:val="0"/>
      <w:marBottom w:val="0"/>
      <w:divBdr>
        <w:top w:val="none" w:sz="0" w:space="0" w:color="auto"/>
        <w:left w:val="none" w:sz="0" w:space="0" w:color="auto"/>
        <w:bottom w:val="none" w:sz="0" w:space="0" w:color="auto"/>
        <w:right w:val="none" w:sz="0" w:space="0" w:color="auto"/>
      </w:divBdr>
      <w:divsChild>
        <w:div w:id="680619236">
          <w:marLeft w:val="0"/>
          <w:marRight w:val="0"/>
          <w:marTop w:val="0"/>
          <w:marBottom w:val="0"/>
          <w:divBdr>
            <w:top w:val="none" w:sz="0" w:space="0" w:color="auto"/>
            <w:left w:val="none" w:sz="0" w:space="0" w:color="auto"/>
            <w:bottom w:val="none" w:sz="0" w:space="0" w:color="auto"/>
            <w:right w:val="none" w:sz="0" w:space="0" w:color="auto"/>
          </w:divBdr>
        </w:div>
      </w:divsChild>
    </w:div>
    <w:div w:id="175461899">
      <w:bodyDiv w:val="1"/>
      <w:marLeft w:val="0"/>
      <w:marRight w:val="0"/>
      <w:marTop w:val="0"/>
      <w:marBottom w:val="0"/>
      <w:divBdr>
        <w:top w:val="none" w:sz="0" w:space="0" w:color="auto"/>
        <w:left w:val="none" w:sz="0" w:space="0" w:color="auto"/>
        <w:bottom w:val="none" w:sz="0" w:space="0" w:color="auto"/>
        <w:right w:val="none" w:sz="0" w:space="0" w:color="auto"/>
      </w:divBdr>
      <w:divsChild>
        <w:div w:id="310409308">
          <w:marLeft w:val="0"/>
          <w:marRight w:val="0"/>
          <w:marTop w:val="0"/>
          <w:marBottom w:val="0"/>
          <w:divBdr>
            <w:top w:val="none" w:sz="0" w:space="0" w:color="auto"/>
            <w:left w:val="none" w:sz="0" w:space="0" w:color="auto"/>
            <w:bottom w:val="none" w:sz="0" w:space="0" w:color="auto"/>
            <w:right w:val="none" w:sz="0" w:space="0" w:color="auto"/>
          </w:divBdr>
        </w:div>
      </w:divsChild>
    </w:div>
    <w:div w:id="510535580">
      <w:bodyDiv w:val="1"/>
      <w:marLeft w:val="0"/>
      <w:marRight w:val="0"/>
      <w:marTop w:val="0"/>
      <w:marBottom w:val="0"/>
      <w:divBdr>
        <w:top w:val="none" w:sz="0" w:space="0" w:color="auto"/>
        <w:left w:val="none" w:sz="0" w:space="0" w:color="auto"/>
        <w:bottom w:val="none" w:sz="0" w:space="0" w:color="auto"/>
        <w:right w:val="none" w:sz="0" w:space="0" w:color="auto"/>
      </w:divBdr>
      <w:divsChild>
        <w:div w:id="601769506">
          <w:marLeft w:val="0"/>
          <w:marRight w:val="0"/>
          <w:marTop w:val="0"/>
          <w:marBottom w:val="0"/>
          <w:divBdr>
            <w:top w:val="none" w:sz="0" w:space="0" w:color="auto"/>
            <w:left w:val="none" w:sz="0" w:space="0" w:color="auto"/>
            <w:bottom w:val="none" w:sz="0" w:space="0" w:color="auto"/>
            <w:right w:val="none" w:sz="0" w:space="0" w:color="auto"/>
          </w:divBdr>
        </w:div>
      </w:divsChild>
    </w:div>
    <w:div w:id="527258479">
      <w:bodyDiv w:val="1"/>
      <w:marLeft w:val="0"/>
      <w:marRight w:val="0"/>
      <w:marTop w:val="0"/>
      <w:marBottom w:val="0"/>
      <w:divBdr>
        <w:top w:val="none" w:sz="0" w:space="0" w:color="auto"/>
        <w:left w:val="none" w:sz="0" w:space="0" w:color="auto"/>
        <w:bottom w:val="none" w:sz="0" w:space="0" w:color="auto"/>
        <w:right w:val="none" w:sz="0" w:space="0" w:color="auto"/>
      </w:divBdr>
      <w:divsChild>
        <w:div w:id="903681583">
          <w:marLeft w:val="0"/>
          <w:marRight w:val="0"/>
          <w:marTop w:val="0"/>
          <w:marBottom w:val="0"/>
          <w:divBdr>
            <w:top w:val="none" w:sz="0" w:space="0" w:color="auto"/>
            <w:left w:val="none" w:sz="0" w:space="0" w:color="auto"/>
            <w:bottom w:val="none" w:sz="0" w:space="0" w:color="auto"/>
            <w:right w:val="none" w:sz="0" w:space="0" w:color="auto"/>
          </w:divBdr>
        </w:div>
      </w:divsChild>
    </w:div>
    <w:div w:id="528373592">
      <w:bodyDiv w:val="1"/>
      <w:marLeft w:val="0"/>
      <w:marRight w:val="0"/>
      <w:marTop w:val="0"/>
      <w:marBottom w:val="0"/>
      <w:divBdr>
        <w:top w:val="none" w:sz="0" w:space="0" w:color="auto"/>
        <w:left w:val="none" w:sz="0" w:space="0" w:color="auto"/>
        <w:bottom w:val="none" w:sz="0" w:space="0" w:color="auto"/>
        <w:right w:val="none" w:sz="0" w:space="0" w:color="auto"/>
      </w:divBdr>
      <w:divsChild>
        <w:div w:id="981738779">
          <w:marLeft w:val="0"/>
          <w:marRight w:val="0"/>
          <w:marTop w:val="0"/>
          <w:marBottom w:val="0"/>
          <w:divBdr>
            <w:top w:val="none" w:sz="0" w:space="0" w:color="auto"/>
            <w:left w:val="none" w:sz="0" w:space="0" w:color="auto"/>
            <w:bottom w:val="none" w:sz="0" w:space="0" w:color="auto"/>
            <w:right w:val="none" w:sz="0" w:space="0" w:color="auto"/>
          </w:divBdr>
        </w:div>
      </w:divsChild>
    </w:div>
    <w:div w:id="627586742">
      <w:bodyDiv w:val="1"/>
      <w:marLeft w:val="0"/>
      <w:marRight w:val="0"/>
      <w:marTop w:val="0"/>
      <w:marBottom w:val="0"/>
      <w:divBdr>
        <w:top w:val="none" w:sz="0" w:space="0" w:color="auto"/>
        <w:left w:val="none" w:sz="0" w:space="0" w:color="auto"/>
        <w:bottom w:val="none" w:sz="0" w:space="0" w:color="auto"/>
        <w:right w:val="none" w:sz="0" w:space="0" w:color="auto"/>
      </w:divBdr>
    </w:div>
    <w:div w:id="908535228">
      <w:bodyDiv w:val="1"/>
      <w:marLeft w:val="0"/>
      <w:marRight w:val="0"/>
      <w:marTop w:val="0"/>
      <w:marBottom w:val="0"/>
      <w:divBdr>
        <w:top w:val="none" w:sz="0" w:space="0" w:color="auto"/>
        <w:left w:val="none" w:sz="0" w:space="0" w:color="auto"/>
        <w:bottom w:val="none" w:sz="0" w:space="0" w:color="auto"/>
        <w:right w:val="none" w:sz="0" w:space="0" w:color="auto"/>
      </w:divBdr>
      <w:divsChild>
        <w:div w:id="902133943">
          <w:marLeft w:val="0"/>
          <w:marRight w:val="0"/>
          <w:marTop w:val="0"/>
          <w:marBottom w:val="0"/>
          <w:divBdr>
            <w:top w:val="none" w:sz="0" w:space="0" w:color="auto"/>
            <w:left w:val="none" w:sz="0" w:space="0" w:color="auto"/>
            <w:bottom w:val="none" w:sz="0" w:space="0" w:color="auto"/>
            <w:right w:val="none" w:sz="0" w:space="0" w:color="auto"/>
          </w:divBdr>
        </w:div>
      </w:divsChild>
    </w:div>
    <w:div w:id="1028721555">
      <w:bodyDiv w:val="1"/>
      <w:marLeft w:val="0"/>
      <w:marRight w:val="0"/>
      <w:marTop w:val="0"/>
      <w:marBottom w:val="0"/>
      <w:divBdr>
        <w:top w:val="none" w:sz="0" w:space="0" w:color="auto"/>
        <w:left w:val="none" w:sz="0" w:space="0" w:color="auto"/>
        <w:bottom w:val="none" w:sz="0" w:space="0" w:color="auto"/>
        <w:right w:val="none" w:sz="0" w:space="0" w:color="auto"/>
      </w:divBdr>
      <w:divsChild>
        <w:div w:id="797719734">
          <w:marLeft w:val="0"/>
          <w:marRight w:val="0"/>
          <w:marTop w:val="0"/>
          <w:marBottom w:val="0"/>
          <w:divBdr>
            <w:top w:val="none" w:sz="0" w:space="0" w:color="auto"/>
            <w:left w:val="none" w:sz="0" w:space="0" w:color="auto"/>
            <w:bottom w:val="none" w:sz="0" w:space="0" w:color="auto"/>
            <w:right w:val="none" w:sz="0" w:space="0" w:color="auto"/>
          </w:divBdr>
        </w:div>
      </w:divsChild>
    </w:div>
    <w:div w:id="1230723821">
      <w:bodyDiv w:val="1"/>
      <w:marLeft w:val="0"/>
      <w:marRight w:val="0"/>
      <w:marTop w:val="0"/>
      <w:marBottom w:val="0"/>
      <w:divBdr>
        <w:top w:val="none" w:sz="0" w:space="0" w:color="auto"/>
        <w:left w:val="none" w:sz="0" w:space="0" w:color="auto"/>
        <w:bottom w:val="none" w:sz="0" w:space="0" w:color="auto"/>
        <w:right w:val="none" w:sz="0" w:space="0" w:color="auto"/>
      </w:divBdr>
      <w:divsChild>
        <w:div w:id="989167480">
          <w:marLeft w:val="0"/>
          <w:marRight w:val="0"/>
          <w:marTop w:val="0"/>
          <w:marBottom w:val="0"/>
          <w:divBdr>
            <w:top w:val="none" w:sz="0" w:space="0" w:color="auto"/>
            <w:left w:val="none" w:sz="0" w:space="0" w:color="auto"/>
            <w:bottom w:val="none" w:sz="0" w:space="0" w:color="auto"/>
            <w:right w:val="none" w:sz="0" w:space="0" w:color="auto"/>
          </w:divBdr>
        </w:div>
      </w:divsChild>
    </w:div>
    <w:div w:id="1263343311">
      <w:bodyDiv w:val="1"/>
      <w:marLeft w:val="0"/>
      <w:marRight w:val="0"/>
      <w:marTop w:val="0"/>
      <w:marBottom w:val="0"/>
      <w:divBdr>
        <w:top w:val="none" w:sz="0" w:space="0" w:color="auto"/>
        <w:left w:val="none" w:sz="0" w:space="0" w:color="auto"/>
        <w:bottom w:val="none" w:sz="0" w:space="0" w:color="auto"/>
        <w:right w:val="none" w:sz="0" w:space="0" w:color="auto"/>
      </w:divBdr>
      <w:divsChild>
        <w:div w:id="774905777">
          <w:marLeft w:val="0"/>
          <w:marRight w:val="0"/>
          <w:marTop w:val="0"/>
          <w:marBottom w:val="0"/>
          <w:divBdr>
            <w:top w:val="none" w:sz="0" w:space="0" w:color="auto"/>
            <w:left w:val="none" w:sz="0" w:space="0" w:color="auto"/>
            <w:bottom w:val="none" w:sz="0" w:space="0" w:color="auto"/>
            <w:right w:val="none" w:sz="0" w:space="0" w:color="auto"/>
          </w:divBdr>
        </w:div>
      </w:divsChild>
    </w:div>
    <w:div w:id="1535196917">
      <w:bodyDiv w:val="1"/>
      <w:marLeft w:val="0"/>
      <w:marRight w:val="0"/>
      <w:marTop w:val="0"/>
      <w:marBottom w:val="0"/>
      <w:divBdr>
        <w:top w:val="none" w:sz="0" w:space="0" w:color="auto"/>
        <w:left w:val="none" w:sz="0" w:space="0" w:color="auto"/>
        <w:bottom w:val="none" w:sz="0" w:space="0" w:color="auto"/>
        <w:right w:val="none" w:sz="0" w:space="0" w:color="auto"/>
      </w:divBdr>
      <w:divsChild>
        <w:div w:id="1504738038">
          <w:marLeft w:val="0"/>
          <w:marRight w:val="0"/>
          <w:marTop w:val="0"/>
          <w:marBottom w:val="0"/>
          <w:divBdr>
            <w:top w:val="none" w:sz="0" w:space="0" w:color="auto"/>
            <w:left w:val="none" w:sz="0" w:space="0" w:color="auto"/>
            <w:bottom w:val="none" w:sz="0" w:space="0" w:color="auto"/>
            <w:right w:val="none" w:sz="0" w:space="0" w:color="auto"/>
          </w:divBdr>
        </w:div>
      </w:divsChild>
    </w:div>
    <w:div w:id="1623031781">
      <w:bodyDiv w:val="1"/>
      <w:marLeft w:val="0"/>
      <w:marRight w:val="0"/>
      <w:marTop w:val="0"/>
      <w:marBottom w:val="0"/>
      <w:divBdr>
        <w:top w:val="none" w:sz="0" w:space="0" w:color="auto"/>
        <w:left w:val="none" w:sz="0" w:space="0" w:color="auto"/>
        <w:bottom w:val="none" w:sz="0" w:space="0" w:color="auto"/>
        <w:right w:val="none" w:sz="0" w:space="0" w:color="auto"/>
      </w:divBdr>
      <w:divsChild>
        <w:div w:id="924997137">
          <w:marLeft w:val="0"/>
          <w:marRight w:val="0"/>
          <w:marTop w:val="0"/>
          <w:marBottom w:val="0"/>
          <w:divBdr>
            <w:top w:val="none" w:sz="0" w:space="0" w:color="auto"/>
            <w:left w:val="none" w:sz="0" w:space="0" w:color="auto"/>
            <w:bottom w:val="none" w:sz="0" w:space="0" w:color="auto"/>
            <w:right w:val="none" w:sz="0" w:space="0" w:color="auto"/>
          </w:divBdr>
        </w:div>
      </w:divsChild>
    </w:div>
    <w:div w:id="1850829932">
      <w:bodyDiv w:val="1"/>
      <w:marLeft w:val="0"/>
      <w:marRight w:val="0"/>
      <w:marTop w:val="0"/>
      <w:marBottom w:val="0"/>
      <w:divBdr>
        <w:top w:val="none" w:sz="0" w:space="0" w:color="auto"/>
        <w:left w:val="none" w:sz="0" w:space="0" w:color="auto"/>
        <w:bottom w:val="none" w:sz="0" w:space="0" w:color="auto"/>
        <w:right w:val="none" w:sz="0" w:space="0" w:color="auto"/>
      </w:divBdr>
      <w:divsChild>
        <w:div w:id="808668875">
          <w:marLeft w:val="0"/>
          <w:marRight w:val="0"/>
          <w:marTop w:val="0"/>
          <w:marBottom w:val="0"/>
          <w:divBdr>
            <w:top w:val="none" w:sz="0" w:space="0" w:color="auto"/>
            <w:left w:val="none" w:sz="0" w:space="0" w:color="auto"/>
            <w:bottom w:val="none" w:sz="0" w:space="0" w:color="auto"/>
            <w:right w:val="none" w:sz="0" w:space="0" w:color="auto"/>
          </w:divBdr>
        </w:div>
      </w:divsChild>
    </w:div>
    <w:div w:id="2034065600">
      <w:bodyDiv w:val="1"/>
      <w:marLeft w:val="0"/>
      <w:marRight w:val="0"/>
      <w:marTop w:val="0"/>
      <w:marBottom w:val="0"/>
      <w:divBdr>
        <w:top w:val="none" w:sz="0" w:space="0" w:color="auto"/>
        <w:left w:val="none" w:sz="0" w:space="0" w:color="auto"/>
        <w:bottom w:val="none" w:sz="0" w:space="0" w:color="auto"/>
        <w:right w:val="none" w:sz="0" w:space="0" w:color="auto"/>
      </w:divBdr>
      <w:divsChild>
        <w:div w:id="439762634">
          <w:marLeft w:val="0"/>
          <w:marRight w:val="0"/>
          <w:marTop w:val="0"/>
          <w:marBottom w:val="0"/>
          <w:divBdr>
            <w:top w:val="none" w:sz="0" w:space="0" w:color="auto"/>
            <w:left w:val="none" w:sz="0" w:space="0" w:color="auto"/>
            <w:bottom w:val="none" w:sz="0" w:space="0" w:color="auto"/>
            <w:right w:val="none" w:sz="0" w:space="0" w:color="auto"/>
          </w:divBdr>
        </w:div>
      </w:divsChild>
    </w:div>
    <w:div w:id="2038117511">
      <w:bodyDiv w:val="1"/>
      <w:marLeft w:val="0"/>
      <w:marRight w:val="0"/>
      <w:marTop w:val="0"/>
      <w:marBottom w:val="0"/>
      <w:divBdr>
        <w:top w:val="none" w:sz="0" w:space="0" w:color="auto"/>
        <w:left w:val="none" w:sz="0" w:space="0" w:color="auto"/>
        <w:bottom w:val="none" w:sz="0" w:space="0" w:color="auto"/>
        <w:right w:val="none" w:sz="0" w:space="0" w:color="auto"/>
      </w:divBdr>
      <w:divsChild>
        <w:div w:id="1339314275">
          <w:marLeft w:val="480"/>
          <w:marRight w:val="0"/>
          <w:marTop w:val="0"/>
          <w:marBottom w:val="0"/>
          <w:divBdr>
            <w:top w:val="none" w:sz="0" w:space="0" w:color="auto"/>
            <w:left w:val="none" w:sz="0" w:space="0" w:color="auto"/>
            <w:bottom w:val="none" w:sz="0" w:space="0" w:color="auto"/>
            <w:right w:val="none" w:sz="0" w:space="0" w:color="auto"/>
          </w:divBdr>
          <w:divsChild>
            <w:div w:id="1691834461">
              <w:marLeft w:val="0"/>
              <w:marRight w:val="0"/>
              <w:marTop w:val="0"/>
              <w:marBottom w:val="0"/>
              <w:divBdr>
                <w:top w:val="none" w:sz="0" w:space="0" w:color="auto"/>
                <w:left w:val="none" w:sz="0" w:space="0" w:color="auto"/>
                <w:bottom w:val="none" w:sz="0" w:space="0" w:color="auto"/>
                <w:right w:val="none" w:sz="0" w:space="0" w:color="auto"/>
              </w:divBdr>
            </w:div>
            <w:div w:id="469396025">
              <w:marLeft w:val="0"/>
              <w:marRight w:val="0"/>
              <w:marTop w:val="0"/>
              <w:marBottom w:val="0"/>
              <w:divBdr>
                <w:top w:val="none" w:sz="0" w:space="0" w:color="auto"/>
                <w:left w:val="none" w:sz="0" w:space="0" w:color="auto"/>
                <w:bottom w:val="none" w:sz="0" w:space="0" w:color="auto"/>
                <w:right w:val="none" w:sz="0" w:space="0" w:color="auto"/>
              </w:divBdr>
            </w:div>
            <w:div w:id="626007754">
              <w:marLeft w:val="0"/>
              <w:marRight w:val="0"/>
              <w:marTop w:val="0"/>
              <w:marBottom w:val="0"/>
              <w:divBdr>
                <w:top w:val="none" w:sz="0" w:space="0" w:color="auto"/>
                <w:left w:val="none" w:sz="0" w:space="0" w:color="auto"/>
                <w:bottom w:val="none" w:sz="0" w:space="0" w:color="auto"/>
                <w:right w:val="none" w:sz="0" w:space="0" w:color="auto"/>
              </w:divBdr>
            </w:div>
            <w:div w:id="1252860774">
              <w:marLeft w:val="0"/>
              <w:marRight w:val="0"/>
              <w:marTop w:val="0"/>
              <w:marBottom w:val="0"/>
              <w:divBdr>
                <w:top w:val="none" w:sz="0" w:space="0" w:color="auto"/>
                <w:left w:val="none" w:sz="0" w:space="0" w:color="auto"/>
                <w:bottom w:val="none" w:sz="0" w:space="0" w:color="auto"/>
                <w:right w:val="none" w:sz="0" w:space="0" w:color="auto"/>
              </w:divBdr>
            </w:div>
            <w:div w:id="33236776">
              <w:marLeft w:val="0"/>
              <w:marRight w:val="0"/>
              <w:marTop w:val="0"/>
              <w:marBottom w:val="0"/>
              <w:divBdr>
                <w:top w:val="none" w:sz="0" w:space="0" w:color="auto"/>
                <w:left w:val="none" w:sz="0" w:space="0" w:color="auto"/>
                <w:bottom w:val="none" w:sz="0" w:space="0" w:color="auto"/>
                <w:right w:val="none" w:sz="0" w:space="0" w:color="auto"/>
              </w:divBdr>
            </w:div>
            <w:div w:id="1091660727">
              <w:marLeft w:val="0"/>
              <w:marRight w:val="0"/>
              <w:marTop w:val="0"/>
              <w:marBottom w:val="0"/>
              <w:divBdr>
                <w:top w:val="none" w:sz="0" w:space="0" w:color="auto"/>
                <w:left w:val="none" w:sz="0" w:space="0" w:color="auto"/>
                <w:bottom w:val="none" w:sz="0" w:space="0" w:color="auto"/>
                <w:right w:val="none" w:sz="0" w:space="0" w:color="auto"/>
              </w:divBdr>
            </w:div>
            <w:div w:id="2088182823">
              <w:marLeft w:val="0"/>
              <w:marRight w:val="0"/>
              <w:marTop w:val="0"/>
              <w:marBottom w:val="0"/>
              <w:divBdr>
                <w:top w:val="none" w:sz="0" w:space="0" w:color="auto"/>
                <w:left w:val="none" w:sz="0" w:space="0" w:color="auto"/>
                <w:bottom w:val="none" w:sz="0" w:space="0" w:color="auto"/>
                <w:right w:val="none" w:sz="0" w:space="0" w:color="auto"/>
              </w:divBdr>
            </w:div>
            <w:div w:id="1934508874">
              <w:marLeft w:val="0"/>
              <w:marRight w:val="0"/>
              <w:marTop w:val="0"/>
              <w:marBottom w:val="0"/>
              <w:divBdr>
                <w:top w:val="none" w:sz="0" w:space="0" w:color="auto"/>
                <w:left w:val="none" w:sz="0" w:space="0" w:color="auto"/>
                <w:bottom w:val="none" w:sz="0" w:space="0" w:color="auto"/>
                <w:right w:val="none" w:sz="0" w:space="0" w:color="auto"/>
              </w:divBdr>
            </w:div>
            <w:div w:id="173543696">
              <w:marLeft w:val="0"/>
              <w:marRight w:val="0"/>
              <w:marTop w:val="0"/>
              <w:marBottom w:val="0"/>
              <w:divBdr>
                <w:top w:val="none" w:sz="0" w:space="0" w:color="auto"/>
                <w:left w:val="none" w:sz="0" w:space="0" w:color="auto"/>
                <w:bottom w:val="none" w:sz="0" w:space="0" w:color="auto"/>
                <w:right w:val="none" w:sz="0" w:space="0" w:color="auto"/>
              </w:divBdr>
            </w:div>
            <w:div w:id="70957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19012">
      <w:bodyDiv w:val="1"/>
      <w:marLeft w:val="0"/>
      <w:marRight w:val="0"/>
      <w:marTop w:val="0"/>
      <w:marBottom w:val="0"/>
      <w:divBdr>
        <w:top w:val="none" w:sz="0" w:space="0" w:color="auto"/>
        <w:left w:val="none" w:sz="0" w:space="0" w:color="auto"/>
        <w:bottom w:val="none" w:sz="0" w:space="0" w:color="auto"/>
        <w:right w:val="none" w:sz="0" w:space="0" w:color="auto"/>
      </w:divBdr>
      <w:divsChild>
        <w:div w:id="66751482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kofengland.co.uk/research/Documents/ccbs/cbs_cew2011/paper_borio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13501763.2017.133035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pers.ssrn.com/sol3/papers.cfm?abstract_id=2548333" TargetMode="External"/><Relationship Id="rId5" Type="http://schemas.openxmlformats.org/officeDocument/2006/relationships/webSettings" Target="webSettings.xml"/><Relationship Id="rId10" Type="http://schemas.openxmlformats.org/officeDocument/2006/relationships/hyperlink" Target="https://doi.org/10.1080/07036330802294862" TargetMode="External"/><Relationship Id="rId4" Type="http://schemas.openxmlformats.org/officeDocument/2006/relationships/settings" Target="settings.xml"/><Relationship Id="rId9" Type="http://schemas.openxmlformats.org/officeDocument/2006/relationships/hyperlink" Target="https://doi.org/10.17605/OSF.IO/NRMT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200E28-C1E2-4031-A17F-D7A51C931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31</Pages>
  <Words>10327</Words>
  <Characters>54735</Characters>
  <Application>Microsoft Office Word</Application>
  <DocSecurity>0</DocSecurity>
  <Lines>456</Lines>
  <Paragraphs>129</Paragraphs>
  <ScaleCrop>false</ScaleCrop>
  <HeadingPairs>
    <vt:vector size="6" baseType="variant">
      <vt:variant>
        <vt:lpstr>Title</vt:lpstr>
      </vt:variant>
      <vt:variant>
        <vt:i4>1</vt:i4>
      </vt:variant>
      <vt:variant>
        <vt:lpstr>Titre</vt:lpstr>
      </vt:variant>
      <vt:variant>
        <vt:i4>1</vt:i4>
      </vt:variant>
      <vt:variant>
        <vt:lpstr>Rubrik</vt:lpstr>
      </vt:variant>
      <vt:variant>
        <vt:i4>1</vt:i4>
      </vt:variant>
    </vt:vector>
  </HeadingPairs>
  <TitlesOfParts>
    <vt:vector size="3" baseType="lpstr">
      <vt:lpstr/>
      <vt:lpstr/>
      <vt:lpstr/>
    </vt:vector>
  </TitlesOfParts>
  <Company/>
  <LinksUpToDate>false</LinksUpToDate>
  <CharactersWithSpaces>64933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Clément Fontan</dc:creator>
  <cp:lastModifiedBy>ANOM1</cp:lastModifiedBy>
  <cp:revision>4</cp:revision>
  <cp:lastPrinted>2018-05-14T14:12:00Z</cp:lastPrinted>
  <dcterms:created xsi:type="dcterms:W3CDTF">2018-05-15T10:55:00Z</dcterms:created>
  <dcterms:modified xsi:type="dcterms:W3CDTF">2018-05-22T13:36:00Z</dcterms:modified>
  <dc:language>fr-CA</dc:language>
</cp:coreProperties>
</file>