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F1750" w14:textId="07213B61" w:rsidR="001E681F" w:rsidRPr="00707B63" w:rsidRDefault="004E1F41" w:rsidP="00204BD5">
      <w:pPr>
        <w:jc w:val="center"/>
        <w:rPr>
          <w:sz w:val="24"/>
          <w:szCs w:val="24"/>
          <w:lang w:val="fr-FR"/>
        </w:rPr>
      </w:pPr>
      <w:r>
        <w:rPr>
          <w:sz w:val="24"/>
          <w:szCs w:val="24"/>
          <w:lang w:val="fr-FR"/>
        </w:rPr>
        <w:t xml:space="preserve">Présentation - </w:t>
      </w:r>
      <w:r w:rsidR="00204BD5" w:rsidRPr="00707B63">
        <w:rPr>
          <w:sz w:val="24"/>
          <w:szCs w:val="24"/>
          <w:lang w:val="fr-FR"/>
        </w:rPr>
        <w:t xml:space="preserve">Journée d’études « Quartet » </w:t>
      </w:r>
      <w:r w:rsidR="00204BD5" w:rsidRPr="00707B63">
        <w:rPr>
          <w:sz w:val="24"/>
          <w:szCs w:val="24"/>
          <w:lang w:val="fr-FR"/>
        </w:rPr>
        <w:br/>
        <w:t xml:space="preserve">Université St Louis – </w:t>
      </w:r>
      <w:proofErr w:type="spellStart"/>
      <w:r w:rsidR="00204BD5" w:rsidRPr="00707B63">
        <w:rPr>
          <w:sz w:val="24"/>
          <w:szCs w:val="24"/>
          <w:lang w:val="fr-FR"/>
        </w:rPr>
        <w:t>Uclouvain</w:t>
      </w:r>
      <w:proofErr w:type="spellEnd"/>
      <w:r w:rsidR="00204BD5" w:rsidRPr="00707B63">
        <w:rPr>
          <w:sz w:val="24"/>
          <w:szCs w:val="24"/>
          <w:lang w:val="fr-FR"/>
        </w:rPr>
        <w:t xml:space="preserve"> </w:t>
      </w:r>
    </w:p>
    <w:p w14:paraId="77D3AEA2" w14:textId="0EDF61C9" w:rsidR="00204BD5" w:rsidRPr="00707B63" w:rsidRDefault="00204BD5" w:rsidP="00204BD5">
      <w:pPr>
        <w:jc w:val="center"/>
        <w:rPr>
          <w:sz w:val="24"/>
          <w:szCs w:val="24"/>
          <w:lang w:val="fr-FR"/>
        </w:rPr>
      </w:pPr>
      <w:r w:rsidRPr="00707B63">
        <w:rPr>
          <w:sz w:val="24"/>
          <w:szCs w:val="24"/>
          <w:lang w:val="fr-FR"/>
        </w:rPr>
        <w:t>Bruxelles</w:t>
      </w:r>
    </w:p>
    <w:p w14:paraId="49F76289" w14:textId="427CCB0A" w:rsidR="00204BD5" w:rsidRPr="00567FC2" w:rsidRDefault="000708DE" w:rsidP="00204BD5">
      <w:pPr>
        <w:jc w:val="center"/>
        <w:rPr>
          <w:b/>
          <w:bCs/>
          <w:sz w:val="24"/>
          <w:szCs w:val="24"/>
          <w:lang w:val="fr-FR"/>
        </w:rPr>
      </w:pPr>
      <w:r w:rsidRPr="00567FC2">
        <w:rPr>
          <w:b/>
          <w:bCs/>
          <w:sz w:val="24"/>
          <w:szCs w:val="24"/>
          <w:lang w:val="fr-FR"/>
        </w:rPr>
        <w:t xml:space="preserve">Enquête à propos du concept de « survivance » : </w:t>
      </w:r>
      <w:proofErr w:type="spellStart"/>
      <w:r w:rsidRPr="00567FC2">
        <w:rPr>
          <w:b/>
          <w:bCs/>
          <w:sz w:val="24"/>
          <w:szCs w:val="24"/>
          <w:lang w:val="fr-FR"/>
        </w:rPr>
        <w:t>Anscombe</w:t>
      </w:r>
      <w:proofErr w:type="spellEnd"/>
      <w:r w:rsidRPr="00567FC2">
        <w:rPr>
          <w:b/>
          <w:bCs/>
          <w:sz w:val="24"/>
          <w:szCs w:val="24"/>
          <w:lang w:val="fr-FR"/>
        </w:rPr>
        <w:t>, Collingwood, Tylor</w:t>
      </w:r>
    </w:p>
    <w:p w14:paraId="2ED9528C" w14:textId="77777777" w:rsidR="007254ED" w:rsidRPr="005B1696" w:rsidRDefault="007254ED" w:rsidP="000708DE">
      <w:pPr>
        <w:jc w:val="both"/>
        <w:rPr>
          <w:sz w:val="24"/>
          <w:szCs w:val="24"/>
        </w:rPr>
      </w:pPr>
    </w:p>
    <w:p w14:paraId="37EE45A3" w14:textId="67358414" w:rsidR="000708DE" w:rsidRPr="00707B63" w:rsidRDefault="000708DE" w:rsidP="000708DE">
      <w:pPr>
        <w:jc w:val="both"/>
        <w:rPr>
          <w:sz w:val="24"/>
          <w:szCs w:val="24"/>
          <w:lang w:val="fr-FR"/>
        </w:rPr>
      </w:pPr>
      <w:r w:rsidRPr="00707B63">
        <w:rPr>
          <w:b/>
          <w:bCs/>
          <w:sz w:val="24"/>
          <w:szCs w:val="24"/>
          <w:lang w:val="fr-FR"/>
        </w:rPr>
        <w:t>Introduction :</w:t>
      </w:r>
      <w:r w:rsidRPr="00707B63">
        <w:rPr>
          <w:sz w:val="24"/>
          <w:szCs w:val="24"/>
          <w:lang w:val="fr-FR"/>
        </w:rPr>
        <w:t xml:space="preserve"> Dans son célèbre article de 1958, « Modern Moral Philosophy », Elizabeth </w:t>
      </w:r>
      <w:proofErr w:type="spellStart"/>
      <w:r w:rsidRPr="00707B63">
        <w:rPr>
          <w:sz w:val="24"/>
          <w:szCs w:val="24"/>
          <w:lang w:val="fr-FR"/>
        </w:rPr>
        <w:t>Anscombe</w:t>
      </w:r>
      <w:proofErr w:type="spellEnd"/>
      <w:r w:rsidRPr="00707B63">
        <w:rPr>
          <w:sz w:val="24"/>
          <w:szCs w:val="24"/>
          <w:lang w:val="fr-FR"/>
        </w:rPr>
        <w:t xml:space="preserve"> présente trois thèses concernant la philosophe morale anglo-saxonne. Or, la seconde thèse repose sur le refus de l’emploi du concept d’obligation et de devoir, parce qu’ils sont, dit </w:t>
      </w:r>
      <w:proofErr w:type="spellStart"/>
      <w:r w:rsidRPr="00707B63">
        <w:rPr>
          <w:sz w:val="24"/>
          <w:szCs w:val="24"/>
          <w:lang w:val="fr-FR"/>
        </w:rPr>
        <w:t>Anscombe</w:t>
      </w:r>
      <w:proofErr w:type="spellEnd"/>
      <w:r w:rsidRPr="00707B63">
        <w:rPr>
          <w:sz w:val="24"/>
          <w:szCs w:val="24"/>
          <w:lang w:val="fr-FR"/>
        </w:rPr>
        <w:t> </w:t>
      </w:r>
      <w:r w:rsidR="00647418">
        <w:rPr>
          <w:sz w:val="24"/>
          <w:szCs w:val="24"/>
          <w:lang w:val="fr-FR"/>
        </w:rPr>
        <w:t xml:space="preserve">des </w:t>
      </w:r>
      <w:r w:rsidRPr="00707B63">
        <w:rPr>
          <w:sz w:val="24"/>
          <w:szCs w:val="24"/>
          <w:lang w:val="fr-FR"/>
        </w:rPr>
        <w:t xml:space="preserve">: « </w:t>
      </w:r>
      <w:proofErr w:type="spellStart"/>
      <w:r w:rsidRPr="00707B63">
        <w:rPr>
          <w:sz w:val="24"/>
          <w:szCs w:val="24"/>
          <w:lang w:val="fr-FR"/>
        </w:rPr>
        <w:t>survivals</w:t>
      </w:r>
      <w:proofErr w:type="spellEnd"/>
      <w:r w:rsidRPr="00707B63">
        <w:rPr>
          <w:sz w:val="24"/>
          <w:szCs w:val="24"/>
          <w:lang w:val="fr-FR"/>
        </w:rPr>
        <w:t xml:space="preserve">, or </w:t>
      </w:r>
      <w:proofErr w:type="spellStart"/>
      <w:r w:rsidRPr="00707B63">
        <w:rPr>
          <w:sz w:val="24"/>
          <w:szCs w:val="24"/>
          <w:lang w:val="fr-FR"/>
        </w:rPr>
        <w:t>derivatives</w:t>
      </w:r>
      <w:proofErr w:type="spellEnd"/>
      <w:r w:rsidRPr="00707B63">
        <w:rPr>
          <w:sz w:val="24"/>
          <w:szCs w:val="24"/>
          <w:lang w:val="fr-FR"/>
        </w:rPr>
        <w:t xml:space="preserve"> </w:t>
      </w:r>
      <w:proofErr w:type="spellStart"/>
      <w:r w:rsidRPr="00707B63">
        <w:rPr>
          <w:sz w:val="24"/>
          <w:szCs w:val="24"/>
          <w:lang w:val="fr-FR"/>
        </w:rPr>
        <w:t>from</w:t>
      </w:r>
      <w:proofErr w:type="spellEnd"/>
      <w:r w:rsidRPr="00707B63">
        <w:rPr>
          <w:sz w:val="24"/>
          <w:szCs w:val="24"/>
          <w:lang w:val="fr-FR"/>
        </w:rPr>
        <w:t xml:space="preserve"> </w:t>
      </w:r>
      <w:proofErr w:type="spellStart"/>
      <w:r w:rsidRPr="00707B63">
        <w:rPr>
          <w:sz w:val="24"/>
          <w:szCs w:val="24"/>
          <w:lang w:val="fr-FR"/>
        </w:rPr>
        <w:t>survivals</w:t>
      </w:r>
      <w:proofErr w:type="spellEnd"/>
      <w:r w:rsidRPr="00707B63">
        <w:rPr>
          <w:sz w:val="24"/>
          <w:szCs w:val="24"/>
          <w:lang w:val="fr-FR"/>
        </w:rPr>
        <w:t xml:space="preserve">, </w:t>
      </w:r>
      <w:proofErr w:type="spellStart"/>
      <w:r w:rsidRPr="00707B63">
        <w:rPr>
          <w:sz w:val="24"/>
          <w:szCs w:val="24"/>
          <w:lang w:val="fr-FR"/>
        </w:rPr>
        <w:t>from</w:t>
      </w:r>
      <w:proofErr w:type="spellEnd"/>
      <w:r w:rsidRPr="00707B63">
        <w:rPr>
          <w:sz w:val="24"/>
          <w:szCs w:val="24"/>
          <w:lang w:val="fr-FR"/>
        </w:rPr>
        <w:t xml:space="preserve"> an </w:t>
      </w:r>
      <w:proofErr w:type="spellStart"/>
      <w:r w:rsidRPr="00707B63">
        <w:rPr>
          <w:sz w:val="24"/>
          <w:szCs w:val="24"/>
          <w:lang w:val="fr-FR"/>
        </w:rPr>
        <w:t>earlier</w:t>
      </w:r>
      <w:proofErr w:type="spellEnd"/>
      <w:r w:rsidRPr="00707B63">
        <w:rPr>
          <w:sz w:val="24"/>
          <w:szCs w:val="24"/>
          <w:lang w:val="fr-FR"/>
        </w:rPr>
        <w:t xml:space="preserve"> conception of </w:t>
      </w:r>
      <w:proofErr w:type="spellStart"/>
      <w:r w:rsidRPr="00707B63">
        <w:rPr>
          <w:sz w:val="24"/>
          <w:szCs w:val="24"/>
          <w:lang w:val="fr-FR"/>
        </w:rPr>
        <w:t>ethics</w:t>
      </w:r>
      <w:proofErr w:type="spellEnd"/>
      <w:r w:rsidRPr="00707B63">
        <w:rPr>
          <w:sz w:val="24"/>
          <w:szCs w:val="24"/>
          <w:lang w:val="fr-FR"/>
        </w:rPr>
        <w:t xml:space="preserve"> </w:t>
      </w:r>
      <w:proofErr w:type="spellStart"/>
      <w:r w:rsidRPr="00707B63">
        <w:rPr>
          <w:sz w:val="24"/>
          <w:szCs w:val="24"/>
          <w:lang w:val="fr-FR"/>
        </w:rPr>
        <w:t>which</w:t>
      </w:r>
      <w:proofErr w:type="spellEnd"/>
      <w:r w:rsidRPr="00707B63">
        <w:rPr>
          <w:sz w:val="24"/>
          <w:szCs w:val="24"/>
          <w:lang w:val="fr-FR"/>
        </w:rPr>
        <w:t xml:space="preserve"> no longer </w:t>
      </w:r>
      <w:proofErr w:type="spellStart"/>
      <w:r w:rsidRPr="00707B63">
        <w:rPr>
          <w:sz w:val="24"/>
          <w:szCs w:val="24"/>
          <w:lang w:val="fr-FR"/>
        </w:rPr>
        <w:t>generally</w:t>
      </w:r>
      <w:proofErr w:type="spellEnd"/>
      <w:r w:rsidRPr="00707B63">
        <w:rPr>
          <w:sz w:val="24"/>
          <w:szCs w:val="24"/>
          <w:lang w:val="fr-FR"/>
        </w:rPr>
        <w:t xml:space="preserve"> survives, and are </w:t>
      </w:r>
      <w:proofErr w:type="spellStart"/>
      <w:r w:rsidRPr="00707B63">
        <w:rPr>
          <w:sz w:val="24"/>
          <w:szCs w:val="24"/>
          <w:lang w:val="fr-FR"/>
        </w:rPr>
        <w:t>only</w:t>
      </w:r>
      <w:proofErr w:type="spellEnd"/>
      <w:r w:rsidRPr="00707B63">
        <w:rPr>
          <w:sz w:val="24"/>
          <w:szCs w:val="24"/>
          <w:lang w:val="fr-FR"/>
        </w:rPr>
        <w:t xml:space="preserve"> </w:t>
      </w:r>
      <w:proofErr w:type="spellStart"/>
      <w:r w:rsidRPr="00707B63">
        <w:rPr>
          <w:sz w:val="24"/>
          <w:szCs w:val="24"/>
          <w:lang w:val="fr-FR"/>
        </w:rPr>
        <w:t>harmful</w:t>
      </w:r>
      <w:proofErr w:type="spellEnd"/>
      <w:r w:rsidRPr="00707B63">
        <w:rPr>
          <w:sz w:val="24"/>
          <w:szCs w:val="24"/>
          <w:lang w:val="fr-FR"/>
        </w:rPr>
        <w:t xml:space="preserve"> </w:t>
      </w:r>
      <w:proofErr w:type="spellStart"/>
      <w:r w:rsidRPr="00707B63">
        <w:rPr>
          <w:sz w:val="24"/>
          <w:szCs w:val="24"/>
          <w:lang w:val="fr-FR"/>
        </w:rPr>
        <w:t>without</w:t>
      </w:r>
      <w:proofErr w:type="spellEnd"/>
      <w:r w:rsidRPr="00707B63">
        <w:rPr>
          <w:sz w:val="24"/>
          <w:szCs w:val="24"/>
          <w:lang w:val="fr-FR"/>
        </w:rPr>
        <w:t xml:space="preserve"> </w:t>
      </w:r>
      <w:proofErr w:type="spellStart"/>
      <w:r w:rsidRPr="00707B63">
        <w:rPr>
          <w:sz w:val="24"/>
          <w:szCs w:val="24"/>
          <w:lang w:val="fr-FR"/>
        </w:rPr>
        <w:t>it</w:t>
      </w:r>
      <w:proofErr w:type="spellEnd"/>
      <w:r w:rsidRPr="00707B63">
        <w:rPr>
          <w:sz w:val="24"/>
          <w:szCs w:val="24"/>
          <w:lang w:val="fr-FR"/>
        </w:rPr>
        <w:t>. »</w:t>
      </w:r>
    </w:p>
    <w:p w14:paraId="69F2265E" w14:textId="7029A115" w:rsidR="000708DE" w:rsidRPr="00707B63" w:rsidRDefault="000708DE" w:rsidP="000708DE">
      <w:pPr>
        <w:jc w:val="both"/>
        <w:rPr>
          <w:sz w:val="24"/>
          <w:szCs w:val="24"/>
          <w:lang w:val="fr-FR"/>
        </w:rPr>
      </w:pPr>
      <w:r w:rsidRPr="00707B63">
        <w:rPr>
          <w:sz w:val="24"/>
          <w:szCs w:val="24"/>
          <w:lang w:val="fr-FR"/>
        </w:rPr>
        <w:tab/>
      </w:r>
      <w:r w:rsidR="00707B63">
        <w:rPr>
          <w:sz w:val="24"/>
          <w:szCs w:val="24"/>
          <w:lang w:val="fr-FR"/>
        </w:rPr>
        <w:t>Ces mots suscitent une interrogation :</w:t>
      </w:r>
      <w:r w:rsidRPr="00707B63">
        <w:rPr>
          <w:sz w:val="24"/>
          <w:szCs w:val="24"/>
          <w:lang w:val="fr-FR"/>
        </w:rPr>
        <w:t xml:space="preserve"> en quoi un concept philosophique pourrait-il devenir une « survivance », qu’est-ce que ça signifie ? Si les concepts ont une histoire, s’ils naissent à une époque, comment est-il possible qu’ils ne soient qu’à demi-vivants à une autre époque ? Et plus encore, se peut-il qu’un concept ayant perdu de sa vitalité devienne alors « </w:t>
      </w:r>
      <w:proofErr w:type="spellStart"/>
      <w:r w:rsidRPr="00707B63">
        <w:rPr>
          <w:sz w:val="24"/>
          <w:szCs w:val="24"/>
          <w:lang w:val="fr-FR"/>
        </w:rPr>
        <w:t>harmful</w:t>
      </w:r>
      <w:proofErr w:type="spellEnd"/>
      <w:r w:rsidRPr="00707B63">
        <w:rPr>
          <w:sz w:val="24"/>
          <w:szCs w:val="24"/>
          <w:lang w:val="fr-FR"/>
        </w:rPr>
        <w:t> » </w:t>
      </w:r>
      <w:r w:rsidR="00F00D83">
        <w:rPr>
          <w:sz w:val="24"/>
          <w:szCs w:val="24"/>
          <w:lang w:val="fr-FR"/>
        </w:rPr>
        <w:t xml:space="preserve">(dangereux, nocif, nuisible) </w:t>
      </w:r>
      <w:r w:rsidRPr="00707B63">
        <w:rPr>
          <w:sz w:val="24"/>
          <w:szCs w:val="24"/>
          <w:lang w:val="fr-FR"/>
        </w:rPr>
        <w:t xml:space="preserve">? </w:t>
      </w:r>
      <w:r w:rsidR="00707B63">
        <w:rPr>
          <w:sz w:val="24"/>
          <w:szCs w:val="24"/>
          <w:lang w:val="fr-FR"/>
        </w:rPr>
        <w:t xml:space="preserve">N’est-ce pas faire du concept un être vivant ? </w:t>
      </w:r>
    </w:p>
    <w:p w14:paraId="5545257E" w14:textId="31658DA7" w:rsidR="000708DE" w:rsidRDefault="000708DE" w:rsidP="000708DE">
      <w:pPr>
        <w:jc w:val="both"/>
        <w:rPr>
          <w:sz w:val="24"/>
          <w:szCs w:val="24"/>
        </w:rPr>
      </w:pPr>
      <w:r w:rsidRPr="00707B63">
        <w:rPr>
          <w:sz w:val="24"/>
          <w:szCs w:val="24"/>
          <w:lang w:val="fr-FR"/>
        </w:rPr>
        <w:tab/>
        <w:t>C’est en m’interrogeant à ce sujet, que j’ai décidé d’enquêter sur ce concept</w:t>
      </w:r>
      <w:r w:rsidR="00707B63">
        <w:rPr>
          <w:sz w:val="24"/>
          <w:szCs w:val="24"/>
          <w:lang w:val="fr-FR"/>
        </w:rPr>
        <w:t xml:space="preserve"> de survivance et son emploi dans la philosophie anglo-saxonne.</w:t>
      </w:r>
      <w:r w:rsidRPr="00707B63">
        <w:rPr>
          <w:sz w:val="24"/>
          <w:szCs w:val="24"/>
          <w:lang w:val="fr-FR"/>
        </w:rPr>
        <w:t xml:space="preserve"> Un concept qu’</w:t>
      </w:r>
      <w:proofErr w:type="spellStart"/>
      <w:r w:rsidRPr="00707B63">
        <w:rPr>
          <w:sz w:val="24"/>
          <w:szCs w:val="24"/>
          <w:lang w:val="fr-FR"/>
        </w:rPr>
        <w:t>Anscombe</w:t>
      </w:r>
      <w:proofErr w:type="spellEnd"/>
      <w:r w:rsidRPr="00707B63">
        <w:rPr>
          <w:sz w:val="24"/>
          <w:szCs w:val="24"/>
          <w:lang w:val="fr-FR"/>
        </w:rPr>
        <w:t xml:space="preserve"> n’est pas la seule à utiliser, et qu’après elle d’autre</w:t>
      </w:r>
      <w:r w:rsidR="00707B63">
        <w:rPr>
          <w:sz w:val="24"/>
          <w:szCs w:val="24"/>
          <w:lang w:val="fr-FR"/>
        </w:rPr>
        <w:t>s</w:t>
      </w:r>
      <w:r w:rsidRPr="00707B63">
        <w:rPr>
          <w:sz w:val="24"/>
          <w:szCs w:val="24"/>
          <w:lang w:val="fr-FR"/>
        </w:rPr>
        <w:t xml:space="preserve"> philosophes dit</w:t>
      </w:r>
      <w:r w:rsidR="00707B63">
        <w:rPr>
          <w:sz w:val="24"/>
          <w:szCs w:val="24"/>
          <w:lang w:val="fr-FR"/>
        </w:rPr>
        <w:t>s</w:t>
      </w:r>
      <w:r w:rsidRPr="00707B63">
        <w:rPr>
          <w:sz w:val="24"/>
          <w:szCs w:val="24"/>
          <w:lang w:val="fr-FR"/>
        </w:rPr>
        <w:t xml:space="preserve"> « néo-aristotéliciens » ou « </w:t>
      </w:r>
      <w:proofErr w:type="spellStart"/>
      <w:r w:rsidRPr="00707B63">
        <w:rPr>
          <w:sz w:val="24"/>
          <w:szCs w:val="24"/>
          <w:lang w:val="fr-FR"/>
        </w:rPr>
        <w:t>néo-thomistes</w:t>
      </w:r>
      <w:proofErr w:type="spellEnd"/>
      <w:r w:rsidRPr="00707B63">
        <w:rPr>
          <w:sz w:val="24"/>
          <w:szCs w:val="24"/>
          <w:lang w:val="fr-FR"/>
        </w:rPr>
        <w:t> »</w:t>
      </w:r>
      <w:r w:rsidR="00707B63">
        <w:rPr>
          <w:sz w:val="24"/>
          <w:szCs w:val="24"/>
          <w:lang w:val="fr-FR"/>
        </w:rPr>
        <w:t xml:space="preserve"> tels</w:t>
      </w:r>
      <w:r w:rsidRPr="00707B63">
        <w:rPr>
          <w:sz w:val="24"/>
          <w:szCs w:val="24"/>
          <w:lang w:val="fr-FR"/>
        </w:rPr>
        <w:t xml:space="preserve"> </w:t>
      </w:r>
      <w:r w:rsidR="00707B63">
        <w:rPr>
          <w:sz w:val="24"/>
          <w:szCs w:val="24"/>
          <w:lang w:val="fr-FR"/>
        </w:rPr>
        <w:t>qu’</w:t>
      </w:r>
      <w:r w:rsidRPr="00707B63">
        <w:rPr>
          <w:sz w:val="24"/>
          <w:szCs w:val="24"/>
          <w:lang w:val="fr-FR"/>
        </w:rPr>
        <w:t xml:space="preserve">A. </w:t>
      </w:r>
      <w:proofErr w:type="spellStart"/>
      <w:r w:rsidRPr="00707B63">
        <w:rPr>
          <w:sz w:val="24"/>
          <w:szCs w:val="24"/>
          <w:lang w:val="fr-FR"/>
        </w:rPr>
        <w:t>MacIntyre</w:t>
      </w:r>
      <w:proofErr w:type="spellEnd"/>
      <w:r w:rsidRPr="00707B63">
        <w:rPr>
          <w:sz w:val="24"/>
          <w:szCs w:val="24"/>
          <w:lang w:val="fr-FR"/>
        </w:rPr>
        <w:t xml:space="preserve"> vont utiliser. Je vous renvoie ici à la thèse de Pierre Goldstein</w:t>
      </w:r>
      <w:r w:rsidR="0065738A" w:rsidRPr="00707B63">
        <w:rPr>
          <w:sz w:val="24"/>
          <w:szCs w:val="24"/>
          <w:lang w:val="fr-FR"/>
        </w:rPr>
        <w:t xml:space="preserve"> soutenue en 2017 intitulée « </w:t>
      </w:r>
      <w:r w:rsidR="0065738A" w:rsidRPr="00707B63">
        <w:rPr>
          <w:sz w:val="24"/>
          <w:szCs w:val="24"/>
        </w:rPr>
        <w:t xml:space="preserve">La question de la moralité dans l’éthique néo-aristotélicienne depuis G.E.M. </w:t>
      </w:r>
      <w:proofErr w:type="spellStart"/>
      <w:r w:rsidR="0065738A" w:rsidRPr="00707B63">
        <w:rPr>
          <w:sz w:val="24"/>
          <w:szCs w:val="24"/>
        </w:rPr>
        <w:t>Anscombe</w:t>
      </w:r>
      <w:proofErr w:type="spellEnd"/>
      <w:r w:rsidR="0065738A" w:rsidRPr="00707B63">
        <w:rPr>
          <w:sz w:val="24"/>
          <w:szCs w:val="24"/>
        </w:rPr>
        <w:t xml:space="preserve">. », au sein de laquelle il consacre un petit paragraphe à ce sujet. </w:t>
      </w:r>
      <w:proofErr w:type="spellStart"/>
      <w:r w:rsidR="0065738A" w:rsidRPr="00707B63">
        <w:rPr>
          <w:sz w:val="24"/>
          <w:szCs w:val="24"/>
        </w:rPr>
        <w:t>MacIntyre</w:t>
      </w:r>
      <w:proofErr w:type="spellEnd"/>
      <w:r w:rsidR="0065738A" w:rsidRPr="00707B63">
        <w:rPr>
          <w:sz w:val="24"/>
          <w:szCs w:val="24"/>
        </w:rPr>
        <w:t xml:space="preserve"> après </w:t>
      </w:r>
      <w:proofErr w:type="spellStart"/>
      <w:r w:rsidR="0065738A" w:rsidRPr="00707B63">
        <w:rPr>
          <w:sz w:val="24"/>
          <w:szCs w:val="24"/>
        </w:rPr>
        <w:t>Anscombe</w:t>
      </w:r>
      <w:proofErr w:type="spellEnd"/>
      <w:r w:rsidR="0065738A" w:rsidRPr="00707B63">
        <w:rPr>
          <w:sz w:val="24"/>
          <w:szCs w:val="24"/>
        </w:rPr>
        <w:t xml:space="preserve"> fait reposer son argumentation dans </w:t>
      </w:r>
      <w:r w:rsidR="0065738A" w:rsidRPr="00707B63">
        <w:rPr>
          <w:i/>
          <w:iCs/>
          <w:sz w:val="24"/>
          <w:szCs w:val="24"/>
        </w:rPr>
        <w:t xml:space="preserve">A Short </w:t>
      </w:r>
      <w:proofErr w:type="spellStart"/>
      <w:r w:rsidR="0065738A" w:rsidRPr="00707B63">
        <w:rPr>
          <w:i/>
          <w:iCs/>
          <w:sz w:val="24"/>
          <w:szCs w:val="24"/>
        </w:rPr>
        <w:t>History</w:t>
      </w:r>
      <w:proofErr w:type="spellEnd"/>
      <w:r w:rsidR="0065738A" w:rsidRPr="00707B63">
        <w:rPr>
          <w:i/>
          <w:iCs/>
          <w:sz w:val="24"/>
          <w:szCs w:val="24"/>
        </w:rPr>
        <w:t xml:space="preserve"> of </w:t>
      </w:r>
      <w:proofErr w:type="spellStart"/>
      <w:r w:rsidR="0065738A" w:rsidRPr="00707B63">
        <w:rPr>
          <w:i/>
          <w:iCs/>
          <w:sz w:val="24"/>
          <w:szCs w:val="24"/>
        </w:rPr>
        <w:t>Ethics</w:t>
      </w:r>
      <w:proofErr w:type="spellEnd"/>
      <w:r w:rsidR="0065738A" w:rsidRPr="00707B63">
        <w:rPr>
          <w:i/>
          <w:iCs/>
          <w:sz w:val="24"/>
          <w:szCs w:val="24"/>
        </w:rPr>
        <w:t xml:space="preserve"> </w:t>
      </w:r>
      <w:r w:rsidR="0065738A" w:rsidRPr="00707B63">
        <w:rPr>
          <w:sz w:val="24"/>
          <w:szCs w:val="24"/>
        </w:rPr>
        <w:t xml:space="preserve">et dans </w:t>
      </w:r>
      <w:proofErr w:type="spellStart"/>
      <w:r w:rsidR="0065738A" w:rsidRPr="00707B63">
        <w:rPr>
          <w:i/>
          <w:iCs/>
          <w:sz w:val="24"/>
          <w:szCs w:val="24"/>
        </w:rPr>
        <w:t>After</w:t>
      </w:r>
      <w:proofErr w:type="spellEnd"/>
      <w:r w:rsidR="0065738A" w:rsidRPr="00707B63">
        <w:rPr>
          <w:i/>
          <w:iCs/>
          <w:sz w:val="24"/>
          <w:szCs w:val="24"/>
        </w:rPr>
        <w:t xml:space="preserve"> Virtue</w:t>
      </w:r>
      <w:r w:rsidR="0065738A" w:rsidRPr="00707B63">
        <w:rPr>
          <w:sz w:val="24"/>
          <w:szCs w:val="24"/>
        </w:rPr>
        <w:t xml:space="preserve"> sur ce concept de « survivance ». </w:t>
      </w:r>
      <w:r w:rsidR="00707B63">
        <w:rPr>
          <w:sz w:val="24"/>
          <w:szCs w:val="24"/>
        </w:rPr>
        <w:t xml:space="preserve">(Cf </w:t>
      </w:r>
      <w:proofErr w:type="spellStart"/>
      <w:r w:rsidR="00707B63">
        <w:rPr>
          <w:sz w:val="24"/>
          <w:szCs w:val="24"/>
        </w:rPr>
        <w:t>Handout</w:t>
      </w:r>
      <w:proofErr w:type="spellEnd"/>
      <w:r w:rsidR="00707B63">
        <w:rPr>
          <w:sz w:val="24"/>
          <w:szCs w:val="24"/>
        </w:rPr>
        <w:t xml:space="preserve"> Texte 2</w:t>
      </w:r>
      <w:r w:rsidR="009E2D3F">
        <w:rPr>
          <w:sz w:val="24"/>
          <w:szCs w:val="24"/>
        </w:rPr>
        <w:t>3</w:t>
      </w:r>
      <w:r w:rsidR="00707B63">
        <w:rPr>
          <w:sz w:val="24"/>
          <w:szCs w:val="24"/>
        </w:rPr>
        <w:t xml:space="preserve">). </w:t>
      </w:r>
    </w:p>
    <w:p w14:paraId="2F3FE8DF" w14:textId="79E6AE08" w:rsidR="00707B63" w:rsidRDefault="00707B63" w:rsidP="000708DE">
      <w:pPr>
        <w:jc w:val="both"/>
        <w:rPr>
          <w:sz w:val="24"/>
          <w:szCs w:val="24"/>
        </w:rPr>
      </w:pPr>
      <w:r>
        <w:rPr>
          <w:sz w:val="24"/>
          <w:szCs w:val="24"/>
        </w:rPr>
        <w:tab/>
        <w:t xml:space="preserve">Pour ma part, je ne vais pas m’intéresser ici aux philosophes qui ont été influencés par </w:t>
      </w:r>
      <w:proofErr w:type="spellStart"/>
      <w:r>
        <w:rPr>
          <w:sz w:val="24"/>
          <w:szCs w:val="24"/>
        </w:rPr>
        <w:t>Anscombe</w:t>
      </w:r>
      <w:proofErr w:type="spellEnd"/>
      <w:r>
        <w:rPr>
          <w:sz w:val="24"/>
          <w:szCs w:val="24"/>
        </w:rPr>
        <w:t xml:space="preserve">, mais plutôt saisir à l’inverse ce qui a pu pousser </w:t>
      </w:r>
      <w:proofErr w:type="spellStart"/>
      <w:r>
        <w:rPr>
          <w:sz w:val="24"/>
          <w:szCs w:val="24"/>
        </w:rPr>
        <w:t>Anscombe</w:t>
      </w:r>
      <w:proofErr w:type="spellEnd"/>
      <w:r>
        <w:rPr>
          <w:sz w:val="24"/>
          <w:szCs w:val="24"/>
        </w:rPr>
        <w:t xml:space="preserve"> </w:t>
      </w:r>
      <w:r w:rsidR="00993630">
        <w:rPr>
          <w:sz w:val="24"/>
          <w:szCs w:val="24"/>
        </w:rPr>
        <w:t>à</w:t>
      </w:r>
      <w:r>
        <w:rPr>
          <w:sz w:val="24"/>
          <w:szCs w:val="24"/>
        </w:rPr>
        <w:t xml:space="preserve"> utiliser ce vocabulaire. Il s’agit donc ici de comprendre la généalogie de ce concept, ou plutôt l’ensemble, la constellation de définitions qu’il a reçu, car de la fin du XIXème siècle jusqu’à la moitié du XXème le terme de survivance a été crucial dans les sciences sociales et en philosophie. </w:t>
      </w:r>
    </w:p>
    <w:p w14:paraId="324F100A" w14:textId="77777777" w:rsidR="006F56BA" w:rsidRDefault="006F56BA" w:rsidP="000708DE">
      <w:pPr>
        <w:jc w:val="both"/>
        <w:rPr>
          <w:sz w:val="24"/>
          <w:szCs w:val="24"/>
        </w:rPr>
      </w:pPr>
    </w:p>
    <w:p w14:paraId="5F74985E" w14:textId="3D3E511F" w:rsidR="006F56BA" w:rsidRDefault="006F56BA" w:rsidP="00821C1A">
      <w:pPr>
        <w:pStyle w:val="Titre2"/>
      </w:pPr>
      <w:r>
        <w:tab/>
        <w:t>I/ Avant la philosophie : une doctrine anthropologique</w:t>
      </w:r>
    </w:p>
    <w:p w14:paraId="0D994ECC" w14:textId="77777777" w:rsidR="006F56BA" w:rsidRDefault="006F56BA" w:rsidP="000708DE">
      <w:pPr>
        <w:jc w:val="both"/>
        <w:rPr>
          <w:sz w:val="24"/>
          <w:szCs w:val="24"/>
        </w:rPr>
      </w:pPr>
    </w:p>
    <w:p w14:paraId="7354D7F3" w14:textId="515D792B" w:rsidR="00F21859" w:rsidRPr="00F21859" w:rsidRDefault="00F21859" w:rsidP="00F21859">
      <w:pPr>
        <w:pStyle w:val="Titre3"/>
        <w:numPr>
          <w:ilvl w:val="0"/>
          <w:numId w:val="6"/>
        </w:numPr>
        <w:rPr>
          <w:b/>
          <w:bCs/>
        </w:rPr>
      </w:pPr>
      <w:r w:rsidRPr="00F21859">
        <w:rPr>
          <w:b/>
          <w:bCs/>
        </w:rPr>
        <w:t>Le concept de « </w:t>
      </w:r>
      <w:proofErr w:type="spellStart"/>
      <w:r w:rsidRPr="00F21859">
        <w:rPr>
          <w:b/>
          <w:bCs/>
        </w:rPr>
        <w:t>survival</w:t>
      </w:r>
      <w:proofErr w:type="spellEnd"/>
      <w:r w:rsidRPr="00F21859">
        <w:rPr>
          <w:b/>
          <w:bCs/>
        </w:rPr>
        <w:t xml:space="preserve"> » chez E.B. Tylor </w:t>
      </w:r>
    </w:p>
    <w:p w14:paraId="67E4F6EF" w14:textId="77777777" w:rsidR="00F21859" w:rsidRDefault="00F21859" w:rsidP="00821C1A">
      <w:pPr>
        <w:ind w:firstLine="708"/>
        <w:jc w:val="both"/>
        <w:rPr>
          <w:sz w:val="24"/>
          <w:szCs w:val="24"/>
        </w:rPr>
      </w:pPr>
    </w:p>
    <w:p w14:paraId="73EB1CB7" w14:textId="18ED6FC1" w:rsidR="006F56BA" w:rsidRPr="00821C1A" w:rsidRDefault="0015204D" w:rsidP="00821C1A">
      <w:pPr>
        <w:ind w:firstLine="708"/>
        <w:jc w:val="both"/>
        <w:rPr>
          <w:sz w:val="24"/>
          <w:szCs w:val="24"/>
        </w:rPr>
      </w:pPr>
      <w:r w:rsidRPr="00821C1A">
        <w:rPr>
          <w:sz w:val="24"/>
          <w:szCs w:val="24"/>
        </w:rPr>
        <w:t xml:space="preserve">Pour bien comprendre d’où vient la notion de survivance employée en philosophie morale, il faut revenir à l’anthropologie. En effet, il semblerait que la première personne à avoir défini le </w:t>
      </w:r>
      <w:proofErr w:type="spellStart"/>
      <w:r w:rsidRPr="00821C1A">
        <w:rPr>
          <w:i/>
          <w:iCs/>
          <w:sz w:val="24"/>
          <w:szCs w:val="24"/>
        </w:rPr>
        <w:t>survival</w:t>
      </w:r>
      <w:proofErr w:type="spellEnd"/>
      <w:r w:rsidRPr="00821C1A">
        <w:rPr>
          <w:i/>
          <w:iCs/>
          <w:sz w:val="24"/>
          <w:szCs w:val="24"/>
        </w:rPr>
        <w:t xml:space="preserve"> </w:t>
      </w:r>
      <w:r w:rsidRPr="00821C1A">
        <w:rPr>
          <w:sz w:val="24"/>
          <w:szCs w:val="24"/>
        </w:rPr>
        <w:t xml:space="preserve">soit l’anthropologue Edward Tylor (1832-1917), premier titulaire de la chaire d’anthropologie à Oxford dans son ouvrage </w:t>
      </w:r>
      <w:r w:rsidRPr="00821C1A">
        <w:rPr>
          <w:i/>
          <w:iCs/>
          <w:sz w:val="24"/>
          <w:szCs w:val="24"/>
        </w:rPr>
        <w:t xml:space="preserve">Primitive Culture </w:t>
      </w:r>
      <w:r w:rsidRPr="00821C1A">
        <w:rPr>
          <w:sz w:val="24"/>
          <w:szCs w:val="24"/>
        </w:rPr>
        <w:t xml:space="preserve">(1871), </w:t>
      </w:r>
      <w:r w:rsidRPr="00993630">
        <w:rPr>
          <w:b/>
          <w:bCs/>
          <w:sz w:val="24"/>
          <w:szCs w:val="24"/>
        </w:rPr>
        <w:t>voir ici le texte 13.</w:t>
      </w:r>
      <w:r w:rsidRPr="00821C1A">
        <w:rPr>
          <w:sz w:val="24"/>
          <w:szCs w:val="24"/>
        </w:rPr>
        <w:t xml:space="preserve"> </w:t>
      </w:r>
    </w:p>
    <w:p w14:paraId="4D6B0000" w14:textId="55BC1060" w:rsidR="0015204D" w:rsidRDefault="0015204D" w:rsidP="000708DE">
      <w:pPr>
        <w:jc w:val="both"/>
        <w:rPr>
          <w:sz w:val="24"/>
          <w:szCs w:val="24"/>
        </w:rPr>
      </w:pPr>
      <w:r>
        <w:rPr>
          <w:sz w:val="24"/>
          <w:szCs w:val="24"/>
        </w:rPr>
        <w:lastRenderedPageBreak/>
        <w:tab/>
        <w:t xml:space="preserve">Tylor a introduit ce terme afin de mettre fin à un débat qui faisait rage à son époque parmi les anthropologues et les spécialistes de l’étude culturelle, à savoir : doit-on croire en une théorie développementaliste des cultures (les cultures progresseraient d’un état primitif vers un état de civilisation avancée, de manière quasi linéaire) ou plutôt dans une théorie </w:t>
      </w:r>
      <w:proofErr w:type="spellStart"/>
      <w:r>
        <w:rPr>
          <w:sz w:val="24"/>
          <w:szCs w:val="24"/>
        </w:rPr>
        <w:t>dégénérationniste</w:t>
      </w:r>
      <w:proofErr w:type="spellEnd"/>
      <w:r>
        <w:rPr>
          <w:sz w:val="24"/>
          <w:szCs w:val="24"/>
        </w:rPr>
        <w:t>, ou dégénérative de la civilisation, telle qu’elle fut résumée par le théologie</w:t>
      </w:r>
      <w:r w:rsidR="00647418">
        <w:rPr>
          <w:sz w:val="24"/>
          <w:szCs w:val="24"/>
        </w:rPr>
        <w:t>n</w:t>
      </w:r>
      <w:r>
        <w:rPr>
          <w:sz w:val="24"/>
          <w:szCs w:val="24"/>
        </w:rPr>
        <w:t xml:space="preserve"> R. </w:t>
      </w:r>
      <w:proofErr w:type="spellStart"/>
      <w:r>
        <w:rPr>
          <w:sz w:val="24"/>
          <w:szCs w:val="24"/>
        </w:rPr>
        <w:t>Whately</w:t>
      </w:r>
      <w:proofErr w:type="spellEnd"/>
      <w:r>
        <w:rPr>
          <w:sz w:val="24"/>
          <w:szCs w:val="24"/>
        </w:rPr>
        <w:t xml:space="preserve"> dans son livre </w:t>
      </w:r>
      <w:r>
        <w:rPr>
          <w:i/>
          <w:iCs/>
          <w:sz w:val="24"/>
          <w:szCs w:val="24"/>
        </w:rPr>
        <w:t xml:space="preserve">Origin of </w:t>
      </w:r>
      <w:proofErr w:type="spellStart"/>
      <w:r>
        <w:rPr>
          <w:i/>
          <w:iCs/>
          <w:sz w:val="24"/>
          <w:szCs w:val="24"/>
        </w:rPr>
        <w:t>Civilization</w:t>
      </w:r>
      <w:proofErr w:type="spellEnd"/>
      <w:r>
        <w:rPr>
          <w:i/>
          <w:iCs/>
          <w:sz w:val="24"/>
          <w:szCs w:val="24"/>
        </w:rPr>
        <w:t xml:space="preserve"> </w:t>
      </w:r>
      <w:r>
        <w:rPr>
          <w:sz w:val="24"/>
          <w:szCs w:val="24"/>
        </w:rPr>
        <w:t xml:space="preserve">(1857). </w:t>
      </w:r>
      <w:proofErr w:type="spellStart"/>
      <w:r>
        <w:rPr>
          <w:sz w:val="24"/>
          <w:szCs w:val="24"/>
        </w:rPr>
        <w:t>Whately</w:t>
      </w:r>
      <w:proofErr w:type="spellEnd"/>
      <w:r>
        <w:rPr>
          <w:sz w:val="24"/>
          <w:szCs w:val="24"/>
        </w:rPr>
        <w:t xml:space="preserve"> </w:t>
      </w:r>
      <w:r w:rsidR="00647418">
        <w:rPr>
          <w:sz w:val="24"/>
          <w:szCs w:val="24"/>
        </w:rPr>
        <w:t>y définit</w:t>
      </w:r>
      <w:r>
        <w:rPr>
          <w:sz w:val="24"/>
          <w:szCs w:val="24"/>
        </w:rPr>
        <w:t xml:space="preserve"> les sauvages comme des « dégénérés », ils ne sont pas des primitifs, mais ils sont la conséquence d’une dégradation d’une civilisation</w:t>
      </w:r>
      <w:r w:rsidR="00647418">
        <w:rPr>
          <w:sz w:val="24"/>
          <w:szCs w:val="24"/>
        </w:rPr>
        <w:t xml:space="preserve">. Ainsi, </w:t>
      </w:r>
      <w:r>
        <w:rPr>
          <w:sz w:val="24"/>
          <w:szCs w:val="24"/>
        </w:rPr>
        <w:t xml:space="preserve">on ne peut guère chercher à les éduquer, et il faut les maintenir dans cet état. </w:t>
      </w:r>
    </w:p>
    <w:p w14:paraId="1934846E" w14:textId="6F3D5C27" w:rsidR="0015204D" w:rsidRDefault="0015204D" w:rsidP="000708DE">
      <w:pPr>
        <w:jc w:val="both"/>
        <w:rPr>
          <w:sz w:val="24"/>
          <w:szCs w:val="24"/>
        </w:rPr>
      </w:pPr>
      <w:r>
        <w:rPr>
          <w:sz w:val="24"/>
          <w:szCs w:val="24"/>
        </w:rPr>
        <w:tab/>
        <w:t xml:space="preserve">Ceci nous est présenté très clairement par une femme américaine, Margaret T. </w:t>
      </w:r>
      <w:proofErr w:type="spellStart"/>
      <w:r>
        <w:rPr>
          <w:sz w:val="24"/>
          <w:szCs w:val="24"/>
        </w:rPr>
        <w:t>Hodgen</w:t>
      </w:r>
      <w:proofErr w:type="spellEnd"/>
      <w:r>
        <w:rPr>
          <w:sz w:val="24"/>
          <w:szCs w:val="24"/>
        </w:rPr>
        <w:t xml:space="preserve"> dont les ouvrages n’attirent pas, du moins en France, une grande attention et qui pourtant est la seule à s’être intéressée de manière systématique à ce qu’elle appelle dans un ouvrage de 1936 </w:t>
      </w:r>
      <w:r>
        <w:rPr>
          <w:i/>
          <w:iCs/>
          <w:sz w:val="24"/>
          <w:szCs w:val="24"/>
        </w:rPr>
        <w:t xml:space="preserve">The Doctrine of </w:t>
      </w:r>
      <w:proofErr w:type="spellStart"/>
      <w:r>
        <w:rPr>
          <w:i/>
          <w:iCs/>
          <w:sz w:val="24"/>
          <w:szCs w:val="24"/>
        </w:rPr>
        <w:t>Survivals</w:t>
      </w:r>
      <w:proofErr w:type="spellEnd"/>
      <w:r>
        <w:rPr>
          <w:sz w:val="24"/>
          <w:szCs w:val="24"/>
        </w:rPr>
        <w:t>.</w:t>
      </w:r>
      <w:r w:rsidR="00647418">
        <w:rPr>
          <w:sz w:val="24"/>
          <w:szCs w:val="24"/>
        </w:rPr>
        <w:t xml:space="preserve"> </w:t>
      </w:r>
      <w:proofErr w:type="spellStart"/>
      <w:r>
        <w:rPr>
          <w:sz w:val="24"/>
          <w:szCs w:val="24"/>
        </w:rPr>
        <w:t>Hodgen</w:t>
      </w:r>
      <w:proofErr w:type="spellEnd"/>
      <w:r w:rsidR="00821C1A">
        <w:rPr>
          <w:rStyle w:val="Appelnotedebasdep"/>
          <w:sz w:val="24"/>
          <w:szCs w:val="24"/>
        </w:rPr>
        <w:footnoteReference w:id="1"/>
      </w:r>
      <w:r>
        <w:rPr>
          <w:sz w:val="24"/>
          <w:szCs w:val="24"/>
        </w:rPr>
        <w:t xml:space="preserve"> (1890-1977) se présente dans ce livre comme une historienne des sciences sociales, elle examine avec les lunettes de la sociologue et de l’anthropologue les débats qui ont opposé farouchement les développementalistes et les partisans de la dégradation civilisationnelle</w:t>
      </w:r>
      <w:r w:rsidR="00327CCB">
        <w:rPr>
          <w:sz w:val="24"/>
          <w:szCs w:val="24"/>
        </w:rPr>
        <w:t>, afin de souligner la nouveauté qu’apporte Tylor à ce débat en créant le concept de « </w:t>
      </w:r>
      <w:proofErr w:type="spellStart"/>
      <w:r w:rsidR="00327CCB">
        <w:rPr>
          <w:sz w:val="24"/>
          <w:szCs w:val="24"/>
        </w:rPr>
        <w:t>survival</w:t>
      </w:r>
      <w:proofErr w:type="spellEnd"/>
      <w:r w:rsidR="00327CCB">
        <w:rPr>
          <w:sz w:val="24"/>
          <w:szCs w:val="24"/>
        </w:rPr>
        <w:t xml:space="preserve"> ». </w:t>
      </w:r>
    </w:p>
    <w:p w14:paraId="42480FDB" w14:textId="21FAF63C" w:rsidR="00821C1A" w:rsidRDefault="00821C1A" w:rsidP="000708DE">
      <w:pPr>
        <w:jc w:val="both"/>
        <w:rPr>
          <w:sz w:val="24"/>
          <w:szCs w:val="24"/>
        </w:rPr>
      </w:pPr>
      <w:r>
        <w:rPr>
          <w:sz w:val="24"/>
          <w:szCs w:val="24"/>
        </w:rPr>
        <w:tab/>
        <w:t xml:space="preserve">En introduisant la notion de « survivance », Tylor veut montrer qu’il peut </w:t>
      </w:r>
      <w:r w:rsidRPr="00647418">
        <w:rPr>
          <w:b/>
          <w:bCs/>
          <w:sz w:val="24"/>
          <w:szCs w:val="24"/>
        </w:rPr>
        <w:t>exister des pratiques ou des coutumes dont nous ne pouvons saisir rationnellement la signification,</w:t>
      </w:r>
      <w:r>
        <w:rPr>
          <w:sz w:val="24"/>
          <w:szCs w:val="24"/>
        </w:rPr>
        <w:t xml:space="preserve"> des pratiques folkloriques par exemple, précisément parce que ces pratiques ont été sorti d’un ensemble cohérent, d’une culture, qui n’est plus la nôtre. En parlant de ces « survivances » Tylor veut montrer qu’elles sont à la fois les signes de pratiques qui ont été modifiées, et en même temps il veut indiquer la subsistance de ces pratiques : car ce qui survit </w:t>
      </w:r>
      <w:proofErr w:type="gramStart"/>
      <w:r>
        <w:rPr>
          <w:sz w:val="24"/>
          <w:szCs w:val="24"/>
        </w:rPr>
        <w:t>a</w:t>
      </w:r>
      <w:proofErr w:type="gramEnd"/>
      <w:r>
        <w:rPr>
          <w:sz w:val="24"/>
          <w:szCs w:val="24"/>
        </w:rPr>
        <w:t xml:space="preserve"> toujours une forme de vie. Ainsi, il ne s’agit pas de dire qu’en passant d’un état primitif à un état civilisé, une société se civilise entièrement, abandonnant toutes les pratiques anciennes, d’autre part, la présence de ces survivances montrent qu’il y avait une autre rationalité en vigueur dans le passé. Ainsi, ce n’est plus ni un schéma de développement progressif des civilisations, ni un schéma de dégénération. </w:t>
      </w:r>
    </w:p>
    <w:p w14:paraId="2B7D0FDE" w14:textId="6119052D" w:rsidR="00821C1A" w:rsidRDefault="00821C1A" w:rsidP="000708DE">
      <w:pPr>
        <w:jc w:val="both"/>
        <w:rPr>
          <w:sz w:val="24"/>
          <w:szCs w:val="24"/>
        </w:rPr>
      </w:pPr>
      <w:r>
        <w:rPr>
          <w:sz w:val="24"/>
          <w:szCs w:val="24"/>
        </w:rPr>
        <w:tab/>
        <w:t xml:space="preserve">Cependant, à la fin de </w:t>
      </w:r>
      <w:r>
        <w:rPr>
          <w:i/>
          <w:iCs/>
          <w:sz w:val="24"/>
          <w:szCs w:val="24"/>
        </w:rPr>
        <w:t>Primitive Culture</w:t>
      </w:r>
      <w:r>
        <w:rPr>
          <w:sz w:val="24"/>
          <w:szCs w:val="24"/>
        </w:rPr>
        <w:t xml:space="preserve">, Tylor enjoint les anthropologues et c’est ce que fera James Frazer après lui, à curer le langage de toutes ces impropriétés, de toutes les survivances qui n’ont plus de sens. Mais n’ont-elles plus de sens ? En d’autres termes, </w:t>
      </w:r>
      <w:proofErr w:type="spellStart"/>
      <w:r>
        <w:rPr>
          <w:sz w:val="24"/>
          <w:szCs w:val="24"/>
        </w:rPr>
        <w:t>Hodgen</w:t>
      </w:r>
      <w:proofErr w:type="spellEnd"/>
      <w:r>
        <w:rPr>
          <w:sz w:val="24"/>
          <w:szCs w:val="24"/>
        </w:rPr>
        <w:t xml:space="preserve"> le souligne bien, on a un souci chez Tylor : Pourquoi les survivances persistent à survivre, à quoi cela est dû ? </w:t>
      </w:r>
    </w:p>
    <w:p w14:paraId="4E3718A5" w14:textId="5AB90C7B" w:rsidR="00821C1A" w:rsidRDefault="00821C1A" w:rsidP="000708DE">
      <w:pPr>
        <w:jc w:val="both"/>
        <w:rPr>
          <w:sz w:val="24"/>
          <w:szCs w:val="24"/>
        </w:rPr>
      </w:pPr>
      <w:r>
        <w:rPr>
          <w:sz w:val="24"/>
          <w:szCs w:val="24"/>
        </w:rPr>
        <w:tab/>
        <w:t xml:space="preserve">A cette question Tylor n’offre pas vraiment de réponse. Frazer, quant à lui, dans son </w:t>
      </w:r>
      <w:r>
        <w:rPr>
          <w:i/>
          <w:iCs/>
          <w:sz w:val="24"/>
          <w:szCs w:val="24"/>
        </w:rPr>
        <w:t xml:space="preserve">Golden </w:t>
      </w:r>
      <w:proofErr w:type="spellStart"/>
      <w:r>
        <w:rPr>
          <w:i/>
          <w:iCs/>
          <w:sz w:val="24"/>
          <w:szCs w:val="24"/>
        </w:rPr>
        <w:t>Bough</w:t>
      </w:r>
      <w:proofErr w:type="spellEnd"/>
      <w:r>
        <w:rPr>
          <w:sz w:val="24"/>
          <w:szCs w:val="24"/>
        </w:rPr>
        <w:t xml:space="preserve"> </w:t>
      </w:r>
      <w:r w:rsidR="007941A6">
        <w:rPr>
          <w:sz w:val="24"/>
          <w:szCs w:val="24"/>
        </w:rPr>
        <w:t>choisira d’interpréter de manière positiviste ces survivances, les qualifiant de « </w:t>
      </w:r>
      <w:proofErr w:type="spellStart"/>
      <w:r w:rsidR="007941A6">
        <w:rPr>
          <w:sz w:val="24"/>
          <w:szCs w:val="24"/>
        </w:rPr>
        <w:t>human</w:t>
      </w:r>
      <w:proofErr w:type="spellEnd"/>
      <w:r w:rsidR="007941A6">
        <w:rPr>
          <w:sz w:val="24"/>
          <w:szCs w:val="24"/>
        </w:rPr>
        <w:t xml:space="preserve"> </w:t>
      </w:r>
      <w:proofErr w:type="spellStart"/>
      <w:r w:rsidR="007941A6">
        <w:rPr>
          <w:sz w:val="24"/>
          <w:szCs w:val="24"/>
        </w:rPr>
        <w:t>folly</w:t>
      </w:r>
      <w:proofErr w:type="spellEnd"/>
      <w:r w:rsidR="007941A6">
        <w:rPr>
          <w:sz w:val="24"/>
          <w:szCs w:val="24"/>
        </w:rPr>
        <w:t xml:space="preserve"> », et précisant qu’il faut écarter ces coutumes, ces pratiques et ces mots qui empêchent le bon épanouissement d’une culture rationnelle. </w:t>
      </w:r>
    </w:p>
    <w:p w14:paraId="66DE9FA7" w14:textId="6EA07C27" w:rsidR="007941A6" w:rsidRDefault="007941A6" w:rsidP="000708DE">
      <w:pPr>
        <w:jc w:val="both"/>
        <w:rPr>
          <w:sz w:val="24"/>
          <w:szCs w:val="24"/>
        </w:rPr>
      </w:pPr>
      <w:r>
        <w:rPr>
          <w:sz w:val="24"/>
          <w:szCs w:val="24"/>
        </w:rPr>
        <w:lastRenderedPageBreak/>
        <w:tab/>
        <w:t xml:space="preserve">Pourtant, était-ce l’objectif premier de Tylor ? Car Tylor précise bien qu’il </w:t>
      </w:r>
      <w:proofErr w:type="gramStart"/>
      <w:r>
        <w:rPr>
          <w:sz w:val="24"/>
          <w:szCs w:val="24"/>
        </w:rPr>
        <w:t>a</w:t>
      </w:r>
      <w:proofErr w:type="gramEnd"/>
      <w:r>
        <w:rPr>
          <w:sz w:val="24"/>
          <w:szCs w:val="24"/>
        </w:rPr>
        <w:t xml:space="preserve"> introduit le terme de « </w:t>
      </w:r>
      <w:proofErr w:type="spellStart"/>
      <w:r>
        <w:rPr>
          <w:sz w:val="24"/>
          <w:szCs w:val="24"/>
        </w:rPr>
        <w:t>survival</w:t>
      </w:r>
      <w:proofErr w:type="spellEnd"/>
      <w:r>
        <w:rPr>
          <w:sz w:val="24"/>
          <w:szCs w:val="24"/>
        </w:rPr>
        <w:t xml:space="preserve"> » pour remplacer le terme négatif de « superstition ». L’absurdité que l’on accorde à ces survivances n’est donc pas dû, chez Tylor, à la </w:t>
      </w:r>
      <w:r>
        <w:rPr>
          <w:b/>
          <w:bCs/>
          <w:sz w:val="24"/>
          <w:szCs w:val="24"/>
        </w:rPr>
        <w:t>nature de ce qui survit</w:t>
      </w:r>
      <w:r>
        <w:rPr>
          <w:sz w:val="24"/>
          <w:szCs w:val="24"/>
        </w:rPr>
        <w:t>, ce n’étaient pas à l’origine des coutumes irrationnelles, mais elles le sont devenues par leur évolution même, et leur survi</w:t>
      </w:r>
      <w:r w:rsidR="00526082">
        <w:rPr>
          <w:sz w:val="24"/>
          <w:szCs w:val="24"/>
        </w:rPr>
        <w:t>e</w:t>
      </w:r>
      <w:r>
        <w:rPr>
          <w:sz w:val="24"/>
          <w:szCs w:val="24"/>
        </w:rPr>
        <w:t xml:space="preserve"> dans un contexte qui ne leur offre plus de rationalité. </w:t>
      </w:r>
    </w:p>
    <w:p w14:paraId="6D8AA442" w14:textId="0DCAE81D" w:rsidR="007941A6" w:rsidRDefault="007941A6" w:rsidP="00F21859">
      <w:pPr>
        <w:pStyle w:val="Titre3"/>
        <w:numPr>
          <w:ilvl w:val="0"/>
          <w:numId w:val="6"/>
        </w:numPr>
        <w:rPr>
          <w:b/>
          <w:bCs/>
        </w:rPr>
      </w:pPr>
      <w:r w:rsidRPr="00F21859">
        <w:rPr>
          <w:b/>
          <w:bCs/>
        </w:rPr>
        <w:t xml:space="preserve">Une ou plusieurs définitions de la survivance ? </w:t>
      </w:r>
    </w:p>
    <w:p w14:paraId="449E73BD" w14:textId="77777777" w:rsidR="00F21859" w:rsidRPr="00F21859" w:rsidRDefault="00F21859" w:rsidP="00F21859">
      <w:pPr>
        <w:pStyle w:val="Paragraphedeliste"/>
      </w:pPr>
    </w:p>
    <w:p w14:paraId="07C7B823" w14:textId="20053024" w:rsidR="007941A6" w:rsidRDefault="007941A6" w:rsidP="000708DE">
      <w:pPr>
        <w:jc w:val="both"/>
        <w:rPr>
          <w:sz w:val="24"/>
          <w:szCs w:val="24"/>
        </w:rPr>
      </w:pPr>
      <w:r>
        <w:rPr>
          <w:sz w:val="24"/>
          <w:szCs w:val="24"/>
        </w:rPr>
        <w:t xml:space="preserve">On le voit bien, il semble y avoir plusieurs acceptions de cette notion de survivance dans le domaine de l’anthropologie. </w:t>
      </w:r>
      <w:proofErr w:type="spellStart"/>
      <w:r>
        <w:rPr>
          <w:sz w:val="24"/>
          <w:szCs w:val="24"/>
        </w:rPr>
        <w:t>Hodge</w:t>
      </w:r>
      <w:r w:rsidR="00647418">
        <w:rPr>
          <w:sz w:val="24"/>
          <w:szCs w:val="24"/>
        </w:rPr>
        <w:t>n</w:t>
      </w:r>
      <w:proofErr w:type="spellEnd"/>
      <w:r>
        <w:rPr>
          <w:sz w:val="24"/>
          <w:szCs w:val="24"/>
        </w:rPr>
        <w:t xml:space="preserve"> écrit d’ailleurs qu’il y a eu au moins 4 acceptions : </w:t>
      </w:r>
    </w:p>
    <w:p w14:paraId="69B39CCE" w14:textId="77777777" w:rsidR="007941A6" w:rsidRPr="007941A6" w:rsidRDefault="007941A6" w:rsidP="007941A6">
      <w:pPr>
        <w:jc w:val="both"/>
        <w:rPr>
          <w:sz w:val="24"/>
          <w:szCs w:val="24"/>
        </w:rPr>
      </w:pPr>
      <w:r>
        <w:tab/>
      </w:r>
      <w:r w:rsidRPr="007941A6">
        <w:rPr>
          <w:sz w:val="24"/>
          <w:szCs w:val="24"/>
        </w:rPr>
        <w:t>1) Certains y ont vu la culture non-officielle des campagnes (Charlotte S. Burne)</w:t>
      </w:r>
    </w:p>
    <w:p w14:paraId="2A938AAA" w14:textId="05B70F1D" w:rsidR="007941A6" w:rsidRPr="007941A6" w:rsidRDefault="007941A6" w:rsidP="007941A6">
      <w:pPr>
        <w:jc w:val="both"/>
        <w:rPr>
          <w:sz w:val="24"/>
          <w:szCs w:val="24"/>
        </w:rPr>
      </w:pPr>
      <w:r w:rsidRPr="007941A6">
        <w:rPr>
          <w:sz w:val="24"/>
          <w:szCs w:val="24"/>
        </w:rPr>
        <w:tab/>
        <w:t>2) D’autres y ont vu un parallèle avec les restes géologiques, les vestiges archéologiques. (GL Gomme, Andrew Lang)</w:t>
      </w:r>
      <w:r w:rsidR="008117CB">
        <w:rPr>
          <w:sz w:val="24"/>
          <w:szCs w:val="24"/>
        </w:rPr>
        <w:t xml:space="preserve"> : la survivance comme un vestige. Pourtant Tylor précise bien qu’à la différence de la ruine ou du vestige, il y a de la vie dans la survivance, d’une certaine manière elle se porte elle-même, elle n’est pas un objet mort. </w:t>
      </w:r>
    </w:p>
    <w:p w14:paraId="793B70F3" w14:textId="2776B6B0" w:rsidR="007941A6" w:rsidRPr="007941A6" w:rsidRDefault="007941A6" w:rsidP="007941A6">
      <w:pPr>
        <w:jc w:val="both"/>
        <w:rPr>
          <w:sz w:val="24"/>
          <w:szCs w:val="24"/>
        </w:rPr>
      </w:pPr>
      <w:r w:rsidRPr="007941A6">
        <w:rPr>
          <w:sz w:val="24"/>
          <w:szCs w:val="24"/>
        </w:rPr>
        <w:tab/>
        <w:t>3) Certains ont compris ça selon le paradigme de la vie organique (Stanley Arthur Cook)</w:t>
      </w:r>
      <w:r w:rsidR="008117CB">
        <w:rPr>
          <w:sz w:val="24"/>
          <w:szCs w:val="24"/>
        </w:rPr>
        <w:t> : les idées avancent comme la vie selon le schéma Darwinien. Il y a partout du changement et partout il n’y a pas de changement.</w:t>
      </w:r>
      <w:r w:rsidR="009E2D3F">
        <w:rPr>
          <w:sz w:val="24"/>
          <w:szCs w:val="24"/>
        </w:rPr>
        <w:t xml:space="preserve"> L’objectif de Cook étant de savoir ce qui persiste de manière invariable dans toutes les cultures. </w:t>
      </w:r>
    </w:p>
    <w:p w14:paraId="78690845" w14:textId="77777777" w:rsidR="007941A6" w:rsidRPr="007941A6" w:rsidRDefault="007941A6" w:rsidP="007941A6">
      <w:pPr>
        <w:jc w:val="both"/>
        <w:rPr>
          <w:sz w:val="24"/>
          <w:szCs w:val="24"/>
          <w:lang w:val="en-US"/>
        </w:rPr>
      </w:pPr>
      <w:r w:rsidRPr="007941A6">
        <w:rPr>
          <w:sz w:val="24"/>
          <w:szCs w:val="24"/>
        </w:rPr>
        <w:tab/>
        <w:t xml:space="preserve">4) D’autres ont vu ces survivances culturelles comme des pratiques persistant en dehors du contexte qui leur donnait une cohérence. </w:t>
      </w:r>
      <w:r w:rsidRPr="007941A6">
        <w:rPr>
          <w:sz w:val="24"/>
          <w:szCs w:val="24"/>
          <w:lang w:val="en-US"/>
        </w:rPr>
        <w:t>(George Henderson, W.H.R Rivers, Robert Lowie, H. Spencer)</w:t>
      </w:r>
    </w:p>
    <w:p w14:paraId="7265DD60" w14:textId="7AD5B9BE" w:rsidR="007941A6" w:rsidRPr="008F729B" w:rsidRDefault="008F729B" w:rsidP="000708DE">
      <w:pPr>
        <w:jc w:val="both"/>
        <w:rPr>
          <w:sz w:val="24"/>
          <w:szCs w:val="24"/>
        </w:rPr>
      </w:pPr>
      <w:r>
        <w:rPr>
          <w:sz w:val="24"/>
          <w:szCs w:val="24"/>
          <w:lang w:val="en-US"/>
        </w:rPr>
        <w:tab/>
      </w:r>
      <w:r w:rsidRPr="008F729B">
        <w:rPr>
          <w:sz w:val="24"/>
          <w:szCs w:val="24"/>
        </w:rPr>
        <w:t>Si l’on lit le t</w:t>
      </w:r>
      <w:r>
        <w:rPr>
          <w:sz w:val="24"/>
          <w:szCs w:val="24"/>
        </w:rPr>
        <w:t xml:space="preserve">exte n°22, on comprend bien que les sources de Tylor sont multiples et qu’il est évident que cette doctrine a intéressé de nombreux scientifiques dans des domaines aussi variés que la géologie, l’ethnologie, l’archéologie, l’anthropologie et la philosophie. </w:t>
      </w:r>
    </w:p>
    <w:p w14:paraId="77227536" w14:textId="55C890EC" w:rsidR="0015204D" w:rsidRDefault="008F729B" w:rsidP="000708DE">
      <w:pPr>
        <w:jc w:val="both"/>
        <w:rPr>
          <w:sz w:val="24"/>
          <w:szCs w:val="24"/>
        </w:rPr>
      </w:pPr>
      <w:r>
        <w:rPr>
          <w:sz w:val="24"/>
          <w:szCs w:val="24"/>
        </w:rPr>
        <w:tab/>
        <w:t xml:space="preserve">Pour </w:t>
      </w:r>
      <w:proofErr w:type="spellStart"/>
      <w:r>
        <w:rPr>
          <w:sz w:val="24"/>
          <w:szCs w:val="24"/>
        </w:rPr>
        <w:t>Hodgen</w:t>
      </w:r>
      <w:proofErr w:type="spellEnd"/>
      <w:r>
        <w:rPr>
          <w:sz w:val="24"/>
          <w:szCs w:val="24"/>
        </w:rPr>
        <w:t xml:space="preserve"> ces interprètes et utilisateurs de la notion de survivance se succèdent en deux grandes périodes : d’abord de 1871-1890, une période dominée par les folkloristes, c’est la grande époque de la Société de </w:t>
      </w:r>
      <w:proofErr w:type="spellStart"/>
      <w:r>
        <w:rPr>
          <w:sz w:val="24"/>
          <w:szCs w:val="24"/>
        </w:rPr>
        <w:t>Folkore</w:t>
      </w:r>
      <w:proofErr w:type="spellEnd"/>
      <w:r>
        <w:rPr>
          <w:sz w:val="24"/>
          <w:szCs w:val="24"/>
        </w:rPr>
        <w:t xml:space="preserve"> britannique dirigée par l’experte Charlotte S. Burne (1850-1923), qui avec l’aide de la géologie et de l’archéologie tente de découvrir les origines des institutions politiques, de la mythologie et de la religion. Avec de grandes collections des sources folkloriques. La période suivante que </w:t>
      </w:r>
      <w:proofErr w:type="spellStart"/>
      <w:r>
        <w:rPr>
          <w:sz w:val="24"/>
          <w:szCs w:val="24"/>
        </w:rPr>
        <w:t>Hodgen</w:t>
      </w:r>
      <w:proofErr w:type="spellEnd"/>
      <w:r>
        <w:rPr>
          <w:sz w:val="24"/>
          <w:szCs w:val="24"/>
        </w:rPr>
        <w:t xml:space="preserve"> fait débuter en 1890 jusqu’aux années 1930 est dominée, dit-elle, par les étudiants en archéologie qui développent ce qu’ils appellent « la méthode anthropologique », essayant de « reconstruire » les origines des religions classiques, de l’art et de la littérature. </w:t>
      </w:r>
    </w:p>
    <w:p w14:paraId="47E3ABC1" w14:textId="55149A3C" w:rsidR="008F729B" w:rsidRDefault="008F729B" w:rsidP="000708DE">
      <w:pPr>
        <w:jc w:val="both"/>
        <w:rPr>
          <w:sz w:val="24"/>
          <w:szCs w:val="24"/>
        </w:rPr>
      </w:pPr>
      <w:r>
        <w:rPr>
          <w:sz w:val="24"/>
          <w:szCs w:val="24"/>
        </w:rPr>
        <w:tab/>
        <w:t xml:space="preserve">On ne peut pas ici s’intéresser à tous les auteurs cités par </w:t>
      </w:r>
      <w:proofErr w:type="spellStart"/>
      <w:r>
        <w:rPr>
          <w:sz w:val="24"/>
          <w:szCs w:val="24"/>
        </w:rPr>
        <w:t>Hodgen</w:t>
      </w:r>
      <w:proofErr w:type="spellEnd"/>
      <w:r>
        <w:rPr>
          <w:sz w:val="24"/>
          <w:szCs w:val="24"/>
        </w:rPr>
        <w:t xml:space="preserve">, ni à toute la constellation d’universitaires qui ont discuté ou utilisé cette doctrine de la survivance, j’en ai déjà établi une liste de plus d’une trentaine de noms. On va ici s’intéresser à un fait qui nous conduira jusqu’à </w:t>
      </w:r>
      <w:proofErr w:type="spellStart"/>
      <w:r>
        <w:rPr>
          <w:sz w:val="24"/>
          <w:szCs w:val="24"/>
        </w:rPr>
        <w:t>Anscombe</w:t>
      </w:r>
      <w:proofErr w:type="spellEnd"/>
      <w:r>
        <w:rPr>
          <w:sz w:val="24"/>
          <w:szCs w:val="24"/>
        </w:rPr>
        <w:t xml:space="preserve"> : l’introduction dans le domaine de la philosophie de ce terme de survivance. </w:t>
      </w:r>
    </w:p>
    <w:p w14:paraId="17BAF0F4" w14:textId="77777777" w:rsidR="008F729B" w:rsidRDefault="008F729B" w:rsidP="00647418">
      <w:pPr>
        <w:pStyle w:val="Titre2"/>
      </w:pPr>
    </w:p>
    <w:p w14:paraId="4EFAB63F" w14:textId="7AC7C891" w:rsidR="005571B5" w:rsidRDefault="008F729B" w:rsidP="00647418">
      <w:pPr>
        <w:pStyle w:val="Titre2"/>
      </w:pPr>
      <w:r>
        <w:tab/>
        <w:t xml:space="preserve">II/ De l’anthropologie et l’archéologie à la philosophie : </w:t>
      </w:r>
      <w:r w:rsidR="003404CA">
        <w:t>les définitions du concept de survivance chez R.G. Collingwood</w:t>
      </w:r>
    </w:p>
    <w:p w14:paraId="0AA1514B" w14:textId="77777777" w:rsidR="009E2D3F" w:rsidRPr="009E2D3F" w:rsidRDefault="009E2D3F" w:rsidP="009E2D3F"/>
    <w:p w14:paraId="0ED7BA44" w14:textId="00E44F6E" w:rsidR="005571B5" w:rsidRDefault="005571B5" w:rsidP="000708DE">
      <w:pPr>
        <w:jc w:val="both"/>
        <w:rPr>
          <w:sz w:val="24"/>
          <w:szCs w:val="24"/>
        </w:rPr>
      </w:pPr>
      <w:r>
        <w:rPr>
          <w:sz w:val="24"/>
          <w:szCs w:val="24"/>
        </w:rPr>
        <w:tab/>
        <w:t xml:space="preserve">Il est de coutume de lire chez </w:t>
      </w:r>
      <w:proofErr w:type="spellStart"/>
      <w:r>
        <w:rPr>
          <w:sz w:val="24"/>
          <w:szCs w:val="24"/>
        </w:rPr>
        <w:t>Anscombe</w:t>
      </w:r>
      <w:proofErr w:type="spellEnd"/>
      <w:r>
        <w:rPr>
          <w:sz w:val="24"/>
          <w:szCs w:val="24"/>
        </w:rPr>
        <w:t xml:space="preserve"> la présence de termes anthropologiques en se rapportant à Wittgenstein, notamment à ses fameuses </w:t>
      </w:r>
      <w:r w:rsidRPr="009E2D3F">
        <w:rPr>
          <w:i/>
          <w:iCs/>
          <w:sz w:val="24"/>
          <w:szCs w:val="24"/>
        </w:rPr>
        <w:t xml:space="preserve">Remarques sur le Golden </w:t>
      </w:r>
      <w:proofErr w:type="spellStart"/>
      <w:r w:rsidRPr="009E2D3F">
        <w:rPr>
          <w:i/>
          <w:iCs/>
          <w:sz w:val="24"/>
          <w:szCs w:val="24"/>
        </w:rPr>
        <w:t>Bough</w:t>
      </w:r>
      <w:proofErr w:type="spellEnd"/>
      <w:r>
        <w:rPr>
          <w:sz w:val="24"/>
          <w:szCs w:val="24"/>
        </w:rPr>
        <w:t xml:space="preserve">. Cependant, on sera bien en peine de trouver des exemples de l’utilisation de la survivance chez Wittgenstein, pour ma part je n’ai rien trouvé à ce sujet. </w:t>
      </w:r>
    </w:p>
    <w:p w14:paraId="0CD3457D" w14:textId="252E4731" w:rsidR="005571B5" w:rsidRDefault="005571B5" w:rsidP="000708DE">
      <w:pPr>
        <w:jc w:val="both"/>
        <w:rPr>
          <w:sz w:val="24"/>
          <w:szCs w:val="24"/>
        </w:rPr>
      </w:pPr>
      <w:r>
        <w:rPr>
          <w:sz w:val="24"/>
          <w:szCs w:val="24"/>
        </w:rPr>
        <w:tab/>
        <w:t xml:space="preserve">En revanche, à la même époque, avant même Wittgenstein, un philosophe d’Oxford, historien et archéologue s’est intéressé à l’anthropologie. </w:t>
      </w:r>
      <w:r w:rsidR="009E2D3F">
        <w:rPr>
          <w:sz w:val="24"/>
          <w:szCs w:val="24"/>
        </w:rPr>
        <w:t>Il fut si</w:t>
      </w:r>
      <w:r>
        <w:rPr>
          <w:sz w:val="24"/>
          <w:szCs w:val="24"/>
        </w:rPr>
        <w:t xml:space="preserve"> intéressé qu’il est parti faire un voyage sur l’île de Java (Indonésie) afin de mettre en pratique ses théories. Ce philosophe c’est R.G. Collingwood (1889-1943). Je </w:t>
      </w:r>
      <w:r w:rsidR="00EC1FB8">
        <w:rPr>
          <w:sz w:val="24"/>
          <w:szCs w:val="24"/>
        </w:rPr>
        <w:t>n’ai pas la capacité</w:t>
      </w:r>
      <w:r>
        <w:rPr>
          <w:sz w:val="24"/>
          <w:szCs w:val="24"/>
        </w:rPr>
        <w:t xml:space="preserve"> de dessiner une filiation</w:t>
      </w:r>
      <w:r w:rsidR="009E2D3F">
        <w:rPr>
          <w:sz w:val="24"/>
          <w:szCs w:val="24"/>
        </w:rPr>
        <w:t xml:space="preserve"> directe entre</w:t>
      </w:r>
      <w:r>
        <w:rPr>
          <w:sz w:val="24"/>
          <w:szCs w:val="24"/>
        </w:rPr>
        <w:t xml:space="preserve"> Collingwood/</w:t>
      </w:r>
      <w:proofErr w:type="spellStart"/>
      <w:r>
        <w:rPr>
          <w:sz w:val="24"/>
          <w:szCs w:val="24"/>
        </w:rPr>
        <w:t>Anscombe</w:t>
      </w:r>
      <w:proofErr w:type="spellEnd"/>
      <w:r>
        <w:rPr>
          <w:sz w:val="24"/>
          <w:szCs w:val="24"/>
        </w:rPr>
        <w:t xml:space="preserve">, la mort de Collingwood en 43 à Oxford après plusieurs années de maladie ne me permet pas de savoir si </w:t>
      </w:r>
      <w:proofErr w:type="spellStart"/>
      <w:r>
        <w:rPr>
          <w:sz w:val="24"/>
          <w:szCs w:val="24"/>
        </w:rPr>
        <w:t>Anscombe</w:t>
      </w:r>
      <w:proofErr w:type="spellEnd"/>
      <w:r>
        <w:rPr>
          <w:sz w:val="24"/>
          <w:szCs w:val="24"/>
        </w:rPr>
        <w:t xml:space="preserve"> a assisté ou non à ses Lectures. Je pense que non. Cependant, un élève de Collingwood très marqué par Collingwood, fut Donald MacKinnon. Et il existe de nombreuses discussions des thèses de Collingwood chez MacKinnon, or on ne peut ignorer que MacKinnon fut un maître pour </w:t>
      </w:r>
      <w:proofErr w:type="spellStart"/>
      <w:r>
        <w:rPr>
          <w:sz w:val="24"/>
          <w:szCs w:val="24"/>
        </w:rPr>
        <w:t>Anscombe</w:t>
      </w:r>
      <w:proofErr w:type="spellEnd"/>
      <w:r>
        <w:rPr>
          <w:sz w:val="24"/>
          <w:szCs w:val="24"/>
        </w:rPr>
        <w:t xml:space="preserve"> lorsqu’elle était à Oxford. </w:t>
      </w:r>
      <w:r w:rsidR="00EC1FB8">
        <w:rPr>
          <w:sz w:val="24"/>
          <w:szCs w:val="24"/>
        </w:rPr>
        <w:t xml:space="preserve">(Je note aussi que </w:t>
      </w:r>
      <w:r w:rsidR="00654C93">
        <w:rPr>
          <w:sz w:val="24"/>
          <w:szCs w:val="24"/>
        </w:rPr>
        <w:t xml:space="preserve">Franz Steiner dans son ouvrage </w:t>
      </w:r>
      <w:proofErr w:type="spellStart"/>
      <w:r w:rsidR="00654C93">
        <w:rPr>
          <w:sz w:val="24"/>
          <w:szCs w:val="24"/>
        </w:rPr>
        <w:t>Taboo</w:t>
      </w:r>
      <w:proofErr w:type="spellEnd"/>
      <w:r w:rsidR="00654C93">
        <w:rPr>
          <w:sz w:val="24"/>
          <w:szCs w:val="24"/>
        </w:rPr>
        <w:t xml:space="preserve"> paru en 195</w:t>
      </w:r>
      <w:r w:rsidR="0090432B">
        <w:rPr>
          <w:sz w:val="24"/>
          <w:szCs w:val="24"/>
        </w:rPr>
        <w:t xml:space="preserve">6 discute de la notion de survivance, or Steiner était très proche d’Iris Murdoch et son ouvrage a influencé </w:t>
      </w:r>
      <w:r w:rsidR="00795749">
        <w:rPr>
          <w:sz w:val="24"/>
          <w:szCs w:val="24"/>
        </w:rPr>
        <w:t xml:space="preserve">fortement la pensée anthropologique d’Oxford). </w:t>
      </w:r>
    </w:p>
    <w:p w14:paraId="07828628" w14:textId="6E42B54C" w:rsidR="005571B5" w:rsidRDefault="005571B5" w:rsidP="000708DE">
      <w:pPr>
        <w:jc w:val="both"/>
        <w:rPr>
          <w:sz w:val="24"/>
          <w:szCs w:val="24"/>
        </w:rPr>
      </w:pPr>
      <w:r>
        <w:rPr>
          <w:sz w:val="24"/>
          <w:szCs w:val="24"/>
        </w:rPr>
        <w:tab/>
        <w:t xml:space="preserve">Passons sur ce point historique, pour revenir à notre notion de survivance. Comme vous pouvez le voir, j’ai mis à votre disposition plusieurs extraits de textes de Collingwood où il est question de cette notion. Elle est </w:t>
      </w:r>
      <w:r w:rsidR="00647418">
        <w:rPr>
          <w:sz w:val="24"/>
          <w:szCs w:val="24"/>
        </w:rPr>
        <w:t>très précieuse</w:t>
      </w:r>
      <w:r>
        <w:rPr>
          <w:sz w:val="24"/>
          <w:szCs w:val="24"/>
        </w:rPr>
        <w:t xml:space="preserve"> pour Collingwood précisément parce qu’il a cette triple casquette de penseur de l’histoire, d’archéologue et de philosophie-anthropologue. </w:t>
      </w:r>
    </w:p>
    <w:p w14:paraId="20303931" w14:textId="77777777" w:rsidR="009E2D3F" w:rsidRDefault="009E2D3F" w:rsidP="000708DE">
      <w:pPr>
        <w:jc w:val="both"/>
        <w:rPr>
          <w:sz w:val="24"/>
          <w:szCs w:val="24"/>
        </w:rPr>
      </w:pPr>
    </w:p>
    <w:p w14:paraId="539F8232" w14:textId="169E4310" w:rsidR="009E2D3F" w:rsidRPr="00713766" w:rsidRDefault="00713766" w:rsidP="00713766">
      <w:pPr>
        <w:ind w:left="708"/>
        <w:jc w:val="both"/>
        <w:rPr>
          <w:b/>
          <w:bCs/>
          <w:sz w:val="24"/>
          <w:szCs w:val="24"/>
        </w:rPr>
      </w:pPr>
      <w:r>
        <w:rPr>
          <w:b/>
          <w:bCs/>
          <w:sz w:val="24"/>
          <w:szCs w:val="24"/>
        </w:rPr>
        <w:t xml:space="preserve">A) </w:t>
      </w:r>
      <w:r w:rsidR="009E2D3F" w:rsidRPr="00713766">
        <w:rPr>
          <w:b/>
          <w:bCs/>
          <w:sz w:val="24"/>
          <w:szCs w:val="24"/>
        </w:rPr>
        <w:t xml:space="preserve">L’archéologue et la survivance : </w:t>
      </w:r>
    </w:p>
    <w:p w14:paraId="31C5AB38" w14:textId="77777777" w:rsidR="009E2D3F" w:rsidRDefault="009E2D3F" w:rsidP="009E2D3F">
      <w:pPr>
        <w:jc w:val="both"/>
        <w:rPr>
          <w:sz w:val="24"/>
          <w:szCs w:val="24"/>
        </w:rPr>
      </w:pPr>
    </w:p>
    <w:p w14:paraId="53F773D9" w14:textId="73479B1A" w:rsidR="009E2D3F" w:rsidRDefault="009E2D3F" w:rsidP="0044238D">
      <w:pPr>
        <w:ind w:firstLine="708"/>
        <w:jc w:val="both"/>
        <w:rPr>
          <w:sz w:val="24"/>
          <w:szCs w:val="24"/>
        </w:rPr>
      </w:pPr>
      <w:r>
        <w:rPr>
          <w:sz w:val="24"/>
          <w:szCs w:val="24"/>
        </w:rPr>
        <w:t xml:space="preserve">Dans </w:t>
      </w:r>
      <w:r w:rsidR="0044238D">
        <w:rPr>
          <w:sz w:val="24"/>
          <w:szCs w:val="24"/>
        </w:rPr>
        <w:t xml:space="preserve">la première partie de sa vie, jusque dans les années 30, Collingwood a travaillé comme archéologue, spécialiste de la Bretagne Romaine (Grande-Bretagne). Il s’est notamment attaché au processus de romanisation de la Bretagne, et à la persistance de coutumes, ou d’art Celte. </w:t>
      </w:r>
      <w:r w:rsidR="00113E48">
        <w:rPr>
          <w:sz w:val="24"/>
          <w:szCs w:val="24"/>
        </w:rPr>
        <w:t xml:space="preserve">Je vous renvoie ici au Textes 3, qui est de l’Autobiographie de Collingwood publiée en 1939 mais qui renvoie à la période des années 20 et notamment à un livre intitulé </w:t>
      </w:r>
      <w:r w:rsidR="00113E48">
        <w:rPr>
          <w:i/>
          <w:iCs/>
          <w:sz w:val="24"/>
          <w:szCs w:val="24"/>
        </w:rPr>
        <w:t xml:space="preserve">Roman </w:t>
      </w:r>
      <w:proofErr w:type="spellStart"/>
      <w:r w:rsidR="00113E48">
        <w:rPr>
          <w:i/>
          <w:iCs/>
          <w:sz w:val="24"/>
          <w:szCs w:val="24"/>
        </w:rPr>
        <w:t>Britain</w:t>
      </w:r>
      <w:proofErr w:type="spellEnd"/>
      <w:r w:rsidR="00113E48">
        <w:rPr>
          <w:i/>
          <w:iCs/>
          <w:sz w:val="24"/>
          <w:szCs w:val="24"/>
        </w:rPr>
        <w:t xml:space="preserve"> </w:t>
      </w:r>
      <w:r w:rsidR="00113E48">
        <w:rPr>
          <w:sz w:val="24"/>
          <w:szCs w:val="24"/>
        </w:rPr>
        <w:t xml:space="preserve">que Collingwood publie en 1924. </w:t>
      </w:r>
    </w:p>
    <w:p w14:paraId="78EE6A77" w14:textId="0B3E93CC" w:rsidR="00113E48" w:rsidRDefault="00113E48" w:rsidP="0044238D">
      <w:pPr>
        <w:ind w:firstLine="708"/>
        <w:jc w:val="both"/>
        <w:rPr>
          <w:sz w:val="24"/>
          <w:szCs w:val="24"/>
        </w:rPr>
      </w:pPr>
      <w:r>
        <w:rPr>
          <w:sz w:val="24"/>
          <w:szCs w:val="24"/>
        </w:rPr>
        <w:t xml:space="preserve">Dans ce texte Collingwood montre qu’il n’est pas convaincu par la thèse démontrant que les Celtes ont pu faire revivre leur art après la période romaine, parce que pendant l’occupation ils </w:t>
      </w:r>
      <w:r w:rsidR="00795749">
        <w:rPr>
          <w:sz w:val="24"/>
          <w:szCs w:val="24"/>
        </w:rPr>
        <w:t>auraient</w:t>
      </w:r>
      <w:r>
        <w:rPr>
          <w:sz w:val="24"/>
          <w:szCs w:val="24"/>
        </w:rPr>
        <w:t xml:space="preserve"> préservé une école celte. Ce que Collingwood récuse par manque de preuves. La théorie de ce « revival » de l’art Celte est à chercher pour Collingwood davantage dans la pauvreté de l’art Romain en Grande-Bretagne, un art Romain propagé par des artistes venant de Gaule et qui n’est qu’imitation et ne convient pas aux Celtes. Pour Collingwood l’art </w:t>
      </w:r>
      <w:r>
        <w:rPr>
          <w:sz w:val="24"/>
          <w:szCs w:val="24"/>
        </w:rPr>
        <w:lastRenderedPageBreak/>
        <w:t xml:space="preserve">Celte revit pour pallier un manque. Bien sûr, pour ce faire, il faut qu’il y ait un minimum de survivance, que les techniques ne soient pas oubliées. </w:t>
      </w:r>
    </w:p>
    <w:p w14:paraId="6DFC0CFD" w14:textId="141329E9" w:rsidR="00113E48" w:rsidRPr="00113E48" w:rsidRDefault="00113E48" w:rsidP="0044238D">
      <w:pPr>
        <w:ind w:firstLine="708"/>
        <w:jc w:val="both"/>
        <w:rPr>
          <w:sz w:val="24"/>
          <w:szCs w:val="24"/>
        </w:rPr>
      </w:pPr>
      <w:r>
        <w:rPr>
          <w:sz w:val="24"/>
          <w:szCs w:val="24"/>
        </w:rPr>
        <w:t xml:space="preserve">C’est ce que Collingwood souligne dans le texte 1 : si le latin n’avait pas survécu, aurait-il été possible que nous comprenions les parchemins médiévaux ? Cependant, Collingwood ajoute un élément nouveau : des cultures peuvent ressortir de la mort, même quand la survivance n’a pas été continue, par exemple les Egyptiens ou des langages de Mésopotamie. Ce sont des éléments matériels qui ont survécu mais qui n’ont pas été portés par une culture qui continuerait de pratiquer les langues : la tradition avait été rompue. </w:t>
      </w:r>
    </w:p>
    <w:p w14:paraId="5F96BE1B" w14:textId="11AE4049" w:rsidR="0044238D" w:rsidRPr="006F74B1" w:rsidRDefault="0044238D" w:rsidP="006F74B1">
      <w:pPr>
        <w:pStyle w:val="Paragraphedeliste"/>
        <w:numPr>
          <w:ilvl w:val="0"/>
          <w:numId w:val="6"/>
        </w:numPr>
        <w:jc w:val="both"/>
        <w:rPr>
          <w:b/>
          <w:bCs/>
          <w:sz w:val="24"/>
          <w:szCs w:val="24"/>
        </w:rPr>
      </w:pPr>
      <w:r w:rsidRPr="006F74B1">
        <w:rPr>
          <w:b/>
          <w:bCs/>
          <w:sz w:val="24"/>
          <w:szCs w:val="24"/>
        </w:rPr>
        <w:t xml:space="preserve">Premiers usages philosophiques de la survivance : </w:t>
      </w:r>
      <w:proofErr w:type="spellStart"/>
      <w:r w:rsidRPr="006F74B1">
        <w:rPr>
          <w:b/>
          <w:bCs/>
          <w:i/>
          <w:iCs/>
          <w:sz w:val="24"/>
          <w:szCs w:val="24"/>
        </w:rPr>
        <w:t>Libellus</w:t>
      </w:r>
      <w:proofErr w:type="spellEnd"/>
      <w:r w:rsidRPr="006F74B1">
        <w:rPr>
          <w:b/>
          <w:bCs/>
          <w:i/>
          <w:iCs/>
          <w:sz w:val="24"/>
          <w:szCs w:val="24"/>
        </w:rPr>
        <w:t xml:space="preserve"> de </w:t>
      </w:r>
      <w:proofErr w:type="spellStart"/>
      <w:r w:rsidRPr="006F74B1">
        <w:rPr>
          <w:b/>
          <w:bCs/>
          <w:i/>
          <w:iCs/>
          <w:sz w:val="24"/>
          <w:szCs w:val="24"/>
        </w:rPr>
        <w:t>Generatione</w:t>
      </w:r>
      <w:proofErr w:type="spellEnd"/>
      <w:r w:rsidRPr="006F74B1">
        <w:rPr>
          <w:b/>
          <w:bCs/>
          <w:i/>
          <w:iCs/>
          <w:sz w:val="24"/>
          <w:szCs w:val="24"/>
        </w:rPr>
        <w:t xml:space="preserve"> </w:t>
      </w:r>
      <w:r w:rsidRPr="006F74B1">
        <w:rPr>
          <w:b/>
          <w:bCs/>
          <w:sz w:val="24"/>
          <w:szCs w:val="24"/>
        </w:rPr>
        <w:t>(1920)</w:t>
      </w:r>
    </w:p>
    <w:p w14:paraId="42F82155" w14:textId="6706B5F5" w:rsidR="00113E48" w:rsidRDefault="00113E48" w:rsidP="00113E48">
      <w:pPr>
        <w:ind w:firstLine="708"/>
        <w:jc w:val="both"/>
        <w:rPr>
          <w:sz w:val="24"/>
          <w:szCs w:val="24"/>
        </w:rPr>
      </w:pPr>
      <w:r>
        <w:rPr>
          <w:sz w:val="24"/>
          <w:szCs w:val="24"/>
        </w:rPr>
        <w:t xml:space="preserve">Pendant cette même époque, en 1920 Collingwood introduit cette notion de survivance dans sa philosophie. Je dirais qu’il en fait même une clé de voûte de sa pensée. La philosophie de Collingwood est hantée par le changement, le temps, le développement historique. Collingwood refuse ce qu’il voit se dessiner chez ses contemporains : une forme d’atomisme logique qui extrait du temps toutes les conceptions philosophiques, et qui discute Hobbes et Platon comme s’ils étaient nos voisins. </w:t>
      </w:r>
    </w:p>
    <w:p w14:paraId="1827990E" w14:textId="2A5714EA" w:rsidR="00F21859" w:rsidRDefault="00113E48" w:rsidP="00F21859">
      <w:pPr>
        <w:ind w:firstLine="708"/>
        <w:jc w:val="both"/>
        <w:rPr>
          <w:sz w:val="24"/>
          <w:szCs w:val="24"/>
        </w:rPr>
      </w:pPr>
      <w:r>
        <w:rPr>
          <w:sz w:val="24"/>
          <w:szCs w:val="24"/>
        </w:rPr>
        <w:t xml:space="preserve">Je vous renvoie ici au texte 2 </w:t>
      </w:r>
      <w:r w:rsidR="00F21859">
        <w:rPr>
          <w:sz w:val="24"/>
          <w:szCs w:val="24"/>
        </w:rPr>
        <w:t xml:space="preserve">à la fin duquel Collingwood écrit qu’il avait exprimé cette idée d’un « passé vivant » ou d’un passé qui continue de vivre dans le présent, dès 1920. En effet, on en trouve l’explicitation dans un opuscule qui n’a jamais été publié et qui s’intitule </w:t>
      </w:r>
      <w:proofErr w:type="spellStart"/>
      <w:r w:rsidR="00F21859">
        <w:rPr>
          <w:i/>
          <w:iCs/>
          <w:sz w:val="24"/>
          <w:szCs w:val="24"/>
        </w:rPr>
        <w:t>Libellus</w:t>
      </w:r>
      <w:proofErr w:type="spellEnd"/>
      <w:r w:rsidR="00F21859">
        <w:rPr>
          <w:i/>
          <w:iCs/>
          <w:sz w:val="24"/>
          <w:szCs w:val="24"/>
        </w:rPr>
        <w:t xml:space="preserve"> de </w:t>
      </w:r>
      <w:proofErr w:type="spellStart"/>
      <w:r w:rsidR="00F21859">
        <w:rPr>
          <w:i/>
          <w:iCs/>
          <w:sz w:val="24"/>
          <w:szCs w:val="24"/>
        </w:rPr>
        <w:t>Generatione</w:t>
      </w:r>
      <w:proofErr w:type="spellEnd"/>
      <w:r w:rsidR="00F21859">
        <w:rPr>
          <w:sz w:val="24"/>
          <w:szCs w:val="24"/>
        </w:rPr>
        <w:t>. Collingwood y développe l’aspect transitoire (transient) des concepts, des pratiques. C’est-à-dire que dans notre présent le passé est sans cesse encapsulé et celui qui connaît l’histoire peut le voir partout, transformé mais subsistant. Ainsi, on ne passe pas d’un concept P1 à un concept P2 en entrant dans une nouveauté radicale : il y a un héritage de P1 qui demeure, il y a des éléments de P1 qui survivent</w:t>
      </w:r>
      <w:r w:rsidR="00B044AC">
        <w:rPr>
          <w:sz w:val="24"/>
          <w:szCs w:val="24"/>
        </w:rPr>
        <w:t xml:space="preserve"> au sein de P2. (Intéressant ici pour comprendre ce que veut dire </w:t>
      </w:r>
      <w:proofErr w:type="spellStart"/>
      <w:r w:rsidR="00B044AC">
        <w:rPr>
          <w:sz w:val="24"/>
          <w:szCs w:val="24"/>
        </w:rPr>
        <w:t>Anscombe</w:t>
      </w:r>
      <w:proofErr w:type="spellEnd"/>
      <w:r w:rsidR="00B044AC">
        <w:rPr>
          <w:sz w:val="24"/>
          <w:szCs w:val="24"/>
        </w:rPr>
        <w:t xml:space="preserve"> avec la survivance du concept de devoir : il y a un fondement rationnel qui subsiste).</w:t>
      </w:r>
    </w:p>
    <w:p w14:paraId="54047DB9" w14:textId="77777777" w:rsidR="00F21859" w:rsidRDefault="00F21859" w:rsidP="00F21859">
      <w:pPr>
        <w:ind w:firstLine="708"/>
        <w:jc w:val="both"/>
        <w:rPr>
          <w:sz w:val="24"/>
          <w:szCs w:val="24"/>
        </w:rPr>
      </w:pPr>
      <w:r>
        <w:rPr>
          <w:sz w:val="24"/>
          <w:szCs w:val="24"/>
        </w:rPr>
        <w:t>Dans son dernier ouvrage</w:t>
      </w:r>
      <w:r>
        <w:rPr>
          <w:i/>
          <w:iCs/>
          <w:sz w:val="24"/>
          <w:szCs w:val="24"/>
        </w:rPr>
        <w:t xml:space="preserve"> The New </w:t>
      </w:r>
      <w:proofErr w:type="spellStart"/>
      <w:r>
        <w:rPr>
          <w:i/>
          <w:iCs/>
          <w:sz w:val="24"/>
          <w:szCs w:val="24"/>
        </w:rPr>
        <w:t>Leviathan</w:t>
      </w:r>
      <w:proofErr w:type="spellEnd"/>
      <w:r>
        <w:rPr>
          <w:sz w:val="24"/>
          <w:szCs w:val="24"/>
        </w:rPr>
        <w:t xml:space="preserve">, écrit pendant la Seconde Guerre mondiale (1943) et conçu comme la participation de Collingwood à l’effort de guerre, cette théorie est énoncée sous forme d’une loi que Collingwood appelle </w:t>
      </w:r>
      <w:r>
        <w:rPr>
          <w:i/>
          <w:iCs/>
          <w:sz w:val="24"/>
          <w:szCs w:val="24"/>
        </w:rPr>
        <w:t xml:space="preserve">Law of Primitive </w:t>
      </w:r>
      <w:proofErr w:type="spellStart"/>
      <w:r>
        <w:rPr>
          <w:i/>
          <w:iCs/>
          <w:sz w:val="24"/>
          <w:szCs w:val="24"/>
        </w:rPr>
        <w:t>Survivals</w:t>
      </w:r>
      <w:proofErr w:type="spellEnd"/>
      <w:r>
        <w:rPr>
          <w:sz w:val="24"/>
          <w:szCs w:val="24"/>
        </w:rPr>
        <w:t xml:space="preserve"> ici dans le texte 5. Pour Collingwood c’est une explication d’un fait : le sauvage, le primitif demeure malgré tout dans toutes civilisations, et il peut apparaître comme chez les Nazis, que le sauvage reprenne le dessus sur la civilisation qui elle est définie comme un processus toujours en cours de civilité, c’est-à-dire la capacité de partager une vie commune où la violence est exclue le plus possible. </w:t>
      </w:r>
    </w:p>
    <w:p w14:paraId="50FA7AF7" w14:textId="127A2D56" w:rsidR="00F21859" w:rsidRPr="00F21859" w:rsidRDefault="00F21859" w:rsidP="00F21859">
      <w:pPr>
        <w:ind w:firstLine="708"/>
        <w:jc w:val="both"/>
        <w:rPr>
          <w:sz w:val="24"/>
          <w:szCs w:val="24"/>
        </w:rPr>
      </w:pPr>
      <w:r>
        <w:rPr>
          <w:sz w:val="24"/>
          <w:szCs w:val="24"/>
        </w:rPr>
        <w:t xml:space="preserve">Mais si l’on lit bien Collingwood dans ce </w:t>
      </w:r>
      <w:r>
        <w:rPr>
          <w:i/>
          <w:iCs/>
          <w:sz w:val="24"/>
          <w:szCs w:val="24"/>
        </w:rPr>
        <w:t xml:space="preserve">Nouveau </w:t>
      </w:r>
      <w:proofErr w:type="spellStart"/>
      <w:r>
        <w:rPr>
          <w:i/>
          <w:iCs/>
          <w:sz w:val="24"/>
          <w:szCs w:val="24"/>
        </w:rPr>
        <w:t>Leviathan</w:t>
      </w:r>
      <w:proofErr w:type="spellEnd"/>
      <w:r>
        <w:rPr>
          <w:sz w:val="24"/>
          <w:szCs w:val="24"/>
        </w:rPr>
        <w:t>, il ne dit pas seulement que du A demeure dans B, mais qu’à côté de B demeure un élément primitif de A qui n’a pas changé. « </w:t>
      </w:r>
      <w:proofErr w:type="spellStart"/>
      <w:r>
        <w:rPr>
          <w:sz w:val="24"/>
          <w:szCs w:val="24"/>
        </w:rPr>
        <w:t>Unmodified</w:t>
      </w:r>
      <w:proofErr w:type="spellEnd"/>
      <w:r>
        <w:rPr>
          <w:sz w:val="24"/>
          <w:szCs w:val="24"/>
        </w:rPr>
        <w:t xml:space="preserve"> state ». Donc, nous avons une nouvelle définition de la survivance comme quelque chose qui garderait un aspect primitif, une force qui n’a pas pu être modifiée. Ainsi, Collingwood accepte qu’il y ait de l’irréductible dans toute culture, et contre les progressistes positivistes qui voient dans l’avancée de la civilisation la suppression de toute superstition, de toute pratique irrationnelle, Collingwood propose </w:t>
      </w:r>
      <w:r w:rsidR="00495E8A">
        <w:rPr>
          <w:sz w:val="24"/>
          <w:szCs w:val="24"/>
        </w:rPr>
        <w:t xml:space="preserve">une autre version de la </w:t>
      </w:r>
      <w:r w:rsidR="00495E8A">
        <w:rPr>
          <w:sz w:val="24"/>
          <w:szCs w:val="24"/>
        </w:rPr>
        <w:lastRenderedPageBreak/>
        <w:t xml:space="preserve">civilisation : un processus de civilité qui n’est jamais abouti et qui, d’une certaine manière, ne doit pas aboutir à la suppression de toutes survivances car c’est impossible. </w:t>
      </w:r>
      <w:r>
        <w:rPr>
          <w:sz w:val="24"/>
          <w:szCs w:val="24"/>
        </w:rPr>
        <w:t xml:space="preserve"> </w:t>
      </w:r>
    </w:p>
    <w:p w14:paraId="67C1EB20" w14:textId="505F555A" w:rsidR="00647418" w:rsidRPr="00067060" w:rsidRDefault="00495E8A" w:rsidP="00067060">
      <w:pPr>
        <w:pStyle w:val="Paragraphedeliste"/>
        <w:numPr>
          <w:ilvl w:val="0"/>
          <w:numId w:val="7"/>
        </w:numPr>
        <w:jc w:val="both"/>
        <w:rPr>
          <w:b/>
          <w:bCs/>
          <w:sz w:val="24"/>
          <w:szCs w:val="24"/>
          <w:lang w:val="en-US"/>
        </w:rPr>
      </w:pPr>
      <w:r w:rsidRPr="00067060">
        <w:rPr>
          <w:b/>
          <w:bCs/>
          <w:sz w:val="24"/>
          <w:szCs w:val="24"/>
          <w:lang w:val="en-US"/>
        </w:rPr>
        <w:t xml:space="preserve">En </w:t>
      </w:r>
      <w:proofErr w:type="spellStart"/>
      <w:r w:rsidRPr="00067060">
        <w:rPr>
          <w:b/>
          <w:bCs/>
          <w:sz w:val="24"/>
          <w:szCs w:val="24"/>
          <w:lang w:val="en-US"/>
        </w:rPr>
        <w:t>anthropologie</w:t>
      </w:r>
      <w:proofErr w:type="spellEnd"/>
      <w:r w:rsidRPr="00067060">
        <w:rPr>
          <w:b/>
          <w:bCs/>
          <w:sz w:val="24"/>
          <w:szCs w:val="24"/>
          <w:lang w:val="en-US"/>
        </w:rPr>
        <w:t> “The Philosophy of Enchantment”</w:t>
      </w:r>
    </w:p>
    <w:p w14:paraId="479F4B84" w14:textId="77777777" w:rsidR="00495E8A" w:rsidRPr="00495E8A" w:rsidRDefault="00495E8A" w:rsidP="00495E8A">
      <w:pPr>
        <w:jc w:val="both"/>
        <w:rPr>
          <w:sz w:val="24"/>
          <w:szCs w:val="24"/>
          <w:lang w:val="en-US"/>
        </w:rPr>
      </w:pPr>
    </w:p>
    <w:p w14:paraId="618C728E" w14:textId="00A4536B" w:rsidR="00495E8A" w:rsidRDefault="00495E8A" w:rsidP="00495E8A">
      <w:pPr>
        <w:jc w:val="both"/>
        <w:rPr>
          <w:sz w:val="24"/>
          <w:szCs w:val="24"/>
          <w:lang w:val="en-US"/>
        </w:rPr>
      </w:pPr>
      <w:r>
        <w:rPr>
          <w:sz w:val="24"/>
          <w:szCs w:val="24"/>
        </w:rPr>
        <w:t xml:space="preserve">C’est d’ailleurs ce que Collingwood souligne dès les années 30 dans les études qu’il fait des textes anthropologiques (notamment Tylor, Frazer et Cook). </w:t>
      </w:r>
      <w:r w:rsidRPr="00495E8A">
        <w:rPr>
          <w:sz w:val="24"/>
          <w:szCs w:val="24"/>
          <w:lang w:val="en-US"/>
        </w:rPr>
        <w:t xml:space="preserve">Dans le </w:t>
      </w:r>
      <w:proofErr w:type="spellStart"/>
      <w:r w:rsidRPr="00495E8A">
        <w:rPr>
          <w:sz w:val="24"/>
          <w:szCs w:val="24"/>
          <w:lang w:val="en-US"/>
        </w:rPr>
        <w:t>texte</w:t>
      </w:r>
      <w:proofErr w:type="spellEnd"/>
      <w:r w:rsidRPr="00495E8A">
        <w:rPr>
          <w:sz w:val="24"/>
          <w:szCs w:val="24"/>
          <w:lang w:val="en-US"/>
        </w:rPr>
        <w:t xml:space="preserve"> 6, il </w:t>
      </w:r>
      <w:proofErr w:type="spellStart"/>
      <w:proofErr w:type="gramStart"/>
      <w:r w:rsidRPr="00495E8A">
        <w:rPr>
          <w:sz w:val="24"/>
          <w:szCs w:val="24"/>
          <w:lang w:val="en-US"/>
        </w:rPr>
        <w:t>écrit</w:t>
      </w:r>
      <w:proofErr w:type="spellEnd"/>
      <w:r w:rsidRPr="00495E8A">
        <w:rPr>
          <w:sz w:val="24"/>
          <w:szCs w:val="24"/>
          <w:lang w:val="en-US"/>
        </w:rPr>
        <w:t> :</w:t>
      </w:r>
      <w:proofErr w:type="gramEnd"/>
      <w:r w:rsidRPr="00495E8A">
        <w:rPr>
          <w:sz w:val="24"/>
          <w:szCs w:val="24"/>
          <w:lang w:val="en-US"/>
        </w:rPr>
        <w:t xml:space="preserve"> « Even survivals are cultural facts, and must stand in organic relation to</w:t>
      </w:r>
      <w:r>
        <w:rPr>
          <w:sz w:val="24"/>
          <w:szCs w:val="24"/>
          <w:lang w:val="en-US"/>
        </w:rPr>
        <w:t xml:space="preserve"> the culture in which they are </w:t>
      </w:r>
      <w:proofErr w:type="gramStart"/>
      <w:r>
        <w:rPr>
          <w:sz w:val="24"/>
          <w:szCs w:val="24"/>
          <w:lang w:val="en-US"/>
        </w:rPr>
        <w:t>found :</w:t>
      </w:r>
      <w:proofErr w:type="gramEnd"/>
      <w:r>
        <w:rPr>
          <w:sz w:val="24"/>
          <w:szCs w:val="24"/>
          <w:lang w:val="en-US"/>
        </w:rPr>
        <w:t xml:space="preserve"> there must, in other words, be a reason why they survive.” </w:t>
      </w:r>
    </w:p>
    <w:p w14:paraId="75771941" w14:textId="6F3DD83E" w:rsidR="00495E8A" w:rsidRDefault="00495E8A" w:rsidP="00495E8A">
      <w:pPr>
        <w:jc w:val="both"/>
        <w:rPr>
          <w:sz w:val="24"/>
          <w:szCs w:val="24"/>
        </w:rPr>
      </w:pPr>
      <w:r>
        <w:rPr>
          <w:sz w:val="24"/>
          <w:szCs w:val="24"/>
          <w:lang w:val="en-US"/>
        </w:rPr>
        <w:tab/>
      </w:r>
      <w:r w:rsidRPr="00495E8A">
        <w:rPr>
          <w:sz w:val="24"/>
          <w:szCs w:val="24"/>
        </w:rPr>
        <w:t>Dans ces textes</w:t>
      </w:r>
      <w:r>
        <w:rPr>
          <w:sz w:val="24"/>
          <w:szCs w:val="24"/>
        </w:rPr>
        <w:t xml:space="preserve"> réunis dans un livre récent intitulé </w:t>
      </w:r>
      <w:r>
        <w:rPr>
          <w:i/>
          <w:iCs/>
          <w:sz w:val="24"/>
          <w:szCs w:val="24"/>
        </w:rPr>
        <w:t xml:space="preserve">The Philosophy of </w:t>
      </w:r>
      <w:proofErr w:type="spellStart"/>
      <w:r>
        <w:rPr>
          <w:i/>
          <w:iCs/>
          <w:sz w:val="24"/>
          <w:szCs w:val="24"/>
        </w:rPr>
        <w:t>Enchantment</w:t>
      </w:r>
      <w:proofErr w:type="spellEnd"/>
      <w:r>
        <w:rPr>
          <w:sz w:val="24"/>
          <w:szCs w:val="24"/>
        </w:rPr>
        <w:t xml:space="preserve">, Collingwood s’appuie sur Tylor pour montrer que ce dernier avait voulu quitter le paradigme positiviste en remplaçant le terme superstition par survivance afin de montrer qu’il y avait dans ces coutumes, pratiques davantage qu’une piété irrationnelle mais bel et bien une rationalité qui nous échappait. « La raison de leur survivance ». </w:t>
      </w:r>
    </w:p>
    <w:p w14:paraId="6541F98F" w14:textId="72BEC4B1" w:rsidR="00495E8A" w:rsidRDefault="00495E8A" w:rsidP="00495E8A">
      <w:pPr>
        <w:jc w:val="both"/>
        <w:rPr>
          <w:sz w:val="24"/>
          <w:szCs w:val="24"/>
        </w:rPr>
      </w:pPr>
      <w:r>
        <w:rPr>
          <w:sz w:val="24"/>
          <w:szCs w:val="24"/>
        </w:rPr>
        <w:tab/>
        <w:t xml:space="preserve">C’est aussi ce sujet que traite Collingwood dans </w:t>
      </w:r>
      <w:r>
        <w:rPr>
          <w:i/>
          <w:iCs/>
          <w:sz w:val="24"/>
          <w:szCs w:val="24"/>
        </w:rPr>
        <w:t>Principles of Art</w:t>
      </w:r>
      <w:r>
        <w:rPr>
          <w:sz w:val="24"/>
          <w:szCs w:val="24"/>
        </w:rPr>
        <w:t xml:space="preserve"> dans son chapitre consacré à la magie</w:t>
      </w:r>
      <w:r w:rsidR="003B0911">
        <w:rPr>
          <w:sz w:val="24"/>
          <w:szCs w:val="24"/>
        </w:rPr>
        <w:t xml:space="preserve"> (Texte 8)</w:t>
      </w:r>
      <w:r>
        <w:rPr>
          <w:sz w:val="24"/>
          <w:szCs w:val="24"/>
        </w:rPr>
        <w:t xml:space="preserve">. Collingwood regrette que les Occidentaux aient une conception ethnocentrée de la magie, une conception qui sépare le rationnel de l’irrationnel, plutôt que de voir d’un côté le compréhensible et de l’autre ce que nous n’arrivons pas à comprendre. </w:t>
      </w:r>
    </w:p>
    <w:p w14:paraId="459AFB27" w14:textId="57B8F1FE" w:rsidR="00495E8A" w:rsidRDefault="00495E8A" w:rsidP="00495E8A">
      <w:pPr>
        <w:jc w:val="both"/>
        <w:rPr>
          <w:sz w:val="24"/>
          <w:szCs w:val="24"/>
        </w:rPr>
      </w:pPr>
      <w:r>
        <w:rPr>
          <w:sz w:val="24"/>
          <w:szCs w:val="24"/>
        </w:rPr>
        <w:tab/>
        <w:t xml:space="preserve">On peut se demander alors si l’usage que fait </w:t>
      </w:r>
      <w:proofErr w:type="spellStart"/>
      <w:r>
        <w:rPr>
          <w:sz w:val="24"/>
          <w:szCs w:val="24"/>
        </w:rPr>
        <w:t>Anscombe</w:t>
      </w:r>
      <w:proofErr w:type="spellEnd"/>
      <w:r>
        <w:rPr>
          <w:sz w:val="24"/>
          <w:szCs w:val="24"/>
        </w:rPr>
        <w:t xml:space="preserve"> de la survivance dans son article ne relève pas davantage d’une conception anthropologique tylorienne plutôt que Collingwoodienne : en effet, si </w:t>
      </w:r>
      <w:proofErr w:type="spellStart"/>
      <w:r>
        <w:rPr>
          <w:sz w:val="24"/>
          <w:szCs w:val="24"/>
        </w:rPr>
        <w:t>Anscombe</w:t>
      </w:r>
      <w:proofErr w:type="spellEnd"/>
      <w:r>
        <w:rPr>
          <w:sz w:val="24"/>
          <w:szCs w:val="24"/>
        </w:rPr>
        <w:t xml:space="preserve"> dit qu’il faut se rapporter à l’histoire pour comprendre la survivance des concepts, elle ajoute aus</w:t>
      </w:r>
      <w:r w:rsidRPr="004344EC">
        <w:rPr>
          <w:b/>
          <w:bCs/>
          <w:sz w:val="24"/>
          <w:szCs w:val="24"/>
        </w:rPr>
        <w:t xml:space="preserve">si qu’il faudrait ne plus les utiliser parce </w:t>
      </w:r>
      <w:r>
        <w:rPr>
          <w:sz w:val="24"/>
          <w:szCs w:val="24"/>
        </w:rPr>
        <w:t xml:space="preserve">qu’ils sont </w:t>
      </w:r>
      <w:r w:rsidRPr="004344EC">
        <w:rPr>
          <w:b/>
          <w:bCs/>
          <w:sz w:val="24"/>
          <w:szCs w:val="24"/>
        </w:rPr>
        <w:t>irrationnels</w:t>
      </w:r>
      <w:r>
        <w:rPr>
          <w:sz w:val="24"/>
          <w:szCs w:val="24"/>
        </w:rPr>
        <w:t>, infondés rationnellement. Ce qui reste d’eux n’est qu’une force psychologique : elle ne cherche donc pas réellement la « raison de leur survi</w:t>
      </w:r>
      <w:r w:rsidR="00567FC2">
        <w:rPr>
          <w:sz w:val="24"/>
          <w:szCs w:val="24"/>
        </w:rPr>
        <w:t>e</w:t>
      </w:r>
      <w:r>
        <w:rPr>
          <w:sz w:val="24"/>
          <w:szCs w:val="24"/>
        </w:rPr>
        <w:t xml:space="preserve"> », mais plutôt à montrer qu’ils ne devraient pas survivre. </w:t>
      </w:r>
    </w:p>
    <w:p w14:paraId="6F1A6BB2" w14:textId="4630CDCF" w:rsidR="00495E8A" w:rsidRPr="00C80E32" w:rsidRDefault="00495E8A" w:rsidP="00067060">
      <w:pPr>
        <w:pStyle w:val="Paragraphedeliste"/>
        <w:numPr>
          <w:ilvl w:val="0"/>
          <w:numId w:val="7"/>
        </w:numPr>
        <w:jc w:val="both"/>
        <w:rPr>
          <w:b/>
          <w:bCs/>
          <w:sz w:val="24"/>
          <w:szCs w:val="24"/>
        </w:rPr>
      </w:pPr>
      <w:r w:rsidRPr="00C80E32">
        <w:rPr>
          <w:b/>
          <w:bCs/>
          <w:sz w:val="24"/>
          <w:szCs w:val="24"/>
        </w:rPr>
        <w:t>En philosophie de l’histoire, métaphysique et morale</w:t>
      </w:r>
    </w:p>
    <w:p w14:paraId="16548BB1" w14:textId="77777777" w:rsidR="00495E8A" w:rsidRDefault="00495E8A" w:rsidP="00495E8A">
      <w:pPr>
        <w:jc w:val="both"/>
        <w:rPr>
          <w:sz w:val="24"/>
          <w:szCs w:val="24"/>
        </w:rPr>
      </w:pPr>
    </w:p>
    <w:p w14:paraId="62F2226A" w14:textId="051ED783" w:rsidR="00495E8A" w:rsidRDefault="00495E8A" w:rsidP="00495E8A">
      <w:pPr>
        <w:ind w:firstLine="708"/>
        <w:jc w:val="both"/>
        <w:rPr>
          <w:sz w:val="24"/>
          <w:szCs w:val="24"/>
        </w:rPr>
      </w:pPr>
      <w:r>
        <w:rPr>
          <w:sz w:val="24"/>
          <w:szCs w:val="24"/>
        </w:rPr>
        <w:t xml:space="preserve">Je terminerai ici ma revue de la notion de survivance chez Collingwood en y ajoutant les textes de philosophie de l’histoire. Ici, Collingwood se préoccupe (Textes 9 et 10) de la possibilité de saisir une pensée énoncée dans le passé. </w:t>
      </w:r>
      <w:r w:rsidR="00A8303C">
        <w:rPr>
          <w:sz w:val="24"/>
          <w:szCs w:val="24"/>
        </w:rPr>
        <w:t>Il y développe sa méthode bien connue du « re-</w:t>
      </w:r>
      <w:proofErr w:type="spellStart"/>
      <w:r w:rsidR="00A8303C">
        <w:rPr>
          <w:sz w:val="24"/>
          <w:szCs w:val="24"/>
        </w:rPr>
        <w:t>enactment</w:t>
      </w:r>
      <w:proofErr w:type="spellEnd"/>
      <w:r w:rsidR="00A8303C">
        <w:rPr>
          <w:sz w:val="24"/>
          <w:szCs w:val="24"/>
        </w:rPr>
        <w:t xml:space="preserve"> », c’est-à-dire notre capacité de </w:t>
      </w:r>
      <w:proofErr w:type="spellStart"/>
      <w:r w:rsidR="00A8303C">
        <w:rPr>
          <w:sz w:val="24"/>
          <w:szCs w:val="24"/>
        </w:rPr>
        <w:t>ré-effectuer</w:t>
      </w:r>
      <w:proofErr w:type="spellEnd"/>
      <w:r w:rsidR="00A8303C">
        <w:rPr>
          <w:sz w:val="24"/>
          <w:szCs w:val="24"/>
        </w:rPr>
        <w:t xml:space="preserve"> une pensée du passé, pour la comprendre aujourd’hui. </w:t>
      </w:r>
    </w:p>
    <w:p w14:paraId="76B41E74" w14:textId="32B63678" w:rsidR="00A8303C" w:rsidRDefault="00A8303C" w:rsidP="00495E8A">
      <w:pPr>
        <w:ind w:firstLine="708"/>
        <w:jc w:val="both"/>
        <w:rPr>
          <w:sz w:val="24"/>
          <w:szCs w:val="24"/>
        </w:rPr>
      </w:pPr>
      <w:r>
        <w:rPr>
          <w:sz w:val="24"/>
          <w:szCs w:val="24"/>
        </w:rPr>
        <w:t xml:space="preserve">Or, dit Collingwood, la pensée se tient en dehors du temps « stands </w:t>
      </w:r>
      <w:proofErr w:type="spellStart"/>
      <w:r>
        <w:rPr>
          <w:sz w:val="24"/>
          <w:szCs w:val="24"/>
        </w:rPr>
        <w:t>outside</w:t>
      </w:r>
      <w:proofErr w:type="spellEnd"/>
      <w:r>
        <w:rPr>
          <w:sz w:val="24"/>
          <w:szCs w:val="24"/>
        </w:rPr>
        <w:t xml:space="preserve"> time », c’est ce qui permet le « revival » d’une pensée du passé. </w:t>
      </w:r>
    </w:p>
    <w:p w14:paraId="29C07C4A" w14:textId="3BA74B19" w:rsidR="00A8303C" w:rsidRDefault="00A8303C" w:rsidP="00495E8A">
      <w:pPr>
        <w:ind w:firstLine="708"/>
        <w:jc w:val="both"/>
        <w:rPr>
          <w:sz w:val="24"/>
          <w:szCs w:val="24"/>
        </w:rPr>
      </w:pPr>
      <w:r>
        <w:rPr>
          <w:sz w:val="24"/>
          <w:szCs w:val="24"/>
        </w:rPr>
        <w:t xml:space="preserve">Cet élément est très intéressant car il témoigne de la possibilité d’une </w:t>
      </w:r>
      <w:proofErr w:type="spellStart"/>
      <w:r>
        <w:rPr>
          <w:sz w:val="24"/>
          <w:szCs w:val="24"/>
        </w:rPr>
        <w:t>ré-actualisation</w:t>
      </w:r>
      <w:proofErr w:type="spellEnd"/>
      <w:r>
        <w:rPr>
          <w:sz w:val="24"/>
          <w:szCs w:val="24"/>
        </w:rPr>
        <w:t xml:space="preserve"> d’une philosophie ancienne dans notre monde contemporain. Or, Collingwood a souvent été critiqué pour son relativisme, et précisément les attaques menées contre lui (</w:t>
      </w:r>
      <w:proofErr w:type="spellStart"/>
      <w:r>
        <w:rPr>
          <w:sz w:val="24"/>
          <w:szCs w:val="24"/>
        </w:rPr>
        <w:t>cf</w:t>
      </w:r>
      <w:proofErr w:type="spellEnd"/>
      <w:r>
        <w:rPr>
          <w:sz w:val="24"/>
          <w:szCs w:val="24"/>
        </w:rPr>
        <w:t xml:space="preserve"> Article de Léo Strauss) ont pour but de montrer que Collingwood ne peut discuter la philosophe d’Aristote par exemple, car il faudrait pour cela vivre dans le contexte d’Aristote. Collingwood n’est pas </w:t>
      </w:r>
      <w:r>
        <w:rPr>
          <w:sz w:val="24"/>
          <w:szCs w:val="24"/>
        </w:rPr>
        <w:lastRenderedPageBreak/>
        <w:t xml:space="preserve">un relativiste dans ce sens-là, il défend la possibilité pour la pensée de traverser les siècles et de parvenir à être revécue, réeffectuée par tout esprit qui n’appartient pourtant pas à la même culture. </w:t>
      </w:r>
    </w:p>
    <w:p w14:paraId="34102F73" w14:textId="1F89E316" w:rsidR="00A8303C" w:rsidRDefault="00A8303C" w:rsidP="00495E8A">
      <w:pPr>
        <w:ind w:firstLine="708"/>
        <w:jc w:val="both"/>
        <w:rPr>
          <w:sz w:val="24"/>
          <w:szCs w:val="24"/>
        </w:rPr>
      </w:pPr>
      <w:r>
        <w:rPr>
          <w:sz w:val="24"/>
          <w:szCs w:val="24"/>
        </w:rPr>
        <w:t xml:space="preserve">Dans le texte numéro 12, Collingwood discute aussi des positions anthropologiques au sein même de sa métaphysique. </w:t>
      </w:r>
    </w:p>
    <w:p w14:paraId="3FDE8605" w14:textId="75883FBC" w:rsidR="00A8303C" w:rsidRDefault="00A8303C" w:rsidP="00495E8A">
      <w:pPr>
        <w:ind w:firstLine="708"/>
        <w:jc w:val="both"/>
        <w:rPr>
          <w:b/>
          <w:bCs/>
          <w:sz w:val="24"/>
          <w:szCs w:val="24"/>
        </w:rPr>
      </w:pPr>
      <w:r>
        <w:rPr>
          <w:sz w:val="24"/>
          <w:szCs w:val="24"/>
        </w:rPr>
        <w:t>Enfin, en philosophie morale, car Collingwood a donné énormément de cours de philosophie morale à Oxford, qui n’ont pas encore été publié, et dont le concept central est une philosophie de l’action. Au sein de sa philo morale, Collingwood tente de reconnecter la théorie et la pratique, ce qui est souligné dans le texte 4 : la division entre théorie et pratique est une survivance de l’Université médiévale, une survivance qu’il faudrait bannir</w:t>
      </w:r>
      <w:r w:rsidR="00D235BE">
        <w:rPr>
          <w:sz w:val="24"/>
          <w:szCs w:val="24"/>
        </w:rPr>
        <w:t xml:space="preserve"> (Tout comme pour Collingwood la distinction entre </w:t>
      </w:r>
      <w:proofErr w:type="spellStart"/>
      <w:r w:rsidR="00D235BE">
        <w:rPr>
          <w:sz w:val="24"/>
          <w:szCs w:val="24"/>
        </w:rPr>
        <w:t>mind</w:t>
      </w:r>
      <w:proofErr w:type="spellEnd"/>
      <w:r w:rsidR="00D235BE">
        <w:rPr>
          <w:sz w:val="24"/>
          <w:szCs w:val="24"/>
        </w:rPr>
        <w:t>/body est une survivance de Descartes)</w:t>
      </w:r>
      <w:r>
        <w:rPr>
          <w:sz w:val="24"/>
          <w:szCs w:val="24"/>
        </w:rPr>
        <w:t xml:space="preserve">. Ainsi pour Collingwood tout comme pour </w:t>
      </w:r>
      <w:proofErr w:type="spellStart"/>
      <w:r>
        <w:rPr>
          <w:sz w:val="24"/>
          <w:szCs w:val="24"/>
        </w:rPr>
        <w:t>Anscombe</w:t>
      </w:r>
      <w:proofErr w:type="spellEnd"/>
      <w:r>
        <w:rPr>
          <w:sz w:val="24"/>
          <w:szCs w:val="24"/>
        </w:rPr>
        <w:t> : la nécessité de nommer ce qui n’est que survivance, c’est-à-dire à moitié vivant, permet soit de le faire</w:t>
      </w:r>
      <w:r w:rsidRPr="000D6532">
        <w:rPr>
          <w:b/>
          <w:bCs/>
          <w:sz w:val="24"/>
          <w:szCs w:val="24"/>
        </w:rPr>
        <w:t xml:space="preserve"> revivre</w:t>
      </w:r>
      <w:r>
        <w:rPr>
          <w:sz w:val="24"/>
          <w:szCs w:val="24"/>
        </w:rPr>
        <w:t>, soit de</w:t>
      </w:r>
      <w:r w:rsidRPr="000D6532">
        <w:rPr>
          <w:b/>
          <w:bCs/>
          <w:sz w:val="24"/>
          <w:szCs w:val="24"/>
        </w:rPr>
        <w:t xml:space="preserve"> l’effacer complètement. </w:t>
      </w:r>
      <w:r w:rsidR="000D6532">
        <w:rPr>
          <w:b/>
          <w:bCs/>
          <w:sz w:val="24"/>
          <w:szCs w:val="24"/>
        </w:rPr>
        <w:t xml:space="preserve">Mais alors quel est le critère ? Comment distinguer une bonne survivance d’une mauvaise survivance ? </w:t>
      </w:r>
    </w:p>
    <w:p w14:paraId="26F19C63" w14:textId="77777777" w:rsidR="003A3986" w:rsidRPr="00495E8A" w:rsidRDefault="003A3986" w:rsidP="000708DE">
      <w:pPr>
        <w:jc w:val="both"/>
      </w:pPr>
    </w:p>
    <w:p w14:paraId="4F9F6A1D" w14:textId="77777777" w:rsidR="00A8303C" w:rsidRDefault="00B96E13" w:rsidP="00A8303C">
      <w:pPr>
        <w:pStyle w:val="Titre2"/>
        <w:rPr>
          <w:b/>
          <w:bCs/>
        </w:rPr>
      </w:pPr>
      <w:r w:rsidRPr="00A8303C">
        <w:rPr>
          <w:b/>
          <w:bCs/>
        </w:rPr>
        <w:t xml:space="preserve">Conclusion : </w:t>
      </w:r>
    </w:p>
    <w:p w14:paraId="338D1DC7" w14:textId="77777777" w:rsidR="00A8303C" w:rsidRPr="00A8303C" w:rsidRDefault="00A8303C" w:rsidP="00A8303C"/>
    <w:p w14:paraId="055C4925" w14:textId="5C2B468D" w:rsidR="00B96E13" w:rsidRPr="00A8303C" w:rsidRDefault="00A8303C" w:rsidP="00A8303C">
      <w:pPr>
        <w:ind w:firstLine="708"/>
        <w:jc w:val="both"/>
        <w:rPr>
          <w:rFonts w:cstheme="minorHAnsi"/>
          <w:sz w:val="24"/>
          <w:szCs w:val="24"/>
        </w:rPr>
      </w:pPr>
      <w:r>
        <w:rPr>
          <w:rFonts w:cstheme="minorHAnsi"/>
          <w:sz w:val="24"/>
          <w:szCs w:val="24"/>
        </w:rPr>
        <w:t xml:space="preserve">Pour conclure, on peut se demander alors comment </w:t>
      </w:r>
      <w:r w:rsidR="00B96E13" w:rsidRPr="00A8303C">
        <w:rPr>
          <w:rFonts w:cstheme="minorHAnsi"/>
          <w:sz w:val="24"/>
          <w:szCs w:val="24"/>
        </w:rPr>
        <w:t xml:space="preserve">alors comment interpréter le </w:t>
      </w:r>
      <w:proofErr w:type="spellStart"/>
      <w:r w:rsidR="00B96E13" w:rsidRPr="00A8303C">
        <w:rPr>
          <w:rFonts w:cstheme="minorHAnsi"/>
          <w:sz w:val="24"/>
          <w:szCs w:val="24"/>
        </w:rPr>
        <w:t>survival</w:t>
      </w:r>
      <w:proofErr w:type="spellEnd"/>
      <w:r w:rsidR="00B96E13" w:rsidRPr="00A8303C">
        <w:rPr>
          <w:rFonts w:cstheme="minorHAnsi"/>
          <w:sz w:val="24"/>
          <w:szCs w:val="24"/>
        </w:rPr>
        <w:t> </w:t>
      </w:r>
      <w:r>
        <w:rPr>
          <w:rFonts w:cstheme="minorHAnsi"/>
          <w:sz w:val="24"/>
          <w:szCs w:val="24"/>
        </w:rPr>
        <w:t xml:space="preserve">chez E. </w:t>
      </w:r>
      <w:proofErr w:type="spellStart"/>
      <w:proofErr w:type="gramStart"/>
      <w:r>
        <w:rPr>
          <w:rFonts w:cstheme="minorHAnsi"/>
          <w:sz w:val="24"/>
          <w:szCs w:val="24"/>
        </w:rPr>
        <w:t>Anscombe</w:t>
      </w:r>
      <w:proofErr w:type="spellEnd"/>
      <w:r w:rsidR="00B96E13" w:rsidRPr="00A8303C">
        <w:rPr>
          <w:rFonts w:cstheme="minorHAnsi"/>
          <w:sz w:val="24"/>
          <w:szCs w:val="24"/>
        </w:rPr>
        <w:t>:</w:t>
      </w:r>
      <w:proofErr w:type="gramEnd"/>
      <w:r w:rsidR="00B96E13" w:rsidRPr="00A8303C">
        <w:rPr>
          <w:rFonts w:cstheme="minorHAnsi"/>
          <w:sz w:val="24"/>
          <w:szCs w:val="24"/>
        </w:rPr>
        <w:t xml:space="preserve"> il apparaît semble-t-il dans un sens tout à fait péjoratif. Le « </w:t>
      </w:r>
      <w:proofErr w:type="spellStart"/>
      <w:r w:rsidR="00B96E13" w:rsidRPr="00A8303C">
        <w:rPr>
          <w:rFonts w:cstheme="minorHAnsi"/>
          <w:sz w:val="24"/>
          <w:szCs w:val="24"/>
        </w:rPr>
        <w:t>survival</w:t>
      </w:r>
      <w:proofErr w:type="spellEnd"/>
      <w:r w:rsidR="00B96E13" w:rsidRPr="00A8303C">
        <w:rPr>
          <w:rFonts w:cstheme="minorHAnsi"/>
          <w:sz w:val="24"/>
          <w:szCs w:val="24"/>
        </w:rPr>
        <w:t xml:space="preserve"> » est un non-sens dans le langage de la morale, car il n’est plus soutenu par une rationalité, en l’occurrence chez </w:t>
      </w:r>
      <w:proofErr w:type="spellStart"/>
      <w:r w:rsidR="00B96E13" w:rsidRPr="00A8303C">
        <w:rPr>
          <w:rFonts w:cstheme="minorHAnsi"/>
          <w:sz w:val="24"/>
          <w:szCs w:val="24"/>
        </w:rPr>
        <w:t>Anscombe</w:t>
      </w:r>
      <w:proofErr w:type="spellEnd"/>
      <w:r w:rsidR="00B96E13" w:rsidRPr="00A8303C">
        <w:rPr>
          <w:rFonts w:cstheme="minorHAnsi"/>
          <w:sz w:val="24"/>
          <w:szCs w:val="24"/>
        </w:rPr>
        <w:t xml:space="preserve"> le Dieu législateur ayant été abandonné, toute la sève argumentative qui soutenait les concepts moraux de devoir doit être abandonnée, sinon</w:t>
      </w:r>
      <w:r w:rsidR="0044238D" w:rsidRPr="00A8303C">
        <w:rPr>
          <w:rFonts w:cstheme="minorHAnsi"/>
          <w:sz w:val="24"/>
          <w:szCs w:val="24"/>
        </w:rPr>
        <w:t xml:space="preserve"> ces concepts ne se maintiendrai</w:t>
      </w:r>
      <w:r>
        <w:rPr>
          <w:rFonts w:cstheme="minorHAnsi"/>
          <w:sz w:val="24"/>
          <w:szCs w:val="24"/>
        </w:rPr>
        <w:t>en</w:t>
      </w:r>
      <w:r w:rsidR="0044238D" w:rsidRPr="00A8303C">
        <w:rPr>
          <w:rFonts w:cstheme="minorHAnsi"/>
          <w:sz w:val="24"/>
          <w:szCs w:val="24"/>
        </w:rPr>
        <w:t xml:space="preserve">t que de manière </w:t>
      </w:r>
      <w:r w:rsidRPr="00A8303C">
        <w:rPr>
          <w:rFonts w:cstheme="minorHAnsi"/>
          <w:sz w:val="24"/>
          <w:szCs w:val="24"/>
        </w:rPr>
        <w:t>fantomatique</w:t>
      </w:r>
      <w:r w:rsidR="0044238D" w:rsidRPr="00A8303C">
        <w:rPr>
          <w:rFonts w:cstheme="minorHAnsi"/>
          <w:sz w:val="24"/>
          <w:szCs w:val="24"/>
        </w:rPr>
        <w:t xml:space="preserve"> : privés de leur rationalité, ils ne seraient que des termes portant une force psychologique. </w:t>
      </w:r>
    </w:p>
    <w:p w14:paraId="19292AF7" w14:textId="3B1BB313" w:rsidR="0044238D" w:rsidRPr="00A8303C" w:rsidRDefault="0044238D" w:rsidP="000708DE">
      <w:pPr>
        <w:jc w:val="both"/>
        <w:rPr>
          <w:rFonts w:cstheme="minorHAnsi"/>
          <w:sz w:val="24"/>
          <w:szCs w:val="24"/>
        </w:rPr>
      </w:pPr>
      <w:r w:rsidRPr="00A8303C">
        <w:rPr>
          <w:rFonts w:cstheme="minorHAnsi"/>
          <w:sz w:val="24"/>
          <w:szCs w:val="24"/>
        </w:rPr>
        <w:tab/>
        <w:t xml:space="preserve">On remarque aussi chez </w:t>
      </w:r>
      <w:proofErr w:type="spellStart"/>
      <w:r w:rsidRPr="00A8303C">
        <w:rPr>
          <w:rFonts w:cstheme="minorHAnsi"/>
          <w:sz w:val="24"/>
          <w:szCs w:val="24"/>
        </w:rPr>
        <w:t>Anscombe</w:t>
      </w:r>
      <w:proofErr w:type="spellEnd"/>
      <w:r w:rsidRPr="00A8303C">
        <w:rPr>
          <w:rFonts w:cstheme="minorHAnsi"/>
          <w:sz w:val="24"/>
          <w:szCs w:val="24"/>
        </w:rPr>
        <w:t xml:space="preserve"> que cet emploi de la notion de survivance est lié à l’utilisation de l’histoire de la philosophie. « La réponse est dans l’histoire » écrit-elle, ce qui signifie donc qu’il y a une nécessité de relire l’histoire pour comprendre le sens que pouvaient avoir ces concepts, ce sens perdu. </w:t>
      </w:r>
      <w:r w:rsidR="00C47971">
        <w:rPr>
          <w:rFonts w:cstheme="minorHAnsi"/>
          <w:sz w:val="24"/>
          <w:szCs w:val="24"/>
        </w:rPr>
        <w:t>(Voir texte 17)</w:t>
      </w:r>
    </w:p>
    <w:p w14:paraId="5F8E5541" w14:textId="2242EE9B" w:rsidR="0044238D" w:rsidRPr="00A8303C" w:rsidRDefault="0044238D" w:rsidP="000708DE">
      <w:pPr>
        <w:jc w:val="both"/>
        <w:rPr>
          <w:rFonts w:cstheme="minorHAnsi"/>
          <w:sz w:val="24"/>
          <w:szCs w:val="24"/>
        </w:rPr>
      </w:pPr>
      <w:r w:rsidRPr="00A8303C">
        <w:rPr>
          <w:rFonts w:cstheme="minorHAnsi"/>
          <w:sz w:val="24"/>
          <w:szCs w:val="24"/>
        </w:rPr>
        <w:tab/>
        <w:t xml:space="preserve">Ainsi, l’emploi de la survivance témoigne chez </w:t>
      </w:r>
      <w:proofErr w:type="spellStart"/>
      <w:r w:rsidRPr="00A8303C">
        <w:rPr>
          <w:rFonts w:cstheme="minorHAnsi"/>
          <w:sz w:val="24"/>
          <w:szCs w:val="24"/>
        </w:rPr>
        <w:t>Anscombe</w:t>
      </w:r>
      <w:proofErr w:type="spellEnd"/>
      <w:r w:rsidRPr="00A8303C">
        <w:rPr>
          <w:rFonts w:cstheme="minorHAnsi"/>
          <w:sz w:val="24"/>
          <w:szCs w:val="24"/>
        </w:rPr>
        <w:t xml:space="preserve"> d’une volonté de </w:t>
      </w:r>
      <w:r w:rsidR="00A8303C" w:rsidRPr="00A8303C">
        <w:rPr>
          <w:rFonts w:cstheme="minorHAnsi"/>
          <w:sz w:val="24"/>
          <w:szCs w:val="24"/>
        </w:rPr>
        <w:t>réenchâsser</w:t>
      </w:r>
      <w:r w:rsidRPr="00A8303C">
        <w:rPr>
          <w:rFonts w:cstheme="minorHAnsi"/>
          <w:sz w:val="24"/>
          <w:szCs w:val="24"/>
        </w:rPr>
        <w:t xml:space="preserve"> les concepts dans leur histoire, tout comme le fait Collingwood</w:t>
      </w:r>
      <w:r w:rsidR="00A8303C">
        <w:rPr>
          <w:rFonts w:cstheme="minorHAnsi"/>
          <w:sz w:val="24"/>
          <w:szCs w:val="24"/>
        </w:rPr>
        <w:t>,</w:t>
      </w:r>
      <w:r w:rsidRPr="00A8303C">
        <w:rPr>
          <w:rFonts w:cstheme="minorHAnsi"/>
          <w:sz w:val="24"/>
          <w:szCs w:val="24"/>
        </w:rPr>
        <w:t xml:space="preserve"> et de montrer qu’ils ont une « vie » qui est liée au contexte de la société qui les fait naître : ils ne peuvent être compris de manière atomique, en étudiant uniquement une proposition qui les porterait. Les concepts philosophiques ne peuvent être compris et entendus qu’à l’aune des présupposés métaphysiques voire théologiques qui les justifient : là-dessus on est en droit de remarquer une filiation conceptuelle entre ce que Collingwood théorise comme des présuppositions absolues dans </w:t>
      </w:r>
      <w:r w:rsidRPr="00A8303C">
        <w:rPr>
          <w:rFonts w:cstheme="minorHAnsi"/>
          <w:i/>
          <w:iCs/>
          <w:sz w:val="24"/>
          <w:szCs w:val="24"/>
        </w:rPr>
        <w:t xml:space="preserve">Essay on </w:t>
      </w:r>
      <w:proofErr w:type="spellStart"/>
      <w:r w:rsidRPr="00A8303C">
        <w:rPr>
          <w:rFonts w:cstheme="minorHAnsi"/>
          <w:i/>
          <w:iCs/>
          <w:sz w:val="24"/>
          <w:szCs w:val="24"/>
        </w:rPr>
        <w:t>Metaphysics</w:t>
      </w:r>
      <w:proofErr w:type="spellEnd"/>
      <w:r w:rsidRPr="00A8303C">
        <w:rPr>
          <w:rFonts w:cstheme="minorHAnsi"/>
          <w:sz w:val="24"/>
          <w:szCs w:val="24"/>
        </w:rPr>
        <w:t>, cet article d’</w:t>
      </w:r>
      <w:proofErr w:type="spellStart"/>
      <w:r w:rsidRPr="00A8303C">
        <w:rPr>
          <w:rFonts w:cstheme="minorHAnsi"/>
          <w:sz w:val="24"/>
          <w:szCs w:val="24"/>
        </w:rPr>
        <w:t>Anscombe</w:t>
      </w:r>
      <w:proofErr w:type="spellEnd"/>
      <w:r w:rsidRPr="00A8303C">
        <w:rPr>
          <w:rFonts w:cstheme="minorHAnsi"/>
          <w:sz w:val="24"/>
          <w:szCs w:val="24"/>
        </w:rPr>
        <w:t xml:space="preserve"> et la méthode collingwoodienne dont se réclame A. </w:t>
      </w:r>
      <w:proofErr w:type="spellStart"/>
      <w:r w:rsidRPr="00A8303C">
        <w:rPr>
          <w:rFonts w:cstheme="minorHAnsi"/>
          <w:sz w:val="24"/>
          <w:szCs w:val="24"/>
        </w:rPr>
        <w:t>MacIntyre</w:t>
      </w:r>
      <w:proofErr w:type="spellEnd"/>
      <w:r w:rsidRPr="00A8303C">
        <w:rPr>
          <w:rFonts w:cstheme="minorHAnsi"/>
          <w:sz w:val="24"/>
          <w:szCs w:val="24"/>
        </w:rPr>
        <w:t xml:space="preserve">. </w:t>
      </w:r>
    </w:p>
    <w:p w14:paraId="73C776A8" w14:textId="2B375CB7" w:rsidR="0044238D" w:rsidRPr="00A8303C" w:rsidRDefault="0044238D" w:rsidP="000708DE">
      <w:pPr>
        <w:jc w:val="both"/>
        <w:rPr>
          <w:rFonts w:cstheme="minorHAnsi"/>
          <w:sz w:val="24"/>
          <w:szCs w:val="24"/>
          <w:lang w:val="fr-FR"/>
        </w:rPr>
      </w:pPr>
      <w:r w:rsidRPr="00A8303C">
        <w:rPr>
          <w:rFonts w:cstheme="minorHAnsi"/>
          <w:sz w:val="24"/>
          <w:szCs w:val="24"/>
        </w:rPr>
        <w:tab/>
        <w:t xml:space="preserve">Dernier point : ce terme de survivance ne peut être séparé de son corollaire, le « revival », comment le dire en français « la revivification » « la renaissance » d’un concept, </w:t>
      </w:r>
      <w:r w:rsidRPr="00A8303C">
        <w:rPr>
          <w:rFonts w:cstheme="minorHAnsi"/>
          <w:sz w:val="24"/>
          <w:szCs w:val="24"/>
        </w:rPr>
        <w:lastRenderedPageBreak/>
        <w:t>qui est au principe même d’un mouvement « néo-aristotélicien » ou « </w:t>
      </w:r>
      <w:proofErr w:type="spellStart"/>
      <w:r w:rsidRPr="00A8303C">
        <w:rPr>
          <w:rFonts w:cstheme="minorHAnsi"/>
          <w:sz w:val="24"/>
          <w:szCs w:val="24"/>
        </w:rPr>
        <w:t>néo-thomiste</w:t>
      </w:r>
      <w:proofErr w:type="spellEnd"/>
      <w:r w:rsidRPr="00A8303C">
        <w:rPr>
          <w:rFonts w:cstheme="minorHAnsi"/>
          <w:sz w:val="24"/>
          <w:szCs w:val="24"/>
        </w:rPr>
        <w:t xml:space="preserve"> ». En effet, si comme le dit </w:t>
      </w:r>
      <w:proofErr w:type="spellStart"/>
      <w:r w:rsidRPr="00A8303C">
        <w:rPr>
          <w:rFonts w:cstheme="minorHAnsi"/>
          <w:sz w:val="24"/>
          <w:szCs w:val="24"/>
        </w:rPr>
        <w:t>MacIntyre</w:t>
      </w:r>
      <w:proofErr w:type="spellEnd"/>
      <w:r w:rsidRPr="00A8303C">
        <w:rPr>
          <w:rFonts w:cstheme="minorHAnsi"/>
          <w:sz w:val="24"/>
          <w:szCs w:val="24"/>
        </w:rPr>
        <w:t xml:space="preserve">, l’aristotélisme demeure à ses yeux la meilleure philosophie pour répondre à un certain nombre de problèmes, c’est que l’aristotélisme est une pensée qui persiste, qui a survécu et qui peut être </w:t>
      </w:r>
      <w:proofErr w:type="spellStart"/>
      <w:r w:rsidRPr="00A8303C">
        <w:rPr>
          <w:rFonts w:cstheme="minorHAnsi"/>
          <w:sz w:val="24"/>
          <w:szCs w:val="24"/>
        </w:rPr>
        <w:t>ré-actualisée</w:t>
      </w:r>
      <w:proofErr w:type="spellEnd"/>
      <w:r w:rsidRPr="00A8303C">
        <w:rPr>
          <w:rFonts w:cstheme="minorHAnsi"/>
          <w:sz w:val="24"/>
          <w:szCs w:val="24"/>
        </w:rPr>
        <w:t xml:space="preserve">. Elle a le pouvoir d’être revivifiée : il n’y aurait donc pas que des mauvaises survivances, et si certaines pratiques, certaines idées demeurent, ce n’est pas uniquement par une force psychologique, mais parce qu’elles en ont la capacité, elles ont en elle un invariant qui a la capacité de se transmettre dans des cultures différentes. </w:t>
      </w:r>
    </w:p>
    <w:p w14:paraId="281B6C1F" w14:textId="3F0FA260" w:rsidR="000708DE" w:rsidRDefault="000708DE" w:rsidP="000708DE">
      <w:pPr>
        <w:jc w:val="both"/>
        <w:rPr>
          <w:rFonts w:cstheme="minorHAnsi"/>
          <w:sz w:val="24"/>
          <w:szCs w:val="24"/>
          <w:lang w:val="fr-FR"/>
        </w:rPr>
      </w:pPr>
      <w:r w:rsidRPr="00A8303C">
        <w:rPr>
          <w:rFonts w:cstheme="minorHAnsi"/>
          <w:sz w:val="24"/>
          <w:szCs w:val="24"/>
          <w:lang w:val="fr-FR"/>
        </w:rPr>
        <w:tab/>
      </w:r>
    </w:p>
    <w:p w14:paraId="4E0D53F2" w14:textId="77777777" w:rsidR="00986DCA" w:rsidRDefault="00986DCA" w:rsidP="000708DE">
      <w:pPr>
        <w:jc w:val="both"/>
        <w:rPr>
          <w:rFonts w:cstheme="minorHAnsi"/>
          <w:sz w:val="24"/>
          <w:szCs w:val="24"/>
          <w:lang w:val="fr-FR"/>
        </w:rPr>
      </w:pPr>
    </w:p>
    <w:p w14:paraId="7EB8C6C5" w14:textId="77777777" w:rsidR="003D58BC" w:rsidRDefault="00986DCA" w:rsidP="000708DE">
      <w:pPr>
        <w:jc w:val="both"/>
        <w:rPr>
          <w:rFonts w:cstheme="minorHAnsi"/>
          <w:sz w:val="24"/>
          <w:szCs w:val="24"/>
          <w:lang w:val="fr-FR"/>
        </w:rPr>
      </w:pPr>
      <w:r>
        <w:rPr>
          <w:rFonts w:cstheme="minorHAnsi"/>
          <w:sz w:val="24"/>
          <w:szCs w:val="24"/>
          <w:lang w:val="fr-FR"/>
        </w:rPr>
        <w:t xml:space="preserve">Idée : </w:t>
      </w:r>
    </w:p>
    <w:p w14:paraId="5054A592" w14:textId="11AE763F" w:rsidR="00986DCA" w:rsidRDefault="003D58BC" w:rsidP="000708DE">
      <w:pPr>
        <w:jc w:val="both"/>
        <w:rPr>
          <w:rFonts w:cstheme="minorHAnsi"/>
          <w:sz w:val="24"/>
          <w:szCs w:val="24"/>
          <w:lang w:val="fr-FR"/>
        </w:rPr>
      </w:pPr>
      <w:r>
        <w:rPr>
          <w:rFonts w:cstheme="minorHAnsi"/>
          <w:sz w:val="24"/>
          <w:szCs w:val="24"/>
          <w:lang w:val="fr-FR"/>
        </w:rPr>
        <w:t>-</w:t>
      </w:r>
      <w:r w:rsidR="00986DCA">
        <w:rPr>
          <w:rFonts w:cstheme="minorHAnsi"/>
          <w:sz w:val="24"/>
          <w:szCs w:val="24"/>
          <w:lang w:val="fr-FR"/>
        </w:rPr>
        <w:t xml:space="preserve">La survivance </w:t>
      </w:r>
      <w:proofErr w:type="gramStart"/>
      <w:r w:rsidR="00986DCA">
        <w:rPr>
          <w:rFonts w:cstheme="minorHAnsi"/>
          <w:sz w:val="24"/>
          <w:szCs w:val="24"/>
          <w:lang w:val="fr-FR"/>
        </w:rPr>
        <w:t>peut-être</w:t>
      </w:r>
      <w:proofErr w:type="gramEnd"/>
      <w:r w:rsidR="00986DCA">
        <w:rPr>
          <w:rFonts w:cstheme="minorHAnsi"/>
          <w:sz w:val="24"/>
          <w:szCs w:val="24"/>
          <w:lang w:val="fr-FR"/>
        </w:rPr>
        <w:t xml:space="preserve"> comprise du point de vue des réformateurs comme ce qui doit être éliminé</w:t>
      </w:r>
      <w:r w:rsidR="000E6EF0">
        <w:rPr>
          <w:rFonts w:cstheme="minorHAnsi"/>
          <w:sz w:val="24"/>
          <w:szCs w:val="24"/>
          <w:lang w:val="fr-FR"/>
        </w:rPr>
        <w:t xml:space="preserve"> (</w:t>
      </w:r>
      <w:proofErr w:type="spellStart"/>
      <w:r w:rsidR="000E6EF0">
        <w:rPr>
          <w:rFonts w:cstheme="minorHAnsi"/>
          <w:sz w:val="24"/>
          <w:szCs w:val="24"/>
          <w:lang w:val="fr-FR"/>
        </w:rPr>
        <w:t>Text</w:t>
      </w:r>
      <w:proofErr w:type="spellEnd"/>
      <w:r w:rsidR="000E6EF0">
        <w:rPr>
          <w:rFonts w:cstheme="minorHAnsi"/>
          <w:sz w:val="24"/>
          <w:szCs w:val="24"/>
          <w:lang w:val="fr-FR"/>
        </w:rPr>
        <w:t xml:space="preserve"> 15, Tylor)</w:t>
      </w:r>
    </w:p>
    <w:p w14:paraId="2B0A85AF" w14:textId="139A49BD" w:rsidR="003D58BC" w:rsidRPr="00A8303C" w:rsidRDefault="003D58BC" w:rsidP="000708DE">
      <w:pPr>
        <w:jc w:val="both"/>
        <w:rPr>
          <w:rFonts w:cstheme="minorHAnsi"/>
          <w:sz w:val="24"/>
          <w:szCs w:val="24"/>
          <w:lang w:val="fr-FR"/>
        </w:rPr>
      </w:pPr>
      <w:r>
        <w:rPr>
          <w:rFonts w:cstheme="minorHAnsi"/>
          <w:sz w:val="24"/>
          <w:szCs w:val="24"/>
          <w:lang w:val="fr-FR"/>
        </w:rPr>
        <w:t>- Idée d’</w:t>
      </w:r>
      <w:proofErr w:type="spellStart"/>
      <w:r>
        <w:rPr>
          <w:rFonts w:cstheme="minorHAnsi"/>
          <w:sz w:val="24"/>
          <w:szCs w:val="24"/>
          <w:lang w:val="fr-FR"/>
        </w:rPr>
        <w:t>Anscombe</w:t>
      </w:r>
      <w:proofErr w:type="spellEnd"/>
      <w:r>
        <w:rPr>
          <w:rFonts w:cstheme="minorHAnsi"/>
          <w:sz w:val="24"/>
          <w:szCs w:val="24"/>
          <w:lang w:val="fr-FR"/>
        </w:rPr>
        <w:t> : le langage porte une histoire, il a été nourri par des conceptions (ici judéo-chrétienne) et ne pas le savoir, c’est nécessairement ignorer son</w:t>
      </w:r>
      <w:r w:rsidR="00887B47">
        <w:rPr>
          <w:rFonts w:cstheme="minorHAnsi"/>
          <w:sz w:val="24"/>
          <w:szCs w:val="24"/>
          <w:lang w:val="fr-FR"/>
        </w:rPr>
        <w:t xml:space="preserve"> histoire et donc mal le comprendre. Sans la notion de péché, de loi, on ne peut comprendre la loi morale du XXème siècle. Ce qui survit c’est ce dont on a oublié qu’il avait une couleur autre, une autre signification dans l’histoire.</w:t>
      </w:r>
    </w:p>
    <w:sectPr w:rsidR="003D58BC" w:rsidRPr="00A8303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24D93" w14:textId="77777777" w:rsidR="00463DCF" w:rsidRDefault="00463DCF" w:rsidP="00821C1A">
      <w:pPr>
        <w:spacing w:after="0" w:line="240" w:lineRule="auto"/>
      </w:pPr>
      <w:r>
        <w:separator/>
      </w:r>
    </w:p>
  </w:endnote>
  <w:endnote w:type="continuationSeparator" w:id="0">
    <w:p w14:paraId="48D92D08" w14:textId="77777777" w:rsidR="00463DCF" w:rsidRDefault="00463DCF" w:rsidP="0082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08C5" w14:textId="77777777" w:rsidR="00463DCF" w:rsidRDefault="00463DCF" w:rsidP="00821C1A">
      <w:pPr>
        <w:spacing w:after="0" w:line="240" w:lineRule="auto"/>
      </w:pPr>
      <w:r>
        <w:separator/>
      </w:r>
    </w:p>
  </w:footnote>
  <w:footnote w:type="continuationSeparator" w:id="0">
    <w:p w14:paraId="4E29B859" w14:textId="77777777" w:rsidR="00463DCF" w:rsidRDefault="00463DCF" w:rsidP="00821C1A">
      <w:pPr>
        <w:spacing w:after="0" w:line="240" w:lineRule="auto"/>
      </w:pPr>
      <w:r>
        <w:continuationSeparator/>
      </w:r>
    </w:p>
  </w:footnote>
  <w:footnote w:id="1">
    <w:p w14:paraId="52C2C93B" w14:textId="0CB95814" w:rsidR="00821C1A" w:rsidRPr="00821C1A" w:rsidRDefault="00821C1A">
      <w:pPr>
        <w:pStyle w:val="Notedebasdepage"/>
        <w:rPr>
          <w:lang w:val="en-US"/>
        </w:rPr>
      </w:pPr>
      <w:r>
        <w:rPr>
          <w:rStyle w:val="Appelnotedebasdep"/>
        </w:rPr>
        <w:footnoteRef/>
      </w:r>
      <w:r w:rsidRPr="00821C1A">
        <w:rPr>
          <w:lang w:val="en-US"/>
        </w:rPr>
        <w:t xml:space="preserve"> Her early writings reveal a strong interest in women, labor, and race. In 1920 she published a book, </w:t>
      </w:r>
      <w:r w:rsidRPr="00821C1A">
        <w:rPr>
          <w:i/>
          <w:iCs/>
          <w:lang w:val="en-US"/>
        </w:rPr>
        <w:t>Factory Work for Girls</w:t>
      </w:r>
      <w:r w:rsidRPr="00821C1A">
        <w:rPr>
          <w:lang w:val="en-US"/>
        </w:rPr>
        <w:t>, and she also wrote about women in industry and in trade unions; her works include an article on “The Fitness of British Labor to Rule” , a book, </w:t>
      </w:r>
      <w:r w:rsidRPr="00821C1A">
        <w:rPr>
          <w:i/>
          <w:iCs/>
          <w:lang w:val="en-US"/>
        </w:rPr>
        <w:t>Workers' Education in England and the United States</w:t>
      </w:r>
      <w:r w:rsidRPr="00821C1A">
        <w:rPr>
          <w:lang w:val="en-US"/>
        </w:rPr>
        <w:t> (her doctoral dissertation) (1925), and an essay on the “Negro in the Anthropology of John Wesley,” for the </w:t>
      </w:r>
      <w:r w:rsidRPr="00821C1A">
        <w:rPr>
          <w:i/>
          <w:iCs/>
          <w:lang w:val="en-US"/>
        </w:rPr>
        <w:t>Journal of Negro History</w:t>
      </w:r>
      <w:r w:rsidRPr="00821C1A">
        <w:rPr>
          <w:lang w:val="en-US"/>
        </w:rPr>
        <w:t> (1934).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54DE" w14:textId="6C614D60" w:rsidR="008234D5" w:rsidRDefault="008234D5">
    <w:pPr>
      <w:pStyle w:val="En-tte"/>
    </w:pPr>
    <w:r>
      <w:t xml:space="preserve">Baudouin de Guillebon – FNRS - </w:t>
    </w:r>
    <w:proofErr w:type="spellStart"/>
    <w:r>
      <w:t>Uclouvain</w:t>
    </w:r>
    <w:proofErr w:type="spellEnd"/>
  </w:p>
  <w:p w14:paraId="4CAFED32" w14:textId="77777777" w:rsidR="008234D5" w:rsidRDefault="008234D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581D"/>
    <w:multiLevelType w:val="hybridMultilevel"/>
    <w:tmpl w:val="F64094A6"/>
    <w:lvl w:ilvl="0" w:tplc="5E52C56A">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4F00915"/>
    <w:multiLevelType w:val="hybridMultilevel"/>
    <w:tmpl w:val="EA14B644"/>
    <w:lvl w:ilvl="0" w:tplc="8570908C">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15:restartNumberingAfterBreak="0">
    <w:nsid w:val="4B2807F7"/>
    <w:multiLevelType w:val="hybridMultilevel"/>
    <w:tmpl w:val="ED1843A4"/>
    <w:lvl w:ilvl="0" w:tplc="A7A6FDCA">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BE43554"/>
    <w:multiLevelType w:val="hybridMultilevel"/>
    <w:tmpl w:val="C04CCECC"/>
    <w:lvl w:ilvl="0" w:tplc="BE369BCE">
      <w:start w:val="1"/>
      <w:numFmt w:val="upp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4" w15:restartNumberingAfterBreak="0">
    <w:nsid w:val="615F3998"/>
    <w:multiLevelType w:val="hybridMultilevel"/>
    <w:tmpl w:val="479A72B0"/>
    <w:lvl w:ilvl="0" w:tplc="5B2E8F56">
      <w:start w:val="3"/>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50707B9"/>
    <w:multiLevelType w:val="hybridMultilevel"/>
    <w:tmpl w:val="3766D0F2"/>
    <w:lvl w:ilvl="0" w:tplc="0494F5B2">
      <w:start w:val="1"/>
      <w:numFmt w:val="upp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15:restartNumberingAfterBreak="0">
    <w:nsid w:val="7487329E"/>
    <w:multiLevelType w:val="hybridMultilevel"/>
    <w:tmpl w:val="C5C237B0"/>
    <w:lvl w:ilvl="0" w:tplc="416AE43E">
      <w:start w:val="1"/>
      <w:numFmt w:val="upp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16cid:durableId="1793471882">
    <w:abstractNumId w:val="6"/>
  </w:num>
  <w:num w:numId="2" w16cid:durableId="820730841">
    <w:abstractNumId w:val="3"/>
  </w:num>
  <w:num w:numId="3" w16cid:durableId="1173839219">
    <w:abstractNumId w:val="2"/>
  </w:num>
  <w:num w:numId="4" w16cid:durableId="542834735">
    <w:abstractNumId w:val="1"/>
  </w:num>
  <w:num w:numId="5" w16cid:durableId="1116556422">
    <w:abstractNumId w:val="5"/>
  </w:num>
  <w:num w:numId="6" w16cid:durableId="359207120">
    <w:abstractNumId w:val="0"/>
  </w:num>
  <w:num w:numId="7" w16cid:durableId="558588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D5"/>
    <w:rsid w:val="00041F94"/>
    <w:rsid w:val="00067060"/>
    <w:rsid w:val="000708DE"/>
    <w:rsid w:val="0008611C"/>
    <w:rsid w:val="00090693"/>
    <w:rsid w:val="000A2BD5"/>
    <w:rsid w:val="000C5248"/>
    <w:rsid w:val="000D6532"/>
    <w:rsid w:val="000E6EF0"/>
    <w:rsid w:val="00113E48"/>
    <w:rsid w:val="001157B9"/>
    <w:rsid w:val="001450C4"/>
    <w:rsid w:val="0015204D"/>
    <w:rsid w:val="00183FFF"/>
    <w:rsid w:val="001D6F1F"/>
    <w:rsid w:val="001E681F"/>
    <w:rsid w:val="00204BD5"/>
    <w:rsid w:val="00212D5B"/>
    <w:rsid w:val="00246437"/>
    <w:rsid w:val="00327CCB"/>
    <w:rsid w:val="003404CA"/>
    <w:rsid w:val="00380D01"/>
    <w:rsid w:val="003A3986"/>
    <w:rsid w:val="003B0911"/>
    <w:rsid w:val="003D58BC"/>
    <w:rsid w:val="00431AE6"/>
    <w:rsid w:val="004344EC"/>
    <w:rsid w:val="0044238D"/>
    <w:rsid w:val="00463DCF"/>
    <w:rsid w:val="00495E8A"/>
    <w:rsid w:val="004E1F41"/>
    <w:rsid w:val="0050468F"/>
    <w:rsid w:val="00526082"/>
    <w:rsid w:val="005571B5"/>
    <w:rsid w:val="00567FC2"/>
    <w:rsid w:val="005908B0"/>
    <w:rsid w:val="005B1696"/>
    <w:rsid w:val="00643983"/>
    <w:rsid w:val="00647418"/>
    <w:rsid w:val="006542F3"/>
    <w:rsid w:val="00654C93"/>
    <w:rsid w:val="0065738A"/>
    <w:rsid w:val="006E1698"/>
    <w:rsid w:val="006F56BA"/>
    <w:rsid w:val="006F74B1"/>
    <w:rsid w:val="00707B63"/>
    <w:rsid w:val="00713766"/>
    <w:rsid w:val="007215D4"/>
    <w:rsid w:val="007254ED"/>
    <w:rsid w:val="00760439"/>
    <w:rsid w:val="007941A6"/>
    <w:rsid w:val="00795749"/>
    <w:rsid w:val="008117CB"/>
    <w:rsid w:val="00821C1A"/>
    <w:rsid w:val="008234D5"/>
    <w:rsid w:val="00887B47"/>
    <w:rsid w:val="008F729B"/>
    <w:rsid w:val="0090432B"/>
    <w:rsid w:val="00954AE2"/>
    <w:rsid w:val="00986DCA"/>
    <w:rsid w:val="00993630"/>
    <w:rsid w:val="009E2D3F"/>
    <w:rsid w:val="00A17DB9"/>
    <w:rsid w:val="00A32CBC"/>
    <w:rsid w:val="00A564BD"/>
    <w:rsid w:val="00A8303C"/>
    <w:rsid w:val="00AD2BE8"/>
    <w:rsid w:val="00AD5DFE"/>
    <w:rsid w:val="00B044AC"/>
    <w:rsid w:val="00B94F25"/>
    <w:rsid w:val="00B96E13"/>
    <w:rsid w:val="00C47971"/>
    <w:rsid w:val="00C80E32"/>
    <w:rsid w:val="00D12695"/>
    <w:rsid w:val="00D235BE"/>
    <w:rsid w:val="00E00A16"/>
    <w:rsid w:val="00E06586"/>
    <w:rsid w:val="00EC1FB8"/>
    <w:rsid w:val="00F00D83"/>
    <w:rsid w:val="00F21859"/>
    <w:rsid w:val="00F62DAD"/>
    <w:rsid w:val="00F87882"/>
    <w:rsid w:val="00FE443C"/>
    <w:rsid w:val="00FF7E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0E09"/>
  <w15:chartTrackingRefBased/>
  <w15:docId w15:val="{018C7758-41CD-4784-9E37-FF698F5D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21C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821C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6474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738A"/>
    <w:rPr>
      <w:color w:val="0563C1" w:themeColor="hyperlink"/>
      <w:u w:val="single"/>
    </w:rPr>
  </w:style>
  <w:style w:type="character" w:styleId="Mentionnonrsolue">
    <w:name w:val="Unresolved Mention"/>
    <w:basedOn w:val="Policepardfaut"/>
    <w:uiPriority w:val="99"/>
    <w:semiHidden/>
    <w:unhideWhenUsed/>
    <w:rsid w:val="0065738A"/>
    <w:rPr>
      <w:color w:val="605E5C"/>
      <w:shd w:val="clear" w:color="auto" w:fill="E1DFDD"/>
    </w:rPr>
  </w:style>
  <w:style w:type="paragraph" w:styleId="Notedebasdepage">
    <w:name w:val="footnote text"/>
    <w:basedOn w:val="Normal"/>
    <w:link w:val="NotedebasdepageCar"/>
    <w:uiPriority w:val="99"/>
    <w:semiHidden/>
    <w:unhideWhenUsed/>
    <w:rsid w:val="00821C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1C1A"/>
    <w:rPr>
      <w:sz w:val="20"/>
      <w:szCs w:val="20"/>
    </w:rPr>
  </w:style>
  <w:style w:type="character" w:styleId="Appelnotedebasdep">
    <w:name w:val="footnote reference"/>
    <w:basedOn w:val="Policepardfaut"/>
    <w:uiPriority w:val="99"/>
    <w:semiHidden/>
    <w:unhideWhenUsed/>
    <w:rsid w:val="00821C1A"/>
    <w:rPr>
      <w:vertAlign w:val="superscript"/>
    </w:rPr>
  </w:style>
  <w:style w:type="character" w:customStyle="1" w:styleId="Titre1Car">
    <w:name w:val="Titre 1 Car"/>
    <w:basedOn w:val="Policepardfaut"/>
    <w:link w:val="Titre1"/>
    <w:uiPriority w:val="9"/>
    <w:rsid w:val="00821C1A"/>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821C1A"/>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821C1A"/>
    <w:pPr>
      <w:ind w:left="720"/>
      <w:contextualSpacing/>
    </w:pPr>
  </w:style>
  <w:style w:type="character" w:customStyle="1" w:styleId="Titre3Car">
    <w:name w:val="Titre 3 Car"/>
    <w:basedOn w:val="Policepardfaut"/>
    <w:link w:val="Titre3"/>
    <w:uiPriority w:val="9"/>
    <w:rsid w:val="00647418"/>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8234D5"/>
    <w:pPr>
      <w:tabs>
        <w:tab w:val="center" w:pos="4536"/>
        <w:tab w:val="right" w:pos="9072"/>
      </w:tabs>
      <w:spacing w:after="0" w:line="240" w:lineRule="auto"/>
    </w:pPr>
  </w:style>
  <w:style w:type="character" w:customStyle="1" w:styleId="En-tteCar">
    <w:name w:val="En-tête Car"/>
    <w:basedOn w:val="Policepardfaut"/>
    <w:link w:val="En-tte"/>
    <w:uiPriority w:val="99"/>
    <w:rsid w:val="008234D5"/>
  </w:style>
  <w:style w:type="paragraph" w:styleId="Pieddepage">
    <w:name w:val="footer"/>
    <w:basedOn w:val="Normal"/>
    <w:link w:val="PieddepageCar"/>
    <w:uiPriority w:val="99"/>
    <w:unhideWhenUsed/>
    <w:rsid w:val="008234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3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1629</TotalTime>
  <Pages>8</Pages>
  <Words>3471</Words>
  <Characters>19091</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Baudouin de Guillebon</dc:creator>
  <cp:keywords/>
  <dc:description/>
  <cp:lastModifiedBy>Baudouin de Guillebon</cp:lastModifiedBy>
  <cp:revision>54</cp:revision>
  <dcterms:created xsi:type="dcterms:W3CDTF">2023-11-29T09:59:00Z</dcterms:created>
  <dcterms:modified xsi:type="dcterms:W3CDTF">2025-12-17T20:32:00Z</dcterms:modified>
</cp:coreProperties>
</file>