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292E1A" w:rsidR="00E42237" w:rsidP="00292E1A" w:rsidRDefault="00E42237" w14:paraId="6F858E4A" w14:textId="3FA93C85">
      <w:pPr>
        <w:pStyle w:val="Articletitle"/>
      </w:pPr>
      <w:r w:rsidRPr="00292E1A">
        <w:t xml:space="preserve">La BCE </w:t>
      </w:r>
      <w:r w:rsidRPr="00292E1A" w:rsidR="52980116">
        <w:t>face à</w:t>
      </w:r>
      <w:r w:rsidRPr="00292E1A">
        <w:t xml:space="preserve"> </w:t>
      </w:r>
      <w:proofErr w:type="spellStart"/>
      <w:r w:rsidRPr="00292E1A" w:rsidR="000B47EC">
        <w:t>ses</w:t>
      </w:r>
      <w:proofErr w:type="spellEnd"/>
      <w:r w:rsidRPr="00292E1A" w:rsidR="000B47EC">
        <w:t xml:space="preserve"> </w:t>
      </w:r>
      <w:proofErr w:type="spellStart"/>
      <w:proofErr w:type="gramStart"/>
      <w:r w:rsidRPr="00292E1A" w:rsidR="000B47EC">
        <w:t>monstres</w:t>
      </w:r>
      <w:proofErr w:type="spellEnd"/>
      <w:r w:rsidRPr="00292E1A" w:rsidR="4436B4B8">
        <w:t xml:space="preserve"> </w:t>
      </w:r>
      <w:r w:rsidRPr="00292E1A">
        <w:t>:</w:t>
      </w:r>
      <w:proofErr w:type="gramEnd"/>
      <w:r w:rsidRPr="00292E1A">
        <w:t xml:space="preserve"> </w:t>
      </w:r>
      <w:r w:rsidRPr="00292E1A" w:rsidR="00FF6811">
        <w:t xml:space="preserve">les transformations du </w:t>
      </w:r>
      <w:proofErr w:type="spellStart"/>
      <w:r w:rsidRPr="00292E1A" w:rsidR="00FF6811">
        <w:t>cadrage</w:t>
      </w:r>
      <w:proofErr w:type="spellEnd"/>
      <w:r w:rsidRPr="00292E1A" w:rsidR="00FF6811">
        <w:t xml:space="preserve"> de la </w:t>
      </w:r>
      <w:proofErr w:type="spellStart"/>
      <w:r w:rsidRPr="00292E1A" w:rsidR="00FF6811">
        <w:t>stabilité</w:t>
      </w:r>
      <w:proofErr w:type="spellEnd"/>
      <w:r w:rsidRPr="00292E1A" w:rsidR="00FF6811">
        <w:t xml:space="preserve"> des prix</w:t>
      </w:r>
      <w:r w:rsidRPr="00292E1A">
        <w:t xml:space="preserve"> (1998-2023)</w:t>
      </w:r>
    </w:p>
    <w:p w:rsidRPr="00292E1A" w:rsidR="00E42237" w:rsidP="00292E1A" w:rsidRDefault="00E42237" w14:paraId="5162C2F2" w14:textId="3DFF2F09">
      <w:pPr>
        <w:pStyle w:val="Authornames"/>
        <w:rPr>
          <w:lang w:val="fr-FR"/>
        </w:rPr>
      </w:pPr>
      <w:r w:rsidRPr="4E12AD89">
        <w:rPr>
          <w:lang w:val="fr-FR"/>
        </w:rPr>
        <w:t>Aurélien Goutsmedt</w:t>
      </w:r>
      <w:r w:rsidRPr="4E12AD89">
        <w:rPr>
          <w:rStyle w:val="Appelnotedebasdep"/>
          <w:sz w:val="24"/>
        </w:rPr>
        <w:footnoteReference w:id="2"/>
      </w:r>
      <w:r w:rsidRPr="4E12AD89">
        <w:rPr>
          <w:lang w:val="fr-FR"/>
        </w:rPr>
        <w:t xml:space="preserve"> and Clément Fontan</w:t>
      </w:r>
      <w:r w:rsidRPr="4E12AD89">
        <w:rPr>
          <w:rStyle w:val="Appelnotedebasdep"/>
          <w:sz w:val="24"/>
        </w:rPr>
        <w:footnoteReference w:id="3"/>
      </w:r>
    </w:p>
    <w:p w:rsidR="00E42237" w:rsidP="00B31E20" w:rsidRDefault="5368B168" w14:paraId="5D0BC144" w14:textId="3E59023A">
      <w:pPr>
        <w:pStyle w:val="Titre1"/>
      </w:pPr>
      <w:r w:rsidRPr="4E12AD89">
        <w:t>Résumé</w:t>
      </w:r>
    </w:p>
    <w:p w:rsidR="00E42237" w:rsidP="00B31E20" w:rsidRDefault="5368B168" w14:paraId="48F5AC30" w14:textId="4DC64502">
      <w:r w:rsidRPr="4E12AD89">
        <w:t>Cet article analyse les transformations du cadrage de la stabilité des prix par la Banque centrale européenne (BCE) depuis sa création en 1998 jusqu’à aujourd’hui. En s’appuyant sur une méthode de topic modeling, nous examinons 817 discours des membres du directoire de la BCE, en nous concentrant sur leurs discussions autour de l</w:t>
      </w:r>
      <w:proofErr w:type="gramStart"/>
      <w:r w:rsidRPr="4E12AD89">
        <w:t>’«</w:t>
      </w:r>
      <w:proofErr w:type="gramEnd"/>
      <w:r w:rsidRPr="4E12AD89">
        <w:t> inflation » et de la « stabilité des prix » à travers trois périodes clés : l’ère de la banque centrale indépendante (BCI, 1998-2011), la période de stagnation séculaire (2011-2021) et le retour de l’inflation (2021-2023).</w:t>
      </w:r>
    </w:p>
    <w:p w:rsidR="00E42237" w:rsidP="00B31E20" w:rsidRDefault="5368B168" w14:paraId="50B980CC" w14:textId="4C9B8523">
      <w:r w:rsidRPr="4E12AD89">
        <w:t>Nos résultats montrent qu’à ses débuts, la BCE a construit sa légitimité autour d’un cadrage centré sur le contrôle de l’inflation, en mobilisant les principes du modèle de la BCI : crédibilité anti-inflationniste et priorité absolue à la stabilité des prix. Cependant, la crise financière de 2007-2009 et ses répercussions, combinées à de nouveaux défis tels que l’instabilité financière et les risques climatiques, ont conduit la BCE à élargir son cadre d’action. En 2021, elle a institutionnalisé son nouveau cadrage de l’inflation en intégrant les enjeux climatiques et une cible d’inflation symétrique à sa stratégie monétaire</w:t>
      </w:r>
    </w:p>
    <w:p w:rsidRPr="00292E1A" w:rsidR="00E42237" w:rsidP="00B31E20" w:rsidRDefault="5368B168" w14:paraId="570D2F3A" w14:textId="35E1340F">
      <w:r w:rsidR="5368B168">
        <w:rPr/>
        <w:t>Toutefois, la résurgence de l’inflation depuis 2021 a mis ce nouveau cadrage à l’épreuve, forçant la BCE à jongler entre les principes fondamentaux du modèle CBI et les changements qui y ont été apportés depuis la crise. Cette stratégie révèle les tensions qui sous-tendent la légitimation de sa politique monétaire face aux défis écologiques et géopolitiques actuels.</w:t>
      </w:r>
    </w:p>
    <w:p w:rsidR="63DA1A9B" w:rsidP="6378B0FF" w:rsidRDefault="63DA1A9B" w14:paraId="2B4B0AF3" w14:textId="75D507B3">
      <w:pPr>
        <w:pStyle w:val="Titre1"/>
        <w:suppressLineNumbers w:val="0"/>
        <w:bidi w:val="0"/>
        <w:spacing w:before="360" w:beforeAutospacing="off" w:after="80" w:afterAutospacing="off" w:line="360" w:lineRule="auto"/>
        <w:ind w:left="0" w:right="0"/>
        <w:jc w:val="both"/>
      </w:pPr>
      <w:r w:rsidR="63DA1A9B">
        <w:rPr/>
        <w:t>Abstract</w:t>
      </w:r>
    </w:p>
    <w:p w:rsidR="171FD9F7" w:rsidP="6378B0FF" w:rsidRDefault="171FD9F7" w14:paraId="53141F2F" w14:textId="279B9CB7">
      <w:pPr>
        <w:pStyle w:val="Normal"/>
        <w:suppressLineNumbers w:val="0"/>
        <w:bidi w:val="0"/>
        <w:spacing w:before="0" w:beforeAutospacing="off" w:after="120" w:afterAutospacing="off" w:line="360" w:lineRule="auto"/>
        <w:ind w:left="0" w:right="0"/>
        <w:jc w:val="both"/>
        <w:rPr>
          <w:rFonts w:ascii="Times New Roman" w:hAnsi="Times New Roman" w:eastAsia="Times New Roman" w:cs="Times New Roman"/>
          <w:b w:val="0"/>
          <w:bCs w:val="0"/>
          <w:noProof w:val="0"/>
          <w:sz w:val="24"/>
          <w:szCs w:val="24"/>
          <w:lang w:val="en-US"/>
        </w:rPr>
      </w:pPr>
      <w:r w:rsidRPr="6378B0FF" w:rsidR="171FD9F7">
        <w:rPr>
          <w:rFonts w:ascii="Times New Roman" w:hAnsi="Times New Roman" w:eastAsia="Times New Roman" w:cs="Times New Roman"/>
          <w:b w:val="0"/>
          <w:bCs w:val="0"/>
          <w:noProof w:val="0"/>
          <w:sz w:val="24"/>
          <w:szCs w:val="24"/>
          <w:lang w:val="en-US"/>
        </w:rPr>
        <w:t xml:space="preserve">This article examines the evolution of the European Central Bank's (ECB) framing of price stability from its establishment in 1998 to the present day. We analyze the communication of the members of the ECB's Executive Board, focusing specifically on discussions of ‘inflation’ and ‘price stability’ across three key periods: the era of </w:t>
      </w:r>
      <w:r w:rsidRPr="6378B0FF" w:rsidR="25D7E647">
        <w:rPr>
          <w:rFonts w:ascii="Times New Roman" w:hAnsi="Times New Roman" w:eastAsia="Times New Roman" w:cs="Times New Roman"/>
          <w:b w:val="0"/>
          <w:bCs w:val="0"/>
          <w:noProof w:val="0"/>
          <w:sz w:val="24"/>
          <w:szCs w:val="24"/>
          <w:lang w:val="en-US"/>
        </w:rPr>
        <w:t>C</w:t>
      </w:r>
      <w:r w:rsidRPr="6378B0FF" w:rsidR="171FD9F7">
        <w:rPr>
          <w:rFonts w:ascii="Times New Roman" w:hAnsi="Times New Roman" w:eastAsia="Times New Roman" w:cs="Times New Roman"/>
          <w:b w:val="0"/>
          <w:bCs w:val="0"/>
          <w:noProof w:val="0"/>
          <w:sz w:val="24"/>
          <w:szCs w:val="24"/>
          <w:lang w:val="en-US"/>
        </w:rPr>
        <w:t xml:space="preserve">entral </w:t>
      </w:r>
      <w:r w:rsidRPr="6378B0FF" w:rsidR="5DB69275">
        <w:rPr>
          <w:rFonts w:ascii="Times New Roman" w:hAnsi="Times New Roman" w:eastAsia="Times New Roman" w:cs="Times New Roman"/>
          <w:b w:val="0"/>
          <w:bCs w:val="0"/>
          <w:noProof w:val="0"/>
          <w:sz w:val="24"/>
          <w:szCs w:val="24"/>
          <w:lang w:val="en-US"/>
        </w:rPr>
        <w:t>B</w:t>
      </w:r>
      <w:r w:rsidRPr="6378B0FF" w:rsidR="171FD9F7">
        <w:rPr>
          <w:rFonts w:ascii="Times New Roman" w:hAnsi="Times New Roman" w:eastAsia="Times New Roman" w:cs="Times New Roman"/>
          <w:b w:val="0"/>
          <w:bCs w:val="0"/>
          <w:noProof w:val="0"/>
          <w:sz w:val="24"/>
          <w:szCs w:val="24"/>
          <w:lang w:val="en-US"/>
        </w:rPr>
        <w:t>ank</w:t>
      </w:r>
      <w:r w:rsidRPr="6378B0FF" w:rsidR="2A56DEF4">
        <w:rPr>
          <w:rFonts w:ascii="Times New Roman" w:hAnsi="Times New Roman" w:eastAsia="Times New Roman" w:cs="Times New Roman"/>
          <w:b w:val="0"/>
          <w:bCs w:val="0"/>
          <w:noProof w:val="0"/>
          <w:sz w:val="24"/>
          <w:szCs w:val="24"/>
          <w:lang w:val="en-US"/>
        </w:rPr>
        <w:t xml:space="preserve"> </w:t>
      </w:r>
      <w:r w:rsidRPr="6378B0FF" w:rsidR="2AFB756B">
        <w:rPr>
          <w:rFonts w:ascii="Times New Roman" w:hAnsi="Times New Roman" w:eastAsia="Times New Roman" w:cs="Times New Roman"/>
          <w:b w:val="0"/>
          <w:bCs w:val="0"/>
          <w:noProof w:val="0"/>
          <w:sz w:val="24"/>
          <w:szCs w:val="24"/>
          <w:lang w:val="en-US"/>
        </w:rPr>
        <w:t>I</w:t>
      </w:r>
      <w:r w:rsidRPr="6378B0FF" w:rsidR="2A56DEF4">
        <w:rPr>
          <w:rFonts w:ascii="Times New Roman" w:hAnsi="Times New Roman" w:eastAsia="Times New Roman" w:cs="Times New Roman"/>
          <w:b w:val="0"/>
          <w:bCs w:val="0"/>
          <w:noProof w:val="0"/>
          <w:sz w:val="24"/>
          <w:szCs w:val="24"/>
          <w:lang w:val="en-US"/>
        </w:rPr>
        <w:t>ndependence</w:t>
      </w:r>
      <w:r w:rsidRPr="6378B0FF" w:rsidR="171FD9F7">
        <w:rPr>
          <w:rFonts w:ascii="Times New Roman" w:hAnsi="Times New Roman" w:eastAsia="Times New Roman" w:cs="Times New Roman"/>
          <w:b w:val="0"/>
          <w:bCs w:val="0"/>
          <w:noProof w:val="0"/>
          <w:sz w:val="24"/>
          <w:szCs w:val="24"/>
          <w:lang w:val="en-US"/>
        </w:rPr>
        <w:t xml:space="preserve"> (1998–2011), the </w:t>
      </w:r>
      <w:r w:rsidRPr="6378B0FF" w:rsidR="1D0DF7D5">
        <w:rPr>
          <w:rFonts w:ascii="Times New Roman" w:hAnsi="Times New Roman" w:eastAsia="Times New Roman" w:cs="Times New Roman"/>
          <w:b w:val="0"/>
          <w:bCs w:val="0"/>
          <w:noProof w:val="0"/>
          <w:sz w:val="24"/>
          <w:szCs w:val="24"/>
          <w:lang w:val="en-US"/>
        </w:rPr>
        <w:t>s</w:t>
      </w:r>
      <w:r w:rsidRPr="6378B0FF" w:rsidR="171FD9F7">
        <w:rPr>
          <w:rFonts w:ascii="Times New Roman" w:hAnsi="Times New Roman" w:eastAsia="Times New Roman" w:cs="Times New Roman"/>
          <w:b w:val="0"/>
          <w:bCs w:val="0"/>
          <w:noProof w:val="0"/>
          <w:sz w:val="24"/>
          <w:szCs w:val="24"/>
          <w:lang w:val="en-US"/>
        </w:rPr>
        <w:t>ecular stagnation (2011–2021), and the resurgence of inflation (2021–2023).</w:t>
      </w:r>
    </w:p>
    <w:p w:rsidR="2D1497C8" w:rsidP="6378B0FF" w:rsidRDefault="2D1497C8" w14:paraId="72D55631" w14:textId="6371E79E">
      <w:pPr>
        <w:pStyle w:val="Normal"/>
        <w:rPr>
          <w:rFonts w:ascii="Times New Roman" w:hAnsi="Times New Roman" w:eastAsia="Times New Roman" w:cs="Times New Roman"/>
          <w:b w:val="0"/>
          <w:bCs w:val="0"/>
          <w:noProof w:val="0"/>
          <w:sz w:val="24"/>
          <w:szCs w:val="24"/>
          <w:lang w:val="en-US"/>
        </w:rPr>
      </w:pPr>
      <w:r w:rsidRPr="6378B0FF" w:rsidR="2D1497C8">
        <w:rPr>
          <w:rFonts w:ascii="Times New Roman" w:hAnsi="Times New Roman" w:eastAsia="Times New Roman" w:cs="Times New Roman"/>
          <w:b w:val="0"/>
          <w:bCs w:val="0"/>
          <w:noProof w:val="0"/>
          <w:sz w:val="24"/>
          <w:szCs w:val="24"/>
          <w:lang w:val="en-US"/>
        </w:rPr>
        <w:t xml:space="preserve">Our results </w:t>
      </w:r>
      <w:r w:rsidRPr="6378B0FF" w:rsidR="2D1497C8">
        <w:rPr>
          <w:rFonts w:ascii="Times New Roman" w:hAnsi="Times New Roman" w:eastAsia="Times New Roman" w:cs="Times New Roman"/>
          <w:b w:val="0"/>
          <w:bCs w:val="0"/>
          <w:noProof w:val="0"/>
          <w:sz w:val="24"/>
          <w:szCs w:val="24"/>
          <w:lang w:val="en-US"/>
        </w:rPr>
        <w:t>indicate</w:t>
      </w:r>
      <w:r w:rsidRPr="6378B0FF" w:rsidR="2D1497C8">
        <w:rPr>
          <w:rFonts w:ascii="Times New Roman" w:hAnsi="Times New Roman" w:eastAsia="Times New Roman" w:cs="Times New Roman"/>
          <w:b w:val="0"/>
          <w:bCs w:val="0"/>
          <w:noProof w:val="0"/>
          <w:sz w:val="24"/>
          <w:szCs w:val="24"/>
          <w:lang w:val="en-US"/>
        </w:rPr>
        <w:t xml:space="preserve"> that, during its early years, the ECB built its legitimacy on a framework that prioritized inflation control, drawing on the principles of the CBI model: anti-inflationary credibility and the absolute prioritization of price stability. However, the </w:t>
      </w:r>
      <w:r w:rsidRPr="6378B0FF" w:rsidR="2D1497C8">
        <w:rPr>
          <w:rFonts w:ascii="Times New Roman" w:hAnsi="Times New Roman" w:eastAsia="Times New Roman" w:cs="Times New Roman"/>
          <w:b w:val="0"/>
          <w:bCs w:val="0"/>
          <w:noProof w:val="0"/>
          <w:sz w:val="24"/>
          <w:szCs w:val="24"/>
          <w:lang w:val="en-US"/>
        </w:rPr>
        <w:t>financial crisis</w:t>
      </w:r>
      <w:r w:rsidRPr="6378B0FF" w:rsidR="2D1497C8">
        <w:rPr>
          <w:rFonts w:ascii="Times New Roman" w:hAnsi="Times New Roman" w:eastAsia="Times New Roman" w:cs="Times New Roman"/>
          <w:b w:val="0"/>
          <w:bCs w:val="0"/>
          <w:noProof w:val="0"/>
          <w:sz w:val="24"/>
          <w:szCs w:val="24"/>
          <w:lang w:val="en-US"/>
        </w:rPr>
        <w:t xml:space="preserve"> of 2007–2009 and its aftermath, alongside emerging challenges such as financial instability and climate risks, </w:t>
      </w:r>
      <w:r w:rsidRPr="6378B0FF" w:rsidR="2D1497C8">
        <w:rPr>
          <w:rFonts w:ascii="Times New Roman" w:hAnsi="Times New Roman" w:eastAsia="Times New Roman" w:cs="Times New Roman"/>
          <w:b w:val="0"/>
          <w:bCs w:val="0"/>
          <w:noProof w:val="0"/>
          <w:sz w:val="24"/>
          <w:szCs w:val="24"/>
          <w:lang w:val="en-US"/>
        </w:rPr>
        <w:t>necessitated</w:t>
      </w:r>
      <w:r w:rsidRPr="6378B0FF" w:rsidR="2D1497C8">
        <w:rPr>
          <w:rFonts w:ascii="Times New Roman" w:hAnsi="Times New Roman" w:eastAsia="Times New Roman" w:cs="Times New Roman"/>
          <w:b w:val="0"/>
          <w:bCs w:val="0"/>
          <w:noProof w:val="0"/>
          <w:sz w:val="24"/>
          <w:szCs w:val="24"/>
          <w:lang w:val="en-US"/>
        </w:rPr>
        <w:t xml:space="preserve"> a broadening of the ECB’s policy framework. In 2021, the ECB institutionalized a new inflation framework by integrating climate considerations and adopting a symmetrical inflation target within its monetary strategy.</w:t>
      </w:r>
    </w:p>
    <w:p w:rsidR="63DA1A9B" w:rsidP="6378B0FF" w:rsidRDefault="63DA1A9B" w14:paraId="4C6A8ABC" w14:textId="2D812EFD">
      <w:pPr>
        <w:pStyle w:val="Normal"/>
        <w:rPr>
          <w:rFonts w:ascii="Times New Roman" w:hAnsi="Times New Roman" w:eastAsia="Times New Roman" w:cs="Times New Roman"/>
          <w:b w:val="0"/>
          <w:bCs w:val="0"/>
          <w:noProof w:val="0"/>
          <w:sz w:val="24"/>
          <w:szCs w:val="24"/>
          <w:lang w:val="en-US"/>
        </w:rPr>
      </w:pPr>
      <w:r w:rsidRPr="6378B0FF" w:rsidR="63DA1A9B">
        <w:rPr>
          <w:b w:val="0"/>
          <w:bCs w:val="0"/>
          <w:lang w:val="en-US"/>
        </w:rPr>
        <w:t xml:space="preserve">However, </w:t>
      </w:r>
      <w:r w:rsidRPr="6378B0FF" w:rsidR="4FCEF598">
        <w:rPr>
          <w:rFonts w:ascii="Times New Roman" w:hAnsi="Times New Roman" w:eastAsia="Times New Roman" w:cs="Times New Roman"/>
          <w:b w:val="0"/>
          <w:bCs w:val="0"/>
          <w:noProof w:val="0"/>
          <w:sz w:val="24"/>
          <w:szCs w:val="24"/>
          <w:lang w:val="en-US"/>
        </w:rPr>
        <w:t xml:space="preserve">the resurgence of inflation since 2021 has tested this new framework, requiring the ECB to balance the core principles of the CBI model with the adjustments made since the </w:t>
      </w:r>
      <w:r w:rsidRPr="6378B0FF" w:rsidR="4FCEF598">
        <w:rPr>
          <w:rFonts w:ascii="Times New Roman" w:hAnsi="Times New Roman" w:eastAsia="Times New Roman" w:cs="Times New Roman"/>
          <w:b w:val="0"/>
          <w:bCs w:val="0"/>
          <w:noProof w:val="0"/>
          <w:sz w:val="24"/>
          <w:szCs w:val="24"/>
          <w:lang w:val="en-US"/>
        </w:rPr>
        <w:t>financial crisis</w:t>
      </w:r>
      <w:r w:rsidRPr="6378B0FF" w:rsidR="4FCEF598">
        <w:rPr>
          <w:rFonts w:ascii="Times New Roman" w:hAnsi="Times New Roman" w:eastAsia="Times New Roman" w:cs="Times New Roman"/>
          <w:b w:val="0"/>
          <w:bCs w:val="0"/>
          <w:noProof w:val="0"/>
          <w:sz w:val="24"/>
          <w:szCs w:val="24"/>
          <w:lang w:val="en-US"/>
        </w:rPr>
        <w:t>. This strategy underscores the tensions inherent in the legitimacy of its monetary policy as it grapples with contemporary ecological and geopolitical challenges.</w:t>
      </w:r>
    </w:p>
    <w:p w:rsidR="6B3A5E49" w:rsidP="6378B0FF" w:rsidRDefault="6B3A5E49" w14:paraId="1CBF58F6" w14:textId="0837E117">
      <w:pPr>
        <w:spacing w:before="0" w:beforeAutospacing="off" w:after="240" w:afterAutospacing="off"/>
        <w:rPr>
          <w:rFonts w:ascii="Times New Roman" w:hAnsi="Times New Roman" w:eastAsia="Times New Roman" w:cs="Times New Roman"/>
          <w:noProof w:val="0"/>
          <w:sz w:val="24"/>
          <w:szCs w:val="24"/>
          <w:lang w:val="en-US"/>
        </w:rPr>
      </w:pPr>
      <w:r w:rsidRPr="6378B0FF" w:rsidR="6B3A5E49">
        <w:rPr>
          <w:rFonts w:ascii="Times New Roman" w:hAnsi="Times New Roman" w:eastAsia="Times New Roman" w:cs="Times New Roman"/>
          <w:noProof w:val="0"/>
          <w:sz w:val="24"/>
          <w:szCs w:val="24"/>
          <w:lang w:val="en-US"/>
        </w:rPr>
        <w:t>JEL codes: E52 Monetary Policy; E 58 Central Banks and Their Policies</w:t>
      </w:r>
    </w:p>
    <w:p w:rsidR="6B3A5E49" w:rsidP="6378B0FF" w:rsidRDefault="6B3A5E49" w14:paraId="4E83A592" w14:textId="19A6EFDF">
      <w:pPr>
        <w:spacing w:before="0" w:beforeAutospacing="off" w:after="240" w:afterAutospacing="off"/>
        <w:rPr>
          <w:rFonts w:ascii="Times New Roman" w:hAnsi="Times New Roman" w:eastAsia="Times New Roman" w:cs="Times New Roman"/>
          <w:noProof w:val="0"/>
          <w:sz w:val="24"/>
          <w:szCs w:val="24"/>
          <w:lang w:val="fr-FR"/>
        </w:rPr>
      </w:pPr>
      <w:r w:rsidRPr="6378B0FF" w:rsidR="6B3A5E49">
        <w:rPr>
          <w:rFonts w:ascii="Times New Roman" w:hAnsi="Times New Roman" w:eastAsia="Times New Roman" w:cs="Times New Roman"/>
          <w:noProof w:val="0"/>
          <w:sz w:val="24"/>
          <w:szCs w:val="24"/>
          <w:lang w:val="fr-FR"/>
        </w:rPr>
        <w:t xml:space="preserve">Mots-clés: Banques </w:t>
      </w:r>
      <w:r w:rsidRPr="6378B0FF" w:rsidR="6B3A5E49">
        <w:rPr>
          <w:rFonts w:ascii="Times New Roman" w:hAnsi="Times New Roman" w:eastAsia="Times New Roman" w:cs="Times New Roman"/>
          <w:noProof w:val="0"/>
          <w:sz w:val="24"/>
          <w:szCs w:val="24"/>
          <w:lang w:val="fr-FR"/>
        </w:rPr>
        <w:t>Centrales</w:t>
      </w:r>
      <w:r w:rsidRPr="6378B0FF" w:rsidR="6B3A5E49">
        <w:rPr>
          <w:rFonts w:ascii="Times New Roman" w:hAnsi="Times New Roman" w:eastAsia="Times New Roman" w:cs="Times New Roman"/>
          <w:noProof w:val="0"/>
          <w:sz w:val="24"/>
          <w:szCs w:val="24"/>
          <w:lang w:val="fr-FR"/>
        </w:rPr>
        <w:t xml:space="preserve">, BCE, Inflation, Politique </w:t>
      </w:r>
      <w:r w:rsidRPr="6378B0FF" w:rsidR="6B3A5E49">
        <w:rPr>
          <w:rFonts w:ascii="Times New Roman" w:hAnsi="Times New Roman" w:eastAsia="Times New Roman" w:cs="Times New Roman"/>
          <w:noProof w:val="0"/>
          <w:sz w:val="24"/>
          <w:szCs w:val="24"/>
          <w:lang w:val="fr-FR"/>
        </w:rPr>
        <w:t>Monétaire</w:t>
      </w:r>
    </w:p>
    <w:p w:rsidR="6B3A5E49" w:rsidP="6378B0FF" w:rsidRDefault="6B3A5E49" w14:paraId="092E6FAD" w14:textId="506A9F48">
      <w:pPr>
        <w:spacing w:before="240" w:beforeAutospacing="off" w:after="240" w:afterAutospacing="off"/>
      </w:pPr>
      <w:r w:rsidRPr="6378B0FF" w:rsidR="6B3A5E49">
        <w:rPr>
          <w:rFonts w:ascii="Times New Roman" w:hAnsi="Times New Roman" w:eastAsia="Times New Roman" w:cs="Times New Roman"/>
          <w:noProof w:val="0"/>
          <w:sz w:val="24"/>
          <w:szCs w:val="24"/>
          <w:lang w:val="en-US"/>
        </w:rPr>
        <w:t>Keywords: Monetary policy, ECB, Inflation, Central Banking</w:t>
      </w:r>
    </w:p>
    <w:p w:rsidR="6B3A5E49" w:rsidP="6378B0FF" w:rsidRDefault="6B3A5E49" w14:paraId="38F3356A" w14:textId="537B319B">
      <w:pPr>
        <w:spacing w:before="240" w:beforeAutospacing="off" w:after="240" w:afterAutospacing="off"/>
        <w:jc w:val="both"/>
        <w:rPr>
          <w:rFonts w:ascii="Times New Roman" w:hAnsi="Times New Roman" w:eastAsia="Times New Roman" w:cs="Times New Roman"/>
          <w:noProof w:val="0"/>
          <w:sz w:val="24"/>
          <w:szCs w:val="24"/>
          <w:lang w:val="fr-FR"/>
        </w:rPr>
      </w:pPr>
      <w:r w:rsidRPr="6378B0FF" w:rsidR="6B3A5E49">
        <w:rPr>
          <w:rFonts w:ascii="Times New Roman" w:hAnsi="Times New Roman" w:eastAsia="Times New Roman" w:cs="Times New Roman"/>
          <w:noProof w:val="0"/>
          <w:sz w:val="24"/>
          <w:szCs w:val="24"/>
          <w:lang w:val="fr-FR"/>
        </w:rPr>
        <w:t xml:space="preserve">Aurélien Goutsmedt </w:t>
      </w:r>
      <w:r w:rsidRPr="6378B0FF" w:rsidR="6B3A5E49">
        <w:rPr>
          <w:rFonts w:ascii="Times New Roman" w:hAnsi="Times New Roman" w:eastAsia="Times New Roman" w:cs="Times New Roman"/>
          <w:noProof w:val="0"/>
          <w:sz w:val="24"/>
          <w:szCs w:val="24"/>
          <w:lang w:val="fr-FR"/>
        </w:rPr>
        <w:t>est</w:t>
      </w:r>
      <w:r w:rsidRPr="6378B0FF" w:rsidR="6B3A5E49">
        <w:rPr>
          <w:rFonts w:ascii="Times New Roman" w:hAnsi="Times New Roman" w:eastAsia="Times New Roman" w:cs="Times New Roman"/>
          <w:noProof w:val="0"/>
          <w:sz w:val="24"/>
          <w:szCs w:val="24"/>
          <w:lang w:val="fr-FR"/>
        </w:rPr>
        <w:t xml:space="preserve"> </w:t>
      </w:r>
      <w:r w:rsidRPr="6378B0FF" w:rsidR="6B3A5E49">
        <w:rPr>
          <w:rFonts w:ascii="Times New Roman" w:hAnsi="Times New Roman" w:eastAsia="Times New Roman" w:cs="Times New Roman"/>
          <w:noProof w:val="0"/>
          <w:sz w:val="24"/>
          <w:szCs w:val="24"/>
          <w:lang w:val="fr-FR"/>
        </w:rPr>
        <w:t>chercheur</w:t>
      </w:r>
      <w:r w:rsidRPr="6378B0FF" w:rsidR="6B3A5E49">
        <w:rPr>
          <w:rFonts w:ascii="Times New Roman" w:hAnsi="Times New Roman" w:eastAsia="Times New Roman" w:cs="Times New Roman"/>
          <w:noProof w:val="0"/>
          <w:sz w:val="24"/>
          <w:szCs w:val="24"/>
          <w:lang w:val="fr-FR"/>
        </w:rPr>
        <w:t xml:space="preserve"> postdoctoral à </w:t>
      </w:r>
      <w:r w:rsidRPr="6378B0FF" w:rsidR="6B3A5E49">
        <w:rPr>
          <w:rFonts w:ascii="Times New Roman" w:hAnsi="Times New Roman" w:eastAsia="Times New Roman" w:cs="Times New Roman"/>
          <w:noProof w:val="0"/>
          <w:sz w:val="24"/>
          <w:szCs w:val="24"/>
          <w:lang w:val="fr-FR"/>
        </w:rPr>
        <w:t>l'UC</w:t>
      </w:r>
      <w:r w:rsidRPr="6378B0FF" w:rsidR="6B3A5E49">
        <w:rPr>
          <w:rFonts w:ascii="Times New Roman" w:hAnsi="Times New Roman" w:eastAsia="Times New Roman" w:cs="Times New Roman"/>
          <w:noProof w:val="0"/>
          <w:sz w:val="24"/>
          <w:szCs w:val="24"/>
          <w:lang w:val="fr-FR"/>
        </w:rPr>
        <w:t xml:space="preserve"> Louvain et chargé de </w:t>
      </w:r>
      <w:r w:rsidRPr="6378B0FF" w:rsidR="6B3A5E49">
        <w:rPr>
          <w:rFonts w:ascii="Times New Roman" w:hAnsi="Times New Roman" w:eastAsia="Times New Roman" w:cs="Times New Roman"/>
          <w:noProof w:val="0"/>
          <w:sz w:val="24"/>
          <w:szCs w:val="24"/>
          <w:lang w:val="fr-FR"/>
        </w:rPr>
        <w:t>cours</w:t>
      </w:r>
      <w:r w:rsidRPr="6378B0FF" w:rsidR="6B3A5E49">
        <w:rPr>
          <w:rFonts w:ascii="Times New Roman" w:hAnsi="Times New Roman" w:eastAsia="Times New Roman" w:cs="Times New Roman"/>
          <w:noProof w:val="0"/>
          <w:sz w:val="24"/>
          <w:szCs w:val="24"/>
          <w:lang w:val="fr-FR"/>
        </w:rPr>
        <w:t xml:space="preserve"> à </w:t>
      </w:r>
      <w:r w:rsidRPr="6378B0FF" w:rsidR="6B3A5E49">
        <w:rPr>
          <w:rFonts w:ascii="Times New Roman" w:hAnsi="Times New Roman" w:eastAsia="Times New Roman" w:cs="Times New Roman"/>
          <w:noProof w:val="0"/>
          <w:sz w:val="24"/>
          <w:szCs w:val="24"/>
          <w:lang w:val="fr-FR"/>
        </w:rPr>
        <w:t>l'ICHEC</w:t>
      </w:r>
      <w:r w:rsidRPr="6378B0FF" w:rsidR="6B3A5E49">
        <w:rPr>
          <w:rFonts w:ascii="Times New Roman" w:hAnsi="Times New Roman" w:eastAsia="Times New Roman" w:cs="Times New Roman"/>
          <w:noProof w:val="0"/>
          <w:sz w:val="24"/>
          <w:szCs w:val="24"/>
          <w:lang w:val="fr-FR"/>
        </w:rPr>
        <w:t>.</w:t>
      </w:r>
      <w:r w:rsidRPr="6378B0FF" w:rsidR="6ED21042">
        <w:rPr>
          <w:rFonts w:ascii="Times New Roman" w:hAnsi="Times New Roman" w:eastAsia="Times New Roman" w:cs="Times New Roman"/>
          <w:noProof w:val="0"/>
          <w:sz w:val="24"/>
          <w:szCs w:val="24"/>
          <w:lang w:val="fr-FR"/>
        </w:rPr>
        <w:t xml:space="preserve"> Il a soutenu une thèse en 2017 sur la stagflation des années 1970. Il travaille sur l’histoire des débats sur l’inflation et sur l’influence dans l’expertise économique dans la décision politique.</w:t>
      </w:r>
    </w:p>
    <w:p w:rsidR="6B3A5E49" w:rsidP="6378B0FF" w:rsidRDefault="6B3A5E49" w14:paraId="189C3246" w14:textId="53A0ADDA">
      <w:pPr>
        <w:spacing w:before="240" w:beforeAutospacing="off" w:after="240" w:afterAutospacing="off"/>
        <w:jc w:val="both"/>
        <w:rPr>
          <w:rFonts w:ascii="Times New Roman" w:hAnsi="Times New Roman" w:eastAsia="Times New Roman" w:cs="Times New Roman"/>
          <w:i w:val="0"/>
          <w:iCs w:val="0"/>
          <w:noProof w:val="0"/>
          <w:sz w:val="24"/>
          <w:szCs w:val="24"/>
          <w:lang w:val="fr-FR"/>
        </w:rPr>
      </w:pPr>
      <w:r w:rsidRPr="6378B0FF" w:rsidR="6B3A5E49">
        <w:rPr>
          <w:rFonts w:ascii="Times New Roman" w:hAnsi="Times New Roman" w:eastAsia="Times New Roman" w:cs="Times New Roman"/>
          <w:noProof w:val="0"/>
          <w:sz w:val="24"/>
          <w:szCs w:val="24"/>
          <w:lang w:val="fr-FR"/>
        </w:rPr>
        <w:t xml:space="preserve">Clément Fontan est professeur </w:t>
      </w:r>
      <w:r w:rsidRPr="6378B0FF" w:rsidR="7D20EE59">
        <w:rPr>
          <w:rFonts w:ascii="Times New Roman" w:hAnsi="Times New Roman" w:eastAsia="Times New Roman" w:cs="Times New Roman"/>
          <w:noProof w:val="0"/>
          <w:sz w:val="24"/>
          <w:szCs w:val="24"/>
          <w:lang w:val="fr-FR"/>
        </w:rPr>
        <w:t xml:space="preserve">en </w:t>
      </w:r>
      <w:r w:rsidRPr="6378B0FF" w:rsidR="76E9B511">
        <w:rPr>
          <w:rFonts w:ascii="Times New Roman" w:hAnsi="Times New Roman" w:eastAsia="Times New Roman" w:cs="Times New Roman"/>
          <w:noProof w:val="0"/>
          <w:sz w:val="24"/>
          <w:szCs w:val="24"/>
          <w:lang w:val="fr-FR"/>
        </w:rPr>
        <w:t>p</w:t>
      </w:r>
      <w:r w:rsidRPr="6378B0FF" w:rsidR="6B3A5E49">
        <w:rPr>
          <w:rFonts w:ascii="Times New Roman" w:hAnsi="Times New Roman" w:eastAsia="Times New Roman" w:cs="Times New Roman"/>
          <w:noProof w:val="0"/>
          <w:sz w:val="24"/>
          <w:szCs w:val="24"/>
          <w:lang w:val="fr-FR"/>
        </w:rPr>
        <w:t>olitiques</w:t>
      </w:r>
      <w:r w:rsidRPr="6378B0FF" w:rsidR="086F14EE">
        <w:rPr>
          <w:rFonts w:ascii="Times New Roman" w:hAnsi="Times New Roman" w:eastAsia="Times New Roman" w:cs="Times New Roman"/>
          <w:noProof w:val="0"/>
          <w:sz w:val="24"/>
          <w:szCs w:val="24"/>
          <w:lang w:val="fr-FR"/>
        </w:rPr>
        <w:t xml:space="preserve"> é</w:t>
      </w:r>
      <w:r w:rsidRPr="6378B0FF" w:rsidR="6B3A5E49">
        <w:rPr>
          <w:rFonts w:ascii="Times New Roman" w:hAnsi="Times New Roman" w:eastAsia="Times New Roman" w:cs="Times New Roman"/>
          <w:noProof w:val="0"/>
          <w:sz w:val="24"/>
          <w:szCs w:val="24"/>
          <w:lang w:val="fr-FR"/>
        </w:rPr>
        <w:t xml:space="preserve">conomiques </w:t>
      </w:r>
      <w:r w:rsidRPr="6378B0FF" w:rsidR="16957C44">
        <w:rPr>
          <w:rFonts w:ascii="Times New Roman" w:hAnsi="Times New Roman" w:eastAsia="Times New Roman" w:cs="Times New Roman"/>
          <w:noProof w:val="0"/>
          <w:sz w:val="24"/>
          <w:szCs w:val="24"/>
          <w:lang w:val="fr-FR"/>
        </w:rPr>
        <w:t>e</w:t>
      </w:r>
      <w:r w:rsidRPr="6378B0FF" w:rsidR="6B3A5E49">
        <w:rPr>
          <w:rFonts w:ascii="Times New Roman" w:hAnsi="Times New Roman" w:eastAsia="Times New Roman" w:cs="Times New Roman"/>
          <w:noProof w:val="0"/>
          <w:sz w:val="24"/>
          <w:szCs w:val="24"/>
          <w:lang w:val="fr-FR"/>
        </w:rPr>
        <w:t>uropéennes à l’UC Louvain</w:t>
      </w:r>
      <w:r w:rsidRPr="6378B0FF" w:rsidR="7646C340">
        <w:rPr>
          <w:rFonts w:ascii="Times New Roman" w:hAnsi="Times New Roman" w:eastAsia="Times New Roman" w:cs="Times New Roman"/>
          <w:noProof w:val="0"/>
          <w:sz w:val="24"/>
          <w:szCs w:val="24"/>
          <w:lang w:val="fr-FR"/>
        </w:rPr>
        <w:t xml:space="preserve"> Saint-Louis Bruxelles</w:t>
      </w:r>
      <w:r w:rsidRPr="6378B0FF" w:rsidR="3B962557">
        <w:rPr>
          <w:rFonts w:ascii="Times New Roman" w:hAnsi="Times New Roman" w:eastAsia="Times New Roman" w:cs="Times New Roman"/>
          <w:noProof w:val="0"/>
          <w:sz w:val="24"/>
          <w:szCs w:val="24"/>
          <w:lang w:val="fr-FR"/>
        </w:rPr>
        <w:t xml:space="preserve"> depuis 2018</w:t>
      </w:r>
      <w:r w:rsidRPr="6378B0FF" w:rsidR="7646C340">
        <w:rPr>
          <w:rFonts w:ascii="Times New Roman" w:hAnsi="Times New Roman" w:eastAsia="Times New Roman" w:cs="Times New Roman"/>
          <w:noProof w:val="0"/>
          <w:sz w:val="24"/>
          <w:szCs w:val="24"/>
          <w:lang w:val="fr-FR"/>
        </w:rPr>
        <w:t>.</w:t>
      </w:r>
      <w:r w:rsidRPr="6378B0FF" w:rsidR="3A55EBF6">
        <w:rPr>
          <w:rFonts w:ascii="Times New Roman" w:hAnsi="Times New Roman" w:eastAsia="Times New Roman" w:cs="Times New Roman"/>
          <w:noProof w:val="0"/>
          <w:sz w:val="24"/>
          <w:szCs w:val="24"/>
          <w:lang w:val="fr-FR"/>
        </w:rPr>
        <w:t xml:space="preserve"> Il a co-dirigé la revue </w:t>
      </w:r>
      <w:r w:rsidRPr="6378B0FF" w:rsidR="3927A1B3">
        <w:rPr>
          <w:rFonts w:ascii="Times New Roman" w:hAnsi="Times New Roman" w:eastAsia="Times New Roman" w:cs="Times New Roman"/>
          <w:i w:val="1"/>
          <w:iCs w:val="1"/>
          <w:noProof w:val="0"/>
          <w:sz w:val="24"/>
          <w:szCs w:val="24"/>
          <w:lang w:val="fr-FR"/>
        </w:rPr>
        <w:t xml:space="preserve">Politiques Européennes </w:t>
      </w:r>
      <w:r w:rsidRPr="6378B0FF" w:rsidR="3927A1B3">
        <w:rPr>
          <w:rFonts w:ascii="Times New Roman" w:hAnsi="Times New Roman" w:eastAsia="Times New Roman" w:cs="Times New Roman"/>
          <w:i w:val="0"/>
          <w:iCs w:val="0"/>
          <w:noProof w:val="0"/>
          <w:sz w:val="24"/>
          <w:szCs w:val="24"/>
          <w:lang w:val="fr-FR"/>
        </w:rPr>
        <w:t>entre 2018 et 2024. Il est spécialisé dans l’économie politique, les études européennes, l’éthique financière, les banques centrales et les crises financières.</w:t>
      </w:r>
    </w:p>
    <w:p w:rsidR="00E42237" w:rsidP="00B31E20" w:rsidRDefault="5368B168" w14:paraId="52A13DE2" w14:textId="5C69361A">
      <w:pPr>
        <w:pStyle w:val="Titre1"/>
      </w:pPr>
      <w:r w:rsidRPr="4E12AD89">
        <w:t>Introduction</w:t>
      </w:r>
    </w:p>
    <w:p w:rsidRPr="00820713" w:rsidR="377C64B5" w:rsidP="00B31E20" w:rsidRDefault="4A914FC5" w14:paraId="7E07272D" w14:textId="76D47977">
      <w:r w:rsidRPr="4E12AD89">
        <w:t xml:space="preserve">En juin 2010, </w:t>
      </w:r>
      <w:r w:rsidRPr="4E12AD89" w:rsidR="6D7526C0">
        <w:t xml:space="preserve">dans </w:t>
      </w:r>
      <w:r w:rsidRPr="4E12AD89" w:rsidR="483521E4">
        <w:t xml:space="preserve">un dessin animé </w:t>
      </w:r>
      <w:r w:rsidRPr="4E12AD89" w:rsidR="02A80ACC">
        <w:t>publié par</w:t>
      </w:r>
      <w:r w:rsidRPr="4E12AD89" w:rsidR="483521E4">
        <w:t xml:space="preserve"> </w:t>
      </w:r>
      <w:r w:rsidRPr="4E12AD89">
        <w:t>la Banque centrale européenne (BCE)</w:t>
      </w:r>
      <w:r w:rsidRPr="4E12AD89" w:rsidR="69C96533">
        <w:t xml:space="preserve">, </w:t>
      </w:r>
      <w:r w:rsidRPr="4E12AD89">
        <w:t>deux adolescents rêveurs remont</w:t>
      </w:r>
      <w:r w:rsidRPr="4E12AD89" w:rsidR="0AF8E3FC">
        <w:t>e</w:t>
      </w:r>
      <w:r w:rsidRPr="4E12AD89">
        <w:t xml:space="preserve">nt le temps </w:t>
      </w:r>
      <w:r w:rsidRPr="4E12AD89" w:rsidR="55095F6A">
        <w:t>à une époque</w:t>
      </w:r>
      <w:r w:rsidRPr="4E12AD89">
        <w:t xml:space="preserve"> ressemblant à cel</w:t>
      </w:r>
      <w:r w:rsidRPr="4E12AD89" w:rsidR="2906D2ED">
        <w:t xml:space="preserve">le </w:t>
      </w:r>
      <w:r w:rsidRPr="4E12AD89">
        <w:t xml:space="preserve">de la République de </w:t>
      </w:r>
      <w:r w:rsidRPr="4E12AD89">
        <w:lastRenderedPageBreak/>
        <w:t xml:space="preserve">Weimar. </w:t>
      </w:r>
      <w:r w:rsidRPr="4E12AD89" w:rsidR="4D6CC602">
        <w:t xml:space="preserve">Ils </w:t>
      </w:r>
      <w:r w:rsidRPr="4E12AD89" w:rsidR="694A6CD9">
        <w:t xml:space="preserve">y </w:t>
      </w:r>
      <w:r w:rsidRPr="4E12AD89" w:rsidR="56E1F6E4">
        <w:t>font la rencontre d’</w:t>
      </w:r>
      <w:r w:rsidRPr="4E12AD89" w:rsidR="219A0203">
        <w:t>un</w:t>
      </w:r>
      <w:r w:rsidRPr="4E12AD89" w:rsidR="4D6CC602">
        <w:t xml:space="preserve"> monstre bleu qui, en f</w:t>
      </w:r>
      <w:r w:rsidRPr="4E12AD89" w:rsidR="58A9B223">
        <w:t>aisant tomber du ciel des billets de</w:t>
      </w:r>
      <w:r w:rsidRPr="4E12AD89" w:rsidR="46942E61">
        <w:t xml:space="preserve"> banque, </w:t>
      </w:r>
      <w:r w:rsidRPr="4E12AD89" w:rsidR="1EEA830D">
        <w:t xml:space="preserve">enclenche une spirale </w:t>
      </w:r>
      <w:r w:rsidRPr="4E12AD89" w:rsidR="293AA3C9">
        <w:t xml:space="preserve">inflationniste </w:t>
      </w:r>
      <w:r w:rsidRPr="4E12AD89" w:rsidR="2CBF81AD">
        <w:t>dévastatrice.</w:t>
      </w:r>
      <w:r w:rsidRPr="4E12AD89" w:rsidR="4D6CC602">
        <w:t xml:space="preserve"> </w:t>
      </w:r>
      <w:r w:rsidRPr="4E12AD89" w:rsidR="307C5F29">
        <w:t>L</w:t>
      </w:r>
      <w:r w:rsidRPr="4E12AD89">
        <w:t xml:space="preserve">es adolescents se réveillent de ce cauchemar </w:t>
      </w:r>
      <w:r w:rsidRPr="4E12AD89" w:rsidR="1B07DE60">
        <w:t>pour</w:t>
      </w:r>
      <w:r w:rsidRPr="4E12AD89">
        <w:t xml:space="preserve"> </w:t>
      </w:r>
      <w:r w:rsidRPr="4E12AD89" w:rsidR="15B51BAB">
        <w:t>effectuer</w:t>
      </w:r>
      <w:r w:rsidRPr="4E12AD89" w:rsidR="09B27A9E">
        <w:t xml:space="preserve"> </w:t>
      </w:r>
      <w:r w:rsidRPr="4E12AD89" w:rsidR="2C12B335">
        <w:t>une</w:t>
      </w:r>
      <w:r w:rsidRPr="4E12AD89" w:rsidR="09B27A9E">
        <w:t xml:space="preserve"> visite scolaire </w:t>
      </w:r>
      <w:r w:rsidRPr="4E12AD89" w:rsidR="753F1983">
        <w:t>à</w:t>
      </w:r>
      <w:r w:rsidRPr="4E12AD89" w:rsidR="09B27A9E">
        <w:t xml:space="preserve"> </w:t>
      </w:r>
      <w:r w:rsidRPr="4E12AD89">
        <w:t xml:space="preserve">la BCE, où ils </w:t>
      </w:r>
      <w:r w:rsidRPr="4E12AD89" w:rsidR="5CEE5617">
        <w:t>retrouvent</w:t>
      </w:r>
      <w:r w:rsidRPr="4E12AD89">
        <w:t xml:space="preserve"> le monstre de l'inflation </w:t>
      </w:r>
      <w:r w:rsidRPr="4E12AD89" w:rsidR="62FFA148">
        <w:t xml:space="preserve">qui </w:t>
      </w:r>
      <w:r w:rsidRPr="4E12AD89">
        <w:t xml:space="preserve">a été </w:t>
      </w:r>
      <w:r w:rsidRPr="4E12AD89" w:rsidR="38929515">
        <w:t xml:space="preserve">maitrisé et mis en bouteille, au sens propre du terme, </w:t>
      </w:r>
      <w:r w:rsidRPr="4E12AD89">
        <w:t>par des banquiers centraux indépendants dont la principale</w:t>
      </w:r>
      <w:r w:rsidRPr="4E12AD89" w:rsidR="06F9721E">
        <w:t xml:space="preserve"> mission </w:t>
      </w:r>
      <w:r w:rsidRPr="4E12AD89">
        <w:t>est d'assurer la stabilité des prix.</w:t>
      </w:r>
      <w:r w:rsidRPr="4E12AD89" w:rsidR="4D6CC602">
        <w:t xml:space="preserve"> </w:t>
      </w:r>
    </w:p>
    <w:p w:rsidR="7BA0D5B5" w:rsidP="00B31E20" w:rsidRDefault="7BA0D5B5" w14:paraId="5D4D4FD3" w14:textId="7A4199A1">
      <w:r w:rsidRPr="4E12AD89">
        <w:t>Treize ans plus tard, Christine Lagarde, présidente de la BCE, déclar</w:t>
      </w:r>
      <w:r w:rsidRPr="4E12AD89" w:rsidR="00333BB8">
        <w:t>e</w:t>
      </w:r>
      <w:r w:rsidRPr="4E12AD89">
        <w:t xml:space="preserve"> dans une interview </w:t>
      </w:r>
      <w:r w:rsidRPr="4E12AD89" w:rsidR="00333BB8">
        <w:t>que la BCE doit</w:t>
      </w:r>
      <w:r w:rsidRPr="4E12AD89">
        <w:t xml:space="preserve"> faire davantage pour s</w:t>
      </w:r>
      <w:r w:rsidRPr="4E12AD89" w:rsidR="0020272A">
        <w:t>’</w:t>
      </w:r>
      <w:r w:rsidRPr="4E12AD89">
        <w:t xml:space="preserve">attaquer au </w:t>
      </w:r>
      <w:r w:rsidRPr="4E12AD89" w:rsidR="00333BB8">
        <w:t>« </w:t>
      </w:r>
      <w:r w:rsidRPr="4E12AD89">
        <w:t>monstre de l'inflation</w:t>
      </w:r>
      <w:r w:rsidRPr="4E12AD89" w:rsidR="00333BB8">
        <w:t> »</w:t>
      </w:r>
      <w:r w:rsidR="004D6F88">
        <w:rPr>
          <w:rStyle w:val="Appelnotedebasdep"/>
        </w:rPr>
        <w:footnoteReference w:id="4"/>
      </w:r>
      <w:r w:rsidRPr="4E12AD89">
        <w:t xml:space="preserve">. </w:t>
      </w:r>
      <w:r w:rsidRPr="4E12AD89" w:rsidR="007A073E">
        <w:t>D</w:t>
      </w:r>
      <w:r w:rsidRPr="4E12AD89">
        <w:t xml:space="preserve">epuis la mi-2021, plusieurs facteurs, dont les perturbations des chaînes d'approvisionnement mondiales </w:t>
      </w:r>
      <w:r w:rsidRPr="4E12AD89" w:rsidR="56AA938B">
        <w:t>depuis le Covid-19</w:t>
      </w:r>
      <w:r w:rsidRPr="4E12AD89">
        <w:t xml:space="preserve"> et l'invasion</w:t>
      </w:r>
      <w:r w:rsidRPr="4E12AD89" w:rsidR="00A82A58">
        <w:t xml:space="preserve"> russe</w:t>
      </w:r>
      <w:r w:rsidRPr="4E12AD89">
        <w:t xml:space="preserve"> </w:t>
      </w:r>
      <w:r w:rsidRPr="4E12AD89" w:rsidR="00A82A58">
        <w:t xml:space="preserve">en </w:t>
      </w:r>
      <w:r w:rsidRPr="4E12AD89">
        <w:t xml:space="preserve">Ukraine, ont </w:t>
      </w:r>
      <w:r w:rsidRPr="4E12AD89" w:rsidR="6A75D27F">
        <w:t>conduit l’inflation annuel</w:t>
      </w:r>
      <w:r w:rsidRPr="4E12AD89" w:rsidR="40821A9C">
        <w:t>le</w:t>
      </w:r>
      <w:r w:rsidRPr="4E12AD89" w:rsidR="6A75D27F">
        <w:t xml:space="preserve"> à dépasser les </w:t>
      </w:r>
      <w:r w:rsidRPr="4E12AD89">
        <w:t xml:space="preserve">10%. </w:t>
      </w:r>
      <w:r w:rsidRPr="4E12AD89" w:rsidR="4D021708">
        <w:t>En réaction</w:t>
      </w:r>
      <w:r w:rsidRPr="4E12AD89" w:rsidR="00F11F1C">
        <w:t>,</w:t>
      </w:r>
      <w:r w:rsidRPr="4E12AD89">
        <w:t xml:space="preserve"> la BCE </w:t>
      </w:r>
      <w:r w:rsidRPr="4E12AD89" w:rsidR="00F11F1C">
        <w:t>a</w:t>
      </w:r>
      <w:r w:rsidRPr="4E12AD89">
        <w:t xml:space="preserve"> augment</w:t>
      </w:r>
      <w:r w:rsidRPr="4E12AD89" w:rsidR="00F11F1C">
        <w:t>é</w:t>
      </w:r>
      <w:r w:rsidRPr="4E12AD89">
        <w:t xml:space="preserve"> </w:t>
      </w:r>
      <w:r w:rsidRPr="4E12AD89" w:rsidR="63548C07">
        <w:t>s</w:t>
      </w:r>
      <w:r w:rsidRPr="4E12AD89">
        <w:t xml:space="preserve">es taux d'intérêt </w:t>
      </w:r>
      <w:r w:rsidRPr="4E12AD89" w:rsidR="2C648528">
        <w:t xml:space="preserve">directeurs </w:t>
      </w:r>
      <w:r w:rsidRPr="4E12AD89">
        <w:t xml:space="preserve">pour la première fois </w:t>
      </w:r>
      <w:r w:rsidRPr="4E12AD89" w:rsidR="7BDF73EC">
        <w:t>depuis</w:t>
      </w:r>
      <w:r w:rsidRPr="4E12AD89">
        <w:t xml:space="preserve"> </w:t>
      </w:r>
      <w:r w:rsidRPr="4E12AD89" w:rsidR="293DD231">
        <w:t>2011</w:t>
      </w:r>
      <w:r w:rsidRPr="4E12AD89">
        <w:t xml:space="preserve"> et </w:t>
      </w:r>
      <w:r w:rsidRPr="4E12AD89" w:rsidR="00F11F1C">
        <w:t>a</w:t>
      </w:r>
      <w:r w:rsidRPr="4E12AD89">
        <w:t xml:space="preserve"> annonc</w:t>
      </w:r>
      <w:r w:rsidRPr="4E12AD89" w:rsidR="00F11F1C">
        <w:t>é</w:t>
      </w:r>
      <w:r w:rsidRPr="4E12AD89">
        <w:t xml:space="preserve"> la fin de</w:t>
      </w:r>
      <w:r w:rsidRPr="4E12AD89" w:rsidR="50A9637B">
        <w:t xml:space="preserve"> ses</w:t>
      </w:r>
      <w:r w:rsidRPr="4E12AD89">
        <w:t xml:space="preserve"> programmes d</w:t>
      </w:r>
      <w:r w:rsidRPr="4E12AD89" w:rsidR="00A6632B">
        <w:t>’</w:t>
      </w:r>
      <w:r w:rsidRPr="4E12AD89">
        <w:t>achat d</w:t>
      </w:r>
      <w:r w:rsidRPr="4E12AD89" w:rsidR="00A6632B">
        <w:t>’</w:t>
      </w:r>
      <w:r w:rsidRPr="4E12AD89">
        <w:t xml:space="preserve">actifs qui avaient été </w:t>
      </w:r>
      <w:r w:rsidRPr="4E12AD89" w:rsidR="606CD092">
        <w:t xml:space="preserve">mis en </w:t>
      </w:r>
      <w:r w:rsidRPr="4E12AD89" w:rsidR="4A516ABD">
        <w:t>œuvre</w:t>
      </w:r>
      <w:r w:rsidRPr="4E12AD89">
        <w:t xml:space="preserve"> pour r</w:t>
      </w:r>
      <w:r w:rsidRPr="4E12AD89" w:rsidR="676C1B85">
        <w:t>épondre</w:t>
      </w:r>
      <w:r w:rsidRPr="4E12AD89">
        <w:t xml:space="preserve"> aux </w:t>
      </w:r>
      <w:r w:rsidRPr="4E12AD89" w:rsidR="7122E96C">
        <w:t>conséquences déflationnistes</w:t>
      </w:r>
      <w:r w:rsidRPr="4E12AD89">
        <w:t xml:space="preserve"> de la crise financière de 2007-2009</w:t>
      </w:r>
      <w:r w:rsidRPr="4E12AD89" w:rsidR="328A97B7">
        <w:t>.</w:t>
      </w:r>
    </w:p>
    <w:p w:rsidRPr="00820713" w:rsidR="328A97B7" w:rsidP="00B31E20" w:rsidRDefault="02AD4B0E" w14:paraId="5791EA2F" w14:textId="050614F4">
      <w:r w:rsidRPr="00820713">
        <w:t xml:space="preserve">Dans cet article, nous montrons comment </w:t>
      </w:r>
      <w:r w:rsidRPr="00820713" w:rsidR="4990EFA3">
        <w:t xml:space="preserve">cette séquence de crises a </w:t>
      </w:r>
      <w:r w:rsidRPr="00820713" w:rsidR="091B164F">
        <w:t>mené</w:t>
      </w:r>
      <w:r w:rsidRPr="00820713" w:rsidR="4990EFA3">
        <w:t xml:space="preserve"> </w:t>
      </w:r>
      <w:r w:rsidRPr="00820713">
        <w:t>la BCE</w:t>
      </w:r>
      <w:r w:rsidRPr="00820713" w:rsidR="46487C34">
        <w:t xml:space="preserve"> </w:t>
      </w:r>
      <w:r w:rsidRPr="00820713" w:rsidR="11A6EB7B">
        <w:t>à</w:t>
      </w:r>
      <w:r w:rsidRPr="00820713">
        <w:t xml:space="preserve"> </w:t>
      </w:r>
      <w:r w:rsidRPr="00820713" w:rsidR="2D5A03FC">
        <w:t>modifier son</w:t>
      </w:r>
      <w:r w:rsidRPr="00820713" w:rsidR="6536FF5C">
        <w:t xml:space="preserve"> cadrage</w:t>
      </w:r>
      <w:r w:rsidRPr="00820713" w:rsidR="45EAABF5">
        <w:t xml:space="preserve"> </w:t>
      </w:r>
      <w:r w:rsidR="747C9183">
        <w:t xml:space="preserve">de </w:t>
      </w:r>
      <w:r w:rsidR="09FA683E">
        <w:t>l’inflation</w:t>
      </w:r>
      <w:r w:rsidRPr="00820713" w:rsidR="2D59DB5F">
        <w:t xml:space="preserve"> et la réponse qui doit y </w:t>
      </w:r>
      <w:r w:rsidRPr="00820713" w:rsidR="51735E8F">
        <w:t>être</w:t>
      </w:r>
      <w:r w:rsidRPr="00820713" w:rsidR="2D59DB5F">
        <w:t xml:space="preserve"> apport</w:t>
      </w:r>
      <w:r w:rsidRPr="00820713" w:rsidR="5BF6C85B">
        <w:t>ée</w:t>
      </w:r>
      <w:r w:rsidRPr="00820713" w:rsidR="56541CA3">
        <w:t>.</w:t>
      </w:r>
      <w:r w:rsidRPr="00820713" w:rsidR="38CCB94D">
        <w:t xml:space="preserve"> </w:t>
      </w:r>
      <w:r w:rsidRPr="00820713" w:rsidR="1270ECD0">
        <w:t>Par-là</w:t>
      </w:r>
      <w:r w:rsidRPr="00820713" w:rsidR="71A5A746">
        <w:t>, la BCE</w:t>
      </w:r>
      <w:r w:rsidRPr="00820713" w:rsidR="2D59DB5F">
        <w:t xml:space="preserve"> </w:t>
      </w:r>
      <w:r w:rsidRPr="00820713" w:rsidR="4356614C">
        <w:t>procède à une reconstruction de</w:t>
      </w:r>
      <w:r w:rsidRPr="00820713" w:rsidR="030BB98F">
        <w:t xml:space="preserve"> </w:t>
      </w:r>
      <w:r w:rsidRPr="00820713" w:rsidR="6B58128A">
        <w:t>sa légitimité,</w:t>
      </w:r>
      <w:r w:rsidRPr="00820713" w:rsidR="3A300FB5">
        <w:t xml:space="preserve"> principalement fondée sur le modèle de la banque centrale indépendant</w:t>
      </w:r>
      <w:r w:rsidRPr="00820713" w:rsidR="4FDAFD75">
        <w:t>e</w:t>
      </w:r>
      <w:r w:rsidRPr="00820713" w:rsidR="3A300FB5">
        <w:t xml:space="preserve"> </w:t>
      </w:r>
      <w:r w:rsidRPr="00820713" w:rsidR="4FDAFD75">
        <w:t>(BCI)</w:t>
      </w:r>
      <w:r w:rsidRPr="00820713" w:rsidR="45C26356">
        <w:t xml:space="preserve">, face à un contexte macro-économique changeant. </w:t>
      </w:r>
    </w:p>
    <w:p w:rsidRPr="00820713" w:rsidR="328A97B7" w:rsidP="00B31E20" w:rsidRDefault="183CF394" w14:paraId="4AF7134B" w14:textId="41AFACA0">
      <w:r w:rsidRPr="4E12AD89">
        <w:t xml:space="preserve">Les partisans du modèle </w:t>
      </w:r>
      <w:r w:rsidRPr="4E12AD89" w:rsidR="11FB8013">
        <w:t xml:space="preserve">de la </w:t>
      </w:r>
      <w:r w:rsidRPr="4E12AD89" w:rsidR="5223DB4D">
        <w:t>BCI</w:t>
      </w:r>
      <w:r w:rsidRPr="4E12AD89">
        <w:t xml:space="preserve"> soutiennent que le fait d</w:t>
      </w:r>
      <w:r w:rsidRPr="4E12AD89" w:rsidR="37C18E4A">
        <w:t>’</w:t>
      </w:r>
      <w:r w:rsidRPr="4E12AD89">
        <w:t>accorder aux banques centrales un niveau élevé d'indépendance tout en limitant leurs objectifs à la stabilité des prix constitue un arrangement institutionnel optimal</w:t>
      </w:r>
      <w:r w:rsidR="004D6F88">
        <w:rPr>
          <w:rStyle w:val="Appelnotedebasdep"/>
        </w:rPr>
        <w:footnoteReference w:id="5"/>
      </w:r>
      <w:r w:rsidRPr="4E12AD89">
        <w:t xml:space="preserve">. </w:t>
      </w:r>
      <w:r w:rsidRPr="4E12AD89" w:rsidR="5C4F9A04">
        <w:t>En effet, l</w:t>
      </w:r>
      <w:r w:rsidRPr="4E12AD89">
        <w:t>'une des explications dominantes de l</w:t>
      </w:r>
      <w:r w:rsidRPr="4E12AD89" w:rsidR="50A41B17">
        <w:t>’</w:t>
      </w:r>
      <w:r w:rsidRPr="4E12AD89">
        <w:t>inflation</w:t>
      </w:r>
      <w:r w:rsidRPr="4E12AD89" w:rsidR="27C5089D">
        <w:t>,</w:t>
      </w:r>
      <w:r w:rsidRPr="4E12AD89">
        <w:t xml:space="preserve"> qui subsiste aujourd'hui</w:t>
      </w:r>
      <w:r w:rsidRPr="4E12AD89" w:rsidR="0FCB4187">
        <w:t>,</w:t>
      </w:r>
      <w:r w:rsidRPr="4E12AD89">
        <w:t xml:space="preserve"> est qu</w:t>
      </w:r>
      <w:r w:rsidRPr="4E12AD89" w:rsidR="72348E06">
        <w:t>’accorder</w:t>
      </w:r>
      <w:r w:rsidRPr="4E12AD89">
        <w:t xml:space="preserve"> d'autres objectifs économiques </w:t>
      </w:r>
      <w:r w:rsidRPr="4E12AD89" w:rsidR="778713D7">
        <w:t xml:space="preserve">aux banques centrales </w:t>
      </w:r>
      <w:r w:rsidRPr="4E12AD89">
        <w:t>est</w:t>
      </w:r>
      <w:r w:rsidRPr="4E12AD89" w:rsidR="1BF30180">
        <w:t xml:space="preserve"> intrinsèquement </w:t>
      </w:r>
      <w:r w:rsidRPr="4E12AD89">
        <w:t>inflationniste : s'attaquer à des problèmes tels que le chômage</w:t>
      </w:r>
      <w:r w:rsidRPr="4E12AD89" w:rsidR="1E968EAD">
        <w:t xml:space="preserve"> </w:t>
      </w:r>
      <w:r w:rsidRPr="4E12AD89">
        <w:t>ou la stabilité financière mettraient en péril la stabilité des prix.</w:t>
      </w:r>
    </w:p>
    <w:p w:rsidRPr="00820713" w:rsidR="15CE6CE0" w:rsidP="00B31E20" w:rsidRDefault="7EA9B94D" w14:paraId="4891590C" w14:textId="512DE28C">
      <w:r w:rsidRPr="4E12AD89">
        <w:t>Néanmoins, depuis la crise financière</w:t>
      </w:r>
      <w:r w:rsidRPr="4E12AD89" w:rsidR="74E421EF">
        <w:t xml:space="preserve"> de 2007-2009</w:t>
      </w:r>
      <w:r w:rsidRPr="4E12AD89">
        <w:t xml:space="preserve">, la BCE a été confrontée à de nombreux défis </w:t>
      </w:r>
      <w:r w:rsidRPr="4E12AD89" w:rsidR="1752F940">
        <w:t xml:space="preserve">dont la portée </w:t>
      </w:r>
      <w:r w:rsidRPr="4E12AD89" w:rsidR="1E9BAF1A">
        <w:t>dépasse</w:t>
      </w:r>
      <w:r w:rsidRPr="4E12AD89" w:rsidR="1752F940">
        <w:t xml:space="preserve"> </w:t>
      </w:r>
      <w:r w:rsidRPr="4E12AD89" w:rsidR="28DF5A92">
        <w:t>le périmètre</w:t>
      </w:r>
      <w:r w:rsidRPr="4E12AD89" w:rsidR="552E9335">
        <w:t xml:space="preserve"> de la </w:t>
      </w:r>
      <w:r w:rsidRPr="4E12AD89" w:rsidR="7DECED6A">
        <w:t>légitim</w:t>
      </w:r>
      <w:r w:rsidRPr="4E12AD89" w:rsidR="3DBBFE2A">
        <w:t>it</w:t>
      </w:r>
      <w:r w:rsidRPr="4E12AD89" w:rsidR="7DECED6A">
        <w:t>é</w:t>
      </w:r>
      <w:r w:rsidRPr="4E12AD89" w:rsidR="552E9335">
        <w:t xml:space="preserve"> associée au modèle BCI </w:t>
      </w:r>
      <w:r w:rsidRPr="4E12AD89">
        <w:t>et de son objectif principal d</w:t>
      </w:r>
      <w:r w:rsidRPr="4E12AD89" w:rsidR="7D0F1463">
        <w:t>e</w:t>
      </w:r>
      <w:r w:rsidRPr="4E12AD89">
        <w:t xml:space="preserve"> stabilité des prix</w:t>
      </w:r>
      <w:r w:rsidRPr="4E12AD89" w:rsidR="2B47D6F9">
        <w:t xml:space="preserve"> : </w:t>
      </w:r>
      <w:r w:rsidRPr="4E12AD89">
        <w:t>la gestion de l</w:t>
      </w:r>
      <w:r w:rsidRPr="4E12AD89" w:rsidR="2B47D6F9">
        <w:t>’</w:t>
      </w:r>
      <w:r w:rsidRPr="4E12AD89">
        <w:t xml:space="preserve">instabilité financière, </w:t>
      </w:r>
      <w:r w:rsidRPr="4E12AD89" w:rsidR="24341575">
        <w:t>l</w:t>
      </w:r>
      <w:r w:rsidRPr="4E12AD89" w:rsidR="2A19AF66">
        <w:t>es risques de</w:t>
      </w:r>
      <w:r w:rsidRPr="4E12AD89" w:rsidR="01F65A8A">
        <w:t xml:space="preserve"> </w:t>
      </w:r>
      <w:r w:rsidRPr="4E12AD89" w:rsidR="2A19AF66">
        <w:t xml:space="preserve">stagnation économique durable </w:t>
      </w:r>
      <w:r w:rsidRPr="4E12AD89">
        <w:t>et, plus récemment, l</w:t>
      </w:r>
      <w:r w:rsidRPr="4E12AD89" w:rsidR="3AA3AFD8">
        <w:t>es conséquences économiques potentielles de</w:t>
      </w:r>
      <w:r w:rsidRPr="4E12AD89">
        <w:t xml:space="preserve"> la crise climatique.</w:t>
      </w:r>
    </w:p>
    <w:p w:rsidRPr="00820713" w:rsidR="15CE6CE0" w:rsidP="00B31E20" w:rsidRDefault="7EA9B94D" w14:paraId="37CAD3B7" w14:textId="2A1FAE57">
      <w:r w:rsidRPr="4E12AD89">
        <w:t xml:space="preserve">En réponse, la BCE a </w:t>
      </w:r>
      <w:r w:rsidRPr="4E12AD89" w:rsidR="3A8DACFC">
        <w:t>modifi</w:t>
      </w:r>
      <w:r w:rsidRPr="4E12AD89" w:rsidR="69AAA815">
        <w:t>é</w:t>
      </w:r>
      <w:r w:rsidRPr="4E12AD89" w:rsidR="3A8DACFC">
        <w:t xml:space="preserve"> son cadrage de l’inflation. </w:t>
      </w:r>
      <w:r w:rsidRPr="4E12AD89" w:rsidR="1942DE2A">
        <w:t>Par exemple, nous montrons qu</w:t>
      </w:r>
      <w:r w:rsidRPr="4E12AD89" w:rsidR="2EB9BC82">
        <w:t>e</w:t>
      </w:r>
      <w:r w:rsidRPr="4E12AD89" w:rsidR="1B2CD503">
        <w:t xml:space="preserve"> la stagnation économique prolongée dans la zone euro </w:t>
      </w:r>
      <w:r w:rsidRPr="4E12AD89" w:rsidR="4B107E44">
        <w:t xml:space="preserve">l’a poussé à redéfinir ses cibles d’inflation </w:t>
      </w:r>
      <w:r w:rsidRPr="4E12AD89" w:rsidR="4B107E44">
        <w:lastRenderedPageBreak/>
        <w:t>et sa s</w:t>
      </w:r>
      <w:r w:rsidRPr="4E12AD89" w:rsidR="1942DE2A">
        <w:t xml:space="preserve">tratégie de politique monétaire </w:t>
      </w:r>
      <w:r w:rsidRPr="4E12AD89" w:rsidR="255B768C">
        <w:t xml:space="preserve">ainsi qu’à </w:t>
      </w:r>
      <w:r w:rsidRPr="4E12AD89" w:rsidR="70095E76">
        <w:t>établi</w:t>
      </w:r>
      <w:r w:rsidRPr="4E12AD89" w:rsidR="1FCA83EF">
        <w:t>r</w:t>
      </w:r>
      <w:r w:rsidRPr="4E12AD89" w:rsidR="70095E76">
        <w:t xml:space="preserve"> des liens e</w:t>
      </w:r>
      <w:r w:rsidRPr="4E12AD89" w:rsidR="6A1AD3C1">
        <w:t xml:space="preserve">ntre changement climatique et stabilité des prix pour justifier sa nouvelle sensibilité </w:t>
      </w:r>
      <w:r w:rsidRPr="4E12AD89" w:rsidR="3131427B">
        <w:t>à</w:t>
      </w:r>
      <w:r w:rsidRPr="4E12AD89" w:rsidR="6A1AD3C1">
        <w:t xml:space="preserve"> </w:t>
      </w:r>
      <w:r w:rsidRPr="4E12AD89" w:rsidR="3131427B">
        <w:t>ces</w:t>
      </w:r>
      <w:r w:rsidRPr="4E12AD89" w:rsidR="6A1AD3C1">
        <w:t xml:space="preserve"> questions.</w:t>
      </w:r>
    </w:p>
    <w:p w:rsidRPr="00820713" w:rsidR="15CE6CE0" w:rsidP="00B31E20" w:rsidRDefault="7EA9B94D" w14:paraId="23CBBFA1" w14:textId="6ADA016C">
      <w:r w:rsidRPr="4E12AD89">
        <w:t xml:space="preserve">Toutefois, </w:t>
      </w:r>
      <w:r w:rsidRPr="4E12AD89" w:rsidR="4DCA41D5">
        <w:t xml:space="preserve">avec </w:t>
      </w:r>
      <w:r w:rsidRPr="4E12AD89">
        <w:t>la résurgence de l</w:t>
      </w:r>
      <w:r w:rsidRPr="4E12AD89" w:rsidR="2B9D3E06">
        <w:t>’</w:t>
      </w:r>
      <w:r w:rsidRPr="4E12AD89">
        <w:t>inflation depuis l</w:t>
      </w:r>
      <w:r w:rsidRPr="4E12AD89" w:rsidR="0CA0506B">
        <w:t>’été</w:t>
      </w:r>
      <w:r w:rsidRPr="4E12AD89">
        <w:t xml:space="preserve"> 2021</w:t>
      </w:r>
      <w:r w:rsidRPr="4E12AD89" w:rsidR="166B58EA">
        <w:t>,</w:t>
      </w:r>
      <w:r w:rsidRPr="4E12AD89">
        <w:t xml:space="preserve"> la BCE est</w:t>
      </w:r>
      <w:r w:rsidRPr="4E12AD89" w:rsidR="6F691981">
        <w:t>-elle</w:t>
      </w:r>
      <w:r w:rsidRPr="4E12AD89">
        <w:t xml:space="preserve"> revenue </w:t>
      </w:r>
      <w:r w:rsidRPr="4E12AD89" w:rsidR="5588BB93">
        <w:t>au modèle BCI originel</w:t>
      </w:r>
      <w:r w:rsidRPr="4E12AD89">
        <w:t xml:space="preserve"> ou </w:t>
      </w:r>
      <w:r w:rsidRPr="4E12AD89" w:rsidR="554A0354">
        <w:t xml:space="preserve">bien a-t-elle </w:t>
      </w:r>
      <w:r w:rsidRPr="4E12AD89">
        <w:t>intégré les changements intervenus depuis l</w:t>
      </w:r>
      <w:r w:rsidRPr="4E12AD89" w:rsidR="3FE78C58">
        <w:t>a crise financière de 2007-2009</w:t>
      </w:r>
      <w:r w:rsidRPr="4E12AD89" w:rsidR="0D059373">
        <w:t xml:space="preserve">. </w:t>
      </w:r>
      <w:r w:rsidRPr="4E12AD89">
        <w:t xml:space="preserve">En d'autres termes, la BCE </w:t>
      </w:r>
      <w:r w:rsidRPr="4E12AD89" w:rsidR="614BD3C3">
        <w:t>cadre</w:t>
      </w:r>
      <w:r w:rsidRPr="4E12AD89">
        <w:t xml:space="preserve">-elle aujourd'hui son </w:t>
      </w:r>
      <w:r w:rsidRPr="4E12AD89" w:rsidR="40E72375">
        <w:t xml:space="preserve">objectif de </w:t>
      </w:r>
      <w:r w:rsidRPr="4E12AD89" w:rsidR="0F90A653">
        <w:t>stabilité</w:t>
      </w:r>
      <w:r w:rsidRPr="4E12AD89" w:rsidR="40E72375">
        <w:t xml:space="preserve"> des prix</w:t>
      </w:r>
      <w:r w:rsidRPr="4E12AD89" w:rsidR="027A6B93">
        <w:t xml:space="preserve"> </w:t>
      </w:r>
      <w:r w:rsidRPr="4E12AD89">
        <w:t xml:space="preserve">de la même manière que </w:t>
      </w:r>
      <w:r w:rsidRPr="4E12AD89" w:rsidR="532AD3F2">
        <w:t>lors de</w:t>
      </w:r>
      <w:r w:rsidRPr="4E12AD89" w:rsidR="445DD22C">
        <w:t xml:space="preserve"> </w:t>
      </w:r>
      <w:r w:rsidRPr="4E12AD89" w:rsidR="532AD3F2">
        <w:t xml:space="preserve">sa lutte contre le </w:t>
      </w:r>
      <w:r w:rsidRPr="4E12AD89" w:rsidR="445DD22C">
        <w:t xml:space="preserve">monstre bleu </w:t>
      </w:r>
      <w:r w:rsidRPr="4E12AD89" w:rsidR="3690B0F4">
        <w:t>de l’inflation dans</w:t>
      </w:r>
      <w:r w:rsidRPr="4E12AD89">
        <w:t xml:space="preserve"> </w:t>
      </w:r>
      <w:r w:rsidRPr="4E12AD89" w:rsidR="7BB0E813">
        <w:t>s</w:t>
      </w:r>
      <w:r w:rsidRPr="4E12AD89" w:rsidR="3C717260">
        <w:t>on dessin animé</w:t>
      </w:r>
      <w:r w:rsidRPr="4E12AD89">
        <w:t xml:space="preserve"> de 2010 ?</w:t>
      </w:r>
    </w:p>
    <w:p w:rsidR="4E232A05" w:rsidP="00B31E20" w:rsidRDefault="4E232A05" w14:paraId="22EEE000" w14:textId="5316CDCD">
      <w:r w:rsidRPr="4E12AD89">
        <w:t>Cette question est sous tendue par un postulat</w:t>
      </w:r>
      <w:r w:rsidRPr="4E12AD89" w:rsidR="4F4CC545">
        <w:t xml:space="preserve"> central</w:t>
      </w:r>
      <w:r w:rsidRPr="4E12AD89" w:rsidR="4A4C8747">
        <w:t xml:space="preserve"> :</w:t>
      </w:r>
      <w:r w:rsidRPr="4E12AD89">
        <w:t xml:space="preserve"> </w:t>
      </w:r>
      <w:r w:rsidRPr="4E12AD89" w:rsidR="2B164AA3">
        <w:t>en tant qu'acteur politique, la BCE</w:t>
      </w:r>
      <w:r w:rsidRPr="4E12AD89" w:rsidR="5280A953">
        <w:t xml:space="preserve"> </w:t>
      </w:r>
      <w:r w:rsidRPr="4E12AD89" w:rsidR="1D4FCEA4">
        <w:t>cherche</w:t>
      </w:r>
      <w:r w:rsidRPr="4E12AD89" w:rsidR="5280A953">
        <w:t xml:space="preserve"> à</w:t>
      </w:r>
      <w:r w:rsidRPr="4E12AD89" w:rsidR="46DC3947">
        <w:t xml:space="preserve"> se légitimer </w:t>
      </w:r>
      <w:r w:rsidRPr="4E12AD89" w:rsidR="5280A953">
        <w:t>via un cadrag</w:t>
      </w:r>
      <w:r w:rsidRPr="4E12AD89" w:rsidR="38A0A066">
        <w:t>e</w:t>
      </w:r>
      <w:r w:rsidRPr="4E12AD89" w:rsidR="5280A953">
        <w:t xml:space="preserve"> stratégique des enjeux économiques</w:t>
      </w:r>
      <w:r w:rsidR="004D6F88">
        <w:rPr>
          <w:rStyle w:val="Appelnotedebasdep"/>
        </w:rPr>
        <w:footnoteReference w:id="6"/>
      </w:r>
      <w:r w:rsidR="00B31E20">
        <w:t xml:space="preserve">. </w:t>
      </w:r>
      <w:r w:rsidRPr="4E12AD89" w:rsidR="2F967DF8">
        <w:t xml:space="preserve">Ainsi, si la responsabilité légale </w:t>
      </w:r>
      <w:r w:rsidRPr="4E12AD89" w:rsidR="55C65613">
        <w:t xml:space="preserve">de la BCE </w:t>
      </w:r>
      <w:r w:rsidRPr="4E12AD89" w:rsidR="2565657D">
        <w:t>consiste</w:t>
      </w:r>
      <w:r w:rsidRPr="4E12AD89" w:rsidR="55C65613">
        <w:t xml:space="preserve"> à </w:t>
      </w:r>
      <w:r w:rsidRPr="4E12AD89" w:rsidR="165009A7">
        <w:t>contrôler</w:t>
      </w:r>
      <w:r w:rsidRPr="4E12AD89" w:rsidR="22AA308D">
        <w:t xml:space="preserve"> l’inflation</w:t>
      </w:r>
      <w:r w:rsidRPr="4E12AD89" w:rsidR="55C65613">
        <w:t xml:space="preserve">, elle dispose aussi d’un </w:t>
      </w:r>
      <w:r w:rsidRPr="4E12AD89" w:rsidR="26AC81A0">
        <w:t>intérêt</w:t>
      </w:r>
      <w:r w:rsidRPr="4E12AD89" w:rsidR="55C65613">
        <w:t xml:space="preserve"> </w:t>
      </w:r>
      <w:r w:rsidRPr="4E12AD89" w:rsidR="0F1AF476">
        <w:t>stratégique</w:t>
      </w:r>
      <w:r w:rsidRPr="4E12AD89" w:rsidR="55C65613">
        <w:t xml:space="preserve"> à diffuser</w:t>
      </w:r>
      <w:r w:rsidRPr="4E12AD89" w:rsidR="07E4374D">
        <w:t xml:space="preserve"> une </w:t>
      </w:r>
      <w:r w:rsidRPr="4E12AD89" w:rsidR="1D8ECE76">
        <w:t>« </w:t>
      </w:r>
      <w:r w:rsidRPr="4E12AD89" w:rsidR="07E4374D">
        <w:t xml:space="preserve">culture de la </w:t>
      </w:r>
      <w:r w:rsidRPr="4E12AD89" w:rsidR="02787BFD">
        <w:t>stabilité</w:t>
      </w:r>
      <w:r w:rsidRPr="4E12AD89" w:rsidR="3F53A07C">
        <w:t xml:space="preserve"> des prix</w:t>
      </w:r>
      <w:r w:rsidRPr="4E12AD89" w:rsidR="518ABACA">
        <w:t> »</w:t>
      </w:r>
      <w:r w:rsidRPr="4E12AD89" w:rsidR="0723CAE0">
        <w:t xml:space="preserve"> a</w:t>
      </w:r>
      <w:r w:rsidRPr="4E12AD89" w:rsidR="211D9752">
        <w:t>u</w:t>
      </w:r>
      <w:r w:rsidRPr="4E12AD89" w:rsidR="0723CAE0">
        <w:t xml:space="preserve">près de l’ensemble des acteurs </w:t>
      </w:r>
      <w:r w:rsidRPr="4E12AD89" w:rsidR="0954DE01">
        <w:t>économiques</w:t>
      </w:r>
      <w:r w:rsidRPr="4E12AD89" w:rsidR="0EB5C1C2">
        <w:t xml:space="preserve"> et à cadrer les phénomènes inflationnistes en lien avec les </w:t>
      </w:r>
      <w:r w:rsidRPr="4E12AD89" w:rsidR="02F6E9F7">
        <w:t>théories</w:t>
      </w:r>
      <w:r w:rsidRPr="4E12AD89" w:rsidR="0EB5C1C2">
        <w:t xml:space="preserve"> </w:t>
      </w:r>
      <w:r w:rsidRPr="4E12AD89" w:rsidR="217B7D5D">
        <w:t xml:space="preserve">économiques </w:t>
      </w:r>
      <w:r w:rsidRPr="4E12AD89" w:rsidR="0EB5C1C2">
        <w:t xml:space="preserve">qui </w:t>
      </w:r>
      <w:r w:rsidRPr="4E12AD89" w:rsidR="0D459001">
        <w:t>sous-tendent</w:t>
      </w:r>
      <w:r w:rsidRPr="4E12AD89" w:rsidR="0EB5C1C2">
        <w:t xml:space="preserve"> son </w:t>
      </w:r>
      <w:r w:rsidRPr="4E12AD89" w:rsidR="6E98F5F1">
        <w:t xml:space="preserve">indépendance. </w:t>
      </w:r>
    </w:p>
    <w:p w:rsidRPr="00820713" w:rsidR="004141AB" w:rsidP="00B31E20" w:rsidRDefault="03C08946" w14:paraId="5B4FAA09" w14:textId="07D31829">
      <w:r w:rsidRPr="4E12AD89">
        <w:t>Afin d'</w:t>
      </w:r>
      <w:r w:rsidRPr="4E12AD89" w:rsidR="7BDFF4BF">
        <w:t>explorer</w:t>
      </w:r>
      <w:r w:rsidRPr="4E12AD89">
        <w:t xml:space="preserve"> ces </w:t>
      </w:r>
      <w:r w:rsidRPr="4E12AD89" w:rsidR="0532F90A">
        <w:t>stratégies</w:t>
      </w:r>
      <w:r w:rsidRPr="4E12AD89">
        <w:t xml:space="preserve"> de légitimation,</w:t>
      </w:r>
      <w:r w:rsidRPr="4E12AD89" w:rsidR="54B5BED0">
        <w:t xml:space="preserve"> </w:t>
      </w:r>
      <w:r w:rsidRPr="4E12AD89" w:rsidR="24A122C4">
        <w:t>nous étudions l’évolution du cadrage de l’inflation dans les discours des membres du directoire de la BCE</w:t>
      </w:r>
      <w:r w:rsidRPr="4E12AD89" w:rsidR="1C6AB2CB">
        <w:t xml:space="preserve"> au cours de trois périodes</w:t>
      </w:r>
      <w:r w:rsidRPr="4E12AD89" w:rsidR="24A122C4">
        <w:t xml:space="preserve"> </w:t>
      </w:r>
      <w:r w:rsidRPr="4E12AD89" w:rsidR="5087A0C1">
        <w:t xml:space="preserve">: </w:t>
      </w:r>
      <w:r w:rsidRPr="4E12AD89" w:rsidR="377CC0EA">
        <w:t>celle de la BCI (1998-2011), de la stagnation séculaire (2011-2021) et du retour de l’inflation (202</w:t>
      </w:r>
      <w:r w:rsidRPr="4E12AD89" w:rsidR="4E21CA0E">
        <w:t>1</w:t>
      </w:r>
      <w:r w:rsidRPr="4E12AD89" w:rsidR="377CC0EA">
        <w:t>-2023</w:t>
      </w:r>
      <w:r w:rsidRPr="4E12AD89" w:rsidR="3B9CCB0A">
        <w:t>).</w:t>
      </w:r>
    </w:p>
    <w:p w:rsidR="004141AB" w:rsidP="00236E0E" w:rsidRDefault="00AE3AE4" w14:paraId="5371BB5B" w14:textId="1D8FB15E">
      <w:pPr>
        <w:pStyle w:val="Titre1"/>
        <w:rPr>
          <w:lang w:val="fr"/>
        </w:rPr>
      </w:pPr>
      <w:r>
        <w:rPr>
          <w:lang w:val="fr"/>
        </w:rPr>
        <w:t>M</w:t>
      </w:r>
      <w:r w:rsidR="004141AB">
        <w:rPr>
          <w:lang w:val="fr"/>
        </w:rPr>
        <w:t>éthodologie</w:t>
      </w:r>
    </w:p>
    <w:p w:rsidR="008F3F01" w:rsidP="6378B0FF" w:rsidRDefault="00DACCBA" w14:paraId="5A591EBE" w14:textId="520D2435">
      <w:pPr>
        <w:rPr>
          <w:lang w:val="fr-FR"/>
        </w:rPr>
      </w:pPr>
      <w:r w:rsidRPr="6378B0FF" w:rsidR="00DACCBA">
        <w:rPr>
          <w:lang w:val="fr-FR"/>
        </w:rPr>
        <w:t xml:space="preserve">Le </w:t>
      </w:r>
      <w:r w:rsidRPr="6378B0FF" w:rsidR="00DACCBA">
        <w:rPr>
          <w:i w:val="1"/>
          <w:iCs w:val="1"/>
          <w:lang w:val="fr-FR"/>
        </w:rPr>
        <w:t xml:space="preserve">topic </w:t>
      </w:r>
      <w:r w:rsidRPr="6378B0FF" w:rsidR="00DACCBA">
        <w:rPr>
          <w:i w:val="1"/>
          <w:iCs w:val="1"/>
          <w:lang w:val="fr-FR"/>
        </w:rPr>
        <w:t>modelling</w:t>
      </w:r>
      <w:r w:rsidRPr="6378B0FF" w:rsidR="00DACCBA">
        <w:rPr>
          <w:lang w:val="fr-FR"/>
        </w:rPr>
        <w:t xml:space="preserve"> </w:t>
      </w:r>
      <w:r w:rsidRPr="6378B0FF" w:rsidR="6DECC7AD">
        <w:rPr>
          <w:lang w:val="fr-FR"/>
        </w:rPr>
        <w:t xml:space="preserve">est une méthode </w:t>
      </w:r>
      <w:r w:rsidRPr="6378B0FF" w:rsidR="7EE27A63">
        <w:rPr>
          <w:lang w:val="fr-FR"/>
        </w:rPr>
        <w:t xml:space="preserve">d’apprentissage automatique non supervisée permettant de découvrir </w:t>
      </w:r>
      <w:r w:rsidRPr="6378B0FF" w:rsidR="108D4B75">
        <w:rPr>
          <w:lang w:val="fr-FR"/>
        </w:rPr>
        <w:t xml:space="preserve">des sujets (les </w:t>
      </w:r>
      <w:r w:rsidRPr="6378B0FF" w:rsidR="108D4B75">
        <w:rPr>
          <w:i w:val="1"/>
          <w:iCs w:val="1"/>
          <w:lang w:val="fr-FR"/>
        </w:rPr>
        <w:t>topics</w:t>
      </w:r>
      <w:r w:rsidRPr="6378B0FF" w:rsidR="108D4B75">
        <w:rPr>
          <w:lang w:val="fr-FR"/>
        </w:rPr>
        <w:t>)</w:t>
      </w:r>
      <w:r w:rsidRPr="6378B0FF" w:rsidR="34FDCAFB">
        <w:rPr>
          <w:lang w:val="fr-FR"/>
        </w:rPr>
        <w:t xml:space="preserve"> </w:t>
      </w:r>
      <w:r w:rsidRPr="6378B0FF" w:rsidR="5C737AF0">
        <w:rPr>
          <w:lang w:val="fr-FR"/>
        </w:rPr>
        <w:t xml:space="preserve">dans un vaste corpus de textes. </w:t>
      </w:r>
      <w:r w:rsidRPr="6378B0FF" w:rsidR="7FBB7BE8">
        <w:rPr>
          <w:lang w:val="fr-FR"/>
        </w:rPr>
        <w:t xml:space="preserve">Notre corpus est constitué </w:t>
      </w:r>
      <w:r w:rsidRPr="6378B0FF" w:rsidR="6C7E7AF3">
        <w:rPr>
          <w:lang w:val="fr-FR"/>
        </w:rPr>
        <w:t xml:space="preserve">de l’ensemble des discours </w:t>
      </w:r>
      <w:r w:rsidRPr="6378B0FF" w:rsidR="429B16FA">
        <w:rPr>
          <w:lang w:val="fr-FR"/>
        </w:rPr>
        <w:t xml:space="preserve">des </w:t>
      </w:r>
      <w:r w:rsidRPr="6378B0FF" w:rsidR="6B28A39C">
        <w:rPr>
          <w:lang w:val="fr-FR"/>
        </w:rPr>
        <w:t xml:space="preserve">membres du </w:t>
      </w:r>
      <w:r w:rsidRPr="6378B0FF" w:rsidR="2D72F699">
        <w:rPr>
          <w:lang w:val="fr-FR"/>
        </w:rPr>
        <w:t>directoire de la BCE</w:t>
      </w:r>
      <w:r w:rsidRPr="6378B0FF" w:rsidR="31125A5E">
        <w:rPr>
          <w:lang w:val="fr-FR"/>
        </w:rPr>
        <w:t xml:space="preserve"> entre juin 1998 et </w:t>
      </w:r>
      <w:r w:rsidRPr="6378B0FF" w:rsidR="656BB574">
        <w:rPr>
          <w:lang w:val="fr-FR"/>
        </w:rPr>
        <w:t>janvier</w:t>
      </w:r>
      <w:r w:rsidRPr="6378B0FF" w:rsidR="31125A5E">
        <w:rPr>
          <w:lang w:val="fr-FR"/>
        </w:rPr>
        <w:t xml:space="preserve"> 2023</w:t>
      </w:r>
      <w:r w:rsidRPr="6378B0FF" w:rsidR="18887A47">
        <w:rPr>
          <w:lang w:val="fr-FR"/>
        </w:rPr>
        <w:t>,</w:t>
      </w:r>
      <w:r w:rsidRPr="6378B0FF" w:rsidR="53B004C6">
        <w:rPr>
          <w:lang w:val="fr-FR"/>
        </w:rPr>
        <w:t xml:space="preserve"> </w:t>
      </w:r>
      <w:r w:rsidRPr="6378B0FF" w:rsidR="18887A47">
        <w:rPr>
          <w:lang w:val="fr-FR"/>
        </w:rPr>
        <w:t>et</w:t>
      </w:r>
      <w:r w:rsidRPr="6378B0FF" w:rsidR="2D72F699">
        <w:rPr>
          <w:lang w:val="fr-FR"/>
        </w:rPr>
        <w:t xml:space="preserve"> qui </w:t>
      </w:r>
      <w:r w:rsidRPr="6378B0FF" w:rsidR="44E6CC39">
        <w:rPr>
          <w:lang w:val="fr-FR"/>
        </w:rPr>
        <w:t>mentionne</w:t>
      </w:r>
      <w:r w:rsidRPr="6378B0FF" w:rsidR="252C3F69">
        <w:rPr>
          <w:lang w:val="fr-FR"/>
        </w:rPr>
        <w:t xml:space="preserve"> </w:t>
      </w:r>
      <w:r w:rsidRPr="6378B0FF" w:rsidR="720DC5D1">
        <w:rPr>
          <w:lang w:val="fr-FR"/>
        </w:rPr>
        <w:t xml:space="preserve">les termes « inflation » ou </w:t>
      </w:r>
      <w:r w:rsidRPr="6378B0FF" w:rsidR="10D44D77">
        <w:rPr>
          <w:lang w:val="fr-FR"/>
        </w:rPr>
        <w:t>« stabilité des prix »</w:t>
      </w:r>
      <w:r w:rsidRPr="6378B0FF" w:rsidR="0041439B">
        <w:rPr>
          <w:rStyle w:val="Appelnotedebasdep"/>
          <w:rFonts w:cs="Times New Roman"/>
          <w:lang w:val="fr-FR"/>
        </w:rPr>
        <w:footnoteReference w:id="7"/>
      </w:r>
      <w:r w:rsidRPr="6378B0FF" w:rsidR="57E0B242">
        <w:rPr>
          <w:lang w:val="fr-FR"/>
        </w:rPr>
        <w:t>.</w:t>
      </w:r>
      <w:r w:rsidRPr="6378B0FF" w:rsidR="032F49E5">
        <w:rPr>
          <w:lang w:val="fr-FR"/>
        </w:rPr>
        <w:t xml:space="preserve"> </w:t>
      </w:r>
      <w:r w:rsidRPr="6378B0FF" w:rsidR="276477E2">
        <w:rPr>
          <w:lang w:val="fr-FR"/>
        </w:rPr>
        <w:t xml:space="preserve">Le modèle </w:t>
      </w:r>
      <w:r w:rsidRPr="6378B0FF" w:rsidR="21A7E250">
        <w:rPr>
          <w:lang w:val="fr-FR"/>
        </w:rPr>
        <w:t>mesure l</w:t>
      </w:r>
      <w:r w:rsidRPr="6378B0FF" w:rsidR="1C8B873C">
        <w:rPr>
          <w:lang w:val="fr-FR"/>
        </w:rPr>
        <w:t xml:space="preserve">a </w:t>
      </w:r>
      <w:r w:rsidRPr="6378B0FF" w:rsidR="54DC57E5">
        <w:rPr>
          <w:lang w:val="fr-FR"/>
        </w:rPr>
        <w:t>cooccurrence</w:t>
      </w:r>
      <w:r w:rsidRPr="6378B0FF" w:rsidR="1C8B873C">
        <w:rPr>
          <w:lang w:val="fr-FR"/>
        </w:rPr>
        <w:t xml:space="preserve"> de chaque mot</w:t>
      </w:r>
      <w:r w:rsidRPr="6378B0FF" w:rsidR="0BCFA179">
        <w:rPr>
          <w:lang w:val="fr-FR"/>
        </w:rPr>
        <w:t xml:space="preserve"> ou expression</w:t>
      </w:r>
      <w:r w:rsidRPr="6378B0FF" w:rsidR="3824A6D7">
        <w:rPr>
          <w:lang w:val="fr-FR"/>
        </w:rPr>
        <w:t xml:space="preserve"> dans un </w:t>
      </w:r>
      <w:r w:rsidRPr="6378B0FF" w:rsidR="5A02C8A7">
        <w:rPr>
          <w:lang w:val="fr-FR"/>
        </w:rPr>
        <w:t xml:space="preserve">paragraphe </w:t>
      </w:r>
      <w:r w:rsidRPr="6378B0FF" w:rsidR="3824A6D7">
        <w:rPr>
          <w:lang w:val="fr-FR"/>
        </w:rPr>
        <w:t>et identifie</w:t>
      </w:r>
      <w:r w:rsidRPr="6378B0FF" w:rsidR="7BEDF033">
        <w:rPr>
          <w:lang w:val="fr-FR"/>
        </w:rPr>
        <w:t>, à partir de ces cooccurrence</w:t>
      </w:r>
      <w:r w:rsidRPr="6378B0FF" w:rsidR="1153F98A">
        <w:rPr>
          <w:lang w:val="fr-FR"/>
        </w:rPr>
        <w:t>s,</w:t>
      </w:r>
      <w:r w:rsidRPr="6378B0FF" w:rsidR="638D2EA0">
        <w:rPr>
          <w:lang w:val="fr-FR"/>
        </w:rPr>
        <w:t xml:space="preserve"> </w:t>
      </w:r>
      <w:r w:rsidRPr="6378B0FF" w:rsidR="40D691C0">
        <w:rPr>
          <w:i w:val="1"/>
          <w:iCs w:val="1"/>
          <w:lang w:val="fr-FR"/>
        </w:rPr>
        <w:t>k topics</w:t>
      </w:r>
      <w:r w:rsidRPr="6378B0FF" w:rsidR="429568C4">
        <w:rPr>
          <w:i w:val="1"/>
          <w:iCs w:val="1"/>
          <w:lang w:val="fr-FR"/>
        </w:rPr>
        <w:t xml:space="preserve"> </w:t>
      </w:r>
      <w:r w:rsidRPr="6378B0FF" w:rsidR="429568C4">
        <w:rPr>
          <w:lang w:val="fr-FR"/>
        </w:rPr>
        <w:t xml:space="preserve">dans </w:t>
      </w:r>
      <w:r w:rsidRPr="6378B0FF" w:rsidR="3EA93581">
        <w:rPr>
          <w:lang w:val="fr-FR"/>
        </w:rPr>
        <w:t>le corpus</w:t>
      </w:r>
      <w:r w:rsidRPr="6378B0FF" w:rsidR="429568C4">
        <w:rPr>
          <w:lang w:val="fr-FR"/>
        </w:rPr>
        <w:t xml:space="preserve">. </w:t>
      </w:r>
      <w:r w:rsidRPr="6378B0FF" w:rsidR="55D0D2C3">
        <w:rPr>
          <w:lang w:val="fr-FR"/>
        </w:rPr>
        <w:t xml:space="preserve">Chaque </w:t>
      </w:r>
      <w:r w:rsidRPr="6378B0FF" w:rsidR="55D0D2C3">
        <w:rPr>
          <w:i w:val="1"/>
          <w:iCs w:val="1"/>
          <w:lang w:val="fr-FR"/>
        </w:rPr>
        <w:t xml:space="preserve">topic </w:t>
      </w:r>
      <w:r w:rsidRPr="6378B0FF" w:rsidR="55D0D2C3">
        <w:rPr>
          <w:lang w:val="fr-FR"/>
        </w:rPr>
        <w:t>e</w:t>
      </w:r>
      <w:r w:rsidRPr="6378B0FF" w:rsidR="2E48DA01">
        <w:rPr>
          <w:lang w:val="fr-FR"/>
        </w:rPr>
        <w:t>st</w:t>
      </w:r>
      <w:r w:rsidRPr="6378B0FF" w:rsidR="55D0D2C3">
        <w:rPr>
          <w:lang w:val="fr-FR"/>
        </w:rPr>
        <w:t xml:space="preserve"> représenté par un ensemble de mots qui </w:t>
      </w:r>
      <w:r w:rsidRPr="6378B0FF" w:rsidR="44EC5023">
        <w:rPr>
          <w:lang w:val="fr-FR"/>
        </w:rPr>
        <w:t>le caractérise</w:t>
      </w:r>
      <w:r w:rsidRPr="6378B0FF" w:rsidR="318C4D5C">
        <w:rPr>
          <w:lang w:val="fr-FR"/>
        </w:rPr>
        <w:t xml:space="preserve"> </w:t>
      </w:r>
      <w:r w:rsidRPr="6378B0FF" w:rsidR="1B1381EA">
        <w:rPr>
          <w:lang w:val="fr-FR"/>
        </w:rPr>
        <w:t xml:space="preserve">et </w:t>
      </w:r>
      <w:r w:rsidRPr="6378B0FF" w:rsidR="318C4D5C">
        <w:rPr>
          <w:lang w:val="fr-FR"/>
        </w:rPr>
        <w:t xml:space="preserve">chaque </w:t>
      </w:r>
      <w:r w:rsidRPr="6378B0FF" w:rsidR="6499E3A5">
        <w:rPr>
          <w:lang w:val="fr-FR"/>
        </w:rPr>
        <w:t>paragraphe</w:t>
      </w:r>
      <w:r w:rsidRPr="6378B0FF" w:rsidR="318C4D5C">
        <w:rPr>
          <w:lang w:val="fr-FR"/>
        </w:rPr>
        <w:t xml:space="preserve"> </w:t>
      </w:r>
      <w:r w:rsidRPr="6378B0FF" w:rsidR="0B1ACA85">
        <w:rPr>
          <w:lang w:val="fr-FR"/>
        </w:rPr>
        <w:t xml:space="preserve">a un degré de correspondance avec chaque </w:t>
      </w:r>
      <w:r w:rsidRPr="6378B0FF" w:rsidR="0B1ACA85">
        <w:rPr>
          <w:i w:val="1"/>
          <w:iCs w:val="1"/>
          <w:lang w:val="fr-FR"/>
        </w:rPr>
        <w:t>topic</w:t>
      </w:r>
      <w:r w:rsidRPr="6378B0FF" w:rsidR="49DB2655">
        <w:rPr>
          <w:i w:val="1"/>
          <w:iCs w:val="1"/>
          <w:lang w:val="fr-FR"/>
        </w:rPr>
        <w:t>.</w:t>
      </w:r>
      <w:r w:rsidRPr="6378B0FF" w:rsidR="55C1FA62">
        <w:rPr>
          <w:lang w:val="fr-FR"/>
        </w:rPr>
        <w:t xml:space="preserve"> </w:t>
      </w:r>
    </w:p>
    <w:p w:rsidRPr="00C4671A" w:rsidR="004141AB" w:rsidP="00B31E20" w:rsidRDefault="1DDF83C4" w14:paraId="669CF984" w14:textId="6C59C57C">
      <w:r w:rsidRPr="4E12AD89">
        <w:lastRenderedPageBreak/>
        <w:t xml:space="preserve">Notre </w:t>
      </w:r>
      <w:r w:rsidRPr="4E12AD89" w:rsidR="4A1DB9A8">
        <w:t>modèle</w:t>
      </w:r>
      <w:r w:rsidRPr="4E12AD89">
        <w:t xml:space="preserve"> </w:t>
      </w:r>
      <w:r w:rsidRPr="4E12AD89" w:rsidR="51C21E48">
        <w:t xml:space="preserve">identifie </w:t>
      </w:r>
      <w:r w:rsidRPr="4E12AD89" w:rsidR="4A1DB9A8">
        <w:t xml:space="preserve">120 </w:t>
      </w:r>
      <w:r w:rsidRPr="4E12AD89" w:rsidR="4A1DB9A8">
        <w:rPr>
          <w:i/>
          <w:iCs/>
        </w:rPr>
        <w:t>topics</w:t>
      </w:r>
      <w:r w:rsidRPr="4E12AD89" w:rsidR="4A1DB9A8">
        <w:t xml:space="preserve"> </w:t>
      </w:r>
      <w:r w:rsidRPr="4E12AD89" w:rsidR="3370029E">
        <w:t>dans les paragraphes de 817 discours d</w:t>
      </w:r>
      <w:r w:rsidRPr="4E12AD89" w:rsidR="2775A9DF">
        <w:t xml:space="preserve">es membres du directoire. </w:t>
      </w:r>
      <w:r w:rsidRPr="4E12AD89" w:rsidR="083EAF68">
        <w:t xml:space="preserve">Parmi ces topics, 14 </w:t>
      </w:r>
      <w:r w:rsidRPr="4E12AD89" w:rsidR="48948E10">
        <w:t>concernent l</w:t>
      </w:r>
      <w:proofErr w:type="gramStart"/>
      <w:r w:rsidRPr="4E12AD89" w:rsidR="5D4C6CED">
        <w:t>’</w:t>
      </w:r>
      <w:r w:rsidRPr="4E12AD89" w:rsidR="48948E10">
        <w:t>«</w:t>
      </w:r>
      <w:proofErr w:type="gramEnd"/>
      <w:r w:rsidRPr="4E12AD89" w:rsidR="48948E10">
        <w:t> inflation » et la « stabilité des prix »</w:t>
      </w:r>
      <w:r w:rsidRPr="4E12AD89" w:rsidR="586DA6DE">
        <w:t xml:space="preserve"> ; </w:t>
      </w:r>
      <w:r w:rsidRPr="4E12AD89" w:rsidR="1A2C0B1F">
        <w:t xml:space="preserve">il </w:t>
      </w:r>
      <w:r w:rsidRPr="4E12AD89" w:rsidR="18354655">
        <w:t xml:space="preserve">s’agit de nos « </w:t>
      </w:r>
      <w:r w:rsidRPr="4E12AD89" w:rsidR="18354655">
        <w:rPr>
          <w:i/>
          <w:iCs/>
        </w:rPr>
        <w:t xml:space="preserve">topics </w:t>
      </w:r>
      <w:r w:rsidRPr="4E12AD89" w:rsidR="18354655">
        <w:t>centraux »</w:t>
      </w:r>
      <w:r w:rsidRPr="4E12AD89" w:rsidR="2551F714">
        <w:t>.</w:t>
      </w:r>
      <w:r w:rsidRPr="4E12AD89" w:rsidR="0DBB20EB">
        <w:t xml:space="preserve"> Les résultats de ce modèle </w:t>
      </w:r>
      <w:r w:rsidRPr="4E12AD89" w:rsidR="65440C28">
        <w:t xml:space="preserve">nous permettent d’analyser </w:t>
      </w:r>
      <w:r w:rsidRPr="4E12AD89" w:rsidR="2FC995CB">
        <w:t xml:space="preserve">les </w:t>
      </w:r>
      <w:r w:rsidRPr="4E12AD89" w:rsidR="795F4B4F">
        <w:t>effets de cadrage</w:t>
      </w:r>
      <w:r w:rsidRPr="4E12AD89" w:rsidR="51A7D52C">
        <w:t xml:space="preserve"> </w:t>
      </w:r>
      <w:r w:rsidRPr="4E12AD89" w:rsidR="4BAC1845">
        <w:t xml:space="preserve">de la BCE </w:t>
      </w:r>
      <w:r w:rsidRPr="4E12AD89" w:rsidR="6DF6FB61">
        <w:t>sur l'inflation de deux manières</w:t>
      </w:r>
      <w:r w:rsidRPr="4E12AD89" w:rsidR="55EDC8FA">
        <w:t>.</w:t>
      </w:r>
      <w:r w:rsidRPr="4E12AD89" w:rsidR="18354655">
        <w:t xml:space="preserve"> </w:t>
      </w:r>
      <w:r w:rsidRPr="4E12AD89" w:rsidR="1BE70250">
        <w:t xml:space="preserve">Premièrement, </w:t>
      </w:r>
      <w:r w:rsidRPr="4E12AD89" w:rsidR="68C54353">
        <w:t>l</w:t>
      </w:r>
      <w:r w:rsidRPr="4E12AD89" w:rsidR="69CD8635">
        <w:t>’évolution</w:t>
      </w:r>
      <w:r w:rsidRPr="4E12AD89" w:rsidR="2146795B">
        <w:t xml:space="preserve"> de la</w:t>
      </w:r>
      <w:r w:rsidRPr="4E12AD89" w:rsidR="68C54353">
        <w:t xml:space="preserve"> prévalence de</w:t>
      </w:r>
      <w:r w:rsidRPr="4E12AD89" w:rsidR="7F5A1D75">
        <w:t xml:space="preserve">s </w:t>
      </w:r>
      <w:r w:rsidRPr="4E12AD89" w:rsidR="69CD8635">
        <w:rPr>
          <w:i/>
          <w:iCs/>
        </w:rPr>
        <w:t xml:space="preserve">topics </w:t>
      </w:r>
      <w:r w:rsidRPr="4E12AD89" w:rsidR="69CD8635">
        <w:t>centraux</w:t>
      </w:r>
      <w:r w:rsidRPr="4E12AD89" w:rsidR="25E9484E">
        <w:t xml:space="preserve"> </w:t>
      </w:r>
      <w:r w:rsidRPr="4E12AD89" w:rsidR="42037AA0">
        <w:t>rév</w:t>
      </w:r>
      <w:r w:rsidRPr="4E12AD89" w:rsidR="15F0FD75">
        <w:t xml:space="preserve">èle </w:t>
      </w:r>
      <w:r w:rsidRPr="4E12AD89" w:rsidR="197092DF">
        <w:rPr>
          <w:lang w:val="fr"/>
        </w:rPr>
        <w:t xml:space="preserve">la terminologie </w:t>
      </w:r>
      <w:r w:rsidRPr="4E12AD89" w:rsidR="2C578698">
        <w:rPr>
          <w:lang w:val="fr"/>
        </w:rPr>
        <w:t>des</w:t>
      </w:r>
      <w:r w:rsidRPr="4E12AD89" w:rsidR="197092DF">
        <w:rPr>
          <w:lang w:val="fr"/>
        </w:rPr>
        <w:t xml:space="preserve"> décideurs de la BCE pour discuter des questions liées à l'inflation : « anticipations », « risque inflationniste », « crédibilité », « chocs d'offre », etc.</w:t>
      </w:r>
      <w:r w:rsidRPr="4E12AD89" w:rsidR="216A65B3">
        <w:rPr>
          <w:lang w:val="fr"/>
        </w:rPr>
        <w:t xml:space="preserve"> Deuxièmement, </w:t>
      </w:r>
      <w:r w:rsidRPr="4E12AD89" w:rsidR="035C19E9">
        <w:rPr>
          <w:lang w:val="fr"/>
        </w:rPr>
        <w:t xml:space="preserve">nous calculons des mesures de similarité entre nos 14 </w:t>
      </w:r>
      <w:r w:rsidRPr="4E12AD89" w:rsidR="035C19E9">
        <w:rPr>
          <w:i/>
          <w:iCs/>
          <w:lang w:val="fr"/>
        </w:rPr>
        <w:t>topics</w:t>
      </w:r>
      <w:r w:rsidRPr="4E12AD89" w:rsidR="035C19E9">
        <w:rPr>
          <w:lang w:val="fr"/>
        </w:rPr>
        <w:t xml:space="preserve"> centraux</w:t>
      </w:r>
      <w:r w:rsidRPr="4E12AD89" w:rsidR="270B8867">
        <w:rPr>
          <w:lang w:val="fr"/>
        </w:rPr>
        <w:t xml:space="preserve"> d’un côté, et chacun des 106 autres </w:t>
      </w:r>
      <w:r w:rsidRPr="4E12AD89" w:rsidR="270B8867">
        <w:rPr>
          <w:i/>
          <w:iCs/>
          <w:lang w:val="fr"/>
        </w:rPr>
        <w:t>topics</w:t>
      </w:r>
      <w:r w:rsidRPr="4E12AD89" w:rsidR="0E9A73CC">
        <w:rPr>
          <w:i/>
          <w:iCs/>
          <w:lang w:val="fr"/>
        </w:rPr>
        <w:t xml:space="preserve">, </w:t>
      </w:r>
      <w:r w:rsidRPr="4E12AD89" w:rsidR="323BD546">
        <w:rPr>
          <w:lang w:val="fr"/>
        </w:rPr>
        <w:t>r</w:t>
      </w:r>
      <w:r w:rsidRPr="4E12AD89" w:rsidR="7CB168D2">
        <w:rPr>
          <w:lang w:val="fr"/>
        </w:rPr>
        <w:t>évélant</w:t>
      </w:r>
      <w:r w:rsidRPr="4E12AD89" w:rsidR="323BD546">
        <w:rPr>
          <w:lang w:val="fr"/>
        </w:rPr>
        <w:t xml:space="preserve"> </w:t>
      </w:r>
      <w:r w:rsidRPr="4E12AD89" w:rsidR="6C58A283">
        <w:rPr>
          <w:lang w:val="fr"/>
        </w:rPr>
        <w:t xml:space="preserve">les sujets </w:t>
      </w:r>
      <w:r w:rsidRPr="4E12AD89" w:rsidR="59379309">
        <w:rPr>
          <w:lang w:val="fr"/>
        </w:rPr>
        <w:t xml:space="preserve">qui sont associés </w:t>
      </w:r>
      <w:r w:rsidRPr="4E12AD89" w:rsidR="3635F927">
        <w:rPr>
          <w:lang w:val="fr"/>
        </w:rPr>
        <w:t>à la question de l’inflation</w:t>
      </w:r>
      <w:r w:rsidRPr="4E12AD89" w:rsidR="6700FAA5">
        <w:rPr>
          <w:lang w:val="fr"/>
        </w:rPr>
        <w:t xml:space="preserve">, </w:t>
      </w:r>
      <w:r w:rsidRPr="4E12AD89" w:rsidR="57C140D1">
        <w:rPr>
          <w:lang w:val="fr"/>
        </w:rPr>
        <w:t>tels que la politique budgétaire ou la stabilité financière</w:t>
      </w:r>
      <w:r w:rsidRPr="4E12AD89" w:rsidR="33B12040">
        <w:rPr>
          <w:lang w:val="fr"/>
        </w:rPr>
        <w:t>.</w:t>
      </w:r>
      <w:r w:rsidRPr="4E12AD89" w:rsidR="13426037">
        <w:rPr>
          <w:lang w:val="fr"/>
        </w:rPr>
        <w:t xml:space="preserve"> </w:t>
      </w:r>
      <w:r w:rsidRPr="4E12AD89" w:rsidR="5DF71314">
        <w:t xml:space="preserve"> </w:t>
      </w:r>
    </w:p>
    <w:p w:rsidRPr="00C4671A" w:rsidR="004141AB" w:rsidP="4E12AD89" w:rsidRDefault="7AEF3E8C" w14:paraId="04F0300B" w14:textId="442396A7">
      <w:pPr>
        <w:pStyle w:val="Titre1"/>
      </w:pPr>
      <w:r>
        <w:t xml:space="preserve">La période de la </w:t>
      </w:r>
      <w:r w:rsidR="00CD1F4E">
        <w:t>Banque Centrale Indépendante</w:t>
      </w:r>
    </w:p>
    <w:p w:rsidRPr="00F95C44" w:rsidR="004141AB" w:rsidP="005459CE" w:rsidRDefault="1CCB5B20" w14:paraId="3B281238" w14:textId="6D903DE4">
      <w:r w:rsidRPr="4E12AD89">
        <w:t>Entre le début de c</w:t>
      </w:r>
      <w:r w:rsidRPr="4E12AD89" w:rsidR="3D384BAF">
        <w:t xml:space="preserve">ette période en </w:t>
      </w:r>
      <w:r w:rsidRPr="4E12AD89" w:rsidR="2969EDF4">
        <w:t xml:space="preserve">juin </w:t>
      </w:r>
      <w:r w:rsidRPr="4E12AD89" w:rsidR="3D384BAF">
        <w:t xml:space="preserve">1998, </w:t>
      </w:r>
      <w:r w:rsidRPr="4E12AD89" w:rsidR="154B652E">
        <w:t xml:space="preserve">date de </w:t>
      </w:r>
      <w:r w:rsidRPr="4E12AD89" w:rsidR="49AC3678">
        <w:t xml:space="preserve">la </w:t>
      </w:r>
      <w:r w:rsidRPr="4E12AD89" w:rsidR="154B652E">
        <w:t>cré</w:t>
      </w:r>
      <w:r w:rsidRPr="4E12AD89" w:rsidR="18B5787C">
        <w:t>ation</w:t>
      </w:r>
      <w:r w:rsidRPr="4E12AD89" w:rsidR="1FDC14F3">
        <w:t xml:space="preserve"> </w:t>
      </w:r>
      <w:r w:rsidRPr="4E12AD89" w:rsidR="3D384BAF">
        <w:t>de la BCE, et novembre</w:t>
      </w:r>
      <w:r w:rsidRPr="4E12AD89" w:rsidR="3F5126DF">
        <w:t xml:space="preserve"> 2011</w:t>
      </w:r>
      <w:r w:rsidRPr="4E12AD89" w:rsidR="3D384BAF">
        <w:t xml:space="preserve">, </w:t>
      </w:r>
      <w:r w:rsidRPr="4E12AD89" w:rsidR="4660B7FF">
        <w:t>qui marque la fin</w:t>
      </w:r>
      <w:r w:rsidRPr="4E12AD89" w:rsidR="3D384BAF">
        <w:t xml:space="preserve"> </w:t>
      </w:r>
      <w:r w:rsidRPr="4E12AD89" w:rsidR="62D790A7">
        <w:t>de la hausse d</w:t>
      </w:r>
      <w:r w:rsidRPr="4E12AD89" w:rsidR="3D384BAF">
        <w:t>es taux d'intérêt face aux risques d'implosion financière et de déflation</w:t>
      </w:r>
      <w:r w:rsidRPr="4E12AD89" w:rsidR="7EFD5B0D">
        <w:t xml:space="preserve">, </w:t>
      </w:r>
      <w:r w:rsidRPr="4E12AD89" w:rsidR="68984EFD">
        <w:t xml:space="preserve">la </w:t>
      </w:r>
      <w:r w:rsidRPr="4E12AD89" w:rsidR="3D384BAF">
        <w:t>principale priorité</w:t>
      </w:r>
      <w:r w:rsidRPr="4E12AD89" w:rsidR="7C8F5E6E">
        <w:t xml:space="preserve"> réputationnelle </w:t>
      </w:r>
      <w:r w:rsidRPr="4E12AD89" w:rsidR="3D384BAF">
        <w:t>de la BCE était</w:t>
      </w:r>
      <w:r w:rsidRPr="4E12AD89" w:rsidR="5223D44E">
        <w:t xml:space="preserve"> </w:t>
      </w:r>
      <w:r w:rsidRPr="4E12AD89" w:rsidR="3D384BAF">
        <w:t>de renforcer sa crédibilité anti-inflationniste</w:t>
      </w:r>
      <w:r w:rsidR="004D6F88">
        <w:rPr>
          <w:rStyle w:val="Appelnotedebasdep"/>
        </w:rPr>
        <w:footnoteReference w:id="8"/>
      </w:r>
      <w:r w:rsidRPr="4E12AD89" w:rsidR="3D384BAF">
        <w:t xml:space="preserve">. Cette priorité </w:t>
      </w:r>
      <w:r w:rsidRPr="4E12AD89" w:rsidR="6ED54B92">
        <w:t xml:space="preserve">découle du </w:t>
      </w:r>
      <w:r w:rsidRPr="4E12AD89" w:rsidR="3D384BAF">
        <w:t xml:space="preserve">modèle de la </w:t>
      </w:r>
      <w:r w:rsidRPr="4E12AD89" w:rsidR="6ED54B92">
        <w:t>BCI dont</w:t>
      </w:r>
      <w:r w:rsidRPr="4E12AD89" w:rsidR="3D384BAF">
        <w:t xml:space="preserve"> les racines idé</w:t>
      </w:r>
      <w:r w:rsidRPr="4E12AD89" w:rsidR="323F7BAD">
        <w:t xml:space="preserve">elles </w:t>
      </w:r>
      <w:r w:rsidRPr="4E12AD89" w:rsidR="3D384BAF">
        <w:t>remontent à la fin des années 1970.</w:t>
      </w:r>
      <w:r w:rsidRPr="4E12AD89" w:rsidR="1ABE7149">
        <w:t xml:space="preserve"> L</w:t>
      </w:r>
      <w:r w:rsidRPr="4E12AD89" w:rsidR="03B4A56C">
        <w:t xml:space="preserve">a politique monétaire </w:t>
      </w:r>
      <w:r w:rsidRPr="4E12AD89" w:rsidR="3F3A549B">
        <w:t xml:space="preserve">est présentée comme </w:t>
      </w:r>
      <w:r w:rsidRPr="4E12AD89" w:rsidR="03B4A56C">
        <w:t>fai</w:t>
      </w:r>
      <w:r w:rsidRPr="4E12AD89" w:rsidR="710D86EE">
        <w:t>sant</w:t>
      </w:r>
      <w:r w:rsidRPr="4E12AD89" w:rsidR="03B4A56C">
        <w:t xml:space="preserve"> face</w:t>
      </w:r>
      <w:r w:rsidRPr="4E12AD89" w:rsidR="3D384BAF">
        <w:t xml:space="preserve"> à un problème d'incohérence temporelle</w:t>
      </w:r>
      <w:r w:rsidRPr="4E12AD89" w:rsidR="0A016492">
        <w:t xml:space="preserve"> </w:t>
      </w:r>
      <w:r w:rsidRPr="4E12AD89" w:rsidR="3D384BAF">
        <w:t xml:space="preserve">: si les responsables politiques peuvent revenir sur leurs engagements antérieurs, les agents économiques anticipent </w:t>
      </w:r>
      <w:r w:rsidRPr="4E12AD89" w:rsidR="20860835">
        <w:t>d</w:t>
      </w:r>
      <w:r w:rsidRPr="4E12AD89" w:rsidR="3D384BAF">
        <w:t>es surprises en matière d'inflation</w:t>
      </w:r>
      <w:r w:rsidRPr="4E12AD89" w:rsidR="7CE9E06D">
        <w:t xml:space="preserve"> et</w:t>
      </w:r>
      <w:r w:rsidRPr="4E12AD89" w:rsidR="22FC7D13">
        <w:t xml:space="preserve"> pouss</w:t>
      </w:r>
      <w:r w:rsidRPr="4E12AD89" w:rsidR="6E7236AC">
        <w:t>e</w:t>
      </w:r>
      <w:r w:rsidRPr="4E12AD89" w:rsidR="22FC7D13">
        <w:t>nt</w:t>
      </w:r>
      <w:r w:rsidRPr="4E12AD89" w:rsidR="3D384BAF">
        <w:t xml:space="preserve"> les prix à la hausse, par exemple lors des négociations salariales</w:t>
      </w:r>
      <w:r w:rsidR="004D6F88">
        <w:rPr>
          <w:rStyle w:val="Appelnotedebasdep"/>
        </w:rPr>
        <w:footnoteReference w:id="9"/>
      </w:r>
      <w:r w:rsidRPr="4E12AD89" w:rsidR="18E4B6D3">
        <w:t>.</w:t>
      </w:r>
      <w:r w:rsidRPr="4E12AD89" w:rsidR="3D384BAF">
        <w:t xml:space="preserve"> </w:t>
      </w:r>
    </w:p>
    <w:p w:rsidRPr="00F95C44" w:rsidR="004141AB" w:rsidP="005459CE" w:rsidRDefault="3D384BAF" w14:paraId="31A44D32" w14:textId="22BDACFD">
      <w:r w:rsidRPr="4E12AD89">
        <w:t>Face à ce problème, les banques centrales</w:t>
      </w:r>
      <w:r w:rsidRPr="4E12AD89" w:rsidR="66A934F6">
        <w:t xml:space="preserve"> </w:t>
      </w:r>
      <w:r w:rsidRPr="4E12AD89" w:rsidR="351E0194">
        <w:t xml:space="preserve">peuvent assurer </w:t>
      </w:r>
      <w:r w:rsidRPr="4E12AD89" w:rsidR="6286171A">
        <w:t xml:space="preserve">la crédibilité de </w:t>
      </w:r>
      <w:r w:rsidRPr="4E12AD89">
        <w:t>leurs engagements anti-inflationnistes</w:t>
      </w:r>
      <w:r w:rsidRPr="4E12AD89" w:rsidR="66A934F6">
        <w:t xml:space="preserve"> </w:t>
      </w:r>
      <w:r w:rsidRPr="4E12AD89" w:rsidR="2D2197AE">
        <w:t>de deux manières</w:t>
      </w:r>
      <w:r w:rsidRPr="4E12AD89">
        <w:t>. Premièrement, les banques centrales d</w:t>
      </w:r>
      <w:r w:rsidRPr="4E12AD89" w:rsidR="3FEE3537">
        <w:t>oivent</w:t>
      </w:r>
      <w:r w:rsidRPr="4E12AD89">
        <w:t xml:space="preserve"> adhérer à des règles institutionnelles strictes qui limitent les </w:t>
      </w:r>
      <w:r w:rsidRPr="4E12AD89" w:rsidR="25A3AD7C">
        <w:t>arbitrage</w:t>
      </w:r>
      <w:r w:rsidRPr="4E12AD89" w:rsidR="08F26F0A">
        <w:t>s</w:t>
      </w:r>
      <w:r w:rsidRPr="4E12AD89">
        <w:t xml:space="preserve"> avec d</w:t>
      </w:r>
      <w:r w:rsidRPr="4E12AD89" w:rsidR="206F26D2">
        <w:t>’</w:t>
      </w:r>
      <w:r w:rsidRPr="4E12AD89">
        <w:t xml:space="preserve">autres objectifs que la stabilité des prix et restreignent ainsi </w:t>
      </w:r>
      <w:r w:rsidRPr="4E12AD89" w:rsidR="26056F46">
        <w:t xml:space="preserve">le caractère </w:t>
      </w:r>
      <w:r w:rsidRPr="4E12AD89" w:rsidR="131AB940">
        <w:t xml:space="preserve">discrétionnaire des décisions monétaires. </w:t>
      </w:r>
      <w:r w:rsidRPr="4E12AD89">
        <w:t xml:space="preserve">Deuxièmement, les banques centrales doivent se forger une réputation anti-inflationniste pour </w:t>
      </w:r>
      <w:r w:rsidRPr="4E12AD89" w:rsidR="26056F46">
        <w:t>« </w:t>
      </w:r>
      <w:r w:rsidRPr="4E12AD89">
        <w:t>ancrer</w:t>
      </w:r>
      <w:r w:rsidRPr="4E12AD89" w:rsidR="26056F46">
        <w:t> »</w:t>
      </w:r>
      <w:r w:rsidRPr="4E12AD89">
        <w:t xml:space="preserve"> les </w:t>
      </w:r>
      <w:r w:rsidRPr="4E12AD89" w:rsidR="26056F46">
        <w:t>anticipations</w:t>
      </w:r>
      <w:r w:rsidRPr="4E12AD89">
        <w:t xml:space="preserve"> </w:t>
      </w:r>
      <w:r w:rsidRPr="4E12AD89" w:rsidR="26056F46">
        <w:t>d’</w:t>
      </w:r>
      <w:r w:rsidRPr="4E12AD89">
        <w:t>inflation future</w:t>
      </w:r>
      <w:r w:rsidR="004D6F88">
        <w:rPr>
          <w:rStyle w:val="Appelnotedebasdep"/>
        </w:rPr>
        <w:footnoteReference w:id="10"/>
      </w:r>
      <w:r w:rsidRPr="4E12AD89">
        <w:t xml:space="preserve">. Ces théories macroéconomiques ont gagné </w:t>
      </w:r>
      <w:r w:rsidRPr="4E12AD89" w:rsidR="113B7ACF">
        <w:t xml:space="preserve">en </w:t>
      </w:r>
      <w:r w:rsidRPr="4E12AD89" w:rsidR="113B7ACF">
        <w:lastRenderedPageBreak/>
        <w:t>notoriété en Europe</w:t>
      </w:r>
      <w:r w:rsidRPr="4E12AD89">
        <w:t xml:space="preserve"> au début des années 1990</w:t>
      </w:r>
      <w:r w:rsidR="004D6F88">
        <w:rPr>
          <w:rStyle w:val="Appelnotedebasdep"/>
        </w:rPr>
        <w:footnoteReference w:id="11"/>
      </w:r>
      <w:r w:rsidRPr="4E12AD89">
        <w:t>, lorsque les décideurs européens tentaient de trouver un accord sur l</w:t>
      </w:r>
      <w:r w:rsidRPr="4E12AD89" w:rsidR="07DEC20D">
        <w:t>’architecture</w:t>
      </w:r>
      <w:r w:rsidRPr="4E12AD89">
        <w:t xml:space="preserve"> institutionnelle de la BCE</w:t>
      </w:r>
      <w:r w:rsidR="004D6F88">
        <w:rPr>
          <w:rStyle w:val="Appelnotedebasdep"/>
        </w:rPr>
        <w:footnoteReference w:id="12"/>
      </w:r>
      <w:r w:rsidRPr="4E12AD89">
        <w:t xml:space="preserve">. </w:t>
      </w:r>
    </w:p>
    <w:p w:rsidRPr="00F95C44" w:rsidR="006774B5" w:rsidP="005459CE" w:rsidRDefault="3D384BAF" w14:paraId="57691630" w14:textId="4A734AD0">
      <w:pPr>
        <w:rPr>
          <w:lang w:val="fr"/>
        </w:rPr>
      </w:pPr>
      <w:r w:rsidRPr="4E12AD89">
        <w:t xml:space="preserve">Un autre facteur </w:t>
      </w:r>
      <w:r w:rsidRPr="4E12AD89" w:rsidR="45C5CC38">
        <w:t>crucial</w:t>
      </w:r>
      <w:r w:rsidRPr="4E12AD89">
        <w:t xml:space="preserve"> dans la conception de la BCE a été l</w:t>
      </w:r>
      <w:r w:rsidRPr="4E12AD89" w:rsidR="597D922D">
        <w:t>’</w:t>
      </w:r>
      <w:r w:rsidRPr="4E12AD89">
        <w:t>influence de la Bundesbank</w:t>
      </w:r>
      <w:r w:rsidR="004D6F88">
        <w:rPr>
          <w:rStyle w:val="Appelnotedebasdep"/>
        </w:rPr>
        <w:footnoteReference w:id="13"/>
      </w:r>
      <w:r w:rsidRPr="4E12AD89">
        <w:t xml:space="preserve">. </w:t>
      </w:r>
      <w:r w:rsidRPr="4E12AD89" w:rsidR="1871DC52">
        <w:t xml:space="preserve">Bien </w:t>
      </w:r>
      <w:r w:rsidRPr="4E12AD89">
        <w:t xml:space="preserve">que la Bundesbank </w:t>
      </w:r>
      <w:r w:rsidRPr="4E12AD89" w:rsidR="07C6C89E">
        <w:t>se</w:t>
      </w:r>
      <w:r w:rsidRPr="4E12AD89">
        <w:t xml:space="preserve"> coordonn</w:t>
      </w:r>
      <w:r w:rsidRPr="4E12AD89" w:rsidR="326627B5">
        <w:t>ait</w:t>
      </w:r>
      <w:r w:rsidRPr="4E12AD89">
        <w:t xml:space="preserve"> fortement avec les partenaires sociaux et les gouvernements, elle </w:t>
      </w:r>
      <w:r w:rsidRPr="4E12AD89" w:rsidR="78C6D895">
        <w:t xml:space="preserve">a </w:t>
      </w:r>
      <w:r w:rsidRPr="4E12AD89">
        <w:t>ét</w:t>
      </w:r>
      <w:r w:rsidRPr="4E12AD89" w:rsidR="033FF408">
        <w:t>é</w:t>
      </w:r>
      <w:r w:rsidRPr="4E12AD89">
        <w:t xml:space="preserve"> perçue comme la banque centrale la plus indépendante d'Europe, </w:t>
      </w:r>
      <w:r w:rsidRPr="4E12AD89" w:rsidR="190021AE">
        <w:t>lui procurant</w:t>
      </w:r>
      <w:r w:rsidRPr="4E12AD89">
        <w:t xml:space="preserve"> les meilleurs résultats en termes de contrôle de l</w:t>
      </w:r>
      <w:r w:rsidRPr="4E12AD89" w:rsidR="1CE4E7A0">
        <w:t>’</w:t>
      </w:r>
      <w:r w:rsidRPr="4E12AD89">
        <w:t>inflation</w:t>
      </w:r>
      <w:r w:rsidR="004D6F88">
        <w:rPr>
          <w:rStyle w:val="Appelnotedebasdep"/>
        </w:rPr>
        <w:footnoteReference w:id="14"/>
      </w:r>
      <w:r w:rsidRPr="4E12AD89">
        <w:t xml:space="preserve">. Ce </w:t>
      </w:r>
      <w:r w:rsidRPr="4E12AD89" w:rsidR="1E5BCEFD">
        <w:t>« </w:t>
      </w:r>
      <w:r w:rsidRPr="4E12AD89">
        <w:t>mythe</w:t>
      </w:r>
      <w:r w:rsidRPr="4E12AD89" w:rsidR="1E5BCEFD">
        <w:t> »</w:t>
      </w:r>
      <w:r w:rsidRPr="4E12AD89">
        <w:t xml:space="preserve"> de l'indépendance de la Bundesbank comme </w:t>
      </w:r>
      <w:r w:rsidRPr="4E12AD89" w:rsidR="4B698EF1">
        <w:t>cause</w:t>
      </w:r>
      <w:r w:rsidRPr="4E12AD89">
        <w:t xml:space="preserve"> d</w:t>
      </w:r>
      <w:r w:rsidRPr="4E12AD89" w:rsidR="16161FE3">
        <w:t>e la faible inflation</w:t>
      </w:r>
      <w:r w:rsidRPr="4E12AD89">
        <w:t xml:space="preserve"> </w:t>
      </w:r>
      <w:r w:rsidRPr="4E12AD89" w:rsidR="79A7F316">
        <w:t>allemande</w:t>
      </w:r>
      <w:r w:rsidR="004D6F88">
        <w:rPr>
          <w:rStyle w:val="Appelnotedebasdep"/>
        </w:rPr>
        <w:footnoteReference w:id="15"/>
      </w:r>
      <w:r w:rsidRPr="4E12AD89">
        <w:t xml:space="preserve"> a été activement promu par Otmar </w:t>
      </w:r>
      <w:proofErr w:type="spellStart"/>
      <w:r w:rsidRPr="4E12AD89">
        <w:t>Issing</w:t>
      </w:r>
      <w:proofErr w:type="spellEnd"/>
      <w:r w:rsidRPr="4E12AD89">
        <w:t xml:space="preserve">, ancien haut responsable politique de la Bundesbank et premier économiste en chef de la BCE. </w:t>
      </w:r>
      <w:r w:rsidRPr="4E12AD89" w:rsidR="789B15E5">
        <w:t xml:space="preserve">Selon lui, </w:t>
      </w:r>
      <w:r w:rsidRPr="4E12AD89" w:rsidR="5AF93724">
        <w:t xml:space="preserve">la BCE </w:t>
      </w:r>
      <w:r w:rsidRPr="4E12AD89">
        <w:t>devait</w:t>
      </w:r>
      <w:r w:rsidRPr="4E12AD89" w:rsidR="717513AD">
        <w:t xml:space="preserve"> suivre l’exemple de la Bundesbank en établissant une réputation anti-inflationniste qui devait</w:t>
      </w:r>
      <w:r w:rsidRPr="4E12AD89">
        <w:t xml:space="preserve"> </w:t>
      </w:r>
      <w:r w:rsidRPr="4E12AD89" w:rsidR="45DB8D49">
        <w:t>« </w:t>
      </w:r>
      <w:r w:rsidRPr="4E12AD89">
        <w:t xml:space="preserve">être construite au fil du temps </w:t>
      </w:r>
      <w:r w:rsidRPr="4E12AD89" w:rsidR="45DB8D49">
        <w:t>»</w:t>
      </w:r>
      <w:r w:rsidR="004D6F88">
        <w:rPr>
          <w:rStyle w:val="Appelnotedebasdep"/>
        </w:rPr>
        <w:footnoteReference w:id="16"/>
      </w:r>
      <w:r w:rsidRPr="4E12AD89">
        <w:t xml:space="preserve">. </w:t>
      </w:r>
    </w:p>
    <w:p w:rsidRPr="005459CE" w:rsidR="4E12AD89" w:rsidP="005459CE" w:rsidRDefault="169666D7" w14:paraId="44D0C6F4" w14:textId="134B7A36">
      <w:pPr>
        <w:rPr>
          <w:lang w:val="fr"/>
        </w:rPr>
      </w:pPr>
      <w:r w:rsidRPr="4E12AD89">
        <w:t>L</w:t>
      </w:r>
      <w:r w:rsidRPr="4E12AD89" w:rsidR="3098EFD9">
        <w:t>’</w:t>
      </w:r>
      <w:r w:rsidRPr="4E12AD89">
        <w:t xml:space="preserve">analyse </w:t>
      </w:r>
      <w:r w:rsidRPr="4E12AD89" w:rsidR="04CA09E0">
        <w:t xml:space="preserve">des </w:t>
      </w:r>
      <w:r w:rsidRPr="4E12AD89" w:rsidR="266F5792">
        <w:t>discours nous permet d</w:t>
      </w:r>
      <w:r w:rsidRPr="4E12AD89" w:rsidR="16AE437B">
        <w:t>’</w:t>
      </w:r>
      <w:r w:rsidRPr="4E12AD89" w:rsidR="071926AC">
        <w:t>analyser plus en détail</w:t>
      </w:r>
      <w:r w:rsidRPr="4E12AD89" w:rsidR="0A5569C4">
        <w:t xml:space="preserve"> </w:t>
      </w:r>
      <w:r w:rsidRPr="4E12AD89" w:rsidR="071926AC">
        <w:t>les stratégies de légitimation de la BCE pendant cette période</w:t>
      </w:r>
      <w:r w:rsidRPr="4E12AD89" w:rsidR="757EFC85">
        <w:t xml:space="preserve"> </w:t>
      </w:r>
      <w:r w:rsidRPr="4E12AD89" w:rsidR="071926AC">
        <w:t xml:space="preserve">: </w:t>
      </w:r>
      <w:r w:rsidRPr="4E12AD89" w:rsidR="4D8FDD9A">
        <w:t xml:space="preserve">un cadrage de l’inflation </w:t>
      </w:r>
      <w:r w:rsidRPr="4E12AD89" w:rsidR="0A592576">
        <w:t xml:space="preserve">centré autour du concept de </w:t>
      </w:r>
      <w:r w:rsidRPr="4E12AD89" w:rsidR="09879857">
        <w:rPr>
          <w:lang w:val="fr"/>
        </w:rPr>
        <w:t>«</w:t>
      </w:r>
      <w:r w:rsidRPr="4E12AD89" w:rsidR="09879857">
        <w:t xml:space="preserve"> </w:t>
      </w:r>
      <w:r w:rsidRPr="4E12AD89" w:rsidR="0A592576">
        <w:t>stabilité des prix</w:t>
      </w:r>
      <w:r w:rsidRPr="4E12AD89" w:rsidR="3346D028">
        <w:rPr>
          <w:lang w:val="fr"/>
        </w:rPr>
        <w:t xml:space="preserve"> »</w:t>
      </w:r>
      <w:r w:rsidRPr="4E12AD89" w:rsidR="0A592576">
        <w:t xml:space="preserve">, </w:t>
      </w:r>
      <w:r w:rsidRPr="4E12AD89" w:rsidR="4D8FDD9A">
        <w:t>en lien avec l</w:t>
      </w:r>
      <w:r w:rsidRPr="4E12AD89" w:rsidR="7AE2568C">
        <w:t>e</w:t>
      </w:r>
      <w:r w:rsidRPr="4E12AD89" w:rsidR="4D8FDD9A">
        <w:t xml:space="preserve">s </w:t>
      </w:r>
      <w:r w:rsidRPr="4E12AD89" w:rsidR="2D298ECE">
        <w:t>théories</w:t>
      </w:r>
      <w:r w:rsidRPr="4E12AD89" w:rsidR="4D8FDD9A">
        <w:t xml:space="preserve"> </w:t>
      </w:r>
      <w:r w:rsidRPr="4E12AD89" w:rsidR="62A2F327">
        <w:t>soutenant</w:t>
      </w:r>
      <w:r w:rsidRPr="4E12AD89" w:rsidR="4D8FDD9A">
        <w:t xml:space="preserve"> le modèle BCI </w:t>
      </w:r>
      <w:r w:rsidRPr="4E12AD89" w:rsidR="795174E3">
        <w:t>(</w:t>
      </w:r>
      <w:r w:rsidRPr="4E12AD89" w:rsidR="32FD7490">
        <w:t>F</w:t>
      </w:r>
      <w:r w:rsidRPr="4E12AD89" w:rsidR="795174E3">
        <w:t xml:space="preserve">igure </w:t>
      </w:r>
      <w:r w:rsidRPr="4E12AD89" w:rsidR="1BF35048">
        <w:t>1</w:t>
      </w:r>
      <w:r w:rsidRPr="4E12AD89" w:rsidR="795174E3">
        <w:t>)</w:t>
      </w:r>
      <w:r w:rsidRPr="4E12AD89" w:rsidR="5F9401CA">
        <w:t xml:space="preserve"> </w:t>
      </w:r>
      <w:r w:rsidRPr="4E12AD89" w:rsidR="4D8FDD9A">
        <w:t xml:space="preserve">et une attribution </w:t>
      </w:r>
      <w:r w:rsidRPr="4E12AD89" w:rsidR="6325933A">
        <w:t xml:space="preserve">de </w:t>
      </w:r>
      <w:r w:rsidRPr="4E12AD89" w:rsidR="4BF823B4">
        <w:t xml:space="preserve">la </w:t>
      </w:r>
      <w:r w:rsidRPr="4E12AD89" w:rsidR="1920B56F">
        <w:t xml:space="preserve">responsabilité </w:t>
      </w:r>
      <w:r w:rsidRPr="4E12AD89" w:rsidR="375A8CDE">
        <w:t xml:space="preserve">de la stabilité des prix </w:t>
      </w:r>
      <w:r w:rsidRPr="4E12AD89" w:rsidR="1920B56F">
        <w:t>à d’autres acteurs</w:t>
      </w:r>
      <w:r w:rsidRPr="4E12AD89" w:rsidR="4FF29E84">
        <w:t xml:space="preserve"> (</w:t>
      </w:r>
      <w:r w:rsidRPr="4E12AD89" w:rsidR="7EBF67A1">
        <w:t>F</w:t>
      </w:r>
      <w:r w:rsidRPr="4E12AD89" w:rsidR="4FF29E84">
        <w:t>igure 2)</w:t>
      </w:r>
      <w:r w:rsidRPr="4E12AD89" w:rsidR="6325933A">
        <w:t xml:space="preserve">. </w:t>
      </w:r>
      <w:r w:rsidRPr="4E12AD89" w:rsidR="071926AC">
        <w:t xml:space="preserve"> </w:t>
      </w:r>
      <w:r w:rsidRPr="4E12AD89" w:rsidR="266F5792">
        <w:t xml:space="preserve"> </w:t>
      </w:r>
    </w:p>
    <w:p w:rsidR="006774B5" w:rsidP="006774B5" w:rsidRDefault="006774B5" w14:paraId="558FB090" w14:textId="7EC7252E">
      <w:pPr>
        <w:autoSpaceDE w:val="0"/>
        <w:autoSpaceDN w:val="0"/>
        <w:adjustRightInd w:val="0"/>
        <w:spacing w:after="200" w:line="276" w:lineRule="auto"/>
        <w:rPr>
          <w:rFonts w:cs="Times New Roman"/>
          <w:lang w:val="fr"/>
        </w:rPr>
      </w:pPr>
      <w:r w:rsidRPr="4E12AD89">
        <w:rPr>
          <w:rFonts w:cs="Times New Roman"/>
          <w:b/>
          <w:bCs/>
          <w:u w:val="single"/>
          <w:lang w:val="fr"/>
        </w:rPr>
        <w:t xml:space="preserve">Figure </w:t>
      </w:r>
      <w:r w:rsidRPr="4E12AD89" w:rsidR="0460725B">
        <w:rPr>
          <w:rFonts w:cs="Times New Roman"/>
          <w:b/>
          <w:bCs/>
          <w:u w:val="single"/>
          <w:lang w:val="fr"/>
        </w:rPr>
        <w:t>1</w:t>
      </w:r>
      <w:r w:rsidRPr="4E12AD89">
        <w:rPr>
          <w:rFonts w:cs="Times New Roman"/>
          <w:b/>
          <w:bCs/>
          <w:u w:val="single"/>
          <w:lang w:val="fr"/>
        </w:rPr>
        <w:t xml:space="preserve"> : Thèmes sur la stabilité des prix</w:t>
      </w:r>
    </w:p>
    <w:p w:rsidR="006774B5" w:rsidP="006774B5" w:rsidRDefault="006774B5" w14:paraId="047575D5" w14:textId="1EBBA821">
      <w:pPr>
        <w:autoSpaceDE w:val="0"/>
        <w:autoSpaceDN w:val="0"/>
        <w:adjustRightInd w:val="0"/>
        <w:spacing w:after="200" w:line="276" w:lineRule="auto"/>
        <w:rPr>
          <w:rFonts w:cs="Times New Roman"/>
          <w:lang w:val="fr"/>
        </w:rPr>
      </w:pPr>
      <w:r>
        <w:rPr>
          <w:noProof/>
        </w:rPr>
        <w:lastRenderedPageBreak/>
        <w:drawing>
          <wp:inline distT="0" distB="0" distL="0" distR="0" wp14:anchorId="6AAABEB7" wp14:editId="785D96B6">
            <wp:extent cx="5532120" cy="3314700"/>
            <wp:effectExtent l="0" t="0" r="0" b="0"/>
            <wp:docPr id="874955720" name="Image 2" descr="Une image contenant texte, diagramme, Tracé, lig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pic:nvPicPr>
                  <pic:blipFill>
                    <a:blip r:embed="rId7">
                      <a:extLst>
                        <a:ext uri="{28A0092B-C50C-407E-A947-70E740481C1C}">
                          <a14:useLocalDpi xmlns:a14="http://schemas.microsoft.com/office/drawing/2010/main" val="0"/>
                        </a:ext>
                      </a:extLst>
                    </a:blip>
                    <a:stretch>
                      <a:fillRect/>
                    </a:stretch>
                  </pic:blipFill>
                  <pic:spPr>
                    <a:xfrm>
                      <a:off x="0" y="0"/>
                      <a:ext cx="5532120" cy="3314700"/>
                    </a:xfrm>
                    <a:prstGeom prst="rect">
                      <a:avLst/>
                    </a:prstGeom>
                  </pic:spPr>
                </pic:pic>
              </a:graphicData>
            </a:graphic>
          </wp:inline>
        </w:drawing>
      </w:r>
    </w:p>
    <w:p w:rsidRPr="0082660D" w:rsidR="00A61698" w:rsidP="00B31E20" w:rsidRDefault="006774B5" w14:paraId="72A40391" w14:textId="0FB72690">
      <w:r w:rsidRPr="0082660D">
        <w:t xml:space="preserve">Jean-Claude Trichet, le </w:t>
      </w:r>
      <w:r w:rsidRPr="0082660D" w:rsidR="00722848">
        <w:t>second</w:t>
      </w:r>
      <w:r w:rsidRPr="0082660D">
        <w:t xml:space="preserve"> président de la BCE, </w:t>
      </w:r>
      <w:r w:rsidRPr="0082660D" w:rsidR="3489E5C1">
        <w:t>résume bien la priorité absolue accordée à la stabilité des prix</w:t>
      </w:r>
      <w:r w:rsidR="00ED6406">
        <w:t xml:space="preserve"> </w:t>
      </w:r>
      <w:r w:rsidRPr="0082660D" w:rsidR="02F33717">
        <w:t xml:space="preserve">: </w:t>
      </w:r>
    </w:p>
    <w:p w:rsidRPr="00A61698" w:rsidR="006774B5" w:rsidP="00A61698" w:rsidRDefault="007247A5" w14:paraId="1D81F9F2" w14:textId="2ADFDA6A">
      <w:pPr>
        <w:pStyle w:val="Citation"/>
      </w:pPr>
      <w:r w:rsidRPr="00A61698">
        <w:rPr>
          <w:lang w:val="en-US"/>
        </w:rPr>
        <w:t xml:space="preserve">Price stability, and economic growth and employment, rather than being substitutes, are complements in a relationship which makes price stability a necessary condition for sustainable growth and job creation. </w:t>
      </w:r>
      <w:r w:rsidR="004D6F88">
        <w:rPr>
          <w:rStyle w:val="Appelnotedebasdep"/>
        </w:rPr>
        <w:footnoteReference w:id="17"/>
      </w:r>
    </w:p>
    <w:p w:rsidR="006774B5" w:rsidP="005459CE" w:rsidRDefault="238D9057" w14:paraId="52AC4A40" w14:textId="3813AEE8">
      <w:r w:rsidRPr="4E12AD89">
        <w:t xml:space="preserve">De la même manière, </w:t>
      </w:r>
      <w:r w:rsidRPr="4E12AD89" w:rsidR="38622B4E">
        <w:t>au cœur de</w:t>
      </w:r>
      <w:r w:rsidRPr="4E12AD89" w:rsidR="2C8F3CCB">
        <w:t xml:space="preserve"> la pire crise financière depuis 1929, </w:t>
      </w:r>
      <w:r w:rsidRPr="4E12AD89">
        <w:t xml:space="preserve">Jürgen Stark, économiste en chef de la BCE de 2006 à 2011, </w:t>
      </w:r>
      <w:r w:rsidRPr="4E12AD89" w:rsidR="4DB2231C">
        <w:t>se montrait</w:t>
      </w:r>
      <w:r w:rsidRPr="4E12AD89" w:rsidR="2C8F3CCB">
        <w:t xml:space="preserve"> catégorique sur le fait que </w:t>
      </w:r>
      <w:r w:rsidRPr="4E12AD89" w:rsidR="7BD097B1">
        <w:t>« </w:t>
      </w:r>
      <w:r w:rsidRPr="4E12AD89" w:rsidR="2C8F3CCB">
        <w:t>la stabilité des prix est la meilleure contribution que nous puissions apporter à la stabilité financière</w:t>
      </w:r>
      <w:r w:rsidRPr="4E12AD89" w:rsidR="7BD097B1">
        <w:t> »</w:t>
      </w:r>
      <w:r w:rsidR="004D6F88">
        <w:rPr>
          <w:rStyle w:val="Appelnotedebasdep"/>
        </w:rPr>
        <w:footnoteReference w:id="18"/>
      </w:r>
      <w:r w:rsidRPr="4E12AD89" w:rsidR="7BDB0EF8">
        <w:t>.</w:t>
      </w:r>
      <w:r w:rsidRPr="4E12AD89" w:rsidR="2C8F3CCB">
        <w:t xml:space="preserve"> Il </w:t>
      </w:r>
      <w:r w:rsidRPr="4E12AD89" w:rsidR="643FD4CF">
        <w:t>citait</w:t>
      </w:r>
      <w:r w:rsidRPr="4E12AD89" w:rsidR="2C8F3CCB">
        <w:t xml:space="preserve"> </w:t>
      </w:r>
      <w:proofErr w:type="spellStart"/>
      <w:r w:rsidRPr="4E12AD89" w:rsidR="2C8F3CCB">
        <w:t>Kydland</w:t>
      </w:r>
      <w:proofErr w:type="spellEnd"/>
      <w:r w:rsidRPr="4E12AD89" w:rsidR="2C8F3CCB">
        <w:t xml:space="preserve"> et Prescott pour souligner que </w:t>
      </w:r>
      <w:r w:rsidRPr="4E12AD89" w:rsidR="43F10A8B">
        <w:t>« </w:t>
      </w:r>
      <w:r w:rsidRPr="4E12AD89" w:rsidR="2C8F3CCB">
        <w:t>tout brouillage des responsabilités peut potentiellement conduire à une perte de crédibilité de la banque centrale</w:t>
      </w:r>
      <w:r w:rsidRPr="4E12AD89" w:rsidR="43F10A8B">
        <w:t> »</w:t>
      </w:r>
      <w:r w:rsidR="004D6F88">
        <w:rPr>
          <w:rStyle w:val="Appelnotedebasdep"/>
        </w:rPr>
        <w:footnoteReference w:id="19"/>
      </w:r>
      <w:r w:rsidRPr="4E12AD89" w:rsidR="2C8F3CCB">
        <w:t xml:space="preserve">. </w:t>
      </w:r>
      <w:r w:rsidRPr="4E12AD89" w:rsidR="6AB9D14D">
        <w:t>En d’autres mots, b</w:t>
      </w:r>
      <w:r w:rsidRPr="4E12AD89" w:rsidR="5082C43D">
        <w:t>ien que</w:t>
      </w:r>
      <w:r w:rsidRPr="4E12AD89" w:rsidR="6599543E">
        <w:t xml:space="preserve"> </w:t>
      </w:r>
      <w:r w:rsidRPr="4E12AD89" w:rsidR="56DF6951">
        <w:t>l’objectif de stabilisation financière</w:t>
      </w:r>
      <w:r w:rsidRPr="4E12AD89" w:rsidR="13ED4AD3">
        <w:t xml:space="preserve"> soit</w:t>
      </w:r>
      <w:r w:rsidRPr="4E12AD89" w:rsidR="56DF6951">
        <w:t xml:space="preserve"> devenu </w:t>
      </w:r>
      <w:r w:rsidRPr="4E12AD89" w:rsidR="274387F6">
        <w:t xml:space="preserve">en 2011 </w:t>
      </w:r>
      <w:r w:rsidRPr="4E12AD89" w:rsidR="56DF6951">
        <w:t>l</w:t>
      </w:r>
      <w:r w:rsidRPr="4E12AD89" w:rsidR="41C647B1">
        <w:t xml:space="preserve">e </w:t>
      </w:r>
      <w:r w:rsidRPr="4E12AD89" w:rsidR="56DF6951">
        <w:t xml:space="preserve">principal </w:t>
      </w:r>
      <w:r w:rsidRPr="4E12AD89" w:rsidR="4B3E5A24">
        <w:t xml:space="preserve">enjeu </w:t>
      </w:r>
      <w:r w:rsidRPr="4E12AD89" w:rsidR="7E1F1C11">
        <w:t xml:space="preserve">économique pour les </w:t>
      </w:r>
      <w:r w:rsidRPr="4E12AD89" w:rsidR="56DF6951">
        <w:t>banques centrales des économies avancées,</w:t>
      </w:r>
      <w:r w:rsidRPr="4E12AD89" w:rsidR="7DD178CE">
        <w:t xml:space="preserve"> </w:t>
      </w:r>
      <w:r w:rsidRPr="4E12AD89" w:rsidR="5263CD6E">
        <w:t xml:space="preserve">Stark continuait à </w:t>
      </w:r>
      <w:r w:rsidRPr="4E12AD89" w:rsidR="3C5C5611">
        <w:t xml:space="preserve">mobiliser </w:t>
      </w:r>
      <w:r w:rsidRPr="4E12AD89" w:rsidR="5263CD6E">
        <w:t xml:space="preserve">le modèle BCI, qui montrait pourtant un décalage évident avec cette priorité, pour </w:t>
      </w:r>
      <w:r w:rsidRPr="4E12AD89" w:rsidR="2C8F3CCB">
        <w:t>justifi</w:t>
      </w:r>
      <w:r w:rsidRPr="4E12AD89" w:rsidR="36C11A7B">
        <w:t>er</w:t>
      </w:r>
      <w:r w:rsidRPr="4E12AD89" w:rsidR="2C8F3CCB">
        <w:t xml:space="preserve"> la hausse des taux d'intérêt opérée par la BCE à cette époque. </w:t>
      </w:r>
    </w:p>
    <w:p w:rsidR="00B43D0F" w:rsidP="00B43D0F" w:rsidRDefault="00B43D0F" w14:paraId="147A3432" w14:textId="77777777">
      <w:pPr>
        <w:autoSpaceDE w:val="0"/>
        <w:autoSpaceDN w:val="0"/>
        <w:adjustRightInd w:val="0"/>
        <w:spacing w:after="200" w:line="276" w:lineRule="auto"/>
        <w:rPr>
          <w:rFonts w:cs="Times New Roman"/>
        </w:rPr>
      </w:pPr>
      <w:r w:rsidRPr="4E12AD89">
        <w:rPr>
          <w:rFonts w:cs="Times New Roman"/>
          <w:b/>
          <w:bCs/>
          <w:u w:val="single"/>
        </w:rPr>
        <w:t xml:space="preserve">Figure </w:t>
      </w:r>
      <w:r w:rsidRPr="4E12AD89">
        <w:rPr>
          <w:rFonts w:cs="Times New Roman"/>
          <w:b/>
          <w:bCs/>
          <w:u w:val="single"/>
          <w:lang w:val="fr"/>
        </w:rPr>
        <w:t>2</w:t>
      </w:r>
      <w:r w:rsidRPr="4E12AD89">
        <w:rPr>
          <w:rFonts w:cs="Times New Roman"/>
          <w:b/>
          <w:bCs/>
          <w:u w:val="single"/>
        </w:rPr>
        <w:t xml:space="preserve"> : Sujets sur les questions fiscales et les réformes structurelles</w:t>
      </w:r>
    </w:p>
    <w:p w:rsidRPr="0082660D" w:rsidR="00B43D0F" w:rsidP="005459CE" w:rsidRDefault="00B43D0F" w14:paraId="7E54C0ED" w14:textId="7CD5E28E">
      <w:r>
        <w:rPr>
          <w:noProof/>
        </w:rPr>
        <w:lastRenderedPageBreak/>
        <w:drawing>
          <wp:inline distT="0" distB="0" distL="0" distR="0" wp14:anchorId="34615042" wp14:editId="1450B265">
            <wp:extent cx="5532120" cy="3314700"/>
            <wp:effectExtent l="0" t="0" r="0" b="0"/>
            <wp:docPr id="1680674770" name="Image 1" descr="Une image contenant diagramme, Tracé, texte, lig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pic:nvPicPr>
                  <pic:blipFill>
                    <a:blip r:embed="rId8">
                      <a:extLst>
                        <a:ext uri="{28A0092B-C50C-407E-A947-70E740481C1C}">
                          <a14:useLocalDpi xmlns:a14="http://schemas.microsoft.com/office/drawing/2010/main" val="0"/>
                        </a:ext>
                      </a:extLst>
                    </a:blip>
                    <a:stretch>
                      <a:fillRect/>
                    </a:stretch>
                  </pic:blipFill>
                  <pic:spPr>
                    <a:xfrm>
                      <a:off x="0" y="0"/>
                      <a:ext cx="5532120" cy="3314700"/>
                    </a:xfrm>
                    <a:prstGeom prst="rect">
                      <a:avLst/>
                    </a:prstGeom>
                  </pic:spPr>
                </pic:pic>
              </a:graphicData>
            </a:graphic>
          </wp:inline>
        </w:drawing>
      </w:r>
    </w:p>
    <w:p w:rsidRPr="0082660D" w:rsidR="006774B5" w:rsidP="005459CE" w:rsidRDefault="3701BD99" w14:paraId="5807AFEB" w14:textId="537AF0FC">
      <w:pPr>
        <w:rPr>
          <w:rFonts w:eastAsia="Aptos"/>
        </w:rPr>
      </w:pPr>
      <w:r w:rsidRPr="4E12AD89">
        <w:t>Ainsi,</w:t>
      </w:r>
      <w:r w:rsidRPr="4E12AD89" w:rsidR="202C42F0">
        <w:t xml:space="preserve"> </w:t>
      </w:r>
      <w:r w:rsidRPr="4E12AD89" w:rsidR="0C932853">
        <w:t>dans sa stratégie de légitimation, la priorité pour</w:t>
      </w:r>
      <w:r w:rsidRPr="4E12AD89" w:rsidR="2C99A629">
        <w:t xml:space="preserve"> la B</w:t>
      </w:r>
      <w:r w:rsidRPr="4E12AD89" w:rsidR="202C42F0">
        <w:t xml:space="preserve">CE </w:t>
      </w:r>
      <w:r w:rsidRPr="4E12AD89" w:rsidR="287F7971">
        <w:t>e</w:t>
      </w:r>
      <w:r w:rsidRPr="4E12AD89" w:rsidR="22A34013">
        <w:t>st d</w:t>
      </w:r>
      <w:r w:rsidRPr="4E12AD89" w:rsidR="60DB7948">
        <w:t>'assurer</w:t>
      </w:r>
      <w:r w:rsidRPr="4E12AD89" w:rsidR="6C02F741">
        <w:t xml:space="preserve"> « </w:t>
      </w:r>
      <w:r w:rsidRPr="4E12AD89" w:rsidR="04B860FE">
        <w:t>un ancr</w:t>
      </w:r>
      <w:r w:rsidRPr="4E12AD89" w:rsidR="0977F97D">
        <w:t>age</w:t>
      </w:r>
      <w:r w:rsidRPr="4E12AD89" w:rsidR="04B860FE">
        <w:t xml:space="preserve"> pour</w:t>
      </w:r>
      <w:r w:rsidRPr="4E12AD89" w:rsidR="6C02F741">
        <w:t xml:space="preserve"> la confiance »</w:t>
      </w:r>
      <w:r w:rsidR="004D6F88">
        <w:rPr>
          <w:rStyle w:val="Appelnotedebasdep"/>
        </w:rPr>
        <w:footnoteReference w:id="20"/>
      </w:r>
      <w:r w:rsidRPr="4E12AD89" w:rsidR="1759B9B8">
        <w:rPr>
          <w:lang w:val="fr"/>
        </w:rPr>
        <w:t>.</w:t>
      </w:r>
      <w:r w:rsidRPr="4E12AD89" w:rsidR="3E0A35F9">
        <w:rPr>
          <w:lang w:val="fr"/>
        </w:rPr>
        <w:t xml:space="preserve"> Lorsque l</w:t>
      </w:r>
      <w:r w:rsidRPr="4E12AD89" w:rsidR="260BEB86">
        <w:rPr>
          <w:lang w:val="fr"/>
        </w:rPr>
        <w:t>’</w:t>
      </w:r>
      <w:r w:rsidRPr="4E12AD89" w:rsidR="3E0A35F9">
        <w:rPr>
          <w:lang w:val="fr"/>
        </w:rPr>
        <w:t xml:space="preserve">inflation </w:t>
      </w:r>
      <w:r w:rsidRPr="4E12AD89" w:rsidR="593CC68A">
        <w:rPr>
          <w:lang w:val="fr"/>
        </w:rPr>
        <w:t xml:space="preserve">s’élève </w:t>
      </w:r>
      <w:r w:rsidRPr="4E12AD89" w:rsidR="3E0A35F9">
        <w:rPr>
          <w:lang w:val="fr"/>
        </w:rPr>
        <w:t xml:space="preserve">en 2007, les </w:t>
      </w:r>
      <w:r w:rsidRPr="4E12AD89" w:rsidR="28235C4C">
        <w:rPr>
          <w:lang w:val="fr"/>
        </w:rPr>
        <w:t>banquiers centraux</w:t>
      </w:r>
      <w:r w:rsidRPr="4E12AD89" w:rsidR="3E0A35F9">
        <w:rPr>
          <w:lang w:val="fr"/>
        </w:rPr>
        <w:t xml:space="preserve"> </w:t>
      </w:r>
      <w:r w:rsidRPr="4E12AD89" w:rsidR="5D2902F2">
        <w:rPr>
          <w:lang w:val="fr"/>
        </w:rPr>
        <w:t xml:space="preserve">renforcent </w:t>
      </w:r>
      <w:r w:rsidRPr="4E12AD89" w:rsidR="3E0A35F9">
        <w:rPr>
          <w:lang w:val="fr"/>
        </w:rPr>
        <w:t>leurs efforts pour établir l</w:t>
      </w:r>
      <w:r w:rsidRPr="4E12AD89" w:rsidR="76E136D1">
        <w:rPr>
          <w:lang w:val="fr"/>
        </w:rPr>
        <w:t>eur</w:t>
      </w:r>
      <w:r w:rsidRPr="4E12AD89" w:rsidR="3E0A35F9">
        <w:rPr>
          <w:lang w:val="fr"/>
        </w:rPr>
        <w:t xml:space="preserve"> réputation anti-inflationniste</w:t>
      </w:r>
      <w:r w:rsidRPr="4E12AD89" w:rsidR="51553864">
        <w:rPr>
          <w:lang w:val="fr"/>
        </w:rPr>
        <w:t xml:space="preserve">. </w:t>
      </w:r>
      <w:r w:rsidRPr="4E12AD89" w:rsidR="3E0A35F9">
        <w:rPr>
          <w:lang w:val="fr"/>
        </w:rPr>
        <w:t>Ils déclar</w:t>
      </w:r>
      <w:r w:rsidRPr="4E12AD89" w:rsidR="51553864">
        <w:rPr>
          <w:lang w:val="fr"/>
        </w:rPr>
        <w:t>ent</w:t>
      </w:r>
      <w:r w:rsidRPr="4E12AD89" w:rsidR="3E0A35F9">
        <w:rPr>
          <w:lang w:val="fr"/>
        </w:rPr>
        <w:t xml:space="preserve"> </w:t>
      </w:r>
      <w:r w:rsidRPr="4E12AD89" w:rsidR="51553864">
        <w:rPr>
          <w:lang w:val="fr"/>
        </w:rPr>
        <w:t xml:space="preserve">surveiller </w:t>
      </w:r>
      <w:r w:rsidRPr="4E12AD89" w:rsidR="3E0A35F9">
        <w:rPr>
          <w:lang w:val="fr"/>
        </w:rPr>
        <w:t xml:space="preserve">les facteurs inflationnistes potentiels, tels que la flambée des prix des denrées alimentaires et du pétrole, tout en soulignant la présence de facteurs </w:t>
      </w:r>
      <w:r w:rsidRPr="4E12AD89" w:rsidR="217D60D8">
        <w:rPr>
          <w:lang w:val="fr"/>
        </w:rPr>
        <w:t>« </w:t>
      </w:r>
      <w:r w:rsidRPr="4E12AD89" w:rsidR="3E0A35F9">
        <w:rPr>
          <w:lang w:val="fr"/>
        </w:rPr>
        <w:t>plus fondamentaux</w:t>
      </w:r>
      <w:r w:rsidRPr="4E12AD89" w:rsidR="217D60D8">
        <w:rPr>
          <w:lang w:val="fr"/>
        </w:rPr>
        <w:t xml:space="preserve"> » </w:t>
      </w:r>
      <w:r w:rsidRPr="4E12AD89" w:rsidR="3E0A35F9">
        <w:rPr>
          <w:lang w:val="fr"/>
        </w:rPr>
        <w:t>en jeu</w:t>
      </w:r>
      <w:r w:rsidRPr="4E12AD89" w:rsidR="217D60D8">
        <w:rPr>
          <w:lang w:val="fr"/>
        </w:rPr>
        <w:t>, telle qu’une</w:t>
      </w:r>
      <w:r w:rsidRPr="4E12AD89" w:rsidR="3E0A35F9">
        <w:rPr>
          <w:lang w:val="fr"/>
        </w:rPr>
        <w:t xml:space="preserve"> </w:t>
      </w:r>
      <w:r w:rsidRPr="4E12AD89" w:rsidR="217D60D8">
        <w:rPr>
          <w:lang w:val="fr"/>
        </w:rPr>
        <w:t>« </w:t>
      </w:r>
      <w:r w:rsidRPr="4E12AD89" w:rsidR="3E0A35F9">
        <w:rPr>
          <w:lang w:val="fr"/>
        </w:rPr>
        <w:t>évolution des salaires plus forte que prévu [qui] ferait peser des risques significatifs à la hausse sur la stabilité des prix</w:t>
      </w:r>
      <w:r w:rsidRPr="4E12AD89" w:rsidR="10AD54E6">
        <w:rPr>
          <w:lang w:val="fr"/>
        </w:rPr>
        <w:t> »</w:t>
      </w:r>
      <w:r w:rsidR="004D6F88">
        <w:rPr>
          <w:rStyle w:val="Appelnotedebasdep"/>
          <w:lang w:val="fr"/>
        </w:rPr>
        <w:footnoteReference w:id="21"/>
      </w:r>
      <w:r w:rsidRPr="4E12AD89" w:rsidR="3E0A35F9">
        <w:rPr>
          <w:lang w:val="fr"/>
        </w:rPr>
        <w:t>. Cette insistance sur les salaires résonne avec les critiques formulées par les théories des années 1980 qui défendaient le modèle de</w:t>
      </w:r>
      <w:r w:rsidRPr="4E12AD89" w:rsidR="007661AA">
        <w:rPr>
          <w:lang w:val="fr"/>
        </w:rPr>
        <w:t xml:space="preserve"> la BCI</w:t>
      </w:r>
      <w:r w:rsidRPr="4E12AD89" w:rsidR="3E0A35F9">
        <w:rPr>
          <w:lang w:val="fr"/>
        </w:rPr>
        <w:t>.</w:t>
      </w:r>
      <w:r w:rsidRPr="4E12AD89" w:rsidR="6CE4C515">
        <w:rPr>
          <w:rFonts w:eastAsia="Aptos"/>
        </w:rPr>
        <w:t xml:space="preserve"> Ce</w:t>
      </w:r>
      <w:r w:rsidRPr="4E12AD89" w:rsidR="6D9A7BC6">
        <w:rPr>
          <w:rFonts w:eastAsia="Aptos"/>
        </w:rPr>
        <w:t xml:space="preserve">s théories ont </w:t>
      </w:r>
      <w:r w:rsidRPr="4E12AD89" w:rsidR="6CE4C515">
        <w:rPr>
          <w:rFonts w:eastAsia="Aptos"/>
        </w:rPr>
        <w:t xml:space="preserve">surement </w:t>
      </w:r>
      <w:r w:rsidRPr="4E12AD89" w:rsidR="6C383E08">
        <w:rPr>
          <w:rFonts w:eastAsia="Aptos"/>
        </w:rPr>
        <w:t>constitué</w:t>
      </w:r>
      <w:r w:rsidRPr="4E12AD89" w:rsidR="0075B31E">
        <w:rPr>
          <w:rFonts w:eastAsia="Aptos"/>
        </w:rPr>
        <w:t xml:space="preserve"> une motivation majeure </w:t>
      </w:r>
      <w:r w:rsidRPr="4E12AD89" w:rsidR="6CE4C515">
        <w:rPr>
          <w:rFonts w:eastAsia="Aptos"/>
        </w:rPr>
        <w:t>d</w:t>
      </w:r>
      <w:r w:rsidRPr="4E12AD89" w:rsidR="72CDFDC4">
        <w:rPr>
          <w:rFonts w:eastAsia="Aptos"/>
        </w:rPr>
        <w:t>a</w:t>
      </w:r>
      <w:r w:rsidRPr="4E12AD89" w:rsidR="4EF7A4CA">
        <w:rPr>
          <w:rFonts w:eastAsia="Aptos"/>
        </w:rPr>
        <w:t>n</w:t>
      </w:r>
      <w:r w:rsidRPr="4E12AD89" w:rsidR="72CDFDC4">
        <w:rPr>
          <w:rFonts w:eastAsia="Aptos"/>
        </w:rPr>
        <w:t>s</w:t>
      </w:r>
      <w:r w:rsidRPr="4E12AD89" w:rsidR="6CE4C515">
        <w:rPr>
          <w:rFonts w:eastAsia="Aptos"/>
        </w:rPr>
        <w:t xml:space="preserve"> la montée des taux d’</w:t>
      </w:r>
      <w:r w:rsidRPr="4E12AD89" w:rsidR="31FFB028">
        <w:rPr>
          <w:rFonts w:eastAsia="Aptos"/>
        </w:rPr>
        <w:t>intérêt</w:t>
      </w:r>
      <w:r w:rsidRPr="4E12AD89" w:rsidR="6CE4C515">
        <w:rPr>
          <w:rFonts w:eastAsia="Aptos"/>
        </w:rPr>
        <w:t xml:space="preserve"> en 2011 </w:t>
      </w:r>
      <w:r w:rsidRPr="4E12AD89" w:rsidR="36474A8E">
        <w:rPr>
          <w:rFonts w:eastAsia="Aptos"/>
        </w:rPr>
        <w:t>par</w:t>
      </w:r>
      <w:r w:rsidRPr="4E12AD89" w:rsidR="38B12ABB">
        <w:rPr>
          <w:rFonts w:eastAsia="Aptos"/>
        </w:rPr>
        <w:t xml:space="preserve"> la BCE</w:t>
      </w:r>
      <w:r w:rsidRPr="4E12AD89" w:rsidR="61AAB066">
        <w:rPr>
          <w:rFonts w:eastAsia="Aptos"/>
        </w:rPr>
        <w:t>, aujourd'hui considérée comme une erreur d’appréciation fondamentale</w:t>
      </w:r>
      <w:r w:rsidRPr="4E12AD89" w:rsidR="581C7893">
        <w:rPr>
          <w:rFonts w:eastAsia="Aptos"/>
        </w:rPr>
        <w:t xml:space="preserve"> </w:t>
      </w:r>
      <w:r w:rsidRPr="4E12AD89" w:rsidR="433EFD65">
        <w:rPr>
          <w:rFonts w:eastAsia="Aptos"/>
        </w:rPr>
        <w:t>de politique monétaire</w:t>
      </w:r>
      <w:r w:rsidR="004D6F88">
        <w:rPr>
          <w:rStyle w:val="Appelnotedebasdep"/>
          <w:rFonts w:eastAsia="Aptos"/>
        </w:rPr>
        <w:footnoteReference w:id="22"/>
      </w:r>
      <w:r w:rsidRPr="4E12AD89" w:rsidR="3CF864C5">
        <w:rPr>
          <w:rFonts w:eastAsia="Aptos"/>
        </w:rPr>
        <w:t>.</w:t>
      </w:r>
    </w:p>
    <w:p w:rsidRPr="0082660D" w:rsidR="006774B5" w:rsidP="005459CE" w:rsidRDefault="56EF759C" w14:paraId="69786361" w14:textId="6099C895">
      <w:proofErr w:type="spellStart"/>
      <w:r w:rsidRPr="4E12AD89">
        <w:rPr>
          <w:lang w:val="fr"/>
        </w:rPr>
        <w:t>L</w:t>
      </w:r>
      <w:r w:rsidRPr="4E12AD89" w:rsidR="2C8F3CCB">
        <w:t>es</w:t>
      </w:r>
      <w:proofErr w:type="spellEnd"/>
      <w:r w:rsidRPr="4E12AD89">
        <w:t xml:space="preserve"> </w:t>
      </w:r>
      <w:r w:rsidRPr="4E12AD89" w:rsidR="517BB206">
        <w:t>banquiers centraux</w:t>
      </w:r>
      <w:r w:rsidRPr="4E12AD89" w:rsidR="2C8F3CCB">
        <w:t xml:space="preserve"> </w:t>
      </w:r>
      <w:r w:rsidRPr="4E12AD89" w:rsidR="585DC3BC">
        <w:t xml:space="preserve">tendent également à </w:t>
      </w:r>
      <w:r w:rsidRPr="4E12AD89" w:rsidR="2C8F3CCB">
        <w:t>attribu</w:t>
      </w:r>
      <w:r w:rsidRPr="4E12AD89" w:rsidR="0E1D42BD">
        <w:t>e</w:t>
      </w:r>
      <w:r w:rsidRPr="4E12AD89" w:rsidR="585DC3BC">
        <w:t>r</w:t>
      </w:r>
      <w:r w:rsidRPr="4E12AD89" w:rsidR="2C8F3CCB">
        <w:t xml:space="preserve"> la responsabilité de cette poussée inflationniste </w:t>
      </w:r>
      <w:r w:rsidRPr="4E12AD89" w:rsidR="618C9B56">
        <w:t xml:space="preserve">à </w:t>
      </w:r>
      <w:r w:rsidRPr="4E12AD89" w:rsidR="2C8F3CCB">
        <w:t>d</w:t>
      </w:r>
      <w:r w:rsidRPr="4E12AD89" w:rsidR="750D00D9">
        <w:t>’</w:t>
      </w:r>
      <w:r w:rsidRPr="4E12AD89" w:rsidR="2C8F3CCB">
        <w:t xml:space="preserve">autres acteurs. Trichet et Lucas </w:t>
      </w:r>
      <w:proofErr w:type="spellStart"/>
      <w:r w:rsidRPr="4E12AD89" w:rsidR="2C8F3CCB">
        <w:t>Papademos</w:t>
      </w:r>
      <w:proofErr w:type="spellEnd"/>
      <w:r w:rsidRPr="4E12AD89" w:rsidR="2C8F3CCB">
        <w:t xml:space="preserve">, vice-président de la BCE, </w:t>
      </w:r>
      <w:r w:rsidRPr="4E12AD89" w:rsidR="70F4F3A8">
        <w:t>appelaient ainsi</w:t>
      </w:r>
      <w:r w:rsidRPr="4E12AD89" w:rsidR="2C8F3CCB">
        <w:t xml:space="preserve"> </w:t>
      </w:r>
      <w:r w:rsidRPr="4E12AD89" w:rsidR="70F4F3A8">
        <w:t>« </w:t>
      </w:r>
      <w:r w:rsidRPr="4E12AD89" w:rsidR="2C8F3CCB">
        <w:t>les parties concernées [à] assumer leurs responsabilités</w:t>
      </w:r>
      <w:r w:rsidRPr="4E12AD89" w:rsidR="70F4F3A8">
        <w:t> »</w:t>
      </w:r>
      <w:r w:rsidRPr="4E12AD89" w:rsidR="2C8F3CCB">
        <w:t xml:space="preserve"> et soulign</w:t>
      </w:r>
      <w:r w:rsidRPr="4E12AD89" w:rsidR="70F4F3A8">
        <w:t>aient</w:t>
      </w:r>
      <w:r w:rsidRPr="4E12AD89" w:rsidR="2C8F3CCB">
        <w:t xml:space="preserve"> </w:t>
      </w:r>
      <w:r w:rsidRPr="4E12AD89" w:rsidR="70F4F3A8">
        <w:t>« </w:t>
      </w:r>
      <w:r w:rsidRPr="4E12AD89" w:rsidR="2C8F3CCB">
        <w:t>l</w:t>
      </w:r>
      <w:r w:rsidRPr="4E12AD89" w:rsidR="4163FBEA">
        <w:t>’</w:t>
      </w:r>
      <w:r w:rsidRPr="4E12AD89" w:rsidR="2C8F3CCB">
        <w:t xml:space="preserve">importance d'éviter des évolutions salariales qui conduiraient finalement à des pressions </w:t>
      </w:r>
      <w:r w:rsidRPr="4E12AD89" w:rsidR="2C8F3CCB">
        <w:lastRenderedPageBreak/>
        <w:t>inflationnistes et nuiraient au pouvoir d</w:t>
      </w:r>
      <w:r w:rsidRPr="4E12AD89" w:rsidR="38BE3EFC">
        <w:t>’</w:t>
      </w:r>
      <w:r w:rsidRPr="4E12AD89" w:rsidR="2C8F3CCB">
        <w:t>achat de tous les citoyens de la zone euro</w:t>
      </w:r>
      <w:r w:rsidRPr="4E12AD89" w:rsidR="1EFF1EEB">
        <w:t> »</w:t>
      </w:r>
      <w:r w:rsidR="004D6F88">
        <w:rPr>
          <w:rStyle w:val="Appelnotedebasdep"/>
        </w:rPr>
        <w:footnoteReference w:id="23"/>
      </w:r>
      <w:r w:rsidRPr="4E12AD89" w:rsidR="2C8F3CCB">
        <w:t xml:space="preserve">. Ils </w:t>
      </w:r>
      <w:r w:rsidRPr="4E12AD89" w:rsidR="1EFF1EEB">
        <w:t>critiquaient</w:t>
      </w:r>
      <w:r w:rsidRPr="4E12AD89" w:rsidR="2C8F3CCB">
        <w:t xml:space="preserve"> </w:t>
      </w:r>
      <w:r w:rsidRPr="4E12AD89" w:rsidR="5E8BA1D7">
        <w:t xml:space="preserve">aussi </w:t>
      </w:r>
      <w:r w:rsidRPr="4E12AD89" w:rsidR="2C8F3CCB">
        <w:t xml:space="preserve">les systèmes d'indexation des salaires et les risques </w:t>
      </w:r>
      <w:r w:rsidRPr="4E12AD89" w:rsidR="1EFF1EEB">
        <w:t>de « </w:t>
      </w:r>
      <w:r w:rsidRPr="4E12AD89" w:rsidR="2C8F3CCB">
        <w:t>spirale prix-salaires</w:t>
      </w:r>
      <w:r w:rsidRPr="4E12AD89" w:rsidR="1EFF1EEB">
        <w:t> »</w:t>
      </w:r>
      <w:r w:rsidRPr="4E12AD89" w:rsidR="3CF864C5">
        <w:t xml:space="preserve"> </w:t>
      </w:r>
      <w:r w:rsidRPr="4E12AD89" w:rsidR="773D2913">
        <w:t>(</w:t>
      </w:r>
      <w:r w:rsidRPr="4E12AD89" w:rsidR="773D2913">
        <w:rPr>
          <w:i/>
          <w:iCs/>
        </w:rPr>
        <w:t>ibid.</w:t>
      </w:r>
      <w:r w:rsidRPr="4E12AD89" w:rsidR="773D2913">
        <w:t>).</w:t>
      </w:r>
      <w:r w:rsidRPr="4E12AD89" w:rsidR="2C8F3CCB">
        <w:t xml:space="preserve"> </w:t>
      </w:r>
      <w:r w:rsidRPr="4E12AD89" w:rsidR="223F188B">
        <w:rPr>
          <w:rFonts w:eastAsia="Aptos"/>
        </w:rPr>
        <w:t xml:space="preserve">Ce résultat corrobore d’autres recherches qui montrent que la BCE </w:t>
      </w:r>
      <w:r w:rsidRPr="4E12AD89" w:rsidR="5B448378">
        <w:rPr>
          <w:rFonts w:eastAsia="Aptos"/>
        </w:rPr>
        <w:t>plaidait</w:t>
      </w:r>
      <w:r w:rsidRPr="4E12AD89" w:rsidR="223F188B">
        <w:rPr>
          <w:rFonts w:eastAsia="Aptos"/>
        </w:rPr>
        <w:t xml:space="preserve"> en faveur de la flexibilisation des marchés du travail</w:t>
      </w:r>
      <w:r w:rsidR="004D6F88">
        <w:rPr>
          <w:rStyle w:val="Appelnotedebasdep"/>
          <w:rFonts w:eastAsia="Aptos"/>
        </w:rPr>
        <w:footnoteReference w:id="24"/>
      </w:r>
      <w:r w:rsidRPr="4E12AD89" w:rsidR="45BC3681">
        <w:rPr>
          <w:rFonts w:eastAsia="Aptos"/>
        </w:rPr>
        <w:t xml:space="preserve">, </w:t>
      </w:r>
      <w:r w:rsidRPr="4E12AD89" w:rsidR="45BC3681">
        <w:rPr>
          <w:lang w:val="fr"/>
        </w:rPr>
        <w:t>présentée comme la principale solution aux problèmes de faible croissance et de chômage dans la zone euro.</w:t>
      </w:r>
    </w:p>
    <w:p w:rsidRPr="00B43D0F" w:rsidR="006774B5" w:rsidP="00B43D0F" w:rsidRDefault="573EE265" w14:paraId="47FC1BFA" w14:textId="112E8465">
      <w:pPr>
        <w:rPr>
          <w:lang w:val="fr"/>
        </w:rPr>
      </w:pPr>
      <w:r w:rsidRPr="4E12AD89">
        <w:t xml:space="preserve">De même, </w:t>
      </w:r>
      <w:r w:rsidRPr="4E12AD89" w:rsidR="5836853C">
        <w:t xml:space="preserve">l’insistance des membres du directoire </w:t>
      </w:r>
      <w:r w:rsidRPr="4E12AD89" w:rsidR="231CCA97">
        <w:t xml:space="preserve">sur la </w:t>
      </w:r>
      <w:r w:rsidRPr="4E12AD89" w:rsidR="3AC8C76C">
        <w:t>« </w:t>
      </w:r>
      <w:r w:rsidRPr="4E12AD89" w:rsidR="0F3A0E7E">
        <w:t>soutenabilité</w:t>
      </w:r>
      <w:r w:rsidRPr="4E12AD89" w:rsidR="3AC8C76C">
        <w:t> »</w:t>
      </w:r>
      <w:r w:rsidRPr="4E12AD89" w:rsidR="231CCA97">
        <w:t xml:space="preserve"> budgétaire</w:t>
      </w:r>
      <w:r w:rsidRPr="4E12AD89" w:rsidR="6E06801A">
        <w:t xml:space="preserve"> </w:t>
      </w:r>
      <w:r w:rsidRPr="4E12AD89" w:rsidR="491F69CF">
        <w:t>reflétait</w:t>
      </w:r>
      <w:r w:rsidRPr="4E12AD89" w:rsidR="6E06801A">
        <w:t xml:space="preserve"> </w:t>
      </w:r>
      <w:r w:rsidRPr="4E12AD89" w:rsidR="2C8F3CCB">
        <w:rPr>
          <w:lang w:val="fr"/>
        </w:rPr>
        <w:t xml:space="preserve">le désir des banquiers centraux d'être perçus comme les gardiens de la discipline de marché. </w:t>
      </w:r>
      <w:r w:rsidRPr="4E12AD89" w:rsidR="75411235">
        <w:rPr>
          <w:rFonts w:eastAsia="Aptos"/>
        </w:rPr>
        <w:t>En effet, la</w:t>
      </w:r>
      <w:r w:rsidRPr="4E12AD89" w:rsidR="4BBA07AB">
        <w:rPr>
          <w:rFonts w:eastAsia="Aptos"/>
        </w:rPr>
        <w:t xml:space="preserve"> BCE était un</w:t>
      </w:r>
      <w:r w:rsidRPr="4E12AD89" w:rsidR="777C1EE2">
        <w:rPr>
          <w:rFonts w:eastAsia="Aptos"/>
        </w:rPr>
        <w:t xml:space="preserve">e </w:t>
      </w:r>
      <w:r w:rsidRPr="4E12AD89" w:rsidR="4BBA07AB">
        <w:rPr>
          <w:rFonts w:eastAsia="Aptos"/>
        </w:rPr>
        <w:t>fervent</w:t>
      </w:r>
      <w:r w:rsidRPr="4E12AD89" w:rsidR="378A409E">
        <w:rPr>
          <w:rFonts w:eastAsia="Aptos"/>
        </w:rPr>
        <w:t>e</w:t>
      </w:r>
      <w:r w:rsidRPr="4E12AD89" w:rsidR="4BBA07AB">
        <w:rPr>
          <w:rFonts w:eastAsia="Aptos"/>
        </w:rPr>
        <w:t xml:space="preserve"> </w:t>
      </w:r>
      <w:r w:rsidRPr="4E12AD89" w:rsidR="16A3CE68">
        <w:rPr>
          <w:rFonts w:eastAsia="Aptos"/>
        </w:rPr>
        <w:t xml:space="preserve">défenseuse </w:t>
      </w:r>
      <w:r w:rsidRPr="4E12AD89" w:rsidR="4BBA07AB">
        <w:rPr>
          <w:rFonts w:eastAsia="Aptos"/>
        </w:rPr>
        <w:t xml:space="preserve">du Pacte de </w:t>
      </w:r>
      <w:r w:rsidRPr="4E12AD89" w:rsidR="4939AD06">
        <w:rPr>
          <w:rFonts w:eastAsia="Aptos"/>
        </w:rPr>
        <w:t>S</w:t>
      </w:r>
      <w:r w:rsidRPr="4E12AD89" w:rsidR="4BBA07AB">
        <w:rPr>
          <w:rFonts w:eastAsia="Aptos"/>
        </w:rPr>
        <w:t xml:space="preserve">tabilité et de </w:t>
      </w:r>
      <w:r w:rsidRPr="4E12AD89" w:rsidR="3B4942C8">
        <w:rPr>
          <w:rFonts w:eastAsia="Aptos"/>
        </w:rPr>
        <w:t>C</w:t>
      </w:r>
      <w:r w:rsidRPr="4E12AD89" w:rsidR="4BBA07AB">
        <w:rPr>
          <w:rFonts w:eastAsia="Aptos"/>
        </w:rPr>
        <w:t>roissance</w:t>
      </w:r>
      <w:r w:rsidRPr="4E12AD89" w:rsidR="45974F86">
        <w:rPr>
          <w:rFonts w:eastAsia="Aptos"/>
        </w:rPr>
        <w:t xml:space="preserve"> (PSC)</w:t>
      </w:r>
      <w:r w:rsidRPr="4E12AD89" w:rsidR="4BBA07AB">
        <w:rPr>
          <w:rFonts w:eastAsia="Aptos"/>
        </w:rPr>
        <w:t xml:space="preserve">, qui vise à garantir la discipline budgétaire entre les États membres, et elle est restée fermement opposée </w:t>
      </w:r>
      <w:r w:rsidRPr="4E12AD89" w:rsidR="5170DA01">
        <w:rPr>
          <w:rFonts w:eastAsia="Aptos"/>
        </w:rPr>
        <w:t xml:space="preserve">aux </w:t>
      </w:r>
      <w:r w:rsidRPr="4E12AD89" w:rsidR="0E7A54AB">
        <w:rPr>
          <w:rFonts w:eastAsia="Aptos"/>
        </w:rPr>
        <w:t xml:space="preserve">écarts éventuels </w:t>
      </w:r>
      <w:r w:rsidRPr="4E12AD89" w:rsidR="50035D7C">
        <w:rPr>
          <w:rFonts w:eastAsia="Aptos"/>
        </w:rPr>
        <w:t>aux règles budgétaires</w:t>
      </w:r>
      <w:r w:rsidR="004D6F88">
        <w:rPr>
          <w:rStyle w:val="Appelnotedebasdep"/>
          <w:rFonts w:eastAsia="Aptos"/>
        </w:rPr>
        <w:footnoteReference w:id="25"/>
      </w:r>
      <w:r w:rsidRPr="4E12AD89" w:rsidR="53F16E22">
        <w:rPr>
          <w:rFonts w:eastAsia="Aptos"/>
        </w:rPr>
        <w:t>, qui créent des</w:t>
      </w:r>
      <w:r w:rsidRPr="4E12AD89" w:rsidR="38DF1E23">
        <w:rPr>
          <w:rFonts w:eastAsia="Aptos"/>
        </w:rPr>
        <w:t xml:space="preserve"> </w:t>
      </w:r>
      <w:r w:rsidRPr="4E12AD89" w:rsidR="4BBA07AB">
        <w:rPr>
          <w:rFonts w:eastAsia="Aptos"/>
        </w:rPr>
        <w:t>risque</w:t>
      </w:r>
      <w:r w:rsidRPr="4E12AD89" w:rsidR="71790C3D">
        <w:rPr>
          <w:rFonts w:eastAsia="Aptos"/>
        </w:rPr>
        <w:t>s</w:t>
      </w:r>
      <w:r w:rsidRPr="4E12AD89" w:rsidR="4BBA07AB">
        <w:rPr>
          <w:rFonts w:eastAsia="Aptos"/>
        </w:rPr>
        <w:t xml:space="preserve"> de </w:t>
      </w:r>
      <w:r w:rsidRPr="4E12AD89" w:rsidR="0F11A038">
        <w:rPr>
          <w:rFonts w:eastAsia="Aptos"/>
        </w:rPr>
        <w:t>“</w:t>
      </w:r>
      <w:r w:rsidRPr="4E12AD89" w:rsidR="4BBA07AB">
        <w:rPr>
          <w:rFonts w:eastAsia="Aptos"/>
        </w:rPr>
        <w:t>dominance budgétaire</w:t>
      </w:r>
      <w:r w:rsidRPr="4E12AD89" w:rsidR="049B89F6">
        <w:rPr>
          <w:rFonts w:eastAsia="Aptos"/>
        </w:rPr>
        <w:t>”</w:t>
      </w:r>
      <w:r w:rsidRPr="4E12AD89" w:rsidR="4BBA07AB">
        <w:rPr>
          <w:rFonts w:eastAsia="Aptos"/>
        </w:rPr>
        <w:t xml:space="preserve"> et, par conséquent, </w:t>
      </w:r>
      <w:r w:rsidRPr="4E12AD89" w:rsidR="0AFCB197">
        <w:rPr>
          <w:rFonts w:eastAsia="Aptos"/>
        </w:rPr>
        <w:t>d</w:t>
      </w:r>
      <w:r w:rsidRPr="4E12AD89" w:rsidR="4BBA07AB">
        <w:rPr>
          <w:rFonts w:eastAsia="Aptos"/>
        </w:rPr>
        <w:t>es pressions inflationnistes.</w:t>
      </w:r>
      <w:r w:rsidRPr="4E12AD89" w:rsidR="4BBA07AB">
        <w:rPr>
          <w:lang w:val="fr"/>
        </w:rPr>
        <w:t xml:space="preserve"> </w:t>
      </w:r>
    </w:p>
    <w:p w:rsidRPr="00996CD1" w:rsidR="006774B5" w:rsidP="00B43D0F" w:rsidRDefault="281211C3" w14:paraId="2DCA1B9D" w14:textId="3BCD721F">
      <w:r w:rsidRPr="4E12AD89">
        <w:t xml:space="preserve">Suivant ce cadrage de l’inflation, </w:t>
      </w:r>
      <w:r w:rsidRPr="4E12AD89" w:rsidR="2C8F3CCB">
        <w:t>Wim Duisenberg, le premier président de la BCE, résume</w:t>
      </w:r>
      <w:r w:rsidRPr="4E12AD89" w:rsidR="7EB44202">
        <w:t xml:space="preserve"> </w:t>
      </w:r>
      <w:r w:rsidRPr="4E12AD89" w:rsidR="5C14F4FB">
        <w:t>cette</w:t>
      </w:r>
      <w:r w:rsidRPr="4E12AD89" w:rsidR="2C8F3CCB">
        <w:t xml:space="preserve"> division du travail </w:t>
      </w:r>
      <w:r w:rsidRPr="4E12AD89" w:rsidR="16AD2613">
        <w:t>entre banques centrales et gouvernement</w:t>
      </w:r>
      <w:r w:rsidRPr="4E12AD89" w:rsidR="5119A7B7">
        <w:t>s</w:t>
      </w:r>
      <w:r w:rsidRPr="4E12AD89" w:rsidR="16AD2613">
        <w:t xml:space="preserve"> nationaux</w:t>
      </w:r>
      <w:r w:rsidRPr="4E12AD89" w:rsidR="3497E304">
        <w:t xml:space="preserve"> </w:t>
      </w:r>
      <w:r w:rsidRPr="4E12AD89" w:rsidR="2C8F3CCB">
        <w:t xml:space="preserve">: </w:t>
      </w:r>
    </w:p>
    <w:p w:rsidRPr="00590694" w:rsidR="000873C2" w:rsidP="00B43D0F" w:rsidRDefault="00CD616D" w14:paraId="0CCBF2BB" w14:textId="21F83300">
      <w:pPr>
        <w:pStyle w:val="Citation"/>
        <w:rPr>
          <w:lang w:val="en-US"/>
        </w:rPr>
      </w:pPr>
      <w:proofErr w:type="spellStart"/>
      <w:r w:rsidRPr="00B43D0F">
        <w:t>Although</w:t>
      </w:r>
      <w:proofErr w:type="spellEnd"/>
      <w:r w:rsidRPr="00B43D0F">
        <w:t xml:space="preserve"> </w:t>
      </w:r>
      <w:proofErr w:type="spellStart"/>
      <w:r w:rsidRPr="00B43D0F">
        <w:t>monetary</w:t>
      </w:r>
      <w:proofErr w:type="spellEnd"/>
      <w:r w:rsidRPr="00B43D0F">
        <w:t xml:space="preserve"> </w:t>
      </w:r>
      <w:proofErr w:type="spellStart"/>
      <w:r w:rsidRPr="00B43D0F">
        <w:t>policy</w:t>
      </w:r>
      <w:proofErr w:type="spellEnd"/>
      <w:r w:rsidRPr="00B43D0F">
        <w:t xml:space="preserve"> </w:t>
      </w:r>
      <w:proofErr w:type="spellStart"/>
      <w:r w:rsidRPr="00B43D0F">
        <w:t>cannot</w:t>
      </w:r>
      <w:proofErr w:type="spellEnd"/>
      <w:r w:rsidRPr="00B43D0F">
        <w:t xml:space="preserve"> lift the euro </w:t>
      </w:r>
      <w:proofErr w:type="spellStart"/>
      <w:r w:rsidRPr="00B43D0F">
        <w:t>area</w:t>
      </w:r>
      <w:r w:rsidRPr="00B43D0F" w:rsidR="001369D0">
        <w:t>’</w:t>
      </w:r>
      <w:r w:rsidRPr="00B43D0F">
        <w:t>s</w:t>
      </w:r>
      <w:proofErr w:type="spellEnd"/>
      <w:r w:rsidRPr="00B43D0F">
        <w:t xml:space="preserve"> </w:t>
      </w:r>
      <w:proofErr w:type="spellStart"/>
      <w:r w:rsidRPr="00B43D0F">
        <w:t>growth</w:t>
      </w:r>
      <w:proofErr w:type="spellEnd"/>
      <w:r w:rsidRPr="00B43D0F">
        <w:t xml:space="preserve"> </w:t>
      </w:r>
      <w:proofErr w:type="spellStart"/>
      <w:r w:rsidRPr="00B43D0F">
        <w:t>potential</w:t>
      </w:r>
      <w:proofErr w:type="spellEnd"/>
      <w:r w:rsidRPr="00B43D0F">
        <w:t xml:space="preserve">, the </w:t>
      </w:r>
      <w:proofErr w:type="spellStart"/>
      <w:r w:rsidRPr="00B43D0F">
        <w:t>benefits</w:t>
      </w:r>
      <w:proofErr w:type="spellEnd"/>
      <w:r w:rsidRPr="00B43D0F">
        <w:t xml:space="preserve"> of </w:t>
      </w:r>
      <w:proofErr w:type="spellStart"/>
      <w:r w:rsidRPr="00B43D0F">
        <w:t>price</w:t>
      </w:r>
      <w:proofErr w:type="spellEnd"/>
      <w:r w:rsidRPr="00B43D0F">
        <w:t xml:space="preserve"> </w:t>
      </w:r>
      <w:proofErr w:type="spellStart"/>
      <w:r w:rsidRPr="00B43D0F">
        <w:t>stability</w:t>
      </w:r>
      <w:proofErr w:type="spellEnd"/>
      <w:r w:rsidRPr="00B43D0F">
        <w:t xml:space="preserve"> for </w:t>
      </w:r>
      <w:proofErr w:type="spellStart"/>
      <w:r w:rsidRPr="00B43D0F">
        <w:t>growth</w:t>
      </w:r>
      <w:proofErr w:type="spellEnd"/>
      <w:r w:rsidRPr="00B43D0F">
        <w:t xml:space="preserve"> are </w:t>
      </w:r>
      <w:proofErr w:type="spellStart"/>
      <w:r w:rsidRPr="00B43D0F">
        <w:t>evident</w:t>
      </w:r>
      <w:proofErr w:type="spellEnd"/>
      <w:r w:rsidRPr="00B43D0F">
        <w:t xml:space="preserve">, as stable </w:t>
      </w:r>
      <w:proofErr w:type="spellStart"/>
      <w:r w:rsidRPr="00B43D0F">
        <w:t>prices</w:t>
      </w:r>
      <w:proofErr w:type="spellEnd"/>
      <w:r w:rsidRPr="00B43D0F">
        <w:t xml:space="preserve"> </w:t>
      </w:r>
      <w:proofErr w:type="spellStart"/>
      <w:r w:rsidRPr="00B43D0F">
        <w:t>provide</w:t>
      </w:r>
      <w:proofErr w:type="spellEnd"/>
      <w:r w:rsidRPr="00B43D0F">
        <w:t xml:space="preserve"> the </w:t>
      </w:r>
      <w:proofErr w:type="spellStart"/>
      <w:r w:rsidRPr="00B43D0F">
        <w:t>proper</w:t>
      </w:r>
      <w:proofErr w:type="spellEnd"/>
      <w:r w:rsidRPr="00B43D0F">
        <w:t xml:space="preserve"> </w:t>
      </w:r>
      <w:proofErr w:type="spellStart"/>
      <w:r w:rsidRPr="00B43D0F">
        <w:t>environment</w:t>
      </w:r>
      <w:proofErr w:type="spellEnd"/>
      <w:r w:rsidRPr="00B43D0F">
        <w:t xml:space="preserve"> for structural </w:t>
      </w:r>
      <w:proofErr w:type="spellStart"/>
      <w:r w:rsidRPr="00B43D0F">
        <w:t>reforms</w:t>
      </w:r>
      <w:proofErr w:type="spellEnd"/>
      <w:r w:rsidRPr="00B43D0F">
        <w:t xml:space="preserve"> to </w:t>
      </w:r>
      <w:proofErr w:type="spellStart"/>
      <w:r w:rsidRPr="00B43D0F">
        <w:t>work</w:t>
      </w:r>
      <w:proofErr w:type="spellEnd"/>
      <w:r w:rsidRPr="00B43D0F">
        <w:t xml:space="preserve">. </w:t>
      </w:r>
      <w:proofErr w:type="spellStart"/>
      <w:r w:rsidRPr="00B43D0F">
        <w:t>While</w:t>
      </w:r>
      <w:proofErr w:type="spellEnd"/>
      <w:r w:rsidRPr="00B43D0F">
        <w:t xml:space="preserve"> the ECB </w:t>
      </w:r>
      <w:proofErr w:type="spellStart"/>
      <w:r w:rsidRPr="00B43D0F">
        <w:t>will</w:t>
      </w:r>
      <w:proofErr w:type="spellEnd"/>
      <w:r w:rsidRPr="00B43D0F">
        <w:t xml:space="preserve"> </w:t>
      </w:r>
      <w:proofErr w:type="spellStart"/>
      <w:r w:rsidRPr="00B43D0F">
        <w:t>maintain</w:t>
      </w:r>
      <w:proofErr w:type="spellEnd"/>
      <w:r w:rsidRPr="00B43D0F">
        <w:t xml:space="preserve"> </w:t>
      </w:r>
      <w:proofErr w:type="spellStart"/>
      <w:r w:rsidRPr="00B43D0F">
        <w:t>its</w:t>
      </w:r>
      <w:proofErr w:type="spellEnd"/>
      <w:r w:rsidRPr="00B43D0F">
        <w:t xml:space="preserve"> </w:t>
      </w:r>
      <w:proofErr w:type="spellStart"/>
      <w:r w:rsidRPr="00B43D0F">
        <w:t>commitment</w:t>
      </w:r>
      <w:proofErr w:type="spellEnd"/>
      <w:r w:rsidRPr="00B43D0F">
        <w:t xml:space="preserve"> to the maintenance of </w:t>
      </w:r>
      <w:proofErr w:type="spellStart"/>
      <w:r w:rsidRPr="00B43D0F">
        <w:t>price</w:t>
      </w:r>
      <w:proofErr w:type="spellEnd"/>
      <w:r w:rsidRPr="00B43D0F">
        <w:t xml:space="preserve"> </w:t>
      </w:r>
      <w:proofErr w:type="spellStart"/>
      <w:r w:rsidRPr="00B43D0F">
        <w:t>stability</w:t>
      </w:r>
      <w:proofErr w:type="spellEnd"/>
      <w:r w:rsidRPr="00B43D0F">
        <w:t xml:space="preserve">, </w:t>
      </w:r>
      <w:proofErr w:type="spellStart"/>
      <w:r w:rsidRPr="00B43D0F">
        <w:t>other</w:t>
      </w:r>
      <w:proofErr w:type="spellEnd"/>
      <w:r w:rsidRPr="00B43D0F">
        <w:t xml:space="preserve"> </w:t>
      </w:r>
      <w:proofErr w:type="spellStart"/>
      <w:r w:rsidRPr="00B43D0F">
        <w:t>policy-makers</w:t>
      </w:r>
      <w:proofErr w:type="spellEnd"/>
      <w:r w:rsidRPr="00B43D0F">
        <w:t xml:space="preserve"> </w:t>
      </w:r>
      <w:proofErr w:type="spellStart"/>
      <w:r w:rsidRPr="00B43D0F">
        <w:t>should</w:t>
      </w:r>
      <w:proofErr w:type="spellEnd"/>
      <w:r w:rsidRPr="00B43D0F">
        <w:t xml:space="preserve"> assume </w:t>
      </w:r>
      <w:proofErr w:type="spellStart"/>
      <w:r w:rsidRPr="00B43D0F">
        <w:t>responsibility</w:t>
      </w:r>
      <w:proofErr w:type="spellEnd"/>
      <w:r w:rsidRPr="00B43D0F">
        <w:t xml:space="preserve"> for </w:t>
      </w:r>
      <w:proofErr w:type="spellStart"/>
      <w:r w:rsidRPr="00B43D0F">
        <w:t>increasing</w:t>
      </w:r>
      <w:proofErr w:type="spellEnd"/>
      <w:r w:rsidRPr="00B43D0F">
        <w:t xml:space="preserve"> the </w:t>
      </w:r>
      <w:proofErr w:type="spellStart"/>
      <w:r w:rsidRPr="00B43D0F">
        <w:t>growth</w:t>
      </w:r>
      <w:proofErr w:type="spellEnd"/>
      <w:r w:rsidRPr="00B43D0F">
        <w:t xml:space="preserve"> </w:t>
      </w:r>
      <w:proofErr w:type="spellStart"/>
      <w:r w:rsidRPr="00B43D0F">
        <w:t>potential</w:t>
      </w:r>
      <w:proofErr w:type="spellEnd"/>
      <w:r w:rsidRPr="00B43D0F">
        <w:t xml:space="preserve"> of the euro area. </w:t>
      </w:r>
      <w:r w:rsidRPr="00590694">
        <w:rPr>
          <w:lang w:val="en-US"/>
        </w:rPr>
        <w:t>This</w:t>
      </w:r>
      <w:r w:rsidRPr="00590694" w:rsidR="006007B2">
        <w:rPr>
          <w:lang w:val="en-US"/>
        </w:rPr>
        <w:t xml:space="preserve"> (…) </w:t>
      </w:r>
      <w:r w:rsidRPr="00590694">
        <w:rPr>
          <w:lang w:val="en-US"/>
        </w:rPr>
        <w:t>is the best allocation of responsibilities to contributing to sustainable non-inflationary growth</w:t>
      </w:r>
      <w:r w:rsidRPr="00590694" w:rsidR="00590694">
        <w:rPr>
          <w:lang w:val="en-US"/>
        </w:rPr>
        <w:t>.</w:t>
      </w:r>
      <w:r w:rsidR="004D6F88">
        <w:rPr>
          <w:rStyle w:val="Appelnotedebasdep"/>
        </w:rPr>
        <w:footnoteReference w:id="26"/>
      </w:r>
    </w:p>
    <w:p w:rsidR="004141AB" w:rsidP="00236E0E" w:rsidRDefault="2547C0F4" w14:paraId="492AF8FF" w14:textId="6411A29B">
      <w:pPr>
        <w:pStyle w:val="Titre1"/>
        <w:rPr>
          <w:rFonts w:eastAsia="Aptos"/>
        </w:rPr>
      </w:pPr>
      <w:r w:rsidRPr="7E0DBB29">
        <w:rPr>
          <w:rFonts w:eastAsia="Aptos"/>
        </w:rPr>
        <w:t xml:space="preserve">La période </w:t>
      </w:r>
      <w:r w:rsidRPr="0ACE4C57" w:rsidR="0480F436">
        <w:rPr>
          <w:rFonts w:eastAsia="Aptos"/>
        </w:rPr>
        <w:t xml:space="preserve">de </w:t>
      </w:r>
      <w:r w:rsidRPr="7E0DBB29">
        <w:rPr>
          <w:rFonts w:eastAsia="Aptos"/>
        </w:rPr>
        <w:t xml:space="preserve">la stagnation </w:t>
      </w:r>
      <w:r w:rsidRPr="0B9E60A4">
        <w:rPr>
          <w:rFonts w:eastAsia="Aptos"/>
        </w:rPr>
        <w:t>sécula</w:t>
      </w:r>
      <w:r w:rsidRPr="0B9E60A4" w:rsidR="0AA58DF6">
        <w:rPr>
          <w:rFonts w:eastAsia="Aptos"/>
        </w:rPr>
        <w:t xml:space="preserve">ire </w:t>
      </w:r>
    </w:p>
    <w:p w:rsidR="192E95F3" w:rsidP="00044878" w:rsidRDefault="192E95F3" w14:paraId="78514D38" w14:textId="727A7B09">
      <w:r w:rsidRPr="4E12AD89">
        <w:t>En novembre 2011, la BCE</w:t>
      </w:r>
      <w:r w:rsidRPr="4E12AD89" w:rsidR="5FD1B3AF">
        <w:t xml:space="preserve"> </w:t>
      </w:r>
      <w:r w:rsidRPr="4E12AD89">
        <w:t xml:space="preserve">modifie sa politique </w:t>
      </w:r>
      <w:r w:rsidRPr="4E12AD89" w:rsidR="74F184A3">
        <w:t xml:space="preserve">monétaire </w:t>
      </w:r>
      <w:r w:rsidRPr="4E12AD89">
        <w:t xml:space="preserve">en raison des menaces pesant sur la stabilité financière et </w:t>
      </w:r>
      <w:r w:rsidRPr="4E12AD89" w:rsidR="7514A639">
        <w:t>la</w:t>
      </w:r>
      <w:r w:rsidRPr="4E12AD89">
        <w:t xml:space="preserve"> croissance. Elle </w:t>
      </w:r>
      <w:r w:rsidRPr="4E12AD89" w:rsidR="3396CA8B">
        <w:t xml:space="preserve">a </w:t>
      </w:r>
      <w:r w:rsidRPr="4E12AD89">
        <w:t xml:space="preserve">ainsi </w:t>
      </w:r>
      <w:r w:rsidRPr="4E12AD89" w:rsidR="36F008CC">
        <w:t>réduit</w:t>
      </w:r>
      <w:r w:rsidRPr="4E12AD89">
        <w:t xml:space="preserve"> ses taux d'intérêt directeurs, qui </w:t>
      </w:r>
      <w:r w:rsidRPr="4E12AD89" w:rsidR="0AAD7EA5">
        <w:t xml:space="preserve">restèrent ensuite </w:t>
      </w:r>
      <w:r w:rsidRPr="4E12AD89">
        <w:t xml:space="preserve">proches de zéro pendant plus d'une décennie. En outre, </w:t>
      </w:r>
      <w:r w:rsidRPr="4E12AD89" w:rsidR="534D839D">
        <w:t>elle</w:t>
      </w:r>
      <w:r w:rsidRPr="4E12AD89">
        <w:t xml:space="preserve"> </w:t>
      </w:r>
      <w:r w:rsidRPr="4E12AD89" w:rsidR="37EEDD64">
        <w:t>lança</w:t>
      </w:r>
      <w:r w:rsidRPr="4E12AD89">
        <w:t xml:space="preserve"> d</w:t>
      </w:r>
      <w:r w:rsidRPr="4E12AD89" w:rsidR="37EEDD64">
        <w:t>’</w:t>
      </w:r>
      <w:r w:rsidRPr="4E12AD89">
        <w:t>importants programmes d</w:t>
      </w:r>
      <w:r w:rsidRPr="4E12AD89" w:rsidR="37EEDD64">
        <w:t>’</w:t>
      </w:r>
      <w:r w:rsidRPr="4E12AD89">
        <w:t>achat d'actifs, destinés à stabiliser des segments spécifiques du marché et</w:t>
      </w:r>
      <w:r w:rsidRPr="4E12AD89" w:rsidR="37EEDD64">
        <w:t xml:space="preserve"> </w:t>
      </w:r>
      <w:r w:rsidRPr="4E12AD89">
        <w:t xml:space="preserve">à </w:t>
      </w:r>
      <w:r w:rsidRPr="4E12AD89" w:rsidR="5CBF4831">
        <w:t xml:space="preserve">stimuler </w:t>
      </w:r>
      <w:r w:rsidRPr="4E12AD89">
        <w:t>la croissance dans la zone euro</w:t>
      </w:r>
      <w:r w:rsidRPr="4E12AD89" w:rsidR="0965476A">
        <w:t xml:space="preserve"> </w:t>
      </w:r>
      <w:r w:rsidR="004D6F88">
        <w:rPr>
          <w:rStyle w:val="Appelnotedebasdep"/>
        </w:rPr>
        <w:footnoteReference w:id="27"/>
      </w:r>
      <w:r w:rsidRPr="4E12AD89">
        <w:t>. La BCE s</w:t>
      </w:r>
      <w:r w:rsidRPr="4E12AD89" w:rsidR="249A6038">
        <w:t>’</w:t>
      </w:r>
      <w:r w:rsidRPr="4E12AD89">
        <w:t>est également vu</w:t>
      </w:r>
      <w:r w:rsidRPr="4E12AD89" w:rsidR="6690A430">
        <w:t>e</w:t>
      </w:r>
      <w:r w:rsidRPr="4E12AD89">
        <w:t xml:space="preserve"> assign</w:t>
      </w:r>
      <w:r w:rsidRPr="4E12AD89" w:rsidR="690447D8">
        <w:t>ée</w:t>
      </w:r>
      <w:r w:rsidRPr="4E12AD89">
        <w:t xml:space="preserve"> de nouveaux objectifs macr</w:t>
      </w:r>
      <w:r w:rsidRPr="4E12AD89" w:rsidR="249A6038">
        <w:t>o</w:t>
      </w:r>
      <w:r w:rsidRPr="4E12AD89">
        <w:t xml:space="preserve"> et microprudentiels</w:t>
      </w:r>
      <w:r w:rsidRPr="4E12AD89" w:rsidR="706204C9">
        <w:t>.</w:t>
      </w:r>
      <w:r w:rsidRPr="4E12AD89">
        <w:t xml:space="preserve"> </w:t>
      </w:r>
    </w:p>
    <w:p w:rsidR="192E95F3" w:rsidP="00044878" w:rsidRDefault="18076471" w14:paraId="4AA57F68" w14:textId="04698796">
      <w:r w:rsidRPr="4E12AD89">
        <w:lastRenderedPageBreak/>
        <w:t xml:space="preserve">Cette nouvelle configuration fait émerger deux tensions pour la </w:t>
      </w:r>
      <w:r w:rsidRPr="4E12AD89" w:rsidR="3407E678">
        <w:t>légitimation</w:t>
      </w:r>
      <w:r w:rsidRPr="4E12AD89">
        <w:t xml:space="preserve"> de la BCE. D’une </w:t>
      </w:r>
      <w:r w:rsidRPr="4E12AD89" w:rsidR="33D59CAB">
        <w:t>pa</w:t>
      </w:r>
      <w:r w:rsidRPr="4E12AD89">
        <w:t xml:space="preserve">rt, </w:t>
      </w:r>
      <w:r w:rsidRPr="4E12AD89" w:rsidR="33D69911">
        <w:t>c</w:t>
      </w:r>
      <w:r w:rsidRPr="4E12AD89">
        <w:t xml:space="preserve">es nouvelles </w:t>
      </w:r>
      <w:r w:rsidRPr="4E12AD89" w:rsidR="0A32D925">
        <w:t>responsabilités</w:t>
      </w:r>
      <w:r w:rsidRPr="4E12AD89">
        <w:t xml:space="preserve"> </w:t>
      </w:r>
      <w:r w:rsidRPr="4E12AD89" w:rsidR="249A6038">
        <w:t>suscit</w:t>
      </w:r>
      <w:r w:rsidRPr="4E12AD89" w:rsidR="00B31BD1">
        <w:t>e</w:t>
      </w:r>
      <w:r w:rsidRPr="4E12AD89" w:rsidR="249A6038">
        <w:t>nt</w:t>
      </w:r>
      <w:r w:rsidRPr="4E12AD89" w:rsidR="192E95F3">
        <w:t xml:space="preserve"> des inquiétudes</w:t>
      </w:r>
      <w:r w:rsidRPr="4E12AD89" w:rsidR="338A1B9E">
        <w:t xml:space="preserve"> </w:t>
      </w:r>
      <w:r w:rsidRPr="4E12AD89" w:rsidR="192E95F3">
        <w:t xml:space="preserve">quant </w:t>
      </w:r>
      <w:r w:rsidRPr="4E12AD89" w:rsidR="2D8E98D3">
        <w:t xml:space="preserve">aux </w:t>
      </w:r>
      <w:r w:rsidRPr="4E12AD89" w:rsidR="1DDAC20F">
        <w:t>arbitrage</w:t>
      </w:r>
      <w:r w:rsidRPr="4E12AD89" w:rsidR="73093BBA">
        <w:t>s</w:t>
      </w:r>
      <w:r w:rsidRPr="4E12AD89" w:rsidR="192E95F3">
        <w:t xml:space="preserve"> potentiel</w:t>
      </w:r>
      <w:r w:rsidRPr="4E12AD89" w:rsidR="4C46662E">
        <w:t>s</w:t>
      </w:r>
      <w:r w:rsidRPr="4E12AD89" w:rsidR="192E95F3">
        <w:t xml:space="preserve"> </w:t>
      </w:r>
      <w:r w:rsidRPr="4E12AD89" w:rsidR="7DAA3F3A">
        <w:t>a</w:t>
      </w:r>
      <w:r w:rsidRPr="4E12AD89" w:rsidR="08CD92FA">
        <w:t xml:space="preserve">vec </w:t>
      </w:r>
      <w:r w:rsidRPr="4E12AD89" w:rsidR="5AEA4D5C">
        <w:t>la</w:t>
      </w:r>
      <w:r w:rsidRPr="4E12AD89" w:rsidR="192E95F3">
        <w:t xml:space="preserve"> stabilité des prix</w:t>
      </w:r>
      <w:r w:rsidRPr="4E12AD89" w:rsidR="4361C644">
        <w:t>. D</w:t>
      </w:r>
      <w:r w:rsidRPr="4E12AD89" w:rsidR="62FAE475">
        <w:t>’autre part,</w:t>
      </w:r>
      <w:r w:rsidRPr="4E12AD89" w:rsidR="200E119A">
        <w:t xml:space="preserve"> la faiblesse des</w:t>
      </w:r>
      <w:r w:rsidRPr="2FA48362" w:rsidR="192E95F3">
        <w:t xml:space="preserve"> taux d'inflation et de croissance dans la zone euro</w:t>
      </w:r>
      <w:r w:rsidRPr="2FA48362" w:rsidR="1449B324">
        <w:t>, malgré l’expansion sans précédent du bilan de la BCE</w:t>
      </w:r>
      <w:r w:rsidRPr="2FA48362" w:rsidR="54317B69">
        <w:t xml:space="preserve">, fragilise des piliers théoriques centraux du modèle CBI.  </w:t>
      </w:r>
      <w:r w:rsidRPr="4E12AD89" w:rsidR="7B292D9D">
        <w:t>Le débat consistait alors à savoir si l</w:t>
      </w:r>
      <w:r w:rsidRPr="4E12AD89" w:rsidR="1C0C694D">
        <w:t>a zone euro</w:t>
      </w:r>
      <w:r w:rsidRPr="4E12AD89" w:rsidR="7B292D9D">
        <w:t xml:space="preserve"> était entrée dans une période de « stagnation séculaire », caractérisée par des forces structurelles entravant de manière permanente le retour à une croissance substantielle et à </w:t>
      </w:r>
      <w:r w:rsidRPr="4E12AD89" w:rsidR="7A3B6A65">
        <w:t>une inflation à 2</w:t>
      </w:r>
      <w:r w:rsidR="00044878">
        <w:t> </w:t>
      </w:r>
      <w:r w:rsidRPr="4E12AD89" w:rsidR="7A3B6A65">
        <w:t>%</w:t>
      </w:r>
      <w:r w:rsidRPr="4E12AD89" w:rsidR="7B292D9D">
        <w:t xml:space="preserve"> </w:t>
      </w:r>
      <w:r w:rsidR="004D6F88">
        <w:rPr>
          <w:rStyle w:val="Appelnotedebasdep"/>
        </w:rPr>
        <w:footnoteReference w:id="28"/>
      </w:r>
      <w:r w:rsidRPr="4E12AD89" w:rsidR="7B292D9D">
        <w:t>.</w:t>
      </w:r>
    </w:p>
    <w:p w:rsidR="192E95F3" w:rsidP="00044878" w:rsidRDefault="721E6AD5" w14:paraId="67050AE2" w14:textId="0D46E6BB">
      <w:r w:rsidRPr="4E12AD89">
        <w:t xml:space="preserve">Comment réagissent les banquiers centraux à ces nouveaux défis envers leur légitimité ? </w:t>
      </w:r>
    </w:p>
    <w:p w:rsidR="192E95F3" w:rsidP="00044878" w:rsidRDefault="60AFD9AB" w14:paraId="099527E3" w14:textId="325A7E95">
      <w:r w:rsidRPr="4E12AD89">
        <w:t>Tout d</w:t>
      </w:r>
      <w:r w:rsidRPr="4E12AD89" w:rsidR="6664E943">
        <w:t>’</w:t>
      </w:r>
      <w:r w:rsidRPr="4E12AD89">
        <w:t xml:space="preserve">abord, la prévalence des </w:t>
      </w:r>
      <w:r w:rsidRPr="4E12AD89" w:rsidR="6664E943">
        <w:rPr>
          <w:i/>
          <w:iCs/>
        </w:rPr>
        <w:t xml:space="preserve">topics </w:t>
      </w:r>
      <w:r w:rsidRPr="4E12AD89">
        <w:t xml:space="preserve">les plus étroitement alignés sur le modèle du CBI </w:t>
      </w:r>
      <w:r w:rsidRPr="4E12AD89" w:rsidR="43E76F76">
        <w:t>diminue</w:t>
      </w:r>
      <w:r w:rsidRPr="4E12AD89">
        <w:t xml:space="preserve"> fortement (</w:t>
      </w:r>
      <w:r w:rsidRPr="4E12AD89" w:rsidR="4A2D99EA">
        <w:t>F</w:t>
      </w:r>
      <w:r w:rsidRPr="4E12AD89">
        <w:t xml:space="preserve">igure </w:t>
      </w:r>
      <w:r w:rsidRPr="4E12AD89" w:rsidR="55750520">
        <w:t>1</w:t>
      </w:r>
      <w:r w:rsidRPr="4E12AD89">
        <w:t>). À l'inverse, l</w:t>
      </w:r>
      <w:r w:rsidRPr="4E12AD89" w:rsidR="6664E943">
        <w:t>’</w:t>
      </w:r>
      <w:r w:rsidRPr="4E12AD89">
        <w:t xml:space="preserve">émergence </w:t>
      </w:r>
      <w:r w:rsidRPr="4E12AD89" w:rsidR="0C4DAE97">
        <w:t>de nouveaux</w:t>
      </w:r>
      <w:r w:rsidRPr="4E12AD89" w:rsidR="473AD5DC">
        <w:t xml:space="preserve"> </w:t>
      </w:r>
      <w:r w:rsidRPr="4E12AD89" w:rsidR="473AD5DC">
        <w:rPr>
          <w:i/>
          <w:iCs/>
        </w:rPr>
        <w:t>topics</w:t>
      </w:r>
      <w:r w:rsidRPr="4E12AD89" w:rsidR="473AD5DC">
        <w:t xml:space="preserve"> présentant une forte corrélation avec les </w:t>
      </w:r>
      <w:r w:rsidRPr="4E12AD89" w:rsidR="473AD5DC">
        <w:rPr>
          <w:i/>
          <w:iCs/>
        </w:rPr>
        <w:t xml:space="preserve">topics </w:t>
      </w:r>
      <w:r w:rsidRPr="4E12AD89" w:rsidR="473AD5DC">
        <w:t>centraux</w:t>
      </w:r>
      <w:r w:rsidRPr="4E12AD89" w:rsidR="0C4DAE97">
        <w:t xml:space="preserve"> </w:t>
      </w:r>
      <w:r w:rsidRPr="4E12AD89">
        <w:t xml:space="preserve">indique les nouveaux </w:t>
      </w:r>
      <w:r w:rsidRPr="4E12AD89" w:rsidR="4D78EF8F">
        <w:t xml:space="preserve">défis </w:t>
      </w:r>
      <w:r w:rsidRPr="4E12AD89" w:rsidR="04C3CE01">
        <w:t xml:space="preserve">de </w:t>
      </w:r>
      <w:r w:rsidRPr="4E12AD89">
        <w:t>la période de stagnation séculaire (</w:t>
      </w:r>
      <w:r w:rsidRPr="4E12AD89" w:rsidR="54BD127B">
        <w:t>f</w:t>
      </w:r>
      <w:r w:rsidRPr="4E12AD89">
        <w:t xml:space="preserve">igures </w:t>
      </w:r>
      <w:r w:rsidRPr="4E12AD89" w:rsidR="055D1AF0">
        <w:t>3</w:t>
      </w:r>
      <w:r w:rsidRPr="4E12AD89">
        <w:t xml:space="preserve"> et </w:t>
      </w:r>
      <w:r w:rsidRPr="4E12AD89" w:rsidR="441B416E">
        <w:t>4</w:t>
      </w:r>
      <w:r w:rsidRPr="4E12AD89" w:rsidR="6C256471">
        <w:t xml:space="preserve">). </w:t>
      </w:r>
      <w:r w:rsidRPr="4E12AD89" w:rsidR="6DAD3C8D">
        <w:t> </w:t>
      </w:r>
    </w:p>
    <w:p w:rsidR="00236E0E" w:rsidP="4E12AD89" w:rsidRDefault="00236E0E" w14:paraId="3A27E4AA" w14:textId="1FB5C441">
      <w:pPr>
        <w:autoSpaceDE w:val="0"/>
        <w:autoSpaceDN w:val="0"/>
        <w:adjustRightInd w:val="0"/>
        <w:spacing w:after="200" w:line="276" w:lineRule="auto"/>
        <w:rPr>
          <w:rFonts w:cs="Times New Roman"/>
          <w:b/>
          <w:bCs/>
          <w:u w:val="single"/>
        </w:rPr>
      </w:pPr>
      <w:r w:rsidRPr="4E12AD89">
        <w:rPr>
          <w:rFonts w:cs="Times New Roman"/>
          <w:b/>
          <w:bCs/>
          <w:u w:val="single"/>
        </w:rPr>
        <w:t xml:space="preserve">Figure </w:t>
      </w:r>
      <w:r w:rsidRPr="4E12AD89" w:rsidR="5294C9B3">
        <w:rPr>
          <w:rFonts w:cs="Times New Roman"/>
          <w:b/>
          <w:bCs/>
          <w:u w:val="single"/>
          <w:lang w:val="fr"/>
        </w:rPr>
        <w:t>3</w:t>
      </w:r>
      <w:r w:rsidRPr="4E12AD89">
        <w:rPr>
          <w:rFonts w:cs="Times New Roman"/>
          <w:b/>
          <w:bCs/>
          <w:u w:val="single"/>
        </w:rPr>
        <w:t xml:space="preserve"> : Sujets liés aux nouveaux instruments monétaires</w:t>
      </w:r>
    </w:p>
    <w:p w:rsidR="00574584" w:rsidP="5339AAAA" w:rsidRDefault="00236E0E" w14:paraId="47B621B4" w14:textId="40A99A3B">
      <w:pPr>
        <w:spacing w:after="200" w:line="276" w:lineRule="auto"/>
        <w:rPr>
          <w:rFonts w:cs="Times New Roman"/>
          <w:b/>
          <w:bCs/>
          <w:u w:val="single"/>
          <w:lang w:val="fr"/>
        </w:rPr>
      </w:pPr>
      <w:r>
        <w:rPr>
          <w:noProof/>
        </w:rPr>
        <w:drawing>
          <wp:inline distT="0" distB="0" distL="0" distR="0" wp14:anchorId="465B7828" wp14:editId="77B377D1">
            <wp:extent cx="5532120" cy="3284220"/>
            <wp:effectExtent l="0" t="0" r="0" b="0"/>
            <wp:docPr id="762883191" name="Image 4" descr="Une image contenant texte, diagramme, ligne, Tracé&#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pic:nvPicPr>
                  <pic:blipFill>
                    <a:blip r:embed="rId9">
                      <a:extLst>
                        <a:ext uri="{28A0092B-C50C-407E-A947-70E740481C1C}">
                          <a14:useLocalDpi xmlns:a14="http://schemas.microsoft.com/office/drawing/2010/main" val="0"/>
                        </a:ext>
                      </a:extLst>
                    </a:blip>
                    <a:stretch>
                      <a:fillRect/>
                    </a:stretch>
                  </pic:blipFill>
                  <pic:spPr>
                    <a:xfrm>
                      <a:off x="0" y="0"/>
                      <a:ext cx="5532120" cy="3284220"/>
                    </a:xfrm>
                    <a:prstGeom prst="rect">
                      <a:avLst/>
                    </a:prstGeom>
                  </pic:spPr>
                </pic:pic>
              </a:graphicData>
            </a:graphic>
          </wp:inline>
        </w:drawing>
      </w:r>
    </w:p>
    <w:p w:rsidR="00B70B6F" w:rsidP="0046346B" w:rsidRDefault="00B70B6F" w14:paraId="060CC490" w14:textId="16BE8AEF">
      <w:r w:rsidRPr="4E12AD89">
        <w:lastRenderedPageBreak/>
        <w:t>Ensuite, ils reconnurent que la stabilité des prix à elle seule n’était pas « une condition suffisante de la stabilité financière »</w:t>
      </w:r>
      <w:r w:rsidR="004D6F88">
        <w:rPr>
          <w:rStyle w:val="Appelnotedebasdep"/>
        </w:rPr>
        <w:footnoteReference w:id="29"/>
      </w:r>
      <w:r w:rsidRPr="4E12AD89">
        <w:t xml:space="preserve"> et qu’ils avaient un rôle actif à jouer dans la stabilisation de certains segments du marché. En outre, le </w:t>
      </w:r>
      <w:r w:rsidRPr="4E12AD89">
        <w:rPr>
          <w:i/>
          <w:iCs/>
        </w:rPr>
        <w:t xml:space="preserve">topic </w:t>
      </w:r>
      <w:r w:rsidRPr="4E12AD89">
        <w:t>le plus courant durant la période de stagnation séculaire concerne les mécanismes de transmission de la politique monétaire et la manière dont les banquiers centraux peuvent s’assurer que leurs décisions ont un impact sur l'offre de crédit et, par conséquent, sur la croissance. En d’autres termes, les banquiers centraux reconnaissent des arbitrages entre les différents objectifs macroéconomiques qui leur sont assignés dans la mesure où la seule atteinte de la stabilité des prix n’est pas une condition suffisante à la réalisation des autres objectifs.</w:t>
      </w:r>
    </w:p>
    <w:p w:rsidRPr="00B70B6F" w:rsidR="00B70B6F" w:rsidP="0046346B" w:rsidRDefault="00B70B6F" w14:paraId="72356912" w14:textId="1F586EF3">
      <w:r w:rsidRPr="4E12AD89">
        <w:t>Le deuxième défi concernait l</w:t>
      </w:r>
      <w:proofErr w:type="gramStart"/>
      <w:r w:rsidRPr="4E12AD89">
        <w:t>’«</w:t>
      </w:r>
      <w:proofErr w:type="gramEnd"/>
      <w:r w:rsidRPr="4E12AD89">
        <w:t xml:space="preserve"> énigme de l'inflation manquante », qui remet en question des mécanismes cruciaux sous-jacents au modèle BCI. Ainsi, </w:t>
      </w:r>
      <w:proofErr w:type="spellStart"/>
      <w:r w:rsidRPr="4E12AD89">
        <w:t>Vitor</w:t>
      </w:r>
      <w:proofErr w:type="spellEnd"/>
      <w:r w:rsidRPr="4E12AD89">
        <w:t xml:space="preserve"> </w:t>
      </w:r>
      <w:proofErr w:type="spellStart"/>
      <w:r w:rsidRPr="4E12AD89">
        <w:t>Constâncio</w:t>
      </w:r>
      <w:proofErr w:type="spellEnd"/>
      <w:r w:rsidRPr="4E12AD89">
        <w:t>, l’ancien vice-président de la BCE, citait directement le concept de « stagnation séculaire » pour expliquer la persistance d’une inflation trop faible dans la zone euro</w:t>
      </w:r>
      <w:r w:rsidR="004D6F88">
        <w:rPr>
          <w:rStyle w:val="Appelnotedebasdep"/>
        </w:rPr>
        <w:footnoteReference w:id="30"/>
      </w:r>
      <w:r w:rsidRPr="4E12AD89">
        <w:t>. Pour l’expliquer, Peter Praet mettait en avant des « niveaux d’emploi plus élevés [ne] se répercutent pas sur la dynamique des salaires »</w:t>
      </w:r>
      <w:r w:rsidR="004D6F88">
        <w:rPr>
          <w:rStyle w:val="Appelnotedebasdep"/>
        </w:rPr>
        <w:footnoteReference w:id="31"/>
      </w:r>
      <w:r w:rsidRPr="4E12AD89">
        <w:t>. Il soulignait le rôle joué par la trop faible croissance de la masse salariale, dont l’augmentation serait nécessaire « pour parvenir à un ajustement durable de la trajectoire de l’inflation » (</w:t>
      </w:r>
      <w:r w:rsidRPr="4E12AD89">
        <w:rPr>
          <w:i/>
          <w:iCs/>
        </w:rPr>
        <w:t>ibid.</w:t>
      </w:r>
      <w:r w:rsidRPr="4E12AD89">
        <w:t>). De même, Mario Draghi évoquait le rôle joué par l’affaiblissement des syndicats et la disparition des systèmes d’indexation des salaires</w:t>
      </w:r>
      <w:r w:rsidR="004D6F88">
        <w:rPr>
          <w:rStyle w:val="Appelnotedebasdep"/>
        </w:rPr>
        <w:footnoteReference w:id="32"/>
      </w:r>
      <w:r w:rsidRPr="4E12AD89">
        <w:t xml:space="preserve">. Deuxièmement, </w:t>
      </w:r>
      <w:proofErr w:type="spellStart"/>
      <w:r w:rsidRPr="4E12AD89">
        <w:t>Constâncio</w:t>
      </w:r>
      <w:proofErr w:type="spellEnd"/>
      <w:r w:rsidRPr="4E12AD89">
        <w:t xml:space="preserve"> mentionnait que la faiblesse de l’inflation était également due aux « erreurs de politique budgétaire commises en 2011-2012 », qui ne devraient « pas être répétées afin d’éviter les récessions à double creux »</w:t>
      </w:r>
      <w:r w:rsidR="004D6F88">
        <w:rPr>
          <w:rStyle w:val="Appelnotedebasdep"/>
        </w:rPr>
        <w:footnoteReference w:id="33"/>
      </w:r>
      <w:r w:rsidRPr="4E12AD89">
        <w:t xml:space="preserve">. En d’autres termes, les banquiers centraux reconnaissent que leurs recommandations à d'autres acteurs à l’époque de la BCI (modération budgétaire et réformes structurelles) provoquaient des effets négatifs structurels sur la croissance et, par-là, rendaient leur objectif d’inflation plus difficilement atteignable. </w:t>
      </w:r>
    </w:p>
    <w:p w:rsidR="00236E0E" w:rsidP="5339AAAA" w:rsidRDefault="00236E0E" w14:paraId="19350EC1" w14:textId="70F49643">
      <w:pPr>
        <w:spacing w:after="200" w:line="276" w:lineRule="auto"/>
        <w:rPr>
          <w:rFonts w:cs="Times New Roman"/>
          <w:b/>
          <w:bCs/>
          <w:u w:val="single"/>
          <w:lang w:val="fr"/>
        </w:rPr>
      </w:pPr>
      <w:r w:rsidRPr="4E12AD89">
        <w:rPr>
          <w:rFonts w:cs="Times New Roman"/>
          <w:b/>
          <w:bCs/>
          <w:u w:val="single"/>
          <w:lang w:val="fr"/>
        </w:rPr>
        <w:t xml:space="preserve">Figure </w:t>
      </w:r>
      <w:r w:rsidRPr="4E12AD89" w:rsidR="22A5692C">
        <w:rPr>
          <w:rFonts w:cs="Times New Roman"/>
          <w:b/>
          <w:bCs/>
          <w:u w:val="single"/>
          <w:lang w:val="fr"/>
        </w:rPr>
        <w:t>4</w:t>
      </w:r>
      <w:r w:rsidRPr="4E12AD89">
        <w:rPr>
          <w:rFonts w:cs="Times New Roman"/>
          <w:b/>
          <w:bCs/>
          <w:u w:val="single"/>
          <w:lang w:val="fr"/>
        </w:rPr>
        <w:t xml:space="preserve"> : Sujets liés à la </w:t>
      </w:r>
      <w:r w:rsidRPr="4E12AD89" w:rsidR="6CA49A83">
        <w:rPr>
          <w:rFonts w:cs="Times New Roman"/>
          <w:b/>
          <w:bCs/>
          <w:u w:val="single"/>
          <w:lang w:val="fr"/>
        </w:rPr>
        <w:t>stagnation séculaire</w:t>
      </w:r>
    </w:p>
    <w:p w:rsidR="00236E0E" w:rsidP="00236E0E" w:rsidRDefault="33C3B10A" w14:paraId="2E46E5F1" w14:textId="2044E0E9">
      <w:pPr>
        <w:autoSpaceDE w:val="0"/>
        <w:autoSpaceDN w:val="0"/>
        <w:adjustRightInd w:val="0"/>
        <w:spacing w:after="200" w:line="276" w:lineRule="auto"/>
        <w:rPr>
          <w:rFonts w:cs="Times New Roman"/>
          <w:lang w:val="fr"/>
        </w:rPr>
      </w:pPr>
      <w:r>
        <w:rPr>
          <w:noProof/>
        </w:rPr>
        <w:lastRenderedPageBreak/>
        <w:drawing>
          <wp:inline distT="0" distB="0" distL="0" distR="0" wp14:anchorId="241A947F" wp14:editId="3B254809">
            <wp:extent cx="5532120" cy="2933700"/>
            <wp:effectExtent l="0" t="0" r="0" b="0"/>
            <wp:docPr id="1915911401" name="Image 3" descr="Une image contenant texte, diagramme, Tracé, lig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pic:nvPicPr>
                  <pic:blipFill>
                    <a:blip r:embed="rId10">
                      <a:extLst>
                        <a:ext uri="{28A0092B-C50C-407E-A947-70E740481C1C}">
                          <a14:useLocalDpi xmlns:a14="http://schemas.microsoft.com/office/drawing/2010/main" val="0"/>
                        </a:ext>
                      </a:extLst>
                    </a:blip>
                    <a:stretch>
                      <a:fillRect/>
                    </a:stretch>
                  </pic:blipFill>
                  <pic:spPr>
                    <a:xfrm>
                      <a:off x="0" y="0"/>
                      <a:ext cx="5532120" cy="2933700"/>
                    </a:xfrm>
                    <a:prstGeom prst="rect">
                      <a:avLst/>
                    </a:prstGeom>
                  </pic:spPr>
                </pic:pic>
              </a:graphicData>
            </a:graphic>
          </wp:inline>
        </w:drawing>
      </w:r>
    </w:p>
    <w:p w:rsidRPr="0086461F" w:rsidR="00236E0E" w:rsidP="0046346B" w:rsidRDefault="28269EEE" w14:paraId="6DBD7B57" w14:textId="0DAD696A">
      <w:pPr>
        <w:rPr>
          <w:color w:val="0000FF"/>
          <w:u w:val="single"/>
        </w:rPr>
      </w:pPr>
      <w:r w:rsidRPr="4E12AD89">
        <w:t>Ainsi, les</w:t>
      </w:r>
      <w:r w:rsidRPr="4E12AD89" w:rsidR="60AFD9AB">
        <w:t xml:space="preserve"> défis posés par la stagnation séculaire </w:t>
      </w:r>
      <w:r w:rsidRPr="4E12AD89" w:rsidR="41899184">
        <w:t>ont</w:t>
      </w:r>
      <w:r w:rsidRPr="4E12AD89" w:rsidR="60AFD9AB">
        <w:t xml:space="preserve"> conduit la BCE à reformuler </w:t>
      </w:r>
      <w:r w:rsidRPr="4E12AD89" w:rsidR="5F2305C0">
        <w:t>ses recommandations aux autres</w:t>
      </w:r>
      <w:r w:rsidRPr="4E12AD89" w:rsidR="60AFD9AB">
        <w:t xml:space="preserve"> </w:t>
      </w:r>
      <w:r w:rsidRPr="4E12AD89" w:rsidR="5F2305C0">
        <w:t>acteurs</w:t>
      </w:r>
      <w:r w:rsidRPr="4E12AD89" w:rsidR="60AFD9AB">
        <w:t xml:space="preserve"> et à revoir sa stratégie de politique monétaire. Tout d</w:t>
      </w:r>
      <w:r w:rsidRPr="4E12AD89" w:rsidR="1F4BFF7A">
        <w:t>’</w:t>
      </w:r>
      <w:r w:rsidRPr="4E12AD89" w:rsidR="60AFD9AB">
        <w:t xml:space="preserve">abord, les </w:t>
      </w:r>
      <w:r w:rsidRPr="4E12AD89" w:rsidR="78014A26">
        <w:t>banquiers centraux</w:t>
      </w:r>
      <w:r w:rsidRPr="4E12AD89" w:rsidR="12932529">
        <w:t xml:space="preserve"> </w:t>
      </w:r>
      <w:r w:rsidRPr="4E12AD89" w:rsidR="610F53C5">
        <w:t xml:space="preserve">appellent </w:t>
      </w:r>
      <w:r w:rsidRPr="4E12AD89" w:rsidR="73E3FC50">
        <w:t xml:space="preserve">plus </w:t>
      </w:r>
      <w:r w:rsidRPr="4E12AD89" w:rsidR="3B4CDC90">
        <w:t xml:space="preserve">fréquemment </w:t>
      </w:r>
      <w:r w:rsidRPr="4E12AD89" w:rsidR="60AFD9AB">
        <w:t xml:space="preserve">à </w:t>
      </w:r>
      <w:r w:rsidRPr="4E12AD89" w:rsidR="73E3FC50">
        <w:t>l’</w:t>
      </w:r>
      <w:r w:rsidRPr="4E12AD89" w:rsidR="60AFD9AB">
        <w:t>expansion budgétaire</w:t>
      </w:r>
      <w:r w:rsidR="004D6F88">
        <w:rPr>
          <w:rStyle w:val="Appelnotedebasdep"/>
        </w:rPr>
        <w:footnoteReference w:id="34"/>
      </w:r>
      <w:r w:rsidRPr="4E12AD89" w:rsidR="60AFD9AB">
        <w:t xml:space="preserve"> et salariale</w:t>
      </w:r>
      <w:r w:rsidR="004D6F88">
        <w:rPr>
          <w:rStyle w:val="Appelnotedebasdep"/>
        </w:rPr>
        <w:footnoteReference w:id="35"/>
      </w:r>
      <w:r w:rsidRPr="4E12AD89" w:rsidR="60AFD9AB">
        <w:t xml:space="preserve"> à partir de 2015. Par exemple, Luis de </w:t>
      </w:r>
      <w:proofErr w:type="spellStart"/>
      <w:r w:rsidRPr="4E12AD89" w:rsidR="60AFD9AB">
        <w:t>Guindos</w:t>
      </w:r>
      <w:proofErr w:type="spellEnd"/>
      <w:r w:rsidRPr="4E12AD89" w:rsidR="60AFD9AB">
        <w:t>, l</w:t>
      </w:r>
      <w:r w:rsidRPr="4E12AD89" w:rsidR="2BC0ECF7">
        <w:t>’</w:t>
      </w:r>
      <w:r w:rsidRPr="4E12AD89" w:rsidR="60AFD9AB">
        <w:t xml:space="preserve">actuel vice-président de la BCE, </w:t>
      </w:r>
      <w:r w:rsidRPr="4E12AD89" w:rsidR="6A98C22D">
        <w:t>mentionnait</w:t>
      </w:r>
      <w:r w:rsidRPr="4E12AD89" w:rsidR="60AFD9AB">
        <w:t xml:space="preserve"> une réforme du PSC </w:t>
      </w:r>
      <w:r w:rsidRPr="4E12AD89" w:rsidR="3D8E5A6F">
        <w:t>afin que</w:t>
      </w:r>
      <w:r w:rsidRPr="4E12AD89" w:rsidR="60AFD9AB">
        <w:t xml:space="preserve"> la politique budgétaire</w:t>
      </w:r>
      <w:r w:rsidRPr="4E12AD89" w:rsidR="1AE8B64E">
        <w:t xml:space="preserve"> puisse</w:t>
      </w:r>
      <w:r w:rsidRPr="4E12AD89" w:rsidR="60AFD9AB">
        <w:t xml:space="preserve"> </w:t>
      </w:r>
      <w:r w:rsidRPr="4E12AD89" w:rsidR="5BD24E9F">
        <w:t>joue</w:t>
      </w:r>
      <w:r w:rsidRPr="4E12AD89" w:rsidR="094B67C5">
        <w:t>r</w:t>
      </w:r>
      <w:r w:rsidRPr="4E12AD89" w:rsidR="5BD24E9F">
        <w:t xml:space="preserve"> un rôle plus actif</w:t>
      </w:r>
      <w:r w:rsidRPr="4E12AD89" w:rsidR="60AFD9AB">
        <w:t xml:space="preserve"> dans la réponse aux c</w:t>
      </w:r>
      <w:r w:rsidRPr="4E12AD89" w:rsidR="2C106746">
        <w:t>rises</w:t>
      </w:r>
      <w:r w:rsidR="004D6F88">
        <w:rPr>
          <w:rStyle w:val="Appelnotedebasdep"/>
        </w:rPr>
        <w:footnoteReference w:id="36"/>
      </w:r>
      <w:r w:rsidRPr="4E12AD89" w:rsidR="60AFD9AB">
        <w:t xml:space="preserve">. </w:t>
      </w:r>
    </w:p>
    <w:p w:rsidRPr="0086461F" w:rsidR="00236E0E" w:rsidP="0046346B" w:rsidRDefault="60AFD9AB" w14:paraId="19319B4A" w14:textId="6C038DF1">
      <w:r w:rsidRPr="0086461F">
        <w:t>Deuxièmement, l</w:t>
      </w:r>
      <w:r w:rsidR="0835EAE6">
        <w:t>’</w:t>
      </w:r>
      <w:r w:rsidRPr="0086461F">
        <w:t>analyse des causes de la stagnation séculaire a conduit à des discussions sur</w:t>
      </w:r>
      <w:r w:rsidRPr="0086461F" w:rsidR="45C8F7CA">
        <w:t xml:space="preserve"> </w:t>
      </w:r>
      <w:r w:rsidRPr="0086461F">
        <w:t>un objectif d</w:t>
      </w:r>
      <w:r w:rsidR="0835EAE6">
        <w:t>’</w:t>
      </w:r>
      <w:r w:rsidRPr="0086461F">
        <w:t xml:space="preserve">inflation </w:t>
      </w:r>
      <w:r w:rsidRPr="0086461F" w:rsidR="24E1D802">
        <w:t>« </w:t>
      </w:r>
      <w:r w:rsidRPr="0086461F">
        <w:t>symétrique</w:t>
      </w:r>
      <w:r w:rsidRPr="0086461F" w:rsidR="24E1D802">
        <w:t> »</w:t>
      </w:r>
      <w:r w:rsidRPr="0086461F" w:rsidR="20B75497">
        <w:t xml:space="preserve"> de</w:t>
      </w:r>
      <w:r w:rsidRPr="0086461F">
        <w:t xml:space="preserve"> 2 %</w:t>
      </w:r>
      <w:r w:rsidR="004D6F88">
        <w:rPr>
          <w:rStyle w:val="Appelnotedebasdep"/>
        </w:rPr>
        <w:footnoteReference w:id="37"/>
      </w:r>
      <w:r w:rsidRPr="0086461F" w:rsidR="447A3A1E">
        <w:t>,</w:t>
      </w:r>
      <w:r w:rsidRPr="0086461F">
        <w:t xml:space="preserve"> </w:t>
      </w:r>
      <w:r w:rsidRPr="0086461F" w:rsidR="322BEA49">
        <w:t xml:space="preserve">finalement adopté </w:t>
      </w:r>
      <w:r w:rsidRPr="0086461F" w:rsidR="4627869C">
        <w:t xml:space="preserve">lors de </w:t>
      </w:r>
      <w:r w:rsidRPr="0086461F" w:rsidR="71BA13F4">
        <w:t>la révision de</w:t>
      </w:r>
      <w:r w:rsidRPr="0086461F" w:rsidR="4627869C">
        <w:t xml:space="preserve"> stratégie monétaire en 2021</w:t>
      </w:r>
      <w:r w:rsidRPr="4E12AD89" w:rsidR="00236E0E">
        <w:rPr>
          <w:rStyle w:val="Appelnotedebasdep"/>
          <w:rFonts w:eastAsia="Aptos" w:cs="Times New Roman"/>
        </w:rPr>
        <w:footnoteReference w:id="38"/>
      </w:r>
      <w:r w:rsidR="0835EAE6">
        <w:t>.</w:t>
      </w:r>
      <w:r w:rsidRPr="0086461F" w:rsidR="322BEA49">
        <w:t xml:space="preserve"> </w:t>
      </w:r>
      <w:r w:rsidRPr="0086461F">
        <w:t>En outre, cette révision introdui</w:t>
      </w:r>
      <w:r w:rsidRPr="0086461F" w:rsidR="14BEAF26">
        <w:t>sit</w:t>
      </w:r>
      <w:r w:rsidRPr="0086461F">
        <w:t xml:space="preserve"> des </w:t>
      </w:r>
      <w:r w:rsidRPr="0086461F" w:rsidR="14BEAF26">
        <w:t>« </w:t>
      </w:r>
      <w:r w:rsidRPr="0086461F">
        <w:t>tests de proportionnalité</w:t>
      </w:r>
      <w:r w:rsidRPr="0086461F" w:rsidR="14BEAF26">
        <w:t> »</w:t>
      </w:r>
      <w:r w:rsidRPr="0086461F">
        <w:t xml:space="preserve">, selon lesquels les objectifs de stabilité des prix </w:t>
      </w:r>
      <w:r w:rsidRPr="0086461F" w:rsidR="24134260">
        <w:t>doivent être</w:t>
      </w:r>
      <w:r w:rsidRPr="0086461F">
        <w:t xml:space="preserve"> mis en balance avec </w:t>
      </w:r>
      <w:r w:rsidRPr="0086461F" w:rsidR="18E70880">
        <w:t>d</w:t>
      </w:r>
      <w:r w:rsidRPr="0086461F">
        <w:t xml:space="preserve">es </w:t>
      </w:r>
      <w:r w:rsidRPr="2FA48362" w:rsidR="6797E85B">
        <w:t>potentiels</w:t>
      </w:r>
      <w:r w:rsidRPr="0086461F" w:rsidR="6797E85B">
        <w:t xml:space="preserve"> </w:t>
      </w:r>
      <w:r>
        <w:t xml:space="preserve">effets secondaires négatifs, tels </w:t>
      </w:r>
      <w:r w:rsidRPr="00B42AF7">
        <w:t>que l</w:t>
      </w:r>
      <w:r w:rsidRPr="00B42AF7" w:rsidR="264D5EB9">
        <w:t>’</w:t>
      </w:r>
      <w:r w:rsidRPr="00B42AF7">
        <w:t>instabilité financière</w:t>
      </w:r>
      <w:r w:rsidRPr="00B42AF7" w:rsidR="004D6F88">
        <w:rPr>
          <w:rStyle w:val="Appelnotedebasdep"/>
        </w:rPr>
        <w:footnoteReference w:id="39"/>
      </w:r>
      <w:r w:rsidRPr="00B42AF7">
        <w:t>.</w:t>
      </w:r>
      <w:r w:rsidRPr="0086461F">
        <w:t xml:space="preserve">  </w:t>
      </w:r>
    </w:p>
    <w:p w:rsidRPr="0086461F" w:rsidR="00236E0E" w:rsidP="0046346B" w:rsidRDefault="60AFD9AB" w14:paraId="1F1F21E7" w14:textId="677D17FA">
      <w:r w:rsidRPr="4E12AD89">
        <w:lastRenderedPageBreak/>
        <w:t>Toutefois, il ne faut pas surestimer l'ampleur d</w:t>
      </w:r>
      <w:r w:rsidRPr="4E12AD89" w:rsidR="42AF1295">
        <w:t xml:space="preserve">u </w:t>
      </w:r>
      <w:r w:rsidRPr="4E12AD89">
        <w:t xml:space="preserve">changement. Certains éléments fondamentaux du modèle </w:t>
      </w:r>
      <w:r w:rsidRPr="4E12AD89" w:rsidR="15DEE803">
        <w:t xml:space="preserve">de la </w:t>
      </w:r>
      <w:r w:rsidRPr="4E12AD89" w:rsidR="45829B1B">
        <w:t>BCI</w:t>
      </w:r>
      <w:r w:rsidRPr="4E12AD89">
        <w:t xml:space="preserve"> ont été conservés pendant la période de stagnation séculaire. Par exemple, l</w:t>
      </w:r>
      <w:proofErr w:type="gramStart"/>
      <w:r w:rsidRPr="4E12AD89" w:rsidR="7BC72366">
        <w:t>’«</w:t>
      </w:r>
      <w:proofErr w:type="gramEnd"/>
      <w:r w:rsidRPr="4E12AD89" w:rsidR="7BC72366">
        <w:t> </w:t>
      </w:r>
      <w:r w:rsidRPr="4E12AD89">
        <w:t>ancrage des a</w:t>
      </w:r>
      <w:r w:rsidRPr="4E12AD89" w:rsidR="7F7EAC58">
        <w:t>nticipations</w:t>
      </w:r>
      <w:r w:rsidRPr="4E12AD89" w:rsidR="7BC72366">
        <w:t> »</w:t>
      </w:r>
      <w:r w:rsidRPr="4E12AD89">
        <w:t xml:space="preserve"> </w:t>
      </w:r>
      <w:r w:rsidRPr="4E12AD89" w:rsidR="1B3C9185">
        <w:t>rest</w:t>
      </w:r>
      <w:r w:rsidRPr="4E12AD89" w:rsidR="6D7E3B96">
        <w:t>e</w:t>
      </w:r>
      <w:r w:rsidRPr="4E12AD89">
        <w:t xml:space="preserve"> considéré comme un </w:t>
      </w:r>
      <w:r w:rsidRPr="4E12AD89" w:rsidR="437BB676">
        <w:t>canal</w:t>
      </w:r>
      <w:r w:rsidRPr="4E12AD89">
        <w:t xml:space="preserve"> clé de </w:t>
      </w:r>
      <w:r w:rsidRPr="4E12AD89" w:rsidR="631DB3A6">
        <w:t xml:space="preserve">transmission de la politique </w:t>
      </w:r>
      <w:r w:rsidRPr="4E12AD89" w:rsidR="445C63B5">
        <w:t>monétaire</w:t>
      </w:r>
      <w:r w:rsidRPr="4E12AD89">
        <w:t xml:space="preserve">. </w:t>
      </w:r>
      <w:r w:rsidRPr="4E12AD89" w:rsidR="7BC72366">
        <w:t>De même</w:t>
      </w:r>
      <w:r w:rsidRPr="4E12AD89">
        <w:t xml:space="preserve">, </w:t>
      </w:r>
      <w:r w:rsidRPr="4E12AD89" w:rsidR="10C1FB62">
        <w:t xml:space="preserve">les </w:t>
      </w:r>
      <w:r w:rsidRPr="4E12AD89" w:rsidR="2CD533DA">
        <w:t>banquiers</w:t>
      </w:r>
      <w:r w:rsidRPr="4E12AD89" w:rsidR="10C1FB62">
        <w:t xml:space="preserve"> centraux restaien</w:t>
      </w:r>
      <w:r w:rsidRPr="4E12AD89" w:rsidR="4FDE2FC9">
        <w:t>t</w:t>
      </w:r>
      <w:r w:rsidRPr="4E12AD89" w:rsidR="10C1FB62">
        <w:t xml:space="preserve"> </w:t>
      </w:r>
      <w:r w:rsidRPr="4E12AD89">
        <w:t>catégorique</w:t>
      </w:r>
      <w:r w:rsidRPr="4E12AD89" w:rsidR="1D7ED7D5">
        <w:t>s</w:t>
      </w:r>
      <w:r w:rsidRPr="4E12AD89">
        <w:t xml:space="preserve"> sur le fait que </w:t>
      </w:r>
      <w:r w:rsidRPr="4E12AD89" w:rsidR="7BC72366">
        <w:t>« </w:t>
      </w:r>
      <w:r w:rsidRPr="4E12AD89">
        <w:t>sur le long terme, la politique monétaire ne peut pas augmenter la croissance</w:t>
      </w:r>
      <w:r w:rsidRPr="4E12AD89" w:rsidR="7BC72366">
        <w:t> »</w:t>
      </w:r>
      <w:r w:rsidRPr="4E12AD89" w:rsidR="33CFB74E">
        <w:t xml:space="preserve"> </w:t>
      </w:r>
      <w:r w:rsidR="004D6F88">
        <w:rPr>
          <w:rStyle w:val="Appelnotedebasdep"/>
        </w:rPr>
        <w:footnoteReference w:id="40"/>
      </w:r>
      <w:r w:rsidRPr="4E12AD89">
        <w:t xml:space="preserve"> puisque </w:t>
      </w:r>
      <w:r w:rsidRPr="4E12AD89" w:rsidR="4C34D8F1">
        <w:t>celle-ci</w:t>
      </w:r>
      <w:r w:rsidRPr="4E12AD89">
        <w:t xml:space="preserve"> est </w:t>
      </w:r>
      <w:r w:rsidRPr="4E12AD89" w:rsidR="3DB929FB">
        <w:t xml:space="preserve">déterminée </w:t>
      </w:r>
      <w:r w:rsidRPr="4E12AD89">
        <w:t xml:space="preserve">par des facteurs liés à l'offre plutôt qu'à la demande. </w:t>
      </w:r>
    </w:p>
    <w:p w:rsidRPr="0086461F" w:rsidR="00236E0E" w:rsidP="0046346B" w:rsidRDefault="00236E0E" w14:paraId="0864615B" w14:textId="011BEF0D">
      <w:r w:rsidRPr="0086461F">
        <w:t>Peu avant la reprise de l'inflation, Isabel Schnabel résum</w:t>
      </w:r>
      <w:r w:rsidRPr="0086461F" w:rsidR="345A127B">
        <w:t>ait</w:t>
      </w:r>
      <w:r w:rsidRPr="0086461F">
        <w:t xml:space="preserve"> cette articulation </w:t>
      </w:r>
      <w:r w:rsidRPr="0086461F" w:rsidR="257355ED">
        <w:t xml:space="preserve">entre nouveaux et anciens éléments de cadrage de l’inflation </w:t>
      </w:r>
      <w:r w:rsidRPr="0086461F">
        <w:t xml:space="preserve">: </w:t>
      </w:r>
    </w:p>
    <w:p w:rsidRPr="0046346B" w:rsidR="00236E0E" w:rsidP="0046346B" w:rsidRDefault="0C953314" w14:paraId="6EBAEFF4" w14:textId="5FE65282">
      <w:pPr>
        <w:pStyle w:val="Citation"/>
      </w:pPr>
      <w:r w:rsidRPr="0046346B">
        <w:t xml:space="preserve">Inflation </w:t>
      </w:r>
      <w:proofErr w:type="spellStart"/>
      <w:r w:rsidRPr="0046346B">
        <w:t>may</w:t>
      </w:r>
      <w:proofErr w:type="spellEnd"/>
      <w:r w:rsidRPr="0046346B">
        <w:t xml:space="preserve"> not </w:t>
      </w:r>
      <w:proofErr w:type="spellStart"/>
      <w:r w:rsidRPr="0046346B">
        <w:t>be</w:t>
      </w:r>
      <w:proofErr w:type="spellEnd"/>
      <w:r w:rsidRPr="0046346B">
        <w:t xml:space="preserve"> a </w:t>
      </w:r>
      <w:proofErr w:type="spellStart"/>
      <w:r w:rsidRPr="0046346B">
        <w:t>serious</w:t>
      </w:r>
      <w:proofErr w:type="spellEnd"/>
      <w:r w:rsidRPr="0046346B">
        <w:t xml:space="preserve"> </w:t>
      </w:r>
      <w:proofErr w:type="spellStart"/>
      <w:r w:rsidRPr="0046346B">
        <w:t>threat</w:t>
      </w:r>
      <w:proofErr w:type="spellEnd"/>
      <w:r w:rsidRPr="0046346B">
        <w:t xml:space="preserve"> to society at the </w:t>
      </w:r>
      <w:proofErr w:type="spellStart"/>
      <w:r w:rsidRPr="0046346B">
        <w:t>current</w:t>
      </w:r>
      <w:proofErr w:type="spellEnd"/>
      <w:r w:rsidRPr="0046346B">
        <w:t xml:space="preserve"> </w:t>
      </w:r>
      <w:proofErr w:type="spellStart"/>
      <w:r w:rsidRPr="0046346B">
        <w:t>juncture</w:t>
      </w:r>
      <w:proofErr w:type="spellEnd"/>
      <w:r w:rsidRPr="0046346B">
        <w:t xml:space="preserve">. But the </w:t>
      </w:r>
      <w:proofErr w:type="spellStart"/>
      <w:r w:rsidRPr="0046346B">
        <w:t>factors</w:t>
      </w:r>
      <w:proofErr w:type="spellEnd"/>
      <w:r w:rsidRPr="0046346B">
        <w:t xml:space="preserve"> </w:t>
      </w:r>
      <w:proofErr w:type="spellStart"/>
      <w:r w:rsidRPr="0046346B">
        <w:t>that</w:t>
      </w:r>
      <w:proofErr w:type="spellEnd"/>
      <w:r w:rsidRPr="0046346B">
        <w:t xml:space="preserve"> </w:t>
      </w:r>
      <w:proofErr w:type="spellStart"/>
      <w:r w:rsidRPr="0046346B">
        <w:t>motivated</w:t>
      </w:r>
      <w:proofErr w:type="spellEnd"/>
      <w:r w:rsidRPr="0046346B">
        <w:t xml:space="preserve"> central </w:t>
      </w:r>
      <w:proofErr w:type="spellStart"/>
      <w:r w:rsidRPr="0046346B">
        <w:t>bank</w:t>
      </w:r>
      <w:proofErr w:type="spellEnd"/>
      <w:r w:rsidRPr="0046346B">
        <w:t xml:space="preserve"> </w:t>
      </w:r>
      <w:proofErr w:type="spellStart"/>
      <w:r w:rsidRPr="0046346B">
        <w:t>independence</w:t>
      </w:r>
      <w:proofErr w:type="spellEnd"/>
      <w:r w:rsidRPr="0046346B">
        <w:t xml:space="preserve"> four </w:t>
      </w:r>
      <w:proofErr w:type="spellStart"/>
      <w:r w:rsidRPr="0046346B">
        <w:t>decades</w:t>
      </w:r>
      <w:proofErr w:type="spellEnd"/>
      <w:r w:rsidRPr="0046346B">
        <w:t xml:space="preserve"> </w:t>
      </w:r>
      <w:proofErr w:type="spellStart"/>
      <w:r w:rsidRPr="0046346B">
        <w:t>ago</w:t>
      </w:r>
      <w:proofErr w:type="spellEnd"/>
      <w:r w:rsidRPr="0046346B">
        <w:t xml:space="preserve">, and the </w:t>
      </w:r>
      <w:proofErr w:type="spellStart"/>
      <w:r w:rsidRPr="0046346B">
        <w:t>safeguards</w:t>
      </w:r>
      <w:proofErr w:type="spellEnd"/>
      <w:r w:rsidRPr="0046346B">
        <w:t xml:space="preserve"> </w:t>
      </w:r>
      <w:proofErr w:type="spellStart"/>
      <w:r w:rsidRPr="0046346B">
        <w:t>that</w:t>
      </w:r>
      <w:proofErr w:type="spellEnd"/>
      <w:r w:rsidRPr="0046346B">
        <w:t xml:space="preserve"> </w:t>
      </w:r>
      <w:proofErr w:type="spellStart"/>
      <w:r w:rsidRPr="0046346B">
        <w:t>were</w:t>
      </w:r>
      <w:proofErr w:type="spellEnd"/>
      <w:r w:rsidRPr="0046346B">
        <w:t xml:space="preserve"> put in place to </w:t>
      </w:r>
      <w:proofErr w:type="spellStart"/>
      <w:r w:rsidRPr="0046346B">
        <w:t>protect</w:t>
      </w:r>
      <w:proofErr w:type="spellEnd"/>
      <w:r w:rsidRPr="0046346B">
        <w:t xml:space="preserve"> </w:t>
      </w:r>
      <w:proofErr w:type="spellStart"/>
      <w:r w:rsidRPr="0046346B">
        <w:t>it</w:t>
      </w:r>
      <w:proofErr w:type="spellEnd"/>
      <w:r w:rsidRPr="0046346B">
        <w:t xml:space="preserve">, </w:t>
      </w:r>
      <w:proofErr w:type="spellStart"/>
      <w:r w:rsidRPr="0046346B">
        <w:t>remain</w:t>
      </w:r>
      <w:proofErr w:type="spellEnd"/>
      <w:r w:rsidRPr="0046346B">
        <w:t xml:space="preserve"> important </w:t>
      </w:r>
      <w:proofErr w:type="spellStart"/>
      <w:r w:rsidRPr="0046346B">
        <w:t>pillars</w:t>
      </w:r>
      <w:proofErr w:type="spellEnd"/>
      <w:r w:rsidRPr="0046346B">
        <w:t xml:space="preserve"> of </w:t>
      </w:r>
      <w:proofErr w:type="spellStart"/>
      <w:r w:rsidRPr="0046346B">
        <w:t>stability</w:t>
      </w:r>
      <w:proofErr w:type="spellEnd"/>
      <w:r w:rsidRPr="0046346B">
        <w:t xml:space="preserve"> and </w:t>
      </w:r>
      <w:proofErr w:type="spellStart"/>
      <w:r w:rsidRPr="0046346B">
        <w:t>prosperity</w:t>
      </w:r>
      <w:proofErr w:type="spellEnd"/>
      <w:r w:rsidRPr="0046346B">
        <w:t>.</w:t>
      </w:r>
      <w:r w:rsidR="004D6F88">
        <w:rPr>
          <w:rStyle w:val="Appelnotedebasdep"/>
        </w:rPr>
        <w:footnoteReference w:id="41"/>
      </w:r>
    </w:p>
    <w:p w:rsidR="00D23101" w:rsidP="00EC173B" w:rsidRDefault="00D23101" w14:paraId="39A7045F" w14:textId="2C2EE43A">
      <w:pPr>
        <w:pStyle w:val="Titre1"/>
        <w:rPr>
          <w:lang w:val="fr"/>
        </w:rPr>
      </w:pPr>
      <w:r w:rsidRPr="4E12AD89">
        <w:t>L</w:t>
      </w:r>
      <w:r w:rsidRPr="4E12AD89" w:rsidR="59456454">
        <w:t xml:space="preserve">e </w:t>
      </w:r>
      <w:proofErr w:type="spellStart"/>
      <w:r w:rsidRPr="4E12AD89" w:rsidR="59456454">
        <w:t>reto</w:t>
      </w:r>
      <w:r w:rsidRPr="4E12AD89" w:rsidR="59456454">
        <w:rPr>
          <w:lang w:val="fr"/>
        </w:rPr>
        <w:t>ur</w:t>
      </w:r>
      <w:proofErr w:type="spellEnd"/>
      <w:r w:rsidRPr="4E12AD89" w:rsidR="59456454">
        <w:rPr>
          <w:lang w:val="fr"/>
        </w:rPr>
        <w:t xml:space="preserve"> de l’inflation</w:t>
      </w:r>
    </w:p>
    <w:p w:rsidR="005F677C" w:rsidP="0046346B" w:rsidRDefault="686EE29A" w14:paraId="51F8DC2A" w14:textId="2F37B5BC">
      <w:r w:rsidRPr="4E12AD89">
        <w:t>Depuis 2018, la BCE</w:t>
      </w:r>
      <w:r w:rsidRPr="4E12AD89" w:rsidR="3AE47839">
        <w:t xml:space="preserve"> </w:t>
      </w:r>
      <w:r w:rsidRPr="4E12AD89">
        <w:t>int</w:t>
      </w:r>
      <w:r w:rsidRPr="4E12AD89" w:rsidR="72A6303E">
        <w:t>è</w:t>
      </w:r>
      <w:r w:rsidRPr="4E12AD89">
        <w:t>gr</w:t>
      </w:r>
      <w:r w:rsidRPr="4E12AD89" w:rsidR="1AF42912">
        <w:t>e</w:t>
      </w:r>
      <w:r w:rsidRPr="4E12AD89">
        <w:t xml:space="preserve"> les risques liés à la catastrophe climatique dans son champ d'action</w:t>
      </w:r>
      <w:r w:rsidR="004D6F88">
        <w:rPr>
          <w:rStyle w:val="Appelnotedebasdep"/>
        </w:rPr>
        <w:footnoteReference w:id="42"/>
      </w:r>
      <w:r w:rsidRPr="4E12AD89">
        <w:t xml:space="preserve">. Toutefois, à l’instar de </w:t>
      </w:r>
      <w:r w:rsidRPr="4E12AD89" w:rsidR="62692CB4">
        <w:t xml:space="preserve">la </w:t>
      </w:r>
      <w:r w:rsidRPr="4E12AD89">
        <w:t>stabilité financière, des critiques ont été émises à l'encontre des nouveaux objectifs climatiques au motif qu’ils pourraient compromettre celui de la stabilité des prix. Pour répondre à ces préoccupations, la BCE a présenté en juillet 2021 un plan d'action qui établit un lien causal entre l’objectif de stabilité des prix et le changement climatique</w:t>
      </w:r>
      <w:r w:rsidRPr="4E12AD89" w:rsidR="00D23101">
        <w:rPr>
          <w:rStyle w:val="Appelnotedebasdep"/>
          <w:rFonts w:eastAsia="Aptos" w:cs="Times New Roman"/>
        </w:rPr>
        <w:footnoteReference w:id="43"/>
      </w:r>
      <w:r w:rsidRPr="4E12AD89">
        <w:t>. Au même moment</w:t>
      </w:r>
      <w:r w:rsidRPr="4E12AD89" w:rsidR="19D919BF">
        <w:t>, l</w:t>
      </w:r>
      <w:r w:rsidRPr="4E12AD89" w:rsidR="3535AF11">
        <w:t>’</w:t>
      </w:r>
      <w:r w:rsidRPr="4E12AD89" w:rsidR="19D919BF">
        <w:t xml:space="preserve">inflation </w:t>
      </w:r>
      <w:r w:rsidRPr="4E12AD89" w:rsidR="1183CCC8">
        <w:t>repart</w:t>
      </w:r>
      <w:r w:rsidRPr="4E12AD89" w:rsidR="1C9AD56F">
        <w:t>a</w:t>
      </w:r>
      <w:r w:rsidRPr="4E12AD89" w:rsidR="1183CCC8">
        <w:t>it</w:t>
      </w:r>
      <w:r w:rsidRPr="4E12AD89" w:rsidR="19D919BF">
        <w:t xml:space="preserve"> à la hausse</w:t>
      </w:r>
      <w:r w:rsidRPr="4E12AD89" w:rsidR="1183CCC8">
        <w:t>,</w:t>
      </w:r>
      <w:r w:rsidRPr="4E12AD89" w:rsidR="1AC74B1A">
        <w:t xml:space="preserve"> conduisant </w:t>
      </w:r>
      <w:r w:rsidRPr="4E12AD89" w:rsidR="19D919BF">
        <w:t xml:space="preserve">la BCE </w:t>
      </w:r>
      <w:r w:rsidRPr="4E12AD89" w:rsidR="1AC74B1A">
        <w:t xml:space="preserve">à </w:t>
      </w:r>
      <w:r w:rsidRPr="4E12AD89" w:rsidR="19D919BF">
        <w:t>relev</w:t>
      </w:r>
      <w:r w:rsidRPr="4E12AD89" w:rsidR="1AC74B1A">
        <w:t>er</w:t>
      </w:r>
      <w:r w:rsidRPr="4E12AD89" w:rsidR="19D919BF">
        <w:t xml:space="preserve"> </w:t>
      </w:r>
      <w:r w:rsidRPr="4E12AD89" w:rsidR="1AC74B1A">
        <w:t>ses</w:t>
      </w:r>
      <w:r w:rsidRPr="4E12AD89" w:rsidR="19D919BF">
        <w:t xml:space="preserve"> tau</w:t>
      </w:r>
      <w:r w:rsidRPr="4E12AD89" w:rsidR="1AC74B1A">
        <w:t>x</w:t>
      </w:r>
      <w:r w:rsidRPr="4E12AD89" w:rsidR="19D919BF">
        <w:t>.</w:t>
      </w:r>
      <w:r w:rsidRPr="4E12AD89" w:rsidR="6D6AF8A4">
        <w:t xml:space="preserve"> </w:t>
      </w:r>
      <w:r w:rsidRPr="4E12AD89" w:rsidR="3B2EFFA7">
        <w:t xml:space="preserve">La BCE </w:t>
      </w:r>
      <w:r w:rsidRPr="4E12AD89" w:rsidR="5B051789">
        <w:t>opère</w:t>
      </w:r>
      <w:r w:rsidRPr="4E12AD89" w:rsidR="1183CCC8">
        <w:t xml:space="preserve"> alors</w:t>
      </w:r>
      <w:r w:rsidRPr="4E12AD89" w:rsidR="6D6AF8A4">
        <w:t xml:space="preserve"> un no</w:t>
      </w:r>
      <w:r w:rsidRPr="4E12AD89" w:rsidR="3B2EFFA7">
        <w:t>u</w:t>
      </w:r>
      <w:r w:rsidRPr="4E12AD89" w:rsidR="6D6AF8A4">
        <w:t>v</w:t>
      </w:r>
      <w:r w:rsidRPr="4E12AD89" w:rsidR="3B2EFFA7">
        <w:t>e</w:t>
      </w:r>
      <w:r w:rsidRPr="4E12AD89" w:rsidR="6D6AF8A4">
        <w:t xml:space="preserve">au changement de cadrage </w:t>
      </w:r>
      <w:r w:rsidRPr="4E12AD89" w:rsidR="3B2EFFA7">
        <w:t>de</w:t>
      </w:r>
      <w:r w:rsidRPr="4E12AD89" w:rsidR="6D6AF8A4">
        <w:t xml:space="preserve"> l’inflation, reprenant et mélangeant des éléments de cadrage liés aux deux </w:t>
      </w:r>
      <w:r w:rsidRPr="4E12AD89" w:rsidR="5FB984E7">
        <w:t>périodes</w:t>
      </w:r>
      <w:r w:rsidRPr="4E12AD89" w:rsidR="6D6AF8A4">
        <w:t xml:space="preserve"> </w:t>
      </w:r>
      <w:r w:rsidRPr="4E12AD89" w:rsidR="51701357">
        <w:t>précédentes</w:t>
      </w:r>
      <w:r w:rsidRPr="4E12AD89" w:rsidR="6D6AF8A4">
        <w:t xml:space="preserve">. </w:t>
      </w:r>
    </w:p>
    <w:p w:rsidR="019BB20F" w:rsidP="0046346B" w:rsidRDefault="6D6AF8A4" w14:paraId="7F58156E" w14:textId="2E90ACE2">
      <w:r w:rsidRPr="4E12AD89">
        <w:t>D</w:t>
      </w:r>
      <w:r w:rsidRPr="4E12AD89" w:rsidR="1183CCC8">
        <w:t>’</w:t>
      </w:r>
      <w:r w:rsidRPr="4E12AD89">
        <w:t xml:space="preserve">une part, les nouveaux </w:t>
      </w:r>
      <w:r w:rsidRPr="4E12AD89">
        <w:rPr>
          <w:i/>
          <w:iCs/>
        </w:rPr>
        <w:t xml:space="preserve">topics </w:t>
      </w:r>
      <w:r w:rsidRPr="4E12AD89" w:rsidR="7C392255">
        <w:t>qui émergent</w:t>
      </w:r>
      <w:r w:rsidRPr="4E12AD89">
        <w:rPr>
          <w:i/>
          <w:iCs/>
        </w:rPr>
        <w:t xml:space="preserve"> </w:t>
      </w:r>
      <w:r w:rsidRPr="4E12AD89">
        <w:t>font référence à de nouveaux arbitrages entre le resserrement monétaire et le soutien à la transition écologique</w:t>
      </w:r>
      <w:r w:rsidRPr="4E12AD89" w:rsidR="26551AA6">
        <w:t>, ainsi qu’aux nouvelles sources d'inflation telles que les goul</w:t>
      </w:r>
      <w:r w:rsidRPr="4E12AD89" w:rsidR="726F8063">
        <w:t>o</w:t>
      </w:r>
      <w:r w:rsidRPr="4E12AD89" w:rsidR="26551AA6">
        <w:t>ts d'étranglement dans les chaînes d'approvisionnement et la hausse des coûts de l'énergie</w:t>
      </w:r>
      <w:r w:rsidRPr="4E12AD89" w:rsidR="23CF5B09">
        <w:t xml:space="preserve"> (Figure 6)</w:t>
      </w:r>
      <w:r w:rsidRPr="4E12AD89">
        <w:t xml:space="preserve">. </w:t>
      </w:r>
      <w:r w:rsidRPr="4E12AD89" w:rsidR="584BDB89">
        <w:t xml:space="preserve">D'autre part, </w:t>
      </w:r>
      <w:r w:rsidRPr="4E12AD89" w:rsidR="61510365">
        <w:t>les suspects habituels, tels que les salaires et la politique budgétaire, refont surface quand il s’agit de surveiller les facteurs d’inflation</w:t>
      </w:r>
      <w:r w:rsidRPr="4E12AD89" w:rsidR="584BDB89">
        <w:t>.</w:t>
      </w:r>
    </w:p>
    <w:p w:rsidR="019BB20F" w:rsidP="0046346B" w:rsidRDefault="584BDB89" w14:paraId="0ECBCDB7" w14:textId="0743AC77">
      <w:r w:rsidRPr="4E12AD89">
        <w:lastRenderedPageBreak/>
        <w:t>Tout d’abord</w:t>
      </w:r>
      <w:r w:rsidRPr="4E12AD89" w:rsidR="6D87492E">
        <w:t>,</w:t>
      </w:r>
      <w:r w:rsidRPr="4E12AD89" w:rsidR="688CEA69">
        <w:t xml:space="preserve"> Fabio Panetta,</w:t>
      </w:r>
      <w:r w:rsidRPr="4E12AD89" w:rsidR="63571D17">
        <w:t xml:space="preserve"> </w:t>
      </w:r>
      <w:r w:rsidRPr="4E12AD89" w:rsidR="19744914">
        <w:t>membre du directoire depuis 2020,</w:t>
      </w:r>
      <w:r w:rsidRPr="4E12AD89" w:rsidR="42A4A103">
        <w:t xml:space="preserve"> </w:t>
      </w:r>
      <w:r w:rsidRPr="4E12AD89" w:rsidR="621143C8">
        <w:t>souligne</w:t>
      </w:r>
      <w:r w:rsidRPr="4E12AD89" w:rsidR="63F41368">
        <w:t xml:space="preserve"> </w:t>
      </w:r>
      <w:r w:rsidRPr="4E12AD89" w:rsidR="3DE1F90D">
        <w:t>le nouvel arbitrage entre stabilité financière et stabilité des prix</w:t>
      </w:r>
      <w:r w:rsidRPr="4E12AD89" w:rsidR="7A014103">
        <w:t xml:space="preserve"> </w:t>
      </w:r>
      <w:r w:rsidRPr="4E12AD89" w:rsidR="3DE1F90D">
        <w:t>:</w:t>
      </w:r>
      <w:r w:rsidRPr="4E12AD89" w:rsidR="63F41368">
        <w:t xml:space="preserve"> en </w:t>
      </w:r>
      <w:r w:rsidRPr="4E12AD89" w:rsidR="6ECC63DD">
        <w:t xml:space="preserve">montant </w:t>
      </w:r>
      <w:r w:rsidRPr="4E12AD89" w:rsidR="63F41368">
        <w:t>ses taux, la BCE</w:t>
      </w:r>
      <w:r w:rsidRPr="4E12AD89" w:rsidR="1CBB3E57">
        <w:t xml:space="preserve"> </w:t>
      </w:r>
      <w:r w:rsidRPr="4E12AD89" w:rsidR="63F41368">
        <w:t>d</w:t>
      </w:r>
      <w:r w:rsidRPr="4E12AD89" w:rsidR="669D92AA">
        <w:t xml:space="preserve">oit </w:t>
      </w:r>
      <w:r w:rsidRPr="4E12AD89" w:rsidR="63F41368">
        <w:t xml:space="preserve">éviter de </w:t>
      </w:r>
      <w:r w:rsidRPr="4E12AD89" w:rsidR="19744914">
        <w:t>« </w:t>
      </w:r>
      <w:r w:rsidRPr="4E12AD89" w:rsidR="19744914">
        <w:rPr>
          <w:lang w:val="fr"/>
        </w:rPr>
        <w:t xml:space="preserve">se focaliser excessivement sur les évolutions à court terme et prendre pleinement en compte les risques émanant de l'environnement économique et </w:t>
      </w:r>
      <w:r w:rsidRPr="4E12AD89" w:rsidR="19744914">
        <w:rPr>
          <w:i/>
          <w:iCs/>
          <w:lang w:val="fr"/>
        </w:rPr>
        <w:t xml:space="preserve">financier </w:t>
      </w:r>
      <w:r w:rsidRPr="4E12AD89" w:rsidR="19744914">
        <w:rPr>
          <w:lang w:val="fr"/>
        </w:rPr>
        <w:t>national et mondial »</w:t>
      </w:r>
      <w:r w:rsidR="004D6F88">
        <w:rPr>
          <w:rStyle w:val="Appelnotedebasdep"/>
          <w:lang w:val="fr"/>
        </w:rPr>
        <w:footnoteReference w:id="44"/>
      </w:r>
      <w:r w:rsidRPr="4E12AD89" w:rsidR="19744914">
        <w:rPr>
          <w:lang w:val="fr"/>
        </w:rPr>
        <w:t>.</w:t>
      </w:r>
      <w:r w:rsidRPr="4E12AD89" w:rsidR="19744914">
        <w:t xml:space="preserve"> </w:t>
      </w:r>
    </w:p>
    <w:p w:rsidR="00487F52" w:rsidP="33AB5B3E" w:rsidRDefault="00487F52" w14:paraId="143A9432" w14:textId="4A90D7EE">
      <w:pPr>
        <w:autoSpaceDE w:val="0"/>
        <w:autoSpaceDN w:val="0"/>
        <w:adjustRightInd w:val="0"/>
        <w:spacing w:after="200" w:line="276" w:lineRule="auto"/>
        <w:rPr>
          <w:rFonts w:cs="Times New Roman"/>
          <w:lang w:val="fr"/>
        </w:rPr>
      </w:pPr>
      <w:r w:rsidRPr="4E12AD89">
        <w:rPr>
          <w:rFonts w:cs="Times New Roman"/>
        </w:rPr>
        <w:t xml:space="preserve"> </w:t>
      </w:r>
      <w:r w:rsidRPr="4E12AD89" w:rsidR="05B2A765">
        <w:rPr>
          <w:rFonts w:cs="Times New Roman"/>
          <w:b/>
          <w:bCs/>
          <w:u w:val="single"/>
          <w:lang w:val="fr"/>
        </w:rPr>
        <w:t xml:space="preserve">Figure </w:t>
      </w:r>
      <w:r w:rsidRPr="4E12AD89" w:rsidR="5FE50A10">
        <w:rPr>
          <w:rFonts w:cs="Times New Roman"/>
          <w:b/>
          <w:bCs/>
          <w:u w:val="single"/>
          <w:lang w:val="fr"/>
        </w:rPr>
        <w:t>6</w:t>
      </w:r>
      <w:r w:rsidRPr="4E12AD89" w:rsidR="05B2A765">
        <w:rPr>
          <w:rFonts w:cs="Times New Roman"/>
          <w:b/>
          <w:bCs/>
          <w:u w:val="single"/>
          <w:lang w:val="fr"/>
        </w:rPr>
        <w:t xml:space="preserve"> : </w:t>
      </w:r>
      <w:r w:rsidRPr="4E12AD89" w:rsidR="004E2F51">
        <w:rPr>
          <w:rFonts w:cs="Times New Roman"/>
          <w:b/>
          <w:bCs/>
          <w:i/>
          <w:iCs/>
          <w:u w:val="single"/>
          <w:lang w:val="fr"/>
        </w:rPr>
        <w:t>Topics</w:t>
      </w:r>
      <w:r w:rsidRPr="4E12AD89" w:rsidR="004E2F51">
        <w:rPr>
          <w:rFonts w:cs="Times New Roman"/>
          <w:b/>
          <w:bCs/>
          <w:u w:val="single"/>
          <w:lang w:val="fr"/>
        </w:rPr>
        <w:t xml:space="preserve"> </w:t>
      </w:r>
      <w:r w:rsidRPr="4E12AD89" w:rsidR="009E4A7E">
        <w:rPr>
          <w:rFonts w:cs="Times New Roman"/>
          <w:b/>
          <w:bCs/>
          <w:u w:val="single"/>
          <w:lang w:val="fr"/>
        </w:rPr>
        <w:t>centraux</w:t>
      </w:r>
      <w:r w:rsidRPr="4E12AD89" w:rsidR="05B2A765">
        <w:rPr>
          <w:rFonts w:cs="Times New Roman"/>
          <w:b/>
          <w:bCs/>
          <w:u w:val="single"/>
          <w:lang w:val="fr"/>
        </w:rPr>
        <w:t xml:space="preserve"> prévalents au cours de la </w:t>
      </w:r>
      <w:r w:rsidRPr="4E12AD89" w:rsidR="009E4A7E">
        <w:rPr>
          <w:rFonts w:cs="Times New Roman"/>
          <w:b/>
          <w:bCs/>
          <w:u w:val="single"/>
          <w:lang w:val="fr"/>
        </w:rPr>
        <w:t xml:space="preserve">période </w:t>
      </w:r>
      <w:r w:rsidRPr="4E12AD89" w:rsidR="05B2A765">
        <w:rPr>
          <w:rFonts w:cs="Times New Roman"/>
          <w:b/>
          <w:bCs/>
          <w:u w:val="single"/>
          <w:lang w:val="fr"/>
        </w:rPr>
        <w:t>d'inflation</w:t>
      </w:r>
    </w:p>
    <w:p w:rsidR="547AB74F" w:rsidP="0046346B" w:rsidRDefault="05B2A765" w14:paraId="597B5D37" w14:textId="69DF2394">
      <w:pPr>
        <w:autoSpaceDE w:val="0"/>
        <w:autoSpaceDN w:val="0"/>
        <w:adjustRightInd w:val="0"/>
        <w:spacing w:after="200" w:line="276" w:lineRule="auto"/>
        <w:rPr>
          <w:rFonts w:cs="Times New Roman"/>
          <w:lang w:val="fr"/>
        </w:rPr>
      </w:pPr>
      <w:r>
        <w:rPr>
          <w:noProof/>
        </w:rPr>
        <w:drawing>
          <wp:inline distT="0" distB="0" distL="0" distR="0" wp14:anchorId="38213574" wp14:editId="762B6FD3">
            <wp:extent cx="5532120" cy="2933700"/>
            <wp:effectExtent l="0" t="0" r="0" b="0"/>
            <wp:docPr id="1639101561" name="Image 5" descr="Une image contenant texte, diagramme, Tracé, lig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pic:nvPicPr>
                  <pic:blipFill>
                    <a:blip r:embed="rId11">
                      <a:extLst>
                        <a:ext uri="{28A0092B-C50C-407E-A947-70E740481C1C}">
                          <a14:useLocalDpi xmlns:a14="http://schemas.microsoft.com/office/drawing/2010/main" val="0"/>
                        </a:ext>
                      </a:extLst>
                    </a:blip>
                    <a:stretch>
                      <a:fillRect/>
                    </a:stretch>
                  </pic:blipFill>
                  <pic:spPr>
                    <a:xfrm>
                      <a:off x="0" y="0"/>
                      <a:ext cx="5532120" cy="2933700"/>
                    </a:xfrm>
                    <a:prstGeom prst="rect">
                      <a:avLst/>
                    </a:prstGeom>
                  </pic:spPr>
                </pic:pic>
              </a:graphicData>
            </a:graphic>
          </wp:inline>
        </w:drawing>
      </w:r>
    </w:p>
    <w:p w:rsidRPr="002056C7" w:rsidR="00487F52" w:rsidP="0046346B" w:rsidRDefault="69FB6592" w14:paraId="718796D1" w14:textId="5B8D1402">
      <w:r w:rsidRPr="4E12AD89">
        <w:t>D</w:t>
      </w:r>
      <w:r w:rsidRPr="4E12AD89" w:rsidR="19126B60">
        <w:t>e plus</w:t>
      </w:r>
      <w:r w:rsidRPr="4E12AD89">
        <w:t xml:space="preserve">, depuis la </w:t>
      </w:r>
      <w:r w:rsidRPr="4E12AD89" w:rsidR="63FD58E7">
        <w:t>période</w:t>
      </w:r>
      <w:r w:rsidRPr="4E12AD89">
        <w:t xml:space="preserve"> de la stagnation séculaire, la BCE </w:t>
      </w:r>
      <w:r w:rsidRPr="4E12AD89" w:rsidR="778A76B8">
        <w:t>souligne</w:t>
      </w:r>
      <w:r w:rsidRPr="4E12AD89">
        <w:t xml:space="preserve"> </w:t>
      </w:r>
      <w:r w:rsidRPr="4E12AD89" w:rsidR="360702FD">
        <w:t xml:space="preserve">que </w:t>
      </w:r>
      <w:r w:rsidRPr="4E12AD89">
        <w:t>la lutte contre le changement climatique contribue à l</w:t>
      </w:r>
      <w:r w:rsidRPr="4E12AD89" w:rsidR="55088899">
        <w:t>’</w:t>
      </w:r>
      <w:r w:rsidRPr="4E12AD89">
        <w:t xml:space="preserve">objectif de stabilité des prix. </w:t>
      </w:r>
      <w:r w:rsidRPr="4E12AD89" w:rsidR="40137B3F">
        <w:t>Ainsi, s</w:t>
      </w:r>
      <w:r w:rsidRPr="4E12AD89" w:rsidR="2BEF63F7">
        <w:t xml:space="preserve">elon </w:t>
      </w:r>
      <w:r w:rsidRPr="4E12AD89">
        <w:t xml:space="preserve">Isabel Schnabel, il </w:t>
      </w:r>
      <w:r w:rsidRPr="4E12AD89" w:rsidR="0CABDAAB">
        <w:t>faut</w:t>
      </w:r>
      <w:r w:rsidRPr="4E12AD89">
        <w:t xml:space="preserve"> </w:t>
      </w:r>
      <w:r w:rsidRPr="4E12AD89" w:rsidR="5CB6A89A">
        <w:t>« </w:t>
      </w:r>
      <w:r w:rsidRPr="4E12AD89" w:rsidR="4BB32FBF">
        <w:t>adapter le c</w:t>
      </w:r>
      <w:r w:rsidRPr="4E12AD89">
        <w:t>adre de la politique monétaire de la BCE</w:t>
      </w:r>
      <w:r w:rsidRPr="4E12AD89" w:rsidR="093A3948">
        <w:t xml:space="preserve"> </w:t>
      </w:r>
      <w:r w:rsidRPr="4E12AD89">
        <w:t>au changement climatique</w:t>
      </w:r>
      <w:r w:rsidRPr="4E12AD89" w:rsidR="5CB6A89A">
        <w:t> »</w:t>
      </w:r>
      <w:r w:rsidR="004D6F88">
        <w:rPr>
          <w:rStyle w:val="Appelnotedebasdep"/>
        </w:rPr>
        <w:footnoteReference w:id="45"/>
      </w:r>
      <w:r w:rsidRPr="4E12AD89" w:rsidR="6B6E5FD9">
        <w:t xml:space="preserve"> </w:t>
      </w:r>
      <w:r w:rsidRPr="4E12AD89">
        <w:t xml:space="preserve">pour éviter la </w:t>
      </w:r>
      <w:r w:rsidRPr="4E12AD89" w:rsidR="5CB6A89A">
        <w:t>« </w:t>
      </w:r>
      <w:proofErr w:type="spellStart"/>
      <w:r w:rsidRPr="4E12AD89">
        <w:rPr>
          <w:i/>
          <w:iCs/>
        </w:rPr>
        <w:t>fossilflation</w:t>
      </w:r>
      <w:proofErr w:type="spellEnd"/>
      <w:r w:rsidRPr="4E12AD89" w:rsidR="5CB6A89A">
        <w:rPr>
          <w:i/>
          <w:iCs/>
        </w:rPr>
        <w:t> </w:t>
      </w:r>
      <w:r w:rsidRPr="4E12AD89" w:rsidR="5CB6A89A">
        <w:t>»</w:t>
      </w:r>
      <w:r w:rsidRPr="4E12AD89">
        <w:t xml:space="preserve"> et la </w:t>
      </w:r>
      <w:r w:rsidRPr="4E12AD89" w:rsidR="5CB6A89A">
        <w:t>« </w:t>
      </w:r>
      <w:proofErr w:type="spellStart"/>
      <w:r w:rsidRPr="4E12AD89">
        <w:rPr>
          <w:i/>
          <w:iCs/>
        </w:rPr>
        <w:t>greenflation</w:t>
      </w:r>
      <w:proofErr w:type="spellEnd"/>
      <w:r w:rsidRPr="4E12AD89" w:rsidR="5CB6A89A">
        <w:rPr>
          <w:i/>
          <w:iCs/>
        </w:rPr>
        <w:t> </w:t>
      </w:r>
      <w:r w:rsidRPr="4E12AD89" w:rsidR="5CB6A89A">
        <w:t>»</w:t>
      </w:r>
      <w:r w:rsidR="004D6F88">
        <w:rPr>
          <w:rStyle w:val="Appelnotedebasdep"/>
        </w:rPr>
        <w:footnoteReference w:id="46"/>
      </w:r>
      <w:r w:rsidRPr="4E12AD89">
        <w:t xml:space="preserve">.  Mais </w:t>
      </w:r>
      <w:r w:rsidRPr="4E12AD89" w:rsidR="01BB4BF5">
        <w:t xml:space="preserve">elle souligne également les effets contraires </w:t>
      </w:r>
      <w:r w:rsidRPr="4E12AD89" w:rsidR="0C35DD76">
        <w:t>de la montée des taux</w:t>
      </w:r>
      <w:r w:rsidRPr="4E12AD89" w:rsidR="5AB1B398">
        <w:t xml:space="preserve"> </w:t>
      </w:r>
      <w:r w:rsidRPr="4E12AD89" w:rsidR="3C021931">
        <w:t xml:space="preserve">qui </w:t>
      </w:r>
      <w:r w:rsidRPr="4E12AD89" w:rsidR="1482D182">
        <w:t>« </w:t>
      </w:r>
      <w:r w:rsidRPr="4E12AD89" w:rsidR="1482D182">
        <w:rPr>
          <w:lang w:val="fr"/>
        </w:rPr>
        <w:t xml:space="preserve">pourrait décourager les efforts visant à décarboniser rapidement nos économies » </w:t>
      </w:r>
      <w:r w:rsidR="004D6F88">
        <w:rPr>
          <w:rStyle w:val="Appelnotedebasdep"/>
          <w:lang w:val="fr"/>
        </w:rPr>
        <w:footnoteReference w:id="47"/>
      </w:r>
      <w:r w:rsidRPr="4E12AD89" w:rsidR="3D022CEF">
        <w:rPr>
          <w:lang w:val="fr"/>
        </w:rPr>
        <w:t xml:space="preserve"> car les investissements en faveur des énergies renouvelables sont plus sensibles à la hausse des taux que ceux des énergies fossiles</w:t>
      </w:r>
      <w:r w:rsidRPr="4E12AD89" w:rsidR="1482D182">
        <w:rPr>
          <w:lang w:val="fr"/>
        </w:rPr>
        <w:t>.</w:t>
      </w:r>
      <w:r w:rsidRPr="4E12AD89">
        <w:t xml:space="preserve"> </w:t>
      </w:r>
    </w:p>
    <w:p w:rsidRPr="002056C7" w:rsidR="00487F52" w:rsidP="0046346B" w:rsidRDefault="2BAD5AC2" w14:paraId="321ABB4F" w14:textId="3679BA3B">
      <w:r w:rsidRPr="2FA48362">
        <w:t>Face à cet arbitrage</w:t>
      </w:r>
      <w:r w:rsidRPr="2FA48362" w:rsidR="3009933D">
        <w:t>,</w:t>
      </w:r>
      <w:r w:rsidRPr="2FA48362" w:rsidR="69FB6592">
        <w:t xml:space="preserve"> les </w:t>
      </w:r>
      <w:r w:rsidRPr="2FA48362" w:rsidR="72D0ADFD">
        <w:t>banquiers centraux</w:t>
      </w:r>
      <w:r w:rsidRPr="2FA48362" w:rsidR="69FB6592">
        <w:t xml:space="preserve"> ne remett</w:t>
      </w:r>
      <w:r w:rsidRPr="2FA48362" w:rsidR="48851EFB">
        <w:t>ent pas</w:t>
      </w:r>
      <w:r w:rsidRPr="2FA48362" w:rsidR="69FB6592">
        <w:t xml:space="preserve"> </w:t>
      </w:r>
      <w:r w:rsidRPr="2FA48362" w:rsidR="27925F0B">
        <w:t xml:space="preserve">pour autant </w:t>
      </w:r>
      <w:r w:rsidRPr="2FA48362" w:rsidR="69FB6592">
        <w:t xml:space="preserve">en cause la priorité </w:t>
      </w:r>
      <w:proofErr w:type="gramStart"/>
      <w:r w:rsidRPr="2FA48362" w:rsidR="69FB6592">
        <w:t>accordée</w:t>
      </w:r>
      <w:proofErr w:type="gramEnd"/>
      <w:r w:rsidRPr="2FA48362" w:rsidR="69FB6592">
        <w:t xml:space="preserve"> à la stabilité des </w:t>
      </w:r>
      <w:r w:rsidRPr="2FA48362" w:rsidR="0B306E65">
        <w:t>prix :</w:t>
      </w:r>
      <w:r w:rsidRPr="2FA48362" w:rsidR="69FB6592">
        <w:t xml:space="preserve"> </w:t>
      </w:r>
      <w:r w:rsidRPr="2FA48362" w:rsidR="62EF38AE">
        <w:t>« </w:t>
      </w:r>
      <w:r w:rsidRPr="2FA48362" w:rsidR="69FB6592">
        <w:t>le rétablissement de la stabilité des prix en temps voulu fournit les conditions dans lesquelles la transition verte peut prospérer durablement</w:t>
      </w:r>
      <w:r w:rsidRPr="2FA48362" w:rsidR="153AD2EF">
        <w:t> »</w:t>
      </w:r>
      <w:r w:rsidRPr="2FA48362" w:rsidR="62EF38AE">
        <w:t> </w:t>
      </w:r>
      <w:r w:rsidRPr="2FA48362" w:rsidR="0D14A2EE">
        <w:t>(</w:t>
      </w:r>
      <w:r w:rsidRPr="2FA48362" w:rsidR="0D14A2EE">
        <w:rPr>
          <w:i/>
          <w:iCs/>
        </w:rPr>
        <w:t>ibid.</w:t>
      </w:r>
      <w:r w:rsidRPr="2FA48362" w:rsidR="0D14A2EE">
        <w:t>, 6)</w:t>
      </w:r>
      <w:r w:rsidRPr="2FA48362" w:rsidR="69FB6592">
        <w:t xml:space="preserve">. </w:t>
      </w:r>
      <w:r w:rsidRPr="2FA48362" w:rsidR="69FB6592">
        <w:lastRenderedPageBreak/>
        <w:t xml:space="preserve">Les mécanismes théoriques qui sous-tendent </w:t>
      </w:r>
      <w:r w:rsidRPr="2FA48362" w:rsidR="41B233B1">
        <w:t>ce</w:t>
      </w:r>
      <w:r w:rsidRPr="2FA48362" w:rsidR="69FB6592">
        <w:t xml:space="preserve"> raisonnement renvoient directement à la question de l'incohérence temporelle </w:t>
      </w:r>
      <w:r w:rsidRPr="2FA48362" w:rsidR="38B92B72">
        <w:t>de</w:t>
      </w:r>
      <w:r w:rsidRPr="2FA48362" w:rsidR="69FB6592">
        <w:t xml:space="preserve"> la </w:t>
      </w:r>
      <w:r w:rsidRPr="2FA48362" w:rsidR="38B92B72">
        <w:t>période CBI</w:t>
      </w:r>
      <w:r w:rsidRPr="2FA48362" w:rsidR="71009F22">
        <w:t xml:space="preserve"> </w:t>
      </w:r>
      <w:r w:rsidRPr="2FA48362" w:rsidR="69FB6592">
        <w:t xml:space="preserve">: </w:t>
      </w:r>
    </w:p>
    <w:p w:rsidRPr="0046346B" w:rsidR="1757F246" w:rsidP="0046346B" w:rsidRDefault="1757F246" w14:paraId="73A582EB" w14:textId="1DE978CF">
      <w:pPr>
        <w:pStyle w:val="Citation"/>
      </w:pPr>
      <w:r w:rsidRPr="0046346B">
        <w:t xml:space="preserve">A central </w:t>
      </w:r>
      <w:proofErr w:type="spellStart"/>
      <w:r w:rsidRPr="0046346B">
        <w:t>bank</w:t>
      </w:r>
      <w:proofErr w:type="spellEnd"/>
      <w:r w:rsidRPr="0046346B">
        <w:t xml:space="preserve"> </w:t>
      </w:r>
      <w:proofErr w:type="spellStart"/>
      <w:r w:rsidRPr="0046346B">
        <w:t>that</w:t>
      </w:r>
      <w:proofErr w:type="spellEnd"/>
      <w:r w:rsidRPr="0046346B">
        <w:t xml:space="preserve"> </w:t>
      </w:r>
      <w:proofErr w:type="spellStart"/>
      <w:r w:rsidRPr="0046346B">
        <w:t>is</w:t>
      </w:r>
      <w:proofErr w:type="spellEnd"/>
      <w:r w:rsidRPr="0046346B">
        <w:t xml:space="preserve"> </w:t>
      </w:r>
      <w:proofErr w:type="spellStart"/>
      <w:r w:rsidRPr="0046346B">
        <w:t>perceived</w:t>
      </w:r>
      <w:proofErr w:type="spellEnd"/>
      <w:r w:rsidRPr="0046346B">
        <w:t xml:space="preserve"> as </w:t>
      </w:r>
      <w:proofErr w:type="spellStart"/>
      <w:r w:rsidRPr="0046346B">
        <w:t>being</w:t>
      </w:r>
      <w:proofErr w:type="spellEnd"/>
      <w:r w:rsidRPr="0046346B">
        <w:t xml:space="preserve"> </w:t>
      </w:r>
      <w:proofErr w:type="spellStart"/>
      <w:r w:rsidRPr="0046346B">
        <w:t>committed</w:t>
      </w:r>
      <w:proofErr w:type="spellEnd"/>
      <w:r w:rsidRPr="0046346B">
        <w:t xml:space="preserve"> to </w:t>
      </w:r>
      <w:proofErr w:type="spellStart"/>
      <w:r w:rsidRPr="0046346B">
        <w:t>protecting</w:t>
      </w:r>
      <w:proofErr w:type="spellEnd"/>
      <w:r w:rsidRPr="0046346B">
        <w:t xml:space="preserve"> </w:t>
      </w:r>
      <w:proofErr w:type="spellStart"/>
      <w:r w:rsidRPr="0046346B">
        <w:t>its</w:t>
      </w:r>
      <w:proofErr w:type="spellEnd"/>
      <w:r w:rsidRPr="0046346B">
        <w:t xml:space="preserve"> mandate can </w:t>
      </w:r>
      <w:proofErr w:type="spellStart"/>
      <w:r w:rsidRPr="0046346B">
        <w:t>contain</w:t>
      </w:r>
      <w:proofErr w:type="spellEnd"/>
      <w:r w:rsidRPr="0046346B">
        <w:t xml:space="preserve"> inflation at a </w:t>
      </w:r>
      <w:proofErr w:type="spellStart"/>
      <w:r w:rsidRPr="0046346B">
        <w:t>lower</w:t>
      </w:r>
      <w:proofErr w:type="spellEnd"/>
      <w:r w:rsidRPr="0046346B">
        <w:t xml:space="preserve"> </w:t>
      </w:r>
      <w:proofErr w:type="spellStart"/>
      <w:r w:rsidRPr="0046346B">
        <w:t>economic</w:t>
      </w:r>
      <w:proofErr w:type="spellEnd"/>
      <w:r w:rsidRPr="0046346B">
        <w:t xml:space="preserve"> </w:t>
      </w:r>
      <w:proofErr w:type="spellStart"/>
      <w:r w:rsidRPr="0046346B">
        <w:t>cost</w:t>
      </w:r>
      <w:proofErr w:type="spellEnd"/>
      <w:r w:rsidRPr="0046346B">
        <w:t xml:space="preserve">, </w:t>
      </w:r>
      <w:proofErr w:type="spellStart"/>
      <w:r w:rsidRPr="0046346B">
        <w:t>since</w:t>
      </w:r>
      <w:proofErr w:type="spellEnd"/>
      <w:r w:rsidRPr="0046346B">
        <w:t xml:space="preserve"> the expectation </w:t>
      </w:r>
      <w:proofErr w:type="spellStart"/>
      <w:r w:rsidRPr="0046346B">
        <w:t>that</w:t>
      </w:r>
      <w:proofErr w:type="spellEnd"/>
      <w:r w:rsidRPr="0046346B">
        <w:t xml:space="preserve"> </w:t>
      </w:r>
      <w:proofErr w:type="spellStart"/>
      <w:r w:rsidRPr="0046346B">
        <w:t>adequate</w:t>
      </w:r>
      <w:proofErr w:type="spellEnd"/>
      <w:r w:rsidRPr="0046346B">
        <w:t xml:space="preserve"> </w:t>
      </w:r>
      <w:proofErr w:type="spellStart"/>
      <w:r w:rsidRPr="0046346B">
        <w:t>policy</w:t>
      </w:r>
      <w:proofErr w:type="spellEnd"/>
      <w:r w:rsidRPr="0046346B">
        <w:t xml:space="preserve"> action </w:t>
      </w:r>
      <w:proofErr w:type="spellStart"/>
      <w:r w:rsidRPr="0046346B">
        <w:t>will</w:t>
      </w:r>
      <w:proofErr w:type="spellEnd"/>
      <w:r w:rsidRPr="0046346B">
        <w:t xml:space="preserve"> </w:t>
      </w:r>
      <w:proofErr w:type="spellStart"/>
      <w:r w:rsidRPr="0046346B">
        <w:t>be</w:t>
      </w:r>
      <w:proofErr w:type="spellEnd"/>
      <w:r w:rsidRPr="0046346B">
        <w:t xml:space="preserve"> </w:t>
      </w:r>
      <w:proofErr w:type="spellStart"/>
      <w:r w:rsidRPr="0046346B">
        <w:t>taken</w:t>
      </w:r>
      <w:proofErr w:type="spellEnd"/>
      <w:r w:rsidRPr="0046346B">
        <w:t xml:space="preserve"> </w:t>
      </w:r>
      <w:proofErr w:type="spellStart"/>
      <w:r w:rsidRPr="0046346B">
        <w:t>is</w:t>
      </w:r>
      <w:proofErr w:type="spellEnd"/>
      <w:r w:rsidRPr="0046346B">
        <w:t xml:space="preserve"> </w:t>
      </w:r>
      <w:proofErr w:type="spellStart"/>
      <w:r w:rsidRPr="0046346B">
        <w:t>itself</w:t>
      </w:r>
      <w:proofErr w:type="spellEnd"/>
      <w:r w:rsidRPr="0046346B">
        <w:t xml:space="preserve"> </w:t>
      </w:r>
      <w:proofErr w:type="spellStart"/>
      <w:r w:rsidRPr="0046346B">
        <w:t>stabilising</w:t>
      </w:r>
      <w:proofErr w:type="spellEnd"/>
      <w:r w:rsidRPr="0046346B">
        <w:t>.</w:t>
      </w:r>
      <w:r w:rsidR="004D6F88">
        <w:rPr>
          <w:rStyle w:val="Appelnotedebasdep"/>
        </w:rPr>
        <w:footnoteReference w:id="48"/>
      </w:r>
    </w:p>
    <w:p w:rsidRPr="002056C7" w:rsidR="00487F52" w:rsidP="0046346B" w:rsidRDefault="250716B1" w14:paraId="35847FF6" w14:textId="76CAA2DC">
      <w:r w:rsidRPr="4E12AD89">
        <w:t xml:space="preserve">Enfin, </w:t>
      </w:r>
      <w:r w:rsidRPr="4E12AD89" w:rsidR="69FB6592">
        <w:t xml:space="preserve">les </w:t>
      </w:r>
      <w:r w:rsidRPr="4E12AD89" w:rsidR="1BBC3240">
        <w:t>banquiers centraux</w:t>
      </w:r>
      <w:r w:rsidRPr="4E12AD89" w:rsidR="69FB6592">
        <w:t xml:space="preserve"> </w:t>
      </w:r>
      <w:r w:rsidRPr="4E12AD89" w:rsidR="5A1273A5">
        <w:t>modifient</w:t>
      </w:r>
      <w:r w:rsidRPr="4E12AD89" w:rsidR="0487032D">
        <w:t xml:space="preserve"> leurs </w:t>
      </w:r>
      <w:r w:rsidRPr="4E12AD89" w:rsidR="18FE6BDE">
        <w:t>recommandations</w:t>
      </w:r>
      <w:r w:rsidRPr="4E12AD89" w:rsidR="0487032D">
        <w:t xml:space="preserve"> d’expansion</w:t>
      </w:r>
      <w:r w:rsidRPr="4E12AD89" w:rsidR="69FB6592">
        <w:t xml:space="preserve"> budgétaire et s</w:t>
      </w:r>
      <w:r w:rsidRPr="4E12AD89" w:rsidR="2C7B7A40">
        <w:t>alariale</w:t>
      </w:r>
      <w:r w:rsidRPr="4E12AD89" w:rsidR="69FB6592">
        <w:t xml:space="preserve"> </w:t>
      </w:r>
      <w:r w:rsidRPr="4E12AD89" w:rsidR="6C71811E">
        <w:t>émise</w:t>
      </w:r>
      <w:r w:rsidRPr="4E12AD89" w:rsidR="3C9FFA42">
        <w:t>s</w:t>
      </w:r>
      <w:r w:rsidRPr="4E12AD89" w:rsidR="7458F63C">
        <w:t xml:space="preserve"> lors de la période de stagnation séculaire </w:t>
      </w:r>
      <w:r w:rsidRPr="4E12AD89" w:rsidR="1AF041EB">
        <w:t>pour</w:t>
      </w:r>
      <w:r w:rsidRPr="4E12AD89" w:rsidR="7458F63C">
        <w:t xml:space="preserve"> reveni</w:t>
      </w:r>
      <w:r w:rsidRPr="4E12AD89" w:rsidR="45E435A8">
        <w:t xml:space="preserve">r à la division du </w:t>
      </w:r>
      <w:r w:rsidRPr="4E12AD89" w:rsidR="148B8052">
        <w:t>travail</w:t>
      </w:r>
      <w:r w:rsidRPr="4E12AD89" w:rsidR="45E435A8">
        <w:t xml:space="preserve"> du modèle CBI</w:t>
      </w:r>
      <w:r w:rsidRPr="4E12AD89" w:rsidR="1C6CB3C7">
        <w:t>.</w:t>
      </w:r>
      <w:r w:rsidRPr="4E12AD89" w:rsidR="69FB6592">
        <w:t xml:space="preserve"> Selon Schnabel, </w:t>
      </w:r>
      <w:r w:rsidRPr="4E12AD89" w:rsidR="25C72A0F">
        <w:t>« </w:t>
      </w:r>
      <w:r w:rsidRPr="4E12AD89" w:rsidR="69FB6592">
        <w:t xml:space="preserve">les gouvernements doivent éviter une </w:t>
      </w:r>
      <w:r w:rsidRPr="4E12AD89" w:rsidR="6EB9F7A5">
        <w:t>politique expansionniste</w:t>
      </w:r>
      <w:r w:rsidRPr="4E12AD89" w:rsidR="69FB6592">
        <w:t xml:space="preserve"> qui alimente les pressions inflationnistes et alourdit le fardeau historiquement élevé de la dette publique</w:t>
      </w:r>
      <w:r w:rsidRPr="4E12AD89" w:rsidR="25C72A0F">
        <w:t> »</w:t>
      </w:r>
      <w:r w:rsidRPr="00831904" w:rsidR="00831904">
        <w:rPr>
          <w:rStyle w:val="Appelnotedebasdep"/>
        </w:rPr>
        <w:t xml:space="preserve"> </w:t>
      </w:r>
      <w:r w:rsidR="00831904">
        <w:rPr>
          <w:rStyle w:val="Appelnotedebasdep"/>
        </w:rPr>
        <w:footnoteReference w:id="49"/>
      </w:r>
      <w:r w:rsidRPr="4E12AD89" w:rsidR="69FB6592">
        <w:t xml:space="preserve">, tandis que la BCE </w:t>
      </w:r>
      <w:r w:rsidRPr="4E12AD89" w:rsidR="05D264F1">
        <w:t>« </w:t>
      </w:r>
      <w:r w:rsidRPr="4E12AD89" w:rsidR="69FB6592">
        <w:t>doit rester déterminée à ramener l'inflation vers l</w:t>
      </w:r>
      <w:r w:rsidRPr="4E12AD89" w:rsidR="00863A22">
        <w:t>’</w:t>
      </w:r>
      <w:r w:rsidRPr="4E12AD89" w:rsidR="69FB6592">
        <w:t>objectif en temps voulu, afin d</w:t>
      </w:r>
      <w:r w:rsidRPr="4E12AD89" w:rsidR="00863A22">
        <w:t>’</w:t>
      </w:r>
      <w:r w:rsidRPr="4E12AD89" w:rsidR="69FB6592">
        <w:t>éviter que l</w:t>
      </w:r>
      <w:r w:rsidRPr="4E12AD89" w:rsidR="00863A22">
        <w:t>’</w:t>
      </w:r>
      <w:r w:rsidRPr="4E12AD89" w:rsidR="69FB6592">
        <w:t>inflation élevée actuelle n</w:t>
      </w:r>
      <w:r w:rsidRPr="4E12AD89" w:rsidR="2AD9D96E">
        <w:t xml:space="preserve">'affecte </w:t>
      </w:r>
      <w:r w:rsidRPr="4E12AD89" w:rsidR="69FB6592">
        <w:t>les anticipations</w:t>
      </w:r>
      <w:r w:rsidRPr="4E12AD89" w:rsidR="05D264F1">
        <w:t> »</w:t>
      </w:r>
      <w:r w:rsidRPr="4E12AD89" w:rsidR="69FB6592">
        <w:t xml:space="preserve">. Mais, conformément aux changements apportés durant la période de stagnation séculaire, elle </w:t>
      </w:r>
      <w:r w:rsidRPr="4E12AD89" w:rsidR="61697EFB">
        <w:t>reconnaît</w:t>
      </w:r>
      <w:r w:rsidRPr="4E12AD89" w:rsidR="69FB6592">
        <w:t xml:space="preserve"> que la politique </w:t>
      </w:r>
      <w:r w:rsidRPr="4E12AD89" w:rsidR="146195AC">
        <w:t xml:space="preserve">budgétaire </w:t>
      </w:r>
      <w:r w:rsidRPr="4E12AD89" w:rsidR="69FB6592">
        <w:t xml:space="preserve">a un rôle à jouer </w:t>
      </w:r>
      <w:r w:rsidRPr="4E12AD89" w:rsidR="560BCECC">
        <w:t>« </w:t>
      </w:r>
      <w:r w:rsidRPr="4E12AD89" w:rsidR="69FB6592">
        <w:t>pour protéger les parties les plus vulnérables de la société des conséquences des chocs sur les prix de l</w:t>
      </w:r>
      <w:r w:rsidRPr="4E12AD89" w:rsidR="18B316F8">
        <w:t>’</w:t>
      </w:r>
      <w:r w:rsidRPr="4E12AD89" w:rsidR="69FB6592">
        <w:t>énergie et des denrées alimentaires</w:t>
      </w:r>
      <w:r w:rsidRPr="4E12AD89" w:rsidR="560BCECC">
        <w:t> »</w:t>
      </w:r>
      <w:r w:rsidRPr="4E12AD89" w:rsidR="69FB6592">
        <w:t xml:space="preserve"> et pour encourager les investissements publics </w:t>
      </w:r>
      <w:r w:rsidRPr="4E12AD89" w:rsidR="1A26DF46">
        <w:t>en termes d’</w:t>
      </w:r>
      <w:r w:rsidRPr="4E12AD89" w:rsidR="69FB6592">
        <w:t xml:space="preserve">énergie verte. </w:t>
      </w:r>
    </w:p>
    <w:p w:rsidR="00CB62FF" w:rsidP="00CB62FF" w:rsidRDefault="00CB62FF" w14:paraId="64D25DC7" w14:textId="77777777">
      <w:pPr>
        <w:pStyle w:val="Titre1"/>
        <w:rPr>
          <w:lang w:val="fr"/>
        </w:rPr>
      </w:pPr>
      <w:r>
        <w:rPr>
          <w:lang w:val="fr"/>
        </w:rPr>
        <w:t xml:space="preserve">Conclusion </w:t>
      </w:r>
    </w:p>
    <w:p w:rsidR="00CB62FF" w:rsidP="0046346B" w:rsidRDefault="23EF23E2" w14:paraId="2B24DD0F" w14:textId="0E1E3FAA">
      <w:r w:rsidRPr="4E12AD89">
        <w:t>Aujourd</w:t>
      </w:r>
      <w:r w:rsidRPr="4E12AD89" w:rsidR="43A7E2FF">
        <w:t>’</w:t>
      </w:r>
      <w:r w:rsidRPr="4E12AD89">
        <w:t>hui, la BCE n</w:t>
      </w:r>
      <w:r w:rsidRPr="4E12AD89" w:rsidR="6A0501A9">
        <w:t>e cadre</w:t>
      </w:r>
      <w:r w:rsidRPr="4E12AD89">
        <w:t xml:space="preserve"> </w:t>
      </w:r>
      <w:r w:rsidRPr="4E12AD89" w:rsidR="49A06CDA">
        <w:t>plus sa lutte contr</w:t>
      </w:r>
      <w:r w:rsidRPr="4E12AD89" w:rsidR="202D21A1">
        <w:t>e le</w:t>
      </w:r>
      <w:r w:rsidRPr="4E12AD89" w:rsidR="43A7E2FF">
        <w:t> </w:t>
      </w:r>
      <w:r w:rsidRPr="4E12AD89">
        <w:t>monstre de l'inflation</w:t>
      </w:r>
      <w:r w:rsidRPr="4E12AD89" w:rsidR="43A7E2FF">
        <w:t> </w:t>
      </w:r>
      <w:r w:rsidRPr="4E12AD89">
        <w:t xml:space="preserve">de la même manière que dans </w:t>
      </w:r>
      <w:r w:rsidRPr="4E12AD89" w:rsidR="2FB08E72">
        <w:t>son dessin animé d</w:t>
      </w:r>
      <w:r w:rsidRPr="4E12AD89">
        <w:t xml:space="preserve">es années 2000. </w:t>
      </w:r>
      <w:r w:rsidRPr="4E12AD89" w:rsidR="5073417D">
        <w:t xml:space="preserve">A </w:t>
      </w:r>
      <w:r w:rsidRPr="4E12AD89">
        <w:t>sa création et jusqu</w:t>
      </w:r>
      <w:r w:rsidRPr="4E12AD89" w:rsidR="3C5920AD">
        <w:t>’</w:t>
      </w:r>
      <w:r w:rsidRPr="4E12AD89">
        <w:t>au lendemain de la crise financière de 2007-2009, la priorité de la BCE était d</w:t>
      </w:r>
      <w:r w:rsidRPr="4E12AD89" w:rsidR="606BD98E">
        <w:t>’</w:t>
      </w:r>
      <w:r w:rsidRPr="4E12AD89">
        <w:t xml:space="preserve">établir sa réputation anti-inflationniste en mobilisant les </w:t>
      </w:r>
      <w:r w:rsidRPr="4E12AD89" w:rsidR="0441EA02">
        <w:t>concepts</w:t>
      </w:r>
      <w:r w:rsidRPr="4E12AD89">
        <w:t xml:space="preserve"> clés du modèle </w:t>
      </w:r>
      <w:r w:rsidRPr="4E12AD89" w:rsidR="37A1F248">
        <w:t xml:space="preserve">de la </w:t>
      </w:r>
      <w:r w:rsidRPr="4E12AD89" w:rsidR="0441EA02">
        <w:t xml:space="preserve">BCI. </w:t>
      </w:r>
      <w:r w:rsidRPr="4E12AD89" w:rsidR="6FD68835">
        <w:t>Depuis</w:t>
      </w:r>
      <w:r w:rsidRPr="4E12AD89">
        <w:t xml:space="preserve">, </w:t>
      </w:r>
      <w:r w:rsidRPr="4E12AD89" w:rsidR="434E8123">
        <w:t xml:space="preserve">pour protéger sa légitimité, </w:t>
      </w:r>
      <w:r w:rsidRPr="4E12AD89">
        <w:t xml:space="preserve">la BCE a dû ajuster son </w:t>
      </w:r>
      <w:r w:rsidRPr="4E12AD89" w:rsidR="2D492239">
        <w:t>cadrage</w:t>
      </w:r>
      <w:r w:rsidRPr="4E12AD89">
        <w:t xml:space="preserve"> </w:t>
      </w:r>
      <w:r w:rsidRPr="4E12AD89" w:rsidR="32E4A4AC">
        <w:t>aux</w:t>
      </w:r>
      <w:r w:rsidRPr="4E12AD89">
        <w:t xml:space="preserve"> défis de l</w:t>
      </w:r>
      <w:r w:rsidRPr="4E12AD89" w:rsidR="3F778BC1">
        <w:t>’</w:t>
      </w:r>
      <w:r w:rsidRPr="4E12AD89">
        <w:t>époque</w:t>
      </w:r>
      <w:r w:rsidRPr="4E12AD89" w:rsidR="45896955">
        <w:t xml:space="preserve"> car elle fait dorénavant face à </w:t>
      </w:r>
      <w:r w:rsidRPr="4E12AD89" w:rsidR="7632A1A8">
        <w:t xml:space="preserve">d'autres </w:t>
      </w:r>
      <w:r w:rsidRPr="4E12AD89" w:rsidR="154315A7">
        <w:t xml:space="preserve">« </w:t>
      </w:r>
      <w:r w:rsidRPr="4E12AD89" w:rsidR="1EEC5049">
        <w:t>monstres</w:t>
      </w:r>
      <w:r w:rsidRPr="4E12AD89" w:rsidR="4F55DB7D">
        <w:t> »</w:t>
      </w:r>
      <w:r w:rsidRPr="4E12AD89" w:rsidR="45896955">
        <w:t xml:space="preserve"> (</w:t>
      </w:r>
      <w:r w:rsidRPr="4E12AD89" w:rsidR="1BA77759">
        <w:t>le</w:t>
      </w:r>
      <w:r w:rsidRPr="4E12AD89" w:rsidR="45896955">
        <w:t xml:space="preserve"> changement climatique, l’instabilité financière </w:t>
      </w:r>
      <w:r w:rsidRPr="4E12AD89" w:rsidR="1BA77759">
        <w:t xml:space="preserve">ou </w:t>
      </w:r>
      <w:r w:rsidRPr="4E12AD89" w:rsidR="3C704D3A">
        <w:t>la</w:t>
      </w:r>
      <w:r w:rsidRPr="4E12AD89" w:rsidR="45896955">
        <w:t xml:space="preserve"> stagnation séculaire)</w:t>
      </w:r>
      <w:r w:rsidRPr="4E12AD89">
        <w:t>.</w:t>
      </w:r>
      <w:r w:rsidRPr="4E12AD89" w:rsidR="0757F8AE">
        <w:t xml:space="preserve"> </w:t>
      </w:r>
      <w:r w:rsidRPr="4E12AD89">
        <w:t>Avec l</w:t>
      </w:r>
      <w:r w:rsidRPr="4E12AD89" w:rsidR="1BA77759">
        <w:t>’</w:t>
      </w:r>
      <w:r w:rsidRPr="4E12AD89">
        <w:t>adoption du plan d</w:t>
      </w:r>
      <w:r w:rsidRPr="4E12AD89" w:rsidR="1BA77759">
        <w:t>’</w:t>
      </w:r>
      <w:r w:rsidRPr="4E12AD89">
        <w:t>action pour le climat et la révision de la stratégie monétaire</w:t>
      </w:r>
      <w:r w:rsidRPr="4E12AD89" w:rsidR="65C38ED0">
        <w:t xml:space="preserve"> en 2021</w:t>
      </w:r>
      <w:r w:rsidRPr="4E12AD89">
        <w:t>, ce nouveau cadr</w:t>
      </w:r>
      <w:r w:rsidRPr="4E12AD89" w:rsidR="06BC2CAD">
        <w:t>age</w:t>
      </w:r>
      <w:r w:rsidRPr="4E12AD89">
        <w:t xml:space="preserve"> s</w:t>
      </w:r>
      <w:r w:rsidRPr="4E12AD89" w:rsidR="1BA77759">
        <w:t>’</w:t>
      </w:r>
      <w:r w:rsidRPr="4E12AD89">
        <w:t xml:space="preserve">est institutionnalisé. </w:t>
      </w:r>
    </w:p>
    <w:p w:rsidR="00CB62FF" w:rsidP="0046346B" w:rsidRDefault="33998110" w14:paraId="40414AE9" w14:textId="348B47E3">
      <w:r w:rsidRPr="4E12AD89">
        <w:t xml:space="preserve">Cependant, </w:t>
      </w:r>
      <w:r w:rsidRPr="4E12AD89" w:rsidR="16E42CEF">
        <w:t xml:space="preserve">ce </w:t>
      </w:r>
      <w:r w:rsidRPr="4E12AD89" w:rsidR="66E8DC4F">
        <w:t>nouveau</w:t>
      </w:r>
      <w:r w:rsidRPr="4E12AD89" w:rsidR="16E42CEF">
        <w:t xml:space="preserve"> cadrage s’est </w:t>
      </w:r>
      <w:r w:rsidRPr="4E12AD89" w:rsidR="14EB6D99">
        <w:t>trouvé</w:t>
      </w:r>
      <w:r w:rsidRPr="4E12AD89" w:rsidR="2AAA4E4A">
        <w:t xml:space="preserve"> </w:t>
      </w:r>
      <w:r w:rsidRPr="4E12AD89" w:rsidR="778C24E6">
        <w:t>immédiatement</w:t>
      </w:r>
      <w:r w:rsidRPr="4E12AD89" w:rsidR="14EB6D99">
        <w:t xml:space="preserve"> sous tension</w:t>
      </w:r>
      <w:r w:rsidRPr="4E12AD89" w:rsidR="5A5112C6">
        <w:t xml:space="preserve"> </w:t>
      </w:r>
      <w:r w:rsidRPr="4E12AD89" w:rsidR="6CB8A0D6">
        <w:t xml:space="preserve">du fait </w:t>
      </w:r>
      <w:r w:rsidRPr="4E12AD89" w:rsidR="14EB6D99">
        <w:t>de</w:t>
      </w:r>
      <w:r w:rsidRPr="4E12AD89" w:rsidR="0708C23C">
        <w:t>s nouvelles tensions inflationnistes</w:t>
      </w:r>
      <w:r w:rsidRPr="4E12AD89" w:rsidR="0C9741D7">
        <w:t>. Afin d’y faire face</w:t>
      </w:r>
      <w:r w:rsidRPr="4E12AD89" w:rsidR="2635706E">
        <w:t xml:space="preserve"> tout en préservant les modifications récentes de s</w:t>
      </w:r>
      <w:r w:rsidRPr="4E12AD89" w:rsidR="0073CCE4">
        <w:t>a stratégie</w:t>
      </w:r>
      <w:r w:rsidRPr="4E12AD89" w:rsidR="2635706E">
        <w:t xml:space="preserve"> monétaire</w:t>
      </w:r>
      <w:r w:rsidRPr="4E12AD89" w:rsidR="23EF23E2">
        <w:t xml:space="preserve">, les </w:t>
      </w:r>
      <w:r w:rsidRPr="4E12AD89" w:rsidR="3ADD78CB">
        <w:t>banquiers</w:t>
      </w:r>
      <w:r w:rsidRPr="4E12AD89" w:rsidR="5339F66B">
        <w:t xml:space="preserve"> </w:t>
      </w:r>
      <w:r w:rsidRPr="4E12AD89" w:rsidR="3ADD78CB">
        <w:t xml:space="preserve">centraux </w:t>
      </w:r>
      <w:r w:rsidRPr="4E12AD89" w:rsidR="23EF23E2">
        <w:t xml:space="preserve">ont articulé </w:t>
      </w:r>
      <w:r w:rsidRPr="4E12AD89" w:rsidR="4AA40E77">
        <w:t xml:space="preserve">de manière stratégique </w:t>
      </w:r>
      <w:r w:rsidRPr="4E12AD89" w:rsidR="23EF23E2">
        <w:t xml:space="preserve">les </w:t>
      </w:r>
      <w:r w:rsidRPr="4E12AD89" w:rsidR="653526AC">
        <w:t>arguments</w:t>
      </w:r>
      <w:r w:rsidRPr="4E12AD89" w:rsidR="23EF23E2">
        <w:t xml:space="preserve"> </w:t>
      </w:r>
      <w:r w:rsidRPr="4E12AD89" w:rsidR="63BE03D8">
        <w:lastRenderedPageBreak/>
        <w:t>des</w:t>
      </w:r>
      <w:r w:rsidRPr="4E12AD89" w:rsidR="23EF23E2">
        <w:t xml:space="preserve"> deux </w:t>
      </w:r>
      <w:r w:rsidRPr="4E12AD89" w:rsidR="7082C5DD">
        <w:t>périodes</w:t>
      </w:r>
      <w:r w:rsidRPr="4E12AD89" w:rsidR="23EF23E2">
        <w:t>. D</w:t>
      </w:r>
      <w:r w:rsidRPr="4E12AD89" w:rsidR="3AA1F2D4">
        <w:t>’</w:t>
      </w:r>
      <w:r w:rsidRPr="4E12AD89" w:rsidR="23EF23E2">
        <w:t xml:space="preserve">une part, </w:t>
      </w:r>
      <w:r w:rsidRPr="4E12AD89" w:rsidR="4FBA8F54">
        <w:t>ils</w:t>
      </w:r>
      <w:r w:rsidRPr="4E12AD89" w:rsidR="23EF23E2">
        <w:t xml:space="preserve"> </w:t>
      </w:r>
      <w:r w:rsidRPr="4E12AD89" w:rsidR="75F05510">
        <w:t>mentionnent</w:t>
      </w:r>
      <w:r w:rsidRPr="4E12AD89" w:rsidR="6D91AEB4">
        <w:t xml:space="preserve"> </w:t>
      </w:r>
      <w:r w:rsidRPr="4E12AD89" w:rsidR="644AED2E">
        <w:t>l</w:t>
      </w:r>
      <w:r w:rsidRPr="4E12AD89" w:rsidR="6D91AEB4">
        <w:t xml:space="preserve">es arbitrages </w:t>
      </w:r>
      <w:r w:rsidRPr="4E12AD89" w:rsidR="4613AE28">
        <w:t xml:space="preserve">à effectuer </w:t>
      </w:r>
      <w:r w:rsidRPr="4E12AD89" w:rsidR="23EF23E2">
        <w:t xml:space="preserve">entre différents objectifs macroéconomiques, reconnaissant explicitement les choix difficiles auxquels ils </w:t>
      </w:r>
      <w:r w:rsidRPr="4E12AD89" w:rsidR="2EE1D1F6">
        <w:t xml:space="preserve">sont </w:t>
      </w:r>
      <w:r w:rsidRPr="4E12AD89" w:rsidR="23EF23E2">
        <w:t xml:space="preserve">confrontés. Par exemple, la hausse des taux d'intérêt </w:t>
      </w:r>
      <w:r w:rsidRPr="4E12AD89" w:rsidR="24BA38C8">
        <w:t>rentre en contradiction avec la nécessité d’accélérer la transition écologique, désormais cadrée comme étant directement liée à l’objectif de stabilité des prix</w:t>
      </w:r>
      <w:r w:rsidRPr="4E12AD89" w:rsidR="23EF23E2">
        <w:t>. D</w:t>
      </w:r>
      <w:r w:rsidRPr="4E12AD89" w:rsidR="57567063">
        <w:t>’</w:t>
      </w:r>
      <w:r w:rsidRPr="4E12AD89" w:rsidR="23EF23E2">
        <w:t xml:space="preserve">autre part, certains éléments clés du modèle </w:t>
      </w:r>
      <w:r w:rsidRPr="4E12AD89" w:rsidR="20369712">
        <w:t>BCI</w:t>
      </w:r>
      <w:r w:rsidRPr="4E12AD89" w:rsidR="23EF23E2">
        <w:t xml:space="preserve"> ont été conservés. Notamment, les liens établis entre l</w:t>
      </w:r>
      <w:r w:rsidRPr="4E12AD89" w:rsidR="6AA10C95">
        <w:t>’</w:t>
      </w:r>
      <w:r w:rsidRPr="4E12AD89" w:rsidR="23EF23E2">
        <w:t>indépendance de la banque centrale, l</w:t>
      </w:r>
      <w:r w:rsidRPr="4E12AD89" w:rsidR="6AA10C95">
        <w:t>’</w:t>
      </w:r>
      <w:r w:rsidRPr="4E12AD89" w:rsidR="23EF23E2">
        <w:t>ancrage des anticipations d</w:t>
      </w:r>
      <w:r w:rsidRPr="4E12AD89" w:rsidR="6AA10C95">
        <w:t>’</w:t>
      </w:r>
      <w:r w:rsidRPr="4E12AD89" w:rsidR="23EF23E2">
        <w:t>inflation et le maintien d</w:t>
      </w:r>
      <w:r w:rsidRPr="4E12AD89" w:rsidR="6AA10C95">
        <w:t>’</w:t>
      </w:r>
      <w:r w:rsidRPr="4E12AD89" w:rsidR="23EF23E2">
        <w:t>une trajectoire d'inflation soutenue à moyen et long terme restent essentiels dans la manière dont la BCE c</w:t>
      </w:r>
      <w:r w:rsidRPr="4E12AD89" w:rsidR="6451D972">
        <w:t>adre</w:t>
      </w:r>
      <w:r w:rsidRPr="4E12AD89" w:rsidR="23EF23E2">
        <w:t xml:space="preserve"> l'inflation aujourd</w:t>
      </w:r>
      <w:r w:rsidRPr="4E12AD89" w:rsidR="6AA10C95">
        <w:t>’</w:t>
      </w:r>
      <w:r w:rsidRPr="4E12AD89" w:rsidR="23EF23E2">
        <w:t>hui.</w:t>
      </w:r>
    </w:p>
    <w:p w:rsidRPr="006C580B" w:rsidR="006C580B" w:rsidP="006C580B" w:rsidRDefault="16B0580F" w14:paraId="421E675A" w14:textId="61D8DF4F">
      <w:r w:rsidRPr="4E12AD89">
        <w:t>A plus long terme, c</w:t>
      </w:r>
      <w:r w:rsidRPr="4E12AD89" w:rsidR="23EF23E2">
        <w:t xml:space="preserve">ette </w:t>
      </w:r>
      <w:r w:rsidRPr="4E12AD89" w:rsidR="520FC74F">
        <w:t>stratégie de légitimation risque d</w:t>
      </w:r>
      <w:r w:rsidRPr="4E12AD89" w:rsidR="4C22C427">
        <w:t>'être fragilisée</w:t>
      </w:r>
      <w:r w:rsidRPr="4E12AD89" w:rsidR="520FC74F">
        <w:t xml:space="preserve"> </w:t>
      </w:r>
      <w:r w:rsidRPr="4E12AD89" w:rsidR="23EF23E2">
        <w:t>en raison de la disparité croissante entre l</w:t>
      </w:r>
      <w:r w:rsidRPr="4E12AD89" w:rsidR="002859D2">
        <w:t>es principes du modèle CBI datant du début des années 1990</w:t>
      </w:r>
      <w:r w:rsidRPr="4E12AD89" w:rsidR="4D3FA1A4">
        <w:t>,</w:t>
      </w:r>
      <w:r w:rsidRPr="4E12AD89" w:rsidR="002859D2">
        <w:t xml:space="preserve"> d'une part</w:t>
      </w:r>
      <w:r w:rsidRPr="4E12AD89" w:rsidR="13ECD002">
        <w:t>,</w:t>
      </w:r>
      <w:r w:rsidRPr="4E12AD89" w:rsidR="002859D2">
        <w:t xml:space="preserve"> et les </w:t>
      </w:r>
      <w:r w:rsidRPr="4E12AD89" w:rsidR="23EF23E2">
        <w:t>défis politiques contemporains découlant de la c</w:t>
      </w:r>
      <w:r w:rsidRPr="4E12AD89" w:rsidR="64B348E0">
        <w:t>atastrophe écologique</w:t>
      </w:r>
      <w:r w:rsidRPr="4E12AD89" w:rsidR="23EF23E2">
        <w:t xml:space="preserve"> et des tensions géopolitiques aiguës</w:t>
      </w:r>
      <w:r w:rsidRPr="4E12AD89" w:rsidR="786F1A01">
        <w:t>,</w:t>
      </w:r>
      <w:r w:rsidRPr="4E12AD89" w:rsidR="3A65D4AF">
        <w:t xml:space="preserve"> d’autre part</w:t>
      </w:r>
      <w:r w:rsidRPr="4E12AD89" w:rsidR="23EF23E2">
        <w:t xml:space="preserve">. </w:t>
      </w:r>
    </w:p>
    <w:sectPr w:rsidRPr="006C580B" w:rsidR="006C580B">
      <w:pgSz w:w="11906" w:h="16838"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195F89" w:rsidP="00E42237" w:rsidRDefault="00195F89" w14:paraId="17F1BE8F" w14:textId="77777777">
      <w:pPr>
        <w:spacing w:after="0" w:line="240" w:lineRule="auto"/>
      </w:pPr>
      <w:r>
        <w:separator/>
      </w:r>
    </w:p>
  </w:endnote>
  <w:endnote w:type="continuationSeparator" w:id="0">
    <w:p w:rsidR="00195F89" w:rsidP="00E42237" w:rsidRDefault="00195F89" w14:paraId="139F22AE" w14:textId="77777777">
      <w:pPr>
        <w:spacing w:after="0" w:line="240" w:lineRule="auto"/>
      </w:pPr>
      <w:r>
        <w:continuationSeparator/>
      </w:r>
    </w:p>
  </w:endnote>
  <w:endnote w:type="continuationNotice" w:id="1">
    <w:p w:rsidR="00195F89" w:rsidRDefault="00195F89" w14:paraId="7E4D735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195F89" w:rsidP="00E42237" w:rsidRDefault="00195F89" w14:paraId="48699FA5" w14:textId="77777777">
      <w:pPr>
        <w:spacing w:after="0" w:line="240" w:lineRule="auto"/>
      </w:pPr>
      <w:r>
        <w:separator/>
      </w:r>
    </w:p>
  </w:footnote>
  <w:footnote w:type="continuationSeparator" w:id="0">
    <w:p w:rsidR="00195F89" w:rsidP="00E42237" w:rsidRDefault="00195F89" w14:paraId="024D2453" w14:textId="77777777">
      <w:pPr>
        <w:spacing w:after="0" w:line="240" w:lineRule="auto"/>
      </w:pPr>
      <w:r>
        <w:continuationSeparator/>
      </w:r>
    </w:p>
  </w:footnote>
  <w:footnote w:type="continuationNotice" w:id="1">
    <w:p w:rsidR="00195F89" w:rsidRDefault="00195F89" w14:paraId="4AA6E3CB" w14:textId="77777777">
      <w:pPr>
        <w:spacing w:after="0" w:line="240" w:lineRule="auto"/>
      </w:pPr>
    </w:p>
  </w:footnote>
  <w:footnote w:id="2">
    <w:p w:rsidRPr="005459CE" w:rsidR="00E42237" w:rsidP="00E42237" w:rsidRDefault="00E42237" w14:paraId="20940643" w14:textId="77777777">
      <w:pPr>
        <w:pStyle w:val="Affiliation"/>
        <w:rPr>
          <w:sz w:val="20"/>
          <w:szCs w:val="20"/>
          <w:lang w:val="fr-FR"/>
        </w:rPr>
      </w:pPr>
      <w:r w:rsidRPr="005459CE">
        <w:rPr>
          <w:rStyle w:val="Appelnotedebasdep"/>
          <w:sz w:val="20"/>
          <w:szCs w:val="20"/>
        </w:rPr>
        <w:footnoteRef/>
      </w:r>
      <w:r w:rsidRPr="005459CE">
        <w:rPr>
          <w:sz w:val="20"/>
          <w:szCs w:val="20"/>
          <w:lang w:val="fr-FR"/>
        </w:rPr>
        <w:t xml:space="preserve"> F.R.S.-FNRS ; ISPOLE, </w:t>
      </w:r>
      <w:proofErr w:type="spellStart"/>
      <w:r w:rsidRPr="005459CE">
        <w:rPr>
          <w:sz w:val="20"/>
          <w:szCs w:val="20"/>
          <w:lang w:val="fr-FR"/>
        </w:rPr>
        <w:t>UcLouvain</w:t>
      </w:r>
      <w:proofErr w:type="spellEnd"/>
      <w:r w:rsidRPr="005459CE">
        <w:rPr>
          <w:sz w:val="20"/>
          <w:szCs w:val="20"/>
          <w:lang w:val="fr-FR"/>
        </w:rPr>
        <w:t xml:space="preserve">, Louvain-la-Neuve, </w:t>
      </w:r>
      <w:proofErr w:type="spellStart"/>
      <w:r w:rsidRPr="005459CE">
        <w:rPr>
          <w:sz w:val="20"/>
          <w:szCs w:val="20"/>
          <w:lang w:val="fr-FR"/>
        </w:rPr>
        <w:t>Belgium</w:t>
      </w:r>
      <w:proofErr w:type="spellEnd"/>
      <w:r w:rsidRPr="005459CE">
        <w:rPr>
          <w:sz w:val="20"/>
          <w:szCs w:val="20"/>
          <w:lang w:val="fr-FR"/>
        </w:rPr>
        <w:t>.</w:t>
      </w:r>
    </w:p>
  </w:footnote>
  <w:footnote w:id="3">
    <w:p w:rsidRPr="00927B19" w:rsidR="00E42237" w:rsidP="00E42237" w:rsidRDefault="00E42237" w14:paraId="69C0EE36" w14:textId="0DADCF51">
      <w:pPr>
        <w:pStyle w:val="Affiliation"/>
        <w:rPr>
          <w:lang w:val="fr-FR"/>
        </w:rPr>
      </w:pPr>
      <w:r w:rsidRPr="005459CE">
        <w:rPr>
          <w:rStyle w:val="Appelnotedebasdep"/>
          <w:sz w:val="20"/>
          <w:szCs w:val="20"/>
        </w:rPr>
        <w:footnoteRef/>
      </w:r>
      <w:r w:rsidRPr="005459CE">
        <w:rPr>
          <w:sz w:val="20"/>
          <w:szCs w:val="20"/>
          <w:lang w:val="fr-FR"/>
        </w:rPr>
        <w:t xml:space="preserve"> ISPOLE &amp; IEE, </w:t>
      </w:r>
      <w:proofErr w:type="spellStart"/>
      <w:r w:rsidRPr="005459CE">
        <w:rPr>
          <w:sz w:val="20"/>
          <w:szCs w:val="20"/>
          <w:lang w:val="fr-FR"/>
        </w:rPr>
        <w:t>UcLouvain</w:t>
      </w:r>
      <w:proofErr w:type="spellEnd"/>
      <w:r w:rsidRPr="005459CE">
        <w:rPr>
          <w:sz w:val="20"/>
          <w:szCs w:val="20"/>
          <w:lang w:val="fr-FR"/>
        </w:rPr>
        <w:t xml:space="preserve">, Louvain-la-Neuve, </w:t>
      </w:r>
      <w:proofErr w:type="spellStart"/>
      <w:r w:rsidRPr="005459CE">
        <w:rPr>
          <w:sz w:val="20"/>
          <w:szCs w:val="20"/>
          <w:lang w:val="fr-FR"/>
        </w:rPr>
        <w:t>Belgium</w:t>
      </w:r>
      <w:proofErr w:type="spellEnd"/>
      <w:r w:rsidR="005459CE">
        <w:rPr>
          <w:sz w:val="20"/>
          <w:szCs w:val="20"/>
          <w:lang w:val="fr-FR"/>
        </w:rPr>
        <w:t>.</w:t>
      </w:r>
    </w:p>
  </w:footnote>
  <w:footnote w:id="4">
    <w:p w:rsidRPr="004D6F88" w:rsidR="004D6F88" w:rsidRDefault="004D6F88" w14:paraId="200777D8" w14:textId="1F5F4FCD">
      <w:pPr>
        <w:pStyle w:val="Notedebasdepage"/>
        <w:rPr>
          <w:lang w:val="en-US"/>
        </w:rPr>
      </w:pPr>
      <w:r>
        <w:rPr>
          <w:rStyle w:val="Appelnotedebasdep"/>
        </w:rPr>
        <w:footnoteRef/>
      </w:r>
      <w:r w:rsidRPr="004D6F88">
        <w:rPr>
          <w:lang w:val="en-US"/>
        </w:rPr>
        <w:t xml:space="preserve"> </w:t>
      </w:r>
      <w:r w:rsidR="00447AB6">
        <w:rPr>
          <w:lang w:val="en-US"/>
        </w:rPr>
        <w:t xml:space="preserve">Martin </w:t>
      </w:r>
      <w:r w:rsidR="00447AB6">
        <w:rPr>
          <w:rFonts w:cs="Times New Roman"/>
          <w:smallCaps/>
          <w:lang w:val="en-US"/>
        </w:rPr>
        <w:t>A</w:t>
      </w:r>
      <w:r w:rsidR="00447AB6">
        <w:rPr>
          <w:rFonts w:cs="Times New Roman"/>
          <w:lang w:val="en-US"/>
        </w:rPr>
        <w:t>rnold</w:t>
      </w:r>
      <w:r w:rsidRPr="004D6F88">
        <w:rPr>
          <w:rFonts w:cs="Times New Roman"/>
          <w:lang w:val="en-US"/>
        </w:rPr>
        <w:t xml:space="preserve">, </w:t>
      </w:r>
      <w:r w:rsidR="00307FE2">
        <w:rPr>
          <w:rFonts w:cs="Times New Roman"/>
          <w:lang w:val="en-US"/>
        </w:rPr>
        <w:t>“</w:t>
      </w:r>
      <w:r w:rsidRPr="004D6F88">
        <w:rPr>
          <w:rFonts w:cs="Times New Roman"/>
          <w:lang w:val="en-US"/>
        </w:rPr>
        <w:t>ECB must do more to tackle inflation ‘monster’, says Christine Lagarde</w:t>
      </w:r>
      <w:r w:rsidR="00307FE2">
        <w:rPr>
          <w:rFonts w:cs="Times New Roman"/>
          <w:lang w:val="en-US"/>
        </w:rPr>
        <w:t>”</w:t>
      </w:r>
      <w:r w:rsidRPr="004D6F88">
        <w:rPr>
          <w:rFonts w:cs="Times New Roman"/>
          <w:lang w:val="en-US"/>
        </w:rPr>
        <w:t xml:space="preserve">, </w:t>
      </w:r>
      <w:r w:rsidRPr="004D6F88">
        <w:rPr>
          <w:rFonts w:cs="Times New Roman"/>
          <w:i/>
          <w:iCs/>
          <w:lang w:val="en-US"/>
        </w:rPr>
        <w:t>Financial Times</w:t>
      </w:r>
      <w:r w:rsidRPr="004D6F88">
        <w:rPr>
          <w:rFonts w:cs="Times New Roman"/>
          <w:lang w:val="en-US"/>
        </w:rPr>
        <w:t>, 05</w:t>
      </w:r>
      <w:r w:rsidR="00D6760D">
        <w:rPr>
          <w:rFonts w:cs="Times New Roman"/>
          <w:lang w:val="en-US"/>
        </w:rPr>
        <w:t>/</w:t>
      </w:r>
      <w:r w:rsidRPr="004D6F88">
        <w:rPr>
          <w:rFonts w:cs="Times New Roman"/>
          <w:lang w:val="en-US"/>
        </w:rPr>
        <w:t>03</w:t>
      </w:r>
      <w:r w:rsidR="00D6760D">
        <w:rPr>
          <w:rFonts w:cs="Times New Roman"/>
          <w:lang w:val="en-US"/>
        </w:rPr>
        <w:t>/</w:t>
      </w:r>
      <w:r w:rsidRPr="004D6F88">
        <w:rPr>
          <w:rFonts w:cs="Times New Roman"/>
          <w:lang w:val="en-US"/>
        </w:rPr>
        <w:t>2023.</w:t>
      </w:r>
    </w:p>
  </w:footnote>
  <w:footnote w:id="5">
    <w:p w:rsidRPr="004D6F88" w:rsidR="004D6F88" w:rsidRDefault="004D6F88" w14:paraId="6514C412" w14:textId="36988E26">
      <w:pPr>
        <w:pStyle w:val="Notedebasdepage"/>
        <w:rPr>
          <w:lang w:val="en-US"/>
        </w:rPr>
      </w:pPr>
      <w:r>
        <w:rPr>
          <w:rStyle w:val="Appelnotedebasdep"/>
        </w:rPr>
        <w:footnoteRef/>
      </w:r>
      <w:r w:rsidRPr="004D6F88">
        <w:rPr>
          <w:lang w:val="en-US"/>
        </w:rPr>
        <w:t xml:space="preserve"> </w:t>
      </w:r>
      <w:r w:rsidRPr="004D6F88">
        <w:rPr>
          <w:rFonts w:cs="Times New Roman"/>
          <w:lang w:val="en-US"/>
        </w:rPr>
        <w:t>Otmar</w:t>
      </w:r>
      <w:r w:rsidR="00D6760D">
        <w:rPr>
          <w:rFonts w:cs="Times New Roman"/>
          <w:lang w:val="en-US"/>
        </w:rPr>
        <w:t xml:space="preserve"> </w:t>
      </w:r>
      <w:proofErr w:type="spellStart"/>
      <w:r w:rsidR="00D6760D">
        <w:rPr>
          <w:rFonts w:cs="Times New Roman"/>
          <w:lang w:val="en-US"/>
        </w:rPr>
        <w:t>Issing</w:t>
      </w:r>
      <w:proofErr w:type="spellEnd"/>
      <w:r w:rsidRPr="004D6F88">
        <w:rPr>
          <w:rFonts w:cs="Times New Roman"/>
          <w:lang w:val="en-US"/>
        </w:rPr>
        <w:t xml:space="preserve"> </w:t>
      </w:r>
      <w:r w:rsidRPr="004D6F88">
        <w:rPr>
          <w:rFonts w:cs="Times New Roman"/>
          <w:i/>
          <w:iCs/>
          <w:lang w:val="en-US"/>
        </w:rPr>
        <w:t>et alii</w:t>
      </w:r>
      <w:r w:rsidRPr="004D6F88">
        <w:rPr>
          <w:rFonts w:cs="Times New Roman"/>
          <w:lang w:val="en-US"/>
        </w:rPr>
        <w:t xml:space="preserve">, </w:t>
      </w:r>
      <w:r w:rsidRPr="004D6F88">
        <w:rPr>
          <w:rFonts w:cs="Times New Roman"/>
          <w:i/>
          <w:iCs/>
          <w:lang w:val="en-US"/>
        </w:rPr>
        <w:t>Monetary Policy in the Euro Area: Strategy and Decision-Making at the European Central Bank</w:t>
      </w:r>
      <w:r w:rsidRPr="004D6F88">
        <w:rPr>
          <w:rFonts w:cs="Times New Roman"/>
          <w:lang w:val="en-US"/>
        </w:rPr>
        <w:t>, Cambridge</w:t>
      </w:r>
      <w:r w:rsidR="00B2150E">
        <w:rPr>
          <w:rFonts w:cs="Times New Roman"/>
          <w:lang w:val="en-US"/>
        </w:rPr>
        <w:t>,</w:t>
      </w:r>
      <w:r w:rsidRPr="004D6F88">
        <w:rPr>
          <w:rFonts w:cs="Times New Roman"/>
          <w:lang w:val="en-US"/>
        </w:rPr>
        <w:t xml:space="preserve"> Cambridge University Press, 2001.</w:t>
      </w:r>
    </w:p>
  </w:footnote>
  <w:footnote w:id="6">
    <w:p w:rsidRPr="00BC416E" w:rsidR="004D6F88" w:rsidRDefault="004D6F88" w14:paraId="2BFD8140" w14:textId="47CC9064">
      <w:pPr>
        <w:pStyle w:val="Notedebasdepage"/>
      </w:pPr>
      <w:r w:rsidRPr="00BC416E">
        <w:rPr>
          <w:rStyle w:val="Appelnotedebasdep"/>
        </w:rPr>
        <w:footnoteRef/>
      </w:r>
      <w:r w:rsidRPr="00BC416E">
        <w:t xml:space="preserve"> </w:t>
      </w:r>
      <w:r w:rsidRPr="00BC416E">
        <w:rPr>
          <w:rFonts w:cs="Times New Roman"/>
        </w:rPr>
        <w:t>Clément</w:t>
      </w:r>
      <w:r w:rsidRPr="00BC416E" w:rsidR="00D7475F">
        <w:rPr>
          <w:rFonts w:cs="Times New Roman"/>
        </w:rPr>
        <w:t xml:space="preserve"> Fontan</w:t>
      </w:r>
      <w:r w:rsidRPr="00BC416E">
        <w:rPr>
          <w:rFonts w:cs="Times New Roman"/>
        </w:rPr>
        <w:t xml:space="preserve">, « L’art du grand </w:t>
      </w:r>
      <w:r w:rsidRPr="00BC416E" w:rsidR="001D77BE">
        <w:rPr>
          <w:rFonts w:cs="Times New Roman"/>
        </w:rPr>
        <w:t>écart :</w:t>
      </w:r>
      <w:r w:rsidRPr="00BC416E">
        <w:rPr>
          <w:rFonts w:cs="Times New Roman"/>
        </w:rPr>
        <w:t xml:space="preserve"> La Banque centrale européenne face aux dilemmes provoqués par la crise de la zone euro », </w:t>
      </w:r>
      <w:r w:rsidRPr="00BC416E">
        <w:rPr>
          <w:rFonts w:cs="Times New Roman"/>
          <w:i/>
          <w:iCs/>
        </w:rPr>
        <w:t>Gouvernement et action publique</w:t>
      </w:r>
      <w:r w:rsidRPr="00BC416E">
        <w:rPr>
          <w:rFonts w:cs="Times New Roman"/>
        </w:rPr>
        <w:t>, vol. 2, n</w:t>
      </w:r>
      <w:r w:rsidRPr="00BC416E">
        <w:rPr>
          <w:rFonts w:cs="Times New Roman"/>
          <w:vertAlign w:val="superscript"/>
        </w:rPr>
        <w:t>o</w:t>
      </w:r>
      <w:r w:rsidRPr="00BC416E">
        <w:rPr>
          <w:rFonts w:cs="Times New Roman"/>
        </w:rPr>
        <w:t> 2, 2014, p. 103</w:t>
      </w:r>
      <w:r w:rsidRPr="00BC416E" w:rsidR="005B423F">
        <w:rPr>
          <w:rFonts w:cs="Times New Roman"/>
        </w:rPr>
        <w:t>-123</w:t>
      </w:r>
      <w:r w:rsidRPr="00BC416E">
        <w:rPr>
          <w:rFonts w:cs="Times New Roman"/>
        </w:rPr>
        <w:t>.</w:t>
      </w:r>
    </w:p>
  </w:footnote>
  <w:footnote w:id="7">
    <w:p w:rsidRPr="001D77BE" w:rsidR="0041439B" w:rsidRDefault="0041439B" w14:paraId="67073370" w14:textId="529B3488">
      <w:pPr>
        <w:pStyle w:val="Notedebasdepage"/>
        <w:rPr>
          <w:lang w:val="en-US"/>
        </w:rPr>
      </w:pPr>
      <w:r>
        <w:rPr>
          <w:rStyle w:val="Appelnotedebasdep"/>
        </w:rPr>
        <w:footnoteRef/>
      </w:r>
      <w:r w:rsidR="4E12AD89">
        <w:t xml:space="preserve"> Ces discours sont en anglais et notre </w:t>
      </w:r>
      <w:r w:rsidRPr="4E12AD89" w:rsidR="4E12AD89">
        <w:rPr>
          <w:i/>
          <w:iCs/>
        </w:rPr>
        <w:t>topic model</w:t>
      </w:r>
      <w:r w:rsidR="4E12AD89">
        <w:t xml:space="preserve"> produit des </w:t>
      </w:r>
      <w:r w:rsidRPr="4E12AD89" w:rsidR="4E12AD89">
        <w:rPr>
          <w:i/>
          <w:iCs/>
        </w:rPr>
        <w:t xml:space="preserve">topics </w:t>
      </w:r>
      <w:r w:rsidR="4E12AD89">
        <w:t>en anglais.</w:t>
      </w:r>
      <w:r w:rsidR="001D77BE">
        <w:t xml:space="preserve"> </w:t>
      </w:r>
      <w:r w:rsidRPr="001D77BE" w:rsidR="001D77BE">
        <w:rPr>
          <w:lang w:val="en-US"/>
        </w:rPr>
        <w:t xml:space="preserve">Nous </w:t>
      </w:r>
      <w:proofErr w:type="spellStart"/>
      <w:r w:rsidRPr="001D77BE" w:rsidR="001D77BE">
        <w:rPr>
          <w:lang w:val="en-US"/>
        </w:rPr>
        <w:t>nous</w:t>
      </w:r>
      <w:proofErr w:type="spellEnd"/>
      <w:r w:rsidRPr="001D77BE" w:rsidR="001D77BE">
        <w:rPr>
          <w:lang w:val="en-US"/>
        </w:rPr>
        <w:t xml:space="preserve"> </w:t>
      </w:r>
      <w:proofErr w:type="spellStart"/>
      <w:r w:rsidRPr="001D77BE" w:rsidR="001D77BE">
        <w:rPr>
          <w:lang w:val="en-US"/>
        </w:rPr>
        <w:t>appuyons</w:t>
      </w:r>
      <w:proofErr w:type="spellEnd"/>
      <w:r w:rsidRPr="001D77BE" w:rsidR="001D77BE">
        <w:rPr>
          <w:lang w:val="en-US"/>
        </w:rPr>
        <w:t xml:space="preserve"> sur Aurélien Goutsmedt et Clément Fontan, </w:t>
      </w:r>
      <w:r w:rsidR="00307FE2">
        <w:rPr>
          <w:rFonts w:cs="Times New Roman"/>
          <w:lang w:val="en-US"/>
        </w:rPr>
        <w:t>“</w:t>
      </w:r>
      <w:r w:rsidRPr="004D6F88" w:rsidR="001D77BE">
        <w:rPr>
          <w:rFonts w:cs="Times New Roman"/>
          <w:lang w:val="en-US"/>
        </w:rPr>
        <w:t>The ECB and the inflation monsters: strategic framing and the responsibility imperative (1998-2023)</w:t>
      </w:r>
      <w:r w:rsidR="00307FE2">
        <w:rPr>
          <w:rFonts w:cs="Times New Roman"/>
          <w:lang w:val="en-US"/>
        </w:rPr>
        <w:t>”</w:t>
      </w:r>
      <w:r w:rsidRPr="004D6F88" w:rsidR="001D77BE">
        <w:rPr>
          <w:rFonts w:cs="Times New Roman"/>
          <w:lang w:val="en-US"/>
        </w:rPr>
        <w:t xml:space="preserve">, </w:t>
      </w:r>
      <w:r w:rsidRPr="004D6F88" w:rsidR="001D77BE">
        <w:rPr>
          <w:rFonts w:cs="Times New Roman"/>
          <w:i/>
          <w:iCs/>
          <w:lang w:val="en-US"/>
        </w:rPr>
        <w:t>Journal of European Public Policy</w:t>
      </w:r>
      <w:r w:rsidRPr="004D6F88" w:rsidR="001D77BE">
        <w:rPr>
          <w:rFonts w:cs="Times New Roman"/>
          <w:lang w:val="en-US"/>
        </w:rPr>
        <w:t>, vol. 31, n</w:t>
      </w:r>
      <w:r w:rsidRPr="004D6F88" w:rsidR="001D77BE">
        <w:rPr>
          <w:rFonts w:cs="Times New Roman"/>
          <w:vertAlign w:val="superscript"/>
          <w:lang w:val="en-US"/>
        </w:rPr>
        <w:t>o</w:t>
      </w:r>
      <w:r w:rsidRPr="004D6F88" w:rsidR="001D77BE">
        <w:rPr>
          <w:rFonts w:cs="Times New Roman"/>
          <w:lang w:val="en-US"/>
        </w:rPr>
        <w:t> 4, 2024, p. 999‑1025.</w:t>
      </w:r>
    </w:p>
  </w:footnote>
  <w:footnote w:id="8">
    <w:p w:rsidRPr="001D77BE" w:rsidR="004D6F88" w:rsidRDefault="004D6F88" w14:paraId="37CBFB0A" w14:textId="5545550E">
      <w:pPr>
        <w:pStyle w:val="Notedebasdepage"/>
        <w:rPr>
          <w:lang w:val="en-US"/>
        </w:rPr>
      </w:pPr>
      <w:r>
        <w:rPr>
          <w:rStyle w:val="Appelnotedebasdep"/>
        </w:rPr>
        <w:footnoteRef/>
      </w:r>
      <w:r w:rsidRPr="001D77BE">
        <w:rPr>
          <w:lang w:val="en-US"/>
        </w:rPr>
        <w:t xml:space="preserve"> </w:t>
      </w:r>
      <w:r w:rsidRPr="001D77BE">
        <w:rPr>
          <w:rFonts w:cs="Times New Roman"/>
          <w:lang w:val="en-US"/>
        </w:rPr>
        <w:t>Benjamin</w:t>
      </w:r>
      <w:r w:rsidRPr="001D77BE" w:rsidR="001D77BE">
        <w:rPr>
          <w:rFonts w:cs="Times New Roman"/>
          <w:lang w:val="en-US"/>
        </w:rPr>
        <w:t xml:space="preserve"> Braun</w:t>
      </w:r>
      <w:r w:rsidRPr="001D77BE">
        <w:rPr>
          <w:rFonts w:cs="Times New Roman"/>
          <w:lang w:val="en-US"/>
        </w:rPr>
        <w:t xml:space="preserve"> </w:t>
      </w:r>
      <w:r w:rsidRPr="001D77BE">
        <w:rPr>
          <w:rFonts w:cs="Times New Roman"/>
          <w:i/>
          <w:iCs/>
          <w:lang w:val="en-US"/>
        </w:rPr>
        <w:t>et alii</w:t>
      </w:r>
      <w:r w:rsidRPr="001D77BE">
        <w:rPr>
          <w:rFonts w:cs="Times New Roman"/>
          <w:lang w:val="en-US"/>
        </w:rPr>
        <w:t xml:space="preserve">, </w:t>
      </w:r>
      <w:r w:rsidR="00307FE2">
        <w:rPr>
          <w:rFonts w:cs="Times New Roman"/>
          <w:lang w:val="en-US"/>
        </w:rPr>
        <w:t>“</w:t>
      </w:r>
      <w:r w:rsidRPr="001D77BE">
        <w:rPr>
          <w:rFonts w:cs="Times New Roman"/>
          <w:lang w:val="en-US"/>
        </w:rPr>
        <w:t>Planning laissez-faire: Supranational central banking and structural reforms</w:t>
      </w:r>
      <w:r w:rsidR="00307FE2">
        <w:rPr>
          <w:rFonts w:cs="Times New Roman"/>
          <w:lang w:val="en-US"/>
        </w:rPr>
        <w:t>”</w:t>
      </w:r>
      <w:r w:rsidRPr="001D77BE">
        <w:rPr>
          <w:rFonts w:cs="Times New Roman"/>
          <w:lang w:val="en-US"/>
        </w:rPr>
        <w:t xml:space="preserve">, </w:t>
      </w:r>
      <w:proofErr w:type="spellStart"/>
      <w:r w:rsidRPr="001D77BE">
        <w:rPr>
          <w:rFonts w:cs="Times New Roman"/>
          <w:i/>
          <w:iCs/>
          <w:lang w:val="en-US"/>
        </w:rPr>
        <w:t>Zeitschrift</w:t>
      </w:r>
      <w:proofErr w:type="spellEnd"/>
      <w:r w:rsidRPr="001D77BE">
        <w:rPr>
          <w:rFonts w:cs="Times New Roman"/>
          <w:i/>
          <w:iCs/>
          <w:lang w:val="en-US"/>
        </w:rPr>
        <w:t xml:space="preserve"> für </w:t>
      </w:r>
      <w:proofErr w:type="spellStart"/>
      <w:r w:rsidRPr="001D77BE">
        <w:rPr>
          <w:rFonts w:cs="Times New Roman"/>
          <w:i/>
          <w:iCs/>
          <w:lang w:val="en-US"/>
        </w:rPr>
        <w:t>Politikwissenschaft</w:t>
      </w:r>
      <w:proofErr w:type="spellEnd"/>
      <w:r w:rsidRPr="001D77BE">
        <w:rPr>
          <w:rFonts w:cs="Times New Roman"/>
          <w:lang w:val="en-US"/>
        </w:rPr>
        <w:t>, vol. 32, n</w:t>
      </w:r>
      <w:r w:rsidRPr="001D77BE">
        <w:rPr>
          <w:rFonts w:cs="Times New Roman"/>
          <w:vertAlign w:val="superscript"/>
          <w:lang w:val="en-US"/>
        </w:rPr>
        <w:t>o</w:t>
      </w:r>
      <w:r w:rsidRPr="001D77BE">
        <w:rPr>
          <w:rFonts w:cs="Times New Roman"/>
          <w:lang w:val="en-US"/>
        </w:rPr>
        <w:t> 3, 2022, p. 707‑716.</w:t>
      </w:r>
    </w:p>
  </w:footnote>
  <w:footnote w:id="9">
    <w:p w:rsidRPr="00D6760D" w:rsidR="004D6F88" w:rsidRDefault="004D6F88" w14:paraId="67D57947" w14:textId="19BD73AA">
      <w:pPr>
        <w:pStyle w:val="Notedebasdepage"/>
        <w:rPr>
          <w:lang w:val="en-US"/>
        </w:rPr>
      </w:pPr>
      <w:r>
        <w:rPr>
          <w:rStyle w:val="Appelnotedebasdep"/>
        </w:rPr>
        <w:footnoteRef/>
      </w:r>
      <w:r w:rsidRPr="001D77BE">
        <w:rPr>
          <w:lang w:val="en-US"/>
        </w:rPr>
        <w:t xml:space="preserve"> </w:t>
      </w:r>
      <w:r w:rsidRPr="001D77BE" w:rsidR="001D77BE">
        <w:rPr>
          <w:lang w:val="en-US"/>
        </w:rPr>
        <w:t xml:space="preserve">Finn E. </w:t>
      </w:r>
      <w:r w:rsidRPr="001D77BE" w:rsidR="001D77BE">
        <w:rPr>
          <w:rFonts w:cs="Times New Roman"/>
          <w:lang w:val="en-US"/>
        </w:rPr>
        <w:t>Kydland</w:t>
      </w:r>
      <w:r w:rsidRPr="001D77BE">
        <w:rPr>
          <w:rFonts w:cs="Times New Roman"/>
          <w:lang w:val="en-US"/>
        </w:rPr>
        <w:t xml:space="preserve"> et </w:t>
      </w:r>
      <w:r w:rsidRPr="001D77BE" w:rsidR="001D77BE">
        <w:rPr>
          <w:rFonts w:cs="Times New Roman"/>
          <w:lang w:val="en-US"/>
        </w:rPr>
        <w:t>Edward C. Pr</w:t>
      </w:r>
      <w:r w:rsidR="001D77BE">
        <w:rPr>
          <w:rFonts w:cs="Times New Roman"/>
          <w:lang w:val="en-US"/>
        </w:rPr>
        <w:t>escott</w:t>
      </w:r>
      <w:r w:rsidRPr="00D6760D">
        <w:rPr>
          <w:rFonts w:cs="Times New Roman"/>
          <w:lang w:val="en-US"/>
        </w:rPr>
        <w:t xml:space="preserve">, </w:t>
      </w:r>
      <w:r w:rsidR="00307FE2">
        <w:rPr>
          <w:rFonts w:cs="Times New Roman"/>
          <w:lang w:val="en-US"/>
        </w:rPr>
        <w:t>“</w:t>
      </w:r>
      <w:r w:rsidRPr="00D6760D">
        <w:rPr>
          <w:rFonts w:cs="Times New Roman"/>
          <w:lang w:val="en-US"/>
        </w:rPr>
        <w:t>Rules Rather than Discretion: The Inconsistency of Optimal Plans</w:t>
      </w:r>
      <w:r w:rsidR="00307FE2">
        <w:rPr>
          <w:rFonts w:cs="Times New Roman"/>
          <w:lang w:val="en-US"/>
        </w:rPr>
        <w:t>”</w:t>
      </w:r>
      <w:r w:rsidRPr="00D6760D">
        <w:rPr>
          <w:rFonts w:cs="Times New Roman"/>
          <w:lang w:val="en-US"/>
        </w:rPr>
        <w:t xml:space="preserve">, </w:t>
      </w:r>
      <w:r w:rsidRPr="00D6760D">
        <w:rPr>
          <w:rFonts w:cs="Times New Roman"/>
          <w:i/>
          <w:iCs/>
          <w:lang w:val="en-US"/>
        </w:rPr>
        <w:t>Journal of Political Economy</w:t>
      </w:r>
      <w:r w:rsidRPr="00D6760D">
        <w:rPr>
          <w:rFonts w:cs="Times New Roman"/>
          <w:lang w:val="en-US"/>
        </w:rPr>
        <w:t>, vol. 85, n</w:t>
      </w:r>
      <w:r w:rsidRPr="00D6760D">
        <w:rPr>
          <w:rFonts w:cs="Times New Roman"/>
          <w:vertAlign w:val="superscript"/>
          <w:lang w:val="en-US"/>
        </w:rPr>
        <w:t>o</w:t>
      </w:r>
      <w:r w:rsidRPr="00D6760D">
        <w:rPr>
          <w:rFonts w:cs="Times New Roman"/>
          <w:lang w:val="en-US"/>
        </w:rPr>
        <w:t> 3, 1977, p. 473‑491.</w:t>
      </w:r>
    </w:p>
  </w:footnote>
  <w:footnote w:id="10">
    <w:p w:rsidRPr="004D6F88" w:rsidR="004D6F88" w:rsidRDefault="004D6F88" w14:paraId="58963F0E" w14:textId="5D72B9FF">
      <w:pPr>
        <w:pStyle w:val="Notedebasdepage"/>
        <w:rPr>
          <w:lang w:val="en-US"/>
        </w:rPr>
      </w:pPr>
      <w:r>
        <w:rPr>
          <w:rStyle w:val="Appelnotedebasdep"/>
        </w:rPr>
        <w:footnoteRef/>
      </w:r>
      <w:r w:rsidRPr="004D6F88">
        <w:rPr>
          <w:lang w:val="en-US"/>
        </w:rPr>
        <w:t xml:space="preserve"> </w:t>
      </w:r>
      <w:r w:rsidRPr="004D6F88">
        <w:rPr>
          <w:rFonts w:cs="Times New Roman"/>
          <w:lang w:val="en-US"/>
        </w:rPr>
        <w:t>Allan</w:t>
      </w:r>
      <w:r w:rsidR="001D77BE">
        <w:rPr>
          <w:rFonts w:cs="Times New Roman"/>
          <w:lang w:val="en-US"/>
        </w:rPr>
        <w:t xml:space="preserve"> Drazen</w:t>
      </w:r>
      <w:r w:rsidRPr="004D6F88">
        <w:rPr>
          <w:rFonts w:cs="Times New Roman"/>
          <w:lang w:val="en-US"/>
        </w:rPr>
        <w:t xml:space="preserve">, </w:t>
      </w:r>
      <w:r w:rsidRPr="004D6F88">
        <w:rPr>
          <w:rFonts w:cs="Times New Roman"/>
          <w:i/>
          <w:iCs/>
          <w:lang w:val="en-US"/>
        </w:rPr>
        <w:t>Political Economy in Macroeconomics</w:t>
      </w:r>
      <w:r w:rsidRPr="004D6F88">
        <w:rPr>
          <w:rFonts w:cs="Times New Roman"/>
          <w:lang w:val="en-US"/>
        </w:rPr>
        <w:t>, Princeton, Princeton University Press, 2002.</w:t>
      </w:r>
    </w:p>
  </w:footnote>
  <w:footnote w:id="11">
    <w:p w:rsidRPr="004D6F88" w:rsidR="004D6F88" w:rsidRDefault="004D6F88" w14:paraId="4B37F02D" w14:textId="49E4CB36">
      <w:pPr>
        <w:pStyle w:val="Notedebasdepage"/>
        <w:rPr>
          <w:lang w:val="en-US"/>
        </w:rPr>
      </w:pPr>
      <w:r>
        <w:rPr>
          <w:rStyle w:val="Appelnotedebasdep"/>
        </w:rPr>
        <w:footnoteRef/>
      </w:r>
      <w:r w:rsidRPr="001D77BE">
        <w:rPr>
          <w:lang w:val="en-US"/>
        </w:rPr>
        <w:t xml:space="preserve"> </w:t>
      </w:r>
      <w:r w:rsidRPr="001D77BE">
        <w:rPr>
          <w:rFonts w:cs="Times New Roman"/>
          <w:lang w:val="en-US"/>
        </w:rPr>
        <w:t>Aurélien</w:t>
      </w:r>
      <w:r w:rsidRPr="001D77BE" w:rsidR="001D77BE">
        <w:rPr>
          <w:rFonts w:cs="Times New Roman"/>
          <w:lang w:val="en-US"/>
        </w:rPr>
        <w:t xml:space="preserve"> Goutsmedt</w:t>
      </w:r>
      <w:r w:rsidRPr="001D77BE">
        <w:rPr>
          <w:rFonts w:cs="Times New Roman"/>
          <w:lang w:val="en-US"/>
        </w:rPr>
        <w:t xml:space="preserve"> et</w:t>
      </w:r>
      <w:r w:rsidRPr="001D77BE" w:rsidR="001D77BE">
        <w:rPr>
          <w:rFonts w:cs="Times New Roman"/>
          <w:lang w:val="en-US"/>
        </w:rPr>
        <w:t xml:space="preserve"> Alexandre Truc</w:t>
      </w:r>
      <w:r w:rsidRPr="001D77BE">
        <w:rPr>
          <w:rFonts w:cs="Times New Roman"/>
          <w:lang w:val="en-US"/>
        </w:rPr>
        <w:t xml:space="preserve">, </w:t>
      </w:r>
      <w:r w:rsidR="00B42AF7">
        <w:rPr>
          <w:rFonts w:cs="Times New Roman"/>
          <w:lang w:val="en-US"/>
        </w:rPr>
        <w:t>“</w:t>
      </w:r>
      <w:r w:rsidRPr="001D77BE">
        <w:rPr>
          <w:rFonts w:cs="Times New Roman"/>
          <w:lang w:val="en-US"/>
        </w:rPr>
        <w:t xml:space="preserve">An Independent European Macroeconomics? </w:t>
      </w:r>
      <w:r w:rsidRPr="004D6F88">
        <w:rPr>
          <w:rFonts w:cs="Times New Roman"/>
          <w:lang w:val="en-US"/>
        </w:rPr>
        <w:t>A History of European Macroeconomics through the Lens of the European Economic Review</w:t>
      </w:r>
      <w:r w:rsidR="00B42AF7">
        <w:rPr>
          <w:rFonts w:cs="Times New Roman"/>
          <w:lang w:val="en-US"/>
        </w:rPr>
        <w:t>”</w:t>
      </w:r>
      <w:r w:rsidRPr="004D6F88">
        <w:rPr>
          <w:rFonts w:cs="Times New Roman"/>
          <w:lang w:val="en-US"/>
        </w:rPr>
        <w:t xml:space="preserve">, </w:t>
      </w:r>
      <w:r w:rsidR="001D77BE">
        <w:rPr>
          <w:rFonts w:cs="Times New Roman"/>
          <w:i/>
          <w:iCs/>
          <w:lang w:val="en-US"/>
        </w:rPr>
        <w:t>European Economic Review</w:t>
      </w:r>
      <w:r w:rsidRPr="004D6F88">
        <w:rPr>
          <w:rFonts w:cs="Times New Roman"/>
          <w:lang w:val="en-US"/>
        </w:rPr>
        <w:t>,</w:t>
      </w:r>
      <w:r w:rsidR="00ED4DA8">
        <w:rPr>
          <w:rFonts w:cs="Times New Roman"/>
          <w:lang w:val="en-US"/>
        </w:rPr>
        <w:t xml:space="preserve"> vol.158,</w:t>
      </w:r>
      <w:r w:rsidRPr="004D6F88">
        <w:rPr>
          <w:rFonts w:cs="Times New Roman"/>
          <w:lang w:val="en-US"/>
        </w:rPr>
        <w:t xml:space="preserve"> 2023.</w:t>
      </w:r>
    </w:p>
  </w:footnote>
  <w:footnote w:id="12">
    <w:p w:rsidRPr="004D6F88" w:rsidR="004D6F88" w:rsidRDefault="004D6F88" w14:paraId="51ADCE80" w14:textId="0A8ADF05">
      <w:pPr>
        <w:pStyle w:val="Notedebasdepage"/>
        <w:rPr>
          <w:lang w:val="en-US"/>
        </w:rPr>
      </w:pPr>
      <w:r>
        <w:rPr>
          <w:rStyle w:val="Appelnotedebasdep"/>
        </w:rPr>
        <w:footnoteRef/>
      </w:r>
      <w:r w:rsidRPr="004D6F88">
        <w:rPr>
          <w:lang w:val="en-US"/>
        </w:rPr>
        <w:t xml:space="preserve"> </w:t>
      </w:r>
      <w:r w:rsidRPr="004D6F88">
        <w:rPr>
          <w:rFonts w:cs="Times New Roman"/>
          <w:lang w:val="en-US"/>
        </w:rPr>
        <w:t>Amy</w:t>
      </w:r>
      <w:r w:rsidR="00AB38E7">
        <w:rPr>
          <w:rFonts w:cs="Times New Roman"/>
          <w:lang w:val="en-US"/>
        </w:rPr>
        <w:t xml:space="preserve"> Verdun</w:t>
      </w:r>
      <w:r w:rsidRPr="004D6F88">
        <w:rPr>
          <w:rFonts w:cs="Times New Roman"/>
          <w:lang w:val="en-US"/>
        </w:rPr>
        <w:t xml:space="preserve">, </w:t>
      </w:r>
      <w:r w:rsidR="00307FE2">
        <w:rPr>
          <w:rFonts w:cs="Times New Roman"/>
          <w:lang w:val="en-US"/>
        </w:rPr>
        <w:t>“</w:t>
      </w:r>
      <w:r w:rsidRPr="004D6F88">
        <w:rPr>
          <w:rFonts w:cs="Times New Roman"/>
          <w:lang w:val="en-US"/>
        </w:rPr>
        <w:t>The role of the Delors Committee in the creation of EMU: an epistemic community?</w:t>
      </w:r>
      <w:r w:rsidR="00307FE2">
        <w:rPr>
          <w:rFonts w:cs="Times New Roman"/>
          <w:lang w:val="en-US"/>
        </w:rPr>
        <w:t>”</w:t>
      </w:r>
      <w:r w:rsidRPr="004D6F88">
        <w:rPr>
          <w:rFonts w:cs="Times New Roman"/>
          <w:lang w:val="en-US"/>
        </w:rPr>
        <w:t xml:space="preserve">, </w:t>
      </w:r>
      <w:r w:rsidRPr="004D6F88">
        <w:rPr>
          <w:rFonts w:cs="Times New Roman"/>
          <w:i/>
          <w:iCs/>
          <w:lang w:val="en-US"/>
        </w:rPr>
        <w:t>Journal of European Public Policy</w:t>
      </w:r>
      <w:r w:rsidRPr="004D6F88">
        <w:rPr>
          <w:rFonts w:cs="Times New Roman"/>
          <w:lang w:val="en-US"/>
        </w:rPr>
        <w:t>, vol. 6, n</w:t>
      </w:r>
      <w:r w:rsidRPr="004D6F88">
        <w:rPr>
          <w:rFonts w:cs="Times New Roman"/>
          <w:vertAlign w:val="superscript"/>
          <w:lang w:val="en-US"/>
        </w:rPr>
        <w:t>o</w:t>
      </w:r>
      <w:r w:rsidRPr="004D6F88">
        <w:rPr>
          <w:rFonts w:cs="Times New Roman"/>
          <w:lang w:val="en-US"/>
        </w:rPr>
        <w:t> 2, 1999, p. 308‑328.</w:t>
      </w:r>
    </w:p>
  </w:footnote>
  <w:footnote w:id="13">
    <w:p w:rsidRPr="004D6F88" w:rsidR="004D6F88" w:rsidRDefault="004D6F88" w14:paraId="6D49DAFF" w14:textId="266CB2CB">
      <w:pPr>
        <w:pStyle w:val="Notedebasdepage"/>
        <w:rPr>
          <w:lang w:val="en-US"/>
        </w:rPr>
      </w:pPr>
      <w:r>
        <w:rPr>
          <w:rStyle w:val="Appelnotedebasdep"/>
        </w:rPr>
        <w:footnoteRef/>
      </w:r>
      <w:r w:rsidRPr="004D6F88">
        <w:rPr>
          <w:lang w:val="en-US"/>
        </w:rPr>
        <w:t xml:space="preserve"> </w:t>
      </w:r>
      <w:r w:rsidRPr="004D6F88">
        <w:rPr>
          <w:rFonts w:cs="Times New Roman"/>
          <w:lang w:val="en-US"/>
        </w:rPr>
        <w:t>David</w:t>
      </w:r>
      <w:r w:rsidR="00AB38E7">
        <w:rPr>
          <w:rFonts w:cs="Times New Roman"/>
          <w:lang w:val="en-US"/>
        </w:rPr>
        <w:t xml:space="preserve"> Marsh</w:t>
      </w:r>
      <w:r w:rsidRPr="004D6F88">
        <w:rPr>
          <w:rFonts w:cs="Times New Roman"/>
          <w:lang w:val="en-US"/>
        </w:rPr>
        <w:t xml:space="preserve">, </w:t>
      </w:r>
      <w:r w:rsidRPr="004D6F88">
        <w:rPr>
          <w:rFonts w:cs="Times New Roman"/>
          <w:i/>
          <w:iCs/>
          <w:lang w:val="en-US"/>
        </w:rPr>
        <w:t>The Bundesbank: The Bank That Rules Europe</w:t>
      </w:r>
      <w:r w:rsidRPr="004D6F88">
        <w:rPr>
          <w:rFonts w:cs="Times New Roman"/>
          <w:lang w:val="en-US"/>
        </w:rPr>
        <w:t xml:space="preserve">, </w:t>
      </w:r>
      <w:proofErr w:type="spellStart"/>
      <w:r w:rsidR="00095571">
        <w:rPr>
          <w:rFonts w:cs="Times New Roman"/>
          <w:lang w:val="en-US"/>
        </w:rPr>
        <w:t>Londres</w:t>
      </w:r>
      <w:proofErr w:type="spellEnd"/>
      <w:r w:rsidR="00095571">
        <w:rPr>
          <w:rFonts w:cs="Times New Roman"/>
          <w:lang w:val="en-US"/>
        </w:rPr>
        <w:t xml:space="preserve">, </w:t>
      </w:r>
      <w:r w:rsidRPr="004D6F88">
        <w:rPr>
          <w:rFonts w:cs="Times New Roman"/>
          <w:lang w:val="en-US"/>
        </w:rPr>
        <w:t>Heineman, 1992.</w:t>
      </w:r>
    </w:p>
  </w:footnote>
  <w:footnote w:id="14">
    <w:p w:rsidRPr="004D6F88" w:rsidR="004D6F88" w:rsidRDefault="004D6F88" w14:paraId="5C484B03" w14:textId="7829680E">
      <w:pPr>
        <w:pStyle w:val="Notedebasdepage"/>
        <w:rPr>
          <w:lang w:val="en-US"/>
        </w:rPr>
      </w:pPr>
      <w:r>
        <w:rPr>
          <w:rStyle w:val="Appelnotedebasdep"/>
        </w:rPr>
        <w:footnoteRef/>
      </w:r>
      <w:r w:rsidR="00095571">
        <w:rPr>
          <w:lang w:val="en-US"/>
        </w:rPr>
        <w:t xml:space="preserve"> </w:t>
      </w:r>
      <w:r w:rsidRPr="004D6F88">
        <w:rPr>
          <w:rFonts w:cs="Times New Roman"/>
          <w:lang w:val="en-US"/>
        </w:rPr>
        <w:t>Peter A.</w:t>
      </w:r>
      <w:r w:rsidR="00095571">
        <w:rPr>
          <w:rFonts w:cs="Times New Roman"/>
          <w:lang w:val="en-US"/>
        </w:rPr>
        <w:t xml:space="preserve"> Hall</w:t>
      </w:r>
      <w:r w:rsidRPr="004D6F88">
        <w:rPr>
          <w:rFonts w:cs="Times New Roman"/>
          <w:lang w:val="en-US"/>
        </w:rPr>
        <w:t xml:space="preserve"> et Robert J.</w:t>
      </w:r>
      <w:r w:rsidR="00095571">
        <w:rPr>
          <w:rFonts w:cs="Times New Roman"/>
          <w:lang w:val="en-US"/>
        </w:rPr>
        <w:t xml:space="preserve"> Franzese</w:t>
      </w:r>
      <w:r w:rsidRPr="004D6F88">
        <w:rPr>
          <w:rFonts w:cs="Times New Roman"/>
          <w:lang w:val="en-US"/>
        </w:rPr>
        <w:t xml:space="preserve">, </w:t>
      </w:r>
      <w:r w:rsidR="00B42AF7">
        <w:rPr>
          <w:rFonts w:cs="Times New Roman"/>
          <w:lang w:val="en-US"/>
        </w:rPr>
        <w:t>“</w:t>
      </w:r>
      <w:r w:rsidRPr="004D6F88">
        <w:rPr>
          <w:rFonts w:cs="Times New Roman"/>
          <w:lang w:val="en-US"/>
        </w:rPr>
        <w:t>Mixed Signals: Central Bank Independence, Coordinated Wage Bargaining, and European Monetary Union</w:t>
      </w:r>
      <w:r w:rsidR="00B42AF7">
        <w:rPr>
          <w:rFonts w:cs="Times New Roman"/>
          <w:lang w:val="en-US"/>
        </w:rPr>
        <w:t>”</w:t>
      </w:r>
      <w:r w:rsidRPr="004D6F88">
        <w:rPr>
          <w:rFonts w:cs="Times New Roman"/>
          <w:lang w:val="en-US"/>
        </w:rPr>
        <w:t xml:space="preserve">, </w:t>
      </w:r>
      <w:r w:rsidRPr="004D6F88">
        <w:rPr>
          <w:rFonts w:cs="Times New Roman"/>
          <w:i/>
          <w:iCs/>
          <w:lang w:val="en-US"/>
        </w:rPr>
        <w:t>International Organization</w:t>
      </w:r>
      <w:r w:rsidRPr="004D6F88">
        <w:rPr>
          <w:rFonts w:cs="Times New Roman"/>
          <w:lang w:val="en-US"/>
        </w:rPr>
        <w:t>, vol. 52, n</w:t>
      </w:r>
      <w:r w:rsidRPr="004D6F88">
        <w:rPr>
          <w:rFonts w:cs="Times New Roman"/>
          <w:vertAlign w:val="superscript"/>
          <w:lang w:val="en-US"/>
        </w:rPr>
        <w:t>o</w:t>
      </w:r>
      <w:r w:rsidRPr="004D6F88">
        <w:rPr>
          <w:rFonts w:cs="Times New Roman"/>
          <w:lang w:val="en-US"/>
        </w:rPr>
        <w:t> 03, 1998, p. 505‑535.</w:t>
      </w:r>
    </w:p>
  </w:footnote>
  <w:footnote w:id="15">
    <w:p w:rsidRPr="004D6F88" w:rsidR="004D6F88" w:rsidRDefault="004D6F88" w14:paraId="785F8ED9" w14:textId="77B96BE0">
      <w:pPr>
        <w:pStyle w:val="Notedebasdepage"/>
        <w:rPr>
          <w:lang w:val="en-US"/>
        </w:rPr>
      </w:pPr>
      <w:r>
        <w:rPr>
          <w:rStyle w:val="Appelnotedebasdep"/>
        </w:rPr>
        <w:footnoteRef/>
      </w:r>
      <w:r w:rsidRPr="004D6F88">
        <w:rPr>
          <w:lang w:val="en-US"/>
        </w:rPr>
        <w:t xml:space="preserve"> </w:t>
      </w:r>
      <w:r w:rsidRPr="004D6F88">
        <w:rPr>
          <w:rFonts w:cs="Times New Roman"/>
          <w:lang w:val="en-US"/>
        </w:rPr>
        <w:t>Roland</w:t>
      </w:r>
      <w:r w:rsidR="00DE0747">
        <w:rPr>
          <w:rFonts w:cs="Times New Roman"/>
          <w:lang w:val="en-US"/>
        </w:rPr>
        <w:t xml:space="preserve"> Sturm</w:t>
      </w:r>
      <w:r w:rsidRPr="004D6F88">
        <w:rPr>
          <w:rFonts w:cs="Times New Roman"/>
          <w:lang w:val="en-US"/>
        </w:rPr>
        <w:t xml:space="preserve">, </w:t>
      </w:r>
      <w:r w:rsidR="00B42AF7">
        <w:rPr>
          <w:rFonts w:cs="Times New Roman"/>
          <w:lang w:val="en-US"/>
        </w:rPr>
        <w:t>“</w:t>
      </w:r>
      <w:r w:rsidRPr="004D6F88">
        <w:rPr>
          <w:rFonts w:cs="Times New Roman"/>
          <w:lang w:val="en-US"/>
        </w:rPr>
        <w:t>How independent is the Bundesbank?</w:t>
      </w:r>
      <w:r w:rsidR="00B42AF7">
        <w:rPr>
          <w:rFonts w:cs="Times New Roman"/>
          <w:lang w:val="en-US"/>
        </w:rPr>
        <w:t>”</w:t>
      </w:r>
      <w:r w:rsidRPr="004D6F88">
        <w:rPr>
          <w:rFonts w:cs="Times New Roman"/>
          <w:lang w:val="en-US"/>
        </w:rPr>
        <w:t xml:space="preserve">, </w:t>
      </w:r>
      <w:r w:rsidRPr="004D6F88">
        <w:rPr>
          <w:rFonts w:cs="Times New Roman"/>
          <w:i/>
          <w:iCs/>
          <w:lang w:val="en-US"/>
        </w:rPr>
        <w:t>German Politics</w:t>
      </w:r>
      <w:r w:rsidRPr="004D6F88">
        <w:rPr>
          <w:rFonts w:cs="Times New Roman"/>
          <w:lang w:val="en-US"/>
        </w:rPr>
        <w:t>, vol. 4, n</w:t>
      </w:r>
      <w:r w:rsidRPr="004D6F88">
        <w:rPr>
          <w:rFonts w:cs="Times New Roman"/>
          <w:vertAlign w:val="superscript"/>
          <w:lang w:val="en-US"/>
        </w:rPr>
        <w:t>o</w:t>
      </w:r>
      <w:r w:rsidRPr="004D6F88">
        <w:rPr>
          <w:rFonts w:cs="Times New Roman"/>
          <w:lang w:val="en-US"/>
        </w:rPr>
        <w:t> 1, Routledge, 1995, p. 27‑41.</w:t>
      </w:r>
    </w:p>
  </w:footnote>
  <w:footnote w:id="16">
    <w:p w:rsidRPr="004D6F88" w:rsidR="004D6F88" w:rsidRDefault="004D6F88" w14:paraId="3E663EC4" w14:textId="74BE1852">
      <w:pPr>
        <w:pStyle w:val="Notedebasdepage"/>
        <w:rPr>
          <w:lang w:val="en-US"/>
        </w:rPr>
      </w:pPr>
      <w:r>
        <w:rPr>
          <w:rStyle w:val="Appelnotedebasdep"/>
        </w:rPr>
        <w:footnoteRef/>
      </w:r>
      <w:r w:rsidR="003111C7">
        <w:rPr>
          <w:lang w:val="en-US"/>
        </w:rPr>
        <w:t xml:space="preserve"> Otmar </w:t>
      </w:r>
      <w:proofErr w:type="spellStart"/>
      <w:r w:rsidR="003111C7">
        <w:rPr>
          <w:lang w:val="en-US"/>
        </w:rPr>
        <w:t>Issing</w:t>
      </w:r>
      <w:proofErr w:type="spellEnd"/>
      <w:r w:rsidRPr="004D6F88">
        <w:rPr>
          <w:lang w:val="en-US"/>
        </w:rPr>
        <w:t xml:space="preserve"> </w:t>
      </w:r>
      <w:r w:rsidRPr="004D6F88">
        <w:rPr>
          <w:rFonts w:cs="Times New Roman"/>
          <w:i/>
          <w:iCs/>
          <w:lang w:val="en-US"/>
        </w:rPr>
        <w:t>et alii</w:t>
      </w:r>
      <w:r w:rsidRPr="004D6F88">
        <w:rPr>
          <w:rFonts w:cs="Times New Roman"/>
          <w:lang w:val="en-US"/>
        </w:rPr>
        <w:t xml:space="preserve">, </w:t>
      </w:r>
      <w:r w:rsidRPr="004D6F88">
        <w:rPr>
          <w:rFonts w:cs="Times New Roman"/>
          <w:i/>
          <w:iCs/>
          <w:lang w:val="en-US"/>
        </w:rPr>
        <w:t>Monetary Policy in the Euro Area</w:t>
      </w:r>
      <w:r w:rsidRPr="004D6F88">
        <w:rPr>
          <w:rFonts w:cs="Times New Roman"/>
          <w:lang w:val="en-US"/>
        </w:rPr>
        <w:t xml:space="preserve">, </w:t>
      </w:r>
      <w:r w:rsidRPr="004D6F88">
        <w:rPr>
          <w:rFonts w:cs="Times New Roman"/>
          <w:i/>
          <w:iCs/>
          <w:lang w:val="en-US"/>
        </w:rPr>
        <w:t>op. cit.</w:t>
      </w:r>
      <w:r w:rsidRPr="004D6F88">
        <w:rPr>
          <w:rFonts w:cs="Times New Roman"/>
          <w:lang w:val="en-US"/>
        </w:rPr>
        <w:t>, p. 38.</w:t>
      </w:r>
    </w:p>
  </w:footnote>
  <w:footnote w:id="17">
    <w:p w:rsidRPr="004D6F88" w:rsidR="004D6F88" w:rsidRDefault="004D6F88" w14:paraId="41D5AFE7" w14:textId="6E00A884">
      <w:pPr>
        <w:pStyle w:val="Notedebasdepage"/>
        <w:rPr>
          <w:lang w:val="en-US"/>
        </w:rPr>
      </w:pPr>
      <w:r>
        <w:rPr>
          <w:rStyle w:val="Appelnotedebasdep"/>
        </w:rPr>
        <w:footnoteRef/>
      </w:r>
      <w:r w:rsidRPr="004D6F88">
        <w:rPr>
          <w:lang w:val="en-US"/>
        </w:rPr>
        <w:t xml:space="preserve"> </w:t>
      </w:r>
      <w:r w:rsidRPr="004D6F88">
        <w:rPr>
          <w:rFonts w:cs="Times New Roman"/>
          <w:lang w:val="en-US"/>
        </w:rPr>
        <w:t>Jean-Claude</w:t>
      </w:r>
      <w:r w:rsidR="003111C7">
        <w:rPr>
          <w:rFonts w:cs="Times New Roman"/>
          <w:lang w:val="en-US"/>
        </w:rPr>
        <w:t xml:space="preserve"> Trichet</w:t>
      </w:r>
      <w:r w:rsidRPr="004D6F88">
        <w:rPr>
          <w:rFonts w:cs="Times New Roman"/>
          <w:lang w:val="en-US"/>
        </w:rPr>
        <w:t xml:space="preserve">, </w:t>
      </w:r>
      <w:r w:rsidR="00B42AF7">
        <w:rPr>
          <w:rFonts w:cs="Times New Roman"/>
          <w:lang w:val="en-US"/>
        </w:rPr>
        <w:t>“</w:t>
      </w:r>
      <w:r w:rsidRPr="004D6F88">
        <w:rPr>
          <w:rFonts w:cs="Times New Roman"/>
          <w:lang w:val="en-US"/>
        </w:rPr>
        <w:t>Testimony before the Committee on Economic and Monetary Affairs of the European Parliament</w:t>
      </w:r>
      <w:r w:rsidR="00B42AF7">
        <w:rPr>
          <w:rFonts w:cs="Times New Roman"/>
          <w:lang w:val="en-US"/>
        </w:rPr>
        <w:t>”</w:t>
      </w:r>
      <w:r w:rsidRPr="004D6F88">
        <w:rPr>
          <w:rFonts w:cs="Times New Roman"/>
          <w:lang w:val="en-US"/>
        </w:rPr>
        <w:t>, 21</w:t>
      </w:r>
      <w:r w:rsidR="003111C7">
        <w:rPr>
          <w:rFonts w:cs="Times New Roman"/>
          <w:lang w:val="en-US"/>
        </w:rPr>
        <w:t>/</w:t>
      </w:r>
      <w:r w:rsidRPr="004D6F88">
        <w:rPr>
          <w:rFonts w:cs="Times New Roman"/>
          <w:lang w:val="en-US"/>
        </w:rPr>
        <w:t>06</w:t>
      </w:r>
      <w:r w:rsidR="003111C7">
        <w:rPr>
          <w:rFonts w:cs="Times New Roman"/>
          <w:lang w:val="en-US"/>
        </w:rPr>
        <w:t>/</w:t>
      </w:r>
      <w:r w:rsidRPr="004D6F88">
        <w:rPr>
          <w:rFonts w:cs="Times New Roman"/>
          <w:lang w:val="en-US"/>
        </w:rPr>
        <w:t>2006, p. 2.</w:t>
      </w:r>
    </w:p>
  </w:footnote>
  <w:footnote w:id="18">
    <w:p w:rsidRPr="004D6F88" w:rsidR="004D6F88" w:rsidRDefault="004D6F88" w14:paraId="488627C7" w14:textId="6EAD7B94">
      <w:pPr>
        <w:pStyle w:val="Notedebasdepage"/>
        <w:rPr>
          <w:lang w:val="en-US"/>
        </w:rPr>
      </w:pPr>
      <w:r>
        <w:rPr>
          <w:rStyle w:val="Appelnotedebasdep"/>
        </w:rPr>
        <w:footnoteRef/>
      </w:r>
      <w:r w:rsidRPr="003111C7">
        <w:t xml:space="preserve"> </w:t>
      </w:r>
      <w:r w:rsidRPr="003111C7" w:rsidR="003111C7">
        <w:t>Les citations de discours sont traduites en français par les auteurs.</w:t>
      </w:r>
      <w:r w:rsidRPr="003111C7" w:rsidR="003111C7">
        <w:t xml:space="preserve"> </w:t>
      </w:r>
      <w:r w:rsidRPr="004D6F88">
        <w:rPr>
          <w:rFonts w:cs="Times New Roman"/>
          <w:lang w:val="en-US"/>
        </w:rPr>
        <w:t>Jürgen</w:t>
      </w:r>
      <w:r w:rsidR="003111C7">
        <w:rPr>
          <w:rFonts w:cs="Times New Roman"/>
          <w:lang w:val="en-US"/>
        </w:rPr>
        <w:t xml:space="preserve"> Stark</w:t>
      </w:r>
      <w:r w:rsidRPr="004D6F88">
        <w:rPr>
          <w:rFonts w:cs="Times New Roman"/>
          <w:lang w:val="en-US"/>
        </w:rPr>
        <w:t xml:space="preserve">, </w:t>
      </w:r>
      <w:r w:rsidR="00B42AF7">
        <w:rPr>
          <w:rFonts w:cs="Times New Roman"/>
          <w:lang w:val="en-US"/>
        </w:rPr>
        <w:t>“</w:t>
      </w:r>
      <w:r w:rsidRPr="004D6F88">
        <w:rPr>
          <w:rFonts w:cs="Times New Roman"/>
          <w:lang w:val="en-US"/>
        </w:rPr>
        <w:t>The economic crisis and the response of fiscal and monetary policy</w:t>
      </w:r>
      <w:r w:rsidR="00B42AF7">
        <w:rPr>
          <w:rFonts w:cs="Times New Roman"/>
          <w:lang w:val="en-US"/>
        </w:rPr>
        <w:t>”</w:t>
      </w:r>
      <w:r w:rsidRPr="004D6F88">
        <w:rPr>
          <w:rFonts w:cs="Times New Roman"/>
          <w:lang w:val="en-US"/>
        </w:rPr>
        <w:t xml:space="preserve">, </w:t>
      </w:r>
      <w:r w:rsidRPr="004D6F88">
        <w:rPr>
          <w:rFonts w:cs="Times New Roman"/>
          <w:i/>
          <w:iCs/>
          <w:lang w:val="en-US"/>
        </w:rPr>
        <w:t xml:space="preserve">at the Austrian Industrial </w:t>
      </w:r>
      <w:proofErr w:type="spellStart"/>
      <w:r w:rsidRPr="004D6F88">
        <w:rPr>
          <w:rFonts w:cs="Times New Roman"/>
          <w:i/>
          <w:iCs/>
          <w:lang w:val="en-US"/>
        </w:rPr>
        <w:t>Organisation</w:t>
      </w:r>
      <w:proofErr w:type="spellEnd"/>
      <w:r w:rsidRPr="004D6F88">
        <w:rPr>
          <w:rFonts w:cs="Times New Roman"/>
          <w:i/>
          <w:iCs/>
          <w:lang w:val="en-US"/>
        </w:rPr>
        <w:t>, Linz</w:t>
      </w:r>
      <w:r w:rsidRPr="004D6F88">
        <w:rPr>
          <w:rFonts w:cs="Times New Roman"/>
          <w:lang w:val="en-US"/>
        </w:rPr>
        <w:t>, 08</w:t>
      </w:r>
      <w:r w:rsidR="003111C7">
        <w:rPr>
          <w:rFonts w:cs="Times New Roman"/>
          <w:lang w:val="en-US"/>
        </w:rPr>
        <w:t>/</w:t>
      </w:r>
      <w:r w:rsidRPr="004D6F88">
        <w:rPr>
          <w:rFonts w:cs="Times New Roman"/>
          <w:lang w:val="en-US"/>
        </w:rPr>
        <w:t>06</w:t>
      </w:r>
      <w:r w:rsidR="003111C7">
        <w:rPr>
          <w:rFonts w:cs="Times New Roman"/>
          <w:lang w:val="en-US"/>
        </w:rPr>
        <w:t>/</w:t>
      </w:r>
      <w:r w:rsidRPr="004D6F88">
        <w:rPr>
          <w:rFonts w:cs="Times New Roman"/>
          <w:lang w:val="en-US"/>
        </w:rPr>
        <w:t>2009, p. 10.</w:t>
      </w:r>
    </w:p>
  </w:footnote>
  <w:footnote w:id="19">
    <w:p w:rsidRPr="004D6F88" w:rsidR="004D6F88" w:rsidRDefault="004D6F88" w14:paraId="0C16370A" w14:textId="0486104C">
      <w:pPr>
        <w:pStyle w:val="Notedebasdepage"/>
        <w:rPr>
          <w:lang w:val="en-US"/>
        </w:rPr>
      </w:pPr>
      <w:r>
        <w:rPr>
          <w:rStyle w:val="Appelnotedebasdep"/>
        </w:rPr>
        <w:footnoteRef/>
      </w:r>
      <w:r w:rsidRPr="004D6F88">
        <w:rPr>
          <w:lang w:val="en-US"/>
        </w:rPr>
        <w:t xml:space="preserve"> </w:t>
      </w:r>
      <w:r w:rsidRPr="004D6F88">
        <w:rPr>
          <w:rFonts w:cs="Times New Roman"/>
          <w:lang w:val="en-US"/>
        </w:rPr>
        <w:t>Jürgen</w:t>
      </w:r>
      <w:r w:rsidR="005979E9">
        <w:rPr>
          <w:rFonts w:cs="Times New Roman"/>
          <w:lang w:val="en-US"/>
        </w:rPr>
        <w:t xml:space="preserve"> Stark</w:t>
      </w:r>
      <w:r w:rsidRPr="004D6F88">
        <w:rPr>
          <w:rFonts w:cs="Times New Roman"/>
          <w:lang w:val="en-US"/>
        </w:rPr>
        <w:t xml:space="preserve">, </w:t>
      </w:r>
      <w:r w:rsidR="00B42AF7">
        <w:rPr>
          <w:rFonts w:cs="Times New Roman"/>
          <w:lang w:val="en-US"/>
        </w:rPr>
        <w:t>“</w:t>
      </w:r>
      <w:r w:rsidRPr="004D6F88">
        <w:rPr>
          <w:rFonts w:cs="Times New Roman"/>
          <w:lang w:val="en-US"/>
        </w:rPr>
        <w:t>The global financial crisis and the role of monetary policy</w:t>
      </w:r>
      <w:r w:rsidR="00B42AF7">
        <w:rPr>
          <w:rFonts w:cs="Times New Roman"/>
          <w:lang w:val="en-US"/>
        </w:rPr>
        <w:t>”</w:t>
      </w:r>
      <w:r w:rsidRPr="004D6F88">
        <w:rPr>
          <w:rFonts w:cs="Times New Roman"/>
          <w:lang w:val="en-US"/>
        </w:rPr>
        <w:t xml:space="preserve">, </w:t>
      </w:r>
      <w:r w:rsidRPr="004D6F88">
        <w:rPr>
          <w:rFonts w:cs="Times New Roman"/>
          <w:i/>
          <w:iCs/>
          <w:lang w:val="en-US"/>
        </w:rPr>
        <w:t>at the 13th Annual Emerging Markets Conference 2011, Washington DC</w:t>
      </w:r>
      <w:r w:rsidRPr="004D6F88">
        <w:rPr>
          <w:rFonts w:cs="Times New Roman"/>
          <w:lang w:val="en-US"/>
        </w:rPr>
        <w:t>, 24</w:t>
      </w:r>
      <w:r w:rsidR="005979E9">
        <w:rPr>
          <w:rFonts w:cs="Times New Roman"/>
          <w:lang w:val="en-US"/>
        </w:rPr>
        <w:t>/</w:t>
      </w:r>
      <w:r w:rsidRPr="004D6F88">
        <w:rPr>
          <w:rFonts w:cs="Times New Roman"/>
          <w:lang w:val="en-US"/>
        </w:rPr>
        <w:t>09</w:t>
      </w:r>
      <w:r w:rsidR="005979E9">
        <w:rPr>
          <w:rFonts w:cs="Times New Roman"/>
          <w:lang w:val="en-US"/>
        </w:rPr>
        <w:t>/</w:t>
      </w:r>
      <w:r w:rsidRPr="004D6F88">
        <w:rPr>
          <w:rFonts w:cs="Times New Roman"/>
          <w:lang w:val="en-US"/>
        </w:rPr>
        <w:t>2011, p. 2‑3.</w:t>
      </w:r>
    </w:p>
  </w:footnote>
  <w:footnote w:id="20">
    <w:p w:rsidRPr="004D6F88" w:rsidR="004D6F88" w:rsidRDefault="004D6F88" w14:paraId="611A8E9B" w14:textId="3AF6A72C">
      <w:pPr>
        <w:pStyle w:val="Notedebasdepage"/>
        <w:rPr>
          <w:lang w:val="en-US"/>
        </w:rPr>
      </w:pPr>
      <w:r>
        <w:rPr>
          <w:rStyle w:val="Appelnotedebasdep"/>
        </w:rPr>
        <w:footnoteRef/>
      </w:r>
      <w:r w:rsidRPr="004D6F88">
        <w:rPr>
          <w:lang w:val="en-US"/>
        </w:rPr>
        <w:t xml:space="preserve"> </w:t>
      </w:r>
      <w:r w:rsidRPr="004D6F88">
        <w:rPr>
          <w:rFonts w:cs="Times New Roman"/>
          <w:lang w:val="en-US"/>
        </w:rPr>
        <w:t>Jean-Claude</w:t>
      </w:r>
      <w:r w:rsidR="005979E9">
        <w:rPr>
          <w:rFonts w:cs="Times New Roman"/>
          <w:lang w:val="en-US"/>
        </w:rPr>
        <w:t xml:space="preserve"> Trichet</w:t>
      </w:r>
      <w:r w:rsidRPr="004D6F88">
        <w:rPr>
          <w:rFonts w:cs="Times New Roman"/>
          <w:lang w:val="en-US"/>
        </w:rPr>
        <w:t xml:space="preserve">, </w:t>
      </w:r>
      <w:r w:rsidR="00B42AF7">
        <w:rPr>
          <w:rFonts w:cs="Times New Roman"/>
          <w:lang w:val="en-US"/>
        </w:rPr>
        <w:t>“</w:t>
      </w:r>
      <w:r w:rsidRPr="004D6F88">
        <w:rPr>
          <w:rFonts w:cs="Times New Roman"/>
          <w:lang w:val="en-US"/>
        </w:rPr>
        <w:t>European economy - current state and prospects</w:t>
      </w:r>
      <w:r w:rsidR="00B42AF7">
        <w:rPr>
          <w:rFonts w:cs="Times New Roman"/>
          <w:lang w:val="en-US"/>
        </w:rPr>
        <w:t>”</w:t>
      </w:r>
      <w:r w:rsidRPr="004D6F88">
        <w:rPr>
          <w:rFonts w:cs="Times New Roman"/>
          <w:lang w:val="en-US"/>
        </w:rPr>
        <w:t xml:space="preserve">, </w:t>
      </w:r>
      <w:r w:rsidRPr="004D6F88">
        <w:rPr>
          <w:rFonts w:cs="Times New Roman"/>
          <w:i/>
          <w:iCs/>
          <w:lang w:val="en-US"/>
        </w:rPr>
        <w:t>Keynote speech at the Annual Dinner 2004 of Financial Services Ireland, Dublin</w:t>
      </w:r>
      <w:r w:rsidRPr="004D6F88">
        <w:rPr>
          <w:rFonts w:cs="Times New Roman"/>
          <w:lang w:val="en-US"/>
        </w:rPr>
        <w:t>, 23</w:t>
      </w:r>
      <w:r w:rsidR="005979E9">
        <w:rPr>
          <w:rFonts w:cs="Times New Roman"/>
          <w:lang w:val="en-US"/>
        </w:rPr>
        <w:t>/</w:t>
      </w:r>
      <w:r w:rsidRPr="004D6F88">
        <w:rPr>
          <w:rFonts w:cs="Times New Roman"/>
          <w:lang w:val="en-US"/>
        </w:rPr>
        <w:t>09</w:t>
      </w:r>
      <w:r w:rsidR="005979E9">
        <w:rPr>
          <w:rFonts w:cs="Times New Roman"/>
          <w:lang w:val="en-US"/>
        </w:rPr>
        <w:t>/</w:t>
      </w:r>
      <w:r w:rsidRPr="004D6F88">
        <w:rPr>
          <w:rFonts w:cs="Times New Roman"/>
          <w:lang w:val="en-US"/>
        </w:rPr>
        <w:t>2004, p. 4.</w:t>
      </w:r>
    </w:p>
  </w:footnote>
  <w:footnote w:id="21">
    <w:p w:rsidRPr="004D6F88" w:rsidR="004D6F88" w:rsidRDefault="004D6F88" w14:paraId="78FEEA0F" w14:textId="7569A838">
      <w:pPr>
        <w:pStyle w:val="Notedebasdepage"/>
        <w:rPr>
          <w:lang w:val="en-US"/>
        </w:rPr>
      </w:pPr>
      <w:r>
        <w:rPr>
          <w:rStyle w:val="Appelnotedebasdep"/>
        </w:rPr>
        <w:footnoteRef/>
      </w:r>
      <w:r w:rsidRPr="004D6F88">
        <w:rPr>
          <w:lang w:val="en-US"/>
        </w:rPr>
        <w:t xml:space="preserve"> </w:t>
      </w:r>
      <w:r w:rsidRPr="004D6F88">
        <w:rPr>
          <w:rFonts w:cs="Times New Roman"/>
          <w:lang w:val="en-US"/>
        </w:rPr>
        <w:t>Jean-Claude</w:t>
      </w:r>
      <w:r w:rsidR="005979E9">
        <w:rPr>
          <w:rFonts w:cs="Times New Roman"/>
          <w:lang w:val="en-US"/>
        </w:rPr>
        <w:t xml:space="preserve"> Trichet</w:t>
      </w:r>
      <w:r w:rsidRPr="004D6F88">
        <w:rPr>
          <w:rFonts w:cs="Times New Roman"/>
          <w:lang w:val="en-US"/>
        </w:rPr>
        <w:t xml:space="preserve"> et Lucas</w:t>
      </w:r>
      <w:r w:rsidR="005979E9">
        <w:rPr>
          <w:rFonts w:cs="Times New Roman"/>
          <w:lang w:val="en-US"/>
        </w:rPr>
        <w:t xml:space="preserve"> Papademos</w:t>
      </w:r>
      <w:r w:rsidRPr="004D6F88">
        <w:rPr>
          <w:rFonts w:cs="Times New Roman"/>
          <w:lang w:val="en-US"/>
        </w:rPr>
        <w:t xml:space="preserve">, </w:t>
      </w:r>
      <w:r w:rsidR="00B42AF7">
        <w:rPr>
          <w:rFonts w:cs="Times New Roman"/>
          <w:lang w:val="en-US"/>
        </w:rPr>
        <w:t>“</w:t>
      </w:r>
      <w:r w:rsidRPr="004D6F88">
        <w:rPr>
          <w:rFonts w:cs="Times New Roman"/>
          <w:lang w:val="en-US"/>
        </w:rPr>
        <w:t>European Central Bank: Press conference – introductory statement</w:t>
      </w:r>
      <w:r w:rsidR="00B42AF7">
        <w:rPr>
          <w:rFonts w:cs="Times New Roman"/>
          <w:lang w:val="en-US"/>
        </w:rPr>
        <w:t>”</w:t>
      </w:r>
      <w:r w:rsidRPr="004D6F88">
        <w:rPr>
          <w:rFonts w:cs="Times New Roman"/>
          <w:lang w:val="en-US"/>
        </w:rPr>
        <w:t xml:space="preserve">, </w:t>
      </w:r>
      <w:r w:rsidRPr="004D6F88">
        <w:rPr>
          <w:rFonts w:cs="Times New Roman"/>
          <w:i/>
          <w:iCs/>
          <w:lang w:val="en-US"/>
        </w:rPr>
        <w:t>at the ECB</w:t>
      </w:r>
      <w:r w:rsidRPr="004D6F88">
        <w:rPr>
          <w:rFonts w:cs="Times New Roman"/>
          <w:lang w:val="en-US"/>
        </w:rPr>
        <w:t>, 05</w:t>
      </w:r>
      <w:r w:rsidR="005979E9">
        <w:rPr>
          <w:rFonts w:cs="Times New Roman"/>
          <w:lang w:val="en-US"/>
        </w:rPr>
        <w:t>/</w:t>
      </w:r>
      <w:r w:rsidRPr="004D6F88">
        <w:rPr>
          <w:rFonts w:cs="Times New Roman"/>
          <w:lang w:val="en-US"/>
        </w:rPr>
        <w:t>07</w:t>
      </w:r>
      <w:r w:rsidR="005979E9">
        <w:rPr>
          <w:rFonts w:cs="Times New Roman"/>
          <w:lang w:val="en-US"/>
        </w:rPr>
        <w:t>/</w:t>
      </w:r>
      <w:r w:rsidRPr="004D6F88">
        <w:rPr>
          <w:rFonts w:cs="Times New Roman"/>
          <w:lang w:val="en-US"/>
        </w:rPr>
        <w:t>2007, p. 2.</w:t>
      </w:r>
    </w:p>
  </w:footnote>
  <w:footnote w:id="22">
    <w:p w:rsidRPr="004D6F88" w:rsidR="004D6F88" w:rsidRDefault="004D6F88" w14:paraId="1290E09D" w14:textId="4FAAF4C7">
      <w:pPr>
        <w:pStyle w:val="Notedebasdepage"/>
        <w:rPr>
          <w:lang w:val="en-US"/>
        </w:rPr>
      </w:pPr>
      <w:r>
        <w:rPr>
          <w:rStyle w:val="Appelnotedebasdep"/>
        </w:rPr>
        <w:footnoteRef/>
      </w:r>
      <w:r w:rsidRPr="004D6F88">
        <w:rPr>
          <w:lang w:val="en-US"/>
        </w:rPr>
        <w:t xml:space="preserve"> </w:t>
      </w:r>
      <w:r w:rsidRPr="004D6F88">
        <w:rPr>
          <w:rFonts w:cs="Times New Roman"/>
          <w:lang w:val="en-US"/>
        </w:rPr>
        <w:t>Daniela</w:t>
      </w:r>
      <w:r w:rsidR="005979E9">
        <w:rPr>
          <w:rFonts w:cs="Times New Roman"/>
          <w:lang w:val="en-US"/>
        </w:rPr>
        <w:t xml:space="preserve"> Gabor</w:t>
      </w:r>
      <w:r w:rsidRPr="004D6F88">
        <w:rPr>
          <w:rFonts w:cs="Times New Roman"/>
          <w:lang w:val="en-US"/>
        </w:rPr>
        <w:t xml:space="preserve">, </w:t>
      </w:r>
      <w:r w:rsidR="00B42AF7">
        <w:rPr>
          <w:rFonts w:cs="Times New Roman"/>
          <w:lang w:val="en-US"/>
        </w:rPr>
        <w:t>“</w:t>
      </w:r>
      <w:r w:rsidRPr="004D6F88">
        <w:rPr>
          <w:rFonts w:cs="Times New Roman"/>
          <w:lang w:val="en-US"/>
        </w:rPr>
        <w:t>Learning from Japan: The European Central Bank and the European Sovereign Debt Crisis</w:t>
      </w:r>
      <w:r w:rsidR="00B42AF7">
        <w:rPr>
          <w:rFonts w:cs="Times New Roman"/>
          <w:lang w:val="en-US"/>
        </w:rPr>
        <w:t>”</w:t>
      </w:r>
      <w:r w:rsidRPr="004D6F88">
        <w:rPr>
          <w:rFonts w:cs="Times New Roman"/>
          <w:lang w:val="en-US"/>
        </w:rPr>
        <w:t xml:space="preserve">, </w:t>
      </w:r>
      <w:r w:rsidRPr="004D6F88">
        <w:rPr>
          <w:rFonts w:cs="Times New Roman"/>
          <w:i/>
          <w:iCs/>
          <w:lang w:val="en-US"/>
        </w:rPr>
        <w:t>Review of Political Economy</w:t>
      </w:r>
      <w:r w:rsidRPr="004D6F88">
        <w:rPr>
          <w:rFonts w:cs="Times New Roman"/>
          <w:lang w:val="en-US"/>
        </w:rPr>
        <w:t>, vol. 26, n</w:t>
      </w:r>
      <w:r w:rsidRPr="004D6F88">
        <w:rPr>
          <w:rFonts w:cs="Times New Roman"/>
          <w:vertAlign w:val="superscript"/>
          <w:lang w:val="en-US"/>
        </w:rPr>
        <w:t>o</w:t>
      </w:r>
      <w:r w:rsidRPr="004D6F88">
        <w:rPr>
          <w:rFonts w:cs="Times New Roman"/>
          <w:lang w:val="en-US"/>
        </w:rPr>
        <w:t> 2, 2014, p. 190‑</w:t>
      </w:r>
      <w:proofErr w:type="gramStart"/>
      <w:r w:rsidRPr="004D6F88">
        <w:rPr>
          <w:rFonts w:cs="Times New Roman"/>
          <w:lang w:val="en-US"/>
        </w:rPr>
        <w:t>209 ;</w:t>
      </w:r>
      <w:proofErr w:type="gramEnd"/>
      <w:r w:rsidRPr="004D6F88">
        <w:rPr>
          <w:rFonts w:cs="Times New Roman"/>
          <w:lang w:val="en-US"/>
        </w:rPr>
        <w:t xml:space="preserve"> Jens</w:t>
      </w:r>
      <w:r w:rsidR="005979E9">
        <w:rPr>
          <w:rFonts w:cs="Times New Roman"/>
          <w:lang w:val="en-US"/>
        </w:rPr>
        <w:t xml:space="preserve"> Van’t Klooster</w:t>
      </w:r>
      <w:r w:rsidRPr="004D6F88">
        <w:rPr>
          <w:rFonts w:cs="Times New Roman"/>
          <w:lang w:val="en-US"/>
        </w:rPr>
        <w:t xml:space="preserve">, </w:t>
      </w:r>
      <w:r w:rsidR="00B42AF7">
        <w:rPr>
          <w:rFonts w:cs="Times New Roman"/>
          <w:lang w:val="en-US"/>
        </w:rPr>
        <w:t>“</w:t>
      </w:r>
      <w:r w:rsidRPr="004D6F88">
        <w:rPr>
          <w:rFonts w:cs="Times New Roman"/>
          <w:lang w:val="en-US"/>
        </w:rPr>
        <w:t>The politics of the ECB’s market-based approach to government debt</w:t>
      </w:r>
      <w:r w:rsidR="00B42AF7">
        <w:rPr>
          <w:rFonts w:cs="Times New Roman"/>
          <w:lang w:val="en-US"/>
        </w:rPr>
        <w:t>”</w:t>
      </w:r>
      <w:r w:rsidRPr="004D6F88">
        <w:rPr>
          <w:rFonts w:cs="Times New Roman"/>
          <w:lang w:val="en-US"/>
        </w:rPr>
        <w:t xml:space="preserve">, </w:t>
      </w:r>
      <w:r w:rsidRPr="004D6F88">
        <w:rPr>
          <w:rFonts w:cs="Times New Roman"/>
          <w:i/>
          <w:iCs/>
          <w:lang w:val="en-US"/>
        </w:rPr>
        <w:t>Socio-Economic Review</w:t>
      </w:r>
      <w:r w:rsidR="001032BE">
        <w:rPr>
          <w:rFonts w:cs="Times New Roman"/>
          <w:i/>
          <w:iCs/>
          <w:lang w:val="en-US"/>
        </w:rPr>
        <w:t>,</w:t>
      </w:r>
      <w:r w:rsidRPr="001032BE" w:rsidR="001032BE">
        <w:rPr>
          <w:rFonts w:cs="Times New Roman"/>
          <w:lang w:val="en-US"/>
        </w:rPr>
        <w:t xml:space="preserve"> </w:t>
      </w:r>
      <w:r w:rsidRPr="004D6F88" w:rsidR="001032BE">
        <w:rPr>
          <w:rFonts w:cs="Times New Roman"/>
          <w:lang w:val="en-US"/>
        </w:rPr>
        <w:t>vol. </w:t>
      </w:r>
      <w:r w:rsidR="00590694">
        <w:rPr>
          <w:rFonts w:cs="Times New Roman"/>
          <w:lang w:val="en-US"/>
        </w:rPr>
        <w:t>21</w:t>
      </w:r>
      <w:r w:rsidRPr="004D6F88" w:rsidR="001032BE">
        <w:rPr>
          <w:rFonts w:cs="Times New Roman"/>
          <w:lang w:val="en-US"/>
        </w:rPr>
        <w:t>, n</w:t>
      </w:r>
      <w:r w:rsidRPr="004D6F88" w:rsidR="001032BE">
        <w:rPr>
          <w:rFonts w:cs="Times New Roman"/>
          <w:vertAlign w:val="superscript"/>
          <w:lang w:val="en-US"/>
        </w:rPr>
        <w:t>o</w:t>
      </w:r>
      <w:r w:rsidRPr="004D6F88" w:rsidR="001032BE">
        <w:rPr>
          <w:rFonts w:cs="Times New Roman"/>
          <w:lang w:val="en-US"/>
        </w:rPr>
        <w:t> 2</w:t>
      </w:r>
      <w:r w:rsidRPr="004D6F88">
        <w:rPr>
          <w:rFonts w:cs="Times New Roman"/>
          <w:lang w:val="en-US"/>
        </w:rPr>
        <w:t>, 202</w:t>
      </w:r>
      <w:r w:rsidR="001032BE">
        <w:rPr>
          <w:rFonts w:cs="Times New Roman"/>
          <w:lang w:val="en-US"/>
        </w:rPr>
        <w:t>3</w:t>
      </w:r>
      <w:r w:rsidR="00590694">
        <w:rPr>
          <w:rFonts w:cs="Times New Roman"/>
          <w:lang w:val="en-US"/>
        </w:rPr>
        <w:t>, p. 1103-1123</w:t>
      </w:r>
      <w:r w:rsidRPr="004D6F88">
        <w:rPr>
          <w:rFonts w:cs="Times New Roman"/>
          <w:lang w:val="en-US"/>
        </w:rPr>
        <w:t>.</w:t>
      </w:r>
    </w:p>
  </w:footnote>
  <w:footnote w:id="23">
    <w:p w:rsidRPr="004D6F88" w:rsidR="004D6F88" w:rsidRDefault="004D6F88" w14:paraId="0E716AF2" w14:textId="495A94A5">
      <w:pPr>
        <w:pStyle w:val="Notedebasdepage"/>
        <w:rPr>
          <w:lang w:val="en-US"/>
        </w:rPr>
      </w:pPr>
      <w:r>
        <w:rPr>
          <w:rStyle w:val="Appelnotedebasdep"/>
        </w:rPr>
        <w:footnoteRef/>
      </w:r>
      <w:r w:rsidRPr="004D6F88">
        <w:rPr>
          <w:lang w:val="en-US"/>
        </w:rPr>
        <w:t xml:space="preserve"> </w:t>
      </w:r>
      <w:r w:rsidRPr="004D6F88">
        <w:rPr>
          <w:rFonts w:cs="Times New Roman"/>
          <w:lang w:val="en-US"/>
        </w:rPr>
        <w:t>Jean-Claude</w:t>
      </w:r>
      <w:r w:rsidR="00590694">
        <w:rPr>
          <w:rFonts w:cs="Times New Roman"/>
          <w:lang w:val="en-US"/>
        </w:rPr>
        <w:t xml:space="preserve"> Trichet</w:t>
      </w:r>
      <w:r w:rsidRPr="004D6F88">
        <w:rPr>
          <w:rFonts w:cs="Times New Roman"/>
          <w:lang w:val="en-US"/>
        </w:rPr>
        <w:t xml:space="preserve"> et Lucas</w:t>
      </w:r>
      <w:r w:rsidR="00590694">
        <w:rPr>
          <w:rFonts w:cs="Times New Roman"/>
          <w:lang w:val="en-US"/>
        </w:rPr>
        <w:t xml:space="preserve"> Papademos</w:t>
      </w:r>
      <w:r w:rsidRPr="004D6F88">
        <w:rPr>
          <w:rFonts w:cs="Times New Roman"/>
          <w:lang w:val="en-US"/>
        </w:rPr>
        <w:t xml:space="preserve">, </w:t>
      </w:r>
      <w:r w:rsidR="00B42AF7">
        <w:rPr>
          <w:rFonts w:cs="Times New Roman"/>
          <w:lang w:val="en-US"/>
        </w:rPr>
        <w:t>“</w:t>
      </w:r>
      <w:r w:rsidRPr="004D6F88">
        <w:rPr>
          <w:rFonts w:cs="Times New Roman"/>
          <w:lang w:val="en-US"/>
        </w:rPr>
        <w:t>European Central Bank: Press conference – introductory statement</w:t>
      </w:r>
      <w:r w:rsidR="00B42AF7">
        <w:rPr>
          <w:rFonts w:cs="Times New Roman"/>
          <w:lang w:val="en-US"/>
        </w:rPr>
        <w:t>”</w:t>
      </w:r>
      <w:r w:rsidRPr="004D6F88">
        <w:rPr>
          <w:rFonts w:cs="Times New Roman"/>
          <w:lang w:val="en-US"/>
        </w:rPr>
        <w:t xml:space="preserve">, </w:t>
      </w:r>
      <w:r w:rsidRPr="004D6F88">
        <w:rPr>
          <w:rFonts w:cs="Times New Roman"/>
          <w:i/>
          <w:iCs/>
          <w:lang w:val="en-US"/>
        </w:rPr>
        <w:t>at the ECB</w:t>
      </w:r>
      <w:r w:rsidRPr="004D6F88">
        <w:rPr>
          <w:rFonts w:cs="Times New Roman"/>
          <w:lang w:val="en-US"/>
        </w:rPr>
        <w:t>, 05</w:t>
      </w:r>
      <w:r w:rsidR="00590694">
        <w:rPr>
          <w:rFonts w:cs="Times New Roman"/>
          <w:lang w:val="en-US"/>
        </w:rPr>
        <w:t>/</w:t>
      </w:r>
      <w:r w:rsidRPr="004D6F88">
        <w:rPr>
          <w:rFonts w:cs="Times New Roman"/>
          <w:lang w:val="en-US"/>
        </w:rPr>
        <w:t>06</w:t>
      </w:r>
      <w:r w:rsidR="00590694">
        <w:rPr>
          <w:rFonts w:cs="Times New Roman"/>
          <w:lang w:val="en-US"/>
        </w:rPr>
        <w:t>/</w:t>
      </w:r>
      <w:r w:rsidRPr="004D6F88">
        <w:rPr>
          <w:rFonts w:cs="Times New Roman"/>
          <w:lang w:val="en-US"/>
        </w:rPr>
        <w:t>2008, p. 3.</w:t>
      </w:r>
    </w:p>
  </w:footnote>
  <w:footnote w:id="24">
    <w:p w:rsidRPr="004D6F88" w:rsidR="004D6F88" w:rsidRDefault="004D6F88" w14:paraId="4F2A2739" w14:textId="75D06A7F">
      <w:pPr>
        <w:pStyle w:val="Notedebasdepage"/>
        <w:rPr>
          <w:lang w:val="en-US"/>
        </w:rPr>
      </w:pPr>
      <w:r>
        <w:rPr>
          <w:rStyle w:val="Appelnotedebasdep"/>
        </w:rPr>
        <w:footnoteRef/>
      </w:r>
      <w:r w:rsidRPr="004D6F88">
        <w:rPr>
          <w:lang w:val="en-US"/>
        </w:rPr>
        <w:t xml:space="preserve"> </w:t>
      </w:r>
      <w:r w:rsidRPr="004D6F88">
        <w:rPr>
          <w:rFonts w:cs="Times New Roman"/>
          <w:lang w:val="en-US"/>
        </w:rPr>
        <w:t>Gerald A.</w:t>
      </w:r>
      <w:r w:rsidR="00590694">
        <w:rPr>
          <w:rFonts w:cs="Times New Roman"/>
          <w:lang w:val="en-US"/>
        </w:rPr>
        <w:t xml:space="preserve"> Epstein</w:t>
      </w:r>
      <w:r w:rsidRPr="004D6F88">
        <w:rPr>
          <w:rFonts w:cs="Times New Roman"/>
          <w:lang w:val="en-US"/>
        </w:rPr>
        <w:t xml:space="preserve">, </w:t>
      </w:r>
      <w:r w:rsidRPr="004D6F88">
        <w:rPr>
          <w:rFonts w:cs="Times New Roman"/>
          <w:i/>
          <w:iCs/>
          <w:lang w:val="en-US"/>
        </w:rPr>
        <w:t>Financialization and the World Economy</w:t>
      </w:r>
      <w:r w:rsidRPr="004D6F88">
        <w:rPr>
          <w:rFonts w:cs="Times New Roman"/>
          <w:lang w:val="en-US"/>
        </w:rPr>
        <w:t>, Cheltenham</w:t>
      </w:r>
      <w:r w:rsidR="00590694">
        <w:rPr>
          <w:rFonts w:cs="Times New Roman"/>
          <w:lang w:val="en-US"/>
        </w:rPr>
        <w:t xml:space="preserve">, </w:t>
      </w:r>
      <w:r w:rsidRPr="004D6F88">
        <w:rPr>
          <w:rFonts w:cs="Times New Roman"/>
          <w:lang w:val="en-US"/>
        </w:rPr>
        <w:t>Edward Elgar Publishing, 2005; Clément</w:t>
      </w:r>
      <w:r w:rsidR="00590694">
        <w:rPr>
          <w:rFonts w:cs="Times New Roman"/>
          <w:lang w:val="en-US"/>
        </w:rPr>
        <w:t xml:space="preserve"> Fontan</w:t>
      </w:r>
      <w:r w:rsidRPr="004D6F88">
        <w:rPr>
          <w:rFonts w:cs="Times New Roman"/>
          <w:lang w:val="en-US"/>
        </w:rPr>
        <w:t xml:space="preserve">, </w:t>
      </w:r>
      <w:r w:rsidR="00B42AF7">
        <w:rPr>
          <w:rFonts w:cs="Times New Roman"/>
          <w:lang w:val="en-US"/>
        </w:rPr>
        <w:t>“</w:t>
      </w:r>
      <w:r w:rsidRPr="004D6F88">
        <w:rPr>
          <w:rFonts w:cs="Times New Roman"/>
          <w:lang w:val="en-US"/>
        </w:rPr>
        <w:t>Frankfurt’s double standard: the politics of the European Central Bank during the Eurozone crisis</w:t>
      </w:r>
      <w:r w:rsidR="00B42AF7">
        <w:rPr>
          <w:rFonts w:cs="Times New Roman"/>
          <w:lang w:val="en-US"/>
        </w:rPr>
        <w:t>”</w:t>
      </w:r>
      <w:r w:rsidRPr="004D6F88">
        <w:rPr>
          <w:rFonts w:cs="Times New Roman"/>
          <w:lang w:val="en-US"/>
        </w:rPr>
        <w:t xml:space="preserve">, </w:t>
      </w:r>
      <w:r w:rsidRPr="004D6F88">
        <w:rPr>
          <w:rFonts w:cs="Times New Roman"/>
          <w:i/>
          <w:iCs/>
          <w:lang w:val="en-US"/>
        </w:rPr>
        <w:t>Cambridge Review of International Affairs</w:t>
      </w:r>
      <w:r w:rsidRPr="004D6F88">
        <w:rPr>
          <w:rFonts w:cs="Times New Roman"/>
          <w:lang w:val="en-US"/>
        </w:rPr>
        <w:t>, vol. 31, n</w:t>
      </w:r>
      <w:r w:rsidRPr="004D6F88">
        <w:rPr>
          <w:rFonts w:cs="Times New Roman"/>
          <w:vertAlign w:val="superscript"/>
          <w:lang w:val="en-US"/>
        </w:rPr>
        <w:t>o</w:t>
      </w:r>
      <w:r w:rsidRPr="004D6F88">
        <w:rPr>
          <w:rFonts w:cs="Times New Roman"/>
          <w:lang w:val="en-US"/>
        </w:rPr>
        <w:t> 2, 2018, p. 162‑182.</w:t>
      </w:r>
    </w:p>
  </w:footnote>
  <w:footnote w:id="25">
    <w:p w:rsidRPr="004D6F88" w:rsidR="004D6F88" w:rsidRDefault="004D6F88" w14:paraId="6BEBD274" w14:textId="20B959A8">
      <w:pPr>
        <w:pStyle w:val="Notedebasdepage"/>
        <w:rPr>
          <w:lang w:val="en-US"/>
        </w:rPr>
      </w:pPr>
      <w:r>
        <w:rPr>
          <w:rStyle w:val="Appelnotedebasdep"/>
        </w:rPr>
        <w:footnoteRef/>
      </w:r>
      <w:r w:rsidRPr="004D6F88">
        <w:rPr>
          <w:lang w:val="en-US"/>
        </w:rPr>
        <w:t xml:space="preserve"> </w:t>
      </w:r>
      <w:r w:rsidRPr="004D6F88">
        <w:rPr>
          <w:rFonts w:cs="Times New Roman"/>
          <w:lang w:val="en-US"/>
        </w:rPr>
        <w:t>Martin</w:t>
      </w:r>
      <w:r w:rsidR="002B2D1D">
        <w:rPr>
          <w:rFonts w:cs="Times New Roman"/>
          <w:lang w:val="en-US"/>
        </w:rPr>
        <w:t xml:space="preserve"> </w:t>
      </w:r>
      <w:proofErr w:type="spellStart"/>
      <w:r w:rsidR="002B2D1D">
        <w:rPr>
          <w:rFonts w:cs="Times New Roman"/>
          <w:lang w:val="en-US"/>
        </w:rPr>
        <w:t>Heipertz</w:t>
      </w:r>
      <w:proofErr w:type="spellEnd"/>
      <w:r w:rsidRPr="004D6F88">
        <w:rPr>
          <w:rFonts w:cs="Times New Roman"/>
          <w:lang w:val="en-US"/>
        </w:rPr>
        <w:t xml:space="preserve"> et Amy</w:t>
      </w:r>
      <w:r w:rsidR="002B2D1D">
        <w:rPr>
          <w:rFonts w:cs="Times New Roman"/>
          <w:lang w:val="en-US"/>
        </w:rPr>
        <w:t xml:space="preserve"> Verdun</w:t>
      </w:r>
      <w:r w:rsidRPr="004D6F88">
        <w:rPr>
          <w:rFonts w:cs="Times New Roman"/>
          <w:lang w:val="en-US"/>
        </w:rPr>
        <w:t xml:space="preserve">, </w:t>
      </w:r>
      <w:r w:rsidRPr="004D6F88">
        <w:rPr>
          <w:rFonts w:cs="Times New Roman"/>
          <w:i/>
          <w:iCs/>
          <w:lang w:val="en-US"/>
        </w:rPr>
        <w:t>Ruling Europe: The Politics of the Stability and Growth Pact</w:t>
      </w:r>
      <w:r w:rsidRPr="004D6F88">
        <w:rPr>
          <w:rFonts w:cs="Times New Roman"/>
          <w:lang w:val="en-US"/>
        </w:rPr>
        <w:t>, Cambridge</w:t>
      </w:r>
      <w:r w:rsidR="002B2D1D">
        <w:rPr>
          <w:rFonts w:cs="Times New Roman"/>
          <w:lang w:val="en-US"/>
        </w:rPr>
        <w:t>,</w:t>
      </w:r>
      <w:r w:rsidRPr="004D6F88">
        <w:rPr>
          <w:rFonts w:cs="Times New Roman"/>
          <w:lang w:val="en-US"/>
        </w:rPr>
        <w:t xml:space="preserve"> New York</w:t>
      </w:r>
      <w:r w:rsidR="002B2D1D">
        <w:rPr>
          <w:rFonts w:cs="Times New Roman"/>
          <w:lang w:val="en-US"/>
        </w:rPr>
        <w:t>,</w:t>
      </w:r>
      <w:r w:rsidRPr="004D6F88">
        <w:rPr>
          <w:rFonts w:cs="Times New Roman"/>
          <w:lang w:val="en-US"/>
        </w:rPr>
        <w:t xml:space="preserve"> Cambridge University Press, 2010.</w:t>
      </w:r>
    </w:p>
  </w:footnote>
  <w:footnote w:id="26">
    <w:p w:rsidRPr="004D6F88" w:rsidR="004D6F88" w:rsidRDefault="004D6F88" w14:paraId="1FCB3485" w14:textId="20AB00F6">
      <w:pPr>
        <w:pStyle w:val="Notedebasdepage"/>
        <w:rPr>
          <w:lang w:val="en-US"/>
        </w:rPr>
      </w:pPr>
      <w:r>
        <w:rPr>
          <w:rStyle w:val="Appelnotedebasdep"/>
        </w:rPr>
        <w:footnoteRef/>
      </w:r>
      <w:r w:rsidRPr="004D6F88">
        <w:rPr>
          <w:lang w:val="en-US"/>
        </w:rPr>
        <w:t xml:space="preserve"> </w:t>
      </w:r>
      <w:r w:rsidRPr="004D6F88">
        <w:rPr>
          <w:rFonts w:cs="Times New Roman"/>
          <w:lang w:val="en-US"/>
        </w:rPr>
        <w:t>Willem F.</w:t>
      </w:r>
      <w:r w:rsidR="002B2D1D">
        <w:rPr>
          <w:rFonts w:cs="Times New Roman"/>
          <w:lang w:val="en-US"/>
        </w:rPr>
        <w:t xml:space="preserve"> Duisenberg</w:t>
      </w:r>
      <w:r w:rsidRPr="004D6F88">
        <w:rPr>
          <w:rFonts w:cs="Times New Roman"/>
          <w:lang w:val="en-US"/>
        </w:rPr>
        <w:t xml:space="preserve">, </w:t>
      </w:r>
      <w:r w:rsidR="00307FE2">
        <w:rPr>
          <w:rFonts w:cs="Times New Roman"/>
          <w:lang w:val="en-US"/>
        </w:rPr>
        <w:t>“</w:t>
      </w:r>
      <w:r w:rsidRPr="004D6F88">
        <w:rPr>
          <w:rFonts w:cs="Times New Roman"/>
          <w:lang w:val="en-US"/>
        </w:rPr>
        <w:t>What exactly is the responsibility of central banks of large economic areas in the current slowdown of the world economy?</w:t>
      </w:r>
      <w:r w:rsidR="00307FE2">
        <w:rPr>
          <w:rFonts w:cs="Times New Roman"/>
          <w:lang w:val="en-US"/>
        </w:rPr>
        <w:t>”</w:t>
      </w:r>
      <w:r w:rsidRPr="004D6F88">
        <w:rPr>
          <w:rFonts w:cs="Times New Roman"/>
          <w:lang w:val="en-US"/>
        </w:rPr>
        <w:t xml:space="preserve">, </w:t>
      </w:r>
      <w:r w:rsidRPr="004D6F88">
        <w:rPr>
          <w:rFonts w:cs="Times New Roman"/>
          <w:i/>
          <w:iCs/>
          <w:lang w:val="en-US"/>
        </w:rPr>
        <w:t>at the International Monetary Conference, Singapore</w:t>
      </w:r>
      <w:r w:rsidRPr="004D6F88">
        <w:rPr>
          <w:rFonts w:cs="Times New Roman"/>
          <w:lang w:val="en-US"/>
        </w:rPr>
        <w:t>, 04</w:t>
      </w:r>
      <w:r w:rsidR="00307FE2">
        <w:rPr>
          <w:rFonts w:cs="Times New Roman"/>
          <w:lang w:val="en-US"/>
        </w:rPr>
        <w:t>/</w:t>
      </w:r>
      <w:r w:rsidRPr="004D6F88">
        <w:rPr>
          <w:rFonts w:cs="Times New Roman"/>
          <w:lang w:val="en-US"/>
        </w:rPr>
        <w:t>06</w:t>
      </w:r>
      <w:r w:rsidR="00307FE2">
        <w:rPr>
          <w:rFonts w:cs="Times New Roman"/>
          <w:lang w:val="en-US"/>
        </w:rPr>
        <w:t>/</w:t>
      </w:r>
      <w:r w:rsidRPr="004D6F88">
        <w:rPr>
          <w:rFonts w:cs="Times New Roman"/>
          <w:lang w:val="en-US"/>
        </w:rPr>
        <w:t>2001, p. 2.</w:t>
      </w:r>
    </w:p>
  </w:footnote>
  <w:footnote w:id="27">
    <w:p w:rsidRPr="004D6F88" w:rsidR="004D6F88" w:rsidRDefault="004D6F88" w14:paraId="4BA48C1B" w14:textId="4D05CD46">
      <w:pPr>
        <w:pStyle w:val="Notedebasdepage"/>
        <w:rPr>
          <w:lang w:val="en-US"/>
        </w:rPr>
      </w:pPr>
      <w:r>
        <w:rPr>
          <w:rStyle w:val="Appelnotedebasdep"/>
        </w:rPr>
        <w:footnoteRef/>
      </w:r>
      <w:r w:rsidRPr="004D6F88">
        <w:rPr>
          <w:lang w:val="en-US"/>
        </w:rPr>
        <w:t xml:space="preserve"> </w:t>
      </w:r>
      <w:r w:rsidRPr="004D6F88">
        <w:rPr>
          <w:rFonts w:cs="Times New Roman"/>
          <w:lang w:val="en-US"/>
        </w:rPr>
        <w:t>Daniela</w:t>
      </w:r>
      <w:r w:rsidR="00B42AF7">
        <w:rPr>
          <w:rFonts w:cs="Times New Roman"/>
          <w:lang w:val="en-US"/>
        </w:rPr>
        <w:t xml:space="preserve"> Gabor</w:t>
      </w:r>
      <w:r w:rsidRPr="004D6F88">
        <w:rPr>
          <w:rFonts w:cs="Times New Roman"/>
          <w:lang w:val="en-US"/>
        </w:rPr>
        <w:t xml:space="preserve"> et Cornel</w:t>
      </w:r>
      <w:r w:rsidR="00B42AF7">
        <w:rPr>
          <w:rFonts w:cs="Times New Roman"/>
          <w:lang w:val="en-US"/>
        </w:rPr>
        <w:t xml:space="preserve"> Ban</w:t>
      </w:r>
      <w:r w:rsidRPr="004D6F88">
        <w:rPr>
          <w:rFonts w:cs="Times New Roman"/>
          <w:lang w:val="en-US"/>
        </w:rPr>
        <w:t xml:space="preserve">, </w:t>
      </w:r>
      <w:r w:rsidR="00B42AF7">
        <w:rPr>
          <w:rFonts w:cs="Times New Roman"/>
          <w:lang w:val="en-US"/>
        </w:rPr>
        <w:t>“</w:t>
      </w:r>
      <w:r w:rsidRPr="004D6F88">
        <w:rPr>
          <w:rFonts w:cs="Times New Roman"/>
          <w:lang w:val="en-US"/>
        </w:rPr>
        <w:t>Banking on Bonds: The New Links Between States and Markets</w:t>
      </w:r>
      <w:r w:rsidR="00B42AF7">
        <w:rPr>
          <w:rFonts w:cs="Times New Roman"/>
          <w:lang w:val="en-US"/>
        </w:rPr>
        <w:t>”</w:t>
      </w:r>
      <w:r w:rsidRPr="004D6F88">
        <w:rPr>
          <w:rFonts w:cs="Times New Roman"/>
          <w:lang w:val="en-US"/>
        </w:rPr>
        <w:t xml:space="preserve">, </w:t>
      </w:r>
      <w:r w:rsidRPr="004D6F88">
        <w:rPr>
          <w:rFonts w:cs="Times New Roman"/>
          <w:i/>
          <w:iCs/>
          <w:lang w:val="en-US"/>
        </w:rPr>
        <w:t>JCMS: Journal of Common Market Studies</w:t>
      </w:r>
      <w:r w:rsidRPr="004D6F88">
        <w:rPr>
          <w:rFonts w:cs="Times New Roman"/>
          <w:lang w:val="en-US"/>
        </w:rPr>
        <w:t>, vol. 54, n</w:t>
      </w:r>
      <w:r w:rsidRPr="004D6F88">
        <w:rPr>
          <w:rFonts w:cs="Times New Roman"/>
          <w:vertAlign w:val="superscript"/>
          <w:lang w:val="en-US"/>
        </w:rPr>
        <w:t>o</w:t>
      </w:r>
      <w:r w:rsidRPr="004D6F88">
        <w:rPr>
          <w:rFonts w:cs="Times New Roman"/>
          <w:lang w:val="en-US"/>
        </w:rPr>
        <w:t> 3, 2016, p. 617‑635.</w:t>
      </w:r>
    </w:p>
  </w:footnote>
  <w:footnote w:id="28">
    <w:p w:rsidRPr="004D6F88" w:rsidR="004D6F88" w:rsidRDefault="004D6F88" w14:paraId="2200F8AD" w14:textId="33DBEA76">
      <w:pPr>
        <w:pStyle w:val="Notedebasdepage"/>
        <w:rPr>
          <w:lang w:val="en-US"/>
        </w:rPr>
      </w:pPr>
      <w:r>
        <w:rPr>
          <w:rStyle w:val="Appelnotedebasdep"/>
        </w:rPr>
        <w:footnoteRef/>
      </w:r>
      <w:r w:rsidRPr="004D6F88">
        <w:rPr>
          <w:lang w:val="en-US"/>
        </w:rPr>
        <w:t xml:space="preserve"> </w:t>
      </w:r>
      <w:r w:rsidRPr="004D6F88">
        <w:rPr>
          <w:rFonts w:cs="Times New Roman"/>
          <w:lang w:val="en-US"/>
        </w:rPr>
        <w:t>Hielke</w:t>
      </w:r>
      <w:r w:rsidR="00B42AF7">
        <w:rPr>
          <w:rFonts w:cs="Times New Roman"/>
          <w:lang w:val="en-US"/>
        </w:rPr>
        <w:t xml:space="preserve"> Van Doorslaer</w:t>
      </w:r>
      <w:r w:rsidRPr="004D6F88">
        <w:rPr>
          <w:rFonts w:cs="Times New Roman"/>
          <w:lang w:val="en-US"/>
        </w:rPr>
        <w:t xml:space="preserve"> et Mattias</w:t>
      </w:r>
      <w:r w:rsidR="00B42AF7">
        <w:rPr>
          <w:rFonts w:cs="Times New Roman"/>
          <w:lang w:val="en-US"/>
        </w:rPr>
        <w:t xml:space="preserve"> Vermeiren</w:t>
      </w:r>
      <w:r w:rsidRPr="004D6F88">
        <w:rPr>
          <w:rFonts w:cs="Times New Roman"/>
          <w:lang w:val="en-US"/>
        </w:rPr>
        <w:t xml:space="preserve">, </w:t>
      </w:r>
      <w:r w:rsidR="00B42AF7">
        <w:rPr>
          <w:rFonts w:cs="Times New Roman"/>
          <w:lang w:val="en-US"/>
        </w:rPr>
        <w:t>“</w:t>
      </w:r>
      <w:r w:rsidRPr="004D6F88">
        <w:rPr>
          <w:rFonts w:cs="Times New Roman"/>
          <w:lang w:val="en-US"/>
        </w:rPr>
        <w:t>Pushing on a string: monetary policy, growth models and the persistence of low inflation in advanced capitalism</w:t>
      </w:r>
      <w:r w:rsidR="00B42AF7">
        <w:rPr>
          <w:rFonts w:cs="Times New Roman"/>
          <w:lang w:val="en-US"/>
        </w:rPr>
        <w:t>”</w:t>
      </w:r>
      <w:r w:rsidRPr="004D6F88">
        <w:rPr>
          <w:rFonts w:cs="Times New Roman"/>
          <w:lang w:val="en-US"/>
        </w:rPr>
        <w:t xml:space="preserve">, </w:t>
      </w:r>
      <w:r w:rsidRPr="004D6F88">
        <w:rPr>
          <w:rFonts w:cs="Times New Roman"/>
          <w:i/>
          <w:iCs/>
          <w:lang w:val="en-US"/>
        </w:rPr>
        <w:t>New political economy</w:t>
      </w:r>
      <w:r w:rsidRPr="004D6F88">
        <w:rPr>
          <w:rFonts w:cs="Times New Roman"/>
          <w:lang w:val="en-US"/>
        </w:rPr>
        <w:t>, vol. 26, n</w:t>
      </w:r>
      <w:r w:rsidRPr="004D6F88">
        <w:rPr>
          <w:rFonts w:cs="Times New Roman"/>
          <w:vertAlign w:val="superscript"/>
          <w:lang w:val="en-US"/>
        </w:rPr>
        <w:t>o</w:t>
      </w:r>
      <w:r w:rsidRPr="004D6F88">
        <w:rPr>
          <w:rFonts w:cs="Times New Roman"/>
          <w:lang w:val="en-US"/>
        </w:rPr>
        <w:t> 5, 2021, p. 797‑816.</w:t>
      </w:r>
    </w:p>
  </w:footnote>
  <w:footnote w:id="29">
    <w:p w:rsidRPr="004D6F88" w:rsidR="004D6F88" w:rsidRDefault="004D6F88" w14:paraId="47869B44" w14:textId="1999220F">
      <w:pPr>
        <w:pStyle w:val="Notedebasdepage"/>
        <w:rPr>
          <w:lang w:val="en-US"/>
        </w:rPr>
      </w:pPr>
      <w:r>
        <w:rPr>
          <w:rStyle w:val="Appelnotedebasdep"/>
        </w:rPr>
        <w:footnoteRef/>
      </w:r>
      <w:r w:rsidRPr="004D6F88">
        <w:rPr>
          <w:lang w:val="en-US"/>
        </w:rPr>
        <w:t xml:space="preserve"> </w:t>
      </w:r>
      <w:r w:rsidRPr="004D6F88">
        <w:rPr>
          <w:rFonts w:cs="Times New Roman"/>
          <w:lang w:val="en-US"/>
        </w:rPr>
        <w:t>Mario</w:t>
      </w:r>
      <w:r w:rsidR="00B42AF7">
        <w:rPr>
          <w:rFonts w:cs="Times New Roman"/>
          <w:lang w:val="en-US"/>
        </w:rPr>
        <w:t xml:space="preserve"> Draghi</w:t>
      </w:r>
      <w:r w:rsidRPr="004D6F88">
        <w:rPr>
          <w:rFonts w:cs="Times New Roman"/>
          <w:lang w:val="en-US"/>
        </w:rPr>
        <w:t xml:space="preserve">, </w:t>
      </w:r>
      <w:r w:rsidR="00B42AF7">
        <w:rPr>
          <w:rFonts w:cs="Times New Roman"/>
          <w:lang w:val="en-US"/>
        </w:rPr>
        <w:t>“</w:t>
      </w:r>
      <w:r w:rsidRPr="004D6F88">
        <w:rPr>
          <w:rFonts w:cs="Times New Roman"/>
          <w:lang w:val="en-US"/>
        </w:rPr>
        <w:t>Hearing at the Committee on Economic and Monetary Affairs of the European Parliament</w:t>
      </w:r>
      <w:r w:rsidR="00B42AF7">
        <w:rPr>
          <w:rFonts w:cs="Times New Roman"/>
          <w:lang w:val="en-US"/>
        </w:rPr>
        <w:t>”</w:t>
      </w:r>
      <w:r w:rsidRPr="004D6F88">
        <w:rPr>
          <w:rFonts w:cs="Times New Roman"/>
          <w:lang w:val="en-US"/>
        </w:rPr>
        <w:t xml:space="preserve">, </w:t>
      </w:r>
      <w:r w:rsidRPr="004D6F88">
        <w:rPr>
          <w:rFonts w:cs="Times New Roman"/>
          <w:i/>
          <w:iCs/>
          <w:lang w:val="en-US"/>
        </w:rPr>
        <w:t>before the Hearing at the Committee on Economic and Monetary Affairs of the European Parliament, Brussels</w:t>
      </w:r>
      <w:r w:rsidRPr="004D6F88">
        <w:rPr>
          <w:rFonts w:cs="Times New Roman"/>
          <w:lang w:val="en-US"/>
        </w:rPr>
        <w:t>, 23</w:t>
      </w:r>
      <w:r w:rsidR="00B42AF7">
        <w:rPr>
          <w:rFonts w:cs="Times New Roman"/>
          <w:lang w:val="en-US"/>
        </w:rPr>
        <w:t>/</w:t>
      </w:r>
      <w:r w:rsidRPr="004D6F88">
        <w:rPr>
          <w:rFonts w:cs="Times New Roman"/>
          <w:lang w:val="en-US"/>
        </w:rPr>
        <w:t>03</w:t>
      </w:r>
      <w:r w:rsidR="00B42AF7">
        <w:rPr>
          <w:rFonts w:cs="Times New Roman"/>
          <w:lang w:val="en-US"/>
        </w:rPr>
        <w:t>/</w:t>
      </w:r>
      <w:r w:rsidRPr="004D6F88">
        <w:rPr>
          <w:rFonts w:cs="Times New Roman"/>
          <w:lang w:val="en-US"/>
        </w:rPr>
        <w:t>2015, p. 3.</w:t>
      </w:r>
    </w:p>
  </w:footnote>
  <w:footnote w:id="30">
    <w:p w:rsidRPr="004D6F88" w:rsidR="004D6F88" w:rsidRDefault="004D6F88" w14:paraId="6E295BF4" w14:textId="62D63F61">
      <w:pPr>
        <w:pStyle w:val="Notedebasdepage"/>
        <w:rPr>
          <w:lang w:val="en-US"/>
        </w:rPr>
      </w:pPr>
      <w:r>
        <w:rPr>
          <w:rStyle w:val="Appelnotedebasdep"/>
        </w:rPr>
        <w:footnoteRef/>
      </w:r>
      <w:r w:rsidRPr="004D6F88">
        <w:rPr>
          <w:lang w:val="en-US"/>
        </w:rPr>
        <w:t xml:space="preserve"> </w:t>
      </w:r>
      <w:r w:rsidRPr="004D6F88">
        <w:rPr>
          <w:rFonts w:cs="Times New Roman"/>
          <w:lang w:val="en-US"/>
        </w:rPr>
        <w:t>Vitor</w:t>
      </w:r>
      <w:r w:rsidR="00B42AF7">
        <w:rPr>
          <w:rFonts w:cs="Times New Roman"/>
          <w:lang w:val="en-US"/>
        </w:rPr>
        <w:t xml:space="preserve"> Constâncio</w:t>
      </w:r>
      <w:r w:rsidRPr="004D6F88">
        <w:rPr>
          <w:rFonts w:cs="Times New Roman"/>
          <w:lang w:val="en-US"/>
        </w:rPr>
        <w:t xml:space="preserve">, </w:t>
      </w:r>
      <w:r w:rsidR="00B42AF7">
        <w:rPr>
          <w:rFonts w:cs="Times New Roman"/>
          <w:lang w:val="en-US"/>
        </w:rPr>
        <w:t>“</w:t>
      </w:r>
      <w:r w:rsidRPr="004D6F88">
        <w:rPr>
          <w:rFonts w:cs="Times New Roman"/>
          <w:lang w:val="en-US"/>
        </w:rPr>
        <w:t>The challenge of low real interest rates for monetary policy</w:t>
      </w:r>
      <w:r w:rsidR="00B42AF7">
        <w:rPr>
          <w:rFonts w:cs="Times New Roman"/>
          <w:lang w:val="en-US"/>
        </w:rPr>
        <w:t>”</w:t>
      </w:r>
      <w:r w:rsidRPr="004D6F88">
        <w:rPr>
          <w:rFonts w:cs="Times New Roman"/>
          <w:lang w:val="en-US"/>
        </w:rPr>
        <w:t xml:space="preserve">, </w:t>
      </w:r>
      <w:r w:rsidRPr="004D6F88">
        <w:rPr>
          <w:rFonts w:cs="Times New Roman"/>
          <w:i/>
          <w:iCs/>
          <w:lang w:val="en-US"/>
        </w:rPr>
        <w:t>at the Macroeconomics Symposium, Utrecht School of Economics, Utrecht</w:t>
      </w:r>
      <w:r w:rsidRPr="004D6F88">
        <w:rPr>
          <w:rFonts w:cs="Times New Roman"/>
          <w:lang w:val="en-US"/>
        </w:rPr>
        <w:t>, 15</w:t>
      </w:r>
      <w:r w:rsidR="00B42AF7">
        <w:rPr>
          <w:rFonts w:cs="Times New Roman"/>
          <w:lang w:val="en-US"/>
        </w:rPr>
        <w:t>/</w:t>
      </w:r>
      <w:r w:rsidRPr="004D6F88">
        <w:rPr>
          <w:rFonts w:cs="Times New Roman"/>
          <w:lang w:val="en-US"/>
        </w:rPr>
        <w:t>06</w:t>
      </w:r>
      <w:r w:rsidR="00B42AF7">
        <w:rPr>
          <w:rFonts w:cs="Times New Roman"/>
          <w:lang w:val="en-US"/>
        </w:rPr>
        <w:t>/</w:t>
      </w:r>
      <w:r w:rsidRPr="004D6F88">
        <w:rPr>
          <w:rFonts w:cs="Times New Roman"/>
          <w:lang w:val="en-US"/>
        </w:rPr>
        <w:t>2016, p. 5‑6.</w:t>
      </w:r>
    </w:p>
  </w:footnote>
  <w:footnote w:id="31">
    <w:p w:rsidRPr="004D6F88" w:rsidR="004D6F88" w:rsidRDefault="004D6F88" w14:paraId="71F39FB0" w14:textId="0C51FB46">
      <w:pPr>
        <w:pStyle w:val="Notedebasdepage"/>
        <w:rPr>
          <w:lang w:val="en-US"/>
        </w:rPr>
      </w:pPr>
      <w:r>
        <w:rPr>
          <w:rStyle w:val="Appelnotedebasdep"/>
        </w:rPr>
        <w:footnoteRef/>
      </w:r>
      <w:r w:rsidRPr="004D6F88">
        <w:rPr>
          <w:lang w:val="en-US"/>
        </w:rPr>
        <w:t xml:space="preserve"> </w:t>
      </w:r>
      <w:r w:rsidRPr="004D6F88">
        <w:rPr>
          <w:rFonts w:cs="Times New Roman"/>
          <w:lang w:val="en-US"/>
        </w:rPr>
        <w:t>Peter</w:t>
      </w:r>
      <w:r w:rsidR="00B42AF7">
        <w:rPr>
          <w:rFonts w:cs="Times New Roman"/>
          <w:lang w:val="en-US"/>
        </w:rPr>
        <w:t xml:space="preserve"> Praet</w:t>
      </w:r>
      <w:r w:rsidRPr="004D6F88">
        <w:rPr>
          <w:rFonts w:cs="Times New Roman"/>
          <w:lang w:val="en-US"/>
        </w:rPr>
        <w:t xml:space="preserve">, </w:t>
      </w:r>
      <w:r w:rsidR="00B42AF7">
        <w:rPr>
          <w:rFonts w:cs="Times New Roman"/>
          <w:lang w:val="en-US"/>
        </w:rPr>
        <w:t>“</w:t>
      </w:r>
      <w:r w:rsidRPr="004D6F88">
        <w:rPr>
          <w:rFonts w:cs="Times New Roman"/>
          <w:lang w:val="en-US"/>
        </w:rPr>
        <w:t>Ensuring price stability</w:t>
      </w:r>
      <w:r w:rsidR="00B42AF7">
        <w:rPr>
          <w:rFonts w:cs="Times New Roman"/>
          <w:lang w:val="en-US"/>
        </w:rPr>
        <w:t>”</w:t>
      </w:r>
      <w:r w:rsidRPr="004D6F88">
        <w:rPr>
          <w:rFonts w:cs="Times New Roman"/>
          <w:lang w:val="en-US"/>
        </w:rPr>
        <w:t xml:space="preserve">, </w:t>
      </w:r>
      <w:r w:rsidRPr="004D6F88">
        <w:rPr>
          <w:rFonts w:cs="Times New Roman"/>
          <w:i/>
          <w:iCs/>
          <w:lang w:val="en-US"/>
        </w:rPr>
        <w:t xml:space="preserve">at the Belgian Financial Forum colloquium on </w:t>
      </w:r>
      <w:r w:rsidR="00B42AF7">
        <w:rPr>
          <w:rFonts w:cs="Times New Roman"/>
          <w:i/>
          <w:iCs/>
          <w:lang w:val="en-US"/>
        </w:rPr>
        <w:t>“</w:t>
      </w:r>
      <w:r w:rsidRPr="004D6F88">
        <w:rPr>
          <w:rFonts w:cs="Times New Roman"/>
          <w:i/>
          <w:iCs/>
          <w:lang w:val="en-US"/>
        </w:rPr>
        <w:t xml:space="preserve">The </w:t>
      </w:r>
      <w:proofErr w:type="gramStart"/>
      <w:r w:rsidRPr="004D6F88">
        <w:rPr>
          <w:rFonts w:cs="Times New Roman"/>
          <w:i/>
          <w:iCs/>
          <w:lang w:val="en-US"/>
        </w:rPr>
        <w:t>low interest rate</w:t>
      </w:r>
      <w:proofErr w:type="gramEnd"/>
      <w:r w:rsidRPr="004D6F88">
        <w:rPr>
          <w:rFonts w:cs="Times New Roman"/>
          <w:i/>
          <w:iCs/>
          <w:lang w:val="en-US"/>
        </w:rPr>
        <w:t xml:space="preserve"> environment</w:t>
      </w:r>
      <w:r w:rsidR="00B42AF7">
        <w:rPr>
          <w:rFonts w:cs="Times New Roman"/>
          <w:i/>
          <w:iCs/>
          <w:lang w:val="en-US"/>
        </w:rPr>
        <w:t>”</w:t>
      </w:r>
      <w:r w:rsidRPr="004D6F88">
        <w:rPr>
          <w:rFonts w:cs="Times New Roman"/>
          <w:i/>
          <w:iCs/>
          <w:lang w:val="en-US"/>
        </w:rPr>
        <w:t>, Brussels</w:t>
      </w:r>
      <w:r w:rsidRPr="004D6F88">
        <w:rPr>
          <w:rFonts w:cs="Times New Roman"/>
          <w:lang w:val="en-US"/>
        </w:rPr>
        <w:t>, 04</w:t>
      </w:r>
      <w:r w:rsidR="00B42AF7">
        <w:rPr>
          <w:rFonts w:cs="Times New Roman"/>
          <w:lang w:val="en-US"/>
        </w:rPr>
        <w:t>/</w:t>
      </w:r>
      <w:r w:rsidRPr="004D6F88">
        <w:rPr>
          <w:rFonts w:cs="Times New Roman"/>
          <w:lang w:val="en-US"/>
        </w:rPr>
        <w:t>05</w:t>
      </w:r>
      <w:r w:rsidR="00B42AF7">
        <w:rPr>
          <w:rFonts w:cs="Times New Roman"/>
          <w:lang w:val="en-US"/>
        </w:rPr>
        <w:t>/</w:t>
      </w:r>
      <w:r w:rsidRPr="004D6F88">
        <w:rPr>
          <w:rFonts w:cs="Times New Roman"/>
          <w:lang w:val="en-US"/>
        </w:rPr>
        <w:t>2017, p. 5.</w:t>
      </w:r>
    </w:p>
  </w:footnote>
  <w:footnote w:id="32">
    <w:p w:rsidRPr="00B42AF7" w:rsidR="004D6F88" w:rsidRDefault="004D6F88" w14:paraId="168D0695" w14:textId="6F60BA23">
      <w:pPr>
        <w:pStyle w:val="Notedebasdepage"/>
        <w:rPr>
          <w:lang w:val="en-US"/>
        </w:rPr>
      </w:pPr>
      <w:r w:rsidRPr="00B42AF7">
        <w:rPr>
          <w:rStyle w:val="Appelnotedebasdep"/>
        </w:rPr>
        <w:footnoteRef/>
      </w:r>
      <w:r w:rsidRPr="00B42AF7">
        <w:rPr>
          <w:lang w:val="en-US"/>
        </w:rPr>
        <w:t xml:space="preserve"> </w:t>
      </w:r>
      <w:r w:rsidRPr="00B42AF7">
        <w:rPr>
          <w:rFonts w:cs="Times New Roman"/>
          <w:lang w:val="en-US"/>
        </w:rPr>
        <w:t>Mario</w:t>
      </w:r>
      <w:r w:rsidRPr="00B42AF7" w:rsidR="00B42AF7">
        <w:rPr>
          <w:rFonts w:cs="Times New Roman"/>
          <w:lang w:val="en-US"/>
        </w:rPr>
        <w:t xml:space="preserve"> Draghi</w:t>
      </w:r>
      <w:r w:rsidRPr="00B42AF7">
        <w:rPr>
          <w:rFonts w:cs="Times New Roman"/>
          <w:lang w:val="en-US"/>
        </w:rPr>
        <w:t xml:space="preserve">, </w:t>
      </w:r>
      <w:r w:rsidR="00B42AF7">
        <w:rPr>
          <w:rFonts w:cs="Times New Roman"/>
          <w:lang w:val="en-US"/>
        </w:rPr>
        <w:t>“</w:t>
      </w:r>
      <w:r w:rsidRPr="00B42AF7">
        <w:rPr>
          <w:rFonts w:cs="Times New Roman"/>
          <w:lang w:val="en-US"/>
        </w:rPr>
        <w:t>Accompanying the economic recovery</w:t>
      </w:r>
      <w:r w:rsidR="00B42AF7">
        <w:rPr>
          <w:rFonts w:cs="Times New Roman"/>
          <w:lang w:val="en-US"/>
        </w:rPr>
        <w:t>”</w:t>
      </w:r>
      <w:r w:rsidRPr="00B42AF7">
        <w:rPr>
          <w:rFonts w:cs="Times New Roman"/>
          <w:lang w:val="en-US"/>
        </w:rPr>
        <w:t xml:space="preserve">, </w:t>
      </w:r>
      <w:r w:rsidRPr="00B42AF7">
        <w:rPr>
          <w:rFonts w:cs="Times New Roman"/>
          <w:i/>
          <w:iCs/>
          <w:lang w:val="en-US"/>
        </w:rPr>
        <w:t>at the ECB Forum on Central Banking, Sintra</w:t>
      </w:r>
      <w:r w:rsidRPr="00B42AF7">
        <w:rPr>
          <w:rFonts w:cs="Times New Roman"/>
          <w:lang w:val="en-US"/>
        </w:rPr>
        <w:t>, 27</w:t>
      </w:r>
      <w:r w:rsidR="00B42AF7">
        <w:rPr>
          <w:rFonts w:cs="Times New Roman"/>
          <w:lang w:val="en-US"/>
        </w:rPr>
        <w:t>/</w:t>
      </w:r>
      <w:r w:rsidRPr="00B42AF7">
        <w:rPr>
          <w:rFonts w:cs="Times New Roman"/>
          <w:lang w:val="en-US"/>
        </w:rPr>
        <w:t>06</w:t>
      </w:r>
      <w:r w:rsidR="00B42AF7">
        <w:rPr>
          <w:rFonts w:cs="Times New Roman"/>
          <w:lang w:val="en-US"/>
        </w:rPr>
        <w:t>/</w:t>
      </w:r>
      <w:r w:rsidRPr="00B42AF7">
        <w:rPr>
          <w:rFonts w:cs="Times New Roman"/>
          <w:lang w:val="en-US"/>
        </w:rPr>
        <w:t>2017, p. 5.</w:t>
      </w:r>
    </w:p>
  </w:footnote>
  <w:footnote w:id="33">
    <w:p w:rsidRPr="004D6F88" w:rsidR="004D6F88" w:rsidRDefault="004D6F88" w14:paraId="41F9DC67" w14:textId="0B515065">
      <w:pPr>
        <w:pStyle w:val="Notedebasdepage"/>
        <w:rPr>
          <w:lang w:val="en-US"/>
        </w:rPr>
      </w:pPr>
      <w:r>
        <w:rPr>
          <w:rStyle w:val="Appelnotedebasdep"/>
        </w:rPr>
        <w:footnoteRef/>
      </w:r>
      <w:r w:rsidRPr="004D6F88">
        <w:rPr>
          <w:lang w:val="en-US"/>
        </w:rPr>
        <w:t xml:space="preserve"> </w:t>
      </w:r>
      <w:r w:rsidRPr="004D6F88">
        <w:rPr>
          <w:rFonts w:cs="Times New Roman"/>
          <w:lang w:val="en-US"/>
        </w:rPr>
        <w:t>Vitor</w:t>
      </w:r>
      <w:r w:rsidR="00B42AF7">
        <w:rPr>
          <w:rFonts w:cs="Times New Roman"/>
          <w:lang w:val="en-US"/>
        </w:rPr>
        <w:t xml:space="preserve"> Constâncio</w:t>
      </w:r>
      <w:r w:rsidRPr="004D6F88">
        <w:rPr>
          <w:rFonts w:cs="Times New Roman"/>
          <w:lang w:val="en-US"/>
        </w:rPr>
        <w:t xml:space="preserve">, </w:t>
      </w:r>
      <w:r w:rsidR="00B42AF7">
        <w:rPr>
          <w:rFonts w:cs="Times New Roman"/>
          <w:lang w:val="en-US"/>
        </w:rPr>
        <w:t>“</w:t>
      </w:r>
      <w:r w:rsidRPr="004D6F88">
        <w:rPr>
          <w:rFonts w:cs="Times New Roman"/>
          <w:lang w:val="en-US"/>
        </w:rPr>
        <w:t>Past and future of the European Central Bank monetary policy</w:t>
      </w:r>
      <w:r w:rsidR="00B42AF7">
        <w:rPr>
          <w:rFonts w:cs="Times New Roman"/>
          <w:lang w:val="en-US"/>
        </w:rPr>
        <w:t>”</w:t>
      </w:r>
      <w:r w:rsidRPr="004D6F88">
        <w:rPr>
          <w:rFonts w:cs="Times New Roman"/>
          <w:lang w:val="en-US"/>
        </w:rPr>
        <w:t xml:space="preserve">, </w:t>
      </w:r>
      <w:r w:rsidRPr="004D6F88">
        <w:rPr>
          <w:rFonts w:cs="Times New Roman"/>
          <w:i/>
          <w:iCs/>
          <w:lang w:val="en-US"/>
        </w:rPr>
        <w:t>at the Conference on “Central Banks in Historical Perspective: What Changed After the Financial Crisis?”, Central Bank of Malta, Valletta</w:t>
      </w:r>
      <w:r w:rsidRPr="004D6F88">
        <w:rPr>
          <w:rFonts w:cs="Times New Roman"/>
          <w:lang w:val="en-US"/>
        </w:rPr>
        <w:t>, 04</w:t>
      </w:r>
      <w:r w:rsidR="00B42AF7">
        <w:rPr>
          <w:rFonts w:cs="Times New Roman"/>
          <w:lang w:val="en-US"/>
        </w:rPr>
        <w:t>/</w:t>
      </w:r>
      <w:r w:rsidRPr="004D6F88">
        <w:rPr>
          <w:rFonts w:cs="Times New Roman"/>
          <w:lang w:val="en-US"/>
        </w:rPr>
        <w:t>05</w:t>
      </w:r>
      <w:r w:rsidR="00B42AF7">
        <w:rPr>
          <w:rFonts w:cs="Times New Roman"/>
          <w:lang w:val="en-US"/>
        </w:rPr>
        <w:t>/</w:t>
      </w:r>
      <w:r w:rsidRPr="004D6F88">
        <w:rPr>
          <w:rFonts w:cs="Times New Roman"/>
          <w:lang w:val="en-US"/>
        </w:rPr>
        <w:t>2018, p. 12.</w:t>
      </w:r>
    </w:p>
  </w:footnote>
  <w:footnote w:id="34">
    <w:p w:rsidRPr="004D6F88" w:rsidR="004D6F88" w:rsidRDefault="004D6F88" w14:paraId="33079E2C" w14:textId="632CF973">
      <w:pPr>
        <w:pStyle w:val="Notedebasdepage"/>
        <w:rPr>
          <w:lang w:val="en-US"/>
        </w:rPr>
      </w:pPr>
      <w:r>
        <w:rPr>
          <w:rStyle w:val="Appelnotedebasdep"/>
        </w:rPr>
        <w:footnoteRef/>
      </w:r>
      <w:r w:rsidRPr="004D6F88">
        <w:rPr>
          <w:lang w:val="en-US"/>
        </w:rPr>
        <w:t xml:space="preserve"> </w:t>
      </w:r>
      <w:r w:rsidRPr="004D6F88">
        <w:rPr>
          <w:rFonts w:cs="Times New Roman"/>
          <w:lang w:val="en-US"/>
        </w:rPr>
        <w:t>Isabel</w:t>
      </w:r>
      <w:r w:rsidR="00B42AF7">
        <w:rPr>
          <w:rFonts w:cs="Times New Roman"/>
          <w:lang w:val="en-US"/>
        </w:rPr>
        <w:t xml:space="preserve"> Schnabel</w:t>
      </w:r>
      <w:r w:rsidRPr="004D6F88">
        <w:rPr>
          <w:rFonts w:cs="Times New Roman"/>
          <w:lang w:val="en-US"/>
        </w:rPr>
        <w:t xml:space="preserve">, </w:t>
      </w:r>
      <w:r w:rsidR="00B42AF7">
        <w:rPr>
          <w:rFonts w:cs="Times New Roman"/>
          <w:lang w:val="en-US"/>
        </w:rPr>
        <w:t>“</w:t>
      </w:r>
      <w:r w:rsidRPr="004D6F88">
        <w:rPr>
          <w:rFonts w:cs="Times New Roman"/>
          <w:lang w:val="en-US"/>
        </w:rPr>
        <w:t>The shadow of fiscal dominance: Misconceptions, perceptions and perspectives</w:t>
      </w:r>
      <w:r w:rsidR="00B42AF7">
        <w:rPr>
          <w:rFonts w:cs="Times New Roman"/>
          <w:lang w:val="en-US"/>
        </w:rPr>
        <w:t>”</w:t>
      </w:r>
      <w:r w:rsidRPr="004D6F88">
        <w:rPr>
          <w:rFonts w:cs="Times New Roman"/>
          <w:lang w:val="en-US"/>
        </w:rPr>
        <w:t xml:space="preserve">, </w:t>
      </w:r>
      <w:r w:rsidRPr="004D6F88">
        <w:rPr>
          <w:rFonts w:cs="Times New Roman"/>
          <w:i/>
          <w:iCs/>
          <w:lang w:val="en-US"/>
        </w:rPr>
        <w:t xml:space="preserve">at the Centre for European Reform and the </w:t>
      </w:r>
      <w:proofErr w:type="spellStart"/>
      <w:r w:rsidRPr="004D6F88">
        <w:rPr>
          <w:rFonts w:cs="Times New Roman"/>
          <w:i/>
          <w:iCs/>
          <w:lang w:val="en-US"/>
        </w:rPr>
        <w:t>Eurofi</w:t>
      </w:r>
      <w:proofErr w:type="spellEnd"/>
      <w:r w:rsidRPr="004D6F88">
        <w:rPr>
          <w:rFonts w:cs="Times New Roman"/>
          <w:i/>
          <w:iCs/>
          <w:lang w:val="en-US"/>
        </w:rPr>
        <w:t xml:space="preserve"> Financial Forum, Berlin</w:t>
      </w:r>
      <w:r w:rsidRPr="004D6F88">
        <w:rPr>
          <w:rFonts w:cs="Times New Roman"/>
          <w:lang w:val="en-US"/>
        </w:rPr>
        <w:t>, 11</w:t>
      </w:r>
      <w:r w:rsidR="00B42AF7">
        <w:rPr>
          <w:rFonts w:cs="Times New Roman"/>
          <w:lang w:val="en-US"/>
        </w:rPr>
        <w:t>/</w:t>
      </w:r>
      <w:r w:rsidRPr="004D6F88">
        <w:rPr>
          <w:rFonts w:cs="Times New Roman"/>
          <w:lang w:val="en-US"/>
        </w:rPr>
        <w:t>09</w:t>
      </w:r>
      <w:r w:rsidR="00B42AF7">
        <w:rPr>
          <w:rFonts w:cs="Times New Roman"/>
          <w:lang w:val="en-US"/>
        </w:rPr>
        <w:t>/</w:t>
      </w:r>
      <w:r w:rsidRPr="004D6F88">
        <w:rPr>
          <w:rFonts w:cs="Times New Roman"/>
          <w:lang w:val="en-US"/>
        </w:rPr>
        <w:t>2020, p. 4‑5.</w:t>
      </w:r>
    </w:p>
  </w:footnote>
  <w:footnote w:id="35">
    <w:p w:rsidRPr="004D6F88" w:rsidR="004D6F88" w:rsidRDefault="004D6F88" w14:paraId="22BF9C3F" w14:textId="02FF2957">
      <w:pPr>
        <w:pStyle w:val="Notedebasdepage"/>
        <w:rPr>
          <w:lang w:val="en-US"/>
        </w:rPr>
      </w:pPr>
      <w:r>
        <w:rPr>
          <w:rStyle w:val="Appelnotedebasdep"/>
        </w:rPr>
        <w:footnoteRef/>
      </w:r>
      <w:r w:rsidR="000F6EE9">
        <w:rPr>
          <w:rFonts w:cs="Times New Roman"/>
          <w:lang w:val="en-US"/>
        </w:rPr>
        <w:t xml:space="preserve"> Peter Praet, “</w:t>
      </w:r>
      <w:r w:rsidRPr="004D6F88">
        <w:rPr>
          <w:rFonts w:cs="Times New Roman"/>
          <w:lang w:val="en-US"/>
        </w:rPr>
        <w:t>Ensuring price stability</w:t>
      </w:r>
      <w:r w:rsidR="000F6EE9">
        <w:rPr>
          <w:rFonts w:cs="Times New Roman"/>
          <w:lang w:val="en-US"/>
        </w:rPr>
        <w:t>”</w:t>
      </w:r>
      <w:r w:rsidRPr="004D6F88">
        <w:rPr>
          <w:rFonts w:cs="Times New Roman"/>
          <w:lang w:val="en-US"/>
        </w:rPr>
        <w:t xml:space="preserve">, </w:t>
      </w:r>
      <w:r w:rsidRPr="004D6F88">
        <w:rPr>
          <w:rFonts w:cs="Times New Roman"/>
          <w:i/>
          <w:iCs/>
          <w:lang w:val="en-US"/>
        </w:rPr>
        <w:t>art. cit.</w:t>
      </w:r>
      <w:r w:rsidRPr="004D6F88">
        <w:rPr>
          <w:rFonts w:cs="Times New Roman"/>
          <w:lang w:val="en-US"/>
        </w:rPr>
        <w:t>, p. 5.</w:t>
      </w:r>
    </w:p>
  </w:footnote>
  <w:footnote w:id="36">
    <w:p w:rsidRPr="004D6F88" w:rsidR="004D6F88" w:rsidRDefault="004D6F88" w14:paraId="68C9293C" w14:textId="7FCA6C16">
      <w:pPr>
        <w:pStyle w:val="Notedebasdepage"/>
        <w:rPr>
          <w:lang w:val="en-US"/>
        </w:rPr>
      </w:pPr>
      <w:r>
        <w:rPr>
          <w:rStyle w:val="Appelnotedebasdep"/>
        </w:rPr>
        <w:footnoteRef/>
      </w:r>
      <w:r w:rsidRPr="004D6F88">
        <w:rPr>
          <w:lang w:val="en-US"/>
        </w:rPr>
        <w:t xml:space="preserve"> </w:t>
      </w:r>
      <w:r w:rsidRPr="004D6F88">
        <w:rPr>
          <w:rFonts w:cs="Times New Roman"/>
          <w:lang w:val="en-US"/>
        </w:rPr>
        <w:t>Luis</w:t>
      </w:r>
      <w:r w:rsidR="000F6EE9">
        <w:rPr>
          <w:rFonts w:cs="Times New Roman"/>
          <w:lang w:val="en-US"/>
        </w:rPr>
        <w:t xml:space="preserve"> de Guindos</w:t>
      </w:r>
      <w:r w:rsidRPr="004D6F88">
        <w:rPr>
          <w:rFonts w:cs="Times New Roman"/>
          <w:lang w:val="en-US"/>
        </w:rPr>
        <w:t xml:space="preserve">, </w:t>
      </w:r>
      <w:r w:rsidR="000F6EE9">
        <w:rPr>
          <w:rFonts w:cs="Times New Roman"/>
          <w:lang w:val="en-US"/>
        </w:rPr>
        <w:t>“</w:t>
      </w:r>
      <w:r w:rsidRPr="004D6F88">
        <w:rPr>
          <w:rFonts w:cs="Times New Roman"/>
          <w:lang w:val="en-US"/>
        </w:rPr>
        <w:t xml:space="preserve">Improving macroeconomic </w:t>
      </w:r>
      <w:proofErr w:type="spellStart"/>
      <w:r w:rsidRPr="004D6F88">
        <w:rPr>
          <w:rFonts w:cs="Times New Roman"/>
          <w:lang w:val="en-US"/>
        </w:rPr>
        <w:t>stabilisation</w:t>
      </w:r>
      <w:proofErr w:type="spellEnd"/>
      <w:r w:rsidRPr="004D6F88">
        <w:rPr>
          <w:rFonts w:cs="Times New Roman"/>
          <w:lang w:val="en-US"/>
        </w:rPr>
        <w:t xml:space="preserve"> in the euro area</w:t>
      </w:r>
      <w:r w:rsidR="000F6EE9">
        <w:rPr>
          <w:rFonts w:cs="Times New Roman"/>
          <w:lang w:val="en-US"/>
        </w:rPr>
        <w:t>”</w:t>
      </w:r>
      <w:r w:rsidRPr="004D6F88">
        <w:rPr>
          <w:rFonts w:cs="Times New Roman"/>
          <w:lang w:val="en-US"/>
        </w:rPr>
        <w:t xml:space="preserve">, </w:t>
      </w:r>
      <w:r w:rsidRPr="004D6F88">
        <w:rPr>
          <w:rFonts w:cs="Times New Roman"/>
          <w:i/>
          <w:iCs/>
          <w:lang w:val="en-US"/>
        </w:rPr>
        <w:t>at the Global Interdependence Center Central Banking Series conference, Madrid</w:t>
      </w:r>
      <w:r w:rsidRPr="004D6F88">
        <w:rPr>
          <w:rFonts w:cs="Times New Roman"/>
          <w:lang w:val="en-US"/>
        </w:rPr>
        <w:t>, 03</w:t>
      </w:r>
      <w:r w:rsidR="000F6EE9">
        <w:rPr>
          <w:rFonts w:cs="Times New Roman"/>
          <w:lang w:val="en-US"/>
        </w:rPr>
        <w:t>/</w:t>
      </w:r>
      <w:r w:rsidRPr="004D6F88">
        <w:rPr>
          <w:rFonts w:cs="Times New Roman"/>
          <w:lang w:val="en-US"/>
        </w:rPr>
        <w:t>10</w:t>
      </w:r>
      <w:r w:rsidR="000F6EE9">
        <w:rPr>
          <w:rFonts w:cs="Times New Roman"/>
          <w:lang w:val="en-US"/>
        </w:rPr>
        <w:t>/</w:t>
      </w:r>
      <w:r w:rsidRPr="004D6F88">
        <w:rPr>
          <w:rFonts w:cs="Times New Roman"/>
          <w:lang w:val="en-US"/>
        </w:rPr>
        <w:t>2019, p. 3.</w:t>
      </w:r>
    </w:p>
  </w:footnote>
  <w:footnote w:id="37">
    <w:p w:rsidRPr="004D6F88" w:rsidR="004D6F88" w:rsidRDefault="004D6F88" w14:paraId="513FCB3F" w14:textId="2D81AF40">
      <w:pPr>
        <w:pStyle w:val="Notedebasdepage"/>
        <w:rPr>
          <w:lang w:val="en-US"/>
        </w:rPr>
      </w:pPr>
      <w:r>
        <w:rPr>
          <w:rStyle w:val="Appelnotedebasdep"/>
        </w:rPr>
        <w:footnoteRef/>
      </w:r>
      <w:r w:rsidRPr="004D6F88">
        <w:rPr>
          <w:lang w:val="en-US"/>
        </w:rPr>
        <w:t xml:space="preserve"> </w:t>
      </w:r>
      <w:r w:rsidRPr="004D6F88">
        <w:rPr>
          <w:rFonts w:cs="Times New Roman"/>
          <w:lang w:val="en-US"/>
        </w:rPr>
        <w:t>Mario</w:t>
      </w:r>
      <w:r w:rsidR="000F6EE9">
        <w:rPr>
          <w:rFonts w:cs="Times New Roman"/>
          <w:lang w:val="en-US"/>
        </w:rPr>
        <w:t xml:space="preserve"> Draghi</w:t>
      </w:r>
      <w:r w:rsidRPr="004D6F88">
        <w:rPr>
          <w:rFonts w:cs="Times New Roman"/>
          <w:lang w:val="en-US"/>
        </w:rPr>
        <w:t xml:space="preserve">, </w:t>
      </w:r>
      <w:r w:rsidR="000F6EE9">
        <w:rPr>
          <w:rFonts w:cs="Times New Roman"/>
          <w:lang w:val="en-US"/>
        </w:rPr>
        <w:t>“</w:t>
      </w:r>
      <w:r w:rsidRPr="004D6F88">
        <w:rPr>
          <w:rFonts w:cs="Times New Roman"/>
          <w:lang w:val="en-US"/>
        </w:rPr>
        <w:t>Delivering a symmetric mandate with asymmetric tools - monetary policy in a context of low interest rates</w:t>
      </w:r>
      <w:r w:rsidR="000F6EE9">
        <w:rPr>
          <w:rFonts w:cs="Times New Roman"/>
          <w:lang w:val="en-US"/>
        </w:rPr>
        <w:t>”</w:t>
      </w:r>
      <w:r w:rsidRPr="004D6F88">
        <w:rPr>
          <w:rFonts w:cs="Times New Roman"/>
          <w:lang w:val="en-US"/>
        </w:rPr>
        <w:t xml:space="preserve">, </w:t>
      </w:r>
      <w:r w:rsidRPr="004D6F88">
        <w:rPr>
          <w:rFonts w:cs="Times New Roman"/>
          <w:i/>
          <w:iCs/>
          <w:lang w:val="en-US"/>
        </w:rPr>
        <w:t>at the 200th anniversary of the Central Bank of the Republic of Austria, Vienna</w:t>
      </w:r>
      <w:r w:rsidRPr="004D6F88">
        <w:rPr>
          <w:rFonts w:cs="Times New Roman"/>
          <w:lang w:val="en-US"/>
        </w:rPr>
        <w:t>, 02</w:t>
      </w:r>
      <w:r w:rsidR="000F6EE9">
        <w:rPr>
          <w:rFonts w:cs="Times New Roman"/>
          <w:lang w:val="en-US"/>
        </w:rPr>
        <w:t>/</w:t>
      </w:r>
      <w:r w:rsidRPr="004D6F88">
        <w:rPr>
          <w:rFonts w:cs="Times New Roman"/>
          <w:lang w:val="en-US"/>
        </w:rPr>
        <w:t>06</w:t>
      </w:r>
      <w:r w:rsidR="000F6EE9">
        <w:rPr>
          <w:rFonts w:cs="Times New Roman"/>
          <w:lang w:val="en-US"/>
        </w:rPr>
        <w:t>/</w:t>
      </w:r>
      <w:r w:rsidRPr="004D6F88">
        <w:rPr>
          <w:rFonts w:cs="Times New Roman"/>
          <w:lang w:val="en-US"/>
        </w:rPr>
        <w:t>2016.</w:t>
      </w:r>
    </w:p>
  </w:footnote>
  <w:footnote w:id="38">
    <w:p w:rsidR="4E12AD89" w:rsidP="4E12AD89" w:rsidRDefault="4E12AD89" w14:paraId="5F70AC17" w14:textId="0532231B">
      <w:pPr>
        <w:pStyle w:val="Notedebasdepage"/>
      </w:pPr>
      <w:r w:rsidRPr="4E12AD89">
        <w:rPr>
          <w:rStyle w:val="Appelnotedebasdep"/>
        </w:rPr>
        <w:footnoteRef/>
      </w:r>
      <w:r>
        <w:t xml:space="preserve"> Auparavant, l’objectif de la BCE était de maintenir un taux d’inflation « </w:t>
      </w:r>
      <w:r w:rsidRPr="4E12AD89">
        <w:rPr>
          <w:i/>
          <w:iCs/>
        </w:rPr>
        <w:t>au-dessous</w:t>
      </w:r>
      <w:r>
        <w:t xml:space="preserve"> mais à un niveau proche de 2% ».</w:t>
      </w:r>
    </w:p>
  </w:footnote>
  <w:footnote w:id="39">
    <w:p w:rsidRPr="000C1E9C" w:rsidR="004D6F88" w:rsidRDefault="004D6F88" w14:paraId="6C277D3D" w14:textId="0A9AFFA0">
      <w:pPr>
        <w:pStyle w:val="Notedebasdepage"/>
        <w:rPr>
          <w:lang w:val="en-US"/>
        </w:rPr>
      </w:pPr>
      <w:r>
        <w:rPr>
          <w:rStyle w:val="Appelnotedebasdep"/>
        </w:rPr>
        <w:footnoteRef/>
      </w:r>
      <w:r w:rsidRPr="004D6F88">
        <w:rPr>
          <w:lang w:val="en-US"/>
        </w:rPr>
        <w:t xml:space="preserve"> </w:t>
      </w:r>
      <w:r w:rsidRPr="004D6F88">
        <w:rPr>
          <w:rFonts w:cs="Times New Roman"/>
          <w:lang w:val="en-US"/>
        </w:rPr>
        <w:t>Seraina N.</w:t>
      </w:r>
      <w:r w:rsidR="00987177">
        <w:rPr>
          <w:rFonts w:cs="Times New Roman"/>
          <w:lang w:val="en-US"/>
        </w:rPr>
        <w:t xml:space="preserve"> Grunewald</w:t>
      </w:r>
      <w:r w:rsidRPr="004D6F88">
        <w:rPr>
          <w:rFonts w:cs="Times New Roman"/>
          <w:lang w:val="en-US"/>
        </w:rPr>
        <w:t xml:space="preserve"> et Jens</w:t>
      </w:r>
      <w:r w:rsidR="00987177">
        <w:rPr>
          <w:rFonts w:cs="Times New Roman"/>
          <w:lang w:val="en-US"/>
        </w:rPr>
        <w:t xml:space="preserve"> Van’t Klooster</w:t>
      </w:r>
      <w:r w:rsidRPr="004D6F88">
        <w:rPr>
          <w:rFonts w:cs="Times New Roman"/>
          <w:lang w:val="en-US"/>
        </w:rPr>
        <w:t xml:space="preserve">, </w:t>
      </w:r>
      <w:r w:rsidR="00987177">
        <w:rPr>
          <w:rFonts w:cs="Times New Roman"/>
          <w:lang w:val="en-US"/>
        </w:rPr>
        <w:t>“</w:t>
      </w:r>
      <w:r w:rsidRPr="004D6F88">
        <w:rPr>
          <w:rFonts w:cs="Times New Roman"/>
          <w:lang w:val="en-US"/>
        </w:rPr>
        <w:t>New strategy, new accountability: The European Central Bank and the European Parliament after the strategy review</w:t>
      </w:r>
      <w:r w:rsidR="00987177">
        <w:rPr>
          <w:rFonts w:cs="Times New Roman"/>
          <w:lang w:val="en-US"/>
        </w:rPr>
        <w:t>”</w:t>
      </w:r>
      <w:r w:rsidRPr="004D6F88">
        <w:rPr>
          <w:rFonts w:cs="Times New Roman"/>
          <w:lang w:val="en-US"/>
        </w:rPr>
        <w:t xml:space="preserve">, </w:t>
      </w:r>
      <w:r w:rsidR="000C1E9C">
        <w:rPr>
          <w:rFonts w:cs="Times New Roman"/>
          <w:i/>
          <w:iCs/>
          <w:lang w:val="en-US"/>
        </w:rPr>
        <w:t>Common market law review</w:t>
      </w:r>
      <w:r w:rsidR="000C1E9C">
        <w:rPr>
          <w:rFonts w:cs="Times New Roman"/>
          <w:lang w:val="en-US"/>
        </w:rPr>
        <w:t>, vol. 60, n°4</w:t>
      </w:r>
      <w:r w:rsidR="006C7606">
        <w:rPr>
          <w:rFonts w:cs="Times New Roman"/>
          <w:lang w:val="en-US"/>
        </w:rPr>
        <w:t>, 2023, p. 959-998.</w:t>
      </w:r>
    </w:p>
  </w:footnote>
  <w:footnote w:id="40">
    <w:p w:rsidRPr="004D6F88" w:rsidR="004D6F88" w:rsidRDefault="004D6F88" w14:paraId="6B29B6B7" w14:textId="3C5D9F54">
      <w:pPr>
        <w:pStyle w:val="Notedebasdepage"/>
        <w:rPr>
          <w:lang w:val="en-US"/>
        </w:rPr>
      </w:pPr>
      <w:r>
        <w:rPr>
          <w:rStyle w:val="Appelnotedebasdep"/>
        </w:rPr>
        <w:footnoteRef/>
      </w:r>
      <w:r w:rsidRPr="004D6F88">
        <w:rPr>
          <w:lang w:val="en-US"/>
        </w:rPr>
        <w:t xml:space="preserve"> </w:t>
      </w:r>
      <w:r w:rsidRPr="004D6F88">
        <w:rPr>
          <w:rFonts w:cs="Times New Roman"/>
          <w:lang w:val="en-US"/>
        </w:rPr>
        <w:t>Peter</w:t>
      </w:r>
      <w:r w:rsidR="006C7606">
        <w:rPr>
          <w:rFonts w:cs="Times New Roman"/>
          <w:lang w:val="en-US"/>
        </w:rPr>
        <w:t xml:space="preserve"> Praet</w:t>
      </w:r>
      <w:r w:rsidRPr="004D6F88">
        <w:rPr>
          <w:rFonts w:cs="Times New Roman"/>
          <w:lang w:val="en-US"/>
        </w:rPr>
        <w:t xml:space="preserve">, </w:t>
      </w:r>
      <w:r w:rsidR="006C7606">
        <w:rPr>
          <w:rFonts w:cs="Times New Roman"/>
          <w:lang w:val="en-US"/>
        </w:rPr>
        <w:t>“</w:t>
      </w:r>
      <w:r w:rsidRPr="004D6F88">
        <w:rPr>
          <w:rFonts w:cs="Times New Roman"/>
          <w:lang w:val="en-US"/>
        </w:rPr>
        <w:t>Lifting potential growth in the euro area</w:t>
      </w:r>
      <w:r w:rsidR="006C7606">
        <w:rPr>
          <w:rFonts w:cs="Times New Roman"/>
          <w:lang w:val="en-US"/>
        </w:rPr>
        <w:t>”</w:t>
      </w:r>
      <w:r w:rsidRPr="004D6F88">
        <w:rPr>
          <w:rFonts w:cs="Times New Roman"/>
          <w:lang w:val="en-US"/>
        </w:rPr>
        <w:t xml:space="preserve">, </w:t>
      </w:r>
      <w:r w:rsidRPr="004D6F88">
        <w:rPr>
          <w:rFonts w:cs="Times New Roman"/>
          <w:i/>
          <w:iCs/>
          <w:lang w:val="en-US"/>
        </w:rPr>
        <w:t>at the Welt-</w:t>
      </w:r>
      <w:proofErr w:type="spellStart"/>
      <w:r w:rsidRPr="004D6F88">
        <w:rPr>
          <w:rFonts w:cs="Times New Roman"/>
          <w:i/>
          <w:iCs/>
          <w:lang w:val="en-US"/>
        </w:rPr>
        <w:t>Währungskonferenz</w:t>
      </w:r>
      <w:proofErr w:type="spellEnd"/>
      <w:r w:rsidRPr="004D6F88">
        <w:rPr>
          <w:rFonts w:cs="Times New Roman"/>
          <w:i/>
          <w:iCs/>
          <w:lang w:val="en-US"/>
        </w:rPr>
        <w:t>, Berlin</w:t>
      </w:r>
      <w:r w:rsidRPr="004D6F88">
        <w:rPr>
          <w:rFonts w:cs="Times New Roman"/>
          <w:lang w:val="en-US"/>
        </w:rPr>
        <w:t>, 23</w:t>
      </w:r>
      <w:r w:rsidR="006C7606">
        <w:rPr>
          <w:rFonts w:cs="Times New Roman"/>
          <w:lang w:val="en-US"/>
        </w:rPr>
        <w:t>/</w:t>
      </w:r>
      <w:r w:rsidRPr="004D6F88">
        <w:rPr>
          <w:rFonts w:cs="Times New Roman"/>
          <w:lang w:val="en-US"/>
        </w:rPr>
        <w:t>04</w:t>
      </w:r>
      <w:r w:rsidR="006C7606">
        <w:rPr>
          <w:rFonts w:cs="Times New Roman"/>
          <w:lang w:val="en-US"/>
        </w:rPr>
        <w:t>/</w:t>
      </w:r>
      <w:r w:rsidRPr="004D6F88">
        <w:rPr>
          <w:rFonts w:cs="Times New Roman"/>
          <w:lang w:val="en-US"/>
        </w:rPr>
        <w:t>2015, p. 6.</w:t>
      </w:r>
    </w:p>
  </w:footnote>
  <w:footnote w:id="41">
    <w:p w:rsidRPr="004D6F88" w:rsidR="004D6F88" w:rsidRDefault="004D6F88" w14:paraId="3A622E57" w14:textId="5DFBA0E3">
      <w:pPr>
        <w:pStyle w:val="Notedebasdepage"/>
        <w:rPr>
          <w:lang w:val="en-US"/>
        </w:rPr>
      </w:pPr>
      <w:r>
        <w:rPr>
          <w:rStyle w:val="Appelnotedebasdep"/>
        </w:rPr>
        <w:footnoteRef/>
      </w:r>
      <w:r w:rsidR="006C7606">
        <w:rPr>
          <w:rFonts w:cs="Times New Roman"/>
          <w:lang w:val="en-US"/>
        </w:rPr>
        <w:t xml:space="preserve"> Isabel Schnabel, “</w:t>
      </w:r>
      <w:r w:rsidRPr="004D6F88">
        <w:rPr>
          <w:rFonts w:cs="Times New Roman"/>
          <w:lang w:val="en-US"/>
        </w:rPr>
        <w:t>The shadow of fiscal dominance</w:t>
      </w:r>
      <w:r w:rsidR="006C7606">
        <w:rPr>
          <w:rFonts w:cs="Times New Roman"/>
          <w:lang w:val="en-US"/>
        </w:rPr>
        <w:t>”</w:t>
      </w:r>
      <w:r w:rsidRPr="004D6F88">
        <w:rPr>
          <w:rFonts w:cs="Times New Roman"/>
          <w:lang w:val="en-US"/>
        </w:rPr>
        <w:t xml:space="preserve">, </w:t>
      </w:r>
      <w:r w:rsidRPr="004D6F88">
        <w:rPr>
          <w:rFonts w:cs="Times New Roman"/>
          <w:i/>
          <w:iCs/>
          <w:lang w:val="en-US"/>
        </w:rPr>
        <w:t>art. cit.</w:t>
      </w:r>
      <w:r w:rsidRPr="004D6F88">
        <w:rPr>
          <w:rFonts w:cs="Times New Roman"/>
          <w:lang w:val="en-US"/>
        </w:rPr>
        <w:t>, p. 6.</w:t>
      </w:r>
    </w:p>
  </w:footnote>
  <w:footnote w:id="42">
    <w:p w:rsidRPr="004D6F88" w:rsidR="004D6F88" w:rsidRDefault="004D6F88" w14:paraId="442C3F87" w14:textId="147D18F3">
      <w:pPr>
        <w:pStyle w:val="Notedebasdepage"/>
        <w:rPr>
          <w:lang w:val="en-US"/>
        </w:rPr>
      </w:pPr>
      <w:r>
        <w:rPr>
          <w:rStyle w:val="Appelnotedebasdep"/>
        </w:rPr>
        <w:footnoteRef/>
      </w:r>
      <w:r w:rsidRPr="004D6F88">
        <w:rPr>
          <w:lang w:val="en-US"/>
        </w:rPr>
        <w:t xml:space="preserve"> </w:t>
      </w:r>
      <w:r w:rsidRPr="004D6F88">
        <w:rPr>
          <w:rFonts w:cs="Times New Roman"/>
          <w:lang w:val="en-US"/>
        </w:rPr>
        <w:t>Jérôme</w:t>
      </w:r>
      <w:r w:rsidR="007953FC">
        <w:rPr>
          <w:rFonts w:cs="Times New Roman"/>
          <w:lang w:val="en-US"/>
        </w:rPr>
        <w:t xml:space="preserve"> </w:t>
      </w:r>
      <w:proofErr w:type="spellStart"/>
      <w:r w:rsidR="007953FC">
        <w:rPr>
          <w:rFonts w:cs="Times New Roman"/>
          <w:lang w:val="en-US"/>
        </w:rPr>
        <w:t>Deyris</w:t>
      </w:r>
      <w:proofErr w:type="spellEnd"/>
      <w:r w:rsidRPr="004D6F88">
        <w:rPr>
          <w:rFonts w:cs="Times New Roman"/>
          <w:lang w:val="en-US"/>
        </w:rPr>
        <w:t xml:space="preserve">, </w:t>
      </w:r>
      <w:r w:rsidR="007953FC">
        <w:rPr>
          <w:rFonts w:cs="Times New Roman"/>
          <w:lang w:val="en-US"/>
        </w:rPr>
        <w:t>“</w:t>
      </w:r>
      <w:r w:rsidRPr="004D6F88">
        <w:rPr>
          <w:rFonts w:cs="Times New Roman"/>
          <w:lang w:val="en-US"/>
        </w:rPr>
        <w:t>Too green to be true? Forging a climate consensus at the European Central Bank</w:t>
      </w:r>
      <w:r w:rsidR="00090DFB">
        <w:rPr>
          <w:rFonts w:cs="Times New Roman"/>
          <w:lang w:val="en-US"/>
        </w:rPr>
        <w:t>”</w:t>
      </w:r>
      <w:r w:rsidRPr="004D6F88">
        <w:rPr>
          <w:rFonts w:cs="Times New Roman"/>
          <w:lang w:val="en-US"/>
        </w:rPr>
        <w:t xml:space="preserve">, </w:t>
      </w:r>
      <w:r w:rsidRPr="004D6F88">
        <w:rPr>
          <w:rFonts w:cs="Times New Roman"/>
          <w:i/>
          <w:iCs/>
          <w:lang w:val="en-US"/>
        </w:rPr>
        <w:t>New Political Economy</w:t>
      </w:r>
      <w:r w:rsidRPr="004D6F88">
        <w:rPr>
          <w:rFonts w:cs="Times New Roman"/>
          <w:lang w:val="en-US"/>
        </w:rPr>
        <w:t xml:space="preserve">, </w:t>
      </w:r>
      <w:r w:rsidR="00090DFB">
        <w:rPr>
          <w:rFonts w:cs="Times New Roman"/>
          <w:lang w:val="en-US"/>
        </w:rPr>
        <w:t>vol. 28, n</w:t>
      </w:r>
      <w:r w:rsidRPr="004D6F88" w:rsidR="00987177">
        <w:rPr>
          <w:rFonts w:cs="Times New Roman"/>
          <w:vertAlign w:val="superscript"/>
          <w:lang w:val="en-US"/>
        </w:rPr>
        <w:t>o</w:t>
      </w:r>
      <w:r w:rsidR="00090DFB">
        <w:rPr>
          <w:rFonts w:cs="Times New Roman"/>
          <w:lang w:val="en-US"/>
        </w:rPr>
        <w:t xml:space="preserve"> 3,</w:t>
      </w:r>
      <w:r w:rsidRPr="004D6F88">
        <w:rPr>
          <w:rFonts w:cs="Times New Roman"/>
          <w:lang w:val="en-US"/>
        </w:rPr>
        <w:t xml:space="preserve"> 202</w:t>
      </w:r>
      <w:r w:rsidR="00987177">
        <w:rPr>
          <w:rFonts w:cs="Times New Roman"/>
          <w:lang w:val="en-US"/>
        </w:rPr>
        <w:t>3</w:t>
      </w:r>
      <w:r w:rsidRPr="004D6F88">
        <w:rPr>
          <w:rFonts w:cs="Times New Roman"/>
          <w:lang w:val="en-US"/>
        </w:rPr>
        <w:t>, p. </w:t>
      </w:r>
      <w:r w:rsidR="00987177">
        <w:rPr>
          <w:rFonts w:cs="Times New Roman"/>
          <w:lang w:val="en-US"/>
        </w:rPr>
        <w:t>713</w:t>
      </w:r>
      <w:r w:rsidRPr="004D6F88">
        <w:rPr>
          <w:rFonts w:cs="Times New Roman"/>
          <w:lang w:val="en-US"/>
        </w:rPr>
        <w:t>‑</w:t>
      </w:r>
      <w:r w:rsidR="00987177">
        <w:rPr>
          <w:rFonts w:cs="Times New Roman"/>
          <w:lang w:val="en-US"/>
        </w:rPr>
        <w:t>730</w:t>
      </w:r>
      <w:r w:rsidRPr="004D6F88">
        <w:rPr>
          <w:rFonts w:cs="Times New Roman"/>
          <w:lang w:val="en-US"/>
        </w:rPr>
        <w:t>.</w:t>
      </w:r>
    </w:p>
  </w:footnote>
  <w:footnote w:id="43">
    <w:p w:rsidRPr="004D6F88" w:rsidR="4E12AD89" w:rsidP="4E12AD89" w:rsidRDefault="4E12AD89" w14:paraId="4D8DAC5C" w14:textId="5903D95F">
      <w:pPr>
        <w:pStyle w:val="Notedebasdepage"/>
        <w:rPr>
          <w:lang w:val="en-US"/>
        </w:rPr>
      </w:pPr>
      <w:r w:rsidRPr="4E12AD89">
        <w:rPr>
          <w:rStyle w:val="Appelnotedebasdep"/>
        </w:rPr>
        <w:footnoteRef/>
      </w:r>
      <w:r w:rsidRPr="004D6F88">
        <w:rPr>
          <w:lang w:val="en-US"/>
        </w:rPr>
        <w:t xml:space="preserve"> </w:t>
      </w:r>
      <w:hyperlink r:id="rId1">
        <w:r w:rsidRPr="004D6F88">
          <w:rPr>
            <w:rStyle w:val="Lienhypertexte"/>
            <w:lang w:val="en-US"/>
          </w:rPr>
          <w:t>https://www.ecb.europa.eu/press/pr/date/2021/html/ecb.pr210708_1~f104919225.en.html</w:t>
        </w:r>
      </w:hyperlink>
    </w:p>
  </w:footnote>
  <w:footnote w:id="44">
    <w:p w:rsidRPr="004D6F88" w:rsidR="004D6F88" w:rsidRDefault="004D6F88" w14:paraId="7D0EDD52" w14:textId="1FE7E283">
      <w:pPr>
        <w:pStyle w:val="Notedebasdepage"/>
        <w:rPr>
          <w:lang w:val="en-US"/>
        </w:rPr>
      </w:pPr>
      <w:r>
        <w:rPr>
          <w:rStyle w:val="Appelnotedebasdep"/>
        </w:rPr>
        <w:footnoteRef/>
      </w:r>
      <w:r w:rsidRPr="004D6F88">
        <w:rPr>
          <w:lang w:val="en-US"/>
        </w:rPr>
        <w:t xml:space="preserve"> </w:t>
      </w:r>
      <w:r w:rsidRPr="004D6F88">
        <w:rPr>
          <w:rFonts w:cs="Times New Roman"/>
          <w:lang w:val="en-US"/>
        </w:rPr>
        <w:t>Fabio</w:t>
      </w:r>
      <w:r w:rsidR="00B662A5">
        <w:rPr>
          <w:rFonts w:cs="Times New Roman"/>
          <w:lang w:val="en-US"/>
        </w:rPr>
        <w:t xml:space="preserve"> Panetta</w:t>
      </w:r>
      <w:r w:rsidRPr="004D6F88">
        <w:rPr>
          <w:rFonts w:cs="Times New Roman"/>
          <w:lang w:val="en-US"/>
        </w:rPr>
        <w:t xml:space="preserve">, </w:t>
      </w:r>
      <w:r w:rsidR="00B662A5">
        <w:rPr>
          <w:rFonts w:cs="Times New Roman"/>
          <w:lang w:val="en-US"/>
        </w:rPr>
        <w:t>“</w:t>
      </w:r>
      <w:r w:rsidRPr="004D6F88">
        <w:rPr>
          <w:rFonts w:cs="Times New Roman"/>
          <w:lang w:val="en-US"/>
        </w:rPr>
        <w:t>Mind the step: calibrating monetary policy in a volatile environment</w:t>
      </w:r>
      <w:r w:rsidR="00B662A5">
        <w:rPr>
          <w:rFonts w:cs="Times New Roman"/>
          <w:lang w:val="en-US"/>
        </w:rPr>
        <w:t>”</w:t>
      </w:r>
      <w:r w:rsidRPr="004D6F88">
        <w:rPr>
          <w:rFonts w:cs="Times New Roman"/>
          <w:lang w:val="en-US"/>
        </w:rPr>
        <w:t xml:space="preserve">, </w:t>
      </w:r>
      <w:r w:rsidRPr="004D6F88">
        <w:rPr>
          <w:rFonts w:cs="Times New Roman"/>
          <w:i/>
          <w:iCs/>
          <w:lang w:val="en-US"/>
        </w:rPr>
        <w:t>At the ECB Money Market Conference</w:t>
      </w:r>
      <w:r w:rsidRPr="004D6F88">
        <w:rPr>
          <w:rFonts w:cs="Times New Roman"/>
          <w:lang w:val="en-US"/>
        </w:rPr>
        <w:t>, 03</w:t>
      </w:r>
      <w:r w:rsidR="00B662A5">
        <w:rPr>
          <w:rFonts w:cs="Times New Roman"/>
          <w:lang w:val="en-US"/>
        </w:rPr>
        <w:t>/</w:t>
      </w:r>
      <w:r w:rsidRPr="004D6F88">
        <w:rPr>
          <w:rFonts w:cs="Times New Roman"/>
          <w:lang w:val="en-US"/>
        </w:rPr>
        <w:t>11</w:t>
      </w:r>
      <w:r w:rsidR="00B662A5">
        <w:rPr>
          <w:rFonts w:cs="Times New Roman"/>
          <w:lang w:val="en-US"/>
        </w:rPr>
        <w:t>/</w:t>
      </w:r>
      <w:r w:rsidRPr="004D6F88">
        <w:rPr>
          <w:rFonts w:cs="Times New Roman"/>
          <w:lang w:val="en-US"/>
        </w:rPr>
        <w:t>2022, p. 15.</w:t>
      </w:r>
    </w:p>
  </w:footnote>
  <w:footnote w:id="45">
    <w:p w:rsidRPr="004D6F88" w:rsidR="004D6F88" w:rsidRDefault="004D6F88" w14:paraId="73CE5703" w14:textId="58DDF312">
      <w:pPr>
        <w:pStyle w:val="Notedebasdepage"/>
        <w:rPr>
          <w:lang w:val="en-US"/>
        </w:rPr>
      </w:pPr>
      <w:r>
        <w:rPr>
          <w:rStyle w:val="Appelnotedebasdep"/>
        </w:rPr>
        <w:footnoteRef/>
      </w:r>
      <w:r w:rsidRPr="004D6F88">
        <w:rPr>
          <w:lang w:val="en-US"/>
        </w:rPr>
        <w:t xml:space="preserve"> </w:t>
      </w:r>
      <w:r w:rsidRPr="004D6F88">
        <w:rPr>
          <w:rFonts w:cs="Times New Roman"/>
          <w:lang w:val="en-US"/>
        </w:rPr>
        <w:t>Isabel</w:t>
      </w:r>
      <w:r w:rsidR="00B662A5">
        <w:rPr>
          <w:rFonts w:cs="Times New Roman"/>
          <w:lang w:val="en-US"/>
        </w:rPr>
        <w:t xml:space="preserve"> Schnabel</w:t>
      </w:r>
      <w:r w:rsidRPr="004D6F88">
        <w:rPr>
          <w:rFonts w:cs="Times New Roman"/>
          <w:lang w:val="en-US"/>
        </w:rPr>
        <w:t xml:space="preserve">, </w:t>
      </w:r>
      <w:r w:rsidR="00B662A5">
        <w:rPr>
          <w:rFonts w:cs="Times New Roman"/>
          <w:lang w:val="en-US"/>
        </w:rPr>
        <w:t>“</w:t>
      </w:r>
      <w:r w:rsidRPr="004D6F88">
        <w:rPr>
          <w:rFonts w:cs="Times New Roman"/>
          <w:lang w:val="en-US"/>
        </w:rPr>
        <w:t>Monetary policy tightening and the green transition</w:t>
      </w:r>
      <w:r w:rsidR="00B662A5">
        <w:rPr>
          <w:rFonts w:cs="Times New Roman"/>
          <w:lang w:val="en-US"/>
        </w:rPr>
        <w:t>”</w:t>
      </w:r>
      <w:r w:rsidRPr="004D6F88">
        <w:rPr>
          <w:rFonts w:cs="Times New Roman"/>
          <w:lang w:val="en-US"/>
        </w:rPr>
        <w:t xml:space="preserve">, </w:t>
      </w:r>
      <w:r w:rsidRPr="004D6F88">
        <w:rPr>
          <w:rFonts w:cs="Times New Roman"/>
          <w:i/>
          <w:iCs/>
          <w:lang w:val="en-US"/>
        </w:rPr>
        <w:t xml:space="preserve">at the International Symposium on Central Bank Independence, </w:t>
      </w:r>
      <w:proofErr w:type="spellStart"/>
      <w:r w:rsidRPr="004D6F88">
        <w:rPr>
          <w:rFonts w:cs="Times New Roman"/>
          <w:i/>
          <w:iCs/>
          <w:lang w:val="en-US"/>
        </w:rPr>
        <w:t>Sveriges</w:t>
      </w:r>
      <w:proofErr w:type="spellEnd"/>
      <w:r w:rsidRPr="004D6F88">
        <w:rPr>
          <w:rFonts w:cs="Times New Roman"/>
          <w:i/>
          <w:iCs/>
          <w:lang w:val="en-US"/>
        </w:rPr>
        <w:t xml:space="preserve"> </w:t>
      </w:r>
      <w:proofErr w:type="spellStart"/>
      <w:r w:rsidRPr="004D6F88">
        <w:rPr>
          <w:rFonts w:cs="Times New Roman"/>
          <w:i/>
          <w:iCs/>
          <w:lang w:val="en-US"/>
        </w:rPr>
        <w:t>Riksbank</w:t>
      </w:r>
      <w:proofErr w:type="spellEnd"/>
      <w:r w:rsidRPr="004D6F88">
        <w:rPr>
          <w:rFonts w:cs="Times New Roman"/>
          <w:i/>
          <w:iCs/>
          <w:lang w:val="en-US"/>
        </w:rPr>
        <w:t>, Stockholm</w:t>
      </w:r>
      <w:r w:rsidRPr="004D6F88">
        <w:rPr>
          <w:rFonts w:cs="Times New Roman"/>
          <w:lang w:val="en-US"/>
        </w:rPr>
        <w:t>, 10</w:t>
      </w:r>
      <w:r w:rsidR="00B662A5">
        <w:rPr>
          <w:rFonts w:cs="Times New Roman"/>
          <w:lang w:val="en-US"/>
        </w:rPr>
        <w:t>/</w:t>
      </w:r>
      <w:r w:rsidRPr="004D6F88">
        <w:rPr>
          <w:rFonts w:cs="Times New Roman"/>
          <w:lang w:val="en-US"/>
        </w:rPr>
        <w:t>01</w:t>
      </w:r>
      <w:r w:rsidR="00B662A5">
        <w:rPr>
          <w:rFonts w:cs="Times New Roman"/>
          <w:lang w:val="en-US"/>
        </w:rPr>
        <w:t>/</w:t>
      </w:r>
      <w:r w:rsidRPr="004D6F88">
        <w:rPr>
          <w:rFonts w:cs="Times New Roman"/>
          <w:lang w:val="en-US"/>
        </w:rPr>
        <w:t>2023, p. 4.</w:t>
      </w:r>
    </w:p>
  </w:footnote>
  <w:footnote w:id="46">
    <w:p w:rsidRPr="004D6F88" w:rsidR="004D6F88" w:rsidRDefault="004D6F88" w14:paraId="6E84C9C9" w14:textId="19ECD3AF">
      <w:pPr>
        <w:pStyle w:val="Notedebasdepage"/>
        <w:rPr>
          <w:lang w:val="en-US"/>
        </w:rPr>
      </w:pPr>
      <w:r>
        <w:rPr>
          <w:rStyle w:val="Appelnotedebasdep"/>
        </w:rPr>
        <w:footnoteRef/>
      </w:r>
      <w:r w:rsidRPr="004D6F88">
        <w:rPr>
          <w:lang w:val="en-US"/>
        </w:rPr>
        <w:t xml:space="preserve"> </w:t>
      </w:r>
      <w:r w:rsidRPr="004D6F88">
        <w:rPr>
          <w:rFonts w:cs="Times New Roman"/>
          <w:lang w:val="en-US"/>
        </w:rPr>
        <w:t>Isabel</w:t>
      </w:r>
      <w:r w:rsidR="00B662A5">
        <w:rPr>
          <w:rFonts w:cs="Times New Roman"/>
          <w:lang w:val="en-US"/>
        </w:rPr>
        <w:t xml:space="preserve"> Schnabel</w:t>
      </w:r>
      <w:r w:rsidRPr="004D6F88">
        <w:rPr>
          <w:rFonts w:cs="Times New Roman"/>
          <w:lang w:val="en-US"/>
        </w:rPr>
        <w:t xml:space="preserve">, </w:t>
      </w:r>
      <w:r w:rsidR="00B662A5">
        <w:rPr>
          <w:rFonts w:cs="Times New Roman"/>
          <w:lang w:val="en-US"/>
        </w:rPr>
        <w:t>“</w:t>
      </w:r>
      <w:r w:rsidRPr="004D6F88">
        <w:rPr>
          <w:rFonts w:cs="Times New Roman"/>
          <w:lang w:val="en-US"/>
        </w:rPr>
        <w:t>Managing policy trade-offs</w:t>
      </w:r>
      <w:r w:rsidR="00B662A5">
        <w:rPr>
          <w:rFonts w:cs="Times New Roman"/>
          <w:lang w:val="en-US"/>
        </w:rPr>
        <w:t>”</w:t>
      </w:r>
      <w:r w:rsidRPr="004D6F88">
        <w:rPr>
          <w:rFonts w:cs="Times New Roman"/>
          <w:lang w:val="en-US"/>
        </w:rPr>
        <w:t xml:space="preserve">, </w:t>
      </w:r>
      <w:r w:rsidR="00814660">
        <w:rPr>
          <w:rFonts w:cs="Times New Roman"/>
          <w:i/>
          <w:iCs/>
          <w:lang w:val="en-US"/>
        </w:rPr>
        <w:t>at the</w:t>
      </w:r>
      <w:r w:rsidRPr="004D6F88">
        <w:rPr>
          <w:rFonts w:cs="Times New Roman"/>
          <w:i/>
          <w:iCs/>
          <w:lang w:val="en-US"/>
        </w:rPr>
        <w:t xml:space="preserve"> European House</w:t>
      </w:r>
      <w:r w:rsidR="00814660">
        <w:rPr>
          <w:rFonts w:cs="Times New Roman"/>
          <w:i/>
          <w:iCs/>
          <w:lang w:val="en-US"/>
        </w:rPr>
        <w:t xml:space="preserve"> workshop</w:t>
      </w:r>
      <w:r w:rsidRPr="004D6F88">
        <w:rPr>
          <w:rFonts w:cs="Times New Roman"/>
          <w:i/>
          <w:iCs/>
          <w:lang w:val="en-US"/>
        </w:rPr>
        <w:t xml:space="preserve"> “The Agenda for Europe: Macroeconomic and Structural Policy Challenges”, </w:t>
      </w:r>
      <w:proofErr w:type="spellStart"/>
      <w:r w:rsidRPr="004D6F88">
        <w:rPr>
          <w:rFonts w:cs="Times New Roman"/>
          <w:i/>
          <w:iCs/>
          <w:lang w:val="en-US"/>
        </w:rPr>
        <w:t>Cernobbio</w:t>
      </w:r>
      <w:proofErr w:type="spellEnd"/>
      <w:r w:rsidRPr="004D6F88">
        <w:rPr>
          <w:rFonts w:cs="Times New Roman"/>
          <w:lang w:val="en-US"/>
        </w:rPr>
        <w:t>, 02</w:t>
      </w:r>
      <w:r w:rsidR="00B662A5">
        <w:rPr>
          <w:rFonts w:cs="Times New Roman"/>
          <w:lang w:val="en-US"/>
        </w:rPr>
        <w:t>/</w:t>
      </w:r>
      <w:r w:rsidRPr="004D6F88">
        <w:rPr>
          <w:rFonts w:cs="Times New Roman"/>
          <w:lang w:val="en-US"/>
        </w:rPr>
        <w:t>04</w:t>
      </w:r>
      <w:r w:rsidR="00B662A5">
        <w:rPr>
          <w:rFonts w:cs="Times New Roman"/>
          <w:lang w:val="en-US"/>
        </w:rPr>
        <w:t>/2</w:t>
      </w:r>
      <w:r w:rsidRPr="004D6F88">
        <w:rPr>
          <w:rFonts w:cs="Times New Roman"/>
          <w:lang w:val="en-US"/>
        </w:rPr>
        <w:t>022.</w:t>
      </w:r>
    </w:p>
  </w:footnote>
  <w:footnote w:id="47">
    <w:p w:rsidRPr="004D6F88" w:rsidR="004D6F88" w:rsidRDefault="004D6F88" w14:paraId="37CA428D" w14:textId="5947850F">
      <w:pPr>
        <w:pStyle w:val="Notedebasdepage"/>
        <w:rPr>
          <w:lang w:val="en-US"/>
        </w:rPr>
      </w:pPr>
      <w:r>
        <w:rPr>
          <w:rStyle w:val="Appelnotedebasdep"/>
        </w:rPr>
        <w:footnoteRef/>
      </w:r>
      <w:r w:rsidR="00B662A5">
        <w:rPr>
          <w:rFonts w:cs="Times New Roman"/>
          <w:lang w:val="en-US"/>
        </w:rPr>
        <w:t xml:space="preserve"> Isabel Schnabel, “</w:t>
      </w:r>
      <w:r w:rsidRPr="004D6F88">
        <w:rPr>
          <w:rFonts w:cs="Times New Roman"/>
          <w:lang w:val="en-US"/>
        </w:rPr>
        <w:t>Monetary policy tightening and the green transition</w:t>
      </w:r>
      <w:r w:rsidR="00B662A5">
        <w:rPr>
          <w:rFonts w:cs="Times New Roman"/>
          <w:lang w:val="en-US"/>
        </w:rPr>
        <w:t>”</w:t>
      </w:r>
      <w:r w:rsidRPr="004D6F88">
        <w:rPr>
          <w:rFonts w:cs="Times New Roman"/>
          <w:lang w:val="en-US"/>
        </w:rPr>
        <w:t xml:space="preserve">, </w:t>
      </w:r>
      <w:r w:rsidRPr="004D6F88">
        <w:rPr>
          <w:rFonts w:cs="Times New Roman"/>
          <w:i/>
          <w:iCs/>
          <w:lang w:val="en-US"/>
        </w:rPr>
        <w:t>art. cit.</w:t>
      </w:r>
      <w:r w:rsidRPr="004D6F88">
        <w:rPr>
          <w:rFonts w:cs="Times New Roman"/>
          <w:lang w:val="en-US"/>
        </w:rPr>
        <w:t>, p. 1.</w:t>
      </w:r>
    </w:p>
  </w:footnote>
  <w:footnote w:id="48">
    <w:p w:rsidRPr="004D6F88" w:rsidR="004D6F88" w:rsidRDefault="004D6F88" w14:paraId="7E2140B6" w14:textId="73C81AEE">
      <w:pPr>
        <w:pStyle w:val="Notedebasdepage"/>
        <w:rPr>
          <w:lang w:val="en-US"/>
        </w:rPr>
      </w:pPr>
      <w:r>
        <w:rPr>
          <w:rStyle w:val="Appelnotedebasdep"/>
        </w:rPr>
        <w:footnoteRef/>
      </w:r>
      <w:r w:rsidRPr="004D6F88">
        <w:rPr>
          <w:lang w:val="en-US"/>
        </w:rPr>
        <w:t xml:space="preserve"> </w:t>
      </w:r>
      <w:r w:rsidRPr="004D6F88">
        <w:rPr>
          <w:rFonts w:cs="Times New Roman"/>
          <w:lang w:val="en-US"/>
        </w:rPr>
        <w:t>Isabel</w:t>
      </w:r>
      <w:r w:rsidR="00B662A5">
        <w:rPr>
          <w:rFonts w:cs="Times New Roman"/>
          <w:lang w:val="en-US"/>
        </w:rPr>
        <w:t xml:space="preserve"> Schnabel</w:t>
      </w:r>
      <w:r w:rsidRPr="004D6F88">
        <w:rPr>
          <w:rFonts w:cs="Times New Roman"/>
          <w:lang w:val="en-US"/>
        </w:rPr>
        <w:t xml:space="preserve">, </w:t>
      </w:r>
      <w:r w:rsidR="00B662A5">
        <w:rPr>
          <w:rFonts w:cs="Times New Roman"/>
          <w:lang w:val="en-US"/>
        </w:rPr>
        <w:t>“</w:t>
      </w:r>
      <w:r w:rsidRPr="004D6F88">
        <w:rPr>
          <w:rFonts w:cs="Times New Roman"/>
          <w:lang w:val="en-US"/>
        </w:rPr>
        <w:t xml:space="preserve">A new age of energy inflation - </w:t>
      </w:r>
      <w:proofErr w:type="spellStart"/>
      <w:r w:rsidRPr="004D6F88">
        <w:rPr>
          <w:rFonts w:cs="Times New Roman"/>
          <w:lang w:val="en-US"/>
        </w:rPr>
        <w:t>climateflation</w:t>
      </w:r>
      <w:proofErr w:type="spellEnd"/>
      <w:r w:rsidRPr="004D6F88">
        <w:rPr>
          <w:rFonts w:cs="Times New Roman"/>
          <w:lang w:val="en-US"/>
        </w:rPr>
        <w:t xml:space="preserve">, </w:t>
      </w:r>
      <w:proofErr w:type="spellStart"/>
      <w:r w:rsidRPr="004D6F88">
        <w:rPr>
          <w:rFonts w:cs="Times New Roman"/>
          <w:lang w:val="en-US"/>
        </w:rPr>
        <w:t>fossilflation</w:t>
      </w:r>
      <w:proofErr w:type="spellEnd"/>
      <w:r w:rsidRPr="004D6F88">
        <w:rPr>
          <w:rFonts w:cs="Times New Roman"/>
          <w:lang w:val="en-US"/>
        </w:rPr>
        <w:t xml:space="preserve"> and greenflation</w:t>
      </w:r>
      <w:r w:rsidR="00B662A5">
        <w:rPr>
          <w:rFonts w:cs="Times New Roman"/>
          <w:lang w:val="en-US"/>
        </w:rPr>
        <w:t>”</w:t>
      </w:r>
      <w:r w:rsidRPr="004D6F88">
        <w:rPr>
          <w:rFonts w:cs="Times New Roman"/>
          <w:lang w:val="en-US"/>
        </w:rPr>
        <w:t xml:space="preserve">, </w:t>
      </w:r>
      <w:r w:rsidRPr="004D6F88">
        <w:rPr>
          <w:rFonts w:cs="Times New Roman"/>
          <w:i/>
          <w:iCs/>
          <w:lang w:val="en-US"/>
        </w:rPr>
        <w:t xml:space="preserve">at </w:t>
      </w:r>
      <w:r w:rsidR="00B662A5">
        <w:rPr>
          <w:rFonts w:cs="Times New Roman"/>
          <w:i/>
          <w:iCs/>
          <w:lang w:val="en-US"/>
        </w:rPr>
        <w:t>“</w:t>
      </w:r>
      <w:r w:rsidRPr="004D6F88">
        <w:rPr>
          <w:rFonts w:cs="Times New Roman"/>
          <w:i/>
          <w:iCs/>
          <w:lang w:val="en-US"/>
        </w:rPr>
        <w:t>The ECB and Its Watchers XXII</w:t>
      </w:r>
      <w:r w:rsidR="00831904">
        <w:rPr>
          <w:rFonts w:cs="Times New Roman"/>
          <w:i/>
          <w:iCs/>
          <w:lang w:val="en-US"/>
        </w:rPr>
        <w:t>”</w:t>
      </w:r>
      <w:r w:rsidRPr="004D6F88">
        <w:rPr>
          <w:rFonts w:cs="Times New Roman"/>
          <w:i/>
          <w:iCs/>
          <w:lang w:val="en-US"/>
        </w:rPr>
        <w:t xml:space="preserve"> Conference, Frankfurt am Main</w:t>
      </w:r>
      <w:r w:rsidRPr="004D6F88">
        <w:rPr>
          <w:rFonts w:cs="Times New Roman"/>
          <w:lang w:val="en-US"/>
        </w:rPr>
        <w:t>, 17</w:t>
      </w:r>
      <w:r w:rsidR="00831904">
        <w:rPr>
          <w:rFonts w:cs="Times New Roman"/>
          <w:lang w:val="en-US"/>
        </w:rPr>
        <w:t>/</w:t>
      </w:r>
      <w:r w:rsidRPr="004D6F88">
        <w:rPr>
          <w:rFonts w:cs="Times New Roman"/>
          <w:lang w:val="en-US"/>
        </w:rPr>
        <w:t>03</w:t>
      </w:r>
      <w:r w:rsidR="00831904">
        <w:rPr>
          <w:rFonts w:cs="Times New Roman"/>
          <w:lang w:val="en-US"/>
        </w:rPr>
        <w:t>/</w:t>
      </w:r>
      <w:r w:rsidRPr="004D6F88">
        <w:rPr>
          <w:rFonts w:cs="Times New Roman"/>
          <w:lang w:val="en-US"/>
        </w:rPr>
        <w:t>2022, p. 6.</w:t>
      </w:r>
    </w:p>
  </w:footnote>
  <w:footnote w:id="49">
    <w:p w:rsidRPr="004D6F88" w:rsidR="00831904" w:rsidP="00831904" w:rsidRDefault="00831904" w14:paraId="4BC2447F" w14:textId="724FE1E6">
      <w:pPr>
        <w:pStyle w:val="Notedebasdepage"/>
        <w:rPr>
          <w:lang w:val="en-US"/>
        </w:rPr>
      </w:pPr>
      <w:r>
        <w:rPr>
          <w:rStyle w:val="Appelnotedebasdep"/>
        </w:rPr>
        <w:footnoteRef/>
      </w:r>
      <w:r w:rsidRPr="004D6F88">
        <w:rPr>
          <w:lang w:val="en-US"/>
        </w:rPr>
        <w:t xml:space="preserve"> </w:t>
      </w:r>
      <w:r>
        <w:rPr>
          <w:lang w:val="en-US"/>
        </w:rPr>
        <w:t xml:space="preserve">Isabel Schnabel </w:t>
      </w:r>
      <w:r>
        <w:rPr>
          <w:rFonts w:cs="Times New Roman"/>
          <w:lang w:val="en-US"/>
        </w:rPr>
        <w:t>“</w:t>
      </w:r>
      <w:r w:rsidRPr="004D6F88">
        <w:rPr>
          <w:rFonts w:cs="Times New Roman"/>
          <w:lang w:val="en-US"/>
        </w:rPr>
        <w:t>Finding the right mix: monetary-fiscal interaction at times of high inflation</w:t>
      </w:r>
      <w:r>
        <w:rPr>
          <w:rFonts w:cs="Times New Roman"/>
          <w:lang w:val="en-US"/>
        </w:rPr>
        <w:t>”</w:t>
      </w:r>
      <w:r w:rsidRPr="004D6F88">
        <w:rPr>
          <w:rFonts w:cs="Times New Roman"/>
          <w:lang w:val="en-US"/>
        </w:rPr>
        <w:t xml:space="preserve">, </w:t>
      </w:r>
      <w:r w:rsidRPr="004D6F88">
        <w:rPr>
          <w:rFonts w:cs="Times New Roman"/>
          <w:i/>
          <w:iCs/>
          <w:lang w:val="en-US"/>
        </w:rPr>
        <w:t>at the Bank of England Watchers’ Conference</w:t>
      </w:r>
      <w:r w:rsidRPr="004D6F88">
        <w:rPr>
          <w:rFonts w:cs="Times New Roman"/>
          <w:lang w:val="en-US"/>
        </w:rPr>
        <w:t>, 24</w:t>
      </w:r>
      <w:r>
        <w:rPr>
          <w:rFonts w:cs="Times New Roman"/>
          <w:lang w:val="en-US"/>
        </w:rPr>
        <w:t>/</w:t>
      </w:r>
      <w:r w:rsidRPr="004D6F88">
        <w:rPr>
          <w:rFonts w:cs="Times New Roman"/>
          <w:lang w:val="en-US"/>
        </w:rPr>
        <w:t>11</w:t>
      </w:r>
      <w:r>
        <w:rPr>
          <w:rFonts w:cs="Times New Roman"/>
          <w:lang w:val="en-US"/>
        </w:rPr>
        <w:t>/</w:t>
      </w:r>
      <w:r w:rsidRPr="004D6F88">
        <w:rPr>
          <w:rFonts w:cs="Times New Roman"/>
          <w:lang w:val="en-US"/>
        </w:rPr>
        <w:t>2022, p. 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6C1F5F2"/>
    <w:rsid w:val="00000296"/>
    <w:rsid w:val="00000929"/>
    <w:rsid w:val="00000940"/>
    <w:rsid w:val="00000EA3"/>
    <w:rsid w:val="00002AFB"/>
    <w:rsid w:val="00002F1E"/>
    <w:rsid w:val="00003912"/>
    <w:rsid w:val="00005438"/>
    <w:rsid w:val="000056F4"/>
    <w:rsid w:val="0000592C"/>
    <w:rsid w:val="000059D8"/>
    <w:rsid w:val="000060E7"/>
    <w:rsid w:val="000065B7"/>
    <w:rsid w:val="000072D1"/>
    <w:rsid w:val="0001020E"/>
    <w:rsid w:val="00010EF0"/>
    <w:rsid w:val="00011000"/>
    <w:rsid w:val="00011848"/>
    <w:rsid w:val="00011EB3"/>
    <w:rsid w:val="00011F63"/>
    <w:rsid w:val="00012975"/>
    <w:rsid w:val="00012B5C"/>
    <w:rsid w:val="000137E7"/>
    <w:rsid w:val="00014888"/>
    <w:rsid w:val="00014B75"/>
    <w:rsid w:val="00014C3D"/>
    <w:rsid w:val="00014D99"/>
    <w:rsid w:val="00014F49"/>
    <w:rsid w:val="0001517B"/>
    <w:rsid w:val="00015D39"/>
    <w:rsid w:val="00016B32"/>
    <w:rsid w:val="00016BC2"/>
    <w:rsid w:val="00016D07"/>
    <w:rsid w:val="00016D74"/>
    <w:rsid w:val="00017136"/>
    <w:rsid w:val="00017868"/>
    <w:rsid w:val="00020299"/>
    <w:rsid w:val="00020547"/>
    <w:rsid w:val="000225C5"/>
    <w:rsid w:val="00022A36"/>
    <w:rsid w:val="00022EE8"/>
    <w:rsid w:val="00023023"/>
    <w:rsid w:val="00023BD0"/>
    <w:rsid w:val="00024838"/>
    <w:rsid w:val="000250E4"/>
    <w:rsid w:val="0002570B"/>
    <w:rsid w:val="00025764"/>
    <w:rsid w:val="00025A57"/>
    <w:rsid w:val="00025C3C"/>
    <w:rsid w:val="00025D08"/>
    <w:rsid w:val="000261BE"/>
    <w:rsid w:val="00026798"/>
    <w:rsid w:val="000271B7"/>
    <w:rsid w:val="000274A7"/>
    <w:rsid w:val="00027566"/>
    <w:rsid w:val="00030181"/>
    <w:rsid w:val="000304CF"/>
    <w:rsid w:val="0003089B"/>
    <w:rsid w:val="000312C6"/>
    <w:rsid w:val="00031B69"/>
    <w:rsid w:val="00031C83"/>
    <w:rsid w:val="00031DD3"/>
    <w:rsid w:val="000342BA"/>
    <w:rsid w:val="00035354"/>
    <w:rsid w:val="000353AB"/>
    <w:rsid w:val="00036202"/>
    <w:rsid w:val="0003620F"/>
    <w:rsid w:val="00036CEA"/>
    <w:rsid w:val="00037A67"/>
    <w:rsid w:val="00037B1D"/>
    <w:rsid w:val="0004012B"/>
    <w:rsid w:val="0004029F"/>
    <w:rsid w:val="0004077D"/>
    <w:rsid w:val="00040A35"/>
    <w:rsid w:val="00040D81"/>
    <w:rsid w:val="000411CE"/>
    <w:rsid w:val="00041642"/>
    <w:rsid w:val="0004173A"/>
    <w:rsid w:val="000426C4"/>
    <w:rsid w:val="00042B83"/>
    <w:rsid w:val="00043901"/>
    <w:rsid w:val="00044878"/>
    <w:rsid w:val="00045247"/>
    <w:rsid w:val="00045431"/>
    <w:rsid w:val="000458AC"/>
    <w:rsid w:val="000473BF"/>
    <w:rsid w:val="00050D19"/>
    <w:rsid w:val="00050F61"/>
    <w:rsid w:val="0005154E"/>
    <w:rsid w:val="00052605"/>
    <w:rsid w:val="00052996"/>
    <w:rsid w:val="00053037"/>
    <w:rsid w:val="000535FA"/>
    <w:rsid w:val="00053954"/>
    <w:rsid w:val="00053956"/>
    <w:rsid w:val="0005492A"/>
    <w:rsid w:val="000549F4"/>
    <w:rsid w:val="00054E45"/>
    <w:rsid w:val="0005608E"/>
    <w:rsid w:val="000569FF"/>
    <w:rsid w:val="00056DF4"/>
    <w:rsid w:val="00057687"/>
    <w:rsid w:val="000602FF"/>
    <w:rsid w:val="000608D1"/>
    <w:rsid w:val="00060AB1"/>
    <w:rsid w:val="00060F6D"/>
    <w:rsid w:val="000610F1"/>
    <w:rsid w:val="00062D09"/>
    <w:rsid w:val="000630DD"/>
    <w:rsid w:val="000639B4"/>
    <w:rsid w:val="00063B01"/>
    <w:rsid w:val="0006440F"/>
    <w:rsid w:val="0006462D"/>
    <w:rsid w:val="0006471B"/>
    <w:rsid w:val="00064766"/>
    <w:rsid w:val="00064B27"/>
    <w:rsid w:val="0006557D"/>
    <w:rsid w:val="00065FC6"/>
    <w:rsid w:val="0006654F"/>
    <w:rsid w:val="00066688"/>
    <w:rsid w:val="0006766F"/>
    <w:rsid w:val="00067CDB"/>
    <w:rsid w:val="00070897"/>
    <w:rsid w:val="0007113E"/>
    <w:rsid w:val="0007173C"/>
    <w:rsid w:val="00071E7A"/>
    <w:rsid w:val="000721BF"/>
    <w:rsid w:val="00072691"/>
    <w:rsid w:val="0007292B"/>
    <w:rsid w:val="00073A14"/>
    <w:rsid w:val="00073BDC"/>
    <w:rsid w:val="00073D09"/>
    <w:rsid w:val="00073F67"/>
    <w:rsid w:val="0007435E"/>
    <w:rsid w:val="00074FE7"/>
    <w:rsid w:val="000756EC"/>
    <w:rsid w:val="00075F93"/>
    <w:rsid w:val="00076793"/>
    <w:rsid w:val="000767B9"/>
    <w:rsid w:val="000768F9"/>
    <w:rsid w:val="00076EC5"/>
    <w:rsid w:val="0007748C"/>
    <w:rsid w:val="00080034"/>
    <w:rsid w:val="00080170"/>
    <w:rsid w:val="000809B9"/>
    <w:rsid w:val="00081EDF"/>
    <w:rsid w:val="0008210D"/>
    <w:rsid w:val="000822B5"/>
    <w:rsid w:val="00082695"/>
    <w:rsid w:val="000841D7"/>
    <w:rsid w:val="00084876"/>
    <w:rsid w:val="000848C8"/>
    <w:rsid w:val="00084B0F"/>
    <w:rsid w:val="00084C74"/>
    <w:rsid w:val="000852B0"/>
    <w:rsid w:val="000856E0"/>
    <w:rsid w:val="0008588C"/>
    <w:rsid w:val="000873C2"/>
    <w:rsid w:val="000906A2"/>
    <w:rsid w:val="00090D6D"/>
    <w:rsid w:val="00090DFB"/>
    <w:rsid w:val="00091107"/>
    <w:rsid w:val="00091B00"/>
    <w:rsid w:val="00091D5B"/>
    <w:rsid w:val="00091F36"/>
    <w:rsid w:val="0009226C"/>
    <w:rsid w:val="00092343"/>
    <w:rsid w:val="00092697"/>
    <w:rsid w:val="00092C5C"/>
    <w:rsid w:val="00092DC8"/>
    <w:rsid w:val="00093637"/>
    <w:rsid w:val="00093E5A"/>
    <w:rsid w:val="000940F7"/>
    <w:rsid w:val="00094A83"/>
    <w:rsid w:val="000950D0"/>
    <w:rsid w:val="000952CC"/>
    <w:rsid w:val="000954FA"/>
    <w:rsid w:val="00095571"/>
    <w:rsid w:val="00095878"/>
    <w:rsid w:val="00095AE4"/>
    <w:rsid w:val="00095B3F"/>
    <w:rsid w:val="000964C1"/>
    <w:rsid w:val="00096708"/>
    <w:rsid w:val="00097A41"/>
    <w:rsid w:val="000A035C"/>
    <w:rsid w:val="000A038B"/>
    <w:rsid w:val="000A04BD"/>
    <w:rsid w:val="000A0D76"/>
    <w:rsid w:val="000A138F"/>
    <w:rsid w:val="000A190C"/>
    <w:rsid w:val="000A1D5B"/>
    <w:rsid w:val="000A1DB1"/>
    <w:rsid w:val="000A2C19"/>
    <w:rsid w:val="000A3004"/>
    <w:rsid w:val="000A35C6"/>
    <w:rsid w:val="000A46F0"/>
    <w:rsid w:val="000A6531"/>
    <w:rsid w:val="000A6C3F"/>
    <w:rsid w:val="000A7363"/>
    <w:rsid w:val="000A764D"/>
    <w:rsid w:val="000A7B85"/>
    <w:rsid w:val="000B036B"/>
    <w:rsid w:val="000B1955"/>
    <w:rsid w:val="000B1AB5"/>
    <w:rsid w:val="000B1B1D"/>
    <w:rsid w:val="000B20D7"/>
    <w:rsid w:val="000B23AC"/>
    <w:rsid w:val="000B2C62"/>
    <w:rsid w:val="000B3479"/>
    <w:rsid w:val="000B3A73"/>
    <w:rsid w:val="000B3B83"/>
    <w:rsid w:val="000B45C1"/>
    <w:rsid w:val="000B4761"/>
    <w:rsid w:val="000B47BB"/>
    <w:rsid w:val="000B47EC"/>
    <w:rsid w:val="000B4CA9"/>
    <w:rsid w:val="000B4DC3"/>
    <w:rsid w:val="000B6547"/>
    <w:rsid w:val="000B6559"/>
    <w:rsid w:val="000B6585"/>
    <w:rsid w:val="000B7361"/>
    <w:rsid w:val="000B7C18"/>
    <w:rsid w:val="000C004D"/>
    <w:rsid w:val="000C07E1"/>
    <w:rsid w:val="000C09EC"/>
    <w:rsid w:val="000C0F73"/>
    <w:rsid w:val="000C13DF"/>
    <w:rsid w:val="000C14D9"/>
    <w:rsid w:val="000C1558"/>
    <w:rsid w:val="000C1E9C"/>
    <w:rsid w:val="000C29EF"/>
    <w:rsid w:val="000C2C7E"/>
    <w:rsid w:val="000C2EDA"/>
    <w:rsid w:val="000C392D"/>
    <w:rsid w:val="000C47B5"/>
    <w:rsid w:val="000C48E8"/>
    <w:rsid w:val="000C5B89"/>
    <w:rsid w:val="000C5EA9"/>
    <w:rsid w:val="000C6D3F"/>
    <w:rsid w:val="000C7C6E"/>
    <w:rsid w:val="000C7ECC"/>
    <w:rsid w:val="000CE616"/>
    <w:rsid w:val="000D09DA"/>
    <w:rsid w:val="000D0E92"/>
    <w:rsid w:val="000D0F39"/>
    <w:rsid w:val="000D13D2"/>
    <w:rsid w:val="000D1C43"/>
    <w:rsid w:val="000D30D6"/>
    <w:rsid w:val="000D339D"/>
    <w:rsid w:val="000D44EB"/>
    <w:rsid w:val="000D53DB"/>
    <w:rsid w:val="000D565C"/>
    <w:rsid w:val="000D598D"/>
    <w:rsid w:val="000D5C4B"/>
    <w:rsid w:val="000D5E30"/>
    <w:rsid w:val="000D5E72"/>
    <w:rsid w:val="000D6365"/>
    <w:rsid w:val="000D639C"/>
    <w:rsid w:val="000D65A5"/>
    <w:rsid w:val="000E0421"/>
    <w:rsid w:val="000E0848"/>
    <w:rsid w:val="000E0F33"/>
    <w:rsid w:val="000E20CF"/>
    <w:rsid w:val="000E2885"/>
    <w:rsid w:val="000E2C71"/>
    <w:rsid w:val="000E34F2"/>
    <w:rsid w:val="000E3894"/>
    <w:rsid w:val="000E4FE0"/>
    <w:rsid w:val="000E5195"/>
    <w:rsid w:val="000E64C2"/>
    <w:rsid w:val="000E6B56"/>
    <w:rsid w:val="000E718F"/>
    <w:rsid w:val="000E7817"/>
    <w:rsid w:val="000F02CD"/>
    <w:rsid w:val="000F0345"/>
    <w:rsid w:val="000F171B"/>
    <w:rsid w:val="000F2600"/>
    <w:rsid w:val="000F265D"/>
    <w:rsid w:val="000F2F66"/>
    <w:rsid w:val="000F2FC5"/>
    <w:rsid w:val="000F3772"/>
    <w:rsid w:val="000F525D"/>
    <w:rsid w:val="000F5934"/>
    <w:rsid w:val="000F601D"/>
    <w:rsid w:val="000F6738"/>
    <w:rsid w:val="000F6EE9"/>
    <w:rsid w:val="000F73BD"/>
    <w:rsid w:val="000F77FA"/>
    <w:rsid w:val="000F798E"/>
    <w:rsid w:val="000F7ADF"/>
    <w:rsid w:val="000F7DF5"/>
    <w:rsid w:val="0010041C"/>
    <w:rsid w:val="00100579"/>
    <w:rsid w:val="00100ED0"/>
    <w:rsid w:val="00101BE3"/>
    <w:rsid w:val="00102AD0"/>
    <w:rsid w:val="001031D0"/>
    <w:rsid w:val="001032BE"/>
    <w:rsid w:val="001040CC"/>
    <w:rsid w:val="001046A5"/>
    <w:rsid w:val="00105442"/>
    <w:rsid w:val="00105662"/>
    <w:rsid w:val="00105AC2"/>
    <w:rsid w:val="001061F5"/>
    <w:rsid w:val="001067AA"/>
    <w:rsid w:val="00106C85"/>
    <w:rsid w:val="00106FCB"/>
    <w:rsid w:val="00107003"/>
    <w:rsid w:val="00107205"/>
    <w:rsid w:val="001075A1"/>
    <w:rsid w:val="001078FC"/>
    <w:rsid w:val="00110219"/>
    <w:rsid w:val="00110300"/>
    <w:rsid w:val="001108B6"/>
    <w:rsid w:val="00110F43"/>
    <w:rsid w:val="0011132A"/>
    <w:rsid w:val="001119D8"/>
    <w:rsid w:val="0011213B"/>
    <w:rsid w:val="00113750"/>
    <w:rsid w:val="0011523A"/>
    <w:rsid w:val="001154B6"/>
    <w:rsid w:val="00115F8F"/>
    <w:rsid w:val="0012019C"/>
    <w:rsid w:val="001216F0"/>
    <w:rsid w:val="00121A81"/>
    <w:rsid w:val="00121DFE"/>
    <w:rsid w:val="00121EFB"/>
    <w:rsid w:val="00122167"/>
    <w:rsid w:val="00122267"/>
    <w:rsid w:val="001228AF"/>
    <w:rsid w:val="00122A46"/>
    <w:rsid w:val="00123489"/>
    <w:rsid w:val="00123772"/>
    <w:rsid w:val="00123E49"/>
    <w:rsid w:val="00123EA8"/>
    <w:rsid w:val="00124004"/>
    <w:rsid w:val="001246E6"/>
    <w:rsid w:val="001247D8"/>
    <w:rsid w:val="0012526B"/>
    <w:rsid w:val="00125BA3"/>
    <w:rsid w:val="00126BA0"/>
    <w:rsid w:val="00126D54"/>
    <w:rsid w:val="00126E3B"/>
    <w:rsid w:val="001278DD"/>
    <w:rsid w:val="00130CBE"/>
    <w:rsid w:val="00131372"/>
    <w:rsid w:val="00131467"/>
    <w:rsid w:val="001323F7"/>
    <w:rsid w:val="00132699"/>
    <w:rsid w:val="00133DCF"/>
    <w:rsid w:val="00134A84"/>
    <w:rsid w:val="00134A9A"/>
    <w:rsid w:val="0013641D"/>
    <w:rsid w:val="0013649D"/>
    <w:rsid w:val="00136697"/>
    <w:rsid w:val="001369D0"/>
    <w:rsid w:val="00137B6A"/>
    <w:rsid w:val="00140D79"/>
    <w:rsid w:val="0014126A"/>
    <w:rsid w:val="001412AD"/>
    <w:rsid w:val="00141A41"/>
    <w:rsid w:val="00141ADE"/>
    <w:rsid w:val="00142F03"/>
    <w:rsid w:val="00144B5A"/>
    <w:rsid w:val="00144FCF"/>
    <w:rsid w:val="00145903"/>
    <w:rsid w:val="00145A84"/>
    <w:rsid w:val="00145F71"/>
    <w:rsid w:val="00146910"/>
    <w:rsid w:val="00146A15"/>
    <w:rsid w:val="00146FD3"/>
    <w:rsid w:val="001509D4"/>
    <w:rsid w:val="00150B52"/>
    <w:rsid w:val="001515D8"/>
    <w:rsid w:val="00152186"/>
    <w:rsid w:val="001527C8"/>
    <w:rsid w:val="0015299D"/>
    <w:rsid w:val="001536E6"/>
    <w:rsid w:val="00153ED3"/>
    <w:rsid w:val="00154162"/>
    <w:rsid w:val="00154492"/>
    <w:rsid w:val="001544B2"/>
    <w:rsid w:val="00154796"/>
    <w:rsid w:val="00154912"/>
    <w:rsid w:val="001549B8"/>
    <w:rsid w:val="00155358"/>
    <w:rsid w:val="00155ABF"/>
    <w:rsid w:val="00155C14"/>
    <w:rsid w:val="00156CB3"/>
    <w:rsid w:val="00156E1C"/>
    <w:rsid w:val="00156FD5"/>
    <w:rsid w:val="0015775D"/>
    <w:rsid w:val="001577D8"/>
    <w:rsid w:val="0015789C"/>
    <w:rsid w:val="00157A03"/>
    <w:rsid w:val="00157D0D"/>
    <w:rsid w:val="001607DA"/>
    <w:rsid w:val="00160FE5"/>
    <w:rsid w:val="001616F9"/>
    <w:rsid w:val="00162F32"/>
    <w:rsid w:val="00163DD2"/>
    <w:rsid w:val="001646BA"/>
    <w:rsid w:val="001655FC"/>
    <w:rsid w:val="00165848"/>
    <w:rsid w:val="00165E54"/>
    <w:rsid w:val="001664D2"/>
    <w:rsid w:val="001671B5"/>
    <w:rsid w:val="001673B6"/>
    <w:rsid w:val="001679DD"/>
    <w:rsid w:val="001710CE"/>
    <w:rsid w:val="001736C7"/>
    <w:rsid w:val="00174987"/>
    <w:rsid w:val="00174FC1"/>
    <w:rsid w:val="0017578D"/>
    <w:rsid w:val="00175D0C"/>
    <w:rsid w:val="00175E90"/>
    <w:rsid w:val="00176A40"/>
    <w:rsid w:val="00177A53"/>
    <w:rsid w:val="00177B1E"/>
    <w:rsid w:val="0018018C"/>
    <w:rsid w:val="0018025A"/>
    <w:rsid w:val="0018078C"/>
    <w:rsid w:val="00180993"/>
    <w:rsid w:val="00180FF7"/>
    <w:rsid w:val="001818D6"/>
    <w:rsid w:val="00181E5F"/>
    <w:rsid w:val="001821FB"/>
    <w:rsid w:val="001823E4"/>
    <w:rsid w:val="00182C05"/>
    <w:rsid w:val="0018331A"/>
    <w:rsid w:val="00184E2B"/>
    <w:rsid w:val="0018500E"/>
    <w:rsid w:val="0018504B"/>
    <w:rsid w:val="001862CE"/>
    <w:rsid w:val="001862CF"/>
    <w:rsid w:val="0018641E"/>
    <w:rsid w:val="00186824"/>
    <w:rsid w:val="00186835"/>
    <w:rsid w:val="00186A4E"/>
    <w:rsid w:val="00186DCD"/>
    <w:rsid w:val="00190BCE"/>
    <w:rsid w:val="00190FA0"/>
    <w:rsid w:val="0019115C"/>
    <w:rsid w:val="00191B1C"/>
    <w:rsid w:val="00192239"/>
    <w:rsid w:val="00192A87"/>
    <w:rsid w:val="00192BE2"/>
    <w:rsid w:val="00193328"/>
    <w:rsid w:val="00193F7E"/>
    <w:rsid w:val="00194C36"/>
    <w:rsid w:val="001953F5"/>
    <w:rsid w:val="00195836"/>
    <w:rsid w:val="00195B51"/>
    <w:rsid w:val="00195F89"/>
    <w:rsid w:val="00196ABD"/>
    <w:rsid w:val="00196FA6"/>
    <w:rsid w:val="00197AF1"/>
    <w:rsid w:val="001A0183"/>
    <w:rsid w:val="001A0A0B"/>
    <w:rsid w:val="001A13E5"/>
    <w:rsid w:val="001A1418"/>
    <w:rsid w:val="001A1FB8"/>
    <w:rsid w:val="001A3084"/>
    <w:rsid w:val="001A349C"/>
    <w:rsid w:val="001A3501"/>
    <w:rsid w:val="001A3FDB"/>
    <w:rsid w:val="001A4915"/>
    <w:rsid w:val="001A4958"/>
    <w:rsid w:val="001A4C15"/>
    <w:rsid w:val="001A5356"/>
    <w:rsid w:val="001A5807"/>
    <w:rsid w:val="001A5C6E"/>
    <w:rsid w:val="001A76A1"/>
    <w:rsid w:val="001A76F8"/>
    <w:rsid w:val="001A7A8C"/>
    <w:rsid w:val="001A7CE5"/>
    <w:rsid w:val="001B01D8"/>
    <w:rsid w:val="001B1008"/>
    <w:rsid w:val="001B134B"/>
    <w:rsid w:val="001B1AE8"/>
    <w:rsid w:val="001B1D0F"/>
    <w:rsid w:val="001B2252"/>
    <w:rsid w:val="001B263D"/>
    <w:rsid w:val="001B2898"/>
    <w:rsid w:val="001B28CF"/>
    <w:rsid w:val="001B2AEE"/>
    <w:rsid w:val="001B2D12"/>
    <w:rsid w:val="001B36C4"/>
    <w:rsid w:val="001B416B"/>
    <w:rsid w:val="001B491C"/>
    <w:rsid w:val="001B6571"/>
    <w:rsid w:val="001B6851"/>
    <w:rsid w:val="001B694A"/>
    <w:rsid w:val="001B6C1F"/>
    <w:rsid w:val="001B708A"/>
    <w:rsid w:val="001C0401"/>
    <w:rsid w:val="001C0BF3"/>
    <w:rsid w:val="001C19BE"/>
    <w:rsid w:val="001C22F5"/>
    <w:rsid w:val="001C25EB"/>
    <w:rsid w:val="001C27C8"/>
    <w:rsid w:val="001C3A66"/>
    <w:rsid w:val="001C45AF"/>
    <w:rsid w:val="001C46CD"/>
    <w:rsid w:val="001C4B7E"/>
    <w:rsid w:val="001C521F"/>
    <w:rsid w:val="001C5DCB"/>
    <w:rsid w:val="001C658C"/>
    <w:rsid w:val="001C6979"/>
    <w:rsid w:val="001C6BE2"/>
    <w:rsid w:val="001C6DB0"/>
    <w:rsid w:val="001C7135"/>
    <w:rsid w:val="001C7180"/>
    <w:rsid w:val="001D0BC6"/>
    <w:rsid w:val="001D147D"/>
    <w:rsid w:val="001D172B"/>
    <w:rsid w:val="001D18D3"/>
    <w:rsid w:val="001D1B49"/>
    <w:rsid w:val="001D22EA"/>
    <w:rsid w:val="001D27AD"/>
    <w:rsid w:val="001D2A2E"/>
    <w:rsid w:val="001D3B75"/>
    <w:rsid w:val="001D4D00"/>
    <w:rsid w:val="001D5F24"/>
    <w:rsid w:val="001D6088"/>
    <w:rsid w:val="001D6CFE"/>
    <w:rsid w:val="001D76A9"/>
    <w:rsid w:val="001D77BE"/>
    <w:rsid w:val="001E01A9"/>
    <w:rsid w:val="001E0885"/>
    <w:rsid w:val="001E1017"/>
    <w:rsid w:val="001E166E"/>
    <w:rsid w:val="001E26C3"/>
    <w:rsid w:val="001E4254"/>
    <w:rsid w:val="001E4674"/>
    <w:rsid w:val="001E4CD2"/>
    <w:rsid w:val="001E5266"/>
    <w:rsid w:val="001F07A2"/>
    <w:rsid w:val="001F08D5"/>
    <w:rsid w:val="001F176E"/>
    <w:rsid w:val="001F19B7"/>
    <w:rsid w:val="001F1D15"/>
    <w:rsid w:val="001F22FA"/>
    <w:rsid w:val="001F274F"/>
    <w:rsid w:val="001F2BDF"/>
    <w:rsid w:val="001F3A4C"/>
    <w:rsid w:val="001F3BB2"/>
    <w:rsid w:val="001F3EA0"/>
    <w:rsid w:val="001F40AD"/>
    <w:rsid w:val="001F4C63"/>
    <w:rsid w:val="001F4FA4"/>
    <w:rsid w:val="001F54DA"/>
    <w:rsid w:val="001F5617"/>
    <w:rsid w:val="001F6195"/>
    <w:rsid w:val="001F62C4"/>
    <w:rsid w:val="001F6509"/>
    <w:rsid w:val="001F691D"/>
    <w:rsid w:val="001F7C25"/>
    <w:rsid w:val="001F7CD3"/>
    <w:rsid w:val="001F7CEE"/>
    <w:rsid w:val="001F7F30"/>
    <w:rsid w:val="00200467"/>
    <w:rsid w:val="002014F1"/>
    <w:rsid w:val="00201990"/>
    <w:rsid w:val="00201A97"/>
    <w:rsid w:val="002026CC"/>
    <w:rsid w:val="0020272A"/>
    <w:rsid w:val="002029DE"/>
    <w:rsid w:val="0020300E"/>
    <w:rsid w:val="002047BC"/>
    <w:rsid w:val="00204A81"/>
    <w:rsid w:val="002056C7"/>
    <w:rsid w:val="00206A00"/>
    <w:rsid w:val="00206A5E"/>
    <w:rsid w:val="0020735B"/>
    <w:rsid w:val="00210613"/>
    <w:rsid w:val="00210952"/>
    <w:rsid w:val="00210A87"/>
    <w:rsid w:val="00211147"/>
    <w:rsid w:val="00211786"/>
    <w:rsid w:val="00211A5A"/>
    <w:rsid w:val="00211A66"/>
    <w:rsid w:val="00211B48"/>
    <w:rsid w:val="002126E4"/>
    <w:rsid w:val="00212B7B"/>
    <w:rsid w:val="00213097"/>
    <w:rsid w:val="002130F0"/>
    <w:rsid w:val="00214C0F"/>
    <w:rsid w:val="00214E32"/>
    <w:rsid w:val="0021559C"/>
    <w:rsid w:val="0021583E"/>
    <w:rsid w:val="00215AE3"/>
    <w:rsid w:val="002168A2"/>
    <w:rsid w:val="00216E87"/>
    <w:rsid w:val="00217760"/>
    <w:rsid w:val="00217F00"/>
    <w:rsid w:val="00220201"/>
    <w:rsid w:val="002207D7"/>
    <w:rsid w:val="00220D5E"/>
    <w:rsid w:val="002212D4"/>
    <w:rsid w:val="00221673"/>
    <w:rsid w:val="00222436"/>
    <w:rsid w:val="00222C39"/>
    <w:rsid w:val="002235A6"/>
    <w:rsid w:val="00223777"/>
    <w:rsid w:val="002241D7"/>
    <w:rsid w:val="00224CC9"/>
    <w:rsid w:val="00224E00"/>
    <w:rsid w:val="00225080"/>
    <w:rsid w:val="00225387"/>
    <w:rsid w:val="002255A8"/>
    <w:rsid w:val="002258F8"/>
    <w:rsid w:val="00225FE2"/>
    <w:rsid w:val="00226208"/>
    <w:rsid w:val="002265B2"/>
    <w:rsid w:val="00227FA9"/>
    <w:rsid w:val="002302C3"/>
    <w:rsid w:val="00230BA8"/>
    <w:rsid w:val="002316B4"/>
    <w:rsid w:val="002325C7"/>
    <w:rsid w:val="002332E3"/>
    <w:rsid w:val="00233B8D"/>
    <w:rsid w:val="002342F9"/>
    <w:rsid w:val="00234582"/>
    <w:rsid w:val="002349AE"/>
    <w:rsid w:val="00235961"/>
    <w:rsid w:val="00235EF8"/>
    <w:rsid w:val="00236261"/>
    <w:rsid w:val="0023640D"/>
    <w:rsid w:val="00236531"/>
    <w:rsid w:val="00236B55"/>
    <w:rsid w:val="00236E0E"/>
    <w:rsid w:val="002370AA"/>
    <w:rsid w:val="002401E1"/>
    <w:rsid w:val="00240D09"/>
    <w:rsid w:val="00241F1E"/>
    <w:rsid w:val="00242118"/>
    <w:rsid w:val="002422CE"/>
    <w:rsid w:val="00242462"/>
    <w:rsid w:val="0024295A"/>
    <w:rsid w:val="00242C89"/>
    <w:rsid w:val="0024335C"/>
    <w:rsid w:val="00243886"/>
    <w:rsid w:val="00243F5D"/>
    <w:rsid w:val="002441C1"/>
    <w:rsid w:val="002446FB"/>
    <w:rsid w:val="00244EC4"/>
    <w:rsid w:val="002451E5"/>
    <w:rsid w:val="002452E9"/>
    <w:rsid w:val="002452FE"/>
    <w:rsid w:val="002462A5"/>
    <w:rsid w:val="0024687A"/>
    <w:rsid w:val="002477B2"/>
    <w:rsid w:val="002477EB"/>
    <w:rsid w:val="002479CB"/>
    <w:rsid w:val="00247C25"/>
    <w:rsid w:val="0025057B"/>
    <w:rsid w:val="002506A5"/>
    <w:rsid w:val="00251129"/>
    <w:rsid w:val="00252578"/>
    <w:rsid w:val="00253ACA"/>
    <w:rsid w:val="00253E37"/>
    <w:rsid w:val="002548C9"/>
    <w:rsid w:val="002548D7"/>
    <w:rsid w:val="00255507"/>
    <w:rsid w:val="0025559D"/>
    <w:rsid w:val="0025580B"/>
    <w:rsid w:val="00256082"/>
    <w:rsid w:val="00256C8C"/>
    <w:rsid w:val="00256CFA"/>
    <w:rsid w:val="00256E19"/>
    <w:rsid w:val="00257398"/>
    <w:rsid w:val="00257460"/>
    <w:rsid w:val="002602DC"/>
    <w:rsid w:val="00260724"/>
    <w:rsid w:val="0026074F"/>
    <w:rsid w:val="00261800"/>
    <w:rsid w:val="00261822"/>
    <w:rsid w:val="00261E7A"/>
    <w:rsid w:val="00262079"/>
    <w:rsid w:val="0026211B"/>
    <w:rsid w:val="002625D2"/>
    <w:rsid w:val="0026373C"/>
    <w:rsid w:val="00264798"/>
    <w:rsid w:val="00266944"/>
    <w:rsid w:val="002669D0"/>
    <w:rsid w:val="00266CE7"/>
    <w:rsid w:val="00267D87"/>
    <w:rsid w:val="0027009F"/>
    <w:rsid w:val="002701AD"/>
    <w:rsid w:val="0027067A"/>
    <w:rsid w:val="00271B2B"/>
    <w:rsid w:val="00271F0A"/>
    <w:rsid w:val="002723BA"/>
    <w:rsid w:val="00272C82"/>
    <w:rsid w:val="00273ACD"/>
    <w:rsid w:val="002740C8"/>
    <w:rsid w:val="002746DA"/>
    <w:rsid w:val="00274E0A"/>
    <w:rsid w:val="00275457"/>
    <w:rsid w:val="00276A97"/>
    <w:rsid w:val="0028080D"/>
    <w:rsid w:val="00280A2C"/>
    <w:rsid w:val="00280D1D"/>
    <w:rsid w:val="00280FFD"/>
    <w:rsid w:val="0028108D"/>
    <w:rsid w:val="00281672"/>
    <w:rsid w:val="00282075"/>
    <w:rsid w:val="002825C9"/>
    <w:rsid w:val="00282A47"/>
    <w:rsid w:val="00283427"/>
    <w:rsid w:val="00284736"/>
    <w:rsid w:val="002849C7"/>
    <w:rsid w:val="00284D80"/>
    <w:rsid w:val="0028522F"/>
    <w:rsid w:val="00285266"/>
    <w:rsid w:val="002852D6"/>
    <w:rsid w:val="002856CA"/>
    <w:rsid w:val="002857F0"/>
    <w:rsid w:val="00285840"/>
    <w:rsid w:val="002859D2"/>
    <w:rsid w:val="00285F81"/>
    <w:rsid w:val="002874FB"/>
    <w:rsid w:val="00287F76"/>
    <w:rsid w:val="00287FB6"/>
    <w:rsid w:val="00290C92"/>
    <w:rsid w:val="00290D27"/>
    <w:rsid w:val="00291128"/>
    <w:rsid w:val="00291F29"/>
    <w:rsid w:val="0029248A"/>
    <w:rsid w:val="002929D9"/>
    <w:rsid w:val="00292E1A"/>
    <w:rsid w:val="00293DCF"/>
    <w:rsid w:val="002942A6"/>
    <w:rsid w:val="00295910"/>
    <w:rsid w:val="00296F5A"/>
    <w:rsid w:val="00297715"/>
    <w:rsid w:val="00297BED"/>
    <w:rsid w:val="002A01EC"/>
    <w:rsid w:val="002A080A"/>
    <w:rsid w:val="002A169F"/>
    <w:rsid w:val="002A180A"/>
    <w:rsid w:val="002A1E94"/>
    <w:rsid w:val="002A2971"/>
    <w:rsid w:val="002A2D0A"/>
    <w:rsid w:val="002A3580"/>
    <w:rsid w:val="002A3835"/>
    <w:rsid w:val="002A3D5A"/>
    <w:rsid w:val="002A40F3"/>
    <w:rsid w:val="002A41D4"/>
    <w:rsid w:val="002A436B"/>
    <w:rsid w:val="002A4740"/>
    <w:rsid w:val="002A5642"/>
    <w:rsid w:val="002A5761"/>
    <w:rsid w:val="002A599E"/>
    <w:rsid w:val="002A5DEE"/>
    <w:rsid w:val="002A7217"/>
    <w:rsid w:val="002B0A3A"/>
    <w:rsid w:val="002B0A5F"/>
    <w:rsid w:val="002B0C5F"/>
    <w:rsid w:val="002B1FF2"/>
    <w:rsid w:val="002B26B7"/>
    <w:rsid w:val="002B2A22"/>
    <w:rsid w:val="002B2D1D"/>
    <w:rsid w:val="002B2D9E"/>
    <w:rsid w:val="002B4CD5"/>
    <w:rsid w:val="002B5296"/>
    <w:rsid w:val="002B55CE"/>
    <w:rsid w:val="002B58B6"/>
    <w:rsid w:val="002B5B53"/>
    <w:rsid w:val="002B616C"/>
    <w:rsid w:val="002B654C"/>
    <w:rsid w:val="002B6EE5"/>
    <w:rsid w:val="002C064C"/>
    <w:rsid w:val="002C26CD"/>
    <w:rsid w:val="002C2AD2"/>
    <w:rsid w:val="002C2B58"/>
    <w:rsid w:val="002C3CBE"/>
    <w:rsid w:val="002C3D33"/>
    <w:rsid w:val="002C4441"/>
    <w:rsid w:val="002C4B2D"/>
    <w:rsid w:val="002C4B6F"/>
    <w:rsid w:val="002C572C"/>
    <w:rsid w:val="002C5B05"/>
    <w:rsid w:val="002C5DD8"/>
    <w:rsid w:val="002C60FB"/>
    <w:rsid w:val="002C622A"/>
    <w:rsid w:val="002C6310"/>
    <w:rsid w:val="002C6E47"/>
    <w:rsid w:val="002C78CC"/>
    <w:rsid w:val="002D371C"/>
    <w:rsid w:val="002D383C"/>
    <w:rsid w:val="002D4529"/>
    <w:rsid w:val="002D4717"/>
    <w:rsid w:val="002D4F99"/>
    <w:rsid w:val="002D5650"/>
    <w:rsid w:val="002D5C23"/>
    <w:rsid w:val="002D6602"/>
    <w:rsid w:val="002D7E03"/>
    <w:rsid w:val="002E0044"/>
    <w:rsid w:val="002E0072"/>
    <w:rsid w:val="002E102C"/>
    <w:rsid w:val="002E2573"/>
    <w:rsid w:val="002E2A30"/>
    <w:rsid w:val="002E2B28"/>
    <w:rsid w:val="002E30FA"/>
    <w:rsid w:val="002E331A"/>
    <w:rsid w:val="002E3C45"/>
    <w:rsid w:val="002E3E9C"/>
    <w:rsid w:val="002E43E3"/>
    <w:rsid w:val="002E4990"/>
    <w:rsid w:val="002E4B7E"/>
    <w:rsid w:val="002E5E81"/>
    <w:rsid w:val="002E680A"/>
    <w:rsid w:val="002E6CF1"/>
    <w:rsid w:val="002E6CF9"/>
    <w:rsid w:val="002E7205"/>
    <w:rsid w:val="002E7B55"/>
    <w:rsid w:val="002F0514"/>
    <w:rsid w:val="002F0D3B"/>
    <w:rsid w:val="002F1602"/>
    <w:rsid w:val="002F25F3"/>
    <w:rsid w:val="002F2924"/>
    <w:rsid w:val="002F2AF4"/>
    <w:rsid w:val="002F3008"/>
    <w:rsid w:val="002F31B0"/>
    <w:rsid w:val="002F369E"/>
    <w:rsid w:val="002F391E"/>
    <w:rsid w:val="002F3C47"/>
    <w:rsid w:val="002F3E17"/>
    <w:rsid w:val="002F4302"/>
    <w:rsid w:val="002F45B3"/>
    <w:rsid w:val="002F4671"/>
    <w:rsid w:val="002F4CF2"/>
    <w:rsid w:val="002F5C81"/>
    <w:rsid w:val="002F6EBA"/>
    <w:rsid w:val="002F6FCB"/>
    <w:rsid w:val="002F7D47"/>
    <w:rsid w:val="003006C3"/>
    <w:rsid w:val="00300AED"/>
    <w:rsid w:val="00300C80"/>
    <w:rsid w:val="00301306"/>
    <w:rsid w:val="003015DD"/>
    <w:rsid w:val="00301C89"/>
    <w:rsid w:val="00302504"/>
    <w:rsid w:val="00302622"/>
    <w:rsid w:val="00302D2A"/>
    <w:rsid w:val="00302DFD"/>
    <w:rsid w:val="00303321"/>
    <w:rsid w:val="00303624"/>
    <w:rsid w:val="00303E7F"/>
    <w:rsid w:val="00304EAF"/>
    <w:rsid w:val="0030620B"/>
    <w:rsid w:val="00306455"/>
    <w:rsid w:val="003066E3"/>
    <w:rsid w:val="00307874"/>
    <w:rsid w:val="00307BE7"/>
    <w:rsid w:val="00307FE2"/>
    <w:rsid w:val="00310A8C"/>
    <w:rsid w:val="00310D9A"/>
    <w:rsid w:val="0031114C"/>
    <w:rsid w:val="003111C7"/>
    <w:rsid w:val="00312E94"/>
    <w:rsid w:val="003138DB"/>
    <w:rsid w:val="00313C25"/>
    <w:rsid w:val="00313DDE"/>
    <w:rsid w:val="003147BC"/>
    <w:rsid w:val="00314A96"/>
    <w:rsid w:val="00315AB9"/>
    <w:rsid w:val="00315D43"/>
    <w:rsid w:val="00315F6F"/>
    <w:rsid w:val="003164B5"/>
    <w:rsid w:val="00317691"/>
    <w:rsid w:val="003200C0"/>
    <w:rsid w:val="003201A1"/>
    <w:rsid w:val="00320994"/>
    <w:rsid w:val="00320F47"/>
    <w:rsid w:val="00322448"/>
    <w:rsid w:val="00322A4C"/>
    <w:rsid w:val="00322CE2"/>
    <w:rsid w:val="00323255"/>
    <w:rsid w:val="003235AD"/>
    <w:rsid w:val="003237B0"/>
    <w:rsid w:val="00324402"/>
    <w:rsid w:val="00324803"/>
    <w:rsid w:val="003249DB"/>
    <w:rsid w:val="00324A6A"/>
    <w:rsid w:val="00324AF7"/>
    <w:rsid w:val="00325463"/>
    <w:rsid w:val="0032634C"/>
    <w:rsid w:val="0032731C"/>
    <w:rsid w:val="0032784D"/>
    <w:rsid w:val="00330D7A"/>
    <w:rsid w:val="0033159F"/>
    <w:rsid w:val="00332845"/>
    <w:rsid w:val="00333083"/>
    <w:rsid w:val="003334E1"/>
    <w:rsid w:val="00333883"/>
    <w:rsid w:val="00333BB8"/>
    <w:rsid w:val="003344A1"/>
    <w:rsid w:val="0033476F"/>
    <w:rsid w:val="00334799"/>
    <w:rsid w:val="00334B3F"/>
    <w:rsid w:val="00335191"/>
    <w:rsid w:val="00335513"/>
    <w:rsid w:val="00335708"/>
    <w:rsid w:val="00335A0B"/>
    <w:rsid w:val="00336FCA"/>
    <w:rsid w:val="00337385"/>
    <w:rsid w:val="0033769A"/>
    <w:rsid w:val="003406CE"/>
    <w:rsid w:val="00340D3B"/>
    <w:rsid w:val="00341C73"/>
    <w:rsid w:val="00342A42"/>
    <w:rsid w:val="00343232"/>
    <w:rsid w:val="003438A7"/>
    <w:rsid w:val="003441CC"/>
    <w:rsid w:val="00344294"/>
    <w:rsid w:val="00344544"/>
    <w:rsid w:val="00344847"/>
    <w:rsid w:val="00344A88"/>
    <w:rsid w:val="00345269"/>
    <w:rsid w:val="003457D7"/>
    <w:rsid w:val="003459B8"/>
    <w:rsid w:val="00346551"/>
    <w:rsid w:val="0034706A"/>
    <w:rsid w:val="00347DC2"/>
    <w:rsid w:val="003502A9"/>
    <w:rsid w:val="003507CC"/>
    <w:rsid w:val="00350970"/>
    <w:rsid w:val="0035118B"/>
    <w:rsid w:val="00351F9E"/>
    <w:rsid w:val="00352108"/>
    <w:rsid w:val="003523F6"/>
    <w:rsid w:val="00353C88"/>
    <w:rsid w:val="00354011"/>
    <w:rsid w:val="00354556"/>
    <w:rsid w:val="003546E3"/>
    <w:rsid w:val="00354BDD"/>
    <w:rsid w:val="003552F8"/>
    <w:rsid w:val="0035547D"/>
    <w:rsid w:val="00355D2F"/>
    <w:rsid w:val="003560C6"/>
    <w:rsid w:val="00357A60"/>
    <w:rsid w:val="00357D8D"/>
    <w:rsid w:val="00360D1A"/>
    <w:rsid w:val="003610C5"/>
    <w:rsid w:val="00361108"/>
    <w:rsid w:val="00361430"/>
    <w:rsid w:val="00363CE8"/>
    <w:rsid w:val="003645AB"/>
    <w:rsid w:val="00364EC2"/>
    <w:rsid w:val="003656DF"/>
    <w:rsid w:val="00365867"/>
    <w:rsid w:val="00365CC6"/>
    <w:rsid w:val="003662D8"/>
    <w:rsid w:val="00366A91"/>
    <w:rsid w:val="00367411"/>
    <w:rsid w:val="003701EB"/>
    <w:rsid w:val="003703DD"/>
    <w:rsid w:val="00371605"/>
    <w:rsid w:val="00371DBD"/>
    <w:rsid w:val="00372BE2"/>
    <w:rsid w:val="00372CA2"/>
    <w:rsid w:val="00372E85"/>
    <w:rsid w:val="00373370"/>
    <w:rsid w:val="00373894"/>
    <w:rsid w:val="00373E0A"/>
    <w:rsid w:val="00373F86"/>
    <w:rsid w:val="003754A1"/>
    <w:rsid w:val="003760CF"/>
    <w:rsid w:val="00376698"/>
    <w:rsid w:val="003766F9"/>
    <w:rsid w:val="00377862"/>
    <w:rsid w:val="00377ED8"/>
    <w:rsid w:val="00380704"/>
    <w:rsid w:val="003809D7"/>
    <w:rsid w:val="00380C46"/>
    <w:rsid w:val="00382F0A"/>
    <w:rsid w:val="00383415"/>
    <w:rsid w:val="00383DD9"/>
    <w:rsid w:val="00384424"/>
    <w:rsid w:val="003852B9"/>
    <w:rsid w:val="0038624E"/>
    <w:rsid w:val="00386839"/>
    <w:rsid w:val="00387474"/>
    <w:rsid w:val="0038763E"/>
    <w:rsid w:val="0039047E"/>
    <w:rsid w:val="00391B92"/>
    <w:rsid w:val="00391FBD"/>
    <w:rsid w:val="00391FED"/>
    <w:rsid w:val="00392986"/>
    <w:rsid w:val="00392C69"/>
    <w:rsid w:val="00393914"/>
    <w:rsid w:val="00393BDE"/>
    <w:rsid w:val="00394673"/>
    <w:rsid w:val="00394E44"/>
    <w:rsid w:val="00394EF7"/>
    <w:rsid w:val="00395334"/>
    <w:rsid w:val="00395553"/>
    <w:rsid w:val="003A0FDC"/>
    <w:rsid w:val="003A11C8"/>
    <w:rsid w:val="003A2DCF"/>
    <w:rsid w:val="003A518A"/>
    <w:rsid w:val="003A524C"/>
    <w:rsid w:val="003A56C2"/>
    <w:rsid w:val="003A5971"/>
    <w:rsid w:val="003A5B76"/>
    <w:rsid w:val="003A651A"/>
    <w:rsid w:val="003A65EC"/>
    <w:rsid w:val="003A74A7"/>
    <w:rsid w:val="003A7D13"/>
    <w:rsid w:val="003B0BAB"/>
    <w:rsid w:val="003B0D69"/>
    <w:rsid w:val="003B11EF"/>
    <w:rsid w:val="003B13DB"/>
    <w:rsid w:val="003B1CC6"/>
    <w:rsid w:val="003B1F83"/>
    <w:rsid w:val="003B2EDB"/>
    <w:rsid w:val="003B2FB7"/>
    <w:rsid w:val="003B3558"/>
    <w:rsid w:val="003B40E4"/>
    <w:rsid w:val="003B48C0"/>
    <w:rsid w:val="003B4D6A"/>
    <w:rsid w:val="003B5D8A"/>
    <w:rsid w:val="003B61FF"/>
    <w:rsid w:val="003B75C3"/>
    <w:rsid w:val="003B7BD3"/>
    <w:rsid w:val="003C03CE"/>
    <w:rsid w:val="003C0719"/>
    <w:rsid w:val="003C0981"/>
    <w:rsid w:val="003C134A"/>
    <w:rsid w:val="003C158D"/>
    <w:rsid w:val="003C16E8"/>
    <w:rsid w:val="003C33FB"/>
    <w:rsid w:val="003C4386"/>
    <w:rsid w:val="003C4A96"/>
    <w:rsid w:val="003C4F61"/>
    <w:rsid w:val="003C5133"/>
    <w:rsid w:val="003C528F"/>
    <w:rsid w:val="003C5EA3"/>
    <w:rsid w:val="003C6577"/>
    <w:rsid w:val="003C6665"/>
    <w:rsid w:val="003C7586"/>
    <w:rsid w:val="003C78E9"/>
    <w:rsid w:val="003C7B13"/>
    <w:rsid w:val="003C7DE7"/>
    <w:rsid w:val="003D021C"/>
    <w:rsid w:val="003D023F"/>
    <w:rsid w:val="003D0973"/>
    <w:rsid w:val="003D0A49"/>
    <w:rsid w:val="003D24C4"/>
    <w:rsid w:val="003D2CFF"/>
    <w:rsid w:val="003D355C"/>
    <w:rsid w:val="003D36E0"/>
    <w:rsid w:val="003D3BC6"/>
    <w:rsid w:val="003D4EED"/>
    <w:rsid w:val="003D648F"/>
    <w:rsid w:val="003D674F"/>
    <w:rsid w:val="003D753B"/>
    <w:rsid w:val="003D760C"/>
    <w:rsid w:val="003D7C06"/>
    <w:rsid w:val="003E021F"/>
    <w:rsid w:val="003E0637"/>
    <w:rsid w:val="003E079F"/>
    <w:rsid w:val="003E1490"/>
    <w:rsid w:val="003E1963"/>
    <w:rsid w:val="003E2358"/>
    <w:rsid w:val="003E274F"/>
    <w:rsid w:val="003E2A69"/>
    <w:rsid w:val="003E352B"/>
    <w:rsid w:val="003E442F"/>
    <w:rsid w:val="003E481A"/>
    <w:rsid w:val="003E4EE3"/>
    <w:rsid w:val="003E600E"/>
    <w:rsid w:val="003E61AD"/>
    <w:rsid w:val="003E66DF"/>
    <w:rsid w:val="003E69E0"/>
    <w:rsid w:val="003E723F"/>
    <w:rsid w:val="003F0453"/>
    <w:rsid w:val="003F086A"/>
    <w:rsid w:val="003F0C86"/>
    <w:rsid w:val="003F188D"/>
    <w:rsid w:val="003F2329"/>
    <w:rsid w:val="003F2727"/>
    <w:rsid w:val="003F56C9"/>
    <w:rsid w:val="003F5A3F"/>
    <w:rsid w:val="003F6B14"/>
    <w:rsid w:val="003F707B"/>
    <w:rsid w:val="003F77E6"/>
    <w:rsid w:val="00400551"/>
    <w:rsid w:val="00400A48"/>
    <w:rsid w:val="00401586"/>
    <w:rsid w:val="00401BA4"/>
    <w:rsid w:val="004022FF"/>
    <w:rsid w:val="00402B23"/>
    <w:rsid w:val="004042C9"/>
    <w:rsid w:val="004043DC"/>
    <w:rsid w:val="004061A5"/>
    <w:rsid w:val="00406325"/>
    <w:rsid w:val="004068AA"/>
    <w:rsid w:val="00406DE3"/>
    <w:rsid w:val="00407B07"/>
    <w:rsid w:val="00410153"/>
    <w:rsid w:val="004110A9"/>
    <w:rsid w:val="0041212D"/>
    <w:rsid w:val="004123DA"/>
    <w:rsid w:val="004125ED"/>
    <w:rsid w:val="00412BFB"/>
    <w:rsid w:val="00413125"/>
    <w:rsid w:val="00413957"/>
    <w:rsid w:val="004141AB"/>
    <w:rsid w:val="0041439B"/>
    <w:rsid w:val="0041448F"/>
    <w:rsid w:val="00414C6D"/>
    <w:rsid w:val="0041588C"/>
    <w:rsid w:val="00415A49"/>
    <w:rsid w:val="00415C30"/>
    <w:rsid w:val="00415C7D"/>
    <w:rsid w:val="00416643"/>
    <w:rsid w:val="00416E40"/>
    <w:rsid w:val="00417338"/>
    <w:rsid w:val="004178B4"/>
    <w:rsid w:val="00417ED7"/>
    <w:rsid w:val="00420454"/>
    <w:rsid w:val="00420623"/>
    <w:rsid w:val="00420F08"/>
    <w:rsid w:val="00420F91"/>
    <w:rsid w:val="00420FB0"/>
    <w:rsid w:val="004215E6"/>
    <w:rsid w:val="00421D97"/>
    <w:rsid w:val="004222D3"/>
    <w:rsid w:val="00422C74"/>
    <w:rsid w:val="00424D6D"/>
    <w:rsid w:val="004259C7"/>
    <w:rsid w:val="00425B00"/>
    <w:rsid w:val="00426605"/>
    <w:rsid w:val="0042693C"/>
    <w:rsid w:val="00426A22"/>
    <w:rsid w:val="00426A43"/>
    <w:rsid w:val="00426F5A"/>
    <w:rsid w:val="004300A0"/>
    <w:rsid w:val="00430828"/>
    <w:rsid w:val="00430B9A"/>
    <w:rsid w:val="004310A6"/>
    <w:rsid w:val="0043132F"/>
    <w:rsid w:val="00431FA5"/>
    <w:rsid w:val="00432081"/>
    <w:rsid w:val="004326B3"/>
    <w:rsid w:val="004330D6"/>
    <w:rsid w:val="00433567"/>
    <w:rsid w:val="00433C15"/>
    <w:rsid w:val="00434E51"/>
    <w:rsid w:val="00435D2F"/>
    <w:rsid w:val="00436579"/>
    <w:rsid w:val="00436B65"/>
    <w:rsid w:val="00436FB6"/>
    <w:rsid w:val="0044054A"/>
    <w:rsid w:val="00440611"/>
    <w:rsid w:val="004407AC"/>
    <w:rsid w:val="00441AD6"/>
    <w:rsid w:val="00442CA0"/>
    <w:rsid w:val="0044359C"/>
    <w:rsid w:val="00443853"/>
    <w:rsid w:val="0044456D"/>
    <w:rsid w:val="004448B3"/>
    <w:rsid w:val="00445963"/>
    <w:rsid w:val="00445BEF"/>
    <w:rsid w:val="00445D25"/>
    <w:rsid w:val="004460AB"/>
    <w:rsid w:val="00446FFF"/>
    <w:rsid w:val="00447AB6"/>
    <w:rsid w:val="0045015F"/>
    <w:rsid w:val="00450BB1"/>
    <w:rsid w:val="00451158"/>
    <w:rsid w:val="004513F0"/>
    <w:rsid w:val="004526E2"/>
    <w:rsid w:val="00453083"/>
    <w:rsid w:val="004530FD"/>
    <w:rsid w:val="00454993"/>
    <w:rsid w:val="00455130"/>
    <w:rsid w:val="004553F6"/>
    <w:rsid w:val="00456710"/>
    <w:rsid w:val="0045684E"/>
    <w:rsid w:val="0045734A"/>
    <w:rsid w:val="00457DDB"/>
    <w:rsid w:val="00457EE7"/>
    <w:rsid w:val="00460E04"/>
    <w:rsid w:val="00461B21"/>
    <w:rsid w:val="00462344"/>
    <w:rsid w:val="00463374"/>
    <w:rsid w:val="0046346B"/>
    <w:rsid w:val="00463A9D"/>
    <w:rsid w:val="00465A7C"/>
    <w:rsid w:val="004660E1"/>
    <w:rsid w:val="00466479"/>
    <w:rsid w:val="0046647B"/>
    <w:rsid w:val="004664FA"/>
    <w:rsid w:val="0046659E"/>
    <w:rsid w:val="0046765F"/>
    <w:rsid w:val="00467B7D"/>
    <w:rsid w:val="004707F3"/>
    <w:rsid w:val="00470B8E"/>
    <w:rsid w:val="0047146C"/>
    <w:rsid w:val="004737F1"/>
    <w:rsid w:val="00473F6A"/>
    <w:rsid w:val="00475679"/>
    <w:rsid w:val="00476BC9"/>
    <w:rsid w:val="004775D6"/>
    <w:rsid w:val="00480879"/>
    <w:rsid w:val="00480D0F"/>
    <w:rsid w:val="0048196A"/>
    <w:rsid w:val="00481E29"/>
    <w:rsid w:val="004839D1"/>
    <w:rsid w:val="00483FEF"/>
    <w:rsid w:val="00485EBC"/>
    <w:rsid w:val="0048665F"/>
    <w:rsid w:val="004867BD"/>
    <w:rsid w:val="004871E4"/>
    <w:rsid w:val="0048751A"/>
    <w:rsid w:val="00487F52"/>
    <w:rsid w:val="00490322"/>
    <w:rsid w:val="004908F7"/>
    <w:rsid w:val="00490F87"/>
    <w:rsid w:val="00490FF0"/>
    <w:rsid w:val="00491083"/>
    <w:rsid w:val="00492773"/>
    <w:rsid w:val="00492B66"/>
    <w:rsid w:val="004931C4"/>
    <w:rsid w:val="00493660"/>
    <w:rsid w:val="00493928"/>
    <w:rsid w:val="00493EAB"/>
    <w:rsid w:val="00494BA4"/>
    <w:rsid w:val="00494D1E"/>
    <w:rsid w:val="00494D93"/>
    <w:rsid w:val="00494DA0"/>
    <w:rsid w:val="00494F67"/>
    <w:rsid w:val="00495F26"/>
    <w:rsid w:val="0049691D"/>
    <w:rsid w:val="004A081A"/>
    <w:rsid w:val="004A0EB4"/>
    <w:rsid w:val="004A1301"/>
    <w:rsid w:val="004A1B9A"/>
    <w:rsid w:val="004A1F5A"/>
    <w:rsid w:val="004A2C14"/>
    <w:rsid w:val="004A2F0C"/>
    <w:rsid w:val="004A2F9D"/>
    <w:rsid w:val="004A3366"/>
    <w:rsid w:val="004A4662"/>
    <w:rsid w:val="004A6417"/>
    <w:rsid w:val="004A64C9"/>
    <w:rsid w:val="004A6556"/>
    <w:rsid w:val="004A6D50"/>
    <w:rsid w:val="004A6DB4"/>
    <w:rsid w:val="004A6F26"/>
    <w:rsid w:val="004A705D"/>
    <w:rsid w:val="004B09B6"/>
    <w:rsid w:val="004B0F3C"/>
    <w:rsid w:val="004B0FA7"/>
    <w:rsid w:val="004B159B"/>
    <w:rsid w:val="004B1F19"/>
    <w:rsid w:val="004B203F"/>
    <w:rsid w:val="004B3057"/>
    <w:rsid w:val="004B3916"/>
    <w:rsid w:val="004B3C07"/>
    <w:rsid w:val="004B3D16"/>
    <w:rsid w:val="004B51DF"/>
    <w:rsid w:val="004B70E9"/>
    <w:rsid w:val="004B78BA"/>
    <w:rsid w:val="004B7B13"/>
    <w:rsid w:val="004B7E2D"/>
    <w:rsid w:val="004C001A"/>
    <w:rsid w:val="004C03DB"/>
    <w:rsid w:val="004C1DDD"/>
    <w:rsid w:val="004C2284"/>
    <w:rsid w:val="004C22B0"/>
    <w:rsid w:val="004C2FB5"/>
    <w:rsid w:val="004C3BC5"/>
    <w:rsid w:val="004C3D18"/>
    <w:rsid w:val="004C3E60"/>
    <w:rsid w:val="004C49DC"/>
    <w:rsid w:val="004C5672"/>
    <w:rsid w:val="004C585D"/>
    <w:rsid w:val="004C5C31"/>
    <w:rsid w:val="004C665C"/>
    <w:rsid w:val="004C6888"/>
    <w:rsid w:val="004C6900"/>
    <w:rsid w:val="004D0E9F"/>
    <w:rsid w:val="004D1228"/>
    <w:rsid w:val="004D1389"/>
    <w:rsid w:val="004D2E8F"/>
    <w:rsid w:val="004D380D"/>
    <w:rsid w:val="004D3ED4"/>
    <w:rsid w:val="004D4973"/>
    <w:rsid w:val="004D4CB0"/>
    <w:rsid w:val="004D4FBD"/>
    <w:rsid w:val="004D534B"/>
    <w:rsid w:val="004D5491"/>
    <w:rsid w:val="004D56CA"/>
    <w:rsid w:val="004D5B4A"/>
    <w:rsid w:val="004D6043"/>
    <w:rsid w:val="004D618A"/>
    <w:rsid w:val="004D6271"/>
    <w:rsid w:val="004D658B"/>
    <w:rsid w:val="004D6F88"/>
    <w:rsid w:val="004E0273"/>
    <w:rsid w:val="004E0861"/>
    <w:rsid w:val="004E1457"/>
    <w:rsid w:val="004E297C"/>
    <w:rsid w:val="004E2F51"/>
    <w:rsid w:val="004E39F6"/>
    <w:rsid w:val="004E3B45"/>
    <w:rsid w:val="004E3BB8"/>
    <w:rsid w:val="004E4219"/>
    <w:rsid w:val="004E43AF"/>
    <w:rsid w:val="004E486A"/>
    <w:rsid w:val="004E498C"/>
    <w:rsid w:val="004E59FA"/>
    <w:rsid w:val="004E5AFE"/>
    <w:rsid w:val="004E5FC3"/>
    <w:rsid w:val="004E671B"/>
    <w:rsid w:val="004E6F70"/>
    <w:rsid w:val="004E7568"/>
    <w:rsid w:val="004F0B56"/>
    <w:rsid w:val="004F10FF"/>
    <w:rsid w:val="004F1165"/>
    <w:rsid w:val="004F1F6A"/>
    <w:rsid w:val="004F2197"/>
    <w:rsid w:val="004F2666"/>
    <w:rsid w:val="004F27B7"/>
    <w:rsid w:val="004F2EE9"/>
    <w:rsid w:val="004F42B2"/>
    <w:rsid w:val="004F43DF"/>
    <w:rsid w:val="004F4879"/>
    <w:rsid w:val="004F4DE0"/>
    <w:rsid w:val="004F630B"/>
    <w:rsid w:val="004F6BD0"/>
    <w:rsid w:val="004F7CAF"/>
    <w:rsid w:val="005016CB"/>
    <w:rsid w:val="00502834"/>
    <w:rsid w:val="00502DF0"/>
    <w:rsid w:val="00502F61"/>
    <w:rsid w:val="00503BBF"/>
    <w:rsid w:val="005042E7"/>
    <w:rsid w:val="00504711"/>
    <w:rsid w:val="0050556E"/>
    <w:rsid w:val="00506DF7"/>
    <w:rsid w:val="00507013"/>
    <w:rsid w:val="005078BB"/>
    <w:rsid w:val="0051041F"/>
    <w:rsid w:val="00510E7D"/>
    <w:rsid w:val="0051170C"/>
    <w:rsid w:val="00511835"/>
    <w:rsid w:val="00511C8E"/>
    <w:rsid w:val="00511E82"/>
    <w:rsid w:val="00511F9B"/>
    <w:rsid w:val="00512859"/>
    <w:rsid w:val="00512D68"/>
    <w:rsid w:val="00512E1F"/>
    <w:rsid w:val="00513B5B"/>
    <w:rsid w:val="00514488"/>
    <w:rsid w:val="00514B74"/>
    <w:rsid w:val="00515816"/>
    <w:rsid w:val="00515AE3"/>
    <w:rsid w:val="0051620A"/>
    <w:rsid w:val="0051755E"/>
    <w:rsid w:val="00521736"/>
    <w:rsid w:val="005218DF"/>
    <w:rsid w:val="00521D99"/>
    <w:rsid w:val="0052213B"/>
    <w:rsid w:val="00522795"/>
    <w:rsid w:val="0052395D"/>
    <w:rsid w:val="005243D9"/>
    <w:rsid w:val="0052481C"/>
    <w:rsid w:val="005266D9"/>
    <w:rsid w:val="00527335"/>
    <w:rsid w:val="00527427"/>
    <w:rsid w:val="005278B0"/>
    <w:rsid w:val="00527A47"/>
    <w:rsid w:val="00530C86"/>
    <w:rsid w:val="005319EF"/>
    <w:rsid w:val="0053351B"/>
    <w:rsid w:val="00533E00"/>
    <w:rsid w:val="00535EAB"/>
    <w:rsid w:val="005360CA"/>
    <w:rsid w:val="005370ED"/>
    <w:rsid w:val="00537793"/>
    <w:rsid w:val="00543F2F"/>
    <w:rsid w:val="00544224"/>
    <w:rsid w:val="00544599"/>
    <w:rsid w:val="005445BA"/>
    <w:rsid w:val="00544832"/>
    <w:rsid w:val="00544FF8"/>
    <w:rsid w:val="00545611"/>
    <w:rsid w:val="00545851"/>
    <w:rsid w:val="005459CE"/>
    <w:rsid w:val="00545BF0"/>
    <w:rsid w:val="00546E5D"/>
    <w:rsid w:val="00547731"/>
    <w:rsid w:val="005506ED"/>
    <w:rsid w:val="0055073E"/>
    <w:rsid w:val="005514E6"/>
    <w:rsid w:val="00552156"/>
    <w:rsid w:val="0055226E"/>
    <w:rsid w:val="005524E1"/>
    <w:rsid w:val="00552818"/>
    <w:rsid w:val="00552B30"/>
    <w:rsid w:val="00553171"/>
    <w:rsid w:val="005534E1"/>
    <w:rsid w:val="00553CCA"/>
    <w:rsid w:val="00553DCD"/>
    <w:rsid w:val="005549F2"/>
    <w:rsid w:val="00554A6E"/>
    <w:rsid w:val="00556320"/>
    <w:rsid w:val="00556325"/>
    <w:rsid w:val="00557356"/>
    <w:rsid w:val="00557F83"/>
    <w:rsid w:val="00560589"/>
    <w:rsid w:val="00560657"/>
    <w:rsid w:val="00561036"/>
    <w:rsid w:val="00561EC7"/>
    <w:rsid w:val="00562C13"/>
    <w:rsid w:val="00563214"/>
    <w:rsid w:val="0056325F"/>
    <w:rsid w:val="00563FA1"/>
    <w:rsid w:val="005646D6"/>
    <w:rsid w:val="005657A1"/>
    <w:rsid w:val="0056591A"/>
    <w:rsid w:val="00566014"/>
    <w:rsid w:val="005664FC"/>
    <w:rsid w:val="00566556"/>
    <w:rsid w:val="00567890"/>
    <w:rsid w:val="00572032"/>
    <w:rsid w:val="005738C8"/>
    <w:rsid w:val="00573F89"/>
    <w:rsid w:val="00574041"/>
    <w:rsid w:val="005742DA"/>
    <w:rsid w:val="00574451"/>
    <w:rsid w:val="00574584"/>
    <w:rsid w:val="005748A8"/>
    <w:rsid w:val="0057545E"/>
    <w:rsid w:val="00576425"/>
    <w:rsid w:val="00576E79"/>
    <w:rsid w:val="00577203"/>
    <w:rsid w:val="00577226"/>
    <w:rsid w:val="005774E0"/>
    <w:rsid w:val="005801FB"/>
    <w:rsid w:val="0058097F"/>
    <w:rsid w:val="00580D94"/>
    <w:rsid w:val="00581ADF"/>
    <w:rsid w:val="00582546"/>
    <w:rsid w:val="005827A0"/>
    <w:rsid w:val="005827ED"/>
    <w:rsid w:val="00582AF7"/>
    <w:rsid w:val="0058306E"/>
    <w:rsid w:val="00583877"/>
    <w:rsid w:val="00584238"/>
    <w:rsid w:val="0058437E"/>
    <w:rsid w:val="005846E6"/>
    <w:rsid w:val="00585336"/>
    <w:rsid w:val="005858BF"/>
    <w:rsid w:val="005858EC"/>
    <w:rsid w:val="00587B52"/>
    <w:rsid w:val="00587CC9"/>
    <w:rsid w:val="00587FD6"/>
    <w:rsid w:val="005903AE"/>
    <w:rsid w:val="00590694"/>
    <w:rsid w:val="00592337"/>
    <w:rsid w:val="00592A23"/>
    <w:rsid w:val="00592F4B"/>
    <w:rsid w:val="00593143"/>
    <w:rsid w:val="0059347F"/>
    <w:rsid w:val="005935AF"/>
    <w:rsid w:val="00594C13"/>
    <w:rsid w:val="00595BA4"/>
    <w:rsid w:val="00596174"/>
    <w:rsid w:val="00596501"/>
    <w:rsid w:val="005970AE"/>
    <w:rsid w:val="00597174"/>
    <w:rsid w:val="00597372"/>
    <w:rsid w:val="005979E9"/>
    <w:rsid w:val="00597B00"/>
    <w:rsid w:val="00597B70"/>
    <w:rsid w:val="005A0030"/>
    <w:rsid w:val="005A1855"/>
    <w:rsid w:val="005A18A6"/>
    <w:rsid w:val="005A2030"/>
    <w:rsid w:val="005A34F5"/>
    <w:rsid w:val="005A47C9"/>
    <w:rsid w:val="005A482A"/>
    <w:rsid w:val="005A4B2F"/>
    <w:rsid w:val="005A50EC"/>
    <w:rsid w:val="005A52C6"/>
    <w:rsid w:val="005A6573"/>
    <w:rsid w:val="005A6941"/>
    <w:rsid w:val="005B00F9"/>
    <w:rsid w:val="005B03AD"/>
    <w:rsid w:val="005B06C3"/>
    <w:rsid w:val="005B0945"/>
    <w:rsid w:val="005B0B5B"/>
    <w:rsid w:val="005B1D66"/>
    <w:rsid w:val="005B2029"/>
    <w:rsid w:val="005B202B"/>
    <w:rsid w:val="005B2E44"/>
    <w:rsid w:val="005B3059"/>
    <w:rsid w:val="005B3EF2"/>
    <w:rsid w:val="005B423F"/>
    <w:rsid w:val="005B4311"/>
    <w:rsid w:val="005B4AC6"/>
    <w:rsid w:val="005B4C04"/>
    <w:rsid w:val="005B6297"/>
    <w:rsid w:val="005B642A"/>
    <w:rsid w:val="005B759E"/>
    <w:rsid w:val="005B75B1"/>
    <w:rsid w:val="005B7930"/>
    <w:rsid w:val="005B7E25"/>
    <w:rsid w:val="005B7F44"/>
    <w:rsid w:val="005C168C"/>
    <w:rsid w:val="005C1AA5"/>
    <w:rsid w:val="005C1AAB"/>
    <w:rsid w:val="005C1E73"/>
    <w:rsid w:val="005C2031"/>
    <w:rsid w:val="005C308F"/>
    <w:rsid w:val="005C419C"/>
    <w:rsid w:val="005C47CC"/>
    <w:rsid w:val="005C4E3C"/>
    <w:rsid w:val="005C4E3F"/>
    <w:rsid w:val="005C596A"/>
    <w:rsid w:val="005C72E8"/>
    <w:rsid w:val="005C757A"/>
    <w:rsid w:val="005C781A"/>
    <w:rsid w:val="005C7E25"/>
    <w:rsid w:val="005D06D6"/>
    <w:rsid w:val="005D1535"/>
    <w:rsid w:val="005D1A43"/>
    <w:rsid w:val="005D3C5C"/>
    <w:rsid w:val="005D4906"/>
    <w:rsid w:val="005D5474"/>
    <w:rsid w:val="005D6172"/>
    <w:rsid w:val="005D7A08"/>
    <w:rsid w:val="005E0795"/>
    <w:rsid w:val="005E0AB8"/>
    <w:rsid w:val="005E0B1F"/>
    <w:rsid w:val="005E0DDA"/>
    <w:rsid w:val="005E13A7"/>
    <w:rsid w:val="005E1C1B"/>
    <w:rsid w:val="005E1F39"/>
    <w:rsid w:val="005E2FDF"/>
    <w:rsid w:val="005E3C4F"/>
    <w:rsid w:val="005E3EA8"/>
    <w:rsid w:val="005E4148"/>
    <w:rsid w:val="005E42D4"/>
    <w:rsid w:val="005E5D44"/>
    <w:rsid w:val="005E5F2D"/>
    <w:rsid w:val="005E60C0"/>
    <w:rsid w:val="005E6852"/>
    <w:rsid w:val="005E68EF"/>
    <w:rsid w:val="005E6DAE"/>
    <w:rsid w:val="005E74B3"/>
    <w:rsid w:val="005F0438"/>
    <w:rsid w:val="005F0585"/>
    <w:rsid w:val="005F1C16"/>
    <w:rsid w:val="005F21B9"/>
    <w:rsid w:val="005F2C5F"/>
    <w:rsid w:val="005F375C"/>
    <w:rsid w:val="005F428F"/>
    <w:rsid w:val="005F4497"/>
    <w:rsid w:val="005F47EC"/>
    <w:rsid w:val="005F5440"/>
    <w:rsid w:val="005F560C"/>
    <w:rsid w:val="005F564B"/>
    <w:rsid w:val="005F5A3A"/>
    <w:rsid w:val="005F6115"/>
    <w:rsid w:val="005F62CA"/>
    <w:rsid w:val="005F6461"/>
    <w:rsid w:val="005F677C"/>
    <w:rsid w:val="005F67EA"/>
    <w:rsid w:val="005F69A5"/>
    <w:rsid w:val="005F6C76"/>
    <w:rsid w:val="005F7096"/>
    <w:rsid w:val="0060051D"/>
    <w:rsid w:val="006007B2"/>
    <w:rsid w:val="00600977"/>
    <w:rsid w:val="006016A8"/>
    <w:rsid w:val="00602E36"/>
    <w:rsid w:val="00602EA7"/>
    <w:rsid w:val="0060333A"/>
    <w:rsid w:val="006052A4"/>
    <w:rsid w:val="0060733F"/>
    <w:rsid w:val="00607CD0"/>
    <w:rsid w:val="00607DC4"/>
    <w:rsid w:val="006109EE"/>
    <w:rsid w:val="0061129C"/>
    <w:rsid w:val="006114AA"/>
    <w:rsid w:val="00611582"/>
    <w:rsid w:val="00612293"/>
    <w:rsid w:val="006122D0"/>
    <w:rsid w:val="00612819"/>
    <w:rsid w:val="00613432"/>
    <w:rsid w:val="006135B4"/>
    <w:rsid w:val="00613862"/>
    <w:rsid w:val="00613CF5"/>
    <w:rsid w:val="00614029"/>
    <w:rsid w:val="00614A16"/>
    <w:rsid w:val="006156AF"/>
    <w:rsid w:val="00617143"/>
    <w:rsid w:val="0062206D"/>
    <w:rsid w:val="00622308"/>
    <w:rsid w:val="00622B14"/>
    <w:rsid w:val="00622BCB"/>
    <w:rsid w:val="0062440A"/>
    <w:rsid w:val="00624A65"/>
    <w:rsid w:val="00624C69"/>
    <w:rsid w:val="00625BAF"/>
    <w:rsid w:val="00626BEC"/>
    <w:rsid w:val="006308F7"/>
    <w:rsid w:val="00630A76"/>
    <w:rsid w:val="00630ECE"/>
    <w:rsid w:val="00630F9A"/>
    <w:rsid w:val="00631226"/>
    <w:rsid w:val="00631931"/>
    <w:rsid w:val="00632E13"/>
    <w:rsid w:val="00632F8F"/>
    <w:rsid w:val="006343AA"/>
    <w:rsid w:val="00634903"/>
    <w:rsid w:val="00634E1F"/>
    <w:rsid w:val="006353C8"/>
    <w:rsid w:val="006355C4"/>
    <w:rsid w:val="00635735"/>
    <w:rsid w:val="00636569"/>
    <w:rsid w:val="006378BE"/>
    <w:rsid w:val="00637933"/>
    <w:rsid w:val="00639EE1"/>
    <w:rsid w:val="00641214"/>
    <w:rsid w:val="00642039"/>
    <w:rsid w:val="00642716"/>
    <w:rsid w:val="00643AB7"/>
    <w:rsid w:val="00644430"/>
    <w:rsid w:val="00644D60"/>
    <w:rsid w:val="00644EE5"/>
    <w:rsid w:val="00644FC9"/>
    <w:rsid w:val="00645529"/>
    <w:rsid w:val="00645D9C"/>
    <w:rsid w:val="00646450"/>
    <w:rsid w:val="006468F9"/>
    <w:rsid w:val="00646C0D"/>
    <w:rsid w:val="00646EDB"/>
    <w:rsid w:val="0064731D"/>
    <w:rsid w:val="0064770A"/>
    <w:rsid w:val="0065006B"/>
    <w:rsid w:val="00651277"/>
    <w:rsid w:val="006513BE"/>
    <w:rsid w:val="00651E89"/>
    <w:rsid w:val="00651EBD"/>
    <w:rsid w:val="00652510"/>
    <w:rsid w:val="006529FF"/>
    <w:rsid w:val="00652ED8"/>
    <w:rsid w:val="0065393A"/>
    <w:rsid w:val="0065584C"/>
    <w:rsid w:val="0065598C"/>
    <w:rsid w:val="00656ACA"/>
    <w:rsid w:val="00656BB4"/>
    <w:rsid w:val="00657BDA"/>
    <w:rsid w:val="0066098D"/>
    <w:rsid w:val="006623D4"/>
    <w:rsid w:val="0066261E"/>
    <w:rsid w:val="006637DC"/>
    <w:rsid w:val="006638CF"/>
    <w:rsid w:val="006640F7"/>
    <w:rsid w:val="00664D6A"/>
    <w:rsid w:val="00665D55"/>
    <w:rsid w:val="00666250"/>
    <w:rsid w:val="00667FA3"/>
    <w:rsid w:val="006704AE"/>
    <w:rsid w:val="00670881"/>
    <w:rsid w:val="006710E7"/>
    <w:rsid w:val="00671305"/>
    <w:rsid w:val="00671489"/>
    <w:rsid w:val="00672481"/>
    <w:rsid w:val="006731D3"/>
    <w:rsid w:val="00673561"/>
    <w:rsid w:val="006736A6"/>
    <w:rsid w:val="00674089"/>
    <w:rsid w:val="006742CC"/>
    <w:rsid w:val="006755E9"/>
    <w:rsid w:val="0067585D"/>
    <w:rsid w:val="006772EE"/>
    <w:rsid w:val="006774B5"/>
    <w:rsid w:val="0067774A"/>
    <w:rsid w:val="0067788F"/>
    <w:rsid w:val="006779B9"/>
    <w:rsid w:val="00680805"/>
    <w:rsid w:val="00680C0E"/>
    <w:rsid w:val="00680F8D"/>
    <w:rsid w:val="006821FC"/>
    <w:rsid w:val="0068227F"/>
    <w:rsid w:val="0068325E"/>
    <w:rsid w:val="006832EC"/>
    <w:rsid w:val="00683409"/>
    <w:rsid w:val="0068356F"/>
    <w:rsid w:val="00683A3F"/>
    <w:rsid w:val="00685189"/>
    <w:rsid w:val="00686276"/>
    <w:rsid w:val="00686702"/>
    <w:rsid w:val="006878DE"/>
    <w:rsid w:val="00687968"/>
    <w:rsid w:val="00687BCB"/>
    <w:rsid w:val="0069147A"/>
    <w:rsid w:val="00691590"/>
    <w:rsid w:val="00691986"/>
    <w:rsid w:val="00691DE2"/>
    <w:rsid w:val="0069223C"/>
    <w:rsid w:val="006922A8"/>
    <w:rsid w:val="006924AC"/>
    <w:rsid w:val="0069306A"/>
    <w:rsid w:val="006935C8"/>
    <w:rsid w:val="006938BA"/>
    <w:rsid w:val="0069407F"/>
    <w:rsid w:val="006945A6"/>
    <w:rsid w:val="00694F0F"/>
    <w:rsid w:val="00694FC1"/>
    <w:rsid w:val="0069557F"/>
    <w:rsid w:val="00695A9F"/>
    <w:rsid w:val="00695D68"/>
    <w:rsid w:val="006964A4"/>
    <w:rsid w:val="0069772C"/>
    <w:rsid w:val="006A0941"/>
    <w:rsid w:val="006A12BC"/>
    <w:rsid w:val="006A1D90"/>
    <w:rsid w:val="006A216D"/>
    <w:rsid w:val="006A2BC8"/>
    <w:rsid w:val="006A2CF9"/>
    <w:rsid w:val="006A33E2"/>
    <w:rsid w:val="006A3891"/>
    <w:rsid w:val="006A3AC0"/>
    <w:rsid w:val="006A3DD6"/>
    <w:rsid w:val="006A5277"/>
    <w:rsid w:val="006A5702"/>
    <w:rsid w:val="006A58D1"/>
    <w:rsid w:val="006A6AAE"/>
    <w:rsid w:val="006B005C"/>
    <w:rsid w:val="006B05F5"/>
    <w:rsid w:val="006B1071"/>
    <w:rsid w:val="006B18E2"/>
    <w:rsid w:val="006B1DDD"/>
    <w:rsid w:val="006B2198"/>
    <w:rsid w:val="006B21B9"/>
    <w:rsid w:val="006B224B"/>
    <w:rsid w:val="006B269F"/>
    <w:rsid w:val="006B2D54"/>
    <w:rsid w:val="006B347D"/>
    <w:rsid w:val="006B3A59"/>
    <w:rsid w:val="006B3C00"/>
    <w:rsid w:val="006B469D"/>
    <w:rsid w:val="006B479C"/>
    <w:rsid w:val="006B4E43"/>
    <w:rsid w:val="006B5B93"/>
    <w:rsid w:val="006B5FDB"/>
    <w:rsid w:val="006B631F"/>
    <w:rsid w:val="006B66C8"/>
    <w:rsid w:val="006B6A4E"/>
    <w:rsid w:val="006B7A94"/>
    <w:rsid w:val="006B7C59"/>
    <w:rsid w:val="006C08B2"/>
    <w:rsid w:val="006C14E1"/>
    <w:rsid w:val="006C175C"/>
    <w:rsid w:val="006C1A4A"/>
    <w:rsid w:val="006C2D0D"/>
    <w:rsid w:val="006C2E21"/>
    <w:rsid w:val="006C345D"/>
    <w:rsid w:val="006C353A"/>
    <w:rsid w:val="006C39FA"/>
    <w:rsid w:val="006C3AB0"/>
    <w:rsid w:val="006C3B8B"/>
    <w:rsid w:val="006C454D"/>
    <w:rsid w:val="006C4B6E"/>
    <w:rsid w:val="006C4DDC"/>
    <w:rsid w:val="006C4F9A"/>
    <w:rsid w:val="006C580B"/>
    <w:rsid w:val="006C59F1"/>
    <w:rsid w:val="006C5F4C"/>
    <w:rsid w:val="006C60F5"/>
    <w:rsid w:val="006C6A56"/>
    <w:rsid w:val="006C702D"/>
    <w:rsid w:val="006C706C"/>
    <w:rsid w:val="006C7606"/>
    <w:rsid w:val="006C7C4C"/>
    <w:rsid w:val="006C7CAF"/>
    <w:rsid w:val="006D09D2"/>
    <w:rsid w:val="006D16BE"/>
    <w:rsid w:val="006D2448"/>
    <w:rsid w:val="006D288D"/>
    <w:rsid w:val="006D29F9"/>
    <w:rsid w:val="006D2FE8"/>
    <w:rsid w:val="006D3CA1"/>
    <w:rsid w:val="006D3EB1"/>
    <w:rsid w:val="006D4366"/>
    <w:rsid w:val="006D55F1"/>
    <w:rsid w:val="006D6716"/>
    <w:rsid w:val="006D7F2E"/>
    <w:rsid w:val="006D7F50"/>
    <w:rsid w:val="006E04D7"/>
    <w:rsid w:val="006E12FB"/>
    <w:rsid w:val="006E1390"/>
    <w:rsid w:val="006E24E2"/>
    <w:rsid w:val="006E2565"/>
    <w:rsid w:val="006E2605"/>
    <w:rsid w:val="006E27D0"/>
    <w:rsid w:val="006E2E24"/>
    <w:rsid w:val="006E3BCD"/>
    <w:rsid w:val="006E3F26"/>
    <w:rsid w:val="006E4D9D"/>
    <w:rsid w:val="006E6A44"/>
    <w:rsid w:val="006E7A8D"/>
    <w:rsid w:val="006F017E"/>
    <w:rsid w:val="006F03D7"/>
    <w:rsid w:val="006F07CB"/>
    <w:rsid w:val="006F1F7C"/>
    <w:rsid w:val="006F5814"/>
    <w:rsid w:val="006F6055"/>
    <w:rsid w:val="006F71B5"/>
    <w:rsid w:val="006F75BD"/>
    <w:rsid w:val="006F7E97"/>
    <w:rsid w:val="00700324"/>
    <w:rsid w:val="007004DA"/>
    <w:rsid w:val="00700968"/>
    <w:rsid w:val="00700DB2"/>
    <w:rsid w:val="007011DC"/>
    <w:rsid w:val="007013DB"/>
    <w:rsid w:val="00701D29"/>
    <w:rsid w:val="00702373"/>
    <w:rsid w:val="00702CB0"/>
    <w:rsid w:val="00703995"/>
    <w:rsid w:val="00703D70"/>
    <w:rsid w:val="00704B70"/>
    <w:rsid w:val="0070519D"/>
    <w:rsid w:val="00705DF8"/>
    <w:rsid w:val="00705EF9"/>
    <w:rsid w:val="0070608B"/>
    <w:rsid w:val="0070702C"/>
    <w:rsid w:val="00707192"/>
    <w:rsid w:val="0070760A"/>
    <w:rsid w:val="00707D31"/>
    <w:rsid w:val="00710827"/>
    <w:rsid w:val="0071110F"/>
    <w:rsid w:val="00711126"/>
    <w:rsid w:val="007138EF"/>
    <w:rsid w:val="00713E8B"/>
    <w:rsid w:val="00713F38"/>
    <w:rsid w:val="0071414F"/>
    <w:rsid w:val="007155C4"/>
    <w:rsid w:val="00715806"/>
    <w:rsid w:val="007159B3"/>
    <w:rsid w:val="007159F1"/>
    <w:rsid w:val="00715DC4"/>
    <w:rsid w:val="00717579"/>
    <w:rsid w:val="0071776D"/>
    <w:rsid w:val="00717BE4"/>
    <w:rsid w:val="00720724"/>
    <w:rsid w:val="007210F0"/>
    <w:rsid w:val="007214F7"/>
    <w:rsid w:val="0072187E"/>
    <w:rsid w:val="007219CE"/>
    <w:rsid w:val="00721EF7"/>
    <w:rsid w:val="00722238"/>
    <w:rsid w:val="00722848"/>
    <w:rsid w:val="007228D7"/>
    <w:rsid w:val="00722EB9"/>
    <w:rsid w:val="00723647"/>
    <w:rsid w:val="00723956"/>
    <w:rsid w:val="00723A17"/>
    <w:rsid w:val="00723E4B"/>
    <w:rsid w:val="007247A5"/>
    <w:rsid w:val="007253F7"/>
    <w:rsid w:val="00726020"/>
    <w:rsid w:val="00726972"/>
    <w:rsid w:val="007269C1"/>
    <w:rsid w:val="00727141"/>
    <w:rsid w:val="00727491"/>
    <w:rsid w:val="00727790"/>
    <w:rsid w:val="0073011F"/>
    <w:rsid w:val="00730B51"/>
    <w:rsid w:val="00730EAE"/>
    <w:rsid w:val="00731053"/>
    <w:rsid w:val="00731F95"/>
    <w:rsid w:val="0073241B"/>
    <w:rsid w:val="00732F68"/>
    <w:rsid w:val="0073311D"/>
    <w:rsid w:val="007335E7"/>
    <w:rsid w:val="007337CD"/>
    <w:rsid w:val="007344F7"/>
    <w:rsid w:val="00734684"/>
    <w:rsid w:val="00734BA1"/>
    <w:rsid w:val="00734BE8"/>
    <w:rsid w:val="00734C2A"/>
    <w:rsid w:val="007358B9"/>
    <w:rsid w:val="00735B9B"/>
    <w:rsid w:val="00735C1D"/>
    <w:rsid w:val="00736ABC"/>
    <w:rsid w:val="0073CCE4"/>
    <w:rsid w:val="00740350"/>
    <w:rsid w:val="00740F91"/>
    <w:rsid w:val="00741242"/>
    <w:rsid w:val="00742223"/>
    <w:rsid w:val="00743407"/>
    <w:rsid w:val="00743568"/>
    <w:rsid w:val="00745384"/>
    <w:rsid w:val="00745530"/>
    <w:rsid w:val="00746755"/>
    <w:rsid w:val="00750EF6"/>
    <w:rsid w:val="00750F4D"/>
    <w:rsid w:val="0075253F"/>
    <w:rsid w:val="00752869"/>
    <w:rsid w:val="007533F5"/>
    <w:rsid w:val="00753767"/>
    <w:rsid w:val="00753AD8"/>
    <w:rsid w:val="00753D17"/>
    <w:rsid w:val="00755AA4"/>
    <w:rsid w:val="0075652D"/>
    <w:rsid w:val="0075661A"/>
    <w:rsid w:val="007568C8"/>
    <w:rsid w:val="00757171"/>
    <w:rsid w:val="007573C5"/>
    <w:rsid w:val="0075754D"/>
    <w:rsid w:val="00757583"/>
    <w:rsid w:val="00757D0E"/>
    <w:rsid w:val="0075B31E"/>
    <w:rsid w:val="00760097"/>
    <w:rsid w:val="007603D4"/>
    <w:rsid w:val="007609A9"/>
    <w:rsid w:val="007610BA"/>
    <w:rsid w:val="007622C7"/>
    <w:rsid w:val="00762C4A"/>
    <w:rsid w:val="0076311F"/>
    <w:rsid w:val="007635BF"/>
    <w:rsid w:val="007637C7"/>
    <w:rsid w:val="00763C86"/>
    <w:rsid w:val="007640A7"/>
    <w:rsid w:val="007642EA"/>
    <w:rsid w:val="00764F6D"/>
    <w:rsid w:val="00765637"/>
    <w:rsid w:val="007659B1"/>
    <w:rsid w:val="00766050"/>
    <w:rsid w:val="007661AA"/>
    <w:rsid w:val="00766678"/>
    <w:rsid w:val="00767809"/>
    <w:rsid w:val="00767CA4"/>
    <w:rsid w:val="00767E9B"/>
    <w:rsid w:val="00770A9E"/>
    <w:rsid w:val="007712BD"/>
    <w:rsid w:val="007715CD"/>
    <w:rsid w:val="007717AC"/>
    <w:rsid w:val="00771DE6"/>
    <w:rsid w:val="00771E86"/>
    <w:rsid w:val="007724E0"/>
    <w:rsid w:val="0077285F"/>
    <w:rsid w:val="00772E9B"/>
    <w:rsid w:val="00772F33"/>
    <w:rsid w:val="00774789"/>
    <w:rsid w:val="00775578"/>
    <w:rsid w:val="0077585C"/>
    <w:rsid w:val="007759B6"/>
    <w:rsid w:val="00775E6D"/>
    <w:rsid w:val="00776E3B"/>
    <w:rsid w:val="007801A6"/>
    <w:rsid w:val="00780357"/>
    <w:rsid w:val="007806BE"/>
    <w:rsid w:val="007818F8"/>
    <w:rsid w:val="00782FE3"/>
    <w:rsid w:val="00784010"/>
    <w:rsid w:val="0078467E"/>
    <w:rsid w:val="00784C5A"/>
    <w:rsid w:val="00784D07"/>
    <w:rsid w:val="00784EAF"/>
    <w:rsid w:val="00785379"/>
    <w:rsid w:val="00785454"/>
    <w:rsid w:val="0078680F"/>
    <w:rsid w:val="00787159"/>
    <w:rsid w:val="00787C3E"/>
    <w:rsid w:val="007901F9"/>
    <w:rsid w:val="00790E76"/>
    <w:rsid w:val="00791EAD"/>
    <w:rsid w:val="00792E39"/>
    <w:rsid w:val="00793506"/>
    <w:rsid w:val="00793678"/>
    <w:rsid w:val="007941E5"/>
    <w:rsid w:val="0079420B"/>
    <w:rsid w:val="0079493E"/>
    <w:rsid w:val="00794ECA"/>
    <w:rsid w:val="00795214"/>
    <w:rsid w:val="007953FC"/>
    <w:rsid w:val="007966EA"/>
    <w:rsid w:val="007966FF"/>
    <w:rsid w:val="00796923"/>
    <w:rsid w:val="00796A20"/>
    <w:rsid w:val="00796C81"/>
    <w:rsid w:val="007A025E"/>
    <w:rsid w:val="007A0708"/>
    <w:rsid w:val="007A073E"/>
    <w:rsid w:val="007A0EDE"/>
    <w:rsid w:val="007A1BEF"/>
    <w:rsid w:val="007A24F3"/>
    <w:rsid w:val="007A2E81"/>
    <w:rsid w:val="007A3EAE"/>
    <w:rsid w:val="007A4042"/>
    <w:rsid w:val="007A448D"/>
    <w:rsid w:val="007A44D0"/>
    <w:rsid w:val="007A4C71"/>
    <w:rsid w:val="007A58A2"/>
    <w:rsid w:val="007A6410"/>
    <w:rsid w:val="007A6AF5"/>
    <w:rsid w:val="007A77E1"/>
    <w:rsid w:val="007A77FD"/>
    <w:rsid w:val="007A7B2C"/>
    <w:rsid w:val="007A7E87"/>
    <w:rsid w:val="007B01B7"/>
    <w:rsid w:val="007B0836"/>
    <w:rsid w:val="007B0889"/>
    <w:rsid w:val="007B16C6"/>
    <w:rsid w:val="007B1CD6"/>
    <w:rsid w:val="007B20DB"/>
    <w:rsid w:val="007B268D"/>
    <w:rsid w:val="007B2DD5"/>
    <w:rsid w:val="007B37C2"/>
    <w:rsid w:val="007B3B49"/>
    <w:rsid w:val="007B5405"/>
    <w:rsid w:val="007B5DD0"/>
    <w:rsid w:val="007B6052"/>
    <w:rsid w:val="007B68CB"/>
    <w:rsid w:val="007B6C37"/>
    <w:rsid w:val="007B7DA3"/>
    <w:rsid w:val="007C0F43"/>
    <w:rsid w:val="007C10B2"/>
    <w:rsid w:val="007C1126"/>
    <w:rsid w:val="007C112B"/>
    <w:rsid w:val="007C1E07"/>
    <w:rsid w:val="007C267A"/>
    <w:rsid w:val="007C2D50"/>
    <w:rsid w:val="007C3D41"/>
    <w:rsid w:val="007C4C95"/>
    <w:rsid w:val="007C4F00"/>
    <w:rsid w:val="007C5762"/>
    <w:rsid w:val="007C5CA0"/>
    <w:rsid w:val="007C6307"/>
    <w:rsid w:val="007C7196"/>
    <w:rsid w:val="007C7316"/>
    <w:rsid w:val="007C790E"/>
    <w:rsid w:val="007D0563"/>
    <w:rsid w:val="007D0592"/>
    <w:rsid w:val="007D2F6A"/>
    <w:rsid w:val="007D3168"/>
    <w:rsid w:val="007D462C"/>
    <w:rsid w:val="007D4F8E"/>
    <w:rsid w:val="007D4FF8"/>
    <w:rsid w:val="007D52F9"/>
    <w:rsid w:val="007D566E"/>
    <w:rsid w:val="007D7890"/>
    <w:rsid w:val="007E046D"/>
    <w:rsid w:val="007E05F2"/>
    <w:rsid w:val="007E0ACA"/>
    <w:rsid w:val="007E3BF7"/>
    <w:rsid w:val="007E3E5E"/>
    <w:rsid w:val="007E3FAD"/>
    <w:rsid w:val="007E45B8"/>
    <w:rsid w:val="007E4675"/>
    <w:rsid w:val="007E46AF"/>
    <w:rsid w:val="007E4CCC"/>
    <w:rsid w:val="007E4F65"/>
    <w:rsid w:val="007E6D28"/>
    <w:rsid w:val="007E7429"/>
    <w:rsid w:val="007F0A44"/>
    <w:rsid w:val="007F0CCF"/>
    <w:rsid w:val="007F2237"/>
    <w:rsid w:val="007F382F"/>
    <w:rsid w:val="007F408F"/>
    <w:rsid w:val="007F4E31"/>
    <w:rsid w:val="007F5144"/>
    <w:rsid w:val="007F52C1"/>
    <w:rsid w:val="007F53BF"/>
    <w:rsid w:val="007F5C69"/>
    <w:rsid w:val="007F6CC5"/>
    <w:rsid w:val="007F74F0"/>
    <w:rsid w:val="007F78D3"/>
    <w:rsid w:val="008008CC"/>
    <w:rsid w:val="008009D6"/>
    <w:rsid w:val="008013F7"/>
    <w:rsid w:val="00801583"/>
    <w:rsid w:val="00801C25"/>
    <w:rsid w:val="00801DD2"/>
    <w:rsid w:val="008025E0"/>
    <w:rsid w:val="0080439A"/>
    <w:rsid w:val="00804C2F"/>
    <w:rsid w:val="0080506D"/>
    <w:rsid w:val="008053A0"/>
    <w:rsid w:val="008058D4"/>
    <w:rsid w:val="0080641E"/>
    <w:rsid w:val="00806B83"/>
    <w:rsid w:val="00807275"/>
    <w:rsid w:val="008113FE"/>
    <w:rsid w:val="00813B38"/>
    <w:rsid w:val="00814144"/>
    <w:rsid w:val="00814398"/>
    <w:rsid w:val="00814660"/>
    <w:rsid w:val="00814768"/>
    <w:rsid w:val="00814C74"/>
    <w:rsid w:val="00815B32"/>
    <w:rsid w:val="00815E44"/>
    <w:rsid w:val="00816624"/>
    <w:rsid w:val="00816633"/>
    <w:rsid w:val="00816788"/>
    <w:rsid w:val="00817422"/>
    <w:rsid w:val="008178F8"/>
    <w:rsid w:val="0082021B"/>
    <w:rsid w:val="0082067C"/>
    <w:rsid w:val="00820713"/>
    <w:rsid w:val="00820D95"/>
    <w:rsid w:val="00820F7C"/>
    <w:rsid w:val="00822365"/>
    <w:rsid w:val="00822D0B"/>
    <w:rsid w:val="00823813"/>
    <w:rsid w:val="0082392C"/>
    <w:rsid w:val="00825890"/>
    <w:rsid w:val="00825F12"/>
    <w:rsid w:val="0082630D"/>
    <w:rsid w:val="0082660D"/>
    <w:rsid w:val="008266C9"/>
    <w:rsid w:val="00826BD1"/>
    <w:rsid w:val="00826EB1"/>
    <w:rsid w:val="00830403"/>
    <w:rsid w:val="008308A3"/>
    <w:rsid w:val="00830A34"/>
    <w:rsid w:val="0083162F"/>
    <w:rsid w:val="00831884"/>
    <w:rsid w:val="00831904"/>
    <w:rsid w:val="0083272B"/>
    <w:rsid w:val="00832CF3"/>
    <w:rsid w:val="008338C7"/>
    <w:rsid w:val="00833B25"/>
    <w:rsid w:val="00834730"/>
    <w:rsid w:val="00835226"/>
    <w:rsid w:val="00836892"/>
    <w:rsid w:val="00836DAC"/>
    <w:rsid w:val="0083798C"/>
    <w:rsid w:val="00837D40"/>
    <w:rsid w:val="00840FEF"/>
    <w:rsid w:val="0084115C"/>
    <w:rsid w:val="00841C17"/>
    <w:rsid w:val="00841FFE"/>
    <w:rsid w:val="00842720"/>
    <w:rsid w:val="00845174"/>
    <w:rsid w:val="00845DE6"/>
    <w:rsid w:val="00846B05"/>
    <w:rsid w:val="00847374"/>
    <w:rsid w:val="00850091"/>
    <w:rsid w:val="008504BA"/>
    <w:rsid w:val="00851328"/>
    <w:rsid w:val="00852053"/>
    <w:rsid w:val="00852747"/>
    <w:rsid w:val="00853214"/>
    <w:rsid w:val="0085340B"/>
    <w:rsid w:val="0085384F"/>
    <w:rsid w:val="008545D4"/>
    <w:rsid w:val="008546C4"/>
    <w:rsid w:val="008547F1"/>
    <w:rsid w:val="00854A67"/>
    <w:rsid w:val="00854D69"/>
    <w:rsid w:val="00855369"/>
    <w:rsid w:val="008557DF"/>
    <w:rsid w:val="00856073"/>
    <w:rsid w:val="008562C4"/>
    <w:rsid w:val="0085662B"/>
    <w:rsid w:val="008566BA"/>
    <w:rsid w:val="008568E4"/>
    <w:rsid w:val="0085718D"/>
    <w:rsid w:val="0085748B"/>
    <w:rsid w:val="008601F8"/>
    <w:rsid w:val="00860ECB"/>
    <w:rsid w:val="0086168D"/>
    <w:rsid w:val="0086179E"/>
    <w:rsid w:val="00862E04"/>
    <w:rsid w:val="0086354A"/>
    <w:rsid w:val="00863554"/>
    <w:rsid w:val="00863977"/>
    <w:rsid w:val="00863A22"/>
    <w:rsid w:val="0086461F"/>
    <w:rsid w:val="008647BD"/>
    <w:rsid w:val="00864F4C"/>
    <w:rsid w:val="008650BC"/>
    <w:rsid w:val="008651BE"/>
    <w:rsid w:val="00865AC3"/>
    <w:rsid w:val="00865B84"/>
    <w:rsid w:val="00866E9A"/>
    <w:rsid w:val="00867DE7"/>
    <w:rsid w:val="00871182"/>
    <w:rsid w:val="00871AD7"/>
    <w:rsid w:val="0087214C"/>
    <w:rsid w:val="0087274A"/>
    <w:rsid w:val="008733B2"/>
    <w:rsid w:val="00873419"/>
    <w:rsid w:val="0087444C"/>
    <w:rsid w:val="00874BDD"/>
    <w:rsid w:val="00875032"/>
    <w:rsid w:val="008750C0"/>
    <w:rsid w:val="0087546D"/>
    <w:rsid w:val="00875B53"/>
    <w:rsid w:val="008762F4"/>
    <w:rsid w:val="008773D3"/>
    <w:rsid w:val="008805C9"/>
    <w:rsid w:val="0088082C"/>
    <w:rsid w:val="00880880"/>
    <w:rsid w:val="00880A08"/>
    <w:rsid w:val="00880AA7"/>
    <w:rsid w:val="008812D9"/>
    <w:rsid w:val="00881476"/>
    <w:rsid w:val="00884888"/>
    <w:rsid w:val="00884CE6"/>
    <w:rsid w:val="00884FF7"/>
    <w:rsid w:val="00885B28"/>
    <w:rsid w:val="008860D6"/>
    <w:rsid w:val="00886101"/>
    <w:rsid w:val="00886DB8"/>
    <w:rsid w:val="00886DF9"/>
    <w:rsid w:val="00887051"/>
    <w:rsid w:val="00887B05"/>
    <w:rsid w:val="00887B38"/>
    <w:rsid w:val="00890CF6"/>
    <w:rsid w:val="00891271"/>
    <w:rsid w:val="008917EE"/>
    <w:rsid w:val="00891D72"/>
    <w:rsid w:val="008923AE"/>
    <w:rsid w:val="00892FCA"/>
    <w:rsid w:val="00893136"/>
    <w:rsid w:val="00893598"/>
    <w:rsid w:val="00893A4C"/>
    <w:rsid w:val="0089423D"/>
    <w:rsid w:val="00894365"/>
    <w:rsid w:val="00894AF4"/>
    <w:rsid w:val="00894ED4"/>
    <w:rsid w:val="00895246"/>
    <w:rsid w:val="008953BA"/>
    <w:rsid w:val="00896925"/>
    <w:rsid w:val="008A036E"/>
    <w:rsid w:val="008A0727"/>
    <w:rsid w:val="008A0A91"/>
    <w:rsid w:val="008A0AA2"/>
    <w:rsid w:val="008A0CA9"/>
    <w:rsid w:val="008A0F1A"/>
    <w:rsid w:val="008A1234"/>
    <w:rsid w:val="008A1B15"/>
    <w:rsid w:val="008A1C1B"/>
    <w:rsid w:val="008A1F26"/>
    <w:rsid w:val="008A1FD2"/>
    <w:rsid w:val="008A293D"/>
    <w:rsid w:val="008A3D00"/>
    <w:rsid w:val="008A4681"/>
    <w:rsid w:val="008A57C5"/>
    <w:rsid w:val="008A60B6"/>
    <w:rsid w:val="008A6CE8"/>
    <w:rsid w:val="008A7758"/>
    <w:rsid w:val="008A7E00"/>
    <w:rsid w:val="008B037B"/>
    <w:rsid w:val="008B071E"/>
    <w:rsid w:val="008B0D47"/>
    <w:rsid w:val="008B1708"/>
    <w:rsid w:val="008B204B"/>
    <w:rsid w:val="008B2DF4"/>
    <w:rsid w:val="008B32B4"/>
    <w:rsid w:val="008B3E3D"/>
    <w:rsid w:val="008B40D0"/>
    <w:rsid w:val="008B525A"/>
    <w:rsid w:val="008B555A"/>
    <w:rsid w:val="008B5924"/>
    <w:rsid w:val="008B5A28"/>
    <w:rsid w:val="008B62A2"/>
    <w:rsid w:val="008B6928"/>
    <w:rsid w:val="008B6B77"/>
    <w:rsid w:val="008B748F"/>
    <w:rsid w:val="008C00B6"/>
    <w:rsid w:val="008C0355"/>
    <w:rsid w:val="008C0FD6"/>
    <w:rsid w:val="008C1E55"/>
    <w:rsid w:val="008C3C36"/>
    <w:rsid w:val="008C4B8B"/>
    <w:rsid w:val="008C4D96"/>
    <w:rsid w:val="008C5403"/>
    <w:rsid w:val="008C5951"/>
    <w:rsid w:val="008C674A"/>
    <w:rsid w:val="008C6CF8"/>
    <w:rsid w:val="008C70B6"/>
    <w:rsid w:val="008C72B3"/>
    <w:rsid w:val="008C7C43"/>
    <w:rsid w:val="008D036C"/>
    <w:rsid w:val="008D1BDB"/>
    <w:rsid w:val="008D2613"/>
    <w:rsid w:val="008D2884"/>
    <w:rsid w:val="008D2D83"/>
    <w:rsid w:val="008D32CD"/>
    <w:rsid w:val="008D3A51"/>
    <w:rsid w:val="008D3D25"/>
    <w:rsid w:val="008D4DBA"/>
    <w:rsid w:val="008D633D"/>
    <w:rsid w:val="008D68D8"/>
    <w:rsid w:val="008E158E"/>
    <w:rsid w:val="008E1A13"/>
    <w:rsid w:val="008E1CB4"/>
    <w:rsid w:val="008E28A0"/>
    <w:rsid w:val="008E2CD8"/>
    <w:rsid w:val="008E32D4"/>
    <w:rsid w:val="008E65F6"/>
    <w:rsid w:val="008E6AE5"/>
    <w:rsid w:val="008E6B34"/>
    <w:rsid w:val="008E7328"/>
    <w:rsid w:val="008F0125"/>
    <w:rsid w:val="008F05C3"/>
    <w:rsid w:val="008F0897"/>
    <w:rsid w:val="008F0C71"/>
    <w:rsid w:val="008F1250"/>
    <w:rsid w:val="008F1636"/>
    <w:rsid w:val="008F19FC"/>
    <w:rsid w:val="008F2E90"/>
    <w:rsid w:val="008F3892"/>
    <w:rsid w:val="008F3F01"/>
    <w:rsid w:val="008F3F44"/>
    <w:rsid w:val="008F51E5"/>
    <w:rsid w:val="008F5E61"/>
    <w:rsid w:val="008F6DC8"/>
    <w:rsid w:val="008F77EC"/>
    <w:rsid w:val="008F7902"/>
    <w:rsid w:val="008F7DCE"/>
    <w:rsid w:val="00900483"/>
    <w:rsid w:val="00901965"/>
    <w:rsid w:val="0090198D"/>
    <w:rsid w:val="00901AE1"/>
    <w:rsid w:val="009022E0"/>
    <w:rsid w:val="009026AF"/>
    <w:rsid w:val="00903B80"/>
    <w:rsid w:val="00903EC5"/>
    <w:rsid w:val="00904D60"/>
    <w:rsid w:val="00905D29"/>
    <w:rsid w:val="009062EE"/>
    <w:rsid w:val="0090719E"/>
    <w:rsid w:val="00907DB2"/>
    <w:rsid w:val="00907DB6"/>
    <w:rsid w:val="00910558"/>
    <w:rsid w:val="00910794"/>
    <w:rsid w:val="00910BC0"/>
    <w:rsid w:val="009111B4"/>
    <w:rsid w:val="0091151B"/>
    <w:rsid w:val="00913654"/>
    <w:rsid w:val="009138EB"/>
    <w:rsid w:val="0091458B"/>
    <w:rsid w:val="00917A0B"/>
    <w:rsid w:val="00917CAD"/>
    <w:rsid w:val="009204F6"/>
    <w:rsid w:val="00920910"/>
    <w:rsid w:val="00920E44"/>
    <w:rsid w:val="00921378"/>
    <w:rsid w:val="00921860"/>
    <w:rsid w:val="0092213B"/>
    <w:rsid w:val="00922C60"/>
    <w:rsid w:val="00922D7F"/>
    <w:rsid w:val="00922F45"/>
    <w:rsid w:val="00923584"/>
    <w:rsid w:val="0092486A"/>
    <w:rsid w:val="0092510E"/>
    <w:rsid w:val="00925BE0"/>
    <w:rsid w:val="00925DBC"/>
    <w:rsid w:val="009261B9"/>
    <w:rsid w:val="009262A6"/>
    <w:rsid w:val="00926334"/>
    <w:rsid w:val="00927333"/>
    <w:rsid w:val="00927BA9"/>
    <w:rsid w:val="00930D5D"/>
    <w:rsid w:val="00931166"/>
    <w:rsid w:val="00931246"/>
    <w:rsid w:val="00931DFD"/>
    <w:rsid w:val="009326D3"/>
    <w:rsid w:val="00932ED1"/>
    <w:rsid w:val="009338E7"/>
    <w:rsid w:val="009343B9"/>
    <w:rsid w:val="00934BD5"/>
    <w:rsid w:val="00934F72"/>
    <w:rsid w:val="00935105"/>
    <w:rsid w:val="00935437"/>
    <w:rsid w:val="009355BB"/>
    <w:rsid w:val="0093642A"/>
    <w:rsid w:val="0093691C"/>
    <w:rsid w:val="00936CA8"/>
    <w:rsid w:val="00936CDE"/>
    <w:rsid w:val="009373AB"/>
    <w:rsid w:val="009400CC"/>
    <w:rsid w:val="009402BE"/>
    <w:rsid w:val="009402C5"/>
    <w:rsid w:val="00940796"/>
    <w:rsid w:val="009407D1"/>
    <w:rsid w:val="00940FFD"/>
    <w:rsid w:val="009410A0"/>
    <w:rsid w:val="00941904"/>
    <w:rsid w:val="009426F3"/>
    <w:rsid w:val="00942F30"/>
    <w:rsid w:val="00943234"/>
    <w:rsid w:val="00943F72"/>
    <w:rsid w:val="00944109"/>
    <w:rsid w:val="00944464"/>
    <w:rsid w:val="00944687"/>
    <w:rsid w:val="00944945"/>
    <w:rsid w:val="00944DB7"/>
    <w:rsid w:val="009454F7"/>
    <w:rsid w:val="00945FB0"/>
    <w:rsid w:val="00946791"/>
    <w:rsid w:val="0094776A"/>
    <w:rsid w:val="00947C77"/>
    <w:rsid w:val="00950129"/>
    <w:rsid w:val="00950642"/>
    <w:rsid w:val="009509D0"/>
    <w:rsid w:val="0095101E"/>
    <w:rsid w:val="009514D2"/>
    <w:rsid w:val="009522F2"/>
    <w:rsid w:val="0095232D"/>
    <w:rsid w:val="00952339"/>
    <w:rsid w:val="00952340"/>
    <w:rsid w:val="009530A0"/>
    <w:rsid w:val="0095376B"/>
    <w:rsid w:val="0095376F"/>
    <w:rsid w:val="00953A7A"/>
    <w:rsid w:val="00953BBA"/>
    <w:rsid w:val="00953C25"/>
    <w:rsid w:val="00953ECE"/>
    <w:rsid w:val="0095458A"/>
    <w:rsid w:val="00954DE8"/>
    <w:rsid w:val="009551B3"/>
    <w:rsid w:val="00955CAA"/>
    <w:rsid w:val="00956081"/>
    <w:rsid w:val="0095659D"/>
    <w:rsid w:val="00957552"/>
    <w:rsid w:val="009575E1"/>
    <w:rsid w:val="00957AD3"/>
    <w:rsid w:val="00960093"/>
    <w:rsid w:val="009604E1"/>
    <w:rsid w:val="00961AC8"/>
    <w:rsid w:val="00961CAC"/>
    <w:rsid w:val="009622EA"/>
    <w:rsid w:val="009623C9"/>
    <w:rsid w:val="00962C86"/>
    <w:rsid w:val="00963238"/>
    <w:rsid w:val="00963A0A"/>
    <w:rsid w:val="00963D2E"/>
    <w:rsid w:val="00964D02"/>
    <w:rsid w:val="00965A9E"/>
    <w:rsid w:val="00965DDB"/>
    <w:rsid w:val="009662D2"/>
    <w:rsid w:val="00966B87"/>
    <w:rsid w:val="00966D26"/>
    <w:rsid w:val="00967586"/>
    <w:rsid w:val="00967932"/>
    <w:rsid w:val="00967A02"/>
    <w:rsid w:val="00967C6B"/>
    <w:rsid w:val="009721ED"/>
    <w:rsid w:val="00972228"/>
    <w:rsid w:val="00972515"/>
    <w:rsid w:val="00974D98"/>
    <w:rsid w:val="00974EE1"/>
    <w:rsid w:val="00975368"/>
    <w:rsid w:val="009758B8"/>
    <w:rsid w:val="00975962"/>
    <w:rsid w:val="00975A2C"/>
    <w:rsid w:val="0097647A"/>
    <w:rsid w:val="00976A87"/>
    <w:rsid w:val="00976F19"/>
    <w:rsid w:val="00976F59"/>
    <w:rsid w:val="00977257"/>
    <w:rsid w:val="0097740D"/>
    <w:rsid w:val="00977449"/>
    <w:rsid w:val="00980173"/>
    <w:rsid w:val="00980BA4"/>
    <w:rsid w:val="00982500"/>
    <w:rsid w:val="00982724"/>
    <w:rsid w:val="00982821"/>
    <w:rsid w:val="009829CD"/>
    <w:rsid w:val="00983372"/>
    <w:rsid w:val="00984EF5"/>
    <w:rsid w:val="009850D2"/>
    <w:rsid w:val="009855A4"/>
    <w:rsid w:val="00985E33"/>
    <w:rsid w:val="009860C0"/>
    <w:rsid w:val="00986556"/>
    <w:rsid w:val="009865B7"/>
    <w:rsid w:val="009868CE"/>
    <w:rsid w:val="00987169"/>
    <w:rsid w:val="00987177"/>
    <w:rsid w:val="0098753A"/>
    <w:rsid w:val="00990655"/>
    <w:rsid w:val="00990DDF"/>
    <w:rsid w:val="00990EBD"/>
    <w:rsid w:val="00991174"/>
    <w:rsid w:val="009913D7"/>
    <w:rsid w:val="0099273F"/>
    <w:rsid w:val="00992A9E"/>
    <w:rsid w:val="009935BC"/>
    <w:rsid w:val="00994818"/>
    <w:rsid w:val="00995B1D"/>
    <w:rsid w:val="00995FB5"/>
    <w:rsid w:val="00996CD1"/>
    <w:rsid w:val="00997CEF"/>
    <w:rsid w:val="009A0C42"/>
    <w:rsid w:val="009A1B22"/>
    <w:rsid w:val="009A20CF"/>
    <w:rsid w:val="009A250E"/>
    <w:rsid w:val="009A2626"/>
    <w:rsid w:val="009A3066"/>
    <w:rsid w:val="009A30CA"/>
    <w:rsid w:val="009A31CC"/>
    <w:rsid w:val="009A3281"/>
    <w:rsid w:val="009A3434"/>
    <w:rsid w:val="009A3AB8"/>
    <w:rsid w:val="009A3ECC"/>
    <w:rsid w:val="009A40A6"/>
    <w:rsid w:val="009A54F5"/>
    <w:rsid w:val="009A5A5B"/>
    <w:rsid w:val="009A5ADE"/>
    <w:rsid w:val="009A6130"/>
    <w:rsid w:val="009A7918"/>
    <w:rsid w:val="009A7AB5"/>
    <w:rsid w:val="009B165F"/>
    <w:rsid w:val="009B2753"/>
    <w:rsid w:val="009B394B"/>
    <w:rsid w:val="009B53E5"/>
    <w:rsid w:val="009B596B"/>
    <w:rsid w:val="009B6BB9"/>
    <w:rsid w:val="009B6FC3"/>
    <w:rsid w:val="009B7BAF"/>
    <w:rsid w:val="009B7D98"/>
    <w:rsid w:val="009C03D9"/>
    <w:rsid w:val="009C081E"/>
    <w:rsid w:val="009C0860"/>
    <w:rsid w:val="009C0A7C"/>
    <w:rsid w:val="009C0CEE"/>
    <w:rsid w:val="009C20A4"/>
    <w:rsid w:val="009C3DFB"/>
    <w:rsid w:val="009C3FDC"/>
    <w:rsid w:val="009C5040"/>
    <w:rsid w:val="009C5170"/>
    <w:rsid w:val="009C56BB"/>
    <w:rsid w:val="009C62C3"/>
    <w:rsid w:val="009C6F3B"/>
    <w:rsid w:val="009C6F4B"/>
    <w:rsid w:val="009C7520"/>
    <w:rsid w:val="009C775E"/>
    <w:rsid w:val="009C7C4D"/>
    <w:rsid w:val="009D1665"/>
    <w:rsid w:val="009D1679"/>
    <w:rsid w:val="009D21BA"/>
    <w:rsid w:val="009D35BB"/>
    <w:rsid w:val="009D391A"/>
    <w:rsid w:val="009D3E54"/>
    <w:rsid w:val="009D3E9C"/>
    <w:rsid w:val="009D45F0"/>
    <w:rsid w:val="009D4D8E"/>
    <w:rsid w:val="009D57D3"/>
    <w:rsid w:val="009D5AB3"/>
    <w:rsid w:val="009D67D7"/>
    <w:rsid w:val="009D69D1"/>
    <w:rsid w:val="009D784A"/>
    <w:rsid w:val="009E0700"/>
    <w:rsid w:val="009E0BCF"/>
    <w:rsid w:val="009E29FE"/>
    <w:rsid w:val="009E3097"/>
    <w:rsid w:val="009E3334"/>
    <w:rsid w:val="009E35CD"/>
    <w:rsid w:val="009E365F"/>
    <w:rsid w:val="009E36AC"/>
    <w:rsid w:val="009E3C87"/>
    <w:rsid w:val="009E4730"/>
    <w:rsid w:val="009E4A56"/>
    <w:rsid w:val="009E4A7E"/>
    <w:rsid w:val="009E541C"/>
    <w:rsid w:val="009E5435"/>
    <w:rsid w:val="009E5514"/>
    <w:rsid w:val="009E57E3"/>
    <w:rsid w:val="009E5F3C"/>
    <w:rsid w:val="009E7848"/>
    <w:rsid w:val="009E7D93"/>
    <w:rsid w:val="009F16C3"/>
    <w:rsid w:val="009F18CA"/>
    <w:rsid w:val="009F1909"/>
    <w:rsid w:val="009F2B09"/>
    <w:rsid w:val="009F3A8C"/>
    <w:rsid w:val="009F3C12"/>
    <w:rsid w:val="009F44EF"/>
    <w:rsid w:val="009F5626"/>
    <w:rsid w:val="009F69C1"/>
    <w:rsid w:val="009F77DA"/>
    <w:rsid w:val="00A009B9"/>
    <w:rsid w:val="00A00DCE"/>
    <w:rsid w:val="00A01B38"/>
    <w:rsid w:val="00A01CBE"/>
    <w:rsid w:val="00A02D5D"/>
    <w:rsid w:val="00A02F90"/>
    <w:rsid w:val="00A03439"/>
    <w:rsid w:val="00A0373D"/>
    <w:rsid w:val="00A03E6E"/>
    <w:rsid w:val="00A04006"/>
    <w:rsid w:val="00A04F34"/>
    <w:rsid w:val="00A056C9"/>
    <w:rsid w:val="00A05904"/>
    <w:rsid w:val="00A05FE6"/>
    <w:rsid w:val="00A06079"/>
    <w:rsid w:val="00A064B5"/>
    <w:rsid w:val="00A07D33"/>
    <w:rsid w:val="00A0D86B"/>
    <w:rsid w:val="00A10BF8"/>
    <w:rsid w:val="00A1161B"/>
    <w:rsid w:val="00A116DF"/>
    <w:rsid w:val="00A11A9F"/>
    <w:rsid w:val="00A1206F"/>
    <w:rsid w:val="00A12195"/>
    <w:rsid w:val="00A12520"/>
    <w:rsid w:val="00A12649"/>
    <w:rsid w:val="00A127C2"/>
    <w:rsid w:val="00A136E5"/>
    <w:rsid w:val="00A1393D"/>
    <w:rsid w:val="00A13DD7"/>
    <w:rsid w:val="00A13DFB"/>
    <w:rsid w:val="00A141E0"/>
    <w:rsid w:val="00A1472C"/>
    <w:rsid w:val="00A14B07"/>
    <w:rsid w:val="00A154FA"/>
    <w:rsid w:val="00A1580B"/>
    <w:rsid w:val="00A15DC0"/>
    <w:rsid w:val="00A15F28"/>
    <w:rsid w:val="00A16314"/>
    <w:rsid w:val="00A164E7"/>
    <w:rsid w:val="00A17B52"/>
    <w:rsid w:val="00A200F1"/>
    <w:rsid w:val="00A2057F"/>
    <w:rsid w:val="00A20CAF"/>
    <w:rsid w:val="00A20F00"/>
    <w:rsid w:val="00A2184F"/>
    <w:rsid w:val="00A21AB2"/>
    <w:rsid w:val="00A21EAF"/>
    <w:rsid w:val="00A220B3"/>
    <w:rsid w:val="00A227DF"/>
    <w:rsid w:val="00A22979"/>
    <w:rsid w:val="00A22BAC"/>
    <w:rsid w:val="00A257D0"/>
    <w:rsid w:val="00A270D4"/>
    <w:rsid w:val="00A27DFA"/>
    <w:rsid w:val="00A30B68"/>
    <w:rsid w:val="00A30D5D"/>
    <w:rsid w:val="00A31750"/>
    <w:rsid w:val="00A3206D"/>
    <w:rsid w:val="00A3220B"/>
    <w:rsid w:val="00A324E3"/>
    <w:rsid w:val="00A32950"/>
    <w:rsid w:val="00A32BCB"/>
    <w:rsid w:val="00A331E1"/>
    <w:rsid w:val="00A336B0"/>
    <w:rsid w:val="00A33728"/>
    <w:rsid w:val="00A3491F"/>
    <w:rsid w:val="00A3497A"/>
    <w:rsid w:val="00A34C5B"/>
    <w:rsid w:val="00A34DAF"/>
    <w:rsid w:val="00A359DA"/>
    <w:rsid w:val="00A36881"/>
    <w:rsid w:val="00A36F23"/>
    <w:rsid w:val="00A36F6C"/>
    <w:rsid w:val="00A37557"/>
    <w:rsid w:val="00A401C4"/>
    <w:rsid w:val="00A41352"/>
    <w:rsid w:val="00A41B1C"/>
    <w:rsid w:val="00A4241A"/>
    <w:rsid w:val="00A4251C"/>
    <w:rsid w:val="00A42534"/>
    <w:rsid w:val="00A43067"/>
    <w:rsid w:val="00A4391B"/>
    <w:rsid w:val="00A43D1D"/>
    <w:rsid w:val="00A44AE0"/>
    <w:rsid w:val="00A45259"/>
    <w:rsid w:val="00A45436"/>
    <w:rsid w:val="00A4597C"/>
    <w:rsid w:val="00A45FA8"/>
    <w:rsid w:val="00A4637E"/>
    <w:rsid w:val="00A47DEE"/>
    <w:rsid w:val="00A50A31"/>
    <w:rsid w:val="00A5138E"/>
    <w:rsid w:val="00A51957"/>
    <w:rsid w:val="00A535EB"/>
    <w:rsid w:val="00A53911"/>
    <w:rsid w:val="00A5524A"/>
    <w:rsid w:val="00A55C23"/>
    <w:rsid w:val="00A563B8"/>
    <w:rsid w:val="00A56DCC"/>
    <w:rsid w:val="00A57AD8"/>
    <w:rsid w:val="00A61591"/>
    <w:rsid w:val="00A61698"/>
    <w:rsid w:val="00A617B1"/>
    <w:rsid w:val="00A62097"/>
    <w:rsid w:val="00A621C8"/>
    <w:rsid w:val="00A63161"/>
    <w:rsid w:val="00A631A9"/>
    <w:rsid w:val="00A6373F"/>
    <w:rsid w:val="00A646C6"/>
    <w:rsid w:val="00A6632B"/>
    <w:rsid w:val="00A663C4"/>
    <w:rsid w:val="00A66ADA"/>
    <w:rsid w:val="00A679B2"/>
    <w:rsid w:val="00A70013"/>
    <w:rsid w:val="00A70585"/>
    <w:rsid w:val="00A70923"/>
    <w:rsid w:val="00A71D6E"/>
    <w:rsid w:val="00A726BC"/>
    <w:rsid w:val="00A73301"/>
    <w:rsid w:val="00A7351A"/>
    <w:rsid w:val="00A73D20"/>
    <w:rsid w:val="00A74134"/>
    <w:rsid w:val="00A74C08"/>
    <w:rsid w:val="00A754B5"/>
    <w:rsid w:val="00A75B13"/>
    <w:rsid w:val="00A768C4"/>
    <w:rsid w:val="00A76EE1"/>
    <w:rsid w:val="00A805D7"/>
    <w:rsid w:val="00A815F4"/>
    <w:rsid w:val="00A819DB"/>
    <w:rsid w:val="00A81C5D"/>
    <w:rsid w:val="00A822F8"/>
    <w:rsid w:val="00A82A58"/>
    <w:rsid w:val="00A82A77"/>
    <w:rsid w:val="00A83773"/>
    <w:rsid w:val="00A83C3F"/>
    <w:rsid w:val="00A84013"/>
    <w:rsid w:val="00A84B12"/>
    <w:rsid w:val="00A85376"/>
    <w:rsid w:val="00A85DC7"/>
    <w:rsid w:val="00A85F65"/>
    <w:rsid w:val="00A86671"/>
    <w:rsid w:val="00A876F0"/>
    <w:rsid w:val="00A87C50"/>
    <w:rsid w:val="00A905C3"/>
    <w:rsid w:val="00A90C47"/>
    <w:rsid w:val="00A915C9"/>
    <w:rsid w:val="00A91DEB"/>
    <w:rsid w:val="00A91FEC"/>
    <w:rsid w:val="00A92A83"/>
    <w:rsid w:val="00A92EFE"/>
    <w:rsid w:val="00A9320D"/>
    <w:rsid w:val="00A9412B"/>
    <w:rsid w:val="00A941AB"/>
    <w:rsid w:val="00A941EC"/>
    <w:rsid w:val="00A94AB6"/>
    <w:rsid w:val="00A94DE4"/>
    <w:rsid w:val="00A94F6E"/>
    <w:rsid w:val="00A95D33"/>
    <w:rsid w:val="00A95FFB"/>
    <w:rsid w:val="00A9695B"/>
    <w:rsid w:val="00A96E32"/>
    <w:rsid w:val="00A971D4"/>
    <w:rsid w:val="00AA01A0"/>
    <w:rsid w:val="00AA0B6D"/>
    <w:rsid w:val="00AA23D2"/>
    <w:rsid w:val="00AA24CD"/>
    <w:rsid w:val="00AA24E7"/>
    <w:rsid w:val="00AA2BD9"/>
    <w:rsid w:val="00AA3232"/>
    <w:rsid w:val="00AA33F5"/>
    <w:rsid w:val="00AA3632"/>
    <w:rsid w:val="00AA394A"/>
    <w:rsid w:val="00AA3BA7"/>
    <w:rsid w:val="00AA4043"/>
    <w:rsid w:val="00AA41FD"/>
    <w:rsid w:val="00AA443C"/>
    <w:rsid w:val="00AA4FA1"/>
    <w:rsid w:val="00AA7058"/>
    <w:rsid w:val="00AA7218"/>
    <w:rsid w:val="00AA7696"/>
    <w:rsid w:val="00AA7756"/>
    <w:rsid w:val="00AA7F99"/>
    <w:rsid w:val="00AB023B"/>
    <w:rsid w:val="00AB108C"/>
    <w:rsid w:val="00AB1B59"/>
    <w:rsid w:val="00AB2364"/>
    <w:rsid w:val="00AB2B13"/>
    <w:rsid w:val="00AB2C7A"/>
    <w:rsid w:val="00AB3687"/>
    <w:rsid w:val="00AB38E7"/>
    <w:rsid w:val="00AB688A"/>
    <w:rsid w:val="00AB693B"/>
    <w:rsid w:val="00AB6E79"/>
    <w:rsid w:val="00AB6FB5"/>
    <w:rsid w:val="00AB7923"/>
    <w:rsid w:val="00AB7B14"/>
    <w:rsid w:val="00AC0779"/>
    <w:rsid w:val="00AC0C71"/>
    <w:rsid w:val="00AC1082"/>
    <w:rsid w:val="00AC2ED1"/>
    <w:rsid w:val="00AC2F30"/>
    <w:rsid w:val="00AC37A4"/>
    <w:rsid w:val="00AC487A"/>
    <w:rsid w:val="00AC4D7E"/>
    <w:rsid w:val="00AC5812"/>
    <w:rsid w:val="00AC58B1"/>
    <w:rsid w:val="00AC641A"/>
    <w:rsid w:val="00AC646C"/>
    <w:rsid w:val="00AC7212"/>
    <w:rsid w:val="00AC7B0A"/>
    <w:rsid w:val="00AD0572"/>
    <w:rsid w:val="00AD1B7C"/>
    <w:rsid w:val="00AD1F5F"/>
    <w:rsid w:val="00AD230D"/>
    <w:rsid w:val="00AD28F0"/>
    <w:rsid w:val="00AD3884"/>
    <w:rsid w:val="00AD3C88"/>
    <w:rsid w:val="00AD4422"/>
    <w:rsid w:val="00AD4687"/>
    <w:rsid w:val="00AD4756"/>
    <w:rsid w:val="00AD6A80"/>
    <w:rsid w:val="00AD72C8"/>
    <w:rsid w:val="00AE0E6F"/>
    <w:rsid w:val="00AE1C10"/>
    <w:rsid w:val="00AE1D3C"/>
    <w:rsid w:val="00AE1DED"/>
    <w:rsid w:val="00AE2007"/>
    <w:rsid w:val="00AE2FCB"/>
    <w:rsid w:val="00AE3408"/>
    <w:rsid w:val="00AE3AE4"/>
    <w:rsid w:val="00AE4279"/>
    <w:rsid w:val="00AE4E0D"/>
    <w:rsid w:val="00AE5B93"/>
    <w:rsid w:val="00AE66F4"/>
    <w:rsid w:val="00AE6F3C"/>
    <w:rsid w:val="00AF017E"/>
    <w:rsid w:val="00AF03B2"/>
    <w:rsid w:val="00AF0433"/>
    <w:rsid w:val="00AF172D"/>
    <w:rsid w:val="00AF1E2D"/>
    <w:rsid w:val="00AF2237"/>
    <w:rsid w:val="00AF24A3"/>
    <w:rsid w:val="00AF2DE3"/>
    <w:rsid w:val="00AF2E81"/>
    <w:rsid w:val="00AF303C"/>
    <w:rsid w:val="00AF389A"/>
    <w:rsid w:val="00AF431E"/>
    <w:rsid w:val="00AF475F"/>
    <w:rsid w:val="00AF499C"/>
    <w:rsid w:val="00AF5936"/>
    <w:rsid w:val="00AF5EBB"/>
    <w:rsid w:val="00AF7BFD"/>
    <w:rsid w:val="00B0005E"/>
    <w:rsid w:val="00B002C1"/>
    <w:rsid w:val="00B00CD5"/>
    <w:rsid w:val="00B01CCC"/>
    <w:rsid w:val="00B01D3A"/>
    <w:rsid w:val="00B01E89"/>
    <w:rsid w:val="00B03FE4"/>
    <w:rsid w:val="00B04174"/>
    <w:rsid w:val="00B0424A"/>
    <w:rsid w:val="00B0520D"/>
    <w:rsid w:val="00B054BF"/>
    <w:rsid w:val="00B054EC"/>
    <w:rsid w:val="00B05630"/>
    <w:rsid w:val="00B05971"/>
    <w:rsid w:val="00B0642D"/>
    <w:rsid w:val="00B06684"/>
    <w:rsid w:val="00B06733"/>
    <w:rsid w:val="00B06AF1"/>
    <w:rsid w:val="00B07AF8"/>
    <w:rsid w:val="00B105C4"/>
    <w:rsid w:val="00B10627"/>
    <w:rsid w:val="00B10B43"/>
    <w:rsid w:val="00B12100"/>
    <w:rsid w:val="00B13828"/>
    <w:rsid w:val="00B13901"/>
    <w:rsid w:val="00B154B1"/>
    <w:rsid w:val="00B155FF"/>
    <w:rsid w:val="00B16801"/>
    <w:rsid w:val="00B16D63"/>
    <w:rsid w:val="00B17B2A"/>
    <w:rsid w:val="00B17C2E"/>
    <w:rsid w:val="00B2019C"/>
    <w:rsid w:val="00B206F4"/>
    <w:rsid w:val="00B20DD7"/>
    <w:rsid w:val="00B21431"/>
    <w:rsid w:val="00B2150D"/>
    <w:rsid w:val="00B2150E"/>
    <w:rsid w:val="00B22132"/>
    <w:rsid w:val="00B22365"/>
    <w:rsid w:val="00B22806"/>
    <w:rsid w:val="00B23599"/>
    <w:rsid w:val="00B23683"/>
    <w:rsid w:val="00B2391E"/>
    <w:rsid w:val="00B23EB7"/>
    <w:rsid w:val="00B240A9"/>
    <w:rsid w:val="00B25018"/>
    <w:rsid w:val="00B253AC"/>
    <w:rsid w:val="00B25E00"/>
    <w:rsid w:val="00B2668C"/>
    <w:rsid w:val="00B26699"/>
    <w:rsid w:val="00B27053"/>
    <w:rsid w:val="00B27528"/>
    <w:rsid w:val="00B27B5A"/>
    <w:rsid w:val="00B3083B"/>
    <w:rsid w:val="00B3127D"/>
    <w:rsid w:val="00B31BD1"/>
    <w:rsid w:val="00B31E20"/>
    <w:rsid w:val="00B32023"/>
    <w:rsid w:val="00B32072"/>
    <w:rsid w:val="00B3259F"/>
    <w:rsid w:val="00B32738"/>
    <w:rsid w:val="00B32CD9"/>
    <w:rsid w:val="00B32E40"/>
    <w:rsid w:val="00B33247"/>
    <w:rsid w:val="00B33535"/>
    <w:rsid w:val="00B3482A"/>
    <w:rsid w:val="00B34CC4"/>
    <w:rsid w:val="00B3624D"/>
    <w:rsid w:val="00B365A7"/>
    <w:rsid w:val="00B36635"/>
    <w:rsid w:val="00B37B09"/>
    <w:rsid w:val="00B37F01"/>
    <w:rsid w:val="00B40972"/>
    <w:rsid w:val="00B41C46"/>
    <w:rsid w:val="00B420A8"/>
    <w:rsid w:val="00B428DF"/>
    <w:rsid w:val="00B42AF7"/>
    <w:rsid w:val="00B42F88"/>
    <w:rsid w:val="00B43223"/>
    <w:rsid w:val="00B4347B"/>
    <w:rsid w:val="00B43D0F"/>
    <w:rsid w:val="00B44310"/>
    <w:rsid w:val="00B44ED2"/>
    <w:rsid w:val="00B46A60"/>
    <w:rsid w:val="00B47110"/>
    <w:rsid w:val="00B47470"/>
    <w:rsid w:val="00B503A1"/>
    <w:rsid w:val="00B506DF"/>
    <w:rsid w:val="00B509D0"/>
    <w:rsid w:val="00B50CA2"/>
    <w:rsid w:val="00B50DF1"/>
    <w:rsid w:val="00B51240"/>
    <w:rsid w:val="00B514EE"/>
    <w:rsid w:val="00B516CC"/>
    <w:rsid w:val="00B5219F"/>
    <w:rsid w:val="00B52212"/>
    <w:rsid w:val="00B5221E"/>
    <w:rsid w:val="00B5260A"/>
    <w:rsid w:val="00B52A10"/>
    <w:rsid w:val="00B54417"/>
    <w:rsid w:val="00B55748"/>
    <w:rsid w:val="00B56434"/>
    <w:rsid w:val="00B57188"/>
    <w:rsid w:val="00B5770F"/>
    <w:rsid w:val="00B57F3A"/>
    <w:rsid w:val="00B604A7"/>
    <w:rsid w:val="00B6087A"/>
    <w:rsid w:val="00B61C50"/>
    <w:rsid w:val="00B62A35"/>
    <w:rsid w:val="00B62C13"/>
    <w:rsid w:val="00B63E5B"/>
    <w:rsid w:val="00B655A6"/>
    <w:rsid w:val="00B6581E"/>
    <w:rsid w:val="00B65DAB"/>
    <w:rsid w:val="00B65E68"/>
    <w:rsid w:val="00B6603E"/>
    <w:rsid w:val="00B662A5"/>
    <w:rsid w:val="00B66329"/>
    <w:rsid w:val="00B66600"/>
    <w:rsid w:val="00B66715"/>
    <w:rsid w:val="00B668CD"/>
    <w:rsid w:val="00B671CF"/>
    <w:rsid w:val="00B67EE0"/>
    <w:rsid w:val="00B7051D"/>
    <w:rsid w:val="00B70B6F"/>
    <w:rsid w:val="00B70EA7"/>
    <w:rsid w:val="00B70F35"/>
    <w:rsid w:val="00B71078"/>
    <w:rsid w:val="00B71463"/>
    <w:rsid w:val="00B7182C"/>
    <w:rsid w:val="00B71A83"/>
    <w:rsid w:val="00B71FBF"/>
    <w:rsid w:val="00B72D78"/>
    <w:rsid w:val="00B72F6D"/>
    <w:rsid w:val="00B730F9"/>
    <w:rsid w:val="00B735C7"/>
    <w:rsid w:val="00B73E9C"/>
    <w:rsid w:val="00B7507F"/>
    <w:rsid w:val="00B75666"/>
    <w:rsid w:val="00B7663C"/>
    <w:rsid w:val="00B80A44"/>
    <w:rsid w:val="00B80C7C"/>
    <w:rsid w:val="00B80FDF"/>
    <w:rsid w:val="00B811E7"/>
    <w:rsid w:val="00B8182F"/>
    <w:rsid w:val="00B81CF6"/>
    <w:rsid w:val="00B81E7F"/>
    <w:rsid w:val="00B8208E"/>
    <w:rsid w:val="00B821EF"/>
    <w:rsid w:val="00B8277E"/>
    <w:rsid w:val="00B82C6C"/>
    <w:rsid w:val="00B82D71"/>
    <w:rsid w:val="00B833EC"/>
    <w:rsid w:val="00B838B8"/>
    <w:rsid w:val="00B840FF"/>
    <w:rsid w:val="00B845B6"/>
    <w:rsid w:val="00B8608E"/>
    <w:rsid w:val="00B86257"/>
    <w:rsid w:val="00B86263"/>
    <w:rsid w:val="00B86F9E"/>
    <w:rsid w:val="00B87908"/>
    <w:rsid w:val="00B87E94"/>
    <w:rsid w:val="00B90031"/>
    <w:rsid w:val="00B903D1"/>
    <w:rsid w:val="00B91AFE"/>
    <w:rsid w:val="00B91FD4"/>
    <w:rsid w:val="00B92711"/>
    <w:rsid w:val="00B929DC"/>
    <w:rsid w:val="00B93223"/>
    <w:rsid w:val="00B93302"/>
    <w:rsid w:val="00B933BC"/>
    <w:rsid w:val="00B93452"/>
    <w:rsid w:val="00B9360B"/>
    <w:rsid w:val="00B94626"/>
    <w:rsid w:val="00B96000"/>
    <w:rsid w:val="00B964E2"/>
    <w:rsid w:val="00B9705F"/>
    <w:rsid w:val="00B97627"/>
    <w:rsid w:val="00BA01B1"/>
    <w:rsid w:val="00BA0A31"/>
    <w:rsid w:val="00BA0B11"/>
    <w:rsid w:val="00BA11DB"/>
    <w:rsid w:val="00BA1457"/>
    <w:rsid w:val="00BA1C0E"/>
    <w:rsid w:val="00BA24B1"/>
    <w:rsid w:val="00BA252D"/>
    <w:rsid w:val="00BA2BF0"/>
    <w:rsid w:val="00BA30E8"/>
    <w:rsid w:val="00BA373A"/>
    <w:rsid w:val="00BA4428"/>
    <w:rsid w:val="00BA4D29"/>
    <w:rsid w:val="00BA50E4"/>
    <w:rsid w:val="00BA59FF"/>
    <w:rsid w:val="00BA5C26"/>
    <w:rsid w:val="00BA5FEC"/>
    <w:rsid w:val="00BA60AF"/>
    <w:rsid w:val="00BA6721"/>
    <w:rsid w:val="00BA6CE7"/>
    <w:rsid w:val="00BA6ED2"/>
    <w:rsid w:val="00BA70A9"/>
    <w:rsid w:val="00BA7311"/>
    <w:rsid w:val="00BA7943"/>
    <w:rsid w:val="00BA7A29"/>
    <w:rsid w:val="00BB03C8"/>
    <w:rsid w:val="00BB13DD"/>
    <w:rsid w:val="00BB1AD1"/>
    <w:rsid w:val="00BB2516"/>
    <w:rsid w:val="00BB25F2"/>
    <w:rsid w:val="00BB2EAA"/>
    <w:rsid w:val="00BB3E05"/>
    <w:rsid w:val="00BB3EE4"/>
    <w:rsid w:val="00BB4139"/>
    <w:rsid w:val="00BB41B0"/>
    <w:rsid w:val="00BB442D"/>
    <w:rsid w:val="00BB4CBC"/>
    <w:rsid w:val="00BB637E"/>
    <w:rsid w:val="00BB7AE1"/>
    <w:rsid w:val="00BC097D"/>
    <w:rsid w:val="00BC0FA4"/>
    <w:rsid w:val="00BC2FB4"/>
    <w:rsid w:val="00BC3167"/>
    <w:rsid w:val="00BC416E"/>
    <w:rsid w:val="00BC4858"/>
    <w:rsid w:val="00BC535B"/>
    <w:rsid w:val="00BC5F45"/>
    <w:rsid w:val="00BC630C"/>
    <w:rsid w:val="00BC69CC"/>
    <w:rsid w:val="00BD04D3"/>
    <w:rsid w:val="00BD0B4F"/>
    <w:rsid w:val="00BD17C0"/>
    <w:rsid w:val="00BD24BF"/>
    <w:rsid w:val="00BD25BF"/>
    <w:rsid w:val="00BD287B"/>
    <w:rsid w:val="00BD3055"/>
    <w:rsid w:val="00BD32AE"/>
    <w:rsid w:val="00BD380F"/>
    <w:rsid w:val="00BD3BA2"/>
    <w:rsid w:val="00BD3DCB"/>
    <w:rsid w:val="00BD4ABF"/>
    <w:rsid w:val="00BD5AEA"/>
    <w:rsid w:val="00BD6F35"/>
    <w:rsid w:val="00BD7BB2"/>
    <w:rsid w:val="00BE05B5"/>
    <w:rsid w:val="00BE106C"/>
    <w:rsid w:val="00BE1488"/>
    <w:rsid w:val="00BE16ED"/>
    <w:rsid w:val="00BE1C1A"/>
    <w:rsid w:val="00BE2228"/>
    <w:rsid w:val="00BE35BA"/>
    <w:rsid w:val="00BE4339"/>
    <w:rsid w:val="00BE4413"/>
    <w:rsid w:val="00BE4FC1"/>
    <w:rsid w:val="00BE51BE"/>
    <w:rsid w:val="00BE610E"/>
    <w:rsid w:val="00BE6A40"/>
    <w:rsid w:val="00BE76A8"/>
    <w:rsid w:val="00BE7724"/>
    <w:rsid w:val="00BF06C5"/>
    <w:rsid w:val="00BF10E6"/>
    <w:rsid w:val="00BF1B5B"/>
    <w:rsid w:val="00BF30C3"/>
    <w:rsid w:val="00BF439F"/>
    <w:rsid w:val="00BF463D"/>
    <w:rsid w:val="00BF48B2"/>
    <w:rsid w:val="00BF5076"/>
    <w:rsid w:val="00BF5E77"/>
    <w:rsid w:val="00BF6779"/>
    <w:rsid w:val="00BF6C12"/>
    <w:rsid w:val="00BF7146"/>
    <w:rsid w:val="00BF758D"/>
    <w:rsid w:val="00BF7BE8"/>
    <w:rsid w:val="00C001B2"/>
    <w:rsid w:val="00C00C89"/>
    <w:rsid w:val="00C01E2B"/>
    <w:rsid w:val="00C0205C"/>
    <w:rsid w:val="00C02EEF"/>
    <w:rsid w:val="00C02F96"/>
    <w:rsid w:val="00C0325F"/>
    <w:rsid w:val="00C0399C"/>
    <w:rsid w:val="00C03CD8"/>
    <w:rsid w:val="00C060FC"/>
    <w:rsid w:val="00C066FE"/>
    <w:rsid w:val="00C0680D"/>
    <w:rsid w:val="00C06B51"/>
    <w:rsid w:val="00C104B4"/>
    <w:rsid w:val="00C11AED"/>
    <w:rsid w:val="00C13242"/>
    <w:rsid w:val="00C13F26"/>
    <w:rsid w:val="00C14E3F"/>
    <w:rsid w:val="00C16421"/>
    <w:rsid w:val="00C16548"/>
    <w:rsid w:val="00C16BD2"/>
    <w:rsid w:val="00C16DB3"/>
    <w:rsid w:val="00C20BFF"/>
    <w:rsid w:val="00C21C6A"/>
    <w:rsid w:val="00C21CE8"/>
    <w:rsid w:val="00C221A9"/>
    <w:rsid w:val="00C22E6F"/>
    <w:rsid w:val="00C2302B"/>
    <w:rsid w:val="00C23193"/>
    <w:rsid w:val="00C234E5"/>
    <w:rsid w:val="00C237CF"/>
    <w:rsid w:val="00C23B88"/>
    <w:rsid w:val="00C24195"/>
    <w:rsid w:val="00C2553E"/>
    <w:rsid w:val="00C25C55"/>
    <w:rsid w:val="00C260E1"/>
    <w:rsid w:val="00C26633"/>
    <w:rsid w:val="00C27FFB"/>
    <w:rsid w:val="00C3047A"/>
    <w:rsid w:val="00C31ACE"/>
    <w:rsid w:val="00C329EA"/>
    <w:rsid w:val="00C32B13"/>
    <w:rsid w:val="00C33B41"/>
    <w:rsid w:val="00C34237"/>
    <w:rsid w:val="00C349FA"/>
    <w:rsid w:val="00C3531A"/>
    <w:rsid w:val="00C35A77"/>
    <w:rsid w:val="00C35B9C"/>
    <w:rsid w:val="00C36373"/>
    <w:rsid w:val="00C367AC"/>
    <w:rsid w:val="00C36EE5"/>
    <w:rsid w:val="00C37ADE"/>
    <w:rsid w:val="00C402F4"/>
    <w:rsid w:val="00C41173"/>
    <w:rsid w:val="00C4124F"/>
    <w:rsid w:val="00C41342"/>
    <w:rsid w:val="00C414A3"/>
    <w:rsid w:val="00C418B6"/>
    <w:rsid w:val="00C4284D"/>
    <w:rsid w:val="00C4298A"/>
    <w:rsid w:val="00C434AD"/>
    <w:rsid w:val="00C43D29"/>
    <w:rsid w:val="00C43F33"/>
    <w:rsid w:val="00C44042"/>
    <w:rsid w:val="00C44BAF"/>
    <w:rsid w:val="00C451FD"/>
    <w:rsid w:val="00C452AA"/>
    <w:rsid w:val="00C45E26"/>
    <w:rsid w:val="00C4671A"/>
    <w:rsid w:val="00C468B4"/>
    <w:rsid w:val="00C47004"/>
    <w:rsid w:val="00C4790E"/>
    <w:rsid w:val="00C504DA"/>
    <w:rsid w:val="00C50689"/>
    <w:rsid w:val="00C51081"/>
    <w:rsid w:val="00C51764"/>
    <w:rsid w:val="00C5249E"/>
    <w:rsid w:val="00C5254D"/>
    <w:rsid w:val="00C528AD"/>
    <w:rsid w:val="00C52F04"/>
    <w:rsid w:val="00C530D8"/>
    <w:rsid w:val="00C53376"/>
    <w:rsid w:val="00C53F34"/>
    <w:rsid w:val="00C541A5"/>
    <w:rsid w:val="00C557DD"/>
    <w:rsid w:val="00C55EE4"/>
    <w:rsid w:val="00C57372"/>
    <w:rsid w:val="00C57BA8"/>
    <w:rsid w:val="00C607BE"/>
    <w:rsid w:val="00C610C4"/>
    <w:rsid w:val="00C6172E"/>
    <w:rsid w:val="00C618E3"/>
    <w:rsid w:val="00C61E03"/>
    <w:rsid w:val="00C629D4"/>
    <w:rsid w:val="00C632A6"/>
    <w:rsid w:val="00C634DC"/>
    <w:rsid w:val="00C64789"/>
    <w:rsid w:val="00C648C5"/>
    <w:rsid w:val="00C648F5"/>
    <w:rsid w:val="00C65088"/>
    <w:rsid w:val="00C6527C"/>
    <w:rsid w:val="00C65835"/>
    <w:rsid w:val="00C65C68"/>
    <w:rsid w:val="00C667C4"/>
    <w:rsid w:val="00C66EC8"/>
    <w:rsid w:val="00C66FB6"/>
    <w:rsid w:val="00C6766D"/>
    <w:rsid w:val="00C67D4B"/>
    <w:rsid w:val="00C67FFD"/>
    <w:rsid w:val="00C701C2"/>
    <w:rsid w:val="00C70E0C"/>
    <w:rsid w:val="00C7182E"/>
    <w:rsid w:val="00C7274A"/>
    <w:rsid w:val="00C72CF4"/>
    <w:rsid w:val="00C733FF"/>
    <w:rsid w:val="00C73570"/>
    <w:rsid w:val="00C73AF7"/>
    <w:rsid w:val="00C73DF2"/>
    <w:rsid w:val="00C74201"/>
    <w:rsid w:val="00C758AC"/>
    <w:rsid w:val="00C75B49"/>
    <w:rsid w:val="00C76638"/>
    <w:rsid w:val="00C801C3"/>
    <w:rsid w:val="00C80426"/>
    <w:rsid w:val="00C80A45"/>
    <w:rsid w:val="00C80D06"/>
    <w:rsid w:val="00C82686"/>
    <w:rsid w:val="00C82E4B"/>
    <w:rsid w:val="00C82E69"/>
    <w:rsid w:val="00C84594"/>
    <w:rsid w:val="00C84A80"/>
    <w:rsid w:val="00C84B37"/>
    <w:rsid w:val="00C84EC8"/>
    <w:rsid w:val="00C863C4"/>
    <w:rsid w:val="00C8659E"/>
    <w:rsid w:val="00C86E31"/>
    <w:rsid w:val="00C86F83"/>
    <w:rsid w:val="00C8738A"/>
    <w:rsid w:val="00C87990"/>
    <w:rsid w:val="00C90D83"/>
    <w:rsid w:val="00C91450"/>
    <w:rsid w:val="00C923C4"/>
    <w:rsid w:val="00C926D4"/>
    <w:rsid w:val="00C9452C"/>
    <w:rsid w:val="00C945AD"/>
    <w:rsid w:val="00C948DA"/>
    <w:rsid w:val="00C9503F"/>
    <w:rsid w:val="00C95A58"/>
    <w:rsid w:val="00C95D82"/>
    <w:rsid w:val="00C965B1"/>
    <w:rsid w:val="00C97500"/>
    <w:rsid w:val="00CA0498"/>
    <w:rsid w:val="00CA0D97"/>
    <w:rsid w:val="00CA25A2"/>
    <w:rsid w:val="00CA2C50"/>
    <w:rsid w:val="00CA2F1F"/>
    <w:rsid w:val="00CA3A6C"/>
    <w:rsid w:val="00CA4BEE"/>
    <w:rsid w:val="00CA5234"/>
    <w:rsid w:val="00CA5D45"/>
    <w:rsid w:val="00CA649F"/>
    <w:rsid w:val="00CA6F95"/>
    <w:rsid w:val="00CA7C15"/>
    <w:rsid w:val="00CA7D2A"/>
    <w:rsid w:val="00CA7E3B"/>
    <w:rsid w:val="00CB01B6"/>
    <w:rsid w:val="00CB1CF1"/>
    <w:rsid w:val="00CB208E"/>
    <w:rsid w:val="00CB2334"/>
    <w:rsid w:val="00CB2C19"/>
    <w:rsid w:val="00CB3AD0"/>
    <w:rsid w:val="00CB50E2"/>
    <w:rsid w:val="00CB62A7"/>
    <w:rsid w:val="00CB62FF"/>
    <w:rsid w:val="00CB67CD"/>
    <w:rsid w:val="00CB79D2"/>
    <w:rsid w:val="00CB7A53"/>
    <w:rsid w:val="00CB7D63"/>
    <w:rsid w:val="00CC043B"/>
    <w:rsid w:val="00CC0B67"/>
    <w:rsid w:val="00CC0BD1"/>
    <w:rsid w:val="00CC0D40"/>
    <w:rsid w:val="00CC0EDA"/>
    <w:rsid w:val="00CC1185"/>
    <w:rsid w:val="00CC1F58"/>
    <w:rsid w:val="00CC2188"/>
    <w:rsid w:val="00CC32F2"/>
    <w:rsid w:val="00CC34A9"/>
    <w:rsid w:val="00CC4845"/>
    <w:rsid w:val="00CC5CDD"/>
    <w:rsid w:val="00CC68F2"/>
    <w:rsid w:val="00CC6F6F"/>
    <w:rsid w:val="00CC74A7"/>
    <w:rsid w:val="00CD10F7"/>
    <w:rsid w:val="00CD1552"/>
    <w:rsid w:val="00CD1B88"/>
    <w:rsid w:val="00CD1F4E"/>
    <w:rsid w:val="00CD29CE"/>
    <w:rsid w:val="00CD3E0B"/>
    <w:rsid w:val="00CD46A8"/>
    <w:rsid w:val="00CD4D92"/>
    <w:rsid w:val="00CD4F10"/>
    <w:rsid w:val="00CD5DEE"/>
    <w:rsid w:val="00CD5F82"/>
    <w:rsid w:val="00CD616D"/>
    <w:rsid w:val="00CD6B6E"/>
    <w:rsid w:val="00CD6C75"/>
    <w:rsid w:val="00CD6CE7"/>
    <w:rsid w:val="00CE1544"/>
    <w:rsid w:val="00CE1DDC"/>
    <w:rsid w:val="00CE1E27"/>
    <w:rsid w:val="00CE2398"/>
    <w:rsid w:val="00CE2D93"/>
    <w:rsid w:val="00CE3BC3"/>
    <w:rsid w:val="00CE4CF2"/>
    <w:rsid w:val="00CE5552"/>
    <w:rsid w:val="00CE55F9"/>
    <w:rsid w:val="00CE5AF9"/>
    <w:rsid w:val="00CE5B61"/>
    <w:rsid w:val="00CE624E"/>
    <w:rsid w:val="00CE6387"/>
    <w:rsid w:val="00CE6398"/>
    <w:rsid w:val="00CE6740"/>
    <w:rsid w:val="00CE6757"/>
    <w:rsid w:val="00CE6853"/>
    <w:rsid w:val="00CE7160"/>
    <w:rsid w:val="00CE7BC8"/>
    <w:rsid w:val="00CF23D9"/>
    <w:rsid w:val="00CF279A"/>
    <w:rsid w:val="00CF2FA5"/>
    <w:rsid w:val="00CF33D2"/>
    <w:rsid w:val="00CF3AFA"/>
    <w:rsid w:val="00CF5934"/>
    <w:rsid w:val="00CF5F97"/>
    <w:rsid w:val="00CF6431"/>
    <w:rsid w:val="00CF6BDC"/>
    <w:rsid w:val="00CF7FC3"/>
    <w:rsid w:val="00D00762"/>
    <w:rsid w:val="00D00A5F"/>
    <w:rsid w:val="00D03055"/>
    <w:rsid w:val="00D0365F"/>
    <w:rsid w:val="00D06191"/>
    <w:rsid w:val="00D06D2D"/>
    <w:rsid w:val="00D06F73"/>
    <w:rsid w:val="00D072CC"/>
    <w:rsid w:val="00D0746F"/>
    <w:rsid w:val="00D10CFE"/>
    <w:rsid w:val="00D10EBD"/>
    <w:rsid w:val="00D11044"/>
    <w:rsid w:val="00D1218A"/>
    <w:rsid w:val="00D1226D"/>
    <w:rsid w:val="00D12453"/>
    <w:rsid w:val="00D131D0"/>
    <w:rsid w:val="00D13B85"/>
    <w:rsid w:val="00D13E02"/>
    <w:rsid w:val="00D1438C"/>
    <w:rsid w:val="00D15273"/>
    <w:rsid w:val="00D15389"/>
    <w:rsid w:val="00D15EE6"/>
    <w:rsid w:val="00D1630F"/>
    <w:rsid w:val="00D17021"/>
    <w:rsid w:val="00D17809"/>
    <w:rsid w:val="00D21D32"/>
    <w:rsid w:val="00D227BA"/>
    <w:rsid w:val="00D227FF"/>
    <w:rsid w:val="00D22809"/>
    <w:rsid w:val="00D22ECB"/>
    <w:rsid w:val="00D23101"/>
    <w:rsid w:val="00D254C0"/>
    <w:rsid w:val="00D25AAA"/>
    <w:rsid w:val="00D2676F"/>
    <w:rsid w:val="00D276E6"/>
    <w:rsid w:val="00D300DE"/>
    <w:rsid w:val="00D30752"/>
    <w:rsid w:val="00D31360"/>
    <w:rsid w:val="00D327D6"/>
    <w:rsid w:val="00D3284F"/>
    <w:rsid w:val="00D349A3"/>
    <w:rsid w:val="00D3568D"/>
    <w:rsid w:val="00D35ACF"/>
    <w:rsid w:val="00D35E8C"/>
    <w:rsid w:val="00D36105"/>
    <w:rsid w:val="00D36907"/>
    <w:rsid w:val="00D36CFA"/>
    <w:rsid w:val="00D37012"/>
    <w:rsid w:val="00D40CF9"/>
    <w:rsid w:val="00D4111F"/>
    <w:rsid w:val="00D417CB"/>
    <w:rsid w:val="00D41F05"/>
    <w:rsid w:val="00D422AD"/>
    <w:rsid w:val="00D42340"/>
    <w:rsid w:val="00D42F58"/>
    <w:rsid w:val="00D43487"/>
    <w:rsid w:val="00D43C88"/>
    <w:rsid w:val="00D44104"/>
    <w:rsid w:val="00D44679"/>
    <w:rsid w:val="00D451E8"/>
    <w:rsid w:val="00D453DD"/>
    <w:rsid w:val="00D45803"/>
    <w:rsid w:val="00D4735E"/>
    <w:rsid w:val="00D47C70"/>
    <w:rsid w:val="00D5069B"/>
    <w:rsid w:val="00D51271"/>
    <w:rsid w:val="00D52611"/>
    <w:rsid w:val="00D52623"/>
    <w:rsid w:val="00D533B8"/>
    <w:rsid w:val="00D53765"/>
    <w:rsid w:val="00D53BD4"/>
    <w:rsid w:val="00D54A0D"/>
    <w:rsid w:val="00D54EF7"/>
    <w:rsid w:val="00D55116"/>
    <w:rsid w:val="00D553FA"/>
    <w:rsid w:val="00D56000"/>
    <w:rsid w:val="00D5705E"/>
    <w:rsid w:val="00D5707D"/>
    <w:rsid w:val="00D577DF"/>
    <w:rsid w:val="00D61B39"/>
    <w:rsid w:val="00D61D5C"/>
    <w:rsid w:val="00D6210A"/>
    <w:rsid w:val="00D6228D"/>
    <w:rsid w:val="00D625E3"/>
    <w:rsid w:val="00D63DE4"/>
    <w:rsid w:val="00D63ED6"/>
    <w:rsid w:val="00D64458"/>
    <w:rsid w:val="00D64706"/>
    <w:rsid w:val="00D6475E"/>
    <w:rsid w:val="00D64C11"/>
    <w:rsid w:val="00D64FD0"/>
    <w:rsid w:val="00D65067"/>
    <w:rsid w:val="00D65280"/>
    <w:rsid w:val="00D6552F"/>
    <w:rsid w:val="00D6598D"/>
    <w:rsid w:val="00D6760D"/>
    <w:rsid w:val="00D70020"/>
    <w:rsid w:val="00D7164B"/>
    <w:rsid w:val="00D7209B"/>
    <w:rsid w:val="00D7257F"/>
    <w:rsid w:val="00D735ED"/>
    <w:rsid w:val="00D7367D"/>
    <w:rsid w:val="00D73B4F"/>
    <w:rsid w:val="00D740E8"/>
    <w:rsid w:val="00D741A0"/>
    <w:rsid w:val="00D7475F"/>
    <w:rsid w:val="00D74DED"/>
    <w:rsid w:val="00D753B5"/>
    <w:rsid w:val="00D7561A"/>
    <w:rsid w:val="00D76877"/>
    <w:rsid w:val="00D76B15"/>
    <w:rsid w:val="00D7707E"/>
    <w:rsid w:val="00D77CA7"/>
    <w:rsid w:val="00D77CAD"/>
    <w:rsid w:val="00D80011"/>
    <w:rsid w:val="00D81816"/>
    <w:rsid w:val="00D829A0"/>
    <w:rsid w:val="00D8311C"/>
    <w:rsid w:val="00D834B3"/>
    <w:rsid w:val="00D8354D"/>
    <w:rsid w:val="00D8439B"/>
    <w:rsid w:val="00D84588"/>
    <w:rsid w:val="00D84954"/>
    <w:rsid w:val="00D8589E"/>
    <w:rsid w:val="00D8624A"/>
    <w:rsid w:val="00D86496"/>
    <w:rsid w:val="00D865E4"/>
    <w:rsid w:val="00D87669"/>
    <w:rsid w:val="00D903C7"/>
    <w:rsid w:val="00D90779"/>
    <w:rsid w:val="00D90AAA"/>
    <w:rsid w:val="00D90B3D"/>
    <w:rsid w:val="00D91063"/>
    <w:rsid w:val="00D91190"/>
    <w:rsid w:val="00D92598"/>
    <w:rsid w:val="00D9293A"/>
    <w:rsid w:val="00D9358B"/>
    <w:rsid w:val="00D942D8"/>
    <w:rsid w:val="00D9510D"/>
    <w:rsid w:val="00D95916"/>
    <w:rsid w:val="00D95C1B"/>
    <w:rsid w:val="00D95FA5"/>
    <w:rsid w:val="00D9676E"/>
    <w:rsid w:val="00D96D86"/>
    <w:rsid w:val="00D96DB7"/>
    <w:rsid w:val="00D96F68"/>
    <w:rsid w:val="00D97BBE"/>
    <w:rsid w:val="00DA0277"/>
    <w:rsid w:val="00DA0294"/>
    <w:rsid w:val="00DA068C"/>
    <w:rsid w:val="00DA0921"/>
    <w:rsid w:val="00DA0A38"/>
    <w:rsid w:val="00DA28EC"/>
    <w:rsid w:val="00DA3301"/>
    <w:rsid w:val="00DA3641"/>
    <w:rsid w:val="00DA3A1A"/>
    <w:rsid w:val="00DA3D1D"/>
    <w:rsid w:val="00DA5400"/>
    <w:rsid w:val="00DA5752"/>
    <w:rsid w:val="00DA6A59"/>
    <w:rsid w:val="00DACCBA"/>
    <w:rsid w:val="00DB010E"/>
    <w:rsid w:val="00DB064E"/>
    <w:rsid w:val="00DB1A71"/>
    <w:rsid w:val="00DB260E"/>
    <w:rsid w:val="00DB26BF"/>
    <w:rsid w:val="00DB2AB9"/>
    <w:rsid w:val="00DB2B7F"/>
    <w:rsid w:val="00DB391E"/>
    <w:rsid w:val="00DB42A9"/>
    <w:rsid w:val="00DB4648"/>
    <w:rsid w:val="00DB470D"/>
    <w:rsid w:val="00DB4B1B"/>
    <w:rsid w:val="00DB4EDA"/>
    <w:rsid w:val="00DB5C3F"/>
    <w:rsid w:val="00DB5D92"/>
    <w:rsid w:val="00DC003A"/>
    <w:rsid w:val="00DC0800"/>
    <w:rsid w:val="00DC0C48"/>
    <w:rsid w:val="00DC0E25"/>
    <w:rsid w:val="00DC0E74"/>
    <w:rsid w:val="00DC11E3"/>
    <w:rsid w:val="00DC21EC"/>
    <w:rsid w:val="00DC2702"/>
    <w:rsid w:val="00DC2747"/>
    <w:rsid w:val="00DC3631"/>
    <w:rsid w:val="00DC3858"/>
    <w:rsid w:val="00DC4A54"/>
    <w:rsid w:val="00DC6617"/>
    <w:rsid w:val="00DC6626"/>
    <w:rsid w:val="00DC7060"/>
    <w:rsid w:val="00DD06C2"/>
    <w:rsid w:val="00DD0922"/>
    <w:rsid w:val="00DD1902"/>
    <w:rsid w:val="00DD223F"/>
    <w:rsid w:val="00DD2DBF"/>
    <w:rsid w:val="00DD3895"/>
    <w:rsid w:val="00DD3F16"/>
    <w:rsid w:val="00DD4234"/>
    <w:rsid w:val="00DD5F2F"/>
    <w:rsid w:val="00DD6584"/>
    <w:rsid w:val="00DD6B74"/>
    <w:rsid w:val="00DD6C53"/>
    <w:rsid w:val="00DD708C"/>
    <w:rsid w:val="00DE0413"/>
    <w:rsid w:val="00DE0747"/>
    <w:rsid w:val="00DE0AD5"/>
    <w:rsid w:val="00DE2633"/>
    <w:rsid w:val="00DE313D"/>
    <w:rsid w:val="00DE32BB"/>
    <w:rsid w:val="00DE390F"/>
    <w:rsid w:val="00DE416D"/>
    <w:rsid w:val="00DE46CA"/>
    <w:rsid w:val="00DE6B2C"/>
    <w:rsid w:val="00DE70F3"/>
    <w:rsid w:val="00DE75D8"/>
    <w:rsid w:val="00DEFF4F"/>
    <w:rsid w:val="00DF0EC2"/>
    <w:rsid w:val="00DF11A0"/>
    <w:rsid w:val="00DF1A7E"/>
    <w:rsid w:val="00DF1E6C"/>
    <w:rsid w:val="00DF2FED"/>
    <w:rsid w:val="00DF35EB"/>
    <w:rsid w:val="00DF3A4B"/>
    <w:rsid w:val="00DF3C04"/>
    <w:rsid w:val="00DF3FD1"/>
    <w:rsid w:val="00DF4072"/>
    <w:rsid w:val="00DF5A96"/>
    <w:rsid w:val="00DF6BF9"/>
    <w:rsid w:val="00E00422"/>
    <w:rsid w:val="00E010EA"/>
    <w:rsid w:val="00E01297"/>
    <w:rsid w:val="00E017DC"/>
    <w:rsid w:val="00E01D04"/>
    <w:rsid w:val="00E01F95"/>
    <w:rsid w:val="00E02F42"/>
    <w:rsid w:val="00E0370C"/>
    <w:rsid w:val="00E03C61"/>
    <w:rsid w:val="00E03F9A"/>
    <w:rsid w:val="00E04296"/>
    <w:rsid w:val="00E043BA"/>
    <w:rsid w:val="00E046E6"/>
    <w:rsid w:val="00E047D1"/>
    <w:rsid w:val="00E05FF2"/>
    <w:rsid w:val="00E06517"/>
    <w:rsid w:val="00E0690A"/>
    <w:rsid w:val="00E07AD5"/>
    <w:rsid w:val="00E07B24"/>
    <w:rsid w:val="00E108A2"/>
    <w:rsid w:val="00E10EC7"/>
    <w:rsid w:val="00E11607"/>
    <w:rsid w:val="00E119C3"/>
    <w:rsid w:val="00E1204D"/>
    <w:rsid w:val="00E12612"/>
    <w:rsid w:val="00E140AF"/>
    <w:rsid w:val="00E146A9"/>
    <w:rsid w:val="00E15AD5"/>
    <w:rsid w:val="00E1611E"/>
    <w:rsid w:val="00E16D51"/>
    <w:rsid w:val="00E175C8"/>
    <w:rsid w:val="00E17CE4"/>
    <w:rsid w:val="00E20D45"/>
    <w:rsid w:val="00E210EC"/>
    <w:rsid w:val="00E21522"/>
    <w:rsid w:val="00E22B18"/>
    <w:rsid w:val="00E23903"/>
    <w:rsid w:val="00E2425F"/>
    <w:rsid w:val="00E25831"/>
    <w:rsid w:val="00E25928"/>
    <w:rsid w:val="00E25BAE"/>
    <w:rsid w:val="00E25DB9"/>
    <w:rsid w:val="00E30684"/>
    <w:rsid w:val="00E30E69"/>
    <w:rsid w:val="00E30EDC"/>
    <w:rsid w:val="00E32A91"/>
    <w:rsid w:val="00E32D8B"/>
    <w:rsid w:val="00E33733"/>
    <w:rsid w:val="00E344D9"/>
    <w:rsid w:val="00E360DA"/>
    <w:rsid w:val="00E37362"/>
    <w:rsid w:val="00E374ED"/>
    <w:rsid w:val="00E408DD"/>
    <w:rsid w:val="00E41272"/>
    <w:rsid w:val="00E41697"/>
    <w:rsid w:val="00E4187D"/>
    <w:rsid w:val="00E41FB0"/>
    <w:rsid w:val="00E42237"/>
    <w:rsid w:val="00E4311B"/>
    <w:rsid w:val="00E43254"/>
    <w:rsid w:val="00E43C70"/>
    <w:rsid w:val="00E43D29"/>
    <w:rsid w:val="00E43FAA"/>
    <w:rsid w:val="00E44F16"/>
    <w:rsid w:val="00E44F9A"/>
    <w:rsid w:val="00E45478"/>
    <w:rsid w:val="00E4594D"/>
    <w:rsid w:val="00E45D7B"/>
    <w:rsid w:val="00E46243"/>
    <w:rsid w:val="00E47B52"/>
    <w:rsid w:val="00E51C22"/>
    <w:rsid w:val="00E51FFC"/>
    <w:rsid w:val="00E52901"/>
    <w:rsid w:val="00E52980"/>
    <w:rsid w:val="00E52A1B"/>
    <w:rsid w:val="00E534EC"/>
    <w:rsid w:val="00E56233"/>
    <w:rsid w:val="00E57DFD"/>
    <w:rsid w:val="00E6091B"/>
    <w:rsid w:val="00E611F9"/>
    <w:rsid w:val="00E61EAC"/>
    <w:rsid w:val="00E61FC5"/>
    <w:rsid w:val="00E62125"/>
    <w:rsid w:val="00E62545"/>
    <w:rsid w:val="00E62DCD"/>
    <w:rsid w:val="00E62ECE"/>
    <w:rsid w:val="00E6326D"/>
    <w:rsid w:val="00E655BB"/>
    <w:rsid w:val="00E6691E"/>
    <w:rsid w:val="00E670A3"/>
    <w:rsid w:val="00E6779C"/>
    <w:rsid w:val="00E67C9D"/>
    <w:rsid w:val="00E701FA"/>
    <w:rsid w:val="00E70A35"/>
    <w:rsid w:val="00E70BAD"/>
    <w:rsid w:val="00E71583"/>
    <w:rsid w:val="00E71A1A"/>
    <w:rsid w:val="00E71C0D"/>
    <w:rsid w:val="00E71E53"/>
    <w:rsid w:val="00E72571"/>
    <w:rsid w:val="00E72867"/>
    <w:rsid w:val="00E72B02"/>
    <w:rsid w:val="00E72BC3"/>
    <w:rsid w:val="00E742A8"/>
    <w:rsid w:val="00E74B26"/>
    <w:rsid w:val="00E74D36"/>
    <w:rsid w:val="00E75D01"/>
    <w:rsid w:val="00E77769"/>
    <w:rsid w:val="00E7777E"/>
    <w:rsid w:val="00E777C3"/>
    <w:rsid w:val="00E8099D"/>
    <w:rsid w:val="00E80ECB"/>
    <w:rsid w:val="00E81055"/>
    <w:rsid w:val="00E811EB"/>
    <w:rsid w:val="00E824E8"/>
    <w:rsid w:val="00E82597"/>
    <w:rsid w:val="00E82A43"/>
    <w:rsid w:val="00E83013"/>
    <w:rsid w:val="00E83363"/>
    <w:rsid w:val="00E83646"/>
    <w:rsid w:val="00E84A60"/>
    <w:rsid w:val="00E85A98"/>
    <w:rsid w:val="00E85E17"/>
    <w:rsid w:val="00E85F1A"/>
    <w:rsid w:val="00E86CD3"/>
    <w:rsid w:val="00E86F54"/>
    <w:rsid w:val="00E872A9"/>
    <w:rsid w:val="00E8735C"/>
    <w:rsid w:val="00E87D1F"/>
    <w:rsid w:val="00E90288"/>
    <w:rsid w:val="00E917CF"/>
    <w:rsid w:val="00E91ED7"/>
    <w:rsid w:val="00E9286A"/>
    <w:rsid w:val="00E938F0"/>
    <w:rsid w:val="00E946F1"/>
    <w:rsid w:val="00E948B6"/>
    <w:rsid w:val="00E95BC8"/>
    <w:rsid w:val="00E9627D"/>
    <w:rsid w:val="00E963F0"/>
    <w:rsid w:val="00EA00A7"/>
    <w:rsid w:val="00EA08B4"/>
    <w:rsid w:val="00EA09C8"/>
    <w:rsid w:val="00EA0A7F"/>
    <w:rsid w:val="00EA198D"/>
    <w:rsid w:val="00EA1B85"/>
    <w:rsid w:val="00EA2505"/>
    <w:rsid w:val="00EA2669"/>
    <w:rsid w:val="00EA298B"/>
    <w:rsid w:val="00EA5417"/>
    <w:rsid w:val="00EA5D0B"/>
    <w:rsid w:val="00EA7520"/>
    <w:rsid w:val="00EA7C69"/>
    <w:rsid w:val="00EA7D08"/>
    <w:rsid w:val="00EB0326"/>
    <w:rsid w:val="00EB03CB"/>
    <w:rsid w:val="00EB0991"/>
    <w:rsid w:val="00EB1189"/>
    <w:rsid w:val="00EB4186"/>
    <w:rsid w:val="00EB4C36"/>
    <w:rsid w:val="00EB51E3"/>
    <w:rsid w:val="00EB59BF"/>
    <w:rsid w:val="00EB5A01"/>
    <w:rsid w:val="00EB5B01"/>
    <w:rsid w:val="00EB5B9D"/>
    <w:rsid w:val="00EB6C08"/>
    <w:rsid w:val="00EB6E39"/>
    <w:rsid w:val="00EB78E3"/>
    <w:rsid w:val="00EB7D61"/>
    <w:rsid w:val="00EC117A"/>
    <w:rsid w:val="00EC173B"/>
    <w:rsid w:val="00EC1E8C"/>
    <w:rsid w:val="00EC21BD"/>
    <w:rsid w:val="00EC29BB"/>
    <w:rsid w:val="00EC3746"/>
    <w:rsid w:val="00EC3962"/>
    <w:rsid w:val="00EC4062"/>
    <w:rsid w:val="00EC40B1"/>
    <w:rsid w:val="00EC54E8"/>
    <w:rsid w:val="00EC5AE5"/>
    <w:rsid w:val="00EC62DF"/>
    <w:rsid w:val="00EC733A"/>
    <w:rsid w:val="00ED0A5F"/>
    <w:rsid w:val="00ED11A8"/>
    <w:rsid w:val="00ED16BD"/>
    <w:rsid w:val="00ED1BEE"/>
    <w:rsid w:val="00ED2E8B"/>
    <w:rsid w:val="00ED2EFD"/>
    <w:rsid w:val="00ED343E"/>
    <w:rsid w:val="00ED3602"/>
    <w:rsid w:val="00ED401C"/>
    <w:rsid w:val="00ED44F3"/>
    <w:rsid w:val="00ED46E3"/>
    <w:rsid w:val="00ED485B"/>
    <w:rsid w:val="00ED4DA8"/>
    <w:rsid w:val="00ED58BC"/>
    <w:rsid w:val="00ED595C"/>
    <w:rsid w:val="00ED6406"/>
    <w:rsid w:val="00ED6B4A"/>
    <w:rsid w:val="00ED70DD"/>
    <w:rsid w:val="00ED7134"/>
    <w:rsid w:val="00ED74FE"/>
    <w:rsid w:val="00EE068E"/>
    <w:rsid w:val="00EE1504"/>
    <w:rsid w:val="00EE1FDB"/>
    <w:rsid w:val="00EE2201"/>
    <w:rsid w:val="00EE221F"/>
    <w:rsid w:val="00EE2503"/>
    <w:rsid w:val="00EE2902"/>
    <w:rsid w:val="00EE2C93"/>
    <w:rsid w:val="00EE2E1D"/>
    <w:rsid w:val="00EE2F62"/>
    <w:rsid w:val="00EE3439"/>
    <w:rsid w:val="00EE3950"/>
    <w:rsid w:val="00EE4038"/>
    <w:rsid w:val="00EE4897"/>
    <w:rsid w:val="00EE57B5"/>
    <w:rsid w:val="00EE5A31"/>
    <w:rsid w:val="00EE5F1C"/>
    <w:rsid w:val="00EE6796"/>
    <w:rsid w:val="00EE7807"/>
    <w:rsid w:val="00EE78F7"/>
    <w:rsid w:val="00EF0823"/>
    <w:rsid w:val="00EF0E7D"/>
    <w:rsid w:val="00EF13B0"/>
    <w:rsid w:val="00EF1C6E"/>
    <w:rsid w:val="00EF1FB2"/>
    <w:rsid w:val="00EF26D2"/>
    <w:rsid w:val="00EF40DF"/>
    <w:rsid w:val="00EF5577"/>
    <w:rsid w:val="00EF686D"/>
    <w:rsid w:val="00EF763B"/>
    <w:rsid w:val="00EF7A86"/>
    <w:rsid w:val="00EF7DC1"/>
    <w:rsid w:val="00F00D09"/>
    <w:rsid w:val="00F00DCB"/>
    <w:rsid w:val="00F01216"/>
    <w:rsid w:val="00F021C4"/>
    <w:rsid w:val="00F0261E"/>
    <w:rsid w:val="00F02702"/>
    <w:rsid w:val="00F028EE"/>
    <w:rsid w:val="00F02A74"/>
    <w:rsid w:val="00F02F1F"/>
    <w:rsid w:val="00F03472"/>
    <w:rsid w:val="00F03632"/>
    <w:rsid w:val="00F03731"/>
    <w:rsid w:val="00F044D7"/>
    <w:rsid w:val="00F04859"/>
    <w:rsid w:val="00F04C51"/>
    <w:rsid w:val="00F04CA5"/>
    <w:rsid w:val="00F06790"/>
    <w:rsid w:val="00F06D5A"/>
    <w:rsid w:val="00F0700B"/>
    <w:rsid w:val="00F07BCC"/>
    <w:rsid w:val="00F07D2A"/>
    <w:rsid w:val="00F1006C"/>
    <w:rsid w:val="00F10602"/>
    <w:rsid w:val="00F10BE6"/>
    <w:rsid w:val="00F10E14"/>
    <w:rsid w:val="00F115E9"/>
    <w:rsid w:val="00F115FF"/>
    <w:rsid w:val="00F11AC6"/>
    <w:rsid w:val="00F11F1C"/>
    <w:rsid w:val="00F12E25"/>
    <w:rsid w:val="00F131BE"/>
    <w:rsid w:val="00F138B1"/>
    <w:rsid w:val="00F14CEE"/>
    <w:rsid w:val="00F14D3C"/>
    <w:rsid w:val="00F15210"/>
    <w:rsid w:val="00F17064"/>
    <w:rsid w:val="00F174BA"/>
    <w:rsid w:val="00F203DD"/>
    <w:rsid w:val="00F208B6"/>
    <w:rsid w:val="00F20C64"/>
    <w:rsid w:val="00F20EAB"/>
    <w:rsid w:val="00F21353"/>
    <w:rsid w:val="00F219CB"/>
    <w:rsid w:val="00F22B9F"/>
    <w:rsid w:val="00F2349F"/>
    <w:rsid w:val="00F238E7"/>
    <w:rsid w:val="00F23ACB"/>
    <w:rsid w:val="00F23C13"/>
    <w:rsid w:val="00F2436B"/>
    <w:rsid w:val="00F249C8"/>
    <w:rsid w:val="00F24C22"/>
    <w:rsid w:val="00F24D0D"/>
    <w:rsid w:val="00F24D69"/>
    <w:rsid w:val="00F24F29"/>
    <w:rsid w:val="00F279A8"/>
    <w:rsid w:val="00F308A1"/>
    <w:rsid w:val="00F30B07"/>
    <w:rsid w:val="00F30D7C"/>
    <w:rsid w:val="00F31897"/>
    <w:rsid w:val="00F32080"/>
    <w:rsid w:val="00F325F2"/>
    <w:rsid w:val="00F33792"/>
    <w:rsid w:val="00F34CDA"/>
    <w:rsid w:val="00F35AD3"/>
    <w:rsid w:val="00F35BD4"/>
    <w:rsid w:val="00F364E4"/>
    <w:rsid w:val="00F3686F"/>
    <w:rsid w:val="00F368D2"/>
    <w:rsid w:val="00F36D9C"/>
    <w:rsid w:val="00F37133"/>
    <w:rsid w:val="00F3725C"/>
    <w:rsid w:val="00F37535"/>
    <w:rsid w:val="00F37EE1"/>
    <w:rsid w:val="00F408F7"/>
    <w:rsid w:val="00F40C29"/>
    <w:rsid w:val="00F418E8"/>
    <w:rsid w:val="00F41F0F"/>
    <w:rsid w:val="00F42545"/>
    <w:rsid w:val="00F4273F"/>
    <w:rsid w:val="00F432BB"/>
    <w:rsid w:val="00F4353E"/>
    <w:rsid w:val="00F43959"/>
    <w:rsid w:val="00F4520B"/>
    <w:rsid w:val="00F45C0D"/>
    <w:rsid w:val="00F461F1"/>
    <w:rsid w:val="00F4689C"/>
    <w:rsid w:val="00F469C2"/>
    <w:rsid w:val="00F47101"/>
    <w:rsid w:val="00F50221"/>
    <w:rsid w:val="00F50C4C"/>
    <w:rsid w:val="00F523A6"/>
    <w:rsid w:val="00F52778"/>
    <w:rsid w:val="00F52B83"/>
    <w:rsid w:val="00F52DD7"/>
    <w:rsid w:val="00F53334"/>
    <w:rsid w:val="00F53CFC"/>
    <w:rsid w:val="00F543F3"/>
    <w:rsid w:val="00F54745"/>
    <w:rsid w:val="00F55BC4"/>
    <w:rsid w:val="00F55EF3"/>
    <w:rsid w:val="00F60A1F"/>
    <w:rsid w:val="00F620B2"/>
    <w:rsid w:val="00F62BCD"/>
    <w:rsid w:val="00F62F38"/>
    <w:rsid w:val="00F63908"/>
    <w:rsid w:val="00F63B7C"/>
    <w:rsid w:val="00F63F5B"/>
    <w:rsid w:val="00F643BF"/>
    <w:rsid w:val="00F6543A"/>
    <w:rsid w:val="00F669FB"/>
    <w:rsid w:val="00F67183"/>
    <w:rsid w:val="00F710EC"/>
    <w:rsid w:val="00F71713"/>
    <w:rsid w:val="00F721C8"/>
    <w:rsid w:val="00F72A16"/>
    <w:rsid w:val="00F7309B"/>
    <w:rsid w:val="00F744FD"/>
    <w:rsid w:val="00F750BB"/>
    <w:rsid w:val="00F75437"/>
    <w:rsid w:val="00F76BB1"/>
    <w:rsid w:val="00F76D05"/>
    <w:rsid w:val="00F8057F"/>
    <w:rsid w:val="00F80B78"/>
    <w:rsid w:val="00F813EF"/>
    <w:rsid w:val="00F8191A"/>
    <w:rsid w:val="00F82900"/>
    <w:rsid w:val="00F82B27"/>
    <w:rsid w:val="00F84E8C"/>
    <w:rsid w:val="00F8505D"/>
    <w:rsid w:val="00F85770"/>
    <w:rsid w:val="00F8596B"/>
    <w:rsid w:val="00F85C57"/>
    <w:rsid w:val="00F85CDC"/>
    <w:rsid w:val="00F86622"/>
    <w:rsid w:val="00F870AE"/>
    <w:rsid w:val="00F87C70"/>
    <w:rsid w:val="00F90E7F"/>
    <w:rsid w:val="00F9120F"/>
    <w:rsid w:val="00F93B4E"/>
    <w:rsid w:val="00F94267"/>
    <w:rsid w:val="00F9509A"/>
    <w:rsid w:val="00F952DA"/>
    <w:rsid w:val="00F957A1"/>
    <w:rsid w:val="00F95C44"/>
    <w:rsid w:val="00F96F90"/>
    <w:rsid w:val="00F97845"/>
    <w:rsid w:val="00FA01AB"/>
    <w:rsid w:val="00FA0A7E"/>
    <w:rsid w:val="00FA21AB"/>
    <w:rsid w:val="00FA2F48"/>
    <w:rsid w:val="00FA370E"/>
    <w:rsid w:val="00FA41C9"/>
    <w:rsid w:val="00FA4350"/>
    <w:rsid w:val="00FA43CD"/>
    <w:rsid w:val="00FA4465"/>
    <w:rsid w:val="00FA49B0"/>
    <w:rsid w:val="00FA4E92"/>
    <w:rsid w:val="00FA4FE2"/>
    <w:rsid w:val="00FA575F"/>
    <w:rsid w:val="00FA5E09"/>
    <w:rsid w:val="00FA6AE8"/>
    <w:rsid w:val="00FA7330"/>
    <w:rsid w:val="00FA73C9"/>
    <w:rsid w:val="00FB0308"/>
    <w:rsid w:val="00FB05E0"/>
    <w:rsid w:val="00FB07EC"/>
    <w:rsid w:val="00FB177A"/>
    <w:rsid w:val="00FB1FBC"/>
    <w:rsid w:val="00FB2108"/>
    <w:rsid w:val="00FB2632"/>
    <w:rsid w:val="00FB310A"/>
    <w:rsid w:val="00FB4497"/>
    <w:rsid w:val="00FB4E03"/>
    <w:rsid w:val="00FB594F"/>
    <w:rsid w:val="00FB6571"/>
    <w:rsid w:val="00FB665A"/>
    <w:rsid w:val="00FC0030"/>
    <w:rsid w:val="00FC0D08"/>
    <w:rsid w:val="00FC106B"/>
    <w:rsid w:val="00FC2168"/>
    <w:rsid w:val="00FC2A93"/>
    <w:rsid w:val="00FC2B6F"/>
    <w:rsid w:val="00FC2CE8"/>
    <w:rsid w:val="00FC2D7D"/>
    <w:rsid w:val="00FC433A"/>
    <w:rsid w:val="00FC5167"/>
    <w:rsid w:val="00FC5588"/>
    <w:rsid w:val="00FC655E"/>
    <w:rsid w:val="00FC6D30"/>
    <w:rsid w:val="00FD05E5"/>
    <w:rsid w:val="00FD0B02"/>
    <w:rsid w:val="00FD0D0B"/>
    <w:rsid w:val="00FD118E"/>
    <w:rsid w:val="00FD12B0"/>
    <w:rsid w:val="00FD1DA0"/>
    <w:rsid w:val="00FD1F06"/>
    <w:rsid w:val="00FD209B"/>
    <w:rsid w:val="00FD314B"/>
    <w:rsid w:val="00FD3A18"/>
    <w:rsid w:val="00FD3ECD"/>
    <w:rsid w:val="00FD3F70"/>
    <w:rsid w:val="00FD3FE4"/>
    <w:rsid w:val="00FD435D"/>
    <w:rsid w:val="00FD45B7"/>
    <w:rsid w:val="00FD4742"/>
    <w:rsid w:val="00FD4941"/>
    <w:rsid w:val="00FD50D1"/>
    <w:rsid w:val="00FD5B18"/>
    <w:rsid w:val="00FD674B"/>
    <w:rsid w:val="00FD6AC5"/>
    <w:rsid w:val="00FD7762"/>
    <w:rsid w:val="00FD7A19"/>
    <w:rsid w:val="00FD7CF8"/>
    <w:rsid w:val="00FD7FB3"/>
    <w:rsid w:val="00FE04E9"/>
    <w:rsid w:val="00FE157A"/>
    <w:rsid w:val="00FE1747"/>
    <w:rsid w:val="00FE2EB4"/>
    <w:rsid w:val="00FE34D4"/>
    <w:rsid w:val="00FE38C8"/>
    <w:rsid w:val="00FE4837"/>
    <w:rsid w:val="00FE4B56"/>
    <w:rsid w:val="00FE511B"/>
    <w:rsid w:val="00FE63EA"/>
    <w:rsid w:val="00FE6653"/>
    <w:rsid w:val="00FE792E"/>
    <w:rsid w:val="00FE7E29"/>
    <w:rsid w:val="00FE7F35"/>
    <w:rsid w:val="00FF07C7"/>
    <w:rsid w:val="00FF09E9"/>
    <w:rsid w:val="00FF0DE5"/>
    <w:rsid w:val="00FF0E3C"/>
    <w:rsid w:val="00FF1612"/>
    <w:rsid w:val="00FF1A47"/>
    <w:rsid w:val="00FF1ED5"/>
    <w:rsid w:val="00FF2086"/>
    <w:rsid w:val="00FF2158"/>
    <w:rsid w:val="00FF23B1"/>
    <w:rsid w:val="00FF23C7"/>
    <w:rsid w:val="00FF2AF8"/>
    <w:rsid w:val="00FF2BC5"/>
    <w:rsid w:val="00FF2CB1"/>
    <w:rsid w:val="00FF2E6C"/>
    <w:rsid w:val="00FF33C0"/>
    <w:rsid w:val="00FF4046"/>
    <w:rsid w:val="00FF4D5F"/>
    <w:rsid w:val="00FF529A"/>
    <w:rsid w:val="00FF5838"/>
    <w:rsid w:val="00FF5BC2"/>
    <w:rsid w:val="00FF62D0"/>
    <w:rsid w:val="00FF6426"/>
    <w:rsid w:val="00FF6811"/>
    <w:rsid w:val="00FF68F5"/>
    <w:rsid w:val="00FF6EE8"/>
    <w:rsid w:val="00FF7DA2"/>
    <w:rsid w:val="0101CD36"/>
    <w:rsid w:val="0105DCC0"/>
    <w:rsid w:val="0121FBE7"/>
    <w:rsid w:val="01253011"/>
    <w:rsid w:val="0128D7AB"/>
    <w:rsid w:val="0132FAD6"/>
    <w:rsid w:val="01370E0A"/>
    <w:rsid w:val="013EEF75"/>
    <w:rsid w:val="015BAA0E"/>
    <w:rsid w:val="01649966"/>
    <w:rsid w:val="016FBDD1"/>
    <w:rsid w:val="018CC2DB"/>
    <w:rsid w:val="01980474"/>
    <w:rsid w:val="019BB20F"/>
    <w:rsid w:val="01ABC761"/>
    <w:rsid w:val="01AED75C"/>
    <w:rsid w:val="01BAB7F3"/>
    <w:rsid w:val="01BB4BF5"/>
    <w:rsid w:val="01BEB91A"/>
    <w:rsid w:val="01C7CB28"/>
    <w:rsid w:val="01C92871"/>
    <w:rsid w:val="01CF47BE"/>
    <w:rsid w:val="01DB586F"/>
    <w:rsid w:val="01DB98E3"/>
    <w:rsid w:val="01F65A8A"/>
    <w:rsid w:val="01F8BC01"/>
    <w:rsid w:val="020844B7"/>
    <w:rsid w:val="0210F68E"/>
    <w:rsid w:val="02214D3C"/>
    <w:rsid w:val="022BF1B3"/>
    <w:rsid w:val="022EF5B3"/>
    <w:rsid w:val="025304F5"/>
    <w:rsid w:val="026458F6"/>
    <w:rsid w:val="02787BFD"/>
    <w:rsid w:val="027A6B93"/>
    <w:rsid w:val="028F28D3"/>
    <w:rsid w:val="029C493F"/>
    <w:rsid w:val="02A016E7"/>
    <w:rsid w:val="02A80ACC"/>
    <w:rsid w:val="02AD4B0E"/>
    <w:rsid w:val="02F33717"/>
    <w:rsid w:val="02F6E9F7"/>
    <w:rsid w:val="02F8FE80"/>
    <w:rsid w:val="030BB98F"/>
    <w:rsid w:val="030D4B93"/>
    <w:rsid w:val="03207E3E"/>
    <w:rsid w:val="032A5A6C"/>
    <w:rsid w:val="032C2422"/>
    <w:rsid w:val="032F49E5"/>
    <w:rsid w:val="0336944B"/>
    <w:rsid w:val="033FF408"/>
    <w:rsid w:val="03511EDD"/>
    <w:rsid w:val="035584DB"/>
    <w:rsid w:val="035C19E9"/>
    <w:rsid w:val="0369D6E0"/>
    <w:rsid w:val="0374BF7E"/>
    <w:rsid w:val="03841750"/>
    <w:rsid w:val="0392EC38"/>
    <w:rsid w:val="03AA11E8"/>
    <w:rsid w:val="03B34ED3"/>
    <w:rsid w:val="03B4A56C"/>
    <w:rsid w:val="03C08946"/>
    <w:rsid w:val="03ED3824"/>
    <w:rsid w:val="03F2EA79"/>
    <w:rsid w:val="03FF3A39"/>
    <w:rsid w:val="042C3F38"/>
    <w:rsid w:val="0441EA02"/>
    <w:rsid w:val="0460725B"/>
    <w:rsid w:val="046AC11D"/>
    <w:rsid w:val="0480F436"/>
    <w:rsid w:val="0487032D"/>
    <w:rsid w:val="04908986"/>
    <w:rsid w:val="0494BC98"/>
    <w:rsid w:val="049B89F6"/>
    <w:rsid w:val="04A9CF5E"/>
    <w:rsid w:val="04B860FE"/>
    <w:rsid w:val="04C3CE01"/>
    <w:rsid w:val="04CA09E0"/>
    <w:rsid w:val="04DA76C4"/>
    <w:rsid w:val="04E44645"/>
    <w:rsid w:val="04FD37E4"/>
    <w:rsid w:val="050EA358"/>
    <w:rsid w:val="05139B3C"/>
    <w:rsid w:val="052C0144"/>
    <w:rsid w:val="0532F90A"/>
    <w:rsid w:val="0536281F"/>
    <w:rsid w:val="053F4FA2"/>
    <w:rsid w:val="0543B82C"/>
    <w:rsid w:val="05529A23"/>
    <w:rsid w:val="055D1AF0"/>
    <w:rsid w:val="05615561"/>
    <w:rsid w:val="056EE01A"/>
    <w:rsid w:val="05716127"/>
    <w:rsid w:val="0573C8B3"/>
    <w:rsid w:val="059D2745"/>
    <w:rsid w:val="05AB7007"/>
    <w:rsid w:val="05AEE6DF"/>
    <w:rsid w:val="05B2A765"/>
    <w:rsid w:val="05B2CACC"/>
    <w:rsid w:val="05B85426"/>
    <w:rsid w:val="05B9AECC"/>
    <w:rsid w:val="05C8D62A"/>
    <w:rsid w:val="05D264F1"/>
    <w:rsid w:val="05E048FE"/>
    <w:rsid w:val="05E0AE8F"/>
    <w:rsid w:val="05E245A8"/>
    <w:rsid w:val="05E56748"/>
    <w:rsid w:val="0623473F"/>
    <w:rsid w:val="0625B5C6"/>
    <w:rsid w:val="0632A15A"/>
    <w:rsid w:val="067D5C42"/>
    <w:rsid w:val="06819258"/>
    <w:rsid w:val="0694ACA7"/>
    <w:rsid w:val="06AE5E27"/>
    <w:rsid w:val="06B1ABF1"/>
    <w:rsid w:val="06B3D5FC"/>
    <w:rsid w:val="06B47855"/>
    <w:rsid w:val="06BC2CAD"/>
    <w:rsid w:val="06C29C7E"/>
    <w:rsid w:val="06C3596D"/>
    <w:rsid w:val="06D465FA"/>
    <w:rsid w:val="06E4EFD8"/>
    <w:rsid w:val="06EB9455"/>
    <w:rsid w:val="06F0F6FE"/>
    <w:rsid w:val="06F9721E"/>
    <w:rsid w:val="0708C23C"/>
    <w:rsid w:val="0713C810"/>
    <w:rsid w:val="071926AC"/>
    <w:rsid w:val="071C11E5"/>
    <w:rsid w:val="07228A30"/>
    <w:rsid w:val="0723CAE0"/>
    <w:rsid w:val="0723F92C"/>
    <w:rsid w:val="0729024D"/>
    <w:rsid w:val="073A8C55"/>
    <w:rsid w:val="0757F8AE"/>
    <w:rsid w:val="0764B112"/>
    <w:rsid w:val="0773B988"/>
    <w:rsid w:val="0776CA8C"/>
    <w:rsid w:val="07B63CA5"/>
    <w:rsid w:val="07B97D84"/>
    <w:rsid w:val="07BB4D90"/>
    <w:rsid w:val="07C6C89E"/>
    <w:rsid w:val="07C80292"/>
    <w:rsid w:val="07DEC20D"/>
    <w:rsid w:val="07E4374D"/>
    <w:rsid w:val="07EA81BC"/>
    <w:rsid w:val="08054DB6"/>
    <w:rsid w:val="0806E816"/>
    <w:rsid w:val="080747FB"/>
    <w:rsid w:val="080D7238"/>
    <w:rsid w:val="0818B977"/>
    <w:rsid w:val="0835EAE6"/>
    <w:rsid w:val="083B8C99"/>
    <w:rsid w:val="083EAF68"/>
    <w:rsid w:val="0853250F"/>
    <w:rsid w:val="0860EA1B"/>
    <w:rsid w:val="086F14EE"/>
    <w:rsid w:val="087091DE"/>
    <w:rsid w:val="08B0CB1D"/>
    <w:rsid w:val="08B7B26F"/>
    <w:rsid w:val="08CD92FA"/>
    <w:rsid w:val="08E3B12F"/>
    <w:rsid w:val="08E56198"/>
    <w:rsid w:val="08E71C9B"/>
    <w:rsid w:val="08EEC8B8"/>
    <w:rsid w:val="08F26F0A"/>
    <w:rsid w:val="091687FC"/>
    <w:rsid w:val="091B164F"/>
    <w:rsid w:val="092F76EE"/>
    <w:rsid w:val="093A3948"/>
    <w:rsid w:val="094700E5"/>
    <w:rsid w:val="0947E17D"/>
    <w:rsid w:val="094895C0"/>
    <w:rsid w:val="094B67C5"/>
    <w:rsid w:val="0954DE01"/>
    <w:rsid w:val="095CEC62"/>
    <w:rsid w:val="095F088A"/>
    <w:rsid w:val="0965476A"/>
    <w:rsid w:val="0965FF4E"/>
    <w:rsid w:val="0977F97D"/>
    <w:rsid w:val="09879857"/>
    <w:rsid w:val="09950375"/>
    <w:rsid w:val="09AD2A2E"/>
    <w:rsid w:val="09B27A9E"/>
    <w:rsid w:val="09C69A16"/>
    <w:rsid w:val="09E748E2"/>
    <w:rsid w:val="09EA0249"/>
    <w:rsid w:val="09EA99B9"/>
    <w:rsid w:val="09EB97EB"/>
    <w:rsid w:val="09FA683E"/>
    <w:rsid w:val="0A00DA09"/>
    <w:rsid w:val="0A016492"/>
    <w:rsid w:val="0A32D925"/>
    <w:rsid w:val="0A3AA6D7"/>
    <w:rsid w:val="0A4246EC"/>
    <w:rsid w:val="0A4843C7"/>
    <w:rsid w:val="0A5569C4"/>
    <w:rsid w:val="0A592576"/>
    <w:rsid w:val="0A656348"/>
    <w:rsid w:val="0A7B2DE4"/>
    <w:rsid w:val="0AA58DF6"/>
    <w:rsid w:val="0AAAFFC8"/>
    <w:rsid w:val="0AAC9493"/>
    <w:rsid w:val="0AAD7EA5"/>
    <w:rsid w:val="0AB49793"/>
    <w:rsid w:val="0ACCE2A1"/>
    <w:rsid w:val="0ACE4C57"/>
    <w:rsid w:val="0AD06492"/>
    <w:rsid w:val="0AF6BEC5"/>
    <w:rsid w:val="0AF8E3FC"/>
    <w:rsid w:val="0AFCB197"/>
    <w:rsid w:val="0B0D4983"/>
    <w:rsid w:val="0B1ACA85"/>
    <w:rsid w:val="0B1AEC75"/>
    <w:rsid w:val="0B306E65"/>
    <w:rsid w:val="0B3A44A7"/>
    <w:rsid w:val="0B3B736B"/>
    <w:rsid w:val="0B409CD1"/>
    <w:rsid w:val="0B4B6BA7"/>
    <w:rsid w:val="0B5A194A"/>
    <w:rsid w:val="0B681D84"/>
    <w:rsid w:val="0B6CFD32"/>
    <w:rsid w:val="0B718E63"/>
    <w:rsid w:val="0B84C493"/>
    <w:rsid w:val="0B88EEBD"/>
    <w:rsid w:val="0B9E60A4"/>
    <w:rsid w:val="0BA6CCB2"/>
    <w:rsid w:val="0BADEFC0"/>
    <w:rsid w:val="0BB64467"/>
    <w:rsid w:val="0BBCC37C"/>
    <w:rsid w:val="0BCFA179"/>
    <w:rsid w:val="0BE4217B"/>
    <w:rsid w:val="0BE4583C"/>
    <w:rsid w:val="0BF2017B"/>
    <w:rsid w:val="0BF90499"/>
    <w:rsid w:val="0C162088"/>
    <w:rsid w:val="0C1C1298"/>
    <w:rsid w:val="0C2F35C5"/>
    <w:rsid w:val="0C2FFA23"/>
    <w:rsid w:val="0C35DD76"/>
    <w:rsid w:val="0C3F36FF"/>
    <w:rsid w:val="0C4DAE97"/>
    <w:rsid w:val="0C57414E"/>
    <w:rsid w:val="0C5D10B4"/>
    <w:rsid w:val="0C61C16B"/>
    <w:rsid w:val="0C8C78F1"/>
    <w:rsid w:val="0C8E3016"/>
    <w:rsid w:val="0C8FCFF8"/>
    <w:rsid w:val="0C90199D"/>
    <w:rsid w:val="0C932853"/>
    <w:rsid w:val="0C953314"/>
    <w:rsid w:val="0C9741D7"/>
    <w:rsid w:val="0CA0506B"/>
    <w:rsid w:val="0CABDAAB"/>
    <w:rsid w:val="0CD39B0C"/>
    <w:rsid w:val="0CD4895B"/>
    <w:rsid w:val="0CE02488"/>
    <w:rsid w:val="0D059373"/>
    <w:rsid w:val="0D14A2EE"/>
    <w:rsid w:val="0D224B5A"/>
    <w:rsid w:val="0D266E1C"/>
    <w:rsid w:val="0D2D235B"/>
    <w:rsid w:val="0D38B613"/>
    <w:rsid w:val="0D459001"/>
    <w:rsid w:val="0D5872C0"/>
    <w:rsid w:val="0D6461CB"/>
    <w:rsid w:val="0D656188"/>
    <w:rsid w:val="0D69203C"/>
    <w:rsid w:val="0D6D219D"/>
    <w:rsid w:val="0D80CD72"/>
    <w:rsid w:val="0DAB80A0"/>
    <w:rsid w:val="0DB2A882"/>
    <w:rsid w:val="0DBB20EB"/>
    <w:rsid w:val="0DBB2C06"/>
    <w:rsid w:val="0DD413A8"/>
    <w:rsid w:val="0E12DF61"/>
    <w:rsid w:val="0E1AB0A7"/>
    <w:rsid w:val="0E1D42BD"/>
    <w:rsid w:val="0E463772"/>
    <w:rsid w:val="0E48240B"/>
    <w:rsid w:val="0E699551"/>
    <w:rsid w:val="0E6D7338"/>
    <w:rsid w:val="0E79F02C"/>
    <w:rsid w:val="0E7A54AB"/>
    <w:rsid w:val="0E9A73CC"/>
    <w:rsid w:val="0E9B13D9"/>
    <w:rsid w:val="0EA3E7AA"/>
    <w:rsid w:val="0EB32463"/>
    <w:rsid w:val="0EB5C1C2"/>
    <w:rsid w:val="0EDCFF59"/>
    <w:rsid w:val="0EE1AA84"/>
    <w:rsid w:val="0EEAF1FE"/>
    <w:rsid w:val="0F030C00"/>
    <w:rsid w:val="0F11A038"/>
    <w:rsid w:val="0F170C9C"/>
    <w:rsid w:val="0F19DF6B"/>
    <w:rsid w:val="0F1AF476"/>
    <w:rsid w:val="0F1B5C2E"/>
    <w:rsid w:val="0F1F5671"/>
    <w:rsid w:val="0F3A0E7E"/>
    <w:rsid w:val="0F3A5764"/>
    <w:rsid w:val="0F43DA56"/>
    <w:rsid w:val="0F500355"/>
    <w:rsid w:val="0F525874"/>
    <w:rsid w:val="0F596E99"/>
    <w:rsid w:val="0F617641"/>
    <w:rsid w:val="0F6562C9"/>
    <w:rsid w:val="0F733F2D"/>
    <w:rsid w:val="0F7BAA40"/>
    <w:rsid w:val="0F85B302"/>
    <w:rsid w:val="0F87709A"/>
    <w:rsid w:val="0F8DC696"/>
    <w:rsid w:val="0F90A653"/>
    <w:rsid w:val="0F95259F"/>
    <w:rsid w:val="0FB1E277"/>
    <w:rsid w:val="0FBCC873"/>
    <w:rsid w:val="0FC54C76"/>
    <w:rsid w:val="0FCB1150"/>
    <w:rsid w:val="0FCB4187"/>
    <w:rsid w:val="0FCFF00A"/>
    <w:rsid w:val="0FD2EBD0"/>
    <w:rsid w:val="0FDF7E8A"/>
    <w:rsid w:val="0FE00A1F"/>
    <w:rsid w:val="0FE1741D"/>
    <w:rsid w:val="0FE3A671"/>
    <w:rsid w:val="0FE93625"/>
    <w:rsid w:val="0FF5B9C8"/>
    <w:rsid w:val="0FFBE5D6"/>
    <w:rsid w:val="10141D63"/>
    <w:rsid w:val="10212397"/>
    <w:rsid w:val="1021A0CD"/>
    <w:rsid w:val="102818D4"/>
    <w:rsid w:val="1028ABF3"/>
    <w:rsid w:val="102D1E4D"/>
    <w:rsid w:val="1043CFCE"/>
    <w:rsid w:val="1044A3BC"/>
    <w:rsid w:val="104B6927"/>
    <w:rsid w:val="104CFA1A"/>
    <w:rsid w:val="105C8EE3"/>
    <w:rsid w:val="105F4C2E"/>
    <w:rsid w:val="108371FB"/>
    <w:rsid w:val="1084D54B"/>
    <w:rsid w:val="108D4B75"/>
    <w:rsid w:val="109A349B"/>
    <w:rsid w:val="109E2D33"/>
    <w:rsid w:val="10AD54E6"/>
    <w:rsid w:val="10C1FB62"/>
    <w:rsid w:val="10CD0452"/>
    <w:rsid w:val="10D44D77"/>
    <w:rsid w:val="10D5AABB"/>
    <w:rsid w:val="10DA2089"/>
    <w:rsid w:val="10DA5727"/>
    <w:rsid w:val="113B7ACF"/>
    <w:rsid w:val="114E4639"/>
    <w:rsid w:val="1153F98A"/>
    <w:rsid w:val="1159AB4D"/>
    <w:rsid w:val="11653B5F"/>
    <w:rsid w:val="1183CCC8"/>
    <w:rsid w:val="119C2D15"/>
    <w:rsid w:val="11A6EB7B"/>
    <w:rsid w:val="11B857CF"/>
    <w:rsid w:val="11B9E271"/>
    <w:rsid w:val="11CF6791"/>
    <w:rsid w:val="11FB8013"/>
    <w:rsid w:val="1205ED3A"/>
    <w:rsid w:val="12130805"/>
    <w:rsid w:val="122938BC"/>
    <w:rsid w:val="122C432F"/>
    <w:rsid w:val="1233B182"/>
    <w:rsid w:val="123DB1B1"/>
    <w:rsid w:val="1264069A"/>
    <w:rsid w:val="126A321A"/>
    <w:rsid w:val="1270ECD0"/>
    <w:rsid w:val="128236E1"/>
    <w:rsid w:val="12932529"/>
    <w:rsid w:val="129BB7CA"/>
    <w:rsid w:val="12A20DC2"/>
    <w:rsid w:val="12AEEBAE"/>
    <w:rsid w:val="12B50243"/>
    <w:rsid w:val="12BDA19E"/>
    <w:rsid w:val="12C80AEE"/>
    <w:rsid w:val="12CC9725"/>
    <w:rsid w:val="12DEAA47"/>
    <w:rsid w:val="12EE36F1"/>
    <w:rsid w:val="1304A4D4"/>
    <w:rsid w:val="131AB940"/>
    <w:rsid w:val="13426037"/>
    <w:rsid w:val="134AD1A1"/>
    <w:rsid w:val="135BC7D0"/>
    <w:rsid w:val="136E3A56"/>
    <w:rsid w:val="13705E3C"/>
    <w:rsid w:val="13943669"/>
    <w:rsid w:val="13A9B245"/>
    <w:rsid w:val="13B69E68"/>
    <w:rsid w:val="13C1931A"/>
    <w:rsid w:val="13D0C57C"/>
    <w:rsid w:val="13DDE28A"/>
    <w:rsid w:val="13E4EF04"/>
    <w:rsid w:val="13ECD002"/>
    <w:rsid w:val="13ED4AD3"/>
    <w:rsid w:val="13EEF28F"/>
    <w:rsid w:val="13F9AF5B"/>
    <w:rsid w:val="1412ABDE"/>
    <w:rsid w:val="14141888"/>
    <w:rsid w:val="143FE337"/>
    <w:rsid w:val="1449B324"/>
    <w:rsid w:val="1459427A"/>
    <w:rsid w:val="145A9B47"/>
    <w:rsid w:val="145BB55F"/>
    <w:rsid w:val="146195AC"/>
    <w:rsid w:val="14621F59"/>
    <w:rsid w:val="146C4A5B"/>
    <w:rsid w:val="146D9EC7"/>
    <w:rsid w:val="1471B522"/>
    <w:rsid w:val="1478E46A"/>
    <w:rsid w:val="1482D182"/>
    <w:rsid w:val="148B8052"/>
    <w:rsid w:val="14A5F857"/>
    <w:rsid w:val="14B9D0C5"/>
    <w:rsid w:val="14BC5A05"/>
    <w:rsid w:val="14BEAF26"/>
    <w:rsid w:val="14CC3D98"/>
    <w:rsid w:val="14E0AC59"/>
    <w:rsid w:val="14E3E275"/>
    <w:rsid w:val="14EB6D99"/>
    <w:rsid w:val="14F2EC0C"/>
    <w:rsid w:val="14F6A0B8"/>
    <w:rsid w:val="14FC5086"/>
    <w:rsid w:val="1504AB31"/>
    <w:rsid w:val="1525834F"/>
    <w:rsid w:val="152F9E17"/>
    <w:rsid w:val="153AD2EF"/>
    <w:rsid w:val="154315A7"/>
    <w:rsid w:val="154B652E"/>
    <w:rsid w:val="154CA159"/>
    <w:rsid w:val="155106C3"/>
    <w:rsid w:val="15510B2B"/>
    <w:rsid w:val="1558FCC9"/>
    <w:rsid w:val="155A4086"/>
    <w:rsid w:val="155E0ED8"/>
    <w:rsid w:val="1561EEFE"/>
    <w:rsid w:val="15637ED3"/>
    <w:rsid w:val="156E5D50"/>
    <w:rsid w:val="156EC56B"/>
    <w:rsid w:val="158B1C2F"/>
    <w:rsid w:val="1591B58F"/>
    <w:rsid w:val="1599181C"/>
    <w:rsid w:val="15A062CC"/>
    <w:rsid w:val="15A305A6"/>
    <w:rsid w:val="15B51BAB"/>
    <w:rsid w:val="15BAC515"/>
    <w:rsid w:val="15C3B3C3"/>
    <w:rsid w:val="15C4D3E7"/>
    <w:rsid w:val="15CD79E7"/>
    <w:rsid w:val="15CE6CE0"/>
    <w:rsid w:val="15DEE803"/>
    <w:rsid w:val="15E7BD57"/>
    <w:rsid w:val="15F0FD75"/>
    <w:rsid w:val="1603FDA8"/>
    <w:rsid w:val="160E462D"/>
    <w:rsid w:val="16161FE3"/>
    <w:rsid w:val="16216998"/>
    <w:rsid w:val="162C1611"/>
    <w:rsid w:val="162E2BDF"/>
    <w:rsid w:val="165009A7"/>
    <w:rsid w:val="166B58EA"/>
    <w:rsid w:val="166E4155"/>
    <w:rsid w:val="167D2AE8"/>
    <w:rsid w:val="1694FF4D"/>
    <w:rsid w:val="16957C44"/>
    <w:rsid w:val="169666D7"/>
    <w:rsid w:val="169EFA3E"/>
    <w:rsid w:val="169F95E4"/>
    <w:rsid w:val="16A3CE68"/>
    <w:rsid w:val="16A620E4"/>
    <w:rsid w:val="16A7DC30"/>
    <w:rsid w:val="16A9BE8A"/>
    <w:rsid w:val="16AC535A"/>
    <w:rsid w:val="16AD2613"/>
    <w:rsid w:val="16AE437B"/>
    <w:rsid w:val="16B0580F"/>
    <w:rsid w:val="16B07D9A"/>
    <w:rsid w:val="16C8F444"/>
    <w:rsid w:val="16C9EA25"/>
    <w:rsid w:val="16CB985A"/>
    <w:rsid w:val="16CCEA35"/>
    <w:rsid w:val="16E42CEF"/>
    <w:rsid w:val="1701E196"/>
    <w:rsid w:val="170C795A"/>
    <w:rsid w:val="17160C39"/>
    <w:rsid w:val="171FD9F7"/>
    <w:rsid w:val="17281752"/>
    <w:rsid w:val="17365E33"/>
    <w:rsid w:val="174D594C"/>
    <w:rsid w:val="174D5F5D"/>
    <w:rsid w:val="174E8D41"/>
    <w:rsid w:val="1752F940"/>
    <w:rsid w:val="1757F246"/>
    <w:rsid w:val="1759B9B8"/>
    <w:rsid w:val="176AF1E3"/>
    <w:rsid w:val="177B39C9"/>
    <w:rsid w:val="177D2D27"/>
    <w:rsid w:val="17B3475C"/>
    <w:rsid w:val="17B9EBDB"/>
    <w:rsid w:val="17C80EF9"/>
    <w:rsid w:val="17D54763"/>
    <w:rsid w:val="17D71980"/>
    <w:rsid w:val="17DCE4FE"/>
    <w:rsid w:val="17ED1BF2"/>
    <w:rsid w:val="17F2E2B8"/>
    <w:rsid w:val="17FAF1A9"/>
    <w:rsid w:val="18076471"/>
    <w:rsid w:val="180C17FC"/>
    <w:rsid w:val="180C80EF"/>
    <w:rsid w:val="1810CFC1"/>
    <w:rsid w:val="18354655"/>
    <w:rsid w:val="183CF394"/>
    <w:rsid w:val="183E5881"/>
    <w:rsid w:val="185B9314"/>
    <w:rsid w:val="185D114F"/>
    <w:rsid w:val="185D5265"/>
    <w:rsid w:val="18643A6F"/>
    <w:rsid w:val="186D7A86"/>
    <w:rsid w:val="18701CAB"/>
    <w:rsid w:val="1871DC52"/>
    <w:rsid w:val="18721DBB"/>
    <w:rsid w:val="18887A47"/>
    <w:rsid w:val="18A12A03"/>
    <w:rsid w:val="18A6BCAD"/>
    <w:rsid w:val="18B316F8"/>
    <w:rsid w:val="18B5787C"/>
    <w:rsid w:val="18BE7D71"/>
    <w:rsid w:val="18BE8CC1"/>
    <w:rsid w:val="18D2830B"/>
    <w:rsid w:val="18DB5BA1"/>
    <w:rsid w:val="18DC8746"/>
    <w:rsid w:val="18E4B6D3"/>
    <w:rsid w:val="18E70880"/>
    <w:rsid w:val="18EC713D"/>
    <w:rsid w:val="18F02565"/>
    <w:rsid w:val="18FE6BDE"/>
    <w:rsid w:val="190021AE"/>
    <w:rsid w:val="190108AD"/>
    <w:rsid w:val="19126B60"/>
    <w:rsid w:val="191C3F63"/>
    <w:rsid w:val="1920B56F"/>
    <w:rsid w:val="1925E72B"/>
    <w:rsid w:val="192E95F3"/>
    <w:rsid w:val="1933A63A"/>
    <w:rsid w:val="19429219"/>
    <w:rsid w:val="1942DE2A"/>
    <w:rsid w:val="194AA272"/>
    <w:rsid w:val="196F5EF1"/>
    <w:rsid w:val="197092DF"/>
    <w:rsid w:val="19744914"/>
    <w:rsid w:val="1980EAE1"/>
    <w:rsid w:val="198E36C2"/>
    <w:rsid w:val="198F8AF7"/>
    <w:rsid w:val="1993E9E6"/>
    <w:rsid w:val="199EFB2B"/>
    <w:rsid w:val="19A3570E"/>
    <w:rsid w:val="19BE5DFD"/>
    <w:rsid w:val="19C0FC7A"/>
    <w:rsid w:val="19D23771"/>
    <w:rsid w:val="19D919BF"/>
    <w:rsid w:val="19E8F7B9"/>
    <w:rsid w:val="19F93575"/>
    <w:rsid w:val="1A0B78E2"/>
    <w:rsid w:val="1A11564D"/>
    <w:rsid w:val="1A26DF46"/>
    <w:rsid w:val="1A2C0B1F"/>
    <w:rsid w:val="1A3F9510"/>
    <w:rsid w:val="1A55E4CD"/>
    <w:rsid w:val="1A5F6207"/>
    <w:rsid w:val="1A82E5FF"/>
    <w:rsid w:val="1A84D4BF"/>
    <w:rsid w:val="1A86ED9E"/>
    <w:rsid w:val="1A96B18A"/>
    <w:rsid w:val="1A982564"/>
    <w:rsid w:val="1A98B47A"/>
    <w:rsid w:val="1AB2F9AE"/>
    <w:rsid w:val="1ABE7149"/>
    <w:rsid w:val="1AC74B1A"/>
    <w:rsid w:val="1AD12247"/>
    <w:rsid w:val="1AD6B21F"/>
    <w:rsid w:val="1AE8B64E"/>
    <w:rsid w:val="1AEC8362"/>
    <w:rsid w:val="1AF041EB"/>
    <w:rsid w:val="1AF42912"/>
    <w:rsid w:val="1AFE0098"/>
    <w:rsid w:val="1B077AC4"/>
    <w:rsid w:val="1B07DE60"/>
    <w:rsid w:val="1B1381EA"/>
    <w:rsid w:val="1B2CD503"/>
    <w:rsid w:val="1B360834"/>
    <w:rsid w:val="1B396FDC"/>
    <w:rsid w:val="1B3C9185"/>
    <w:rsid w:val="1B44C72C"/>
    <w:rsid w:val="1B6696E2"/>
    <w:rsid w:val="1B8E1F67"/>
    <w:rsid w:val="1B9576FC"/>
    <w:rsid w:val="1B9D2813"/>
    <w:rsid w:val="1BA4BC56"/>
    <w:rsid w:val="1BA77759"/>
    <w:rsid w:val="1BA8AA59"/>
    <w:rsid w:val="1BAF9617"/>
    <w:rsid w:val="1BB00F32"/>
    <w:rsid w:val="1BB65013"/>
    <w:rsid w:val="1BBC3240"/>
    <w:rsid w:val="1BDAA39C"/>
    <w:rsid w:val="1BDB25BA"/>
    <w:rsid w:val="1BE70250"/>
    <w:rsid w:val="1BF30180"/>
    <w:rsid w:val="1BF35048"/>
    <w:rsid w:val="1BFB38E6"/>
    <w:rsid w:val="1C018B08"/>
    <w:rsid w:val="1C0C694D"/>
    <w:rsid w:val="1C3167F3"/>
    <w:rsid w:val="1C332002"/>
    <w:rsid w:val="1C423B05"/>
    <w:rsid w:val="1C4B36F4"/>
    <w:rsid w:val="1C63475F"/>
    <w:rsid w:val="1C64F38E"/>
    <w:rsid w:val="1C6AB2CB"/>
    <w:rsid w:val="1C6CB3C7"/>
    <w:rsid w:val="1C7CE103"/>
    <w:rsid w:val="1C8B873C"/>
    <w:rsid w:val="1C9AD56F"/>
    <w:rsid w:val="1CACDC68"/>
    <w:rsid w:val="1CB1B46D"/>
    <w:rsid w:val="1CBA424C"/>
    <w:rsid w:val="1CBB3E57"/>
    <w:rsid w:val="1CCB5B20"/>
    <w:rsid w:val="1CD4E057"/>
    <w:rsid w:val="1CD93FFD"/>
    <w:rsid w:val="1CE4E7A0"/>
    <w:rsid w:val="1CF1CF9A"/>
    <w:rsid w:val="1CF49D74"/>
    <w:rsid w:val="1D0DF7D5"/>
    <w:rsid w:val="1D2BBF21"/>
    <w:rsid w:val="1D2FB352"/>
    <w:rsid w:val="1D490AA8"/>
    <w:rsid w:val="1D4FCEA4"/>
    <w:rsid w:val="1D5FCD1D"/>
    <w:rsid w:val="1D77878F"/>
    <w:rsid w:val="1D7ED7D5"/>
    <w:rsid w:val="1D8ECE76"/>
    <w:rsid w:val="1D96474C"/>
    <w:rsid w:val="1D9E1DFB"/>
    <w:rsid w:val="1DB73B88"/>
    <w:rsid w:val="1DC84355"/>
    <w:rsid w:val="1DDAC20F"/>
    <w:rsid w:val="1DDF83C4"/>
    <w:rsid w:val="1DE4E85A"/>
    <w:rsid w:val="1DF2542C"/>
    <w:rsid w:val="1DFE6D56"/>
    <w:rsid w:val="1E28F6C6"/>
    <w:rsid w:val="1E33399F"/>
    <w:rsid w:val="1E34A0F4"/>
    <w:rsid w:val="1E35017D"/>
    <w:rsid w:val="1E352A20"/>
    <w:rsid w:val="1E3BDE3B"/>
    <w:rsid w:val="1E54BF3A"/>
    <w:rsid w:val="1E5BCEFD"/>
    <w:rsid w:val="1E636A22"/>
    <w:rsid w:val="1E6BC0DC"/>
    <w:rsid w:val="1E79450B"/>
    <w:rsid w:val="1E948713"/>
    <w:rsid w:val="1E968EAD"/>
    <w:rsid w:val="1E9BAF1A"/>
    <w:rsid w:val="1EA4CA27"/>
    <w:rsid w:val="1ED48FF6"/>
    <w:rsid w:val="1EDAB70E"/>
    <w:rsid w:val="1EE5CD2F"/>
    <w:rsid w:val="1EEA830D"/>
    <w:rsid w:val="1EEC5049"/>
    <w:rsid w:val="1EFC2AD6"/>
    <w:rsid w:val="1EFF1EEB"/>
    <w:rsid w:val="1F0F937A"/>
    <w:rsid w:val="1F17798A"/>
    <w:rsid w:val="1F2A6A3E"/>
    <w:rsid w:val="1F33EE67"/>
    <w:rsid w:val="1F3E9A20"/>
    <w:rsid w:val="1F4415EE"/>
    <w:rsid w:val="1F468E40"/>
    <w:rsid w:val="1F4BFF7A"/>
    <w:rsid w:val="1F58A530"/>
    <w:rsid w:val="1F85DD65"/>
    <w:rsid w:val="1FB5E3B9"/>
    <w:rsid w:val="1FC7CBE9"/>
    <w:rsid w:val="1FCA83EF"/>
    <w:rsid w:val="1FD94FF1"/>
    <w:rsid w:val="1FDC14F3"/>
    <w:rsid w:val="200E119A"/>
    <w:rsid w:val="201E03BC"/>
    <w:rsid w:val="2022E1BD"/>
    <w:rsid w:val="202C42F0"/>
    <w:rsid w:val="202D21A1"/>
    <w:rsid w:val="20312502"/>
    <w:rsid w:val="20369712"/>
    <w:rsid w:val="203C576A"/>
    <w:rsid w:val="203D0E82"/>
    <w:rsid w:val="20423694"/>
    <w:rsid w:val="205B1BD8"/>
    <w:rsid w:val="20635622"/>
    <w:rsid w:val="206F26D2"/>
    <w:rsid w:val="20860835"/>
    <w:rsid w:val="20B3124C"/>
    <w:rsid w:val="20B401D4"/>
    <w:rsid w:val="20B75497"/>
    <w:rsid w:val="20BEE18C"/>
    <w:rsid w:val="20BFAF63"/>
    <w:rsid w:val="20D6A6C6"/>
    <w:rsid w:val="20E04AB5"/>
    <w:rsid w:val="20FA5275"/>
    <w:rsid w:val="20FB2DAF"/>
    <w:rsid w:val="210B8E9B"/>
    <w:rsid w:val="210BDD79"/>
    <w:rsid w:val="2116F51F"/>
    <w:rsid w:val="211A9976"/>
    <w:rsid w:val="211D9752"/>
    <w:rsid w:val="212CE506"/>
    <w:rsid w:val="21427156"/>
    <w:rsid w:val="2146795B"/>
    <w:rsid w:val="216A65B3"/>
    <w:rsid w:val="21711D92"/>
    <w:rsid w:val="21716221"/>
    <w:rsid w:val="217423C4"/>
    <w:rsid w:val="2175EF14"/>
    <w:rsid w:val="2176BE29"/>
    <w:rsid w:val="2176F09E"/>
    <w:rsid w:val="217B7D5D"/>
    <w:rsid w:val="217D60D8"/>
    <w:rsid w:val="219A0203"/>
    <w:rsid w:val="21A7E250"/>
    <w:rsid w:val="21ACD5A7"/>
    <w:rsid w:val="21BE1974"/>
    <w:rsid w:val="21D145D6"/>
    <w:rsid w:val="21D576AC"/>
    <w:rsid w:val="21E9D41C"/>
    <w:rsid w:val="21F6B639"/>
    <w:rsid w:val="21FE6E7B"/>
    <w:rsid w:val="220999E5"/>
    <w:rsid w:val="2212B261"/>
    <w:rsid w:val="2239D2D4"/>
    <w:rsid w:val="223F188B"/>
    <w:rsid w:val="2255D152"/>
    <w:rsid w:val="226B5011"/>
    <w:rsid w:val="2279C392"/>
    <w:rsid w:val="228F94CB"/>
    <w:rsid w:val="22A34013"/>
    <w:rsid w:val="22A5692C"/>
    <w:rsid w:val="22AA308D"/>
    <w:rsid w:val="22B6A78E"/>
    <w:rsid w:val="22C41CD8"/>
    <w:rsid w:val="22C8AB45"/>
    <w:rsid w:val="22FB7FCF"/>
    <w:rsid w:val="22FC7D13"/>
    <w:rsid w:val="231846C1"/>
    <w:rsid w:val="231CCA97"/>
    <w:rsid w:val="231F5D38"/>
    <w:rsid w:val="2337A920"/>
    <w:rsid w:val="233C41AF"/>
    <w:rsid w:val="234788BB"/>
    <w:rsid w:val="2351FBC7"/>
    <w:rsid w:val="236292F2"/>
    <w:rsid w:val="237A6967"/>
    <w:rsid w:val="237BDA8A"/>
    <w:rsid w:val="237CE923"/>
    <w:rsid w:val="237D19AB"/>
    <w:rsid w:val="23828A05"/>
    <w:rsid w:val="238D9057"/>
    <w:rsid w:val="23AD2361"/>
    <w:rsid w:val="23AD6BDE"/>
    <w:rsid w:val="23B19DBC"/>
    <w:rsid w:val="23CC929A"/>
    <w:rsid w:val="23CF5B09"/>
    <w:rsid w:val="23CFE9E8"/>
    <w:rsid w:val="23D3A929"/>
    <w:rsid w:val="23D48A5B"/>
    <w:rsid w:val="23DF17D0"/>
    <w:rsid w:val="23E851E4"/>
    <w:rsid w:val="23E88299"/>
    <w:rsid w:val="23EF23E2"/>
    <w:rsid w:val="23F056CA"/>
    <w:rsid w:val="240368FB"/>
    <w:rsid w:val="24061609"/>
    <w:rsid w:val="24134260"/>
    <w:rsid w:val="24341575"/>
    <w:rsid w:val="243951A7"/>
    <w:rsid w:val="243B2C63"/>
    <w:rsid w:val="243C01F9"/>
    <w:rsid w:val="2440DDCC"/>
    <w:rsid w:val="24726952"/>
    <w:rsid w:val="24998F52"/>
    <w:rsid w:val="249A6038"/>
    <w:rsid w:val="249C9838"/>
    <w:rsid w:val="24A122C4"/>
    <w:rsid w:val="24B41A17"/>
    <w:rsid w:val="24BA38C8"/>
    <w:rsid w:val="24E1D802"/>
    <w:rsid w:val="24E56D91"/>
    <w:rsid w:val="24EA586C"/>
    <w:rsid w:val="24FADCBD"/>
    <w:rsid w:val="250716B1"/>
    <w:rsid w:val="25242001"/>
    <w:rsid w:val="252C3F69"/>
    <w:rsid w:val="253AB8A2"/>
    <w:rsid w:val="2547C0F4"/>
    <w:rsid w:val="2551F714"/>
    <w:rsid w:val="255B768C"/>
    <w:rsid w:val="255C57F9"/>
    <w:rsid w:val="2565657D"/>
    <w:rsid w:val="257355ED"/>
    <w:rsid w:val="25979B94"/>
    <w:rsid w:val="25985B1E"/>
    <w:rsid w:val="25A3AD7C"/>
    <w:rsid w:val="25ADAF24"/>
    <w:rsid w:val="25BD6206"/>
    <w:rsid w:val="25C3BC83"/>
    <w:rsid w:val="25C72A0F"/>
    <w:rsid w:val="25CD6ACD"/>
    <w:rsid w:val="25D2F212"/>
    <w:rsid w:val="25D7E647"/>
    <w:rsid w:val="25E9484E"/>
    <w:rsid w:val="25F3C8E9"/>
    <w:rsid w:val="26040B1C"/>
    <w:rsid w:val="26056F46"/>
    <w:rsid w:val="26074A10"/>
    <w:rsid w:val="260BEB86"/>
    <w:rsid w:val="261F8F81"/>
    <w:rsid w:val="26342447"/>
    <w:rsid w:val="2635706E"/>
    <w:rsid w:val="26431352"/>
    <w:rsid w:val="264D5EB9"/>
    <w:rsid w:val="26551AA6"/>
    <w:rsid w:val="266F5792"/>
    <w:rsid w:val="26757E73"/>
    <w:rsid w:val="26AC81A0"/>
    <w:rsid w:val="26BB6874"/>
    <w:rsid w:val="26C845AF"/>
    <w:rsid w:val="26CAC56E"/>
    <w:rsid w:val="26CAD63D"/>
    <w:rsid w:val="26D5CE9B"/>
    <w:rsid w:val="26E97E28"/>
    <w:rsid w:val="26FD22A4"/>
    <w:rsid w:val="26FED961"/>
    <w:rsid w:val="270B8867"/>
    <w:rsid w:val="271CC086"/>
    <w:rsid w:val="27210CD1"/>
    <w:rsid w:val="274387F6"/>
    <w:rsid w:val="27493FF4"/>
    <w:rsid w:val="2751F1AB"/>
    <w:rsid w:val="275E3808"/>
    <w:rsid w:val="276477E2"/>
    <w:rsid w:val="2767C685"/>
    <w:rsid w:val="2768DBC4"/>
    <w:rsid w:val="276D77B4"/>
    <w:rsid w:val="2775A9DF"/>
    <w:rsid w:val="277A9660"/>
    <w:rsid w:val="27850D5D"/>
    <w:rsid w:val="27925F0B"/>
    <w:rsid w:val="27A0A6D4"/>
    <w:rsid w:val="27B7AD6C"/>
    <w:rsid w:val="27C3349D"/>
    <w:rsid w:val="27C3BEAE"/>
    <w:rsid w:val="27C5089D"/>
    <w:rsid w:val="27DDBEE3"/>
    <w:rsid w:val="27E4835F"/>
    <w:rsid w:val="27E5C538"/>
    <w:rsid w:val="27E95653"/>
    <w:rsid w:val="2807AA02"/>
    <w:rsid w:val="280A6748"/>
    <w:rsid w:val="280EDD06"/>
    <w:rsid w:val="281211C3"/>
    <w:rsid w:val="28186D39"/>
    <w:rsid w:val="28235C4C"/>
    <w:rsid w:val="28269EEE"/>
    <w:rsid w:val="282F680E"/>
    <w:rsid w:val="283AA2E5"/>
    <w:rsid w:val="2845131A"/>
    <w:rsid w:val="285D5DB4"/>
    <w:rsid w:val="28682C6E"/>
    <w:rsid w:val="286C8900"/>
    <w:rsid w:val="287F7971"/>
    <w:rsid w:val="289700B5"/>
    <w:rsid w:val="28A92FED"/>
    <w:rsid w:val="28A9E9AA"/>
    <w:rsid w:val="28AECCD9"/>
    <w:rsid w:val="28B60DE8"/>
    <w:rsid w:val="28BA4CA3"/>
    <w:rsid w:val="28C1E3AF"/>
    <w:rsid w:val="28C6BD03"/>
    <w:rsid w:val="28DF5A92"/>
    <w:rsid w:val="28EA316D"/>
    <w:rsid w:val="28F6BEB1"/>
    <w:rsid w:val="2902C2D1"/>
    <w:rsid w:val="2906D2ED"/>
    <w:rsid w:val="291F45F6"/>
    <w:rsid w:val="2923A389"/>
    <w:rsid w:val="293AA3C9"/>
    <w:rsid w:val="293DD231"/>
    <w:rsid w:val="2969EDF4"/>
    <w:rsid w:val="29780337"/>
    <w:rsid w:val="2989DC80"/>
    <w:rsid w:val="29961B35"/>
    <w:rsid w:val="29A75372"/>
    <w:rsid w:val="29CD5CD4"/>
    <w:rsid w:val="29CF69C7"/>
    <w:rsid w:val="29E512BE"/>
    <w:rsid w:val="29F318E3"/>
    <w:rsid w:val="29F42EC3"/>
    <w:rsid w:val="29F858C1"/>
    <w:rsid w:val="2A0E2128"/>
    <w:rsid w:val="2A19AF66"/>
    <w:rsid w:val="2A1C80F6"/>
    <w:rsid w:val="2A24072E"/>
    <w:rsid w:val="2A56DEF4"/>
    <w:rsid w:val="2A73E428"/>
    <w:rsid w:val="2A88CD34"/>
    <w:rsid w:val="2AAA4E4A"/>
    <w:rsid w:val="2ABAAFC3"/>
    <w:rsid w:val="2ABF70D2"/>
    <w:rsid w:val="2AC83AF3"/>
    <w:rsid w:val="2AD563A5"/>
    <w:rsid w:val="2AD9D96E"/>
    <w:rsid w:val="2AE0E6AD"/>
    <w:rsid w:val="2AF42BA4"/>
    <w:rsid w:val="2AF95820"/>
    <w:rsid w:val="2AFB756B"/>
    <w:rsid w:val="2B138493"/>
    <w:rsid w:val="2B164AA3"/>
    <w:rsid w:val="2B16B943"/>
    <w:rsid w:val="2B17E1A9"/>
    <w:rsid w:val="2B3299B4"/>
    <w:rsid w:val="2B39867D"/>
    <w:rsid w:val="2B3D009B"/>
    <w:rsid w:val="2B3E0AE2"/>
    <w:rsid w:val="2B47D6F9"/>
    <w:rsid w:val="2B53AF78"/>
    <w:rsid w:val="2B687777"/>
    <w:rsid w:val="2B6B8DD2"/>
    <w:rsid w:val="2B8E54EC"/>
    <w:rsid w:val="2B916A35"/>
    <w:rsid w:val="2B939F91"/>
    <w:rsid w:val="2B9D3E06"/>
    <w:rsid w:val="2BA999FD"/>
    <w:rsid w:val="2BAB3648"/>
    <w:rsid w:val="2BAD5AC2"/>
    <w:rsid w:val="2BBC8567"/>
    <w:rsid w:val="2BC0ECF7"/>
    <w:rsid w:val="2BCD7C46"/>
    <w:rsid w:val="2BD2AB55"/>
    <w:rsid w:val="2BEF63F7"/>
    <w:rsid w:val="2BF4AC19"/>
    <w:rsid w:val="2C106746"/>
    <w:rsid w:val="2C126451"/>
    <w:rsid w:val="2C12B335"/>
    <w:rsid w:val="2C1C3FE0"/>
    <w:rsid w:val="2C2613DF"/>
    <w:rsid w:val="2C3B7BC1"/>
    <w:rsid w:val="2C45192E"/>
    <w:rsid w:val="2C4BDBF1"/>
    <w:rsid w:val="2C4DC609"/>
    <w:rsid w:val="2C578698"/>
    <w:rsid w:val="2C648528"/>
    <w:rsid w:val="2C7B7A40"/>
    <w:rsid w:val="2C8966F3"/>
    <w:rsid w:val="2C8F3CCB"/>
    <w:rsid w:val="2C99A629"/>
    <w:rsid w:val="2CA30D75"/>
    <w:rsid w:val="2CB08218"/>
    <w:rsid w:val="2CB70FA7"/>
    <w:rsid w:val="2CBACB07"/>
    <w:rsid w:val="2CBDA7F5"/>
    <w:rsid w:val="2CBF81AD"/>
    <w:rsid w:val="2CD533DA"/>
    <w:rsid w:val="2CDE300D"/>
    <w:rsid w:val="2CE1F0B3"/>
    <w:rsid w:val="2CE7B85E"/>
    <w:rsid w:val="2CEBC993"/>
    <w:rsid w:val="2D039CAD"/>
    <w:rsid w:val="2D07DA7A"/>
    <w:rsid w:val="2D0B3DD3"/>
    <w:rsid w:val="2D1497C8"/>
    <w:rsid w:val="2D1F3305"/>
    <w:rsid w:val="2D2197AE"/>
    <w:rsid w:val="2D298ECE"/>
    <w:rsid w:val="2D2C7854"/>
    <w:rsid w:val="2D348B60"/>
    <w:rsid w:val="2D3E2565"/>
    <w:rsid w:val="2D4408F8"/>
    <w:rsid w:val="2D44D9DB"/>
    <w:rsid w:val="2D492239"/>
    <w:rsid w:val="2D4B6D0F"/>
    <w:rsid w:val="2D52B39C"/>
    <w:rsid w:val="2D59DB5F"/>
    <w:rsid w:val="2D5A03FC"/>
    <w:rsid w:val="2D62426C"/>
    <w:rsid w:val="2D72F699"/>
    <w:rsid w:val="2D83AF1B"/>
    <w:rsid w:val="2D8E98D3"/>
    <w:rsid w:val="2D909028"/>
    <w:rsid w:val="2D915821"/>
    <w:rsid w:val="2D95C68A"/>
    <w:rsid w:val="2D96EAAB"/>
    <w:rsid w:val="2DA325DA"/>
    <w:rsid w:val="2DA40714"/>
    <w:rsid w:val="2DA7CDA2"/>
    <w:rsid w:val="2DB0EFE9"/>
    <w:rsid w:val="2DB6353D"/>
    <w:rsid w:val="2DB7448E"/>
    <w:rsid w:val="2DE01871"/>
    <w:rsid w:val="2DEC1DBB"/>
    <w:rsid w:val="2E130713"/>
    <w:rsid w:val="2E202E30"/>
    <w:rsid w:val="2E238E5F"/>
    <w:rsid w:val="2E2A151D"/>
    <w:rsid w:val="2E33B7F8"/>
    <w:rsid w:val="2E476EFB"/>
    <w:rsid w:val="2E48DA01"/>
    <w:rsid w:val="2E665D5A"/>
    <w:rsid w:val="2E7CC298"/>
    <w:rsid w:val="2E910D3C"/>
    <w:rsid w:val="2E95869B"/>
    <w:rsid w:val="2E968040"/>
    <w:rsid w:val="2EAE073D"/>
    <w:rsid w:val="2EAFA503"/>
    <w:rsid w:val="2EB9BC82"/>
    <w:rsid w:val="2ECF4D63"/>
    <w:rsid w:val="2EE1D1F6"/>
    <w:rsid w:val="2EEB12C4"/>
    <w:rsid w:val="2EF1153A"/>
    <w:rsid w:val="2EF52863"/>
    <w:rsid w:val="2F1FA4BC"/>
    <w:rsid w:val="2F1FC3DB"/>
    <w:rsid w:val="2F275BC8"/>
    <w:rsid w:val="2F47C119"/>
    <w:rsid w:val="2F51DA9A"/>
    <w:rsid w:val="2F562309"/>
    <w:rsid w:val="2F581F10"/>
    <w:rsid w:val="2F6505F2"/>
    <w:rsid w:val="2F6EAE16"/>
    <w:rsid w:val="2F76C6F8"/>
    <w:rsid w:val="2F784EB8"/>
    <w:rsid w:val="2F84ECD5"/>
    <w:rsid w:val="2F930FA8"/>
    <w:rsid w:val="2F967DF8"/>
    <w:rsid w:val="2FA48362"/>
    <w:rsid w:val="2FB08E72"/>
    <w:rsid w:val="2FB41528"/>
    <w:rsid w:val="2FC995CB"/>
    <w:rsid w:val="2FD922BA"/>
    <w:rsid w:val="2FDB6C5F"/>
    <w:rsid w:val="2FE8461D"/>
    <w:rsid w:val="2FF6257D"/>
    <w:rsid w:val="3002C3FA"/>
    <w:rsid w:val="3009933D"/>
    <w:rsid w:val="3012C0C1"/>
    <w:rsid w:val="3017258D"/>
    <w:rsid w:val="301AC108"/>
    <w:rsid w:val="302225CE"/>
    <w:rsid w:val="303B09AF"/>
    <w:rsid w:val="3056646C"/>
    <w:rsid w:val="3057620C"/>
    <w:rsid w:val="305B512B"/>
    <w:rsid w:val="30638800"/>
    <w:rsid w:val="306E0E62"/>
    <w:rsid w:val="3078FF45"/>
    <w:rsid w:val="307BEA68"/>
    <w:rsid w:val="307C5F29"/>
    <w:rsid w:val="307C6166"/>
    <w:rsid w:val="308D3AA2"/>
    <w:rsid w:val="3098EFD9"/>
    <w:rsid w:val="309B4CC5"/>
    <w:rsid w:val="30CD84BA"/>
    <w:rsid w:val="30CF1C60"/>
    <w:rsid w:val="30D1D7F9"/>
    <w:rsid w:val="310CAA85"/>
    <w:rsid w:val="31125A5E"/>
    <w:rsid w:val="31218ECF"/>
    <w:rsid w:val="3125D4C0"/>
    <w:rsid w:val="312FD9E6"/>
    <w:rsid w:val="3131427B"/>
    <w:rsid w:val="3148BAB1"/>
    <w:rsid w:val="31582E77"/>
    <w:rsid w:val="3160153E"/>
    <w:rsid w:val="316D34E5"/>
    <w:rsid w:val="3176B3E4"/>
    <w:rsid w:val="3182AA5A"/>
    <w:rsid w:val="318C4D5C"/>
    <w:rsid w:val="31901338"/>
    <w:rsid w:val="3190D4EB"/>
    <w:rsid w:val="31A864AC"/>
    <w:rsid w:val="31AE6E54"/>
    <w:rsid w:val="31B528EC"/>
    <w:rsid w:val="31BDCE79"/>
    <w:rsid w:val="31EEED8C"/>
    <w:rsid w:val="31F257BE"/>
    <w:rsid w:val="31FFB028"/>
    <w:rsid w:val="3204F215"/>
    <w:rsid w:val="32095503"/>
    <w:rsid w:val="32101656"/>
    <w:rsid w:val="322BEA49"/>
    <w:rsid w:val="32326494"/>
    <w:rsid w:val="323BD546"/>
    <w:rsid w:val="323F7BAD"/>
    <w:rsid w:val="32565C3F"/>
    <w:rsid w:val="325F0564"/>
    <w:rsid w:val="326627B5"/>
    <w:rsid w:val="3268997A"/>
    <w:rsid w:val="3270DBDA"/>
    <w:rsid w:val="328A97B7"/>
    <w:rsid w:val="32957C71"/>
    <w:rsid w:val="32A5E0B1"/>
    <w:rsid w:val="32B03AB1"/>
    <w:rsid w:val="32B64376"/>
    <w:rsid w:val="32BAA472"/>
    <w:rsid w:val="32BCD80B"/>
    <w:rsid w:val="32E4A4AC"/>
    <w:rsid w:val="32E7BB9D"/>
    <w:rsid w:val="32FD7490"/>
    <w:rsid w:val="3308ECD5"/>
    <w:rsid w:val="33288BAB"/>
    <w:rsid w:val="333BEA18"/>
    <w:rsid w:val="3341DB65"/>
    <w:rsid w:val="33432402"/>
    <w:rsid w:val="3346D028"/>
    <w:rsid w:val="335C20BB"/>
    <w:rsid w:val="335F03B6"/>
    <w:rsid w:val="336AA728"/>
    <w:rsid w:val="3370029E"/>
    <w:rsid w:val="3379FB46"/>
    <w:rsid w:val="338A1B9E"/>
    <w:rsid w:val="338BAF02"/>
    <w:rsid w:val="3396CA8B"/>
    <w:rsid w:val="33998110"/>
    <w:rsid w:val="339D1028"/>
    <w:rsid w:val="33A80650"/>
    <w:rsid w:val="33AB5B3E"/>
    <w:rsid w:val="33B12040"/>
    <w:rsid w:val="33C3B10A"/>
    <w:rsid w:val="33C3D377"/>
    <w:rsid w:val="33CFB74E"/>
    <w:rsid w:val="33D59CAB"/>
    <w:rsid w:val="33D69911"/>
    <w:rsid w:val="33E5FDCE"/>
    <w:rsid w:val="33FF0C0E"/>
    <w:rsid w:val="3407E678"/>
    <w:rsid w:val="34526B37"/>
    <w:rsid w:val="345A127B"/>
    <w:rsid w:val="34687BB3"/>
    <w:rsid w:val="3468B72A"/>
    <w:rsid w:val="3478FC58"/>
    <w:rsid w:val="347F2BF4"/>
    <w:rsid w:val="3483E7D9"/>
    <w:rsid w:val="3488AAF0"/>
    <w:rsid w:val="3489E5C1"/>
    <w:rsid w:val="348A3F3D"/>
    <w:rsid w:val="348B4AA0"/>
    <w:rsid w:val="3497E304"/>
    <w:rsid w:val="34B44137"/>
    <w:rsid w:val="34C9B8C3"/>
    <w:rsid w:val="34D38E3B"/>
    <w:rsid w:val="34DA1110"/>
    <w:rsid w:val="34F6BA75"/>
    <w:rsid w:val="34FDCAFB"/>
    <w:rsid w:val="34FFEE2E"/>
    <w:rsid w:val="35047004"/>
    <w:rsid w:val="3510FF7F"/>
    <w:rsid w:val="351477B9"/>
    <w:rsid w:val="351E0194"/>
    <w:rsid w:val="3520BB4B"/>
    <w:rsid w:val="3535AF11"/>
    <w:rsid w:val="3538FB81"/>
    <w:rsid w:val="35501F71"/>
    <w:rsid w:val="3552F813"/>
    <w:rsid w:val="3564D26E"/>
    <w:rsid w:val="3589EA08"/>
    <w:rsid w:val="358CF381"/>
    <w:rsid w:val="35952D27"/>
    <w:rsid w:val="359FA8EA"/>
    <w:rsid w:val="35B24D6F"/>
    <w:rsid w:val="35C32782"/>
    <w:rsid w:val="35C78AAC"/>
    <w:rsid w:val="35C940AF"/>
    <w:rsid w:val="35C97FE7"/>
    <w:rsid w:val="35CF8350"/>
    <w:rsid w:val="35E2995D"/>
    <w:rsid w:val="35F43D09"/>
    <w:rsid w:val="35F4C2F1"/>
    <w:rsid w:val="3601B4FC"/>
    <w:rsid w:val="360702FD"/>
    <w:rsid w:val="360B622C"/>
    <w:rsid w:val="36331388"/>
    <w:rsid w:val="3635F927"/>
    <w:rsid w:val="36474A8E"/>
    <w:rsid w:val="364FB077"/>
    <w:rsid w:val="3656A8D8"/>
    <w:rsid w:val="366B141B"/>
    <w:rsid w:val="36797026"/>
    <w:rsid w:val="368DF282"/>
    <w:rsid w:val="3690B0F4"/>
    <w:rsid w:val="3699D13D"/>
    <w:rsid w:val="369A1489"/>
    <w:rsid w:val="36A1D34F"/>
    <w:rsid w:val="36A96A8E"/>
    <w:rsid w:val="36AB157E"/>
    <w:rsid w:val="36C11A7B"/>
    <w:rsid w:val="36CA0034"/>
    <w:rsid w:val="36E5C159"/>
    <w:rsid w:val="36EDE697"/>
    <w:rsid w:val="36F008CC"/>
    <w:rsid w:val="36F35622"/>
    <w:rsid w:val="3701BD99"/>
    <w:rsid w:val="3708A606"/>
    <w:rsid w:val="370ED535"/>
    <w:rsid w:val="37154B14"/>
    <w:rsid w:val="372FD2D3"/>
    <w:rsid w:val="3749FC3E"/>
    <w:rsid w:val="374CD9FC"/>
    <w:rsid w:val="3756367D"/>
    <w:rsid w:val="37576826"/>
    <w:rsid w:val="375A1F35"/>
    <w:rsid w:val="375A8CDE"/>
    <w:rsid w:val="375BAE15"/>
    <w:rsid w:val="3768C2F1"/>
    <w:rsid w:val="376FDDF5"/>
    <w:rsid w:val="37794079"/>
    <w:rsid w:val="377C64B5"/>
    <w:rsid w:val="377CC0EA"/>
    <w:rsid w:val="3780D3FB"/>
    <w:rsid w:val="37872590"/>
    <w:rsid w:val="37893685"/>
    <w:rsid w:val="378A409E"/>
    <w:rsid w:val="378C6828"/>
    <w:rsid w:val="37A1F248"/>
    <w:rsid w:val="37ACCB41"/>
    <w:rsid w:val="37BEB060"/>
    <w:rsid w:val="37C0D3AC"/>
    <w:rsid w:val="37C18E4A"/>
    <w:rsid w:val="37CE0184"/>
    <w:rsid w:val="37EEDD64"/>
    <w:rsid w:val="3804C3F6"/>
    <w:rsid w:val="381B27F8"/>
    <w:rsid w:val="381E56D4"/>
    <w:rsid w:val="381EFF50"/>
    <w:rsid w:val="3824A6D7"/>
    <w:rsid w:val="3839F93C"/>
    <w:rsid w:val="383AF0EC"/>
    <w:rsid w:val="38446C4D"/>
    <w:rsid w:val="3846373C"/>
    <w:rsid w:val="385070C2"/>
    <w:rsid w:val="3859E6A9"/>
    <w:rsid w:val="38622B4E"/>
    <w:rsid w:val="3863E905"/>
    <w:rsid w:val="386870B1"/>
    <w:rsid w:val="38927A9D"/>
    <w:rsid w:val="38929515"/>
    <w:rsid w:val="38952272"/>
    <w:rsid w:val="38999D48"/>
    <w:rsid w:val="389F56B4"/>
    <w:rsid w:val="38A0A066"/>
    <w:rsid w:val="38ACCA9B"/>
    <w:rsid w:val="38B12ABB"/>
    <w:rsid w:val="38B92B72"/>
    <w:rsid w:val="38BA21AB"/>
    <w:rsid w:val="38BE3EFC"/>
    <w:rsid w:val="38CCB94D"/>
    <w:rsid w:val="38D00A12"/>
    <w:rsid w:val="38DF1E23"/>
    <w:rsid w:val="38E2DD65"/>
    <w:rsid w:val="38FB22AF"/>
    <w:rsid w:val="39104011"/>
    <w:rsid w:val="391B6F94"/>
    <w:rsid w:val="39241816"/>
    <w:rsid w:val="3925B473"/>
    <w:rsid w:val="3927A1B3"/>
    <w:rsid w:val="39293567"/>
    <w:rsid w:val="392FB8FA"/>
    <w:rsid w:val="3955106F"/>
    <w:rsid w:val="395AB662"/>
    <w:rsid w:val="395DE0F7"/>
    <w:rsid w:val="397D60C3"/>
    <w:rsid w:val="3986DF90"/>
    <w:rsid w:val="3995FDE9"/>
    <w:rsid w:val="39A9E0A5"/>
    <w:rsid w:val="39B18F34"/>
    <w:rsid w:val="39BFDC12"/>
    <w:rsid w:val="39CCF613"/>
    <w:rsid w:val="39D6FEAF"/>
    <w:rsid w:val="39D7979A"/>
    <w:rsid w:val="39E7F26A"/>
    <w:rsid w:val="39F54DE0"/>
    <w:rsid w:val="3A0210F2"/>
    <w:rsid w:val="3A04EC82"/>
    <w:rsid w:val="3A05502A"/>
    <w:rsid w:val="3A0C0CB1"/>
    <w:rsid w:val="3A1C05E0"/>
    <w:rsid w:val="3A300FB5"/>
    <w:rsid w:val="3A39F6B0"/>
    <w:rsid w:val="3A55EBF6"/>
    <w:rsid w:val="3A65D4AF"/>
    <w:rsid w:val="3A7A833D"/>
    <w:rsid w:val="3A7FFE8C"/>
    <w:rsid w:val="3A8DACFC"/>
    <w:rsid w:val="3A96E8E0"/>
    <w:rsid w:val="3A992586"/>
    <w:rsid w:val="3A9F949F"/>
    <w:rsid w:val="3AA1F2D4"/>
    <w:rsid w:val="3AA3AFD8"/>
    <w:rsid w:val="3AB96FDC"/>
    <w:rsid w:val="3AC06133"/>
    <w:rsid w:val="3AC8C76C"/>
    <w:rsid w:val="3AC94705"/>
    <w:rsid w:val="3ADD78CB"/>
    <w:rsid w:val="3ADEF0AC"/>
    <w:rsid w:val="3AE47839"/>
    <w:rsid w:val="3AE72292"/>
    <w:rsid w:val="3AEB8C9F"/>
    <w:rsid w:val="3AEC80FC"/>
    <w:rsid w:val="3B2AF1D7"/>
    <w:rsid w:val="3B2EFFA7"/>
    <w:rsid w:val="3B4942C8"/>
    <w:rsid w:val="3B4CDC90"/>
    <w:rsid w:val="3B5A64DC"/>
    <w:rsid w:val="3B5ACC21"/>
    <w:rsid w:val="3B5B69EC"/>
    <w:rsid w:val="3B647B61"/>
    <w:rsid w:val="3B692E7C"/>
    <w:rsid w:val="3B77F8B2"/>
    <w:rsid w:val="3B782DCA"/>
    <w:rsid w:val="3B7C5D9D"/>
    <w:rsid w:val="3B8C0E0C"/>
    <w:rsid w:val="3B962557"/>
    <w:rsid w:val="3B96B691"/>
    <w:rsid w:val="3B9CCB0A"/>
    <w:rsid w:val="3BACAB4D"/>
    <w:rsid w:val="3BB9E40E"/>
    <w:rsid w:val="3BDAA9C7"/>
    <w:rsid w:val="3BDBA007"/>
    <w:rsid w:val="3BF084EE"/>
    <w:rsid w:val="3BFDAA2A"/>
    <w:rsid w:val="3C021931"/>
    <w:rsid w:val="3C056DC3"/>
    <w:rsid w:val="3C096EF7"/>
    <w:rsid w:val="3C0A06CF"/>
    <w:rsid w:val="3C1A2757"/>
    <w:rsid w:val="3C2EF07D"/>
    <w:rsid w:val="3C33CCC4"/>
    <w:rsid w:val="3C57A6CF"/>
    <w:rsid w:val="3C5920AD"/>
    <w:rsid w:val="3C598754"/>
    <w:rsid w:val="3C5C5611"/>
    <w:rsid w:val="3C704D3A"/>
    <w:rsid w:val="3C717260"/>
    <w:rsid w:val="3C747DF9"/>
    <w:rsid w:val="3C9FFA42"/>
    <w:rsid w:val="3CC67DCB"/>
    <w:rsid w:val="3CCECB29"/>
    <w:rsid w:val="3CD0BC70"/>
    <w:rsid w:val="3CD3A27F"/>
    <w:rsid w:val="3CE003D6"/>
    <w:rsid w:val="3CEDCC7B"/>
    <w:rsid w:val="3CF07C00"/>
    <w:rsid w:val="3CF864C5"/>
    <w:rsid w:val="3CF97B7D"/>
    <w:rsid w:val="3D022CEF"/>
    <w:rsid w:val="3D06EF1E"/>
    <w:rsid w:val="3D0ECEF3"/>
    <w:rsid w:val="3D0F8965"/>
    <w:rsid w:val="3D21E79B"/>
    <w:rsid w:val="3D28CE6A"/>
    <w:rsid w:val="3D32116B"/>
    <w:rsid w:val="3D337D90"/>
    <w:rsid w:val="3D384BAF"/>
    <w:rsid w:val="3D3CE6C9"/>
    <w:rsid w:val="3D57162B"/>
    <w:rsid w:val="3D5B8F9D"/>
    <w:rsid w:val="3D6809EE"/>
    <w:rsid w:val="3D8E5A6F"/>
    <w:rsid w:val="3D913252"/>
    <w:rsid w:val="3D9EA054"/>
    <w:rsid w:val="3DA76C3E"/>
    <w:rsid w:val="3DAE569B"/>
    <w:rsid w:val="3DAF5817"/>
    <w:rsid w:val="3DB929FB"/>
    <w:rsid w:val="3DBBFE2A"/>
    <w:rsid w:val="3DC6DF0E"/>
    <w:rsid w:val="3DDB84F4"/>
    <w:rsid w:val="3DE1F90D"/>
    <w:rsid w:val="3DFDEA0B"/>
    <w:rsid w:val="3E031108"/>
    <w:rsid w:val="3E0A35F9"/>
    <w:rsid w:val="3E13893D"/>
    <w:rsid w:val="3E263FCB"/>
    <w:rsid w:val="3E2659CB"/>
    <w:rsid w:val="3E2817D4"/>
    <w:rsid w:val="3E294143"/>
    <w:rsid w:val="3E2C81B8"/>
    <w:rsid w:val="3E361190"/>
    <w:rsid w:val="3E4911D0"/>
    <w:rsid w:val="3E523399"/>
    <w:rsid w:val="3E59F2D6"/>
    <w:rsid w:val="3E691582"/>
    <w:rsid w:val="3E9E49E7"/>
    <w:rsid w:val="3EA93581"/>
    <w:rsid w:val="3EADDE1C"/>
    <w:rsid w:val="3EAEE0C5"/>
    <w:rsid w:val="3EB9F99C"/>
    <w:rsid w:val="3EC20422"/>
    <w:rsid w:val="3ED3D99E"/>
    <w:rsid w:val="3EE857E7"/>
    <w:rsid w:val="3EEE3E67"/>
    <w:rsid w:val="3EF659A0"/>
    <w:rsid w:val="3F06F174"/>
    <w:rsid w:val="3F27DBBA"/>
    <w:rsid w:val="3F2E8F90"/>
    <w:rsid w:val="3F3A549B"/>
    <w:rsid w:val="3F3C147F"/>
    <w:rsid w:val="3F49CC71"/>
    <w:rsid w:val="3F5126DF"/>
    <w:rsid w:val="3F53A07C"/>
    <w:rsid w:val="3F6A9C1C"/>
    <w:rsid w:val="3F778BC1"/>
    <w:rsid w:val="3F7E96B2"/>
    <w:rsid w:val="3F82D20B"/>
    <w:rsid w:val="3F83906C"/>
    <w:rsid w:val="3F863406"/>
    <w:rsid w:val="3FA1AAA4"/>
    <w:rsid w:val="3FA444B5"/>
    <w:rsid w:val="3FAA14B4"/>
    <w:rsid w:val="3FBC1BD4"/>
    <w:rsid w:val="3FDB67EF"/>
    <w:rsid w:val="3FE78C58"/>
    <w:rsid w:val="3FED11D9"/>
    <w:rsid w:val="3FEE3537"/>
    <w:rsid w:val="3FF3192C"/>
    <w:rsid w:val="3FF8C865"/>
    <w:rsid w:val="40042065"/>
    <w:rsid w:val="400EE36F"/>
    <w:rsid w:val="40137B3F"/>
    <w:rsid w:val="4019FF7D"/>
    <w:rsid w:val="4023B43D"/>
    <w:rsid w:val="4030FF10"/>
    <w:rsid w:val="405435D1"/>
    <w:rsid w:val="40749A4B"/>
    <w:rsid w:val="407EA4E1"/>
    <w:rsid w:val="40821A9C"/>
    <w:rsid w:val="409AC4EB"/>
    <w:rsid w:val="40C02031"/>
    <w:rsid w:val="40C408BD"/>
    <w:rsid w:val="40C98AC0"/>
    <w:rsid w:val="40CA2B46"/>
    <w:rsid w:val="40D691C0"/>
    <w:rsid w:val="40DE8B87"/>
    <w:rsid w:val="40E72375"/>
    <w:rsid w:val="410C9AFE"/>
    <w:rsid w:val="41128CD1"/>
    <w:rsid w:val="412410EF"/>
    <w:rsid w:val="4163FBEA"/>
    <w:rsid w:val="4168EE01"/>
    <w:rsid w:val="416E9744"/>
    <w:rsid w:val="41762024"/>
    <w:rsid w:val="417A23AD"/>
    <w:rsid w:val="41899184"/>
    <w:rsid w:val="41A3F18D"/>
    <w:rsid w:val="41AA113C"/>
    <w:rsid w:val="41B1E443"/>
    <w:rsid w:val="41B1F168"/>
    <w:rsid w:val="41B233B1"/>
    <w:rsid w:val="41C647B1"/>
    <w:rsid w:val="41F60CA7"/>
    <w:rsid w:val="42037AA0"/>
    <w:rsid w:val="4209A5E2"/>
    <w:rsid w:val="421720EE"/>
    <w:rsid w:val="4229028A"/>
    <w:rsid w:val="42291BB2"/>
    <w:rsid w:val="423E306C"/>
    <w:rsid w:val="42460653"/>
    <w:rsid w:val="424C5350"/>
    <w:rsid w:val="424D35AB"/>
    <w:rsid w:val="4270048A"/>
    <w:rsid w:val="4272DC10"/>
    <w:rsid w:val="4282B2B1"/>
    <w:rsid w:val="429568C4"/>
    <w:rsid w:val="4299A9F8"/>
    <w:rsid w:val="429B16FA"/>
    <w:rsid w:val="42A0DE83"/>
    <w:rsid w:val="42A4A103"/>
    <w:rsid w:val="42AF1295"/>
    <w:rsid w:val="42BD1894"/>
    <w:rsid w:val="42C1E08F"/>
    <w:rsid w:val="42FD2EEE"/>
    <w:rsid w:val="4303FE34"/>
    <w:rsid w:val="430A87B6"/>
    <w:rsid w:val="430D285B"/>
    <w:rsid w:val="430DE823"/>
    <w:rsid w:val="43140A72"/>
    <w:rsid w:val="4328FA3D"/>
    <w:rsid w:val="433EFD65"/>
    <w:rsid w:val="433FE935"/>
    <w:rsid w:val="4346FF6A"/>
    <w:rsid w:val="43483F95"/>
    <w:rsid w:val="434E8123"/>
    <w:rsid w:val="43521B4E"/>
    <w:rsid w:val="4356614C"/>
    <w:rsid w:val="435A2216"/>
    <w:rsid w:val="4361C644"/>
    <w:rsid w:val="437BB676"/>
    <w:rsid w:val="439B8329"/>
    <w:rsid w:val="43A7E2FF"/>
    <w:rsid w:val="43B0B230"/>
    <w:rsid w:val="43CE64E9"/>
    <w:rsid w:val="43D41AD3"/>
    <w:rsid w:val="43E76F76"/>
    <w:rsid w:val="43EBF29A"/>
    <w:rsid w:val="43EDF9F2"/>
    <w:rsid w:val="43F10A8B"/>
    <w:rsid w:val="43F6B377"/>
    <w:rsid w:val="43FF53F4"/>
    <w:rsid w:val="4408BD4C"/>
    <w:rsid w:val="4408D66B"/>
    <w:rsid w:val="440F1D46"/>
    <w:rsid w:val="4410CC8C"/>
    <w:rsid w:val="441B416E"/>
    <w:rsid w:val="442F28CC"/>
    <w:rsid w:val="442F7F9F"/>
    <w:rsid w:val="4436B4B8"/>
    <w:rsid w:val="44427400"/>
    <w:rsid w:val="445C63B5"/>
    <w:rsid w:val="445DD22C"/>
    <w:rsid w:val="4479D0AF"/>
    <w:rsid w:val="447A3A1E"/>
    <w:rsid w:val="4488994E"/>
    <w:rsid w:val="448C7942"/>
    <w:rsid w:val="44A2C093"/>
    <w:rsid w:val="44B3FD99"/>
    <w:rsid w:val="44B88020"/>
    <w:rsid w:val="44BDD64F"/>
    <w:rsid w:val="44C2ABB1"/>
    <w:rsid w:val="44E6C7DC"/>
    <w:rsid w:val="44E6CC39"/>
    <w:rsid w:val="44EC5023"/>
    <w:rsid w:val="44F0E3FE"/>
    <w:rsid w:val="4502DFBB"/>
    <w:rsid w:val="4510117F"/>
    <w:rsid w:val="451396FC"/>
    <w:rsid w:val="451889DF"/>
    <w:rsid w:val="4527A8DE"/>
    <w:rsid w:val="4535382E"/>
    <w:rsid w:val="45381208"/>
    <w:rsid w:val="45473462"/>
    <w:rsid w:val="45526A32"/>
    <w:rsid w:val="455C5F80"/>
    <w:rsid w:val="4565A1F7"/>
    <w:rsid w:val="45829B1B"/>
    <w:rsid w:val="45896955"/>
    <w:rsid w:val="45974F86"/>
    <w:rsid w:val="45A77A50"/>
    <w:rsid w:val="45AE3305"/>
    <w:rsid w:val="45B563B2"/>
    <w:rsid w:val="45B7FEEE"/>
    <w:rsid w:val="45BC3681"/>
    <w:rsid w:val="45C25D2A"/>
    <w:rsid w:val="45C26356"/>
    <w:rsid w:val="45C5CC38"/>
    <w:rsid w:val="45C8F7CA"/>
    <w:rsid w:val="45DB8D49"/>
    <w:rsid w:val="45E435A8"/>
    <w:rsid w:val="45E538AE"/>
    <w:rsid w:val="45EAABF5"/>
    <w:rsid w:val="45F90D6E"/>
    <w:rsid w:val="4601E9F0"/>
    <w:rsid w:val="460EEA33"/>
    <w:rsid w:val="4613AE28"/>
    <w:rsid w:val="4627869C"/>
    <w:rsid w:val="4628B772"/>
    <w:rsid w:val="463E392A"/>
    <w:rsid w:val="4642B9C9"/>
    <w:rsid w:val="46476B29"/>
    <w:rsid w:val="46487C34"/>
    <w:rsid w:val="465CFA65"/>
    <w:rsid w:val="4660B7FF"/>
    <w:rsid w:val="466A7F26"/>
    <w:rsid w:val="466FE93E"/>
    <w:rsid w:val="4672BCDC"/>
    <w:rsid w:val="4684B5B9"/>
    <w:rsid w:val="468E0D87"/>
    <w:rsid w:val="46942E61"/>
    <w:rsid w:val="46A6A532"/>
    <w:rsid w:val="46A7F465"/>
    <w:rsid w:val="46BA8BDD"/>
    <w:rsid w:val="46BF19BB"/>
    <w:rsid w:val="46D1026F"/>
    <w:rsid w:val="46D9B4B4"/>
    <w:rsid w:val="46DC3947"/>
    <w:rsid w:val="470686EB"/>
    <w:rsid w:val="471DCC5E"/>
    <w:rsid w:val="4730F8F8"/>
    <w:rsid w:val="47342F31"/>
    <w:rsid w:val="473AD5DC"/>
    <w:rsid w:val="473D560A"/>
    <w:rsid w:val="473D8395"/>
    <w:rsid w:val="473FB616"/>
    <w:rsid w:val="474581F3"/>
    <w:rsid w:val="47579F3C"/>
    <w:rsid w:val="4767C60A"/>
    <w:rsid w:val="477C47B0"/>
    <w:rsid w:val="478765B6"/>
    <w:rsid w:val="478DBB12"/>
    <w:rsid w:val="47A176E8"/>
    <w:rsid w:val="47D87A17"/>
    <w:rsid w:val="47D8A3BB"/>
    <w:rsid w:val="47EAB9ED"/>
    <w:rsid w:val="47F2BA9F"/>
    <w:rsid w:val="48170F52"/>
    <w:rsid w:val="481BAB52"/>
    <w:rsid w:val="482BD0D4"/>
    <w:rsid w:val="4834196B"/>
    <w:rsid w:val="483521E4"/>
    <w:rsid w:val="4837B653"/>
    <w:rsid w:val="4852DC29"/>
    <w:rsid w:val="4858354F"/>
    <w:rsid w:val="485A4439"/>
    <w:rsid w:val="485FAB29"/>
    <w:rsid w:val="4877E9CD"/>
    <w:rsid w:val="48851EFB"/>
    <w:rsid w:val="48948E10"/>
    <w:rsid w:val="4894B279"/>
    <w:rsid w:val="48C1C991"/>
    <w:rsid w:val="48D1B2F9"/>
    <w:rsid w:val="48D7D1C0"/>
    <w:rsid w:val="48F95D5D"/>
    <w:rsid w:val="49005474"/>
    <w:rsid w:val="491F69CF"/>
    <w:rsid w:val="49371A17"/>
    <w:rsid w:val="4939AD06"/>
    <w:rsid w:val="493CE766"/>
    <w:rsid w:val="4940CA55"/>
    <w:rsid w:val="4945DBDB"/>
    <w:rsid w:val="494DBF18"/>
    <w:rsid w:val="495BF866"/>
    <w:rsid w:val="49639087"/>
    <w:rsid w:val="49707D5C"/>
    <w:rsid w:val="4970A9B9"/>
    <w:rsid w:val="4973D022"/>
    <w:rsid w:val="49825B6F"/>
    <w:rsid w:val="4990EFA3"/>
    <w:rsid w:val="499B9529"/>
    <w:rsid w:val="49A06CDA"/>
    <w:rsid w:val="49A4F2FB"/>
    <w:rsid w:val="49AC3678"/>
    <w:rsid w:val="49B8F4C9"/>
    <w:rsid w:val="49DB2655"/>
    <w:rsid w:val="49DE1BE4"/>
    <w:rsid w:val="49E34F9A"/>
    <w:rsid w:val="49E510ED"/>
    <w:rsid w:val="49EBD4D0"/>
    <w:rsid w:val="4A0C4BA2"/>
    <w:rsid w:val="4A1DB9A8"/>
    <w:rsid w:val="4A2D99EA"/>
    <w:rsid w:val="4A33DF22"/>
    <w:rsid w:val="4A3608BA"/>
    <w:rsid w:val="4A3B27E4"/>
    <w:rsid w:val="4A3EE333"/>
    <w:rsid w:val="4A4C8747"/>
    <w:rsid w:val="4A4E2B69"/>
    <w:rsid w:val="4A4F4C81"/>
    <w:rsid w:val="4A516ABD"/>
    <w:rsid w:val="4A58F299"/>
    <w:rsid w:val="4A59B455"/>
    <w:rsid w:val="4A621B58"/>
    <w:rsid w:val="4A674B01"/>
    <w:rsid w:val="4A6BF278"/>
    <w:rsid w:val="4A716B3B"/>
    <w:rsid w:val="4A79BC3D"/>
    <w:rsid w:val="4A7A2B7F"/>
    <w:rsid w:val="4A7E35A2"/>
    <w:rsid w:val="4A8D933A"/>
    <w:rsid w:val="4A914FC5"/>
    <w:rsid w:val="4A9495DB"/>
    <w:rsid w:val="4A999E93"/>
    <w:rsid w:val="4A9D30B2"/>
    <w:rsid w:val="4AA40E77"/>
    <w:rsid w:val="4AAB1971"/>
    <w:rsid w:val="4AAB9529"/>
    <w:rsid w:val="4AAFA895"/>
    <w:rsid w:val="4AB10CA3"/>
    <w:rsid w:val="4AB79652"/>
    <w:rsid w:val="4AB7A28D"/>
    <w:rsid w:val="4AC122E8"/>
    <w:rsid w:val="4AC3DED7"/>
    <w:rsid w:val="4AC9BB82"/>
    <w:rsid w:val="4AD11A6D"/>
    <w:rsid w:val="4AD2B4AD"/>
    <w:rsid w:val="4AD61B16"/>
    <w:rsid w:val="4AD9C25E"/>
    <w:rsid w:val="4AD9ECFA"/>
    <w:rsid w:val="4ADEA1C7"/>
    <w:rsid w:val="4AEF8278"/>
    <w:rsid w:val="4AFF06E3"/>
    <w:rsid w:val="4B032366"/>
    <w:rsid w:val="4B075CD2"/>
    <w:rsid w:val="4B107E44"/>
    <w:rsid w:val="4B1FB2A6"/>
    <w:rsid w:val="4B23E109"/>
    <w:rsid w:val="4B3E5A24"/>
    <w:rsid w:val="4B4E7B49"/>
    <w:rsid w:val="4B698EF1"/>
    <w:rsid w:val="4B8245B6"/>
    <w:rsid w:val="4B90D5A3"/>
    <w:rsid w:val="4B9F6389"/>
    <w:rsid w:val="4BA709D8"/>
    <w:rsid w:val="4BAC1845"/>
    <w:rsid w:val="4BACC68E"/>
    <w:rsid w:val="4BB14D36"/>
    <w:rsid w:val="4BB32FBF"/>
    <w:rsid w:val="4BBA07AB"/>
    <w:rsid w:val="4BD78552"/>
    <w:rsid w:val="4BF823B4"/>
    <w:rsid w:val="4C22C427"/>
    <w:rsid w:val="4C34D8F1"/>
    <w:rsid w:val="4C46662E"/>
    <w:rsid w:val="4C5EA7D4"/>
    <w:rsid w:val="4C65456A"/>
    <w:rsid w:val="4C71EDCD"/>
    <w:rsid w:val="4C75F2D7"/>
    <w:rsid w:val="4C7CB643"/>
    <w:rsid w:val="4C7D4C29"/>
    <w:rsid w:val="4CAEDED6"/>
    <w:rsid w:val="4CAFC3B2"/>
    <w:rsid w:val="4CDE4A35"/>
    <w:rsid w:val="4CEB038B"/>
    <w:rsid w:val="4CF65203"/>
    <w:rsid w:val="4D00B71E"/>
    <w:rsid w:val="4D021708"/>
    <w:rsid w:val="4D081805"/>
    <w:rsid w:val="4D11951B"/>
    <w:rsid w:val="4D14414C"/>
    <w:rsid w:val="4D244735"/>
    <w:rsid w:val="4D2BCC1B"/>
    <w:rsid w:val="4D3FA1A4"/>
    <w:rsid w:val="4D418552"/>
    <w:rsid w:val="4D544C6A"/>
    <w:rsid w:val="4D663C8F"/>
    <w:rsid w:val="4D6CC602"/>
    <w:rsid w:val="4D75EE02"/>
    <w:rsid w:val="4D78EF8F"/>
    <w:rsid w:val="4D899E54"/>
    <w:rsid w:val="4D89D39B"/>
    <w:rsid w:val="4D8FDD9A"/>
    <w:rsid w:val="4DB0E44D"/>
    <w:rsid w:val="4DB2231C"/>
    <w:rsid w:val="4DBCFEB2"/>
    <w:rsid w:val="4DCA41D5"/>
    <w:rsid w:val="4DD4DE49"/>
    <w:rsid w:val="4DF7F7F6"/>
    <w:rsid w:val="4E12AD89"/>
    <w:rsid w:val="4E1634B4"/>
    <w:rsid w:val="4E17ED01"/>
    <w:rsid w:val="4E21CA0E"/>
    <w:rsid w:val="4E232A05"/>
    <w:rsid w:val="4E23ED0B"/>
    <w:rsid w:val="4E2BAEF1"/>
    <w:rsid w:val="4E4CDEE3"/>
    <w:rsid w:val="4E52B8C2"/>
    <w:rsid w:val="4E5683E5"/>
    <w:rsid w:val="4E6C25ED"/>
    <w:rsid w:val="4E832998"/>
    <w:rsid w:val="4E83E72F"/>
    <w:rsid w:val="4E88DB96"/>
    <w:rsid w:val="4E8C6EC6"/>
    <w:rsid w:val="4E91345F"/>
    <w:rsid w:val="4E99D112"/>
    <w:rsid w:val="4EA45955"/>
    <w:rsid w:val="4EA46178"/>
    <w:rsid w:val="4EC2AE48"/>
    <w:rsid w:val="4ED2026A"/>
    <w:rsid w:val="4EDB5543"/>
    <w:rsid w:val="4EF77EA0"/>
    <w:rsid w:val="4EF7A4CA"/>
    <w:rsid w:val="4F077DEF"/>
    <w:rsid w:val="4F17F499"/>
    <w:rsid w:val="4F1F9171"/>
    <w:rsid w:val="4F22BBFF"/>
    <w:rsid w:val="4F2E6CC1"/>
    <w:rsid w:val="4F3BA0F7"/>
    <w:rsid w:val="4F4CC545"/>
    <w:rsid w:val="4F50A44A"/>
    <w:rsid w:val="4F55DB7D"/>
    <w:rsid w:val="4F579524"/>
    <w:rsid w:val="4F62A403"/>
    <w:rsid w:val="4F649CA7"/>
    <w:rsid w:val="4F747FE2"/>
    <w:rsid w:val="4F8B4913"/>
    <w:rsid w:val="4FB8A12D"/>
    <w:rsid w:val="4FB927AA"/>
    <w:rsid w:val="4FBA8F54"/>
    <w:rsid w:val="4FC78356"/>
    <w:rsid w:val="4FCC94B2"/>
    <w:rsid w:val="4FCEF598"/>
    <w:rsid w:val="4FDAFD75"/>
    <w:rsid w:val="4FDE2FC9"/>
    <w:rsid w:val="4FDE513C"/>
    <w:rsid w:val="4FF29E84"/>
    <w:rsid w:val="4FF93678"/>
    <w:rsid w:val="4FF9A2E3"/>
    <w:rsid w:val="50035D7C"/>
    <w:rsid w:val="5006466C"/>
    <w:rsid w:val="501B385E"/>
    <w:rsid w:val="5034BBD5"/>
    <w:rsid w:val="50448683"/>
    <w:rsid w:val="504D83AC"/>
    <w:rsid w:val="50519B15"/>
    <w:rsid w:val="50526FD4"/>
    <w:rsid w:val="5053F24B"/>
    <w:rsid w:val="50645DAF"/>
    <w:rsid w:val="506AFCA7"/>
    <w:rsid w:val="506B548C"/>
    <w:rsid w:val="5073417D"/>
    <w:rsid w:val="50757255"/>
    <w:rsid w:val="50763D1F"/>
    <w:rsid w:val="5082C43D"/>
    <w:rsid w:val="5087A0C1"/>
    <w:rsid w:val="5095988D"/>
    <w:rsid w:val="5097D288"/>
    <w:rsid w:val="509AA650"/>
    <w:rsid w:val="50A41B17"/>
    <w:rsid w:val="50A9637B"/>
    <w:rsid w:val="50A9EFE2"/>
    <w:rsid w:val="50BAFA0B"/>
    <w:rsid w:val="50DF7F1B"/>
    <w:rsid w:val="50E6D0C4"/>
    <w:rsid w:val="50F3D584"/>
    <w:rsid w:val="50F90F94"/>
    <w:rsid w:val="5100F4FF"/>
    <w:rsid w:val="5112CCF7"/>
    <w:rsid w:val="5118DC5A"/>
    <w:rsid w:val="5119A7B7"/>
    <w:rsid w:val="51256B12"/>
    <w:rsid w:val="513A4028"/>
    <w:rsid w:val="514CA1A1"/>
    <w:rsid w:val="51553864"/>
    <w:rsid w:val="516025BA"/>
    <w:rsid w:val="516D5572"/>
    <w:rsid w:val="51701357"/>
    <w:rsid w:val="51704C2A"/>
    <w:rsid w:val="5170DA01"/>
    <w:rsid w:val="51735E8F"/>
    <w:rsid w:val="517BB206"/>
    <w:rsid w:val="51832E07"/>
    <w:rsid w:val="518ABACA"/>
    <w:rsid w:val="5190B3E3"/>
    <w:rsid w:val="51A5EDB4"/>
    <w:rsid w:val="51A7D52C"/>
    <w:rsid w:val="51C21E48"/>
    <w:rsid w:val="51C5B773"/>
    <w:rsid w:val="51F96063"/>
    <w:rsid w:val="51FB238E"/>
    <w:rsid w:val="51FDEDB1"/>
    <w:rsid w:val="520809FC"/>
    <w:rsid w:val="520B8002"/>
    <w:rsid w:val="520FC74F"/>
    <w:rsid w:val="5213E2A6"/>
    <w:rsid w:val="521DCD03"/>
    <w:rsid w:val="52200FD9"/>
    <w:rsid w:val="5223D44E"/>
    <w:rsid w:val="5223DB4D"/>
    <w:rsid w:val="52378BB7"/>
    <w:rsid w:val="523FECCC"/>
    <w:rsid w:val="52449E73"/>
    <w:rsid w:val="525588D7"/>
    <w:rsid w:val="52600C76"/>
    <w:rsid w:val="5263CD6E"/>
    <w:rsid w:val="5269006F"/>
    <w:rsid w:val="5280A953"/>
    <w:rsid w:val="5284BE50"/>
    <w:rsid w:val="528BADC6"/>
    <w:rsid w:val="5294C9B3"/>
    <w:rsid w:val="52980116"/>
    <w:rsid w:val="52A7A7CD"/>
    <w:rsid w:val="52C1FA82"/>
    <w:rsid w:val="52D35CED"/>
    <w:rsid w:val="52DBB2B7"/>
    <w:rsid w:val="52DBE07B"/>
    <w:rsid w:val="52FABA44"/>
    <w:rsid w:val="52FFAD9F"/>
    <w:rsid w:val="5310BA8F"/>
    <w:rsid w:val="532AD3F2"/>
    <w:rsid w:val="532E4D85"/>
    <w:rsid w:val="532FF5A0"/>
    <w:rsid w:val="5339AAAA"/>
    <w:rsid w:val="5339F66B"/>
    <w:rsid w:val="533B90A0"/>
    <w:rsid w:val="53465B12"/>
    <w:rsid w:val="5349A23A"/>
    <w:rsid w:val="534D839D"/>
    <w:rsid w:val="53642042"/>
    <w:rsid w:val="5367556C"/>
    <w:rsid w:val="5368B168"/>
    <w:rsid w:val="537098D4"/>
    <w:rsid w:val="53760F44"/>
    <w:rsid w:val="537DAC14"/>
    <w:rsid w:val="538D609D"/>
    <w:rsid w:val="5399B244"/>
    <w:rsid w:val="53AF86AC"/>
    <w:rsid w:val="53B004C6"/>
    <w:rsid w:val="53B131F4"/>
    <w:rsid w:val="53B3E1C1"/>
    <w:rsid w:val="53B89165"/>
    <w:rsid w:val="53D60FD3"/>
    <w:rsid w:val="53DBAF45"/>
    <w:rsid w:val="53DC977A"/>
    <w:rsid w:val="53EF304B"/>
    <w:rsid w:val="53F16E22"/>
    <w:rsid w:val="53F53198"/>
    <w:rsid w:val="54015D6C"/>
    <w:rsid w:val="540E7990"/>
    <w:rsid w:val="54317B69"/>
    <w:rsid w:val="54483AD0"/>
    <w:rsid w:val="545C2BD3"/>
    <w:rsid w:val="5467C85E"/>
    <w:rsid w:val="5476A55C"/>
    <w:rsid w:val="547AB74F"/>
    <w:rsid w:val="5485BD43"/>
    <w:rsid w:val="5486766F"/>
    <w:rsid w:val="5498604C"/>
    <w:rsid w:val="54A71F9D"/>
    <w:rsid w:val="54ACBF9B"/>
    <w:rsid w:val="54B3DCCC"/>
    <w:rsid w:val="54B5BED0"/>
    <w:rsid w:val="54B8B09D"/>
    <w:rsid w:val="54BC2CAD"/>
    <w:rsid w:val="54BD127B"/>
    <w:rsid w:val="54CC367D"/>
    <w:rsid w:val="54CE0795"/>
    <w:rsid w:val="54DC57E5"/>
    <w:rsid w:val="54F89FC5"/>
    <w:rsid w:val="54F9617F"/>
    <w:rsid w:val="550675F9"/>
    <w:rsid w:val="55088899"/>
    <w:rsid w:val="55095F6A"/>
    <w:rsid w:val="550EBD6A"/>
    <w:rsid w:val="5515D4F8"/>
    <w:rsid w:val="55167656"/>
    <w:rsid w:val="5521EF78"/>
    <w:rsid w:val="55233F7D"/>
    <w:rsid w:val="552C6782"/>
    <w:rsid w:val="552E8BE6"/>
    <w:rsid w:val="552E9335"/>
    <w:rsid w:val="55379D61"/>
    <w:rsid w:val="5546917B"/>
    <w:rsid w:val="554A0354"/>
    <w:rsid w:val="554D5E53"/>
    <w:rsid w:val="55523030"/>
    <w:rsid w:val="5565346A"/>
    <w:rsid w:val="55701A0D"/>
    <w:rsid w:val="55750520"/>
    <w:rsid w:val="5588BB93"/>
    <w:rsid w:val="558E265C"/>
    <w:rsid w:val="559FB783"/>
    <w:rsid w:val="55B9D0B0"/>
    <w:rsid w:val="55C1FA62"/>
    <w:rsid w:val="55C65613"/>
    <w:rsid w:val="55D0D2C3"/>
    <w:rsid w:val="55E06199"/>
    <w:rsid w:val="55EDC8FA"/>
    <w:rsid w:val="5604BB1E"/>
    <w:rsid w:val="560BCECC"/>
    <w:rsid w:val="560C0C8A"/>
    <w:rsid w:val="561C13EE"/>
    <w:rsid w:val="561EABDC"/>
    <w:rsid w:val="56240169"/>
    <w:rsid w:val="56325D45"/>
    <w:rsid w:val="564AA4C0"/>
    <w:rsid w:val="56541CA3"/>
    <w:rsid w:val="56625251"/>
    <w:rsid w:val="567EF174"/>
    <w:rsid w:val="5680E2A5"/>
    <w:rsid w:val="568CB459"/>
    <w:rsid w:val="569C8836"/>
    <w:rsid w:val="56A8AAA9"/>
    <w:rsid w:val="56AA938B"/>
    <w:rsid w:val="56C1F5F2"/>
    <w:rsid w:val="56DF6951"/>
    <w:rsid w:val="56E1F6E4"/>
    <w:rsid w:val="56ED2C46"/>
    <w:rsid w:val="56EF759C"/>
    <w:rsid w:val="56F0C57B"/>
    <w:rsid w:val="56F7723B"/>
    <w:rsid w:val="570FC5DA"/>
    <w:rsid w:val="5720F56C"/>
    <w:rsid w:val="573EE265"/>
    <w:rsid w:val="5741CF67"/>
    <w:rsid w:val="57567063"/>
    <w:rsid w:val="5766F8F9"/>
    <w:rsid w:val="577619E7"/>
    <w:rsid w:val="577FF483"/>
    <w:rsid w:val="57A46823"/>
    <w:rsid w:val="57A7F037"/>
    <w:rsid w:val="57ADCE43"/>
    <w:rsid w:val="57B3A8D1"/>
    <w:rsid w:val="57C140D1"/>
    <w:rsid w:val="57C1E098"/>
    <w:rsid w:val="57D50952"/>
    <w:rsid w:val="57D5C514"/>
    <w:rsid w:val="57D6C4F8"/>
    <w:rsid w:val="57E0B242"/>
    <w:rsid w:val="57E3E965"/>
    <w:rsid w:val="57ECD735"/>
    <w:rsid w:val="57F88B80"/>
    <w:rsid w:val="58056BA0"/>
    <w:rsid w:val="5805FE4D"/>
    <w:rsid w:val="580EBDF7"/>
    <w:rsid w:val="581C7893"/>
    <w:rsid w:val="5823259B"/>
    <w:rsid w:val="5836853C"/>
    <w:rsid w:val="584436EE"/>
    <w:rsid w:val="584BDB89"/>
    <w:rsid w:val="585DC3BC"/>
    <w:rsid w:val="586118C8"/>
    <w:rsid w:val="586D1B85"/>
    <w:rsid w:val="586DA6DE"/>
    <w:rsid w:val="5878E0B2"/>
    <w:rsid w:val="587F2AC0"/>
    <w:rsid w:val="58819A41"/>
    <w:rsid w:val="58829EB7"/>
    <w:rsid w:val="588718F7"/>
    <w:rsid w:val="588BD24B"/>
    <w:rsid w:val="589370FD"/>
    <w:rsid w:val="5893AC1D"/>
    <w:rsid w:val="58A9B223"/>
    <w:rsid w:val="58B27CB6"/>
    <w:rsid w:val="58C3FCD1"/>
    <w:rsid w:val="58CC15F3"/>
    <w:rsid w:val="58E28DAA"/>
    <w:rsid w:val="58FB95A2"/>
    <w:rsid w:val="591D9368"/>
    <w:rsid w:val="59268A99"/>
    <w:rsid w:val="59272D94"/>
    <w:rsid w:val="592D1567"/>
    <w:rsid w:val="59379309"/>
    <w:rsid w:val="593CC68A"/>
    <w:rsid w:val="593E17C4"/>
    <w:rsid w:val="59456454"/>
    <w:rsid w:val="594A4999"/>
    <w:rsid w:val="595AFBE3"/>
    <w:rsid w:val="595EC0BC"/>
    <w:rsid w:val="595F133D"/>
    <w:rsid w:val="5962AB0D"/>
    <w:rsid w:val="5968427F"/>
    <w:rsid w:val="597813A3"/>
    <w:rsid w:val="597D922D"/>
    <w:rsid w:val="59C9F0E0"/>
    <w:rsid w:val="59D06B6F"/>
    <w:rsid w:val="59DF22E2"/>
    <w:rsid w:val="59E08DD3"/>
    <w:rsid w:val="5A02C8A7"/>
    <w:rsid w:val="5A0D399D"/>
    <w:rsid w:val="5A1273A5"/>
    <w:rsid w:val="5A1FC19D"/>
    <w:rsid w:val="5A31E5D9"/>
    <w:rsid w:val="5A502D20"/>
    <w:rsid w:val="5A5112C6"/>
    <w:rsid w:val="5A6E0D13"/>
    <w:rsid w:val="5A6EC67E"/>
    <w:rsid w:val="5A753F94"/>
    <w:rsid w:val="5A88BEE3"/>
    <w:rsid w:val="5A926B92"/>
    <w:rsid w:val="5A9281E2"/>
    <w:rsid w:val="5AAECBD3"/>
    <w:rsid w:val="5AB1B398"/>
    <w:rsid w:val="5AB9E719"/>
    <w:rsid w:val="5ABA7722"/>
    <w:rsid w:val="5ACA6A1A"/>
    <w:rsid w:val="5ACAFE66"/>
    <w:rsid w:val="5ACCFD39"/>
    <w:rsid w:val="5AD381F0"/>
    <w:rsid w:val="5AD94A25"/>
    <w:rsid w:val="5AE3B0BC"/>
    <w:rsid w:val="5AEA4D5C"/>
    <w:rsid w:val="5AF93724"/>
    <w:rsid w:val="5B01B553"/>
    <w:rsid w:val="5B051789"/>
    <w:rsid w:val="5B079330"/>
    <w:rsid w:val="5B448378"/>
    <w:rsid w:val="5B5819F0"/>
    <w:rsid w:val="5B85EA7A"/>
    <w:rsid w:val="5BAE0E55"/>
    <w:rsid w:val="5BB1528F"/>
    <w:rsid w:val="5BC1F727"/>
    <w:rsid w:val="5BD24E9F"/>
    <w:rsid w:val="5BF6C85B"/>
    <w:rsid w:val="5C051F0A"/>
    <w:rsid w:val="5C0B14B1"/>
    <w:rsid w:val="5C14F4FB"/>
    <w:rsid w:val="5C398462"/>
    <w:rsid w:val="5C41B462"/>
    <w:rsid w:val="5C426E88"/>
    <w:rsid w:val="5C442F4A"/>
    <w:rsid w:val="5C45CB8C"/>
    <w:rsid w:val="5C49E679"/>
    <w:rsid w:val="5C4BA0B5"/>
    <w:rsid w:val="5C4F9A04"/>
    <w:rsid w:val="5C655D92"/>
    <w:rsid w:val="5C7191C8"/>
    <w:rsid w:val="5C737AF0"/>
    <w:rsid w:val="5C7EDE3E"/>
    <w:rsid w:val="5C86A460"/>
    <w:rsid w:val="5C89E9F8"/>
    <w:rsid w:val="5C8BECFC"/>
    <w:rsid w:val="5C9F1927"/>
    <w:rsid w:val="5CA41EC2"/>
    <w:rsid w:val="5CAC8E37"/>
    <w:rsid w:val="5CAD964A"/>
    <w:rsid w:val="5CB6A89A"/>
    <w:rsid w:val="5CB8E502"/>
    <w:rsid w:val="5CBF4831"/>
    <w:rsid w:val="5CC983D9"/>
    <w:rsid w:val="5CCEFAE2"/>
    <w:rsid w:val="5CDD3A93"/>
    <w:rsid w:val="5CE1B427"/>
    <w:rsid w:val="5CEE5617"/>
    <w:rsid w:val="5CEF8C6F"/>
    <w:rsid w:val="5CEF973E"/>
    <w:rsid w:val="5CF5CD17"/>
    <w:rsid w:val="5D0232A7"/>
    <w:rsid w:val="5D0395CA"/>
    <w:rsid w:val="5D0F122E"/>
    <w:rsid w:val="5D2902F2"/>
    <w:rsid w:val="5D297E8A"/>
    <w:rsid w:val="5D4C6CED"/>
    <w:rsid w:val="5D4E9439"/>
    <w:rsid w:val="5D589228"/>
    <w:rsid w:val="5D60604D"/>
    <w:rsid w:val="5D685F4D"/>
    <w:rsid w:val="5D6CB3FF"/>
    <w:rsid w:val="5D869A11"/>
    <w:rsid w:val="5D99D6BF"/>
    <w:rsid w:val="5DB69275"/>
    <w:rsid w:val="5DB80C3B"/>
    <w:rsid w:val="5DBC249C"/>
    <w:rsid w:val="5DBCC9E5"/>
    <w:rsid w:val="5DC67E0E"/>
    <w:rsid w:val="5DD8C7D8"/>
    <w:rsid w:val="5DDE62E3"/>
    <w:rsid w:val="5DF2A85D"/>
    <w:rsid w:val="5DF71314"/>
    <w:rsid w:val="5E01CE7A"/>
    <w:rsid w:val="5E087BF1"/>
    <w:rsid w:val="5E0A9158"/>
    <w:rsid w:val="5E0B8AC4"/>
    <w:rsid w:val="5E183BC9"/>
    <w:rsid w:val="5E1C0C97"/>
    <w:rsid w:val="5E24A44C"/>
    <w:rsid w:val="5E36BA55"/>
    <w:rsid w:val="5E5B3244"/>
    <w:rsid w:val="5E781766"/>
    <w:rsid w:val="5E80A44A"/>
    <w:rsid w:val="5E896D96"/>
    <w:rsid w:val="5E8B080F"/>
    <w:rsid w:val="5E8BA1D7"/>
    <w:rsid w:val="5E8CA20D"/>
    <w:rsid w:val="5E8EEA2E"/>
    <w:rsid w:val="5E9BCEE2"/>
    <w:rsid w:val="5E9CD016"/>
    <w:rsid w:val="5E9F9AD2"/>
    <w:rsid w:val="5ECA4FDF"/>
    <w:rsid w:val="5ECE4BA7"/>
    <w:rsid w:val="5EF61181"/>
    <w:rsid w:val="5F02D248"/>
    <w:rsid w:val="5F09B1C6"/>
    <w:rsid w:val="5F0F3CE5"/>
    <w:rsid w:val="5F11A3C6"/>
    <w:rsid w:val="5F1650AC"/>
    <w:rsid w:val="5F2305C0"/>
    <w:rsid w:val="5F23A732"/>
    <w:rsid w:val="5F4D39D5"/>
    <w:rsid w:val="5F609BF1"/>
    <w:rsid w:val="5F9401CA"/>
    <w:rsid w:val="5F945D5B"/>
    <w:rsid w:val="5FA12F7C"/>
    <w:rsid w:val="5FB8F48D"/>
    <w:rsid w:val="5FB97DC6"/>
    <w:rsid w:val="5FB984E7"/>
    <w:rsid w:val="5FC3406F"/>
    <w:rsid w:val="5FD1B3AF"/>
    <w:rsid w:val="5FD94C01"/>
    <w:rsid w:val="5FDC6238"/>
    <w:rsid w:val="5FDC74C8"/>
    <w:rsid w:val="5FDE157B"/>
    <w:rsid w:val="5FE50A10"/>
    <w:rsid w:val="5FF4527F"/>
    <w:rsid w:val="5FFA804F"/>
    <w:rsid w:val="600A5FD3"/>
    <w:rsid w:val="600D86F8"/>
    <w:rsid w:val="601172FF"/>
    <w:rsid w:val="601891B9"/>
    <w:rsid w:val="602B88A7"/>
    <w:rsid w:val="60360AC8"/>
    <w:rsid w:val="606BD98E"/>
    <w:rsid w:val="606CD092"/>
    <w:rsid w:val="6074503B"/>
    <w:rsid w:val="60A86F94"/>
    <w:rsid w:val="60AE6DC4"/>
    <w:rsid w:val="60AFD9AB"/>
    <w:rsid w:val="60C1C644"/>
    <w:rsid w:val="60C5F70D"/>
    <w:rsid w:val="60C61368"/>
    <w:rsid w:val="60C6FE68"/>
    <w:rsid w:val="60CF29CA"/>
    <w:rsid w:val="60D03E5C"/>
    <w:rsid w:val="60D31491"/>
    <w:rsid w:val="60D407EC"/>
    <w:rsid w:val="60DB7948"/>
    <w:rsid w:val="60DD006A"/>
    <w:rsid w:val="60E22FE9"/>
    <w:rsid w:val="60E49A7B"/>
    <w:rsid w:val="60E69125"/>
    <w:rsid w:val="60FB0476"/>
    <w:rsid w:val="610F53C5"/>
    <w:rsid w:val="61246093"/>
    <w:rsid w:val="612D0E57"/>
    <w:rsid w:val="614BD3C3"/>
    <w:rsid w:val="614C7312"/>
    <w:rsid w:val="614D5F90"/>
    <w:rsid w:val="614EF63C"/>
    <w:rsid w:val="614F6942"/>
    <w:rsid w:val="61510365"/>
    <w:rsid w:val="61511EAE"/>
    <w:rsid w:val="6152F37F"/>
    <w:rsid w:val="61586AF0"/>
    <w:rsid w:val="615D29D5"/>
    <w:rsid w:val="61697EFB"/>
    <w:rsid w:val="618BF099"/>
    <w:rsid w:val="618C9B56"/>
    <w:rsid w:val="61AAB066"/>
    <w:rsid w:val="61AB9C99"/>
    <w:rsid w:val="61B89244"/>
    <w:rsid w:val="61BE2806"/>
    <w:rsid w:val="61D3AD15"/>
    <w:rsid w:val="61DD561D"/>
    <w:rsid w:val="61ED8A38"/>
    <w:rsid w:val="61EDF548"/>
    <w:rsid w:val="61F20415"/>
    <w:rsid w:val="621143C8"/>
    <w:rsid w:val="6216A58B"/>
    <w:rsid w:val="621BC6B1"/>
    <w:rsid w:val="622D3900"/>
    <w:rsid w:val="62318087"/>
    <w:rsid w:val="6247B417"/>
    <w:rsid w:val="6248A989"/>
    <w:rsid w:val="624D9FD1"/>
    <w:rsid w:val="62539D36"/>
    <w:rsid w:val="6265B6D7"/>
    <w:rsid w:val="62692CB4"/>
    <w:rsid w:val="6286171A"/>
    <w:rsid w:val="628B7C46"/>
    <w:rsid w:val="62A1B864"/>
    <w:rsid w:val="62A246C7"/>
    <w:rsid w:val="62A2F327"/>
    <w:rsid w:val="62B4B713"/>
    <w:rsid w:val="62B53159"/>
    <w:rsid w:val="62C320E6"/>
    <w:rsid w:val="62D790A7"/>
    <w:rsid w:val="62E5DC43"/>
    <w:rsid w:val="62EDC635"/>
    <w:rsid w:val="62EF38AE"/>
    <w:rsid w:val="62FAE475"/>
    <w:rsid w:val="62FFA148"/>
    <w:rsid w:val="6304310C"/>
    <w:rsid w:val="63050F83"/>
    <w:rsid w:val="630F3FC1"/>
    <w:rsid w:val="6315BA7D"/>
    <w:rsid w:val="631DB3A6"/>
    <w:rsid w:val="6325933A"/>
    <w:rsid w:val="6344DBAA"/>
    <w:rsid w:val="63548C07"/>
    <w:rsid w:val="6356A8ED"/>
    <w:rsid w:val="63571D17"/>
    <w:rsid w:val="6357E1C0"/>
    <w:rsid w:val="6370F838"/>
    <w:rsid w:val="6378AE4D"/>
    <w:rsid w:val="6378B0FF"/>
    <w:rsid w:val="638C6F24"/>
    <w:rsid w:val="638D2EA0"/>
    <w:rsid w:val="638FADA0"/>
    <w:rsid w:val="6390F311"/>
    <w:rsid w:val="63BE03D8"/>
    <w:rsid w:val="63C3F614"/>
    <w:rsid w:val="63CE9AC3"/>
    <w:rsid w:val="63DA1A9B"/>
    <w:rsid w:val="63DDDD35"/>
    <w:rsid w:val="63E305AF"/>
    <w:rsid w:val="63EBD303"/>
    <w:rsid w:val="63EFDD3F"/>
    <w:rsid w:val="63F41368"/>
    <w:rsid w:val="63FD58E7"/>
    <w:rsid w:val="640661B8"/>
    <w:rsid w:val="641E9F2C"/>
    <w:rsid w:val="6427907C"/>
    <w:rsid w:val="643FD4CF"/>
    <w:rsid w:val="644AED2E"/>
    <w:rsid w:val="644DF281"/>
    <w:rsid w:val="6451D972"/>
    <w:rsid w:val="645B5A66"/>
    <w:rsid w:val="6465B414"/>
    <w:rsid w:val="64704775"/>
    <w:rsid w:val="64742E36"/>
    <w:rsid w:val="6499E3A5"/>
    <w:rsid w:val="649F5A1B"/>
    <w:rsid w:val="64B348E0"/>
    <w:rsid w:val="64B950D7"/>
    <w:rsid w:val="64CB8C70"/>
    <w:rsid w:val="64CCEF42"/>
    <w:rsid w:val="64D00CFF"/>
    <w:rsid w:val="64D5B560"/>
    <w:rsid w:val="64DB21D8"/>
    <w:rsid w:val="64DC30AA"/>
    <w:rsid w:val="64FFF279"/>
    <w:rsid w:val="650CD917"/>
    <w:rsid w:val="651EDBB5"/>
    <w:rsid w:val="651FF9E6"/>
    <w:rsid w:val="6525FD9F"/>
    <w:rsid w:val="653268AA"/>
    <w:rsid w:val="653526AC"/>
    <w:rsid w:val="6536FF5C"/>
    <w:rsid w:val="6537484B"/>
    <w:rsid w:val="653F564C"/>
    <w:rsid w:val="65440C28"/>
    <w:rsid w:val="655A6486"/>
    <w:rsid w:val="656BB574"/>
    <w:rsid w:val="656CFA79"/>
    <w:rsid w:val="6579D03E"/>
    <w:rsid w:val="658804C3"/>
    <w:rsid w:val="6599543E"/>
    <w:rsid w:val="65BCE21D"/>
    <w:rsid w:val="65C38ED0"/>
    <w:rsid w:val="65D0D00D"/>
    <w:rsid w:val="65D1FE3A"/>
    <w:rsid w:val="65E0EF97"/>
    <w:rsid w:val="65E49457"/>
    <w:rsid w:val="65E775C6"/>
    <w:rsid w:val="65EA6527"/>
    <w:rsid w:val="65EFF19E"/>
    <w:rsid w:val="66061B1B"/>
    <w:rsid w:val="6609A097"/>
    <w:rsid w:val="6620B1FA"/>
    <w:rsid w:val="6664E943"/>
    <w:rsid w:val="6665003E"/>
    <w:rsid w:val="6669EA6B"/>
    <w:rsid w:val="666F1878"/>
    <w:rsid w:val="6673004F"/>
    <w:rsid w:val="66823BB7"/>
    <w:rsid w:val="6690A430"/>
    <w:rsid w:val="6698A63E"/>
    <w:rsid w:val="669D92AA"/>
    <w:rsid w:val="66A934F6"/>
    <w:rsid w:val="66AEE61B"/>
    <w:rsid w:val="66DAB929"/>
    <w:rsid w:val="66DB025A"/>
    <w:rsid w:val="66E8DC4F"/>
    <w:rsid w:val="6700FAA5"/>
    <w:rsid w:val="671C8879"/>
    <w:rsid w:val="671DC8EC"/>
    <w:rsid w:val="671F5095"/>
    <w:rsid w:val="6724B0A9"/>
    <w:rsid w:val="67260BF9"/>
    <w:rsid w:val="676C1B85"/>
    <w:rsid w:val="6773AD03"/>
    <w:rsid w:val="677BC837"/>
    <w:rsid w:val="678A6796"/>
    <w:rsid w:val="6797E85B"/>
    <w:rsid w:val="67AD8420"/>
    <w:rsid w:val="67B3AB04"/>
    <w:rsid w:val="67B96636"/>
    <w:rsid w:val="67CD8993"/>
    <w:rsid w:val="67EE3446"/>
    <w:rsid w:val="67EED2D2"/>
    <w:rsid w:val="67F30452"/>
    <w:rsid w:val="68293307"/>
    <w:rsid w:val="683FC01F"/>
    <w:rsid w:val="6855786D"/>
    <w:rsid w:val="68688E4C"/>
    <w:rsid w:val="686EE29A"/>
    <w:rsid w:val="68811E6F"/>
    <w:rsid w:val="688CEA69"/>
    <w:rsid w:val="68984EFD"/>
    <w:rsid w:val="68A76AB8"/>
    <w:rsid w:val="68A902FF"/>
    <w:rsid w:val="68ABA2D1"/>
    <w:rsid w:val="68B5746E"/>
    <w:rsid w:val="68B9D154"/>
    <w:rsid w:val="68C54353"/>
    <w:rsid w:val="68C70618"/>
    <w:rsid w:val="68CD804C"/>
    <w:rsid w:val="68D71C08"/>
    <w:rsid w:val="68DC4A90"/>
    <w:rsid w:val="68DCD5E5"/>
    <w:rsid w:val="690447D8"/>
    <w:rsid w:val="69109647"/>
    <w:rsid w:val="69256C69"/>
    <w:rsid w:val="692E0C85"/>
    <w:rsid w:val="693EB958"/>
    <w:rsid w:val="693EE7FA"/>
    <w:rsid w:val="69488A7D"/>
    <w:rsid w:val="694975E4"/>
    <w:rsid w:val="694A6CD9"/>
    <w:rsid w:val="694C9433"/>
    <w:rsid w:val="69506FA8"/>
    <w:rsid w:val="695487E3"/>
    <w:rsid w:val="695CADCD"/>
    <w:rsid w:val="6966C92A"/>
    <w:rsid w:val="69727FC5"/>
    <w:rsid w:val="6972F940"/>
    <w:rsid w:val="6974FC10"/>
    <w:rsid w:val="697E5560"/>
    <w:rsid w:val="698C9700"/>
    <w:rsid w:val="699AE37D"/>
    <w:rsid w:val="69A2DCE0"/>
    <w:rsid w:val="69AAA815"/>
    <w:rsid w:val="69B16742"/>
    <w:rsid w:val="69B55956"/>
    <w:rsid w:val="69B643A0"/>
    <w:rsid w:val="69BF077E"/>
    <w:rsid w:val="69C96533"/>
    <w:rsid w:val="69C9D47C"/>
    <w:rsid w:val="69CD8635"/>
    <w:rsid w:val="69D720B3"/>
    <w:rsid w:val="69D731F4"/>
    <w:rsid w:val="69E36E78"/>
    <w:rsid w:val="69ED0118"/>
    <w:rsid w:val="69FB6592"/>
    <w:rsid w:val="6A0501A9"/>
    <w:rsid w:val="6A163E97"/>
    <w:rsid w:val="6A1AD3C1"/>
    <w:rsid w:val="6A41B496"/>
    <w:rsid w:val="6A5B4646"/>
    <w:rsid w:val="6A63BFC4"/>
    <w:rsid w:val="6A6A9671"/>
    <w:rsid w:val="6A736890"/>
    <w:rsid w:val="6A75D27F"/>
    <w:rsid w:val="6A8246D7"/>
    <w:rsid w:val="6A8EA421"/>
    <w:rsid w:val="6A98C22D"/>
    <w:rsid w:val="6AA10C95"/>
    <w:rsid w:val="6AB9D14D"/>
    <w:rsid w:val="6ACF95B3"/>
    <w:rsid w:val="6AD80963"/>
    <w:rsid w:val="6AE2567D"/>
    <w:rsid w:val="6AEA3E74"/>
    <w:rsid w:val="6AECDE2A"/>
    <w:rsid w:val="6B1E509E"/>
    <w:rsid w:val="6B28A39C"/>
    <w:rsid w:val="6B28F677"/>
    <w:rsid w:val="6B3A5E49"/>
    <w:rsid w:val="6B5420F1"/>
    <w:rsid w:val="6B58128A"/>
    <w:rsid w:val="6B5BD9CB"/>
    <w:rsid w:val="6B5F571A"/>
    <w:rsid w:val="6B6E5FD9"/>
    <w:rsid w:val="6BA542B8"/>
    <w:rsid w:val="6BAD6C01"/>
    <w:rsid w:val="6BB6567B"/>
    <w:rsid w:val="6BC46654"/>
    <w:rsid w:val="6C02F741"/>
    <w:rsid w:val="6C02FFBF"/>
    <w:rsid w:val="6C06ACD0"/>
    <w:rsid w:val="6C256471"/>
    <w:rsid w:val="6C313612"/>
    <w:rsid w:val="6C383E08"/>
    <w:rsid w:val="6C38A2C6"/>
    <w:rsid w:val="6C3BBA06"/>
    <w:rsid w:val="6C3E48A5"/>
    <w:rsid w:val="6C58A283"/>
    <w:rsid w:val="6C590272"/>
    <w:rsid w:val="6C5B3975"/>
    <w:rsid w:val="6C6CC6F0"/>
    <w:rsid w:val="6C6D4526"/>
    <w:rsid w:val="6C71811E"/>
    <w:rsid w:val="6C77889B"/>
    <w:rsid w:val="6C7C308A"/>
    <w:rsid w:val="6C7E7AF3"/>
    <w:rsid w:val="6C8CF58C"/>
    <w:rsid w:val="6CA298BC"/>
    <w:rsid w:val="6CA49A83"/>
    <w:rsid w:val="6CB13891"/>
    <w:rsid w:val="6CB8A0D6"/>
    <w:rsid w:val="6CBD56C3"/>
    <w:rsid w:val="6CBF9139"/>
    <w:rsid w:val="6CDAD37B"/>
    <w:rsid w:val="6CE4C515"/>
    <w:rsid w:val="6CE7AAD8"/>
    <w:rsid w:val="6CED07B9"/>
    <w:rsid w:val="6CEF3571"/>
    <w:rsid w:val="6D051C81"/>
    <w:rsid w:val="6D0665E4"/>
    <w:rsid w:val="6D2931AE"/>
    <w:rsid w:val="6D30D16F"/>
    <w:rsid w:val="6D3B79A7"/>
    <w:rsid w:val="6D45541C"/>
    <w:rsid w:val="6D45CFE8"/>
    <w:rsid w:val="6D55DC81"/>
    <w:rsid w:val="6D57B019"/>
    <w:rsid w:val="6D6AF8A4"/>
    <w:rsid w:val="6D7526C0"/>
    <w:rsid w:val="6D7B057B"/>
    <w:rsid w:val="6D7E3B96"/>
    <w:rsid w:val="6D7FC796"/>
    <w:rsid w:val="6D87492E"/>
    <w:rsid w:val="6D91AEB4"/>
    <w:rsid w:val="6D95C8D8"/>
    <w:rsid w:val="6D96E64C"/>
    <w:rsid w:val="6D9A7BC6"/>
    <w:rsid w:val="6DA2D9A6"/>
    <w:rsid w:val="6DAD3C8D"/>
    <w:rsid w:val="6DB747A7"/>
    <w:rsid w:val="6DBB35D6"/>
    <w:rsid w:val="6DE19261"/>
    <w:rsid w:val="6DECC7AD"/>
    <w:rsid w:val="6DED8034"/>
    <w:rsid w:val="6DF0EB66"/>
    <w:rsid w:val="6DF6FB61"/>
    <w:rsid w:val="6E05EDCD"/>
    <w:rsid w:val="6E06801A"/>
    <w:rsid w:val="6E093A03"/>
    <w:rsid w:val="6E149E25"/>
    <w:rsid w:val="6E31FBA7"/>
    <w:rsid w:val="6E632C65"/>
    <w:rsid w:val="6E673147"/>
    <w:rsid w:val="6E7236AC"/>
    <w:rsid w:val="6E72B14A"/>
    <w:rsid w:val="6E87CE00"/>
    <w:rsid w:val="6E98F5F1"/>
    <w:rsid w:val="6EAF6ACC"/>
    <w:rsid w:val="6EB28346"/>
    <w:rsid w:val="6EB9F7A5"/>
    <w:rsid w:val="6ECC63DD"/>
    <w:rsid w:val="6ED21042"/>
    <w:rsid w:val="6ED54B92"/>
    <w:rsid w:val="6ED8F29D"/>
    <w:rsid w:val="6EF7A7D1"/>
    <w:rsid w:val="6F2D85B9"/>
    <w:rsid w:val="6F3EBA83"/>
    <w:rsid w:val="6F4270A5"/>
    <w:rsid w:val="6F691981"/>
    <w:rsid w:val="6F72214F"/>
    <w:rsid w:val="6F76784C"/>
    <w:rsid w:val="6F7A266A"/>
    <w:rsid w:val="6F99C247"/>
    <w:rsid w:val="6F9BA60B"/>
    <w:rsid w:val="6F9C5580"/>
    <w:rsid w:val="6FB122E0"/>
    <w:rsid w:val="6FC2C2E9"/>
    <w:rsid w:val="6FC66933"/>
    <w:rsid w:val="6FCB783A"/>
    <w:rsid w:val="6FCF479E"/>
    <w:rsid w:val="6FD68835"/>
    <w:rsid w:val="6FDB200A"/>
    <w:rsid w:val="6FE49981"/>
    <w:rsid w:val="6FFB7629"/>
    <w:rsid w:val="7005BABB"/>
    <w:rsid w:val="70095E76"/>
    <w:rsid w:val="70175427"/>
    <w:rsid w:val="701D8056"/>
    <w:rsid w:val="701DA1EF"/>
    <w:rsid w:val="7028E4DB"/>
    <w:rsid w:val="702DD01E"/>
    <w:rsid w:val="7042D5C9"/>
    <w:rsid w:val="70440C4B"/>
    <w:rsid w:val="7055BC53"/>
    <w:rsid w:val="7059C3EC"/>
    <w:rsid w:val="706204C9"/>
    <w:rsid w:val="706EF962"/>
    <w:rsid w:val="707233F0"/>
    <w:rsid w:val="707BAEB3"/>
    <w:rsid w:val="7082C5DD"/>
    <w:rsid w:val="7086E470"/>
    <w:rsid w:val="70A1A74F"/>
    <w:rsid w:val="70AEE72D"/>
    <w:rsid w:val="70BC54E5"/>
    <w:rsid w:val="70C07840"/>
    <w:rsid w:val="70F1B774"/>
    <w:rsid w:val="70F4F3A8"/>
    <w:rsid w:val="70F743E1"/>
    <w:rsid w:val="71009F22"/>
    <w:rsid w:val="710ACD8D"/>
    <w:rsid w:val="710D86EE"/>
    <w:rsid w:val="710DB924"/>
    <w:rsid w:val="7119BC3F"/>
    <w:rsid w:val="7122E96C"/>
    <w:rsid w:val="716C141B"/>
    <w:rsid w:val="717513AD"/>
    <w:rsid w:val="71790C3D"/>
    <w:rsid w:val="71A5A746"/>
    <w:rsid w:val="71BA13F4"/>
    <w:rsid w:val="71BC06CB"/>
    <w:rsid w:val="71BDD72C"/>
    <w:rsid w:val="71C14332"/>
    <w:rsid w:val="71CA8805"/>
    <w:rsid w:val="71D30F24"/>
    <w:rsid w:val="71F3C6FC"/>
    <w:rsid w:val="71F784D6"/>
    <w:rsid w:val="7208D696"/>
    <w:rsid w:val="720AD354"/>
    <w:rsid w:val="720AE79E"/>
    <w:rsid w:val="720DC5D1"/>
    <w:rsid w:val="7218BECD"/>
    <w:rsid w:val="721E06B8"/>
    <w:rsid w:val="721E6AD5"/>
    <w:rsid w:val="722CB8E3"/>
    <w:rsid w:val="722CDE88"/>
    <w:rsid w:val="72348E06"/>
    <w:rsid w:val="723EB0D4"/>
    <w:rsid w:val="724B2421"/>
    <w:rsid w:val="726F8063"/>
    <w:rsid w:val="72765913"/>
    <w:rsid w:val="72833124"/>
    <w:rsid w:val="72990EA9"/>
    <w:rsid w:val="72A6303E"/>
    <w:rsid w:val="72AECD8E"/>
    <w:rsid w:val="72B7F0CA"/>
    <w:rsid w:val="72CDFDC4"/>
    <w:rsid w:val="72D0ADFD"/>
    <w:rsid w:val="72EC9FD1"/>
    <w:rsid w:val="72F2D906"/>
    <w:rsid w:val="72F96141"/>
    <w:rsid w:val="72FA7525"/>
    <w:rsid w:val="72FCE945"/>
    <w:rsid w:val="73093BBA"/>
    <w:rsid w:val="730FAC64"/>
    <w:rsid w:val="7319508F"/>
    <w:rsid w:val="731C6C42"/>
    <w:rsid w:val="732FD036"/>
    <w:rsid w:val="734930CF"/>
    <w:rsid w:val="736B7BA3"/>
    <w:rsid w:val="73819591"/>
    <w:rsid w:val="7392C597"/>
    <w:rsid w:val="739498E9"/>
    <w:rsid w:val="7395BC3C"/>
    <w:rsid w:val="73987389"/>
    <w:rsid w:val="739C9F3E"/>
    <w:rsid w:val="73A74A23"/>
    <w:rsid w:val="73DA1175"/>
    <w:rsid w:val="73E3FC50"/>
    <w:rsid w:val="73E414A2"/>
    <w:rsid w:val="73F1B10E"/>
    <w:rsid w:val="73FA651F"/>
    <w:rsid w:val="74018335"/>
    <w:rsid w:val="740C6369"/>
    <w:rsid w:val="740CEDA0"/>
    <w:rsid w:val="74267F43"/>
    <w:rsid w:val="743DE4D7"/>
    <w:rsid w:val="7458F63C"/>
    <w:rsid w:val="745BE7A9"/>
    <w:rsid w:val="747BC751"/>
    <w:rsid w:val="747C9183"/>
    <w:rsid w:val="7498DF83"/>
    <w:rsid w:val="74AF9268"/>
    <w:rsid w:val="74B0311D"/>
    <w:rsid w:val="74D00D34"/>
    <w:rsid w:val="74D32D35"/>
    <w:rsid w:val="74DD11B1"/>
    <w:rsid w:val="74E421EF"/>
    <w:rsid w:val="74F184A3"/>
    <w:rsid w:val="750D00D9"/>
    <w:rsid w:val="7514A639"/>
    <w:rsid w:val="751656E6"/>
    <w:rsid w:val="751AA312"/>
    <w:rsid w:val="752090AC"/>
    <w:rsid w:val="7523CF0D"/>
    <w:rsid w:val="7527594A"/>
    <w:rsid w:val="753F1983"/>
    <w:rsid w:val="75411235"/>
    <w:rsid w:val="7549EFE1"/>
    <w:rsid w:val="754E3309"/>
    <w:rsid w:val="7556DEE6"/>
    <w:rsid w:val="755B1EDF"/>
    <w:rsid w:val="755DF584"/>
    <w:rsid w:val="757EFC85"/>
    <w:rsid w:val="7582AE12"/>
    <w:rsid w:val="7589AC2C"/>
    <w:rsid w:val="75966A6B"/>
    <w:rsid w:val="75B3D39C"/>
    <w:rsid w:val="75B822D9"/>
    <w:rsid w:val="75BD5E30"/>
    <w:rsid w:val="75C60EFA"/>
    <w:rsid w:val="75D68A7A"/>
    <w:rsid w:val="75DC02D6"/>
    <w:rsid w:val="75DD26E9"/>
    <w:rsid w:val="75E76A25"/>
    <w:rsid w:val="75F05510"/>
    <w:rsid w:val="76064774"/>
    <w:rsid w:val="7611AA09"/>
    <w:rsid w:val="7632A1A8"/>
    <w:rsid w:val="76451C82"/>
    <w:rsid w:val="76463F30"/>
    <w:rsid w:val="7646C340"/>
    <w:rsid w:val="764BEDB5"/>
    <w:rsid w:val="764D78E5"/>
    <w:rsid w:val="767667E9"/>
    <w:rsid w:val="768C625A"/>
    <w:rsid w:val="769289F1"/>
    <w:rsid w:val="769DC85C"/>
    <w:rsid w:val="76B8DBB4"/>
    <w:rsid w:val="76BA4613"/>
    <w:rsid w:val="76C0AED5"/>
    <w:rsid w:val="76E136D1"/>
    <w:rsid w:val="76E5E22E"/>
    <w:rsid w:val="76E9B511"/>
    <w:rsid w:val="76F6AD51"/>
    <w:rsid w:val="771AD022"/>
    <w:rsid w:val="7724D6C9"/>
    <w:rsid w:val="773D2913"/>
    <w:rsid w:val="773EF38B"/>
    <w:rsid w:val="77402190"/>
    <w:rsid w:val="7744994A"/>
    <w:rsid w:val="77476C01"/>
    <w:rsid w:val="77500763"/>
    <w:rsid w:val="7753616A"/>
    <w:rsid w:val="775EB85C"/>
    <w:rsid w:val="777C1EE2"/>
    <w:rsid w:val="777F3DF6"/>
    <w:rsid w:val="77848A29"/>
    <w:rsid w:val="778713D7"/>
    <w:rsid w:val="778A76B8"/>
    <w:rsid w:val="778C24E6"/>
    <w:rsid w:val="77D3AC5D"/>
    <w:rsid w:val="77DF59F3"/>
    <w:rsid w:val="77E95EE5"/>
    <w:rsid w:val="77F2481A"/>
    <w:rsid w:val="77FB512D"/>
    <w:rsid w:val="78014A26"/>
    <w:rsid w:val="78031234"/>
    <w:rsid w:val="780E9029"/>
    <w:rsid w:val="78131C37"/>
    <w:rsid w:val="782B6F22"/>
    <w:rsid w:val="78315B34"/>
    <w:rsid w:val="783C137B"/>
    <w:rsid w:val="784CB8BE"/>
    <w:rsid w:val="785C1A65"/>
    <w:rsid w:val="786D10EA"/>
    <w:rsid w:val="786F1A01"/>
    <w:rsid w:val="78774B14"/>
    <w:rsid w:val="7884FFE5"/>
    <w:rsid w:val="78861A0C"/>
    <w:rsid w:val="789B15E5"/>
    <w:rsid w:val="789FF349"/>
    <w:rsid w:val="78B60D02"/>
    <w:rsid w:val="78C6D895"/>
    <w:rsid w:val="78D58185"/>
    <w:rsid w:val="78DCAF38"/>
    <w:rsid w:val="79061380"/>
    <w:rsid w:val="79069D9F"/>
    <w:rsid w:val="7926CCD7"/>
    <w:rsid w:val="7948726B"/>
    <w:rsid w:val="794A97E6"/>
    <w:rsid w:val="795174E3"/>
    <w:rsid w:val="7952F0E9"/>
    <w:rsid w:val="795F4B4F"/>
    <w:rsid w:val="79631371"/>
    <w:rsid w:val="797B7B78"/>
    <w:rsid w:val="79879F80"/>
    <w:rsid w:val="798F2986"/>
    <w:rsid w:val="79A7F316"/>
    <w:rsid w:val="79B6D233"/>
    <w:rsid w:val="79EF9F30"/>
    <w:rsid w:val="79F61201"/>
    <w:rsid w:val="79FDC328"/>
    <w:rsid w:val="7A014103"/>
    <w:rsid w:val="7A208BD6"/>
    <w:rsid w:val="7A20F70E"/>
    <w:rsid w:val="7A3B6A65"/>
    <w:rsid w:val="7A452B51"/>
    <w:rsid w:val="7A507A7C"/>
    <w:rsid w:val="7A551852"/>
    <w:rsid w:val="7A580C70"/>
    <w:rsid w:val="7A72CD7D"/>
    <w:rsid w:val="7A83B502"/>
    <w:rsid w:val="7A968724"/>
    <w:rsid w:val="7AACC90A"/>
    <w:rsid w:val="7AB6DF9E"/>
    <w:rsid w:val="7AB71744"/>
    <w:rsid w:val="7AC3836D"/>
    <w:rsid w:val="7AC5327A"/>
    <w:rsid w:val="7AD0123B"/>
    <w:rsid w:val="7AE2568C"/>
    <w:rsid w:val="7AE392A8"/>
    <w:rsid w:val="7AEF3E8C"/>
    <w:rsid w:val="7B0F3342"/>
    <w:rsid w:val="7B0FC24E"/>
    <w:rsid w:val="7B176127"/>
    <w:rsid w:val="7B1F62F0"/>
    <w:rsid w:val="7B26FCE0"/>
    <w:rsid w:val="7B292D9D"/>
    <w:rsid w:val="7B2FF102"/>
    <w:rsid w:val="7B458303"/>
    <w:rsid w:val="7B51BCCE"/>
    <w:rsid w:val="7B58DAED"/>
    <w:rsid w:val="7B6468BF"/>
    <w:rsid w:val="7B7FD9BB"/>
    <w:rsid w:val="7B8DE089"/>
    <w:rsid w:val="7B9421E9"/>
    <w:rsid w:val="7BA03C10"/>
    <w:rsid w:val="7BA0D5B5"/>
    <w:rsid w:val="7BA3DF55"/>
    <w:rsid w:val="7BB0E813"/>
    <w:rsid w:val="7BB3D0A7"/>
    <w:rsid w:val="7BB50B97"/>
    <w:rsid w:val="7BBBD632"/>
    <w:rsid w:val="7BC72366"/>
    <w:rsid w:val="7BD097B1"/>
    <w:rsid w:val="7BD700D2"/>
    <w:rsid w:val="7BDB0EF8"/>
    <w:rsid w:val="7BDF73EC"/>
    <w:rsid w:val="7BDFF4BF"/>
    <w:rsid w:val="7BE8F2D4"/>
    <w:rsid w:val="7BEDF033"/>
    <w:rsid w:val="7C118171"/>
    <w:rsid w:val="7C15113F"/>
    <w:rsid w:val="7C1E93BF"/>
    <w:rsid w:val="7C232449"/>
    <w:rsid w:val="7C392255"/>
    <w:rsid w:val="7C49E62E"/>
    <w:rsid w:val="7C4F7DE6"/>
    <w:rsid w:val="7C54422D"/>
    <w:rsid w:val="7C5552AB"/>
    <w:rsid w:val="7C5F88DB"/>
    <w:rsid w:val="7C7971CC"/>
    <w:rsid w:val="7C7FCF62"/>
    <w:rsid w:val="7C8F5E6E"/>
    <w:rsid w:val="7CA048B2"/>
    <w:rsid w:val="7CA621FF"/>
    <w:rsid w:val="7CAA24D9"/>
    <w:rsid w:val="7CB168D2"/>
    <w:rsid w:val="7CB6D41A"/>
    <w:rsid w:val="7CBD3D41"/>
    <w:rsid w:val="7CC1CE8F"/>
    <w:rsid w:val="7CC4B7AB"/>
    <w:rsid w:val="7CE9E06D"/>
    <w:rsid w:val="7CFD11FC"/>
    <w:rsid w:val="7CFE9DA4"/>
    <w:rsid w:val="7D09B225"/>
    <w:rsid w:val="7D0D552C"/>
    <w:rsid w:val="7D0F1463"/>
    <w:rsid w:val="7D20EE59"/>
    <w:rsid w:val="7D32FC54"/>
    <w:rsid w:val="7D4CFC57"/>
    <w:rsid w:val="7D51E9A2"/>
    <w:rsid w:val="7D55281D"/>
    <w:rsid w:val="7D59A8BA"/>
    <w:rsid w:val="7D5E29C5"/>
    <w:rsid w:val="7D646497"/>
    <w:rsid w:val="7D6B4512"/>
    <w:rsid w:val="7D794C63"/>
    <w:rsid w:val="7DA2656A"/>
    <w:rsid w:val="7DAA3F3A"/>
    <w:rsid w:val="7DAD80FD"/>
    <w:rsid w:val="7DB4C690"/>
    <w:rsid w:val="7DB84996"/>
    <w:rsid w:val="7DBDB250"/>
    <w:rsid w:val="7DD178CE"/>
    <w:rsid w:val="7DDF911E"/>
    <w:rsid w:val="7DECED6A"/>
    <w:rsid w:val="7DF6E47F"/>
    <w:rsid w:val="7E09C177"/>
    <w:rsid w:val="7E0DBB29"/>
    <w:rsid w:val="7E1F1C11"/>
    <w:rsid w:val="7E3300EE"/>
    <w:rsid w:val="7E368DEE"/>
    <w:rsid w:val="7E381542"/>
    <w:rsid w:val="7E5EC3AB"/>
    <w:rsid w:val="7E8025B9"/>
    <w:rsid w:val="7E84D71D"/>
    <w:rsid w:val="7E9B6F06"/>
    <w:rsid w:val="7E9E992B"/>
    <w:rsid w:val="7EA9B94D"/>
    <w:rsid w:val="7EB44202"/>
    <w:rsid w:val="7EBC17E8"/>
    <w:rsid w:val="7EBF67A1"/>
    <w:rsid w:val="7EBF6A44"/>
    <w:rsid w:val="7EC2050A"/>
    <w:rsid w:val="7ECC014C"/>
    <w:rsid w:val="7EE27A63"/>
    <w:rsid w:val="7EE6328B"/>
    <w:rsid w:val="7EF31A5B"/>
    <w:rsid w:val="7EFD5B0D"/>
    <w:rsid w:val="7F2CED27"/>
    <w:rsid w:val="7F4B0986"/>
    <w:rsid w:val="7F5A1D75"/>
    <w:rsid w:val="7F709795"/>
    <w:rsid w:val="7F70A9E4"/>
    <w:rsid w:val="7F7318C6"/>
    <w:rsid w:val="7F738EEB"/>
    <w:rsid w:val="7F7E7D98"/>
    <w:rsid w:val="7F7EAC58"/>
    <w:rsid w:val="7F81957F"/>
    <w:rsid w:val="7FACCF2D"/>
    <w:rsid w:val="7FADE6B2"/>
    <w:rsid w:val="7FB9002C"/>
    <w:rsid w:val="7FBB7BE8"/>
    <w:rsid w:val="7FC01A73"/>
    <w:rsid w:val="7FC20FC9"/>
    <w:rsid w:val="7FC4BA20"/>
    <w:rsid w:val="7FE8C130"/>
    <w:rsid w:val="7FE938AC"/>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1F5F2"/>
  <w15:chartTrackingRefBased/>
  <w15:docId w15:val="{FF091F46-9659-4478-AE3B-68A473D2A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4"/>
        <w:szCs w:val="24"/>
        <w:lang w:val="fr-FR"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31E20"/>
    <w:pPr>
      <w:spacing w:after="120" w:line="360" w:lineRule="auto"/>
      <w:jc w:val="both"/>
    </w:pPr>
    <w:rPr>
      <w:rFonts w:ascii="Times New Roman" w:hAnsi="Times New Roman"/>
    </w:rPr>
  </w:style>
  <w:style w:type="paragraph" w:styleId="Titre1">
    <w:name w:val="heading 1"/>
    <w:basedOn w:val="Normal"/>
    <w:next w:val="Normal"/>
    <w:uiPriority w:val="9"/>
    <w:qFormat/>
    <w:rsid w:val="002F6EBA"/>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Titre2">
    <w:name w:val="heading 2"/>
    <w:basedOn w:val="Normal"/>
    <w:next w:val="Normal"/>
    <w:uiPriority w:val="9"/>
    <w:semiHidden/>
    <w:unhideWhenUsed/>
    <w:qFormat/>
    <w:rsid w:val="002F6EBA"/>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Titre3">
    <w:name w:val="heading 3"/>
    <w:basedOn w:val="Normal"/>
    <w:next w:val="Normal"/>
    <w:uiPriority w:val="9"/>
    <w:semiHidden/>
    <w:unhideWhenUsed/>
    <w:qFormat/>
    <w:rsid w:val="002F6EBA"/>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uiPriority w:val="9"/>
    <w:semiHidden/>
    <w:unhideWhenUsed/>
    <w:qFormat/>
    <w:rsid w:val="002F6EBA"/>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uiPriority w:val="9"/>
    <w:semiHidden/>
    <w:unhideWhenUsed/>
    <w:qFormat/>
    <w:rsid w:val="002F6EBA"/>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uiPriority w:val="9"/>
    <w:semiHidden/>
    <w:unhideWhenUsed/>
    <w:qFormat/>
    <w:rsid w:val="002F6EBA"/>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uiPriority w:val="9"/>
    <w:semiHidden/>
    <w:unhideWhenUsed/>
    <w:qFormat/>
    <w:rsid w:val="002F6EBA"/>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uiPriority w:val="9"/>
    <w:semiHidden/>
    <w:unhideWhenUsed/>
    <w:qFormat/>
    <w:rsid w:val="002F6EBA"/>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uiPriority w:val="9"/>
    <w:semiHidden/>
    <w:unhideWhenUsed/>
    <w:qFormat/>
    <w:rsid w:val="002F6EBA"/>
    <w:pPr>
      <w:keepNext/>
      <w:keepLines/>
      <w:spacing w:after="0"/>
      <w:outlineLvl w:val="8"/>
    </w:pPr>
    <w:rPr>
      <w:rFonts w:eastAsiaTheme="majorEastAsia" w:cstheme="majorBidi"/>
      <w:color w:val="272727" w:themeColor="text1" w:themeTint="D8"/>
    </w:rPr>
  </w:style>
  <w:style w:type="character" w:styleId="Policepardfaut" w:default="1">
    <w:name w:val="Default Paragraph Font"/>
    <w:uiPriority w:val="1"/>
    <w:unhideWhenUsed/>
  </w:style>
  <w:style w:type="table" w:styleId="TableauNormal" w:default="1">
    <w:name w:val="Normal Table"/>
    <w:uiPriority w:val="99"/>
    <w:semiHidden/>
    <w:unhideWhenUsed/>
    <w:tblPr>
      <w:tblInd w:w="0" w:type="dxa"/>
      <w:tblCellMar>
        <w:top w:w="0" w:type="dxa"/>
        <w:left w:w="108" w:type="dxa"/>
        <w:bottom w:w="0" w:type="dxa"/>
        <w:right w:w="108" w:type="dxa"/>
      </w:tblCellMar>
    </w:tblPr>
  </w:style>
  <w:style w:type="numbering" w:styleId="Aucuneliste" w:default="1">
    <w:name w:val="No List"/>
    <w:uiPriority w:val="99"/>
    <w:semiHidden/>
    <w:unhideWhenUsed/>
  </w:style>
  <w:style w:type="paragraph" w:styleId="Articletitle" w:customStyle="1">
    <w:name w:val="Article title"/>
    <w:basedOn w:val="Normal"/>
    <w:next w:val="Normal"/>
    <w:qFormat/>
    <w:rsid w:val="00E42237"/>
    <w:rPr>
      <w:rFonts w:eastAsia="Times New Roman" w:cs="Times New Roman"/>
      <w:b/>
      <w:sz w:val="28"/>
      <w:lang w:val="en-GB" w:eastAsia="en-GB"/>
    </w:rPr>
  </w:style>
  <w:style w:type="paragraph" w:styleId="Authornames" w:customStyle="1">
    <w:name w:val="Author names"/>
    <w:basedOn w:val="Normal"/>
    <w:next w:val="Normal"/>
    <w:qFormat/>
    <w:rsid w:val="00E42237"/>
    <w:pPr>
      <w:spacing w:before="240" w:after="0"/>
    </w:pPr>
    <w:rPr>
      <w:rFonts w:eastAsia="Times New Roman" w:cs="Times New Roman"/>
      <w:sz w:val="28"/>
      <w:lang w:val="en-GB" w:eastAsia="en-GB"/>
    </w:rPr>
  </w:style>
  <w:style w:type="paragraph" w:styleId="Affiliation" w:customStyle="1">
    <w:name w:val="Affiliation"/>
    <w:basedOn w:val="Normal"/>
    <w:qFormat/>
    <w:rsid w:val="00E42237"/>
    <w:pPr>
      <w:spacing w:before="240" w:after="0"/>
    </w:pPr>
    <w:rPr>
      <w:rFonts w:eastAsia="Times New Roman" w:cs="Times New Roman"/>
      <w:i/>
      <w:lang w:val="en-GB" w:eastAsia="en-GB"/>
    </w:rPr>
  </w:style>
  <w:style w:type="character" w:styleId="Appelnotedebasdep">
    <w:name w:val="footnote reference"/>
    <w:basedOn w:val="Policepardfaut"/>
    <w:rsid w:val="00E42237"/>
    <w:rPr>
      <w:vertAlign w:val="superscript"/>
    </w:rPr>
  </w:style>
  <w:style w:type="paragraph" w:styleId="En-tte">
    <w:name w:val="header"/>
    <w:basedOn w:val="Normal"/>
    <w:link w:val="En-tteCar"/>
    <w:uiPriority w:val="99"/>
    <w:semiHidden/>
    <w:unhideWhenUsed/>
    <w:rsid w:val="000B47EC"/>
    <w:pPr>
      <w:tabs>
        <w:tab w:val="center" w:pos="4703"/>
        <w:tab w:val="right" w:pos="9406"/>
      </w:tabs>
      <w:spacing w:after="0" w:line="240" w:lineRule="auto"/>
    </w:pPr>
  </w:style>
  <w:style w:type="character" w:styleId="En-tteCar" w:customStyle="1">
    <w:name w:val="En-tête Car"/>
    <w:basedOn w:val="Policepardfaut"/>
    <w:link w:val="En-tte"/>
    <w:uiPriority w:val="99"/>
    <w:semiHidden/>
    <w:rsid w:val="000B47EC"/>
  </w:style>
  <w:style w:type="paragraph" w:styleId="Pieddepage">
    <w:name w:val="footer"/>
    <w:basedOn w:val="Normal"/>
    <w:link w:val="PieddepageCar"/>
    <w:uiPriority w:val="99"/>
    <w:semiHidden/>
    <w:unhideWhenUsed/>
    <w:rsid w:val="000B47EC"/>
    <w:pPr>
      <w:tabs>
        <w:tab w:val="center" w:pos="4703"/>
        <w:tab w:val="right" w:pos="9406"/>
      </w:tabs>
      <w:spacing w:after="0" w:line="240" w:lineRule="auto"/>
    </w:pPr>
  </w:style>
  <w:style w:type="character" w:styleId="PieddepageCar" w:customStyle="1">
    <w:name w:val="Pied de page Car"/>
    <w:basedOn w:val="Policepardfaut"/>
    <w:link w:val="Pieddepage"/>
    <w:uiPriority w:val="99"/>
    <w:semiHidden/>
    <w:rsid w:val="000B47EC"/>
  </w:style>
  <w:style w:type="character" w:styleId="Lienhypertexte">
    <w:name w:val="Hyperlink"/>
    <w:basedOn w:val="Policepardfaut"/>
    <w:uiPriority w:val="99"/>
    <w:unhideWhenUsed/>
    <w:rsid w:val="00515816"/>
    <w:rPr>
      <w:color w:val="467886" w:themeColor="hyperlink"/>
      <w:u w:val="single"/>
    </w:rPr>
  </w:style>
  <w:style w:type="paragraph" w:styleId="Notedebasdepage">
    <w:name w:val="footnote text"/>
    <w:basedOn w:val="Normal"/>
    <w:link w:val="NotedebasdepageCar"/>
    <w:uiPriority w:val="99"/>
    <w:semiHidden/>
    <w:unhideWhenUsed/>
    <w:rsid w:val="0041439B"/>
    <w:pPr>
      <w:spacing w:after="0" w:line="240" w:lineRule="auto"/>
    </w:pPr>
    <w:rPr>
      <w:sz w:val="20"/>
      <w:szCs w:val="20"/>
    </w:rPr>
  </w:style>
  <w:style w:type="character" w:styleId="NotedebasdepageCar" w:customStyle="1">
    <w:name w:val="Note de bas de page Car"/>
    <w:basedOn w:val="Policepardfaut"/>
    <w:link w:val="Notedebasdepage"/>
    <w:uiPriority w:val="99"/>
    <w:semiHidden/>
    <w:rsid w:val="0041439B"/>
    <w:rPr>
      <w:sz w:val="20"/>
      <w:szCs w:val="20"/>
    </w:rPr>
  </w:style>
  <w:style w:type="paragraph" w:styleId="Rvision">
    <w:name w:val="Revision"/>
    <w:hidden/>
    <w:uiPriority w:val="99"/>
    <w:semiHidden/>
    <w:rsid w:val="007A073E"/>
    <w:pPr>
      <w:spacing w:after="0" w:line="240" w:lineRule="auto"/>
    </w:pPr>
  </w:style>
  <w:style w:type="paragraph" w:styleId="Citation">
    <w:name w:val="Quote"/>
    <w:basedOn w:val="Normal"/>
    <w:next w:val="Normal"/>
    <w:link w:val="CitationCar"/>
    <w:uiPriority w:val="29"/>
    <w:qFormat/>
    <w:rsid w:val="00495F26"/>
    <w:pPr>
      <w:spacing w:line="240" w:lineRule="auto"/>
      <w:ind w:left="567"/>
    </w:pPr>
    <w:rPr>
      <w:rFonts w:asciiTheme="minorHAnsi" w:hAnsiTheme="minorHAnsi"/>
      <w:i/>
      <w:iCs/>
      <w:color w:val="404040" w:themeColor="text1" w:themeTint="BF"/>
      <w:sz w:val="20"/>
    </w:rPr>
  </w:style>
  <w:style w:type="character" w:styleId="CitationCar" w:customStyle="1">
    <w:name w:val="Citation Car"/>
    <w:basedOn w:val="Policepardfaut"/>
    <w:link w:val="Citation"/>
    <w:uiPriority w:val="29"/>
    <w:rsid w:val="00495F26"/>
    <w:rPr>
      <w:i/>
      <w:iCs/>
      <w:color w:val="404040" w:themeColor="text1" w:themeTint="BF"/>
      <w:sz w:val="20"/>
    </w:rPr>
  </w:style>
  <w:style w:type="paragraph" w:styleId="Citationintense">
    <w:name w:val="Intense Quote"/>
    <w:basedOn w:val="Normal"/>
    <w:next w:val="Normal"/>
    <w:link w:val="CitationintenseCar"/>
    <w:uiPriority w:val="30"/>
    <w:qFormat/>
    <w:rsid w:val="00722848"/>
    <w:pPr>
      <w:pBdr>
        <w:top w:val="single" w:color="156082" w:themeColor="accent1" w:sz="4" w:space="10"/>
        <w:bottom w:val="single" w:color="156082" w:themeColor="accent1" w:sz="4" w:space="10"/>
      </w:pBdr>
      <w:spacing w:before="360" w:after="360"/>
      <w:ind w:left="864" w:right="864"/>
      <w:jc w:val="center"/>
    </w:pPr>
    <w:rPr>
      <w:i/>
      <w:iCs/>
      <w:color w:val="156082" w:themeColor="accent1"/>
    </w:rPr>
  </w:style>
  <w:style w:type="character" w:styleId="CitationintenseCar" w:customStyle="1">
    <w:name w:val="Citation intense Car"/>
    <w:basedOn w:val="Policepardfaut"/>
    <w:link w:val="Citationintense"/>
    <w:uiPriority w:val="30"/>
    <w:rsid w:val="00722848"/>
    <w:rPr>
      <w:i/>
      <w:iCs/>
      <w:color w:val="156082" w:themeColor="accent1"/>
    </w:rPr>
  </w:style>
  <w:style w:type="paragraph" w:styleId="NormalWeb">
    <w:name w:val="Normal (Web)"/>
    <w:basedOn w:val="Normal"/>
    <w:uiPriority w:val="99"/>
    <w:semiHidden/>
    <w:unhideWhenUsed/>
    <w:rsid w:val="0052481C"/>
    <w:pPr>
      <w:spacing w:before="100" w:beforeAutospacing="1" w:after="100" w:afterAutospacing="1" w:line="240" w:lineRule="auto"/>
    </w:pPr>
    <w:rPr>
      <w:rFonts w:eastAsia="Times New Roman" w:cs="Times New Roman"/>
      <w:lang w:val="en-US"/>
    </w:rPr>
  </w:style>
  <w:style w:type="paragraph" w:styleId="Paragraphedeliste">
    <w:name w:val="List Paragraph"/>
    <w:basedOn w:val="Normal"/>
    <w:uiPriority w:val="34"/>
    <w:qFormat/>
    <w:rsid w:val="00820713"/>
    <w:pPr>
      <w:ind w:left="720"/>
      <w:contextualSpacing/>
    </w:pPr>
  </w:style>
  <w:style w:type="paragraph" w:styleId="Bibliographie">
    <w:name w:val="Bibliography"/>
    <w:basedOn w:val="Normal"/>
    <w:next w:val="Normal"/>
    <w:uiPriority w:val="37"/>
    <w:unhideWhenUsed/>
    <w:rsid w:val="006C580B"/>
    <w:pPr>
      <w:spacing w:after="240" w:line="240" w:lineRule="auto"/>
    </w:pPr>
  </w:style>
  <w:style w:type="character" w:styleId="Marquedecommentaire">
    <w:name w:val="annotation reference"/>
    <w:basedOn w:val="Policepardfaut"/>
    <w:uiPriority w:val="99"/>
    <w:semiHidden/>
    <w:unhideWhenUsed/>
    <w:rsid w:val="00B72D78"/>
    <w:rPr>
      <w:sz w:val="16"/>
      <w:szCs w:val="16"/>
    </w:rPr>
  </w:style>
  <w:style w:type="paragraph" w:styleId="Commentaire">
    <w:name w:val="annotation text"/>
    <w:basedOn w:val="Normal"/>
    <w:link w:val="CommentaireCar"/>
    <w:uiPriority w:val="99"/>
    <w:unhideWhenUsed/>
    <w:rsid w:val="00B72D78"/>
    <w:pPr>
      <w:spacing w:line="240" w:lineRule="auto"/>
    </w:pPr>
    <w:rPr>
      <w:sz w:val="20"/>
      <w:szCs w:val="20"/>
    </w:rPr>
  </w:style>
  <w:style w:type="character" w:styleId="CommentaireCar" w:customStyle="1">
    <w:name w:val="Commentaire Car"/>
    <w:basedOn w:val="Policepardfaut"/>
    <w:link w:val="Commentaire"/>
    <w:uiPriority w:val="99"/>
    <w:rsid w:val="00B72D78"/>
    <w:rPr>
      <w:sz w:val="20"/>
      <w:szCs w:val="20"/>
    </w:rPr>
  </w:style>
  <w:style w:type="paragraph" w:styleId="Objetducommentaire">
    <w:name w:val="annotation subject"/>
    <w:basedOn w:val="Commentaire"/>
    <w:next w:val="Commentaire"/>
    <w:link w:val="ObjetducommentaireCar"/>
    <w:uiPriority w:val="99"/>
    <w:semiHidden/>
    <w:unhideWhenUsed/>
    <w:rsid w:val="00B72D78"/>
    <w:rPr>
      <w:b/>
      <w:bCs/>
    </w:rPr>
  </w:style>
  <w:style w:type="character" w:styleId="ObjetducommentaireCar" w:customStyle="1">
    <w:name w:val="Objet du commentaire Car"/>
    <w:basedOn w:val="CommentaireCar"/>
    <w:link w:val="Objetducommentaire"/>
    <w:uiPriority w:val="99"/>
    <w:semiHidden/>
    <w:rsid w:val="00B72D78"/>
    <w:rPr>
      <w:b/>
      <w:bCs/>
      <w:sz w:val="20"/>
      <w:szCs w:val="20"/>
    </w:rPr>
  </w:style>
  <w:style w:type="character" w:styleId="Mentionnonrsolue">
    <w:name w:val="Unresolved Mention"/>
    <w:basedOn w:val="Policepardfaut"/>
    <w:uiPriority w:val="99"/>
    <w:semiHidden/>
    <w:unhideWhenUsed/>
    <w:rsid w:val="000F6E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0396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2.png"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customXml" Target="../customXml/item1.xml" Id="rId1" /><Relationship Type="http://schemas.openxmlformats.org/officeDocument/2006/relationships/endnotes" Target="endnotes.xml" Id="rId6" /><Relationship Type="http://schemas.openxmlformats.org/officeDocument/2006/relationships/image" Target="media/image5.png" Id="rId11" /><Relationship Type="http://schemas.openxmlformats.org/officeDocument/2006/relationships/footnotes" Target="footnotes.xml" Id="rId5" /><Relationship Type="http://schemas.openxmlformats.org/officeDocument/2006/relationships/image" Target="media/image4.png" Id="rId10" /><Relationship Type="http://schemas.openxmlformats.org/officeDocument/2006/relationships/webSettings" Target="webSettings.xml" Id="rId4" /><Relationship Type="http://schemas.openxmlformats.org/officeDocument/2006/relationships/image" Target="media/image3.png" Id="rId9" /></Relationships>
</file>

<file path=word/_rels/footnotes.xml.rels><?xml version="1.0" encoding="UTF-8" standalone="yes"?>
<Relationships xmlns="http://schemas.openxmlformats.org/package/2006/relationships"><Relationship Id="rId1" Type="http://schemas.openxmlformats.org/officeDocument/2006/relationships/hyperlink" Target="https://www.ecb.europa.eu/press/pr/date/2021/html/ecb.pr210708_1~f104919225.e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938894-B88A-4E14-9DC3-0930B27BBAE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Clément Fontan</dc:creator>
  <keywords/>
  <dc:description/>
  <lastModifiedBy>Aurélien Goutsmedt</lastModifiedBy>
  <revision>33</revision>
  <dcterms:created xsi:type="dcterms:W3CDTF">2025-01-20T21:05:00.0000000Z</dcterms:created>
  <dcterms:modified xsi:type="dcterms:W3CDTF">2025-01-23T20:06:32.8467331Z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zotero-version="7.0.11"&gt;&lt;session id="OcIl7tjR"/&gt;&lt;style id="http://www.zotero.org/styles/universite-de-lausanne-histoire" hasBibliography="1" bibliographyStyleHasBeenSet="1"/&gt;&lt;prefs&gt;&lt;pref name="fieldType" value="Field"/&gt;&lt;pref name="a</vt:lpwstr>
  </property>
  <property fmtid="{D5CDD505-2E9C-101B-9397-08002B2CF9AE}" pid="3" name="ZOTERO_PREF_2">
    <vt:lpwstr>utomaticJournalAbbreviations" value="true"/&gt;&lt;pref name="noteType" value="1"/&gt;&lt;/prefs&gt;&lt;/data&gt;</vt:lpwstr>
  </property>
</Properties>
</file>