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5DD27" w14:textId="68174E2B" w:rsidR="005B7CBF" w:rsidRDefault="00695462">
      <w:r w:rsidRPr="00695462">
        <w:rPr>
          <w:i/>
          <w:iCs/>
          <w:lang w:val="nl-NL"/>
        </w:rPr>
        <w:t>Ons Geestelijk Erf</w:t>
      </w:r>
      <w:r w:rsidRPr="00695462">
        <w:t>, 9</w:t>
      </w:r>
      <w:r>
        <w:t>2</w:t>
      </w:r>
      <w:r w:rsidRPr="00695462">
        <w:t>/</w:t>
      </w:r>
      <w:r>
        <w:t>3</w:t>
      </w:r>
      <w:r w:rsidRPr="00695462">
        <w:t>-</w:t>
      </w:r>
      <w:r>
        <w:t>4</w:t>
      </w:r>
      <w:r w:rsidRPr="00695462">
        <w:t xml:space="preserve"> (202</w:t>
      </w:r>
      <w:r>
        <w:t>2</w:t>
      </w:r>
      <w:r w:rsidRPr="00695462">
        <w:t xml:space="preserve">) : </w:t>
      </w:r>
      <w:r w:rsidRPr="00D22103">
        <w:rPr>
          <w:lang w:val="la-Latn"/>
        </w:rPr>
        <w:t>Jhesus collacien</w:t>
      </w:r>
      <w:r w:rsidRPr="00695462">
        <w:t>. Peeters, Leuven 202</w:t>
      </w:r>
      <w:r>
        <w:t>2</w:t>
      </w:r>
      <w:r w:rsidRPr="00695462">
        <w:t>, 24x16cm, 285 p</w:t>
      </w:r>
      <w:r>
        <w:t>.</w:t>
      </w:r>
      <w:r w:rsidRPr="00695462">
        <w:t xml:space="preserve"> ISSN : 0774-2827.</w:t>
      </w:r>
    </w:p>
    <w:p w14:paraId="2FE98902" w14:textId="13AAD525" w:rsidR="00F35774" w:rsidRDefault="00207298">
      <w:r>
        <w:t>Le volume</w:t>
      </w:r>
      <w:r w:rsidR="00FA303B">
        <w:t xml:space="preserve"> thématique</w:t>
      </w:r>
      <w:r>
        <w:t xml:space="preserve">, </w:t>
      </w:r>
      <w:r w:rsidR="007E2990">
        <w:t xml:space="preserve">dirigé par K. </w:t>
      </w:r>
      <w:r w:rsidR="007E2990" w:rsidRPr="00A67133">
        <w:rPr>
          <w:lang w:val="nl-NL"/>
        </w:rPr>
        <w:t>Schepers</w:t>
      </w:r>
      <w:r w:rsidR="007E2990">
        <w:t xml:space="preserve">, T. Mertens et P. </w:t>
      </w:r>
      <w:r w:rsidR="007E2990" w:rsidRPr="00A67133">
        <w:rPr>
          <w:lang w:val="nl-NL"/>
        </w:rPr>
        <w:t>Stoop</w:t>
      </w:r>
      <w:r w:rsidR="007E2990">
        <w:t xml:space="preserve">, est consacré </w:t>
      </w:r>
      <w:r w:rsidR="00193405">
        <w:t>au cycle en moyen néerlandais</w:t>
      </w:r>
      <w:r w:rsidR="007E2990">
        <w:t xml:space="preserve"> </w:t>
      </w:r>
      <w:r w:rsidR="007E2990" w:rsidRPr="00A67133">
        <w:rPr>
          <w:i/>
          <w:iCs/>
          <w:lang w:val="la-Latn"/>
        </w:rPr>
        <w:t>Jhesus collacien</w:t>
      </w:r>
      <w:r w:rsidR="00193405">
        <w:t xml:space="preserve">. Ce recueil de sermons rassemble 72 visions </w:t>
      </w:r>
      <w:r w:rsidR="00B57FF7">
        <w:t>d’une servante du Christ (</w:t>
      </w:r>
      <w:r w:rsidR="00B57FF7" w:rsidRPr="00A67133">
        <w:rPr>
          <w:i/>
          <w:iCs/>
          <w:lang w:val="nl-NL"/>
        </w:rPr>
        <w:t>deerne</w:t>
      </w:r>
      <w:r w:rsidR="00B57FF7" w:rsidRPr="00A67133">
        <w:rPr>
          <w:i/>
          <w:iCs/>
        </w:rPr>
        <w:t xml:space="preserve"> Christi</w:t>
      </w:r>
      <w:r w:rsidR="00B57FF7">
        <w:t xml:space="preserve">) à qui Jésus-Christ et l’Esprit-Saint prêchent </w:t>
      </w:r>
      <w:r w:rsidR="00FA303B">
        <w:t xml:space="preserve">du Mercredi des Cendres au Samedi saint. </w:t>
      </w:r>
      <w:r w:rsidR="00C94BBE">
        <w:t xml:space="preserve">En guise d’introduction, </w:t>
      </w:r>
      <w:r w:rsidR="00FA303B">
        <w:t xml:space="preserve">T. Mertens propose </w:t>
      </w:r>
      <w:r w:rsidR="00C94BBE">
        <w:t xml:space="preserve">un aperçu de l’état de la recherche sur </w:t>
      </w:r>
      <w:r w:rsidR="00C94BBE" w:rsidRPr="00C94BBE">
        <w:rPr>
          <w:i/>
          <w:iCs/>
          <w:lang w:val="la-Latn"/>
        </w:rPr>
        <w:t>Jhesus collacien</w:t>
      </w:r>
      <w:r w:rsidR="00C94BBE">
        <w:t xml:space="preserve">, </w:t>
      </w:r>
      <w:r w:rsidR="008C7D07">
        <w:t>sans manquer d’en dresser la tradition manuscrite (p. 210-213)</w:t>
      </w:r>
      <w:r w:rsidR="00E75876">
        <w:t xml:space="preserve"> et de proposer une datation à partir du ms</w:t>
      </w:r>
      <w:r w:rsidR="008C7D07">
        <w:t>.</w:t>
      </w:r>
      <w:r w:rsidR="00E75876">
        <w:t xml:space="preserve"> Bruxelles, KBR, 15139. </w:t>
      </w:r>
      <w:r w:rsidR="00CC0BAF">
        <w:t xml:space="preserve">B. </w:t>
      </w:r>
      <w:r w:rsidR="00CC0BAF" w:rsidRPr="00F35774">
        <w:rPr>
          <w:lang w:val="nl-NL"/>
        </w:rPr>
        <w:t>Zimbalist</w:t>
      </w:r>
      <w:r w:rsidR="00CC0BAF">
        <w:t xml:space="preserve"> examine les sermons du Saint-Esprit dans le recueil à l’aune de la culture dévotionnelle des Pays-Bas</w:t>
      </w:r>
      <w:r w:rsidR="007E5477">
        <w:t xml:space="preserve"> et V. </w:t>
      </w:r>
      <w:r w:rsidR="007E5477" w:rsidRPr="00F35774">
        <w:rPr>
          <w:lang w:val="la-Latn"/>
        </w:rPr>
        <w:t>Fraeters</w:t>
      </w:r>
      <w:r w:rsidR="007E5477">
        <w:t xml:space="preserve"> propose une analyse comparée du </w:t>
      </w:r>
      <w:r w:rsidR="007E5477" w:rsidRPr="00C94BBE">
        <w:rPr>
          <w:i/>
          <w:iCs/>
          <w:lang w:val="la-Latn"/>
        </w:rPr>
        <w:t>Jhesus collacien</w:t>
      </w:r>
      <w:r w:rsidR="007E5477">
        <w:t xml:space="preserve"> avec </w:t>
      </w:r>
      <w:r w:rsidR="00836AB9">
        <w:t xml:space="preserve">les </w:t>
      </w:r>
      <w:r w:rsidR="00836AB9" w:rsidRPr="00836AB9">
        <w:rPr>
          <w:i/>
          <w:iCs/>
        </w:rPr>
        <w:t>Visions</w:t>
      </w:r>
      <w:r w:rsidR="00836AB9">
        <w:t xml:space="preserve"> d’</w:t>
      </w:r>
      <w:r w:rsidR="00836AB9" w:rsidRPr="00F35774">
        <w:rPr>
          <w:lang w:val="la-Latn"/>
        </w:rPr>
        <w:t>Hadewijch</w:t>
      </w:r>
      <w:r w:rsidR="00836AB9">
        <w:t xml:space="preserve">. </w:t>
      </w:r>
      <w:r w:rsidR="009723B2">
        <w:t xml:space="preserve">À partir du recueil, </w:t>
      </w:r>
      <w:r w:rsidR="00836AB9">
        <w:t xml:space="preserve">K. </w:t>
      </w:r>
      <w:r w:rsidR="00836AB9" w:rsidRPr="00F35774">
        <w:rPr>
          <w:lang w:val="nl-NL"/>
        </w:rPr>
        <w:t>Goudriaan</w:t>
      </w:r>
      <w:r w:rsidR="00437B57">
        <w:t xml:space="preserve"> </w:t>
      </w:r>
      <w:r w:rsidR="00A614D6">
        <w:t>étudie</w:t>
      </w:r>
      <w:r w:rsidR="009723B2">
        <w:t xml:space="preserve"> le déploiement du Tiers-Ordre franciscain</w:t>
      </w:r>
      <w:r w:rsidR="00836AB9">
        <w:t xml:space="preserve"> </w:t>
      </w:r>
      <w:r w:rsidR="00A614D6">
        <w:t xml:space="preserve">dans les Pays-Bas </w:t>
      </w:r>
      <w:r w:rsidR="00306A08">
        <w:t xml:space="preserve">(mss cités : Leiden, </w:t>
      </w:r>
      <w:r w:rsidR="00955564">
        <w:t>BU</w:t>
      </w:r>
      <w:r w:rsidR="00306A08">
        <w:t xml:space="preserve">, </w:t>
      </w:r>
      <w:r w:rsidR="00306A08" w:rsidRPr="00C5221F">
        <w:rPr>
          <w:lang w:val="la-Latn"/>
        </w:rPr>
        <w:t>Ltk</w:t>
      </w:r>
      <w:r w:rsidR="00306A08">
        <w:t xml:space="preserve"> 330 ; Bruxelles, KBR, 4904-4906, 21892).</w:t>
      </w:r>
      <w:r w:rsidR="00A614D6">
        <w:t xml:space="preserve"> La fin du volume est dédiée aux relations qu’entretien</w:t>
      </w:r>
      <w:r w:rsidR="00F35774">
        <w:t>nen</w:t>
      </w:r>
      <w:r w:rsidR="00A614D6">
        <w:t xml:space="preserve">t </w:t>
      </w:r>
      <w:r w:rsidR="00F35774">
        <w:t xml:space="preserve">deux collections gantoises avec </w:t>
      </w:r>
      <w:r w:rsidR="00A614D6" w:rsidRPr="00C5221F">
        <w:rPr>
          <w:i/>
          <w:iCs/>
          <w:lang w:val="la-Latn"/>
        </w:rPr>
        <w:t>Jhesus collacien</w:t>
      </w:r>
      <w:r w:rsidR="00F35774">
        <w:t xml:space="preserve">, dont elles s’inspirent. </w:t>
      </w:r>
      <w:r w:rsidR="00C5221F">
        <w:t xml:space="preserve">T. Mertens édite ensuite les </w:t>
      </w:r>
      <w:r w:rsidR="00C5221F" w:rsidRPr="00C5221F">
        <w:rPr>
          <w:i/>
          <w:iCs/>
        </w:rPr>
        <w:t xml:space="preserve">Collations gantoises de Dieu le Père </w:t>
      </w:r>
      <w:r w:rsidR="00C5221F">
        <w:t xml:space="preserve">et les </w:t>
      </w:r>
      <w:r w:rsidR="00C5221F" w:rsidRPr="00C5221F">
        <w:rPr>
          <w:i/>
          <w:iCs/>
        </w:rPr>
        <w:t>Collations gantoises de Jésus</w:t>
      </w:r>
      <w:r w:rsidR="00C5221F">
        <w:t xml:space="preserve"> à partir de leur unique témoin</w:t>
      </w:r>
      <w:r w:rsidR="00955564">
        <w:t xml:space="preserve"> manuscrit (ms. </w:t>
      </w:r>
      <w:r w:rsidR="00C5221F">
        <w:t xml:space="preserve">Gent, </w:t>
      </w:r>
      <w:r w:rsidR="00955564">
        <w:t>UGent, 1038).</w:t>
      </w:r>
    </w:p>
    <w:p w14:paraId="15878CF1" w14:textId="77777777" w:rsidR="00193405" w:rsidRDefault="00193405"/>
    <w:p w14:paraId="2A375816" w14:textId="16AF92A7" w:rsidR="00695462" w:rsidRDefault="00695462" w:rsidP="00695462">
      <w:r w:rsidRPr="00695462">
        <w:rPr>
          <w:i/>
          <w:iCs/>
          <w:lang w:val="nl-NL"/>
        </w:rPr>
        <w:t>Ons Geestelijk Erf</w:t>
      </w:r>
      <w:r w:rsidRPr="00695462">
        <w:t>, 9</w:t>
      </w:r>
      <w:r>
        <w:t>3</w:t>
      </w:r>
      <w:r w:rsidRPr="00695462">
        <w:t>/</w:t>
      </w:r>
      <w:r>
        <w:t>1</w:t>
      </w:r>
      <w:r w:rsidRPr="00695462">
        <w:t xml:space="preserve"> (202</w:t>
      </w:r>
      <w:r>
        <w:t>3</w:t>
      </w:r>
      <w:r w:rsidRPr="00695462">
        <w:t>). Peeters, Leuven 202</w:t>
      </w:r>
      <w:r>
        <w:t>2</w:t>
      </w:r>
      <w:r w:rsidRPr="00695462">
        <w:t>, 24x16cm, 285 p</w:t>
      </w:r>
      <w:r>
        <w:t>.</w:t>
      </w:r>
      <w:r w:rsidRPr="00695462">
        <w:t xml:space="preserve"> ISSN : 0774-2827.</w:t>
      </w:r>
    </w:p>
    <w:p w14:paraId="060A4B8D" w14:textId="77777777" w:rsidR="00955224" w:rsidRDefault="00E405F0" w:rsidP="002446C4">
      <w:r>
        <w:t xml:space="preserve">L’article de </w:t>
      </w:r>
      <w:r w:rsidR="00022C38">
        <w:t>Y. Desplenter</w:t>
      </w:r>
      <w:r>
        <w:t xml:space="preserve"> </w:t>
      </w:r>
      <w:r w:rsidR="001E0088">
        <w:t xml:space="preserve">(p. 3-34) </w:t>
      </w:r>
      <w:r>
        <w:t xml:space="preserve">revient sur </w:t>
      </w:r>
      <w:r w:rsidR="0056432B">
        <w:t>le plus ancien livre d’heures marial</w:t>
      </w:r>
      <w:r w:rsidR="003B3686">
        <w:t xml:space="preserve"> en moyen néerlandais,</w:t>
      </w:r>
      <w:r>
        <w:t xml:space="preserve"> </w:t>
      </w:r>
      <w:r w:rsidR="0056432B">
        <w:t xml:space="preserve">qu’il a précédemment édité dans le vol. </w:t>
      </w:r>
      <w:r w:rsidR="0056432B" w:rsidRPr="00C63E4D">
        <w:rPr>
          <w:lang w:val="la-Latn"/>
        </w:rPr>
        <w:t>91/1-2 (2021)</w:t>
      </w:r>
      <w:r w:rsidR="0056432B">
        <w:rPr>
          <w:lang w:val="la-Latn"/>
        </w:rPr>
        <w:t xml:space="preserve"> de la revue</w:t>
      </w:r>
      <w:r w:rsidR="003B3686">
        <w:rPr>
          <w:lang w:val="la-Latn"/>
        </w:rPr>
        <w:t xml:space="preserve">. </w:t>
      </w:r>
      <w:r w:rsidR="006A10E2">
        <w:rPr>
          <w:lang w:val="la-Latn"/>
        </w:rPr>
        <w:t xml:space="preserve">L’A. </w:t>
      </w:r>
      <w:r w:rsidR="003B3686">
        <w:t xml:space="preserve">examine </w:t>
      </w:r>
      <w:r w:rsidR="006A10E2">
        <w:t xml:space="preserve">le contexte manuscrit du ms. </w:t>
      </w:r>
      <w:r w:rsidR="006A10E2" w:rsidRPr="00432891">
        <w:t>Sankt-Peterburg</w:t>
      </w:r>
      <w:r w:rsidR="006A10E2">
        <w:t>, BAN, O 257 (c. 1325-1350), ainsi que</w:t>
      </w:r>
      <w:r w:rsidR="003B3686">
        <w:t xml:space="preserve"> les </w:t>
      </w:r>
      <w:r w:rsidR="00D80585">
        <w:t xml:space="preserve">emprunts et les </w:t>
      </w:r>
      <w:r w:rsidR="003B3686">
        <w:t xml:space="preserve">éléments nouveaux de </w:t>
      </w:r>
      <w:r w:rsidR="006A10E2">
        <w:t xml:space="preserve">la composition, en le comparant aux mss Bruxelles, KBR, 19565, 21625, IV 293, 385, et 1270. </w:t>
      </w:r>
      <w:r w:rsidR="00A46D16">
        <w:t xml:space="preserve">L’identification de son usage liturgique lui permet de formuler l’hypothèse selon laquelle </w:t>
      </w:r>
      <w:r w:rsidR="00D80585">
        <w:t xml:space="preserve">ms. était destiné </w:t>
      </w:r>
      <w:r w:rsidR="00CF4A59">
        <w:t>aux clarisses bruxelloises du ‘Coudenklooster’</w:t>
      </w:r>
      <w:r w:rsidR="001E0088">
        <w:t xml:space="preserve"> </w:t>
      </w:r>
      <w:r w:rsidR="001E0088">
        <w:sym w:font="Symbol" w:char="F02D"/>
      </w:r>
      <w:r w:rsidR="001E0088">
        <w:t xml:space="preserve"> proche de la communauté de Groenendael et de Jean de Ruysbroeck</w:t>
      </w:r>
      <w:r w:rsidR="00CF4A59">
        <w:t>.</w:t>
      </w:r>
    </w:p>
    <w:p w14:paraId="4743617B" w14:textId="36C03050" w:rsidR="002446C4" w:rsidRDefault="009D4B38" w:rsidP="002446C4">
      <w:r>
        <w:t xml:space="preserve">Dans son article (p. 69-84), E. Overgaauw </w:t>
      </w:r>
      <w:r w:rsidR="002607BF">
        <w:t>examine</w:t>
      </w:r>
      <w:r>
        <w:t xml:space="preserve"> le </w:t>
      </w:r>
      <w:r w:rsidRPr="003C147F">
        <w:rPr>
          <w:i/>
          <w:iCs/>
          <w:lang w:val="la-Latn"/>
        </w:rPr>
        <w:t>Libellus de accentuatione terminorum Bibliae</w:t>
      </w:r>
      <w:r>
        <w:t xml:space="preserve">, qui manifeste la volonté </w:t>
      </w:r>
      <w:r w:rsidR="003C147F">
        <w:t xml:space="preserve">de la congrégation Windesheim d’uniformiser les accents des noms de personnes et de lieux dans la </w:t>
      </w:r>
      <w:r w:rsidR="003C147F" w:rsidRPr="003C147F">
        <w:rPr>
          <w:i/>
          <w:iCs/>
        </w:rPr>
        <w:t>Vulgate</w:t>
      </w:r>
      <w:r w:rsidR="003C147F">
        <w:t xml:space="preserve">. </w:t>
      </w:r>
      <w:r w:rsidR="007A3B34">
        <w:t>L’A.</w:t>
      </w:r>
      <w:r w:rsidR="003C147F">
        <w:t xml:space="preserve"> </w:t>
      </w:r>
      <w:r w:rsidR="00F01A13">
        <w:t xml:space="preserve">fournit une édition de la lettre du prieur Theodericus de Grave qui accompagne le </w:t>
      </w:r>
      <w:r w:rsidR="00F01A13" w:rsidRPr="00A46D16">
        <w:rPr>
          <w:i/>
          <w:iCs/>
        </w:rPr>
        <w:t>Libellus</w:t>
      </w:r>
      <w:r w:rsidR="00F01A13">
        <w:t xml:space="preserve"> </w:t>
      </w:r>
      <w:r w:rsidR="007A3B34">
        <w:t>(</w:t>
      </w:r>
      <w:r w:rsidR="00F01A13">
        <w:t>ms.</w:t>
      </w:r>
      <w:r w:rsidR="003C147F">
        <w:t xml:space="preserve"> Koblenz, LHA, Best 701,</w:t>
      </w:r>
      <w:r w:rsidR="00A46D16">
        <w:t xml:space="preserve"> 266</w:t>
      </w:r>
      <w:r w:rsidR="007A3B34">
        <w:t>)</w:t>
      </w:r>
      <w:r w:rsidR="00F01A13">
        <w:t xml:space="preserve"> et examine la réception </w:t>
      </w:r>
      <w:r w:rsidR="007A3B34">
        <w:t xml:space="preserve">de la lettre et du Libellus à partir des mss Berlin, SBB – PK, theol. </w:t>
      </w:r>
      <w:r w:rsidR="005E2196">
        <w:t>l</w:t>
      </w:r>
      <w:r w:rsidR="002446C4">
        <w:t>at</w:t>
      </w:r>
      <w:r w:rsidR="005E2196">
        <w:t>.</w:t>
      </w:r>
      <w:r w:rsidR="002446C4">
        <w:t xml:space="preserve"> fol., 70, Bruxelles, KBR, 115, 127, 146, 456-57, Darmstadt, UB, 324 et Utrecht, UB, 31.</w:t>
      </w:r>
    </w:p>
    <w:p w14:paraId="71A69F94" w14:textId="0CBD7AF8" w:rsidR="00DF7131" w:rsidRDefault="00DF7131" w:rsidP="00DF7131"/>
    <w:sectPr w:rsidR="00DF7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62"/>
    <w:rsid w:val="00022C38"/>
    <w:rsid w:val="00085C7C"/>
    <w:rsid w:val="00193405"/>
    <w:rsid w:val="001A2024"/>
    <w:rsid w:val="001C0EBB"/>
    <w:rsid w:val="001E0088"/>
    <w:rsid w:val="00207298"/>
    <w:rsid w:val="002446C4"/>
    <w:rsid w:val="002607BF"/>
    <w:rsid w:val="002910C7"/>
    <w:rsid w:val="00300B6B"/>
    <w:rsid w:val="00306A08"/>
    <w:rsid w:val="003B3686"/>
    <w:rsid w:val="003C147F"/>
    <w:rsid w:val="003E4188"/>
    <w:rsid w:val="003F62ED"/>
    <w:rsid w:val="00404520"/>
    <w:rsid w:val="00432891"/>
    <w:rsid w:val="00437B57"/>
    <w:rsid w:val="00487D83"/>
    <w:rsid w:val="004A47D2"/>
    <w:rsid w:val="00520868"/>
    <w:rsid w:val="00531438"/>
    <w:rsid w:val="0056432B"/>
    <w:rsid w:val="005925A4"/>
    <w:rsid w:val="00597412"/>
    <w:rsid w:val="005B7CBF"/>
    <w:rsid w:val="005E2196"/>
    <w:rsid w:val="005E3556"/>
    <w:rsid w:val="00693E03"/>
    <w:rsid w:val="00695462"/>
    <w:rsid w:val="006A10E2"/>
    <w:rsid w:val="00765563"/>
    <w:rsid w:val="007A3B34"/>
    <w:rsid w:val="007E2990"/>
    <w:rsid w:val="007E5477"/>
    <w:rsid w:val="008029CC"/>
    <w:rsid w:val="00836AB9"/>
    <w:rsid w:val="008C7D07"/>
    <w:rsid w:val="009426E3"/>
    <w:rsid w:val="00955224"/>
    <w:rsid w:val="00955564"/>
    <w:rsid w:val="009723B2"/>
    <w:rsid w:val="009B21A2"/>
    <w:rsid w:val="009D4B38"/>
    <w:rsid w:val="009E3E67"/>
    <w:rsid w:val="00A11A4A"/>
    <w:rsid w:val="00A3752D"/>
    <w:rsid w:val="00A46D16"/>
    <w:rsid w:val="00A614D6"/>
    <w:rsid w:val="00A637A1"/>
    <w:rsid w:val="00A67133"/>
    <w:rsid w:val="00AC5324"/>
    <w:rsid w:val="00B57FF7"/>
    <w:rsid w:val="00B84C26"/>
    <w:rsid w:val="00B85D93"/>
    <w:rsid w:val="00BD7CD9"/>
    <w:rsid w:val="00C5221F"/>
    <w:rsid w:val="00C94BBE"/>
    <w:rsid w:val="00CA7072"/>
    <w:rsid w:val="00CC0BAF"/>
    <w:rsid w:val="00CD08FF"/>
    <w:rsid w:val="00CF4A59"/>
    <w:rsid w:val="00D22103"/>
    <w:rsid w:val="00D455AD"/>
    <w:rsid w:val="00D80585"/>
    <w:rsid w:val="00DD2FCB"/>
    <w:rsid w:val="00DF7131"/>
    <w:rsid w:val="00E3302A"/>
    <w:rsid w:val="00E339B9"/>
    <w:rsid w:val="00E405F0"/>
    <w:rsid w:val="00E75876"/>
    <w:rsid w:val="00E81D8F"/>
    <w:rsid w:val="00E9534B"/>
    <w:rsid w:val="00F01A13"/>
    <w:rsid w:val="00F35774"/>
    <w:rsid w:val="00F91A42"/>
    <w:rsid w:val="00FA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D6BB0"/>
  <w15:chartTrackingRefBased/>
  <w15:docId w15:val="{BC9E3FB2-2037-4532-AB1F-03B1FC8F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A4A"/>
    <w:pPr>
      <w:spacing w:line="360" w:lineRule="auto"/>
      <w:ind w:firstLine="709"/>
    </w:pPr>
    <w:rPr>
      <w:rFonts w:ascii="Times New Roman" w:hAnsi="Times New Roman" w:cs="Times New Roman"/>
      <w:kern w:val="0"/>
      <w:sz w:val="24"/>
      <w:szCs w:val="24"/>
      <w:lang w:eastAsia="fr-BE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65563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1C0EBB"/>
    <w:pPr>
      <w:spacing w:before="120" w:after="120"/>
      <w:outlineLvl w:val="1"/>
    </w:pPr>
    <w:rPr>
      <w:b w:val="0"/>
      <w:i/>
      <w:sz w:val="24"/>
      <w:szCs w:val="26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765563"/>
    <w:pPr>
      <w:outlineLvl w:val="2"/>
    </w:pPr>
    <w:rPr>
      <w:b/>
      <w:i w:val="0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C0EBB"/>
    <w:rPr>
      <w:rFonts w:ascii="Times New Roman" w:eastAsiaTheme="majorEastAsia" w:hAnsi="Times New Roman" w:cstheme="majorBidi"/>
      <w:i/>
      <w:sz w:val="24"/>
      <w:szCs w:val="26"/>
      <w:lang w:eastAsia="fr-BE"/>
    </w:rPr>
  </w:style>
  <w:style w:type="character" w:customStyle="1" w:styleId="Titre1Car">
    <w:name w:val="Titre 1 Car"/>
    <w:basedOn w:val="Policepardfaut"/>
    <w:link w:val="Titre1"/>
    <w:uiPriority w:val="9"/>
    <w:rsid w:val="00765563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765563"/>
    <w:rPr>
      <w:rFonts w:ascii="Times New Roman" w:eastAsiaTheme="majorEastAsia" w:hAnsi="Times New Roman" w:cstheme="majorBidi"/>
      <w:sz w:val="24"/>
      <w:szCs w:val="24"/>
    </w:rPr>
  </w:style>
  <w:style w:type="paragraph" w:styleId="Notedebasdepage">
    <w:name w:val="footnote text"/>
    <w:link w:val="NotedebasdepageCar"/>
    <w:uiPriority w:val="99"/>
    <w:semiHidden/>
    <w:unhideWhenUsed/>
    <w:rsid w:val="00A11A4A"/>
    <w:rPr>
      <w:rFonts w:ascii="Times New Roman" w:hAnsi="Times New Roman" w:cs="Times New Roman"/>
      <w:sz w:val="20"/>
      <w:szCs w:val="20"/>
      <w:lang w:eastAsia="fr-BE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11A4A"/>
    <w:rPr>
      <w:rFonts w:ascii="Times New Roman" w:hAnsi="Times New Roman" w:cs="Times New Roman"/>
      <w:sz w:val="20"/>
      <w:szCs w:val="20"/>
      <w:lang w:eastAsia="fr-BE"/>
    </w:rPr>
  </w:style>
  <w:style w:type="paragraph" w:styleId="Sous-titre">
    <w:name w:val="Subtitle"/>
    <w:basedOn w:val="Titre"/>
    <w:next w:val="Normal"/>
    <w:link w:val="Sous-titreCar"/>
    <w:uiPriority w:val="11"/>
    <w:qFormat/>
    <w:rsid w:val="00CD08FF"/>
    <w:pPr>
      <w:numPr>
        <w:ilvl w:val="1"/>
      </w:numPr>
      <w:spacing w:after="240"/>
      <w:ind w:firstLine="709"/>
    </w:pPr>
    <w:rPr>
      <w:rFonts w:eastAsiaTheme="minorEastAsia" w:cstheme="minorBidi"/>
      <w:b/>
      <w:i/>
      <w:spacing w:val="15"/>
      <w:sz w:val="3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CD08FF"/>
    <w:rPr>
      <w:rFonts w:ascii="Times New Roman" w:eastAsiaTheme="minorEastAsia" w:hAnsi="Times New Roman"/>
      <w:b/>
      <w:i/>
      <w:spacing w:val="15"/>
      <w:kern w:val="28"/>
      <w:sz w:val="32"/>
      <w:lang w:eastAsia="fr-BE"/>
      <w14:ligatures w14:val="none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F91A42"/>
    <w:pPr>
      <w:spacing w:before="320" w:after="320" w:line="240" w:lineRule="auto"/>
      <w:ind w:firstLine="0"/>
      <w:contextualSpacing/>
      <w:jc w:val="center"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91A42"/>
    <w:rPr>
      <w:rFonts w:ascii="Times New Roman" w:eastAsiaTheme="majorEastAsia" w:hAnsi="Times New Roman" w:cstheme="majorBidi"/>
      <w:spacing w:val="-10"/>
      <w:kern w:val="28"/>
      <w:sz w:val="36"/>
      <w:szCs w:val="56"/>
      <w:lang w:eastAsia="fr-BE"/>
      <w14:ligatures w14:val="none"/>
    </w:rPr>
  </w:style>
  <w:style w:type="paragraph" w:styleId="Citation">
    <w:name w:val="Quote"/>
    <w:basedOn w:val="Normal"/>
    <w:next w:val="Normal"/>
    <w:link w:val="CitationCar"/>
    <w:uiPriority w:val="29"/>
    <w:qFormat/>
    <w:rsid w:val="001A2024"/>
    <w:pPr>
      <w:spacing w:before="120" w:after="120" w:line="240" w:lineRule="auto"/>
      <w:ind w:left="851" w:firstLine="0"/>
      <w:contextualSpacing/>
    </w:pPr>
    <w:rPr>
      <w:i/>
      <w:iCs/>
      <w:noProof/>
      <w:lang w:val="la-Latn"/>
    </w:rPr>
  </w:style>
  <w:style w:type="character" w:customStyle="1" w:styleId="CitationCar">
    <w:name w:val="Citation Car"/>
    <w:basedOn w:val="Policepardfaut"/>
    <w:link w:val="Citation"/>
    <w:uiPriority w:val="29"/>
    <w:rsid w:val="001A2024"/>
    <w:rPr>
      <w:rFonts w:ascii="Times New Roman" w:hAnsi="Times New Roman" w:cs="Times New Roman"/>
      <w:i/>
      <w:iCs/>
      <w:noProof/>
      <w:kern w:val="0"/>
      <w:sz w:val="24"/>
      <w:szCs w:val="24"/>
      <w:lang w:val="la-Latn" w:eastAsia="fr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398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Eléonore Venturelli</dc:creator>
  <cp:keywords/>
  <dc:description/>
  <cp:lastModifiedBy>Eléonore Venturelli</cp:lastModifiedBy>
  <cp:revision>6</cp:revision>
  <dcterms:created xsi:type="dcterms:W3CDTF">2024-01-06T09:21:00Z</dcterms:created>
  <dcterms:modified xsi:type="dcterms:W3CDTF">2024-02-16T17:30:00Z</dcterms:modified>
</cp:coreProperties>
</file>