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7A6FA" w14:textId="77777777" w:rsidR="000E702D" w:rsidRPr="006113C4" w:rsidRDefault="000E702D" w:rsidP="000E702D">
      <w:pPr>
        <w:shd w:val="clear" w:color="auto" w:fill="FFFFFF"/>
        <w:spacing w:before="240" w:line="360" w:lineRule="auto"/>
        <w:jc w:val="both"/>
        <w:rPr>
          <w:b/>
          <w:sz w:val="26"/>
          <w:lang w:val="en-US"/>
        </w:rPr>
      </w:pPr>
      <w:r w:rsidRPr="006113C4">
        <w:rPr>
          <w:b/>
          <w:sz w:val="26"/>
          <w:lang w:val="en-US"/>
        </w:rPr>
        <w:t>LIBX-A401: A Novel Selective Inhibitor of Acyl-CoA Synthetase Long Chain Family Member 4 (ACSL4) and Its Binding Mode</w:t>
      </w:r>
    </w:p>
    <w:p w14:paraId="67691339" w14:textId="09701F27" w:rsidR="00E35F29" w:rsidRPr="0043287C" w:rsidRDefault="009C3364" w:rsidP="009D07DA">
      <w:pPr>
        <w:shd w:val="clear" w:color="auto" w:fill="FFFFFF"/>
        <w:spacing w:before="240" w:line="360" w:lineRule="auto"/>
        <w:jc w:val="both"/>
        <w:rPr>
          <w:sz w:val="24"/>
          <w:szCs w:val="24"/>
          <w:lang w:val="en-US"/>
        </w:rPr>
      </w:pPr>
      <w:r w:rsidRPr="006113C4">
        <w:rPr>
          <w:sz w:val="24"/>
          <w:szCs w:val="24"/>
          <w:lang w:val="en-US"/>
        </w:rPr>
        <w:t>Darius Mazhari Dorooee,</w:t>
      </w:r>
      <w:r w:rsidRPr="006113C4">
        <w:rPr>
          <w:sz w:val="24"/>
          <w:szCs w:val="24"/>
          <w:vertAlign w:val="superscript"/>
          <w:lang w:val="en-US"/>
        </w:rPr>
        <w:t>1</w:t>
      </w:r>
      <w:r w:rsidRPr="006113C4">
        <w:rPr>
          <w:sz w:val="24"/>
          <w:szCs w:val="24"/>
          <w:lang w:val="en-US"/>
        </w:rPr>
        <w:t xml:space="preserve"> Séverine Ravez,</w:t>
      </w:r>
      <w:r w:rsidRPr="006113C4">
        <w:rPr>
          <w:sz w:val="24"/>
          <w:szCs w:val="24"/>
          <w:vertAlign w:val="superscript"/>
          <w:lang w:val="en-US"/>
        </w:rPr>
        <w:t xml:space="preserve">2 </w:t>
      </w:r>
      <w:r w:rsidRPr="006113C4">
        <w:rPr>
          <w:sz w:val="24"/>
          <w:szCs w:val="24"/>
          <w:lang w:val="en-US"/>
        </w:rPr>
        <w:t>Didier Vertommen,</w:t>
      </w:r>
      <w:r w:rsidRPr="006113C4">
        <w:rPr>
          <w:sz w:val="24"/>
          <w:szCs w:val="24"/>
          <w:vertAlign w:val="superscript"/>
          <w:lang w:val="en-US"/>
        </w:rPr>
        <w:t>3</w:t>
      </w:r>
      <w:r w:rsidRPr="006113C4">
        <w:rPr>
          <w:sz w:val="24"/>
          <w:szCs w:val="24"/>
          <w:lang w:val="en-US"/>
        </w:rPr>
        <w:t xml:space="preserve"> Nicolas Renault,</w:t>
      </w:r>
      <w:r w:rsidRPr="006113C4">
        <w:rPr>
          <w:sz w:val="24"/>
          <w:szCs w:val="24"/>
          <w:vertAlign w:val="superscript"/>
          <w:lang w:val="en-US"/>
        </w:rPr>
        <w:t>4</w:t>
      </w:r>
      <w:r w:rsidRPr="006113C4">
        <w:rPr>
          <w:sz w:val="24"/>
          <w:szCs w:val="24"/>
          <w:lang w:val="en-US"/>
        </w:rPr>
        <w:t xml:space="preserve"> Nicolas Papadopoulos,</w:t>
      </w:r>
      <w:r w:rsidRPr="006113C4">
        <w:rPr>
          <w:sz w:val="24"/>
          <w:szCs w:val="24"/>
          <w:vertAlign w:val="superscript"/>
          <w:lang w:val="en-US"/>
        </w:rPr>
        <w:t>5,6,7</w:t>
      </w:r>
      <w:r w:rsidRPr="006113C4">
        <w:rPr>
          <w:sz w:val="24"/>
          <w:szCs w:val="24"/>
          <w:lang w:val="en-US"/>
        </w:rPr>
        <w:t xml:space="preserve"> Romain Marteau,</w:t>
      </w:r>
      <w:r w:rsidRPr="006113C4">
        <w:rPr>
          <w:sz w:val="24"/>
          <w:szCs w:val="24"/>
          <w:vertAlign w:val="superscript"/>
          <w:lang w:val="en-US"/>
        </w:rPr>
        <w:t>1</w:t>
      </w:r>
      <w:r w:rsidRPr="006113C4">
        <w:rPr>
          <w:sz w:val="24"/>
          <w:szCs w:val="24"/>
          <w:lang w:val="en-US"/>
        </w:rPr>
        <w:t xml:space="preserve"> Emeline Charnelle,</w:t>
      </w:r>
      <w:r w:rsidRPr="006113C4">
        <w:rPr>
          <w:sz w:val="24"/>
          <w:szCs w:val="24"/>
          <w:vertAlign w:val="superscript"/>
          <w:lang w:val="en-US"/>
        </w:rPr>
        <w:t>2</w:t>
      </w:r>
      <w:r w:rsidRPr="006113C4">
        <w:rPr>
          <w:sz w:val="24"/>
          <w:szCs w:val="24"/>
          <w:lang w:val="en-US"/>
        </w:rPr>
        <w:t xml:space="preserve"> Karine Porte,</w:t>
      </w:r>
      <w:r w:rsidRPr="006113C4">
        <w:rPr>
          <w:sz w:val="24"/>
          <w:szCs w:val="24"/>
          <w:vertAlign w:val="superscript"/>
          <w:lang w:val="en-US"/>
        </w:rPr>
        <w:t>1</w:t>
      </w:r>
      <w:r w:rsidRPr="006113C4">
        <w:rPr>
          <w:sz w:val="24"/>
          <w:szCs w:val="24"/>
          <w:lang w:val="en-US"/>
        </w:rPr>
        <w:t xml:space="preserve"> Alexandre Gobert,</w:t>
      </w:r>
      <w:r w:rsidRPr="006113C4">
        <w:rPr>
          <w:sz w:val="24"/>
          <w:szCs w:val="24"/>
          <w:vertAlign w:val="superscript"/>
          <w:lang w:val="en-US"/>
        </w:rPr>
        <w:t>2</w:t>
      </w:r>
      <w:r w:rsidR="00A61F93" w:rsidRPr="006113C4">
        <w:rPr>
          <w:sz w:val="24"/>
          <w:szCs w:val="24"/>
          <w:vertAlign w:val="superscript"/>
          <w:lang w:val="en-US"/>
        </w:rPr>
        <w:t xml:space="preserve"> </w:t>
      </w:r>
      <w:r w:rsidRPr="006113C4">
        <w:rPr>
          <w:sz w:val="24"/>
          <w:szCs w:val="24"/>
          <w:lang w:val="en-US"/>
        </w:rPr>
        <w:t>Nathalie Hennuyer,</w:t>
      </w:r>
      <w:r w:rsidRPr="006113C4">
        <w:rPr>
          <w:sz w:val="24"/>
          <w:szCs w:val="24"/>
          <w:vertAlign w:val="superscript"/>
          <w:lang w:val="en-US"/>
        </w:rPr>
        <w:t>8</w:t>
      </w:r>
      <w:r w:rsidRPr="006113C4">
        <w:rPr>
          <w:sz w:val="24"/>
          <w:szCs w:val="24"/>
          <w:lang w:val="en-US"/>
        </w:rPr>
        <w:t xml:space="preserve"> </w:t>
      </w:r>
      <w:r w:rsidR="001A448C" w:rsidRPr="006113C4">
        <w:rPr>
          <w:sz w:val="24"/>
          <w:szCs w:val="24"/>
          <w:lang w:val="en-US"/>
        </w:rPr>
        <w:t>Gaetan Herinckx,</w:t>
      </w:r>
      <w:r w:rsidR="001A448C" w:rsidRPr="006113C4">
        <w:rPr>
          <w:sz w:val="24"/>
          <w:szCs w:val="24"/>
          <w:vertAlign w:val="superscript"/>
          <w:lang w:val="en-US"/>
        </w:rPr>
        <w:t>3</w:t>
      </w:r>
      <w:r w:rsidR="001A448C" w:rsidRPr="006113C4">
        <w:rPr>
          <w:sz w:val="24"/>
          <w:szCs w:val="24"/>
          <w:lang w:val="en-US"/>
        </w:rPr>
        <w:t xml:space="preserve"> </w:t>
      </w:r>
      <w:proofErr w:type="spellStart"/>
      <w:r w:rsidR="000B3587" w:rsidRPr="006113C4">
        <w:rPr>
          <w:sz w:val="24"/>
          <w:szCs w:val="24"/>
          <w:lang w:val="en-US"/>
        </w:rPr>
        <w:t>Maëla</w:t>
      </w:r>
      <w:proofErr w:type="spellEnd"/>
      <w:r w:rsidR="000B3587" w:rsidRPr="006113C4">
        <w:rPr>
          <w:sz w:val="24"/>
          <w:szCs w:val="24"/>
          <w:lang w:val="en-US"/>
        </w:rPr>
        <w:t xml:space="preserve"> Pautric,</w:t>
      </w:r>
      <w:r w:rsidR="000B3587" w:rsidRPr="006113C4">
        <w:rPr>
          <w:sz w:val="24"/>
          <w:szCs w:val="24"/>
          <w:vertAlign w:val="superscript"/>
          <w:lang w:val="en-US"/>
        </w:rPr>
        <w:t>2,9</w:t>
      </w:r>
      <w:r w:rsidR="000B3587" w:rsidRPr="006113C4">
        <w:rPr>
          <w:lang w:val="en-US"/>
        </w:rPr>
        <w:t xml:space="preserve"> </w:t>
      </w:r>
      <w:r w:rsidR="000B3587" w:rsidRPr="006113C4">
        <w:rPr>
          <w:sz w:val="24"/>
          <w:szCs w:val="24"/>
          <w:lang w:val="en-US"/>
        </w:rPr>
        <w:t>Aurélie Jonneaux,</w:t>
      </w:r>
      <w:r w:rsidR="000B3587" w:rsidRPr="006113C4">
        <w:rPr>
          <w:sz w:val="24"/>
          <w:szCs w:val="24"/>
          <w:vertAlign w:val="superscript"/>
          <w:lang w:val="en-US"/>
        </w:rPr>
        <w:t>2,9</w:t>
      </w:r>
      <w:r w:rsidR="000B3587" w:rsidRPr="006113C4">
        <w:rPr>
          <w:sz w:val="24"/>
          <w:szCs w:val="24"/>
          <w:lang w:val="en-US"/>
        </w:rPr>
        <w:t xml:space="preserve"> </w:t>
      </w:r>
      <w:r w:rsidR="00A91D40" w:rsidRPr="006113C4">
        <w:rPr>
          <w:sz w:val="24"/>
          <w:szCs w:val="24"/>
          <w:lang w:val="en-US"/>
        </w:rPr>
        <w:t xml:space="preserve">Jean </w:t>
      </w:r>
      <w:r w:rsidR="000B3587" w:rsidRPr="006113C4">
        <w:rPr>
          <w:sz w:val="24"/>
          <w:szCs w:val="24"/>
          <w:lang w:val="en-US"/>
        </w:rPr>
        <w:t>Christophe Devedjian,</w:t>
      </w:r>
      <w:r w:rsidR="000B3587" w:rsidRPr="006113C4">
        <w:rPr>
          <w:sz w:val="24"/>
          <w:szCs w:val="24"/>
          <w:vertAlign w:val="superscript"/>
          <w:lang w:val="en-US"/>
        </w:rPr>
        <w:t>2,9</w:t>
      </w:r>
      <w:r w:rsidR="000B3587" w:rsidRPr="006113C4">
        <w:rPr>
          <w:sz w:val="24"/>
          <w:szCs w:val="24"/>
          <w:lang w:val="en-US"/>
        </w:rPr>
        <w:t xml:space="preserve"> David Devos,</w:t>
      </w:r>
      <w:r w:rsidR="000B3587" w:rsidRPr="006113C4">
        <w:rPr>
          <w:sz w:val="24"/>
          <w:szCs w:val="24"/>
          <w:vertAlign w:val="superscript"/>
          <w:lang w:val="en-US"/>
        </w:rPr>
        <w:t xml:space="preserve">2,9 </w:t>
      </w:r>
      <w:r w:rsidRPr="006113C4">
        <w:rPr>
          <w:sz w:val="24"/>
          <w:szCs w:val="24"/>
          <w:lang w:val="en-US"/>
        </w:rPr>
        <w:t>Bart Staels,</w:t>
      </w:r>
      <w:r w:rsidRPr="006113C4">
        <w:rPr>
          <w:sz w:val="24"/>
          <w:szCs w:val="24"/>
          <w:vertAlign w:val="superscript"/>
          <w:lang w:val="en-US"/>
        </w:rPr>
        <w:t>8</w:t>
      </w:r>
      <w:r w:rsidRPr="006113C4">
        <w:rPr>
          <w:sz w:val="24"/>
          <w:szCs w:val="24"/>
          <w:lang w:val="en-US"/>
        </w:rPr>
        <w:t xml:space="preserve"> Patricia Melnyk,</w:t>
      </w:r>
      <w:r w:rsidR="0064495D" w:rsidRPr="006113C4">
        <w:rPr>
          <w:sz w:val="24"/>
          <w:szCs w:val="24"/>
          <w:vertAlign w:val="superscript"/>
          <w:lang w:val="en-US"/>
        </w:rPr>
        <w:t>2</w:t>
      </w:r>
      <w:r w:rsidRPr="006113C4">
        <w:rPr>
          <w:sz w:val="24"/>
          <w:szCs w:val="24"/>
          <w:lang w:val="en-US"/>
        </w:rPr>
        <w:t xml:space="preserve"> Stefan N Constantinescu,</w:t>
      </w:r>
      <w:r w:rsidRPr="006113C4">
        <w:rPr>
          <w:sz w:val="24"/>
          <w:szCs w:val="24"/>
          <w:vertAlign w:val="superscript"/>
          <w:lang w:val="en-US"/>
        </w:rPr>
        <w:t>5,6,7,</w:t>
      </w:r>
      <w:r w:rsidR="000B3587" w:rsidRPr="006113C4">
        <w:rPr>
          <w:sz w:val="24"/>
          <w:szCs w:val="24"/>
          <w:vertAlign w:val="superscript"/>
          <w:lang w:val="en-US"/>
        </w:rPr>
        <w:t>10</w:t>
      </w:r>
      <w:r w:rsidRPr="006113C4">
        <w:rPr>
          <w:sz w:val="24"/>
          <w:szCs w:val="24"/>
          <w:lang w:val="en-US"/>
        </w:rPr>
        <w:t xml:space="preserve"> Raphaël Frédérick,</w:t>
      </w:r>
      <w:r w:rsidRPr="006113C4">
        <w:rPr>
          <w:sz w:val="24"/>
          <w:szCs w:val="24"/>
          <w:vertAlign w:val="superscript"/>
          <w:lang w:val="en-US"/>
        </w:rPr>
        <w:t>1*</w:t>
      </w:r>
      <w:r w:rsidRPr="006113C4">
        <w:rPr>
          <w:sz w:val="24"/>
          <w:szCs w:val="24"/>
          <w:lang w:val="en-US"/>
        </w:rPr>
        <w:t xml:space="preserve"> Jamal El Bakali</w:t>
      </w:r>
      <w:r w:rsidRPr="006113C4">
        <w:rPr>
          <w:sz w:val="24"/>
          <w:szCs w:val="24"/>
          <w:vertAlign w:val="superscript"/>
          <w:lang w:val="en-US"/>
        </w:rPr>
        <w:t>2*</w:t>
      </w:r>
    </w:p>
    <w:p w14:paraId="4513585C" w14:textId="51179EA6" w:rsidR="00E35F29" w:rsidRPr="0043287C" w:rsidRDefault="009C3364" w:rsidP="009D07DA">
      <w:pPr>
        <w:shd w:val="clear" w:color="auto" w:fill="FFFFFF"/>
        <w:spacing w:before="240" w:line="360" w:lineRule="auto"/>
        <w:jc w:val="both"/>
        <w:rPr>
          <w:sz w:val="24"/>
          <w:szCs w:val="24"/>
          <w:lang w:val="en-US"/>
        </w:rPr>
      </w:pPr>
      <w:r w:rsidRPr="0043287C">
        <w:rPr>
          <w:sz w:val="24"/>
          <w:szCs w:val="24"/>
          <w:vertAlign w:val="superscript"/>
          <w:lang w:val="en-US"/>
        </w:rPr>
        <w:t>1</w:t>
      </w:r>
      <w:r w:rsidRPr="0043287C">
        <w:rPr>
          <w:sz w:val="24"/>
          <w:szCs w:val="24"/>
          <w:lang w:val="en-US"/>
        </w:rPr>
        <w:t xml:space="preserve"> Medicinal Chemistry Research Group (CMFA), Louvain Drug Research Institute (LDRI), Université </w:t>
      </w:r>
      <w:proofErr w:type="spellStart"/>
      <w:r w:rsidR="00911DE5" w:rsidRPr="0043287C">
        <w:rPr>
          <w:sz w:val="24"/>
          <w:szCs w:val="24"/>
          <w:lang w:val="en-US"/>
        </w:rPr>
        <w:t>C</w:t>
      </w:r>
      <w:r w:rsidRPr="0043287C">
        <w:rPr>
          <w:sz w:val="24"/>
          <w:szCs w:val="24"/>
          <w:lang w:val="en-US"/>
        </w:rPr>
        <w:t>atholique</w:t>
      </w:r>
      <w:proofErr w:type="spellEnd"/>
      <w:r w:rsidRPr="0043287C">
        <w:rPr>
          <w:sz w:val="24"/>
          <w:szCs w:val="24"/>
          <w:lang w:val="en-US"/>
        </w:rPr>
        <w:t xml:space="preserve"> de Louvain, 73 Avenue Mounier, B1.73.10, 1200, Brussels, Belgium. </w:t>
      </w:r>
    </w:p>
    <w:p w14:paraId="1231956B" w14:textId="77777777" w:rsidR="00E35F29" w:rsidRPr="0043287C" w:rsidRDefault="009C3364" w:rsidP="009D07DA">
      <w:pPr>
        <w:shd w:val="clear" w:color="auto" w:fill="FFFFFF"/>
        <w:spacing w:before="240" w:line="360" w:lineRule="auto"/>
        <w:jc w:val="both"/>
        <w:rPr>
          <w:sz w:val="24"/>
          <w:szCs w:val="24"/>
        </w:rPr>
      </w:pPr>
      <w:r w:rsidRPr="0043287C">
        <w:rPr>
          <w:sz w:val="24"/>
          <w:szCs w:val="24"/>
          <w:vertAlign w:val="superscript"/>
          <w:lang w:val="en-US"/>
        </w:rPr>
        <w:t>2</w:t>
      </w:r>
      <w:r w:rsidRPr="0043287C">
        <w:rPr>
          <w:sz w:val="24"/>
          <w:szCs w:val="24"/>
          <w:lang w:val="en-US"/>
        </w:rPr>
        <w:t xml:space="preserve"> Univ. </w:t>
      </w:r>
      <w:r w:rsidRPr="0043287C">
        <w:rPr>
          <w:sz w:val="24"/>
          <w:szCs w:val="24"/>
        </w:rPr>
        <w:t xml:space="preserve">Lille, Inserm, CHU Lille, UMR-S-U1172 - </w:t>
      </w:r>
      <w:proofErr w:type="spellStart"/>
      <w:r w:rsidRPr="0043287C">
        <w:rPr>
          <w:sz w:val="24"/>
          <w:szCs w:val="24"/>
        </w:rPr>
        <w:t>LilNCog</w:t>
      </w:r>
      <w:proofErr w:type="spellEnd"/>
      <w:r w:rsidRPr="0043287C">
        <w:rPr>
          <w:sz w:val="24"/>
          <w:szCs w:val="24"/>
        </w:rPr>
        <w:t xml:space="preserve"> - Lille Neuroscience &amp; Cognition, F-59000 Lille, France. </w:t>
      </w:r>
    </w:p>
    <w:p w14:paraId="133DF51A" w14:textId="77777777" w:rsidR="00E35F29" w:rsidRPr="0043287C" w:rsidRDefault="009C3364" w:rsidP="009D07DA">
      <w:pPr>
        <w:shd w:val="clear" w:color="auto" w:fill="FFFFFF"/>
        <w:spacing w:before="240" w:line="360" w:lineRule="auto"/>
        <w:jc w:val="both"/>
        <w:rPr>
          <w:sz w:val="24"/>
          <w:szCs w:val="24"/>
        </w:rPr>
      </w:pPr>
      <w:r w:rsidRPr="0043287C">
        <w:rPr>
          <w:sz w:val="24"/>
          <w:szCs w:val="24"/>
          <w:vertAlign w:val="superscript"/>
        </w:rPr>
        <w:t>3</w:t>
      </w:r>
      <w:r w:rsidRPr="0043287C">
        <w:rPr>
          <w:sz w:val="24"/>
          <w:szCs w:val="24"/>
        </w:rPr>
        <w:t xml:space="preserve"> MASSPROT Platform, de </w:t>
      </w:r>
      <w:proofErr w:type="spellStart"/>
      <w:r w:rsidRPr="0043287C">
        <w:rPr>
          <w:sz w:val="24"/>
          <w:szCs w:val="24"/>
        </w:rPr>
        <w:t>Duve</w:t>
      </w:r>
      <w:proofErr w:type="spellEnd"/>
      <w:r w:rsidRPr="0043287C">
        <w:rPr>
          <w:sz w:val="24"/>
          <w:szCs w:val="24"/>
        </w:rPr>
        <w:t xml:space="preserve"> Institute, Université Catholique de Louvain, Brussels, </w:t>
      </w:r>
      <w:proofErr w:type="spellStart"/>
      <w:r w:rsidRPr="0043287C">
        <w:rPr>
          <w:sz w:val="24"/>
          <w:szCs w:val="24"/>
        </w:rPr>
        <w:t>Belgium</w:t>
      </w:r>
      <w:proofErr w:type="spellEnd"/>
      <w:r w:rsidRPr="0043287C">
        <w:rPr>
          <w:sz w:val="24"/>
          <w:szCs w:val="24"/>
        </w:rPr>
        <w:t xml:space="preserve">. </w:t>
      </w:r>
    </w:p>
    <w:p w14:paraId="4AF0A802" w14:textId="77777777" w:rsidR="00E35F29" w:rsidRPr="0043287C" w:rsidRDefault="009C3364" w:rsidP="009D07DA">
      <w:pPr>
        <w:shd w:val="clear" w:color="auto" w:fill="FFFFFF"/>
        <w:spacing w:before="240" w:line="360" w:lineRule="auto"/>
        <w:jc w:val="both"/>
        <w:rPr>
          <w:sz w:val="24"/>
          <w:szCs w:val="24"/>
        </w:rPr>
      </w:pPr>
      <w:r w:rsidRPr="0043287C">
        <w:rPr>
          <w:sz w:val="24"/>
          <w:szCs w:val="24"/>
          <w:vertAlign w:val="superscript"/>
        </w:rPr>
        <w:t xml:space="preserve">4 </w:t>
      </w:r>
      <w:r w:rsidRPr="0043287C">
        <w:rPr>
          <w:sz w:val="24"/>
          <w:szCs w:val="24"/>
        </w:rPr>
        <w:t xml:space="preserve">INSERM, CHU Lille, U-1286 - INFINITE - Institute for </w:t>
      </w:r>
      <w:proofErr w:type="spellStart"/>
      <w:r w:rsidRPr="0043287C">
        <w:rPr>
          <w:sz w:val="24"/>
          <w:szCs w:val="24"/>
        </w:rPr>
        <w:t>Translational</w:t>
      </w:r>
      <w:proofErr w:type="spellEnd"/>
      <w:r w:rsidRPr="0043287C">
        <w:rPr>
          <w:sz w:val="24"/>
          <w:szCs w:val="24"/>
        </w:rPr>
        <w:t xml:space="preserve"> </w:t>
      </w:r>
      <w:proofErr w:type="spellStart"/>
      <w:r w:rsidRPr="0043287C">
        <w:rPr>
          <w:sz w:val="24"/>
          <w:szCs w:val="24"/>
        </w:rPr>
        <w:t>Research</w:t>
      </w:r>
      <w:proofErr w:type="spellEnd"/>
      <w:r w:rsidRPr="0043287C">
        <w:rPr>
          <w:sz w:val="24"/>
          <w:szCs w:val="24"/>
        </w:rPr>
        <w:t xml:space="preserve"> in Inflammation, Université de Lille, F-59000 Lille, France. </w:t>
      </w:r>
    </w:p>
    <w:p w14:paraId="0D6A2C19" w14:textId="77777777" w:rsidR="00E35F29" w:rsidRPr="0043287C" w:rsidRDefault="009C3364" w:rsidP="009D07DA">
      <w:pPr>
        <w:shd w:val="clear" w:color="auto" w:fill="FFFFFF"/>
        <w:spacing w:before="240" w:line="360" w:lineRule="auto"/>
        <w:jc w:val="both"/>
        <w:rPr>
          <w:sz w:val="24"/>
          <w:szCs w:val="24"/>
        </w:rPr>
      </w:pPr>
      <w:r w:rsidRPr="0043287C">
        <w:rPr>
          <w:sz w:val="24"/>
          <w:szCs w:val="24"/>
          <w:vertAlign w:val="superscript"/>
        </w:rPr>
        <w:t>5</w:t>
      </w:r>
      <w:r w:rsidRPr="0043287C">
        <w:rPr>
          <w:sz w:val="24"/>
          <w:szCs w:val="24"/>
        </w:rPr>
        <w:t xml:space="preserve"> Ludwig Institute for Cancer </w:t>
      </w:r>
      <w:proofErr w:type="spellStart"/>
      <w:r w:rsidRPr="0043287C">
        <w:rPr>
          <w:sz w:val="24"/>
          <w:szCs w:val="24"/>
        </w:rPr>
        <w:t>Research</w:t>
      </w:r>
      <w:proofErr w:type="spellEnd"/>
      <w:r w:rsidRPr="0043287C">
        <w:rPr>
          <w:sz w:val="24"/>
          <w:szCs w:val="24"/>
        </w:rPr>
        <w:t xml:space="preserve">, Brussels, </w:t>
      </w:r>
      <w:proofErr w:type="spellStart"/>
      <w:r w:rsidRPr="0043287C">
        <w:rPr>
          <w:sz w:val="24"/>
          <w:szCs w:val="24"/>
        </w:rPr>
        <w:t>Belgium</w:t>
      </w:r>
      <w:proofErr w:type="spellEnd"/>
      <w:r w:rsidRPr="0043287C">
        <w:rPr>
          <w:sz w:val="24"/>
          <w:szCs w:val="24"/>
        </w:rPr>
        <w:t xml:space="preserve">. </w:t>
      </w:r>
    </w:p>
    <w:p w14:paraId="3D2A669E" w14:textId="77777777" w:rsidR="00E35F29" w:rsidRPr="0043287C" w:rsidRDefault="009C3364" w:rsidP="009D07DA">
      <w:pPr>
        <w:shd w:val="clear" w:color="auto" w:fill="FFFFFF"/>
        <w:spacing w:before="240" w:line="360" w:lineRule="auto"/>
        <w:jc w:val="both"/>
        <w:rPr>
          <w:sz w:val="24"/>
          <w:szCs w:val="24"/>
        </w:rPr>
      </w:pPr>
      <w:r w:rsidRPr="0043287C">
        <w:rPr>
          <w:sz w:val="24"/>
          <w:szCs w:val="24"/>
          <w:vertAlign w:val="superscript"/>
        </w:rPr>
        <w:t>6</w:t>
      </w:r>
      <w:r w:rsidRPr="0043287C">
        <w:rPr>
          <w:sz w:val="24"/>
          <w:szCs w:val="24"/>
        </w:rPr>
        <w:t xml:space="preserve"> de </w:t>
      </w:r>
      <w:proofErr w:type="spellStart"/>
      <w:r w:rsidRPr="0043287C">
        <w:rPr>
          <w:sz w:val="24"/>
          <w:szCs w:val="24"/>
        </w:rPr>
        <w:t>Duve</w:t>
      </w:r>
      <w:proofErr w:type="spellEnd"/>
      <w:r w:rsidRPr="0043287C">
        <w:rPr>
          <w:sz w:val="24"/>
          <w:szCs w:val="24"/>
        </w:rPr>
        <w:t xml:space="preserve"> Institute, Université catholique de Louvain, Brussels, </w:t>
      </w:r>
      <w:proofErr w:type="spellStart"/>
      <w:r w:rsidRPr="0043287C">
        <w:rPr>
          <w:sz w:val="24"/>
          <w:szCs w:val="24"/>
        </w:rPr>
        <w:t>Belgium</w:t>
      </w:r>
      <w:proofErr w:type="spellEnd"/>
      <w:r w:rsidRPr="0043287C">
        <w:rPr>
          <w:sz w:val="24"/>
          <w:szCs w:val="24"/>
        </w:rPr>
        <w:t xml:space="preserve">. </w:t>
      </w:r>
    </w:p>
    <w:p w14:paraId="1EAF8355" w14:textId="77777777" w:rsidR="00E35F29" w:rsidRPr="0043287C" w:rsidRDefault="009C3364" w:rsidP="009D07DA">
      <w:pPr>
        <w:shd w:val="clear" w:color="auto" w:fill="FFFFFF"/>
        <w:spacing w:before="240" w:line="360" w:lineRule="auto"/>
        <w:jc w:val="both"/>
        <w:rPr>
          <w:sz w:val="24"/>
          <w:szCs w:val="24"/>
          <w:lang w:val="en-US"/>
        </w:rPr>
      </w:pPr>
      <w:r w:rsidRPr="0043287C">
        <w:rPr>
          <w:sz w:val="24"/>
          <w:szCs w:val="24"/>
          <w:vertAlign w:val="superscript"/>
          <w:lang w:val="en-US"/>
        </w:rPr>
        <w:t>7</w:t>
      </w:r>
      <w:r w:rsidRPr="0043287C">
        <w:rPr>
          <w:sz w:val="24"/>
          <w:szCs w:val="24"/>
          <w:lang w:val="en-US"/>
        </w:rPr>
        <w:t xml:space="preserve"> WEL Research Institute, WELBIO Department, Wavre, Belgium. </w:t>
      </w:r>
    </w:p>
    <w:p w14:paraId="4E4E15BE" w14:textId="2E8EB63C" w:rsidR="00E35F29" w:rsidRPr="006113C4" w:rsidRDefault="009C3364" w:rsidP="009D07DA">
      <w:pPr>
        <w:shd w:val="clear" w:color="auto" w:fill="FFFFFF"/>
        <w:spacing w:before="240" w:line="360" w:lineRule="auto"/>
        <w:jc w:val="both"/>
        <w:rPr>
          <w:sz w:val="24"/>
          <w:szCs w:val="24"/>
        </w:rPr>
      </w:pPr>
      <w:r w:rsidRPr="006113C4">
        <w:rPr>
          <w:sz w:val="24"/>
          <w:szCs w:val="24"/>
          <w:vertAlign w:val="superscript"/>
        </w:rPr>
        <w:t>8</w:t>
      </w:r>
      <w:r w:rsidRPr="006113C4">
        <w:rPr>
          <w:sz w:val="24"/>
          <w:szCs w:val="24"/>
        </w:rPr>
        <w:t xml:space="preserve"> Univ. Lille, Inserm, CHU Lille, Institut Pasteur de Lille, U-1011-EGID, F-59000, Lille, France. </w:t>
      </w:r>
    </w:p>
    <w:p w14:paraId="19661466" w14:textId="2DF478C9" w:rsidR="000B3587" w:rsidRPr="006113C4" w:rsidRDefault="000B3587" w:rsidP="000B3587">
      <w:pPr>
        <w:shd w:val="clear" w:color="auto" w:fill="FFFFFF"/>
        <w:spacing w:before="240" w:line="360" w:lineRule="auto"/>
        <w:jc w:val="both"/>
        <w:rPr>
          <w:sz w:val="24"/>
          <w:szCs w:val="24"/>
          <w:lang w:val="en-US"/>
        </w:rPr>
      </w:pPr>
      <w:r w:rsidRPr="006113C4">
        <w:rPr>
          <w:sz w:val="24"/>
          <w:szCs w:val="24"/>
          <w:vertAlign w:val="superscript"/>
          <w:lang w:val="en-US"/>
        </w:rPr>
        <w:t>9</w:t>
      </w:r>
      <w:r w:rsidRPr="006113C4">
        <w:rPr>
          <w:sz w:val="24"/>
          <w:szCs w:val="24"/>
          <w:lang w:val="en-US"/>
        </w:rPr>
        <w:t xml:space="preserve"> Department of Medical Pharmacology, Expert Center of Parkinson’s Disease, ALS and neurogenetic, LICEND COEN Center Lille, F-59000 Lille, France</w:t>
      </w:r>
    </w:p>
    <w:p w14:paraId="24A4E6E7" w14:textId="1795C1CC" w:rsidR="00E35F29" w:rsidRDefault="000B3587" w:rsidP="009D07DA">
      <w:pPr>
        <w:shd w:val="clear" w:color="auto" w:fill="FFFFFF"/>
        <w:spacing w:before="240" w:line="360" w:lineRule="auto"/>
        <w:jc w:val="both"/>
        <w:rPr>
          <w:sz w:val="24"/>
          <w:szCs w:val="24"/>
          <w:lang w:val="en-US"/>
        </w:rPr>
      </w:pPr>
      <w:r w:rsidRPr="006113C4">
        <w:rPr>
          <w:sz w:val="24"/>
          <w:szCs w:val="24"/>
          <w:vertAlign w:val="superscript"/>
          <w:lang w:val="en-US"/>
        </w:rPr>
        <w:t>10</w:t>
      </w:r>
      <w:r w:rsidR="009C3364" w:rsidRPr="006113C4">
        <w:rPr>
          <w:sz w:val="24"/>
          <w:szCs w:val="24"/>
          <w:lang w:val="en-US"/>
        </w:rPr>
        <w:t xml:space="preserve"> Ludwig Institute for Cancer Research, Nuffield Department of Medicine</w:t>
      </w:r>
      <w:r w:rsidR="009C3364" w:rsidRPr="0043287C">
        <w:rPr>
          <w:sz w:val="24"/>
          <w:szCs w:val="24"/>
          <w:lang w:val="en-US"/>
        </w:rPr>
        <w:t xml:space="preserve">, Oxford University, Oxford, United Kingdom. </w:t>
      </w:r>
    </w:p>
    <w:p w14:paraId="6A8794BB" w14:textId="083D4C44" w:rsidR="00104B2C" w:rsidRPr="00104E0F" w:rsidRDefault="00104B2C" w:rsidP="00104B2C">
      <w:pPr>
        <w:shd w:val="clear" w:color="auto" w:fill="FFFFFF"/>
        <w:spacing w:before="240" w:line="360" w:lineRule="auto"/>
        <w:jc w:val="both"/>
        <w:rPr>
          <w:sz w:val="24"/>
          <w:szCs w:val="24"/>
          <w:lang w:val="en-US"/>
        </w:rPr>
      </w:pPr>
      <w:r w:rsidRPr="00D510AF">
        <w:rPr>
          <w:sz w:val="24"/>
          <w:szCs w:val="24"/>
          <w:lang w:val="en-US"/>
        </w:rPr>
        <w:lastRenderedPageBreak/>
        <w:t xml:space="preserve">*Corresponding authors. </w:t>
      </w:r>
      <w:r w:rsidR="009D21DC" w:rsidRPr="00104E0F">
        <w:rPr>
          <w:sz w:val="24"/>
          <w:szCs w:val="24"/>
          <w:lang w:val="en-US"/>
        </w:rPr>
        <w:t>Jamal El Bakali</w:t>
      </w:r>
      <w:r w:rsidRPr="00104E0F">
        <w:rPr>
          <w:sz w:val="24"/>
          <w:szCs w:val="24"/>
          <w:lang w:val="en-US"/>
        </w:rPr>
        <w:t xml:space="preserve">, e-mail: </w:t>
      </w:r>
      <w:hyperlink r:id="rId5" w:history="1">
        <w:r w:rsidRPr="00104E0F">
          <w:rPr>
            <w:rStyle w:val="Lienhypertexte"/>
            <w:sz w:val="24"/>
            <w:szCs w:val="24"/>
            <w:lang w:val="en-US"/>
          </w:rPr>
          <w:t>jamal.el-bakali@univ-lille.fr</w:t>
        </w:r>
      </w:hyperlink>
      <w:r w:rsidRPr="00104E0F">
        <w:rPr>
          <w:sz w:val="24"/>
          <w:szCs w:val="24"/>
          <w:lang w:val="en-US"/>
        </w:rPr>
        <w:t xml:space="preserve">, </w:t>
      </w:r>
      <w:r w:rsidR="009D21DC" w:rsidRPr="00104E0F">
        <w:rPr>
          <w:sz w:val="24"/>
          <w:szCs w:val="24"/>
          <w:lang w:val="en-US"/>
        </w:rPr>
        <w:t>Raphaël Frédérick</w:t>
      </w:r>
      <w:r w:rsidRPr="00104E0F">
        <w:rPr>
          <w:sz w:val="24"/>
          <w:szCs w:val="24"/>
          <w:lang w:val="en-US"/>
        </w:rPr>
        <w:t xml:space="preserve">, e-mail: </w:t>
      </w:r>
      <w:hyperlink r:id="rId6" w:history="1">
        <w:r w:rsidR="000B3587" w:rsidRPr="00104E0F">
          <w:rPr>
            <w:rStyle w:val="Lienhypertexte"/>
            <w:sz w:val="24"/>
            <w:szCs w:val="24"/>
            <w:lang w:val="en-US"/>
          </w:rPr>
          <w:t>raphael.frederick@uclouvain.be</w:t>
        </w:r>
      </w:hyperlink>
    </w:p>
    <w:p w14:paraId="5A441197" w14:textId="483F2DBC" w:rsidR="00104B2C" w:rsidRDefault="00104B2C" w:rsidP="001D37D3">
      <w:pPr>
        <w:shd w:val="clear" w:color="auto" w:fill="FFFFFF"/>
        <w:spacing w:before="240" w:line="360" w:lineRule="auto"/>
        <w:jc w:val="both"/>
        <w:rPr>
          <w:sz w:val="24"/>
          <w:szCs w:val="24"/>
          <w:lang w:val="en-US"/>
        </w:rPr>
      </w:pPr>
      <w:r>
        <w:rPr>
          <w:sz w:val="24"/>
          <w:szCs w:val="24"/>
          <w:lang w:val="en-US"/>
        </w:rPr>
        <w:br w:type="page"/>
      </w:r>
    </w:p>
    <w:p w14:paraId="20AF9F50" w14:textId="45532801" w:rsidR="00E35F29" w:rsidRPr="0043287C" w:rsidRDefault="0043287C">
      <w:pPr>
        <w:spacing w:before="240" w:line="360" w:lineRule="auto"/>
        <w:rPr>
          <w:sz w:val="24"/>
          <w:szCs w:val="24"/>
          <w:lang w:val="en-US"/>
        </w:rPr>
      </w:pPr>
      <w:r w:rsidRPr="0043287C">
        <w:rPr>
          <w:sz w:val="24"/>
          <w:szCs w:val="24"/>
          <w:lang w:val="en-US"/>
        </w:rPr>
        <w:lastRenderedPageBreak/>
        <w:t>ABSTRACT</w:t>
      </w:r>
    </w:p>
    <w:p w14:paraId="52438C33" w14:textId="1EEF9429" w:rsidR="00F56F92" w:rsidRDefault="19F56F87" w:rsidP="00F56F92">
      <w:pPr>
        <w:spacing w:before="240" w:line="360" w:lineRule="auto"/>
        <w:jc w:val="both"/>
        <w:rPr>
          <w:sz w:val="24"/>
          <w:szCs w:val="24"/>
          <w:lang w:val="en-US"/>
        </w:rPr>
      </w:pPr>
      <w:r w:rsidRPr="19F56F87">
        <w:rPr>
          <w:sz w:val="24"/>
          <w:szCs w:val="24"/>
          <w:lang w:val="en-US"/>
        </w:rPr>
        <w:t>Lipid metabolism is essential for cellular homeostasis, and its disruption is linked to various diseases. Acyl-coenzyme A synthetase long-chain family member 4 (ACSL4),</w:t>
      </w:r>
      <w:r w:rsidRPr="19F56F87">
        <w:rPr>
          <w:lang w:val="en-US"/>
        </w:rPr>
        <w:t xml:space="preserve"> </w:t>
      </w:r>
      <w:r w:rsidRPr="19F56F87">
        <w:rPr>
          <w:sz w:val="24"/>
          <w:szCs w:val="24"/>
          <w:lang w:val="en-US"/>
        </w:rPr>
        <w:t>a pivotal enzyme in lipid metabolism, has emerged as a therapeutic target for ferroptosis-related conditions and cancer. Antidiabetic drug rosiglitazone is the reference ACSL4 inhibitor. However, its potent activity on peroxisome proliferator-activated receptor gamma (</w:t>
      </w:r>
      <w:proofErr w:type="spellStart"/>
      <w:r w:rsidRPr="19F56F87">
        <w:rPr>
          <w:sz w:val="24"/>
          <w:szCs w:val="24"/>
          <w:lang w:val="en-US"/>
        </w:rPr>
        <w:t>PPARγ</w:t>
      </w:r>
      <w:proofErr w:type="spellEnd"/>
      <w:r w:rsidRPr="19F56F87">
        <w:rPr>
          <w:sz w:val="24"/>
          <w:szCs w:val="24"/>
          <w:lang w:val="en-US"/>
        </w:rPr>
        <w:t xml:space="preserve">), a key regulator of lipid metabolism, represents a significant limitation. Here, we report the discovery and characterization of LIBX-A401 (compound </w:t>
      </w:r>
      <w:r w:rsidRPr="19F56F87">
        <w:rPr>
          <w:b/>
          <w:bCs/>
          <w:sz w:val="24"/>
          <w:szCs w:val="24"/>
          <w:lang w:val="en-US"/>
        </w:rPr>
        <w:t>9</w:t>
      </w:r>
      <w:r w:rsidRPr="19F56F87">
        <w:rPr>
          <w:sz w:val="24"/>
          <w:szCs w:val="24"/>
          <w:lang w:val="en-US"/>
        </w:rPr>
        <w:t xml:space="preserve">), a potent ACSL4 inhibitor derived from rosiglitazone but devoid of </w:t>
      </w:r>
      <w:proofErr w:type="spellStart"/>
      <w:r w:rsidRPr="19F56F87">
        <w:rPr>
          <w:sz w:val="24"/>
          <w:szCs w:val="24"/>
          <w:lang w:val="en-US"/>
        </w:rPr>
        <w:t>PPARγ</w:t>
      </w:r>
      <w:proofErr w:type="spellEnd"/>
      <w:r w:rsidRPr="19F56F87">
        <w:rPr>
          <w:sz w:val="24"/>
          <w:szCs w:val="24"/>
          <w:lang w:val="en-US"/>
        </w:rPr>
        <w:t xml:space="preserve"> activity. We showed that its binding to ACSL4 is ATP-dependent. Using Hydrogen-Deuterium Exchange Mass Spectrometry, we demonstrate that ATP binding stabilizes the ACSL4 C-terminus, with LIBX-A401 further stabilizing this domain and altering the fatty acid gate region. Photoaffinity labeling with a diazirine probe identified A329 within the fatty acid binding site, while molecular dynamics simulations and mutagenesis highlighted Q302 as critical for LIBX-A401 binding. LIBX-A401 exhibits significant anti-</w:t>
      </w:r>
      <w:proofErr w:type="spellStart"/>
      <w:r w:rsidRPr="19F56F87">
        <w:rPr>
          <w:sz w:val="24"/>
          <w:szCs w:val="24"/>
          <w:lang w:val="en-US"/>
        </w:rPr>
        <w:t>ferroptotic</w:t>
      </w:r>
      <w:proofErr w:type="spellEnd"/>
      <w:r w:rsidRPr="19F56F87">
        <w:rPr>
          <w:sz w:val="24"/>
          <w:szCs w:val="24"/>
          <w:lang w:val="en-US"/>
        </w:rPr>
        <w:t xml:space="preserve"> properties in cells, supported by demonstrated target engagement. These findings position LIBX-A401 as a valuable tool for studying ACSL4 in ferroptosis-related diseases and cancer, while its elucidated binding mode paves the way to the rational design of improved ACSL4 inhibitors with therapeutic potential.</w:t>
      </w:r>
    </w:p>
    <w:p w14:paraId="5D2A7157" w14:textId="179DCF8B" w:rsidR="00297F3E" w:rsidRPr="0043287C" w:rsidRDefault="00297F3E">
      <w:pPr>
        <w:rPr>
          <w:sz w:val="24"/>
          <w:szCs w:val="24"/>
          <w:lang w:val="en-US"/>
        </w:rPr>
      </w:pPr>
      <w:r w:rsidRPr="0043287C">
        <w:rPr>
          <w:sz w:val="24"/>
          <w:szCs w:val="24"/>
          <w:lang w:val="en-US"/>
        </w:rPr>
        <w:br w:type="page"/>
      </w:r>
    </w:p>
    <w:p w14:paraId="404AF16B" w14:textId="0563FE4D" w:rsidR="00E35F29" w:rsidRPr="0043287C" w:rsidRDefault="0043287C">
      <w:pPr>
        <w:spacing w:before="240" w:line="360" w:lineRule="auto"/>
        <w:rPr>
          <w:sz w:val="24"/>
          <w:szCs w:val="24"/>
          <w:lang w:val="en-US"/>
        </w:rPr>
      </w:pPr>
      <w:r w:rsidRPr="0043287C">
        <w:rPr>
          <w:sz w:val="24"/>
          <w:szCs w:val="24"/>
          <w:lang w:val="en-US"/>
        </w:rPr>
        <w:lastRenderedPageBreak/>
        <w:t>GRAPHICAL ABSTRACT</w:t>
      </w:r>
    </w:p>
    <w:p w14:paraId="13AAC31E" w14:textId="7C0FFCAB" w:rsidR="00CD4B3E" w:rsidRDefault="00CD4B3E" w:rsidP="009152F9">
      <w:pPr>
        <w:spacing w:before="240" w:line="360" w:lineRule="auto"/>
        <w:rPr>
          <w:sz w:val="24"/>
          <w:szCs w:val="24"/>
          <w:lang w:val="en-US"/>
        </w:rPr>
      </w:pPr>
      <w:r w:rsidRPr="0080456F">
        <w:rPr>
          <w:noProof/>
          <w:sz w:val="24"/>
          <w:szCs w:val="24"/>
          <w:lang w:val="fr-FR"/>
        </w:rPr>
        <w:drawing>
          <wp:inline distT="0" distB="0" distL="0" distR="0" wp14:anchorId="7FFE2074" wp14:editId="44E34085">
            <wp:extent cx="5733415" cy="1524467"/>
            <wp:effectExtent l="0" t="0" r="63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3415" cy="1524467"/>
                    </a:xfrm>
                    <a:prstGeom prst="rect">
                      <a:avLst/>
                    </a:prstGeom>
                    <a:noFill/>
                  </pic:spPr>
                </pic:pic>
              </a:graphicData>
            </a:graphic>
          </wp:inline>
        </w:drawing>
      </w:r>
    </w:p>
    <w:p w14:paraId="6B55A676" w14:textId="4677812F" w:rsidR="00FB6FF3" w:rsidRDefault="00FB6FF3" w:rsidP="00FB6FF3">
      <w:pPr>
        <w:spacing w:after="160" w:line="257" w:lineRule="auto"/>
        <w:jc w:val="both"/>
        <w:rPr>
          <w:rFonts w:ascii="Aptos" w:eastAsia="Aptos" w:hAnsi="Aptos" w:cs="Aptos"/>
          <w:lang w:val="en-US"/>
        </w:rPr>
      </w:pPr>
    </w:p>
    <w:p w14:paraId="65738F4F" w14:textId="673CB3C7" w:rsidR="00C140A5" w:rsidRDefault="6AF820C3" w:rsidP="00FB6FF3">
      <w:pPr>
        <w:spacing w:after="160" w:line="257" w:lineRule="auto"/>
        <w:jc w:val="both"/>
        <w:rPr>
          <w:rFonts w:ascii="Aptos" w:eastAsia="Aptos" w:hAnsi="Aptos" w:cs="Aptos"/>
          <w:lang w:val="en-US"/>
        </w:rPr>
      </w:pPr>
      <w:r w:rsidRPr="007D508B">
        <w:rPr>
          <w:rFonts w:ascii="Aptos" w:eastAsia="Aptos" w:hAnsi="Aptos" w:cs="Aptos"/>
          <w:highlight w:val="yellow"/>
          <w:lang w:val="en-US"/>
        </w:rPr>
        <w:t xml:space="preserve">We report the discovery of LIBX-A401, a potent and selective ACSL4 inhibitor derived from rosiglitazone. </w:t>
      </w:r>
      <w:r w:rsidRPr="00F64616">
        <w:rPr>
          <w:highlight w:val="yellow"/>
          <w:lang w:val="en-US"/>
        </w:rPr>
        <w:t xml:space="preserve">HDX-MS reveals that </w:t>
      </w:r>
      <w:r w:rsidRPr="007D508B">
        <w:rPr>
          <w:rFonts w:ascii="Aptos" w:eastAsia="Aptos" w:hAnsi="Aptos" w:cs="Aptos"/>
          <w:highlight w:val="yellow"/>
          <w:lang w:val="en-US"/>
        </w:rPr>
        <w:t xml:space="preserve">LIBX-A401 stabilizes the ACSL4 </w:t>
      </w:r>
      <w:r w:rsidRPr="007D508B">
        <w:rPr>
          <w:rFonts w:ascii="Aptos" w:eastAsia="Aptos" w:hAnsi="Aptos" w:cs="Aptos"/>
          <w:i/>
          <w:iCs/>
          <w:highlight w:val="yellow"/>
          <w:lang w:val="en-US"/>
        </w:rPr>
        <w:t>C</w:t>
      </w:r>
      <w:r w:rsidRPr="007D508B">
        <w:rPr>
          <w:rFonts w:ascii="Aptos" w:eastAsia="Aptos" w:hAnsi="Aptos" w:cs="Aptos"/>
          <w:highlight w:val="yellow"/>
          <w:lang w:val="en-US"/>
        </w:rPr>
        <w:t>-</w:t>
      </w:r>
      <w:proofErr w:type="gramStart"/>
      <w:r w:rsidRPr="007D508B">
        <w:rPr>
          <w:rFonts w:ascii="Aptos" w:eastAsia="Aptos" w:hAnsi="Aptos" w:cs="Aptos"/>
          <w:highlight w:val="yellow"/>
          <w:lang w:val="en-US"/>
        </w:rPr>
        <w:t>terminus, and</w:t>
      </w:r>
      <w:proofErr w:type="gramEnd"/>
      <w:r w:rsidRPr="007D508B">
        <w:rPr>
          <w:rFonts w:ascii="Aptos" w:eastAsia="Aptos" w:hAnsi="Aptos" w:cs="Aptos"/>
          <w:highlight w:val="yellow"/>
          <w:lang w:val="en-US"/>
        </w:rPr>
        <w:t xml:space="preserve"> alters the fatty acid (FA) gate domain. </w:t>
      </w:r>
      <w:r w:rsidR="007D508B" w:rsidRPr="007D508B">
        <w:rPr>
          <w:rFonts w:ascii="Aptos" w:eastAsia="Aptos" w:hAnsi="Aptos" w:cs="Aptos"/>
          <w:highlight w:val="yellow"/>
          <w:lang w:val="en-US"/>
        </w:rPr>
        <w:t>Consistently, p</w:t>
      </w:r>
      <w:r w:rsidRPr="007D508B">
        <w:rPr>
          <w:rFonts w:ascii="Aptos" w:eastAsia="Aptos" w:hAnsi="Aptos" w:cs="Aptos"/>
          <w:highlight w:val="yellow"/>
          <w:lang w:val="en-US"/>
        </w:rPr>
        <w:t>hotoaffinity labeling, molecular dynamics and mutagenesis identify key binding residues within the FA pocket. LIBX-A401 also exhibits ACSL4-dependent anti-</w:t>
      </w:r>
      <w:proofErr w:type="spellStart"/>
      <w:r w:rsidRPr="007D508B">
        <w:rPr>
          <w:rFonts w:ascii="Aptos" w:eastAsia="Aptos" w:hAnsi="Aptos" w:cs="Aptos"/>
          <w:highlight w:val="yellow"/>
          <w:lang w:val="en-US"/>
        </w:rPr>
        <w:t>ferroptotic</w:t>
      </w:r>
      <w:proofErr w:type="spellEnd"/>
      <w:r w:rsidRPr="007D508B">
        <w:rPr>
          <w:rFonts w:ascii="Aptos" w:eastAsia="Aptos" w:hAnsi="Aptos" w:cs="Aptos"/>
          <w:highlight w:val="yellow"/>
          <w:lang w:val="en-US"/>
        </w:rPr>
        <w:t xml:space="preserve"> properties in cell</w:t>
      </w:r>
      <w:r w:rsidR="00C140A5" w:rsidRPr="007D508B">
        <w:rPr>
          <w:rFonts w:ascii="Aptos" w:eastAsia="Aptos" w:hAnsi="Aptos" w:cs="Aptos"/>
          <w:highlight w:val="yellow"/>
          <w:lang w:val="en-US"/>
        </w:rPr>
        <w:t>s</w:t>
      </w:r>
      <w:r w:rsidRPr="007D508B">
        <w:rPr>
          <w:rFonts w:ascii="Aptos" w:eastAsia="Aptos" w:hAnsi="Aptos" w:cs="Aptos"/>
          <w:highlight w:val="yellow"/>
          <w:lang w:val="en-US"/>
        </w:rPr>
        <w:t>, supporting its therapeutic potential.</w:t>
      </w:r>
    </w:p>
    <w:p w14:paraId="4B7F04BB" w14:textId="77777777" w:rsidR="00C140A5" w:rsidRDefault="00C140A5" w:rsidP="00FB6FF3">
      <w:pPr>
        <w:spacing w:after="160" w:line="257" w:lineRule="auto"/>
        <w:jc w:val="both"/>
        <w:rPr>
          <w:sz w:val="24"/>
          <w:szCs w:val="24"/>
          <w:lang w:val="en-US"/>
        </w:rPr>
      </w:pPr>
    </w:p>
    <w:p w14:paraId="0B14DCE9" w14:textId="4BADEF35" w:rsidR="00E35F29" w:rsidRPr="0043287C" w:rsidRDefault="00297F3E" w:rsidP="00F83E3B">
      <w:pPr>
        <w:jc w:val="both"/>
        <w:rPr>
          <w:sz w:val="24"/>
          <w:szCs w:val="24"/>
          <w:lang w:val="en-US"/>
        </w:rPr>
      </w:pPr>
      <w:r w:rsidRPr="0043287C">
        <w:rPr>
          <w:sz w:val="24"/>
          <w:szCs w:val="24"/>
          <w:lang w:val="en-US"/>
        </w:rPr>
        <w:br w:type="page"/>
      </w:r>
      <w:r w:rsidR="009C3364" w:rsidRPr="0043287C">
        <w:rPr>
          <w:sz w:val="24"/>
          <w:szCs w:val="24"/>
          <w:lang w:val="en-US"/>
        </w:rPr>
        <w:lastRenderedPageBreak/>
        <w:t>INTRODUCTION</w:t>
      </w:r>
    </w:p>
    <w:p w14:paraId="4DA7C246" w14:textId="1EC9C232" w:rsidR="00215454" w:rsidRDefault="4ECF27A3" w:rsidP="4ECF27A3">
      <w:pPr>
        <w:spacing w:before="240" w:after="120" w:line="360" w:lineRule="auto"/>
        <w:jc w:val="both"/>
        <w:rPr>
          <w:sz w:val="24"/>
          <w:szCs w:val="24"/>
          <w:lang w:val="en-US"/>
        </w:rPr>
      </w:pPr>
      <w:r w:rsidRPr="4ECF27A3">
        <w:rPr>
          <w:sz w:val="24"/>
          <w:szCs w:val="24"/>
          <w:lang w:val="en-US"/>
        </w:rPr>
        <w:t xml:space="preserve">Lipid metabolism encompasses a series of dynamic and interdependent processes that regulate the synthesis, storage, and use of lipids in living organisms. Within this complex set of biochemical processes, the acyl-coenzyme A (acyl-CoA) synthetase long-chain family of enzymes (ACSLs) plays a pivotal role in the activation of long-chain fatty acids into corresponding fatty acyl-CoA esters. Once activated, fatty acids participate in various cellular pathways including the synthesis of phospholipids (PLs), triacylglycerol and cholesterol esters, </w:t>
      </w:r>
      <w:r w:rsidRPr="4ECF27A3">
        <w:rPr>
          <w:sz w:val="24"/>
          <w:szCs w:val="24"/>
        </w:rPr>
        <w:t>β</w:t>
      </w:r>
      <w:r w:rsidRPr="4ECF27A3">
        <w:rPr>
          <w:sz w:val="24"/>
          <w:szCs w:val="24"/>
          <w:lang w:val="en-US"/>
        </w:rPr>
        <w:t>-oxidation and protein acylation.</w:t>
      </w:r>
      <w:r w:rsidRPr="4ECF27A3">
        <w:rPr>
          <w:sz w:val="24"/>
          <w:szCs w:val="24"/>
          <w:vertAlign w:val="superscript"/>
          <w:lang w:val="en-US"/>
        </w:rPr>
        <w:t>[1]</w:t>
      </w:r>
      <w:r w:rsidRPr="4ECF27A3">
        <w:rPr>
          <w:sz w:val="24"/>
          <w:szCs w:val="24"/>
          <w:lang w:val="en-US"/>
        </w:rPr>
        <w:t xml:space="preserve"> In mammals, the ACSL family comprises five members, ACSL1 and ACSL3-6, which have different tissue and subcellular distributions, and substrate preferences.</w:t>
      </w:r>
      <w:r w:rsidRPr="4ECF27A3">
        <w:rPr>
          <w:sz w:val="24"/>
          <w:szCs w:val="24"/>
          <w:vertAlign w:val="superscript"/>
          <w:lang w:val="en-US"/>
        </w:rPr>
        <w:t>[2]</w:t>
      </w:r>
      <w:r w:rsidRPr="4ECF27A3">
        <w:rPr>
          <w:sz w:val="24"/>
          <w:szCs w:val="24"/>
          <w:lang w:val="en-US"/>
        </w:rPr>
        <w:t xml:space="preserve"> They have all been identified as potential therapeutic targets in various diseases.</w:t>
      </w:r>
      <w:r w:rsidRPr="4ECF27A3">
        <w:rPr>
          <w:sz w:val="24"/>
          <w:szCs w:val="24"/>
          <w:vertAlign w:val="superscript"/>
          <w:lang w:val="en-US"/>
        </w:rPr>
        <w:t>[3]</w:t>
      </w:r>
      <w:r w:rsidRPr="4ECF27A3">
        <w:rPr>
          <w:sz w:val="24"/>
          <w:szCs w:val="24"/>
          <w:lang w:val="en-US"/>
        </w:rPr>
        <w:t xml:space="preserve"> More specifically, ACSL4 recently emerged as an attractive target in some cancers including hepatocellular carcinoma,</w:t>
      </w:r>
      <w:r w:rsidRPr="4ECF27A3">
        <w:rPr>
          <w:sz w:val="24"/>
          <w:szCs w:val="24"/>
          <w:vertAlign w:val="superscript"/>
          <w:lang w:val="en-US"/>
        </w:rPr>
        <w:t>[4]</w:t>
      </w:r>
      <w:r w:rsidRPr="4ECF27A3">
        <w:rPr>
          <w:sz w:val="24"/>
          <w:szCs w:val="24"/>
          <w:lang w:val="en-US"/>
        </w:rPr>
        <w:t xml:space="preserve"> estrogen receptor-negative breast cancer,</w:t>
      </w:r>
      <w:r w:rsidRPr="4ECF27A3">
        <w:rPr>
          <w:sz w:val="24"/>
          <w:szCs w:val="24"/>
          <w:vertAlign w:val="superscript"/>
          <w:lang w:val="en-US"/>
        </w:rPr>
        <w:t>[5]</w:t>
      </w:r>
      <w:r w:rsidRPr="4ECF27A3">
        <w:rPr>
          <w:sz w:val="24"/>
          <w:szCs w:val="24"/>
          <w:lang w:val="en-US"/>
        </w:rPr>
        <w:t xml:space="preserve"> and prostate cancer.</w:t>
      </w:r>
      <w:r w:rsidRPr="4ECF27A3">
        <w:rPr>
          <w:sz w:val="24"/>
          <w:szCs w:val="24"/>
          <w:vertAlign w:val="superscript"/>
          <w:lang w:val="en-US"/>
        </w:rPr>
        <w:t xml:space="preserve">[6] </w:t>
      </w:r>
      <w:r w:rsidRPr="4ECF27A3">
        <w:rPr>
          <w:sz w:val="24"/>
          <w:szCs w:val="24"/>
          <w:lang w:val="en-US"/>
        </w:rPr>
        <w:t>Indeed, recent studies highlight the critical role of ACSL4 in tumor progression and metastasis. For instance, in androgen receptor-independent prostate cancer, ACSL4 overexpression sustains dysregulated fatty acid (FA) metabolism, promoting cell proliferation and invasion.</w:t>
      </w:r>
      <w:r w:rsidRPr="4ECF27A3">
        <w:rPr>
          <w:sz w:val="24"/>
          <w:szCs w:val="24"/>
          <w:vertAlign w:val="superscript"/>
          <w:lang w:val="en-US"/>
        </w:rPr>
        <w:t>[6a]</w:t>
      </w:r>
      <w:r w:rsidRPr="4ECF27A3">
        <w:rPr>
          <w:sz w:val="24"/>
          <w:szCs w:val="24"/>
          <w:lang w:val="en-US"/>
        </w:rPr>
        <w:t xml:space="preserve"> In triple-negative breast cancer, ACSL4 upregulation drives phospholipid remodeling, enhancing membrane fluidity and activating integrin β1, </w:t>
      </w:r>
      <w:r w:rsidRPr="00CD7A66">
        <w:rPr>
          <w:sz w:val="24"/>
          <w:szCs w:val="24"/>
          <w:highlight w:val="yellow"/>
          <w:lang w:val="en-US"/>
        </w:rPr>
        <w:t>contributing</w:t>
      </w:r>
      <w:r w:rsidRPr="4ECF27A3">
        <w:rPr>
          <w:sz w:val="24"/>
          <w:szCs w:val="24"/>
          <w:lang w:val="en-US"/>
        </w:rPr>
        <w:t xml:space="preserve"> to metastasis.</w:t>
      </w:r>
      <w:r w:rsidRPr="4ECF27A3">
        <w:rPr>
          <w:sz w:val="24"/>
          <w:szCs w:val="24"/>
          <w:vertAlign w:val="superscript"/>
          <w:lang w:val="en-US"/>
        </w:rPr>
        <w:t>[5a]</w:t>
      </w:r>
      <w:r w:rsidRPr="4ECF27A3">
        <w:rPr>
          <w:sz w:val="24"/>
          <w:szCs w:val="24"/>
          <w:lang w:val="en-US"/>
        </w:rPr>
        <w:t xml:space="preserve"> Similarly, in ovarian cancer, ACSL4 facilitates metastasis by increasing polyunsaturated fatty acid (PUFA)-lipid content, which enhances invasiveness.</w:t>
      </w:r>
      <w:r w:rsidRPr="4ECF27A3">
        <w:rPr>
          <w:sz w:val="24"/>
          <w:szCs w:val="24"/>
          <w:vertAlign w:val="superscript"/>
          <w:lang w:val="en-US"/>
        </w:rPr>
        <w:t>[7]</w:t>
      </w:r>
      <w:r w:rsidRPr="4ECF27A3">
        <w:rPr>
          <w:sz w:val="24"/>
          <w:szCs w:val="24"/>
          <w:lang w:val="en-US"/>
        </w:rPr>
        <w:t xml:space="preserve"> These findings underscore the potential of ACSL4 as a therapeutic target, particularly in metastatic cancers.</w:t>
      </w:r>
      <w:r w:rsidRPr="4ECF27A3">
        <w:rPr>
          <w:sz w:val="24"/>
          <w:szCs w:val="24"/>
          <w:vertAlign w:val="superscript"/>
          <w:lang w:val="en-US"/>
        </w:rPr>
        <w:t xml:space="preserve"> </w:t>
      </w:r>
      <w:r w:rsidRPr="4ECF27A3">
        <w:rPr>
          <w:sz w:val="24"/>
          <w:szCs w:val="24"/>
          <w:lang w:val="en-US"/>
        </w:rPr>
        <w:t>In addition, due to its marked preference for PUFAs, ACSL4 has been identified as a pivotal contributor to ferroptosis,</w:t>
      </w:r>
      <w:r w:rsidRPr="4ECF27A3">
        <w:rPr>
          <w:sz w:val="24"/>
          <w:szCs w:val="24"/>
          <w:vertAlign w:val="superscript"/>
          <w:lang w:val="en-US"/>
        </w:rPr>
        <w:t>[8]</w:t>
      </w:r>
      <w:r w:rsidRPr="4ECF27A3">
        <w:rPr>
          <w:sz w:val="24"/>
          <w:szCs w:val="24"/>
          <w:lang w:val="en-US"/>
        </w:rPr>
        <w:t xml:space="preserve"> an iron-dependent regulated cell death characterized by extensive membrane lipid peroxidation.</w:t>
      </w:r>
      <w:r w:rsidRPr="4ECF27A3">
        <w:rPr>
          <w:sz w:val="24"/>
          <w:szCs w:val="24"/>
          <w:vertAlign w:val="superscript"/>
          <w:lang w:val="en-US"/>
        </w:rPr>
        <w:t>[9]</w:t>
      </w:r>
      <w:r w:rsidRPr="4ECF27A3">
        <w:rPr>
          <w:sz w:val="24"/>
          <w:szCs w:val="24"/>
          <w:lang w:val="en-US"/>
        </w:rPr>
        <w:t xml:space="preserve"> Ferroptosis is implicated in various pathologies, and its inhibition holds therapeutic potential for conditions such as ischemia-reperfusion injuries,</w:t>
      </w:r>
      <w:r w:rsidRPr="4ECF27A3">
        <w:rPr>
          <w:sz w:val="24"/>
          <w:szCs w:val="24"/>
          <w:vertAlign w:val="superscript"/>
          <w:lang w:val="en-US"/>
        </w:rPr>
        <w:t>[10]</w:t>
      </w:r>
      <w:r w:rsidRPr="4ECF27A3">
        <w:rPr>
          <w:sz w:val="24"/>
          <w:szCs w:val="24"/>
          <w:lang w:val="en-US"/>
        </w:rPr>
        <w:t xml:space="preserve"> as well as neurodegenerative diseases like Alzheimer’s disease and Parkinson’s disease.</w:t>
      </w:r>
      <w:r w:rsidRPr="4ECF27A3">
        <w:rPr>
          <w:sz w:val="24"/>
          <w:szCs w:val="24"/>
          <w:vertAlign w:val="superscript"/>
          <w:lang w:val="en-US"/>
        </w:rPr>
        <w:t>[11]</w:t>
      </w:r>
      <w:r w:rsidRPr="4ECF27A3">
        <w:rPr>
          <w:sz w:val="24"/>
          <w:szCs w:val="24"/>
          <w:lang w:val="en-US"/>
        </w:rPr>
        <w:t xml:space="preserve"> ACSL4 drives ferroptosis by enriching membrane PLs with PUFAs, which are highly susceptible to peroxidation.</w:t>
      </w:r>
      <w:r w:rsidRPr="4ECF27A3">
        <w:rPr>
          <w:sz w:val="24"/>
          <w:szCs w:val="24"/>
          <w:vertAlign w:val="superscript"/>
          <w:lang w:val="en-US"/>
        </w:rPr>
        <w:t xml:space="preserve">[8c],[8d] </w:t>
      </w:r>
      <w:r w:rsidRPr="4ECF27A3">
        <w:rPr>
          <w:sz w:val="24"/>
          <w:szCs w:val="24"/>
          <w:lang w:val="en-US"/>
        </w:rPr>
        <w:t>Interestingly, genetic depletion or pharmacological inhibition of ACSL4 confers a strong protection against ferroptosis.</w:t>
      </w:r>
      <w:r w:rsidRPr="4ECF27A3">
        <w:rPr>
          <w:sz w:val="24"/>
          <w:szCs w:val="24"/>
          <w:vertAlign w:val="superscript"/>
          <w:lang w:val="en-US"/>
        </w:rPr>
        <w:t xml:space="preserve">[8c] </w:t>
      </w:r>
      <w:r w:rsidRPr="4ECF27A3">
        <w:rPr>
          <w:sz w:val="24"/>
          <w:szCs w:val="24"/>
          <w:lang w:val="en-US"/>
        </w:rPr>
        <w:t xml:space="preserve">Therefore inhibiting ACSL4 may have a positive impact on diseases or conditions in which ferroptosis is involved as well as in certain cancers. </w:t>
      </w:r>
    </w:p>
    <w:p w14:paraId="23804515" w14:textId="60D9985B" w:rsidR="00E35F29" w:rsidRPr="005641C7" w:rsidRDefault="4F2974FF" w:rsidP="6698E38A">
      <w:pPr>
        <w:spacing w:before="240" w:after="120" w:line="360" w:lineRule="auto"/>
        <w:jc w:val="both"/>
        <w:rPr>
          <w:sz w:val="24"/>
          <w:szCs w:val="24"/>
          <w:lang w:val="en-US"/>
        </w:rPr>
      </w:pPr>
      <w:r w:rsidRPr="4F2974FF">
        <w:rPr>
          <w:sz w:val="24"/>
          <w:szCs w:val="24"/>
          <w:lang w:val="en-US"/>
        </w:rPr>
        <w:lastRenderedPageBreak/>
        <w:t>So far, while a few molecules have been described, no potent, selective, and well-characterized ACSL4 inhibitor has been identified.</w:t>
      </w:r>
      <w:r w:rsidRPr="4F2974FF">
        <w:rPr>
          <w:sz w:val="24"/>
          <w:szCs w:val="24"/>
          <w:vertAlign w:val="superscript"/>
          <w:lang w:val="en-US"/>
        </w:rPr>
        <w:t xml:space="preserve">[12] </w:t>
      </w:r>
      <w:r w:rsidRPr="4F2974FF">
        <w:rPr>
          <w:sz w:val="24"/>
          <w:szCs w:val="24"/>
          <w:lang w:val="en-US"/>
        </w:rPr>
        <w:t>The most widely used ACSL4 inhibitor is rosiglitazone (ROSI) which selectively inhibits ACSL4 (over other ACSLs) in the micromolar range.</w:t>
      </w:r>
      <w:r w:rsidRPr="4F2974FF">
        <w:rPr>
          <w:sz w:val="24"/>
          <w:szCs w:val="24"/>
          <w:vertAlign w:val="superscript"/>
          <w:lang w:val="en-US"/>
        </w:rPr>
        <w:t xml:space="preserve">[13] </w:t>
      </w:r>
      <w:r w:rsidRPr="4F2974FF">
        <w:rPr>
          <w:sz w:val="24"/>
          <w:szCs w:val="24"/>
          <w:lang w:val="en-US"/>
        </w:rPr>
        <w:t>However, its potent activity on peroxisome proliferator-activated receptor gamma (PPAR</w:t>
      </w:r>
      <w:r w:rsidRPr="4F2974FF">
        <w:rPr>
          <w:sz w:val="24"/>
          <w:szCs w:val="24"/>
        </w:rPr>
        <w:t>γ</w:t>
      </w:r>
      <w:r w:rsidRPr="4F2974FF">
        <w:rPr>
          <w:sz w:val="24"/>
          <w:szCs w:val="24"/>
          <w:lang w:val="en-US"/>
        </w:rPr>
        <w:t>), a nuclear receptor strongly involved in lipid metabolism and the mediation of ROSI’s antidiabetic effects, constitutes an important limitation due to off-target effects and associated safety concerns.</w:t>
      </w:r>
      <w:r w:rsidRPr="4F2974FF">
        <w:rPr>
          <w:lang w:val="en-US"/>
        </w:rPr>
        <w:t xml:space="preserve"> </w:t>
      </w:r>
      <w:r w:rsidRPr="4F2974FF">
        <w:rPr>
          <w:sz w:val="24"/>
          <w:szCs w:val="24"/>
          <w:lang w:val="en-US"/>
        </w:rPr>
        <w:t>These drawbacks underscore the need for developing novel ACSL4 inhibitors that specifically avoid these limitations. However, a major challenge in this effort is the lack of structural information about ACSL4 and its related family members, which would aid rational inhibitor design. Indeed, although mammalian ACSLs have been thoroughly biochemically characterized, structural information is missing</w:t>
      </w:r>
      <w:r w:rsidRPr="4F2974FF">
        <w:rPr>
          <w:sz w:val="24"/>
          <w:szCs w:val="24"/>
          <w:vertAlign w:val="superscript"/>
          <w:lang w:val="en-US"/>
        </w:rPr>
        <w:t xml:space="preserve"> </w:t>
      </w:r>
      <w:r w:rsidRPr="4F2974FF">
        <w:rPr>
          <w:sz w:val="24"/>
          <w:szCs w:val="24"/>
          <w:lang w:val="en-US"/>
        </w:rPr>
        <w:t xml:space="preserve">with the only known structure of ACSL being the one of </w:t>
      </w:r>
      <w:r w:rsidRPr="4F2974FF">
        <w:rPr>
          <w:i/>
          <w:iCs/>
          <w:sz w:val="24"/>
          <w:szCs w:val="24"/>
          <w:lang w:val="en-US"/>
        </w:rPr>
        <w:t>Thermus thermophilus</w:t>
      </w:r>
      <w:r w:rsidRPr="4F2974FF">
        <w:rPr>
          <w:sz w:val="24"/>
          <w:szCs w:val="24"/>
          <w:lang w:val="en-US"/>
        </w:rPr>
        <w:t xml:space="preserve"> </w:t>
      </w:r>
      <w:proofErr w:type="spellStart"/>
      <w:r w:rsidRPr="4F2974FF">
        <w:rPr>
          <w:i/>
          <w:iCs/>
          <w:sz w:val="24"/>
          <w:szCs w:val="24"/>
          <w:lang w:val="en-US"/>
        </w:rPr>
        <w:t>tt</w:t>
      </w:r>
      <w:r w:rsidRPr="4F2974FF">
        <w:rPr>
          <w:sz w:val="24"/>
          <w:szCs w:val="24"/>
          <w:lang w:val="en-US"/>
        </w:rPr>
        <w:t>LC</w:t>
      </w:r>
      <w:proofErr w:type="spellEnd"/>
      <w:r w:rsidRPr="4F2974FF">
        <w:rPr>
          <w:sz w:val="24"/>
          <w:szCs w:val="24"/>
          <w:lang w:val="en-US"/>
        </w:rPr>
        <w:t>-FACS.</w:t>
      </w:r>
      <w:r w:rsidRPr="4F2974FF">
        <w:rPr>
          <w:sz w:val="24"/>
          <w:szCs w:val="24"/>
          <w:vertAlign w:val="superscript"/>
          <w:lang w:val="en-US"/>
        </w:rPr>
        <w:t>[14]</w:t>
      </w:r>
      <w:r w:rsidRPr="4F2974FF">
        <w:rPr>
          <w:sz w:val="24"/>
          <w:szCs w:val="24"/>
          <w:lang w:val="en-US"/>
        </w:rPr>
        <w:t xml:space="preserve"> Despite sharing only about 20% sequence identity (37% sequence similarity) with human ACSL4, this structure provides the first glimpse into the ACSL architecture and mechanism of catalysis. Indeed, this bacterial ACSL acts as a dimeric complex of two identical subunits displaying a large </w:t>
      </w:r>
      <w:r w:rsidRPr="4F2974FF">
        <w:rPr>
          <w:i/>
          <w:iCs/>
          <w:sz w:val="24"/>
          <w:szCs w:val="24"/>
          <w:lang w:val="en-US"/>
        </w:rPr>
        <w:t>N</w:t>
      </w:r>
      <w:r w:rsidRPr="4F2974FF">
        <w:rPr>
          <w:sz w:val="24"/>
          <w:szCs w:val="24"/>
          <w:lang w:val="en-US"/>
        </w:rPr>
        <w:t xml:space="preserve">-terminal domain linked via a six amino acid linker to a relatively short and flexible </w:t>
      </w:r>
      <w:r w:rsidRPr="4F2974FF">
        <w:rPr>
          <w:i/>
          <w:iCs/>
          <w:sz w:val="24"/>
          <w:szCs w:val="24"/>
          <w:lang w:val="en-US"/>
        </w:rPr>
        <w:t>C</w:t>
      </w:r>
      <w:r w:rsidRPr="4F2974FF">
        <w:rPr>
          <w:sz w:val="24"/>
          <w:szCs w:val="24"/>
          <w:lang w:val="en-US"/>
        </w:rPr>
        <w:t xml:space="preserve">-terminal domain, with the active site located at the domain interface. An important feature in the structure of ACSLs is the presence of </w:t>
      </w:r>
      <w:r w:rsidRPr="00CD7A66">
        <w:rPr>
          <w:sz w:val="24"/>
          <w:szCs w:val="24"/>
          <w:highlight w:val="yellow"/>
          <w:lang w:val="en-US"/>
        </w:rPr>
        <w:t>an FA gate domain</w:t>
      </w:r>
      <w:r w:rsidRPr="4F2974FF">
        <w:rPr>
          <w:sz w:val="24"/>
          <w:szCs w:val="24"/>
          <w:lang w:val="en-US"/>
        </w:rPr>
        <w:t>, whose sequence (D-x4-Y/W-LPLAH-x2-E) is highly conserved in mammals.</w:t>
      </w:r>
      <w:r w:rsidRPr="4F2974FF">
        <w:rPr>
          <w:sz w:val="24"/>
          <w:szCs w:val="24"/>
          <w:vertAlign w:val="superscript"/>
          <w:lang w:val="en-US"/>
        </w:rPr>
        <w:t xml:space="preserve">[2a] </w:t>
      </w:r>
      <w:r w:rsidRPr="4F2974FF">
        <w:rPr>
          <w:sz w:val="24"/>
          <w:szCs w:val="24"/>
          <w:lang w:val="en-US"/>
        </w:rPr>
        <w:t xml:space="preserve">Interestingly, </w:t>
      </w:r>
      <w:proofErr w:type="spellStart"/>
      <w:r w:rsidRPr="4F2974FF">
        <w:rPr>
          <w:i/>
          <w:iCs/>
          <w:sz w:val="24"/>
          <w:szCs w:val="24"/>
          <w:lang w:val="en-US"/>
        </w:rPr>
        <w:t>tt</w:t>
      </w:r>
      <w:r w:rsidRPr="4F2974FF">
        <w:rPr>
          <w:sz w:val="24"/>
          <w:szCs w:val="24"/>
          <w:lang w:val="en-US"/>
        </w:rPr>
        <w:t>LC</w:t>
      </w:r>
      <w:proofErr w:type="spellEnd"/>
      <w:r w:rsidRPr="4F2974FF">
        <w:rPr>
          <w:sz w:val="24"/>
          <w:szCs w:val="24"/>
          <w:lang w:val="en-US"/>
        </w:rPr>
        <w:t xml:space="preserve">-FACS was shown to function through a Bi Uni </w:t>
      </w:r>
      <w:proofErr w:type="spellStart"/>
      <w:r w:rsidRPr="4F2974FF">
        <w:rPr>
          <w:sz w:val="24"/>
          <w:szCs w:val="24"/>
          <w:lang w:val="en-US"/>
        </w:rPr>
        <w:t>Uni</w:t>
      </w:r>
      <w:proofErr w:type="spellEnd"/>
      <w:r w:rsidRPr="4F2974FF">
        <w:rPr>
          <w:sz w:val="24"/>
          <w:szCs w:val="24"/>
          <w:lang w:val="en-US"/>
        </w:rPr>
        <w:t xml:space="preserve"> Bi ping-pong mechanism, where ATP binds first inducing the opening of the FA tunnel allowing FA binding and subsequent acyl-AMP formation and </w:t>
      </w:r>
      <w:proofErr w:type="spellStart"/>
      <w:r w:rsidRPr="4F2974FF">
        <w:rPr>
          <w:sz w:val="24"/>
          <w:szCs w:val="24"/>
          <w:lang w:val="en-US"/>
        </w:rPr>
        <w:t>PPi</w:t>
      </w:r>
      <w:proofErr w:type="spellEnd"/>
      <w:r w:rsidRPr="4F2974FF">
        <w:rPr>
          <w:sz w:val="24"/>
          <w:szCs w:val="24"/>
          <w:lang w:val="en-US"/>
        </w:rPr>
        <w:t xml:space="preserve"> release.</w:t>
      </w:r>
      <w:r w:rsidRPr="4F2974FF">
        <w:rPr>
          <w:sz w:val="24"/>
          <w:szCs w:val="24"/>
          <w:vertAlign w:val="superscript"/>
          <w:lang w:val="en-US"/>
        </w:rPr>
        <w:t>[14]</w:t>
      </w:r>
      <w:r w:rsidRPr="4F2974FF">
        <w:rPr>
          <w:sz w:val="24"/>
          <w:szCs w:val="24"/>
          <w:lang w:val="en-US"/>
        </w:rPr>
        <w:t xml:space="preserve"> In the second step, CoA reacts with acyl-AMP to generate acyl-CoA and AMP as products. These mechanistic and structural data are crucial for understanding the functioning of human ACSLs. However, the specific intricacies of ACSL's architecture and their ligand-binding sites remain largely unknown.</w:t>
      </w:r>
    </w:p>
    <w:p w14:paraId="0AE6F9B1" w14:textId="63F15E9C" w:rsidR="00E35F29" w:rsidRPr="005641C7" w:rsidRDefault="009C3364" w:rsidP="00AB7F94">
      <w:pPr>
        <w:spacing w:before="120" w:after="120" w:line="360" w:lineRule="auto"/>
        <w:jc w:val="both"/>
        <w:rPr>
          <w:sz w:val="24"/>
          <w:szCs w:val="24"/>
          <w:lang w:val="en-US"/>
        </w:rPr>
      </w:pPr>
      <w:r w:rsidRPr="00387876">
        <w:rPr>
          <w:sz w:val="24"/>
          <w:szCs w:val="24"/>
          <w:lang w:val="en-US"/>
        </w:rPr>
        <w:t>Hydrogen-Deuterium Exchange Mass Spectrometry (</w:t>
      </w:r>
      <w:proofErr w:type="spellStart"/>
      <w:r w:rsidRPr="00387876">
        <w:rPr>
          <w:sz w:val="24"/>
          <w:szCs w:val="24"/>
          <w:lang w:val="en-US"/>
        </w:rPr>
        <w:t>HDx</w:t>
      </w:r>
      <w:proofErr w:type="spellEnd"/>
      <w:r w:rsidRPr="00387876">
        <w:rPr>
          <w:sz w:val="24"/>
          <w:szCs w:val="24"/>
          <w:lang w:val="en-US"/>
        </w:rPr>
        <w:t xml:space="preserve">-MS) and photoaffinity labeling (PAL) are powerful techniques contributing to the elucidation of structural </w:t>
      </w:r>
      <w:r w:rsidR="00E47250" w:rsidRPr="00387876">
        <w:rPr>
          <w:sz w:val="24"/>
          <w:szCs w:val="24"/>
          <w:lang w:val="en-US"/>
        </w:rPr>
        <w:t>basis</w:t>
      </w:r>
      <w:r w:rsidR="004B6F09" w:rsidRPr="00387876">
        <w:rPr>
          <w:sz w:val="24"/>
          <w:szCs w:val="24"/>
          <w:lang w:val="en-US"/>
        </w:rPr>
        <w:t xml:space="preserve"> of important proteins. </w:t>
      </w:r>
      <w:proofErr w:type="spellStart"/>
      <w:r w:rsidR="004B6F09" w:rsidRPr="00387876">
        <w:rPr>
          <w:sz w:val="24"/>
          <w:szCs w:val="24"/>
          <w:lang w:val="en-US"/>
        </w:rPr>
        <w:t>HDx</w:t>
      </w:r>
      <w:proofErr w:type="spellEnd"/>
      <w:r w:rsidRPr="00387876">
        <w:rPr>
          <w:sz w:val="24"/>
          <w:szCs w:val="24"/>
          <w:lang w:val="en-US"/>
        </w:rPr>
        <w:t>-MS provides a dynamic view of the conformational changes in protein</w:t>
      </w:r>
      <w:r w:rsidR="00E47250" w:rsidRPr="00387876">
        <w:rPr>
          <w:sz w:val="24"/>
          <w:szCs w:val="24"/>
          <w:lang w:val="en-US"/>
        </w:rPr>
        <w:t>s</w:t>
      </w:r>
      <w:r w:rsidRPr="00387876">
        <w:rPr>
          <w:sz w:val="24"/>
          <w:szCs w:val="24"/>
          <w:lang w:val="en-US"/>
        </w:rPr>
        <w:t xml:space="preserve"> upon inhibitor binding and could help identify potential binding regions.</w:t>
      </w:r>
      <w:r w:rsidRPr="00387876">
        <w:rPr>
          <w:sz w:val="24"/>
          <w:szCs w:val="24"/>
          <w:vertAlign w:val="superscript"/>
          <w:lang w:val="en-US"/>
        </w:rPr>
        <w:t>[</w:t>
      </w:r>
      <w:r w:rsidR="007E1CB2" w:rsidRPr="00387876">
        <w:rPr>
          <w:sz w:val="24"/>
          <w:szCs w:val="24"/>
          <w:vertAlign w:val="superscript"/>
          <w:lang w:val="en-US"/>
        </w:rPr>
        <w:t>1</w:t>
      </w:r>
      <w:r w:rsidR="00310DBC" w:rsidRPr="00387876">
        <w:rPr>
          <w:sz w:val="24"/>
          <w:szCs w:val="24"/>
          <w:vertAlign w:val="superscript"/>
          <w:lang w:val="en-US"/>
        </w:rPr>
        <w:t>5</w:t>
      </w:r>
      <w:r w:rsidR="0050607D" w:rsidRPr="00387876">
        <w:rPr>
          <w:sz w:val="24"/>
          <w:szCs w:val="24"/>
          <w:vertAlign w:val="superscript"/>
          <w:lang w:val="en-US"/>
        </w:rPr>
        <w:t>]</w:t>
      </w:r>
      <w:r w:rsidRPr="00387876">
        <w:rPr>
          <w:sz w:val="24"/>
          <w:szCs w:val="24"/>
          <w:vertAlign w:val="superscript"/>
          <w:lang w:val="en-US"/>
        </w:rPr>
        <w:t xml:space="preserve"> </w:t>
      </w:r>
      <w:r w:rsidRPr="00387876">
        <w:rPr>
          <w:sz w:val="24"/>
          <w:szCs w:val="24"/>
          <w:lang w:val="en-US"/>
        </w:rPr>
        <w:t xml:space="preserve">On the other hand, PAL enables the covalent attachment of a probe to the </w:t>
      </w:r>
      <w:r w:rsidR="002C5964" w:rsidRPr="00387876">
        <w:rPr>
          <w:sz w:val="24"/>
          <w:szCs w:val="24"/>
          <w:lang w:val="en-US"/>
        </w:rPr>
        <w:t xml:space="preserve">protein </w:t>
      </w:r>
      <w:r w:rsidRPr="00387876">
        <w:rPr>
          <w:sz w:val="24"/>
          <w:szCs w:val="24"/>
          <w:lang w:val="en-US"/>
        </w:rPr>
        <w:t>target, allowing for precise mapping of the ligand-binding site.</w:t>
      </w:r>
      <w:r w:rsidRPr="00387876">
        <w:rPr>
          <w:sz w:val="24"/>
          <w:szCs w:val="24"/>
          <w:vertAlign w:val="superscript"/>
          <w:lang w:val="en-US"/>
        </w:rPr>
        <w:t>[</w:t>
      </w:r>
      <w:r w:rsidR="007E1CB2" w:rsidRPr="00387876">
        <w:rPr>
          <w:sz w:val="24"/>
          <w:szCs w:val="24"/>
          <w:vertAlign w:val="superscript"/>
          <w:lang w:val="en-US"/>
        </w:rPr>
        <w:t>1</w:t>
      </w:r>
      <w:r w:rsidR="00310DBC" w:rsidRPr="00387876">
        <w:rPr>
          <w:sz w:val="24"/>
          <w:szCs w:val="24"/>
          <w:vertAlign w:val="superscript"/>
          <w:lang w:val="en-US"/>
        </w:rPr>
        <w:t>6</w:t>
      </w:r>
      <w:r w:rsidRPr="00387876">
        <w:rPr>
          <w:sz w:val="24"/>
          <w:szCs w:val="24"/>
          <w:vertAlign w:val="superscript"/>
          <w:lang w:val="en-US"/>
        </w:rPr>
        <w:t>]</w:t>
      </w:r>
      <w:r w:rsidRPr="005641C7">
        <w:rPr>
          <w:sz w:val="24"/>
          <w:szCs w:val="24"/>
          <w:vertAlign w:val="superscript"/>
          <w:lang w:val="en-US"/>
        </w:rPr>
        <w:t xml:space="preserve"> </w:t>
      </w:r>
    </w:p>
    <w:p w14:paraId="5A05C494" w14:textId="72AF73F0" w:rsidR="00E35F29" w:rsidRPr="005641C7" w:rsidRDefault="004106E0" w:rsidP="00AB7F94">
      <w:pPr>
        <w:spacing w:before="120" w:after="120" w:line="360" w:lineRule="auto"/>
        <w:jc w:val="both"/>
        <w:rPr>
          <w:sz w:val="24"/>
          <w:szCs w:val="24"/>
          <w:lang w:val="en-US"/>
        </w:rPr>
      </w:pPr>
      <w:r w:rsidRPr="005641C7">
        <w:rPr>
          <w:sz w:val="24"/>
          <w:szCs w:val="24"/>
          <w:lang w:val="en-US"/>
        </w:rPr>
        <w:lastRenderedPageBreak/>
        <w:t>Here, we report (</w:t>
      </w:r>
      <w:r w:rsidRPr="005641C7">
        <w:rPr>
          <w:i/>
          <w:sz w:val="24"/>
          <w:szCs w:val="24"/>
          <w:lang w:val="en-US"/>
        </w:rPr>
        <w:t>i</w:t>
      </w:r>
      <w:r w:rsidRPr="005641C7">
        <w:rPr>
          <w:sz w:val="24"/>
          <w:szCs w:val="24"/>
          <w:lang w:val="en-US"/>
        </w:rPr>
        <w:t>) the medicinal chemistry approach around ROSI leading to sub-micromolar range inhibitors of human ACSL4 devoid of PPAR</w:t>
      </w:r>
      <w:r w:rsidRPr="005641C7">
        <w:rPr>
          <w:sz w:val="24"/>
          <w:szCs w:val="24"/>
        </w:rPr>
        <w:t>γ</w:t>
      </w:r>
      <w:r w:rsidRPr="005641C7">
        <w:rPr>
          <w:sz w:val="24"/>
          <w:szCs w:val="24"/>
          <w:lang w:val="en-US"/>
        </w:rPr>
        <w:t xml:space="preserve"> activity</w:t>
      </w:r>
      <w:r>
        <w:rPr>
          <w:sz w:val="24"/>
          <w:szCs w:val="24"/>
          <w:lang w:val="en-US"/>
        </w:rPr>
        <w:t xml:space="preserve">, </w:t>
      </w:r>
      <w:r w:rsidRPr="005641C7">
        <w:rPr>
          <w:sz w:val="24"/>
          <w:szCs w:val="24"/>
          <w:lang w:val="en-US"/>
        </w:rPr>
        <w:t>(</w:t>
      </w:r>
      <w:r w:rsidRPr="005641C7">
        <w:rPr>
          <w:i/>
          <w:sz w:val="24"/>
          <w:szCs w:val="24"/>
          <w:lang w:val="en-US"/>
        </w:rPr>
        <w:t>ii</w:t>
      </w:r>
      <w:r w:rsidRPr="005641C7">
        <w:rPr>
          <w:sz w:val="24"/>
          <w:szCs w:val="24"/>
          <w:lang w:val="en-US"/>
        </w:rPr>
        <w:t xml:space="preserve">) the </w:t>
      </w:r>
      <w:r w:rsidRPr="006113C4">
        <w:rPr>
          <w:sz w:val="24"/>
          <w:szCs w:val="24"/>
          <w:lang w:val="en-US"/>
        </w:rPr>
        <w:t xml:space="preserve">chemical biology approach, combining </w:t>
      </w:r>
      <w:proofErr w:type="spellStart"/>
      <w:r w:rsidRPr="006113C4">
        <w:rPr>
          <w:sz w:val="24"/>
          <w:szCs w:val="24"/>
          <w:lang w:val="en-US"/>
        </w:rPr>
        <w:t>HDx</w:t>
      </w:r>
      <w:proofErr w:type="spellEnd"/>
      <w:r w:rsidRPr="006113C4">
        <w:rPr>
          <w:sz w:val="24"/>
          <w:szCs w:val="24"/>
          <w:lang w:val="en-US"/>
        </w:rPr>
        <w:t>-MS and PAL to gain structural insights into the binding mode of these inhibitors and (</w:t>
      </w:r>
      <w:r w:rsidRPr="006113C4">
        <w:rPr>
          <w:i/>
          <w:sz w:val="24"/>
          <w:szCs w:val="24"/>
          <w:lang w:val="en-US"/>
        </w:rPr>
        <w:t>iii</w:t>
      </w:r>
      <w:r w:rsidRPr="006113C4">
        <w:rPr>
          <w:sz w:val="24"/>
          <w:szCs w:val="24"/>
          <w:lang w:val="en-US"/>
        </w:rPr>
        <w:t xml:space="preserve">) the cellular evaluation of the most promising compound </w:t>
      </w:r>
      <w:r w:rsidR="0045280D" w:rsidRPr="006113C4">
        <w:rPr>
          <w:sz w:val="24"/>
          <w:szCs w:val="24"/>
          <w:lang w:val="en-US"/>
        </w:rPr>
        <w:t>demonstrating</w:t>
      </w:r>
      <w:r w:rsidRPr="006113C4">
        <w:rPr>
          <w:sz w:val="24"/>
          <w:szCs w:val="24"/>
          <w:lang w:val="en-US"/>
        </w:rPr>
        <w:t xml:space="preserve"> ACSL4-dependent anti-</w:t>
      </w:r>
      <w:proofErr w:type="spellStart"/>
      <w:r w:rsidRPr="006113C4">
        <w:rPr>
          <w:sz w:val="24"/>
          <w:szCs w:val="24"/>
          <w:lang w:val="en-US"/>
        </w:rPr>
        <w:t>ferroptotic</w:t>
      </w:r>
      <w:proofErr w:type="spellEnd"/>
      <w:r w:rsidRPr="006113C4">
        <w:rPr>
          <w:sz w:val="24"/>
          <w:szCs w:val="24"/>
          <w:lang w:val="en-US"/>
        </w:rPr>
        <w:t xml:space="preserve"> properties.</w:t>
      </w:r>
    </w:p>
    <w:p w14:paraId="54FF4D16" w14:textId="77777777" w:rsidR="002B37ED" w:rsidRPr="00387876" w:rsidRDefault="002B37ED" w:rsidP="00AB7F94">
      <w:pPr>
        <w:spacing w:before="240" w:after="120" w:line="360" w:lineRule="auto"/>
        <w:jc w:val="both"/>
        <w:rPr>
          <w:sz w:val="24"/>
          <w:szCs w:val="24"/>
          <w:lang w:val="en-US"/>
        </w:rPr>
      </w:pPr>
      <w:r w:rsidRPr="00387876">
        <w:rPr>
          <w:sz w:val="24"/>
          <w:szCs w:val="24"/>
          <w:lang w:val="en-US"/>
        </w:rPr>
        <w:t>RESULT AND DISCUSSION</w:t>
      </w:r>
    </w:p>
    <w:p w14:paraId="2A535455" w14:textId="6AFE9573" w:rsidR="00E35F29" w:rsidRPr="006226F8" w:rsidRDefault="5F1E6F68">
      <w:pPr>
        <w:spacing w:before="120" w:line="360" w:lineRule="auto"/>
        <w:jc w:val="both"/>
        <w:rPr>
          <w:sz w:val="24"/>
          <w:szCs w:val="24"/>
          <w:lang w:val="en-US"/>
        </w:rPr>
      </w:pPr>
      <w:proofErr w:type="gramStart"/>
      <w:r w:rsidRPr="5F1E6F68">
        <w:rPr>
          <w:sz w:val="24"/>
          <w:szCs w:val="24"/>
          <w:lang w:val="en-US"/>
        </w:rPr>
        <w:t>In order to</w:t>
      </w:r>
      <w:proofErr w:type="gramEnd"/>
      <w:r w:rsidRPr="5F1E6F68">
        <w:rPr>
          <w:sz w:val="24"/>
          <w:szCs w:val="24"/>
          <w:lang w:val="en-US"/>
        </w:rPr>
        <w:t xml:space="preserve"> draw early structure-activity relationship (SAR), ROSI analogues were purchased or readily synthesized as described in </w:t>
      </w:r>
      <w:r w:rsidRPr="00CD7A66">
        <w:rPr>
          <w:sz w:val="24"/>
          <w:szCs w:val="24"/>
          <w:lang w:val="en-US"/>
        </w:rPr>
        <w:t xml:space="preserve">Scheme S1. Inhibitory activity was evaluated on the human recombinant ACSL4 using the </w:t>
      </w:r>
      <w:proofErr w:type="spellStart"/>
      <w:r w:rsidRPr="00CD7A66">
        <w:rPr>
          <w:sz w:val="24"/>
          <w:szCs w:val="24"/>
          <w:lang w:val="en-US"/>
        </w:rPr>
        <w:t>Enzchek</w:t>
      </w:r>
      <w:proofErr w:type="spellEnd"/>
      <w:r w:rsidRPr="00CD7A66">
        <w:rPr>
          <w:sz w:val="24"/>
          <w:szCs w:val="24"/>
          <w:vertAlign w:val="superscript"/>
          <w:lang w:val="en-US"/>
        </w:rPr>
        <w:t>®</w:t>
      </w:r>
      <w:r w:rsidRPr="00CD7A66">
        <w:rPr>
          <w:sz w:val="24"/>
          <w:szCs w:val="24"/>
          <w:lang w:val="en-US"/>
        </w:rPr>
        <w:t xml:space="preserve"> pyrophosphate assay as previously described.</w:t>
      </w:r>
      <w:r w:rsidRPr="00CD7A66">
        <w:rPr>
          <w:sz w:val="24"/>
          <w:szCs w:val="24"/>
          <w:vertAlign w:val="superscript"/>
          <w:lang w:val="en-US"/>
        </w:rPr>
        <w:t xml:space="preserve">[17] </w:t>
      </w:r>
      <w:r w:rsidRPr="00CD7A66">
        <w:rPr>
          <w:sz w:val="24"/>
          <w:szCs w:val="24"/>
          <w:lang w:val="en-US"/>
        </w:rPr>
        <w:t xml:space="preserve">Thus, we started our SAR study by evaluating commercial thiazolidinedione analogues and by modulating the western side chain of ROSI (Table S1, Scheme S1). Building upon these initial modulations, we selected both ROSI (Compound </w:t>
      </w:r>
      <w:r w:rsidRPr="00CD7A66">
        <w:rPr>
          <w:b/>
          <w:bCs/>
          <w:sz w:val="24"/>
          <w:szCs w:val="24"/>
          <w:lang w:val="en-US"/>
        </w:rPr>
        <w:t>1</w:t>
      </w:r>
      <w:r w:rsidRPr="00CD7A66">
        <w:rPr>
          <w:sz w:val="24"/>
          <w:szCs w:val="24"/>
          <w:lang w:val="en-US"/>
        </w:rPr>
        <w:t>, IC</w:t>
      </w:r>
      <w:r w:rsidRPr="00CD7A66">
        <w:rPr>
          <w:sz w:val="24"/>
          <w:szCs w:val="24"/>
          <w:vertAlign w:val="subscript"/>
          <w:lang w:val="en-US"/>
        </w:rPr>
        <w:t>50</w:t>
      </w:r>
      <w:r w:rsidRPr="00CD7A66">
        <w:rPr>
          <w:sz w:val="24"/>
          <w:szCs w:val="24"/>
          <w:lang w:val="en-US"/>
        </w:rPr>
        <w:t xml:space="preserve"> = 1.1 µM) and its phenyl analogue (Compound </w:t>
      </w:r>
      <w:r w:rsidRPr="00CD7A66">
        <w:rPr>
          <w:b/>
          <w:bCs/>
          <w:sz w:val="24"/>
          <w:szCs w:val="24"/>
          <w:lang w:val="en-US"/>
        </w:rPr>
        <w:t>2</w:t>
      </w:r>
      <w:r w:rsidRPr="00CD7A66">
        <w:rPr>
          <w:sz w:val="24"/>
          <w:szCs w:val="24"/>
          <w:lang w:val="en-US"/>
        </w:rPr>
        <w:t>,</w:t>
      </w:r>
      <w:r w:rsidRPr="00CD7A66">
        <w:rPr>
          <w:b/>
          <w:bCs/>
          <w:sz w:val="24"/>
          <w:szCs w:val="24"/>
          <w:lang w:val="en-US"/>
        </w:rPr>
        <w:t xml:space="preserve"> </w:t>
      </w:r>
      <w:r w:rsidRPr="00CD7A66">
        <w:rPr>
          <w:sz w:val="24"/>
          <w:szCs w:val="24"/>
          <w:lang w:val="en-US"/>
        </w:rPr>
        <w:t>IC</w:t>
      </w:r>
      <w:r w:rsidRPr="00CD7A66">
        <w:rPr>
          <w:sz w:val="24"/>
          <w:szCs w:val="24"/>
          <w:vertAlign w:val="subscript"/>
          <w:lang w:val="en-US"/>
        </w:rPr>
        <w:t>50</w:t>
      </w:r>
      <w:r w:rsidRPr="00CD7A66">
        <w:rPr>
          <w:sz w:val="24"/>
          <w:szCs w:val="24"/>
          <w:lang w:val="en-US"/>
        </w:rPr>
        <w:t> = 0.4 µM) as the starting points for further SAR investigations (Table 1, Schemes S2 and S3). Our goal was to enhance the inhibitory activity against ACSL4 while minimizing the effect on PPAR</w:t>
      </w:r>
      <w:r w:rsidRPr="00CD7A66">
        <w:rPr>
          <w:sz w:val="24"/>
          <w:szCs w:val="24"/>
        </w:rPr>
        <w:t>γ</w:t>
      </w:r>
      <w:r w:rsidRPr="00CD7A66">
        <w:rPr>
          <w:sz w:val="24"/>
          <w:szCs w:val="24"/>
          <w:lang w:val="en-US"/>
        </w:rPr>
        <w:t>. Our initial step involved removing the</w:t>
      </w:r>
      <w:r w:rsidRPr="5F1E6F68">
        <w:rPr>
          <w:sz w:val="24"/>
          <w:szCs w:val="24"/>
          <w:lang w:val="en-US"/>
        </w:rPr>
        <w:t xml:space="preserve"> thiazolidinedione ring, a key moiety responsible for the PPAR</w:t>
      </w:r>
      <w:r w:rsidRPr="5F1E6F68">
        <w:rPr>
          <w:sz w:val="24"/>
          <w:szCs w:val="24"/>
        </w:rPr>
        <w:t>γ</w:t>
      </w:r>
      <w:r w:rsidRPr="5F1E6F68">
        <w:rPr>
          <w:sz w:val="24"/>
          <w:szCs w:val="24"/>
          <w:lang w:val="en-US"/>
        </w:rPr>
        <w:t xml:space="preserve"> activity of ROSI. However, this modification resulted in a complete loss of inhibitory activity against ACSL4 (</w:t>
      </w:r>
      <w:r w:rsidRPr="5F1E6F68">
        <w:rPr>
          <w:b/>
          <w:bCs/>
          <w:sz w:val="24"/>
          <w:szCs w:val="24"/>
          <w:lang w:val="en-US"/>
        </w:rPr>
        <w:t>3</w:t>
      </w:r>
      <w:r w:rsidRPr="5F1E6F68">
        <w:rPr>
          <w:sz w:val="24"/>
          <w:szCs w:val="24"/>
          <w:lang w:val="en-US"/>
        </w:rPr>
        <w:t>, IC</w:t>
      </w:r>
      <w:r w:rsidRPr="5F1E6F68">
        <w:rPr>
          <w:sz w:val="24"/>
          <w:szCs w:val="24"/>
          <w:vertAlign w:val="subscript"/>
          <w:lang w:val="en-US"/>
        </w:rPr>
        <w:t>50</w:t>
      </w:r>
      <w:r w:rsidRPr="5F1E6F68">
        <w:rPr>
          <w:sz w:val="24"/>
          <w:szCs w:val="24"/>
          <w:lang w:val="en-US"/>
        </w:rPr>
        <w:t xml:space="preserve"> &gt; 50 µM). Next, </w:t>
      </w:r>
      <w:r w:rsidRPr="5F1E6F68">
        <w:rPr>
          <w:i/>
          <w:iCs/>
          <w:sz w:val="24"/>
          <w:szCs w:val="24"/>
          <w:lang w:val="en-US"/>
        </w:rPr>
        <w:t>N</w:t>
      </w:r>
      <w:r w:rsidRPr="5F1E6F68">
        <w:rPr>
          <w:sz w:val="24"/>
          <w:szCs w:val="24"/>
          <w:lang w:val="en-US"/>
        </w:rPr>
        <w:t>-methylation of thiazolidinedione was performed to remove the acidic character essential for PPAR</w:t>
      </w:r>
      <w:r w:rsidRPr="5F1E6F68">
        <w:rPr>
          <w:sz w:val="24"/>
          <w:szCs w:val="24"/>
        </w:rPr>
        <w:t>γ</w:t>
      </w:r>
      <w:r w:rsidRPr="5F1E6F68">
        <w:rPr>
          <w:sz w:val="24"/>
          <w:szCs w:val="24"/>
          <w:lang w:val="en-US"/>
        </w:rPr>
        <w:t xml:space="preserve"> activity. Encouragingly, the </w:t>
      </w:r>
      <w:r w:rsidRPr="5F1E6F68">
        <w:rPr>
          <w:i/>
          <w:iCs/>
          <w:sz w:val="24"/>
          <w:szCs w:val="24"/>
          <w:lang w:val="en-US"/>
        </w:rPr>
        <w:t>N</w:t>
      </w:r>
      <w:r w:rsidRPr="5F1E6F68">
        <w:rPr>
          <w:sz w:val="24"/>
          <w:szCs w:val="24"/>
          <w:lang w:val="en-US"/>
        </w:rPr>
        <w:t>-methyl analogue (</w:t>
      </w:r>
      <w:r w:rsidRPr="5F1E6F68">
        <w:rPr>
          <w:b/>
          <w:bCs/>
          <w:sz w:val="24"/>
          <w:szCs w:val="24"/>
          <w:lang w:val="en-US"/>
        </w:rPr>
        <w:t>4</w:t>
      </w:r>
      <w:r w:rsidRPr="5F1E6F68">
        <w:rPr>
          <w:sz w:val="24"/>
          <w:szCs w:val="24"/>
          <w:lang w:val="en-US"/>
        </w:rPr>
        <w:t>) known to be inactive against PPAR</w:t>
      </w:r>
      <w:r w:rsidRPr="5F1E6F68">
        <w:rPr>
          <w:sz w:val="24"/>
          <w:szCs w:val="24"/>
        </w:rPr>
        <w:t>γ</w:t>
      </w:r>
      <w:r w:rsidRPr="5F1E6F68">
        <w:rPr>
          <w:sz w:val="24"/>
          <w:szCs w:val="24"/>
          <w:lang w:val="en-US"/>
        </w:rPr>
        <w:t>,</w:t>
      </w:r>
      <w:r w:rsidRPr="5F1E6F68">
        <w:rPr>
          <w:sz w:val="24"/>
          <w:szCs w:val="24"/>
          <w:vertAlign w:val="superscript"/>
          <w:lang w:val="en-US"/>
        </w:rPr>
        <w:t>[18]</w:t>
      </w:r>
      <w:r w:rsidRPr="5F1E6F68">
        <w:rPr>
          <w:sz w:val="24"/>
          <w:szCs w:val="24"/>
          <w:lang w:val="en-US"/>
        </w:rPr>
        <w:t xml:space="preserve"> retained micromolar-range activity against ACSL4 (IC</w:t>
      </w:r>
      <w:r w:rsidRPr="5F1E6F68">
        <w:rPr>
          <w:sz w:val="24"/>
          <w:szCs w:val="24"/>
          <w:vertAlign w:val="subscript"/>
          <w:lang w:val="en-US"/>
        </w:rPr>
        <w:t>50</w:t>
      </w:r>
      <w:r w:rsidRPr="5F1E6F68">
        <w:rPr>
          <w:sz w:val="24"/>
          <w:szCs w:val="24"/>
          <w:lang w:val="en-US"/>
        </w:rPr>
        <w:t xml:space="preserve"> = 4.5 µM), hence demonstrating the possibility </w:t>
      </w:r>
      <w:r w:rsidRPr="00CD7A66">
        <w:rPr>
          <w:sz w:val="24"/>
          <w:szCs w:val="24"/>
          <w:highlight w:val="yellow"/>
          <w:lang w:val="en-US"/>
        </w:rPr>
        <w:t>of abolishing</w:t>
      </w:r>
      <w:r w:rsidRPr="5F1E6F68">
        <w:rPr>
          <w:sz w:val="24"/>
          <w:szCs w:val="24"/>
          <w:lang w:val="en-US"/>
        </w:rPr>
        <w:t xml:space="preserve"> PPAR</w:t>
      </w:r>
      <w:r w:rsidRPr="5F1E6F68">
        <w:rPr>
          <w:sz w:val="24"/>
          <w:szCs w:val="24"/>
        </w:rPr>
        <w:t>γ</w:t>
      </w:r>
      <w:r w:rsidRPr="5F1E6F68">
        <w:rPr>
          <w:sz w:val="24"/>
          <w:szCs w:val="24"/>
          <w:lang w:val="en-US"/>
        </w:rPr>
        <w:t xml:space="preserve"> activity while maintaining the ACSL4 inhibitory potency. We then envisaged ester compounds as ring-opened analogues of the thiazolidinedione moiety. The ester </w:t>
      </w:r>
      <w:r w:rsidRPr="5F1E6F68">
        <w:rPr>
          <w:b/>
          <w:bCs/>
          <w:sz w:val="24"/>
          <w:szCs w:val="24"/>
          <w:lang w:val="en-US"/>
        </w:rPr>
        <w:t>5</w:t>
      </w:r>
      <w:r w:rsidRPr="5F1E6F68">
        <w:rPr>
          <w:sz w:val="24"/>
          <w:szCs w:val="24"/>
          <w:lang w:val="en-US"/>
        </w:rPr>
        <w:t>, which displays an ethylene linker, retained micromolar-range activity. In contrast, increasing or decreasing the length of the linker resulted in a reduction (</w:t>
      </w:r>
      <w:r w:rsidRPr="5F1E6F68">
        <w:rPr>
          <w:b/>
          <w:bCs/>
          <w:sz w:val="24"/>
          <w:szCs w:val="24"/>
          <w:lang w:val="en-US"/>
        </w:rPr>
        <w:t>6</w:t>
      </w:r>
      <w:r w:rsidRPr="5F1E6F68">
        <w:rPr>
          <w:sz w:val="24"/>
          <w:szCs w:val="24"/>
          <w:lang w:val="en-US"/>
        </w:rPr>
        <w:t>) or loss (</w:t>
      </w:r>
      <w:r w:rsidRPr="5F1E6F68">
        <w:rPr>
          <w:b/>
          <w:bCs/>
          <w:sz w:val="24"/>
          <w:szCs w:val="24"/>
          <w:lang w:val="en-US"/>
        </w:rPr>
        <w:t>7</w:t>
      </w:r>
      <w:r w:rsidRPr="5F1E6F68">
        <w:rPr>
          <w:sz w:val="24"/>
          <w:szCs w:val="24"/>
          <w:lang w:val="en-US"/>
        </w:rPr>
        <w:t xml:space="preserve">) of inhibitory </w:t>
      </w:r>
      <w:r w:rsidRPr="006226F8">
        <w:rPr>
          <w:sz w:val="24"/>
          <w:szCs w:val="24"/>
          <w:lang w:val="en-US"/>
        </w:rPr>
        <w:t>activity (Table 1). Notably</w:t>
      </w:r>
      <w:r w:rsidRPr="5F1E6F68">
        <w:rPr>
          <w:sz w:val="24"/>
          <w:szCs w:val="24"/>
          <w:lang w:val="en-US"/>
        </w:rPr>
        <w:t xml:space="preserve">, rigidifying the ethylene linker of compound </w:t>
      </w:r>
      <w:r w:rsidRPr="5F1E6F68">
        <w:rPr>
          <w:b/>
          <w:bCs/>
          <w:sz w:val="24"/>
          <w:szCs w:val="24"/>
          <w:lang w:val="en-US"/>
        </w:rPr>
        <w:t>5</w:t>
      </w:r>
      <w:r w:rsidRPr="5F1E6F68">
        <w:rPr>
          <w:sz w:val="24"/>
          <w:szCs w:val="24"/>
          <w:lang w:val="en-US"/>
        </w:rPr>
        <w:t xml:space="preserve"> </w:t>
      </w:r>
      <w:r w:rsidRPr="00CD7A66">
        <w:rPr>
          <w:sz w:val="24"/>
          <w:szCs w:val="24"/>
          <w:highlight w:val="yellow"/>
          <w:lang w:val="en-US"/>
        </w:rPr>
        <w:t xml:space="preserve">leading to cinnamic derivative </w:t>
      </w:r>
      <w:r w:rsidRPr="00CD7A66">
        <w:rPr>
          <w:b/>
          <w:bCs/>
          <w:sz w:val="24"/>
          <w:szCs w:val="24"/>
          <w:highlight w:val="yellow"/>
          <w:lang w:val="en-US"/>
        </w:rPr>
        <w:t>8</w:t>
      </w:r>
      <w:r w:rsidRPr="00CD7A66">
        <w:rPr>
          <w:sz w:val="24"/>
          <w:szCs w:val="24"/>
          <w:highlight w:val="yellow"/>
          <w:lang w:val="en-US"/>
        </w:rPr>
        <w:t xml:space="preserve"> with a potency comparable to rosiglitazone (IC</w:t>
      </w:r>
      <w:r w:rsidRPr="00CD7A66">
        <w:rPr>
          <w:sz w:val="24"/>
          <w:szCs w:val="24"/>
          <w:highlight w:val="yellow"/>
          <w:vertAlign w:val="subscript"/>
          <w:lang w:val="en-US"/>
        </w:rPr>
        <w:t>50</w:t>
      </w:r>
      <w:r w:rsidRPr="00CD7A66">
        <w:rPr>
          <w:sz w:val="24"/>
          <w:szCs w:val="24"/>
          <w:highlight w:val="yellow"/>
          <w:lang w:val="en-US"/>
        </w:rPr>
        <w:t> = 1.5 µM)</w:t>
      </w:r>
      <w:r w:rsidRPr="5F1E6F68">
        <w:rPr>
          <w:sz w:val="24"/>
          <w:szCs w:val="24"/>
          <w:lang w:val="en-US"/>
        </w:rPr>
        <w:t xml:space="preserve"> with high selectivity over ACSL3 (IC</w:t>
      </w:r>
      <w:r w:rsidRPr="5F1E6F68">
        <w:rPr>
          <w:sz w:val="24"/>
          <w:szCs w:val="24"/>
          <w:vertAlign w:val="subscript"/>
          <w:lang w:val="en-US"/>
        </w:rPr>
        <w:t>50</w:t>
      </w:r>
      <w:r w:rsidRPr="5F1E6F68">
        <w:rPr>
          <w:sz w:val="24"/>
          <w:szCs w:val="24"/>
          <w:lang w:val="en-US"/>
        </w:rPr>
        <w:t xml:space="preserve"> &gt; 50 µM), which shares 63% sequence identity with ACSL4. Remarkably, compound </w:t>
      </w:r>
      <w:r w:rsidRPr="5F1E6F68">
        <w:rPr>
          <w:b/>
          <w:bCs/>
          <w:sz w:val="24"/>
          <w:szCs w:val="24"/>
          <w:lang w:val="en-US"/>
        </w:rPr>
        <w:t>8</w:t>
      </w:r>
      <w:r w:rsidRPr="5F1E6F68">
        <w:rPr>
          <w:sz w:val="24"/>
          <w:szCs w:val="24"/>
          <w:lang w:val="en-US"/>
        </w:rPr>
        <w:t xml:space="preserve"> was inactive on </w:t>
      </w:r>
      <w:proofErr w:type="spellStart"/>
      <w:r w:rsidRPr="5F1E6F68">
        <w:rPr>
          <w:sz w:val="24"/>
          <w:szCs w:val="24"/>
          <w:lang w:val="en-US"/>
        </w:rPr>
        <w:t>PPARγ</w:t>
      </w:r>
      <w:proofErr w:type="spellEnd"/>
      <w:r w:rsidRPr="5F1E6F68">
        <w:rPr>
          <w:sz w:val="24"/>
          <w:szCs w:val="24"/>
          <w:lang w:val="en-US"/>
        </w:rPr>
        <w:t xml:space="preserve"> at 10 µM, in contrast to rosiglitazone, which displays an EC</w:t>
      </w:r>
      <w:r w:rsidRPr="5F1E6F68">
        <w:rPr>
          <w:sz w:val="24"/>
          <w:szCs w:val="24"/>
          <w:vertAlign w:val="subscript"/>
          <w:lang w:val="en-US"/>
        </w:rPr>
        <w:t>50</w:t>
      </w:r>
      <w:r w:rsidRPr="5F1E6F68">
        <w:rPr>
          <w:sz w:val="24"/>
          <w:szCs w:val="24"/>
          <w:lang w:val="en-US"/>
        </w:rPr>
        <w:t xml:space="preserve"> of 36 </w:t>
      </w:r>
      <w:proofErr w:type="spellStart"/>
      <w:r w:rsidRPr="5F1E6F68">
        <w:rPr>
          <w:sz w:val="24"/>
          <w:szCs w:val="24"/>
          <w:lang w:val="en-US"/>
        </w:rPr>
        <w:t>nM.</w:t>
      </w:r>
      <w:proofErr w:type="spellEnd"/>
      <w:r w:rsidRPr="5F1E6F68">
        <w:rPr>
          <w:sz w:val="24"/>
          <w:szCs w:val="24"/>
          <w:lang w:val="en-US"/>
        </w:rPr>
        <w:t xml:space="preserve"> Finally, replacing the amine in the linker connecting the two phenyl groups with an amide, resulting in compound </w:t>
      </w:r>
      <w:r w:rsidRPr="5F1E6F68">
        <w:rPr>
          <w:b/>
          <w:bCs/>
          <w:sz w:val="24"/>
          <w:szCs w:val="24"/>
          <w:lang w:val="en-US"/>
        </w:rPr>
        <w:t>9</w:t>
      </w:r>
      <w:r w:rsidRPr="5F1E6F68">
        <w:rPr>
          <w:sz w:val="24"/>
          <w:szCs w:val="24"/>
          <w:lang w:val="en-US"/>
        </w:rPr>
        <w:t xml:space="preserve">, allowed for a further improvement of ACSL4 inhibitory activity </w:t>
      </w:r>
      <w:r w:rsidRPr="5F1E6F68">
        <w:rPr>
          <w:sz w:val="24"/>
          <w:szCs w:val="24"/>
          <w:lang w:val="en-US"/>
        </w:rPr>
        <w:lastRenderedPageBreak/>
        <w:t>(IC</w:t>
      </w:r>
      <w:r w:rsidRPr="5F1E6F68">
        <w:rPr>
          <w:sz w:val="24"/>
          <w:szCs w:val="24"/>
          <w:vertAlign w:val="subscript"/>
          <w:lang w:val="en-US"/>
        </w:rPr>
        <w:t>50</w:t>
      </w:r>
      <w:r w:rsidRPr="5F1E6F68">
        <w:rPr>
          <w:sz w:val="24"/>
          <w:szCs w:val="24"/>
          <w:lang w:val="en-US"/>
        </w:rPr>
        <w:t> = 0.38 µM</w:t>
      </w:r>
      <w:r w:rsidRPr="006226F8">
        <w:rPr>
          <w:sz w:val="24"/>
          <w:szCs w:val="24"/>
          <w:lang w:val="en-US"/>
        </w:rPr>
        <w:t>, Figure 1A), while</w:t>
      </w:r>
      <w:r w:rsidRPr="5F1E6F68">
        <w:rPr>
          <w:sz w:val="24"/>
          <w:szCs w:val="24"/>
          <w:lang w:val="en-US"/>
        </w:rPr>
        <w:t xml:space="preserve"> keeping the same selectivity profile as compound </w:t>
      </w:r>
      <w:r w:rsidRPr="5F1E6F68">
        <w:rPr>
          <w:b/>
          <w:bCs/>
          <w:sz w:val="24"/>
          <w:szCs w:val="24"/>
          <w:lang w:val="en-US"/>
        </w:rPr>
        <w:t>8</w:t>
      </w:r>
      <w:r w:rsidRPr="5F1E6F68">
        <w:rPr>
          <w:sz w:val="24"/>
          <w:szCs w:val="24"/>
          <w:lang w:val="en-US"/>
        </w:rPr>
        <w:t xml:space="preserve">. Compound </w:t>
      </w:r>
      <w:r w:rsidRPr="5F1E6F68">
        <w:rPr>
          <w:b/>
          <w:bCs/>
          <w:sz w:val="24"/>
          <w:szCs w:val="24"/>
          <w:lang w:val="en-US"/>
        </w:rPr>
        <w:t>9</w:t>
      </w:r>
      <w:r w:rsidRPr="5F1E6F68">
        <w:rPr>
          <w:sz w:val="24"/>
          <w:szCs w:val="24"/>
          <w:lang w:val="en-US"/>
        </w:rPr>
        <w:t xml:space="preserve"> features a Michael acceptor that may potentially engage in an irreversible mechanism. However, the reversibility of the inhibition was demonstrated using a rapid dilution assay (</w:t>
      </w:r>
      <w:r w:rsidRPr="006226F8">
        <w:rPr>
          <w:sz w:val="24"/>
          <w:szCs w:val="24"/>
          <w:lang w:val="en-US"/>
        </w:rPr>
        <w:t>Figure S1A</w:t>
      </w:r>
      <w:r w:rsidRPr="5F1E6F68">
        <w:rPr>
          <w:sz w:val="24"/>
          <w:szCs w:val="24"/>
          <w:lang w:val="en-US"/>
        </w:rPr>
        <w:t xml:space="preserve">). Furthermore, </w:t>
      </w:r>
      <w:r w:rsidRPr="5F1E6F68">
        <w:rPr>
          <w:b/>
          <w:bCs/>
          <w:sz w:val="24"/>
          <w:szCs w:val="24"/>
          <w:lang w:val="en-US"/>
        </w:rPr>
        <w:t>9</w:t>
      </w:r>
      <w:r w:rsidRPr="5F1E6F68">
        <w:rPr>
          <w:sz w:val="24"/>
          <w:szCs w:val="24"/>
          <w:lang w:val="en-US"/>
        </w:rPr>
        <w:t xml:space="preserve"> demonstrates minimal reactivity with thiols such as glutathione </w:t>
      </w:r>
      <w:r w:rsidRPr="007D508B">
        <w:rPr>
          <w:sz w:val="24"/>
          <w:szCs w:val="24"/>
          <w:highlight w:val="yellow"/>
          <w:lang w:val="en-US"/>
        </w:rPr>
        <w:t>(GSH) from pH 6.5 to 8.5</w:t>
      </w:r>
      <w:r w:rsidRPr="5F1E6F68">
        <w:rPr>
          <w:sz w:val="24"/>
          <w:szCs w:val="24"/>
          <w:lang w:val="en-US"/>
        </w:rPr>
        <w:t xml:space="preserve"> and beta-</w:t>
      </w:r>
      <w:proofErr w:type="spellStart"/>
      <w:r w:rsidRPr="5F1E6F68">
        <w:rPr>
          <w:sz w:val="24"/>
          <w:szCs w:val="24"/>
          <w:lang w:val="en-US"/>
        </w:rPr>
        <w:t>mercaptoethanol</w:t>
      </w:r>
      <w:proofErr w:type="spellEnd"/>
      <w:r w:rsidRPr="5F1E6F68">
        <w:rPr>
          <w:sz w:val="24"/>
          <w:szCs w:val="24"/>
          <w:lang w:val="en-US"/>
        </w:rPr>
        <w:t xml:space="preserve"> </w:t>
      </w:r>
      <w:r w:rsidRPr="007D508B">
        <w:rPr>
          <w:sz w:val="24"/>
          <w:szCs w:val="24"/>
          <w:highlight w:val="yellow"/>
          <w:lang w:val="en-US"/>
        </w:rPr>
        <w:t>(BME) at pH 7.4</w:t>
      </w:r>
      <w:r w:rsidRPr="5F1E6F68">
        <w:rPr>
          <w:sz w:val="24"/>
          <w:szCs w:val="24"/>
          <w:lang w:val="en-US"/>
        </w:rPr>
        <w:t>, as analyzed by HPLC-MS (</w:t>
      </w:r>
      <w:r w:rsidRPr="006226F8">
        <w:rPr>
          <w:sz w:val="24"/>
          <w:szCs w:val="24"/>
          <w:highlight w:val="yellow"/>
          <w:lang w:val="en-US"/>
        </w:rPr>
        <w:t>Figure S1C-F</w:t>
      </w:r>
      <w:r w:rsidRPr="5F1E6F68">
        <w:rPr>
          <w:sz w:val="24"/>
          <w:szCs w:val="24"/>
          <w:lang w:val="en-US"/>
        </w:rPr>
        <w:t xml:space="preserve">). We also confirmed compound stability by HPLC-MS </w:t>
      </w:r>
      <w:r w:rsidRPr="00CD7A66">
        <w:rPr>
          <w:sz w:val="24"/>
          <w:szCs w:val="24"/>
          <w:highlight w:val="yellow"/>
          <w:lang w:val="en-US"/>
        </w:rPr>
        <w:t>from pH 6.5 to 8.5</w:t>
      </w:r>
      <w:r w:rsidRPr="5F1E6F68">
        <w:rPr>
          <w:sz w:val="24"/>
          <w:szCs w:val="24"/>
          <w:lang w:val="en-US"/>
        </w:rPr>
        <w:t xml:space="preserve"> and in cell culture </w:t>
      </w:r>
      <w:r w:rsidRPr="006226F8">
        <w:rPr>
          <w:sz w:val="24"/>
          <w:szCs w:val="24"/>
          <w:lang w:val="en-US"/>
        </w:rPr>
        <w:t>medium (DMEM, Figure S1B).</w:t>
      </w:r>
    </w:p>
    <w:p w14:paraId="2A99487E" w14:textId="1DF89804" w:rsidR="00E35F29" w:rsidRPr="005641C7" w:rsidRDefault="4CF0466E" w:rsidP="4CF0466E">
      <w:pPr>
        <w:spacing w:before="120" w:after="120"/>
        <w:jc w:val="both"/>
        <w:rPr>
          <w:lang w:val="en-US"/>
        </w:rPr>
      </w:pPr>
      <w:r w:rsidRPr="006226F8">
        <w:rPr>
          <w:b/>
          <w:bCs/>
          <w:lang w:val="en-US"/>
        </w:rPr>
        <w:t>Table 1.</w:t>
      </w:r>
      <w:r w:rsidRPr="006226F8">
        <w:rPr>
          <w:lang w:val="en-US"/>
        </w:rPr>
        <w:t xml:space="preserve"> </w:t>
      </w:r>
      <w:r w:rsidRPr="006226F8">
        <w:rPr>
          <w:b/>
          <w:bCs/>
          <w:lang w:val="en-US"/>
        </w:rPr>
        <w:t>SAR investigation around the thiazolidinedione moiety of ROSI</w:t>
      </w:r>
      <w:r w:rsidRPr="006226F8">
        <w:rPr>
          <w:lang w:val="en-US"/>
        </w:rPr>
        <w:t>. IC</w:t>
      </w:r>
      <w:r w:rsidRPr="006226F8">
        <w:rPr>
          <w:vertAlign w:val="subscript"/>
          <w:lang w:val="en-US"/>
        </w:rPr>
        <w:t>50</w:t>
      </w:r>
      <w:r w:rsidRPr="006226F8">
        <w:rPr>
          <w:lang w:val="en-US"/>
        </w:rPr>
        <w:t xml:space="preserve"> values (± SD) were determined by three independent experiments performed in duplicate for each compound concentration</w:t>
      </w:r>
      <w:r w:rsidRPr="4CF0466E">
        <w:rPr>
          <w:lang w:val="en-US"/>
        </w:rPr>
        <w:t>.</w:t>
      </w:r>
    </w:p>
    <w:p w14:paraId="4357C6AC" w14:textId="1C770492" w:rsidR="008C6605" w:rsidRPr="0043287C" w:rsidRDefault="00801CDF" w:rsidP="008C6605">
      <w:pPr>
        <w:spacing w:before="240" w:after="240" w:line="360" w:lineRule="auto"/>
        <w:jc w:val="center"/>
        <w:rPr>
          <w:sz w:val="24"/>
          <w:szCs w:val="24"/>
          <w:lang w:val="en-US"/>
        </w:rPr>
      </w:pPr>
      <w:r>
        <w:rPr>
          <w:noProof/>
          <w:lang w:val="fr-FR"/>
        </w:rPr>
        <w:drawing>
          <wp:inline distT="0" distB="0" distL="0" distR="0" wp14:anchorId="6B329DA4" wp14:editId="606E0ECF">
            <wp:extent cx="3300272" cy="4493027"/>
            <wp:effectExtent l="0" t="0" r="0" b="317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pic:nvPicPr>
                  <pic:blipFill>
                    <a:blip r:embed="rId8">
                      <a:extLst>
                        <a:ext uri="{28A0092B-C50C-407E-A947-70E740481C1C}">
                          <a14:useLocalDpi xmlns:a14="http://schemas.microsoft.com/office/drawing/2010/main" val="0"/>
                        </a:ext>
                      </a:extLst>
                    </a:blip>
                    <a:stretch>
                      <a:fillRect/>
                    </a:stretch>
                  </pic:blipFill>
                  <pic:spPr>
                    <a:xfrm>
                      <a:off x="0" y="0"/>
                      <a:ext cx="3300272" cy="4493027"/>
                    </a:xfrm>
                    <a:prstGeom prst="rect">
                      <a:avLst/>
                    </a:prstGeom>
                  </pic:spPr>
                </pic:pic>
              </a:graphicData>
            </a:graphic>
          </wp:inline>
        </w:drawing>
      </w:r>
    </w:p>
    <w:p w14:paraId="557EE08A" w14:textId="1DA66CB8" w:rsidR="00E35F29" w:rsidRDefault="5DE28C0A">
      <w:pPr>
        <w:spacing w:before="240" w:line="360" w:lineRule="auto"/>
        <w:jc w:val="both"/>
        <w:rPr>
          <w:sz w:val="24"/>
          <w:szCs w:val="24"/>
          <w:lang w:val="en-US"/>
        </w:rPr>
      </w:pPr>
      <w:r w:rsidRPr="5DE28C0A">
        <w:rPr>
          <w:sz w:val="24"/>
          <w:szCs w:val="24"/>
          <w:lang w:val="en-US"/>
        </w:rPr>
        <w:t xml:space="preserve">The binding of compound </w:t>
      </w:r>
      <w:r w:rsidRPr="5DE28C0A">
        <w:rPr>
          <w:b/>
          <w:bCs/>
          <w:sz w:val="24"/>
          <w:szCs w:val="24"/>
          <w:lang w:val="en-US"/>
        </w:rPr>
        <w:t>9</w:t>
      </w:r>
      <w:r w:rsidRPr="5DE28C0A">
        <w:rPr>
          <w:sz w:val="24"/>
          <w:szCs w:val="24"/>
          <w:lang w:val="en-US"/>
        </w:rPr>
        <w:t xml:space="preserve"> to ACSL4 was further confirmed using two biophysical techniques, namely nano Differential Scanning Fluorimetry (</w:t>
      </w:r>
      <w:proofErr w:type="spellStart"/>
      <w:r w:rsidRPr="5DE28C0A">
        <w:rPr>
          <w:sz w:val="24"/>
          <w:szCs w:val="24"/>
          <w:lang w:val="en-US"/>
        </w:rPr>
        <w:t>nDSF</w:t>
      </w:r>
      <w:proofErr w:type="spellEnd"/>
      <w:r w:rsidRPr="5DE28C0A">
        <w:rPr>
          <w:sz w:val="24"/>
          <w:szCs w:val="24"/>
          <w:lang w:val="en-US"/>
        </w:rPr>
        <w:t xml:space="preserve">) and </w:t>
      </w:r>
      <w:proofErr w:type="spellStart"/>
      <w:r w:rsidRPr="5DE28C0A">
        <w:rPr>
          <w:sz w:val="24"/>
          <w:szCs w:val="24"/>
          <w:lang w:val="en-US"/>
        </w:rPr>
        <w:t>MicroScale</w:t>
      </w:r>
      <w:proofErr w:type="spellEnd"/>
      <w:r w:rsidRPr="5DE28C0A">
        <w:rPr>
          <w:sz w:val="24"/>
          <w:szCs w:val="24"/>
          <w:lang w:val="en-US"/>
        </w:rPr>
        <w:t xml:space="preserve"> Thermophoresis (MST). As illustrated </w:t>
      </w:r>
      <w:r w:rsidRPr="006226F8">
        <w:rPr>
          <w:sz w:val="24"/>
          <w:szCs w:val="24"/>
          <w:lang w:val="en-US"/>
        </w:rPr>
        <w:t xml:space="preserve">in Figure 1, no binding event was detected when </w:t>
      </w:r>
      <w:r w:rsidRPr="006226F8">
        <w:rPr>
          <w:b/>
          <w:bCs/>
          <w:sz w:val="24"/>
          <w:szCs w:val="24"/>
          <w:lang w:val="en-US"/>
        </w:rPr>
        <w:t>9</w:t>
      </w:r>
      <w:r w:rsidRPr="006226F8">
        <w:rPr>
          <w:sz w:val="24"/>
          <w:szCs w:val="24"/>
          <w:lang w:val="en-US"/>
        </w:rPr>
        <w:t xml:space="preserve"> was tested in the absence of ATP against ACSL4 using these two techniques (Figures 1B and 1C). However, in the presence of</w:t>
      </w:r>
      <w:r w:rsidRPr="5DE28C0A">
        <w:rPr>
          <w:sz w:val="24"/>
          <w:szCs w:val="24"/>
          <w:lang w:val="en-US"/>
        </w:rPr>
        <w:t xml:space="preserve"> a saturating concentration of ATP, </w:t>
      </w:r>
      <w:r w:rsidRPr="5DE28C0A">
        <w:rPr>
          <w:sz w:val="24"/>
          <w:szCs w:val="24"/>
          <w:lang w:val="en-US"/>
        </w:rPr>
        <w:lastRenderedPageBreak/>
        <w:t xml:space="preserve">a </w:t>
      </w:r>
      <w:r w:rsidRPr="5DE28C0A">
        <w:rPr>
          <w:sz w:val="24"/>
          <w:szCs w:val="24"/>
        </w:rPr>
        <w:t>Δ</w:t>
      </w:r>
      <w:r w:rsidRPr="5DE28C0A">
        <w:rPr>
          <w:i/>
          <w:iCs/>
          <w:sz w:val="24"/>
          <w:szCs w:val="24"/>
          <w:lang w:val="en-US"/>
        </w:rPr>
        <w:t>T</w:t>
      </w:r>
      <w:r w:rsidRPr="5DE28C0A">
        <w:rPr>
          <w:sz w:val="24"/>
          <w:szCs w:val="24"/>
          <w:vertAlign w:val="subscript"/>
          <w:lang w:val="en-US"/>
        </w:rPr>
        <w:t>m</w:t>
      </w:r>
      <w:r w:rsidRPr="5DE28C0A">
        <w:rPr>
          <w:sz w:val="24"/>
          <w:szCs w:val="24"/>
          <w:lang w:val="en-US"/>
        </w:rPr>
        <w:t xml:space="preserve"> value of 5.3 °C was obtained by </w:t>
      </w:r>
      <w:proofErr w:type="spellStart"/>
      <w:r w:rsidRPr="5DE28C0A">
        <w:rPr>
          <w:sz w:val="24"/>
          <w:szCs w:val="24"/>
          <w:lang w:val="en-US"/>
        </w:rPr>
        <w:t>nDSF</w:t>
      </w:r>
      <w:proofErr w:type="spellEnd"/>
      <w:r w:rsidRPr="5DE28C0A">
        <w:rPr>
          <w:sz w:val="24"/>
          <w:szCs w:val="24"/>
          <w:lang w:val="en-US"/>
        </w:rPr>
        <w:t xml:space="preserve"> (at 5 µM </w:t>
      </w:r>
      <w:proofErr w:type="gramStart"/>
      <w:r w:rsidRPr="5DE28C0A">
        <w:rPr>
          <w:sz w:val="24"/>
          <w:szCs w:val="24"/>
          <w:lang w:val="en-US"/>
        </w:rPr>
        <w:t xml:space="preserve">of  </w:t>
      </w:r>
      <w:r w:rsidRPr="5DE28C0A">
        <w:rPr>
          <w:b/>
          <w:bCs/>
          <w:sz w:val="24"/>
          <w:szCs w:val="24"/>
          <w:lang w:val="en-US"/>
        </w:rPr>
        <w:t>9</w:t>
      </w:r>
      <w:proofErr w:type="gramEnd"/>
      <w:r w:rsidRPr="5DE28C0A">
        <w:rPr>
          <w:sz w:val="24"/>
          <w:szCs w:val="24"/>
          <w:lang w:val="en-US"/>
        </w:rPr>
        <w:t xml:space="preserve">) and a </w:t>
      </w:r>
      <w:r w:rsidRPr="5DE28C0A">
        <w:rPr>
          <w:i/>
          <w:iCs/>
          <w:sz w:val="24"/>
          <w:szCs w:val="24"/>
          <w:lang w:val="en-US"/>
        </w:rPr>
        <w:t>K</w:t>
      </w:r>
      <w:r w:rsidRPr="5DE28C0A">
        <w:rPr>
          <w:sz w:val="24"/>
          <w:szCs w:val="24"/>
          <w:vertAlign w:val="subscript"/>
          <w:lang w:val="en-US"/>
        </w:rPr>
        <w:t>D</w:t>
      </w:r>
      <w:r w:rsidRPr="5DE28C0A">
        <w:rPr>
          <w:sz w:val="24"/>
          <w:szCs w:val="24"/>
          <w:lang w:val="en-US"/>
        </w:rPr>
        <w:t xml:space="preserve"> value of 0.72 µM was determined by MST. These data indicate that binding of </w:t>
      </w:r>
      <w:r w:rsidRPr="5DE28C0A">
        <w:rPr>
          <w:b/>
          <w:bCs/>
          <w:sz w:val="24"/>
          <w:szCs w:val="24"/>
          <w:lang w:val="en-US"/>
        </w:rPr>
        <w:t>9</w:t>
      </w:r>
      <w:r w:rsidRPr="5DE28C0A">
        <w:rPr>
          <w:sz w:val="24"/>
          <w:szCs w:val="24"/>
          <w:lang w:val="en-US"/>
        </w:rPr>
        <w:t xml:space="preserve"> is ATP-dependent, consistent with observations from </w:t>
      </w:r>
      <w:proofErr w:type="spellStart"/>
      <w:r w:rsidRPr="5DE28C0A">
        <w:rPr>
          <w:i/>
          <w:iCs/>
          <w:sz w:val="24"/>
          <w:szCs w:val="24"/>
          <w:lang w:val="en-US"/>
        </w:rPr>
        <w:t>tt</w:t>
      </w:r>
      <w:r w:rsidRPr="5DE28C0A">
        <w:rPr>
          <w:sz w:val="24"/>
          <w:szCs w:val="24"/>
          <w:lang w:val="en-US"/>
        </w:rPr>
        <w:t>LC</w:t>
      </w:r>
      <w:proofErr w:type="spellEnd"/>
      <w:r w:rsidRPr="5DE28C0A">
        <w:rPr>
          <w:sz w:val="24"/>
          <w:szCs w:val="24"/>
          <w:lang w:val="en-US"/>
        </w:rPr>
        <w:t xml:space="preserve">-FACS, where ATP binding induces the opening of the fatty acid tunnel, facilitating FA binding. Taken together, these findings suggest that compound </w:t>
      </w:r>
      <w:r w:rsidRPr="5DE28C0A">
        <w:rPr>
          <w:b/>
          <w:bCs/>
          <w:sz w:val="24"/>
          <w:szCs w:val="24"/>
          <w:lang w:val="en-US"/>
        </w:rPr>
        <w:t>9</w:t>
      </w:r>
      <w:r w:rsidRPr="5DE28C0A">
        <w:rPr>
          <w:sz w:val="24"/>
          <w:szCs w:val="24"/>
          <w:lang w:val="en-US"/>
        </w:rPr>
        <w:t xml:space="preserve"> interacts with ACSL4 in a manner analogous to FAs, following a similar ATP-dependent binding mechanism.</w:t>
      </w:r>
    </w:p>
    <w:p w14:paraId="2C060492" w14:textId="38E5BC28" w:rsidR="00D30ECB" w:rsidRPr="0043287C" w:rsidRDefault="000B0F81" w:rsidP="0003535D">
      <w:pPr>
        <w:spacing w:before="240" w:line="360" w:lineRule="auto"/>
        <w:jc w:val="center"/>
        <w:rPr>
          <w:sz w:val="24"/>
          <w:szCs w:val="24"/>
        </w:rPr>
      </w:pPr>
      <w:r w:rsidRPr="006113C4">
        <w:rPr>
          <w:noProof/>
          <w:sz w:val="24"/>
          <w:szCs w:val="24"/>
          <w:lang w:val="fr-FR"/>
        </w:rPr>
        <w:drawing>
          <wp:inline distT="0" distB="0" distL="0" distR="0" wp14:anchorId="5C238A3A" wp14:editId="2C2A30B3">
            <wp:extent cx="4495800" cy="6943725"/>
            <wp:effectExtent l="0" t="0" r="0" b="9525"/>
            <wp:docPr id="19149873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95800" cy="6943725"/>
                    </a:xfrm>
                    <a:prstGeom prst="rect">
                      <a:avLst/>
                    </a:prstGeom>
                    <a:noFill/>
                    <a:ln>
                      <a:noFill/>
                    </a:ln>
                  </pic:spPr>
                </pic:pic>
              </a:graphicData>
            </a:graphic>
          </wp:inline>
        </w:drawing>
      </w:r>
    </w:p>
    <w:p w14:paraId="43BAC0F9" w14:textId="216F4EE9" w:rsidR="00E35F29" w:rsidRPr="003320B0" w:rsidRDefault="504FBECA" w:rsidP="504FBECA">
      <w:pPr>
        <w:spacing w:before="120" w:after="120"/>
        <w:jc w:val="both"/>
        <w:rPr>
          <w:lang w:val="en-US"/>
        </w:rPr>
      </w:pPr>
      <w:r w:rsidRPr="006226F8">
        <w:rPr>
          <w:b/>
          <w:bCs/>
          <w:lang w:val="en-US"/>
        </w:rPr>
        <w:lastRenderedPageBreak/>
        <w:t>Figure 1.</w:t>
      </w:r>
      <w:r w:rsidRPr="006226F8">
        <w:rPr>
          <w:lang w:val="en-US"/>
        </w:rPr>
        <w:t xml:space="preserve"> </w:t>
      </w:r>
      <w:r w:rsidRPr="006226F8">
        <w:rPr>
          <w:b/>
          <w:bCs/>
          <w:lang w:val="en-US"/>
        </w:rPr>
        <w:t>Evaluation of compound 9 against ACSL4</w:t>
      </w:r>
      <w:r w:rsidRPr="006226F8">
        <w:rPr>
          <w:lang w:val="en-US"/>
        </w:rPr>
        <w:t xml:space="preserve">. </w:t>
      </w:r>
      <w:r w:rsidRPr="006226F8">
        <w:rPr>
          <w:b/>
          <w:bCs/>
          <w:lang w:val="en-US"/>
        </w:rPr>
        <w:t>A</w:t>
      </w:r>
      <w:r w:rsidRPr="006226F8">
        <w:rPr>
          <w:lang w:val="en-US"/>
        </w:rPr>
        <w:t xml:space="preserve">) Structure of </w:t>
      </w:r>
      <w:r w:rsidRPr="006226F8">
        <w:rPr>
          <w:b/>
          <w:bCs/>
          <w:lang w:val="en-US"/>
        </w:rPr>
        <w:t>9</w:t>
      </w:r>
      <w:r w:rsidRPr="006226F8">
        <w:rPr>
          <w:lang w:val="en-US"/>
        </w:rPr>
        <w:t xml:space="preserve"> and summary of its binding and inhibitory activity</w:t>
      </w:r>
      <w:r w:rsidRPr="504FBECA">
        <w:rPr>
          <w:lang w:val="en-US"/>
        </w:rPr>
        <w:t xml:space="preserve"> profile against ACSL4 as well as its selectivity over ACSL3 and PPAR</w:t>
      </w:r>
      <w:r w:rsidRPr="504FBECA">
        <w:rPr>
          <w:highlight w:val="white"/>
        </w:rPr>
        <w:t>γ</w:t>
      </w:r>
      <w:r w:rsidRPr="504FBECA">
        <w:rPr>
          <w:highlight w:val="white"/>
          <w:lang w:val="en-US"/>
        </w:rPr>
        <w:t xml:space="preserve">. </w:t>
      </w:r>
      <w:r w:rsidRPr="504FBECA">
        <w:rPr>
          <w:b/>
          <w:bCs/>
          <w:highlight w:val="white"/>
          <w:lang w:val="en-US"/>
        </w:rPr>
        <w:t>B</w:t>
      </w:r>
      <w:r w:rsidRPr="504FBECA">
        <w:rPr>
          <w:highlight w:val="white"/>
          <w:lang w:val="en-US"/>
        </w:rPr>
        <w:t xml:space="preserve">) MST traces, with and without 1 mM ATP (in blue and orange, respectively), showing that the binding of </w:t>
      </w:r>
      <w:r w:rsidRPr="504FBECA">
        <w:rPr>
          <w:b/>
          <w:bCs/>
          <w:highlight w:val="white"/>
          <w:lang w:val="en-US"/>
        </w:rPr>
        <w:t>9</w:t>
      </w:r>
      <w:r w:rsidRPr="504FBECA">
        <w:rPr>
          <w:highlight w:val="white"/>
          <w:lang w:val="en-US"/>
        </w:rPr>
        <w:t xml:space="preserve"> to ACSL4 depends on the prior binding of ATP. A </w:t>
      </w:r>
      <w:r w:rsidRPr="504FBECA">
        <w:rPr>
          <w:i/>
          <w:iCs/>
          <w:highlight w:val="white"/>
          <w:lang w:val="en-US"/>
        </w:rPr>
        <w:t>K</w:t>
      </w:r>
      <w:r w:rsidRPr="504FBECA">
        <w:rPr>
          <w:highlight w:val="white"/>
          <w:vertAlign w:val="subscript"/>
          <w:lang w:val="en-US"/>
        </w:rPr>
        <w:t>D</w:t>
      </w:r>
      <w:r w:rsidRPr="504FBECA">
        <w:rPr>
          <w:highlight w:val="white"/>
          <w:lang w:val="en-US"/>
        </w:rPr>
        <w:t xml:space="preserve"> value of 720 </w:t>
      </w:r>
      <w:proofErr w:type="spellStart"/>
      <w:r w:rsidRPr="504FBECA">
        <w:rPr>
          <w:highlight w:val="white"/>
          <w:lang w:val="en-US"/>
        </w:rPr>
        <w:t>nM</w:t>
      </w:r>
      <w:proofErr w:type="spellEnd"/>
      <w:r w:rsidRPr="504FBECA">
        <w:rPr>
          <w:highlight w:val="white"/>
          <w:lang w:val="en-US"/>
        </w:rPr>
        <w:t xml:space="preserve"> was obtained for </w:t>
      </w:r>
      <w:r w:rsidRPr="504FBECA">
        <w:rPr>
          <w:b/>
          <w:bCs/>
          <w:highlight w:val="white"/>
          <w:lang w:val="en-US"/>
        </w:rPr>
        <w:t>9</w:t>
      </w:r>
      <w:r w:rsidRPr="504FBECA">
        <w:rPr>
          <w:highlight w:val="white"/>
          <w:lang w:val="en-US"/>
        </w:rPr>
        <w:t xml:space="preserve"> in the presence of 1 mM ATP. </w:t>
      </w:r>
      <w:r w:rsidRPr="504FBECA">
        <w:rPr>
          <w:b/>
          <w:bCs/>
          <w:highlight w:val="white"/>
          <w:lang w:val="en-US"/>
        </w:rPr>
        <w:t>C</w:t>
      </w:r>
      <w:r w:rsidRPr="504FBECA">
        <w:rPr>
          <w:highlight w:val="white"/>
          <w:lang w:val="en-US"/>
        </w:rPr>
        <w:t xml:space="preserve">) </w:t>
      </w:r>
      <w:proofErr w:type="spellStart"/>
      <w:r w:rsidRPr="504FBECA">
        <w:rPr>
          <w:highlight w:val="white"/>
          <w:lang w:val="en-US"/>
        </w:rPr>
        <w:t>nDSF</w:t>
      </w:r>
      <w:proofErr w:type="spellEnd"/>
      <w:r w:rsidRPr="504FBECA">
        <w:rPr>
          <w:highlight w:val="white"/>
          <w:lang w:val="en-US"/>
        </w:rPr>
        <w:t xml:space="preserve"> traces with and without 1 mM ATP (in blue and orange, respectively), confirming that ATP is required for the binding of compound </w:t>
      </w:r>
      <w:r w:rsidRPr="504FBECA">
        <w:rPr>
          <w:b/>
          <w:bCs/>
          <w:highlight w:val="white"/>
          <w:lang w:val="en-US"/>
        </w:rPr>
        <w:t>9</w:t>
      </w:r>
      <w:r w:rsidRPr="504FBECA">
        <w:rPr>
          <w:highlight w:val="white"/>
          <w:lang w:val="en-US"/>
        </w:rPr>
        <w:t>.</w:t>
      </w:r>
      <w:r w:rsidRPr="504FBECA">
        <w:rPr>
          <w:lang w:val="en-US"/>
        </w:rPr>
        <w:t xml:space="preserve"> </w:t>
      </w:r>
      <w:r w:rsidRPr="504FBECA">
        <w:rPr>
          <w:highlight w:val="white"/>
          <w:lang w:val="en-US"/>
        </w:rPr>
        <w:t xml:space="preserve">A </w:t>
      </w:r>
      <w:r>
        <w:t>Δ</w:t>
      </w:r>
      <w:r w:rsidRPr="504FBECA">
        <w:rPr>
          <w:i/>
          <w:iCs/>
          <w:lang w:val="en-US"/>
        </w:rPr>
        <w:t>T</w:t>
      </w:r>
      <w:r w:rsidRPr="504FBECA">
        <w:rPr>
          <w:vertAlign w:val="subscript"/>
          <w:lang w:val="en-US"/>
        </w:rPr>
        <w:t>m</w:t>
      </w:r>
      <w:r w:rsidRPr="504FBECA">
        <w:rPr>
          <w:highlight w:val="white"/>
          <w:lang w:val="en-US"/>
        </w:rPr>
        <w:t xml:space="preserve"> value of 5.3 °C was obtained for </w:t>
      </w:r>
      <w:r w:rsidRPr="504FBECA">
        <w:rPr>
          <w:b/>
          <w:bCs/>
          <w:highlight w:val="white"/>
          <w:lang w:val="en-US"/>
        </w:rPr>
        <w:t>9</w:t>
      </w:r>
      <w:r w:rsidRPr="504FBECA">
        <w:rPr>
          <w:highlight w:val="white"/>
          <w:lang w:val="en-US"/>
        </w:rPr>
        <w:t xml:space="preserve"> (5 µM) in the presence of 1 mM ATP.</w:t>
      </w:r>
      <w:r w:rsidRPr="504FBECA">
        <w:rPr>
          <w:lang w:val="en-US"/>
        </w:rPr>
        <w:t xml:space="preserve"> </w:t>
      </w:r>
      <w:r w:rsidRPr="504FBECA">
        <w:rPr>
          <w:i/>
          <w:iCs/>
          <w:lang w:val="en-US"/>
        </w:rPr>
        <w:t>K</w:t>
      </w:r>
      <w:r w:rsidRPr="504FBECA">
        <w:rPr>
          <w:vertAlign w:val="subscript"/>
          <w:lang w:val="en-US"/>
        </w:rPr>
        <w:t>D</w:t>
      </w:r>
      <w:r w:rsidRPr="504FBECA">
        <w:rPr>
          <w:lang w:val="en-US"/>
        </w:rPr>
        <w:t xml:space="preserve"> and </w:t>
      </w:r>
      <w:r>
        <w:t>Δ</w:t>
      </w:r>
      <w:r w:rsidRPr="504FBECA">
        <w:rPr>
          <w:i/>
          <w:iCs/>
          <w:lang w:val="en-US"/>
        </w:rPr>
        <w:t>T</w:t>
      </w:r>
      <w:r w:rsidRPr="504FBECA">
        <w:rPr>
          <w:vertAlign w:val="subscript"/>
          <w:lang w:val="en-US"/>
        </w:rPr>
        <w:t>m</w:t>
      </w:r>
      <w:r w:rsidRPr="504FBECA">
        <w:rPr>
          <w:lang w:val="en-US"/>
        </w:rPr>
        <w:t xml:space="preserve"> values </w:t>
      </w:r>
      <w:r w:rsidRPr="00CD7A66">
        <w:rPr>
          <w:highlight w:val="yellow"/>
          <w:lang w:val="en-US"/>
        </w:rPr>
        <w:t>(± SD)</w:t>
      </w:r>
      <w:r w:rsidRPr="504FBECA">
        <w:rPr>
          <w:lang w:val="en-US"/>
        </w:rPr>
        <w:t xml:space="preserve"> were determined by three independent experiments for each compound concentration. Curves in panels B and C are shown as the mean ± SD values. </w:t>
      </w:r>
      <w:r w:rsidRPr="00CD7A66">
        <w:rPr>
          <w:highlight w:val="yellow"/>
          <w:lang w:val="en-US"/>
        </w:rPr>
        <w:t>IC</w:t>
      </w:r>
      <w:r w:rsidRPr="00CD7A66">
        <w:rPr>
          <w:highlight w:val="yellow"/>
          <w:vertAlign w:val="subscript"/>
          <w:lang w:val="en-US"/>
        </w:rPr>
        <w:t>50</w:t>
      </w:r>
      <w:r w:rsidRPr="00CD7A66">
        <w:rPr>
          <w:highlight w:val="yellow"/>
          <w:lang w:val="en-US"/>
        </w:rPr>
        <w:t xml:space="preserve"> values (± SD) were determined by three independent experiments performed in duplicate for each compound concentration.</w:t>
      </w:r>
    </w:p>
    <w:p w14:paraId="12A87D5B" w14:textId="14A59E58" w:rsidR="00E35F29" w:rsidRPr="0043287C" w:rsidRDefault="5DE28C0A">
      <w:pPr>
        <w:spacing w:before="240" w:line="360" w:lineRule="auto"/>
        <w:jc w:val="both"/>
        <w:rPr>
          <w:sz w:val="24"/>
          <w:szCs w:val="24"/>
          <w:lang w:val="en-US"/>
        </w:rPr>
      </w:pPr>
      <w:r w:rsidRPr="5DE28C0A">
        <w:rPr>
          <w:sz w:val="24"/>
          <w:szCs w:val="24"/>
          <w:lang w:val="en-US"/>
        </w:rPr>
        <w:t xml:space="preserve">In the absence of structural data, we set out to elucidate the binding mode of compound </w:t>
      </w:r>
      <w:r w:rsidRPr="5DE28C0A">
        <w:rPr>
          <w:b/>
          <w:bCs/>
          <w:sz w:val="24"/>
          <w:szCs w:val="24"/>
          <w:lang w:val="en-US"/>
        </w:rPr>
        <w:t>9</w:t>
      </w:r>
      <w:r w:rsidRPr="5DE28C0A">
        <w:rPr>
          <w:sz w:val="24"/>
          <w:szCs w:val="24"/>
          <w:lang w:val="en-US"/>
        </w:rPr>
        <w:t xml:space="preserve">. To this end, two powerful and complementary techniques were used: </w:t>
      </w:r>
      <w:proofErr w:type="spellStart"/>
      <w:r w:rsidRPr="5DE28C0A">
        <w:rPr>
          <w:sz w:val="24"/>
          <w:szCs w:val="24"/>
          <w:lang w:val="en-US"/>
        </w:rPr>
        <w:t>HDx</w:t>
      </w:r>
      <w:proofErr w:type="spellEnd"/>
      <w:r w:rsidRPr="5DE28C0A">
        <w:rPr>
          <w:sz w:val="24"/>
          <w:szCs w:val="24"/>
          <w:lang w:val="en-US"/>
        </w:rPr>
        <w:t xml:space="preserve">-MS and PAL. Because of the measurement of deuterium incorporation on the peptide amide backbone by MS, </w:t>
      </w:r>
      <w:proofErr w:type="spellStart"/>
      <w:r w:rsidRPr="5DE28C0A">
        <w:rPr>
          <w:sz w:val="24"/>
          <w:szCs w:val="24"/>
          <w:lang w:val="en-US"/>
        </w:rPr>
        <w:t>HDx</w:t>
      </w:r>
      <w:proofErr w:type="spellEnd"/>
      <w:r w:rsidRPr="5DE28C0A">
        <w:rPr>
          <w:sz w:val="24"/>
          <w:szCs w:val="24"/>
          <w:lang w:val="en-US"/>
        </w:rPr>
        <w:t>-MS allows for the identification of protein domains that are exposed to solvent and therefore is well suited to unveil protein conformational changes upon ligand binding as well as identifying potential binding sites.</w:t>
      </w:r>
      <w:r w:rsidRPr="5DE28C0A">
        <w:rPr>
          <w:sz w:val="24"/>
          <w:szCs w:val="24"/>
          <w:vertAlign w:val="superscript"/>
          <w:lang w:val="en-US"/>
        </w:rPr>
        <w:t>[18]</w:t>
      </w:r>
      <w:r w:rsidRPr="5DE28C0A">
        <w:rPr>
          <w:sz w:val="24"/>
          <w:szCs w:val="24"/>
          <w:lang w:val="en-US"/>
        </w:rPr>
        <w:t xml:space="preserve"> The on-column pepsin digestion led to at least 82% of protein coverage with </w:t>
      </w:r>
      <w:r w:rsidRPr="006226F8">
        <w:rPr>
          <w:sz w:val="24"/>
          <w:szCs w:val="24"/>
          <w:lang w:val="en-US"/>
        </w:rPr>
        <w:t xml:space="preserve">assayed conditions (Figure S2). </w:t>
      </w:r>
      <w:proofErr w:type="spellStart"/>
      <w:r w:rsidRPr="006226F8">
        <w:rPr>
          <w:sz w:val="24"/>
          <w:szCs w:val="24"/>
          <w:lang w:val="en-US"/>
        </w:rPr>
        <w:t>nDSF</w:t>
      </w:r>
      <w:proofErr w:type="spellEnd"/>
      <w:r w:rsidRPr="006226F8">
        <w:rPr>
          <w:sz w:val="24"/>
          <w:szCs w:val="24"/>
          <w:lang w:val="en-US"/>
        </w:rPr>
        <w:t xml:space="preserve"> confirmed ACSL4 stability at exchange temperature for the longest exchange time (24 h, Figure S3). Because ATP is required for the binding of </w:t>
      </w:r>
      <w:r w:rsidRPr="006226F8">
        <w:rPr>
          <w:b/>
          <w:bCs/>
          <w:sz w:val="24"/>
          <w:szCs w:val="24"/>
          <w:lang w:val="en-US"/>
        </w:rPr>
        <w:t>9</w:t>
      </w:r>
      <w:r w:rsidRPr="006226F8">
        <w:rPr>
          <w:sz w:val="24"/>
          <w:szCs w:val="24"/>
          <w:lang w:val="en-US"/>
        </w:rPr>
        <w:t xml:space="preserve">, we first compared the differences in peptide deuterium intake between ACSL4 with and without a saturating concentration of ATP (400 µM, ACSL4-ATP). The addition of ATP resulted in reduced accessibility of the </w:t>
      </w:r>
      <w:r w:rsidRPr="006226F8">
        <w:rPr>
          <w:i/>
          <w:iCs/>
          <w:sz w:val="24"/>
          <w:szCs w:val="24"/>
          <w:lang w:val="en-US"/>
        </w:rPr>
        <w:t>C</w:t>
      </w:r>
      <w:r w:rsidRPr="006226F8">
        <w:rPr>
          <w:sz w:val="24"/>
          <w:szCs w:val="24"/>
          <w:lang w:val="en-US"/>
        </w:rPr>
        <w:t xml:space="preserve">-terminus domain to deuterium incorporation (Figure S4A), consistent with the literature, where ATP binding to </w:t>
      </w:r>
      <w:proofErr w:type="spellStart"/>
      <w:r w:rsidRPr="006226F8">
        <w:rPr>
          <w:i/>
          <w:iCs/>
          <w:sz w:val="24"/>
          <w:szCs w:val="24"/>
          <w:lang w:val="en-US"/>
        </w:rPr>
        <w:t>tt</w:t>
      </w:r>
      <w:r w:rsidRPr="006226F8">
        <w:rPr>
          <w:sz w:val="24"/>
          <w:szCs w:val="24"/>
          <w:lang w:val="en-US"/>
        </w:rPr>
        <w:t>LC</w:t>
      </w:r>
      <w:proofErr w:type="spellEnd"/>
      <w:r w:rsidRPr="006226F8">
        <w:rPr>
          <w:sz w:val="24"/>
          <w:szCs w:val="24"/>
          <w:lang w:val="en-US"/>
        </w:rPr>
        <w:t xml:space="preserve">-FACS was shown to induce locking of the </w:t>
      </w:r>
      <w:r w:rsidRPr="006226F8">
        <w:rPr>
          <w:i/>
          <w:iCs/>
          <w:sz w:val="24"/>
          <w:szCs w:val="24"/>
          <w:lang w:val="en-US"/>
        </w:rPr>
        <w:t>C</w:t>
      </w:r>
      <w:r w:rsidRPr="006226F8">
        <w:rPr>
          <w:sz w:val="24"/>
          <w:szCs w:val="24"/>
          <w:lang w:val="en-US"/>
        </w:rPr>
        <w:t xml:space="preserve">-terminus domain onto the </w:t>
      </w:r>
      <w:r w:rsidRPr="006226F8">
        <w:rPr>
          <w:i/>
          <w:iCs/>
          <w:sz w:val="24"/>
          <w:szCs w:val="24"/>
          <w:lang w:val="en-US"/>
        </w:rPr>
        <w:t>N</w:t>
      </w:r>
      <w:r w:rsidRPr="006226F8">
        <w:rPr>
          <w:sz w:val="24"/>
          <w:szCs w:val="24"/>
          <w:lang w:val="en-US"/>
        </w:rPr>
        <w:t>-terminus domain.</w:t>
      </w:r>
      <w:r w:rsidRPr="006226F8">
        <w:rPr>
          <w:sz w:val="24"/>
          <w:szCs w:val="24"/>
          <w:vertAlign w:val="superscript"/>
          <w:lang w:val="en-US"/>
        </w:rPr>
        <w:t>[14]</w:t>
      </w:r>
      <w:r w:rsidRPr="006226F8">
        <w:rPr>
          <w:sz w:val="24"/>
          <w:szCs w:val="24"/>
          <w:lang w:val="en-US"/>
        </w:rPr>
        <w:t xml:space="preserve"> Next, we aimed to investigate the impact of compound </w:t>
      </w:r>
      <w:r w:rsidRPr="006226F8">
        <w:rPr>
          <w:b/>
          <w:bCs/>
          <w:sz w:val="24"/>
          <w:szCs w:val="24"/>
          <w:lang w:val="en-US"/>
        </w:rPr>
        <w:t>9</w:t>
      </w:r>
      <w:r w:rsidRPr="006226F8">
        <w:rPr>
          <w:sz w:val="24"/>
          <w:szCs w:val="24"/>
          <w:lang w:val="en-US"/>
        </w:rPr>
        <w:t xml:space="preserve"> binding on the conformation of ACSL4. Consequently, we compared two conditions: one where ACSL4 was incubated with ATP at 400 µM (ACSL4-ATP), and another where ACSL4 was present with both ATP at 400 µM and compound </w:t>
      </w:r>
      <w:r w:rsidRPr="006226F8">
        <w:rPr>
          <w:b/>
          <w:bCs/>
          <w:sz w:val="24"/>
          <w:szCs w:val="24"/>
          <w:lang w:val="en-US"/>
        </w:rPr>
        <w:t>9</w:t>
      </w:r>
      <w:r w:rsidRPr="006226F8">
        <w:rPr>
          <w:sz w:val="24"/>
          <w:szCs w:val="24"/>
          <w:lang w:val="en-US"/>
        </w:rPr>
        <w:t xml:space="preserve"> at 25 µM (saturating concentration, ACSL4-ATP-</w:t>
      </w:r>
      <w:r w:rsidRPr="006226F8">
        <w:rPr>
          <w:b/>
          <w:bCs/>
          <w:sz w:val="24"/>
          <w:szCs w:val="24"/>
          <w:lang w:val="en-US"/>
        </w:rPr>
        <w:t>9</w:t>
      </w:r>
      <w:r w:rsidRPr="006226F8">
        <w:rPr>
          <w:sz w:val="24"/>
          <w:szCs w:val="24"/>
          <w:lang w:val="en-US"/>
        </w:rPr>
        <w:t>). Figures 2 and S4B indicate that ACSL4-ATP-</w:t>
      </w:r>
      <w:r w:rsidRPr="006226F8">
        <w:rPr>
          <w:b/>
          <w:bCs/>
          <w:sz w:val="24"/>
          <w:szCs w:val="24"/>
          <w:lang w:val="en-US"/>
        </w:rPr>
        <w:t>9</w:t>
      </w:r>
      <w:r w:rsidRPr="006226F8">
        <w:rPr>
          <w:sz w:val="24"/>
          <w:szCs w:val="24"/>
          <w:lang w:val="en-US"/>
        </w:rPr>
        <w:t xml:space="preserve"> further reduces the deuterium uptake in the </w:t>
      </w:r>
      <w:r w:rsidRPr="006226F8">
        <w:rPr>
          <w:i/>
          <w:iCs/>
          <w:sz w:val="24"/>
          <w:szCs w:val="24"/>
          <w:lang w:val="en-US"/>
        </w:rPr>
        <w:t>C</w:t>
      </w:r>
      <w:r w:rsidRPr="006226F8">
        <w:rPr>
          <w:sz w:val="24"/>
          <w:szCs w:val="24"/>
          <w:lang w:val="en-US"/>
        </w:rPr>
        <w:t xml:space="preserve">-terminus domain compared to ACSL4-ATP. In addition, the presence of compound </w:t>
      </w:r>
      <w:r w:rsidRPr="006226F8">
        <w:rPr>
          <w:b/>
          <w:bCs/>
          <w:sz w:val="24"/>
          <w:szCs w:val="24"/>
          <w:lang w:val="en-US"/>
        </w:rPr>
        <w:t>9</w:t>
      </w:r>
      <w:r w:rsidRPr="006226F8">
        <w:rPr>
          <w:sz w:val="24"/>
          <w:szCs w:val="24"/>
          <w:lang w:val="en-US"/>
        </w:rPr>
        <w:t xml:space="preserve"> resulted in a significant reduction in deuterium uptake on two other sequences: peptide </w:t>
      </w:r>
      <w:r w:rsidRPr="006226F8">
        <w:rPr>
          <w:sz w:val="24"/>
          <w:szCs w:val="24"/>
          <w:vertAlign w:val="subscript"/>
          <w:lang w:val="en-US"/>
        </w:rPr>
        <w:t>316</w:t>
      </w:r>
      <w:r w:rsidRPr="006226F8">
        <w:rPr>
          <w:sz w:val="24"/>
          <w:szCs w:val="24"/>
          <w:lang w:val="en-US"/>
        </w:rPr>
        <w:t>IGYLPLAHVLEL</w:t>
      </w:r>
      <w:r w:rsidRPr="006226F8">
        <w:rPr>
          <w:sz w:val="24"/>
          <w:szCs w:val="24"/>
          <w:vertAlign w:val="subscript"/>
          <w:lang w:val="en-US"/>
        </w:rPr>
        <w:t>327</w:t>
      </w:r>
      <w:r w:rsidRPr="006226F8">
        <w:rPr>
          <w:sz w:val="24"/>
          <w:szCs w:val="24"/>
          <w:lang w:val="en-US"/>
        </w:rPr>
        <w:t xml:space="preserve"> (peptide A) and peptide </w:t>
      </w:r>
      <w:r w:rsidRPr="006226F8">
        <w:rPr>
          <w:sz w:val="24"/>
          <w:szCs w:val="24"/>
          <w:vertAlign w:val="subscript"/>
          <w:lang w:val="en-US"/>
        </w:rPr>
        <w:t>371</w:t>
      </w:r>
      <w:r w:rsidRPr="006226F8">
        <w:rPr>
          <w:sz w:val="24"/>
          <w:szCs w:val="24"/>
          <w:lang w:val="en-US"/>
        </w:rPr>
        <w:t>MAAVPEIM</w:t>
      </w:r>
      <w:r w:rsidRPr="006226F8">
        <w:rPr>
          <w:sz w:val="24"/>
          <w:szCs w:val="24"/>
          <w:vertAlign w:val="subscript"/>
          <w:lang w:val="en-US"/>
        </w:rPr>
        <w:t>378</w:t>
      </w:r>
      <w:r w:rsidRPr="006226F8">
        <w:rPr>
          <w:sz w:val="24"/>
          <w:szCs w:val="24"/>
          <w:lang w:val="en-US"/>
        </w:rPr>
        <w:t xml:space="preserve"> (peptide B). Interestingly, peptide A sequence contains the highly conserved FA gate domain (Figure S5)</w:t>
      </w:r>
      <w:r w:rsidRPr="5DE28C0A">
        <w:rPr>
          <w:sz w:val="24"/>
          <w:szCs w:val="24"/>
          <w:lang w:val="en-US"/>
        </w:rPr>
        <w:t xml:space="preserve"> previously described as important for substrate specificity.</w:t>
      </w:r>
      <w:r w:rsidRPr="5DE28C0A">
        <w:rPr>
          <w:sz w:val="24"/>
          <w:szCs w:val="24"/>
          <w:vertAlign w:val="superscript"/>
          <w:lang w:val="en-US"/>
        </w:rPr>
        <w:t>[2]</w:t>
      </w:r>
      <w:r w:rsidRPr="5DE28C0A">
        <w:rPr>
          <w:sz w:val="24"/>
          <w:szCs w:val="24"/>
          <w:lang w:val="en-US"/>
        </w:rPr>
        <w:t xml:space="preserve"> The refined model of ACSL4 </w:t>
      </w:r>
      <w:r w:rsidRPr="5DE28C0A">
        <w:rPr>
          <w:sz w:val="24"/>
          <w:szCs w:val="24"/>
          <w:lang w:val="en-US"/>
        </w:rPr>
        <w:lastRenderedPageBreak/>
        <w:t xml:space="preserve">(described </w:t>
      </w:r>
      <w:r w:rsidRPr="006226F8">
        <w:rPr>
          <w:sz w:val="24"/>
          <w:szCs w:val="24"/>
          <w:lang w:val="en-US"/>
        </w:rPr>
        <w:t>below) presented in Figure 2 shows</w:t>
      </w:r>
      <w:r w:rsidRPr="5DE28C0A">
        <w:rPr>
          <w:sz w:val="24"/>
          <w:szCs w:val="24"/>
          <w:lang w:val="en-US"/>
        </w:rPr>
        <w:t xml:space="preserve"> that the two identified peptides are positioned close to each other and near the </w:t>
      </w:r>
      <w:r w:rsidRPr="5DE28C0A">
        <w:rPr>
          <w:i/>
          <w:iCs/>
          <w:sz w:val="24"/>
          <w:szCs w:val="24"/>
          <w:lang w:val="en-US"/>
        </w:rPr>
        <w:t>C</w:t>
      </w:r>
      <w:r w:rsidRPr="5DE28C0A">
        <w:rPr>
          <w:sz w:val="24"/>
          <w:szCs w:val="24"/>
          <w:lang w:val="en-US"/>
        </w:rPr>
        <w:t xml:space="preserve">-terminus domain, suggesting the possibility of a potential binding site for molecule </w:t>
      </w:r>
      <w:r w:rsidRPr="5DE28C0A">
        <w:rPr>
          <w:b/>
          <w:bCs/>
          <w:sz w:val="24"/>
          <w:szCs w:val="24"/>
          <w:lang w:val="en-US"/>
        </w:rPr>
        <w:t>9</w:t>
      </w:r>
      <w:r w:rsidRPr="5DE28C0A">
        <w:rPr>
          <w:sz w:val="24"/>
          <w:szCs w:val="24"/>
          <w:lang w:val="en-US"/>
        </w:rPr>
        <w:t xml:space="preserve"> within this region. </w:t>
      </w:r>
    </w:p>
    <w:p w14:paraId="037693F3" w14:textId="120DC39D" w:rsidR="00E97785" w:rsidRDefault="003E12CA">
      <w:pPr>
        <w:spacing w:before="240" w:after="240" w:line="360" w:lineRule="auto"/>
        <w:jc w:val="both"/>
        <w:rPr>
          <w:noProof/>
          <w:sz w:val="24"/>
          <w:szCs w:val="24"/>
          <w:lang w:val="fr-FR"/>
        </w:rPr>
      </w:pPr>
      <w:r>
        <w:rPr>
          <w:noProof/>
          <w:sz w:val="24"/>
          <w:szCs w:val="24"/>
          <w:lang w:val="fr-FR"/>
        </w:rPr>
        <w:drawing>
          <wp:inline distT="0" distB="0" distL="0" distR="0" wp14:anchorId="4D653014" wp14:editId="527F7E6A">
            <wp:extent cx="5739226" cy="2809206"/>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70178" cy="2824356"/>
                    </a:xfrm>
                    <a:prstGeom prst="rect">
                      <a:avLst/>
                    </a:prstGeom>
                    <a:noFill/>
                  </pic:spPr>
                </pic:pic>
              </a:graphicData>
            </a:graphic>
          </wp:inline>
        </w:drawing>
      </w:r>
    </w:p>
    <w:p w14:paraId="2C514231" w14:textId="5551AAEF" w:rsidR="00E35F29" w:rsidRPr="006113C4" w:rsidRDefault="009C3364" w:rsidP="003320B0">
      <w:pPr>
        <w:spacing w:before="240" w:after="240"/>
        <w:jc w:val="both"/>
        <w:rPr>
          <w:lang w:val="en-US"/>
        </w:rPr>
      </w:pPr>
      <w:r w:rsidRPr="006226F8">
        <w:rPr>
          <w:b/>
          <w:bCs/>
          <w:lang w:val="en-US"/>
        </w:rPr>
        <w:t xml:space="preserve">Figure </w:t>
      </w:r>
      <w:r w:rsidR="00A374D6" w:rsidRPr="006226F8">
        <w:rPr>
          <w:b/>
          <w:bCs/>
          <w:lang w:val="en-US"/>
        </w:rPr>
        <w:t>2</w:t>
      </w:r>
      <w:r w:rsidRPr="006226F8">
        <w:rPr>
          <w:b/>
          <w:bCs/>
          <w:lang w:val="en-US"/>
        </w:rPr>
        <w:t xml:space="preserve">. </w:t>
      </w:r>
      <w:proofErr w:type="spellStart"/>
      <w:r w:rsidRPr="006226F8">
        <w:rPr>
          <w:b/>
          <w:bCs/>
          <w:lang w:val="en-US"/>
        </w:rPr>
        <w:t>HDx</w:t>
      </w:r>
      <w:proofErr w:type="spellEnd"/>
      <w:r w:rsidRPr="006226F8">
        <w:rPr>
          <w:b/>
          <w:bCs/>
          <w:lang w:val="en-US"/>
        </w:rPr>
        <w:t>-MS results with</w:t>
      </w:r>
      <w:r w:rsidR="00210BDA" w:rsidRPr="006226F8">
        <w:rPr>
          <w:b/>
          <w:bCs/>
          <w:lang w:val="en-US"/>
        </w:rPr>
        <w:t xml:space="preserve"> compound </w:t>
      </w:r>
      <w:r w:rsidRPr="006226F8">
        <w:rPr>
          <w:b/>
          <w:bCs/>
          <w:lang w:val="en-US"/>
        </w:rPr>
        <w:t>9 in the presence of ATP</w:t>
      </w:r>
      <w:r w:rsidRPr="006226F8">
        <w:rPr>
          <w:lang w:val="en-US"/>
        </w:rPr>
        <w:t xml:space="preserve">. Changes in deuterium uptake at different exchange times are </w:t>
      </w:r>
      <w:r w:rsidR="00CF0636" w:rsidRPr="006226F8">
        <w:rPr>
          <w:lang w:val="en-US"/>
        </w:rPr>
        <w:t>presented</w:t>
      </w:r>
      <w:r w:rsidRPr="006226F8">
        <w:rPr>
          <w:lang w:val="en-US"/>
        </w:rPr>
        <w:t xml:space="preserve"> for the identified peptides, </w:t>
      </w:r>
      <w:r w:rsidR="00CF0636" w:rsidRPr="006226F8">
        <w:rPr>
          <w:lang w:val="en-US"/>
        </w:rPr>
        <w:t>which are mapped</w:t>
      </w:r>
      <w:r w:rsidR="00CF0636" w:rsidRPr="006113C4">
        <w:rPr>
          <w:lang w:val="en-US"/>
        </w:rPr>
        <w:t xml:space="preserve"> onto the </w:t>
      </w:r>
      <w:r w:rsidR="002A23F0" w:rsidRPr="006113C4">
        <w:rPr>
          <w:lang w:val="en-US"/>
        </w:rPr>
        <w:t>refined</w:t>
      </w:r>
      <w:r w:rsidR="00CF0636" w:rsidRPr="006113C4">
        <w:rPr>
          <w:lang w:val="en-US"/>
        </w:rPr>
        <w:t xml:space="preserve"> AlphaFold model of ACSL4</w:t>
      </w:r>
      <w:r w:rsidRPr="006113C4">
        <w:rPr>
          <w:lang w:val="en-US"/>
        </w:rPr>
        <w:t xml:space="preserve">. </w:t>
      </w:r>
      <w:r w:rsidRPr="4A753661">
        <w:rPr>
          <w:i/>
          <w:iCs/>
          <w:lang w:val="en-US"/>
        </w:rPr>
        <w:t>C</w:t>
      </w:r>
      <w:r w:rsidRPr="006113C4">
        <w:rPr>
          <w:lang w:val="en-US"/>
        </w:rPr>
        <w:t xml:space="preserve">-terminus </w:t>
      </w:r>
      <w:r w:rsidR="00C918A0" w:rsidRPr="006113C4">
        <w:rPr>
          <w:lang w:val="en-US"/>
        </w:rPr>
        <w:t xml:space="preserve">and </w:t>
      </w:r>
      <w:r w:rsidR="00C918A0" w:rsidRPr="4A753661">
        <w:rPr>
          <w:i/>
          <w:iCs/>
          <w:lang w:val="en-US"/>
        </w:rPr>
        <w:t>N</w:t>
      </w:r>
      <w:r w:rsidR="00C918A0" w:rsidRPr="006113C4">
        <w:rPr>
          <w:lang w:val="en-US"/>
        </w:rPr>
        <w:t xml:space="preserve">-terminus </w:t>
      </w:r>
      <w:r w:rsidR="00D64C7A" w:rsidRPr="006113C4">
        <w:rPr>
          <w:lang w:val="en-US"/>
        </w:rPr>
        <w:t xml:space="preserve">of ACSL4 </w:t>
      </w:r>
      <w:r w:rsidR="00C918A0" w:rsidRPr="006113C4">
        <w:rPr>
          <w:lang w:val="en-US"/>
        </w:rPr>
        <w:t>are</w:t>
      </w:r>
      <w:r w:rsidRPr="006113C4">
        <w:rPr>
          <w:lang w:val="en-US"/>
        </w:rPr>
        <w:t xml:space="preserve"> depicted in dark grey </w:t>
      </w:r>
      <w:r w:rsidR="00C918A0" w:rsidRPr="006113C4">
        <w:rPr>
          <w:lang w:val="en-US"/>
        </w:rPr>
        <w:t>and white, respectively</w:t>
      </w:r>
      <w:r w:rsidRPr="006113C4">
        <w:rPr>
          <w:lang w:val="en-US"/>
        </w:rPr>
        <w:t xml:space="preserve">. </w:t>
      </w:r>
      <w:r w:rsidR="00B80504" w:rsidRPr="006113C4">
        <w:rPr>
          <w:lang w:val="en-US"/>
        </w:rPr>
        <w:t xml:space="preserve">Peptides A and B, along with a selected peptide in the </w:t>
      </w:r>
      <w:r w:rsidR="00B80504" w:rsidRPr="4A753661">
        <w:rPr>
          <w:i/>
          <w:iCs/>
          <w:lang w:val="en-US"/>
        </w:rPr>
        <w:t>C</w:t>
      </w:r>
      <w:r w:rsidR="00B80504" w:rsidRPr="006113C4">
        <w:rPr>
          <w:lang w:val="en-US"/>
        </w:rPr>
        <w:t>-terminal region closest in proximity to these two, are shown in cyan.</w:t>
      </w:r>
      <w:r w:rsidRPr="006113C4">
        <w:rPr>
          <w:lang w:val="en-US"/>
        </w:rPr>
        <w:t xml:space="preserve"> Uptake plots for each illustrated peptide show </w:t>
      </w:r>
      <w:r w:rsidR="00C918A0" w:rsidRPr="006113C4">
        <w:rPr>
          <w:lang w:val="en-US"/>
        </w:rPr>
        <w:t>the impact of compound</w:t>
      </w:r>
      <w:r w:rsidRPr="006113C4">
        <w:rPr>
          <w:lang w:val="en-US"/>
        </w:rPr>
        <w:t xml:space="preserve"> </w:t>
      </w:r>
      <w:r w:rsidRPr="19F56F87">
        <w:rPr>
          <w:b/>
          <w:bCs/>
          <w:lang w:val="en-US"/>
        </w:rPr>
        <w:t>9</w:t>
      </w:r>
      <w:r w:rsidRPr="006113C4">
        <w:rPr>
          <w:lang w:val="en-US"/>
        </w:rPr>
        <w:t xml:space="preserve"> </w:t>
      </w:r>
      <w:r w:rsidR="00C918A0" w:rsidRPr="006113C4">
        <w:rPr>
          <w:lang w:val="en-US"/>
        </w:rPr>
        <w:t xml:space="preserve">on </w:t>
      </w:r>
      <w:r w:rsidRPr="006113C4">
        <w:rPr>
          <w:lang w:val="en-US"/>
        </w:rPr>
        <w:t>deuterium incorporation. Peptide traces shown represent</w:t>
      </w:r>
      <w:r w:rsidR="00CB2B01" w:rsidRPr="006113C4">
        <w:rPr>
          <w:lang w:val="en-US"/>
        </w:rPr>
        <w:t xml:space="preserve"> mean </w:t>
      </w:r>
      <w:r w:rsidR="00CB2B01" w:rsidRPr="006113C4">
        <w:rPr>
          <w:color w:val="1F1F1F"/>
          <w:shd w:val="clear" w:color="auto" w:fill="FFFFFF"/>
          <w:lang w:val="en-US"/>
        </w:rPr>
        <w:t>± SD</w:t>
      </w:r>
      <w:r w:rsidRPr="006113C4">
        <w:rPr>
          <w:lang w:val="en-US"/>
        </w:rPr>
        <w:t xml:space="preserve"> of </w:t>
      </w:r>
      <w:r w:rsidR="0037463D" w:rsidRPr="006113C4">
        <w:rPr>
          <w:lang w:val="en-US"/>
        </w:rPr>
        <w:t xml:space="preserve">three independent </w:t>
      </w:r>
      <w:r w:rsidRPr="006113C4">
        <w:rPr>
          <w:lang w:val="en-US"/>
        </w:rPr>
        <w:t xml:space="preserve">experiments. Statistically significant using </w:t>
      </w:r>
      <w:r w:rsidR="4A753661" w:rsidRPr="00CD7A66">
        <w:rPr>
          <w:i/>
          <w:iCs/>
          <w:highlight w:val="yellow"/>
          <w:lang w:val="en-US"/>
        </w:rPr>
        <w:t>t</w:t>
      </w:r>
      <w:r w:rsidR="4A753661" w:rsidRPr="00CD7A66">
        <w:rPr>
          <w:highlight w:val="yellow"/>
          <w:lang w:val="en-US"/>
        </w:rPr>
        <w:t>-test</w:t>
      </w:r>
      <w:r w:rsidR="4A753661" w:rsidRPr="4A753661">
        <w:rPr>
          <w:lang w:val="en-US"/>
        </w:rPr>
        <w:t xml:space="preserve"> from </w:t>
      </w:r>
      <w:proofErr w:type="spellStart"/>
      <w:r w:rsidRPr="006113C4">
        <w:rPr>
          <w:lang w:val="en-US"/>
        </w:rPr>
        <w:t>HDExaminer</w:t>
      </w:r>
      <w:proofErr w:type="spellEnd"/>
      <w:r w:rsidRPr="006113C4">
        <w:rPr>
          <w:lang w:val="en-US"/>
        </w:rPr>
        <w:t xml:space="preserve">, ** </w:t>
      </w:r>
      <w:r w:rsidRPr="4A753661">
        <w:rPr>
          <w:i/>
          <w:iCs/>
          <w:lang w:val="en-US"/>
        </w:rPr>
        <w:t xml:space="preserve">p </w:t>
      </w:r>
      <w:r w:rsidRPr="006113C4">
        <w:rPr>
          <w:lang w:val="en-US"/>
        </w:rPr>
        <w:t xml:space="preserve">&lt; 0.01, *** </w:t>
      </w:r>
      <w:r w:rsidRPr="4A753661">
        <w:rPr>
          <w:i/>
          <w:iCs/>
          <w:lang w:val="en-US"/>
        </w:rPr>
        <w:t>p</w:t>
      </w:r>
      <w:r w:rsidRPr="006113C4">
        <w:rPr>
          <w:lang w:val="en-US"/>
        </w:rPr>
        <w:t xml:space="preserve"> &lt; 0.001, **** </w:t>
      </w:r>
      <w:r w:rsidRPr="4A753661">
        <w:rPr>
          <w:i/>
          <w:iCs/>
          <w:lang w:val="en-US"/>
        </w:rPr>
        <w:t>p</w:t>
      </w:r>
      <w:r w:rsidRPr="006113C4">
        <w:rPr>
          <w:lang w:val="en-US"/>
        </w:rPr>
        <w:t xml:space="preserve"> &lt; 0.0001.</w:t>
      </w:r>
    </w:p>
    <w:p w14:paraId="73939A6F" w14:textId="4C64AC33" w:rsidR="00E35F29" w:rsidRDefault="4FDDF712">
      <w:pPr>
        <w:spacing w:before="240" w:line="360" w:lineRule="auto"/>
        <w:jc w:val="both"/>
        <w:rPr>
          <w:sz w:val="24"/>
          <w:szCs w:val="24"/>
          <w:lang w:val="en-US"/>
        </w:rPr>
      </w:pPr>
      <w:r w:rsidRPr="006113C4">
        <w:rPr>
          <w:sz w:val="24"/>
          <w:szCs w:val="24"/>
          <w:lang w:val="en-US"/>
        </w:rPr>
        <w:t xml:space="preserve">To further define the binding site of compound </w:t>
      </w:r>
      <w:r w:rsidRPr="006113C4">
        <w:rPr>
          <w:b/>
          <w:bCs/>
          <w:sz w:val="24"/>
          <w:szCs w:val="24"/>
          <w:lang w:val="en-US"/>
        </w:rPr>
        <w:t>9</w:t>
      </w:r>
      <w:r w:rsidRPr="006113C4">
        <w:rPr>
          <w:sz w:val="24"/>
          <w:szCs w:val="24"/>
          <w:lang w:val="en-US"/>
        </w:rPr>
        <w:t>, we conducted PAL experiments. Based on the SAR (data not shown), we designed an original photoactivable</w:t>
      </w:r>
      <w:r w:rsidRPr="4FDDF712">
        <w:rPr>
          <w:sz w:val="24"/>
          <w:szCs w:val="24"/>
          <w:lang w:val="en-US"/>
        </w:rPr>
        <w:t xml:space="preserve"> probe </w:t>
      </w:r>
      <w:r w:rsidRPr="006226F8">
        <w:rPr>
          <w:sz w:val="24"/>
          <w:szCs w:val="24"/>
          <w:lang w:val="en-US"/>
        </w:rPr>
        <w:t xml:space="preserve">introducing a trifluoromethyl diazirine group at the </w:t>
      </w:r>
      <w:r w:rsidRPr="006226F8">
        <w:rPr>
          <w:i/>
          <w:iCs/>
          <w:sz w:val="24"/>
          <w:szCs w:val="24"/>
          <w:lang w:val="en-US"/>
        </w:rPr>
        <w:t>para</w:t>
      </w:r>
      <w:r w:rsidRPr="006226F8">
        <w:rPr>
          <w:sz w:val="24"/>
          <w:szCs w:val="24"/>
          <w:lang w:val="en-US"/>
        </w:rPr>
        <w:t xml:space="preserve"> position of the benzamide part on </w:t>
      </w:r>
      <w:r w:rsidRPr="006226F8">
        <w:rPr>
          <w:b/>
          <w:bCs/>
          <w:sz w:val="24"/>
          <w:szCs w:val="24"/>
          <w:lang w:val="en-US"/>
        </w:rPr>
        <w:t xml:space="preserve">9 </w:t>
      </w:r>
      <w:r w:rsidRPr="006226F8">
        <w:rPr>
          <w:sz w:val="24"/>
          <w:szCs w:val="24"/>
          <w:lang w:val="en-US"/>
        </w:rPr>
        <w:t xml:space="preserve">to give the probe </w:t>
      </w:r>
      <w:r w:rsidRPr="006226F8">
        <w:rPr>
          <w:b/>
          <w:bCs/>
          <w:sz w:val="24"/>
          <w:szCs w:val="24"/>
          <w:lang w:val="en-US"/>
        </w:rPr>
        <w:t xml:space="preserve">10 </w:t>
      </w:r>
      <w:r w:rsidRPr="006226F8">
        <w:rPr>
          <w:sz w:val="24"/>
          <w:szCs w:val="24"/>
          <w:lang w:val="en-US"/>
        </w:rPr>
        <w:t xml:space="preserve">(Figure 3A). The latter was synthesized from amine </w:t>
      </w:r>
      <w:r w:rsidRPr="006226F8">
        <w:rPr>
          <w:b/>
          <w:bCs/>
          <w:sz w:val="24"/>
          <w:szCs w:val="24"/>
          <w:lang w:val="en-US"/>
        </w:rPr>
        <w:t xml:space="preserve">11 </w:t>
      </w:r>
      <w:r w:rsidRPr="006226F8">
        <w:rPr>
          <w:sz w:val="24"/>
          <w:szCs w:val="24"/>
          <w:lang w:val="en-US"/>
        </w:rPr>
        <w:t>following a standard BOP coupling procedure in the presence of the commercial 4-[3-(trifluoromethyl)-3</w:t>
      </w:r>
      <w:r w:rsidRPr="006226F8">
        <w:rPr>
          <w:i/>
          <w:iCs/>
          <w:sz w:val="24"/>
          <w:szCs w:val="24"/>
          <w:lang w:val="en-US"/>
        </w:rPr>
        <w:t>H</w:t>
      </w:r>
      <w:r w:rsidRPr="006226F8">
        <w:rPr>
          <w:sz w:val="24"/>
          <w:szCs w:val="24"/>
          <w:lang w:val="en-US"/>
        </w:rPr>
        <w:t>-diazirin-3-</w:t>
      </w:r>
      <w:proofErr w:type="gramStart"/>
      <w:r w:rsidRPr="006226F8">
        <w:rPr>
          <w:sz w:val="24"/>
          <w:szCs w:val="24"/>
          <w:lang w:val="en-US"/>
        </w:rPr>
        <w:t>yl]benzoic</w:t>
      </w:r>
      <w:proofErr w:type="gramEnd"/>
      <w:r w:rsidRPr="006226F8">
        <w:rPr>
          <w:sz w:val="24"/>
          <w:szCs w:val="24"/>
          <w:lang w:val="en-US"/>
        </w:rPr>
        <w:t xml:space="preserve"> acid (Scheme S4). Although less potent than </w:t>
      </w:r>
      <w:r w:rsidRPr="006226F8">
        <w:rPr>
          <w:b/>
          <w:bCs/>
          <w:sz w:val="24"/>
          <w:szCs w:val="24"/>
          <w:lang w:val="en-US"/>
        </w:rPr>
        <w:t>9</w:t>
      </w:r>
      <w:r w:rsidRPr="006226F8">
        <w:rPr>
          <w:sz w:val="24"/>
          <w:szCs w:val="24"/>
          <w:lang w:val="en-US"/>
        </w:rPr>
        <w:t xml:space="preserve">, probe </w:t>
      </w:r>
      <w:r w:rsidRPr="006226F8">
        <w:rPr>
          <w:b/>
          <w:bCs/>
          <w:sz w:val="24"/>
          <w:szCs w:val="24"/>
          <w:lang w:val="en-US"/>
        </w:rPr>
        <w:t>10</w:t>
      </w:r>
      <w:r w:rsidRPr="006226F8">
        <w:rPr>
          <w:sz w:val="24"/>
          <w:szCs w:val="24"/>
          <w:lang w:val="en-US"/>
        </w:rPr>
        <w:t xml:space="preserve"> retained some inhibitory activity against ACSL4 (IC</w:t>
      </w:r>
      <w:r w:rsidRPr="006226F8">
        <w:rPr>
          <w:sz w:val="24"/>
          <w:szCs w:val="24"/>
          <w:vertAlign w:val="subscript"/>
          <w:lang w:val="en-US"/>
        </w:rPr>
        <w:t>50</w:t>
      </w:r>
      <w:r w:rsidRPr="006226F8">
        <w:rPr>
          <w:sz w:val="24"/>
          <w:szCs w:val="24"/>
          <w:lang w:val="en-US"/>
        </w:rPr>
        <w:t xml:space="preserve"> = 24.4 µM). Next, ACSL4 was incubated with probe </w:t>
      </w:r>
      <w:r w:rsidRPr="006226F8">
        <w:rPr>
          <w:b/>
          <w:bCs/>
          <w:sz w:val="24"/>
          <w:szCs w:val="24"/>
          <w:lang w:val="en-US"/>
        </w:rPr>
        <w:t xml:space="preserve">10 </w:t>
      </w:r>
      <w:r w:rsidRPr="006226F8">
        <w:rPr>
          <w:sz w:val="24"/>
          <w:szCs w:val="24"/>
          <w:lang w:val="en-US"/>
        </w:rPr>
        <w:t>at 100 µM</w:t>
      </w:r>
      <w:r w:rsidRPr="006226F8">
        <w:rPr>
          <w:b/>
          <w:bCs/>
          <w:sz w:val="24"/>
          <w:szCs w:val="24"/>
          <w:lang w:val="en-US"/>
        </w:rPr>
        <w:t xml:space="preserve"> </w:t>
      </w:r>
      <w:r w:rsidRPr="006226F8">
        <w:rPr>
          <w:sz w:val="24"/>
          <w:szCs w:val="24"/>
          <w:lang w:val="en-US"/>
        </w:rPr>
        <w:t xml:space="preserve">for 30 min, and the photoaffinity labeling was then performed by irradiation at 365 nm for 10 min. To determine the crosslinking site, the samples underwent trypsin digestion, and the resulting peptides were analyzed using </w:t>
      </w:r>
      <w:proofErr w:type="spellStart"/>
      <w:r w:rsidRPr="006226F8">
        <w:rPr>
          <w:sz w:val="24"/>
          <w:szCs w:val="24"/>
          <w:lang w:val="en-US"/>
        </w:rPr>
        <w:t>nanoUPLC</w:t>
      </w:r>
      <w:proofErr w:type="spellEnd"/>
      <w:r w:rsidRPr="006226F8">
        <w:rPr>
          <w:sz w:val="24"/>
          <w:szCs w:val="24"/>
          <w:lang w:val="en-US"/>
        </w:rPr>
        <w:t>-MS/MS (sequence coverage = 73%, Figure S6). Following this experimental setup, five peptides were detected with an increase in</w:t>
      </w:r>
      <w:r w:rsidRPr="4FDDF712">
        <w:rPr>
          <w:sz w:val="24"/>
          <w:szCs w:val="24"/>
          <w:lang w:val="en-US"/>
        </w:rPr>
        <w:t xml:space="preserve"> </w:t>
      </w:r>
      <w:r w:rsidRPr="006226F8">
        <w:rPr>
          <w:sz w:val="24"/>
          <w:szCs w:val="24"/>
          <w:lang w:val="en-US"/>
        </w:rPr>
        <w:lastRenderedPageBreak/>
        <w:t>peptide mass of 419.13 Da corresponding to the incorporation of the probe (Figure</w:t>
      </w:r>
      <w:r w:rsidR="001B62AD" w:rsidRPr="006226F8">
        <w:rPr>
          <w:sz w:val="24"/>
          <w:szCs w:val="24"/>
          <w:lang w:val="en-US"/>
        </w:rPr>
        <w:t>s</w:t>
      </w:r>
      <w:r w:rsidRPr="006226F8">
        <w:rPr>
          <w:sz w:val="24"/>
          <w:szCs w:val="24"/>
          <w:lang w:val="en-US"/>
        </w:rPr>
        <w:t xml:space="preserve"> 3A and S7C, Table S2). Interestingly, the peptide with the amino acid sequence </w:t>
      </w:r>
      <w:r w:rsidRPr="006226F8">
        <w:rPr>
          <w:sz w:val="24"/>
          <w:szCs w:val="24"/>
          <w:vertAlign w:val="subscript"/>
          <w:lang w:val="en-US"/>
        </w:rPr>
        <w:t>313</w:t>
      </w:r>
      <w:r w:rsidRPr="006226F8">
        <w:rPr>
          <w:sz w:val="24"/>
          <w:szCs w:val="24"/>
          <w:lang w:val="en-US"/>
        </w:rPr>
        <w:t>DTY</w:t>
      </w:r>
      <w:r w:rsidRPr="006226F8">
        <w:rPr>
          <w:sz w:val="24"/>
          <w:szCs w:val="24"/>
          <w:u w:val="single"/>
          <w:lang w:val="en-US"/>
        </w:rPr>
        <w:t>IGYLPLAHVLEL</w:t>
      </w:r>
      <w:r w:rsidRPr="006226F8">
        <w:rPr>
          <w:sz w:val="24"/>
          <w:szCs w:val="24"/>
          <w:lang w:val="en-US"/>
        </w:rPr>
        <w:t>TAEISCFTYGCR</w:t>
      </w:r>
      <w:r w:rsidRPr="006226F8">
        <w:rPr>
          <w:sz w:val="24"/>
          <w:szCs w:val="24"/>
          <w:vertAlign w:val="subscript"/>
          <w:lang w:val="en-US"/>
        </w:rPr>
        <w:t>339</w:t>
      </w:r>
      <w:r w:rsidRPr="006226F8">
        <w:rPr>
          <w:sz w:val="24"/>
          <w:szCs w:val="24"/>
          <w:lang w:val="en-US"/>
        </w:rPr>
        <w:t xml:space="preserve"> (Peptide C) comprises the sequence of peptide A identified by </w:t>
      </w:r>
      <w:proofErr w:type="spellStart"/>
      <w:r w:rsidRPr="006226F8">
        <w:rPr>
          <w:sz w:val="24"/>
          <w:szCs w:val="24"/>
          <w:lang w:val="en-US"/>
        </w:rPr>
        <w:t>HDx</w:t>
      </w:r>
      <w:proofErr w:type="spellEnd"/>
      <w:r w:rsidRPr="006226F8">
        <w:rPr>
          <w:sz w:val="24"/>
          <w:szCs w:val="24"/>
          <w:lang w:val="en-US"/>
        </w:rPr>
        <w:t xml:space="preserve">-MS. Based on these results, we performed targeted MS/MS analysis in the presence or absence of 100 µM of competing compound </w:t>
      </w:r>
      <w:r w:rsidRPr="006226F8">
        <w:rPr>
          <w:b/>
          <w:bCs/>
          <w:sz w:val="24"/>
          <w:szCs w:val="24"/>
          <w:lang w:val="en-US"/>
        </w:rPr>
        <w:t>9</w:t>
      </w:r>
      <w:r w:rsidRPr="006226F8">
        <w:rPr>
          <w:sz w:val="24"/>
          <w:szCs w:val="24"/>
          <w:lang w:val="en-US"/>
        </w:rPr>
        <w:t xml:space="preserve"> to highlight non-specific labeling. The signal of peptide C was significantly decreased upon the addition of </w:t>
      </w:r>
      <w:r w:rsidRPr="006226F8">
        <w:rPr>
          <w:b/>
          <w:bCs/>
          <w:sz w:val="24"/>
          <w:szCs w:val="24"/>
          <w:lang w:val="en-US"/>
        </w:rPr>
        <w:t>9</w:t>
      </w:r>
      <w:r w:rsidRPr="006226F8">
        <w:rPr>
          <w:sz w:val="24"/>
          <w:szCs w:val="24"/>
          <w:lang w:val="en-US"/>
        </w:rPr>
        <w:t xml:space="preserve"> (Figure</w:t>
      </w:r>
      <w:r w:rsidR="001B62AD" w:rsidRPr="006226F8">
        <w:rPr>
          <w:sz w:val="24"/>
          <w:szCs w:val="24"/>
          <w:lang w:val="en-US"/>
        </w:rPr>
        <w:t>s</w:t>
      </w:r>
      <w:r w:rsidRPr="006226F8">
        <w:rPr>
          <w:sz w:val="24"/>
          <w:szCs w:val="24"/>
          <w:lang w:val="en-US"/>
        </w:rPr>
        <w:t xml:space="preserve"> 3B and S7D) while other identified peptides showed either smaller or no significant decreases (Figure S7A).</w:t>
      </w:r>
      <w:r w:rsidRPr="4FDDF712">
        <w:rPr>
          <w:sz w:val="24"/>
          <w:szCs w:val="24"/>
          <w:lang w:val="en-US"/>
        </w:rPr>
        <w:t xml:space="preserve"> </w:t>
      </w:r>
    </w:p>
    <w:p w14:paraId="7883F0FE" w14:textId="36686857" w:rsidR="00E35F29" w:rsidRPr="003320B0" w:rsidRDefault="4A753661" w:rsidP="3E055DD8">
      <w:pPr>
        <w:spacing w:before="240" w:line="360" w:lineRule="auto"/>
        <w:jc w:val="both"/>
        <w:rPr>
          <w:lang w:val="en-US"/>
        </w:rPr>
      </w:pPr>
      <w:r>
        <w:rPr>
          <w:noProof/>
        </w:rPr>
        <w:drawing>
          <wp:inline distT="0" distB="0" distL="0" distR="0" wp14:anchorId="19928F8B" wp14:editId="376A98DB">
            <wp:extent cx="5733415" cy="3263265"/>
            <wp:effectExtent l="0" t="0" r="0" b="0"/>
            <wp:docPr id="121898188" name="Image 2" descr="Une image contenant capture d’écran, art, graphisme, dessin humorist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pic:nvPicPr>
                  <pic:blipFill>
                    <a:blip r:embed="rId11">
                      <a:extLst>
                        <a:ext uri="{28A0092B-C50C-407E-A947-70E740481C1C}">
                          <a14:useLocalDpi xmlns:a14="http://schemas.microsoft.com/office/drawing/2010/main" val="0"/>
                        </a:ext>
                      </a:extLst>
                    </a:blip>
                    <a:stretch>
                      <a:fillRect/>
                    </a:stretch>
                  </pic:blipFill>
                  <pic:spPr>
                    <a:xfrm>
                      <a:off x="0" y="0"/>
                      <a:ext cx="5733415" cy="3263265"/>
                    </a:xfrm>
                    <a:prstGeom prst="rect">
                      <a:avLst/>
                    </a:prstGeom>
                  </pic:spPr>
                </pic:pic>
              </a:graphicData>
            </a:graphic>
          </wp:inline>
        </w:drawing>
      </w:r>
      <w:r w:rsidR="3E055DD8" w:rsidRPr="006226F8">
        <w:rPr>
          <w:b/>
          <w:bCs/>
          <w:lang w:val="en-US"/>
        </w:rPr>
        <w:t>Figure 3. Photoaffinity labeling identification of compound 9 binding site in ACSL4</w:t>
      </w:r>
      <w:r w:rsidR="3E055DD8" w:rsidRPr="006226F8">
        <w:rPr>
          <w:lang w:val="en-US"/>
        </w:rPr>
        <w:t xml:space="preserve">. </w:t>
      </w:r>
      <w:r w:rsidR="3E055DD8" w:rsidRPr="006226F8">
        <w:rPr>
          <w:b/>
          <w:bCs/>
          <w:lang w:val="en-US"/>
        </w:rPr>
        <w:t>A</w:t>
      </w:r>
      <w:r w:rsidR="3E055DD8" w:rsidRPr="006226F8">
        <w:rPr>
          <w:lang w:val="en-US"/>
        </w:rPr>
        <w:t xml:space="preserve">) Structure of photoaffinity labeling probe </w:t>
      </w:r>
      <w:r w:rsidR="3E055DD8" w:rsidRPr="006226F8">
        <w:rPr>
          <w:b/>
          <w:bCs/>
          <w:lang w:val="en-US"/>
        </w:rPr>
        <w:t>10</w:t>
      </w:r>
      <w:r w:rsidR="3E055DD8" w:rsidRPr="006226F8">
        <w:rPr>
          <w:lang w:val="en-US"/>
        </w:rPr>
        <w:t xml:space="preserve"> and representation of its binding peptides (orange) on the refined AlphaFold ACSL4</w:t>
      </w:r>
      <w:r w:rsidR="3E055DD8" w:rsidRPr="3E055DD8">
        <w:rPr>
          <w:lang w:val="en-US"/>
        </w:rPr>
        <w:t xml:space="preserve"> model for which the number of peptide-spectrum matches (PSMs) identified are shown. The previously identified peptide A, included in identified peptide C, is represented in cyan. </w:t>
      </w:r>
      <w:r w:rsidR="3E055DD8" w:rsidRPr="3E055DD8">
        <w:rPr>
          <w:b/>
          <w:bCs/>
          <w:lang w:val="en-US"/>
        </w:rPr>
        <w:t>B</w:t>
      </w:r>
      <w:r w:rsidR="3E055DD8" w:rsidRPr="3E055DD8">
        <w:rPr>
          <w:lang w:val="en-US"/>
        </w:rPr>
        <w:t xml:space="preserve">) Results of the competition assay in targeted MS/MS analysis for peptide C with and without compound </w:t>
      </w:r>
      <w:r w:rsidR="3E055DD8" w:rsidRPr="3E055DD8">
        <w:rPr>
          <w:b/>
          <w:bCs/>
          <w:lang w:val="en-US"/>
        </w:rPr>
        <w:t>9</w:t>
      </w:r>
      <w:r w:rsidR="3E055DD8" w:rsidRPr="3E055DD8">
        <w:rPr>
          <w:lang w:val="en-US"/>
        </w:rPr>
        <w:t xml:space="preserve">. </w:t>
      </w:r>
      <w:r w:rsidR="3E055DD8" w:rsidRPr="3E055DD8">
        <w:rPr>
          <w:b/>
          <w:bCs/>
          <w:lang w:val="en-US"/>
        </w:rPr>
        <w:t>C</w:t>
      </w:r>
      <w:r w:rsidR="3E055DD8" w:rsidRPr="3E055DD8">
        <w:rPr>
          <w:lang w:val="en-US"/>
        </w:rPr>
        <w:t xml:space="preserve">) Results of the labeling assay with and without ATP in targeted MS/MS analysis for peptide C. Data shown are representative of three independent experiments. </w:t>
      </w:r>
      <w:r w:rsidR="3E055DD8" w:rsidRPr="00CD7A66">
        <w:rPr>
          <w:highlight w:val="yellow"/>
          <w:lang w:val="en-US"/>
        </w:rPr>
        <w:t>Graphs in panels B and C are shown as the mean ± SD values</w:t>
      </w:r>
      <w:r w:rsidR="3E055DD8" w:rsidRPr="3E055DD8">
        <w:rPr>
          <w:lang w:val="en-US"/>
        </w:rPr>
        <w:t xml:space="preserve">. Statistically significant using unpaired </w:t>
      </w:r>
      <w:r w:rsidR="3E055DD8" w:rsidRPr="3E055DD8">
        <w:rPr>
          <w:i/>
          <w:iCs/>
          <w:lang w:val="en-US"/>
        </w:rPr>
        <w:t>t</w:t>
      </w:r>
      <w:r w:rsidR="3E055DD8" w:rsidRPr="3E055DD8">
        <w:rPr>
          <w:lang w:val="en-US"/>
        </w:rPr>
        <w:t xml:space="preserve">-test, **** </w:t>
      </w:r>
      <w:r w:rsidR="3E055DD8" w:rsidRPr="3E055DD8">
        <w:rPr>
          <w:i/>
          <w:iCs/>
          <w:lang w:val="en-US"/>
        </w:rPr>
        <w:t>p</w:t>
      </w:r>
      <w:r w:rsidR="3E055DD8" w:rsidRPr="3E055DD8">
        <w:rPr>
          <w:lang w:val="en-US"/>
        </w:rPr>
        <w:t xml:space="preserve"> &lt; 0.0001.</w:t>
      </w:r>
    </w:p>
    <w:p w14:paraId="24C7CCD2" w14:textId="2D0B1C5E" w:rsidR="008B5F7A" w:rsidRDefault="5DE28C0A">
      <w:pPr>
        <w:spacing w:before="240" w:line="360" w:lineRule="auto"/>
        <w:jc w:val="both"/>
        <w:rPr>
          <w:sz w:val="24"/>
          <w:szCs w:val="24"/>
          <w:vertAlign w:val="superscript"/>
          <w:lang w:val="en-US"/>
        </w:rPr>
      </w:pPr>
      <w:r w:rsidRPr="5DE28C0A">
        <w:rPr>
          <w:sz w:val="24"/>
          <w:szCs w:val="24"/>
          <w:lang w:val="en-US"/>
        </w:rPr>
        <w:t xml:space="preserve">To validate these results, we measured the labeling of identified peptides with and without ATP as we demonstrated the requirement of ATP for the binding of </w:t>
      </w:r>
      <w:r w:rsidRPr="5DE28C0A">
        <w:rPr>
          <w:b/>
          <w:bCs/>
          <w:sz w:val="24"/>
          <w:szCs w:val="24"/>
          <w:lang w:val="en-US"/>
        </w:rPr>
        <w:t>9</w:t>
      </w:r>
      <w:r w:rsidRPr="5DE28C0A">
        <w:rPr>
          <w:sz w:val="24"/>
          <w:szCs w:val="24"/>
          <w:lang w:val="en-US"/>
        </w:rPr>
        <w:t xml:space="preserve">. The inability to identify peptide C as labeled in the absence of ATP further confirmed the </w:t>
      </w:r>
      <w:r w:rsidRPr="5DE28C0A">
        <w:rPr>
          <w:sz w:val="24"/>
          <w:szCs w:val="24"/>
          <w:lang w:val="en-US"/>
        </w:rPr>
        <w:lastRenderedPageBreak/>
        <w:t xml:space="preserve">labeling specificity of this </w:t>
      </w:r>
      <w:r w:rsidRPr="006226F8">
        <w:rPr>
          <w:sz w:val="24"/>
          <w:szCs w:val="24"/>
          <w:lang w:val="en-US"/>
        </w:rPr>
        <w:t>peptide (Figures 3C, S7B, and S7D). Finally,</w:t>
      </w:r>
      <w:r w:rsidRPr="5DE28C0A">
        <w:rPr>
          <w:sz w:val="24"/>
          <w:szCs w:val="24"/>
          <w:lang w:val="en-US"/>
        </w:rPr>
        <w:t xml:space="preserve"> analysis of </w:t>
      </w:r>
      <w:r w:rsidRPr="00CD7A66">
        <w:rPr>
          <w:sz w:val="24"/>
          <w:szCs w:val="24"/>
          <w:highlight w:val="yellow"/>
          <w:lang w:val="en-US"/>
        </w:rPr>
        <w:t>the</w:t>
      </w:r>
      <w:r w:rsidRPr="5DE28C0A">
        <w:rPr>
          <w:sz w:val="24"/>
          <w:szCs w:val="24"/>
          <w:lang w:val="en-US"/>
        </w:rPr>
        <w:t xml:space="preserve"> </w:t>
      </w:r>
      <w:r w:rsidRPr="006226F8">
        <w:rPr>
          <w:sz w:val="24"/>
          <w:szCs w:val="24"/>
          <w:lang w:val="en-US"/>
        </w:rPr>
        <w:t xml:space="preserve">MS/MS fragmentation profile designated A329 as the modified residue of the identified peptide (Figure S8). It is worth noting that A329 in human ACSL4 aligns with L236 of </w:t>
      </w:r>
      <w:proofErr w:type="spellStart"/>
      <w:r w:rsidRPr="006226F8">
        <w:rPr>
          <w:i/>
          <w:iCs/>
          <w:sz w:val="24"/>
          <w:szCs w:val="24"/>
          <w:lang w:val="en-US"/>
        </w:rPr>
        <w:t>tt</w:t>
      </w:r>
      <w:r w:rsidRPr="006226F8">
        <w:rPr>
          <w:sz w:val="24"/>
          <w:szCs w:val="24"/>
          <w:lang w:val="en-US"/>
        </w:rPr>
        <w:t>LC</w:t>
      </w:r>
      <w:proofErr w:type="spellEnd"/>
      <w:r w:rsidRPr="006226F8">
        <w:rPr>
          <w:sz w:val="24"/>
          <w:szCs w:val="24"/>
          <w:lang w:val="en-US"/>
        </w:rPr>
        <w:t>-FACS (Figure S5) which is located at the distal end of the FA tunnel. Interestingly, mutation of this specific amino acid in the rat ACSL4 to either glutamate or glutamine led to a dramatic loss in enzymatic</w:t>
      </w:r>
      <w:r w:rsidRPr="5DE28C0A">
        <w:rPr>
          <w:sz w:val="24"/>
          <w:szCs w:val="24"/>
          <w:lang w:val="en-US"/>
        </w:rPr>
        <w:t xml:space="preserve"> activity.</w:t>
      </w:r>
      <w:r w:rsidRPr="5DE28C0A">
        <w:rPr>
          <w:sz w:val="24"/>
          <w:szCs w:val="24"/>
          <w:vertAlign w:val="superscript"/>
          <w:lang w:val="en-US"/>
        </w:rPr>
        <w:t>[19]</w:t>
      </w:r>
    </w:p>
    <w:p w14:paraId="78C12BB8" w14:textId="04726086" w:rsidR="00E35F29" w:rsidRPr="0043287C" w:rsidRDefault="2318D11F" w:rsidP="008B5F7A">
      <w:pPr>
        <w:spacing w:before="240" w:line="360" w:lineRule="auto"/>
        <w:jc w:val="both"/>
        <w:rPr>
          <w:sz w:val="24"/>
          <w:szCs w:val="24"/>
          <w:lang w:val="en-US"/>
        </w:rPr>
      </w:pPr>
      <w:r w:rsidRPr="2318D11F">
        <w:rPr>
          <w:sz w:val="24"/>
          <w:szCs w:val="24"/>
          <w:lang w:val="en-US"/>
        </w:rPr>
        <w:t xml:space="preserve">Building upon these findings, we initiated </w:t>
      </w:r>
      <w:r w:rsidRPr="2318D11F">
        <w:rPr>
          <w:i/>
          <w:iCs/>
          <w:sz w:val="24"/>
          <w:szCs w:val="24"/>
          <w:lang w:val="en-US"/>
        </w:rPr>
        <w:t>in silico</w:t>
      </w:r>
      <w:r w:rsidRPr="2318D11F">
        <w:rPr>
          <w:sz w:val="24"/>
          <w:szCs w:val="24"/>
          <w:lang w:val="en-US"/>
        </w:rPr>
        <w:t xml:space="preserve"> studies to elucidate the binding mode of compound </w:t>
      </w:r>
      <w:r w:rsidRPr="2318D11F">
        <w:rPr>
          <w:b/>
          <w:bCs/>
          <w:sz w:val="24"/>
          <w:szCs w:val="24"/>
          <w:lang w:val="en-US"/>
        </w:rPr>
        <w:t>9</w:t>
      </w:r>
      <w:r w:rsidRPr="2318D11F">
        <w:rPr>
          <w:sz w:val="24"/>
          <w:szCs w:val="24"/>
          <w:lang w:val="en-US"/>
        </w:rPr>
        <w:t>. A BLAST search of PDB templates revealed 16 homologous sequences with at least 50% coverage and 25% sequence identity with human ACSL4. Therefore, we employed AlphaFold 2.0</w:t>
      </w:r>
      <w:r w:rsidRPr="2318D11F">
        <w:rPr>
          <w:sz w:val="24"/>
          <w:szCs w:val="24"/>
          <w:vertAlign w:val="superscript"/>
          <w:lang w:val="en-US"/>
        </w:rPr>
        <w:t>[20]</w:t>
      </w:r>
      <w:r w:rsidRPr="2318D11F">
        <w:rPr>
          <w:sz w:val="24"/>
          <w:szCs w:val="24"/>
          <w:lang w:val="en-US"/>
        </w:rPr>
        <w:t xml:space="preserve"> to restrain the extensive set of structural templates to predict the structure of the soluble form of human ACSL4 (42-711). The design of a model for the ACSL4-ligand complex was facilitated by utilizing the unbound state of the AlphaFold model and the conserved ATP position found in homologous PDB structures. Arachidonic acid was selected as the preferential ligand to identify the </w:t>
      </w:r>
      <w:proofErr w:type="spellStart"/>
      <w:r w:rsidRPr="2318D11F">
        <w:rPr>
          <w:sz w:val="24"/>
          <w:szCs w:val="24"/>
          <w:lang w:val="en-US"/>
        </w:rPr>
        <w:t>orthosteric</w:t>
      </w:r>
      <w:proofErr w:type="spellEnd"/>
      <w:r w:rsidRPr="2318D11F">
        <w:rPr>
          <w:sz w:val="24"/>
          <w:szCs w:val="24"/>
          <w:lang w:val="en-US"/>
        </w:rPr>
        <w:t xml:space="preserve"> binding pocket through docking and energy refinement, utilizing the </w:t>
      </w:r>
      <w:proofErr w:type="spellStart"/>
      <w:r w:rsidRPr="2318D11F">
        <w:rPr>
          <w:sz w:val="24"/>
          <w:szCs w:val="24"/>
          <w:lang w:val="en-US"/>
        </w:rPr>
        <w:t>arachidonyl</w:t>
      </w:r>
      <w:proofErr w:type="spellEnd"/>
      <w:r w:rsidRPr="2318D11F">
        <w:rPr>
          <w:sz w:val="24"/>
          <w:szCs w:val="24"/>
          <w:lang w:val="en-US"/>
        </w:rPr>
        <w:t xml:space="preserve">-AMP intermediate formed during the enzymatic reaction. Once the </w:t>
      </w:r>
      <w:proofErr w:type="spellStart"/>
      <w:r w:rsidRPr="2318D11F">
        <w:rPr>
          <w:sz w:val="24"/>
          <w:szCs w:val="24"/>
          <w:lang w:val="en-US"/>
        </w:rPr>
        <w:t>arachidonyl</w:t>
      </w:r>
      <w:proofErr w:type="spellEnd"/>
      <w:r w:rsidRPr="2318D11F">
        <w:rPr>
          <w:sz w:val="24"/>
          <w:szCs w:val="24"/>
          <w:lang w:val="en-US"/>
        </w:rPr>
        <w:t xml:space="preserve">-AMP was removed, blind docking experiments were conducted to explore the entire protein. These experiments revealed the best docking pose of </w:t>
      </w:r>
      <w:r w:rsidRPr="2318D11F">
        <w:rPr>
          <w:b/>
          <w:bCs/>
          <w:sz w:val="24"/>
          <w:szCs w:val="24"/>
          <w:lang w:val="en-US"/>
        </w:rPr>
        <w:t>9</w:t>
      </w:r>
      <w:r w:rsidRPr="2318D11F">
        <w:rPr>
          <w:sz w:val="24"/>
          <w:szCs w:val="24"/>
          <w:lang w:val="en-US"/>
        </w:rPr>
        <w:t xml:space="preserve"> within the </w:t>
      </w:r>
      <w:proofErr w:type="spellStart"/>
      <w:r w:rsidRPr="2318D11F">
        <w:rPr>
          <w:sz w:val="24"/>
          <w:szCs w:val="24"/>
          <w:lang w:val="en-US"/>
        </w:rPr>
        <w:t>orthosteric</w:t>
      </w:r>
      <w:proofErr w:type="spellEnd"/>
      <w:r w:rsidRPr="2318D11F">
        <w:rPr>
          <w:sz w:val="24"/>
          <w:szCs w:val="24"/>
          <w:lang w:val="en-US"/>
        </w:rPr>
        <w:t xml:space="preserve"> FA binding site, yielding a docking score of -9.76 kcal/mol. Other docking poses </w:t>
      </w:r>
      <w:r w:rsidRPr="006226F8">
        <w:rPr>
          <w:sz w:val="24"/>
          <w:szCs w:val="24"/>
          <w:lang w:val="en-US"/>
        </w:rPr>
        <w:t>were observed (Figure S9) but with docking scores lowered by at least 10%. Interestingly, the best docking pose is consistent with the PAL experiments showing the labeling of A329, a residue predicted to be part of the FA tunnel. To refine the model of the ASCL4-</w:t>
      </w:r>
      <w:r w:rsidRPr="006226F8">
        <w:rPr>
          <w:b/>
          <w:bCs/>
          <w:sz w:val="24"/>
          <w:szCs w:val="24"/>
          <w:lang w:val="en-US"/>
        </w:rPr>
        <w:t>9</w:t>
      </w:r>
      <w:r w:rsidRPr="006226F8">
        <w:rPr>
          <w:sz w:val="24"/>
          <w:szCs w:val="24"/>
          <w:lang w:val="en-US"/>
        </w:rPr>
        <w:t xml:space="preserve"> complex, molecular dynamics (MD) simulations were carried out during triplicated 100 computed nanoseconds (Figures 4 and S10). All</w:t>
      </w:r>
      <w:r w:rsidRPr="2318D11F">
        <w:rPr>
          <w:sz w:val="24"/>
          <w:szCs w:val="24"/>
          <w:lang w:val="en-US"/>
        </w:rPr>
        <w:t xml:space="preserve"> criteria satisfied a convergence in terms of energy relaxation, </w:t>
      </w:r>
      <w:r w:rsidRPr="00CD7A66">
        <w:rPr>
          <w:sz w:val="24"/>
          <w:szCs w:val="24"/>
          <w:highlight w:val="yellow"/>
          <w:lang w:val="en-US"/>
        </w:rPr>
        <w:t>and</w:t>
      </w:r>
      <w:r w:rsidRPr="2318D11F">
        <w:rPr>
          <w:sz w:val="24"/>
          <w:szCs w:val="24"/>
          <w:lang w:val="en-US"/>
        </w:rPr>
        <w:t xml:space="preserve"> stabilization of </w:t>
      </w:r>
      <w:r w:rsidRPr="00CD7A66">
        <w:rPr>
          <w:sz w:val="24"/>
          <w:szCs w:val="24"/>
          <w:highlight w:val="yellow"/>
          <w:lang w:val="en-US"/>
        </w:rPr>
        <w:t>the</w:t>
      </w:r>
      <w:r w:rsidRPr="2318D11F">
        <w:rPr>
          <w:sz w:val="24"/>
          <w:szCs w:val="24"/>
          <w:lang w:val="en-US"/>
        </w:rPr>
        <w:t xml:space="preserve"> gyration radius of the ACSL4-ATP-</w:t>
      </w:r>
      <w:r w:rsidRPr="2318D11F">
        <w:rPr>
          <w:b/>
          <w:bCs/>
          <w:sz w:val="24"/>
          <w:szCs w:val="24"/>
          <w:lang w:val="en-US"/>
        </w:rPr>
        <w:t>9</w:t>
      </w:r>
      <w:r w:rsidRPr="2318D11F">
        <w:rPr>
          <w:sz w:val="24"/>
          <w:szCs w:val="24"/>
          <w:lang w:val="en-US"/>
        </w:rPr>
        <w:t xml:space="preserve"> complex. During this 100 ns MD-based energy relaxation, compound </w:t>
      </w:r>
      <w:r w:rsidRPr="2318D11F">
        <w:rPr>
          <w:b/>
          <w:bCs/>
          <w:sz w:val="24"/>
          <w:szCs w:val="24"/>
          <w:lang w:val="en-US"/>
        </w:rPr>
        <w:t>9</w:t>
      </w:r>
      <w:r w:rsidRPr="2318D11F">
        <w:rPr>
          <w:sz w:val="24"/>
          <w:szCs w:val="24"/>
          <w:lang w:val="en-US"/>
        </w:rPr>
        <w:t xml:space="preserve"> interacts by sustained hydrogen bonds with Q302 side chain </w:t>
      </w:r>
      <w:r w:rsidRPr="006226F8">
        <w:rPr>
          <w:sz w:val="24"/>
          <w:szCs w:val="24"/>
          <w:lang w:val="en-US"/>
        </w:rPr>
        <w:t>and to a lesser extent with the backbone of G443. Other interatomic attractions are hydrophobic contacts with the lipophilic tunnel exhibiting residues L325, V324, A329, L440, V477, and L468 (Figures 4 and S10).</w:t>
      </w:r>
      <w:r w:rsidRPr="2318D11F">
        <w:rPr>
          <w:sz w:val="24"/>
          <w:szCs w:val="24"/>
          <w:lang w:val="en-US"/>
        </w:rPr>
        <w:t xml:space="preserve"> </w:t>
      </w:r>
    </w:p>
    <w:p w14:paraId="35825854" w14:textId="3B854347" w:rsidR="00D30ECB" w:rsidRPr="0043287C" w:rsidRDefault="00D30ECB" w:rsidP="00E86A16">
      <w:pPr>
        <w:pStyle w:val="NormalWeb"/>
        <w:rPr>
          <w:lang w:val="en-US"/>
        </w:rPr>
      </w:pPr>
      <w:r>
        <w:rPr>
          <w:noProof/>
        </w:rPr>
        <w:lastRenderedPageBreak/>
        <w:drawing>
          <wp:inline distT="0" distB="0" distL="0" distR="0" wp14:anchorId="0734F23A" wp14:editId="48DEA8C0">
            <wp:extent cx="5736491" cy="5958840"/>
            <wp:effectExtent l="0" t="0" r="0" b="381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42871" cy="5965467"/>
                    </a:xfrm>
                    <a:prstGeom prst="rect">
                      <a:avLst/>
                    </a:prstGeom>
                    <a:noFill/>
                  </pic:spPr>
                </pic:pic>
              </a:graphicData>
            </a:graphic>
          </wp:inline>
        </w:drawing>
      </w:r>
    </w:p>
    <w:p w14:paraId="66D011B0" w14:textId="01699B5F" w:rsidR="00342835" w:rsidRPr="006226F8" w:rsidRDefault="009C3364" w:rsidP="003320B0">
      <w:pPr>
        <w:spacing w:before="240"/>
        <w:jc w:val="both"/>
        <w:rPr>
          <w:lang w:val="en-US"/>
        </w:rPr>
      </w:pPr>
      <w:r w:rsidRPr="006226F8">
        <w:rPr>
          <w:b/>
          <w:lang w:val="en-US"/>
        </w:rPr>
        <w:t xml:space="preserve">Figure </w:t>
      </w:r>
      <w:r w:rsidR="00A374D6" w:rsidRPr="006226F8">
        <w:rPr>
          <w:b/>
          <w:lang w:val="en-US"/>
        </w:rPr>
        <w:t>4</w:t>
      </w:r>
      <w:r w:rsidRPr="006226F8">
        <w:rPr>
          <w:b/>
          <w:lang w:val="en-US"/>
        </w:rPr>
        <w:t xml:space="preserve">. </w:t>
      </w:r>
      <w:r w:rsidR="00DB1761" w:rsidRPr="006226F8">
        <w:rPr>
          <w:b/>
          <w:lang w:val="en-US"/>
        </w:rPr>
        <w:t>Putative binding mode of compound 9 on ACSL4</w:t>
      </w:r>
      <w:r w:rsidR="00DB1761" w:rsidRPr="006226F8">
        <w:rPr>
          <w:bCs/>
          <w:lang w:val="en-US"/>
        </w:rPr>
        <w:t xml:space="preserve">. </w:t>
      </w:r>
      <w:r w:rsidR="00DB1761" w:rsidRPr="006226F8">
        <w:rPr>
          <w:b/>
          <w:bCs/>
          <w:lang w:val="en-US"/>
        </w:rPr>
        <w:t>A</w:t>
      </w:r>
      <w:r w:rsidR="00DB1761" w:rsidRPr="006226F8">
        <w:rPr>
          <w:bCs/>
          <w:lang w:val="en-US"/>
        </w:rPr>
        <w:t xml:space="preserve">) </w:t>
      </w:r>
      <w:r w:rsidR="00342835" w:rsidRPr="006226F8">
        <w:rPr>
          <w:bCs/>
          <w:lang w:val="en-US"/>
        </w:rPr>
        <w:t>ASCL4-c</w:t>
      </w:r>
      <w:r w:rsidR="00A84CF1" w:rsidRPr="006226F8">
        <w:rPr>
          <w:bCs/>
          <w:lang w:val="en-US"/>
        </w:rPr>
        <w:t>ompound</w:t>
      </w:r>
      <w:r w:rsidR="00342835" w:rsidRPr="006226F8">
        <w:rPr>
          <w:bCs/>
          <w:lang w:val="en-US"/>
        </w:rPr>
        <w:t xml:space="preserve"> </w:t>
      </w:r>
      <w:r w:rsidR="00342835" w:rsidRPr="006226F8">
        <w:rPr>
          <w:b/>
          <w:lang w:val="en-US"/>
        </w:rPr>
        <w:t>9</w:t>
      </w:r>
      <w:r w:rsidR="00342835" w:rsidRPr="006226F8">
        <w:rPr>
          <w:bCs/>
          <w:lang w:val="en-US"/>
        </w:rPr>
        <w:t xml:space="preserve"> complex after docking and an additional </w:t>
      </w:r>
      <w:r w:rsidR="00342835" w:rsidRPr="006226F8">
        <w:rPr>
          <w:lang w:val="en-US"/>
        </w:rPr>
        <w:t xml:space="preserve">100 ns MD simulation. </w:t>
      </w:r>
      <w:r w:rsidR="00342835" w:rsidRPr="006226F8">
        <w:rPr>
          <w:b/>
          <w:lang w:val="en-US"/>
        </w:rPr>
        <w:t>B</w:t>
      </w:r>
      <w:r w:rsidR="00342835" w:rsidRPr="006226F8">
        <w:rPr>
          <w:lang w:val="en-US"/>
        </w:rPr>
        <w:t xml:space="preserve">) </w:t>
      </w:r>
      <w:r w:rsidR="00F164B5" w:rsidRPr="006226F8">
        <w:rPr>
          <w:lang w:val="en-US"/>
        </w:rPr>
        <w:t xml:space="preserve">Representative trace of the contacts that compound </w:t>
      </w:r>
      <w:r w:rsidR="00F164B5" w:rsidRPr="006226F8">
        <w:rPr>
          <w:b/>
          <w:lang w:val="en-US"/>
        </w:rPr>
        <w:t>9</w:t>
      </w:r>
      <w:r w:rsidR="00F164B5" w:rsidRPr="006226F8">
        <w:rPr>
          <w:lang w:val="en-US"/>
        </w:rPr>
        <w:t xml:space="preserve"> forms with the ACSL4 model during the 100 ns MD simulation, showing that compound </w:t>
      </w:r>
      <w:r w:rsidR="00F164B5" w:rsidRPr="006226F8">
        <w:rPr>
          <w:b/>
          <w:lang w:val="en-US"/>
        </w:rPr>
        <w:t>9</w:t>
      </w:r>
      <w:r w:rsidR="00F164B5" w:rsidRPr="006226F8">
        <w:rPr>
          <w:lang w:val="en-US"/>
        </w:rPr>
        <w:t xml:space="preserve"> primarily interacts through hydrophobic contacts and hydrogen bonds with Q302</w:t>
      </w:r>
      <w:r w:rsidR="00A84CF1" w:rsidRPr="006226F8">
        <w:rPr>
          <w:lang w:val="en-US"/>
        </w:rPr>
        <w:t xml:space="preserve">. Each vertical line </w:t>
      </w:r>
      <w:r w:rsidR="00E540EE" w:rsidRPr="006226F8">
        <w:rPr>
          <w:lang w:val="en-US"/>
        </w:rPr>
        <w:t>corresponds</w:t>
      </w:r>
      <w:r w:rsidR="00A84CF1" w:rsidRPr="006226F8">
        <w:rPr>
          <w:lang w:val="en-US"/>
        </w:rPr>
        <w:t xml:space="preserve"> to an intermolecular contact and the color is associated to the interaction type (</w:t>
      </w:r>
      <w:r w:rsidR="00A84CF1" w:rsidRPr="006226F8">
        <w:rPr>
          <w:i/>
          <w:lang w:val="en-US"/>
        </w:rPr>
        <w:t>e.g.</w:t>
      </w:r>
      <w:r w:rsidR="00A84CF1" w:rsidRPr="006226F8">
        <w:rPr>
          <w:lang w:val="en-US"/>
        </w:rPr>
        <w:t xml:space="preserve"> green correspond</w:t>
      </w:r>
      <w:r w:rsidR="00F37AD4" w:rsidRPr="006226F8">
        <w:rPr>
          <w:lang w:val="en-US"/>
        </w:rPr>
        <w:t>s</w:t>
      </w:r>
      <w:r w:rsidR="00A84CF1" w:rsidRPr="006226F8">
        <w:rPr>
          <w:lang w:val="en-US"/>
        </w:rPr>
        <w:t xml:space="preserve"> to </w:t>
      </w:r>
      <w:r w:rsidR="00F37AD4" w:rsidRPr="006226F8">
        <w:rPr>
          <w:lang w:val="en-US"/>
        </w:rPr>
        <w:t xml:space="preserve">a </w:t>
      </w:r>
      <w:r w:rsidR="00A84CF1" w:rsidRPr="006226F8">
        <w:rPr>
          <w:lang w:val="en-US"/>
        </w:rPr>
        <w:t xml:space="preserve">hydrophobic contact and red to </w:t>
      </w:r>
      <w:r w:rsidR="00F37AD4" w:rsidRPr="006226F8">
        <w:rPr>
          <w:lang w:val="en-US"/>
        </w:rPr>
        <w:t xml:space="preserve">a </w:t>
      </w:r>
      <w:r w:rsidR="00930042" w:rsidRPr="006226F8">
        <w:rPr>
          <w:lang w:val="en-US"/>
        </w:rPr>
        <w:t xml:space="preserve">hydrogen </w:t>
      </w:r>
      <w:r w:rsidR="00A84CF1" w:rsidRPr="006226F8">
        <w:rPr>
          <w:lang w:val="en-US"/>
        </w:rPr>
        <w:t>bond)</w:t>
      </w:r>
      <w:r w:rsidR="00F164B5" w:rsidRPr="006226F8">
        <w:rPr>
          <w:lang w:val="en-US"/>
        </w:rPr>
        <w:t>.</w:t>
      </w:r>
    </w:p>
    <w:p w14:paraId="03FDC107" w14:textId="53A092FA" w:rsidR="000F573C" w:rsidRDefault="59235BBB">
      <w:pPr>
        <w:spacing w:before="240" w:line="360" w:lineRule="auto"/>
        <w:jc w:val="both"/>
        <w:rPr>
          <w:sz w:val="24"/>
          <w:szCs w:val="24"/>
          <w:lang w:val="en-US"/>
        </w:rPr>
      </w:pPr>
      <w:r w:rsidRPr="006226F8">
        <w:rPr>
          <w:sz w:val="24"/>
          <w:szCs w:val="24"/>
          <w:lang w:val="en-US"/>
        </w:rPr>
        <w:t xml:space="preserve">Interestingly, among ACSLs, only ACSL4 exhibits a glutamine at position 302 (Figure S5). In contrast, ACSL3, for which compound </w:t>
      </w:r>
      <w:r w:rsidRPr="006226F8">
        <w:rPr>
          <w:b/>
          <w:bCs/>
          <w:sz w:val="24"/>
          <w:szCs w:val="24"/>
          <w:lang w:val="en-US"/>
        </w:rPr>
        <w:t>9</w:t>
      </w:r>
      <w:r w:rsidRPr="006226F8">
        <w:rPr>
          <w:sz w:val="24"/>
          <w:szCs w:val="24"/>
          <w:lang w:val="en-US"/>
        </w:rPr>
        <w:t xml:space="preserve"> does not display any inhibitory activity, displays a methionine at this position. Thus, to verify</w:t>
      </w:r>
      <w:r w:rsidRPr="006113C4">
        <w:rPr>
          <w:sz w:val="24"/>
          <w:szCs w:val="24"/>
          <w:lang w:val="en-US"/>
        </w:rPr>
        <w:t xml:space="preserve"> the significance of Q302 in the potency and affinity of compound </w:t>
      </w:r>
      <w:r w:rsidRPr="006113C4">
        <w:rPr>
          <w:b/>
          <w:bCs/>
          <w:sz w:val="24"/>
          <w:szCs w:val="24"/>
          <w:lang w:val="en-US"/>
        </w:rPr>
        <w:t>9</w:t>
      </w:r>
      <w:r w:rsidRPr="006113C4">
        <w:rPr>
          <w:sz w:val="24"/>
          <w:szCs w:val="24"/>
          <w:lang w:val="en-US"/>
        </w:rPr>
        <w:t xml:space="preserve"> for ACSL4, ACSL4(Q302A) and ACSL4(Q302M) mutants were generated, followed by an evaluation of their enzymatic activities and </w:t>
      </w:r>
      <w:r w:rsidRPr="006226F8">
        <w:rPr>
          <w:sz w:val="24"/>
          <w:szCs w:val="24"/>
          <w:lang w:val="en-US"/>
        </w:rPr>
        <w:lastRenderedPageBreak/>
        <w:t>kinetic parameters (Figure S11). Only the ACSL4(Q302M) protein exhibited activity comparable to wild-type ACSL4, whereas ACSL4</w:t>
      </w:r>
      <w:r w:rsidRPr="59235BBB">
        <w:rPr>
          <w:sz w:val="24"/>
          <w:szCs w:val="24"/>
          <w:lang w:val="en-US"/>
        </w:rPr>
        <w:t>(Q302A) maintained about 80% of the enzymatic activity.</w:t>
      </w:r>
    </w:p>
    <w:p w14:paraId="6943C40B" w14:textId="64744A3D" w:rsidR="001F0EFD" w:rsidRDefault="004D559B" w:rsidP="0BD927E5">
      <w:pPr>
        <w:spacing w:before="240" w:line="360" w:lineRule="auto"/>
        <w:jc w:val="center"/>
      </w:pPr>
      <w:r>
        <w:rPr>
          <w:noProof/>
          <w:lang w:val="fr-FR"/>
        </w:rPr>
        <w:drawing>
          <wp:inline distT="0" distB="0" distL="0" distR="0" wp14:anchorId="5DC36098" wp14:editId="5502E962">
            <wp:extent cx="3552825" cy="5724524"/>
            <wp:effectExtent l="0" t="0" r="0" b="0"/>
            <wp:docPr id="463042855" name="Image 463042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3552825" cy="5724524"/>
                    </a:xfrm>
                    <a:prstGeom prst="rect">
                      <a:avLst/>
                    </a:prstGeom>
                  </pic:spPr>
                </pic:pic>
              </a:graphicData>
            </a:graphic>
          </wp:inline>
        </w:drawing>
      </w:r>
    </w:p>
    <w:p w14:paraId="4D3A3C8E" w14:textId="208BCE46" w:rsidR="00E35F29" w:rsidRPr="006113C4" w:rsidRDefault="0EF4F793">
      <w:pPr>
        <w:spacing w:before="240"/>
        <w:jc w:val="both"/>
        <w:rPr>
          <w:lang w:val="en-US"/>
        </w:rPr>
      </w:pPr>
      <w:r w:rsidRPr="006226F8">
        <w:rPr>
          <w:b/>
          <w:bCs/>
          <w:lang w:val="en-US"/>
        </w:rPr>
        <w:t>Figure 5.</w:t>
      </w:r>
      <w:r w:rsidRPr="006226F8">
        <w:rPr>
          <w:lang w:val="en-US"/>
        </w:rPr>
        <w:t xml:space="preserve"> </w:t>
      </w:r>
      <w:r w:rsidRPr="006226F8">
        <w:rPr>
          <w:b/>
          <w:bCs/>
          <w:lang w:val="en-US"/>
        </w:rPr>
        <w:t>Impact of site-directed mutations on the inhibitory activity and affinity of compound 9 for ACSL4</w:t>
      </w:r>
      <w:r w:rsidRPr="006226F8">
        <w:rPr>
          <w:lang w:val="en-US"/>
        </w:rPr>
        <w:t xml:space="preserve">. </w:t>
      </w:r>
      <w:r w:rsidRPr="006226F8">
        <w:rPr>
          <w:b/>
          <w:bCs/>
          <w:lang w:val="en-US"/>
        </w:rPr>
        <w:t>A</w:t>
      </w:r>
      <w:r w:rsidRPr="006226F8">
        <w:rPr>
          <w:lang w:val="en-US"/>
        </w:rPr>
        <w:t xml:space="preserve">) Inhibition profiles of compound </w:t>
      </w:r>
      <w:r w:rsidRPr="006226F8">
        <w:rPr>
          <w:b/>
          <w:bCs/>
          <w:lang w:val="en-US"/>
        </w:rPr>
        <w:t>9</w:t>
      </w:r>
      <w:r w:rsidRPr="006226F8">
        <w:rPr>
          <w:lang w:val="en-US"/>
        </w:rPr>
        <w:t xml:space="preserve"> against wild-type ACSL4 and selected mutants (Q302A in orange, Q302M in blue and L325F in purple) showing that the site-directed mutations affect inhibitory activity of </w:t>
      </w:r>
      <w:r w:rsidRPr="006226F8">
        <w:rPr>
          <w:b/>
          <w:bCs/>
          <w:lang w:val="en-US"/>
        </w:rPr>
        <w:t>9</w:t>
      </w:r>
      <w:r w:rsidRPr="006226F8">
        <w:rPr>
          <w:lang w:val="en-US"/>
        </w:rPr>
        <w:t xml:space="preserve">. </w:t>
      </w:r>
      <w:r w:rsidRPr="006226F8">
        <w:rPr>
          <w:b/>
          <w:bCs/>
          <w:lang w:val="en-US"/>
        </w:rPr>
        <w:t>B</w:t>
      </w:r>
      <w:r w:rsidRPr="006226F8">
        <w:rPr>
          <w:lang w:val="en-US"/>
        </w:rPr>
        <w:t>) Binding curves from MST experiments showing the impact of site-directed mutations</w:t>
      </w:r>
      <w:r w:rsidRPr="0EF4F793">
        <w:rPr>
          <w:lang w:val="en-US"/>
        </w:rPr>
        <w:t xml:space="preserve"> (Q302A in orange, Q302M in blue and L325F in purple) on the affinity of compound </w:t>
      </w:r>
      <w:r w:rsidRPr="0EF4F793">
        <w:rPr>
          <w:b/>
          <w:bCs/>
          <w:lang w:val="en-US"/>
        </w:rPr>
        <w:t>9</w:t>
      </w:r>
      <w:r w:rsidRPr="0EF4F793">
        <w:rPr>
          <w:lang w:val="en-US"/>
        </w:rPr>
        <w:t xml:space="preserve"> for ACSL4. </w:t>
      </w:r>
      <w:r w:rsidRPr="0EF4F793">
        <w:rPr>
          <w:b/>
          <w:bCs/>
          <w:lang w:val="en-US"/>
        </w:rPr>
        <w:t>C</w:t>
      </w:r>
      <w:r w:rsidRPr="0EF4F793">
        <w:rPr>
          <w:lang w:val="en-US"/>
        </w:rPr>
        <w:t>) Table summarizing IC</w:t>
      </w:r>
      <w:r w:rsidRPr="0EF4F793">
        <w:rPr>
          <w:vertAlign w:val="subscript"/>
          <w:lang w:val="en-US"/>
        </w:rPr>
        <w:t>50</w:t>
      </w:r>
      <w:r w:rsidRPr="0EF4F793">
        <w:rPr>
          <w:lang w:val="en-US"/>
        </w:rPr>
        <w:t xml:space="preserve"> and </w:t>
      </w:r>
      <w:r w:rsidRPr="0EF4F793">
        <w:rPr>
          <w:i/>
          <w:iCs/>
          <w:lang w:val="en-US"/>
        </w:rPr>
        <w:t>K</w:t>
      </w:r>
      <w:r w:rsidRPr="0EF4F793">
        <w:rPr>
          <w:vertAlign w:val="subscript"/>
          <w:lang w:val="en-US"/>
        </w:rPr>
        <w:t xml:space="preserve">D </w:t>
      </w:r>
      <w:r w:rsidRPr="0EF4F793">
        <w:rPr>
          <w:lang w:val="en-US"/>
        </w:rPr>
        <w:t xml:space="preserve">values (± SD) of compound </w:t>
      </w:r>
      <w:r w:rsidRPr="0EF4F793">
        <w:rPr>
          <w:b/>
          <w:bCs/>
          <w:lang w:val="en-US"/>
        </w:rPr>
        <w:t>9</w:t>
      </w:r>
      <w:r w:rsidRPr="0EF4F793">
        <w:rPr>
          <w:lang w:val="en-US"/>
        </w:rPr>
        <w:t xml:space="preserve"> against wild-type ACSL4 and selected mutants. </w:t>
      </w:r>
      <w:r w:rsidRPr="00CD7A66">
        <w:rPr>
          <w:highlight w:val="yellow"/>
          <w:lang w:val="en-US"/>
        </w:rPr>
        <w:t>IC</w:t>
      </w:r>
      <w:r w:rsidRPr="00CD7A66">
        <w:rPr>
          <w:highlight w:val="yellow"/>
          <w:vertAlign w:val="subscript"/>
          <w:lang w:val="en-US"/>
        </w:rPr>
        <w:t>50</w:t>
      </w:r>
      <w:r w:rsidRPr="00CD7A66">
        <w:rPr>
          <w:highlight w:val="yellow"/>
          <w:lang w:val="en-US"/>
        </w:rPr>
        <w:t xml:space="preserve"> values and curves were determined by three independent experiments performed in duplicate for each compound concentration. Similarly, </w:t>
      </w:r>
      <w:r w:rsidRPr="00CD7A66">
        <w:rPr>
          <w:i/>
          <w:iCs/>
          <w:highlight w:val="yellow"/>
          <w:lang w:val="en-US"/>
        </w:rPr>
        <w:t>K</w:t>
      </w:r>
      <w:r w:rsidRPr="00CD7A66">
        <w:rPr>
          <w:highlight w:val="yellow"/>
          <w:vertAlign w:val="subscript"/>
          <w:lang w:val="en-US"/>
        </w:rPr>
        <w:t>D</w:t>
      </w:r>
      <w:r w:rsidRPr="00CD7A66">
        <w:rPr>
          <w:highlight w:val="yellow"/>
          <w:lang w:val="en-US"/>
        </w:rPr>
        <w:t xml:space="preserve"> values and curves were determined by three </w:t>
      </w:r>
      <w:r w:rsidRPr="00CD7A66">
        <w:rPr>
          <w:highlight w:val="yellow"/>
          <w:lang w:val="en-US"/>
        </w:rPr>
        <w:lastRenderedPageBreak/>
        <w:t>independent experiments for each compound concentration. Curves in panels B and C are shown as the mean ± SD values</w:t>
      </w:r>
      <w:r w:rsidRPr="0EF4F793">
        <w:rPr>
          <w:lang w:val="en-US"/>
        </w:rPr>
        <w:t>.</w:t>
      </w:r>
    </w:p>
    <w:p w14:paraId="2ECA32ED" w14:textId="2B11324A" w:rsidR="003320B0" w:rsidRDefault="2881A11D" w:rsidP="003320B0">
      <w:pPr>
        <w:spacing w:before="240" w:line="360" w:lineRule="auto"/>
        <w:jc w:val="both"/>
        <w:rPr>
          <w:sz w:val="24"/>
          <w:szCs w:val="24"/>
          <w:lang w:val="en-US"/>
        </w:rPr>
      </w:pPr>
      <w:r w:rsidRPr="2881A11D">
        <w:rPr>
          <w:sz w:val="24"/>
          <w:szCs w:val="24"/>
          <w:lang w:val="en-US"/>
        </w:rPr>
        <w:t xml:space="preserve">To our satisfaction, </w:t>
      </w:r>
      <w:r w:rsidRPr="00CD7A66">
        <w:rPr>
          <w:sz w:val="24"/>
          <w:szCs w:val="24"/>
          <w:highlight w:val="yellow"/>
          <w:lang w:val="en-US"/>
        </w:rPr>
        <w:t>the</w:t>
      </w:r>
      <w:r w:rsidRPr="2881A11D">
        <w:rPr>
          <w:sz w:val="24"/>
          <w:szCs w:val="24"/>
          <w:lang w:val="en-US"/>
        </w:rPr>
        <w:t xml:space="preserve"> introduction of the ACSL4(Q302M) mutation increased the IC</w:t>
      </w:r>
      <w:r w:rsidRPr="2881A11D">
        <w:rPr>
          <w:sz w:val="24"/>
          <w:szCs w:val="24"/>
          <w:vertAlign w:val="subscript"/>
          <w:lang w:val="en-US"/>
        </w:rPr>
        <w:t>50</w:t>
      </w:r>
      <w:r w:rsidRPr="2881A11D">
        <w:rPr>
          <w:sz w:val="24"/>
          <w:szCs w:val="24"/>
          <w:lang w:val="en-US"/>
        </w:rPr>
        <w:t xml:space="preserve"> value of </w:t>
      </w:r>
      <w:r w:rsidRPr="2881A11D">
        <w:rPr>
          <w:b/>
          <w:bCs/>
          <w:sz w:val="24"/>
          <w:szCs w:val="24"/>
          <w:lang w:val="en-US"/>
        </w:rPr>
        <w:t>9</w:t>
      </w:r>
      <w:r w:rsidRPr="2881A11D">
        <w:rPr>
          <w:sz w:val="24"/>
          <w:szCs w:val="24"/>
          <w:lang w:val="en-US"/>
        </w:rPr>
        <w:t xml:space="preserve"> by 18-fold (IC</w:t>
      </w:r>
      <w:r w:rsidRPr="2881A11D">
        <w:rPr>
          <w:sz w:val="24"/>
          <w:szCs w:val="24"/>
          <w:vertAlign w:val="subscript"/>
          <w:lang w:val="en-US"/>
        </w:rPr>
        <w:t>50</w:t>
      </w:r>
      <w:r w:rsidRPr="2881A11D">
        <w:rPr>
          <w:sz w:val="24"/>
          <w:szCs w:val="24"/>
          <w:lang w:val="en-US"/>
        </w:rPr>
        <w:t xml:space="preserve"> ACSL4(Q302M) = 7.1 µM) and the </w:t>
      </w:r>
      <w:r w:rsidRPr="2881A11D">
        <w:rPr>
          <w:i/>
          <w:iCs/>
          <w:sz w:val="24"/>
          <w:szCs w:val="24"/>
          <w:lang w:val="en-US"/>
        </w:rPr>
        <w:t>K</w:t>
      </w:r>
      <w:r w:rsidRPr="2881A11D">
        <w:rPr>
          <w:sz w:val="24"/>
          <w:szCs w:val="24"/>
          <w:vertAlign w:val="subscript"/>
          <w:lang w:val="en-US"/>
        </w:rPr>
        <w:t>D</w:t>
      </w:r>
      <w:r w:rsidRPr="2881A11D">
        <w:rPr>
          <w:sz w:val="24"/>
          <w:szCs w:val="24"/>
          <w:lang w:val="en-US"/>
        </w:rPr>
        <w:t xml:space="preserve"> value by 15-fold, confirming the importance of Q302 in the binding </w:t>
      </w:r>
      <w:r w:rsidRPr="006226F8">
        <w:rPr>
          <w:sz w:val="24"/>
          <w:szCs w:val="24"/>
          <w:lang w:val="en-US"/>
        </w:rPr>
        <w:t xml:space="preserve">of </w:t>
      </w:r>
      <w:r w:rsidRPr="006226F8">
        <w:rPr>
          <w:b/>
          <w:bCs/>
          <w:sz w:val="24"/>
          <w:szCs w:val="24"/>
          <w:lang w:val="en-US"/>
        </w:rPr>
        <w:t>9</w:t>
      </w:r>
      <w:r w:rsidRPr="006226F8">
        <w:rPr>
          <w:sz w:val="24"/>
          <w:szCs w:val="24"/>
          <w:lang w:val="en-US"/>
        </w:rPr>
        <w:t xml:space="preserve"> (Figure 5).</w:t>
      </w:r>
      <w:r w:rsidRPr="2881A11D">
        <w:rPr>
          <w:sz w:val="24"/>
          <w:szCs w:val="24"/>
          <w:lang w:val="en-US"/>
        </w:rPr>
        <w:t xml:space="preserve"> </w:t>
      </w:r>
      <w:r w:rsidRPr="00CD7A66">
        <w:rPr>
          <w:sz w:val="24"/>
          <w:szCs w:val="24"/>
          <w:highlight w:val="yellow"/>
          <w:lang w:val="en-US"/>
        </w:rPr>
        <w:t>A similar trend was observed</w:t>
      </w:r>
      <w:r w:rsidRPr="2881A11D">
        <w:rPr>
          <w:sz w:val="24"/>
          <w:szCs w:val="24"/>
          <w:lang w:val="en-US"/>
        </w:rPr>
        <w:t xml:space="preserve"> with ACSL4(Q302A). Additionally, we mutated L325 since this residue is predicted to </w:t>
      </w:r>
      <w:proofErr w:type="gramStart"/>
      <w:r w:rsidRPr="2881A11D">
        <w:rPr>
          <w:sz w:val="24"/>
          <w:szCs w:val="24"/>
          <w:lang w:val="en-US"/>
        </w:rPr>
        <w:t>be located in</w:t>
      </w:r>
      <w:proofErr w:type="gramEnd"/>
      <w:r w:rsidRPr="2881A11D">
        <w:rPr>
          <w:sz w:val="24"/>
          <w:szCs w:val="24"/>
          <w:lang w:val="en-US"/>
        </w:rPr>
        <w:t xml:space="preserve"> the middle of the FA tunnel. This residue is part of both identified peptides A and C and was </w:t>
      </w:r>
      <w:r w:rsidRPr="006226F8">
        <w:rPr>
          <w:sz w:val="24"/>
          <w:szCs w:val="24"/>
          <w:lang w:val="en-US"/>
        </w:rPr>
        <w:t xml:space="preserve">shown to be important for the binding of </w:t>
      </w:r>
      <w:r w:rsidRPr="006226F8">
        <w:rPr>
          <w:b/>
          <w:bCs/>
          <w:sz w:val="24"/>
          <w:szCs w:val="24"/>
          <w:lang w:val="en-US"/>
        </w:rPr>
        <w:t>9</w:t>
      </w:r>
      <w:r w:rsidRPr="006226F8">
        <w:rPr>
          <w:sz w:val="24"/>
          <w:szCs w:val="24"/>
          <w:lang w:val="en-US"/>
        </w:rPr>
        <w:t xml:space="preserve"> through hydrophobic interactions with the central phenyl ring (Figure 4). Interestingly, ACSL1, 5, and 6 display a phenylalanine residue at this position. Thus, we investigated ACSL4(L325F) mutant </w:t>
      </w:r>
      <w:proofErr w:type="gramStart"/>
      <w:r w:rsidRPr="006226F8">
        <w:rPr>
          <w:sz w:val="24"/>
          <w:szCs w:val="24"/>
          <w:lang w:val="en-US"/>
        </w:rPr>
        <w:t>assuming that</w:t>
      </w:r>
      <w:proofErr w:type="gramEnd"/>
      <w:r w:rsidRPr="006226F8">
        <w:rPr>
          <w:sz w:val="24"/>
          <w:szCs w:val="24"/>
          <w:lang w:val="en-US"/>
        </w:rPr>
        <w:t xml:space="preserve"> the bulky phenylalanine would sterically affect the binding of </w:t>
      </w:r>
      <w:r w:rsidRPr="006226F8">
        <w:rPr>
          <w:b/>
          <w:bCs/>
          <w:sz w:val="24"/>
          <w:szCs w:val="24"/>
          <w:lang w:val="en-US"/>
        </w:rPr>
        <w:t>9</w:t>
      </w:r>
      <w:r w:rsidRPr="006226F8">
        <w:rPr>
          <w:sz w:val="24"/>
          <w:szCs w:val="24"/>
          <w:lang w:val="en-US"/>
        </w:rPr>
        <w:t xml:space="preserve"> into the FA tunnel. The ACSL4(L325F) mutant maintained about 60% activity (Figure S11) and introduction of this mutation led to around 50-fold increase of IC</w:t>
      </w:r>
      <w:r w:rsidRPr="006226F8">
        <w:rPr>
          <w:sz w:val="24"/>
          <w:szCs w:val="24"/>
          <w:vertAlign w:val="subscript"/>
          <w:lang w:val="en-US"/>
        </w:rPr>
        <w:t>50</w:t>
      </w:r>
      <w:r w:rsidRPr="006226F8">
        <w:rPr>
          <w:sz w:val="24"/>
          <w:szCs w:val="24"/>
          <w:lang w:val="en-US"/>
        </w:rPr>
        <w:t xml:space="preserve"> and </w:t>
      </w:r>
      <w:r w:rsidRPr="006226F8">
        <w:rPr>
          <w:i/>
          <w:iCs/>
          <w:sz w:val="24"/>
          <w:szCs w:val="24"/>
          <w:lang w:val="en-US"/>
        </w:rPr>
        <w:t>K</w:t>
      </w:r>
      <w:r w:rsidRPr="006226F8">
        <w:rPr>
          <w:sz w:val="24"/>
          <w:szCs w:val="24"/>
          <w:vertAlign w:val="subscript"/>
          <w:lang w:val="en-US"/>
        </w:rPr>
        <w:t>D</w:t>
      </w:r>
      <w:r w:rsidRPr="006226F8">
        <w:rPr>
          <w:sz w:val="24"/>
          <w:szCs w:val="24"/>
          <w:lang w:val="en-US"/>
        </w:rPr>
        <w:t xml:space="preserve"> values for </w:t>
      </w:r>
      <w:r w:rsidRPr="006226F8">
        <w:rPr>
          <w:b/>
          <w:bCs/>
          <w:sz w:val="24"/>
          <w:szCs w:val="24"/>
          <w:lang w:val="en-US"/>
        </w:rPr>
        <w:t>9</w:t>
      </w:r>
      <w:r w:rsidRPr="006226F8">
        <w:rPr>
          <w:sz w:val="24"/>
          <w:szCs w:val="24"/>
          <w:lang w:val="en-US"/>
        </w:rPr>
        <w:t>. These results further corroborate the</w:t>
      </w:r>
      <w:r w:rsidRPr="2881A11D">
        <w:rPr>
          <w:sz w:val="24"/>
          <w:szCs w:val="24"/>
          <w:lang w:val="en-US"/>
        </w:rPr>
        <w:t xml:space="preserve"> binding of </w:t>
      </w:r>
      <w:r w:rsidRPr="2881A11D">
        <w:rPr>
          <w:b/>
          <w:bCs/>
          <w:sz w:val="24"/>
          <w:szCs w:val="24"/>
          <w:lang w:val="en-US"/>
        </w:rPr>
        <w:t>9</w:t>
      </w:r>
      <w:r w:rsidRPr="2881A11D">
        <w:rPr>
          <w:sz w:val="24"/>
          <w:szCs w:val="24"/>
          <w:lang w:val="en-US"/>
        </w:rPr>
        <w:t xml:space="preserve"> into</w:t>
      </w:r>
      <w:r w:rsidRPr="2881A11D">
        <w:rPr>
          <w:b/>
          <w:bCs/>
          <w:sz w:val="24"/>
          <w:szCs w:val="24"/>
          <w:lang w:val="en-US"/>
        </w:rPr>
        <w:t xml:space="preserve"> </w:t>
      </w:r>
      <w:r w:rsidRPr="2881A11D">
        <w:rPr>
          <w:sz w:val="24"/>
          <w:szCs w:val="24"/>
          <w:lang w:val="en-US"/>
        </w:rPr>
        <w:t>the FA tunnel.</w:t>
      </w:r>
    </w:p>
    <w:p w14:paraId="562BD73E" w14:textId="2F9618F6" w:rsidR="00971AA2" w:rsidRPr="00025577" w:rsidRDefault="2881A11D" w:rsidP="004A44E9">
      <w:pPr>
        <w:spacing w:before="120" w:line="360" w:lineRule="auto"/>
        <w:jc w:val="both"/>
        <w:rPr>
          <w:sz w:val="24"/>
          <w:szCs w:val="24"/>
          <w:lang w:val="en-US"/>
        </w:rPr>
      </w:pPr>
      <w:r w:rsidRPr="2881A11D">
        <w:rPr>
          <w:sz w:val="24"/>
          <w:szCs w:val="24"/>
          <w:lang w:val="en-US"/>
        </w:rPr>
        <w:t xml:space="preserve">Next, we assessed the cytotoxicity of compound </w:t>
      </w:r>
      <w:r w:rsidRPr="2881A11D">
        <w:rPr>
          <w:b/>
          <w:bCs/>
          <w:sz w:val="24"/>
          <w:szCs w:val="24"/>
          <w:lang w:val="en-US"/>
        </w:rPr>
        <w:t>9</w:t>
      </w:r>
      <w:r w:rsidRPr="2881A11D">
        <w:rPr>
          <w:sz w:val="24"/>
          <w:szCs w:val="24"/>
          <w:lang w:val="en-US"/>
        </w:rPr>
        <w:t xml:space="preserve"> across six different cell lines (</w:t>
      </w:r>
      <w:proofErr w:type="spellStart"/>
      <w:r w:rsidRPr="2881A11D">
        <w:rPr>
          <w:sz w:val="24"/>
          <w:szCs w:val="24"/>
          <w:lang w:val="en-US"/>
        </w:rPr>
        <w:t>SiHa</w:t>
      </w:r>
      <w:proofErr w:type="spellEnd"/>
      <w:r w:rsidRPr="2881A11D">
        <w:rPr>
          <w:sz w:val="24"/>
          <w:szCs w:val="24"/>
          <w:lang w:val="en-US"/>
        </w:rPr>
        <w:t>, HCT-</w:t>
      </w:r>
      <w:r w:rsidRPr="006226F8">
        <w:rPr>
          <w:sz w:val="24"/>
          <w:szCs w:val="24"/>
          <w:lang w:val="en-US"/>
        </w:rPr>
        <w:t>116, MDA-MB-231, HEK293, HT-1080, and LUHMES).</w:t>
      </w:r>
      <w:r w:rsidRPr="006226F8">
        <w:rPr>
          <w:lang w:val="en-US"/>
        </w:rPr>
        <w:t xml:space="preserve"> </w:t>
      </w:r>
      <w:commentRangeStart w:id="0"/>
      <w:r w:rsidRPr="006226F8">
        <w:rPr>
          <w:lang w:val="en-US"/>
        </w:rPr>
        <w:t>C</w:t>
      </w:r>
      <w:r w:rsidRPr="006226F8">
        <w:rPr>
          <w:sz w:val="24"/>
          <w:szCs w:val="24"/>
          <w:lang w:val="en-US"/>
        </w:rPr>
        <w:t xml:space="preserve">ompound </w:t>
      </w:r>
      <w:r w:rsidRPr="006226F8">
        <w:rPr>
          <w:b/>
          <w:bCs/>
          <w:sz w:val="24"/>
          <w:szCs w:val="24"/>
          <w:lang w:val="en-US"/>
        </w:rPr>
        <w:t>9</w:t>
      </w:r>
      <w:r w:rsidRPr="006226F8">
        <w:rPr>
          <w:sz w:val="24"/>
          <w:szCs w:val="24"/>
          <w:lang w:val="en-US"/>
        </w:rPr>
        <w:t xml:space="preserve"> demonstrated minimal toxicity at concentrations up to 5 µM (Figure S12)</w:t>
      </w:r>
      <w:commentRangeEnd w:id="0"/>
      <w:r w:rsidR="002074F2">
        <w:rPr>
          <w:rStyle w:val="Marquedecommentaire"/>
        </w:rPr>
        <w:commentReference w:id="0"/>
      </w:r>
      <w:r w:rsidRPr="006226F8">
        <w:rPr>
          <w:sz w:val="24"/>
          <w:szCs w:val="24"/>
          <w:lang w:val="en-US"/>
        </w:rPr>
        <w:t>. Given that ACSL4 is a key enzyme in triggering ferroptosis, its inhibition represents a promising strategy to block this iron-dependent form of cell death, which is implicated in important diseases such as Parkinson’s disease.</w:t>
      </w:r>
      <w:r w:rsidRPr="006226F8">
        <w:rPr>
          <w:sz w:val="24"/>
          <w:szCs w:val="24"/>
          <w:vertAlign w:val="superscript"/>
          <w:lang w:val="en-US"/>
        </w:rPr>
        <w:t>[11]</w:t>
      </w:r>
      <w:r w:rsidRPr="006226F8">
        <w:rPr>
          <w:sz w:val="24"/>
          <w:szCs w:val="24"/>
          <w:lang w:val="en-US"/>
        </w:rPr>
        <w:t xml:space="preserve"> Hence, the anti-</w:t>
      </w:r>
      <w:proofErr w:type="spellStart"/>
      <w:r w:rsidRPr="006226F8">
        <w:rPr>
          <w:sz w:val="24"/>
          <w:szCs w:val="24"/>
          <w:lang w:val="en-US"/>
        </w:rPr>
        <w:t>ferroptotic</w:t>
      </w:r>
      <w:proofErr w:type="spellEnd"/>
      <w:r w:rsidRPr="006226F8">
        <w:rPr>
          <w:sz w:val="24"/>
          <w:szCs w:val="24"/>
          <w:lang w:val="en-US"/>
        </w:rPr>
        <w:t xml:space="preserve"> potential of compound </w:t>
      </w:r>
      <w:r w:rsidRPr="006226F8">
        <w:rPr>
          <w:b/>
          <w:bCs/>
          <w:sz w:val="24"/>
          <w:szCs w:val="24"/>
          <w:lang w:val="en-US"/>
        </w:rPr>
        <w:t>9</w:t>
      </w:r>
      <w:r w:rsidRPr="006226F8">
        <w:rPr>
          <w:sz w:val="24"/>
          <w:szCs w:val="24"/>
          <w:lang w:val="en-US"/>
        </w:rPr>
        <w:t xml:space="preserve"> was evaluated in HEK293, HT-1080, and LUHMES cell lines, which are commonly used to study ACSL4 in the context of ferroptosis.</w:t>
      </w:r>
      <w:r w:rsidRPr="006226F8">
        <w:rPr>
          <w:sz w:val="24"/>
          <w:szCs w:val="24"/>
          <w:vertAlign w:val="superscript"/>
          <w:lang w:val="en-US"/>
        </w:rPr>
        <w:t>[21]</w:t>
      </w:r>
      <w:r w:rsidRPr="006226F8">
        <w:rPr>
          <w:sz w:val="24"/>
          <w:szCs w:val="24"/>
          <w:lang w:val="en-US"/>
        </w:rPr>
        <w:t xml:space="preserve"> RSL3 was used to induce ferroptosis in HEK293 and HT-1080 cells. LUHMES cells, a non-oncogenic model of human dopaminergic neurons widely used in Parkinson's disease research and highly sensitive to ferroptosis, were treated with a combination of arachidonic acid (AA) and iron (Fe), which better mimics the neuropathological environment.</w:t>
      </w:r>
      <w:r w:rsidRPr="006226F8">
        <w:rPr>
          <w:sz w:val="24"/>
          <w:szCs w:val="24"/>
          <w:vertAlign w:val="superscript"/>
          <w:lang w:val="en-US"/>
        </w:rPr>
        <w:t>[21c]</w:t>
      </w:r>
      <w:r w:rsidRPr="006226F8">
        <w:rPr>
          <w:sz w:val="24"/>
          <w:szCs w:val="24"/>
          <w:lang w:val="en-US"/>
        </w:rPr>
        <w:t xml:space="preserve"> Compound </w:t>
      </w:r>
      <w:r w:rsidRPr="006226F8">
        <w:rPr>
          <w:b/>
          <w:bCs/>
          <w:sz w:val="24"/>
          <w:szCs w:val="24"/>
          <w:lang w:val="en-US"/>
        </w:rPr>
        <w:t>9</w:t>
      </w:r>
      <w:r w:rsidRPr="006226F8">
        <w:rPr>
          <w:sz w:val="24"/>
          <w:szCs w:val="24"/>
          <w:lang w:val="en-US"/>
        </w:rPr>
        <w:t xml:space="preserve"> at 2.5 µM significantly prevented RSL3-induced cell death in both HEK293 (Figure 6A) and HT-1080 cells (Figure 6B). Additionally, in LUHMES cells, compound </w:t>
      </w:r>
      <w:r w:rsidRPr="006226F8">
        <w:rPr>
          <w:b/>
          <w:bCs/>
          <w:sz w:val="24"/>
          <w:szCs w:val="24"/>
          <w:lang w:val="en-US"/>
        </w:rPr>
        <w:t>9</w:t>
      </w:r>
      <w:r w:rsidRPr="006226F8">
        <w:rPr>
          <w:sz w:val="24"/>
          <w:szCs w:val="24"/>
          <w:lang w:val="en-US"/>
        </w:rPr>
        <w:t xml:space="preserve"> (2.5 µM) effectively inhibited cell death caused by </w:t>
      </w:r>
      <w:proofErr w:type="spellStart"/>
      <w:r w:rsidRPr="006226F8">
        <w:rPr>
          <w:sz w:val="24"/>
          <w:szCs w:val="24"/>
          <w:lang w:val="en-US"/>
        </w:rPr>
        <w:t>AA+Fe</w:t>
      </w:r>
      <w:proofErr w:type="spellEnd"/>
      <w:r w:rsidRPr="006226F8">
        <w:rPr>
          <w:sz w:val="24"/>
          <w:szCs w:val="24"/>
          <w:lang w:val="en-US"/>
        </w:rPr>
        <w:t xml:space="preserve"> treatment, comparable to the protective effect seen with ACSL4 knockdown (Figure 6C and S13). Given the relevance of LUHMES cells as a model for neurodegenerative diseases</w:t>
      </w:r>
      <w:r w:rsidRPr="2881A11D">
        <w:rPr>
          <w:sz w:val="24"/>
          <w:szCs w:val="24"/>
          <w:lang w:val="en-US"/>
        </w:rPr>
        <w:t xml:space="preserve">, further experiments were conducted in this system. The protective effect of compound </w:t>
      </w:r>
      <w:r w:rsidRPr="2881A11D">
        <w:rPr>
          <w:b/>
          <w:bCs/>
          <w:sz w:val="24"/>
          <w:szCs w:val="24"/>
          <w:lang w:val="en-US"/>
        </w:rPr>
        <w:lastRenderedPageBreak/>
        <w:t>9</w:t>
      </w:r>
      <w:r w:rsidRPr="2881A11D">
        <w:rPr>
          <w:sz w:val="24"/>
          <w:szCs w:val="24"/>
          <w:lang w:val="en-US"/>
        </w:rPr>
        <w:t xml:space="preserve"> </w:t>
      </w:r>
      <w:r w:rsidRPr="006226F8">
        <w:rPr>
          <w:sz w:val="24"/>
          <w:szCs w:val="24"/>
          <w:lang w:val="en-US"/>
        </w:rPr>
        <w:t xml:space="preserve">was correlated to a significant decrease in lipid peroxidation to a similar level to ACSL4 siRNA (Figure 6D). Additionally, target engagement was confirmed by evaluating the thermal stability of ACSL4 in the presence of compound </w:t>
      </w:r>
      <w:r w:rsidRPr="006226F8">
        <w:rPr>
          <w:b/>
          <w:bCs/>
          <w:sz w:val="24"/>
          <w:szCs w:val="24"/>
          <w:lang w:val="en-US"/>
        </w:rPr>
        <w:t>9</w:t>
      </w:r>
      <w:r w:rsidRPr="006226F8">
        <w:rPr>
          <w:sz w:val="24"/>
          <w:szCs w:val="24"/>
          <w:lang w:val="en-US"/>
        </w:rPr>
        <w:t>, which enhanced ACSL4's thermal stability by increasing its resistance to unfolding by 2.6 °C (Figure 6E).</w:t>
      </w:r>
      <w:r w:rsidRPr="2881A11D">
        <w:rPr>
          <w:sz w:val="24"/>
          <w:szCs w:val="24"/>
          <w:lang w:val="en-US"/>
        </w:rPr>
        <w:t xml:space="preserve"> </w:t>
      </w:r>
    </w:p>
    <w:p w14:paraId="244E7BB8" w14:textId="58CDE232" w:rsidR="00923B30" w:rsidRPr="00152895" w:rsidRDefault="009A6969" w:rsidP="003320B0">
      <w:pPr>
        <w:spacing w:before="240" w:line="360" w:lineRule="auto"/>
        <w:jc w:val="both"/>
        <w:rPr>
          <w:sz w:val="24"/>
          <w:szCs w:val="24"/>
          <w:lang w:val="en-US"/>
        </w:rPr>
      </w:pPr>
      <w:r>
        <w:rPr>
          <w:noProof/>
          <w:sz w:val="24"/>
          <w:szCs w:val="24"/>
          <w:lang w:val="fr-FR"/>
        </w:rPr>
        <w:drawing>
          <wp:inline distT="0" distB="0" distL="0" distR="0" wp14:anchorId="07D3EAD5" wp14:editId="668340C4">
            <wp:extent cx="5728413" cy="381084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6422" cy="3829477"/>
                    </a:xfrm>
                    <a:prstGeom prst="rect">
                      <a:avLst/>
                    </a:prstGeom>
                    <a:noFill/>
                  </pic:spPr>
                </pic:pic>
              </a:graphicData>
            </a:graphic>
          </wp:inline>
        </w:drawing>
      </w:r>
    </w:p>
    <w:p w14:paraId="388ECEDA" w14:textId="33CA0F82" w:rsidR="00791731" w:rsidRPr="006113C4" w:rsidRDefault="69FF37B6" w:rsidP="00537538">
      <w:pPr>
        <w:spacing w:before="240"/>
        <w:jc w:val="both"/>
        <w:rPr>
          <w:lang w:val="en-US"/>
        </w:rPr>
      </w:pPr>
      <w:r w:rsidRPr="006226F8">
        <w:rPr>
          <w:b/>
          <w:bCs/>
          <w:lang w:val="en-US"/>
        </w:rPr>
        <w:t>Figure 6. Compound 9 protects cells from ferroptosis. A</w:t>
      </w:r>
      <w:r w:rsidRPr="006226F8">
        <w:rPr>
          <w:lang w:val="en-US"/>
        </w:rPr>
        <w:t xml:space="preserve">) Cell viability analysis of HEK293 cells pretreated with 2.5 µM of </w:t>
      </w:r>
      <w:r w:rsidRPr="006226F8">
        <w:rPr>
          <w:b/>
          <w:bCs/>
          <w:lang w:val="en-US"/>
        </w:rPr>
        <w:t xml:space="preserve">9 </w:t>
      </w:r>
      <w:r w:rsidRPr="006226F8">
        <w:rPr>
          <w:lang w:val="en-US"/>
        </w:rPr>
        <w:t>for 24 h, followed by treatment with RSL3 for 48 h. Data represent mean and SD (</w:t>
      </w:r>
      <w:r w:rsidRPr="006226F8">
        <w:rPr>
          <w:i/>
          <w:iCs/>
          <w:lang w:val="en-US"/>
        </w:rPr>
        <w:t>n</w:t>
      </w:r>
      <w:r w:rsidRPr="006226F8">
        <w:rPr>
          <w:lang w:val="en-US"/>
        </w:rPr>
        <w:t xml:space="preserve"> = 4). Statistical analysis was performed using Tukey’s multiple comparisons test. **** </w:t>
      </w:r>
      <w:r w:rsidRPr="006226F8">
        <w:rPr>
          <w:i/>
          <w:iCs/>
          <w:lang w:val="en-US"/>
        </w:rPr>
        <w:t>p</w:t>
      </w:r>
      <w:r w:rsidRPr="006226F8">
        <w:rPr>
          <w:lang w:val="en-US"/>
        </w:rPr>
        <w:t xml:space="preserve"> &lt; 0.001. </w:t>
      </w:r>
      <w:r w:rsidRPr="006226F8">
        <w:rPr>
          <w:b/>
          <w:bCs/>
          <w:lang w:val="en-US"/>
        </w:rPr>
        <w:t>B</w:t>
      </w:r>
      <w:r w:rsidRPr="006226F8">
        <w:rPr>
          <w:lang w:val="en-US"/>
        </w:rPr>
        <w:t xml:space="preserve">) Cell viability analysis of HT-1080 cells pretreated with 2.5 µM of </w:t>
      </w:r>
      <w:r w:rsidRPr="006226F8">
        <w:rPr>
          <w:b/>
          <w:bCs/>
          <w:lang w:val="en-US"/>
        </w:rPr>
        <w:t xml:space="preserve">9 </w:t>
      </w:r>
      <w:r w:rsidRPr="006226F8">
        <w:rPr>
          <w:lang w:val="en-US"/>
        </w:rPr>
        <w:t>for 24 h, followed by treatment with RSL3 for 48 h. Data represent mean and SD (</w:t>
      </w:r>
      <w:r w:rsidRPr="006226F8">
        <w:rPr>
          <w:i/>
          <w:iCs/>
          <w:lang w:val="en-US"/>
        </w:rPr>
        <w:t>n</w:t>
      </w:r>
      <w:r w:rsidRPr="006226F8">
        <w:rPr>
          <w:lang w:val="en-US"/>
        </w:rPr>
        <w:t xml:space="preserve"> = 4). Statistical analysis was performed using Tukey’s multiple comparisons test. **** </w:t>
      </w:r>
      <w:r w:rsidRPr="006226F8">
        <w:rPr>
          <w:i/>
          <w:iCs/>
          <w:lang w:val="en-US"/>
        </w:rPr>
        <w:t>p</w:t>
      </w:r>
      <w:r w:rsidRPr="006226F8">
        <w:rPr>
          <w:lang w:val="en-US"/>
        </w:rPr>
        <w:t xml:space="preserve"> &lt; 0.001. </w:t>
      </w:r>
      <w:r w:rsidRPr="006226F8">
        <w:rPr>
          <w:b/>
          <w:bCs/>
          <w:lang w:val="en-US"/>
        </w:rPr>
        <w:t>C</w:t>
      </w:r>
      <w:r w:rsidRPr="006226F8">
        <w:rPr>
          <w:lang w:val="en-US"/>
        </w:rPr>
        <w:t xml:space="preserve">) Cell viability analysis of LUHMES cells transfected with ACSL4 siRNA or pretreated with 2.5 µM of </w:t>
      </w:r>
      <w:r w:rsidRPr="006226F8">
        <w:rPr>
          <w:b/>
          <w:bCs/>
          <w:lang w:val="en-US"/>
        </w:rPr>
        <w:t xml:space="preserve">9 </w:t>
      </w:r>
      <w:r w:rsidRPr="006226F8">
        <w:rPr>
          <w:lang w:val="en-US"/>
        </w:rPr>
        <w:t xml:space="preserve">for 4 h, followed by treatment with </w:t>
      </w:r>
      <w:proofErr w:type="spellStart"/>
      <w:r w:rsidRPr="006226F8">
        <w:rPr>
          <w:lang w:val="en-US"/>
        </w:rPr>
        <w:t>AA+Fe</w:t>
      </w:r>
      <w:proofErr w:type="spellEnd"/>
      <w:r w:rsidRPr="006226F8">
        <w:rPr>
          <w:lang w:val="en-US"/>
        </w:rPr>
        <w:t xml:space="preserve"> for 48 h. Data represent mean and SD (</w:t>
      </w:r>
      <w:r w:rsidRPr="006226F8">
        <w:rPr>
          <w:i/>
          <w:iCs/>
          <w:lang w:val="en-US"/>
        </w:rPr>
        <w:t>n</w:t>
      </w:r>
      <w:r w:rsidRPr="006226F8">
        <w:rPr>
          <w:lang w:val="en-US"/>
        </w:rPr>
        <w:t xml:space="preserve"> = 3). Statistical analysis was performed using Tukey’s multiple comparisons test. **** </w:t>
      </w:r>
      <w:r w:rsidRPr="006226F8">
        <w:rPr>
          <w:i/>
          <w:iCs/>
          <w:lang w:val="en-US"/>
        </w:rPr>
        <w:t>p</w:t>
      </w:r>
      <w:r w:rsidRPr="006226F8">
        <w:rPr>
          <w:lang w:val="en-US"/>
        </w:rPr>
        <w:t xml:space="preserve"> &lt; 0.001. </w:t>
      </w:r>
      <w:r w:rsidRPr="006226F8">
        <w:rPr>
          <w:b/>
          <w:bCs/>
          <w:lang w:val="en-US"/>
        </w:rPr>
        <w:t>D</w:t>
      </w:r>
      <w:r w:rsidRPr="006226F8">
        <w:rPr>
          <w:lang w:val="en-US"/>
        </w:rPr>
        <w:t xml:space="preserve">) Percentage of lipid peroxidation in LUHMES cells transfected with ACSL4 siRNA or pretreated with 2.5 µM of </w:t>
      </w:r>
      <w:r w:rsidRPr="006226F8">
        <w:rPr>
          <w:b/>
          <w:bCs/>
          <w:lang w:val="en-US"/>
        </w:rPr>
        <w:t>9</w:t>
      </w:r>
      <w:r w:rsidRPr="006226F8">
        <w:rPr>
          <w:lang w:val="en-US"/>
        </w:rPr>
        <w:t xml:space="preserve"> for 4 h, followed</w:t>
      </w:r>
      <w:r w:rsidRPr="69FF37B6">
        <w:rPr>
          <w:lang w:val="en-US"/>
        </w:rPr>
        <w:t xml:space="preserve"> by treatment with </w:t>
      </w:r>
      <w:proofErr w:type="spellStart"/>
      <w:r w:rsidRPr="69FF37B6">
        <w:rPr>
          <w:lang w:val="en-US"/>
        </w:rPr>
        <w:t>AA+Fe</w:t>
      </w:r>
      <w:proofErr w:type="spellEnd"/>
      <w:r w:rsidRPr="69FF37B6">
        <w:rPr>
          <w:lang w:val="en-US"/>
        </w:rPr>
        <w:t xml:space="preserve"> for 24 h. Lipid peroxidation in cells was measured by flow cytometry using the C11 BODIPY 581/591 probe. The staining data obtained at 530 nm (oxidized C11 BODIPY 581/591) are plotted as a histogram. Data represents mean and SEM (</w:t>
      </w:r>
      <w:r w:rsidRPr="69FF37B6">
        <w:rPr>
          <w:i/>
          <w:iCs/>
          <w:lang w:val="en-US"/>
        </w:rPr>
        <w:t>n</w:t>
      </w:r>
      <w:r w:rsidRPr="69FF37B6">
        <w:rPr>
          <w:lang w:val="en-US"/>
        </w:rPr>
        <w:t xml:space="preserve"> = 4). Statistical analysis was performed using Tukey’s multiple comparisons test. **** </w:t>
      </w:r>
      <w:r w:rsidRPr="69FF37B6">
        <w:rPr>
          <w:i/>
          <w:iCs/>
          <w:lang w:val="en-US"/>
        </w:rPr>
        <w:t>p</w:t>
      </w:r>
      <w:r w:rsidRPr="69FF37B6">
        <w:rPr>
          <w:lang w:val="en-US"/>
        </w:rPr>
        <w:t xml:space="preserve"> &lt; 0.001. </w:t>
      </w:r>
      <w:r w:rsidRPr="69FF37B6">
        <w:rPr>
          <w:b/>
          <w:bCs/>
          <w:lang w:val="en-US"/>
        </w:rPr>
        <w:t>E</w:t>
      </w:r>
      <w:r w:rsidRPr="69FF37B6">
        <w:rPr>
          <w:lang w:val="en-US"/>
        </w:rPr>
        <w:t xml:space="preserve">) Representative western blots showing the thermal stability of ACSL4 in LUHMES cells treated with either DMSO or 10 µM compound </w:t>
      </w:r>
      <w:r w:rsidRPr="69FF37B6">
        <w:rPr>
          <w:b/>
          <w:bCs/>
          <w:lang w:val="en-US"/>
        </w:rPr>
        <w:t>9</w:t>
      </w:r>
      <w:r w:rsidRPr="69FF37B6">
        <w:rPr>
          <w:lang w:val="en-US"/>
        </w:rPr>
        <w:t xml:space="preserve">. ACSL4 levels were quantified by immunoblotting. From three independent experiments, </w:t>
      </w:r>
      <w:r w:rsidRPr="69FF37B6">
        <w:rPr>
          <w:i/>
          <w:iCs/>
          <w:lang w:val="en-US"/>
        </w:rPr>
        <w:t>T</w:t>
      </w:r>
      <w:r w:rsidRPr="69FF37B6">
        <w:rPr>
          <w:vertAlign w:val="subscript"/>
          <w:lang w:val="en-US"/>
        </w:rPr>
        <w:t>m</w:t>
      </w:r>
      <w:r w:rsidRPr="69FF37B6">
        <w:rPr>
          <w:lang w:val="en-US"/>
        </w:rPr>
        <w:t xml:space="preserve"> values of 48.3 ± 0.5 °C (DMSO) and 50.9 ± 0.1 °C (compound </w:t>
      </w:r>
      <w:r w:rsidRPr="69FF37B6">
        <w:rPr>
          <w:b/>
          <w:bCs/>
          <w:lang w:val="en-US"/>
        </w:rPr>
        <w:t>9</w:t>
      </w:r>
      <w:r w:rsidRPr="69FF37B6">
        <w:rPr>
          <w:lang w:val="en-US"/>
        </w:rPr>
        <w:t xml:space="preserve">) were determined, </w:t>
      </w:r>
      <w:r w:rsidRPr="69FF37B6">
        <w:rPr>
          <w:lang w:val="en-US"/>
        </w:rPr>
        <w:lastRenderedPageBreak/>
        <w:t xml:space="preserve">corresponding to a </w:t>
      </w:r>
      <w:proofErr w:type="spellStart"/>
      <w:r w:rsidRPr="69FF37B6">
        <w:rPr>
          <w:lang w:val="en-US"/>
        </w:rPr>
        <w:t>Δ</w:t>
      </w:r>
      <w:r w:rsidRPr="69FF37B6">
        <w:rPr>
          <w:i/>
          <w:iCs/>
          <w:lang w:val="en-US"/>
        </w:rPr>
        <w:t>T</w:t>
      </w:r>
      <w:r w:rsidRPr="69FF37B6">
        <w:rPr>
          <w:vertAlign w:val="subscript"/>
          <w:lang w:val="en-US"/>
        </w:rPr>
        <w:t>m</w:t>
      </w:r>
      <w:proofErr w:type="spellEnd"/>
      <w:r w:rsidRPr="69FF37B6">
        <w:rPr>
          <w:lang w:val="en-US"/>
        </w:rPr>
        <w:t xml:space="preserve"> of 2.6 ± 0.6 °C. </w:t>
      </w:r>
      <w:r w:rsidRPr="69FF37B6">
        <w:rPr>
          <w:b/>
          <w:bCs/>
          <w:lang w:val="en-US"/>
        </w:rPr>
        <w:t>F</w:t>
      </w:r>
      <w:r w:rsidRPr="69FF37B6">
        <w:rPr>
          <w:lang w:val="en-US"/>
        </w:rPr>
        <w:t xml:space="preserve">) Evaluation of radical-trapping antioxidant activity of </w:t>
      </w:r>
      <w:r w:rsidRPr="69FF37B6">
        <w:rPr>
          <w:b/>
          <w:bCs/>
          <w:lang w:val="en-US"/>
        </w:rPr>
        <w:t>9</w:t>
      </w:r>
      <w:r w:rsidRPr="69FF37B6">
        <w:rPr>
          <w:lang w:val="en-US"/>
        </w:rPr>
        <w:t xml:space="preserve"> (50 µM) compared to </w:t>
      </w:r>
      <w:proofErr w:type="spellStart"/>
      <w:r w:rsidRPr="69FF37B6">
        <w:rPr>
          <w:lang w:val="en-US"/>
        </w:rPr>
        <w:t>trolox</w:t>
      </w:r>
      <w:proofErr w:type="spellEnd"/>
      <w:r w:rsidRPr="69FF37B6">
        <w:rPr>
          <w:lang w:val="en-US"/>
        </w:rPr>
        <w:t xml:space="preserve"> (50 µM) using the DPPH assay. Data represent mean and SD (</w:t>
      </w:r>
      <w:r w:rsidRPr="00CA12A1">
        <w:rPr>
          <w:i/>
          <w:iCs/>
          <w:lang w:val="en-US"/>
        </w:rPr>
        <w:t>n</w:t>
      </w:r>
      <w:r w:rsidRPr="69FF37B6">
        <w:rPr>
          <w:lang w:val="en-US"/>
        </w:rPr>
        <w:t xml:space="preserve"> = 3).</w:t>
      </w:r>
    </w:p>
    <w:p w14:paraId="2A2C5554" w14:textId="77777777" w:rsidR="004A44E9" w:rsidRPr="006226F8" w:rsidRDefault="004A44E9" w:rsidP="004A44E9">
      <w:pPr>
        <w:spacing w:before="120" w:line="360" w:lineRule="auto"/>
        <w:jc w:val="both"/>
        <w:rPr>
          <w:sz w:val="24"/>
          <w:szCs w:val="24"/>
          <w:lang w:val="en-US"/>
        </w:rPr>
      </w:pPr>
      <w:r w:rsidRPr="006226F8">
        <w:rPr>
          <w:sz w:val="24"/>
          <w:szCs w:val="24"/>
          <w:lang w:val="en-US"/>
        </w:rPr>
        <w:t>Finally, we excluded any potential contribution of radical-trapping antioxidant activity to the observed anti-</w:t>
      </w:r>
      <w:proofErr w:type="spellStart"/>
      <w:r w:rsidRPr="006226F8">
        <w:rPr>
          <w:sz w:val="24"/>
          <w:szCs w:val="24"/>
          <w:lang w:val="en-US"/>
        </w:rPr>
        <w:t>ferroptotic</w:t>
      </w:r>
      <w:proofErr w:type="spellEnd"/>
      <w:r w:rsidRPr="006226F8">
        <w:rPr>
          <w:sz w:val="24"/>
          <w:szCs w:val="24"/>
          <w:lang w:val="en-US"/>
        </w:rPr>
        <w:t xml:space="preserve"> effect by performing a classical DPPH assay (Figure 6F).</w:t>
      </w:r>
    </w:p>
    <w:p w14:paraId="01D24AC4" w14:textId="4236DDF0" w:rsidR="004A44E9" w:rsidRDefault="004A44E9" w:rsidP="004A44E9">
      <w:pPr>
        <w:spacing w:before="120" w:line="360" w:lineRule="auto"/>
        <w:jc w:val="both"/>
        <w:rPr>
          <w:sz w:val="24"/>
          <w:szCs w:val="24"/>
          <w:lang w:val="en-US"/>
        </w:rPr>
      </w:pPr>
      <w:r w:rsidRPr="006226F8">
        <w:rPr>
          <w:sz w:val="24"/>
          <w:szCs w:val="24"/>
          <w:lang w:val="en-US"/>
        </w:rPr>
        <w:t>Collectively, these</w:t>
      </w:r>
      <w:r w:rsidRPr="006113C4">
        <w:rPr>
          <w:sz w:val="24"/>
          <w:szCs w:val="24"/>
          <w:lang w:val="en-US"/>
        </w:rPr>
        <w:t xml:space="preserve"> findings strongly support that compound </w:t>
      </w:r>
      <w:r w:rsidRPr="006113C4">
        <w:rPr>
          <w:b/>
          <w:sz w:val="24"/>
          <w:szCs w:val="24"/>
          <w:lang w:val="en-US"/>
        </w:rPr>
        <w:t>9</w:t>
      </w:r>
      <w:r w:rsidRPr="006113C4">
        <w:rPr>
          <w:sz w:val="24"/>
          <w:szCs w:val="24"/>
          <w:lang w:val="en-US"/>
        </w:rPr>
        <w:t xml:space="preserve"> prevents </w:t>
      </w:r>
      <w:proofErr w:type="spellStart"/>
      <w:r w:rsidRPr="006113C4">
        <w:rPr>
          <w:sz w:val="24"/>
          <w:szCs w:val="24"/>
          <w:lang w:val="en-US"/>
        </w:rPr>
        <w:t>ferroptotic</w:t>
      </w:r>
      <w:proofErr w:type="spellEnd"/>
      <w:r w:rsidRPr="006113C4">
        <w:rPr>
          <w:sz w:val="24"/>
          <w:szCs w:val="24"/>
          <w:lang w:val="en-US"/>
        </w:rPr>
        <w:t xml:space="preserve"> cell death by engaging and inhibiting ACSL4.</w:t>
      </w:r>
    </w:p>
    <w:p w14:paraId="1B099BDB" w14:textId="62879F97" w:rsidR="00E70166" w:rsidRPr="00387876" w:rsidRDefault="00E70166" w:rsidP="00E70166">
      <w:pPr>
        <w:spacing w:before="240" w:after="120" w:line="360" w:lineRule="auto"/>
        <w:jc w:val="both"/>
        <w:rPr>
          <w:sz w:val="24"/>
          <w:szCs w:val="24"/>
          <w:lang w:val="en-US"/>
        </w:rPr>
      </w:pPr>
      <w:r w:rsidRPr="00CD7A66">
        <w:rPr>
          <w:sz w:val="24"/>
          <w:szCs w:val="24"/>
          <w:highlight w:val="yellow"/>
          <w:lang w:val="en-US"/>
        </w:rPr>
        <w:t>CONCLUSION</w:t>
      </w:r>
    </w:p>
    <w:p w14:paraId="2D6D3979" w14:textId="5222DFC6" w:rsidR="00366A28" w:rsidRDefault="2881A11D" w:rsidP="00E70166">
      <w:pPr>
        <w:spacing w:before="120" w:line="360" w:lineRule="auto"/>
        <w:jc w:val="both"/>
        <w:rPr>
          <w:sz w:val="24"/>
          <w:szCs w:val="24"/>
          <w:lang w:val="en-US"/>
        </w:rPr>
      </w:pPr>
      <w:r w:rsidRPr="2881A11D">
        <w:rPr>
          <w:sz w:val="24"/>
          <w:szCs w:val="24"/>
          <w:lang w:val="en-US"/>
        </w:rPr>
        <w:t>In summary, starting from ROSI, we designed novel sub-micromolar ACSL4 inhibitors that are selective against ACSL3 and devoid of PPAR</w:t>
      </w:r>
      <w:r w:rsidRPr="2881A11D">
        <w:rPr>
          <w:sz w:val="24"/>
          <w:szCs w:val="24"/>
        </w:rPr>
        <w:t>γ</w:t>
      </w:r>
      <w:r w:rsidRPr="2881A11D">
        <w:rPr>
          <w:sz w:val="24"/>
          <w:szCs w:val="24"/>
          <w:lang w:val="en-US"/>
        </w:rPr>
        <w:t xml:space="preserve"> activity. We demonstrated that the binding of </w:t>
      </w:r>
      <w:r w:rsidRPr="2881A11D">
        <w:rPr>
          <w:b/>
          <w:bCs/>
          <w:sz w:val="24"/>
          <w:szCs w:val="24"/>
          <w:lang w:val="en-US"/>
        </w:rPr>
        <w:t>9</w:t>
      </w:r>
      <w:r w:rsidRPr="2881A11D">
        <w:rPr>
          <w:sz w:val="24"/>
          <w:szCs w:val="24"/>
          <w:lang w:val="en-US"/>
        </w:rPr>
        <w:t>, our</w:t>
      </w:r>
      <w:r w:rsidRPr="2881A11D">
        <w:rPr>
          <w:b/>
          <w:bCs/>
          <w:sz w:val="24"/>
          <w:szCs w:val="24"/>
          <w:lang w:val="en-US"/>
        </w:rPr>
        <w:t xml:space="preserve"> </w:t>
      </w:r>
      <w:r w:rsidRPr="2881A11D">
        <w:rPr>
          <w:sz w:val="24"/>
          <w:szCs w:val="24"/>
          <w:lang w:val="en-US"/>
        </w:rPr>
        <w:t xml:space="preserve">best compound in this series, is dependent on the prior binding of ATP to ACSL4. </w:t>
      </w:r>
      <w:proofErr w:type="spellStart"/>
      <w:r w:rsidRPr="2881A11D">
        <w:rPr>
          <w:sz w:val="24"/>
          <w:szCs w:val="24"/>
          <w:lang w:val="en-US"/>
        </w:rPr>
        <w:t>HDx</w:t>
      </w:r>
      <w:proofErr w:type="spellEnd"/>
      <w:r w:rsidRPr="2881A11D">
        <w:rPr>
          <w:sz w:val="24"/>
          <w:szCs w:val="24"/>
          <w:lang w:val="en-US"/>
        </w:rPr>
        <w:t xml:space="preserve">-MS experiments indicated that ATP binding induces a significant stabilization of the </w:t>
      </w:r>
      <w:r w:rsidRPr="2881A11D">
        <w:rPr>
          <w:i/>
          <w:iCs/>
          <w:sz w:val="24"/>
          <w:szCs w:val="24"/>
          <w:lang w:val="en-US"/>
        </w:rPr>
        <w:t>C</w:t>
      </w:r>
      <w:r w:rsidRPr="2881A11D">
        <w:rPr>
          <w:sz w:val="24"/>
          <w:szCs w:val="24"/>
          <w:lang w:val="en-US"/>
        </w:rPr>
        <w:t xml:space="preserve">-terminus domain. This effect was even more pronounced in the presence of </w:t>
      </w:r>
      <w:r w:rsidRPr="2881A11D">
        <w:rPr>
          <w:b/>
          <w:bCs/>
          <w:sz w:val="24"/>
          <w:szCs w:val="24"/>
          <w:lang w:val="en-US"/>
        </w:rPr>
        <w:t>9</w:t>
      </w:r>
      <w:r w:rsidRPr="2881A11D">
        <w:rPr>
          <w:sz w:val="24"/>
          <w:szCs w:val="24"/>
          <w:lang w:val="en-US"/>
        </w:rPr>
        <w:t xml:space="preserve"> which further impacted the conformation of two other peptide sequences, one of which (peptide A) delineates the FA gate domain. PAL experiments based on diazirine-based probe </w:t>
      </w:r>
      <w:r w:rsidRPr="2881A11D">
        <w:rPr>
          <w:b/>
          <w:bCs/>
          <w:sz w:val="24"/>
          <w:szCs w:val="24"/>
          <w:lang w:val="en-US"/>
        </w:rPr>
        <w:t>10</w:t>
      </w:r>
      <w:r w:rsidRPr="2881A11D">
        <w:rPr>
          <w:sz w:val="24"/>
          <w:szCs w:val="24"/>
          <w:lang w:val="en-US"/>
        </w:rPr>
        <w:t xml:space="preserve"> identified residue A329, an amino acid predicted to be part of the FA pocket. Complementary MD simulations pointed </w:t>
      </w:r>
      <w:r w:rsidRPr="00CA12A1">
        <w:rPr>
          <w:sz w:val="24"/>
          <w:szCs w:val="24"/>
          <w:highlight w:val="cyan"/>
          <w:lang w:val="en-US"/>
        </w:rPr>
        <w:t>to</w:t>
      </w:r>
      <w:r w:rsidRPr="2881A11D">
        <w:rPr>
          <w:sz w:val="24"/>
          <w:szCs w:val="24"/>
          <w:lang w:val="en-US"/>
        </w:rPr>
        <w:t xml:space="preserve"> residue Q302 as a key amino acid for the binding of </w:t>
      </w:r>
      <w:r w:rsidRPr="2881A11D">
        <w:rPr>
          <w:b/>
          <w:bCs/>
          <w:sz w:val="24"/>
          <w:szCs w:val="24"/>
          <w:lang w:val="en-US"/>
        </w:rPr>
        <w:t>9</w:t>
      </w:r>
      <w:r w:rsidRPr="2881A11D">
        <w:rPr>
          <w:sz w:val="24"/>
          <w:szCs w:val="24"/>
          <w:lang w:val="en-US"/>
        </w:rPr>
        <w:t xml:space="preserve"> through H-bonding. Site-directed mutagenesis supported this hypothesis, as mutation of Q302 induced a significant decrease in the potency and affinity of </w:t>
      </w:r>
      <w:r w:rsidRPr="2881A11D">
        <w:rPr>
          <w:b/>
          <w:bCs/>
          <w:sz w:val="24"/>
          <w:szCs w:val="24"/>
          <w:lang w:val="en-US"/>
        </w:rPr>
        <w:t>9</w:t>
      </w:r>
      <w:r w:rsidRPr="2881A11D">
        <w:rPr>
          <w:sz w:val="24"/>
          <w:szCs w:val="24"/>
          <w:lang w:val="en-US"/>
        </w:rPr>
        <w:t xml:space="preserve"> to ACSL4. Cellular evaluations demonstrated that compound </w:t>
      </w:r>
      <w:r w:rsidRPr="2881A11D">
        <w:rPr>
          <w:b/>
          <w:bCs/>
          <w:sz w:val="24"/>
          <w:szCs w:val="24"/>
          <w:lang w:val="en-US"/>
        </w:rPr>
        <w:t>9</w:t>
      </w:r>
      <w:r w:rsidRPr="2881A11D">
        <w:rPr>
          <w:sz w:val="24"/>
          <w:szCs w:val="24"/>
          <w:lang w:val="en-US"/>
        </w:rPr>
        <w:t xml:space="preserve"> protects HEK293, HT-1080, and LUHMES cells from ferroptosis. Target engagement for compound </w:t>
      </w:r>
      <w:r w:rsidRPr="2881A11D">
        <w:rPr>
          <w:b/>
          <w:bCs/>
          <w:sz w:val="24"/>
          <w:szCs w:val="24"/>
          <w:lang w:val="en-US"/>
        </w:rPr>
        <w:t>9</w:t>
      </w:r>
      <w:r w:rsidRPr="2881A11D">
        <w:rPr>
          <w:sz w:val="24"/>
          <w:szCs w:val="24"/>
          <w:lang w:val="en-US"/>
        </w:rPr>
        <w:t xml:space="preserve"> further supports the role of ACSL4 in its anti-</w:t>
      </w:r>
      <w:proofErr w:type="spellStart"/>
      <w:r w:rsidRPr="2881A11D">
        <w:rPr>
          <w:sz w:val="24"/>
          <w:szCs w:val="24"/>
          <w:lang w:val="en-US"/>
        </w:rPr>
        <w:t>ferroptotic</w:t>
      </w:r>
      <w:proofErr w:type="spellEnd"/>
      <w:r w:rsidRPr="2881A11D">
        <w:rPr>
          <w:sz w:val="24"/>
          <w:szCs w:val="24"/>
          <w:lang w:val="en-US"/>
        </w:rPr>
        <w:t xml:space="preserve"> activity. Overall, compound </w:t>
      </w:r>
      <w:r w:rsidRPr="2881A11D">
        <w:rPr>
          <w:b/>
          <w:bCs/>
          <w:sz w:val="24"/>
          <w:szCs w:val="24"/>
          <w:lang w:val="en-US"/>
        </w:rPr>
        <w:t>9</w:t>
      </w:r>
      <w:r w:rsidRPr="2881A11D">
        <w:rPr>
          <w:sz w:val="24"/>
          <w:szCs w:val="24"/>
          <w:lang w:val="en-US"/>
        </w:rPr>
        <w:t xml:space="preserve"> (LIBX-A401) is a promising tool for studying ACSL4 in ferroptosis-related diseases and cancer, and the elucidation of its binding mode paves the way to the rational design of optimized inhibitors.</w:t>
      </w:r>
    </w:p>
    <w:p w14:paraId="0001802F" w14:textId="77777777" w:rsidR="00104B2C" w:rsidRPr="0043287C" w:rsidRDefault="00104B2C" w:rsidP="00104B2C">
      <w:pPr>
        <w:spacing w:before="240" w:line="360" w:lineRule="auto"/>
        <w:rPr>
          <w:sz w:val="24"/>
          <w:szCs w:val="24"/>
          <w:lang w:val="en-US"/>
        </w:rPr>
      </w:pPr>
      <w:r w:rsidRPr="0043287C">
        <w:rPr>
          <w:sz w:val="24"/>
          <w:szCs w:val="24"/>
          <w:lang w:val="en-US"/>
        </w:rPr>
        <w:t>ACKNOWLEDGMENT</w:t>
      </w:r>
    </w:p>
    <w:p w14:paraId="549F4811" w14:textId="6FA912B8" w:rsidR="00104B2C" w:rsidRDefault="00104B2C" w:rsidP="00104B2C">
      <w:pPr>
        <w:spacing w:line="360" w:lineRule="auto"/>
        <w:jc w:val="both"/>
        <w:rPr>
          <w:sz w:val="24"/>
          <w:szCs w:val="24"/>
          <w:lang w:val="en-US"/>
        </w:rPr>
      </w:pPr>
      <w:r w:rsidRPr="0043287C">
        <w:rPr>
          <w:sz w:val="24"/>
          <w:szCs w:val="24"/>
          <w:lang w:val="en-US"/>
        </w:rPr>
        <w:t xml:space="preserve">The authors thank Prof. Jean-François Goossens for providing access to the </w:t>
      </w:r>
      <w:proofErr w:type="spellStart"/>
      <w:r w:rsidRPr="0043287C">
        <w:rPr>
          <w:sz w:val="24"/>
          <w:szCs w:val="24"/>
          <w:lang w:val="en-US"/>
        </w:rPr>
        <w:t>Varioskan</w:t>
      </w:r>
      <w:proofErr w:type="spellEnd"/>
      <w:r w:rsidRPr="0043287C">
        <w:rPr>
          <w:sz w:val="24"/>
          <w:szCs w:val="24"/>
          <w:lang w:val="en-US"/>
        </w:rPr>
        <w:t xml:space="preserve"> Flash spectrophotometer. </w:t>
      </w:r>
      <w:r w:rsidR="005641C7" w:rsidRPr="00C86507">
        <w:rPr>
          <w:sz w:val="24"/>
          <w:szCs w:val="24"/>
          <w:lang w:val="fr-FR"/>
        </w:rPr>
        <w:t xml:space="preserve">The 500 MHz and 300 MHz NMR </w:t>
      </w:r>
      <w:proofErr w:type="spellStart"/>
      <w:r w:rsidR="005641C7" w:rsidRPr="00C86507">
        <w:rPr>
          <w:sz w:val="24"/>
          <w:szCs w:val="24"/>
          <w:lang w:val="fr-FR"/>
        </w:rPr>
        <w:t>facilities</w:t>
      </w:r>
      <w:proofErr w:type="spellEnd"/>
      <w:r w:rsidR="005641C7" w:rsidRPr="00C86507">
        <w:rPr>
          <w:sz w:val="24"/>
          <w:szCs w:val="24"/>
          <w:lang w:val="fr-FR"/>
        </w:rPr>
        <w:t xml:space="preserve"> </w:t>
      </w:r>
      <w:proofErr w:type="spellStart"/>
      <w:r w:rsidR="005641C7" w:rsidRPr="00C86507">
        <w:rPr>
          <w:sz w:val="24"/>
          <w:szCs w:val="24"/>
          <w:lang w:val="fr-FR"/>
        </w:rPr>
        <w:t>were</w:t>
      </w:r>
      <w:proofErr w:type="spellEnd"/>
      <w:r w:rsidR="005641C7" w:rsidRPr="00C86507">
        <w:rPr>
          <w:sz w:val="24"/>
          <w:szCs w:val="24"/>
          <w:lang w:val="fr-FR"/>
        </w:rPr>
        <w:t xml:space="preserve"> </w:t>
      </w:r>
      <w:proofErr w:type="spellStart"/>
      <w:r w:rsidR="005641C7" w:rsidRPr="00C86507">
        <w:rPr>
          <w:sz w:val="24"/>
          <w:szCs w:val="24"/>
          <w:lang w:val="fr-FR"/>
        </w:rPr>
        <w:t>funded</w:t>
      </w:r>
      <w:proofErr w:type="spellEnd"/>
      <w:r w:rsidR="005641C7" w:rsidRPr="00C86507">
        <w:rPr>
          <w:sz w:val="24"/>
          <w:szCs w:val="24"/>
          <w:lang w:val="fr-FR"/>
        </w:rPr>
        <w:t xml:space="preserve"> by the Région Haut-de-France, the Fonds Européens de Développement Régional (FEDER), the </w:t>
      </w:r>
      <w:proofErr w:type="gramStart"/>
      <w:r w:rsidR="005641C7" w:rsidRPr="00C86507">
        <w:rPr>
          <w:sz w:val="24"/>
          <w:szCs w:val="24"/>
          <w:lang w:val="fr-FR"/>
        </w:rPr>
        <w:t>Ministère de l’Enseignement</w:t>
      </w:r>
      <w:proofErr w:type="gramEnd"/>
      <w:r w:rsidR="005641C7" w:rsidRPr="00C86507">
        <w:rPr>
          <w:sz w:val="24"/>
          <w:szCs w:val="24"/>
          <w:lang w:val="fr-FR"/>
        </w:rPr>
        <w:t xml:space="preserve"> supérieur, de la Recherche et de l’Innovation (MESRI), and Université de Lille.</w:t>
      </w:r>
      <w:r w:rsidR="000A702F" w:rsidRPr="005641C7">
        <w:rPr>
          <w:sz w:val="24"/>
          <w:szCs w:val="24"/>
          <w:lang w:val="fr-FR"/>
        </w:rPr>
        <w:t xml:space="preserve"> </w:t>
      </w:r>
      <w:r w:rsidR="00C86507" w:rsidRPr="00C61852">
        <w:rPr>
          <w:sz w:val="24"/>
          <w:szCs w:val="24"/>
          <w:lang w:val="en-US"/>
        </w:rPr>
        <w:t xml:space="preserve">The </w:t>
      </w:r>
      <w:proofErr w:type="spellStart"/>
      <w:r w:rsidR="00C86507" w:rsidRPr="00C61852">
        <w:rPr>
          <w:sz w:val="24"/>
          <w:szCs w:val="24"/>
          <w:lang w:val="en-US"/>
        </w:rPr>
        <w:t>HDx</w:t>
      </w:r>
      <w:proofErr w:type="spellEnd"/>
      <w:r w:rsidR="00C86507" w:rsidRPr="00C61852">
        <w:rPr>
          <w:sz w:val="24"/>
          <w:szCs w:val="24"/>
          <w:lang w:val="en-US"/>
        </w:rPr>
        <w:t>-</w:t>
      </w:r>
      <w:r w:rsidR="00C86507">
        <w:rPr>
          <w:sz w:val="24"/>
          <w:szCs w:val="24"/>
          <w:lang w:val="en-US"/>
        </w:rPr>
        <w:t xml:space="preserve">MS platform was supported by </w:t>
      </w:r>
      <w:r w:rsidR="00C86507">
        <w:rPr>
          <w:sz w:val="24"/>
          <w:szCs w:val="24"/>
          <w:lang w:val="en-US"/>
        </w:rPr>
        <w:lastRenderedPageBreak/>
        <w:t>a</w:t>
      </w:r>
      <w:r w:rsidR="00C86507" w:rsidRPr="00C61852">
        <w:rPr>
          <w:sz w:val="24"/>
          <w:szCs w:val="24"/>
          <w:lang w:val="en-US"/>
        </w:rPr>
        <w:t xml:space="preserve"> grant from the </w:t>
      </w:r>
      <w:proofErr w:type="spellStart"/>
      <w:r w:rsidR="00C86507" w:rsidRPr="00C61852">
        <w:rPr>
          <w:sz w:val="24"/>
          <w:szCs w:val="24"/>
          <w:lang w:val="en-US"/>
        </w:rPr>
        <w:t>Fondation</w:t>
      </w:r>
      <w:proofErr w:type="spellEnd"/>
      <w:r w:rsidR="00C86507" w:rsidRPr="00C61852">
        <w:rPr>
          <w:sz w:val="24"/>
          <w:szCs w:val="24"/>
          <w:lang w:val="en-US"/>
        </w:rPr>
        <w:t xml:space="preserve"> Contre le Cancer (Ref:</w:t>
      </w:r>
      <w:r w:rsidR="00C86507">
        <w:rPr>
          <w:sz w:val="24"/>
          <w:szCs w:val="24"/>
          <w:lang w:val="en-US"/>
        </w:rPr>
        <w:t xml:space="preserve"> </w:t>
      </w:r>
      <w:r w:rsidR="00C86507" w:rsidRPr="00C61852">
        <w:rPr>
          <w:sz w:val="24"/>
          <w:szCs w:val="24"/>
          <w:lang w:val="en-US"/>
        </w:rPr>
        <w:t>3758) awarded to S</w:t>
      </w:r>
      <w:r w:rsidR="00C86507">
        <w:rPr>
          <w:sz w:val="24"/>
          <w:szCs w:val="24"/>
          <w:lang w:val="en-US"/>
        </w:rPr>
        <w:t>.</w:t>
      </w:r>
      <w:r w:rsidR="00C86507" w:rsidRPr="00C61852">
        <w:rPr>
          <w:sz w:val="24"/>
          <w:szCs w:val="24"/>
          <w:lang w:val="en-US"/>
        </w:rPr>
        <w:t>N</w:t>
      </w:r>
      <w:r w:rsidR="00C86507">
        <w:rPr>
          <w:sz w:val="24"/>
          <w:szCs w:val="24"/>
          <w:lang w:val="en-US"/>
        </w:rPr>
        <w:t>.</w:t>
      </w:r>
      <w:r w:rsidR="00C86507" w:rsidRPr="00C61852">
        <w:rPr>
          <w:sz w:val="24"/>
          <w:szCs w:val="24"/>
          <w:lang w:val="en-US"/>
        </w:rPr>
        <w:t>C.</w:t>
      </w:r>
      <w:r w:rsidR="00C86507">
        <w:rPr>
          <w:sz w:val="24"/>
          <w:szCs w:val="24"/>
          <w:lang w:val="en-US"/>
        </w:rPr>
        <w:t xml:space="preserve"> </w:t>
      </w:r>
      <w:r w:rsidRPr="00C86507">
        <w:rPr>
          <w:sz w:val="24"/>
          <w:szCs w:val="24"/>
          <w:lang w:val="en-US"/>
        </w:rPr>
        <w:t xml:space="preserve">This work was supported by </w:t>
      </w:r>
      <w:proofErr w:type="spellStart"/>
      <w:r w:rsidRPr="00C86507">
        <w:rPr>
          <w:sz w:val="24"/>
          <w:szCs w:val="24"/>
          <w:lang w:val="en-US"/>
        </w:rPr>
        <w:t>l’agence</w:t>
      </w:r>
      <w:proofErr w:type="spellEnd"/>
      <w:r w:rsidRPr="00C86507">
        <w:rPr>
          <w:sz w:val="24"/>
          <w:szCs w:val="24"/>
          <w:lang w:val="en-US"/>
        </w:rPr>
        <w:t xml:space="preserve"> </w:t>
      </w:r>
      <w:proofErr w:type="spellStart"/>
      <w:r w:rsidRPr="00C86507">
        <w:rPr>
          <w:sz w:val="24"/>
          <w:szCs w:val="24"/>
          <w:lang w:val="en-US"/>
        </w:rPr>
        <w:t>nationale</w:t>
      </w:r>
      <w:proofErr w:type="spellEnd"/>
      <w:r w:rsidRPr="00C86507">
        <w:rPr>
          <w:sz w:val="24"/>
          <w:szCs w:val="24"/>
          <w:lang w:val="en-US"/>
        </w:rPr>
        <w:t xml:space="preserve"> de la recherche (ANR-23-CE18-0051)</w:t>
      </w:r>
      <w:r w:rsidR="00E35DA4" w:rsidRPr="00C86507">
        <w:rPr>
          <w:sz w:val="24"/>
          <w:szCs w:val="24"/>
          <w:lang w:val="en-US"/>
        </w:rPr>
        <w:t xml:space="preserve"> (EGID ANR-10-LABX-046)</w:t>
      </w:r>
      <w:r w:rsidRPr="00C86507">
        <w:rPr>
          <w:sz w:val="24"/>
          <w:szCs w:val="24"/>
          <w:lang w:val="en-US"/>
        </w:rPr>
        <w:t xml:space="preserve">, the French Community of Belgium (ARC 21/26-115), the Belgian Fonds National de la Recherche Scientifique (F.R.S.-FNRS; PDR grant 40003810), the </w:t>
      </w:r>
      <w:proofErr w:type="spellStart"/>
      <w:r w:rsidRPr="00C86507">
        <w:rPr>
          <w:sz w:val="24"/>
          <w:szCs w:val="24"/>
          <w:lang w:val="en-US"/>
        </w:rPr>
        <w:t>Télévie</w:t>
      </w:r>
      <w:proofErr w:type="spellEnd"/>
      <w:r w:rsidRPr="00C86507">
        <w:rPr>
          <w:sz w:val="24"/>
          <w:szCs w:val="24"/>
          <w:lang w:val="en-US"/>
        </w:rPr>
        <w:t xml:space="preserve"> (Grant 40007387)</w:t>
      </w:r>
      <w:r w:rsidR="00947F92">
        <w:rPr>
          <w:sz w:val="24"/>
          <w:szCs w:val="24"/>
          <w:lang w:val="en-US"/>
        </w:rPr>
        <w:t xml:space="preserve"> and the </w:t>
      </w:r>
      <w:proofErr w:type="spellStart"/>
      <w:r w:rsidR="00947F92">
        <w:rPr>
          <w:sz w:val="24"/>
          <w:szCs w:val="24"/>
          <w:lang w:val="en-US"/>
        </w:rPr>
        <w:t>Région</w:t>
      </w:r>
      <w:proofErr w:type="spellEnd"/>
      <w:r w:rsidR="00947F92">
        <w:rPr>
          <w:sz w:val="24"/>
          <w:szCs w:val="24"/>
          <w:lang w:val="en-US"/>
        </w:rPr>
        <w:t xml:space="preserve"> Hauts-de-France (Start-AIRR FerInh4Park)</w:t>
      </w:r>
      <w:r w:rsidRPr="00C86507">
        <w:rPr>
          <w:sz w:val="24"/>
          <w:szCs w:val="24"/>
          <w:lang w:val="en-US"/>
        </w:rPr>
        <w:t>.</w:t>
      </w:r>
      <w:r w:rsidR="002811DE" w:rsidRPr="00C86507">
        <w:rPr>
          <w:sz w:val="24"/>
          <w:szCs w:val="24"/>
          <w:lang w:val="en-US"/>
        </w:rPr>
        <w:t xml:space="preserve"> </w:t>
      </w:r>
      <w:r w:rsidR="002811DE">
        <w:rPr>
          <w:sz w:val="24"/>
          <w:szCs w:val="24"/>
          <w:lang w:val="en-US"/>
        </w:rPr>
        <w:t>E.C.</w:t>
      </w:r>
      <w:r w:rsidR="002811DE" w:rsidRPr="002811DE">
        <w:rPr>
          <w:sz w:val="24"/>
          <w:szCs w:val="24"/>
          <w:lang w:val="en-US"/>
        </w:rPr>
        <w:t xml:space="preserve"> is a recipient of a </w:t>
      </w:r>
      <w:proofErr w:type="spellStart"/>
      <w:proofErr w:type="gramStart"/>
      <w:r w:rsidR="002811DE" w:rsidRPr="002811DE">
        <w:rPr>
          <w:sz w:val="24"/>
          <w:szCs w:val="24"/>
          <w:lang w:val="en-US"/>
        </w:rPr>
        <w:t>Ph</w:t>
      </w:r>
      <w:r w:rsidR="002811DE">
        <w:rPr>
          <w:sz w:val="24"/>
          <w:szCs w:val="24"/>
          <w:lang w:val="en-US"/>
        </w:rPr>
        <w:t>.</w:t>
      </w:r>
      <w:r w:rsidR="002811DE" w:rsidRPr="002811DE">
        <w:rPr>
          <w:sz w:val="24"/>
          <w:szCs w:val="24"/>
          <w:lang w:val="en-US"/>
        </w:rPr>
        <w:t>D</w:t>
      </w:r>
      <w:proofErr w:type="spellEnd"/>
      <w:proofErr w:type="gramEnd"/>
      <w:r w:rsidR="002811DE" w:rsidRPr="002811DE">
        <w:rPr>
          <w:sz w:val="24"/>
          <w:szCs w:val="24"/>
          <w:lang w:val="en-US"/>
        </w:rPr>
        <w:t xml:space="preserve"> fellowship from the University of Lille</w:t>
      </w:r>
      <w:r w:rsidRPr="0043287C">
        <w:rPr>
          <w:sz w:val="24"/>
          <w:szCs w:val="24"/>
          <w:lang w:val="en-US"/>
        </w:rPr>
        <w:t xml:space="preserve"> </w:t>
      </w:r>
      <w:r w:rsidR="002811DE">
        <w:rPr>
          <w:sz w:val="24"/>
          <w:szCs w:val="24"/>
          <w:lang w:val="en-US"/>
        </w:rPr>
        <w:t xml:space="preserve">and the </w:t>
      </w:r>
      <w:proofErr w:type="spellStart"/>
      <w:r w:rsidR="002811DE" w:rsidRPr="002811DE">
        <w:rPr>
          <w:sz w:val="24"/>
          <w:szCs w:val="24"/>
          <w:lang w:val="en-US"/>
        </w:rPr>
        <w:t>R</w:t>
      </w:r>
      <w:r w:rsidR="00947F92">
        <w:rPr>
          <w:sz w:val="24"/>
          <w:szCs w:val="24"/>
          <w:lang w:val="en-US"/>
        </w:rPr>
        <w:t>é</w:t>
      </w:r>
      <w:r w:rsidR="002811DE" w:rsidRPr="002811DE">
        <w:rPr>
          <w:sz w:val="24"/>
          <w:szCs w:val="24"/>
          <w:lang w:val="en-US"/>
        </w:rPr>
        <w:t>gion</w:t>
      </w:r>
      <w:proofErr w:type="spellEnd"/>
      <w:r w:rsidR="002811DE" w:rsidRPr="002811DE">
        <w:rPr>
          <w:sz w:val="24"/>
          <w:szCs w:val="24"/>
          <w:lang w:val="en-US"/>
        </w:rPr>
        <w:t xml:space="preserve"> Hauts-de-France</w:t>
      </w:r>
      <w:r w:rsidR="002811DE">
        <w:rPr>
          <w:sz w:val="24"/>
          <w:szCs w:val="24"/>
          <w:lang w:val="en-US"/>
        </w:rPr>
        <w:t>.</w:t>
      </w:r>
      <w:r w:rsidR="002811DE" w:rsidRPr="002811DE">
        <w:rPr>
          <w:sz w:val="24"/>
          <w:szCs w:val="24"/>
          <w:lang w:val="en-US"/>
        </w:rPr>
        <w:t xml:space="preserve"> </w:t>
      </w:r>
      <w:r w:rsidRPr="0043287C">
        <w:rPr>
          <w:sz w:val="24"/>
          <w:szCs w:val="24"/>
          <w:lang w:val="en-US"/>
        </w:rPr>
        <w:t xml:space="preserve">D.M.D. is a </w:t>
      </w:r>
      <w:proofErr w:type="spellStart"/>
      <w:r w:rsidRPr="0043287C">
        <w:rPr>
          <w:sz w:val="24"/>
          <w:szCs w:val="24"/>
          <w:lang w:val="en-US"/>
        </w:rPr>
        <w:t>Télévie</w:t>
      </w:r>
      <w:proofErr w:type="spellEnd"/>
      <w:r w:rsidRPr="0043287C">
        <w:rPr>
          <w:sz w:val="24"/>
          <w:szCs w:val="24"/>
          <w:lang w:val="en-US"/>
        </w:rPr>
        <w:t xml:space="preserve"> research fellow.</w:t>
      </w:r>
      <w:r w:rsidR="00C61852" w:rsidRPr="00C61852">
        <w:rPr>
          <w:lang w:val="en-US"/>
        </w:rPr>
        <w:t xml:space="preserve"> </w:t>
      </w:r>
      <w:r w:rsidR="00C61852" w:rsidRPr="00C61852">
        <w:rPr>
          <w:sz w:val="24"/>
          <w:szCs w:val="24"/>
          <w:lang w:val="en-US"/>
        </w:rPr>
        <w:t xml:space="preserve">N.P. received an Aspirant </w:t>
      </w:r>
      <w:proofErr w:type="spellStart"/>
      <w:proofErr w:type="gramStart"/>
      <w:r w:rsidR="00C61852" w:rsidRPr="00C61852">
        <w:rPr>
          <w:sz w:val="24"/>
          <w:szCs w:val="24"/>
          <w:lang w:val="en-US"/>
        </w:rPr>
        <w:t>Ph</w:t>
      </w:r>
      <w:r w:rsidR="00C61852">
        <w:rPr>
          <w:sz w:val="24"/>
          <w:szCs w:val="24"/>
          <w:lang w:val="en-US"/>
        </w:rPr>
        <w:t>.</w:t>
      </w:r>
      <w:r w:rsidR="00C61852" w:rsidRPr="00C61852">
        <w:rPr>
          <w:sz w:val="24"/>
          <w:szCs w:val="24"/>
          <w:lang w:val="en-US"/>
        </w:rPr>
        <w:t>D</w:t>
      </w:r>
      <w:proofErr w:type="spellEnd"/>
      <w:proofErr w:type="gramEnd"/>
      <w:r w:rsidR="00C61852" w:rsidRPr="00C61852">
        <w:rPr>
          <w:sz w:val="24"/>
          <w:szCs w:val="24"/>
          <w:lang w:val="en-US"/>
        </w:rPr>
        <w:t xml:space="preserve"> Fellowship from FRS-FNRS (Belgium). </w:t>
      </w:r>
    </w:p>
    <w:p w14:paraId="44400405" w14:textId="77777777" w:rsidR="00325842" w:rsidRDefault="00325842" w:rsidP="00104B2C">
      <w:pPr>
        <w:spacing w:line="360" w:lineRule="auto"/>
        <w:jc w:val="both"/>
        <w:rPr>
          <w:sz w:val="24"/>
          <w:szCs w:val="24"/>
          <w:lang w:val="en-US"/>
        </w:rPr>
      </w:pPr>
    </w:p>
    <w:p w14:paraId="5A4565E4" w14:textId="7D6935BA" w:rsidR="00325842" w:rsidRDefault="00325842" w:rsidP="00104B2C">
      <w:pPr>
        <w:spacing w:line="360" w:lineRule="auto"/>
        <w:jc w:val="both"/>
        <w:rPr>
          <w:sz w:val="24"/>
          <w:szCs w:val="24"/>
          <w:lang w:val="en-US"/>
        </w:rPr>
      </w:pPr>
      <w:r w:rsidRPr="00CD7A66">
        <w:rPr>
          <w:sz w:val="24"/>
          <w:szCs w:val="24"/>
          <w:highlight w:val="yellow"/>
          <w:lang w:val="en-US"/>
        </w:rPr>
        <w:t>KEYWORDS: ACSL4 inhibitors; Ferroptosis; Hydrogen Deuterium Exchange (</w:t>
      </w:r>
      <w:proofErr w:type="spellStart"/>
      <w:r w:rsidRPr="00CD7A66">
        <w:rPr>
          <w:sz w:val="24"/>
          <w:szCs w:val="24"/>
          <w:highlight w:val="yellow"/>
          <w:lang w:val="en-US"/>
        </w:rPr>
        <w:t>HDx</w:t>
      </w:r>
      <w:proofErr w:type="spellEnd"/>
      <w:r w:rsidRPr="00CD7A66">
        <w:rPr>
          <w:sz w:val="24"/>
          <w:szCs w:val="24"/>
          <w:highlight w:val="yellow"/>
          <w:lang w:val="en-US"/>
        </w:rPr>
        <w:t>) mass spectrometry; Photoaffinity labeling; Parkinson's disease</w:t>
      </w:r>
    </w:p>
    <w:p w14:paraId="4306B215" w14:textId="77777777" w:rsidR="00325842" w:rsidRDefault="00325842" w:rsidP="00104B2C">
      <w:pPr>
        <w:spacing w:line="360" w:lineRule="auto"/>
        <w:jc w:val="both"/>
        <w:rPr>
          <w:sz w:val="24"/>
          <w:szCs w:val="24"/>
          <w:lang w:val="en-US"/>
        </w:rPr>
      </w:pPr>
    </w:p>
    <w:p w14:paraId="792C588E" w14:textId="77777777" w:rsidR="00104B2C" w:rsidRPr="008E03E3" w:rsidRDefault="00104B2C" w:rsidP="00104B2C">
      <w:pPr>
        <w:spacing w:line="360" w:lineRule="auto"/>
        <w:jc w:val="both"/>
        <w:rPr>
          <w:sz w:val="24"/>
          <w:szCs w:val="24"/>
          <w:lang w:val="en-US"/>
        </w:rPr>
      </w:pPr>
      <w:r>
        <w:rPr>
          <w:sz w:val="24"/>
          <w:szCs w:val="24"/>
          <w:lang w:val="en-US"/>
        </w:rPr>
        <w:t>CONFLICT OF INTEREST</w:t>
      </w:r>
    </w:p>
    <w:p w14:paraId="354E2E42" w14:textId="77777777" w:rsidR="00104B2C" w:rsidRDefault="00104B2C" w:rsidP="00104B2C">
      <w:pPr>
        <w:spacing w:line="360" w:lineRule="auto"/>
        <w:jc w:val="both"/>
        <w:rPr>
          <w:sz w:val="24"/>
          <w:szCs w:val="24"/>
          <w:lang w:val="en-US"/>
        </w:rPr>
      </w:pPr>
      <w:r w:rsidRPr="008E03E3">
        <w:rPr>
          <w:sz w:val="24"/>
          <w:szCs w:val="24"/>
          <w:lang w:val="en-US"/>
        </w:rPr>
        <w:t>The authors declare no conflict of interest.</w:t>
      </w:r>
    </w:p>
    <w:p w14:paraId="13515865" w14:textId="77777777" w:rsidR="00104B2C" w:rsidRDefault="00104B2C" w:rsidP="00104B2C">
      <w:pPr>
        <w:spacing w:line="360" w:lineRule="auto"/>
        <w:jc w:val="both"/>
        <w:rPr>
          <w:sz w:val="24"/>
          <w:szCs w:val="24"/>
          <w:lang w:val="en-US"/>
        </w:rPr>
      </w:pPr>
    </w:p>
    <w:p w14:paraId="301B0000" w14:textId="2B3A9D87" w:rsidR="008E03E3" w:rsidRPr="008E03E3" w:rsidRDefault="008E03E3" w:rsidP="008E03E3">
      <w:pPr>
        <w:spacing w:before="240" w:line="360" w:lineRule="auto"/>
        <w:rPr>
          <w:sz w:val="24"/>
          <w:szCs w:val="24"/>
          <w:lang w:val="en-US"/>
        </w:rPr>
      </w:pPr>
      <w:r w:rsidRPr="008E03E3">
        <w:rPr>
          <w:sz w:val="24"/>
          <w:szCs w:val="24"/>
          <w:lang w:val="en-US"/>
        </w:rPr>
        <w:t>D</w:t>
      </w:r>
      <w:r>
        <w:rPr>
          <w:sz w:val="24"/>
          <w:szCs w:val="24"/>
          <w:lang w:val="en-US"/>
        </w:rPr>
        <w:t>ATA AVAILABILITY STATEMENT</w:t>
      </w:r>
    </w:p>
    <w:p w14:paraId="12842DAA" w14:textId="3FB8BEBF" w:rsidR="00E35F29" w:rsidRPr="0043287C" w:rsidRDefault="008E03E3" w:rsidP="000F573C">
      <w:pPr>
        <w:spacing w:before="240" w:line="360" w:lineRule="auto"/>
        <w:jc w:val="both"/>
        <w:rPr>
          <w:sz w:val="24"/>
          <w:szCs w:val="24"/>
          <w:lang w:val="en-US"/>
        </w:rPr>
      </w:pPr>
      <w:r w:rsidRPr="008E03E3">
        <w:rPr>
          <w:sz w:val="24"/>
          <w:szCs w:val="24"/>
          <w:lang w:val="en-US"/>
        </w:rPr>
        <w:t>The data that support the findings of this study are available</w:t>
      </w:r>
      <w:r>
        <w:rPr>
          <w:sz w:val="24"/>
          <w:szCs w:val="24"/>
          <w:lang w:val="en-US"/>
        </w:rPr>
        <w:t xml:space="preserve"> </w:t>
      </w:r>
      <w:r w:rsidRPr="008E03E3">
        <w:rPr>
          <w:sz w:val="24"/>
          <w:szCs w:val="24"/>
          <w:lang w:val="en-US"/>
        </w:rPr>
        <w:t>in the supplementary material of this article. This also</w:t>
      </w:r>
      <w:r>
        <w:rPr>
          <w:sz w:val="24"/>
          <w:szCs w:val="24"/>
          <w:lang w:val="en-US"/>
        </w:rPr>
        <w:t xml:space="preserve"> </w:t>
      </w:r>
      <w:r w:rsidRPr="008E03E3">
        <w:rPr>
          <w:sz w:val="24"/>
          <w:szCs w:val="24"/>
          <w:lang w:val="en-US"/>
        </w:rPr>
        <w:t>in</w:t>
      </w:r>
      <w:r>
        <w:rPr>
          <w:sz w:val="24"/>
          <w:szCs w:val="24"/>
          <w:lang w:val="en-US"/>
        </w:rPr>
        <w:t xml:space="preserve">cludes further </w:t>
      </w:r>
      <w:proofErr w:type="gramStart"/>
      <w:r>
        <w:rPr>
          <w:sz w:val="24"/>
          <w:szCs w:val="24"/>
          <w:lang w:val="en-US"/>
        </w:rPr>
        <w:t>references.</w:t>
      </w:r>
      <w:r w:rsidR="00570150">
        <w:rPr>
          <w:sz w:val="24"/>
          <w:szCs w:val="24"/>
          <w:vertAlign w:val="superscript"/>
          <w:lang w:val="en-US"/>
        </w:rPr>
        <w:t>[</w:t>
      </w:r>
      <w:proofErr w:type="gramEnd"/>
      <w:r w:rsidR="00570150">
        <w:rPr>
          <w:sz w:val="24"/>
          <w:szCs w:val="24"/>
          <w:vertAlign w:val="superscript"/>
          <w:lang w:val="en-US"/>
        </w:rPr>
        <w:t>2</w:t>
      </w:r>
      <w:r w:rsidR="00767FB9">
        <w:rPr>
          <w:sz w:val="24"/>
          <w:szCs w:val="24"/>
          <w:vertAlign w:val="superscript"/>
          <w:lang w:val="en-US"/>
        </w:rPr>
        <w:t>2-2</w:t>
      </w:r>
      <w:r w:rsidR="00DF2B14">
        <w:rPr>
          <w:sz w:val="24"/>
          <w:szCs w:val="24"/>
          <w:vertAlign w:val="superscript"/>
          <w:lang w:val="en-US"/>
        </w:rPr>
        <w:t>8</w:t>
      </w:r>
      <w:r w:rsidR="00104B2C" w:rsidRPr="00104B2C">
        <w:rPr>
          <w:sz w:val="24"/>
          <w:szCs w:val="24"/>
          <w:vertAlign w:val="superscript"/>
          <w:lang w:val="en-US"/>
        </w:rPr>
        <w:t>]</w:t>
      </w:r>
    </w:p>
    <w:p w14:paraId="3ABAAF17" w14:textId="26D2ADB5" w:rsidR="00104B2C" w:rsidRDefault="00104B2C" w:rsidP="00104B2C">
      <w:pPr>
        <w:spacing w:before="240" w:line="360" w:lineRule="auto"/>
        <w:rPr>
          <w:sz w:val="24"/>
          <w:szCs w:val="24"/>
          <w:lang w:val="en-US"/>
        </w:rPr>
      </w:pPr>
      <w:r w:rsidRPr="0043287C">
        <w:rPr>
          <w:sz w:val="24"/>
          <w:szCs w:val="24"/>
          <w:lang w:val="en-US"/>
        </w:rPr>
        <w:t xml:space="preserve">AUTHOR </w:t>
      </w:r>
      <w:r>
        <w:rPr>
          <w:sz w:val="24"/>
          <w:szCs w:val="24"/>
          <w:lang w:val="en-US"/>
        </w:rPr>
        <w:t>CONTRIBUTIONS</w:t>
      </w:r>
    </w:p>
    <w:p w14:paraId="7A508F74" w14:textId="77777777" w:rsidR="00F20E8C" w:rsidRPr="00D510AF" w:rsidRDefault="00F20E8C" w:rsidP="00F20E8C">
      <w:pPr>
        <w:jc w:val="both"/>
        <w:rPr>
          <w:sz w:val="24"/>
          <w:szCs w:val="24"/>
          <w:lang w:val="en-US"/>
        </w:rPr>
      </w:pPr>
    </w:p>
    <w:p w14:paraId="0C2929A0" w14:textId="17306939" w:rsidR="00F20E8C" w:rsidRPr="00CE64C5" w:rsidRDefault="00F20E8C" w:rsidP="00636E12">
      <w:pPr>
        <w:spacing w:line="360" w:lineRule="auto"/>
        <w:jc w:val="both"/>
        <w:rPr>
          <w:sz w:val="24"/>
          <w:szCs w:val="24"/>
          <w:lang w:val="en-US"/>
        </w:rPr>
      </w:pPr>
      <w:r w:rsidRPr="00CE64C5">
        <w:rPr>
          <w:sz w:val="24"/>
          <w:szCs w:val="24"/>
          <w:lang w:val="en-US"/>
        </w:rPr>
        <w:t xml:space="preserve">Darius Mazhari Dorooee: Conceptualization, </w:t>
      </w:r>
      <w:r w:rsidR="00CE64C5" w:rsidRPr="00CE64C5">
        <w:rPr>
          <w:sz w:val="24"/>
          <w:szCs w:val="24"/>
          <w:lang w:val="en-US"/>
        </w:rPr>
        <w:t xml:space="preserve">Methodology, Formal analysis, Investigation, </w:t>
      </w:r>
      <w:r w:rsidRPr="00CE64C5">
        <w:rPr>
          <w:sz w:val="24"/>
          <w:szCs w:val="24"/>
          <w:lang w:val="en-US"/>
        </w:rPr>
        <w:t>Data curation, Writing-original draft</w:t>
      </w:r>
      <w:r w:rsidR="00CE64C5" w:rsidRPr="00CE64C5">
        <w:rPr>
          <w:sz w:val="24"/>
          <w:szCs w:val="24"/>
          <w:lang w:val="en-US"/>
        </w:rPr>
        <w:t>, Visualization</w:t>
      </w:r>
      <w:r w:rsidRPr="00CE64C5">
        <w:rPr>
          <w:sz w:val="24"/>
          <w:szCs w:val="24"/>
          <w:lang w:val="en-US"/>
        </w:rPr>
        <w:t>.</w:t>
      </w:r>
    </w:p>
    <w:p w14:paraId="2E44FBFB" w14:textId="4CA26CE5" w:rsidR="00CE64C5" w:rsidRPr="00CE64C5" w:rsidRDefault="00F20E8C" w:rsidP="00636E12">
      <w:pPr>
        <w:spacing w:line="360" w:lineRule="auto"/>
        <w:jc w:val="both"/>
        <w:rPr>
          <w:sz w:val="24"/>
          <w:szCs w:val="24"/>
          <w:lang w:val="en-US"/>
        </w:rPr>
      </w:pPr>
      <w:r w:rsidRPr="00CE64C5">
        <w:rPr>
          <w:sz w:val="24"/>
          <w:szCs w:val="24"/>
          <w:lang w:val="en-US"/>
        </w:rPr>
        <w:t xml:space="preserve">Séverine Ravez: </w:t>
      </w:r>
      <w:r w:rsidR="00CE64C5" w:rsidRPr="00CE64C5">
        <w:rPr>
          <w:sz w:val="24"/>
          <w:szCs w:val="24"/>
          <w:lang w:val="en-US"/>
        </w:rPr>
        <w:t>Conceptualization, Validation, Formal analysis, Investigation, Data curation, Writing-original draft, Writing – review &amp; editing, Visualization, Supervision, Project administration, Funding acquisition.</w:t>
      </w:r>
    </w:p>
    <w:p w14:paraId="7220F5AA" w14:textId="02D0C3E9" w:rsidR="00F20E8C" w:rsidRPr="00CE64C5" w:rsidRDefault="00F20E8C" w:rsidP="00636E12">
      <w:pPr>
        <w:spacing w:line="360" w:lineRule="auto"/>
        <w:jc w:val="both"/>
        <w:rPr>
          <w:sz w:val="24"/>
          <w:szCs w:val="24"/>
          <w:lang w:val="en-US"/>
        </w:rPr>
      </w:pPr>
      <w:r w:rsidRPr="00CE64C5">
        <w:rPr>
          <w:sz w:val="24"/>
          <w:szCs w:val="24"/>
          <w:lang w:val="en-US"/>
        </w:rPr>
        <w:t xml:space="preserve">Didier Vertommen: </w:t>
      </w:r>
      <w:r w:rsidR="00CE64C5" w:rsidRPr="00CE64C5">
        <w:rPr>
          <w:sz w:val="24"/>
          <w:szCs w:val="24"/>
          <w:lang w:val="en-US"/>
        </w:rPr>
        <w:t>Methodology, Validation, Formal analysis, Investigation, Data curation, Supervision.</w:t>
      </w:r>
    </w:p>
    <w:p w14:paraId="2D9165F7" w14:textId="23752944" w:rsidR="00F20E8C" w:rsidRPr="00CE64C5" w:rsidRDefault="00636E12" w:rsidP="00636E12">
      <w:pPr>
        <w:spacing w:line="360" w:lineRule="auto"/>
        <w:jc w:val="both"/>
        <w:rPr>
          <w:sz w:val="24"/>
          <w:szCs w:val="24"/>
          <w:lang w:val="en-US"/>
        </w:rPr>
      </w:pPr>
      <w:r w:rsidRPr="00CE64C5">
        <w:rPr>
          <w:sz w:val="24"/>
          <w:szCs w:val="24"/>
          <w:lang w:val="en-US"/>
        </w:rPr>
        <w:t xml:space="preserve">Nicolas Renault: </w:t>
      </w:r>
      <w:r w:rsidR="00CE64C5" w:rsidRPr="00CE64C5">
        <w:rPr>
          <w:sz w:val="24"/>
          <w:szCs w:val="24"/>
          <w:lang w:val="en-US"/>
        </w:rPr>
        <w:t>Methodology, Validation, Formal analysis, Investigation, Data curation, Writing-original draft, Visualization.</w:t>
      </w:r>
    </w:p>
    <w:p w14:paraId="0F96D9DD" w14:textId="75A8BD1E" w:rsidR="00636E12" w:rsidRPr="00CE64C5" w:rsidRDefault="00636E12" w:rsidP="00636E12">
      <w:pPr>
        <w:spacing w:line="360" w:lineRule="auto"/>
        <w:jc w:val="both"/>
        <w:rPr>
          <w:sz w:val="24"/>
          <w:szCs w:val="24"/>
          <w:lang w:val="en-US"/>
        </w:rPr>
      </w:pPr>
      <w:r w:rsidRPr="00CE64C5">
        <w:rPr>
          <w:sz w:val="24"/>
          <w:szCs w:val="24"/>
          <w:lang w:val="en-US"/>
        </w:rPr>
        <w:t xml:space="preserve">Nicolas Papadopoulos: </w:t>
      </w:r>
      <w:r w:rsidR="00CE64C5" w:rsidRPr="00CE64C5">
        <w:rPr>
          <w:sz w:val="24"/>
          <w:szCs w:val="24"/>
          <w:lang w:val="en-US"/>
        </w:rPr>
        <w:t>Methodology, Formal analysis, Investigation, Data curation</w:t>
      </w:r>
      <w:r w:rsidR="00612FC9">
        <w:rPr>
          <w:sz w:val="24"/>
          <w:szCs w:val="24"/>
          <w:lang w:val="en-US"/>
        </w:rPr>
        <w:t>.</w:t>
      </w:r>
    </w:p>
    <w:p w14:paraId="7463FCA6" w14:textId="4F5677A4" w:rsidR="00636E12" w:rsidRPr="00DA1B9F" w:rsidRDefault="00636E12" w:rsidP="00636E12">
      <w:pPr>
        <w:spacing w:line="360" w:lineRule="auto"/>
        <w:jc w:val="both"/>
        <w:rPr>
          <w:sz w:val="24"/>
          <w:szCs w:val="24"/>
          <w:lang w:val="en-US"/>
        </w:rPr>
      </w:pPr>
      <w:r w:rsidRPr="00DA1B9F">
        <w:rPr>
          <w:sz w:val="24"/>
          <w:szCs w:val="24"/>
          <w:lang w:val="en-US"/>
        </w:rPr>
        <w:t xml:space="preserve">Romain Marteau: </w:t>
      </w:r>
      <w:r w:rsidR="00CE64C5" w:rsidRPr="00DA1B9F">
        <w:rPr>
          <w:sz w:val="24"/>
          <w:szCs w:val="24"/>
          <w:lang w:val="en-US"/>
        </w:rPr>
        <w:t>Formal analysis, Investigation, Data curation</w:t>
      </w:r>
      <w:r w:rsidRPr="00DA1B9F">
        <w:rPr>
          <w:sz w:val="24"/>
          <w:szCs w:val="24"/>
          <w:lang w:val="en-US"/>
        </w:rPr>
        <w:t>.</w:t>
      </w:r>
    </w:p>
    <w:p w14:paraId="3AE05A3A" w14:textId="0670C991" w:rsidR="00636E12" w:rsidRPr="00DA1B9F" w:rsidRDefault="00636E12" w:rsidP="00636E12">
      <w:pPr>
        <w:spacing w:line="360" w:lineRule="auto"/>
        <w:jc w:val="both"/>
        <w:rPr>
          <w:sz w:val="24"/>
          <w:szCs w:val="24"/>
          <w:lang w:val="en-US"/>
        </w:rPr>
      </w:pPr>
      <w:r w:rsidRPr="00DA1B9F">
        <w:rPr>
          <w:sz w:val="24"/>
          <w:szCs w:val="24"/>
          <w:lang w:val="en-US"/>
        </w:rPr>
        <w:t xml:space="preserve">Emeline Charnelle: </w:t>
      </w:r>
      <w:r w:rsidR="00CE64C5" w:rsidRPr="00DA1B9F">
        <w:rPr>
          <w:sz w:val="24"/>
          <w:szCs w:val="24"/>
          <w:lang w:val="en-US"/>
        </w:rPr>
        <w:t>Formal analysis, Investigation, Data curation</w:t>
      </w:r>
      <w:r w:rsidRPr="00DA1B9F">
        <w:rPr>
          <w:sz w:val="24"/>
          <w:szCs w:val="24"/>
          <w:lang w:val="en-US"/>
        </w:rPr>
        <w:t>.</w:t>
      </w:r>
    </w:p>
    <w:p w14:paraId="7F01765F" w14:textId="5CC751BE" w:rsidR="00636E12" w:rsidRPr="00DA1B9F" w:rsidRDefault="00636E12" w:rsidP="00636E12">
      <w:pPr>
        <w:spacing w:line="360" w:lineRule="auto"/>
        <w:jc w:val="both"/>
        <w:rPr>
          <w:sz w:val="24"/>
          <w:szCs w:val="24"/>
          <w:lang w:val="en-US"/>
        </w:rPr>
      </w:pPr>
      <w:r w:rsidRPr="00DA1B9F">
        <w:rPr>
          <w:sz w:val="24"/>
          <w:szCs w:val="24"/>
          <w:lang w:val="en-US"/>
        </w:rPr>
        <w:lastRenderedPageBreak/>
        <w:t xml:space="preserve">Karine Porte: </w:t>
      </w:r>
      <w:r w:rsidR="00CE64C5" w:rsidRPr="00DA1B9F">
        <w:rPr>
          <w:sz w:val="24"/>
          <w:szCs w:val="24"/>
          <w:lang w:val="en-US"/>
        </w:rPr>
        <w:t>Formal analysis, Investigation, Data curation</w:t>
      </w:r>
      <w:r w:rsidRPr="00DA1B9F">
        <w:rPr>
          <w:sz w:val="24"/>
          <w:szCs w:val="24"/>
          <w:lang w:val="en-US"/>
        </w:rPr>
        <w:t>.</w:t>
      </w:r>
    </w:p>
    <w:p w14:paraId="7C6EF5A5" w14:textId="0D1E49ED" w:rsidR="00636E12" w:rsidRPr="00DA1B9F" w:rsidRDefault="00636E12" w:rsidP="00636E12">
      <w:pPr>
        <w:spacing w:line="360" w:lineRule="auto"/>
        <w:jc w:val="both"/>
        <w:rPr>
          <w:sz w:val="24"/>
          <w:szCs w:val="24"/>
          <w:lang w:val="en-US"/>
        </w:rPr>
      </w:pPr>
      <w:r w:rsidRPr="00DA1B9F">
        <w:rPr>
          <w:sz w:val="24"/>
          <w:szCs w:val="24"/>
          <w:lang w:val="en-US"/>
        </w:rPr>
        <w:t xml:space="preserve">Alexandre Gobert: </w:t>
      </w:r>
      <w:r w:rsidR="00CE64C5" w:rsidRPr="00DA1B9F">
        <w:rPr>
          <w:sz w:val="24"/>
          <w:szCs w:val="24"/>
          <w:lang w:val="en-US"/>
        </w:rPr>
        <w:t>Formal analysis, Investigation, Data curation</w:t>
      </w:r>
      <w:r w:rsidR="00C96812" w:rsidRPr="00DA1B9F">
        <w:rPr>
          <w:sz w:val="24"/>
          <w:szCs w:val="24"/>
          <w:lang w:val="en-US"/>
        </w:rPr>
        <w:t>.</w:t>
      </w:r>
    </w:p>
    <w:p w14:paraId="6AF0D9B8" w14:textId="29B6517B" w:rsidR="00F20E8C" w:rsidRPr="00D510AF" w:rsidRDefault="00636E12" w:rsidP="00636E12">
      <w:pPr>
        <w:spacing w:line="360" w:lineRule="auto"/>
        <w:jc w:val="both"/>
        <w:rPr>
          <w:sz w:val="24"/>
          <w:szCs w:val="24"/>
          <w:lang w:val="en-US"/>
        </w:rPr>
      </w:pPr>
      <w:r w:rsidRPr="00CE64C5">
        <w:rPr>
          <w:sz w:val="24"/>
          <w:szCs w:val="24"/>
          <w:lang w:val="en-US"/>
        </w:rPr>
        <w:t xml:space="preserve">Nathalie </w:t>
      </w:r>
      <w:proofErr w:type="spellStart"/>
      <w:r w:rsidRPr="00CE64C5">
        <w:rPr>
          <w:sz w:val="24"/>
          <w:szCs w:val="24"/>
          <w:lang w:val="en-US"/>
        </w:rPr>
        <w:t>Hennuyer</w:t>
      </w:r>
      <w:proofErr w:type="spellEnd"/>
      <w:r w:rsidRPr="00CE64C5">
        <w:rPr>
          <w:sz w:val="24"/>
          <w:szCs w:val="24"/>
          <w:lang w:val="en-US"/>
        </w:rPr>
        <w:t xml:space="preserve">: </w:t>
      </w:r>
      <w:r w:rsidR="00CE64C5" w:rsidRPr="00D510AF">
        <w:rPr>
          <w:sz w:val="24"/>
          <w:szCs w:val="24"/>
          <w:lang w:val="en-US"/>
        </w:rPr>
        <w:t>Formal analysis, Investigation, Data curation</w:t>
      </w:r>
      <w:r w:rsidR="00C96812">
        <w:rPr>
          <w:sz w:val="24"/>
          <w:szCs w:val="24"/>
          <w:lang w:val="en-US"/>
        </w:rPr>
        <w:t>.</w:t>
      </w:r>
    </w:p>
    <w:p w14:paraId="43E61C51" w14:textId="595F17C8" w:rsidR="00CE64C5" w:rsidRDefault="00CE64C5" w:rsidP="00CE64C5">
      <w:pPr>
        <w:spacing w:line="360" w:lineRule="auto"/>
        <w:jc w:val="both"/>
        <w:rPr>
          <w:sz w:val="24"/>
          <w:szCs w:val="24"/>
          <w:lang w:val="en-US"/>
        </w:rPr>
      </w:pPr>
      <w:r w:rsidRPr="00CE64C5">
        <w:rPr>
          <w:sz w:val="24"/>
          <w:szCs w:val="24"/>
          <w:lang w:val="en-US"/>
        </w:rPr>
        <w:t>Gaetan Herinckx: Investigation, Data curation</w:t>
      </w:r>
      <w:r w:rsidR="00C96812">
        <w:rPr>
          <w:sz w:val="24"/>
          <w:szCs w:val="24"/>
          <w:lang w:val="en-US"/>
        </w:rPr>
        <w:t>.</w:t>
      </w:r>
    </w:p>
    <w:p w14:paraId="30202BEC" w14:textId="56003A01" w:rsidR="0094670F" w:rsidRPr="00C628C2" w:rsidRDefault="0094670F" w:rsidP="00CE64C5">
      <w:pPr>
        <w:spacing w:line="360" w:lineRule="auto"/>
        <w:jc w:val="both"/>
        <w:rPr>
          <w:sz w:val="24"/>
          <w:szCs w:val="24"/>
          <w:lang w:val="en-US"/>
        </w:rPr>
      </w:pPr>
      <w:proofErr w:type="spellStart"/>
      <w:r w:rsidRPr="00C628C2">
        <w:rPr>
          <w:sz w:val="24"/>
          <w:szCs w:val="24"/>
          <w:lang w:val="en-US"/>
        </w:rPr>
        <w:t>Maëla</w:t>
      </w:r>
      <w:proofErr w:type="spellEnd"/>
      <w:r w:rsidRPr="00C628C2">
        <w:rPr>
          <w:sz w:val="24"/>
          <w:szCs w:val="24"/>
          <w:lang w:val="en-US"/>
        </w:rPr>
        <w:t xml:space="preserve"> </w:t>
      </w:r>
      <w:proofErr w:type="spellStart"/>
      <w:r w:rsidRPr="00C628C2">
        <w:rPr>
          <w:sz w:val="24"/>
          <w:szCs w:val="24"/>
          <w:lang w:val="en-US"/>
        </w:rPr>
        <w:t>Pautric</w:t>
      </w:r>
      <w:proofErr w:type="spellEnd"/>
      <w:r w:rsidRPr="00C628C2">
        <w:rPr>
          <w:sz w:val="24"/>
          <w:szCs w:val="24"/>
          <w:lang w:val="en-US"/>
        </w:rPr>
        <w:t>: Investigation, Data curation, Visualization.</w:t>
      </w:r>
    </w:p>
    <w:p w14:paraId="009159E9" w14:textId="4228EDC0" w:rsidR="0094670F" w:rsidRPr="00C628C2" w:rsidRDefault="0094670F" w:rsidP="00CE64C5">
      <w:pPr>
        <w:spacing w:line="360" w:lineRule="auto"/>
        <w:jc w:val="both"/>
        <w:rPr>
          <w:sz w:val="24"/>
          <w:szCs w:val="24"/>
          <w:lang w:val="en-US"/>
        </w:rPr>
      </w:pPr>
      <w:r w:rsidRPr="00C628C2">
        <w:rPr>
          <w:sz w:val="24"/>
          <w:szCs w:val="24"/>
          <w:lang w:val="en-US"/>
        </w:rPr>
        <w:t xml:space="preserve">Aurélie </w:t>
      </w:r>
      <w:proofErr w:type="spellStart"/>
      <w:r w:rsidRPr="00C628C2">
        <w:rPr>
          <w:sz w:val="24"/>
          <w:szCs w:val="24"/>
          <w:lang w:val="en-US"/>
        </w:rPr>
        <w:t>Jonneaux</w:t>
      </w:r>
      <w:proofErr w:type="spellEnd"/>
      <w:r w:rsidRPr="00C628C2">
        <w:rPr>
          <w:sz w:val="24"/>
          <w:szCs w:val="24"/>
          <w:lang w:val="en-US"/>
        </w:rPr>
        <w:t>: Investigation, Data curation.</w:t>
      </w:r>
    </w:p>
    <w:p w14:paraId="1780E6FD" w14:textId="18D161E7" w:rsidR="0094670F" w:rsidRDefault="0094670F" w:rsidP="00CE64C5">
      <w:pPr>
        <w:spacing w:line="360" w:lineRule="auto"/>
        <w:jc w:val="both"/>
        <w:rPr>
          <w:sz w:val="24"/>
          <w:szCs w:val="24"/>
          <w:lang w:val="en-US"/>
        </w:rPr>
      </w:pPr>
      <w:r w:rsidRPr="0094670F">
        <w:rPr>
          <w:sz w:val="24"/>
          <w:szCs w:val="24"/>
          <w:lang w:val="en-US"/>
        </w:rPr>
        <w:t>Jean Christophe Devedjian: Investigation, Data curation</w:t>
      </w:r>
      <w:r>
        <w:rPr>
          <w:sz w:val="24"/>
          <w:szCs w:val="24"/>
          <w:lang w:val="en-US"/>
        </w:rPr>
        <w:t>.</w:t>
      </w:r>
    </w:p>
    <w:p w14:paraId="0C9F6F48" w14:textId="707FBC52" w:rsidR="0094670F" w:rsidRPr="0094670F" w:rsidRDefault="0094670F" w:rsidP="00CE64C5">
      <w:pPr>
        <w:spacing w:line="360" w:lineRule="auto"/>
        <w:jc w:val="both"/>
        <w:rPr>
          <w:sz w:val="24"/>
          <w:szCs w:val="24"/>
          <w:lang w:val="en-US"/>
        </w:rPr>
      </w:pPr>
      <w:r w:rsidRPr="0094670F">
        <w:rPr>
          <w:sz w:val="24"/>
          <w:szCs w:val="24"/>
          <w:lang w:val="en-US"/>
        </w:rPr>
        <w:t>David Devos: Writing – review &amp; editing, Funding acquisition.</w:t>
      </w:r>
    </w:p>
    <w:p w14:paraId="1D5F8C97" w14:textId="0AFE2C6E" w:rsidR="00F20E8C" w:rsidRPr="00CE64C5" w:rsidRDefault="00636E12" w:rsidP="00636E12">
      <w:pPr>
        <w:spacing w:line="360" w:lineRule="auto"/>
        <w:jc w:val="both"/>
        <w:rPr>
          <w:sz w:val="24"/>
          <w:szCs w:val="24"/>
          <w:lang w:val="en-US"/>
        </w:rPr>
      </w:pPr>
      <w:r w:rsidRPr="00CE64C5">
        <w:rPr>
          <w:sz w:val="24"/>
          <w:szCs w:val="24"/>
          <w:lang w:val="en-US"/>
        </w:rPr>
        <w:t xml:space="preserve">Bart </w:t>
      </w:r>
      <w:proofErr w:type="spellStart"/>
      <w:r w:rsidRPr="00CE64C5">
        <w:rPr>
          <w:sz w:val="24"/>
          <w:szCs w:val="24"/>
          <w:lang w:val="en-US"/>
        </w:rPr>
        <w:t>Staels</w:t>
      </w:r>
      <w:proofErr w:type="spellEnd"/>
      <w:r w:rsidRPr="00CE64C5">
        <w:rPr>
          <w:sz w:val="24"/>
          <w:szCs w:val="24"/>
          <w:lang w:val="en-US"/>
        </w:rPr>
        <w:t xml:space="preserve">: </w:t>
      </w:r>
      <w:r w:rsidR="00BE5F47" w:rsidRPr="00CE64C5">
        <w:rPr>
          <w:sz w:val="24"/>
          <w:szCs w:val="24"/>
          <w:lang w:val="en-US"/>
        </w:rPr>
        <w:t>Writing – review &amp; editing</w:t>
      </w:r>
      <w:r w:rsidR="00BE5F47">
        <w:rPr>
          <w:sz w:val="24"/>
          <w:szCs w:val="24"/>
          <w:lang w:val="en-US"/>
        </w:rPr>
        <w:t>,</w:t>
      </w:r>
      <w:r w:rsidR="00BE5F47" w:rsidRPr="00CE64C5">
        <w:rPr>
          <w:sz w:val="24"/>
          <w:szCs w:val="24"/>
          <w:lang w:val="en-US"/>
        </w:rPr>
        <w:t xml:space="preserve"> </w:t>
      </w:r>
      <w:r w:rsidR="00C61852" w:rsidRPr="00CE64C5">
        <w:rPr>
          <w:sz w:val="24"/>
          <w:szCs w:val="24"/>
          <w:lang w:val="en-US"/>
        </w:rPr>
        <w:t>Funding acquisition</w:t>
      </w:r>
      <w:r w:rsidRPr="00CE64C5">
        <w:rPr>
          <w:sz w:val="24"/>
          <w:szCs w:val="24"/>
          <w:lang w:val="en-US"/>
        </w:rPr>
        <w:t>.</w:t>
      </w:r>
    </w:p>
    <w:p w14:paraId="761E8749" w14:textId="59518966" w:rsidR="00636E12" w:rsidRPr="00CE64C5" w:rsidRDefault="00636E12" w:rsidP="00636E12">
      <w:pPr>
        <w:spacing w:line="360" w:lineRule="auto"/>
        <w:jc w:val="both"/>
        <w:rPr>
          <w:sz w:val="24"/>
          <w:szCs w:val="24"/>
          <w:lang w:val="en-US"/>
        </w:rPr>
      </w:pPr>
      <w:r w:rsidRPr="00CE64C5">
        <w:rPr>
          <w:sz w:val="24"/>
          <w:szCs w:val="24"/>
          <w:lang w:val="en-US"/>
        </w:rPr>
        <w:t xml:space="preserve">Patricia Melnyk: </w:t>
      </w:r>
      <w:r w:rsidR="00BE5F47" w:rsidRPr="00CE64C5">
        <w:rPr>
          <w:sz w:val="24"/>
          <w:szCs w:val="24"/>
          <w:lang w:val="en-US"/>
        </w:rPr>
        <w:t>Writing – review &amp; editing</w:t>
      </w:r>
      <w:r w:rsidR="00BE5F47">
        <w:rPr>
          <w:sz w:val="24"/>
          <w:szCs w:val="24"/>
          <w:lang w:val="en-US"/>
        </w:rPr>
        <w:t>,</w:t>
      </w:r>
      <w:r w:rsidR="00BE5F47" w:rsidRPr="00CE64C5">
        <w:rPr>
          <w:sz w:val="24"/>
          <w:szCs w:val="24"/>
          <w:lang w:val="en-US"/>
        </w:rPr>
        <w:t xml:space="preserve"> Funding acquisition</w:t>
      </w:r>
      <w:r w:rsidRPr="00CE64C5">
        <w:rPr>
          <w:sz w:val="24"/>
          <w:szCs w:val="24"/>
          <w:lang w:val="en-US"/>
        </w:rPr>
        <w:t>.</w:t>
      </w:r>
    </w:p>
    <w:p w14:paraId="179BFE9B" w14:textId="7F729F02" w:rsidR="00636E12" w:rsidRPr="00CE64C5" w:rsidRDefault="00636E12" w:rsidP="00636E12">
      <w:pPr>
        <w:spacing w:line="360" w:lineRule="auto"/>
        <w:jc w:val="both"/>
        <w:rPr>
          <w:sz w:val="24"/>
          <w:szCs w:val="24"/>
          <w:lang w:val="en-US"/>
        </w:rPr>
      </w:pPr>
      <w:r w:rsidRPr="00CE64C5">
        <w:rPr>
          <w:sz w:val="24"/>
          <w:szCs w:val="24"/>
          <w:lang w:val="en-US"/>
        </w:rPr>
        <w:t xml:space="preserve">Stefan N Constantinescu: </w:t>
      </w:r>
      <w:r w:rsidR="00BE5F47" w:rsidRPr="00CE64C5">
        <w:rPr>
          <w:sz w:val="24"/>
          <w:szCs w:val="24"/>
          <w:lang w:val="en-US"/>
        </w:rPr>
        <w:t>Writing – review &amp; editing</w:t>
      </w:r>
      <w:r w:rsidR="00BE5F47">
        <w:rPr>
          <w:sz w:val="24"/>
          <w:szCs w:val="24"/>
          <w:lang w:val="en-US"/>
        </w:rPr>
        <w:t>,</w:t>
      </w:r>
      <w:r w:rsidR="00BE5F47" w:rsidRPr="00CE64C5">
        <w:rPr>
          <w:sz w:val="24"/>
          <w:szCs w:val="24"/>
          <w:lang w:val="en-US"/>
        </w:rPr>
        <w:t xml:space="preserve"> </w:t>
      </w:r>
      <w:r w:rsidR="00C61852" w:rsidRPr="00CE64C5">
        <w:rPr>
          <w:sz w:val="24"/>
          <w:szCs w:val="24"/>
          <w:lang w:val="en-US"/>
        </w:rPr>
        <w:t>Funding acquisition</w:t>
      </w:r>
      <w:r w:rsidRPr="00CE64C5">
        <w:rPr>
          <w:sz w:val="24"/>
          <w:szCs w:val="24"/>
          <w:lang w:val="en-US"/>
        </w:rPr>
        <w:t>.</w:t>
      </w:r>
    </w:p>
    <w:p w14:paraId="77F5642E" w14:textId="50D97544" w:rsidR="00F20E8C" w:rsidRPr="00CE64C5" w:rsidRDefault="00636E12" w:rsidP="00636E12">
      <w:pPr>
        <w:spacing w:line="360" w:lineRule="auto"/>
        <w:jc w:val="both"/>
        <w:rPr>
          <w:sz w:val="24"/>
          <w:szCs w:val="24"/>
          <w:lang w:val="en-US"/>
        </w:rPr>
      </w:pPr>
      <w:r w:rsidRPr="00CE64C5">
        <w:rPr>
          <w:sz w:val="24"/>
          <w:szCs w:val="24"/>
          <w:lang w:val="en-US"/>
        </w:rPr>
        <w:t xml:space="preserve">Raphaël Frederick: </w:t>
      </w:r>
      <w:r w:rsidR="00CE64C5" w:rsidRPr="00CE64C5">
        <w:rPr>
          <w:sz w:val="24"/>
          <w:szCs w:val="24"/>
          <w:lang w:val="en-US"/>
        </w:rPr>
        <w:t>Conceptualization, Validation, Writing – review &amp; editing, Supervision, Project administration, Funding acquisition.</w:t>
      </w:r>
    </w:p>
    <w:p w14:paraId="7D2C007D" w14:textId="73904EEB" w:rsidR="00636E12" w:rsidRPr="00CE64C5" w:rsidRDefault="00636E12" w:rsidP="00636E12">
      <w:pPr>
        <w:spacing w:line="360" w:lineRule="auto"/>
        <w:jc w:val="both"/>
        <w:rPr>
          <w:sz w:val="24"/>
          <w:szCs w:val="24"/>
          <w:lang w:val="en-US"/>
        </w:rPr>
      </w:pPr>
      <w:r w:rsidRPr="00CE64C5">
        <w:rPr>
          <w:sz w:val="24"/>
          <w:szCs w:val="24"/>
          <w:lang w:val="en-US"/>
        </w:rPr>
        <w:t xml:space="preserve">Jamal El Bakali: </w:t>
      </w:r>
      <w:r w:rsidR="00CE64C5" w:rsidRPr="00CE64C5">
        <w:rPr>
          <w:sz w:val="24"/>
          <w:szCs w:val="24"/>
          <w:lang w:val="en-US"/>
        </w:rPr>
        <w:t>Conceptualization, Validation, Formal analysis, Investigation, Data curation, Writing-original draft, Writing – review &amp; editing, Visualization, Supervision, Project administration, Funding acquisition.</w:t>
      </w:r>
    </w:p>
    <w:p w14:paraId="57EFE6B9" w14:textId="5C82A8F4" w:rsidR="00F20E8C" w:rsidRDefault="00F20E8C" w:rsidP="00F20E8C">
      <w:pPr>
        <w:jc w:val="both"/>
        <w:rPr>
          <w:sz w:val="24"/>
          <w:lang w:val="en-US"/>
        </w:rPr>
      </w:pPr>
    </w:p>
    <w:p w14:paraId="1E5C3F69" w14:textId="77777777" w:rsidR="00E35F29" w:rsidRPr="0043287C" w:rsidRDefault="009C3364">
      <w:pPr>
        <w:spacing w:before="240" w:line="360" w:lineRule="auto"/>
        <w:rPr>
          <w:sz w:val="24"/>
          <w:szCs w:val="24"/>
          <w:lang w:val="en-US"/>
        </w:rPr>
      </w:pPr>
      <w:r w:rsidRPr="0043287C">
        <w:rPr>
          <w:sz w:val="24"/>
          <w:szCs w:val="24"/>
          <w:lang w:val="en-US"/>
        </w:rPr>
        <w:t>REFERENCES</w:t>
      </w:r>
    </w:p>
    <w:p w14:paraId="71024472" w14:textId="5A47C5BD" w:rsidR="00582A7B" w:rsidRPr="0043287C" w:rsidRDefault="68AAD1C1" w:rsidP="00582A7B">
      <w:pPr>
        <w:spacing w:before="240" w:after="240"/>
        <w:jc w:val="both"/>
        <w:rPr>
          <w:sz w:val="24"/>
          <w:szCs w:val="24"/>
          <w:lang w:val="en-US"/>
        </w:rPr>
      </w:pPr>
      <w:bookmarkStart w:id="1" w:name="_Hlk184998627"/>
      <w:r w:rsidRPr="68AAD1C1">
        <w:rPr>
          <w:sz w:val="24"/>
          <w:szCs w:val="24"/>
          <w:lang w:val="en-US"/>
        </w:rPr>
        <w:t xml:space="preserve">[1] T. J. Grevengoed, E. L. Klett, R. A. Coleman, </w:t>
      </w:r>
      <w:r w:rsidRPr="68AAD1C1">
        <w:rPr>
          <w:i/>
          <w:iCs/>
          <w:sz w:val="24"/>
          <w:szCs w:val="24"/>
          <w:lang w:val="en-US"/>
        </w:rPr>
        <w:t xml:space="preserve">Annu. Rev. </w:t>
      </w:r>
      <w:proofErr w:type="spellStart"/>
      <w:r w:rsidRPr="68AAD1C1">
        <w:rPr>
          <w:i/>
          <w:iCs/>
          <w:sz w:val="24"/>
          <w:szCs w:val="24"/>
          <w:lang w:val="en-US"/>
        </w:rPr>
        <w:t>Nutr</w:t>
      </w:r>
      <w:proofErr w:type="spellEnd"/>
      <w:r w:rsidRPr="68AAD1C1">
        <w:rPr>
          <w:i/>
          <w:iCs/>
          <w:sz w:val="24"/>
          <w:szCs w:val="24"/>
          <w:lang w:val="en-US"/>
        </w:rPr>
        <w:t>.</w:t>
      </w:r>
      <w:r w:rsidRPr="68AAD1C1">
        <w:rPr>
          <w:sz w:val="24"/>
          <w:szCs w:val="24"/>
          <w:lang w:val="en-US"/>
        </w:rPr>
        <w:t xml:space="preserve"> </w:t>
      </w:r>
      <w:r w:rsidRPr="68AAD1C1">
        <w:rPr>
          <w:b/>
          <w:bCs/>
          <w:sz w:val="24"/>
          <w:szCs w:val="24"/>
          <w:lang w:val="en-US"/>
        </w:rPr>
        <w:t>2014</w:t>
      </w:r>
      <w:r w:rsidRPr="68AAD1C1">
        <w:rPr>
          <w:sz w:val="24"/>
          <w:szCs w:val="24"/>
          <w:lang w:val="en-US"/>
        </w:rPr>
        <w:t xml:space="preserve">, </w:t>
      </w:r>
      <w:r w:rsidRPr="68AAD1C1">
        <w:rPr>
          <w:i/>
          <w:iCs/>
          <w:sz w:val="24"/>
          <w:szCs w:val="24"/>
          <w:lang w:val="en-US"/>
        </w:rPr>
        <w:t>34</w:t>
      </w:r>
      <w:r w:rsidRPr="68AAD1C1">
        <w:rPr>
          <w:sz w:val="24"/>
          <w:szCs w:val="24"/>
          <w:lang w:val="en-US"/>
        </w:rPr>
        <w:t>, 1–30.</w:t>
      </w:r>
    </w:p>
    <w:p w14:paraId="7F08C98A" w14:textId="67DCD43C" w:rsidR="00582A7B" w:rsidRPr="0043287C" w:rsidRDefault="00582A7B" w:rsidP="00582A7B">
      <w:pPr>
        <w:spacing w:before="240" w:after="240"/>
        <w:jc w:val="both"/>
        <w:rPr>
          <w:sz w:val="24"/>
          <w:szCs w:val="24"/>
          <w:lang w:val="fr-FR"/>
        </w:rPr>
      </w:pPr>
      <w:r w:rsidRPr="0043287C">
        <w:rPr>
          <w:sz w:val="24"/>
          <w:szCs w:val="24"/>
          <w:lang w:val="en-US"/>
        </w:rPr>
        <w:t xml:space="preserve">[2] a) P. A. Watkins, D. </w:t>
      </w:r>
      <w:proofErr w:type="spellStart"/>
      <w:r w:rsidRPr="0043287C">
        <w:rPr>
          <w:sz w:val="24"/>
          <w:szCs w:val="24"/>
          <w:lang w:val="en-US"/>
        </w:rPr>
        <w:t>Maiguel</w:t>
      </w:r>
      <w:proofErr w:type="spellEnd"/>
      <w:r w:rsidRPr="0043287C">
        <w:rPr>
          <w:sz w:val="24"/>
          <w:szCs w:val="24"/>
          <w:lang w:val="en-US"/>
        </w:rPr>
        <w:t xml:space="preserve">, Z. Jia, J. Pevsner, </w:t>
      </w:r>
      <w:r w:rsidRPr="0043287C">
        <w:rPr>
          <w:i/>
          <w:sz w:val="24"/>
          <w:szCs w:val="24"/>
          <w:lang w:val="en-US"/>
        </w:rPr>
        <w:t>J. Lipid. Res.</w:t>
      </w:r>
      <w:r w:rsidRPr="0043287C">
        <w:rPr>
          <w:sz w:val="24"/>
          <w:szCs w:val="24"/>
          <w:lang w:val="en-US"/>
        </w:rPr>
        <w:t xml:space="preserve"> </w:t>
      </w:r>
      <w:r w:rsidRPr="0043287C">
        <w:rPr>
          <w:b/>
          <w:sz w:val="24"/>
          <w:szCs w:val="24"/>
          <w:lang w:val="en-US"/>
        </w:rPr>
        <w:t>2007</w:t>
      </w:r>
      <w:r w:rsidRPr="0043287C">
        <w:rPr>
          <w:sz w:val="24"/>
          <w:szCs w:val="24"/>
          <w:lang w:val="en-US"/>
        </w:rPr>
        <w:t xml:space="preserve">, </w:t>
      </w:r>
      <w:r w:rsidRPr="0043287C">
        <w:rPr>
          <w:i/>
          <w:sz w:val="24"/>
          <w:szCs w:val="24"/>
          <w:lang w:val="en-US"/>
        </w:rPr>
        <w:t>48</w:t>
      </w:r>
      <w:r w:rsidRPr="0043287C">
        <w:rPr>
          <w:sz w:val="24"/>
          <w:szCs w:val="24"/>
          <w:lang w:val="en-US"/>
        </w:rPr>
        <w:t>, 2736-2750</w:t>
      </w:r>
      <w:r w:rsidR="001C62CA">
        <w:rPr>
          <w:sz w:val="24"/>
          <w:szCs w:val="24"/>
          <w:lang w:val="en-US"/>
        </w:rPr>
        <w:t>.</w:t>
      </w:r>
      <w:r w:rsidR="001C62CA" w:rsidRPr="0043287C">
        <w:rPr>
          <w:sz w:val="24"/>
          <w:szCs w:val="24"/>
          <w:lang w:val="en-US"/>
        </w:rPr>
        <w:t xml:space="preserve"> </w:t>
      </w:r>
      <w:r w:rsidRPr="0043287C">
        <w:rPr>
          <w:sz w:val="24"/>
          <w:szCs w:val="24"/>
          <w:lang w:val="en-US"/>
        </w:rPr>
        <w:t xml:space="preserve">b) E. </w:t>
      </w:r>
      <w:proofErr w:type="spellStart"/>
      <w:r w:rsidRPr="0043287C">
        <w:rPr>
          <w:sz w:val="24"/>
          <w:szCs w:val="24"/>
          <w:lang w:val="en-US"/>
        </w:rPr>
        <w:t>Soupene</w:t>
      </w:r>
      <w:proofErr w:type="spellEnd"/>
      <w:r w:rsidRPr="0043287C">
        <w:rPr>
          <w:sz w:val="24"/>
          <w:szCs w:val="24"/>
          <w:lang w:val="en-US"/>
        </w:rPr>
        <w:t xml:space="preserve">, F. A. Kuypers, </w:t>
      </w:r>
      <w:r w:rsidRPr="0043287C">
        <w:rPr>
          <w:i/>
          <w:sz w:val="24"/>
          <w:szCs w:val="24"/>
          <w:lang w:val="en-US"/>
        </w:rPr>
        <w:t>Exp. Biol. Med. (Maywood)</w:t>
      </w:r>
      <w:r w:rsidRPr="0043287C">
        <w:rPr>
          <w:sz w:val="24"/>
          <w:szCs w:val="24"/>
          <w:lang w:val="en-US"/>
        </w:rPr>
        <w:t xml:space="preserve">. </w:t>
      </w:r>
      <w:r w:rsidRPr="0043287C">
        <w:rPr>
          <w:b/>
          <w:sz w:val="24"/>
          <w:szCs w:val="24"/>
          <w:lang w:val="en-US"/>
        </w:rPr>
        <w:t>2008</w:t>
      </w:r>
      <w:r w:rsidRPr="0043287C">
        <w:rPr>
          <w:sz w:val="24"/>
          <w:szCs w:val="24"/>
          <w:lang w:val="en-US"/>
        </w:rPr>
        <w:t xml:space="preserve">, </w:t>
      </w:r>
      <w:r w:rsidRPr="0043287C">
        <w:rPr>
          <w:i/>
          <w:sz w:val="24"/>
          <w:szCs w:val="24"/>
          <w:lang w:val="en-US"/>
        </w:rPr>
        <w:t>233</w:t>
      </w:r>
      <w:r w:rsidRPr="0043287C">
        <w:rPr>
          <w:sz w:val="24"/>
          <w:szCs w:val="24"/>
          <w:lang w:val="en-US"/>
        </w:rPr>
        <w:t>, 507–521</w:t>
      </w:r>
      <w:r w:rsidR="001C62CA">
        <w:rPr>
          <w:sz w:val="24"/>
          <w:szCs w:val="24"/>
          <w:lang w:val="en-US"/>
        </w:rPr>
        <w:t>.</w:t>
      </w:r>
      <w:r w:rsidR="001C62CA" w:rsidRPr="0043287C">
        <w:rPr>
          <w:sz w:val="24"/>
          <w:szCs w:val="24"/>
          <w:lang w:val="en-US"/>
        </w:rPr>
        <w:t xml:space="preserve"> </w:t>
      </w:r>
      <w:r w:rsidRPr="0043287C">
        <w:rPr>
          <w:sz w:val="24"/>
          <w:szCs w:val="24"/>
          <w:lang w:val="en-US"/>
        </w:rPr>
        <w:t xml:space="preserve">C) E. L. Klett, S. Chen, A. </w:t>
      </w:r>
      <w:proofErr w:type="spellStart"/>
      <w:r w:rsidRPr="0043287C">
        <w:rPr>
          <w:sz w:val="24"/>
          <w:szCs w:val="24"/>
          <w:lang w:val="en-US"/>
        </w:rPr>
        <w:t>Yechoor</w:t>
      </w:r>
      <w:proofErr w:type="spellEnd"/>
      <w:r w:rsidRPr="0043287C">
        <w:rPr>
          <w:sz w:val="24"/>
          <w:szCs w:val="24"/>
          <w:lang w:val="en-US"/>
        </w:rPr>
        <w:t>, F. B. Lih, R. A.</w:t>
      </w:r>
      <w:r w:rsidRPr="0043287C">
        <w:rPr>
          <w:b/>
          <w:sz w:val="24"/>
          <w:szCs w:val="24"/>
          <w:lang w:val="en-US"/>
        </w:rPr>
        <w:t xml:space="preserve"> </w:t>
      </w:r>
      <w:r w:rsidRPr="0043287C">
        <w:rPr>
          <w:sz w:val="24"/>
          <w:szCs w:val="24"/>
          <w:lang w:val="en-US"/>
        </w:rPr>
        <w:t xml:space="preserve">Coleman, </w:t>
      </w:r>
      <w:r w:rsidRPr="0043287C">
        <w:rPr>
          <w:i/>
          <w:sz w:val="24"/>
          <w:szCs w:val="24"/>
          <w:lang w:val="en-US"/>
        </w:rPr>
        <w:t xml:space="preserve">J. Lipid. </w:t>
      </w:r>
      <w:proofErr w:type="spellStart"/>
      <w:r w:rsidRPr="0043287C">
        <w:rPr>
          <w:i/>
          <w:sz w:val="24"/>
          <w:szCs w:val="24"/>
          <w:lang w:val="fr-FR"/>
        </w:rPr>
        <w:t>Res</w:t>
      </w:r>
      <w:proofErr w:type="spellEnd"/>
      <w:r w:rsidRPr="0043287C">
        <w:rPr>
          <w:i/>
          <w:sz w:val="24"/>
          <w:szCs w:val="24"/>
          <w:lang w:val="fr-FR"/>
        </w:rPr>
        <w:t>.</w:t>
      </w:r>
      <w:r w:rsidRPr="0043287C">
        <w:rPr>
          <w:sz w:val="24"/>
          <w:szCs w:val="24"/>
          <w:lang w:val="fr-FR"/>
        </w:rPr>
        <w:t xml:space="preserve"> </w:t>
      </w:r>
      <w:r w:rsidRPr="0043287C">
        <w:rPr>
          <w:b/>
          <w:sz w:val="24"/>
          <w:szCs w:val="24"/>
          <w:lang w:val="fr-FR"/>
        </w:rPr>
        <w:t>2017</w:t>
      </w:r>
      <w:r w:rsidRPr="0043287C">
        <w:rPr>
          <w:sz w:val="24"/>
          <w:szCs w:val="24"/>
          <w:lang w:val="fr-FR"/>
        </w:rPr>
        <w:t xml:space="preserve">, </w:t>
      </w:r>
      <w:r w:rsidRPr="0043287C">
        <w:rPr>
          <w:i/>
          <w:sz w:val="24"/>
          <w:szCs w:val="24"/>
          <w:lang w:val="fr-FR"/>
        </w:rPr>
        <w:t>58</w:t>
      </w:r>
      <w:r w:rsidRPr="0043287C">
        <w:rPr>
          <w:sz w:val="24"/>
          <w:szCs w:val="24"/>
          <w:lang w:val="fr-FR"/>
        </w:rPr>
        <w:t>, 884</w:t>
      </w:r>
      <w:r w:rsidRPr="0043287C">
        <w:rPr>
          <w:sz w:val="24"/>
          <w:szCs w:val="24"/>
          <w:lang w:val="fr-BE"/>
        </w:rPr>
        <w:t>–</w:t>
      </w:r>
      <w:r w:rsidRPr="0043287C">
        <w:rPr>
          <w:sz w:val="24"/>
          <w:szCs w:val="24"/>
          <w:lang w:val="fr-FR"/>
        </w:rPr>
        <w:t>894.</w:t>
      </w:r>
    </w:p>
    <w:p w14:paraId="0F28A45A" w14:textId="46964E30" w:rsidR="00582A7B" w:rsidRPr="0043287C" w:rsidRDefault="00582A7B" w:rsidP="00582A7B">
      <w:pPr>
        <w:spacing w:before="240" w:after="240"/>
        <w:jc w:val="both"/>
        <w:rPr>
          <w:sz w:val="24"/>
          <w:szCs w:val="24"/>
          <w:lang w:val="en-US"/>
        </w:rPr>
      </w:pPr>
      <w:r w:rsidRPr="0043287C">
        <w:rPr>
          <w:sz w:val="24"/>
          <w:szCs w:val="24"/>
          <w:lang w:val="fr-FR"/>
        </w:rPr>
        <w:t xml:space="preserve">[3] a) J. Quan, A. M. Bode, X. Luo, </w:t>
      </w:r>
      <w:proofErr w:type="spellStart"/>
      <w:r w:rsidRPr="0043287C">
        <w:rPr>
          <w:i/>
          <w:sz w:val="24"/>
          <w:szCs w:val="24"/>
          <w:lang w:val="fr-FR"/>
        </w:rPr>
        <w:t>Eur</w:t>
      </w:r>
      <w:proofErr w:type="spellEnd"/>
      <w:r w:rsidRPr="0043287C">
        <w:rPr>
          <w:i/>
          <w:sz w:val="24"/>
          <w:szCs w:val="24"/>
          <w:lang w:val="fr-FR"/>
        </w:rPr>
        <w:t xml:space="preserve">. J. </w:t>
      </w:r>
      <w:proofErr w:type="spellStart"/>
      <w:r w:rsidRPr="0043287C">
        <w:rPr>
          <w:i/>
          <w:sz w:val="24"/>
          <w:szCs w:val="24"/>
          <w:lang w:val="fr-FR"/>
        </w:rPr>
        <w:t>Pharmacol</w:t>
      </w:r>
      <w:proofErr w:type="spellEnd"/>
      <w:r w:rsidRPr="0043287C">
        <w:rPr>
          <w:i/>
          <w:sz w:val="24"/>
          <w:szCs w:val="24"/>
          <w:lang w:val="fr-FR"/>
        </w:rPr>
        <w:t>.</w:t>
      </w:r>
      <w:r w:rsidRPr="0043287C">
        <w:rPr>
          <w:sz w:val="24"/>
          <w:szCs w:val="24"/>
          <w:lang w:val="fr-FR"/>
        </w:rPr>
        <w:t xml:space="preserve"> </w:t>
      </w:r>
      <w:r w:rsidRPr="0043287C">
        <w:rPr>
          <w:b/>
          <w:sz w:val="24"/>
          <w:szCs w:val="24"/>
          <w:lang w:val="en-US"/>
        </w:rPr>
        <w:t>2021</w:t>
      </w:r>
      <w:r w:rsidRPr="0043287C">
        <w:rPr>
          <w:sz w:val="24"/>
          <w:szCs w:val="24"/>
          <w:lang w:val="en-US"/>
        </w:rPr>
        <w:t xml:space="preserve">, </w:t>
      </w:r>
      <w:r w:rsidRPr="0043287C">
        <w:rPr>
          <w:i/>
          <w:sz w:val="24"/>
          <w:szCs w:val="24"/>
          <w:lang w:val="en-US"/>
        </w:rPr>
        <w:t>909</w:t>
      </w:r>
      <w:r w:rsidRPr="0043287C">
        <w:rPr>
          <w:sz w:val="24"/>
          <w:szCs w:val="24"/>
          <w:lang w:val="en-US"/>
        </w:rPr>
        <w:t>, 174397</w:t>
      </w:r>
      <w:r w:rsidR="001C62CA">
        <w:rPr>
          <w:sz w:val="24"/>
          <w:szCs w:val="24"/>
          <w:lang w:val="en-US"/>
        </w:rPr>
        <w:t>.</w:t>
      </w:r>
      <w:r w:rsidR="001C62CA" w:rsidRPr="0043287C">
        <w:rPr>
          <w:sz w:val="24"/>
          <w:szCs w:val="24"/>
          <w:lang w:val="en-US"/>
        </w:rPr>
        <w:t xml:space="preserve"> </w:t>
      </w:r>
      <w:r w:rsidRPr="0043287C">
        <w:rPr>
          <w:sz w:val="24"/>
          <w:szCs w:val="24"/>
          <w:lang w:val="en-US"/>
        </w:rPr>
        <w:t xml:space="preserve">b) Z. Wu, J. Sun, Z. Liao, J. Qiao, C. Chen, C. Ling, H. Wang, </w:t>
      </w:r>
      <w:r w:rsidRPr="0043287C">
        <w:rPr>
          <w:i/>
          <w:sz w:val="24"/>
          <w:szCs w:val="24"/>
          <w:lang w:val="en-US"/>
        </w:rPr>
        <w:t xml:space="preserve">Front. </w:t>
      </w:r>
      <w:proofErr w:type="spellStart"/>
      <w:r w:rsidRPr="0043287C">
        <w:rPr>
          <w:i/>
          <w:sz w:val="24"/>
          <w:szCs w:val="24"/>
          <w:lang w:val="en-US"/>
        </w:rPr>
        <w:t>Neurosci</w:t>
      </w:r>
      <w:proofErr w:type="spellEnd"/>
      <w:r w:rsidRPr="0043287C">
        <w:rPr>
          <w:i/>
          <w:sz w:val="24"/>
          <w:szCs w:val="24"/>
          <w:lang w:val="en-US"/>
        </w:rPr>
        <w:t>.</w:t>
      </w:r>
      <w:r w:rsidRPr="0043287C">
        <w:rPr>
          <w:sz w:val="24"/>
          <w:szCs w:val="24"/>
          <w:lang w:val="en-US"/>
        </w:rPr>
        <w:t xml:space="preserve"> </w:t>
      </w:r>
      <w:r w:rsidRPr="0043287C">
        <w:rPr>
          <w:b/>
          <w:sz w:val="24"/>
          <w:szCs w:val="24"/>
          <w:lang w:val="en-US"/>
        </w:rPr>
        <w:t>2022</w:t>
      </w:r>
      <w:r w:rsidRPr="0043287C">
        <w:rPr>
          <w:sz w:val="24"/>
          <w:szCs w:val="24"/>
          <w:lang w:val="en-US"/>
        </w:rPr>
        <w:t xml:space="preserve">, </w:t>
      </w:r>
      <w:r w:rsidRPr="0043287C">
        <w:rPr>
          <w:i/>
          <w:sz w:val="24"/>
          <w:szCs w:val="24"/>
          <w:lang w:val="en-US"/>
        </w:rPr>
        <w:t>16</w:t>
      </w:r>
      <w:r w:rsidRPr="0043287C">
        <w:rPr>
          <w:sz w:val="24"/>
          <w:szCs w:val="24"/>
          <w:lang w:val="en-US"/>
        </w:rPr>
        <w:t>, 1030512.</w:t>
      </w:r>
      <w:r>
        <w:rPr>
          <w:sz w:val="24"/>
          <w:szCs w:val="24"/>
          <w:lang w:val="en-US"/>
        </w:rPr>
        <w:t xml:space="preserve"> </w:t>
      </w:r>
    </w:p>
    <w:p w14:paraId="2535D5DB" w14:textId="77777777" w:rsidR="00582A7B" w:rsidRPr="0043287C" w:rsidRDefault="00582A7B" w:rsidP="00582A7B">
      <w:pPr>
        <w:spacing w:before="240" w:after="240"/>
        <w:jc w:val="both"/>
        <w:rPr>
          <w:sz w:val="24"/>
          <w:szCs w:val="24"/>
          <w:lang w:val="en-US"/>
        </w:rPr>
      </w:pPr>
      <w:r w:rsidRPr="0043287C">
        <w:rPr>
          <w:sz w:val="24"/>
          <w:szCs w:val="24"/>
          <w:lang w:val="en-US"/>
        </w:rPr>
        <w:t>[4] J. Grube, M.</w:t>
      </w:r>
      <w:r>
        <w:rPr>
          <w:sz w:val="24"/>
          <w:szCs w:val="24"/>
          <w:lang w:val="en-US"/>
        </w:rPr>
        <w:t xml:space="preserve"> </w:t>
      </w:r>
      <w:r w:rsidRPr="0043287C">
        <w:rPr>
          <w:sz w:val="24"/>
          <w:szCs w:val="24"/>
          <w:lang w:val="en-US"/>
        </w:rPr>
        <w:t xml:space="preserve">M. </w:t>
      </w:r>
      <w:proofErr w:type="spellStart"/>
      <w:r w:rsidRPr="0043287C">
        <w:rPr>
          <w:sz w:val="24"/>
          <w:szCs w:val="24"/>
          <w:lang w:val="en-US"/>
        </w:rPr>
        <w:t>Woitok</w:t>
      </w:r>
      <w:proofErr w:type="spellEnd"/>
      <w:r w:rsidRPr="0043287C">
        <w:rPr>
          <w:sz w:val="24"/>
          <w:szCs w:val="24"/>
          <w:lang w:val="en-US"/>
        </w:rPr>
        <w:t xml:space="preserve">, A. Mohs, S. </w:t>
      </w:r>
      <w:proofErr w:type="spellStart"/>
      <w:r w:rsidRPr="0043287C">
        <w:rPr>
          <w:sz w:val="24"/>
          <w:szCs w:val="24"/>
          <w:lang w:val="en-US"/>
        </w:rPr>
        <w:t>Erschfeld</w:t>
      </w:r>
      <w:proofErr w:type="spellEnd"/>
      <w:r w:rsidRPr="0043287C">
        <w:rPr>
          <w:sz w:val="24"/>
          <w:szCs w:val="24"/>
          <w:lang w:val="en-US"/>
        </w:rPr>
        <w:t xml:space="preserve">, C. Lynen, C. Trautwein, T. Otto, </w:t>
      </w:r>
      <w:r w:rsidRPr="0043287C">
        <w:rPr>
          <w:i/>
          <w:sz w:val="24"/>
          <w:szCs w:val="24"/>
          <w:lang w:val="en-US"/>
        </w:rPr>
        <w:t>Cell Death Dis.</w:t>
      </w:r>
      <w:r w:rsidRPr="0043287C">
        <w:rPr>
          <w:sz w:val="24"/>
          <w:szCs w:val="24"/>
          <w:lang w:val="en-US"/>
        </w:rPr>
        <w:t xml:space="preserve"> </w:t>
      </w:r>
      <w:r w:rsidRPr="0043287C">
        <w:rPr>
          <w:b/>
          <w:sz w:val="24"/>
          <w:szCs w:val="24"/>
          <w:lang w:val="en-US"/>
        </w:rPr>
        <w:t>2022</w:t>
      </w:r>
      <w:r w:rsidRPr="0043287C">
        <w:rPr>
          <w:sz w:val="24"/>
          <w:szCs w:val="24"/>
          <w:lang w:val="en-US"/>
        </w:rPr>
        <w:t xml:space="preserve">, </w:t>
      </w:r>
      <w:r w:rsidRPr="0043287C">
        <w:rPr>
          <w:i/>
          <w:sz w:val="24"/>
          <w:szCs w:val="24"/>
          <w:lang w:val="en-US"/>
        </w:rPr>
        <w:t>13</w:t>
      </w:r>
      <w:r w:rsidRPr="0043287C">
        <w:rPr>
          <w:sz w:val="24"/>
          <w:szCs w:val="24"/>
          <w:lang w:val="en-US"/>
        </w:rPr>
        <w:t>, 704.</w:t>
      </w:r>
    </w:p>
    <w:p w14:paraId="1D59FF23" w14:textId="4342D6DA" w:rsidR="00582A7B" w:rsidRPr="0043287C" w:rsidRDefault="68AAD1C1" w:rsidP="00582A7B">
      <w:pPr>
        <w:spacing w:before="240" w:after="240"/>
        <w:jc w:val="both"/>
        <w:rPr>
          <w:sz w:val="24"/>
          <w:szCs w:val="24"/>
          <w:lang w:val="en-US"/>
        </w:rPr>
      </w:pPr>
      <w:r w:rsidRPr="68AAD1C1">
        <w:rPr>
          <w:sz w:val="24"/>
          <w:szCs w:val="24"/>
          <w:lang w:val="en-US"/>
        </w:rPr>
        <w:t xml:space="preserve">[5] a) Y. Qiu, X. Wang, Y. Sun, T. Jin, R. Tang, X. Zhou, M. Xu, Y. Gan, R. Wang, H. Luo, M. Liu, X. Tang, </w:t>
      </w:r>
      <w:r w:rsidRPr="68AAD1C1">
        <w:rPr>
          <w:rStyle w:val="docsum-journal-citation"/>
          <w:i/>
          <w:iCs/>
          <w:sz w:val="24"/>
          <w:szCs w:val="24"/>
          <w:lang w:val="en-US"/>
        </w:rPr>
        <w:t>Cancer Res.</w:t>
      </w:r>
      <w:r w:rsidRPr="68AAD1C1">
        <w:rPr>
          <w:rStyle w:val="docsum-journal-citation"/>
          <w:sz w:val="24"/>
          <w:szCs w:val="24"/>
          <w:lang w:val="en-US"/>
        </w:rPr>
        <w:t xml:space="preserve"> </w:t>
      </w:r>
      <w:r w:rsidRPr="68AAD1C1">
        <w:rPr>
          <w:rStyle w:val="docsum-journal-citation"/>
          <w:b/>
          <w:bCs/>
          <w:sz w:val="24"/>
          <w:szCs w:val="24"/>
          <w:lang w:val="en-US"/>
        </w:rPr>
        <w:t>2024</w:t>
      </w:r>
      <w:r w:rsidRPr="68AAD1C1">
        <w:rPr>
          <w:rStyle w:val="docsum-journal-citation"/>
          <w:sz w:val="24"/>
          <w:szCs w:val="24"/>
          <w:lang w:val="en-US"/>
        </w:rPr>
        <w:t xml:space="preserve">, </w:t>
      </w:r>
      <w:r w:rsidRPr="68AAD1C1">
        <w:rPr>
          <w:rStyle w:val="docsum-journal-citation"/>
          <w:i/>
          <w:iCs/>
          <w:sz w:val="24"/>
          <w:szCs w:val="24"/>
          <w:lang w:val="en-US"/>
        </w:rPr>
        <w:t>84</w:t>
      </w:r>
      <w:r w:rsidRPr="68AAD1C1">
        <w:rPr>
          <w:rStyle w:val="docsum-journal-citation"/>
          <w:sz w:val="24"/>
          <w:szCs w:val="24"/>
          <w:lang w:val="en-US"/>
        </w:rPr>
        <w:t xml:space="preserve">, 1856-1871. b) M. E. Monaco, </w:t>
      </w:r>
      <w:proofErr w:type="spellStart"/>
      <w:r w:rsidRPr="68AAD1C1">
        <w:rPr>
          <w:i/>
          <w:iCs/>
          <w:sz w:val="24"/>
          <w:szCs w:val="24"/>
          <w:lang w:val="en-US"/>
        </w:rPr>
        <w:t>Oncotarget</w:t>
      </w:r>
      <w:proofErr w:type="spellEnd"/>
      <w:r w:rsidRPr="68AAD1C1">
        <w:rPr>
          <w:sz w:val="24"/>
          <w:szCs w:val="24"/>
          <w:lang w:val="en-US"/>
        </w:rPr>
        <w:t xml:space="preserve"> </w:t>
      </w:r>
      <w:r w:rsidRPr="68AAD1C1">
        <w:rPr>
          <w:b/>
          <w:bCs/>
          <w:sz w:val="24"/>
          <w:szCs w:val="24"/>
          <w:lang w:val="en-US"/>
        </w:rPr>
        <w:t>2023</w:t>
      </w:r>
      <w:r w:rsidRPr="68AAD1C1">
        <w:rPr>
          <w:sz w:val="24"/>
          <w:szCs w:val="24"/>
          <w:lang w:val="en-US"/>
        </w:rPr>
        <w:t xml:space="preserve">, </w:t>
      </w:r>
      <w:r w:rsidRPr="68AAD1C1">
        <w:rPr>
          <w:i/>
          <w:iCs/>
          <w:sz w:val="24"/>
          <w:szCs w:val="24"/>
          <w:lang w:val="en-US"/>
        </w:rPr>
        <w:t>14</w:t>
      </w:r>
      <w:r w:rsidRPr="68AAD1C1">
        <w:rPr>
          <w:sz w:val="24"/>
          <w:szCs w:val="24"/>
          <w:lang w:val="en-US"/>
        </w:rPr>
        <w:t xml:space="preserve">, 563–575. c) J. Lin, P. Zhang, W. Liu, G. Liu, J. Zhang, M. Yan, Y. Duan, N. Yang, </w:t>
      </w:r>
      <w:r w:rsidRPr="68AAD1C1">
        <w:rPr>
          <w:rStyle w:val="docsum-journal-citation"/>
          <w:i/>
          <w:iCs/>
          <w:sz w:val="24"/>
          <w:szCs w:val="24"/>
          <w:lang w:val="en-US"/>
        </w:rPr>
        <w:t>Elife</w:t>
      </w:r>
      <w:r w:rsidRPr="68AAD1C1">
        <w:rPr>
          <w:rStyle w:val="docsum-journal-citation"/>
          <w:sz w:val="24"/>
          <w:szCs w:val="24"/>
          <w:lang w:val="en-US"/>
        </w:rPr>
        <w:t xml:space="preserve"> </w:t>
      </w:r>
      <w:r w:rsidRPr="68AAD1C1">
        <w:rPr>
          <w:rStyle w:val="docsum-journal-citation"/>
          <w:b/>
          <w:bCs/>
          <w:sz w:val="24"/>
          <w:szCs w:val="24"/>
          <w:lang w:val="en-US"/>
        </w:rPr>
        <w:t>2023</w:t>
      </w:r>
      <w:r w:rsidRPr="68AAD1C1">
        <w:rPr>
          <w:rStyle w:val="docsum-journal-citation"/>
          <w:sz w:val="24"/>
          <w:szCs w:val="24"/>
          <w:lang w:val="en-US"/>
        </w:rPr>
        <w:t xml:space="preserve">, </w:t>
      </w:r>
      <w:r w:rsidRPr="68AAD1C1">
        <w:rPr>
          <w:rStyle w:val="docsum-journal-citation"/>
          <w:i/>
          <w:iCs/>
          <w:sz w:val="24"/>
          <w:szCs w:val="24"/>
          <w:lang w:val="en-US"/>
        </w:rPr>
        <w:t>12</w:t>
      </w:r>
      <w:r w:rsidRPr="68AAD1C1">
        <w:rPr>
          <w:rStyle w:val="docsum-journal-citation"/>
          <w:sz w:val="24"/>
          <w:szCs w:val="24"/>
          <w:lang w:val="en-US"/>
        </w:rPr>
        <w:t xml:space="preserve">, RP87510. </w:t>
      </w:r>
    </w:p>
    <w:p w14:paraId="209DAD9F" w14:textId="67646314" w:rsidR="00582A7B" w:rsidRPr="006113C4" w:rsidRDefault="00582A7B" w:rsidP="00582A7B">
      <w:pPr>
        <w:spacing w:before="240" w:after="240"/>
        <w:jc w:val="both"/>
        <w:rPr>
          <w:rStyle w:val="docsum-journal-citation"/>
          <w:sz w:val="24"/>
          <w:szCs w:val="24"/>
          <w:lang w:val="en-US"/>
        </w:rPr>
      </w:pPr>
      <w:r w:rsidRPr="0043287C">
        <w:rPr>
          <w:sz w:val="24"/>
          <w:szCs w:val="24"/>
          <w:lang w:val="en-US"/>
        </w:rPr>
        <w:lastRenderedPageBreak/>
        <w:t xml:space="preserve">[6] a) </w:t>
      </w:r>
      <w:r w:rsidRPr="0043287C">
        <w:rPr>
          <w:rStyle w:val="docsum-authors"/>
          <w:sz w:val="24"/>
          <w:szCs w:val="24"/>
          <w:lang w:val="en-US"/>
        </w:rPr>
        <w:t xml:space="preserve">Y. Ma, X. Zhang, O. A. </w:t>
      </w:r>
      <w:proofErr w:type="spellStart"/>
      <w:r w:rsidRPr="0043287C">
        <w:rPr>
          <w:rStyle w:val="docsum-authors"/>
          <w:sz w:val="24"/>
          <w:szCs w:val="24"/>
          <w:lang w:val="en-US"/>
        </w:rPr>
        <w:t>Alsaidan</w:t>
      </w:r>
      <w:proofErr w:type="spellEnd"/>
      <w:r w:rsidRPr="0043287C">
        <w:rPr>
          <w:rStyle w:val="docsum-authors"/>
          <w:sz w:val="24"/>
          <w:szCs w:val="24"/>
          <w:lang w:val="en-US"/>
        </w:rPr>
        <w:t>, X. Yang, E. Sulejmani, J. Zha, Z. Beharry, H. Huang, M. Bartlett, Z. Lewis, H.</w:t>
      </w:r>
      <w:r w:rsidRPr="0043287C">
        <w:rPr>
          <w:sz w:val="24"/>
          <w:szCs w:val="24"/>
          <w:lang w:val="en-US"/>
        </w:rPr>
        <w:t xml:space="preserve"> </w:t>
      </w:r>
      <w:r w:rsidRPr="0043287C">
        <w:rPr>
          <w:rStyle w:val="docsum-authors"/>
          <w:sz w:val="24"/>
          <w:szCs w:val="24"/>
          <w:lang w:val="en-US"/>
        </w:rPr>
        <w:t xml:space="preserve">Cai, </w:t>
      </w:r>
      <w:r w:rsidRPr="0043287C">
        <w:rPr>
          <w:rStyle w:val="docsum-journal-citation"/>
          <w:i/>
          <w:sz w:val="24"/>
          <w:szCs w:val="24"/>
          <w:lang w:val="en-US"/>
        </w:rPr>
        <w:t xml:space="preserve">Mol. Cancer Res. </w:t>
      </w:r>
      <w:r w:rsidRPr="0043287C">
        <w:rPr>
          <w:rStyle w:val="docsum-journal-citation"/>
          <w:b/>
          <w:sz w:val="24"/>
          <w:szCs w:val="24"/>
          <w:lang w:val="en-US"/>
        </w:rPr>
        <w:t>2021</w:t>
      </w:r>
      <w:r w:rsidRPr="0043287C">
        <w:rPr>
          <w:rStyle w:val="docsum-journal-citation"/>
          <w:sz w:val="24"/>
          <w:szCs w:val="24"/>
          <w:lang w:val="en-US"/>
        </w:rPr>
        <w:t xml:space="preserve">, </w:t>
      </w:r>
      <w:r w:rsidRPr="0043287C">
        <w:rPr>
          <w:rStyle w:val="docsum-journal-citation"/>
          <w:i/>
          <w:sz w:val="24"/>
          <w:szCs w:val="24"/>
          <w:lang w:val="en-US"/>
        </w:rPr>
        <w:t>19</w:t>
      </w:r>
      <w:r w:rsidRPr="0043287C">
        <w:rPr>
          <w:rStyle w:val="docsum-journal-citation"/>
          <w:sz w:val="24"/>
          <w:szCs w:val="24"/>
          <w:lang w:val="en-US"/>
        </w:rPr>
        <w:t>, 124</w:t>
      </w:r>
      <w:r w:rsidRPr="0043287C">
        <w:rPr>
          <w:sz w:val="24"/>
          <w:szCs w:val="24"/>
          <w:lang w:val="en-US"/>
        </w:rPr>
        <w:t>–</w:t>
      </w:r>
      <w:r w:rsidRPr="0043287C">
        <w:rPr>
          <w:rStyle w:val="docsum-journal-citation"/>
          <w:sz w:val="24"/>
          <w:szCs w:val="24"/>
          <w:lang w:val="en-US"/>
        </w:rPr>
        <w:t>135.</w:t>
      </w:r>
      <w:r w:rsidR="00085E86">
        <w:rPr>
          <w:rStyle w:val="docsum-journal-citation"/>
          <w:sz w:val="24"/>
          <w:szCs w:val="24"/>
          <w:lang w:val="en-US"/>
        </w:rPr>
        <w:t xml:space="preserve"> </w:t>
      </w:r>
      <w:r w:rsidR="00085E86">
        <w:rPr>
          <w:sz w:val="24"/>
          <w:szCs w:val="24"/>
          <w:lang w:val="en-US"/>
        </w:rPr>
        <w:t>b</w:t>
      </w:r>
      <w:r w:rsidRPr="0043287C">
        <w:rPr>
          <w:sz w:val="24"/>
          <w:szCs w:val="24"/>
          <w:lang w:val="en-US"/>
        </w:rPr>
        <w:t xml:space="preserve">) </w:t>
      </w:r>
      <w:r w:rsidRPr="0043287C">
        <w:rPr>
          <w:rStyle w:val="docsum-authors"/>
          <w:sz w:val="24"/>
          <w:szCs w:val="24"/>
          <w:lang w:val="en-US"/>
        </w:rPr>
        <w:t xml:space="preserve">P. H. A. Cao, A. Dominic, F. E. Lujan, S. Senthilkumar, P. K. Bhattacharya, D. E. Frigo, E. </w:t>
      </w:r>
      <w:r w:rsidRPr="006113C4">
        <w:rPr>
          <w:rStyle w:val="docsum-authors"/>
          <w:sz w:val="24"/>
          <w:szCs w:val="24"/>
          <w:lang w:val="en-US"/>
        </w:rPr>
        <w:t xml:space="preserve">Subramani, </w:t>
      </w:r>
      <w:r w:rsidRPr="006113C4">
        <w:rPr>
          <w:rStyle w:val="docsum-journal-citation"/>
          <w:i/>
          <w:sz w:val="24"/>
          <w:szCs w:val="24"/>
          <w:lang w:val="en-US"/>
        </w:rPr>
        <w:t>Nat. Rev. Urol.</w:t>
      </w:r>
      <w:r w:rsidRPr="006113C4">
        <w:rPr>
          <w:rStyle w:val="docsum-journal-citation"/>
          <w:sz w:val="24"/>
          <w:szCs w:val="24"/>
          <w:lang w:val="en-US"/>
        </w:rPr>
        <w:t xml:space="preserve"> </w:t>
      </w:r>
      <w:r w:rsidRPr="006113C4">
        <w:rPr>
          <w:rStyle w:val="docsum-journal-citation"/>
          <w:b/>
          <w:sz w:val="24"/>
          <w:szCs w:val="24"/>
          <w:lang w:val="en-US"/>
        </w:rPr>
        <w:t>2024</w:t>
      </w:r>
      <w:r w:rsidRPr="006113C4">
        <w:rPr>
          <w:rStyle w:val="docsum-journal-citation"/>
          <w:sz w:val="24"/>
          <w:szCs w:val="24"/>
          <w:lang w:val="en-US"/>
        </w:rPr>
        <w:t>,</w:t>
      </w:r>
      <w:r w:rsidR="00842C4D" w:rsidRPr="006113C4">
        <w:rPr>
          <w:rStyle w:val="docsum-journal-citation"/>
          <w:sz w:val="24"/>
          <w:szCs w:val="24"/>
          <w:lang w:val="en-US"/>
        </w:rPr>
        <w:t xml:space="preserve"> </w:t>
      </w:r>
      <w:r w:rsidR="00842C4D" w:rsidRPr="006113C4">
        <w:rPr>
          <w:rStyle w:val="docsum-journal-citation"/>
          <w:i/>
          <w:iCs/>
          <w:sz w:val="24"/>
          <w:szCs w:val="24"/>
          <w:lang w:val="en-US"/>
        </w:rPr>
        <w:t>21</w:t>
      </w:r>
      <w:r w:rsidR="00842C4D" w:rsidRPr="006113C4">
        <w:rPr>
          <w:rStyle w:val="docsum-journal-citation"/>
          <w:sz w:val="24"/>
          <w:szCs w:val="24"/>
          <w:lang w:val="en-US"/>
        </w:rPr>
        <w:t>, 615</w:t>
      </w:r>
      <w:r w:rsidR="00DF1A00" w:rsidRPr="006113C4">
        <w:rPr>
          <w:sz w:val="24"/>
          <w:szCs w:val="24"/>
          <w:lang w:val="en-US"/>
        </w:rPr>
        <w:t>–</w:t>
      </w:r>
      <w:r w:rsidR="00842C4D" w:rsidRPr="006113C4">
        <w:rPr>
          <w:rStyle w:val="docsum-journal-citation"/>
          <w:sz w:val="24"/>
          <w:szCs w:val="24"/>
          <w:lang w:val="en-US"/>
        </w:rPr>
        <w:t>637.</w:t>
      </w:r>
    </w:p>
    <w:p w14:paraId="50F95980" w14:textId="15C64612" w:rsidR="006113C4" w:rsidRDefault="16C893F4" w:rsidP="00582A7B">
      <w:pPr>
        <w:spacing w:before="240" w:after="240"/>
        <w:jc w:val="both"/>
        <w:rPr>
          <w:sz w:val="24"/>
          <w:szCs w:val="24"/>
          <w:lang w:val="en-US"/>
        </w:rPr>
      </w:pPr>
      <w:r w:rsidRPr="006113C4">
        <w:rPr>
          <w:sz w:val="24"/>
          <w:szCs w:val="24"/>
          <w:lang w:val="en-US"/>
        </w:rPr>
        <w:t xml:space="preserve">[7] Y. Wang, M. Hu, J. Cao, F. Wang, J. R. Han, T. W. Wu, L. Li, J. Yu, Y. Fan, G. Xie, H. Lian, Y. Cao, N. </w:t>
      </w:r>
      <w:proofErr w:type="spellStart"/>
      <w:r w:rsidRPr="006113C4">
        <w:rPr>
          <w:sz w:val="24"/>
          <w:szCs w:val="24"/>
          <w:lang w:val="en-US"/>
        </w:rPr>
        <w:t>Naowarojna</w:t>
      </w:r>
      <w:proofErr w:type="spellEnd"/>
      <w:r w:rsidRPr="006113C4">
        <w:rPr>
          <w:sz w:val="24"/>
          <w:szCs w:val="24"/>
          <w:lang w:val="en-US"/>
        </w:rPr>
        <w:t xml:space="preserve">, X. Wang, Y. Zou, </w:t>
      </w:r>
      <w:r w:rsidRPr="00CD7A66">
        <w:rPr>
          <w:i/>
          <w:iCs/>
          <w:sz w:val="24"/>
          <w:szCs w:val="24"/>
          <w:highlight w:val="yellow"/>
          <w:lang w:val="en-US"/>
        </w:rPr>
        <w:t>Cell</w:t>
      </w:r>
      <w:r w:rsidRPr="00CD7A66">
        <w:rPr>
          <w:sz w:val="24"/>
          <w:szCs w:val="24"/>
          <w:highlight w:val="yellow"/>
          <w:lang w:val="en-US"/>
        </w:rPr>
        <w:t xml:space="preserve"> </w:t>
      </w:r>
      <w:r w:rsidRPr="00CD7A66">
        <w:rPr>
          <w:b/>
          <w:bCs/>
          <w:sz w:val="24"/>
          <w:szCs w:val="24"/>
          <w:highlight w:val="yellow"/>
          <w:lang w:val="en-US"/>
        </w:rPr>
        <w:t>202</w:t>
      </w:r>
      <w:r w:rsidR="006113C4" w:rsidRPr="00CD7A66">
        <w:rPr>
          <w:b/>
          <w:bCs/>
          <w:sz w:val="24"/>
          <w:szCs w:val="24"/>
          <w:highlight w:val="yellow"/>
          <w:lang w:val="en-US"/>
        </w:rPr>
        <w:t>5</w:t>
      </w:r>
      <w:r w:rsidRPr="00CD7A66">
        <w:rPr>
          <w:sz w:val="24"/>
          <w:szCs w:val="24"/>
          <w:highlight w:val="yellow"/>
          <w:lang w:val="en-US"/>
        </w:rPr>
        <w:t xml:space="preserve">, </w:t>
      </w:r>
      <w:r w:rsidR="006113C4" w:rsidRPr="00CD7A66">
        <w:rPr>
          <w:sz w:val="24"/>
          <w:szCs w:val="24"/>
          <w:highlight w:val="yellow"/>
          <w:lang w:val="en-US"/>
        </w:rPr>
        <w:t>188, 412–429.</w:t>
      </w:r>
      <w:r w:rsidR="00C130BA" w:rsidRPr="00CD7A66">
        <w:rPr>
          <w:sz w:val="24"/>
          <w:szCs w:val="24"/>
          <w:highlight w:val="yellow"/>
          <w:lang w:val="en-US"/>
        </w:rPr>
        <w:t>e27</w:t>
      </w:r>
      <w:r w:rsidR="00C130BA" w:rsidRPr="00C130BA">
        <w:rPr>
          <w:sz w:val="24"/>
          <w:szCs w:val="24"/>
          <w:lang w:val="en-US"/>
        </w:rPr>
        <w:t>.</w:t>
      </w:r>
    </w:p>
    <w:p w14:paraId="7AEDB5B3" w14:textId="5A8E59C2" w:rsidR="00582A7B" w:rsidRPr="0043287C" w:rsidRDefault="16C893F4" w:rsidP="00582A7B">
      <w:pPr>
        <w:spacing w:before="240" w:after="240"/>
        <w:jc w:val="both"/>
        <w:rPr>
          <w:sz w:val="24"/>
          <w:szCs w:val="24"/>
          <w:lang w:val="en-US"/>
        </w:rPr>
      </w:pPr>
      <w:r w:rsidRPr="16C893F4">
        <w:rPr>
          <w:sz w:val="24"/>
          <w:szCs w:val="24"/>
          <w:lang w:val="en-US"/>
        </w:rPr>
        <w:t xml:space="preserve">[8] a) S. J. Dixon, G. E. Winter, L. S. Musavi, E. D. Lee, B. Snijder, M. </w:t>
      </w:r>
      <w:proofErr w:type="spellStart"/>
      <w:r w:rsidRPr="16C893F4">
        <w:rPr>
          <w:sz w:val="24"/>
          <w:szCs w:val="24"/>
          <w:lang w:val="en-US"/>
        </w:rPr>
        <w:t>Rebsamen</w:t>
      </w:r>
      <w:proofErr w:type="spellEnd"/>
      <w:r w:rsidRPr="16C893F4">
        <w:rPr>
          <w:sz w:val="24"/>
          <w:szCs w:val="24"/>
          <w:lang w:val="en-US"/>
        </w:rPr>
        <w:t xml:space="preserve">, G. </w:t>
      </w:r>
      <w:proofErr w:type="spellStart"/>
      <w:r w:rsidRPr="16C893F4">
        <w:rPr>
          <w:sz w:val="24"/>
          <w:szCs w:val="24"/>
          <w:lang w:val="en-US"/>
        </w:rPr>
        <w:t>Superti-Furga</w:t>
      </w:r>
      <w:proofErr w:type="spellEnd"/>
      <w:r w:rsidRPr="16C893F4">
        <w:rPr>
          <w:sz w:val="24"/>
          <w:szCs w:val="24"/>
          <w:lang w:val="en-US"/>
        </w:rPr>
        <w:t xml:space="preserve">, B. R. Stockwell, </w:t>
      </w:r>
      <w:r w:rsidRPr="16C893F4">
        <w:rPr>
          <w:i/>
          <w:iCs/>
          <w:sz w:val="24"/>
          <w:szCs w:val="24"/>
          <w:lang w:val="en-US"/>
        </w:rPr>
        <w:t xml:space="preserve">ACS Chem Biol. </w:t>
      </w:r>
      <w:r w:rsidRPr="16C893F4">
        <w:rPr>
          <w:b/>
          <w:bCs/>
          <w:sz w:val="24"/>
          <w:szCs w:val="24"/>
          <w:lang w:val="en-US"/>
        </w:rPr>
        <w:t>2015</w:t>
      </w:r>
      <w:r w:rsidRPr="16C893F4">
        <w:rPr>
          <w:sz w:val="24"/>
          <w:szCs w:val="24"/>
          <w:lang w:val="en-US"/>
        </w:rPr>
        <w:t xml:space="preserve">, </w:t>
      </w:r>
      <w:r w:rsidRPr="16C893F4">
        <w:rPr>
          <w:i/>
          <w:iCs/>
          <w:sz w:val="24"/>
          <w:szCs w:val="24"/>
          <w:lang w:val="en-US"/>
        </w:rPr>
        <w:t>10</w:t>
      </w:r>
      <w:r w:rsidRPr="16C893F4">
        <w:rPr>
          <w:sz w:val="24"/>
          <w:szCs w:val="24"/>
          <w:lang w:val="en-US"/>
        </w:rPr>
        <w:t>, 1604–1609. b) H. Yuan, X. Li, X. Zhang, R. Kang, D. Tang,</w:t>
      </w:r>
      <w:r w:rsidRPr="16C893F4">
        <w:rPr>
          <w:b/>
          <w:bCs/>
          <w:sz w:val="24"/>
          <w:szCs w:val="24"/>
          <w:lang w:val="en-US"/>
        </w:rPr>
        <w:t xml:space="preserve"> </w:t>
      </w:r>
      <w:proofErr w:type="spellStart"/>
      <w:r w:rsidRPr="16C893F4">
        <w:rPr>
          <w:i/>
          <w:iCs/>
          <w:sz w:val="24"/>
          <w:szCs w:val="24"/>
          <w:lang w:val="en-US"/>
        </w:rPr>
        <w:t>Biochem</w:t>
      </w:r>
      <w:proofErr w:type="spellEnd"/>
      <w:r w:rsidRPr="16C893F4">
        <w:rPr>
          <w:i/>
          <w:iCs/>
          <w:sz w:val="24"/>
          <w:szCs w:val="24"/>
          <w:lang w:val="en-US"/>
        </w:rPr>
        <w:t xml:space="preserve"> </w:t>
      </w:r>
      <w:proofErr w:type="spellStart"/>
      <w:r w:rsidRPr="16C893F4">
        <w:rPr>
          <w:i/>
          <w:iCs/>
          <w:sz w:val="24"/>
          <w:szCs w:val="24"/>
          <w:lang w:val="en-US"/>
        </w:rPr>
        <w:t>Biophys</w:t>
      </w:r>
      <w:proofErr w:type="spellEnd"/>
      <w:r w:rsidRPr="16C893F4">
        <w:rPr>
          <w:i/>
          <w:iCs/>
          <w:sz w:val="24"/>
          <w:szCs w:val="24"/>
          <w:lang w:val="en-US"/>
        </w:rPr>
        <w:t xml:space="preserve"> Res Commun.</w:t>
      </w:r>
      <w:r w:rsidRPr="16C893F4">
        <w:rPr>
          <w:sz w:val="24"/>
          <w:szCs w:val="24"/>
          <w:lang w:val="en-US"/>
        </w:rPr>
        <w:t xml:space="preserve"> </w:t>
      </w:r>
      <w:r w:rsidRPr="16C893F4">
        <w:rPr>
          <w:b/>
          <w:bCs/>
          <w:sz w:val="24"/>
          <w:szCs w:val="24"/>
          <w:lang w:val="en-US"/>
        </w:rPr>
        <w:t>2016</w:t>
      </w:r>
      <w:r w:rsidRPr="16C893F4">
        <w:rPr>
          <w:sz w:val="24"/>
          <w:szCs w:val="24"/>
          <w:lang w:val="en-US"/>
        </w:rPr>
        <w:t xml:space="preserve">, </w:t>
      </w:r>
      <w:r w:rsidRPr="16C893F4">
        <w:rPr>
          <w:i/>
          <w:iCs/>
          <w:sz w:val="24"/>
          <w:szCs w:val="24"/>
          <w:lang w:val="en-US"/>
        </w:rPr>
        <w:t>478</w:t>
      </w:r>
      <w:r w:rsidRPr="16C893F4">
        <w:rPr>
          <w:sz w:val="24"/>
          <w:szCs w:val="24"/>
          <w:lang w:val="en-US"/>
        </w:rPr>
        <w:t xml:space="preserve">, 1338–1343. c) S. Doll, B. </w:t>
      </w:r>
      <w:proofErr w:type="spellStart"/>
      <w:r w:rsidRPr="16C893F4">
        <w:rPr>
          <w:sz w:val="24"/>
          <w:szCs w:val="24"/>
          <w:lang w:val="en-US"/>
        </w:rPr>
        <w:t>Proneth</w:t>
      </w:r>
      <w:proofErr w:type="spellEnd"/>
      <w:r w:rsidRPr="16C893F4">
        <w:rPr>
          <w:sz w:val="24"/>
          <w:szCs w:val="24"/>
          <w:lang w:val="en-US"/>
        </w:rPr>
        <w:t xml:space="preserve">, Y. Y. Tyurina, E. </w:t>
      </w:r>
      <w:proofErr w:type="spellStart"/>
      <w:r w:rsidRPr="16C893F4">
        <w:rPr>
          <w:sz w:val="24"/>
          <w:szCs w:val="24"/>
          <w:lang w:val="en-US"/>
        </w:rPr>
        <w:t>Panzilius</w:t>
      </w:r>
      <w:proofErr w:type="spellEnd"/>
      <w:r w:rsidRPr="16C893F4">
        <w:rPr>
          <w:sz w:val="24"/>
          <w:szCs w:val="24"/>
          <w:lang w:val="en-US"/>
        </w:rPr>
        <w:t xml:space="preserve">, S. Kobayashi, I. Ingold, M. Irmler, J. Beckers, M. </w:t>
      </w:r>
      <w:proofErr w:type="spellStart"/>
      <w:r w:rsidRPr="16C893F4">
        <w:rPr>
          <w:sz w:val="24"/>
          <w:szCs w:val="24"/>
          <w:lang w:val="en-US"/>
        </w:rPr>
        <w:t>Aichler</w:t>
      </w:r>
      <w:proofErr w:type="spellEnd"/>
      <w:r w:rsidRPr="16C893F4">
        <w:rPr>
          <w:sz w:val="24"/>
          <w:szCs w:val="24"/>
          <w:lang w:val="en-US"/>
        </w:rPr>
        <w:t xml:space="preserve">, A. Walch, H. Prokisch, D. </w:t>
      </w:r>
      <w:proofErr w:type="spellStart"/>
      <w:r w:rsidRPr="16C893F4">
        <w:rPr>
          <w:sz w:val="24"/>
          <w:szCs w:val="24"/>
          <w:lang w:val="en-US"/>
        </w:rPr>
        <w:t>Trümbach</w:t>
      </w:r>
      <w:proofErr w:type="spellEnd"/>
      <w:r w:rsidRPr="16C893F4">
        <w:rPr>
          <w:sz w:val="24"/>
          <w:szCs w:val="24"/>
          <w:lang w:val="en-US"/>
        </w:rPr>
        <w:t xml:space="preserve">, G. Mao, F. Qu, H. Bayir, J. </w:t>
      </w:r>
      <w:proofErr w:type="spellStart"/>
      <w:r w:rsidRPr="16C893F4">
        <w:rPr>
          <w:sz w:val="24"/>
          <w:szCs w:val="24"/>
          <w:lang w:val="en-US"/>
        </w:rPr>
        <w:t>Füllekrug</w:t>
      </w:r>
      <w:proofErr w:type="spellEnd"/>
      <w:r w:rsidRPr="16C893F4">
        <w:rPr>
          <w:sz w:val="24"/>
          <w:szCs w:val="24"/>
          <w:lang w:val="en-US"/>
        </w:rPr>
        <w:t xml:space="preserve">, C. H. Scheel, W. Wurst, J. A. Schick, V. E. Kagan, J. P. Angeli, M. Conrad, </w:t>
      </w:r>
      <w:r w:rsidRPr="16C893F4">
        <w:rPr>
          <w:i/>
          <w:iCs/>
          <w:sz w:val="24"/>
          <w:szCs w:val="24"/>
          <w:lang w:val="en-US"/>
        </w:rPr>
        <w:t>Nat. Chem. Biol.</w:t>
      </w:r>
      <w:r w:rsidRPr="16C893F4">
        <w:rPr>
          <w:sz w:val="24"/>
          <w:szCs w:val="24"/>
          <w:lang w:val="en-US"/>
        </w:rPr>
        <w:t xml:space="preserve"> </w:t>
      </w:r>
      <w:r w:rsidRPr="16C893F4">
        <w:rPr>
          <w:b/>
          <w:bCs/>
          <w:sz w:val="24"/>
          <w:szCs w:val="24"/>
          <w:lang w:val="en-US"/>
        </w:rPr>
        <w:t>2017</w:t>
      </w:r>
      <w:r w:rsidRPr="16C893F4">
        <w:rPr>
          <w:sz w:val="24"/>
          <w:szCs w:val="24"/>
          <w:lang w:val="en-US"/>
        </w:rPr>
        <w:t xml:space="preserve">, </w:t>
      </w:r>
      <w:r w:rsidRPr="16C893F4">
        <w:rPr>
          <w:i/>
          <w:iCs/>
          <w:sz w:val="24"/>
          <w:szCs w:val="24"/>
          <w:lang w:val="en-US"/>
        </w:rPr>
        <w:t>13</w:t>
      </w:r>
      <w:r w:rsidRPr="16C893F4">
        <w:rPr>
          <w:sz w:val="24"/>
          <w:szCs w:val="24"/>
          <w:lang w:val="en-US"/>
        </w:rPr>
        <w:t xml:space="preserve">, 91–98. d) V. E. Kagan, G. Mao, F. Qu, J. P. F. Angeli, S. Doll, C. S. Croix, H. H. Dar, B. Liu, V. A. Tyurin, V. B. </w:t>
      </w:r>
      <w:proofErr w:type="spellStart"/>
      <w:r w:rsidRPr="16C893F4">
        <w:rPr>
          <w:sz w:val="24"/>
          <w:szCs w:val="24"/>
          <w:lang w:val="en-US"/>
        </w:rPr>
        <w:t>Ritov</w:t>
      </w:r>
      <w:proofErr w:type="spellEnd"/>
      <w:r w:rsidRPr="16C893F4">
        <w:rPr>
          <w:sz w:val="24"/>
          <w:szCs w:val="24"/>
          <w:lang w:val="en-US"/>
        </w:rPr>
        <w:t xml:space="preserve">, A. A. Kapralov, A. A. </w:t>
      </w:r>
      <w:proofErr w:type="spellStart"/>
      <w:r w:rsidRPr="16C893F4">
        <w:rPr>
          <w:sz w:val="24"/>
          <w:szCs w:val="24"/>
          <w:lang w:val="en-US"/>
        </w:rPr>
        <w:t>Amoscato</w:t>
      </w:r>
      <w:proofErr w:type="spellEnd"/>
      <w:r w:rsidRPr="16C893F4">
        <w:rPr>
          <w:sz w:val="24"/>
          <w:szCs w:val="24"/>
          <w:lang w:val="en-US"/>
        </w:rPr>
        <w:t xml:space="preserve">, J. Jiang, T. Anthonymuthu, D. </w:t>
      </w:r>
      <w:proofErr w:type="spellStart"/>
      <w:r w:rsidRPr="16C893F4">
        <w:rPr>
          <w:sz w:val="24"/>
          <w:szCs w:val="24"/>
          <w:lang w:val="en-US"/>
        </w:rPr>
        <w:t>Mohammadyani</w:t>
      </w:r>
      <w:proofErr w:type="spellEnd"/>
      <w:r w:rsidRPr="16C893F4">
        <w:rPr>
          <w:sz w:val="24"/>
          <w:szCs w:val="24"/>
          <w:lang w:val="en-US"/>
        </w:rPr>
        <w:t xml:space="preserve">, Q. Yang, B. </w:t>
      </w:r>
      <w:proofErr w:type="spellStart"/>
      <w:r w:rsidRPr="16C893F4">
        <w:rPr>
          <w:sz w:val="24"/>
          <w:szCs w:val="24"/>
          <w:lang w:val="en-US"/>
        </w:rPr>
        <w:t>Proneth</w:t>
      </w:r>
      <w:proofErr w:type="spellEnd"/>
      <w:r w:rsidRPr="16C893F4">
        <w:rPr>
          <w:sz w:val="24"/>
          <w:szCs w:val="24"/>
          <w:lang w:val="en-US"/>
        </w:rPr>
        <w:t xml:space="preserve">, J. Klein-Seetharaman, S. Watkins, I. Bahar, J. Greenberger, R. K. </w:t>
      </w:r>
      <w:proofErr w:type="spellStart"/>
      <w:r w:rsidRPr="16C893F4">
        <w:rPr>
          <w:sz w:val="24"/>
          <w:szCs w:val="24"/>
          <w:lang w:val="en-US"/>
        </w:rPr>
        <w:t>Mallampalli</w:t>
      </w:r>
      <w:proofErr w:type="spellEnd"/>
      <w:r w:rsidRPr="16C893F4">
        <w:rPr>
          <w:sz w:val="24"/>
          <w:szCs w:val="24"/>
          <w:lang w:val="en-US"/>
        </w:rPr>
        <w:t xml:space="preserve">, B. R. Stockwell, Y. Y. Tyurina, M. Conrad, H. </w:t>
      </w:r>
      <w:proofErr w:type="spellStart"/>
      <w:r w:rsidRPr="16C893F4">
        <w:rPr>
          <w:sz w:val="24"/>
          <w:szCs w:val="24"/>
          <w:lang w:val="en-US"/>
        </w:rPr>
        <w:t>Bayır</w:t>
      </w:r>
      <w:proofErr w:type="spellEnd"/>
      <w:r w:rsidRPr="16C893F4">
        <w:rPr>
          <w:sz w:val="24"/>
          <w:szCs w:val="24"/>
          <w:lang w:val="en-US"/>
        </w:rPr>
        <w:t xml:space="preserve">, </w:t>
      </w:r>
      <w:r w:rsidRPr="16C893F4">
        <w:rPr>
          <w:i/>
          <w:iCs/>
          <w:sz w:val="24"/>
          <w:szCs w:val="24"/>
          <w:lang w:val="en-US"/>
        </w:rPr>
        <w:t>Nat. Chem. Biol.</w:t>
      </w:r>
      <w:r w:rsidRPr="16C893F4">
        <w:rPr>
          <w:sz w:val="24"/>
          <w:szCs w:val="24"/>
          <w:lang w:val="en-US"/>
        </w:rPr>
        <w:t xml:space="preserve"> </w:t>
      </w:r>
      <w:r w:rsidRPr="16C893F4">
        <w:rPr>
          <w:b/>
          <w:bCs/>
          <w:sz w:val="24"/>
          <w:szCs w:val="24"/>
          <w:lang w:val="en-US"/>
        </w:rPr>
        <w:t>2017</w:t>
      </w:r>
      <w:r w:rsidRPr="16C893F4">
        <w:rPr>
          <w:sz w:val="24"/>
          <w:szCs w:val="24"/>
          <w:lang w:val="en-US"/>
        </w:rPr>
        <w:t xml:space="preserve">, </w:t>
      </w:r>
      <w:r w:rsidRPr="16C893F4">
        <w:rPr>
          <w:i/>
          <w:iCs/>
          <w:sz w:val="24"/>
          <w:szCs w:val="24"/>
          <w:lang w:val="en-US"/>
        </w:rPr>
        <w:t>13</w:t>
      </w:r>
      <w:r w:rsidRPr="16C893F4">
        <w:rPr>
          <w:sz w:val="24"/>
          <w:szCs w:val="24"/>
          <w:lang w:val="en-US"/>
        </w:rPr>
        <w:t xml:space="preserve">, 81–90. e) H. L. Zhang, B. X. Hu, Z. L. Li, T. Du, J. L. Shan, Z. P. Ye, X. D. Peng, X. Li, Y. Huang, X. Y. Zhu, Y. H. Chen, G. K. Feng, D. Yang, R. Deng, X. F. Zhu, </w:t>
      </w:r>
      <w:r w:rsidRPr="16C893F4">
        <w:rPr>
          <w:i/>
          <w:iCs/>
          <w:sz w:val="24"/>
          <w:szCs w:val="24"/>
          <w:lang w:val="en-US"/>
        </w:rPr>
        <w:t>Nat. Cell. Biol.</w:t>
      </w:r>
      <w:r w:rsidRPr="16C893F4">
        <w:rPr>
          <w:sz w:val="24"/>
          <w:szCs w:val="24"/>
          <w:lang w:val="en-US"/>
        </w:rPr>
        <w:t xml:space="preserve"> </w:t>
      </w:r>
      <w:r w:rsidRPr="16C893F4">
        <w:rPr>
          <w:b/>
          <w:bCs/>
          <w:sz w:val="24"/>
          <w:szCs w:val="24"/>
          <w:lang w:val="en-US"/>
        </w:rPr>
        <w:t>2022</w:t>
      </w:r>
      <w:r w:rsidRPr="16C893F4">
        <w:rPr>
          <w:sz w:val="24"/>
          <w:szCs w:val="24"/>
          <w:lang w:val="en-US"/>
        </w:rPr>
        <w:t xml:space="preserve">, </w:t>
      </w:r>
      <w:r w:rsidRPr="006113C4">
        <w:rPr>
          <w:sz w:val="24"/>
          <w:szCs w:val="24"/>
          <w:lang w:val="en-US"/>
        </w:rPr>
        <w:t xml:space="preserve">24, 88–98. f) Z. Li, Z. M. Xu, W. P. Chen, X. J. Du, C. X. Ou, Z. K. Luo, R. Wang, C. Q. Zhang, C. D. Ge, M. Han, F. Wang, R. R. He, W. Y. Sun, J. Ma, X. Y. Liang, Z. W. Liu, </w:t>
      </w:r>
      <w:r w:rsidRPr="006113C4">
        <w:rPr>
          <w:i/>
          <w:iCs/>
          <w:sz w:val="24"/>
          <w:szCs w:val="24"/>
          <w:lang w:val="en-US"/>
        </w:rPr>
        <w:t>Nat. Chem. Biol.</w:t>
      </w:r>
      <w:r w:rsidRPr="006113C4">
        <w:rPr>
          <w:sz w:val="24"/>
          <w:szCs w:val="24"/>
          <w:lang w:val="en-US"/>
        </w:rPr>
        <w:t xml:space="preserve"> </w:t>
      </w:r>
      <w:r w:rsidRPr="006113C4">
        <w:rPr>
          <w:b/>
          <w:bCs/>
          <w:sz w:val="24"/>
          <w:szCs w:val="24"/>
          <w:lang w:val="en-US"/>
        </w:rPr>
        <w:t>2024</w:t>
      </w:r>
      <w:r w:rsidRPr="006113C4">
        <w:rPr>
          <w:sz w:val="24"/>
          <w:szCs w:val="24"/>
          <w:lang w:val="en-US"/>
        </w:rPr>
        <w:t xml:space="preserve">, </w:t>
      </w:r>
      <w:r w:rsidRPr="006113C4">
        <w:rPr>
          <w:i/>
          <w:iCs/>
          <w:sz w:val="24"/>
          <w:szCs w:val="24"/>
          <w:lang w:val="en-US"/>
        </w:rPr>
        <w:t>20</w:t>
      </w:r>
      <w:r w:rsidRPr="006113C4">
        <w:rPr>
          <w:sz w:val="24"/>
          <w:szCs w:val="24"/>
          <w:lang w:val="en-US"/>
        </w:rPr>
        <w:t>, 1341–1352.</w:t>
      </w:r>
    </w:p>
    <w:p w14:paraId="0C608FAA" w14:textId="77777777" w:rsidR="00582A7B" w:rsidRDefault="00582A7B" w:rsidP="00582A7B">
      <w:pPr>
        <w:spacing w:before="240" w:after="240"/>
        <w:jc w:val="both"/>
        <w:rPr>
          <w:sz w:val="24"/>
          <w:szCs w:val="24"/>
          <w:lang w:val="en-US"/>
        </w:rPr>
      </w:pPr>
      <w:r w:rsidRPr="00B0706E">
        <w:rPr>
          <w:sz w:val="24"/>
          <w:szCs w:val="24"/>
          <w:lang w:val="en-US"/>
        </w:rPr>
        <w:t xml:space="preserve">[9] a) S. J. Dixon, K. M. Lemberg, M. R. Lamprecht, R. </w:t>
      </w:r>
      <w:proofErr w:type="spellStart"/>
      <w:r w:rsidRPr="00B0706E">
        <w:rPr>
          <w:sz w:val="24"/>
          <w:szCs w:val="24"/>
          <w:lang w:val="en-US"/>
        </w:rPr>
        <w:t>Skouta</w:t>
      </w:r>
      <w:proofErr w:type="spellEnd"/>
      <w:r w:rsidRPr="00B0706E">
        <w:rPr>
          <w:sz w:val="24"/>
          <w:szCs w:val="24"/>
          <w:lang w:val="en-US"/>
        </w:rPr>
        <w:t>, E. M. Zaitsev, C. E. Gleason, D. N. Patel, A. J. Bauer, A. M. Cantley, W. S. Yang, B. Morrison 3rd, B. R.</w:t>
      </w:r>
      <w:r w:rsidRPr="00B0706E">
        <w:rPr>
          <w:b/>
          <w:sz w:val="24"/>
          <w:szCs w:val="24"/>
          <w:lang w:val="en-US"/>
        </w:rPr>
        <w:t xml:space="preserve"> </w:t>
      </w:r>
      <w:r w:rsidRPr="00B0706E">
        <w:rPr>
          <w:sz w:val="24"/>
          <w:szCs w:val="24"/>
          <w:lang w:val="en-US"/>
        </w:rPr>
        <w:t xml:space="preserve">Stockwell, </w:t>
      </w:r>
      <w:r w:rsidRPr="00B0706E">
        <w:rPr>
          <w:i/>
          <w:sz w:val="24"/>
          <w:szCs w:val="24"/>
          <w:lang w:val="en-US"/>
        </w:rPr>
        <w:t xml:space="preserve">Cell </w:t>
      </w:r>
      <w:r w:rsidRPr="00B0706E">
        <w:rPr>
          <w:b/>
          <w:sz w:val="24"/>
          <w:szCs w:val="24"/>
          <w:lang w:val="en-US"/>
        </w:rPr>
        <w:t>2012</w:t>
      </w:r>
      <w:r w:rsidRPr="00B0706E">
        <w:rPr>
          <w:sz w:val="24"/>
          <w:szCs w:val="24"/>
          <w:lang w:val="en-US"/>
        </w:rPr>
        <w:t xml:space="preserve">, </w:t>
      </w:r>
      <w:r w:rsidRPr="00B0706E">
        <w:rPr>
          <w:i/>
          <w:sz w:val="24"/>
          <w:szCs w:val="24"/>
          <w:lang w:val="en-US"/>
        </w:rPr>
        <w:t>149</w:t>
      </w:r>
      <w:r w:rsidRPr="00B0706E">
        <w:rPr>
          <w:sz w:val="24"/>
          <w:szCs w:val="24"/>
          <w:lang w:val="en-US"/>
        </w:rPr>
        <w:t>, 1060-1072. b) B. R.</w:t>
      </w:r>
      <w:r w:rsidRPr="00B0706E">
        <w:rPr>
          <w:b/>
          <w:sz w:val="24"/>
          <w:szCs w:val="24"/>
          <w:lang w:val="en-US"/>
        </w:rPr>
        <w:t xml:space="preserve"> </w:t>
      </w:r>
      <w:r w:rsidRPr="00B0706E">
        <w:rPr>
          <w:sz w:val="24"/>
          <w:szCs w:val="24"/>
          <w:lang w:val="en-US"/>
        </w:rPr>
        <w:t xml:space="preserve">Stockwell, </w:t>
      </w:r>
      <w:r w:rsidRPr="00B0706E">
        <w:rPr>
          <w:i/>
          <w:sz w:val="24"/>
          <w:szCs w:val="24"/>
          <w:lang w:val="en-US"/>
        </w:rPr>
        <w:t>Cell</w:t>
      </w:r>
      <w:r w:rsidRPr="00B0706E">
        <w:rPr>
          <w:sz w:val="24"/>
          <w:szCs w:val="24"/>
          <w:lang w:val="en-US"/>
        </w:rPr>
        <w:t xml:space="preserve"> </w:t>
      </w:r>
      <w:r w:rsidRPr="00B0706E">
        <w:rPr>
          <w:b/>
          <w:sz w:val="24"/>
          <w:szCs w:val="24"/>
          <w:lang w:val="en-US"/>
        </w:rPr>
        <w:t>2022</w:t>
      </w:r>
      <w:r w:rsidRPr="00B0706E">
        <w:rPr>
          <w:sz w:val="24"/>
          <w:szCs w:val="24"/>
          <w:lang w:val="en-US"/>
        </w:rPr>
        <w:t xml:space="preserve">, </w:t>
      </w:r>
      <w:r w:rsidRPr="00B0706E">
        <w:rPr>
          <w:i/>
          <w:sz w:val="24"/>
          <w:szCs w:val="24"/>
          <w:lang w:val="en-US"/>
        </w:rPr>
        <w:t>185</w:t>
      </w:r>
      <w:r w:rsidRPr="00B0706E">
        <w:rPr>
          <w:sz w:val="24"/>
          <w:szCs w:val="24"/>
          <w:lang w:val="en-US"/>
        </w:rPr>
        <w:t>, 2401–2421.</w:t>
      </w:r>
    </w:p>
    <w:p w14:paraId="6F741524" w14:textId="77777777" w:rsidR="00582A7B" w:rsidRPr="00DF1A00" w:rsidRDefault="00582A7B" w:rsidP="00582A7B">
      <w:pPr>
        <w:spacing w:before="240" w:after="240"/>
        <w:jc w:val="both"/>
        <w:rPr>
          <w:rStyle w:val="docsum-journal-citation"/>
          <w:sz w:val="24"/>
          <w:szCs w:val="24"/>
          <w:lang w:val="en-US"/>
        </w:rPr>
      </w:pPr>
      <w:r w:rsidRPr="00842C4D">
        <w:rPr>
          <w:sz w:val="24"/>
          <w:szCs w:val="24"/>
          <w:lang w:val="en-US"/>
        </w:rPr>
        <w:t xml:space="preserve">[10] </w:t>
      </w:r>
      <w:r w:rsidRPr="00DF1A00">
        <w:rPr>
          <w:rStyle w:val="docsum-authors"/>
          <w:sz w:val="24"/>
          <w:szCs w:val="24"/>
          <w:lang w:val="en-US"/>
        </w:rPr>
        <w:t xml:space="preserve">Y. Chen, H. Fan, S. Wang, G. Tang, C. Zhai, L. Shen, </w:t>
      </w:r>
      <w:r w:rsidRPr="00DF1A00">
        <w:rPr>
          <w:rStyle w:val="docsum-journal-citation"/>
          <w:i/>
          <w:sz w:val="24"/>
          <w:szCs w:val="24"/>
          <w:lang w:val="en-US"/>
        </w:rPr>
        <w:t>Front. Cell Dev. Biol.</w:t>
      </w:r>
      <w:r w:rsidRPr="00DF1A00">
        <w:rPr>
          <w:rStyle w:val="docsum-journal-citation"/>
          <w:sz w:val="24"/>
          <w:szCs w:val="24"/>
          <w:lang w:val="en-US"/>
        </w:rPr>
        <w:t xml:space="preserve"> </w:t>
      </w:r>
      <w:r w:rsidRPr="00DF1A00">
        <w:rPr>
          <w:rStyle w:val="docsum-journal-citation"/>
          <w:b/>
          <w:sz w:val="24"/>
          <w:szCs w:val="24"/>
          <w:lang w:val="en-US"/>
        </w:rPr>
        <w:t>2021</w:t>
      </w:r>
      <w:r w:rsidRPr="00DF1A00">
        <w:rPr>
          <w:rStyle w:val="docsum-journal-citation"/>
          <w:sz w:val="24"/>
          <w:szCs w:val="24"/>
          <w:lang w:val="en-US"/>
        </w:rPr>
        <w:t xml:space="preserve">, </w:t>
      </w:r>
      <w:r w:rsidRPr="00DF1A00">
        <w:rPr>
          <w:rStyle w:val="docsum-journal-citation"/>
          <w:i/>
          <w:sz w:val="24"/>
          <w:szCs w:val="24"/>
          <w:lang w:val="en-US"/>
        </w:rPr>
        <w:t>10</w:t>
      </w:r>
      <w:r w:rsidRPr="00DF1A00">
        <w:rPr>
          <w:rStyle w:val="docsum-journal-citation"/>
          <w:sz w:val="24"/>
          <w:szCs w:val="24"/>
          <w:lang w:val="en-US"/>
        </w:rPr>
        <w:t>, 688605.</w:t>
      </w:r>
    </w:p>
    <w:p w14:paraId="535C029C" w14:textId="77777777" w:rsidR="00582A7B" w:rsidRPr="00842C4D" w:rsidRDefault="00582A7B" w:rsidP="00582A7B">
      <w:pPr>
        <w:spacing w:before="240" w:after="240"/>
        <w:jc w:val="both"/>
        <w:rPr>
          <w:sz w:val="24"/>
          <w:szCs w:val="24"/>
          <w:lang w:val="en-US"/>
        </w:rPr>
      </w:pPr>
      <w:r w:rsidRPr="00DF1A00">
        <w:rPr>
          <w:rStyle w:val="docsum-journal-citation"/>
          <w:sz w:val="24"/>
          <w:szCs w:val="24"/>
          <w:lang w:val="en-US"/>
        </w:rPr>
        <w:t xml:space="preserve">[11] </w:t>
      </w:r>
      <w:r w:rsidRPr="00DF1A00">
        <w:rPr>
          <w:sz w:val="24"/>
          <w:szCs w:val="24"/>
          <w:lang w:val="en-US"/>
        </w:rPr>
        <w:t xml:space="preserve">S. K. Ryan, C. L. Ugalde, A. S. Rolland, J. Skidmore, D. Devos, T. R. Hammond, </w:t>
      </w:r>
      <w:r w:rsidRPr="00DF1A00">
        <w:rPr>
          <w:i/>
          <w:sz w:val="24"/>
          <w:szCs w:val="24"/>
          <w:lang w:val="en-US"/>
        </w:rPr>
        <w:t xml:space="preserve">Trends </w:t>
      </w:r>
      <w:proofErr w:type="spellStart"/>
      <w:r w:rsidRPr="00DF1A00">
        <w:rPr>
          <w:i/>
          <w:sz w:val="24"/>
          <w:szCs w:val="24"/>
          <w:lang w:val="en-US"/>
        </w:rPr>
        <w:t>Pharmacol</w:t>
      </w:r>
      <w:proofErr w:type="spellEnd"/>
      <w:r w:rsidRPr="00DF1A00">
        <w:rPr>
          <w:i/>
          <w:sz w:val="24"/>
          <w:szCs w:val="24"/>
          <w:lang w:val="en-US"/>
        </w:rPr>
        <w:t>. Sci.</w:t>
      </w:r>
      <w:r w:rsidRPr="00DF1A00">
        <w:rPr>
          <w:sz w:val="24"/>
          <w:szCs w:val="24"/>
          <w:lang w:val="en-US"/>
        </w:rPr>
        <w:t xml:space="preserve"> </w:t>
      </w:r>
      <w:r w:rsidRPr="00DF1A00">
        <w:rPr>
          <w:b/>
          <w:sz w:val="24"/>
          <w:szCs w:val="24"/>
          <w:lang w:val="en-US"/>
        </w:rPr>
        <w:t>2023</w:t>
      </w:r>
      <w:r w:rsidRPr="00DF1A00">
        <w:rPr>
          <w:sz w:val="24"/>
          <w:szCs w:val="24"/>
          <w:lang w:val="en-US"/>
        </w:rPr>
        <w:t xml:space="preserve">, </w:t>
      </w:r>
      <w:r w:rsidRPr="00DF1A00">
        <w:rPr>
          <w:i/>
          <w:sz w:val="24"/>
          <w:szCs w:val="24"/>
          <w:lang w:val="en-US"/>
        </w:rPr>
        <w:t>44</w:t>
      </w:r>
      <w:r w:rsidRPr="00DF1A00">
        <w:rPr>
          <w:sz w:val="24"/>
          <w:szCs w:val="24"/>
          <w:lang w:val="en-US"/>
        </w:rPr>
        <w:t>, 674</w:t>
      </w:r>
      <w:r w:rsidRPr="00842C4D">
        <w:rPr>
          <w:sz w:val="24"/>
          <w:szCs w:val="24"/>
          <w:lang w:val="en-US"/>
        </w:rPr>
        <w:t>–</w:t>
      </w:r>
      <w:r w:rsidRPr="00E93965">
        <w:rPr>
          <w:sz w:val="24"/>
          <w:szCs w:val="24"/>
          <w:lang w:val="en-US"/>
        </w:rPr>
        <w:t>688.</w:t>
      </w:r>
    </w:p>
    <w:p w14:paraId="0FBFE358" w14:textId="23219F21" w:rsidR="00076B3F" w:rsidRPr="00936CE0" w:rsidRDefault="21171E1F" w:rsidP="00936CE0">
      <w:pPr>
        <w:spacing w:before="240" w:after="240"/>
        <w:jc w:val="both"/>
        <w:rPr>
          <w:rFonts w:eastAsia="Times New Roman"/>
          <w:sz w:val="24"/>
          <w:szCs w:val="24"/>
          <w:lang w:val="en-US"/>
        </w:rPr>
      </w:pPr>
      <w:r w:rsidRPr="006113C4">
        <w:rPr>
          <w:sz w:val="24"/>
          <w:szCs w:val="24"/>
          <w:lang w:val="en-US"/>
        </w:rPr>
        <w:t>[12] a) Q.</w:t>
      </w:r>
      <w:r w:rsidRPr="006113C4">
        <w:rPr>
          <w:rFonts w:eastAsia="Times New Roman"/>
          <w:sz w:val="24"/>
          <w:szCs w:val="24"/>
          <w:lang w:val="en-US"/>
        </w:rPr>
        <w:t xml:space="preserve"> Huang, Y. Ru, Y. Luo, X. Luo, D. Liu, Y. Ma, X. Zhou, M. </w:t>
      </w:r>
      <w:proofErr w:type="spellStart"/>
      <w:r w:rsidRPr="006113C4">
        <w:rPr>
          <w:rFonts w:eastAsia="Times New Roman"/>
          <w:sz w:val="24"/>
          <w:szCs w:val="24"/>
          <w:lang w:val="en-US"/>
        </w:rPr>
        <w:t>Linghu</w:t>
      </w:r>
      <w:proofErr w:type="spellEnd"/>
      <w:r w:rsidRPr="006113C4">
        <w:rPr>
          <w:rFonts w:eastAsia="Times New Roman"/>
          <w:sz w:val="24"/>
          <w:szCs w:val="24"/>
          <w:lang w:val="en-US"/>
        </w:rPr>
        <w:t xml:space="preserve">, W. Xu, F. Gao, Y. Huang, </w:t>
      </w:r>
      <w:r w:rsidRPr="006113C4">
        <w:rPr>
          <w:rFonts w:eastAsia="Times New Roman"/>
          <w:i/>
          <w:iCs/>
          <w:sz w:val="24"/>
          <w:szCs w:val="24"/>
          <w:lang w:val="en-US"/>
        </w:rPr>
        <w:t>Sci. Adv.</w:t>
      </w:r>
      <w:r w:rsidRPr="006113C4">
        <w:rPr>
          <w:rFonts w:eastAsia="Times New Roman"/>
          <w:sz w:val="24"/>
          <w:szCs w:val="24"/>
          <w:lang w:val="en-US"/>
        </w:rPr>
        <w:t xml:space="preserve"> </w:t>
      </w:r>
      <w:r w:rsidRPr="006113C4">
        <w:rPr>
          <w:rFonts w:eastAsia="Times New Roman"/>
          <w:b/>
          <w:bCs/>
          <w:sz w:val="24"/>
          <w:szCs w:val="24"/>
          <w:lang w:val="en-US"/>
        </w:rPr>
        <w:t>2024</w:t>
      </w:r>
      <w:r w:rsidRPr="006113C4">
        <w:rPr>
          <w:rFonts w:eastAsia="Times New Roman"/>
          <w:sz w:val="24"/>
          <w:szCs w:val="24"/>
          <w:lang w:val="en-US"/>
        </w:rPr>
        <w:t xml:space="preserve">, </w:t>
      </w:r>
      <w:r w:rsidRPr="006113C4">
        <w:rPr>
          <w:rFonts w:eastAsia="Times New Roman"/>
          <w:i/>
          <w:iCs/>
          <w:sz w:val="24"/>
          <w:szCs w:val="24"/>
          <w:lang w:val="en-US"/>
        </w:rPr>
        <w:t>10</w:t>
      </w:r>
      <w:r w:rsidRPr="006113C4">
        <w:rPr>
          <w:rFonts w:eastAsia="Times New Roman"/>
          <w:sz w:val="24"/>
          <w:szCs w:val="24"/>
          <w:lang w:val="en-US"/>
        </w:rPr>
        <w:t xml:space="preserve">, eadk1200. b) W. Yan, D. Wang, N. Wan, S. Wang, C. Shao, H. Zhang, Z. Zhao, W. Lu, Y. Tian, H. Ye, H. Hao, </w:t>
      </w:r>
      <w:r w:rsidRPr="006113C4">
        <w:rPr>
          <w:rFonts w:eastAsia="Times New Roman"/>
          <w:i/>
          <w:iCs/>
          <w:sz w:val="24"/>
          <w:szCs w:val="24"/>
          <w:lang w:val="en-US"/>
        </w:rPr>
        <w:t>Anal. Chem.</w:t>
      </w:r>
      <w:r w:rsidRPr="006113C4">
        <w:rPr>
          <w:rFonts w:eastAsia="Times New Roman"/>
          <w:sz w:val="24"/>
          <w:szCs w:val="24"/>
          <w:lang w:val="en-US"/>
        </w:rPr>
        <w:t xml:space="preserve"> </w:t>
      </w:r>
      <w:r w:rsidRPr="006113C4">
        <w:rPr>
          <w:rFonts w:eastAsia="Times New Roman"/>
          <w:b/>
          <w:bCs/>
          <w:sz w:val="24"/>
          <w:szCs w:val="24"/>
          <w:lang w:val="en-US"/>
        </w:rPr>
        <w:t>2022</w:t>
      </w:r>
      <w:r w:rsidRPr="006113C4">
        <w:rPr>
          <w:rFonts w:eastAsia="Times New Roman"/>
          <w:sz w:val="24"/>
          <w:szCs w:val="24"/>
          <w:lang w:val="en-US"/>
        </w:rPr>
        <w:t xml:space="preserve">, </w:t>
      </w:r>
      <w:r w:rsidRPr="006113C4">
        <w:rPr>
          <w:rFonts w:eastAsia="Times New Roman"/>
          <w:i/>
          <w:iCs/>
          <w:sz w:val="24"/>
          <w:szCs w:val="24"/>
          <w:lang w:val="en-US"/>
        </w:rPr>
        <w:t>94</w:t>
      </w:r>
      <w:r w:rsidRPr="006113C4">
        <w:rPr>
          <w:rFonts w:eastAsia="Times New Roman"/>
          <w:sz w:val="24"/>
          <w:szCs w:val="24"/>
          <w:lang w:val="en-US"/>
        </w:rPr>
        <w:t xml:space="preserve">, 14820–14826. c) A. F. Castillo, U. D. Orlando, P. M. </w:t>
      </w:r>
      <w:proofErr w:type="spellStart"/>
      <w:r w:rsidRPr="006113C4">
        <w:rPr>
          <w:rFonts w:eastAsia="Times New Roman"/>
          <w:sz w:val="24"/>
          <w:szCs w:val="24"/>
          <w:lang w:val="en-US"/>
        </w:rPr>
        <w:t>Maloberti</w:t>
      </w:r>
      <w:proofErr w:type="spellEnd"/>
      <w:r w:rsidRPr="006113C4">
        <w:rPr>
          <w:rFonts w:eastAsia="Times New Roman"/>
          <w:sz w:val="24"/>
          <w:szCs w:val="24"/>
          <w:lang w:val="en-US"/>
        </w:rPr>
        <w:t xml:space="preserve">, J. G. Prada, M. A. Dattilo, A. R. Solano, M. M. Bigi, M. A. Ríos Medrano, M. T. Torres, S. Indo, G. Caroca, H. R. Contreras, B. E. Marelli, F. J. Salinas, N. R. Salvetti, H. H. Ortega, P. Lorenzano Menna, S. </w:t>
      </w:r>
      <w:proofErr w:type="spellStart"/>
      <w:r w:rsidRPr="006113C4">
        <w:rPr>
          <w:rFonts w:eastAsia="Times New Roman"/>
          <w:sz w:val="24"/>
          <w:szCs w:val="24"/>
          <w:lang w:val="en-US"/>
        </w:rPr>
        <w:t>Szajnman</w:t>
      </w:r>
      <w:proofErr w:type="spellEnd"/>
      <w:r w:rsidRPr="006113C4">
        <w:rPr>
          <w:rFonts w:eastAsia="Times New Roman"/>
          <w:sz w:val="24"/>
          <w:szCs w:val="24"/>
          <w:lang w:val="en-US"/>
        </w:rPr>
        <w:t xml:space="preserve">, D. E. Gomez, J. B. Rodríguez, E. J. Podesta, </w:t>
      </w:r>
      <w:r w:rsidRPr="006113C4">
        <w:rPr>
          <w:rFonts w:eastAsia="Times New Roman"/>
          <w:i/>
          <w:iCs/>
          <w:sz w:val="24"/>
          <w:szCs w:val="24"/>
          <w:lang w:val="en-US"/>
        </w:rPr>
        <w:t>Cell. Mol. Life Sci.</w:t>
      </w:r>
      <w:r w:rsidRPr="006113C4">
        <w:rPr>
          <w:rFonts w:eastAsia="Times New Roman"/>
          <w:sz w:val="24"/>
          <w:szCs w:val="24"/>
          <w:lang w:val="en-US"/>
        </w:rPr>
        <w:t xml:space="preserve"> </w:t>
      </w:r>
      <w:r w:rsidRPr="006113C4">
        <w:rPr>
          <w:rFonts w:eastAsia="Times New Roman"/>
          <w:b/>
          <w:bCs/>
          <w:sz w:val="24"/>
          <w:szCs w:val="24"/>
          <w:lang w:val="en-US"/>
        </w:rPr>
        <w:t>2021</w:t>
      </w:r>
      <w:r w:rsidRPr="006113C4">
        <w:rPr>
          <w:rFonts w:eastAsia="Times New Roman"/>
          <w:sz w:val="24"/>
          <w:szCs w:val="24"/>
          <w:lang w:val="en-US"/>
        </w:rPr>
        <w:t xml:space="preserve">, </w:t>
      </w:r>
      <w:r w:rsidRPr="006113C4">
        <w:rPr>
          <w:rFonts w:eastAsia="Times New Roman"/>
          <w:i/>
          <w:iCs/>
          <w:sz w:val="24"/>
          <w:szCs w:val="24"/>
          <w:lang w:val="en-US"/>
        </w:rPr>
        <w:t>78</w:t>
      </w:r>
      <w:r w:rsidRPr="006113C4">
        <w:rPr>
          <w:rFonts w:eastAsia="Times New Roman"/>
          <w:sz w:val="24"/>
          <w:szCs w:val="24"/>
          <w:lang w:val="en-US"/>
        </w:rPr>
        <w:t xml:space="preserve">, 2893–2910. d) </w:t>
      </w:r>
      <w:r w:rsidRPr="006113C4">
        <w:rPr>
          <w:sz w:val="24"/>
          <w:szCs w:val="24"/>
          <w:lang w:val="en-US"/>
        </w:rPr>
        <w:t xml:space="preserve">J. Duan, Z. Wang, R. Duan, C. Yang, R. Zhao, Q. Feng, Y. Qin, J. Jiang, S. Gu, K. </w:t>
      </w:r>
      <w:proofErr w:type="spellStart"/>
      <w:r w:rsidRPr="006113C4">
        <w:rPr>
          <w:sz w:val="24"/>
          <w:szCs w:val="24"/>
          <w:lang w:val="en-US"/>
        </w:rPr>
        <w:t>Lv</w:t>
      </w:r>
      <w:proofErr w:type="spellEnd"/>
      <w:r w:rsidRPr="006113C4">
        <w:rPr>
          <w:sz w:val="24"/>
          <w:szCs w:val="24"/>
          <w:lang w:val="en-US"/>
        </w:rPr>
        <w:t xml:space="preserve">, L. Zhang, B. He, L. </w:t>
      </w:r>
      <w:proofErr w:type="spellStart"/>
      <w:r w:rsidRPr="006113C4">
        <w:rPr>
          <w:sz w:val="24"/>
          <w:szCs w:val="24"/>
          <w:lang w:val="en-US"/>
        </w:rPr>
        <w:t>Birnbaumer</w:t>
      </w:r>
      <w:proofErr w:type="spellEnd"/>
      <w:r w:rsidRPr="006113C4">
        <w:rPr>
          <w:sz w:val="24"/>
          <w:szCs w:val="24"/>
          <w:lang w:val="en-US"/>
        </w:rPr>
        <w:t xml:space="preserve">, S. Yang, Z. Chen, Y. Yang, </w:t>
      </w:r>
      <w:r w:rsidRPr="006113C4">
        <w:rPr>
          <w:i/>
          <w:iCs/>
          <w:sz w:val="24"/>
          <w:szCs w:val="24"/>
          <w:lang w:val="en-US"/>
        </w:rPr>
        <w:t>Hepatology</w:t>
      </w:r>
      <w:r w:rsidRPr="006113C4">
        <w:rPr>
          <w:sz w:val="24"/>
          <w:szCs w:val="24"/>
          <w:lang w:val="en-US"/>
        </w:rPr>
        <w:t xml:space="preserve"> </w:t>
      </w:r>
      <w:r w:rsidRPr="006113C4">
        <w:rPr>
          <w:b/>
          <w:bCs/>
          <w:sz w:val="24"/>
          <w:szCs w:val="24"/>
          <w:lang w:val="en-US"/>
        </w:rPr>
        <w:t>2022</w:t>
      </w:r>
      <w:r w:rsidRPr="006113C4">
        <w:rPr>
          <w:sz w:val="24"/>
          <w:szCs w:val="24"/>
          <w:lang w:val="en-US"/>
        </w:rPr>
        <w:t xml:space="preserve">, </w:t>
      </w:r>
      <w:r w:rsidRPr="006113C4">
        <w:rPr>
          <w:i/>
          <w:iCs/>
          <w:sz w:val="24"/>
          <w:szCs w:val="24"/>
          <w:lang w:val="en-US"/>
        </w:rPr>
        <w:t>75</w:t>
      </w:r>
      <w:r w:rsidRPr="006113C4">
        <w:rPr>
          <w:sz w:val="24"/>
          <w:szCs w:val="24"/>
          <w:lang w:val="en-US"/>
        </w:rPr>
        <w:t>, 140</w:t>
      </w:r>
      <w:r w:rsidRPr="006113C4">
        <w:rPr>
          <w:rFonts w:eastAsia="Times New Roman"/>
          <w:sz w:val="24"/>
          <w:szCs w:val="24"/>
          <w:lang w:val="en-US"/>
        </w:rPr>
        <w:t>–</w:t>
      </w:r>
      <w:r w:rsidRPr="006113C4">
        <w:rPr>
          <w:sz w:val="24"/>
          <w:szCs w:val="24"/>
          <w:lang w:val="en-US"/>
        </w:rPr>
        <w:t>153.</w:t>
      </w:r>
    </w:p>
    <w:p w14:paraId="0BDCF052" w14:textId="0B63D3C5" w:rsidR="00582A7B" w:rsidRPr="009B5E32" w:rsidRDefault="00582A7B" w:rsidP="00076B3F">
      <w:pPr>
        <w:spacing w:after="240" w:line="480" w:lineRule="auto"/>
        <w:rPr>
          <w:sz w:val="24"/>
          <w:szCs w:val="24"/>
          <w:lang w:val="en-US"/>
        </w:rPr>
      </w:pPr>
      <w:r w:rsidRPr="009B5E32">
        <w:rPr>
          <w:sz w:val="24"/>
          <w:szCs w:val="24"/>
          <w:lang w:val="en-US"/>
        </w:rPr>
        <w:lastRenderedPageBreak/>
        <w:t>[1</w:t>
      </w:r>
      <w:r w:rsidR="00310DBC">
        <w:rPr>
          <w:sz w:val="24"/>
          <w:szCs w:val="24"/>
          <w:lang w:val="en-US"/>
        </w:rPr>
        <w:t>3</w:t>
      </w:r>
      <w:r w:rsidRPr="009B5E32">
        <w:rPr>
          <w:sz w:val="24"/>
          <w:szCs w:val="24"/>
          <w:lang w:val="en-US"/>
        </w:rPr>
        <w:t>] J. H. Kim, T. M. Lewin, R. A. Coleman,</w:t>
      </w:r>
      <w:r w:rsidRPr="009B5E32">
        <w:rPr>
          <w:i/>
          <w:sz w:val="24"/>
          <w:szCs w:val="24"/>
          <w:lang w:val="en-US"/>
        </w:rPr>
        <w:t xml:space="preserve"> J. Biol. Chem. </w:t>
      </w:r>
      <w:r w:rsidRPr="009B5E32">
        <w:rPr>
          <w:b/>
          <w:sz w:val="24"/>
          <w:szCs w:val="24"/>
          <w:lang w:val="en-US"/>
        </w:rPr>
        <w:t>2001</w:t>
      </w:r>
      <w:r w:rsidRPr="009B5E32">
        <w:rPr>
          <w:sz w:val="24"/>
          <w:szCs w:val="24"/>
          <w:lang w:val="en-US"/>
        </w:rPr>
        <w:t xml:space="preserve">, </w:t>
      </w:r>
      <w:r w:rsidRPr="009B5E32">
        <w:rPr>
          <w:i/>
          <w:sz w:val="24"/>
          <w:szCs w:val="24"/>
          <w:lang w:val="en-US"/>
        </w:rPr>
        <w:t>276</w:t>
      </w:r>
      <w:r w:rsidRPr="009B5E32">
        <w:rPr>
          <w:sz w:val="24"/>
          <w:szCs w:val="24"/>
          <w:lang w:val="en-US"/>
        </w:rPr>
        <w:t>, 24667–24673.</w:t>
      </w:r>
    </w:p>
    <w:p w14:paraId="35FC1E81" w14:textId="128C540B" w:rsidR="00582A7B" w:rsidRPr="009B5E32" w:rsidRDefault="00310DBC" w:rsidP="00582A7B">
      <w:pPr>
        <w:spacing w:before="240" w:after="240"/>
        <w:jc w:val="both"/>
        <w:rPr>
          <w:sz w:val="24"/>
          <w:szCs w:val="24"/>
          <w:lang w:val="en-US"/>
        </w:rPr>
      </w:pPr>
      <w:r>
        <w:rPr>
          <w:sz w:val="24"/>
          <w:szCs w:val="24"/>
          <w:lang w:val="en-US"/>
        </w:rPr>
        <w:t>[14</w:t>
      </w:r>
      <w:r w:rsidR="00582A7B" w:rsidRPr="009B5E32">
        <w:rPr>
          <w:sz w:val="24"/>
          <w:szCs w:val="24"/>
          <w:lang w:val="en-US"/>
        </w:rPr>
        <w:t xml:space="preserve">] Y. </w:t>
      </w:r>
      <w:proofErr w:type="spellStart"/>
      <w:r w:rsidR="00582A7B" w:rsidRPr="009B5E32">
        <w:rPr>
          <w:sz w:val="24"/>
          <w:szCs w:val="24"/>
          <w:lang w:val="en-US"/>
        </w:rPr>
        <w:t>Hisanaga</w:t>
      </w:r>
      <w:proofErr w:type="spellEnd"/>
      <w:r w:rsidR="00582A7B" w:rsidRPr="009B5E32">
        <w:rPr>
          <w:sz w:val="24"/>
          <w:szCs w:val="24"/>
          <w:lang w:val="en-US"/>
        </w:rPr>
        <w:t xml:space="preserve">, H. Ago, N. Nakagawa, K. Hamada, K. Ida, M. Yamamoto, T. Hori, Y. Arii, M. Sugahara, S. </w:t>
      </w:r>
      <w:proofErr w:type="spellStart"/>
      <w:r w:rsidR="00582A7B" w:rsidRPr="009B5E32">
        <w:rPr>
          <w:sz w:val="24"/>
          <w:szCs w:val="24"/>
          <w:lang w:val="en-US"/>
        </w:rPr>
        <w:t>Kuramitsu</w:t>
      </w:r>
      <w:proofErr w:type="spellEnd"/>
      <w:r w:rsidR="00582A7B" w:rsidRPr="009B5E32">
        <w:rPr>
          <w:sz w:val="24"/>
          <w:szCs w:val="24"/>
          <w:lang w:val="en-US"/>
        </w:rPr>
        <w:t xml:space="preserve">, S. Yokoyama, M. Miyano, </w:t>
      </w:r>
      <w:r w:rsidR="00582A7B" w:rsidRPr="009B5E32">
        <w:rPr>
          <w:i/>
          <w:sz w:val="24"/>
          <w:szCs w:val="24"/>
          <w:lang w:val="en-US"/>
        </w:rPr>
        <w:t>J. Biol. Chem.</w:t>
      </w:r>
      <w:r w:rsidR="00582A7B" w:rsidRPr="009B5E32">
        <w:rPr>
          <w:sz w:val="24"/>
          <w:szCs w:val="24"/>
          <w:lang w:val="en-US"/>
        </w:rPr>
        <w:t xml:space="preserve"> </w:t>
      </w:r>
      <w:r w:rsidR="00582A7B" w:rsidRPr="009B5E32">
        <w:rPr>
          <w:b/>
          <w:sz w:val="24"/>
          <w:szCs w:val="24"/>
          <w:lang w:val="en-US"/>
        </w:rPr>
        <w:t>2004</w:t>
      </w:r>
      <w:r w:rsidR="00582A7B" w:rsidRPr="009B5E32">
        <w:rPr>
          <w:sz w:val="24"/>
          <w:szCs w:val="24"/>
          <w:lang w:val="en-US"/>
        </w:rPr>
        <w:t xml:space="preserve">, </w:t>
      </w:r>
      <w:r w:rsidR="00582A7B" w:rsidRPr="009B5E32">
        <w:rPr>
          <w:i/>
          <w:sz w:val="24"/>
          <w:szCs w:val="24"/>
          <w:lang w:val="en-US"/>
        </w:rPr>
        <w:t>23</w:t>
      </w:r>
      <w:r w:rsidR="00582A7B" w:rsidRPr="009B5E32">
        <w:rPr>
          <w:sz w:val="24"/>
          <w:szCs w:val="24"/>
          <w:lang w:val="en-US"/>
        </w:rPr>
        <w:t>, 31717–31726.</w:t>
      </w:r>
    </w:p>
    <w:p w14:paraId="23CBCECE" w14:textId="73314CDF" w:rsidR="00582A7B" w:rsidRPr="009B5E32" w:rsidRDefault="00582A7B" w:rsidP="00582A7B">
      <w:pPr>
        <w:spacing w:before="240" w:after="240"/>
        <w:jc w:val="both"/>
        <w:rPr>
          <w:sz w:val="24"/>
          <w:szCs w:val="24"/>
          <w:lang w:val="en-US"/>
        </w:rPr>
      </w:pPr>
      <w:r w:rsidRPr="009B5E32">
        <w:rPr>
          <w:sz w:val="24"/>
          <w:szCs w:val="24"/>
          <w:lang w:val="en-US"/>
        </w:rPr>
        <w:t>[</w:t>
      </w:r>
      <w:r w:rsidR="007E1CB2" w:rsidRPr="009B5E32">
        <w:rPr>
          <w:sz w:val="24"/>
          <w:szCs w:val="24"/>
          <w:lang w:val="en-US"/>
        </w:rPr>
        <w:t>1</w:t>
      </w:r>
      <w:r w:rsidR="00310DBC">
        <w:rPr>
          <w:sz w:val="24"/>
          <w:szCs w:val="24"/>
          <w:lang w:val="en-US"/>
        </w:rPr>
        <w:t>5</w:t>
      </w:r>
      <w:r w:rsidRPr="009B5E32">
        <w:rPr>
          <w:sz w:val="24"/>
          <w:szCs w:val="24"/>
          <w:lang w:val="en-US"/>
        </w:rPr>
        <w:t>] a) D. D. Weis, Hydrogen Exchange Mass Spectrometry of Proteins (John Wiley &amp; Sons, 2016)</w:t>
      </w:r>
      <w:r w:rsidR="001C62CA">
        <w:rPr>
          <w:sz w:val="24"/>
          <w:szCs w:val="24"/>
          <w:lang w:val="en-US"/>
        </w:rPr>
        <w:t>.</w:t>
      </w:r>
      <w:r w:rsidRPr="009B5E32">
        <w:rPr>
          <w:sz w:val="24"/>
          <w:szCs w:val="24"/>
          <w:lang w:val="en-US"/>
        </w:rPr>
        <w:t xml:space="preserve"> b) L. </w:t>
      </w:r>
      <w:proofErr w:type="spellStart"/>
      <w:r w:rsidRPr="009B5E32">
        <w:rPr>
          <w:sz w:val="24"/>
          <w:szCs w:val="24"/>
          <w:lang w:val="en-US"/>
        </w:rPr>
        <w:t>Konermann</w:t>
      </w:r>
      <w:proofErr w:type="spellEnd"/>
      <w:r w:rsidRPr="009B5E32">
        <w:rPr>
          <w:sz w:val="24"/>
          <w:szCs w:val="24"/>
          <w:lang w:val="en-US"/>
        </w:rPr>
        <w:t xml:space="preserve">, J. Pan, Y. H. Liu, </w:t>
      </w:r>
      <w:r w:rsidRPr="009B5E32">
        <w:rPr>
          <w:i/>
          <w:sz w:val="24"/>
          <w:szCs w:val="24"/>
          <w:lang w:val="en-US"/>
        </w:rPr>
        <w:t>Chem. Soc. Rev.</w:t>
      </w:r>
      <w:r w:rsidRPr="009B5E32">
        <w:rPr>
          <w:sz w:val="24"/>
          <w:szCs w:val="24"/>
          <w:lang w:val="en-US"/>
        </w:rPr>
        <w:t xml:space="preserve"> </w:t>
      </w:r>
      <w:r w:rsidRPr="009B5E32">
        <w:rPr>
          <w:b/>
          <w:sz w:val="24"/>
          <w:szCs w:val="24"/>
          <w:lang w:val="en-US"/>
        </w:rPr>
        <w:t>2011</w:t>
      </w:r>
      <w:r w:rsidRPr="009B5E32">
        <w:rPr>
          <w:sz w:val="24"/>
          <w:szCs w:val="24"/>
          <w:lang w:val="en-US"/>
        </w:rPr>
        <w:t xml:space="preserve">, </w:t>
      </w:r>
      <w:r w:rsidRPr="009B5E32">
        <w:rPr>
          <w:i/>
          <w:sz w:val="24"/>
          <w:szCs w:val="24"/>
          <w:lang w:val="en-US"/>
        </w:rPr>
        <w:t>40</w:t>
      </w:r>
      <w:r w:rsidRPr="009B5E32">
        <w:rPr>
          <w:sz w:val="24"/>
          <w:szCs w:val="24"/>
          <w:lang w:val="en-US"/>
        </w:rPr>
        <w:t>, 1224–1234</w:t>
      </w:r>
      <w:r w:rsidR="001C62CA">
        <w:rPr>
          <w:sz w:val="24"/>
          <w:szCs w:val="24"/>
          <w:lang w:val="en-US"/>
        </w:rPr>
        <w:t>.</w:t>
      </w:r>
      <w:r w:rsidR="007E1CB2">
        <w:rPr>
          <w:sz w:val="24"/>
          <w:szCs w:val="24"/>
          <w:lang w:val="en-US"/>
        </w:rPr>
        <w:t xml:space="preserve"> c) </w:t>
      </w:r>
      <w:r w:rsidR="007E1CB2" w:rsidRPr="009B5E32">
        <w:rPr>
          <w:sz w:val="24"/>
          <w:szCs w:val="24"/>
          <w:lang w:val="en-US"/>
        </w:rPr>
        <w:t xml:space="preserve">G. R. Masson, J. E. Burke, N. G. Ahn, G. S. Anand, C. Borchers, S. Brier, G. M. Bou-Assaf, J. R. Engen, S. W. Englander, J. Faber, R. </w:t>
      </w:r>
      <w:proofErr w:type="spellStart"/>
      <w:r w:rsidR="007E1CB2" w:rsidRPr="009B5E32">
        <w:rPr>
          <w:sz w:val="24"/>
          <w:szCs w:val="24"/>
          <w:lang w:val="en-US"/>
        </w:rPr>
        <w:t>Garlish</w:t>
      </w:r>
      <w:proofErr w:type="spellEnd"/>
      <w:r w:rsidR="007E1CB2" w:rsidRPr="009B5E32">
        <w:rPr>
          <w:sz w:val="24"/>
          <w:szCs w:val="24"/>
          <w:lang w:val="en-US"/>
        </w:rPr>
        <w:t xml:space="preserve">, P. R. Griffin, M. L. Gross, M. Guttman, Y. </w:t>
      </w:r>
      <w:proofErr w:type="spellStart"/>
      <w:r w:rsidR="007E1CB2" w:rsidRPr="009B5E32">
        <w:rPr>
          <w:sz w:val="24"/>
          <w:szCs w:val="24"/>
          <w:lang w:val="en-US"/>
        </w:rPr>
        <w:t>Hamuro</w:t>
      </w:r>
      <w:proofErr w:type="spellEnd"/>
      <w:r w:rsidR="007E1CB2" w:rsidRPr="009B5E32">
        <w:rPr>
          <w:sz w:val="24"/>
          <w:szCs w:val="24"/>
          <w:lang w:val="en-US"/>
        </w:rPr>
        <w:t xml:space="preserve">, A. J. R. Heck, D. Houde, R. E. Iacob, T. J. D. Jørgensen, I. A. </w:t>
      </w:r>
      <w:proofErr w:type="spellStart"/>
      <w:r w:rsidR="007E1CB2" w:rsidRPr="009B5E32">
        <w:rPr>
          <w:sz w:val="24"/>
          <w:szCs w:val="24"/>
          <w:lang w:val="en-US"/>
        </w:rPr>
        <w:t>Kaltashov</w:t>
      </w:r>
      <w:proofErr w:type="spellEnd"/>
      <w:r w:rsidR="007E1CB2" w:rsidRPr="009B5E32">
        <w:rPr>
          <w:sz w:val="24"/>
          <w:szCs w:val="24"/>
          <w:lang w:val="en-US"/>
        </w:rPr>
        <w:t xml:space="preserve">, J. P. </w:t>
      </w:r>
      <w:proofErr w:type="spellStart"/>
      <w:r w:rsidR="007E1CB2" w:rsidRPr="009B5E32">
        <w:rPr>
          <w:sz w:val="24"/>
          <w:szCs w:val="24"/>
          <w:lang w:val="en-US"/>
        </w:rPr>
        <w:t>Klinman</w:t>
      </w:r>
      <w:proofErr w:type="spellEnd"/>
      <w:r w:rsidR="007E1CB2" w:rsidRPr="009B5E32">
        <w:rPr>
          <w:sz w:val="24"/>
          <w:szCs w:val="24"/>
          <w:lang w:val="en-US"/>
        </w:rPr>
        <w:t xml:space="preserve">, L. </w:t>
      </w:r>
      <w:proofErr w:type="spellStart"/>
      <w:r w:rsidR="007E1CB2" w:rsidRPr="009B5E32">
        <w:rPr>
          <w:sz w:val="24"/>
          <w:szCs w:val="24"/>
          <w:lang w:val="en-US"/>
        </w:rPr>
        <w:t>Konermann</w:t>
      </w:r>
      <w:proofErr w:type="spellEnd"/>
      <w:r w:rsidR="007E1CB2" w:rsidRPr="009B5E32">
        <w:rPr>
          <w:sz w:val="24"/>
          <w:szCs w:val="24"/>
          <w:lang w:val="en-US"/>
        </w:rPr>
        <w:t xml:space="preserve">, P. Man, L. Mayne, B. D. Pascal, D. Reichmann, M. </w:t>
      </w:r>
      <w:proofErr w:type="spellStart"/>
      <w:r w:rsidR="007E1CB2" w:rsidRPr="009B5E32">
        <w:rPr>
          <w:sz w:val="24"/>
          <w:szCs w:val="24"/>
          <w:lang w:val="en-US"/>
        </w:rPr>
        <w:t>Skehel</w:t>
      </w:r>
      <w:proofErr w:type="spellEnd"/>
      <w:r w:rsidR="007E1CB2" w:rsidRPr="009B5E32">
        <w:rPr>
          <w:sz w:val="24"/>
          <w:szCs w:val="24"/>
          <w:lang w:val="en-US"/>
        </w:rPr>
        <w:t xml:space="preserve">, J. Snijder, T. S. </w:t>
      </w:r>
      <w:proofErr w:type="spellStart"/>
      <w:r w:rsidR="007E1CB2" w:rsidRPr="009B5E32">
        <w:rPr>
          <w:sz w:val="24"/>
          <w:szCs w:val="24"/>
          <w:lang w:val="en-US"/>
        </w:rPr>
        <w:t>Strutzenberg</w:t>
      </w:r>
      <w:proofErr w:type="spellEnd"/>
      <w:r w:rsidR="007E1CB2" w:rsidRPr="009B5E32">
        <w:rPr>
          <w:sz w:val="24"/>
          <w:szCs w:val="24"/>
          <w:lang w:val="en-US"/>
        </w:rPr>
        <w:t xml:space="preserve">, E. S. </w:t>
      </w:r>
      <w:proofErr w:type="spellStart"/>
      <w:r w:rsidR="007E1CB2" w:rsidRPr="009B5E32">
        <w:rPr>
          <w:sz w:val="24"/>
          <w:szCs w:val="24"/>
          <w:lang w:val="en-US"/>
        </w:rPr>
        <w:t>Underbakke</w:t>
      </w:r>
      <w:proofErr w:type="spellEnd"/>
      <w:r w:rsidR="007E1CB2" w:rsidRPr="009B5E32">
        <w:rPr>
          <w:sz w:val="24"/>
          <w:szCs w:val="24"/>
          <w:lang w:val="en-US"/>
        </w:rPr>
        <w:t xml:space="preserve">, C. Wagner, T. E. Wales, B. T. Walters, D. D. Weis, D. J. Wilson, P. L. Wintrode, Z. Zhang, J. Zheng, D. C. </w:t>
      </w:r>
      <w:proofErr w:type="spellStart"/>
      <w:r w:rsidR="007E1CB2" w:rsidRPr="009B5E32">
        <w:rPr>
          <w:sz w:val="24"/>
          <w:szCs w:val="24"/>
          <w:lang w:val="en-US"/>
        </w:rPr>
        <w:t>Schriemer</w:t>
      </w:r>
      <w:proofErr w:type="spellEnd"/>
      <w:r w:rsidR="007E1CB2" w:rsidRPr="009B5E32">
        <w:rPr>
          <w:sz w:val="24"/>
          <w:szCs w:val="24"/>
          <w:lang w:val="en-US"/>
        </w:rPr>
        <w:t xml:space="preserve">, K. D. Rand, </w:t>
      </w:r>
      <w:r w:rsidR="007E1CB2" w:rsidRPr="009B5E32">
        <w:rPr>
          <w:rStyle w:val="docsum-journal-citation"/>
          <w:i/>
          <w:sz w:val="24"/>
          <w:szCs w:val="24"/>
          <w:lang w:val="en-US"/>
        </w:rPr>
        <w:t>Nat. Methods</w:t>
      </w:r>
      <w:r w:rsidR="007E1CB2" w:rsidRPr="009B5E32">
        <w:rPr>
          <w:rStyle w:val="docsum-journal-citation"/>
          <w:sz w:val="24"/>
          <w:szCs w:val="24"/>
          <w:lang w:val="en-US"/>
        </w:rPr>
        <w:t xml:space="preserve"> </w:t>
      </w:r>
      <w:r w:rsidR="007E1CB2" w:rsidRPr="009B5E32">
        <w:rPr>
          <w:rStyle w:val="docsum-journal-citation"/>
          <w:b/>
          <w:sz w:val="24"/>
          <w:szCs w:val="24"/>
          <w:lang w:val="en-US"/>
        </w:rPr>
        <w:t>2019</w:t>
      </w:r>
      <w:r w:rsidR="007E1CB2" w:rsidRPr="009B5E32">
        <w:rPr>
          <w:rStyle w:val="docsum-journal-citation"/>
          <w:sz w:val="24"/>
          <w:szCs w:val="24"/>
          <w:lang w:val="en-US"/>
        </w:rPr>
        <w:t xml:space="preserve">, </w:t>
      </w:r>
      <w:r w:rsidR="007E1CB2" w:rsidRPr="009B5E32">
        <w:rPr>
          <w:rStyle w:val="docsum-journal-citation"/>
          <w:i/>
          <w:sz w:val="24"/>
          <w:szCs w:val="24"/>
          <w:lang w:val="en-US"/>
        </w:rPr>
        <w:t>6</w:t>
      </w:r>
      <w:r w:rsidR="007E1CB2" w:rsidRPr="009B5E32">
        <w:rPr>
          <w:rStyle w:val="docsum-journal-citation"/>
          <w:sz w:val="24"/>
          <w:szCs w:val="24"/>
          <w:lang w:val="en-US"/>
        </w:rPr>
        <w:t>, 595</w:t>
      </w:r>
      <w:r w:rsidR="007E1CB2" w:rsidRPr="009B5E32">
        <w:rPr>
          <w:sz w:val="24"/>
          <w:szCs w:val="24"/>
          <w:lang w:val="en-US"/>
        </w:rPr>
        <w:t>–</w:t>
      </w:r>
      <w:r w:rsidR="007E1CB2" w:rsidRPr="009B5E32">
        <w:rPr>
          <w:rStyle w:val="docsum-journal-citation"/>
          <w:sz w:val="24"/>
          <w:szCs w:val="24"/>
          <w:lang w:val="en-US"/>
        </w:rPr>
        <w:t>602.</w:t>
      </w:r>
    </w:p>
    <w:p w14:paraId="5CC985FB" w14:textId="5AFB2003" w:rsidR="00582A7B" w:rsidRPr="009B5E32" w:rsidRDefault="00582A7B" w:rsidP="00582A7B">
      <w:pPr>
        <w:spacing w:before="240" w:after="240"/>
        <w:jc w:val="both"/>
        <w:rPr>
          <w:sz w:val="24"/>
          <w:szCs w:val="24"/>
          <w:lang w:val="en-US"/>
        </w:rPr>
      </w:pPr>
      <w:r w:rsidRPr="009B5E32">
        <w:rPr>
          <w:sz w:val="24"/>
          <w:szCs w:val="24"/>
          <w:lang w:val="en-US"/>
        </w:rPr>
        <w:t>[</w:t>
      </w:r>
      <w:r w:rsidR="00310DBC">
        <w:rPr>
          <w:sz w:val="24"/>
          <w:szCs w:val="24"/>
          <w:lang w:val="en-US"/>
        </w:rPr>
        <w:t>16</w:t>
      </w:r>
      <w:r w:rsidRPr="009B5E32">
        <w:rPr>
          <w:sz w:val="24"/>
          <w:szCs w:val="24"/>
          <w:lang w:val="en-US"/>
        </w:rPr>
        <w:t xml:space="preserve">] a) E. Smith, I. Collins, </w:t>
      </w:r>
      <w:r w:rsidRPr="009B5E32">
        <w:rPr>
          <w:i/>
          <w:sz w:val="24"/>
          <w:szCs w:val="24"/>
          <w:lang w:val="en-US"/>
        </w:rPr>
        <w:t>Future Med. Chem.</w:t>
      </w:r>
      <w:r w:rsidRPr="009B5E32">
        <w:rPr>
          <w:sz w:val="24"/>
          <w:szCs w:val="24"/>
          <w:lang w:val="en-US"/>
        </w:rPr>
        <w:t xml:space="preserve"> </w:t>
      </w:r>
      <w:r w:rsidRPr="009B5E32">
        <w:rPr>
          <w:b/>
          <w:sz w:val="24"/>
          <w:szCs w:val="24"/>
          <w:lang w:val="en-US"/>
        </w:rPr>
        <w:t>2015</w:t>
      </w:r>
      <w:r w:rsidRPr="009B5E32">
        <w:rPr>
          <w:sz w:val="24"/>
          <w:szCs w:val="24"/>
          <w:lang w:val="en-US"/>
        </w:rPr>
        <w:t>,</w:t>
      </w:r>
      <w:r w:rsidR="001C62CA">
        <w:rPr>
          <w:sz w:val="24"/>
          <w:szCs w:val="24"/>
          <w:lang w:val="en-US"/>
        </w:rPr>
        <w:t xml:space="preserve"> </w:t>
      </w:r>
      <w:r w:rsidR="001C62CA">
        <w:rPr>
          <w:i/>
          <w:iCs/>
          <w:sz w:val="24"/>
          <w:szCs w:val="24"/>
          <w:lang w:val="en-US"/>
        </w:rPr>
        <w:t>7</w:t>
      </w:r>
      <w:r w:rsidR="001C62CA">
        <w:rPr>
          <w:sz w:val="24"/>
          <w:szCs w:val="24"/>
          <w:lang w:val="en-US"/>
        </w:rPr>
        <w:t>,</w:t>
      </w:r>
      <w:r w:rsidRPr="009B5E32">
        <w:rPr>
          <w:sz w:val="24"/>
          <w:szCs w:val="24"/>
          <w:lang w:val="en-US"/>
        </w:rPr>
        <w:t xml:space="preserve"> 159–183. b) O. Laselva, Z. Qureshi, Z. W. Zeng, E. V. </w:t>
      </w:r>
      <w:proofErr w:type="spellStart"/>
      <w:r w:rsidRPr="009B5E32">
        <w:rPr>
          <w:sz w:val="24"/>
          <w:szCs w:val="24"/>
          <w:lang w:val="en-US"/>
        </w:rPr>
        <w:t>Petrotchenko</w:t>
      </w:r>
      <w:proofErr w:type="spellEnd"/>
      <w:r w:rsidRPr="009B5E32">
        <w:rPr>
          <w:sz w:val="24"/>
          <w:szCs w:val="24"/>
          <w:lang w:val="en-US"/>
        </w:rPr>
        <w:t xml:space="preserve">, M. </w:t>
      </w:r>
      <w:proofErr w:type="spellStart"/>
      <w:r w:rsidRPr="009B5E32">
        <w:rPr>
          <w:sz w:val="24"/>
          <w:szCs w:val="24"/>
          <w:lang w:val="en-US"/>
        </w:rPr>
        <w:t>Ramjeesingh</w:t>
      </w:r>
      <w:proofErr w:type="spellEnd"/>
      <w:r w:rsidRPr="009B5E32">
        <w:rPr>
          <w:sz w:val="24"/>
          <w:szCs w:val="24"/>
          <w:lang w:val="en-US"/>
        </w:rPr>
        <w:t xml:space="preserve">, C. M. Hamilton, L. J. Huan, C. H. Borchers, R. Pomès, R. Young, C. E. Bear, </w:t>
      </w:r>
      <w:proofErr w:type="spellStart"/>
      <w:r w:rsidRPr="009B5E32">
        <w:rPr>
          <w:i/>
          <w:sz w:val="24"/>
          <w:szCs w:val="24"/>
          <w:lang w:val="en-US"/>
        </w:rPr>
        <w:t>iScience</w:t>
      </w:r>
      <w:proofErr w:type="spellEnd"/>
      <w:r w:rsidRPr="009B5E32">
        <w:rPr>
          <w:sz w:val="24"/>
          <w:szCs w:val="24"/>
          <w:lang w:val="en-US"/>
        </w:rPr>
        <w:t xml:space="preserve"> </w:t>
      </w:r>
      <w:r w:rsidRPr="009B5E32">
        <w:rPr>
          <w:b/>
          <w:sz w:val="24"/>
          <w:szCs w:val="24"/>
          <w:lang w:val="en-US"/>
        </w:rPr>
        <w:t>2021</w:t>
      </w:r>
      <w:r w:rsidRPr="009B5E32">
        <w:rPr>
          <w:sz w:val="24"/>
          <w:szCs w:val="24"/>
          <w:lang w:val="en-US"/>
        </w:rPr>
        <w:t xml:space="preserve">, </w:t>
      </w:r>
      <w:r w:rsidRPr="009B5E32">
        <w:rPr>
          <w:i/>
          <w:sz w:val="24"/>
          <w:szCs w:val="24"/>
          <w:lang w:val="en-US"/>
        </w:rPr>
        <w:t>24</w:t>
      </w:r>
      <w:r w:rsidRPr="009B5E32">
        <w:rPr>
          <w:sz w:val="24"/>
          <w:szCs w:val="24"/>
          <w:lang w:val="en-US"/>
        </w:rPr>
        <w:t>, 102542.</w:t>
      </w:r>
    </w:p>
    <w:p w14:paraId="3A25E386" w14:textId="34CBB276" w:rsidR="00582A7B" w:rsidRPr="009A6969" w:rsidRDefault="00582A7B" w:rsidP="00582A7B">
      <w:pPr>
        <w:spacing w:before="240" w:after="240"/>
        <w:jc w:val="both"/>
        <w:rPr>
          <w:sz w:val="24"/>
          <w:szCs w:val="24"/>
          <w:lang w:val="en-US"/>
        </w:rPr>
      </w:pPr>
      <w:r w:rsidRPr="009B5E32">
        <w:rPr>
          <w:sz w:val="24"/>
          <w:szCs w:val="24"/>
          <w:lang w:val="fr-FR"/>
        </w:rPr>
        <w:t>[</w:t>
      </w:r>
      <w:r w:rsidR="00310DBC">
        <w:rPr>
          <w:sz w:val="24"/>
          <w:szCs w:val="24"/>
          <w:lang w:val="fr-FR"/>
        </w:rPr>
        <w:t>17</w:t>
      </w:r>
      <w:r w:rsidRPr="009B5E32">
        <w:rPr>
          <w:sz w:val="24"/>
          <w:szCs w:val="24"/>
          <w:lang w:val="fr-FR"/>
        </w:rPr>
        <w:t xml:space="preserve">] R. Marteau, S. Ravez, D. Mazhari Dorooee, H. </w:t>
      </w:r>
      <w:proofErr w:type="spellStart"/>
      <w:r w:rsidRPr="009B5E32">
        <w:rPr>
          <w:sz w:val="24"/>
          <w:szCs w:val="24"/>
          <w:lang w:val="fr-FR"/>
        </w:rPr>
        <w:t>Bouchaoui</w:t>
      </w:r>
      <w:proofErr w:type="spellEnd"/>
      <w:r w:rsidRPr="009B5E32">
        <w:rPr>
          <w:sz w:val="24"/>
          <w:szCs w:val="24"/>
          <w:lang w:val="fr-FR"/>
        </w:rPr>
        <w:t xml:space="preserve">, K. Porte, J. C. Devedjian, P. Melnyk, D. Devos, R. Frédérick, J. El Bakali, </w:t>
      </w:r>
      <w:proofErr w:type="spellStart"/>
      <w:r w:rsidRPr="009B5E32">
        <w:rPr>
          <w:i/>
          <w:sz w:val="24"/>
          <w:szCs w:val="24"/>
          <w:lang w:val="fr-FR"/>
        </w:rPr>
        <w:t>Biochem</w:t>
      </w:r>
      <w:proofErr w:type="spellEnd"/>
      <w:r w:rsidRPr="009B5E32">
        <w:rPr>
          <w:i/>
          <w:sz w:val="24"/>
          <w:szCs w:val="24"/>
          <w:lang w:val="fr-FR"/>
        </w:rPr>
        <w:t xml:space="preserve">. </w:t>
      </w:r>
      <w:proofErr w:type="spellStart"/>
      <w:r w:rsidRPr="009A6969">
        <w:rPr>
          <w:i/>
          <w:sz w:val="24"/>
          <w:szCs w:val="24"/>
          <w:lang w:val="en-US"/>
        </w:rPr>
        <w:t>Pharmacol</w:t>
      </w:r>
      <w:proofErr w:type="spellEnd"/>
      <w:r w:rsidRPr="009A6969">
        <w:rPr>
          <w:i/>
          <w:sz w:val="24"/>
          <w:szCs w:val="24"/>
          <w:lang w:val="en-US"/>
        </w:rPr>
        <w:t>.</w:t>
      </w:r>
      <w:r w:rsidRPr="009A6969">
        <w:rPr>
          <w:sz w:val="24"/>
          <w:szCs w:val="24"/>
          <w:lang w:val="en-US"/>
        </w:rPr>
        <w:t xml:space="preserve"> </w:t>
      </w:r>
      <w:r w:rsidRPr="009A6969">
        <w:rPr>
          <w:b/>
          <w:sz w:val="24"/>
          <w:szCs w:val="24"/>
          <w:lang w:val="en-US"/>
        </w:rPr>
        <w:t>2022</w:t>
      </w:r>
      <w:r w:rsidRPr="009A6969">
        <w:rPr>
          <w:sz w:val="24"/>
          <w:szCs w:val="24"/>
          <w:lang w:val="en-US"/>
        </w:rPr>
        <w:t xml:space="preserve">, </w:t>
      </w:r>
      <w:r w:rsidRPr="009A6969">
        <w:rPr>
          <w:i/>
          <w:sz w:val="24"/>
          <w:szCs w:val="24"/>
          <w:lang w:val="en-US"/>
        </w:rPr>
        <w:t>204</w:t>
      </w:r>
      <w:r w:rsidRPr="009A6969">
        <w:rPr>
          <w:sz w:val="24"/>
          <w:szCs w:val="24"/>
          <w:lang w:val="en-US"/>
        </w:rPr>
        <w:t>, 115239.</w:t>
      </w:r>
    </w:p>
    <w:p w14:paraId="5A965063" w14:textId="6A3E9C70" w:rsidR="00582A7B" w:rsidRPr="009B5E32" w:rsidRDefault="45D4C883" w:rsidP="00582A7B">
      <w:pPr>
        <w:spacing w:before="240" w:after="240"/>
        <w:jc w:val="both"/>
        <w:rPr>
          <w:rStyle w:val="docsum-journal-citation"/>
          <w:sz w:val="24"/>
          <w:szCs w:val="24"/>
          <w:lang w:val="en-US"/>
        </w:rPr>
      </w:pPr>
      <w:r w:rsidRPr="009A6969">
        <w:rPr>
          <w:sz w:val="24"/>
          <w:szCs w:val="24"/>
          <w:lang w:val="en-US"/>
        </w:rPr>
        <w:t xml:space="preserve">[18] K. Liu, R. M. Black, J. J. Acton 3rd, R. Mosley, S. Debenham, R. </w:t>
      </w:r>
      <w:proofErr w:type="spellStart"/>
      <w:r w:rsidRPr="009A6969">
        <w:rPr>
          <w:sz w:val="24"/>
          <w:szCs w:val="24"/>
          <w:lang w:val="en-US"/>
        </w:rPr>
        <w:t>Abola</w:t>
      </w:r>
      <w:proofErr w:type="spellEnd"/>
      <w:r w:rsidRPr="009A6969">
        <w:rPr>
          <w:sz w:val="24"/>
          <w:szCs w:val="24"/>
          <w:lang w:val="en-US"/>
        </w:rPr>
        <w:t xml:space="preserve">, M. Yang, R. </w:t>
      </w:r>
      <w:proofErr w:type="spellStart"/>
      <w:r w:rsidRPr="009A6969">
        <w:rPr>
          <w:sz w:val="24"/>
          <w:szCs w:val="24"/>
          <w:lang w:val="en-US"/>
        </w:rPr>
        <w:t>Tschirret</w:t>
      </w:r>
      <w:proofErr w:type="spellEnd"/>
      <w:r w:rsidRPr="009A6969">
        <w:rPr>
          <w:sz w:val="24"/>
          <w:szCs w:val="24"/>
          <w:lang w:val="en-US"/>
        </w:rPr>
        <w:t xml:space="preserve">-Guth, L. Colwell, C. Liu, M. Wu, C. F. Wang, K. L. </w:t>
      </w:r>
      <w:proofErr w:type="spellStart"/>
      <w:r w:rsidRPr="009A6969">
        <w:rPr>
          <w:sz w:val="24"/>
          <w:szCs w:val="24"/>
          <w:lang w:val="en-US"/>
        </w:rPr>
        <w:t>MacNaul</w:t>
      </w:r>
      <w:proofErr w:type="spellEnd"/>
      <w:r w:rsidRPr="009A6969">
        <w:rPr>
          <w:sz w:val="24"/>
          <w:szCs w:val="24"/>
          <w:lang w:val="en-US"/>
        </w:rPr>
        <w:t xml:space="preserve">, M. E. McCann, D. E. Moller, J. P. Berger, P. T. Meinke, A. B. Jones, H. B. Wood, </w:t>
      </w:r>
      <w:proofErr w:type="spellStart"/>
      <w:r w:rsidRPr="009A6969">
        <w:rPr>
          <w:rStyle w:val="docsum-journal-citation"/>
          <w:i/>
          <w:iCs/>
          <w:sz w:val="24"/>
          <w:szCs w:val="24"/>
          <w:lang w:val="en-US"/>
        </w:rPr>
        <w:t>Bioorg</w:t>
      </w:r>
      <w:proofErr w:type="spellEnd"/>
      <w:r w:rsidRPr="009A6969">
        <w:rPr>
          <w:rStyle w:val="docsum-journal-citation"/>
          <w:i/>
          <w:iCs/>
          <w:sz w:val="24"/>
          <w:szCs w:val="24"/>
          <w:lang w:val="en-US"/>
        </w:rPr>
        <w:t xml:space="preserve">. </w:t>
      </w:r>
      <w:r w:rsidRPr="45D4C883">
        <w:rPr>
          <w:rStyle w:val="docsum-journal-citation"/>
          <w:i/>
          <w:iCs/>
          <w:sz w:val="24"/>
          <w:szCs w:val="24"/>
          <w:lang w:val="en-US"/>
        </w:rPr>
        <w:t>Med. Chem. Lett.</w:t>
      </w:r>
      <w:r w:rsidRPr="45D4C883">
        <w:rPr>
          <w:rStyle w:val="docsum-journal-citation"/>
          <w:sz w:val="24"/>
          <w:szCs w:val="24"/>
          <w:lang w:val="en-US"/>
        </w:rPr>
        <w:t xml:space="preserve"> </w:t>
      </w:r>
      <w:r w:rsidRPr="45D4C883">
        <w:rPr>
          <w:rStyle w:val="docsum-journal-citation"/>
          <w:b/>
          <w:bCs/>
          <w:sz w:val="24"/>
          <w:szCs w:val="24"/>
          <w:lang w:val="en-US"/>
        </w:rPr>
        <w:t>2005</w:t>
      </w:r>
      <w:r w:rsidRPr="45D4C883">
        <w:rPr>
          <w:rStyle w:val="docsum-journal-citation"/>
          <w:sz w:val="24"/>
          <w:szCs w:val="24"/>
          <w:lang w:val="en-US"/>
        </w:rPr>
        <w:t xml:space="preserve">, </w:t>
      </w:r>
      <w:r w:rsidRPr="45D4C883">
        <w:rPr>
          <w:rStyle w:val="docsum-journal-citation"/>
          <w:i/>
          <w:iCs/>
          <w:sz w:val="24"/>
          <w:szCs w:val="24"/>
          <w:lang w:val="en-US"/>
        </w:rPr>
        <w:t>15</w:t>
      </w:r>
      <w:r w:rsidRPr="45D4C883">
        <w:rPr>
          <w:rStyle w:val="docsum-journal-citation"/>
          <w:sz w:val="24"/>
          <w:szCs w:val="24"/>
          <w:lang w:val="en-US"/>
        </w:rPr>
        <w:t>, 2437–2440.</w:t>
      </w:r>
    </w:p>
    <w:p w14:paraId="5C87CE22" w14:textId="221F4128" w:rsidR="00582A7B" w:rsidRPr="009B5E32" w:rsidRDefault="45D4C883" w:rsidP="00582A7B">
      <w:pPr>
        <w:spacing w:before="240" w:after="240"/>
        <w:jc w:val="both"/>
        <w:rPr>
          <w:rStyle w:val="docsum-journal-citation"/>
          <w:sz w:val="24"/>
          <w:szCs w:val="24"/>
          <w:lang w:val="en-US"/>
        </w:rPr>
      </w:pPr>
      <w:r w:rsidRPr="45D4C883">
        <w:rPr>
          <w:sz w:val="24"/>
          <w:szCs w:val="24"/>
          <w:lang w:val="en-US"/>
        </w:rPr>
        <w:t xml:space="preserve">[19] L. Stinnett, T. M Lewin, R. A. Coleman, </w:t>
      </w:r>
      <w:proofErr w:type="spellStart"/>
      <w:r w:rsidRPr="45D4C883">
        <w:rPr>
          <w:rStyle w:val="docsum-journal-citation"/>
          <w:i/>
          <w:iCs/>
          <w:sz w:val="24"/>
          <w:szCs w:val="24"/>
          <w:lang w:val="en-US"/>
        </w:rPr>
        <w:t>Biochim</w:t>
      </w:r>
      <w:proofErr w:type="spellEnd"/>
      <w:r w:rsidRPr="45D4C883">
        <w:rPr>
          <w:rStyle w:val="docsum-journal-citation"/>
          <w:i/>
          <w:iCs/>
          <w:sz w:val="24"/>
          <w:szCs w:val="24"/>
          <w:lang w:val="en-US"/>
        </w:rPr>
        <w:t xml:space="preserve">. </w:t>
      </w:r>
      <w:proofErr w:type="spellStart"/>
      <w:r w:rsidRPr="45D4C883">
        <w:rPr>
          <w:rStyle w:val="docsum-journal-citation"/>
          <w:i/>
          <w:iCs/>
          <w:sz w:val="24"/>
          <w:szCs w:val="24"/>
          <w:lang w:val="en-US"/>
        </w:rPr>
        <w:t>Biophys</w:t>
      </w:r>
      <w:proofErr w:type="spellEnd"/>
      <w:r w:rsidRPr="45D4C883">
        <w:rPr>
          <w:rStyle w:val="docsum-journal-citation"/>
          <w:i/>
          <w:iCs/>
          <w:sz w:val="24"/>
          <w:szCs w:val="24"/>
          <w:lang w:val="en-US"/>
        </w:rPr>
        <w:t>. Acta</w:t>
      </w:r>
      <w:r w:rsidRPr="45D4C883">
        <w:rPr>
          <w:rStyle w:val="docsum-journal-citation"/>
          <w:sz w:val="24"/>
          <w:szCs w:val="24"/>
          <w:lang w:val="en-US"/>
        </w:rPr>
        <w:t xml:space="preserve"> </w:t>
      </w:r>
      <w:r w:rsidRPr="45D4C883">
        <w:rPr>
          <w:rStyle w:val="docsum-journal-citation"/>
          <w:b/>
          <w:bCs/>
          <w:sz w:val="24"/>
          <w:szCs w:val="24"/>
          <w:lang w:val="en-US"/>
        </w:rPr>
        <w:t>2007</w:t>
      </w:r>
      <w:r w:rsidRPr="45D4C883">
        <w:rPr>
          <w:rStyle w:val="docsum-journal-citation"/>
          <w:sz w:val="24"/>
          <w:szCs w:val="24"/>
          <w:lang w:val="en-US"/>
        </w:rPr>
        <w:t>,</w:t>
      </w:r>
      <w:r w:rsidRPr="45D4C883">
        <w:rPr>
          <w:rStyle w:val="docsum-journal-citation"/>
          <w:i/>
          <w:iCs/>
          <w:sz w:val="24"/>
          <w:szCs w:val="24"/>
          <w:lang w:val="en-US"/>
        </w:rPr>
        <w:t>1771</w:t>
      </w:r>
      <w:r w:rsidRPr="45D4C883">
        <w:rPr>
          <w:rStyle w:val="docsum-journal-citation"/>
          <w:sz w:val="24"/>
          <w:szCs w:val="24"/>
          <w:lang w:val="en-US"/>
        </w:rPr>
        <w:t>, 119–125.</w:t>
      </w:r>
    </w:p>
    <w:p w14:paraId="60FBC604" w14:textId="745BA088" w:rsidR="00582A7B" w:rsidRDefault="45D4C883" w:rsidP="45D4C883">
      <w:pPr>
        <w:spacing w:before="240" w:after="240"/>
        <w:jc w:val="both"/>
        <w:rPr>
          <w:rFonts w:eastAsiaTheme="minorEastAsia"/>
          <w:sz w:val="24"/>
          <w:szCs w:val="24"/>
          <w:lang w:val="en-US"/>
        </w:rPr>
      </w:pPr>
      <w:r w:rsidRPr="45D4C883">
        <w:rPr>
          <w:rStyle w:val="docsum-journal-citation"/>
          <w:sz w:val="24"/>
          <w:szCs w:val="24"/>
          <w:lang w:val="en-US"/>
        </w:rPr>
        <w:t xml:space="preserve">[20] </w:t>
      </w:r>
      <w:r w:rsidRPr="45D4C883">
        <w:rPr>
          <w:rFonts w:eastAsiaTheme="minorEastAsia"/>
          <w:sz w:val="24"/>
          <w:szCs w:val="24"/>
          <w:lang w:val="en-US"/>
        </w:rPr>
        <w:t xml:space="preserve">J. Jumper, R. Evans, A. Pritzel, T. Green, M. </w:t>
      </w:r>
      <w:proofErr w:type="spellStart"/>
      <w:r w:rsidRPr="45D4C883">
        <w:rPr>
          <w:rFonts w:eastAsiaTheme="minorEastAsia"/>
          <w:sz w:val="24"/>
          <w:szCs w:val="24"/>
          <w:lang w:val="en-US"/>
        </w:rPr>
        <w:t>Figurnov</w:t>
      </w:r>
      <w:proofErr w:type="spellEnd"/>
      <w:r w:rsidRPr="45D4C883">
        <w:rPr>
          <w:rFonts w:eastAsiaTheme="minorEastAsia"/>
          <w:sz w:val="24"/>
          <w:szCs w:val="24"/>
          <w:lang w:val="en-US"/>
        </w:rPr>
        <w:t xml:space="preserve">, O. </w:t>
      </w:r>
      <w:proofErr w:type="spellStart"/>
      <w:r w:rsidRPr="45D4C883">
        <w:rPr>
          <w:rFonts w:eastAsiaTheme="minorEastAsia"/>
          <w:sz w:val="24"/>
          <w:szCs w:val="24"/>
          <w:lang w:val="en-US"/>
        </w:rPr>
        <w:t>Ronneberger</w:t>
      </w:r>
      <w:proofErr w:type="spellEnd"/>
      <w:r w:rsidRPr="45D4C883">
        <w:rPr>
          <w:rFonts w:eastAsiaTheme="minorEastAsia"/>
          <w:sz w:val="24"/>
          <w:szCs w:val="24"/>
          <w:lang w:val="en-US"/>
        </w:rPr>
        <w:t xml:space="preserve">, K. </w:t>
      </w:r>
      <w:proofErr w:type="spellStart"/>
      <w:r w:rsidRPr="45D4C883">
        <w:rPr>
          <w:rFonts w:eastAsiaTheme="minorEastAsia"/>
          <w:sz w:val="24"/>
          <w:szCs w:val="24"/>
          <w:lang w:val="en-US"/>
        </w:rPr>
        <w:t>Tunyasuvunakool</w:t>
      </w:r>
      <w:proofErr w:type="spellEnd"/>
      <w:r w:rsidRPr="45D4C883">
        <w:rPr>
          <w:rFonts w:eastAsiaTheme="minorEastAsia"/>
          <w:sz w:val="24"/>
          <w:szCs w:val="24"/>
          <w:lang w:val="en-US"/>
        </w:rPr>
        <w:t xml:space="preserve">, R. Bates, A. </w:t>
      </w:r>
      <w:proofErr w:type="spellStart"/>
      <w:r w:rsidRPr="45D4C883">
        <w:rPr>
          <w:rFonts w:eastAsiaTheme="minorEastAsia"/>
          <w:sz w:val="24"/>
          <w:szCs w:val="24"/>
          <w:lang w:val="en-US"/>
        </w:rPr>
        <w:t>Žídek</w:t>
      </w:r>
      <w:proofErr w:type="spellEnd"/>
      <w:r w:rsidRPr="45D4C883">
        <w:rPr>
          <w:rFonts w:eastAsiaTheme="minorEastAsia"/>
          <w:sz w:val="24"/>
          <w:szCs w:val="24"/>
          <w:lang w:val="en-US"/>
        </w:rPr>
        <w:t xml:space="preserve">, A. Potapenko, A. </w:t>
      </w:r>
      <w:proofErr w:type="spellStart"/>
      <w:r w:rsidRPr="45D4C883">
        <w:rPr>
          <w:rFonts w:eastAsiaTheme="minorEastAsia"/>
          <w:sz w:val="24"/>
          <w:szCs w:val="24"/>
          <w:lang w:val="en-US"/>
        </w:rPr>
        <w:t>Bridgland</w:t>
      </w:r>
      <w:proofErr w:type="spellEnd"/>
      <w:r w:rsidRPr="45D4C883">
        <w:rPr>
          <w:rFonts w:eastAsiaTheme="minorEastAsia"/>
          <w:sz w:val="24"/>
          <w:szCs w:val="24"/>
          <w:lang w:val="en-US"/>
        </w:rPr>
        <w:t xml:space="preserve">, C. Meyer, S. A. A. Kohl, A. J. Ballard, A. Cowie, B. Romera-Paredes, S. Nikolov, R. Jain, J. Adler, T. Back, S. Petersen, D. Reiman, E. Clancy, M. Zielinski, M. </w:t>
      </w:r>
      <w:proofErr w:type="spellStart"/>
      <w:r w:rsidRPr="45D4C883">
        <w:rPr>
          <w:rFonts w:eastAsiaTheme="minorEastAsia"/>
          <w:sz w:val="24"/>
          <w:szCs w:val="24"/>
          <w:lang w:val="en-US"/>
        </w:rPr>
        <w:t>Steinegger</w:t>
      </w:r>
      <w:proofErr w:type="spellEnd"/>
      <w:r w:rsidRPr="45D4C883">
        <w:rPr>
          <w:rFonts w:eastAsiaTheme="minorEastAsia"/>
          <w:sz w:val="24"/>
          <w:szCs w:val="24"/>
          <w:lang w:val="en-US"/>
        </w:rPr>
        <w:t xml:space="preserve">, M. Pacholska, T. Berghammer, S. Bodenstein, D. Silver, O. </w:t>
      </w:r>
      <w:proofErr w:type="spellStart"/>
      <w:r w:rsidRPr="45D4C883">
        <w:rPr>
          <w:rFonts w:eastAsiaTheme="minorEastAsia"/>
          <w:sz w:val="24"/>
          <w:szCs w:val="24"/>
          <w:lang w:val="en-US"/>
        </w:rPr>
        <w:t>Vinyals</w:t>
      </w:r>
      <w:proofErr w:type="spellEnd"/>
      <w:r w:rsidRPr="45D4C883">
        <w:rPr>
          <w:rFonts w:eastAsiaTheme="minorEastAsia"/>
          <w:sz w:val="24"/>
          <w:szCs w:val="24"/>
          <w:lang w:val="en-US"/>
        </w:rPr>
        <w:t xml:space="preserve">, A. W. Senior, K. </w:t>
      </w:r>
      <w:proofErr w:type="spellStart"/>
      <w:r w:rsidRPr="45D4C883">
        <w:rPr>
          <w:rFonts w:eastAsiaTheme="minorEastAsia"/>
          <w:sz w:val="24"/>
          <w:szCs w:val="24"/>
          <w:lang w:val="en-US"/>
        </w:rPr>
        <w:t>Kavukcuoglu</w:t>
      </w:r>
      <w:proofErr w:type="spellEnd"/>
      <w:r w:rsidRPr="45D4C883">
        <w:rPr>
          <w:rFonts w:eastAsiaTheme="minorEastAsia"/>
          <w:sz w:val="24"/>
          <w:szCs w:val="24"/>
          <w:lang w:val="en-US"/>
        </w:rPr>
        <w:t xml:space="preserve">, P. Kohli, D. Hassabis, </w:t>
      </w:r>
      <w:r w:rsidRPr="45D4C883">
        <w:rPr>
          <w:rFonts w:eastAsiaTheme="minorEastAsia"/>
          <w:i/>
          <w:iCs/>
          <w:sz w:val="24"/>
          <w:szCs w:val="24"/>
          <w:lang w:val="en-US"/>
        </w:rPr>
        <w:t>Nature</w:t>
      </w:r>
      <w:r w:rsidRPr="45D4C883">
        <w:rPr>
          <w:rFonts w:eastAsiaTheme="minorEastAsia"/>
          <w:sz w:val="24"/>
          <w:szCs w:val="24"/>
          <w:lang w:val="en-US"/>
        </w:rPr>
        <w:t xml:space="preserve"> </w:t>
      </w:r>
      <w:r w:rsidRPr="45D4C883">
        <w:rPr>
          <w:rFonts w:eastAsiaTheme="minorEastAsia"/>
          <w:b/>
          <w:bCs/>
          <w:sz w:val="24"/>
          <w:szCs w:val="24"/>
          <w:lang w:val="en-US"/>
        </w:rPr>
        <w:t>2021</w:t>
      </w:r>
      <w:r w:rsidRPr="45D4C883">
        <w:rPr>
          <w:rFonts w:eastAsiaTheme="minorEastAsia"/>
          <w:sz w:val="24"/>
          <w:szCs w:val="24"/>
          <w:lang w:val="en-US"/>
        </w:rPr>
        <w:t xml:space="preserve">, </w:t>
      </w:r>
      <w:r w:rsidRPr="45D4C883">
        <w:rPr>
          <w:rFonts w:eastAsiaTheme="minorEastAsia"/>
          <w:i/>
          <w:iCs/>
          <w:sz w:val="24"/>
          <w:szCs w:val="24"/>
          <w:lang w:val="en-US"/>
        </w:rPr>
        <w:t>596</w:t>
      </w:r>
      <w:r w:rsidRPr="45D4C883">
        <w:rPr>
          <w:rFonts w:eastAsiaTheme="minorEastAsia"/>
          <w:sz w:val="24"/>
          <w:szCs w:val="24"/>
          <w:lang w:val="en-US"/>
        </w:rPr>
        <w:t>, 583–589.</w:t>
      </w:r>
    </w:p>
    <w:p w14:paraId="35E87539" w14:textId="4D144F20" w:rsidR="00582A7B" w:rsidRPr="00C57D6D" w:rsidRDefault="00582A7B" w:rsidP="00582A7B">
      <w:pPr>
        <w:spacing w:before="240" w:after="240"/>
        <w:jc w:val="both"/>
        <w:rPr>
          <w:sz w:val="24"/>
          <w:szCs w:val="24"/>
          <w:lang w:val="en-US"/>
        </w:rPr>
      </w:pPr>
      <w:r w:rsidRPr="006113C4">
        <w:rPr>
          <w:sz w:val="24"/>
          <w:szCs w:val="24"/>
          <w:lang w:val="en-US"/>
        </w:rPr>
        <w:t>[</w:t>
      </w:r>
      <w:r w:rsidR="00310DBC" w:rsidRPr="006113C4">
        <w:rPr>
          <w:sz w:val="24"/>
          <w:szCs w:val="24"/>
          <w:lang w:val="en-US"/>
        </w:rPr>
        <w:t>21</w:t>
      </w:r>
      <w:r w:rsidRPr="006113C4">
        <w:rPr>
          <w:sz w:val="24"/>
          <w:szCs w:val="24"/>
          <w:lang w:val="en-US"/>
        </w:rPr>
        <w:t xml:space="preserve">] a) L. Magtanong, G. D. Mueller, K. J. Williams, M. Billmann, K. Chan, D. A. Armenta, L. E. Pope, J. Moffat, C. Boone, C. L. Myers, J. A. </w:t>
      </w:r>
      <w:proofErr w:type="spellStart"/>
      <w:r w:rsidRPr="006113C4">
        <w:rPr>
          <w:sz w:val="24"/>
          <w:szCs w:val="24"/>
          <w:lang w:val="en-US"/>
        </w:rPr>
        <w:t>Olzmann</w:t>
      </w:r>
      <w:proofErr w:type="spellEnd"/>
      <w:r w:rsidRPr="006113C4">
        <w:rPr>
          <w:sz w:val="24"/>
          <w:szCs w:val="24"/>
          <w:lang w:val="en-US"/>
        </w:rPr>
        <w:t xml:space="preserve">, S. J. Bensinger, S. J. Dixon, </w:t>
      </w:r>
      <w:r w:rsidRPr="006113C4">
        <w:rPr>
          <w:i/>
          <w:sz w:val="24"/>
          <w:szCs w:val="24"/>
          <w:lang w:val="en-US"/>
        </w:rPr>
        <w:t>Cell Chem. Biol.</w:t>
      </w:r>
      <w:r w:rsidRPr="006113C4">
        <w:rPr>
          <w:sz w:val="24"/>
          <w:szCs w:val="24"/>
          <w:lang w:val="en-US"/>
        </w:rPr>
        <w:t xml:space="preserve"> </w:t>
      </w:r>
      <w:r w:rsidRPr="006113C4">
        <w:rPr>
          <w:b/>
          <w:sz w:val="24"/>
          <w:szCs w:val="24"/>
          <w:lang w:val="en-US"/>
        </w:rPr>
        <w:t>2022</w:t>
      </w:r>
      <w:r w:rsidRPr="006113C4">
        <w:rPr>
          <w:sz w:val="24"/>
          <w:szCs w:val="24"/>
          <w:lang w:val="en-US"/>
        </w:rPr>
        <w:t xml:space="preserve">, </w:t>
      </w:r>
      <w:r w:rsidRPr="006113C4">
        <w:rPr>
          <w:i/>
          <w:sz w:val="24"/>
          <w:szCs w:val="24"/>
          <w:lang w:val="en-US"/>
        </w:rPr>
        <w:t>29</w:t>
      </w:r>
      <w:r w:rsidRPr="006113C4">
        <w:rPr>
          <w:sz w:val="24"/>
          <w:szCs w:val="24"/>
          <w:lang w:val="en-US"/>
        </w:rPr>
        <w:t xml:space="preserve">, </w:t>
      </w:r>
      <w:r w:rsidR="00475245" w:rsidRPr="006113C4">
        <w:rPr>
          <w:sz w:val="24"/>
          <w:szCs w:val="24"/>
          <w:lang w:val="en-US"/>
        </w:rPr>
        <w:t>1409</w:t>
      </w:r>
      <w:r w:rsidR="00475245" w:rsidRPr="006113C4">
        <w:rPr>
          <w:rFonts w:eastAsiaTheme="minorHAnsi"/>
          <w:sz w:val="24"/>
          <w:szCs w:val="24"/>
          <w:lang w:val="en-US"/>
        </w:rPr>
        <w:t>–</w:t>
      </w:r>
      <w:r w:rsidR="00475245" w:rsidRPr="006113C4">
        <w:rPr>
          <w:sz w:val="24"/>
          <w:szCs w:val="24"/>
          <w:lang w:val="en-US"/>
        </w:rPr>
        <w:t>1418</w:t>
      </w:r>
      <w:r w:rsidRPr="006113C4">
        <w:rPr>
          <w:sz w:val="24"/>
          <w:szCs w:val="24"/>
          <w:lang w:val="en-US"/>
        </w:rPr>
        <w:t xml:space="preserve">. b) </w:t>
      </w:r>
      <w:r w:rsidRPr="006113C4">
        <w:rPr>
          <w:noProof/>
          <w:sz w:val="24"/>
          <w:szCs w:val="24"/>
          <w:lang w:val="en-US"/>
        </w:rPr>
        <w:t xml:space="preserve">L. Mahoney-Sanchez, H. Bouchaoui, I. Boussaad, A. Jonneaux, K. Timmerman, O. Berdeaux, S. Ayton, R. Krüger, J. A. Duce, D. Devos, J. C. Devedjian, </w:t>
      </w:r>
      <w:r w:rsidRPr="006113C4">
        <w:rPr>
          <w:i/>
          <w:noProof/>
          <w:sz w:val="24"/>
          <w:szCs w:val="24"/>
          <w:lang w:val="en-US"/>
        </w:rPr>
        <w:t>Cell Rep.</w:t>
      </w:r>
      <w:r w:rsidRPr="006113C4">
        <w:rPr>
          <w:noProof/>
          <w:sz w:val="24"/>
          <w:szCs w:val="24"/>
          <w:lang w:val="en-US"/>
        </w:rPr>
        <w:t xml:space="preserve"> </w:t>
      </w:r>
      <w:r w:rsidRPr="006113C4">
        <w:rPr>
          <w:b/>
          <w:noProof/>
          <w:sz w:val="24"/>
          <w:szCs w:val="24"/>
          <w:lang w:val="en-US"/>
        </w:rPr>
        <w:t>2022</w:t>
      </w:r>
      <w:r w:rsidR="00475245" w:rsidRPr="006113C4">
        <w:rPr>
          <w:noProof/>
          <w:sz w:val="24"/>
          <w:szCs w:val="24"/>
          <w:lang w:val="en-US"/>
        </w:rPr>
        <w:t xml:space="preserve">, </w:t>
      </w:r>
      <w:r w:rsidRPr="006113C4">
        <w:rPr>
          <w:i/>
          <w:noProof/>
          <w:sz w:val="24"/>
          <w:szCs w:val="24"/>
          <w:lang w:val="en-US"/>
        </w:rPr>
        <w:t>40</w:t>
      </w:r>
      <w:r w:rsidRPr="006113C4">
        <w:rPr>
          <w:noProof/>
          <w:sz w:val="24"/>
          <w:szCs w:val="24"/>
          <w:lang w:val="en-US"/>
        </w:rPr>
        <w:t xml:space="preserve">, 111231. </w:t>
      </w:r>
      <w:r w:rsidR="00475245" w:rsidRPr="006113C4">
        <w:rPr>
          <w:noProof/>
          <w:sz w:val="24"/>
          <w:szCs w:val="24"/>
          <w:lang w:val="en-US"/>
        </w:rPr>
        <w:t xml:space="preserve">c) </w:t>
      </w:r>
      <w:r w:rsidRPr="006113C4">
        <w:rPr>
          <w:rFonts w:eastAsia="Times New Roman"/>
          <w:sz w:val="24"/>
          <w:szCs w:val="24"/>
          <w:lang w:val="en-US"/>
        </w:rPr>
        <w:t xml:space="preserve">H. </w:t>
      </w:r>
      <w:proofErr w:type="spellStart"/>
      <w:r w:rsidRPr="006113C4">
        <w:rPr>
          <w:rFonts w:eastAsia="Times New Roman"/>
          <w:sz w:val="24"/>
          <w:szCs w:val="24"/>
          <w:lang w:val="en-US"/>
        </w:rPr>
        <w:lastRenderedPageBreak/>
        <w:t>Bouchaoui</w:t>
      </w:r>
      <w:proofErr w:type="spellEnd"/>
      <w:r w:rsidRPr="006113C4">
        <w:rPr>
          <w:rFonts w:eastAsia="Times New Roman"/>
          <w:sz w:val="24"/>
          <w:szCs w:val="24"/>
          <w:lang w:val="en-US"/>
        </w:rPr>
        <w:t xml:space="preserve">, L. Mahoney-Sanchez, G. Garçon, O. </w:t>
      </w:r>
      <w:proofErr w:type="spellStart"/>
      <w:r w:rsidRPr="006113C4">
        <w:rPr>
          <w:rFonts w:eastAsia="Times New Roman"/>
          <w:sz w:val="24"/>
          <w:szCs w:val="24"/>
          <w:lang w:val="en-US"/>
        </w:rPr>
        <w:t>Berdeaux</w:t>
      </w:r>
      <w:proofErr w:type="spellEnd"/>
      <w:r w:rsidRPr="006113C4">
        <w:rPr>
          <w:rFonts w:eastAsia="Times New Roman"/>
          <w:sz w:val="24"/>
          <w:szCs w:val="24"/>
          <w:lang w:val="en-US"/>
        </w:rPr>
        <w:t xml:space="preserve">, L. Y. Alleman, D. Devos, J. A. Duce, J. C. Devedjian, </w:t>
      </w:r>
      <w:r w:rsidRPr="006113C4">
        <w:rPr>
          <w:rFonts w:eastAsia="Times New Roman"/>
          <w:i/>
          <w:sz w:val="24"/>
          <w:szCs w:val="24"/>
          <w:lang w:val="en-US"/>
        </w:rPr>
        <w:t>Free Radic. Biol. Med.</w:t>
      </w:r>
      <w:r w:rsidRPr="006113C4">
        <w:rPr>
          <w:rFonts w:eastAsia="Times New Roman"/>
          <w:sz w:val="24"/>
          <w:szCs w:val="24"/>
          <w:lang w:val="en-US"/>
        </w:rPr>
        <w:t xml:space="preserve"> </w:t>
      </w:r>
      <w:r w:rsidRPr="006113C4">
        <w:rPr>
          <w:rFonts w:eastAsia="Times New Roman"/>
          <w:b/>
          <w:sz w:val="24"/>
          <w:szCs w:val="24"/>
          <w:lang w:val="en-US"/>
        </w:rPr>
        <w:t>2023</w:t>
      </w:r>
      <w:r w:rsidRPr="006113C4">
        <w:rPr>
          <w:rFonts w:eastAsia="Times New Roman"/>
          <w:sz w:val="24"/>
          <w:szCs w:val="24"/>
          <w:lang w:val="en-US"/>
        </w:rPr>
        <w:t xml:space="preserve">, </w:t>
      </w:r>
      <w:r w:rsidRPr="006113C4">
        <w:rPr>
          <w:rFonts w:eastAsia="Times New Roman"/>
          <w:i/>
          <w:sz w:val="24"/>
          <w:szCs w:val="24"/>
          <w:lang w:val="en-US"/>
        </w:rPr>
        <w:t>195</w:t>
      </w:r>
      <w:r w:rsidRPr="006113C4">
        <w:rPr>
          <w:rFonts w:eastAsia="Times New Roman"/>
          <w:sz w:val="24"/>
          <w:szCs w:val="24"/>
          <w:lang w:val="en-US"/>
        </w:rPr>
        <w:t>, 145–157.</w:t>
      </w:r>
    </w:p>
    <w:p w14:paraId="5C3C56AD" w14:textId="24BDEC6C" w:rsidR="00582A7B" w:rsidRPr="000E65BE" w:rsidRDefault="45D4C883" w:rsidP="00582A7B">
      <w:pPr>
        <w:spacing w:before="240" w:after="240"/>
        <w:jc w:val="both"/>
        <w:rPr>
          <w:sz w:val="24"/>
          <w:szCs w:val="24"/>
          <w:lang w:val="en-US"/>
        </w:rPr>
      </w:pPr>
      <w:r w:rsidRPr="45D4C883">
        <w:rPr>
          <w:sz w:val="24"/>
          <w:szCs w:val="24"/>
          <w:lang w:val="en-US"/>
        </w:rPr>
        <w:t xml:space="preserve">[22] B. </w:t>
      </w:r>
      <w:proofErr w:type="spellStart"/>
      <w:r w:rsidRPr="45D4C883">
        <w:rPr>
          <w:sz w:val="24"/>
          <w:szCs w:val="24"/>
          <w:lang w:val="en-US"/>
        </w:rPr>
        <w:t>Staels</w:t>
      </w:r>
      <w:proofErr w:type="spellEnd"/>
      <w:r w:rsidRPr="45D4C883">
        <w:rPr>
          <w:sz w:val="24"/>
          <w:szCs w:val="24"/>
          <w:lang w:val="en-US"/>
        </w:rPr>
        <w:t xml:space="preserve">, W. Koenig, A. Habib, R. </w:t>
      </w:r>
      <w:proofErr w:type="spellStart"/>
      <w:r w:rsidRPr="45D4C883">
        <w:rPr>
          <w:sz w:val="24"/>
          <w:szCs w:val="24"/>
          <w:lang w:val="en-US"/>
        </w:rPr>
        <w:t>Merval</w:t>
      </w:r>
      <w:proofErr w:type="spellEnd"/>
      <w:r w:rsidRPr="45D4C883">
        <w:rPr>
          <w:sz w:val="24"/>
          <w:szCs w:val="24"/>
          <w:lang w:val="en-US"/>
        </w:rPr>
        <w:t xml:space="preserve">, M. Lebret, I. Pineda Torra, P. </w:t>
      </w:r>
      <w:proofErr w:type="spellStart"/>
      <w:r w:rsidRPr="45D4C883">
        <w:rPr>
          <w:sz w:val="24"/>
          <w:szCs w:val="24"/>
          <w:lang w:val="en-US"/>
        </w:rPr>
        <w:t>Delerive</w:t>
      </w:r>
      <w:proofErr w:type="spellEnd"/>
      <w:r w:rsidRPr="45D4C883">
        <w:rPr>
          <w:sz w:val="24"/>
          <w:szCs w:val="24"/>
          <w:lang w:val="en-US"/>
        </w:rPr>
        <w:t xml:space="preserve">, A. Fadel, G. Chinetti, J. C. </w:t>
      </w:r>
      <w:proofErr w:type="spellStart"/>
      <w:r w:rsidRPr="45D4C883">
        <w:rPr>
          <w:sz w:val="24"/>
          <w:szCs w:val="24"/>
          <w:lang w:val="en-US"/>
        </w:rPr>
        <w:t>Fruchart</w:t>
      </w:r>
      <w:proofErr w:type="spellEnd"/>
      <w:r w:rsidRPr="45D4C883">
        <w:rPr>
          <w:sz w:val="24"/>
          <w:szCs w:val="24"/>
          <w:lang w:val="en-US"/>
        </w:rPr>
        <w:t xml:space="preserve">, J. Najib, J. </w:t>
      </w:r>
      <w:proofErr w:type="spellStart"/>
      <w:r w:rsidRPr="45D4C883">
        <w:rPr>
          <w:sz w:val="24"/>
          <w:szCs w:val="24"/>
          <w:lang w:val="en-US"/>
        </w:rPr>
        <w:t>Maclouf</w:t>
      </w:r>
      <w:proofErr w:type="spellEnd"/>
      <w:r w:rsidRPr="45D4C883">
        <w:rPr>
          <w:sz w:val="24"/>
          <w:szCs w:val="24"/>
          <w:lang w:val="en-US"/>
        </w:rPr>
        <w:t xml:space="preserve">, A. </w:t>
      </w:r>
      <w:r w:rsidRPr="45D4C883">
        <w:rPr>
          <w:i/>
          <w:iCs/>
          <w:sz w:val="24"/>
          <w:szCs w:val="24"/>
          <w:lang w:val="en-US"/>
        </w:rPr>
        <w:t>Nature</w:t>
      </w:r>
      <w:r w:rsidRPr="45D4C883">
        <w:rPr>
          <w:sz w:val="24"/>
          <w:szCs w:val="24"/>
          <w:lang w:val="en-US"/>
        </w:rPr>
        <w:t xml:space="preserve"> </w:t>
      </w:r>
      <w:r w:rsidRPr="45D4C883">
        <w:rPr>
          <w:b/>
          <w:bCs/>
          <w:sz w:val="24"/>
          <w:szCs w:val="24"/>
          <w:lang w:val="en-US"/>
        </w:rPr>
        <w:t>1998</w:t>
      </w:r>
      <w:r w:rsidRPr="45D4C883">
        <w:rPr>
          <w:sz w:val="24"/>
          <w:szCs w:val="24"/>
          <w:lang w:val="en-US"/>
        </w:rPr>
        <w:t xml:space="preserve">, </w:t>
      </w:r>
      <w:r w:rsidRPr="45D4C883">
        <w:rPr>
          <w:i/>
          <w:iCs/>
          <w:sz w:val="24"/>
          <w:szCs w:val="24"/>
          <w:lang w:val="en-US"/>
        </w:rPr>
        <w:t>393</w:t>
      </w:r>
      <w:r w:rsidRPr="45D4C883">
        <w:rPr>
          <w:sz w:val="24"/>
          <w:szCs w:val="24"/>
          <w:lang w:val="en-US"/>
        </w:rPr>
        <w:t>, 790–793.</w:t>
      </w:r>
    </w:p>
    <w:p w14:paraId="11D61001" w14:textId="7A98702B" w:rsidR="00582A7B" w:rsidRPr="009A6969" w:rsidRDefault="45D4C883" w:rsidP="00582A7B">
      <w:pPr>
        <w:spacing w:before="240" w:after="240"/>
        <w:jc w:val="both"/>
        <w:rPr>
          <w:sz w:val="24"/>
          <w:szCs w:val="24"/>
          <w:lang w:val="fr-FR"/>
        </w:rPr>
      </w:pPr>
      <w:r w:rsidRPr="009A6969">
        <w:rPr>
          <w:sz w:val="24"/>
          <w:szCs w:val="24"/>
          <w:lang w:val="fr-FR"/>
        </w:rPr>
        <w:t xml:space="preserve">[23] C. V. </w:t>
      </w:r>
      <w:proofErr w:type="spellStart"/>
      <w:r w:rsidRPr="009A6969">
        <w:rPr>
          <w:sz w:val="24"/>
          <w:szCs w:val="24"/>
          <w:lang w:val="fr-FR"/>
        </w:rPr>
        <w:t>Goemans</w:t>
      </w:r>
      <w:proofErr w:type="spellEnd"/>
      <w:r w:rsidRPr="009A6969">
        <w:rPr>
          <w:sz w:val="24"/>
          <w:szCs w:val="24"/>
          <w:lang w:val="fr-FR"/>
        </w:rPr>
        <w:t xml:space="preserve">, D. Vertommen, R. </w:t>
      </w:r>
      <w:proofErr w:type="spellStart"/>
      <w:r w:rsidRPr="009A6969">
        <w:rPr>
          <w:sz w:val="24"/>
          <w:szCs w:val="24"/>
          <w:lang w:val="fr-FR"/>
        </w:rPr>
        <w:t>Agrebi</w:t>
      </w:r>
      <w:proofErr w:type="spellEnd"/>
      <w:r w:rsidRPr="009A6969">
        <w:rPr>
          <w:sz w:val="24"/>
          <w:szCs w:val="24"/>
          <w:lang w:val="fr-FR"/>
        </w:rPr>
        <w:t xml:space="preserve">, J. F. Collet, </w:t>
      </w:r>
      <w:r w:rsidRPr="009A6969">
        <w:rPr>
          <w:i/>
          <w:iCs/>
          <w:sz w:val="24"/>
          <w:szCs w:val="24"/>
          <w:lang w:val="fr-FR"/>
        </w:rPr>
        <w:t xml:space="preserve">Mol. </w:t>
      </w:r>
      <w:proofErr w:type="spellStart"/>
      <w:r w:rsidRPr="009A6969">
        <w:rPr>
          <w:i/>
          <w:iCs/>
          <w:sz w:val="24"/>
          <w:szCs w:val="24"/>
          <w:lang w:val="fr-FR"/>
        </w:rPr>
        <w:t>Cell</w:t>
      </w:r>
      <w:proofErr w:type="spellEnd"/>
      <w:r w:rsidRPr="009A6969">
        <w:rPr>
          <w:i/>
          <w:iCs/>
          <w:sz w:val="24"/>
          <w:szCs w:val="24"/>
          <w:lang w:val="fr-FR"/>
        </w:rPr>
        <w:t xml:space="preserve"> </w:t>
      </w:r>
      <w:r w:rsidRPr="009A6969">
        <w:rPr>
          <w:b/>
          <w:bCs/>
          <w:sz w:val="24"/>
          <w:szCs w:val="24"/>
          <w:lang w:val="fr-FR"/>
        </w:rPr>
        <w:t>2018</w:t>
      </w:r>
      <w:r w:rsidRPr="009A6969">
        <w:rPr>
          <w:sz w:val="24"/>
          <w:szCs w:val="24"/>
          <w:lang w:val="fr-FR"/>
        </w:rPr>
        <w:t xml:space="preserve">, </w:t>
      </w:r>
      <w:r w:rsidRPr="009A6969">
        <w:rPr>
          <w:i/>
          <w:iCs/>
          <w:sz w:val="24"/>
          <w:szCs w:val="24"/>
          <w:lang w:val="fr-FR"/>
        </w:rPr>
        <w:t>70</w:t>
      </w:r>
      <w:r w:rsidRPr="009A6969">
        <w:rPr>
          <w:sz w:val="24"/>
          <w:szCs w:val="24"/>
          <w:lang w:val="fr-FR"/>
        </w:rPr>
        <w:t>, 614–627.</w:t>
      </w:r>
    </w:p>
    <w:p w14:paraId="5C30B214" w14:textId="7E03EFBE" w:rsidR="00582A7B" w:rsidRPr="00FA42DD" w:rsidRDefault="45D4C883" w:rsidP="00582A7B">
      <w:pPr>
        <w:spacing w:before="240" w:after="240"/>
        <w:jc w:val="both"/>
        <w:rPr>
          <w:sz w:val="28"/>
          <w:szCs w:val="28"/>
          <w:lang w:val="fr-FR"/>
        </w:rPr>
      </w:pPr>
      <w:r w:rsidRPr="009A6969">
        <w:rPr>
          <w:sz w:val="24"/>
          <w:szCs w:val="24"/>
          <w:lang w:val="fr-FR"/>
        </w:rPr>
        <w:t xml:space="preserve">[24] A. T. </w:t>
      </w:r>
      <w:proofErr w:type="spellStart"/>
      <w:r w:rsidRPr="009A6969">
        <w:rPr>
          <w:sz w:val="24"/>
          <w:szCs w:val="24"/>
          <w:lang w:val="fr-FR"/>
        </w:rPr>
        <w:t>McNutt</w:t>
      </w:r>
      <w:proofErr w:type="spellEnd"/>
      <w:r w:rsidRPr="009A6969">
        <w:rPr>
          <w:sz w:val="24"/>
          <w:szCs w:val="24"/>
          <w:lang w:val="fr-FR"/>
        </w:rPr>
        <w:t xml:space="preserve">, P. Francoeur, R. Aggarwal, T. </w:t>
      </w:r>
      <w:proofErr w:type="spellStart"/>
      <w:r w:rsidRPr="009A6969">
        <w:rPr>
          <w:sz w:val="24"/>
          <w:szCs w:val="24"/>
          <w:lang w:val="fr-FR"/>
        </w:rPr>
        <w:t>Masuda</w:t>
      </w:r>
      <w:proofErr w:type="spellEnd"/>
      <w:r w:rsidRPr="009A6969">
        <w:rPr>
          <w:sz w:val="24"/>
          <w:szCs w:val="24"/>
          <w:lang w:val="fr-FR"/>
        </w:rPr>
        <w:t xml:space="preserve">, R. Meli, M. </w:t>
      </w:r>
      <w:proofErr w:type="spellStart"/>
      <w:r w:rsidRPr="009A6969">
        <w:rPr>
          <w:sz w:val="24"/>
          <w:szCs w:val="24"/>
          <w:lang w:val="fr-FR"/>
        </w:rPr>
        <w:t>Ragoza</w:t>
      </w:r>
      <w:proofErr w:type="spellEnd"/>
      <w:r w:rsidRPr="009A6969">
        <w:rPr>
          <w:sz w:val="24"/>
          <w:szCs w:val="24"/>
          <w:lang w:val="fr-FR"/>
        </w:rPr>
        <w:t xml:space="preserve">, J. </w:t>
      </w:r>
      <w:proofErr w:type="spellStart"/>
      <w:r w:rsidRPr="009A6969">
        <w:rPr>
          <w:sz w:val="24"/>
          <w:szCs w:val="24"/>
          <w:lang w:val="fr-FR"/>
        </w:rPr>
        <w:t>Sunseri</w:t>
      </w:r>
      <w:proofErr w:type="spellEnd"/>
      <w:r w:rsidRPr="009A6969">
        <w:rPr>
          <w:sz w:val="24"/>
          <w:szCs w:val="24"/>
          <w:lang w:val="fr-FR"/>
        </w:rPr>
        <w:t xml:space="preserve">, D. </w:t>
      </w:r>
      <w:proofErr w:type="spellStart"/>
      <w:proofErr w:type="gramStart"/>
      <w:r w:rsidRPr="009A6969">
        <w:rPr>
          <w:sz w:val="24"/>
          <w:szCs w:val="24"/>
          <w:lang w:val="fr-FR"/>
        </w:rPr>
        <w:t>R.Koes</w:t>
      </w:r>
      <w:proofErr w:type="spellEnd"/>
      <w:proofErr w:type="gramEnd"/>
      <w:r w:rsidRPr="009A6969">
        <w:rPr>
          <w:sz w:val="24"/>
          <w:szCs w:val="24"/>
          <w:lang w:val="fr-FR"/>
        </w:rPr>
        <w:t xml:space="preserve">, </w:t>
      </w:r>
      <w:r w:rsidRPr="009A6969">
        <w:rPr>
          <w:i/>
          <w:iCs/>
          <w:sz w:val="24"/>
          <w:szCs w:val="24"/>
          <w:lang w:val="fr-FR"/>
        </w:rPr>
        <w:t xml:space="preserve">J. </w:t>
      </w:r>
      <w:proofErr w:type="spellStart"/>
      <w:r w:rsidRPr="009A6969">
        <w:rPr>
          <w:i/>
          <w:iCs/>
          <w:sz w:val="24"/>
          <w:szCs w:val="24"/>
          <w:lang w:val="fr-FR"/>
        </w:rPr>
        <w:t>Cheminform</w:t>
      </w:r>
      <w:proofErr w:type="spellEnd"/>
      <w:r w:rsidRPr="009A6969">
        <w:rPr>
          <w:i/>
          <w:iCs/>
          <w:sz w:val="24"/>
          <w:szCs w:val="24"/>
          <w:lang w:val="fr-FR"/>
        </w:rPr>
        <w:t>.</w:t>
      </w:r>
      <w:r w:rsidRPr="009A6969">
        <w:rPr>
          <w:sz w:val="24"/>
          <w:szCs w:val="24"/>
          <w:lang w:val="fr-FR"/>
        </w:rPr>
        <w:t xml:space="preserve"> </w:t>
      </w:r>
      <w:r w:rsidRPr="45D4C883">
        <w:rPr>
          <w:b/>
          <w:bCs/>
          <w:sz w:val="24"/>
          <w:szCs w:val="24"/>
          <w:lang w:val="fr-FR"/>
        </w:rPr>
        <w:t>2021</w:t>
      </w:r>
      <w:r w:rsidRPr="45D4C883">
        <w:rPr>
          <w:sz w:val="24"/>
          <w:szCs w:val="24"/>
          <w:lang w:val="fr-FR"/>
        </w:rPr>
        <w:t xml:space="preserve">, </w:t>
      </w:r>
      <w:r w:rsidRPr="45D4C883">
        <w:rPr>
          <w:i/>
          <w:iCs/>
          <w:sz w:val="24"/>
          <w:szCs w:val="24"/>
          <w:lang w:val="fr-FR"/>
        </w:rPr>
        <w:t>13</w:t>
      </w:r>
      <w:r w:rsidRPr="45D4C883">
        <w:rPr>
          <w:sz w:val="24"/>
          <w:szCs w:val="24"/>
          <w:lang w:val="fr-FR"/>
        </w:rPr>
        <w:t>, 43.</w:t>
      </w:r>
    </w:p>
    <w:p w14:paraId="532CA08D" w14:textId="5D8034B4" w:rsidR="00582A7B" w:rsidRPr="00FA42DD" w:rsidRDefault="00582A7B" w:rsidP="00582A7B">
      <w:pPr>
        <w:spacing w:before="240" w:after="240"/>
        <w:jc w:val="both"/>
        <w:rPr>
          <w:sz w:val="24"/>
          <w:szCs w:val="24"/>
          <w:lang w:val="fr-FR"/>
        </w:rPr>
      </w:pPr>
      <w:r w:rsidRPr="00FA42DD">
        <w:rPr>
          <w:sz w:val="24"/>
          <w:szCs w:val="24"/>
          <w:lang w:val="fr-FR"/>
        </w:rPr>
        <w:t>[</w:t>
      </w:r>
      <w:r w:rsidR="00315267" w:rsidRPr="00FA42DD">
        <w:rPr>
          <w:sz w:val="24"/>
          <w:szCs w:val="24"/>
          <w:lang w:val="fr-FR"/>
        </w:rPr>
        <w:t>2</w:t>
      </w:r>
      <w:r w:rsidR="00310DBC" w:rsidRPr="00FA42DD">
        <w:rPr>
          <w:sz w:val="24"/>
          <w:szCs w:val="24"/>
          <w:lang w:val="fr-FR"/>
        </w:rPr>
        <w:t>5</w:t>
      </w:r>
      <w:r w:rsidRPr="00FA42DD">
        <w:rPr>
          <w:sz w:val="24"/>
          <w:szCs w:val="24"/>
          <w:lang w:val="fr-FR"/>
        </w:rPr>
        <w:t xml:space="preserve">] E. Krieger, G. </w:t>
      </w:r>
      <w:proofErr w:type="spellStart"/>
      <w:r w:rsidRPr="00FA42DD">
        <w:rPr>
          <w:sz w:val="24"/>
          <w:szCs w:val="24"/>
          <w:lang w:val="fr-FR"/>
        </w:rPr>
        <w:t>Vriend</w:t>
      </w:r>
      <w:proofErr w:type="spellEnd"/>
      <w:r w:rsidRPr="00FA42DD">
        <w:rPr>
          <w:sz w:val="24"/>
          <w:szCs w:val="24"/>
          <w:lang w:val="fr-FR"/>
        </w:rPr>
        <w:t xml:space="preserve">, </w:t>
      </w:r>
      <w:proofErr w:type="spellStart"/>
      <w:r w:rsidRPr="00FA42DD">
        <w:rPr>
          <w:i/>
          <w:sz w:val="24"/>
          <w:szCs w:val="24"/>
          <w:lang w:val="fr-FR"/>
        </w:rPr>
        <w:t>Bioinformatics</w:t>
      </w:r>
      <w:proofErr w:type="spellEnd"/>
      <w:r w:rsidRPr="00FA42DD">
        <w:rPr>
          <w:sz w:val="24"/>
          <w:szCs w:val="24"/>
          <w:lang w:val="fr-FR"/>
        </w:rPr>
        <w:t xml:space="preserve"> </w:t>
      </w:r>
      <w:r w:rsidRPr="00FA42DD">
        <w:rPr>
          <w:b/>
          <w:sz w:val="24"/>
          <w:szCs w:val="24"/>
          <w:lang w:val="fr-FR"/>
        </w:rPr>
        <w:t>2014</w:t>
      </w:r>
      <w:r w:rsidRPr="00FA42DD">
        <w:rPr>
          <w:sz w:val="24"/>
          <w:szCs w:val="24"/>
          <w:lang w:val="fr-FR"/>
        </w:rPr>
        <w:t xml:space="preserve">, </w:t>
      </w:r>
      <w:r w:rsidRPr="00FA42DD">
        <w:rPr>
          <w:i/>
          <w:sz w:val="24"/>
          <w:szCs w:val="24"/>
          <w:lang w:val="fr-FR"/>
        </w:rPr>
        <w:t>30</w:t>
      </w:r>
      <w:r w:rsidRPr="00FA42DD">
        <w:rPr>
          <w:sz w:val="24"/>
          <w:szCs w:val="24"/>
          <w:lang w:val="fr-FR"/>
        </w:rPr>
        <w:t>, 2981–2982.</w:t>
      </w:r>
    </w:p>
    <w:p w14:paraId="1A72B583" w14:textId="228DEE22" w:rsidR="00DF2B14" w:rsidRPr="00DF2B14" w:rsidRDefault="00DF2B14" w:rsidP="00582A7B">
      <w:pPr>
        <w:spacing w:before="240" w:after="240"/>
        <w:jc w:val="both"/>
        <w:rPr>
          <w:sz w:val="24"/>
          <w:szCs w:val="24"/>
          <w:lang w:val="fr-FR"/>
        </w:rPr>
      </w:pPr>
      <w:r w:rsidRPr="006113C4">
        <w:rPr>
          <w:sz w:val="24"/>
          <w:szCs w:val="24"/>
        </w:rPr>
        <w:t xml:space="preserve">[26] B. Do Van, F. </w:t>
      </w:r>
      <w:proofErr w:type="spellStart"/>
      <w:r w:rsidRPr="006113C4">
        <w:rPr>
          <w:sz w:val="24"/>
          <w:szCs w:val="24"/>
        </w:rPr>
        <w:t>Gouel</w:t>
      </w:r>
      <w:proofErr w:type="spellEnd"/>
      <w:r w:rsidRPr="006113C4">
        <w:rPr>
          <w:sz w:val="24"/>
          <w:szCs w:val="24"/>
        </w:rPr>
        <w:t xml:space="preserve">, A. </w:t>
      </w:r>
      <w:proofErr w:type="spellStart"/>
      <w:r w:rsidRPr="006113C4">
        <w:rPr>
          <w:sz w:val="24"/>
          <w:szCs w:val="24"/>
        </w:rPr>
        <w:t>Jonneaux</w:t>
      </w:r>
      <w:proofErr w:type="spellEnd"/>
      <w:r w:rsidRPr="006113C4">
        <w:rPr>
          <w:sz w:val="24"/>
          <w:szCs w:val="24"/>
        </w:rPr>
        <w:t xml:space="preserve">, K. Timmerman, P. Gelé, M. </w:t>
      </w:r>
      <w:proofErr w:type="spellStart"/>
      <w:r w:rsidRPr="006113C4">
        <w:rPr>
          <w:sz w:val="24"/>
          <w:szCs w:val="24"/>
        </w:rPr>
        <w:t>Pétrault</w:t>
      </w:r>
      <w:proofErr w:type="spellEnd"/>
      <w:r w:rsidRPr="006113C4">
        <w:rPr>
          <w:sz w:val="24"/>
          <w:szCs w:val="24"/>
        </w:rPr>
        <w:t xml:space="preserve">, M. Bastide, C. Laloux, C. Moreau, R. Bordet, D. Devos, J. C. Devedjian, </w:t>
      </w:r>
      <w:proofErr w:type="spellStart"/>
      <w:r w:rsidRPr="006113C4">
        <w:rPr>
          <w:i/>
          <w:sz w:val="24"/>
          <w:szCs w:val="24"/>
        </w:rPr>
        <w:t>Neurobiol</w:t>
      </w:r>
      <w:proofErr w:type="spellEnd"/>
      <w:r w:rsidRPr="006113C4">
        <w:rPr>
          <w:i/>
          <w:sz w:val="24"/>
          <w:szCs w:val="24"/>
        </w:rPr>
        <w:t>. Dis.</w:t>
      </w:r>
      <w:r w:rsidRPr="006113C4">
        <w:rPr>
          <w:sz w:val="24"/>
          <w:szCs w:val="24"/>
        </w:rPr>
        <w:t xml:space="preserve"> </w:t>
      </w:r>
      <w:r w:rsidRPr="006113C4">
        <w:rPr>
          <w:b/>
          <w:sz w:val="24"/>
          <w:szCs w:val="24"/>
        </w:rPr>
        <w:t>2016</w:t>
      </w:r>
      <w:r w:rsidRPr="006113C4">
        <w:rPr>
          <w:sz w:val="24"/>
          <w:szCs w:val="24"/>
        </w:rPr>
        <w:t xml:space="preserve">, </w:t>
      </w:r>
      <w:r w:rsidRPr="006113C4">
        <w:rPr>
          <w:i/>
          <w:sz w:val="24"/>
          <w:szCs w:val="24"/>
        </w:rPr>
        <w:t>94</w:t>
      </w:r>
      <w:r w:rsidRPr="006113C4">
        <w:rPr>
          <w:sz w:val="24"/>
          <w:szCs w:val="24"/>
        </w:rPr>
        <w:t>, 169–178.</w:t>
      </w:r>
    </w:p>
    <w:p w14:paraId="721821A7" w14:textId="5C0F2131" w:rsidR="00582A7B" w:rsidRPr="00FA42DD" w:rsidRDefault="00582A7B" w:rsidP="00582A7B">
      <w:pPr>
        <w:spacing w:before="240" w:after="240"/>
        <w:jc w:val="both"/>
        <w:rPr>
          <w:sz w:val="24"/>
          <w:szCs w:val="24"/>
        </w:rPr>
      </w:pPr>
      <w:r w:rsidRPr="00FA42DD">
        <w:rPr>
          <w:sz w:val="24"/>
          <w:szCs w:val="24"/>
        </w:rPr>
        <w:t>[</w:t>
      </w:r>
      <w:r w:rsidR="00315267" w:rsidRPr="00FA42DD">
        <w:rPr>
          <w:sz w:val="24"/>
          <w:szCs w:val="24"/>
        </w:rPr>
        <w:t>2</w:t>
      </w:r>
      <w:r w:rsidR="00DF2B14" w:rsidRPr="00FA42DD">
        <w:rPr>
          <w:sz w:val="24"/>
          <w:szCs w:val="24"/>
        </w:rPr>
        <w:t>7</w:t>
      </w:r>
      <w:r w:rsidRPr="00FA42DD">
        <w:rPr>
          <w:sz w:val="24"/>
          <w:szCs w:val="24"/>
        </w:rPr>
        <w:t xml:space="preserve">] S. L. Gaonkar, H. Shimizu, </w:t>
      </w:r>
      <w:proofErr w:type="spellStart"/>
      <w:r w:rsidRPr="00FA42DD">
        <w:rPr>
          <w:i/>
          <w:sz w:val="24"/>
          <w:szCs w:val="24"/>
        </w:rPr>
        <w:t>Tetrahedron</w:t>
      </w:r>
      <w:proofErr w:type="spellEnd"/>
      <w:r w:rsidRPr="00FA42DD">
        <w:rPr>
          <w:sz w:val="24"/>
          <w:szCs w:val="24"/>
        </w:rPr>
        <w:t xml:space="preserve"> </w:t>
      </w:r>
      <w:r w:rsidRPr="00FA42DD">
        <w:rPr>
          <w:b/>
          <w:sz w:val="24"/>
          <w:szCs w:val="24"/>
        </w:rPr>
        <w:t>2010</w:t>
      </w:r>
      <w:r w:rsidRPr="00FA42DD">
        <w:rPr>
          <w:sz w:val="24"/>
          <w:szCs w:val="24"/>
        </w:rPr>
        <w:t xml:space="preserve">, </w:t>
      </w:r>
      <w:r w:rsidRPr="00FA42DD">
        <w:rPr>
          <w:i/>
          <w:sz w:val="24"/>
          <w:szCs w:val="24"/>
        </w:rPr>
        <w:t>66</w:t>
      </w:r>
      <w:r w:rsidRPr="00FA42DD">
        <w:rPr>
          <w:sz w:val="24"/>
          <w:szCs w:val="24"/>
        </w:rPr>
        <w:t>, 3314–3317.</w:t>
      </w:r>
    </w:p>
    <w:p w14:paraId="53449FEA" w14:textId="6A658B69" w:rsidR="008E03E3" w:rsidRPr="00FA42DD" w:rsidRDefault="00582A7B" w:rsidP="00582A7B">
      <w:pPr>
        <w:spacing w:before="240" w:after="240"/>
        <w:jc w:val="both"/>
        <w:rPr>
          <w:sz w:val="24"/>
          <w:szCs w:val="24"/>
        </w:rPr>
      </w:pPr>
      <w:r w:rsidRPr="00FA42DD">
        <w:rPr>
          <w:sz w:val="24"/>
          <w:szCs w:val="24"/>
        </w:rPr>
        <w:t>[</w:t>
      </w:r>
      <w:r w:rsidR="00315267" w:rsidRPr="00FA42DD">
        <w:rPr>
          <w:sz w:val="24"/>
          <w:szCs w:val="24"/>
        </w:rPr>
        <w:t>2</w:t>
      </w:r>
      <w:r w:rsidR="00DF2B14" w:rsidRPr="00FA42DD">
        <w:rPr>
          <w:sz w:val="24"/>
          <w:szCs w:val="24"/>
        </w:rPr>
        <w:t>8</w:t>
      </w:r>
      <w:r w:rsidRPr="00FA42DD">
        <w:rPr>
          <w:sz w:val="24"/>
          <w:szCs w:val="24"/>
        </w:rPr>
        <w:t xml:space="preserve">] R. G. Giles, N. J. Lewis, J. K. Quick, M. J. Sasse, M. W. J. Urquhart, L. Youssef, </w:t>
      </w:r>
      <w:proofErr w:type="spellStart"/>
      <w:r w:rsidRPr="00FA42DD">
        <w:rPr>
          <w:i/>
          <w:sz w:val="24"/>
          <w:szCs w:val="24"/>
        </w:rPr>
        <w:t>Tetrahedron</w:t>
      </w:r>
      <w:proofErr w:type="spellEnd"/>
      <w:r w:rsidRPr="00FA42DD">
        <w:rPr>
          <w:sz w:val="24"/>
          <w:szCs w:val="24"/>
        </w:rPr>
        <w:t xml:space="preserve"> </w:t>
      </w:r>
      <w:r w:rsidRPr="00FA42DD">
        <w:rPr>
          <w:b/>
          <w:sz w:val="24"/>
          <w:szCs w:val="24"/>
        </w:rPr>
        <w:t>2000</w:t>
      </w:r>
      <w:r w:rsidRPr="00FA42DD">
        <w:rPr>
          <w:sz w:val="24"/>
          <w:szCs w:val="24"/>
        </w:rPr>
        <w:t xml:space="preserve">, </w:t>
      </w:r>
      <w:r w:rsidRPr="00FA42DD">
        <w:rPr>
          <w:i/>
          <w:sz w:val="24"/>
          <w:szCs w:val="24"/>
        </w:rPr>
        <w:t>56</w:t>
      </w:r>
      <w:r w:rsidRPr="00FA42DD">
        <w:rPr>
          <w:sz w:val="24"/>
          <w:szCs w:val="24"/>
        </w:rPr>
        <w:t>, 4531–4537.</w:t>
      </w:r>
      <w:bookmarkEnd w:id="1"/>
    </w:p>
    <w:sectPr w:rsidR="008E03E3" w:rsidRPr="00FA42DD">
      <w:pgSz w:w="11909" w:h="16834"/>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amal El Bakali" w:date="2025-02-21T08:35:00Z" w:initials="JEB">
    <w:p w14:paraId="005AE19E" w14:textId="1A9D45AD" w:rsidR="002074F2" w:rsidRDefault="002074F2">
      <w:pPr>
        <w:pStyle w:val="Commentaire"/>
      </w:pPr>
      <w:r>
        <w:rPr>
          <w:rStyle w:val="Marquedecommentaire"/>
        </w:rPr>
        <w:annotationRef/>
      </w:r>
      <w:r>
        <w:t>A voir si on modifie ça CC50 à 15 µM sur une lignée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5AE19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62B952" w16cex:dateUtc="2025-02-21T07: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5AE19E" w16cid:durableId="2B62B95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mal El Bakali">
    <w15:presenceInfo w15:providerId="AD" w15:userId="S-1-5-21-2924492247-1546032921-1149824061-40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F29"/>
    <w:rsid w:val="000021E8"/>
    <w:rsid w:val="00005057"/>
    <w:rsid w:val="000124F8"/>
    <w:rsid w:val="000127A6"/>
    <w:rsid w:val="0002275C"/>
    <w:rsid w:val="000239D5"/>
    <w:rsid w:val="00025577"/>
    <w:rsid w:val="00030C5B"/>
    <w:rsid w:val="0003535D"/>
    <w:rsid w:val="000412B0"/>
    <w:rsid w:val="00046170"/>
    <w:rsid w:val="0004761E"/>
    <w:rsid w:val="00050B2B"/>
    <w:rsid w:val="000550B0"/>
    <w:rsid w:val="00055672"/>
    <w:rsid w:val="00065352"/>
    <w:rsid w:val="00066741"/>
    <w:rsid w:val="000668EF"/>
    <w:rsid w:val="000716ED"/>
    <w:rsid w:val="00076B3F"/>
    <w:rsid w:val="000776EC"/>
    <w:rsid w:val="00082FC7"/>
    <w:rsid w:val="00085E86"/>
    <w:rsid w:val="000924C2"/>
    <w:rsid w:val="00094A45"/>
    <w:rsid w:val="000A23CE"/>
    <w:rsid w:val="000A425B"/>
    <w:rsid w:val="000A702F"/>
    <w:rsid w:val="000B0F81"/>
    <w:rsid w:val="000B3587"/>
    <w:rsid w:val="000C416A"/>
    <w:rsid w:val="000D6C30"/>
    <w:rsid w:val="000E284B"/>
    <w:rsid w:val="000E65BE"/>
    <w:rsid w:val="000E702D"/>
    <w:rsid w:val="000E7455"/>
    <w:rsid w:val="000E7C8A"/>
    <w:rsid w:val="000F573C"/>
    <w:rsid w:val="000F6070"/>
    <w:rsid w:val="001022AD"/>
    <w:rsid w:val="00104B2C"/>
    <w:rsid w:val="00104E0F"/>
    <w:rsid w:val="00122FAD"/>
    <w:rsid w:val="00125AD4"/>
    <w:rsid w:val="001312F8"/>
    <w:rsid w:val="00145977"/>
    <w:rsid w:val="00152895"/>
    <w:rsid w:val="0017155E"/>
    <w:rsid w:val="00172B1D"/>
    <w:rsid w:val="00177631"/>
    <w:rsid w:val="001778D7"/>
    <w:rsid w:val="00186743"/>
    <w:rsid w:val="0019735A"/>
    <w:rsid w:val="00197880"/>
    <w:rsid w:val="001A448C"/>
    <w:rsid w:val="001A5686"/>
    <w:rsid w:val="001B31CE"/>
    <w:rsid w:val="001B3748"/>
    <w:rsid w:val="001B4832"/>
    <w:rsid w:val="001B57A8"/>
    <w:rsid w:val="001B62AD"/>
    <w:rsid w:val="001C05A1"/>
    <w:rsid w:val="001C2F38"/>
    <w:rsid w:val="001C2F49"/>
    <w:rsid w:val="001C62CA"/>
    <w:rsid w:val="001D0F19"/>
    <w:rsid w:val="001D37D3"/>
    <w:rsid w:val="001E3FC7"/>
    <w:rsid w:val="001E5964"/>
    <w:rsid w:val="001F0EFD"/>
    <w:rsid w:val="001F6CAA"/>
    <w:rsid w:val="0020133C"/>
    <w:rsid w:val="0020194F"/>
    <w:rsid w:val="00205865"/>
    <w:rsid w:val="002074F2"/>
    <w:rsid w:val="00207BCB"/>
    <w:rsid w:val="00210BDA"/>
    <w:rsid w:val="00212553"/>
    <w:rsid w:val="00215454"/>
    <w:rsid w:val="00220E02"/>
    <w:rsid w:val="0022358C"/>
    <w:rsid w:val="00231CE4"/>
    <w:rsid w:val="00232CC2"/>
    <w:rsid w:val="002457C2"/>
    <w:rsid w:val="0024599D"/>
    <w:rsid w:val="00246DB5"/>
    <w:rsid w:val="00252112"/>
    <w:rsid w:val="00252472"/>
    <w:rsid w:val="00254DA2"/>
    <w:rsid w:val="0027190F"/>
    <w:rsid w:val="00271A19"/>
    <w:rsid w:val="00275493"/>
    <w:rsid w:val="0027561A"/>
    <w:rsid w:val="0027680D"/>
    <w:rsid w:val="002811DE"/>
    <w:rsid w:val="00283DA1"/>
    <w:rsid w:val="0028725E"/>
    <w:rsid w:val="0028740B"/>
    <w:rsid w:val="00287F65"/>
    <w:rsid w:val="002922BF"/>
    <w:rsid w:val="00295378"/>
    <w:rsid w:val="002964F9"/>
    <w:rsid w:val="00297AEF"/>
    <w:rsid w:val="00297F3E"/>
    <w:rsid w:val="002A23F0"/>
    <w:rsid w:val="002A427F"/>
    <w:rsid w:val="002A4E2B"/>
    <w:rsid w:val="002B199B"/>
    <w:rsid w:val="002B37ED"/>
    <w:rsid w:val="002B3ED7"/>
    <w:rsid w:val="002B406E"/>
    <w:rsid w:val="002C5964"/>
    <w:rsid w:val="002C717A"/>
    <w:rsid w:val="002D7C4D"/>
    <w:rsid w:val="002E0491"/>
    <w:rsid w:val="002E3415"/>
    <w:rsid w:val="002F3DAB"/>
    <w:rsid w:val="002F4ED9"/>
    <w:rsid w:val="002F67F9"/>
    <w:rsid w:val="003002F5"/>
    <w:rsid w:val="00300971"/>
    <w:rsid w:val="00301537"/>
    <w:rsid w:val="0030159D"/>
    <w:rsid w:val="00310DBC"/>
    <w:rsid w:val="0031339B"/>
    <w:rsid w:val="00315267"/>
    <w:rsid w:val="00325842"/>
    <w:rsid w:val="00331C8A"/>
    <w:rsid w:val="003320B0"/>
    <w:rsid w:val="00341FF3"/>
    <w:rsid w:val="00342835"/>
    <w:rsid w:val="00343541"/>
    <w:rsid w:val="00344ED0"/>
    <w:rsid w:val="003567B9"/>
    <w:rsid w:val="00357F6C"/>
    <w:rsid w:val="003627D3"/>
    <w:rsid w:val="00366A28"/>
    <w:rsid w:val="003700F4"/>
    <w:rsid w:val="00373D67"/>
    <w:rsid w:val="0037463D"/>
    <w:rsid w:val="00377E7D"/>
    <w:rsid w:val="00387876"/>
    <w:rsid w:val="0039453B"/>
    <w:rsid w:val="00394C7C"/>
    <w:rsid w:val="003A103A"/>
    <w:rsid w:val="003A6856"/>
    <w:rsid w:val="003A7A4C"/>
    <w:rsid w:val="003B4ADC"/>
    <w:rsid w:val="003D3E0D"/>
    <w:rsid w:val="003D432C"/>
    <w:rsid w:val="003D4FBD"/>
    <w:rsid w:val="003E12CA"/>
    <w:rsid w:val="003E5E76"/>
    <w:rsid w:val="003F654C"/>
    <w:rsid w:val="003F7035"/>
    <w:rsid w:val="00402983"/>
    <w:rsid w:val="004106E0"/>
    <w:rsid w:val="004120EF"/>
    <w:rsid w:val="00413A63"/>
    <w:rsid w:val="00424ED6"/>
    <w:rsid w:val="004251BA"/>
    <w:rsid w:val="004255C6"/>
    <w:rsid w:val="00425774"/>
    <w:rsid w:val="0042745C"/>
    <w:rsid w:val="004300E6"/>
    <w:rsid w:val="0043287C"/>
    <w:rsid w:val="0043410E"/>
    <w:rsid w:val="0044374F"/>
    <w:rsid w:val="004506AB"/>
    <w:rsid w:val="0045280D"/>
    <w:rsid w:val="00455E21"/>
    <w:rsid w:val="00456983"/>
    <w:rsid w:val="0047170F"/>
    <w:rsid w:val="00472475"/>
    <w:rsid w:val="00475245"/>
    <w:rsid w:val="004852FE"/>
    <w:rsid w:val="00490F85"/>
    <w:rsid w:val="00491388"/>
    <w:rsid w:val="00492FCE"/>
    <w:rsid w:val="00495EA0"/>
    <w:rsid w:val="004A23DE"/>
    <w:rsid w:val="004A3B98"/>
    <w:rsid w:val="004A44E9"/>
    <w:rsid w:val="004A6BA5"/>
    <w:rsid w:val="004B6F09"/>
    <w:rsid w:val="004C20F1"/>
    <w:rsid w:val="004C53C3"/>
    <w:rsid w:val="004D559B"/>
    <w:rsid w:val="004E4D3D"/>
    <w:rsid w:val="004E7308"/>
    <w:rsid w:val="004F5F1B"/>
    <w:rsid w:val="004F741F"/>
    <w:rsid w:val="00500061"/>
    <w:rsid w:val="0050607D"/>
    <w:rsid w:val="005109FE"/>
    <w:rsid w:val="005143BE"/>
    <w:rsid w:val="00523607"/>
    <w:rsid w:val="005323D6"/>
    <w:rsid w:val="00532AAD"/>
    <w:rsid w:val="00534613"/>
    <w:rsid w:val="00537538"/>
    <w:rsid w:val="00543E2F"/>
    <w:rsid w:val="00546373"/>
    <w:rsid w:val="0055700A"/>
    <w:rsid w:val="005641C7"/>
    <w:rsid w:val="00564638"/>
    <w:rsid w:val="00565986"/>
    <w:rsid w:val="00570150"/>
    <w:rsid w:val="00582A7B"/>
    <w:rsid w:val="0059022B"/>
    <w:rsid w:val="00590DB8"/>
    <w:rsid w:val="00592370"/>
    <w:rsid w:val="005949B2"/>
    <w:rsid w:val="00595C71"/>
    <w:rsid w:val="00597421"/>
    <w:rsid w:val="005A05FD"/>
    <w:rsid w:val="005A4127"/>
    <w:rsid w:val="005A41B9"/>
    <w:rsid w:val="005B6A89"/>
    <w:rsid w:val="005B6C93"/>
    <w:rsid w:val="005C386D"/>
    <w:rsid w:val="005D13F7"/>
    <w:rsid w:val="005E0211"/>
    <w:rsid w:val="005E3F3E"/>
    <w:rsid w:val="005F1B10"/>
    <w:rsid w:val="005F5D95"/>
    <w:rsid w:val="005F7E3F"/>
    <w:rsid w:val="0061054C"/>
    <w:rsid w:val="00610DC3"/>
    <w:rsid w:val="006113C4"/>
    <w:rsid w:val="00612FC9"/>
    <w:rsid w:val="00617CB7"/>
    <w:rsid w:val="00617E29"/>
    <w:rsid w:val="006226F8"/>
    <w:rsid w:val="0062683A"/>
    <w:rsid w:val="006323AA"/>
    <w:rsid w:val="00632F57"/>
    <w:rsid w:val="00636E12"/>
    <w:rsid w:val="0064495D"/>
    <w:rsid w:val="00644BDA"/>
    <w:rsid w:val="0064721F"/>
    <w:rsid w:val="006517E8"/>
    <w:rsid w:val="00665FF5"/>
    <w:rsid w:val="0067031F"/>
    <w:rsid w:val="00671B9A"/>
    <w:rsid w:val="00672176"/>
    <w:rsid w:val="00672F2E"/>
    <w:rsid w:val="00673FD1"/>
    <w:rsid w:val="006842D0"/>
    <w:rsid w:val="00692692"/>
    <w:rsid w:val="006938E2"/>
    <w:rsid w:val="00695799"/>
    <w:rsid w:val="006B5A9F"/>
    <w:rsid w:val="006B75FF"/>
    <w:rsid w:val="006B7BFA"/>
    <w:rsid w:val="006C52BE"/>
    <w:rsid w:val="006D0A71"/>
    <w:rsid w:val="006D0DAC"/>
    <w:rsid w:val="006D1C95"/>
    <w:rsid w:val="006D1DB2"/>
    <w:rsid w:val="006D3BCD"/>
    <w:rsid w:val="006F240F"/>
    <w:rsid w:val="006F3218"/>
    <w:rsid w:val="006F4FE0"/>
    <w:rsid w:val="006F5119"/>
    <w:rsid w:val="00700A31"/>
    <w:rsid w:val="007035A3"/>
    <w:rsid w:val="007036D1"/>
    <w:rsid w:val="007039A5"/>
    <w:rsid w:val="00703BE2"/>
    <w:rsid w:val="00706DF1"/>
    <w:rsid w:val="00714913"/>
    <w:rsid w:val="007227A4"/>
    <w:rsid w:val="00723A45"/>
    <w:rsid w:val="00730C2A"/>
    <w:rsid w:val="00730C38"/>
    <w:rsid w:val="007356D9"/>
    <w:rsid w:val="007377C3"/>
    <w:rsid w:val="00741ED7"/>
    <w:rsid w:val="007423C0"/>
    <w:rsid w:val="00767340"/>
    <w:rsid w:val="00767812"/>
    <w:rsid w:val="00767FB9"/>
    <w:rsid w:val="00771A41"/>
    <w:rsid w:val="00777A4C"/>
    <w:rsid w:val="00777BF7"/>
    <w:rsid w:val="0078223E"/>
    <w:rsid w:val="007857DD"/>
    <w:rsid w:val="0078743F"/>
    <w:rsid w:val="00791731"/>
    <w:rsid w:val="007B489C"/>
    <w:rsid w:val="007B5359"/>
    <w:rsid w:val="007B604B"/>
    <w:rsid w:val="007B7569"/>
    <w:rsid w:val="007C1872"/>
    <w:rsid w:val="007C27F2"/>
    <w:rsid w:val="007C46A1"/>
    <w:rsid w:val="007D160F"/>
    <w:rsid w:val="007D508B"/>
    <w:rsid w:val="007E1CB2"/>
    <w:rsid w:val="007E7280"/>
    <w:rsid w:val="007F158D"/>
    <w:rsid w:val="007F2A02"/>
    <w:rsid w:val="007F4FED"/>
    <w:rsid w:val="007F7330"/>
    <w:rsid w:val="00801CDF"/>
    <w:rsid w:val="0080456F"/>
    <w:rsid w:val="00816F4E"/>
    <w:rsid w:val="008222DA"/>
    <w:rsid w:val="00822F5C"/>
    <w:rsid w:val="00827956"/>
    <w:rsid w:val="00831BA2"/>
    <w:rsid w:val="00841CFF"/>
    <w:rsid w:val="00842C4D"/>
    <w:rsid w:val="008454D4"/>
    <w:rsid w:val="00851A6D"/>
    <w:rsid w:val="00856F49"/>
    <w:rsid w:val="00857E2F"/>
    <w:rsid w:val="0086750F"/>
    <w:rsid w:val="00867BF7"/>
    <w:rsid w:val="00883746"/>
    <w:rsid w:val="00884DD4"/>
    <w:rsid w:val="0088513C"/>
    <w:rsid w:val="008907C8"/>
    <w:rsid w:val="00892012"/>
    <w:rsid w:val="00895BDB"/>
    <w:rsid w:val="008A10B7"/>
    <w:rsid w:val="008A6969"/>
    <w:rsid w:val="008B2A9B"/>
    <w:rsid w:val="008B4258"/>
    <w:rsid w:val="008B5F7A"/>
    <w:rsid w:val="008B65B2"/>
    <w:rsid w:val="008B6F18"/>
    <w:rsid w:val="008B7E54"/>
    <w:rsid w:val="008C6605"/>
    <w:rsid w:val="008D3857"/>
    <w:rsid w:val="008E03E3"/>
    <w:rsid w:val="008E68E8"/>
    <w:rsid w:val="008F3AF3"/>
    <w:rsid w:val="008F3B78"/>
    <w:rsid w:val="0090081F"/>
    <w:rsid w:val="00904E1A"/>
    <w:rsid w:val="00911DE5"/>
    <w:rsid w:val="009152F9"/>
    <w:rsid w:val="00923B30"/>
    <w:rsid w:val="00930042"/>
    <w:rsid w:val="00936CE0"/>
    <w:rsid w:val="009413E9"/>
    <w:rsid w:val="0094281E"/>
    <w:rsid w:val="00944A4F"/>
    <w:rsid w:val="0094670F"/>
    <w:rsid w:val="00947F92"/>
    <w:rsid w:val="00954B97"/>
    <w:rsid w:val="009550AE"/>
    <w:rsid w:val="009560A9"/>
    <w:rsid w:val="009570D1"/>
    <w:rsid w:val="009670FC"/>
    <w:rsid w:val="00971AA2"/>
    <w:rsid w:val="009749E5"/>
    <w:rsid w:val="009810E5"/>
    <w:rsid w:val="00985424"/>
    <w:rsid w:val="00986059"/>
    <w:rsid w:val="00997C08"/>
    <w:rsid w:val="009A561D"/>
    <w:rsid w:val="009A6969"/>
    <w:rsid w:val="009C3364"/>
    <w:rsid w:val="009C339E"/>
    <w:rsid w:val="009C46B6"/>
    <w:rsid w:val="009C473A"/>
    <w:rsid w:val="009C6446"/>
    <w:rsid w:val="009D07DA"/>
    <w:rsid w:val="009D1882"/>
    <w:rsid w:val="009D21DC"/>
    <w:rsid w:val="009E0D5B"/>
    <w:rsid w:val="009E43A9"/>
    <w:rsid w:val="009E4AB1"/>
    <w:rsid w:val="009E62E7"/>
    <w:rsid w:val="009F1D6F"/>
    <w:rsid w:val="00A11E44"/>
    <w:rsid w:val="00A25D92"/>
    <w:rsid w:val="00A3181B"/>
    <w:rsid w:val="00A32D8A"/>
    <w:rsid w:val="00A33BC1"/>
    <w:rsid w:val="00A374D6"/>
    <w:rsid w:val="00A41AAA"/>
    <w:rsid w:val="00A431C1"/>
    <w:rsid w:val="00A43F16"/>
    <w:rsid w:val="00A579D2"/>
    <w:rsid w:val="00A607EE"/>
    <w:rsid w:val="00A61F93"/>
    <w:rsid w:val="00A653AC"/>
    <w:rsid w:val="00A76C48"/>
    <w:rsid w:val="00A84CF1"/>
    <w:rsid w:val="00A852FA"/>
    <w:rsid w:val="00A86FC1"/>
    <w:rsid w:val="00A91D40"/>
    <w:rsid w:val="00A92491"/>
    <w:rsid w:val="00AB7F94"/>
    <w:rsid w:val="00AC2AA7"/>
    <w:rsid w:val="00AC6394"/>
    <w:rsid w:val="00AC6900"/>
    <w:rsid w:val="00AD1EB6"/>
    <w:rsid w:val="00AD3888"/>
    <w:rsid w:val="00AD4D84"/>
    <w:rsid w:val="00AE690B"/>
    <w:rsid w:val="00AF0F56"/>
    <w:rsid w:val="00AF3881"/>
    <w:rsid w:val="00AF4BC7"/>
    <w:rsid w:val="00AF50FD"/>
    <w:rsid w:val="00B01CA1"/>
    <w:rsid w:val="00B04327"/>
    <w:rsid w:val="00B045EE"/>
    <w:rsid w:val="00B04AD4"/>
    <w:rsid w:val="00B06DF8"/>
    <w:rsid w:val="00B24B92"/>
    <w:rsid w:val="00B34F96"/>
    <w:rsid w:val="00B351A3"/>
    <w:rsid w:val="00B35D6B"/>
    <w:rsid w:val="00B3607D"/>
    <w:rsid w:val="00B44670"/>
    <w:rsid w:val="00B515E3"/>
    <w:rsid w:val="00B54BB6"/>
    <w:rsid w:val="00B56B50"/>
    <w:rsid w:val="00B643BA"/>
    <w:rsid w:val="00B64813"/>
    <w:rsid w:val="00B7359B"/>
    <w:rsid w:val="00B80504"/>
    <w:rsid w:val="00B83209"/>
    <w:rsid w:val="00B8580D"/>
    <w:rsid w:val="00B90C34"/>
    <w:rsid w:val="00BB0693"/>
    <w:rsid w:val="00BB212A"/>
    <w:rsid w:val="00BB2FF4"/>
    <w:rsid w:val="00BD1252"/>
    <w:rsid w:val="00BD1B77"/>
    <w:rsid w:val="00BD5BD2"/>
    <w:rsid w:val="00BD64F6"/>
    <w:rsid w:val="00BE2060"/>
    <w:rsid w:val="00BE5008"/>
    <w:rsid w:val="00BE5F47"/>
    <w:rsid w:val="00BF1A57"/>
    <w:rsid w:val="00BF5F1D"/>
    <w:rsid w:val="00C00591"/>
    <w:rsid w:val="00C0183E"/>
    <w:rsid w:val="00C05AE9"/>
    <w:rsid w:val="00C104E4"/>
    <w:rsid w:val="00C130BA"/>
    <w:rsid w:val="00C140A5"/>
    <w:rsid w:val="00C21B59"/>
    <w:rsid w:val="00C268ED"/>
    <w:rsid w:val="00C269AE"/>
    <w:rsid w:val="00C3312D"/>
    <w:rsid w:val="00C376A0"/>
    <w:rsid w:val="00C40051"/>
    <w:rsid w:val="00C41904"/>
    <w:rsid w:val="00C443DF"/>
    <w:rsid w:val="00C51FDB"/>
    <w:rsid w:val="00C5636E"/>
    <w:rsid w:val="00C565E6"/>
    <w:rsid w:val="00C57D6D"/>
    <w:rsid w:val="00C61852"/>
    <w:rsid w:val="00C61F3E"/>
    <w:rsid w:val="00C628C2"/>
    <w:rsid w:val="00C67F6A"/>
    <w:rsid w:val="00C7480A"/>
    <w:rsid w:val="00C81188"/>
    <w:rsid w:val="00C83495"/>
    <w:rsid w:val="00C8381D"/>
    <w:rsid w:val="00C83B81"/>
    <w:rsid w:val="00C86507"/>
    <w:rsid w:val="00C86D73"/>
    <w:rsid w:val="00C8745F"/>
    <w:rsid w:val="00C918A0"/>
    <w:rsid w:val="00C96812"/>
    <w:rsid w:val="00CA12A1"/>
    <w:rsid w:val="00CA239F"/>
    <w:rsid w:val="00CB043F"/>
    <w:rsid w:val="00CB2B01"/>
    <w:rsid w:val="00CB4EC3"/>
    <w:rsid w:val="00CB6307"/>
    <w:rsid w:val="00CB7C17"/>
    <w:rsid w:val="00CD0BC6"/>
    <w:rsid w:val="00CD4B3E"/>
    <w:rsid w:val="00CD7A66"/>
    <w:rsid w:val="00CE64C5"/>
    <w:rsid w:val="00CE67AF"/>
    <w:rsid w:val="00CE7202"/>
    <w:rsid w:val="00CE798F"/>
    <w:rsid w:val="00CF0636"/>
    <w:rsid w:val="00CF196B"/>
    <w:rsid w:val="00D00390"/>
    <w:rsid w:val="00D129B0"/>
    <w:rsid w:val="00D30ECB"/>
    <w:rsid w:val="00D33459"/>
    <w:rsid w:val="00D47947"/>
    <w:rsid w:val="00D510AF"/>
    <w:rsid w:val="00D60898"/>
    <w:rsid w:val="00D64C7A"/>
    <w:rsid w:val="00D669D3"/>
    <w:rsid w:val="00D67356"/>
    <w:rsid w:val="00D71EE1"/>
    <w:rsid w:val="00D772DF"/>
    <w:rsid w:val="00D83FA0"/>
    <w:rsid w:val="00D95F5B"/>
    <w:rsid w:val="00D97194"/>
    <w:rsid w:val="00D97FC3"/>
    <w:rsid w:val="00DA1B9F"/>
    <w:rsid w:val="00DA49CD"/>
    <w:rsid w:val="00DA56AD"/>
    <w:rsid w:val="00DB10B8"/>
    <w:rsid w:val="00DB1150"/>
    <w:rsid w:val="00DB1761"/>
    <w:rsid w:val="00DB62F7"/>
    <w:rsid w:val="00DB6E5E"/>
    <w:rsid w:val="00DC0695"/>
    <w:rsid w:val="00DC5248"/>
    <w:rsid w:val="00DF1A00"/>
    <w:rsid w:val="00DF2B14"/>
    <w:rsid w:val="00DF2CC5"/>
    <w:rsid w:val="00E11515"/>
    <w:rsid w:val="00E117CC"/>
    <w:rsid w:val="00E13081"/>
    <w:rsid w:val="00E176D3"/>
    <w:rsid w:val="00E177DB"/>
    <w:rsid w:val="00E213BC"/>
    <w:rsid w:val="00E23088"/>
    <w:rsid w:val="00E31271"/>
    <w:rsid w:val="00E329BB"/>
    <w:rsid w:val="00E34BB5"/>
    <w:rsid w:val="00E35DA4"/>
    <w:rsid w:val="00E35F29"/>
    <w:rsid w:val="00E400B4"/>
    <w:rsid w:val="00E47250"/>
    <w:rsid w:val="00E532E9"/>
    <w:rsid w:val="00E540EE"/>
    <w:rsid w:val="00E657FF"/>
    <w:rsid w:val="00E66F2B"/>
    <w:rsid w:val="00E70166"/>
    <w:rsid w:val="00E727F8"/>
    <w:rsid w:val="00E76285"/>
    <w:rsid w:val="00E8632F"/>
    <w:rsid w:val="00E86A16"/>
    <w:rsid w:val="00E8769F"/>
    <w:rsid w:val="00E92E5B"/>
    <w:rsid w:val="00E93965"/>
    <w:rsid w:val="00E97785"/>
    <w:rsid w:val="00E97B15"/>
    <w:rsid w:val="00E97BC6"/>
    <w:rsid w:val="00EA19D7"/>
    <w:rsid w:val="00EA2C1B"/>
    <w:rsid w:val="00EA4017"/>
    <w:rsid w:val="00EB0A48"/>
    <w:rsid w:val="00EB181A"/>
    <w:rsid w:val="00EB2898"/>
    <w:rsid w:val="00EC580B"/>
    <w:rsid w:val="00EC691A"/>
    <w:rsid w:val="00EC7C69"/>
    <w:rsid w:val="00EE3D7E"/>
    <w:rsid w:val="00EE4D64"/>
    <w:rsid w:val="00EE5CF2"/>
    <w:rsid w:val="00EF09A2"/>
    <w:rsid w:val="00EF21A5"/>
    <w:rsid w:val="00EF5CBB"/>
    <w:rsid w:val="00F002AE"/>
    <w:rsid w:val="00F00F4D"/>
    <w:rsid w:val="00F00FD8"/>
    <w:rsid w:val="00F044C3"/>
    <w:rsid w:val="00F12C7A"/>
    <w:rsid w:val="00F15D42"/>
    <w:rsid w:val="00F164B5"/>
    <w:rsid w:val="00F209F3"/>
    <w:rsid w:val="00F20E8C"/>
    <w:rsid w:val="00F21E87"/>
    <w:rsid w:val="00F22D29"/>
    <w:rsid w:val="00F35033"/>
    <w:rsid w:val="00F37AD4"/>
    <w:rsid w:val="00F4127C"/>
    <w:rsid w:val="00F4401F"/>
    <w:rsid w:val="00F51278"/>
    <w:rsid w:val="00F562A3"/>
    <w:rsid w:val="00F56F92"/>
    <w:rsid w:val="00F64616"/>
    <w:rsid w:val="00F73CAD"/>
    <w:rsid w:val="00F8280B"/>
    <w:rsid w:val="00F83E3B"/>
    <w:rsid w:val="00F8520A"/>
    <w:rsid w:val="00F92E55"/>
    <w:rsid w:val="00F94DEC"/>
    <w:rsid w:val="00FA0932"/>
    <w:rsid w:val="00FA42DD"/>
    <w:rsid w:val="00FB0933"/>
    <w:rsid w:val="00FB49F8"/>
    <w:rsid w:val="00FB6FF3"/>
    <w:rsid w:val="00FC6153"/>
    <w:rsid w:val="00FD1394"/>
    <w:rsid w:val="00FD19EE"/>
    <w:rsid w:val="00FD2462"/>
    <w:rsid w:val="00FD42DB"/>
    <w:rsid w:val="00FE2A78"/>
    <w:rsid w:val="00FF09FD"/>
    <w:rsid w:val="00FF38A4"/>
    <w:rsid w:val="00FF3DBF"/>
    <w:rsid w:val="00FF5D5E"/>
    <w:rsid w:val="04D37312"/>
    <w:rsid w:val="07C8A1E2"/>
    <w:rsid w:val="0B496241"/>
    <w:rsid w:val="0BD927E5"/>
    <w:rsid w:val="0EF4F793"/>
    <w:rsid w:val="14F32DE9"/>
    <w:rsid w:val="16C893F4"/>
    <w:rsid w:val="19F56F87"/>
    <w:rsid w:val="21171E1F"/>
    <w:rsid w:val="2318D11F"/>
    <w:rsid w:val="248CB2A1"/>
    <w:rsid w:val="28145EDA"/>
    <w:rsid w:val="2881A11D"/>
    <w:rsid w:val="338C1EB5"/>
    <w:rsid w:val="3E055DD8"/>
    <w:rsid w:val="45338130"/>
    <w:rsid w:val="45D4C883"/>
    <w:rsid w:val="49470D43"/>
    <w:rsid w:val="4993A856"/>
    <w:rsid w:val="4A753661"/>
    <w:rsid w:val="4CF0466E"/>
    <w:rsid w:val="4ECF27A3"/>
    <w:rsid w:val="4F2974FF"/>
    <w:rsid w:val="4FDDF712"/>
    <w:rsid w:val="504FBECA"/>
    <w:rsid w:val="514BBACB"/>
    <w:rsid w:val="539E3E75"/>
    <w:rsid w:val="59235BBB"/>
    <w:rsid w:val="5C44486D"/>
    <w:rsid w:val="5D6DF0F1"/>
    <w:rsid w:val="5DAD4D4E"/>
    <w:rsid w:val="5DE28C0A"/>
    <w:rsid w:val="5F1E6F68"/>
    <w:rsid w:val="632D42A5"/>
    <w:rsid w:val="6698E38A"/>
    <w:rsid w:val="68AAD1C1"/>
    <w:rsid w:val="69FF37B6"/>
    <w:rsid w:val="6AF820C3"/>
    <w:rsid w:val="7E17A9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6D23B"/>
  <w15:docId w15:val="{6A6D8AC5-D2D5-4321-A78A-5DD8B9B95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itre1">
    <w:name w:val="heading 1"/>
    <w:basedOn w:val="Normal"/>
    <w:next w:val="Normal"/>
    <w:rsid w:val="009C3364"/>
    <w:pPr>
      <w:keepNext/>
      <w:keepLines/>
      <w:spacing w:before="400" w:after="120"/>
      <w:outlineLvl w:val="0"/>
    </w:pPr>
    <w:rPr>
      <w:sz w:val="40"/>
      <w:szCs w:val="40"/>
    </w:rPr>
  </w:style>
  <w:style w:type="paragraph" w:styleId="Titre2">
    <w:name w:val="heading 2"/>
    <w:basedOn w:val="Normal"/>
    <w:next w:val="Normal"/>
    <w:rsid w:val="009C3364"/>
    <w:pPr>
      <w:keepNext/>
      <w:keepLines/>
      <w:spacing w:before="360" w:after="120"/>
      <w:outlineLvl w:val="1"/>
    </w:pPr>
    <w:rPr>
      <w:sz w:val="32"/>
      <w:szCs w:val="32"/>
    </w:rPr>
  </w:style>
  <w:style w:type="paragraph" w:styleId="Titre3">
    <w:name w:val="heading 3"/>
    <w:basedOn w:val="Normal"/>
    <w:next w:val="Normal"/>
    <w:rsid w:val="009C3364"/>
    <w:pPr>
      <w:keepNext/>
      <w:keepLines/>
      <w:spacing w:before="320" w:after="80"/>
      <w:outlineLvl w:val="2"/>
    </w:pPr>
    <w:rPr>
      <w:color w:val="434343"/>
      <w:sz w:val="28"/>
      <w:szCs w:val="28"/>
    </w:rPr>
  </w:style>
  <w:style w:type="paragraph" w:styleId="Titre4">
    <w:name w:val="heading 4"/>
    <w:basedOn w:val="Normal"/>
    <w:next w:val="Normal"/>
    <w:rsid w:val="009C3364"/>
    <w:pPr>
      <w:keepNext/>
      <w:keepLines/>
      <w:spacing w:before="280" w:after="80"/>
      <w:outlineLvl w:val="3"/>
    </w:pPr>
    <w:rPr>
      <w:color w:val="666666"/>
      <w:sz w:val="24"/>
      <w:szCs w:val="24"/>
    </w:rPr>
  </w:style>
  <w:style w:type="paragraph" w:styleId="Titre5">
    <w:name w:val="heading 5"/>
    <w:basedOn w:val="Normal"/>
    <w:next w:val="Normal"/>
    <w:rsid w:val="009C3364"/>
    <w:pPr>
      <w:keepNext/>
      <w:keepLines/>
      <w:spacing w:before="240" w:after="80"/>
      <w:outlineLvl w:val="4"/>
    </w:pPr>
    <w:rPr>
      <w:color w:val="666666"/>
    </w:rPr>
  </w:style>
  <w:style w:type="paragraph" w:styleId="Titre6">
    <w:name w:val="heading 6"/>
    <w:basedOn w:val="Normal"/>
    <w:next w:val="Normal"/>
    <w:rsid w:val="009C3364"/>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rsid w:val="009C3364"/>
    <w:pPr>
      <w:keepNext/>
      <w:keepLines/>
      <w:spacing w:after="60"/>
    </w:pPr>
    <w:rPr>
      <w:sz w:val="52"/>
      <w:szCs w:val="52"/>
    </w:rPr>
  </w:style>
  <w:style w:type="paragraph" w:styleId="Sous-titre">
    <w:name w:val="Subtitle"/>
    <w:basedOn w:val="Normal"/>
    <w:next w:val="Normal"/>
    <w:rsid w:val="009C3364"/>
    <w:pPr>
      <w:keepNext/>
      <w:keepLines/>
      <w:spacing w:after="320"/>
    </w:pPr>
    <w:rPr>
      <w:color w:val="666666"/>
      <w:sz w:val="30"/>
      <w:szCs w:val="30"/>
    </w:r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character" w:styleId="Marquedecommentaire">
    <w:name w:val="annotation reference"/>
    <w:basedOn w:val="Policepardfaut"/>
    <w:uiPriority w:val="99"/>
    <w:semiHidden/>
    <w:unhideWhenUsed/>
    <w:rPr>
      <w:sz w:val="16"/>
      <w:szCs w:val="16"/>
    </w:rPr>
  </w:style>
  <w:style w:type="paragraph" w:styleId="Textedebulles">
    <w:name w:val="Balloon Text"/>
    <w:basedOn w:val="Normal"/>
    <w:link w:val="TextedebullesCar"/>
    <w:uiPriority w:val="99"/>
    <w:semiHidden/>
    <w:unhideWhenUsed/>
    <w:rsid w:val="009C3364"/>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C3364"/>
    <w:rPr>
      <w:rFonts w:ascii="Segoe UI" w:hAnsi="Segoe UI" w:cs="Segoe UI"/>
      <w:sz w:val="18"/>
      <w:szCs w:val="18"/>
    </w:rPr>
  </w:style>
  <w:style w:type="paragraph" w:styleId="Objetducommentaire">
    <w:name w:val="annotation subject"/>
    <w:basedOn w:val="Commentaire"/>
    <w:next w:val="Commentaire"/>
    <w:link w:val="ObjetducommentaireCar"/>
    <w:uiPriority w:val="99"/>
    <w:semiHidden/>
    <w:unhideWhenUsed/>
    <w:rsid w:val="009C3364"/>
    <w:rPr>
      <w:b/>
      <w:bCs/>
    </w:rPr>
  </w:style>
  <w:style w:type="character" w:customStyle="1" w:styleId="ObjetducommentaireCar">
    <w:name w:val="Objet du commentaire Car"/>
    <w:basedOn w:val="CommentaireCar"/>
    <w:link w:val="Objetducommentaire"/>
    <w:uiPriority w:val="99"/>
    <w:semiHidden/>
    <w:rsid w:val="009C3364"/>
    <w:rPr>
      <w:b/>
      <w:bCs/>
      <w:sz w:val="20"/>
      <w:szCs w:val="20"/>
    </w:rPr>
  </w:style>
  <w:style w:type="paragraph" w:styleId="NormalWeb">
    <w:name w:val="Normal (Web)"/>
    <w:basedOn w:val="Normal"/>
    <w:uiPriority w:val="99"/>
    <w:semiHidden/>
    <w:unhideWhenUsed/>
    <w:rsid w:val="009C3364"/>
    <w:pPr>
      <w:spacing w:before="100" w:beforeAutospacing="1" w:after="100" w:afterAutospacing="1" w:line="240" w:lineRule="auto"/>
    </w:pPr>
    <w:rPr>
      <w:rFonts w:ascii="Times New Roman" w:eastAsia="Times New Roman" w:hAnsi="Times New Roman" w:cs="Times New Roman"/>
      <w:sz w:val="24"/>
      <w:szCs w:val="24"/>
      <w:lang w:val="fr-FR"/>
    </w:rPr>
  </w:style>
  <w:style w:type="character" w:customStyle="1" w:styleId="docsum-journal-citation">
    <w:name w:val="docsum-journal-citation"/>
    <w:basedOn w:val="Policepardfaut"/>
    <w:rsid w:val="009C3364"/>
  </w:style>
  <w:style w:type="character" w:customStyle="1" w:styleId="docsum-authors">
    <w:name w:val="docsum-authors"/>
    <w:basedOn w:val="Policepardfaut"/>
    <w:rsid w:val="009C3364"/>
  </w:style>
  <w:style w:type="paragraph" w:styleId="Rvision">
    <w:name w:val="Revision"/>
    <w:hidden/>
    <w:uiPriority w:val="99"/>
    <w:semiHidden/>
    <w:rsid w:val="009C3364"/>
    <w:pPr>
      <w:spacing w:line="240" w:lineRule="auto"/>
    </w:pPr>
  </w:style>
  <w:style w:type="paragraph" w:customStyle="1" w:styleId="BCAuthorAddress">
    <w:name w:val="BC_Author_Address"/>
    <w:basedOn w:val="Normal"/>
    <w:next w:val="Normal"/>
    <w:rsid w:val="001778D7"/>
    <w:pPr>
      <w:spacing w:after="240" w:line="480" w:lineRule="auto"/>
      <w:jc w:val="center"/>
    </w:pPr>
    <w:rPr>
      <w:rFonts w:ascii="Times" w:eastAsia="Times New Roman" w:hAnsi="Times" w:cs="Times New Roman"/>
      <w:sz w:val="24"/>
      <w:szCs w:val="20"/>
      <w:lang w:val="en-US" w:eastAsia="en-US"/>
    </w:rPr>
  </w:style>
  <w:style w:type="paragraph" w:customStyle="1" w:styleId="FACorrespondingAuthorFootnote">
    <w:name w:val="FA_Corresponding_Author_Footnote"/>
    <w:basedOn w:val="Normal"/>
    <w:next w:val="Normal"/>
    <w:rsid w:val="001778D7"/>
    <w:pPr>
      <w:spacing w:after="200" w:line="480" w:lineRule="auto"/>
      <w:jc w:val="both"/>
    </w:pPr>
    <w:rPr>
      <w:rFonts w:ascii="Times" w:eastAsia="Times New Roman" w:hAnsi="Times" w:cs="Times New Roman"/>
      <w:sz w:val="24"/>
      <w:szCs w:val="20"/>
      <w:lang w:val="en-US" w:eastAsia="en-US"/>
    </w:rPr>
  </w:style>
  <w:style w:type="paragraph" w:customStyle="1" w:styleId="FAAuthorInfoSubtitle">
    <w:name w:val="FA_Author_Info_Subtitle"/>
    <w:basedOn w:val="Normal"/>
    <w:link w:val="FAAuthorInfoSubtitleChar"/>
    <w:autoRedefine/>
    <w:rsid w:val="001778D7"/>
    <w:pPr>
      <w:spacing w:before="120" w:after="60" w:line="360" w:lineRule="auto"/>
    </w:pPr>
    <w:rPr>
      <w:rFonts w:eastAsia="Times New Roman"/>
      <w:sz w:val="24"/>
      <w:szCs w:val="20"/>
      <w:lang w:val="fr-FR" w:eastAsia="en-US"/>
    </w:rPr>
  </w:style>
  <w:style w:type="character" w:customStyle="1" w:styleId="FAAuthorInfoSubtitleChar">
    <w:name w:val="FA_Author_Info_Subtitle Char"/>
    <w:link w:val="FAAuthorInfoSubtitle"/>
    <w:rsid w:val="001778D7"/>
    <w:rPr>
      <w:rFonts w:eastAsia="Times New Roman"/>
      <w:sz w:val="24"/>
      <w:szCs w:val="20"/>
      <w:lang w:val="fr-FR" w:eastAsia="en-US"/>
    </w:rPr>
  </w:style>
  <w:style w:type="character" w:styleId="Lienhypertexte">
    <w:name w:val="Hyperlink"/>
    <w:basedOn w:val="Policepardfaut"/>
    <w:uiPriority w:val="99"/>
    <w:unhideWhenUsed/>
    <w:rsid w:val="00104B2C"/>
    <w:rPr>
      <w:color w:val="0000FF" w:themeColor="hyperlink"/>
      <w:u w:val="single"/>
    </w:rPr>
  </w:style>
  <w:style w:type="character" w:customStyle="1" w:styleId="Mentionnonrsolue1">
    <w:name w:val="Mention non résolue1"/>
    <w:basedOn w:val="Policepardfaut"/>
    <w:uiPriority w:val="99"/>
    <w:semiHidden/>
    <w:unhideWhenUsed/>
    <w:rsid w:val="003E5E76"/>
    <w:rPr>
      <w:color w:val="605E5C"/>
      <w:shd w:val="clear" w:color="auto" w:fill="E1DFDD"/>
    </w:rPr>
  </w:style>
  <w:style w:type="character" w:styleId="Lienhypertextesuivivisit">
    <w:name w:val="FollowedHyperlink"/>
    <w:basedOn w:val="Policepardfaut"/>
    <w:uiPriority w:val="99"/>
    <w:semiHidden/>
    <w:unhideWhenUsed/>
    <w:rsid w:val="009C6446"/>
    <w:rPr>
      <w:color w:val="800080" w:themeColor="followedHyperlink"/>
      <w:u w:val="single"/>
    </w:rPr>
  </w:style>
  <w:style w:type="character" w:customStyle="1" w:styleId="Mentionnonrsolue2">
    <w:name w:val="Mention non résolue2"/>
    <w:basedOn w:val="Policepardfaut"/>
    <w:uiPriority w:val="99"/>
    <w:semiHidden/>
    <w:unhideWhenUsed/>
    <w:rsid w:val="001F6C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961226">
      <w:bodyDiv w:val="1"/>
      <w:marLeft w:val="0"/>
      <w:marRight w:val="0"/>
      <w:marTop w:val="0"/>
      <w:marBottom w:val="0"/>
      <w:divBdr>
        <w:top w:val="none" w:sz="0" w:space="0" w:color="auto"/>
        <w:left w:val="none" w:sz="0" w:space="0" w:color="auto"/>
        <w:bottom w:val="none" w:sz="0" w:space="0" w:color="auto"/>
        <w:right w:val="none" w:sz="0" w:space="0" w:color="auto"/>
      </w:divBdr>
    </w:div>
    <w:div w:id="339047725">
      <w:bodyDiv w:val="1"/>
      <w:marLeft w:val="0"/>
      <w:marRight w:val="0"/>
      <w:marTop w:val="0"/>
      <w:marBottom w:val="0"/>
      <w:divBdr>
        <w:top w:val="none" w:sz="0" w:space="0" w:color="auto"/>
        <w:left w:val="none" w:sz="0" w:space="0" w:color="auto"/>
        <w:bottom w:val="none" w:sz="0" w:space="0" w:color="auto"/>
        <w:right w:val="none" w:sz="0" w:space="0" w:color="auto"/>
      </w:divBdr>
      <w:divsChild>
        <w:div w:id="575171835">
          <w:marLeft w:val="0"/>
          <w:marRight w:val="0"/>
          <w:marTop w:val="0"/>
          <w:marBottom w:val="0"/>
          <w:divBdr>
            <w:top w:val="none" w:sz="0" w:space="0" w:color="auto"/>
            <w:left w:val="none" w:sz="0" w:space="0" w:color="auto"/>
            <w:bottom w:val="none" w:sz="0" w:space="0" w:color="auto"/>
            <w:right w:val="none" w:sz="0" w:space="0" w:color="auto"/>
          </w:divBdr>
          <w:divsChild>
            <w:div w:id="386145323">
              <w:marLeft w:val="0"/>
              <w:marRight w:val="0"/>
              <w:marTop w:val="0"/>
              <w:marBottom w:val="0"/>
              <w:divBdr>
                <w:top w:val="none" w:sz="0" w:space="0" w:color="auto"/>
                <w:left w:val="none" w:sz="0" w:space="0" w:color="auto"/>
                <w:bottom w:val="none" w:sz="0" w:space="0" w:color="auto"/>
                <w:right w:val="none" w:sz="0" w:space="0" w:color="auto"/>
              </w:divBdr>
              <w:divsChild>
                <w:div w:id="1730415464">
                  <w:marLeft w:val="0"/>
                  <w:marRight w:val="0"/>
                  <w:marTop w:val="0"/>
                  <w:marBottom w:val="0"/>
                  <w:divBdr>
                    <w:top w:val="none" w:sz="0" w:space="0" w:color="auto"/>
                    <w:left w:val="none" w:sz="0" w:space="0" w:color="auto"/>
                    <w:bottom w:val="none" w:sz="0" w:space="0" w:color="auto"/>
                    <w:right w:val="none" w:sz="0" w:space="0" w:color="auto"/>
                  </w:divBdr>
                  <w:divsChild>
                    <w:div w:id="1176530347">
                      <w:marLeft w:val="0"/>
                      <w:marRight w:val="0"/>
                      <w:marTop w:val="0"/>
                      <w:marBottom w:val="0"/>
                      <w:divBdr>
                        <w:top w:val="none" w:sz="0" w:space="0" w:color="auto"/>
                        <w:left w:val="none" w:sz="0" w:space="0" w:color="auto"/>
                        <w:bottom w:val="none" w:sz="0" w:space="0" w:color="auto"/>
                        <w:right w:val="none" w:sz="0" w:space="0" w:color="auto"/>
                      </w:divBdr>
                      <w:divsChild>
                        <w:div w:id="572396370">
                          <w:marLeft w:val="0"/>
                          <w:marRight w:val="0"/>
                          <w:marTop w:val="0"/>
                          <w:marBottom w:val="0"/>
                          <w:divBdr>
                            <w:top w:val="none" w:sz="0" w:space="0" w:color="auto"/>
                            <w:left w:val="none" w:sz="0" w:space="0" w:color="auto"/>
                            <w:bottom w:val="none" w:sz="0" w:space="0" w:color="auto"/>
                            <w:right w:val="none" w:sz="0" w:space="0" w:color="auto"/>
                          </w:divBdr>
                          <w:divsChild>
                            <w:div w:id="67426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1149126">
      <w:bodyDiv w:val="1"/>
      <w:marLeft w:val="0"/>
      <w:marRight w:val="0"/>
      <w:marTop w:val="0"/>
      <w:marBottom w:val="0"/>
      <w:divBdr>
        <w:top w:val="none" w:sz="0" w:space="0" w:color="auto"/>
        <w:left w:val="none" w:sz="0" w:space="0" w:color="auto"/>
        <w:bottom w:val="none" w:sz="0" w:space="0" w:color="auto"/>
        <w:right w:val="none" w:sz="0" w:space="0" w:color="auto"/>
      </w:divBdr>
    </w:div>
    <w:div w:id="360907892">
      <w:bodyDiv w:val="1"/>
      <w:marLeft w:val="0"/>
      <w:marRight w:val="0"/>
      <w:marTop w:val="0"/>
      <w:marBottom w:val="0"/>
      <w:divBdr>
        <w:top w:val="none" w:sz="0" w:space="0" w:color="auto"/>
        <w:left w:val="none" w:sz="0" w:space="0" w:color="auto"/>
        <w:bottom w:val="none" w:sz="0" w:space="0" w:color="auto"/>
        <w:right w:val="none" w:sz="0" w:space="0" w:color="auto"/>
      </w:divBdr>
    </w:div>
    <w:div w:id="390469050">
      <w:bodyDiv w:val="1"/>
      <w:marLeft w:val="0"/>
      <w:marRight w:val="0"/>
      <w:marTop w:val="0"/>
      <w:marBottom w:val="0"/>
      <w:divBdr>
        <w:top w:val="none" w:sz="0" w:space="0" w:color="auto"/>
        <w:left w:val="none" w:sz="0" w:space="0" w:color="auto"/>
        <w:bottom w:val="none" w:sz="0" w:space="0" w:color="auto"/>
        <w:right w:val="none" w:sz="0" w:space="0" w:color="auto"/>
      </w:divBdr>
    </w:div>
    <w:div w:id="409083797">
      <w:bodyDiv w:val="1"/>
      <w:marLeft w:val="0"/>
      <w:marRight w:val="0"/>
      <w:marTop w:val="0"/>
      <w:marBottom w:val="0"/>
      <w:divBdr>
        <w:top w:val="none" w:sz="0" w:space="0" w:color="auto"/>
        <w:left w:val="none" w:sz="0" w:space="0" w:color="auto"/>
        <w:bottom w:val="none" w:sz="0" w:space="0" w:color="auto"/>
        <w:right w:val="none" w:sz="0" w:space="0" w:color="auto"/>
      </w:divBdr>
    </w:div>
    <w:div w:id="480580591">
      <w:bodyDiv w:val="1"/>
      <w:marLeft w:val="0"/>
      <w:marRight w:val="0"/>
      <w:marTop w:val="0"/>
      <w:marBottom w:val="0"/>
      <w:divBdr>
        <w:top w:val="none" w:sz="0" w:space="0" w:color="auto"/>
        <w:left w:val="none" w:sz="0" w:space="0" w:color="auto"/>
        <w:bottom w:val="none" w:sz="0" w:space="0" w:color="auto"/>
        <w:right w:val="none" w:sz="0" w:space="0" w:color="auto"/>
      </w:divBdr>
      <w:divsChild>
        <w:div w:id="996762615">
          <w:marLeft w:val="0"/>
          <w:marRight w:val="0"/>
          <w:marTop w:val="0"/>
          <w:marBottom w:val="0"/>
          <w:divBdr>
            <w:top w:val="none" w:sz="0" w:space="0" w:color="auto"/>
            <w:left w:val="none" w:sz="0" w:space="0" w:color="auto"/>
            <w:bottom w:val="none" w:sz="0" w:space="0" w:color="auto"/>
            <w:right w:val="none" w:sz="0" w:space="0" w:color="auto"/>
          </w:divBdr>
          <w:divsChild>
            <w:div w:id="384791919">
              <w:marLeft w:val="0"/>
              <w:marRight w:val="0"/>
              <w:marTop w:val="0"/>
              <w:marBottom w:val="0"/>
              <w:divBdr>
                <w:top w:val="none" w:sz="0" w:space="0" w:color="auto"/>
                <w:left w:val="none" w:sz="0" w:space="0" w:color="auto"/>
                <w:bottom w:val="none" w:sz="0" w:space="0" w:color="auto"/>
                <w:right w:val="none" w:sz="0" w:space="0" w:color="auto"/>
              </w:divBdr>
              <w:divsChild>
                <w:div w:id="115621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670857">
      <w:bodyDiv w:val="1"/>
      <w:marLeft w:val="0"/>
      <w:marRight w:val="0"/>
      <w:marTop w:val="0"/>
      <w:marBottom w:val="0"/>
      <w:divBdr>
        <w:top w:val="none" w:sz="0" w:space="0" w:color="auto"/>
        <w:left w:val="none" w:sz="0" w:space="0" w:color="auto"/>
        <w:bottom w:val="none" w:sz="0" w:space="0" w:color="auto"/>
        <w:right w:val="none" w:sz="0" w:space="0" w:color="auto"/>
      </w:divBdr>
      <w:divsChild>
        <w:div w:id="519317921">
          <w:marLeft w:val="0"/>
          <w:marRight w:val="0"/>
          <w:marTop w:val="0"/>
          <w:marBottom w:val="0"/>
          <w:divBdr>
            <w:top w:val="none" w:sz="0" w:space="0" w:color="auto"/>
            <w:left w:val="none" w:sz="0" w:space="0" w:color="auto"/>
            <w:bottom w:val="none" w:sz="0" w:space="0" w:color="auto"/>
            <w:right w:val="none" w:sz="0" w:space="0" w:color="auto"/>
          </w:divBdr>
          <w:divsChild>
            <w:div w:id="2037387312">
              <w:marLeft w:val="0"/>
              <w:marRight w:val="0"/>
              <w:marTop w:val="0"/>
              <w:marBottom w:val="0"/>
              <w:divBdr>
                <w:top w:val="none" w:sz="0" w:space="0" w:color="auto"/>
                <w:left w:val="none" w:sz="0" w:space="0" w:color="auto"/>
                <w:bottom w:val="none" w:sz="0" w:space="0" w:color="auto"/>
                <w:right w:val="none" w:sz="0" w:space="0" w:color="auto"/>
              </w:divBdr>
              <w:divsChild>
                <w:div w:id="1824738803">
                  <w:marLeft w:val="0"/>
                  <w:marRight w:val="0"/>
                  <w:marTop w:val="0"/>
                  <w:marBottom w:val="0"/>
                  <w:divBdr>
                    <w:top w:val="none" w:sz="0" w:space="0" w:color="auto"/>
                    <w:left w:val="none" w:sz="0" w:space="0" w:color="auto"/>
                    <w:bottom w:val="none" w:sz="0" w:space="0" w:color="auto"/>
                    <w:right w:val="none" w:sz="0" w:space="0" w:color="auto"/>
                  </w:divBdr>
                  <w:divsChild>
                    <w:div w:id="917862061">
                      <w:marLeft w:val="0"/>
                      <w:marRight w:val="0"/>
                      <w:marTop w:val="0"/>
                      <w:marBottom w:val="0"/>
                      <w:divBdr>
                        <w:top w:val="none" w:sz="0" w:space="0" w:color="auto"/>
                        <w:left w:val="none" w:sz="0" w:space="0" w:color="auto"/>
                        <w:bottom w:val="none" w:sz="0" w:space="0" w:color="auto"/>
                        <w:right w:val="none" w:sz="0" w:space="0" w:color="auto"/>
                      </w:divBdr>
                      <w:divsChild>
                        <w:div w:id="1587112639">
                          <w:marLeft w:val="0"/>
                          <w:marRight w:val="0"/>
                          <w:marTop w:val="0"/>
                          <w:marBottom w:val="0"/>
                          <w:divBdr>
                            <w:top w:val="none" w:sz="0" w:space="0" w:color="auto"/>
                            <w:left w:val="none" w:sz="0" w:space="0" w:color="auto"/>
                            <w:bottom w:val="none" w:sz="0" w:space="0" w:color="auto"/>
                            <w:right w:val="none" w:sz="0" w:space="0" w:color="auto"/>
                          </w:divBdr>
                          <w:divsChild>
                            <w:div w:id="84890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358562">
      <w:bodyDiv w:val="1"/>
      <w:marLeft w:val="0"/>
      <w:marRight w:val="0"/>
      <w:marTop w:val="0"/>
      <w:marBottom w:val="0"/>
      <w:divBdr>
        <w:top w:val="none" w:sz="0" w:space="0" w:color="auto"/>
        <w:left w:val="none" w:sz="0" w:space="0" w:color="auto"/>
        <w:bottom w:val="none" w:sz="0" w:space="0" w:color="auto"/>
        <w:right w:val="none" w:sz="0" w:space="0" w:color="auto"/>
      </w:divBdr>
      <w:divsChild>
        <w:div w:id="1195849049">
          <w:marLeft w:val="0"/>
          <w:marRight w:val="0"/>
          <w:marTop w:val="0"/>
          <w:marBottom w:val="0"/>
          <w:divBdr>
            <w:top w:val="none" w:sz="0" w:space="0" w:color="auto"/>
            <w:left w:val="none" w:sz="0" w:space="0" w:color="auto"/>
            <w:bottom w:val="none" w:sz="0" w:space="0" w:color="auto"/>
            <w:right w:val="none" w:sz="0" w:space="0" w:color="auto"/>
          </w:divBdr>
          <w:divsChild>
            <w:div w:id="882907109">
              <w:marLeft w:val="0"/>
              <w:marRight w:val="0"/>
              <w:marTop w:val="0"/>
              <w:marBottom w:val="0"/>
              <w:divBdr>
                <w:top w:val="none" w:sz="0" w:space="0" w:color="auto"/>
                <w:left w:val="none" w:sz="0" w:space="0" w:color="auto"/>
                <w:bottom w:val="none" w:sz="0" w:space="0" w:color="auto"/>
                <w:right w:val="none" w:sz="0" w:space="0" w:color="auto"/>
              </w:divBdr>
              <w:divsChild>
                <w:div w:id="1083330523">
                  <w:marLeft w:val="0"/>
                  <w:marRight w:val="0"/>
                  <w:marTop w:val="0"/>
                  <w:marBottom w:val="0"/>
                  <w:divBdr>
                    <w:top w:val="none" w:sz="0" w:space="0" w:color="auto"/>
                    <w:left w:val="none" w:sz="0" w:space="0" w:color="auto"/>
                    <w:bottom w:val="none" w:sz="0" w:space="0" w:color="auto"/>
                    <w:right w:val="none" w:sz="0" w:space="0" w:color="auto"/>
                  </w:divBdr>
                  <w:divsChild>
                    <w:div w:id="1927151891">
                      <w:marLeft w:val="0"/>
                      <w:marRight w:val="0"/>
                      <w:marTop w:val="0"/>
                      <w:marBottom w:val="0"/>
                      <w:divBdr>
                        <w:top w:val="none" w:sz="0" w:space="0" w:color="auto"/>
                        <w:left w:val="none" w:sz="0" w:space="0" w:color="auto"/>
                        <w:bottom w:val="none" w:sz="0" w:space="0" w:color="auto"/>
                        <w:right w:val="none" w:sz="0" w:space="0" w:color="auto"/>
                      </w:divBdr>
                      <w:divsChild>
                        <w:div w:id="67581428">
                          <w:marLeft w:val="0"/>
                          <w:marRight w:val="0"/>
                          <w:marTop w:val="0"/>
                          <w:marBottom w:val="0"/>
                          <w:divBdr>
                            <w:top w:val="none" w:sz="0" w:space="0" w:color="auto"/>
                            <w:left w:val="none" w:sz="0" w:space="0" w:color="auto"/>
                            <w:bottom w:val="none" w:sz="0" w:space="0" w:color="auto"/>
                            <w:right w:val="none" w:sz="0" w:space="0" w:color="auto"/>
                          </w:divBdr>
                          <w:divsChild>
                            <w:div w:id="791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7230537">
      <w:bodyDiv w:val="1"/>
      <w:marLeft w:val="0"/>
      <w:marRight w:val="0"/>
      <w:marTop w:val="0"/>
      <w:marBottom w:val="0"/>
      <w:divBdr>
        <w:top w:val="none" w:sz="0" w:space="0" w:color="auto"/>
        <w:left w:val="none" w:sz="0" w:space="0" w:color="auto"/>
        <w:bottom w:val="none" w:sz="0" w:space="0" w:color="auto"/>
        <w:right w:val="none" w:sz="0" w:space="0" w:color="auto"/>
      </w:divBdr>
      <w:divsChild>
        <w:div w:id="1480682581">
          <w:marLeft w:val="0"/>
          <w:marRight w:val="0"/>
          <w:marTop w:val="0"/>
          <w:marBottom w:val="0"/>
          <w:divBdr>
            <w:top w:val="none" w:sz="0" w:space="0" w:color="auto"/>
            <w:left w:val="none" w:sz="0" w:space="0" w:color="auto"/>
            <w:bottom w:val="none" w:sz="0" w:space="0" w:color="auto"/>
            <w:right w:val="none" w:sz="0" w:space="0" w:color="auto"/>
          </w:divBdr>
          <w:divsChild>
            <w:div w:id="1703049974">
              <w:marLeft w:val="0"/>
              <w:marRight w:val="0"/>
              <w:marTop w:val="0"/>
              <w:marBottom w:val="0"/>
              <w:divBdr>
                <w:top w:val="none" w:sz="0" w:space="0" w:color="auto"/>
                <w:left w:val="none" w:sz="0" w:space="0" w:color="auto"/>
                <w:bottom w:val="none" w:sz="0" w:space="0" w:color="auto"/>
                <w:right w:val="none" w:sz="0" w:space="0" w:color="auto"/>
              </w:divBdr>
              <w:divsChild>
                <w:div w:id="1324896661">
                  <w:marLeft w:val="0"/>
                  <w:marRight w:val="0"/>
                  <w:marTop w:val="0"/>
                  <w:marBottom w:val="0"/>
                  <w:divBdr>
                    <w:top w:val="none" w:sz="0" w:space="0" w:color="auto"/>
                    <w:left w:val="none" w:sz="0" w:space="0" w:color="auto"/>
                    <w:bottom w:val="none" w:sz="0" w:space="0" w:color="auto"/>
                    <w:right w:val="none" w:sz="0" w:space="0" w:color="auto"/>
                  </w:divBdr>
                  <w:divsChild>
                    <w:div w:id="363947494">
                      <w:marLeft w:val="0"/>
                      <w:marRight w:val="0"/>
                      <w:marTop w:val="0"/>
                      <w:marBottom w:val="0"/>
                      <w:divBdr>
                        <w:top w:val="none" w:sz="0" w:space="0" w:color="auto"/>
                        <w:left w:val="none" w:sz="0" w:space="0" w:color="auto"/>
                        <w:bottom w:val="none" w:sz="0" w:space="0" w:color="auto"/>
                        <w:right w:val="none" w:sz="0" w:space="0" w:color="auto"/>
                      </w:divBdr>
                      <w:divsChild>
                        <w:div w:id="1458640918">
                          <w:marLeft w:val="0"/>
                          <w:marRight w:val="0"/>
                          <w:marTop w:val="0"/>
                          <w:marBottom w:val="0"/>
                          <w:divBdr>
                            <w:top w:val="none" w:sz="0" w:space="0" w:color="auto"/>
                            <w:left w:val="none" w:sz="0" w:space="0" w:color="auto"/>
                            <w:bottom w:val="none" w:sz="0" w:space="0" w:color="auto"/>
                            <w:right w:val="none" w:sz="0" w:space="0" w:color="auto"/>
                          </w:divBdr>
                          <w:divsChild>
                            <w:div w:id="160550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28806">
      <w:bodyDiv w:val="1"/>
      <w:marLeft w:val="0"/>
      <w:marRight w:val="0"/>
      <w:marTop w:val="0"/>
      <w:marBottom w:val="0"/>
      <w:divBdr>
        <w:top w:val="none" w:sz="0" w:space="0" w:color="auto"/>
        <w:left w:val="none" w:sz="0" w:space="0" w:color="auto"/>
        <w:bottom w:val="none" w:sz="0" w:space="0" w:color="auto"/>
        <w:right w:val="none" w:sz="0" w:space="0" w:color="auto"/>
      </w:divBdr>
      <w:divsChild>
        <w:div w:id="1890455160">
          <w:marLeft w:val="0"/>
          <w:marRight w:val="0"/>
          <w:marTop w:val="0"/>
          <w:marBottom w:val="0"/>
          <w:divBdr>
            <w:top w:val="none" w:sz="0" w:space="0" w:color="auto"/>
            <w:left w:val="none" w:sz="0" w:space="0" w:color="auto"/>
            <w:bottom w:val="none" w:sz="0" w:space="0" w:color="auto"/>
            <w:right w:val="none" w:sz="0" w:space="0" w:color="auto"/>
          </w:divBdr>
          <w:divsChild>
            <w:div w:id="1983730737">
              <w:marLeft w:val="0"/>
              <w:marRight w:val="0"/>
              <w:marTop w:val="0"/>
              <w:marBottom w:val="0"/>
              <w:divBdr>
                <w:top w:val="none" w:sz="0" w:space="0" w:color="auto"/>
                <w:left w:val="none" w:sz="0" w:space="0" w:color="auto"/>
                <w:bottom w:val="none" w:sz="0" w:space="0" w:color="auto"/>
                <w:right w:val="none" w:sz="0" w:space="0" w:color="auto"/>
              </w:divBdr>
              <w:divsChild>
                <w:div w:id="550533358">
                  <w:marLeft w:val="0"/>
                  <w:marRight w:val="0"/>
                  <w:marTop w:val="0"/>
                  <w:marBottom w:val="0"/>
                  <w:divBdr>
                    <w:top w:val="none" w:sz="0" w:space="0" w:color="auto"/>
                    <w:left w:val="none" w:sz="0" w:space="0" w:color="auto"/>
                    <w:bottom w:val="none" w:sz="0" w:space="0" w:color="auto"/>
                    <w:right w:val="none" w:sz="0" w:space="0" w:color="auto"/>
                  </w:divBdr>
                  <w:divsChild>
                    <w:div w:id="2080133413">
                      <w:marLeft w:val="0"/>
                      <w:marRight w:val="0"/>
                      <w:marTop w:val="0"/>
                      <w:marBottom w:val="0"/>
                      <w:divBdr>
                        <w:top w:val="none" w:sz="0" w:space="0" w:color="auto"/>
                        <w:left w:val="none" w:sz="0" w:space="0" w:color="auto"/>
                        <w:bottom w:val="none" w:sz="0" w:space="0" w:color="auto"/>
                        <w:right w:val="none" w:sz="0" w:space="0" w:color="auto"/>
                      </w:divBdr>
                      <w:divsChild>
                        <w:div w:id="1690569141">
                          <w:marLeft w:val="0"/>
                          <w:marRight w:val="0"/>
                          <w:marTop w:val="0"/>
                          <w:marBottom w:val="0"/>
                          <w:divBdr>
                            <w:top w:val="none" w:sz="0" w:space="0" w:color="auto"/>
                            <w:left w:val="none" w:sz="0" w:space="0" w:color="auto"/>
                            <w:bottom w:val="none" w:sz="0" w:space="0" w:color="auto"/>
                            <w:right w:val="none" w:sz="0" w:space="0" w:color="auto"/>
                          </w:divBdr>
                          <w:divsChild>
                            <w:div w:id="208332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098554">
      <w:bodyDiv w:val="1"/>
      <w:marLeft w:val="0"/>
      <w:marRight w:val="0"/>
      <w:marTop w:val="0"/>
      <w:marBottom w:val="0"/>
      <w:divBdr>
        <w:top w:val="none" w:sz="0" w:space="0" w:color="auto"/>
        <w:left w:val="none" w:sz="0" w:space="0" w:color="auto"/>
        <w:bottom w:val="none" w:sz="0" w:space="0" w:color="auto"/>
        <w:right w:val="none" w:sz="0" w:space="0" w:color="auto"/>
      </w:divBdr>
    </w:div>
    <w:div w:id="674577253">
      <w:bodyDiv w:val="1"/>
      <w:marLeft w:val="0"/>
      <w:marRight w:val="0"/>
      <w:marTop w:val="0"/>
      <w:marBottom w:val="0"/>
      <w:divBdr>
        <w:top w:val="none" w:sz="0" w:space="0" w:color="auto"/>
        <w:left w:val="none" w:sz="0" w:space="0" w:color="auto"/>
        <w:bottom w:val="none" w:sz="0" w:space="0" w:color="auto"/>
        <w:right w:val="none" w:sz="0" w:space="0" w:color="auto"/>
      </w:divBdr>
    </w:div>
    <w:div w:id="712463302">
      <w:bodyDiv w:val="1"/>
      <w:marLeft w:val="0"/>
      <w:marRight w:val="0"/>
      <w:marTop w:val="0"/>
      <w:marBottom w:val="0"/>
      <w:divBdr>
        <w:top w:val="none" w:sz="0" w:space="0" w:color="auto"/>
        <w:left w:val="none" w:sz="0" w:space="0" w:color="auto"/>
        <w:bottom w:val="none" w:sz="0" w:space="0" w:color="auto"/>
        <w:right w:val="none" w:sz="0" w:space="0" w:color="auto"/>
      </w:divBdr>
      <w:divsChild>
        <w:div w:id="591163878">
          <w:marLeft w:val="0"/>
          <w:marRight w:val="0"/>
          <w:marTop w:val="0"/>
          <w:marBottom w:val="0"/>
          <w:divBdr>
            <w:top w:val="none" w:sz="0" w:space="0" w:color="auto"/>
            <w:left w:val="none" w:sz="0" w:space="0" w:color="auto"/>
            <w:bottom w:val="none" w:sz="0" w:space="0" w:color="auto"/>
            <w:right w:val="none" w:sz="0" w:space="0" w:color="auto"/>
          </w:divBdr>
          <w:divsChild>
            <w:div w:id="61342791">
              <w:marLeft w:val="0"/>
              <w:marRight w:val="0"/>
              <w:marTop w:val="0"/>
              <w:marBottom w:val="0"/>
              <w:divBdr>
                <w:top w:val="none" w:sz="0" w:space="0" w:color="auto"/>
                <w:left w:val="none" w:sz="0" w:space="0" w:color="auto"/>
                <w:bottom w:val="none" w:sz="0" w:space="0" w:color="auto"/>
                <w:right w:val="none" w:sz="0" w:space="0" w:color="auto"/>
              </w:divBdr>
              <w:divsChild>
                <w:div w:id="2070838130">
                  <w:marLeft w:val="0"/>
                  <w:marRight w:val="0"/>
                  <w:marTop w:val="0"/>
                  <w:marBottom w:val="0"/>
                  <w:divBdr>
                    <w:top w:val="none" w:sz="0" w:space="0" w:color="auto"/>
                    <w:left w:val="none" w:sz="0" w:space="0" w:color="auto"/>
                    <w:bottom w:val="none" w:sz="0" w:space="0" w:color="auto"/>
                    <w:right w:val="none" w:sz="0" w:space="0" w:color="auto"/>
                  </w:divBdr>
                  <w:divsChild>
                    <w:div w:id="1069308641">
                      <w:marLeft w:val="0"/>
                      <w:marRight w:val="0"/>
                      <w:marTop w:val="0"/>
                      <w:marBottom w:val="0"/>
                      <w:divBdr>
                        <w:top w:val="none" w:sz="0" w:space="0" w:color="auto"/>
                        <w:left w:val="none" w:sz="0" w:space="0" w:color="auto"/>
                        <w:bottom w:val="none" w:sz="0" w:space="0" w:color="auto"/>
                        <w:right w:val="none" w:sz="0" w:space="0" w:color="auto"/>
                      </w:divBdr>
                      <w:divsChild>
                        <w:div w:id="638650884">
                          <w:marLeft w:val="0"/>
                          <w:marRight w:val="0"/>
                          <w:marTop w:val="0"/>
                          <w:marBottom w:val="0"/>
                          <w:divBdr>
                            <w:top w:val="none" w:sz="0" w:space="0" w:color="auto"/>
                            <w:left w:val="none" w:sz="0" w:space="0" w:color="auto"/>
                            <w:bottom w:val="none" w:sz="0" w:space="0" w:color="auto"/>
                            <w:right w:val="none" w:sz="0" w:space="0" w:color="auto"/>
                          </w:divBdr>
                          <w:divsChild>
                            <w:div w:id="18089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2581634">
      <w:bodyDiv w:val="1"/>
      <w:marLeft w:val="0"/>
      <w:marRight w:val="0"/>
      <w:marTop w:val="0"/>
      <w:marBottom w:val="0"/>
      <w:divBdr>
        <w:top w:val="none" w:sz="0" w:space="0" w:color="auto"/>
        <w:left w:val="none" w:sz="0" w:space="0" w:color="auto"/>
        <w:bottom w:val="none" w:sz="0" w:space="0" w:color="auto"/>
        <w:right w:val="none" w:sz="0" w:space="0" w:color="auto"/>
      </w:divBdr>
      <w:divsChild>
        <w:div w:id="1101296342">
          <w:marLeft w:val="0"/>
          <w:marRight w:val="0"/>
          <w:marTop w:val="0"/>
          <w:marBottom w:val="0"/>
          <w:divBdr>
            <w:top w:val="none" w:sz="0" w:space="0" w:color="auto"/>
            <w:left w:val="none" w:sz="0" w:space="0" w:color="auto"/>
            <w:bottom w:val="none" w:sz="0" w:space="0" w:color="auto"/>
            <w:right w:val="none" w:sz="0" w:space="0" w:color="auto"/>
          </w:divBdr>
          <w:divsChild>
            <w:div w:id="785390389">
              <w:marLeft w:val="0"/>
              <w:marRight w:val="0"/>
              <w:marTop w:val="0"/>
              <w:marBottom w:val="0"/>
              <w:divBdr>
                <w:top w:val="none" w:sz="0" w:space="0" w:color="auto"/>
                <w:left w:val="none" w:sz="0" w:space="0" w:color="auto"/>
                <w:bottom w:val="none" w:sz="0" w:space="0" w:color="auto"/>
                <w:right w:val="none" w:sz="0" w:space="0" w:color="auto"/>
              </w:divBdr>
              <w:divsChild>
                <w:div w:id="1127676">
                  <w:marLeft w:val="0"/>
                  <w:marRight w:val="0"/>
                  <w:marTop w:val="0"/>
                  <w:marBottom w:val="0"/>
                  <w:divBdr>
                    <w:top w:val="none" w:sz="0" w:space="0" w:color="auto"/>
                    <w:left w:val="none" w:sz="0" w:space="0" w:color="auto"/>
                    <w:bottom w:val="none" w:sz="0" w:space="0" w:color="auto"/>
                    <w:right w:val="none" w:sz="0" w:space="0" w:color="auto"/>
                  </w:divBdr>
                  <w:divsChild>
                    <w:div w:id="388963837">
                      <w:marLeft w:val="0"/>
                      <w:marRight w:val="0"/>
                      <w:marTop w:val="0"/>
                      <w:marBottom w:val="0"/>
                      <w:divBdr>
                        <w:top w:val="none" w:sz="0" w:space="0" w:color="auto"/>
                        <w:left w:val="none" w:sz="0" w:space="0" w:color="auto"/>
                        <w:bottom w:val="none" w:sz="0" w:space="0" w:color="auto"/>
                        <w:right w:val="none" w:sz="0" w:space="0" w:color="auto"/>
                      </w:divBdr>
                      <w:divsChild>
                        <w:div w:id="196964504">
                          <w:marLeft w:val="0"/>
                          <w:marRight w:val="0"/>
                          <w:marTop w:val="0"/>
                          <w:marBottom w:val="0"/>
                          <w:divBdr>
                            <w:top w:val="none" w:sz="0" w:space="0" w:color="auto"/>
                            <w:left w:val="none" w:sz="0" w:space="0" w:color="auto"/>
                            <w:bottom w:val="none" w:sz="0" w:space="0" w:color="auto"/>
                            <w:right w:val="none" w:sz="0" w:space="0" w:color="auto"/>
                          </w:divBdr>
                          <w:divsChild>
                            <w:div w:id="62635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409271">
      <w:bodyDiv w:val="1"/>
      <w:marLeft w:val="0"/>
      <w:marRight w:val="0"/>
      <w:marTop w:val="0"/>
      <w:marBottom w:val="0"/>
      <w:divBdr>
        <w:top w:val="none" w:sz="0" w:space="0" w:color="auto"/>
        <w:left w:val="none" w:sz="0" w:space="0" w:color="auto"/>
        <w:bottom w:val="none" w:sz="0" w:space="0" w:color="auto"/>
        <w:right w:val="none" w:sz="0" w:space="0" w:color="auto"/>
      </w:divBdr>
      <w:divsChild>
        <w:div w:id="816727396">
          <w:marLeft w:val="0"/>
          <w:marRight w:val="0"/>
          <w:marTop w:val="0"/>
          <w:marBottom w:val="0"/>
          <w:divBdr>
            <w:top w:val="none" w:sz="0" w:space="0" w:color="auto"/>
            <w:left w:val="none" w:sz="0" w:space="0" w:color="auto"/>
            <w:bottom w:val="none" w:sz="0" w:space="0" w:color="auto"/>
            <w:right w:val="none" w:sz="0" w:space="0" w:color="auto"/>
          </w:divBdr>
          <w:divsChild>
            <w:div w:id="1376926118">
              <w:marLeft w:val="0"/>
              <w:marRight w:val="0"/>
              <w:marTop w:val="0"/>
              <w:marBottom w:val="0"/>
              <w:divBdr>
                <w:top w:val="none" w:sz="0" w:space="0" w:color="auto"/>
                <w:left w:val="none" w:sz="0" w:space="0" w:color="auto"/>
                <w:bottom w:val="none" w:sz="0" w:space="0" w:color="auto"/>
                <w:right w:val="none" w:sz="0" w:space="0" w:color="auto"/>
              </w:divBdr>
              <w:divsChild>
                <w:div w:id="188567520">
                  <w:marLeft w:val="0"/>
                  <w:marRight w:val="0"/>
                  <w:marTop w:val="0"/>
                  <w:marBottom w:val="0"/>
                  <w:divBdr>
                    <w:top w:val="none" w:sz="0" w:space="0" w:color="auto"/>
                    <w:left w:val="none" w:sz="0" w:space="0" w:color="auto"/>
                    <w:bottom w:val="none" w:sz="0" w:space="0" w:color="auto"/>
                    <w:right w:val="none" w:sz="0" w:space="0" w:color="auto"/>
                  </w:divBdr>
                  <w:divsChild>
                    <w:div w:id="1139953266">
                      <w:marLeft w:val="0"/>
                      <w:marRight w:val="0"/>
                      <w:marTop w:val="0"/>
                      <w:marBottom w:val="0"/>
                      <w:divBdr>
                        <w:top w:val="none" w:sz="0" w:space="0" w:color="auto"/>
                        <w:left w:val="none" w:sz="0" w:space="0" w:color="auto"/>
                        <w:bottom w:val="none" w:sz="0" w:space="0" w:color="auto"/>
                        <w:right w:val="none" w:sz="0" w:space="0" w:color="auto"/>
                      </w:divBdr>
                      <w:divsChild>
                        <w:div w:id="991253461">
                          <w:marLeft w:val="0"/>
                          <w:marRight w:val="0"/>
                          <w:marTop w:val="0"/>
                          <w:marBottom w:val="0"/>
                          <w:divBdr>
                            <w:top w:val="none" w:sz="0" w:space="0" w:color="auto"/>
                            <w:left w:val="none" w:sz="0" w:space="0" w:color="auto"/>
                            <w:bottom w:val="none" w:sz="0" w:space="0" w:color="auto"/>
                            <w:right w:val="none" w:sz="0" w:space="0" w:color="auto"/>
                          </w:divBdr>
                          <w:divsChild>
                            <w:div w:id="94411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2010981">
      <w:bodyDiv w:val="1"/>
      <w:marLeft w:val="0"/>
      <w:marRight w:val="0"/>
      <w:marTop w:val="0"/>
      <w:marBottom w:val="0"/>
      <w:divBdr>
        <w:top w:val="none" w:sz="0" w:space="0" w:color="auto"/>
        <w:left w:val="none" w:sz="0" w:space="0" w:color="auto"/>
        <w:bottom w:val="none" w:sz="0" w:space="0" w:color="auto"/>
        <w:right w:val="none" w:sz="0" w:space="0" w:color="auto"/>
      </w:divBdr>
    </w:div>
    <w:div w:id="873923086">
      <w:bodyDiv w:val="1"/>
      <w:marLeft w:val="0"/>
      <w:marRight w:val="0"/>
      <w:marTop w:val="0"/>
      <w:marBottom w:val="0"/>
      <w:divBdr>
        <w:top w:val="none" w:sz="0" w:space="0" w:color="auto"/>
        <w:left w:val="none" w:sz="0" w:space="0" w:color="auto"/>
        <w:bottom w:val="none" w:sz="0" w:space="0" w:color="auto"/>
        <w:right w:val="none" w:sz="0" w:space="0" w:color="auto"/>
      </w:divBdr>
    </w:div>
    <w:div w:id="1024214716">
      <w:bodyDiv w:val="1"/>
      <w:marLeft w:val="0"/>
      <w:marRight w:val="0"/>
      <w:marTop w:val="0"/>
      <w:marBottom w:val="0"/>
      <w:divBdr>
        <w:top w:val="none" w:sz="0" w:space="0" w:color="auto"/>
        <w:left w:val="none" w:sz="0" w:space="0" w:color="auto"/>
        <w:bottom w:val="none" w:sz="0" w:space="0" w:color="auto"/>
        <w:right w:val="none" w:sz="0" w:space="0" w:color="auto"/>
      </w:divBdr>
    </w:div>
    <w:div w:id="1536573667">
      <w:bodyDiv w:val="1"/>
      <w:marLeft w:val="0"/>
      <w:marRight w:val="0"/>
      <w:marTop w:val="0"/>
      <w:marBottom w:val="0"/>
      <w:divBdr>
        <w:top w:val="none" w:sz="0" w:space="0" w:color="auto"/>
        <w:left w:val="none" w:sz="0" w:space="0" w:color="auto"/>
        <w:bottom w:val="none" w:sz="0" w:space="0" w:color="auto"/>
        <w:right w:val="none" w:sz="0" w:space="0" w:color="auto"/>
      </w:divBdr>
    </w:div>
    <w:div w:id="1947738013">
      <w:bodyDiv w:val="1"/>
      <w:marLeft w:val="0"/>
      <w:marRight w:val="0"/>
      <w:marTop w:val="0"/>
      <w:marBottom w:val="0"/>
      <w:divBdr>
        <w:top w:val="none" w:sz="0" w:space="0" w:color="auto"/>
        <w:left w:val="none" w:sz="0" w:space="0" w:color="auto"/>
        <w:bottom w:val="none" w:sz="0" w:space="0" w:color="auto"/>
        <w:right w:val="none" w:sz="0" w:space="0" w:color="auto"/>
      </w:divBdr>
      <w:divsChild>
        <w:div w:id="148711680">
          <w:marLeft w:val="0"/>
          <w:marRight w:val="0"/>
          <w:marTop w:val="0"/>
          <w:marBottom w:val="0"/>
          <w:divBdr>
            <w:top w:val="none" w:sz="0" w:space="0" w:color="auto"/>
            <w:left w:val="none" w:sz="0" w:space="0" w:color="auto"/>
            <w:bottom w:val="none" w:sz="0" w:space="0" w:color="auto"/>
            <w:right w:val="none" w:sz="0" w:space="0" w:color="auto"/>
          </w:divBdr>
          <w:divsChild>
            <w:div w:id="1878929325">
              <w:marLeft w:val="0"/>
              <w:marRight w:val="0"/>
              <w:marTop w:val="0"/>
              <w:marBottom w:val="0"/>
              <w:divBdr>
                <w:top w:val="none" w:sz="0" w:space="0" w:color="auto"/>
                <w:left w:val="none" w:sz="0" w:space="0" w:color="auto"/>
                <w:bottom w:val="none" w:sz="0" w:space="0" w:color="auto"/>
                <w:right w:val="none" w:sz="0" w:space="0" w:color="auto"/>
              </w:divBdr>
              <w:divsChild>
                <w:div w:id="1588230946">
                  <w:marLeft w:val="0"/>
                  <w:marRight w:val="0"/>
                  <w:marTop w:val="0"/>
                  <w:marBottom w:val="0"/>
                  <w:divBdr>
                    <w:top w:val="none" w:sz="0" w:space="0" w:color="auto"/>
                    <w:left w:val="none" w:sz="0" w:space="0" w:color="auto"/>
                    <w:bottom w:val="none" w:sz="0" w:space="0" w:color="auto"/>
                    <w:right w:val="none" w:sz="0" w:space="0" w:color="auto"/>
                  </w:divBdr>
                  <w:divsChild>
                    <w:div w:id="1407264006">
                      <w:marLeft w:val="0"/>
                      <w:marRight w:val="0"/>
                      <w:marTop w:val="0"/>
                      <w:marBottom w:val="0"/>
                      <w:divBdr>
                        <w:top w:val="none" w:sz="0" w:space="0" w:color="auto"/>
                        <w:left w:val="none" w:sz="0" w:space="0" w:color="auto"/>
                        <w:bottom w:val="none" w:sz="0" w:space="0" w:color="auto"/>
                        <w:right w:val="none" w:sz="0" w:space="0" w:color="auto"/>
                      </w:divBdr>
                      <w:divsChild>
                        <w:div w:id="1016614603">
                          <w:marLeft w:val="0"/>
                          <w:marRight w:val="0"/>
                          <w:marTop w:val="0"/>
                          <w:marBottom w:val="0"/>
                          <w:divBdr>
                            <w:top w:val="none" w:sz="0" w:space="0" w:color="auto"/>
                            <w:left w:val="none" w:sz="0" w:space="0" w:color="auto"/>
                            <w:bottom w:val="none" w:sz="0" w:space="0" w:color="auto"/>
                            <w:right w:val="none" w:sz="0" w:space="0" w:color="auto"/>
                          </w:divBdr>
                          <w:divsChild>
                            <w:div w:id="76280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295145">
      <w:bodyDiv w:val="1"/>
      <w:marLeft w:val="0"/>
      <w:marRight w:val="0"/>
      <w:marTop w:val="0"/>
      <w:marBottom w:val="0"/>
      <w:divBdr>
        <w:top w:val="none" w:sz="0" w:space="0" w:color="auto"/>
        <w:left w:val="none" w:sz="0" w:space="0" w:color="auto"/>
        <w:bottom w:val="none" w:sz="0" w:space="0" w:color="auto"/>
        <w:right w:val="none" w:sz="0" w:space="0" w:color="auto"/>
      </w:divBdr>
      <w:divsChild>
        <w:div w:id="293944744">
          <w:marLeft w:val="0"/>
          <w:marRight w:val="0"/>
          <w:marTop w:val="0"/>
          <w:marBottom w:val="0"/>
          <w:divBdr>
            <w:top w:val="none" w:sz="0" w:space="0" w:color="auto"/>
            <w:left w:val="none" w:sz="0" w:space="0" w:color="auto"/>
            <w:bottom w:val="none" w:sz="0" w:space="0" w:color="auto"/>
            <w:right w:val="none" w:sz="0" w:space="0" w:color="auto"/>
          </w:divBdr>
          <w:divsChild>
            <w:div w:id="1873760656">
              <w:marLeft w:val="0"/>
              <w:marRight w:val="0"/>
              <w:marTop w:val="0"/>
              <w:marBottom w:val="0"/>
              <w:divBdr>
                <w:top w:val="none" w:sz="0" w:space="0" w:color="auto"/>
                <w:left w:val="none" w:sz="0" w:space="0" w:color="auto"/>
                <w:bottom w:val="none" w:sz="0" w:space="0" w:color="auto"/>
                <w:right w:val="none" w:sz="0" w:space="0" w:color="auto"/>
              </w:divBdr>
              <w:divsChild>
                <w:div w:id="830367624">
                  <w:marLeft w:val="0"/>
                  <w:marRight w:val="0"/>
                  <w:marTop w:val="0"/>
                  <w:marBottom w:val="0"/>
                  <w:divBdr>
                    <w:top w:val="none" w:sz="0" w:space="0" w:color="auto"/>
                    <w:left w:val="none" w:sz="0" w:space="0" w:color="auto"/>
                    <w:bottom w:val="none" w:sz="0" w:space="0" w:color="auto"/>
                    <w:right w:val="none" w:sz="0" w:space="0" w:color="auto"/>
                  </w:divBdr>
                  <w:divsChild>
                    <w:div w:id="1743716467">
                      <w:marLeft w:val="0"/>
                      <w:marRight w:val="0"/>
                      <w:marTop w:val="0"/>
                      <w:marBottom w:val="0"/>
                      <w:divBdr>
                        <w:top w:val="none" w:sz="0" w:space="0" w:color="auto"/>
                        <w:left w:val="none" w:sz="0" w:space="0" w:color="auto"/>
                        <w:bottom w:val="none" w:sz="0" w:space="0" w:color="auto"/>
                        <w:right w:val="none" w:sz="0" w:space="0" w:color="auto"/>
                      </w:divBdr>
                      <w:divsChild>
                        <w:div w:id="1751661284">
                          <w:marLeft w:val="0"/>
                          <w:marRight w:val="0"/>
                          <w:marTop w:val="0"/>
                          <w:marBottom w:val="0"/>
                          <w:divBdr>
                            <w:top w:val="none" w:sz="0" w:space="0" w:color="auto"/>
                            <w:left w:val="none" w:sz="0" w:space="0" w:color="auto"/>
                            <w:bottom w:val="none" w:sz="0" w:space="0" w:color="auto"/>
                            <w:right w:val="none" w:sz="0" w:space="0" w:color="auto"/>
                          </w:divBdr>
                          <w:divsChild>
                            <w:div w:id="64824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microsoft.com/office/2018/08/relationships/commentsExtensible" Target="commentsExtensible.xml"/><Relationship Id="rId2" Type="http://schemas.openxmlformats.org/officeDocument/2006/relationships/styles" Target="styles.xml"/><Relationship Id="rId16" Type="http://schemas.microsoft.com/office/2016/09/relationships/commentsIds" Target="commentsIds.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hyperlink" Target="mailto:raphael.frederick@uclouvain.be" TargetMode="External"/><Relationship Id="rId11" Type="http://schemas.openxmlformats.org/officeDocument/2006/relationships/image" Target="media/image5.png"/><Relationship Id="rId5" Type="http://schemas.openxmlformats.org/officeDocument/2006/relationships/hyperlink" Target="mailto:jamal.el-bakali@univ-lille.fr" TargetMode="External"/><Relationship Id="rId15" Type="http://schemas.microsoft.com/office/2011/relationships/commentsExtended" Target="commentsExtended.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0072B-2A9A-4EAD-BC4F-F4A3940A8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6411</Words>
  <Characters>35266</Characters>
  <Application>Microsoft Office Word</Application>
  <DocSecurity>0</DocSecurity>
  <Lines>293</Lines>
  <Paragraphs>83</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41594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Jamal El Bakali</dc:creator>
  <cp:lastModifiedBy>Raphaël Frédérick</cp:lastModifiedBy>
  <cp:revision>2</cp:revision>
  <dcterms:created xsi:type="dcterms:W3CDTF">2025-02-26T10:12:00Z</dcterms:created>
  <dcterms:modified xsi:type="dcterms:W3CDTF">2025-02-26T10:12:00Z</dcterms:modified>
</cp:coreProperties>
</file>