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9BE995" w14:textId="666F73DF" w:rsidR="004A2030" w:rsidRPr="006449A5" w:rsidRDefault="004A2030" w:rsidP="004A2030">
      <w:pPr>
        <w:rPr>
          <w:rFonts w:ascii="Times New Roman" w:hAnsi="Times New Roman" w:cs="Times New Roman"/>
          <w:i/>
          <w:iCs/>
          <w:sz w:val="24"/>
          <w:szCs w:val="24"/>
        </w:rPr>
      </w:pPr>
      <w:r w:rsidRPr="006449A5">
        <w:rPr>
          <w:rFonts w:ascii="Times New Roman" w:hAnsi="Times New Roman" w:cs="Times New Roman"/>
          <w:i/>
          <w:iCs/>
          <w:sz w:val="24"/>
          <w:szCs w:val="24"/>
        </w:rPr>
        <w:t>Par Sandrine Brachotte, Docteur en Droit (Sciences Po, Paris)</w:t>
      </w:r>
      <w:r w:rsidRPr="006449A5">
        <w:rPr>
          <w:rFonts w:ascii="Times New Roman" w:hAnsi="Times New Roman" w:cs="Times New Roman"/>
          <w:i/>
          <w:iCs/>
          <w:sz w:val="24"/>
          <w:szCs w:val="24"/>
          <w:vertAlign w:val="superscript"/>
        </w:rPr>
        <w:footnoteReference w:id="1"/>
      </w:r>
    </w:p>
    <w:p w14:paraId="145BBF9A" w14:textId="1AF54754" w:rsidR="0041676A" w:rsidRPr="006449A5" w:rsidRDefault="0041676A" w:rsidP="0041676A">
      <w:pPr>
        <w:rPr>
          <w:rFonts w:ascii="Times New Roman" w:hAnsi="Times New Roman" w:cs="Times New Roman"/>
          <w:sz w:val="24"/>
          <w:szCs w:val="24"/>
        </w:rPr>
      </w:pPr>
      <w:r w:rsidRPr="006449A5">
        <w:rPr>
          <w:rFonts w:ascii="Times New Roman" w:hAnsi="Times New Roman" w:cs="Times New Roman"/>
          <w:sz w:val="24"/>
          <w:szCs w:val="24"/>
          <w:u w:val="single"/>
        </w:rPr>
        <w:t>Titre :</w:t>
      </w:r>
      <w:r w:rsidR="0017759A" w:rsidRPr="006449A5">
        <w:rPr>
          <w:rFonts w:ascii="Times New Roman" w:hAnsi="Times New Roman" w:cs="Times New Roman"/>
          <w:sz w:val="24"/>
          <w:szCs w:val="24"/>
        </w:rPr>
        <w:t xml:space="preserve"> Quand le droit international privé européen rencontre la </w:t>
      </w:r>
      <w:proofErr w:type="spellStart"/>
      <w:r w:rsidR="0017759A" w:rsidRPr="006449A5">
        <w:rPr>
          <w:rFonts w:ascii="Times New Roman" w:hAnsi="Times New Roman" w:cs="Times New Roman"/>
          <w:sz w:val="24"/>
          <w:szCs w:val="24"/>
        </w:rPr>
        <w:t>décolonialité</w:t>
      </w:r>
      <w:proofErr w:type="spellEnd"/>
      <w:r w:rsidR="0017759A" w:rsidRPr="006449A5">
        <w:rPr>
          <w:rFonts w:ascii="Times New Roman" w:hAnsi="Times New Roman" w:cs="Times New Roman"/>
          <w:sz w:val="24"/>
          <w:szCs w:val="24"/>
        </w:rPr>
        <w:t xml:space="preserve"> : </w:t>
      </w:r>
      <w:r w:rsidR="00A74EAB" w:rsidRPr="006449A5">
        <w:rPr>
          <w:rFonts w:ascii="Times New Roman" w:hAnsi="Times New Roman" w:cs="Times New Roman"/>
          <w:sz w:val="24"/>
          <w:szCs w:val="24"/>
        </w:rPr>
        <w:t xml:space="preserve">une </w:t>
      </w:r>
      <w:r w:rsidR="0004320C" w:rsidRPr="006449A5">
        <w:rPr>
          <w:rFonts w:ascii="Times New Roman" w:hAnsi="Times New Roman" w:cs="Times New Roman"/>
          <w:sz w:val="24"/>
          <w:szCs w:val="24"/>
        </w:rPr>
        <w:t>é</w:t>
      </w:r>
      <w:r w:rsidR="0017759A" w:rsidRPr="006449A5">
        <w:rPr>
          <w:rFonts w:ascii="Times New Roman" w:hAnsi="Times New Roman" w:cs="Times New Roman"/>
          <w:sz w:val="24"/>
          <w:szCs w:val="24"/>
        </w:rPr>
        <w:t>tude de cas</w:t>
      </w:r>
      <w:bookmarkStart w:id="0" w:name="_Hlk144297843"/>
      <w:r w:rsidR="00DF7801" w:rsidRPr="006449A5">
        <w:rPr>
          <w:rFonts w:ascii="Times New Roman" w:hAnsi="Times New Roman" w:cs="Times New Roman"/>
          <w:sz w:val="24"/>
          <w:szCs w:val="24"/>
        </w:rPr>
        <w:t xml:space="preserve"> </w:t>
      </w:r>
    </w:p>
    <w:bookmarkEnd w:id="0"/>
    <w:p w14:paraId="1E545EE2" w14:textId="206E9C97" w:rsidR="0064387A" w:rsidRPr="00285397" w:rsidRDefault="004A2030" w:rsidP="0041676A">
      <w:pPr>
        <w:rPr>
          <w:rFonts w:ascii="Times New Roman" w:hAnsi="Times New Roman" w:cs="Times New Roman"/>
          <w:i/>
          <w:iCs/>
          <w:sz w:val="24"/>
          <w:szCs w:val="24"/>
          <w:lang w:val="en-US"/>
        </w:rPr>
      </w:pPr>
      <w:r w:rsidRPr="00285397">
        <w:rPr>
          <w:rFonts w:ascii="Times New Roman" w:hAnsi="Times New Roman" w:cs="Times New Roman"/>
          <w:sz w:val="24"/>
          <w:szCs w:val="24"/>
          <w:u w:val="single"/>
          <w:lang w:val="en-US"/>
        </w:rPr>
        <w:t>Title</w:t>
      </w:r>
      <w:r w:rsidR="0064387A" w:rsidRPr="00285397">
        <w:rPr>
          <w:rFonts w:ascii="Times New Roman" w:hAnsi="Times New Roman" w:cs="Times New Roman"/>
          <w:sz w:val="24"/>
          <w:szCs w:val="24"/>
          <w:lang w:val="en-US"/>
        </w:rPr>
        <w:t>:</w:t>
      </w:r>
      <w:r w:rsidR="00342844" w:rsidRPr="00285397">
        <w:rPr>
          <w:rFonts w:ascii="inherit" w:eastAsia="Times New Roman" w:hAnsi="inherit" w:cs="Courier New"/>
          <w:color w:val="202124"/>
          <w:kern w:val="0"/>
          <w:sz w:val="42"/>
          <w:szCs w:val="42"/>
          <w:lang w:val="en-US" w:eastAsia="fr-BE"/>
          <w14:ligatures w14:val="none"/>
        </w:rPr>
        <w:t xml:space="preserve"> </w:t>
      </w:r>
      <w:r w:rsidR="0017759A" w:rsidRPr="00285397">
        <w:rPr>
          <w:rFonts w:ascii="Times New Roman" w:hAnsi="Times New Roman" w:cs="Times New Roman"/>
          <w:i/>
          <w:iCs/>
          <w:sz w:val="24"/>
          <w:szCs w:val="24"/>
          <w:lang w:val="en-US"/>
        </w:rPr>
        <w:t xml:space="preserve">When European private international law meets decoloniality: </w:t>
      </w:r>
      <w:r w:rsidR="00A74EAB" w:rsidRPr="00285397">
        <w:rPr>
          <w:rFonts w:ascii="Times New Roman" w:hAnsi="Times New Roman" w:cs="Times New Roman"/>
          <w:i/>
          <w:iCs/>
          <w:sz w:val="24"/>
          <w:szCs w:val="24"/>
          <w:lang w:val="en-US"/>
        </w:rPr>
        <w:t xml:space="preserve">A </w:t>
      </w:r>
      <w:r w:rsidR="0017759A" w:rsidRPr="00285397">
        <w:rPr>
          <w:rFonts w:ascii="Times New Roman" w:hAnsi="Times New Roman" w:cs="Times New Roman"/>
          <w:i/>
          <w:iCs/>
          <w:sz w:val="24"/>
          <w:szCs w:val="24"/>
          <w:lang w:val="en-US"/>
        </w:rPr>
        <w:t>case study</w:t>
      </w:r>
    </w:p>
    <w:p w14:paraId="018F6D71" w14:textId="646F2E43" w:rsidR="0041676A" w:rsidRPr="006449A5" w:rsidRDefault="0041676A" w:rsidP="0041676A">
      <w:pPr>
        <w:rPr>
          <w:rFonts w:ascii="Times New Roman" w:hAnsi="Times New Roman" w:cs="Times New Roman"/>
          <w:sz w:val="24"/>
          <w:szCs w:val="24"/>
        </w:rPr>
      </w:pPr>
      <w:r w:rsidRPr="006449A5">
        <w:rPr>
          <w:rFonts w:ascii="Times New Roman" w:hAnsi="Times New Roman" w:cs="Times New Roman"/>
          <w:sz w:val="24"/>
          <w:szCs w:val="24"/>
          <w:u w:val="single"/>
        </w:rPr>
        <w:t>Résumé :</w:t>
      </w:r>
      <w:r w:rsidR="0017759A" w:rsidRPr="006449A5">
        <w:rPr>
          <w:rFonts w:ascii="Times New Roman" w:hAnsi="Times New Roman" w:cs="Times New Roman"/>
          <w:sz w:val="24"/>
          <w:szCs w:val="24"/>
        </w:rPr>
        <w:t xml:space="preserve"> </w:t>
      </w:r>
      <w:r w:rsidR="0004320C" w:rsidRPr="006449A5">
        <w:rPr>
          <w:rFonts w:ascii="Times New Roman" w:hAnsi="Times New Roman" w:cs="Times New Roman"/>
          <w:sz w:val="24"/>
          <w:szCs w:val="24"/>
        </w:rPr>
        <w:t xml:space="preserve">La présence </w:t>
      </w:r>
      <w:r w:rsidR="00203354" w:rsidRPr="006449A5">
        <w:rPr>
          <w:rFonts w:ascii="Times New Roman" w:hAnsi="Times New Roman" w:cs="Times New Roman"/>
          <w:sz w:val="24"/>
          <w:szCs w:val="24"/>
        </w:rPr>
        <w:t xml:space="preserve">d’individus </w:t>
      </w:r>
      <w:r w:rsidR="0004320C" w:rsidRPr="006449A5">
        <w:rPr>
          <w:rFonts w:ascii="Times New Roman" w:hAnsi="Times New Roman" w:cs="Times New Roman"/>
          <w:sz w:val="24"/>
          <w:szCs w:val="24"/>
        </w:rPr>
        <w:t>provenant d’</w:t>
      </w:r>
      <w:r w:rsidR="00234020" w:rsidRPr="006449A5">
        <w:rPr>
          <w:rFonts w:ascii="Times New Roman" w:hAnsi="Times New Roman" w:cs="Times New Roman"/>
          <w:sz w:val="24"/>
          <w:szCs w:val="24"/>
        </w:rPr>
        <w:t>É</w:t>
      </w:r>
      <w:r w:rsidR="0004320C" w:rsidRPr="006449A5">
        <w:rPr>
          <w:rFonts w:ascii="Times New Roman" w:hAnsi="Times New Roman" w:cs="Times New Roman"/>
          <w:sz w:val="24"/>
          <w:szCs w:val="24"/>
        </w:rPr>
        <w:t xml:space="preserve">tats postcoloniaux dans les </w:t>
      </w:r>
      <w:r w:rsidR="00234020" w:rsidRPr="006449A5">
        <w:rPr>
          <w:rFonts w:ascii="Times New Roman" w:hAnsi="Times New Roman" w:cs="Times New Roman"/>
          <w:sz w:val="24"/>
          <w:szCs w:val="24"/>
        </w:rPr>
        <w:t>É</w:t>
      </w:r>
      <w:r w:rsidR="0004320C" w:rsidRPr="006449A5">
        <w:rPr>
          <w:rFonts w:ascii="Times New Roman" w:hAnsi="Times New Roman" w:cs="Times New Roman"/>
          <w:sz w:val="24"/>
          <w:szCs w:val="24"/>
        </w:rPr>
        <w:t xml:space="preserve">tats européens pose la question de l’interaction du droit de ces </w:t>
      </w:r>
      <w:r w:rsidR="00203354" w:rsidRPr="006449A5">
        <w:rPr>
          <w:rFonts w:ascii="Times New Roman" w:hAnsi="Times New Roman" w:cs="Times New Roman"/>
          <w:sz w:val="24"/>
          <w:szCs w:val="24"/>
        </w:rPr>
        <w:t>É</w:t>
      </w:r>
      <w:r w:rsidR="0004320C" w:rsidRPr="006449A5">
        <w:rPr>
          <w:rFonts w:ascii="Times New Roman" w:hAnsi="Times New Roman" w:cs="Times New Roman"/>
          <w:sz w:val="24"/>
          <w:szCs w:val="24"/>
        </w:rPr>
        <w:t xml:space="preserve">tats. Le droit des </w:t>
      </w:r>
      <w:r w:rsidR="00234020" w:rsidRPr="006449A5">
        <w:rPr>
          <w:rFonts w:ascii="Times New Roman" w:hAnsi="Times New Roman" w:cs="Times New Roman"/>
          <w:sz w:val="24"/>
          <w:szCs w:val="24"/>
        </w:rPr>
        <w:t>É</w:t>
      </w:r>
      <w:r w:rsidR="0004320C" w:rsidRPr="006449A5">
        <w:rPr>
          <w:rFonts w:ascii="Times New Roman" w:hAnsi="Times New Roman" w:cs="Times New Roman"/>
          <w:sz w:val="24"/>
          <w:szCs w:val="24"/>
        </w:rPr>
        <w:t>tats postcoloniaux</w:t>
      </w:r>
      <w:r w:rsidR="009F64CA" w:rsidRPr="006449A5">
        <w:rPr>
          <w:rFonts w:ascii="Times New Roman" w:hAnsi="Times New Roman" w:cs="Times New Roman"/>
          <w:sz w:val="24"/>
          <w:szCs w:val="24"/>
        </w:rPr>
        <w:t xml:space="preserve"> </w:t>
      </w:r>
      <w:r w:rsidR="0017759A" w:rsidRPr="006449A5">
        <w:rPr>
          <w:rFonts w:ascii="Times New Roman" w:hAnsi="Times New Roman" w:cs="Times New Roman"/>
          <w:sz w:val="24"/>
          <w:szCs w:val="24"/>
        </w:rPr>
        <w:t>incorpore à la fois des formes de légalité traditionnelles généralement qualifiées de droit « religieux »</w:t>
      </w:r>
      <w:r w:rsidR="00231ECB" w:rsidRPr="006449A5">
        <w:rPr>
          <w:rFonts w:ascii="Times New Roman" w:hAnsi="Times New Roman" w:cs="Times New Roman"/>
          <w:sz w:val="24"/>
          <w:szCs w:val="24"/>
        </w:rPr>
        <w:t xml:space="preserve">, </w:t>
      </w:r>
      <w:r w:rsidR="0017759A" w:rsidRPr="006449A5">
        <w:rPr>
          <w:rFonts w:ascii="Times New Roman" w:hAnsi="Times New Roman" w:cs="Times New Roman"/>
          <w:sz w:val="24"/>
          <w:szCs w:val="24"/>
        </w:rPr>
        <w:t xml:space="preserve">« coutumier » </w:t>
      </w:r>
      <w:r w:rsidR="00231ECB" w:rsidRPr="006449A5">
        <w:rPr>
          <w:rFonts w:ascii="Times New Roman" w:hAnsi="Times New Roman" w:cs="Times New Roman"/>
          <w:sz w:val="24"/>
          <w:szCs w:val="24"/>
        </w:rPr>
        <w:t xml:space="preserve">et « autochtone », </w:t>
      </w:r>
      <w:r w:rsidR="0017759A" w:rsidRPr="006449A5">
        <w:rPr>
          <w:rFonts w:ascii="Times New Roman" w:hAnsi="Times New Roman" w:cs="Times New Roman"/>
          <w:sz w:val="24"/>
          <w:szCs w:val="24"/>
        </w:rPr>
        <w:t xml:space="preserve">ainsi que le droit étatique issu du droit colonial. Fondé sur le paradigme de la </w:t>
      </w:r>
      <w:proofErr w:type="spellStart"/>
      <w:r w:rsidR="0017759A" w:rsidRPr="006449A5">
        <w:rPr>
          <w:rFonts w:ascii="Times New Roman" w:hAnsi="Times New Roman" w:cs="Times New Roman"/>
          <w:sz w:val="24"/>
          <w:szCs w:val="24"/>
        </w:rPr>
        <w:t>décolonialité</w:t>
      </w:r>
      <w:proofErr w:type="spellEnd"/>
      <w:r w:rsidR="0017759A" w:rsidRPr="006449A5">
        <w:rPr>
          <w:rFonts w:ascii="Times New Roman" w:hAnsi="Times New Roman" w:cs="Times New Roman"/>
          <w:sz w:val="24"/>
          <w:szCs w:val="24"/>
        </w:rPr>
        <w:t>, cet article tente d’en identifier</w:t>
      </w:r>
      <w:r w:rsidR="00AF6CA9" w:rsidRPr="006449A5">
        <w:rPr>
          <w:rFonts w:ascii="Times New Roman" w:hAnsi="Times New Roman" w:cs="Times New Roman"/>
          <w:sz w:val="24"/>
          <w:szCs w:val="24"/>
        </w:rPr>
        <w:t xml:space="preserve"> </w:t>
      </w:r>
      <w:r w:rsidR="0017759A" w:rsidRPr="006449A5">
        <w:rPr>
          <w:rFonts w:ascii="Times New Roman" w:hAnsi="Times New Roman" w:cs="Times New Roman"/>
          <w:sz w:val="24"/>
          <w:szCs w:val="24"/>
        </w:rPr>
        <w:t>les implications pour le droit international privé (DIP)</w:t>
      </w:r>
      <w:r w:rsidR="0004320C" w:rsidRPr="006449A5">
        <w:rPr>
          <w:rFonts w:ascii="Times New Roman" w:hAnsi="Times New Roman" w:cs="Times New Roman"/>
          <w:sz w:val="24"/>
          <w:szCs w:val="24"/>
        </w:rPr>
        <w:t xml:space="preserve"> des </w:t>
      </w:r>
      <w:r w:rsidR="00234020" w:rsidRPr="006449A5">
        <w:rPr>
          <w:rFonts w:ascii="Times New Roman" w:hAnsi="Times New Roman" w:cs="Times New Roman"/>
          <w:sz w:val="24"/>
          <w:szCs w:val="24"/>
        </w:rPr>
        <w:t>É</w:t>
      </w:r>
      <w:r w:rsidR="0004320C" w:rsidRPr="006449A5">
        <w:rPr>
          <w:rFonts w:ascii="Times New Roman" w:hAnsi="Times New Roman" w:cs="Times New Roman"/>
          <w:sz w:val="24"/>
          <w:szCs w:val="24"/>
        </w:rPr>
        <w:t>tats européens</w:t>
      </w:r>
      <w:r w:rsidR="00DC6731" w:rsidRPr="006449A5">
        <w:rPr>
          <w:rFonts w:ascii="Times New Roman" w:hAnsi="Times New Roman" w:cs="Times New Roman"/>
          <w:sz w:val="24"/>
          <w:szCs w:val="24"/>
        </w:rPr>
        <w:t xml:space="preserve">, qui règle notamment la question du droit applicable </w:t>
      </w:r>
      <w:r w:rsidR="00A74EAB" w:rsidRPr="006449A5">
        <w:rPr>
          <w:rFonts w:ascii="Times New Roman" w:hAnsi="Times New Roman" w:cs="Times New Roman"/>
          <w:sz w:val="24"/>
          <w:szCs w:val="24"/>
        </w:rPr>
        <w:t xml:space="preserve">à un litige transnational </w:t>
      </w:r>
      <w:r w:rsidR="00DC6731" w:rsidRPr="006449A5">
        <w:rPr>
          <w:rFonts w:ascii="Times New Roman" w:hAnsi="Times New Roman" w:cs="Times New Roman"/>
          <w:sz w:val="24"/>
          <w:szCs w:val="24"/>
        </w:rPr>
        <w:t xml:space="preserve">et de la reconnaissance d’un statut personnel ou familial étranger. Il se concentre particulièrement sur les litiges opposant une partie originaire d’un </w:t>
      </w:r>
      <w:r w:rsidR="00234020" w:rsidRPr="006449A5">
        <w:rPr>
          <w:rFonts w:ascii="Times New Roman" w:hAnsi="Times New Roman" w:cs="Times New Roman"/>
          <w:sz w:val="24"/>
          <w:szCs w:val="24"/>
        </w:rPr>
        <w:t>É</w:t>
      </w:r>
      <w:r w:rsidR="00DC6731" w:rsidRPr="006449A5">
        <w:rPr>
          <w:rFonts w:ascii="Times New Roman" w:hAnsi="Times New Roman" w:cs="Times New Roman"/>
          <w:sz w:val="24"/>
          <w:szCs w:val="24"/>
        </w:rPr>
        <w:t>tat postcolonial à une autorité étatique européenne</w:t>
      </w:r>
      <w:r w:rsidR="0017759A" w:rsidRPr="006449A5">
        <w:rPr>
          <w:rFonts w:ascii="Times New Roman" w:hAnsi="Times New Roman" w:cs="Times New Roman"/>
          <w:sz w:val="24"/>
          <w:szCs w:val="24"/>
        </w:rPr>
        <w:t xml:space="preserve">.  Pour ce faire, </w:t>
      </w:r>
      <w:r w:rsidR="00F235F5" w:rsidRPr="006449A5">
        <w:rPr>
          <w:rFonts w:ascii="Times New Roman" w:hAnsi="Times New Roman" w:cs="Times New Roman"/>
          <w:sz w:val="24"/>
          <w:szCs w:val="24"/>
        </w:rPr>
        <w:t xml:space="preserve">l’article inclut une étude de cas, </w:t>
      </w:r>
      <w:r w:rsidR="00DC6731" w:rsidRPr="006449A5">
        <w:rPr>
          <w:rFonts w:ascii="Times New Roman" w:hAnsi="Times New Roman" w:cs="Times New Roman"/>
          <w:sz w:val="24"/>
          <w:szCs w:val="24"/>
        </w:rPr>
        <w:t>qui</w:t>
      </w:r>
      <w:r w:rsidR="00F235F5" w:rsidRPr="006449A5">
        <w:rPr>
          <w:rFonts w:ascii="Times New Roman" w:hAnsi="Times New Roman" w:cs="Times New Roman"/>
          <w:sz w:val="24"/>
          <w:szCs w:val="24"/>
        </w:rPr>
        <w:t xml:space="preserve"> apparait la </w:t>
      </w:r>
      <w:r w:rsidR="00DC6731" w:rsidRPr="006449A5">
        <w:rPr>
          <w:rFonts w:ascii="Times New Roman" w:hAnsi="Times New Roman" w:cs="Times New Roman"/>
          <w:sz w:val="24"/>
          <w:szCs w:val="24"/>
        </w:rPr>
        <w:t xml:space="preserve">méthode juridique la </w:t>
      </w:r>
      <w:r w:rsidR="00F235F5" w:rsidRPr="006449A5">
        <w:rPr>
          <w:rFonts w:ascii="Times New Roman" w:hAnsi="Times New Roman" w:cs="Times New Roman"/>
          <w:sz w:val="24"/>
          <w:szCs w:val="24"/>
        </w:rPr>
        <w:t xml:space="preserve">plus adaptée au paradigme de la </w:t>
      </w:r>
      <w:proofErr w:type="spellStart"/>
      <w:r w:rsidR="00F235F5" w:rsidRPr="006449A5">
        <w:rPr>
          <w:rFonts w:ascii="Times New Roman" w:hAnsi="Times New Roman" w:cs="Times New Roman"/>
          <w:sz w:val="24"/>
          <w:szCs w:val="24"/>
        </w:rPr>
        <w:t>décolonialité</w:t>
      </w:r>
      <w:proofErr w:type="spellEnd"/>
      <w:r w:rsidR="00F235F5" w:rsidRPr="006449A5">
        <w:rPr>
          <w:rFonts w:ascii="Times New Roman" w:hAnsi="Times New Roman" w:cs="Times New Roman"/>
          <w:sz w:val="24"/>
          <w:szCs w:val="24"/>
        </w:rPr>
        <w:t xml:space="preserve">. </w:t>
      </w:r>
      <w:r w:rsidR="00AF6CA9" w:rsidRPr="006449A5">
        <w:rPr>
          <w:rFonts w:ascii="Times New Roman" w:hAnsi="Times New Roman" w:cs="Times New Roman"/>
          <w:sz w:val="24"/>
          <w:szCs w:val="24"/>
        </w:rPr>
        <w:t xml:space="preserve">Ainsi, </w:t>
      </w:r>
      <w:r w:rsidR="00C6586E" w:rsidRPr="006449A5">
        <w:rPr>
          <w:rFonts w:ascii="Times New Roman" w:hAnsi="Times New Roman" w:cs="Times New Roman"/>
          <w:sz w:val="24"/>
          <w:szCs w:val="24"/>
        </w:rPr>
        <w:t xml:space="preserve">après avoir proposé </w:t>
      </w:r>
      <w:r w:rsidR="00DC6731" w:rsidRPr="006449A5">
        <w:rPr>
          <w:rFonts w:ascii="Times New Roman" w:hAnsi="Times New Roman" w:cs="Times New Roman"/>
          <w:sz w:val="24"/>
          <w:szCs w:val="24"/>
        </w:rPr>
        <w:t>un</w:t>
      </w:r>
      <w:r w:rsidR="00AF6CA9" w:rsidRPr="006449A5">
        <w:rPr>
          <w:rFonts w:ascii="Times New Roman" w:hAnsi="Times New Roman" w:cs="Times New Roman"/>
          <w:sz w:val="24"/>
          <w:szCs w:val="24"/>
        </w:rPr>
        <w:t xml:space="preserve"> cadre </w:t>
      </w:r>
      <w:proofErr w:type="spellStart"/>
      <w:r w:rsidR="00370C33" w:rsidRPr="006449A5">
        <w:rPr>
          <w:rFonts w:ascii="Times New Roman" w:hAnsi="Times New Roman" w:cs="Times New Roman"/>
          <w:sz w:val="24"/>
          <w:szCs w:val="24"/>
        </w:rPr>
        <w:t>décolonial</w:t>
      </w:r>
      <w:proofErr w:type="spellEnd"/>
      <w:r w:rsidR="00370C33" w:rsidRPr="006449A5">
        <w:rPr>
          <w:rFonts w:ascii="Times New Roman" w:hAnsi="Times New Roman" w:cs="Times New Roman"/>
          <w:sz w:val="24"/>
          <w:szCs w:val="24"/>
        </w:rPr>
        <w:t xml:space="preserve"> </w:t>
      </w:r>
      <w:r w:rsidR="00AF6CA9" w:rsidRPr="006449A5">
        <w:rPr>
          <w:rFonts w:ascii="Times New Roman" w:hAnsi="Times New Roman" w:cs="Times New Roman"/>
          <w:sz w:val="24"/>
          <w:szCs w:val="24"/>
        </w:rPr>
        <w:t xml:space="preserve">théorique, l’article </w:t>
      </w:r>
      <w:r w:rsidR="00C6586E" w:rsidRPr="006449A5">
        <w:rPr>
          <w:rFonts w:ascii="Times New Roman" w:hAnsi="Times New Roman" w:cs="Times New Roman"/>
          <w:sz w:val="24"/>
          <w:szCs w:val="24"/>
        </w:rPr>
        <w:t>précise</w:t>
      </w:r>
      <w:r w:rsidR="00AF6CA9" w:rsidRPr="006449A5">
        <w:rPr>
          <w:rFonts w:ascii="Times New Roman" w:hAnsi="Times New Roman" w:cs="Times New Roman"/>
          <w:sz w:val="24"/>
          <w:szCs w:val="24"/>
        </w:rPr>
        <w:t xml:space="preserve"> ce cadre sur la base de l’étude approfondie de trois </w:t>
      </w:r>
      <w:r w:rsidR="00C6586E" w:rsidRPr="006449A5">
        <w:rPr>
          <w:rFonts w:ascii="Times New Roman" w:hAnsi="Times New Roman" w:cs="Times New Roman"/>
          <w:sz w:val="24"/>
          <w:szCs w:val="24"/>
        </w:rPr>
        <w:t>cas</w:t>
      </w:r>
      <w:r w:rsidR="00AF6CA9" w:rsidRPr="006449A5">
        <w:rPr>
          <w:rFonts w:ascii="Times New Roman" w:hAnsi="Times New Roman" w:cs="Times New Roman"/>
          <w:sz w:val="24"/>
          <w:szCs w:val="24"/>
        </w:rPr>
        <w:t xml:space="preserve"> emblématiques, venant respectivement de France, de Belgique, et de Grande Bretagne</w:t>
      </w:r>
      <w:r w:rsidR="00285397">
        <w:rPr>
          <w:rFonts w:ascii="Times New Roman" w:hAnsi="Times New Roman" w:cs="Times New Roman"/>
          <w:sz w:val="24"/>
          <w:szCs w:val="24"/>
        </w:rPr>
        <w:t>, concernant respectivement la nationalité, les mariages impliquant un mineur et l’adoption internationale</w:t>
      </w:r>
      <w:r w:rsidR="00883E4C" w:rsidRPr="006449A5">
        <w:rPr>
          <w:rFonts w:ascii="Times New Roman" w:hAnsi="Times New Roman" w:cs="Times New Roman"/>
          <w:sz w:val="24"/>
          <w:szCs w:val="24"/>
        </w:rPr>
        <w:t>.</w:t>
      </w:r>
    </w:p>
    <w:p w14:paraId="1A4188A0" w14:textId="265C086E" w:rsidR="00870588" w:rsidRPr="0051773A" w:rsidRDefault="004A2030" w:rsidP="00870588">
      <w:pPr>
        <w:rPr>
          <w:rFonts w:ascii="Times New Roman" w:hAnsi="Times New Roman" w:cs="Times New Roman"/>
          <w:sz w:val="24"/>
          <w:szCs w:val="24"/>
          <w:lang w:val="en-US"/>
        </w:rPr>
      </w:pPr>
      <w:r w:rsidRPr="00285397">
        <w:rPr>
          <w:rFonts w:ascii="Times New Roman" w:hAnsi="Times New Roman" w:cs="Times New Roman"/>
          <w:sz w:val="24"/>
          <w:szCs w:val="24"/>
          <w:u w:val="single"/>
          <w:lang w:val="en-US"/>
        </w:rPr>
        <w:t>Summary</w:t>
      </w:r>
      <w:r w:rsidRPr="00285397">
        <w:rPr>
          <w:rFonts w:ascii="Times New Roman" w:hAnsi="Times New Roman" w:cs="Times New Roman"/>
          <w:sz w:val="24"/>
          <w:szCs w:val="24"/>
          <w:lang w:val="en-US"/>
        </w:rPr>
        <w:t xml:space="preserve">: </w:t>
      </w:r>
      <w:r w:rsidR="008E19BE" w:rsidRPr="00285397">
        <w:rPr>
          <w:rFonts w:ascii="Times New Roman" w:hAnsi="Times New Roman" w:cs="Times New Roman"/>
          <w:sz w:val="24"/>
          <w:szCs w:val="24"/>
          <w:lang w:val="en-US"/>
        </w:rPr>
        <w:t xml:space="preserve">The presence of </w:t>
      </w:r>
      <w:r w:rsidR="00203354" w:rsidRPr="00285397">
        <w:rPr>
          <w:rFonts w:ascii="Times New Roman" w:hAnsi="Times New Roman" w:cs="Times New Roman"/>
          <w:sz w:val="24"/>
          <w:szCs w:val="24"/>
          <w:lang w:val="en-US"/>
        </w:rPr>
        <w:t>individuals</w:t>
      </w:r>
      <w:r w:rsidR="008E19BE" w:rsidRPr="00285397">
        <w:rPr>
          <w:rFonts w:ascii="Times New Roman" w:hAnsi="Times New Roman" w:cs="Times New Roman"/>
          <w:sz w:val="24"/>
          <w:szCs w:val="24"/>
          <w:lang w:val="en-US"/>
        </w:rPr>
        <w:t xml:space="preserve"> from post-colonial states in European states raises the question of the interaction of the law of these states. The law of post-colonial states incorporates both traditional forms of legality generally referred to as ‘religious’, ‘customary’ and ‘indigenous’ law, and state law derived from colonial law. Based on the paradigm of decoloniality, this article attempts to identify its implications for the private international law (PIL) of European states, which notably deals with the question of the law applicable to a transnational dispute and the recognition of a foreign personal or family status. It focuses </w:t>
      </w:r>
      <w:proofErr w:type="gramStart"/>
      <w:r w:rsidR="008E19BE" w:rsidRPr="00285397">
        <w:rPr>
          <w:rFonts w:ascii="Times New Roman" w:hAnsi="Times New Roman" w:cs="Times New Roman"/>
          <w:sz w:val="24"/>
          <w:szCs w:val="24"/>
          <w:lang w:val="en-US"/>
        </w:rPr>
        <w:t>in particular on</w:t>
      </w:r>
      <w:proofErr w:type="gramEnd"/>
      <w:r w:rsidR="008E19BE" w:rsidRPr="00285397">
        <w:rPr>
          <w:rFonts w:ascii="Times New Roman" w:hAnsi="Times New Roman" w:cs="Times New Roman"/>
          <w:sz w:val="24"/>
          <w:szCs w:val="24"/>
          <w:lang w:val="en-US"/>
        </w:rPr>
        <w:t xml:space="preserve"> disputes between a party from a post-colonial state and a European state authority.  To this end, the article includes a case study, which appears to be the legal method best suited to the paradigm of decoloniality. After proposing a theoretical </w:t>
      </w:r>
      <w:r w:rsidR="00370C33" w:rsidRPr="00285397">
        <w:rPr>
          <w:rFonts w:ascii="Times New Roman" w:hAnsi="Times New Roman" w:cs="Times New Roman"/>
          <w:sz w:val="24"/>
          <w:szCs w:val="24"/>
          <w:lang w:val="en-US"/>
        </w:rPr>
        <w:t xml:space="preserve">decolonial </w:t>
      </w:r>
      <w:r w:rsidR="008E19BE" w:rsidRPr="00285397">
        <w:rPr>
          <w:rFonts w:ascii="Times New Roman" w:hAnsi="Times New Roman" w:cs="Times New Roman"/>
          <w:sz w:val="24"/>
          <w:szCs w:val="24"/>
          <w:lang w:val="en-US"/>
        </w:rPr>
        <w:t xml:space="preserve">framework, the article </w:t>
      </w:r>
      <w:r w:rsidR="00203354" w:rsidRPr="00285397">
        <w:rPr>
          <w:rFonts w:ascii="Times New Roman" w:hAnsi="Times New Roman" w:cs="Times New Roman"/>
          <w:sz w:val="24"/>
          <w:szCs w:val="24"/>
          <w:lang w:val="en-US"/>
        </w:rPr>
        <w:t>further develops</w:t>
      </w:r>
      <w:r w:rsidR="008E19BE" w:rsidRPr="00285397">
        <w:rPr>
          <w:rFonts w:ascii="Times New Roman" w:hAnsi="Times New Roman" w:cs="Times New Roman"/>
          <w:sz w:val="24"/>
          <w:szCs w:val="24"/>
          <w:lang w:val="en-US"/>
        </w:rPr>
        <w:t xml:space="preserve"> this framework based on an in-depth study of three emblematic cases, from France, Belgium and Great Britain respectively</w:t>
      </w:r>
      <w:r w:rsidR="0051773A">
        <w:rPr>
          <w:rFonts w:ascii="Times New Roman" w:hAnsi="Times New Roman" w:cs="Times New Roman"/>
          <w:sz w:val="24"/>
          <w:szCs w:val="24"/>
          <w:lang w:val="en-US"/>
        </w:rPr>
        <w:t>, c</w:t>
      </w:r>
      <w:r w:rsidR="0051773A" w:rsidRPr="0051773A">
        <w:rPr>
          <w:rFonts w:ascii="Times New Roman" w:hAnsi="Times New Roman" w:cs="Times New Roman"/>
          <w:sz w:val="24"/>
          <w:szCs w:val="24"/>
          <w:lang w:val="en-US"/>
        </w:rPr>
        <w:t>oncerning nationality, marriages involving a minor, and international adoption.</w:t>
      </w:r>
    </w:p>
    <w:p w14:paraId="31D500D6" w14:textId="7A914054" w:rsidR="004A2030" w:rsidRPr="006449A5" w:rsidRDefault="004A2030" w:rsidP="004A2030">
      <w:pPr>
        <w:rPr>
          <w:rFonts w:ascii="Times New Roman" w:hAnsi="Times New Roman" w:cs="Times New Roman"/>
          <w:sz w:val="24"/>
          <w:szCs w:val="24"/>
        </w:rPr>
      </w:pPr>
      <w:r w:rsidRPr="006449A5">
        <w:rPr>
          <w:rFonts w:ascii="Times New Roman" w:hAnsi="Times New Roman" w:cs="Times New Roman"/>
          <w:sz w:val="24"/>
          <w:szCs w:val="24"/>
          <w:u w:val="single"/>
        </w:rPr>
        <w:t>Mots-</w:t>
      </w:r>
      <w:proofErr w:type="gramStart"/>
      <w:r w:rsidRPr="006449A5">
        <w:rPr>
          <w:rFonts w:ascii="Times New Roman" w:hAnsi="Times New Roman" w:cs="Times New Roman"/>
          <w:sz w:val="24"/>
          <w:szCs w:val="24"/>
          <w:u w:val="single"/>
        </w:rPr>
        <w:t>clés</w:t>
      </w:r>
      <w:r w:rsidRPr="006449A5">
        <w:rPr>
          <w:rFonts w:ascii="Times New Roman" w:hAnsi="Times New Roman" w:cs="Times New Roman"/>
          <w:sz w:val="24"/>
          <w:szCs w:val="24"/>
        </w:rPr>
        <w:t>:</w:t>
      </w:r>
      <w:proofErr w:type="gramEnd"/>
      <w:r w:rsidRPr="006449A5">
        <w:rPr>
          <w:rFonts w:ascii="Times New Roman" w:hAnsi="Times New Roman" w:cs="Times New Roman"/>
          <w:sz w:val="24"/>
          <w:szCs w:val="24"/>
        </w:rPr>
        <w:t xml:space="preserve"> </w:t>
      </w:r>
      <w:proofErr w:type="spellStart"/>
      <w:r w:rsidR="00C6586E" w:rsidRPr="006449A5">
        <w:rPr>
          <w:rFonts w:ascii="Times New Roman" w:hAnsi="Times New Roman" w:cs="Times New Roman"/>
          <w:sz w:val="24"/>
          <w:szCs w:val="24"/>
        </w:rPr>
        <w:t>décolonialité</w:t>
      </w:r>
      <w:proofErr w:type="spellEnd"/>
      <w:r w:rsidR="00C6586E" w:rsidRPr="006449A5">
        <w:rPr>
          <w:rFonts w:ascii="Times New Roman" w:hAnsi="Times New Roman" w:cs="Times New Roman"/>
          <w:sz w:val="24"/>
          <w:szCs w:val="24"/>
        </w:rPr>
        <w:t>, théorie du droit, droit international privé</w:t>
      </w:r>
      <w:r w:rsidR="00A74EAB" w:rsidRPr="006449A5">
        <w:rPr>
          <w:rFonts w:ascii="Times New Roman" w:hAnsi="Times New Roman" w:cs="Times New Roman"/>
          <w:sz w:val="24"/>
          <w:szCs w:val="24"/>
        </w:rPr>
        <w:t>, droit et migration</w:t>
      </w:r>
    </w:p>
    <w:p w14:paraId="0BB174A8" w14:textId="4BD41A54" w:rsidR="004A2030" w:rsidRPr="00285397" w:rsidRDefault="004A2030" w:rsidP="0041676A">
      <w:pPr>
        <w:rPr>
          <w:rFonts w:ascii="Times New Roman" w:hAnsi="Times New Roman" w:cs="Times New Roman"/>
          <w:sz w:val="24"/>
          <w:szCs w:val="24"/>
          <w:lang w:val="en-US"/>
        </w:rPr>
      </w:pPr>
      <w:r w:rsidRPr="00285397">
        <w:rPr>
          <w:rFonts w:ascii="Times New Roman" w:hAnsi="Times New Roman" w:cs="Times New Roman"/>
          <w:sz w:val="24"/>
          <w:szCs w:val="24"/>
          <w:u w:val="single"/>
          <w:lang w:val="en-US"/>
        </w:rPr>
        <w:t>Keywords</w:t>
      </w:r>
      <w:r w:rsidRPr="00285397">
        <w:rPr>
          <w:rFonts w:ascii="Times New Roman" w:hAnsi="Times New Roman" w:cs="Times New Roman"/>
          <w:sz w:val="24"/>
          <w:szCs w:val="24"/>
          <w:lang w:val="en-US"/>
        </w:rPr>
        <w:t>:</w:t>
      </w:r>
      <w:r w:rsidR="005E4EFC" w:rsidRPr="00285397">
        <w:rPr>
          <w:rFonts w:ascii="Times New Roman" w:hAnsi="Times New Roman" w:cs="Times New Roman"/>
          <w:sz w:val="24"/>
          <w:szCs w:val="24"/>
          <w:lang w:val="en-US"/>
        </w:rPr>
        <w:t xml:space="preserve"> </w:t>
      </w:r>
      <w:r w:rsidR="00C6586E" w:rsidRPr="00285397">
        <w:rPr>
          <w:rFonts w:ascii="Times New Roman" w:hAnsi="Times New Roman" w:cs="Times New Roman"/>
          <w:i/>
          <w:iCs/>
          <w:sz w:val="24"/>
          <w:szCs w:val="24"/>
          <w:lang w:val="en-US"/>
        </w:rPr>
        <w:t>decoloniality</w:t>
      </w:r>
      <w:r w:rsidR="005E4EFC" w:rsidRPr="00285397">
        <w:rPr>
          <w:rFonts w:ascii="Times New Roman" w:hAnsi="Times New Roman" w:cs="Times New Roman"/>
          <w:i/>
          <w:iCs/>
          <w:sz w:val="24"/>
          <w:szCs w:val="24"/>
          <w:lang w:val="en-US"/>
        </w:rPr>
        <w:t xml:space="preserve">, </w:t>
      </w:r>
      <w:r w:rsidR="00C6586E" w:rsidRPr="00285397">
        <w:rPr>
          <w:rFonts w:ascii="Times New Roman" w:hAnsi="Times New Roman" w:cs="Times New Roman"/>
          <w:i/>
          <w:iCs/>
          <w:sz w:val="24"/>
          <w:szCs w:val="24"/>
          <w:lang w:val="en-US"/>
        </w:rPr>
        <w:t>legal theory, private international law</w:t>
      </w:r>
      <w:r w:rsidR="00A74EAB" w:rsidRPr="00285397">
        <w:rPr>
          <w:rFonts w:ascii="Times New Roman" w:hAnsi="Times New Roman" w:cs="Times New Roman"/>
          <w:sz w:val="24"/>
          <w:szCs w:val="24"/>
          <w:lang w:val="en-US"/>
        </w:rPr>
        <w:t xml:space="preserve">, </w:t>
      </w:r>
      <w:r w:rsidR="00A74EAB" w:rsidRPr="00285397">
        <w:rPr>
          <w:rFonts w:ascii="Times New Roman" w:hAnsi="Times New Roman" w:cs="Times New Roman"/>
          <w:i/>
          <w:iCs/>
          <w:sz w:val="24"/>
          <w:szCs w:val="24"/>
          <w:lang w:val="en-US"/>
        </w:rPr>
        <w:t>law and migration</w:t>
      </w:r>
    </w:p>
    <w:p w14:paraId="4BEC715F" w14:textId="11CB7349" w:rsidR="00F51759" w:rsidRPr="006449A5" w:rsidRDefault="00F51759">
      <w:pPr>
        <w:rPr>
          <w:rFonts w:ascii="Times New Roman" w:hAnsi="Times New Roman" w:cs="Times New Roman"/>
          <w:b/>
          <w:bCs/>
          <w:sz w:val="28"/>
          <w:szCs w:val="28"/>
        </w:rPr>
      </w:pPr>
      <w:r w:rsidRPr="006449A5">
        <w:rPr>
          <w:rFonts w:ascii="Times New Roman" w:hAnsi="Times New Roman" w:cs="Times New Roman"/>
          <w:b/>
          <w:bCs/>
          <w:sz w:val="28"/>
          <w:szCs w:val="28"/>
        </w:rPr>
        <w:t>Introduction</w:t>
      </w:r>
    </w:p>
    <w:p w14:paraId="0612B88D" w14:textId="747423BA" w:rsidR="00F1302C" w:rsidRPr="006449A5" w:rsidRDefault="00014CE2" w:rsidP="00805A90">
      <w:pPr>
        <w:rPr>
          <w:rFonts w:cs="Times New Roman"/>
          <w:sz w:val="24"/>
          <w:szCs w:val="24"/>
        </w:rPr>
      </w:pPr>
      <w:r w:rsidRPr="006449A5">
        <w:rPr>
          <w:rFonts w:ascii="Times New Roman" w:hAnsi="Times New Roman" w:cs="Times New Roman"/>
          <w:sz w:val="24"/>
          <w:szCs w:val="24"/>
        </w:rPr>
        <w:t xml:space="preserve">Que notre ère postcoloniale exige la reconnaissance par les puissances européennes des méfaits commis durant la colonisation, la présentation d’excuses officielles et la restitution du patrimoine des peuples colonisés, </w:t>
      </w:r>
      <w:r w:rsidR="00231ECB" w:rsidRPr="006449A5">
        <w:rPr>
          <w:rFonts w:ascii="Times New Roman" w:hAnsi="Times New Roman" w:cs="Times New Roman"/>
          <w:sz w:val="24"/>
          <w:szCs w:val="24"/>
        </w:rPr>
        <w:t>est aujourd’hui largement discuté</w:t>
      </w:r>
      <w:r w:rsidR="00C6586E" w:rsidRPr="006449A5">
        <w:rPr>
          <w:rStyle w:val="Appelnotedebasdep"/>
          <w:rFonts w:ascii="Times New Roman" w:hAnsi="Times New Roman" w:cs="Times New Roman"/>
          <w:sz w:val="24"/>
          <w:szCs w:val="24"/>
        </w:rPr>
        <w:footnoteReference w:id="2"/>
      </w:r>
      <w:r w:rsidR="00231ECB" w:rsidRPr="006449A5">
        <w:rPr>
          <w:rFonts w:ascii="Times New Roman" w:hAnsi="Times New Roman" w:cs="Times New Roman"/>
          <w:sz w:val="24"/>
          <w:szCs w:val="24"/>
        </w:rPr>
        <w:t xml:space="preserve">. </w:t>
      </w:r>
      <w:r w:rsidR="00A74EAB" w:rsidRPr="006449A5">
        <w:rPr>
          <w:rFonts w:ascii="Times New Roman" w:hAnsi="Times New Roman" w:cs="Times New Roman"/>
          <w:sz w:val="24"/>
          <w:szCs w:val="24"/>
        </w:rPr>
        <w:t>Que la</w:t>
      </w:r>
      <w:r w:rsidRPr="006449A5">
        <w:rPr>
          <w:rFonts w:ascii="Times New Roman" w:hAnsi="Times New Roman" w:cs="Times New Roman"/>
          <w:sz w:val="24"/>
          <w:szCs w:val="24"/>
        </w:rPr>
        <w:t xml:space="preserve"> colonisation </w:t>
      </w:r>
      <w:r w:rsidRPr="006449A5">
        <w:rPr>
          <w:rFonts w:ascii="Times New Roman" w:hAnsi="Times New Roman" w:cs="Times New Roman"/>
          <w:sz w:val="24"/>
          <w:szCs w:val="24"/>
        </w:rPr>
        <w:lastRenderedPageBreak/>
        <w:t xml:space="preserve">continue à </w:t>
      </w:r>
      <w:r w:rsidR="009D7BEA" w:rsidRPr="006449A5">
        <w:rPr>
          <w:rFonts w:ascii="Times New Roman" w:hAnsi="Times New Roman" w:cs="Times New Roman"/>
          <w:sz w:val="24"/>
          <w:szCs w:val="24"/>
        </w:rPr>
        <w:t>opérer</w:t>
      </w:r>
      <w:r w:rsidR="0035494C" w:rsidRPr="006449A5">
        <w:rPr>
          <w:rFonts w:ascii="Times New Roman" w:hAnsi="Times New Roman" w:cs="Times New Roman"/>
          <w:sz w:val="24"/>
          <w:szCs w:val="24"/>
        </w:rPr>
        <w:t xml:space="preserve"> sous une nouvelle forme</w:t>
      </w:r>
      <w:r w:rsidR="009D7BEA" w:rsidRPr="006449A5">
        <w:rPr>
          <w:rFonts w:ascii="Times New Roman" w:hAnsi="Times New Roman" w:cs="Times New Roman"/>
          <w:sz w:val="24"/>
          <w:szCs w:val="24"/>
        </w:rPr>
        <w:t xml:space="preserve">, notamment parce que la globalisation rend tous les êtres humains interdépendants tout en reflétant grandement des conceptions d’origine </w:t>
      </w:r>
      <w:r w:rsidR="00C457B5" w:rsidRPr="006449A5">
        <w:rPr>
          <w:rFonts w:ascii="Times New Roman" w:hAnsi="Times New Roman" w:cs="Times New Roman"/>
          <w:sz w:val="24"/>
          <w:szCs w:val="24"/>
        </w:rPr>
        <w:t>européenne</w:t>
      </w:r>
      <w:r w:rsidR="00C6586E" w:rsidRPr="006449A5">
        <w:rPr>
          <w:rStyle w:val="Appelnotedebasdep"/>
          <w:rFonts w:ascii="Times New Roman" w:hAnsi="Times New Roman" w:cs="Times New Roman"/>
          <w:sz w:val="24"/>
          <w:szCs w:val="24"/>
        </w:rPr>
        <w:footnoteReference w:id="3"/>
      </w:r>
      <w:r w:rsidR="009D7BEA" w:rsidRPr="006449A5">
        <w:rPr>
          <w:rFonts w:ascii="Times New Roman" w:hAnsi="Times New Roman" w:cs="Times New Roman"/>
          <w:sz w:val="24"/>
          <w:szCs w:val="24"/>
        </w:rPr>
        <w:t xml:space="preserve">, </w:t>
      </w:r>
      <w:r w:rsidR="00080FA1" w:rsidRPr="006449A5">
        <w:rPr>
          <w:rFonts w:ascii="Times New Roman" w:hAnsi="Times New Roman" w:cs="Times New Roman"/>
          <w:sz w:val="24"/>
          <w:szCs w:val="24"/>
        </w:rPr>
        <w:t xml:space="preserve">est par ailleurs </w:t>
      </w:r>
      <w:r w:rsidR="00A74EAB" w:rsidRPr="006449A5">
        <w:rPr>
          <w:rFonts w:ascii="Times New Roman" w:hAnsi="Times New Roman" w:cs="Times New Roman"/>
          <w:sz w:val="24"/>
          <w:szCs w:val="24"/>
        </w:rPr>
        <w:t xml:space="preserve">une idée </w:t>
      </w:r>
      <w:r w:rsidR="00080FA1" w:rsidRPr="006449A5">
        <w:rPr>
          <w:rFonts w:ascii="Times New Roman" w:hAnsi="Times New Roman" w:cs="Times New Roman"/>
          <w:sz w:val="24"/>
          <w:szCs w:val="24"/>
        </w:rPr>
        <w:t>devenue assez familière</w:t>
      </w:r>
      <w:r w:rsidR="009D7BEA" w:rsidRPr="006449A5">
        <w:rPr>
          <w:rFonts w:ascii="Times New Roman" w:hAnsi="Times New Roman" w:cs="Times New Roman"/>
          <w:sz w:val="24"/>
          <w:szCs w:val="24"/>
        </w:rPr>
        <w:t>.</w:t>
      </w:r>
      <w:r w:rsidR="00AE7BFB" w:rsidRPr="006449A5">
        <w:rPr>
          <w:rFonts w:ascii="Times New Roman" w:hAnsi="Times New Roman" w:cs="Times New Roman"/>
          <w:sz w:val="24"/>
          <w:szCs w:val="24"/>
        </w:rPr>
        <w:t xml:space="preserve"> </w:t>
      </w:r>
      <w:r w:rsidR="00080FA1" w:rsidRPr="006449A5">
        <w:rPr>
          <w:rFonts w:ascii="Times New Roman" w:hAnsi="Times New Roman" w:cs="Times New Roman"/>
          <w:sz w:val="24"/>
          <w:szCs w:val="24"/>
        </w:rPr>
        <w:t>Dans ce cadre</w:t>
      </w:r>
      <w:r w:rsidR="0035494C" w:rsidRPr="006449A5">
        <w:rPr>
          <w:rFonts w:ascii="Times New Roman" w:hAnsi="Times New Roman" w:cs="Times New Roman"/>
          <w:sz w:val="24"/>
          <w:szCs w:val="24"/>
        </w:rPr>
        <w:t>, un paradigme théorique tend à gagner du terrain ces dernières années</w:t>
      </w:r>
      <w:r w:rsidR="007B33B8" w:rsidRPr="006449A5">
        <w:rPr>
          <w:rFonts w:ascii="Times New Roman" w:hAnsi="Times New Roman" w:cs="Times New Roman"/>
          <w:sz w:val="24"/>
          <w:szCs w:val="24"/>
        </w:rPr>
        <w:t xml:space="preserve">, </w:t>
      </w:r>
      <w:r w:rsidR="0035494C" w:rsidRPr="006449A5">
        <w:rPr>
          <w:rFonts w:ascii="Times New Roman" w:hAnsi="Times New Roman" w:cs="Times New Roman"/>
          <w:sz w:val="24"/>
          <w:szCs w:val="24"/>
        </w:rPr>
        <w:t>au sein des sciences sociales</w:t>
      </w:r>
      <w:r w:rsidR="007B33B8" w:rsidRPr="006449A5">
        <w:rPr>
          <w:rFonts w:ascii="Times New Roman" w:hAnsi="Times New Roman" w:cs="Times New Roman"/>
          <w:sz w:val="24"/>
          <w:szCs w:val="24"/>
        </w:rPr>
        <w:t xml:space="preserve"> mais aussi en droit, celui de la </w:t>
      </w:r>
      <w:proofErr w:type="spellStart"/>
      <w:r w:rsidR="007B33B8" w:rsidRPr="006449A5">
        <w:rPr>
          <w:rFonts w:ascii="Times New Roman" w:hAnsi="Times New Roman" w:cs="Times New Roman"/>
          <w:sz w:val="24"/>
          <w:szCs w:val="24"/>
        </w:rPr>
        <w:t>décolonialité</w:t>
      </w:r>
      <w:proofErr w:type="spellEnd"/>
      <w:r w:rsidR="007B33B8" w:rsidRPr="006449A5">
        <w:rPr>
          <w:rFonts w:ascii="Times New Roman" w:hAnsi="Times New Roman" w:cs="Times New Roman"/>
          <w:sz w:val="24"/>
          <w:szCs w:val="24"/>
        </w:rPr>
        <w:t xml:space="preserve">. La </w:t>
      </w:r>
      <w:proofErr w:type="spellStart"/>
      <w:r w:rsidR="007B33B8" w:rsidRPr="006449A5">
        <w:rPr>
          <w:rFonts w:ascii="Times New Roman" w:hAnsi="Times New Roman" w:cs="Times New Roman"/>
          <w:sz w:val="24"/>
          <w:szCs w:val="24"/>
        </w:rPr>
        <w:t>décolonialité</w:t>
      </w:r>
      <w:proofErr w:type="spellEnd"/>
      <w:r w:rsidR="007B33B8" w:rsidRPr="006449A5">
        <w:rPr>
          <w:rFonts w:ascii="Times New Roman" w:hAnsi="Times New Roman" w:cs="Times New Roman"/>
          <w:sz w:val="24"/>
          <w:szCs w:val="24"/>
        </w:rPr>
        <w:t xml:space="preserve"> vise à démanteler les effets persistants du colonialisme européen sur les sociétés, </w:t>
      </w:r>
      <w:r w:rsidR="00671908" w:rsidRPr="006449A5">
        <w:rPr>
          <w:rFonts w:ascii="Times New Roman" w:hAnsi="Times New Roman" w:cs="Times New Roman"/>
          <w:sz w:val="24"/>
          <w:szCs w:val="24"/>
        </w:rPr>
        <w:t xml:space="preserve">non seulement </w:t>
      </w:r>
      <w:r w:rsidR="007B33B8" w:rsidRPr="006449A5">
        <w:rPr>
          <w:rFonts w:ascii="Times New Roman" w:hAnsi="Times New Roman" w:cs="Times New Roman"/>
          <w:sz w:val="24"/>
          <w:szCs w:val="24"/>
        </w:rPr>
        <w:t xml:space="preserve">dans les </w:t>
      </w:r>
      <w:r w:rsidR="007F1A4E" w:rsidRPr="006449A5">
        <w:rPr>
          <w:rFonts w:ascii="Times New Roman" w:hAnsi="Times New Roman" w:cs="Times New Roman"/>
          <w:sz w:val="24"/>
          <w:szCs w:val="24"/>
        </w:rPr>
        <w:t>État</w:t>
      </w:r>
      <w:r w:rsidR="007B33B8" w:rsidRPr="006449A5">
        <w:rPr>
          <w:rFonts w:ascii="Times New Roman" w:hAnsi="Times New Roman" w:cs="Times New Roman"/>
          <w:sz w:val="24"/>
          <w:szCs w:val="24"/>
        </w:rPr>
        <w:t>s postcoloniaux</w:t>
      </w:r>
      <w:r w:rsidR="00671908" w:rsidRPr="006449A5">
        <w:rPr>
          <w:rStyle w:val="Appelnotedebasdep"/>
          <w:rFonts w:ascii="Times New Roman" w:hAnsi="Times New Roman" w:cs="Times New Roman"/>
          <w:sz w:val="24"/>
          <w:szCs w:val="24"/>
        </w:rPr>
        <w:footnoteReference w:id="4"/>
      </w:r>
      <w:r w:rsidR="007B33B8" w:rsidRPr="006449A5">
        <w:rPr>
          <w:rFonts w:ascii="Times New Roman" w:hAnsi="Times New Roman" w:cs="Times New Roman"/>
          <w:sz w:val="24"/>
          <w:szCs w:val="24"/>
        </w:rPr>
        <w:t xml:space="preserve"> </w:t>
      </w:r>
      <w:r w:rsidR="00671908" w:rsidRPr="006449A5">
        <w:rPr>
          <w:rFonts w:ascii="Times New Roman" w:hAnsi="Times New Roman" w:cs="Times New Roman"/>
          <w:sz w:val="24"/>
          <w:szCs w:val="24"/>
        </w:rPr>
        <w:t>mais aussi en Europe</w:t>
      </w:r>
      <w:r w:rsidR="007B33B8" w:rsidRPr="006449A5">
        <w:rPr>
          <w:rFonts w:ascii="Times New Roman" w:hAnsi="Times New Roman" w:cs="Times New Roman"/>
          <w:sz w:val="24"/>
          <w:szCs w:val="24"/>
        </w:rPr>
        <w:t>, en particulier dans les domaines du savoir, de la culture et du pouvoir</w:t>
      </w:r>
      <w:r w:rsidR="007B33B8" w:rsidRPr="006449A5">
        <w:rPr>
          <w:rStyle w:val="Appelnotedebasdep"/>
          <w:rFonts w:ascii="Times New Roman" w:hAnsi="Times New Roman" w:cs="Times New Roman"/>
          <w:sz w:val="24"/>
          <w:szCs w:val="24"/>
        </w:rPr>
        <w:footnoteReference w:id="5"/>
      </w:r>
      <w:r w:rsidR="00D53371" w:rsidRPr="006449A5">
        <w:rPr>
          <w:rFonts w:ascii="Times New Roman" w:hAnsi="Times New Roman" w:cs="Times New Roman"/>
          <w:sz w:val="24"/>
          <w:szCs w:val="24"/>
        </w:rPr>
        <w:t xml:space="preserve">. </w:t>
      </w:r>
      <w:r w:rsidR="00671908" w:rsidRPr="006449A5">
        <w:rPr>
          <w:rFonts w:ascii="Times New Roman" w:hAnsi="Times New Roman" w:cs="Times New Roman"/>
          <w:sz w:val="24"/>
          <w:szCs w:val="24"/>
        </w:rPr>
        <w:t xml:space="preserve">En droit, </w:t>
      </w:r>
      <w:r w:rsidR="009937E0" w:rsidRPr="006449A5">
        <w:rPr>
          <w:rFonts w:ascii="Times New Roman" w:hAnsi="Times New Roman" w:cs="Times New Roman"/>
          <w:sz w:val="24"/>
          <w:szCs w:val="24"/>
        </w:rPr>
        <w:t xml:space="preserve">la </w:t>
      </w:r>
      <w:proofErr w:type="spellStart"/>
      <w:r w:rsidR="009937E0" w:rsidRPr="006449A5">
        <w:rPr>
          <w:rFonts w:ascii="Times New Roman" w:hAnsi="Times New Roman" w:cs="Times New Roman"/>
          <w:sz w:val="24"/>
          <w:szCs w:val="24"/>
        </w:rPr>
        <w:t>décolonialité</w:t>
      </w:r>
      <w:proofErr w:type="spellEnd"/>
      <w:r w:rsidR="009937E0" w:rsidRPr="006449A5">
        <w:rPr>
          <w:rFonts w:ascii="Times New Roman" w:hAnsi="Times New Roman" w:cs="Times New Roman"/>
          <w:sz w:val="24"/>
          <w:szCs w:val="24"/>
        </w:rPr>
        <w:t xml:space="preserve"> a fait son entrée dans des disciplines internationales telles que le droit international public</w:t>
      </w:r>
      <w:r w:rsidR="00500658" w:rsidRPr="006449A5">
        <w:rPr>
          <w:rStyle w:val="Appelnotedebasdep"/>
          <w:rFonts w:ascii="Times New Roman" w:hAnsi="Times New Roman" w:cs="Times New Roman"/>
          <w:sz w:val="24"/>
          <w:szCs w:val="24"/>
        </w:rPr>
        <w:footnoteReference w:id="6"/>
      </w:r>
      <w:r w:rsidR="009937E0" w:rsidRPr="006449A5">
        <w:rPr>
          <w:rFonts w:ascii="Times New Roman" w:hAnsi="Times New Roman" w:cs="Times New Roman"/>
          <w:sz w:val="24"/>
          <w:szCs w:val="24"/>
        </w:rPr>
        <w:t>, le droit des droits de l'homme</w:t>
      </w:r>
      <w:r w:rsidR="00FB5D3F" w:rsidRPr="006449A5">
        <w:rPr>
          <w:rStyle w:val="Appelnotedebasdep"/>
          <w:rFonts w:ascii="Times New Roman" w:hAnsi="Times New Roman" w:cs="Times New Roman"/>
          <w:sz w:val="24"/>
          <w:szCs w:val="24"/>
        </w:rPr>
        <w:footnoteReference w:id="7"/>
      </w:r>
      <w:r w:rsidR="009937E0" w:rsidRPr="006449A5">
        <w:rPr>
          <w:rFonts w:ascii="Times New Roman" w:hAnsi="Times New Roman" w:cs="Times New Roman"/>
          <w:sz w:val="24"/>
          <w:szCs w:val="24"/>
        </w:rPr>
        <w:t>, le droit de l’immigration</w:t>
      </w:r>
      <w:r w:rsidR="00FB5D3F" w:rsidRPr="006449A5">
        <w:rPr>
          <w:rStyle w:val="Appelnotedebasdep"/>
          <w:rFonts w:ascii="Times New Roman" w:hAnsi="Times New Roman" w:cs="Times New Roman"/>
          <w:sz w:val="24"/>
          <w:szCs w:val="24"/>
        </w:rPr>
        <w:footnoteReference w:id="8"/>
      </w:r>
      <w:r w:rsidR="00FD25EC" w:rsidRPr="006449A5">
        <w:rPr>
          <w:rFonts w:ascii="Times New Roman" w:hAnsi="Times New Roman" w:cs="Times New Roman"/>
          <w:sz w:val="24"/>
          <w:szCs w:val="24"/>
        </w:rPr>
        <w:t xml:space="preserve">, </w:t>
      </w:r>
      <w:r w:rsidR="009937E0" w:rsidRPr="006449A5">
        <w:rPr>
          <w:rFonts w:ascii="Times New Roman" w:hAnsi="Times New Roman" w:cs="Times New Roman"/>
          <w:sz w:val="24"/>
          <w:szCs w:val="24"/>
        </w:rPr>
        <w:t>ou le droit comparé</w:t>
      </w:r>
      <w:r w:rsidR="00FB5D3F" w:rsidRPr="006449A5">
        <w:rPr>
          <w:rStyle w:val="Appelnotedebasdep"/>
          <w:rFonts w:ascii="Times New Roman" w:hAnsi="Times New Roman" w:cs="Times New Roman"/>
          <w:sz w:val="24"/>
          <w:szCs w:val="24"/>
        </w:rPr>
        <w:footnoteReference w:id="9"/>
      </w:r>
      <w:r w:rsidR="009937E0" w:rsidRPr="006449A5">
        <w:rPr>
          <w:rFonts w:ascii="Times New Roman" w:hAnsi="Times New Roman" w:cs="Times New Roman"/>
          <w:sz w:val="24"/>
          <w:szCs w:val="24"/>
        </w:rPr>
        <w:t xml:space="preserve">. Il s’est aussi invité dans des disciplines nationales comme le </w:t>
      </w:r>
      <w:r w:rsidR="00FD25EC" w:rsidRPr="006449A5">
        <w:rPr>
          <w:rFonts w:ascii="Times New Roman" w:hAnsi="Times New Roman" w:cs="Times New Roman"/>
          <w:sz w:val="24"/>
          <w:szCs w:val="24"/>
        </w:rPr>
        <w:t>droit constitutionnel</w:t>
      </w:r>
      <w:r w:rsidR="00FD25EC" w:rsidRPr="006449A5">
        <w:rPr>
          <w:rStyle w:val="Appelnotedebasdep"/>
          <w:rFonts w:ascii="Times New Roman" w:hAnsi="Times New Roman" w:cs="Times New Roman"/>
          <w:sz w:val="24"/>
          <w:szCs w:val="24"/>
        </w:rPr>
        <w:footnoteReference w:id="10"/>
      </w:r>
      <w:r w:rsidR="00FD25EC" w:rsidRPr="006449A5">
        <w:rPr>
          <w:rFonts w:ascii="Times New Roman" w:hAnsi="Times New Roman" w:cs="Times New Roman"/>
          <w:sz w:val="24"/>
          <w:szCs w:val="24"/>
        </w:rPr>
        <w:t xml:space="preserve">, le </w:t>
      </w:r>
      <w:r w:rsidR="009937E0" w:rsidRPr="006449A5">
        <w:rPr>
          <w:rFonts w:ascii="Times New Roman" w:hAnsi="Times New Roman" w:cs="Times New Roman"/>
          <w:sz w:val="24"/>
          <w:szCs w:val="24"/>
        </w:rPr>
        <w:t>droit procédural</w:t>
      </w:r>
      <w:r w:rsidR="00FD25EC" w:rsidRPr="006449A5">
        <w:rPr>
          <w:rStyle w:val="Appelnotedebasdep"/>
          <w:rFonts w:ascii="Times New Roman" w:hAnsi="Times New Roman" w:cs="Times New Roman"/>
          <w:sz w:val="24"/>
          <w:szCs w:val="24"/>
        </w:rPr>
        <w:footnoteReference w:id="11"/>
      </w:r>
      <w:r w:rsidR="00FD25EC" w:rsidRPr="006449A5">
        <w:rPr>
          <w:rFonts w:ascii="Times New Roman" w:hAnsi="Times New Roman" w:cs="Times New Roman"/>
          <w:sz w:val="24"/>
          <w:szCs w:val="24"/>
        </w:rPr>
        <w:t xml:space="preserve">, </w:t>
      </w:r>
      <w:r w:rsidR="009937E0" w:rsidRPr="006449A5">
        <w:rPr>
          <w:rFonts w:ascii="Times New Roman" w:hAnsi="Times New Roman" w:cs="Times New Roman"/>
          <w:sz w:val="24"/>
          <w:szCs w:val="24"/>
        </w:rPr>
        <w:t>et le droit privé</w:t>
      </w:r>
      <w:r w:rsidR="00FD25EC" w:rsidRPr="006449A5">
        <w:rPr>
          <w:rStyle w:val="Appelnotedebasdep"/>
          <w:rFonts w:ascii="Times New Roman" w:hAnsi="Times New Roman" w:cs="Times New Roman"/>
          <w:sz w:val="24"/>
          <w:szCs w:val="24"/>
        </w:rPr>
        <w:footnoteReference w:id="12"/>
      </w:r>
      <w:r w:rsidR="009937E0" w:rsidRPr="006449A5">
        <w:rPr>
          <w:rFonts w:ascii="Times New Roman" w:hAnsi="Times New Roman" w:cs="Times New Roman"/>
          <w:sz w:val="24"/>
          <w:szCs w:val="24"/>
        </w:rPr>
        <w:t xml:space="preserve">  dans les États postcoloniaux. Cependant, les études </w:t>
      </w:r>
      <w:proofErr w:type="spellStart"/>
      <w:r w:rsidR="009937E0" w:rsidRPr="006449A5">
        <w:rPr>
          <w:rFonts w:ascii="Times New Roman" w:hAnsi="Times New Roman" w:cs="Times New Roman"/>
          <w:sz w:val="24"/>
          <w:szCs w:val="24"/>
        </w:rPr>
        <w:t>décoloniales</w:t>
      </w:r>
      <w:proofErr w:type="spellEnd"/>
      <w:r w:rsidR="009937E0" w:rsidRPr="006449A5">
        <w:rPr>
          <w:rFonts w:ascii="Times New Roman" w:hAnsi="Times New Roman" w:cs="Times New Roman"/>
          <w:sz w:val="24"/>
          <w:szCs w:val="24"/>
        </w:rPr>
        <w:t xml:space="preserve"> concernant le droit en Europe </w:t>
      </w:r>
      <w:r w:rsidR="001F4B0C" w:rsidRPr="006449A5">
        <w:rPr>
          <w:rFonts w:ascii="Times New Roman" w:hAnsi="Times New Roman" w:cs="Times New Roman"/>
          <w:sz w:val="24"/>
          <w:szCs w:val="24"/>
        </w:rPr>
        <w:t xml:space="preserve">- entendu ici comme le droit international, régional (de l’UE et du Conseil de l’Europe) et national applicable dans les États européens - </w:t>
      </w:r>
      <w:r w:rsidR="009937E0" w:rsidRPr="006449A5">
        <w:rPr>
          <w:rFonts w:ascii="Times New Roman" w:hAnsi="Times New Roman" w:cs="Times New Roman"/>
          <w:sz w:val="24"/>
          <w:szCs w:val="24"/>
        </w:rPr>
        <w:t>sont plus récentes et encore rares, et concernent surtout le droit de l’immigration</w:t>
      </w:r>
      <w:r w:rsidR="008C0D13" w:rsidRPr="006449A5">
        <w:rPr>
          <w:rStyle w:val="Appelnotedebasdep"/>
          <w:rFonts w:ascii="Times New Roman" w:hAnsi="Times New Roman" w:cs="Times New Roman"/>
          <w:sz w:val="24"/>
          <w:szCs w:val="24"/>
        </w:rPr>
        <w:footnoteReference w:id="13"/>
      </w:r>
      <w:r w:rsidR="009937E0" w:rsidRPr="006449A5">
        <w:rPr>
          <w:rFonts w:ascii="Times New Roman" w:hAnsi="Times New Roman" w:cs="Times New Roman"/>
          <w:sz w:val="24"/>
          <w:szCs w:val="24"/>
        </w:rPr>
        <w:t xml:space="preserve">. De même, les études </w:t>
      </w:r>
      <w:proofErr w:type="spellStart"/>
      <w:r w:rsidR="009937E0" w:rsidRPr="006449A5">
        <w:rPr>
          <w:rFonts w:ascii="Times New Roman" w:hAnsi="Times New Roman" w:cs="Times New Roman"/>
          <w:sz w:val="24"/>
          <w:szCs w:val="24"/>
        </w:rPr>
        <w:t>décoloniales</w:t>
      </w:r>
      <w:proofErr w:type="spellEnd"/>
      <w:r w:rsidR="009937E0" w:rsidRPr="006449A5">
        <w:rPr>
          <w:rFonts w:ascii="Times New Roman" w:hAnsi="Times New Roman" w:cs="Times New Roman"/>
          <w:sz w:val="24"/>
          <w:szCs w:val="24"/>
        </w:rPr>
        <w:t xml:space="preserve"> dans des disciplines non juridiques qui se concentrent sur l’Europe émergent</w:t>
      </w:r>
      <w:r w:rsidR="008C0D13" w:rsidRPr="006449A5">
        <w:rPr>
          <w:rStyle w:val="Appelnotedebasdep"/>
          <w:rFonts w:ascii="Times New Roman" w:hAnsi="Times New Roman" w:cs="Times New Roman"/>
          <w:sz w:val="24"/>
          <w:szCs w:val="24"/>
        </w:rPr>
        <w:footnoteReference w:id="14"/>
      </w:r>
      <w:r w:rsidR="009937E0" w:rsidRPr="006449A5">
        <w:rPr>
          <w:rFonts w:ascii="Times New Roman" w:hAnsi="Times New Roman" w:cs="Times New Roman"/>
          <w:sz w:val="24"/>
          <w:szCs w:val="24"/>
        </w:rPr>
        <w:t xml:space="preserve">, mais de nombreuses </w:t>
      </w:r>
      <w:r w:rsidR="00D53371" w:rsidRPr="006449A5">
        <w:rPr>
          <w:rFonts w:ascii="Times New Roman" w:hAnsi="Times New Roman" w:cs="Times New Roman"/>
          <w:sz w:val="24"/>
          <w:szCs w:val="24"/>
        </w:rPr>
        <w:t>pistes restent à explorer</w:t>
      </w:r>
      <w:r w:rsidR="008C0D13" w:rsidRPr="006449A5">
        <w:rPr>
          <w:rStyle w:val="Appelnotedebasdep"/>
          <w:rFonts w:ascii="Times New Roman" w:hAnsi="Times New Roman" w:cs="Times New Roman"/>
          <w:sz w:val="24"/>
          <w:szCs w:val="24"/>
        </w:rPr>
        <w:footnoteReference w:id="15"/>
      </w:r>
      <w:r w:rsidR="009937E0" w:rsidRPr="006449A5">
        <w:rPr>
          <w:rFonts w:ascii="Times New Roman" w:hAnsi="Times New Roman" w:cs="Times New Roman"/>
          <w:sz w:val="24"/>
          <w:szCs w:val="24"/>
        </w:rPr>
        <w:t>.</w:t>
      </w:r>
      <w:r w:rsidR="00F1302C" w:rsidRPr="006449A5">
        <w:rPr>
          <w:rFonts w:ascii="Times New Roman" w:hAnsi="Times New Roman" w:cs="Times New Roman"/>
          <w:sz w:val="24"/>
          <w:szCs w:val="24"/>
        </w:rPr>
        <w:t xml:space="preserve"> </w:t>
      </w:r>
      <w:r w:rsidR="00BA6477" w:rsidRPr="006449A5">
        <w:rPr>
          <w:rFonts w:ascii="Times New Roman" w:hAnsi="Times New Roman" w:cs="Times New Roman"/>
          <w:sz w:val="24"/>
          <w:szCs w:val="24"/>
        </w:rPr>
        <w:t xml:space="preserve">Or, </w:t>
      </w:r>
      <w:r w:rsidR="00D629CA" w:rsidRPr="006449A5">
        <w:rPr>
          <w:rFonts w:ascii="Times New Roman" w:hAnsi="Times New Roman" w:cs="Times New Roman"/>
          <w:sz w:val="24"/>
          <w:szCs w:val="24"/>
        </w:rPr>
        <w:t xml:space="preserve">en Europe, </w:t>
      </w:r>
      <w:r w:rsidR="00BA6477" w:rsidRPr="006449A5">
        <w:rPr>
          <w:rFonts w:ascii="Times New Roman" w:hAnsi="Times New Roman" w:cs="Times New Roman"/>
          <w:sz w:val="24"/>
          <w:szCs w:val="24"/>
        </w:rPr>
        <w:t xml:space="preserve">la </w:t>
      </w:r>
      <w:proofErr w:type="spellStart"/>
      <w:r w:rsidR="00BA6477" w:rsidRPr="006449A5">
        <w:rPr>
          <w:rFonts w:ascii="Times New Roman" w:hAnsi="Times New Roman" w:cs="Times New Roman"/>
          <w:sz w:val="24"/>
          <w:szCs w:val="24"/>
        </w:rPr>
        <w:t>décolonialité</w:t>
      </w:r>
      <w:proofErr w:type="spellEnd"/>
      <w:r w:rsidR="00BA6477" w:rsidRPr="006449A5">
        <w:rPr>
          <w:rFonts w:ascii="Times New Roman" w:hAnsi="Times New Roman" w:cs="Times New Roman"/>
          <w:sz w:val="24"/>
          <w:szCs w:val="24"/>
        </w:rPr>
        <w:t xml:space="preserve"> exige d'ajouter une nouvelle dimension au cadre européen en matière d'égalité, de justice et d'équité. </w:t>
      </w:r>
    </w:p>
    <w:p w14:paraId="01181EB1" w14:textId="49C67B96" w:rsidR="00805A90" w:rsidRPr="006449A5" w:rsidRDefault="00080FA1" w:rsidP="00E10F13">
      <w:pPr>
        <w:rPr>
          <w:rFonts w:ascii="Times New Roman" w:hAnsi="Times New Roman" w:cs="Times New Roman"/>
          <w:sz w:val="24"/>
          <w:szCs w:val="24"/>
        </w:rPr>
      </w:pPr>
      <w:r w:rsidRPr="006449A5">
        <w:rPr>
          <w:rFonts w:ascii="Times New Roman" w:hAnsi="Times New Roman" w:cs="Times New Roman"/>
          <w:sz w:val="24"/>
          <w:szCs w:val="24"/>
        </w:rPr>
        <w:lastRenderedPageBreak/>
        <w:t>C</w:t>
      </w:r>
      <w:r w:rsidR="00BA6477" w:rsidRPr="006449A5">
        <w:rPr>
          <w:rFonts w:ascii="Times New Roman" w:hAnsi="Times New Roman" w:cs="Times New Roman"/>
          <w:sz w:val="24"/>
          <w:szCs w:val="24"/>
        </w:rPr>
        <w:t xml:space="preserve">et article entend contribuer </w:t>
      </w:r>
      <w:r w:rsidR="00805A90" w:rsidRPr="006449A5">
        <w:rPr>
          <w:rFonts w:ascii="Times New Roman" w:hAnsi="Times New Roman" w:cs="Times New Roman"/>
          <w:sz w:val="24"/>
          <w:szCs w:val="24"/>
        </w:rPr>
        <w:t xml:space="preserve">à l’élaboration d’un cadre juridique </w:t>
      </w:r>
      <w:proofErr w:type="spellStart"/>
      <w:r w:rsidR="00805A90" w:rsidRPr="006449A5">
        <w:rPr>
          <w:rFonts w:ascii="Times New Roman" w:hAnsi="Times New Roman" w:cs="Times New Roman"/>
          <w:sz w:val="24"/>
          <w:szCs w:val="24"/>
        </w:rPr>
        <w:t>décolonial</w:t>
      </w:r>
      <w:proofErr w:type="spellEnd"/>
      <w:r w:rsidR="00805A90" w:rsidRPr="006449A5">
        <w:rPr>
          <w:rFonts w:ascii="Times New Roman" w:hAnsi="Times New Roman" w:cs="Times New Roman"/>
          <w:sz w:val="24"/>
          <w:szCs w:val="24"/>
        </w:rPr>
        <w:t xml:space="preserve"> en Europe</w:t>
      </w:r>
      <w:r w:rsidR="00BA6477" w:rsidRPr="006449A5">
        <w:rPr>
          <w:rFonts w:ascii="Times New Roman" w:hAnsi="Times New Roman" w:cs="Times New Roman"/>
          <w:sz w:val="24"/>
          <w:szCs w:val="24"/>
        </w:rPr>
        <w:t>. Pour ce faire, il</w:t>
      </w:r>
      <w:r w:rsidR="00805A90" w:rsidRPr="006449A5">
        <w:rPr>
          <w:rFonts w:ascii="Times New Roman" w:hAnsi="Times New Roman" w:cs="Times New Roman"/>
          <w:sz w:val="24"/>
          <w:szCs w:val="24"/>
        </w:rPr>
        <w:t xml:space="preserve"> se concentre sur le droit international privé (DIP), qui gouverne les situations transfrontalières entre des parties privées. Le DIP détermine en effet </w:t>
      </w:r>
      <w:r w:rsidR="00D629CA" w:rsidRPr="006449A5">
        <w:rPr>
          <w:rFonts w:ascii="Times New Roman" w:hAnsi="Times New Roman" w:cs="Times New Roman"/>
          <w:sz w:val="24"/>
          <w:szCs w:val="24"/>
        </w:rPr>
        <w:t xml:space="preserve">traditionnellement </w:t>
      </w:r>
      <w:r w:rsidR="00805A90" w:rsidRPr="006449A5">
        <w:rPr>
          <w:rFonts w:ascii="Times New Roman" w:hAnsi="Times New Roman" w:cs="Times New Roman"/>
          <w:sz w:val="24"/>
          <w:szCs w:val="24"/>
        </w:rPr>
        <w:t xml:space="preserve">la juridiction compétente et la loi applicable dans de tels cas, et fixe les conditions de reconnaissance et d'exécution des jugements étrangers dans un État donné. Il s’agit d’une branche du droit dans laquelle il apparait primordial de considérer la </w:t>
      </w:r>
      <w:proofErr w:type="spellStart"/>
      <w:r w:rsidR="00805A90" w:rsidRPr="006449A5">
        <w:rPr>
          <w:rFonts w:ascii="Times New Roman" w:hAnsi="Times New Roman" w:cs="Times New Roman"/>
          <w:sz w:val="24"/>
          <w:szCs w:val="24"/>
        </w:rPr>
        <w:t>décolonialité</w:t>
      </w:r>
      <w:proofErr w:type="spellEnd"/>
      <w:r w:rsidR="00BA6477" w:rsidRPr="006449A5">
        <w:rPr>
          <w:rFonts w:ascii="Times New Roman" w:hAnsi="Times New Roman" w:cs="Times New Roman"/>
          <w:sz w:val="24"/>
          <w:szCs w:val="24"/>
        </w:rPr>
        <w:t xml:space="preserve"> </w:t>
      </w:r>
      <w:r w:rsidR="00805A90" w:rsidRPr="006449A5">
        <w:rPr>
          <w:rFonts w:ascii="Times New Roman" w:hAnsi="Times New Roman" w:cs="Times New Roman"/>
          <w:sz w:val="24"/>
          <w:szCs w:val="24"/>
        </w:rPr>
        <w:t>pour plusieurs raisons</w:t>
      </w:r>
      <w:r w:rsidR="00D629CA" w:rsidRPr="006449A5">
        <w:rPr>
          <w:rFonts w:ascii="Times New Roman" w:hAnsi="Times New Roman" w:cs="Times New Roman"/>
          <w:sz w:val="24"/>
          <w:szCs w:val="24"/>
        </w:rPr>
        <w:t>. P</w:t>
      </w:r>
      <w:r w:rsidR="00BA6477" w:rsidRPr="006449A5">
        <w:rPr>
          <w:rFonts w:ascii="Times New Roman" w:hAnsi="Times New Roman" w:cs="Times New Roman"/>
          <w:sz w:val="24"/>
          <w:szCs w:val="24"/>
        </w:rPr>
        <w:t>remièrement, au vu de l’importance</w:t>
      </w:r>
      <w:r w:rsidR="00805A90" w:rsidRPr="006449A5">
        <w:rPr>
          <w:rFonts w:ascii="Times New Roman" w:hAnsi="Times New Roman" w:cs="Times New Roman"/>
          <w:sz w:val="24"/>
          <w:szCs w:val="24"/>
        </w:rPr>
        <w:t xml:space="preserve"> (largement sous-estimée) du </w:t>
      </w:r>
      <w:r w:rsidR="00BA6477" w:rsidRPr="006449A5">
        <w:rPr>
          <w:rFonts w:ascii="Times New Roman" w:hAnsi="Times New Roman" w:cs="Times New Roman"/>
          <w:sz w:val="24"/>
          <w:szCs w:val="24"/>
        </w:rPr>
        <w:t xml:space="preserve">DIP </w:t>
      </w:r>
      <w:r w:rsidR="00805A90" w:rsidRPr="006449A5">
        <w:rPr>
          <w:rFonts w:ascii="Times New Roman" w:hAnsi="Times New Roman" w:cs="Times New Roman"/>
          <w:sz w:val="24"/>
          <w:szCs w:val="24"/>
        </w:rPr>
        <w:t xml:space="preserve">dans la vie des individus. </w:t>
      </w:r>
      <w:r w:rsidR="00D629CA" w:rsidRPr="006449A5">
        <w:rPr>
          <w:rFonts w:ascii="Times New Roman" w:hAnsi="Times New Roman" w:cs="Times New Roman"/>
          <w:sz w:val="24"/>
          <w:szCs w:val="24"/>
        </w:rPr>
        <w:t>Comme le souligne Christophe Bernasconi</w:t>
      </w:r>
      <w:r w:rsidR="00D629CA" w:rsidRPr="006449A5">
        <w:rPr>
          <w:rStyle w:val="Appelnotedebasdep"/>
          <w:rFonts w:ascii="Times New Roman" w:hAnsi="Times New Roman" w:cs="Times New Roman"/>
          <w:sz w:val="24"/>
          <w:szCs w:val="24"/>
        </w:rPr>
        <w:footnoteReference w:id="16"/>
      </w:r>
      <w:r w:rsidR="00D629CA" w:rsidRPr="006449A5">
        <w:rPr>
          <w:rFonts w:ascii="Times New Roman" w:hAnsi="Times New Roman" w:cs="Times New Roman"/>
          <w:sz w:val="24"/>
          <w:szCs w:val="24"/>
        </w:rPr>
        <w:t>,</w:t>
      </w:r>
      <w:proofErr w:type="gramStart"/>
      <w:r w:rsidR="00D629CA" w:rsidRPr="006449A5">
        <w:rPr>
          <w:rFonts w:ascii="Times New Roman" w:hAnsi="Times New Roman" w:cs="Times New Roman"/>
          <w:sz w:val="24"/>
          <w:szCs w:val="24"/>
        </w:rPr>
        <w:t xml:space="preserve"> «[</w:t>
      </w:r>
      <w:proofErr w:type="gramEnd"/>
      <w:r w:rsidR="00D629CA" w:rsidRPr="006449A5">
        <w:rPr>
          <w:rFonts w:ascii="Times New Roman" w:hAnsi="Times New Roman" w:cs="Times New Roman"/>
          <w:sz w:val="24"/>
          <w:szCs w:val="24"/>
        </w:rPr>
        <w:t>n]</w:t>
      </w:r>
      <w:proofErr w:type="spellStart"/>
      <w:r w:rsidR="00D629CA" w:rsidRPr="006449A5">
        <w:rPr>
          <w:rFonts w:ascii="Times New Roman" w:hAnsi="Times New Roman" w:cs="Times New Roman"/>
          <w:sz w:val="24"/>
          <w:szCs w:val="24"/>
        </w:rPr>
        <w:t>ous</w:t>
      </w:r>
      <w:proofErr w:type="spellEnd"/>
      <w:r w:rsidR="00D629CA" w:rsidRPr="006449A5">
        <w:rPr>
          <w:rFonts w:ascii="Times New Roman" w:hAnsi="Times New Roman" w:cs="Times New Roman"/>
          <w:sz w:val="24"/>
          <w:szCs w:val="24"/>
        </w:rPr>
        <w:t xml:space="preserve"> vivons dans un monde de droit international privé</w:t>
      </w:r>
      <w:r w:rsidR="00D629CA" w:rsidRPr="006449A5">
        <w:rPr>
          <w:rFonts w:ascii="Times New Roman" w:hAnsi="Times New Roman" w:cs="Times New Roman"/>
          <w:sz w:val="24"/>
          <w:szCs w:val="24"/>
          <w:vertAlign w:val="superscript"/>
        </w:rPr>
        <w:footnoteReference w:id="17"/>
      </w:r>
      <w:r w:rsidR="00D629CA" w:rsidRPr="006449A5">
        <w:rPr>
          <w:rFonts w:ascii="Times New Roman" w:hAnsi="Times New Roman" w:cs="Times New Roman"/>
          <w:sz w:val="24"/>
          <w:szCs w:val="24"/>
        </w:rPr>
        <w:t xml:space="preserve">». Si la reconnaissance du caractère fondamental de la matière ne s’étend malheureusement pas au-delà de la discipline, l’augmentation des mouvements transfrontaliers, caractéristique de notre monde globalisé, vient très concrètement montrer son importance. </w:t>
      </w:r>
      <w:r w:rsidR="00805A90" w:rsidRPr="006449A5">
        <w:rPr>
          <w:rFonts w:ascii="Times New Roman" w:hAnsi="Times New Roman" w:cs="Times New Roman"/>
          <w:sz w:val="24"/>
          <w:szCs w:val="24"/>
        </w:rPr>
        <w:t>Cela s'explique notamment par l'augmentation des mouvements transfrontaliers, caractéristique de notre monde globalisé</w:t>
      </w:r>
      <w:r w:rsidR="008C0D13" w:rsidRPr="006449A5">
        <w:rPr>
          <w:rStyle w:val="Appelnotedebasdep"/>
          <w:rFonts w:ascii="Times New Roman" w:hAnsi="Times New Roman" w:cs="Times New Roman"/>
          <w:sz w:val="24"/>
          <w:szCs w:val="24"/>
        </w:rPr>
        <w:footnoteReference w:id="18"/>
      </w:r>
      <w:r w:rsidR="00805A90" w:rsidRPr="006449A5">
        <w:rPr>
          <w:rFonts w:ascii="Times New Roman" w:hAnsi="Times New Roman" w:cs="Times New Roman"/>
          <w:sz w:val="24"/>
          <w:szCs w:val="24"/>
        </w:rPr>
        <w:t>.</w:t>
      </w:r>
      <w:r w:rsidR="00BA6477" w:rsidRPr="006449A5">
        <w:rPr>
          <w:rFonts w:ascii="Times New Roman" w:hAnsi="Times New Roman" w:cs="Times New Roman"/>
          <w:sz w:val="24"/>
          <w:szCs w:val="24"/>
        </w:rPr>
        <w:t xml:space="preserve"> </w:t>
      </w:r>
      <w:r w:rsidRPr="006449A5">
        <w:rPr>
          <w:rFonts w:ascii="Times New Roman" w:hAnsi="Times New Roman" w:cs="Times New Roman"/>
          <w:sz w:val="24"/>
          <w:szCs w:val="24"/>
        </w:rPr>
        <w:t>Deuxièmement</w:t>
      </w:r>
      <w:r w:rsidR="00BA6477" w:rsidRPr="006449A5">
        <w:rPr>
          <w:rFonts w:ascii="Times New Roman" w:hAnsi="Times New Roman" w:cs="Times New Roman"/>
          <w:sz w:val="24"/>
          <w:szCs w:val="24"/>
        </w:rPr>
        <w:t xml:space="preserve">, il faut souligner </w:t>
      </w:r>
      <w:r w:rsidR="00805A90" w:rsidRPr="006449A5">
        <w:rPr>
          <w:rFonts w:ascii="Times New Roman" w:hAnsi="Times New Roman" w:cs="Times New Roman"/>
          <w:sz w:val="24"/>
          <w:szCs w:val="24"/>
        </w:rPr>
        <w:t xml:space="preserve">le rôle prépondérant du DIP, </w:t>
      </w:r>
      <w:r w:rsidR="00D629CA" w:rsidRPr="006449A5">
        <w:rPr>
          <w:rFonts w:ascii="Times New Roman" w:hAnsi="Times New Roman" w:cs="Times New Roman"/>
          <w:sz w:val="24"/>
          <w:szCs w:val="24"/>
        </w:rPr>
        <w:t xml:space="preserve">prôné par certains auteurs, </w:t>
      </w:r>
      <w:r w:rsidR="00805A90" w:rsidRPr="006449A5">
        <w:rPr>
          <w:rFonts w:ascii="Times New Roman" w:hAnsi="Times New Roman" w:cs="Times New Roman"/>
          <w:sz w:val="24"/>
          <w:szCs w:val="24"/>
        </w:rPr>
        <w:t xml:space="preserve">par rapport à d'autres branches du droit, pour aborder les préoccupations </w:t>
      </w:r>
      <w:proofErr w:type="spellStart"/>
      <w:r w:rsidR="00805A90" w:rsidRPr="006449A5">
        <w:rPr>
          <w:rFonts w:ascii="Times New Roman" w:hAnsi="Times New Roman" w:cs="Times New Roman"/>
          <w:sz w:val="24"/>
          <w:szCs w:val="24"/>
        </w:rPr>
        <w:t>décoloniales</w:t>
      </w:r>
      <w:proofErr w:type="spellEnd"/>
      <w:r w:rsidR="00805A90" w:rsidRPr="006449A5">
        <w:rPr>
          <w:rFonts w:ascii="Times New Roman" w:hAnsi="Times New Roman" w:cs="Times New Roman"/>
          <w:sz w:val="24"/>
          <w:szCs w:val="24"/>
        </w:rPr>
        <w:t xml:space="preserve"> en Europe. En matière juridique, la </w:t>
      </w:r>
      <w:proofErr w:type="spellStart"/>
      <w:r w:rsidR="00805A90" w:rsidRPr="006449A5">
        <w:rPr>
          <w:rFonts w:ascii="Times New Roman" w:hAnsi="Times New Roman" w:cs="Times New Roman"/>
          <w:sz w:val="24"/>
          <w:szCs w:val="24"/>
        </w:rPr>
        <w:t>décolonialité</w:t>
      </w:r>
      <w:proofErr w:type="spellEnd"/>
      <w:r w:rsidR="00805A90" w:rsidRPr="006449A5">
        <w:rPr>
          <w:rFonts w:ascii="Times New Roman" w:hAnsi="Times New Roman" w:cs="Times New Roman"/>
          <w:sz w:val="24"/>
          <w:szCs w:val="24"/>
        </w:rPr>
        <w:t xml:space="preserve"> implique</w:t>
      </w:r>
      <w:r w:rsidR="00BA6477" w:rsidRPr="006449A5">
        <w:rPr>
          <w:rFonts w:ascii="Times New Roman" w:hAnsi="Times New Roman" w:cs="Times New Roman"/>
          <w:sz w:val="24"/>
          <w:szCs w:val="24"/>
        </w:rPr>
        <w:t xml:space="preserve"> en effet</w:t>
      </w:r>
      <w:r w:rsidR="00805A90" w:rsidRPr="006449A5">
        <w:rPr>
          <w:rFonts w:ascii="Times New Roman" w:hAnsi="Times New Roman" w:cs="Times New Roman"/>
          <w:sz w:val="24"/>
          <w:szCs w:val="24"/>
        </w:rPr>
        <w:t xml:space="preserve"> la reconnaissance de la légitimité des normes postcoloniales non étatiques, qui incarnent souvent des </w:t>
      </w:r>
      <w:r w:rsidR="008D659C" w:rsidRPr="006449A5">
        <w:rPr>
          <w:rFonts w:ascii="Times New Roman" w:hAnsi="Times New Roman" w:cs="Times New Roman"/>
          <w:sz w:val="24"/>
          <w:szCs w:val="24"/>
        </w:rPr>
        <w:t>« </w:t>
      </w:r>
      <w:r w:rsidR="00805A90" w:rsidRPr="006449A5">
        <w:rPr>
          <w:rFonts w:ascii="Times New Roman" w:hAnsi="Times New Roman" w:cs="Times New Roman"/>
          <w:sz w:val="24"/>
          <w:szCs w:val="24"/>
        </w:rPr>
        <w:t>visions du monde</w:t>
      </w:r>
      <w:r w:rsidR="008D659C" w:rsidRPr="006449A5">
        <w:rPr>
          <w:rFonts w:ascii="Times New Roman" w:hAnsi="Times New Roman" w:cs="Times New Roman"/>
          <w:sz w:val="24"/>
          <w:szCs w:val="24"/>
        </w:rPr>
        <w:t> »</w:t>
      </w:r>
      <w:r w:rsidR="008D659C" w:rsidRPr="006449A5">
        <w:rPr>
          <w:rStyle w:val="Appelnotedebasdep"/>
          <w:rFonts w:ascii="Times New Roman" w:hAnsi="Times New Roman" w:cs="Times New Roman"/>
          <w:sz w:val="24"/>
          <w:szCs w:val="24"/>
        </w:rPr>
        <w:footnoteReference w:id="19"/>
      </w:r>
      <w:r w:rsidR="00805A90" w:rsidRPr="006449A5">
        <w:rPr>
          <w:rFonts w:ascii="Times New Roman" w:hAnsi="Times New Roman" w:cs="Times New Roman"/>
          <w:sz w:val="24"/>
          <w:szCs w:val="24"/>
        </w:rPr>
        <w:t xml:space="preserve"> distinctes de celles </w:t>
      </w:r>
      <w:r w:rsidRPr="006449A5">
        <w:rPr>
          <w:rFonts w:ascii="Times New Roman" w:hAnsi="Times New Roman" w:cs="Times New Roman"/>
          <w:sz w:val="24"/>
          <w:szCs w:val="24"/>
        </w:rPr>
        <w:t>qui sous-tendent le</w:t>
      </w:r>
      <w:r w:rsidR="00805A90" w:rsidRPr="006449A5">
        <w:rPr>
          <w:rFonts w:ascii="Times New Roman" w:hAnsi="Times New Roman" w:cs="Times New Roman"/>
          <w:sz w:val="24"/>
          <w:szCs w:val="24"/>
        </w:rPr>
        <w:t xml:space="preserve"> droit étatique, particulièrement en Europe. </w:t>
      </w:r>
      <w:r w:rsidR="00BA6477" w:rsidRPr="006449A5">
        <w:rPr>
          <w:rFonts w:ascii="Times New Roman" w:hAnsi="Times New Roman" w:cs="Times New Roman"/>
          <w:sz w:val="24"/>
          <w:szCs w:val="24"/>
        </w:rPr>
        <w:t>Or, l</w:t>
      </w:r>
      <w:r w:rsidR="00805A90" w:rsidRPr="006449A5">
        <w:rPr>
          <w:rFonts w:ascii="Times New Roman" w:hAnsi="Times New Roman" w:cs="Times New Roman"/>
          <w:sz w:val="24"/>
          <w:szCs w:val="24"/>
        </w:rPr>
        <w:t>e DIP semble être l'outil idéal pour ce faire.</w:t>
      </w:r>
      <w:r w:rsidR="00BA6477" w:rsidRPr="006449A5">
        <w:rPr>
          <w:rFonts w:ascii="Times New Roman" w:hAnsi="Times New Roman" w:cs="Times New Roman"/>
          <w:sz w:val="24"/>
          <w:szCs w:val="24"/>
        </w:rPr>
        <w:t xml:space="preserve"> </w:t>
      </w:r>
      <w:r w:rsidR="00805A90" w:rsidRPr="006449A5">
        <w:rPr>
          <w:rFonts w:ascii="Times New Roman" w:hAnsi="Times New Roman" w:cs="Times New Roman"/>
          <w:sz w:val="24"/>
          <w:szCs w:val="24"/>
        </w:rPr>
        <w:t>D'une part, le DIP reconnaît intrinsèquement le pluralisme juridique, validant dès le départ la coexistence de multiples normes juridiques</w:t>
      </w:r>
      <w:r w:rsidR="00B16F5E" w:rsidRPr="006449A5">
        <w:rPr>
          <w:rStyle w:val="Appelnotedebasdep"/>
          <w:rFonts w:ascii="Times New Roman" w:hAnsi="Times New Roman" w:cs="Times New Roman"/>
          <w:sz w:val="24"/>
          <w:szCs w:val="24"/>
        </w:rPr>
        <w:footnoteReference w:id="20"/>
      </w:r>
      <w:r w:rsidR="00805A90" w:rsidRPr="006449A5">
        <w:rPr>
          <w:rFonts w:ascii="Times New Roman" w:hAnsi="Times New Roman" w:cs="Times New Roman"/>
          <w:sz w:val="24"/>
          <w:szCs w:val="24"/>
        </w:rPr>
        <w:t>. D'autre part, les conflits de lois reflètent souvent des affrontements culturels plus profonds, chaque système juridique traduisant une vision du monde unique</w:t>
      </w:r>
      <w:r w:rsidR="001F4269" w:rsidRPr="006449A5">
        <w:rPr>
          <w:rFonts w:ascii="Times New Roman" w:hAnsi="Times New Roman" w:cs="Times New Roman"/>
          <w:sz w:val="24"/>
          <w:szCs w:val="24"/>
        </w:rPr>
        <w:t xml:space="preserve">, qui peut notamment être </w:t>
      </w:r>
      <w:r w:rsidR="00C457B5" w:rsidRPr="006449A5">
        <w:rPr>
          <w:rFonts w:ascii="Times New Roman" w:hAnsi="Times New Roman" w:cs="Times New Roman"/>
          <w:sz w:val="24"/>
          <w:szCs w:val="24"/>
        </w:rPr>
        <w:t>européenne</w:t>
      </w:r>
      <w:r w:rsidR="001F4269" w:rsidRPr="006449A5">
        <w:rPr>
          <w:rFonts w:ascii="Times New Roman" w:hAnsi="Times New Roman" w:cs="Times New Roman"/>
          <w:sz w:val="24"/>
          <w:szCs w:val="24"/>
        </w:rPr>
        <w:t xml:space="preserve"> ou postcoloniale (celle des peuples anciennement colonisés)</w:t>
      </w:r>
      <w:r w:rsidR="00B16F5E" w:rsidRPr="006449A5">
        <w:rPr>
          <w:rStyle w:val="Appelnotedebasdep"/>
          <w:rFonts w:ascii="Times New Roman" w:hAnsi="Times New Roman" w:cs="Times New Roman"/>
          <w:sz w:val="24"/>
          <w:szCs w:val="24"/>
        </w:rPr>
        <w:footnoteReference w:id="21"/>
      </w:r>
      <w:r w:rsidR="00805A90" w:rsidRPr="006449A5">
        <w:rPr>
          <w:rFonts w:ascii="Times New Roman" w:hAnsi="Times New Roman" w:cs="Times New Roman"/>
          <w:sz w:val="24"/>
          <w:szCs w:val="24"/>
        </w:rPr>
        <w:t xml:space="preserve">. De plus, le concept </w:t>
      </w:r>
      <w:proofErr w:type="spellStart"/>
      <w:r w:rsidR="00805A90" w:rsidRPr="006449A5">
        <w:rPr>
          <w:rFonts w:ascii="Times New Roman" w:hAnsi="Times New Roman" w:cs="Times New Roman"/>
          <w:sz w:val="24"/>
          <w:szCs w:val="24"/>
        </w:rPr>
        <w:t>décolonial</w:t>
      </w:r>
      <w:proofErr w:type="spellEnd"/>
      <w:r w:rsidR="00805A90" w:rsidRPr="006449A5">
        <w:rPr>
          <w:rFonts w:ascii="Times New Roman" w:hAnsi="Times New Roman" w:cs="Times New Roman"/>
          <w:sz w:val="24"/>
          <w:szCs w:val="24"/>
        </w:rPr>
        <w:t xml:space="preserve"> de la </w:t>
      </w:r>
      <w:proofErr w:type="spellStart"/>
      <w:r w:rsidR="00805A90" w:rsidRPr="006449A5">
        <w:rPr>
          <w:rFonts w:ascii="Times New Roman" w:hAnsi="Times New Roman" w:cs="Times New Roman"/>
          <w:sz w:val="24"/>
          <w:szCs w:val="24"/>
        </w:rPr>
        <w:t>pluriversalité</w:t>
      </w:r>
      <w:proofErr w:type="spellEnd"/>
      <w:r w:rsidR="00BA6477" w:rsidRPr="006449A5">
        <w:rPr>
          <w:rFonts w:ascii="Times New Roman" w:hAnsi="Times New Roman" w:cs="Times New Roman"/>
          <w:sz w:val="24"/>
          <w:szCs w:val="24"/>
        </w:rPr>
        <w:t xml:space="preserve">, qui implique la reconnaissance de la pluralité de la </w:t>
      </w:r>
      <w:r w:rsidR="00D629CA" w:rsidRPr="006449A5">
        <w:rPr>
          <w:rFonts w:ascii="Times New Roman" w:hAnsi="Times New Roman" w:cs="Times New Roman"/>
          <w:sz w:val="24"/>
          <w:szCs w:val="24"/>
        </w:rPr>
        <w:t>définition</w:t>
      </w:r>
      <w:r w:rsidR="00BA6477" w:rsidRPr="006449A5">
        <w:rPr>
          <w:rFonts w:ascii="Times New Roman" w:hAnsi="Times New Roman" w:cs="Times New Roman"/>
          <w:sz w:val="24"/>
          <w:szCs w:val="24"/>
        </w:rPr>
        <w:t xml:space="preserve"> de ce qui est universel,</w:t>
      </w:r>
      <w:r w:rsidR="00805A90" w:rsidRPr="006449A5">
        <w:rPr>
          <w:rFonts w:ascii="Times New Roman" w:hAnsi="Times New Roman" w:cs="Times New Roman"/>
          <w:sz w:val="24"/>
          <w:szCs w:val="24"/>
        </w:rPr>
        <w:t xml:space="preserve"> s'aligne bien avec </w:t>
      </w:r>
      <w:r w:rsidR="00BA6477" w:rsidRPr="006449A5">
        <w:rPr>
          <w:rFonts w:ascii="Times New Roman" w:hAnsi="Times New Roman" w:cs="Times New Roman"/>
          <w:sz w:val="24"/>
          <w:szCs w:val="24"/>
        </w:rPr>
        <w:t>la discipline</w:t>
      </w:r>
      <w:r w:rsidR="00B16F5E" w:rsidRPr="006449A5">
        <w:rPr>
          <w:rStyle w:val="Appelnotedebasdep"/>
          <w:rFonts w:ascii="Times New Roman" w:hAnsi="Times New Roman" w:cs="Times New Roman"/>
          <w:sz w:val="24"/>
          <w:szCs w:val="24"/>
        </w:rPr>
        <w:footnoteReference w:id="22"/>
      </w:r>
      <w:r w:rsidR="00805A90" w:rsidRPr="006449A5">
        <w:rPr>
          <w:rFonts w:ascii="Times New Roman" w:hAnsi="Times New Roman" w:cs="Times New Roman"/>
          <w:sz w:val="24"/>
          <w:szCs w:val="24"/>
        </w:rPr>
        <w:t>.</w:t>
      </w:r>
      <w:r w:rsidR="00BA6477" w:rsidRPr="006449A5">
        <w:rPr>
          <w:rFonts w:ascii="Times New Roman" w:hAnsi="Times New Roman" w:cs="Times New Roman"/>
          <w:sz w:val="24"/>
          <w:szCs w:val="24"/>
        </w:rPr>
        <w:t xml:space="preserve"> Plus largement, </w:t>
      </w:r>
      <w:r w:rsidR="00F1302C" w:rsidRPr="006449A5">
        <w:rPr>
          <w:rFonts w:ascii="Times New Roman" w:hAnsi="Times New Roman" w:cs="Times New Roman"/>
          <w:sz w:val="24"/>
          <w:szCs w:val="24"/>
        </w:rPr>
        <w:t xml:space="preserve">le </w:t>
      </w:r>
      <w:r w:rsidRPr="006449A5">
        <w:rPr>
          <w:rFonts w:ascii="Times New Roman" w:hAnsi="Times New Roman" w:cs="Times New Roman"/>
          <w:sz w:val="24"/>
          <w:szCs w:val="24"/>
        </w:rPr>
        <w:t xml:space="preserve">DIP </w:t>
      </w:r>
      <w:r w:rsidR="00F1302C" w:rsidRPr="006449A5">
        <w:rPr>
          <w:rFonts w:ascii="Times New Roman" w:hAnsi="Times New Roman" w:cs="Times New Roman"/>
          <w:sz w:val="24"/>
          <w:szCs w:val="24"/>
        </w:rPr>
        <w:t>reconnaît intrinsèquement l’existence d’autres cadres juridiques, reflétés dans les lois étrangères, et offre la possibilité de les privilégier par rapport au droit national, ce qui le rend à même de faire de la place à l’altérité en droit</w:t>
      </w:r>
      <w:r w:rsidR="008440A2" w:rsidRPr="006449A5">
        <w:rPr>
          <w:rFonts w:ascii="Times New Roman" w:hAnsi="Times New Roman" w:cs="Times New Roman"/>
          <w:sz w:val="24"/>
          <w:szCs w:val="24"/>
        </w:rPr>
        <w:t xml:space="preserve">, du moins dans une certaine mesure, pouvant varier selon les méthodes de </w:t>
      </w:r>
      <w:r w:rsidR="008440A2" w:rsidRPr="006449A5">
        <w:rPr>
          <w:rFonts w:ascii="Times New Roman" w:hAnsi="Times New Roman" w:cs="Times New Roman"/>
          <w:sz w:val="24"/>
          <w:szCs w:val="24"/>
        </w:rPr>
        <w:lastRenderedPageBreak/>
        <w:t>DIP</w:t>
      </w:r>
      <w:r w:rsidR="002A6297" w:rsidRPr="006449A5">
        <w:rPr>
          <w:rStyle w:val="Appelnotedebasdep"/>
          <w:rFonts w:ascii="Times New Roman" w:hAnsi="Times New Roman" w:cs="Times New Roman"/>
          <w:sz w:val="24"/>
          <w:szCs w:val="24"/>
        </w:rPr>
        <w:footnoteReference w:id="23"/>
      </w:r>
      <w:r w:rsidR="00F1302C" w:rsidRPr="006449A5">
        <w:rPr>
          <w:rFonts w:ascii="Times New Roman" w:hAnsi="Times New Roman" w:cs="Times New Roman"/>
          <w:sz w:val="24"/>
          <w:szCs w:val="24"/>
        </w:rPr>
        <w:t xml:space="preserve">. Cependant, cette littérature n’inclut pas la dimension </w:t>
      </w:r>
      <w:proofErr w:type="spellStart"/>
      <w:r w:rsidR="00F1302C" w:rsidRPr="006449A5">
        <w:rPr>
          <w:rFonts w:ascii="Times New Roman" w:hAnsi="Times New Roman" w:cs="Times New Roman"/>
          <w:sz w:val="24"/>
          <w:szCs w:val="24"/>
        </w:rPr>
        <w:t>décoloniale</w:t>
      </w:r>
      <w:proofErr w:type="spellEnd"/>
      <w:r w:rsidR="00F1302C" w:rsidRPr="006449A5">
        <w:rPr>
          <w:rFonts w:ascii="Times New Roman" w:hAnsi="Times New Roman" w:cs="Times New Roman"/>
          <w:sz w:val="24"/>
          <w:szCs w:val="24"/>
        </w:rPr>
        <w:t xml:space="preserve">. </w:t>
      </w:r>
      <w:r w:rsidR="008440A2" w:rsidRPr="006449A5">
        <w:rPr>
          <w:rFonts w:ascii="Times New Roman" w:hAnsi="Times New Roman" w:cs="Times New Roman"/>
          <w:sz w:val="24"/>
          <w:szCs w:val="24"/>
        </w:rPr>
        <w:t xml:space="preserve">En outre, elle reconnait que le droit international privé positif </w:t>
      </w:r>
      <w:r w:rsidR="00723EFC" w:rsidRPr="006449A5">
        <w:rPr>
          <w:rFonts w:ascii="Times New Roman" w:hAnsi="Times New Roman" w:cs="Times New Roman"/>
          <w:sz w:val="24"/>
          <w:szCs w:val="24"/>
        </w:rPr>
        <w:t xml:space="preserve">reconnait uniquement la pluralité du droit </w:t>
      </w:r>
      <w:r w:rsidR="00723EFC" w:rsidRPr="006449A5">
        <w:rPr>
          <w:rFonts w:ascii="Times New Roman" w:hAnsi="Times New Roman" w:cs="Times New Roman"/>
          <w:i/>
          <w:iCs/>
          <w:sz w:val="24"/>
          <w:szCs w:val="24"/>
        </w:rPr>
        <w:t>étatique</w:t>
      </w:r>
      <w:r w:rsidR="00723EFC" w:rsidRPr="006449A5">
        <w:rPr>
          <w:rFonts w:ascii="Times New Roman" w:hAnsi="Times New Roman" w:cs="Times New Roman"/>
          <w:sz w:val="24"/>
          <w:szCs w:val="24"/>
        </w:rPr>
        <w:t xml:space="preserve"> et que la diversité culturelle est envisagée comme corroborant la diversité étatique</w:t>
      </w:r>
      <w:r w:rsidR="008440A2" w:rsidRPr="006449A5">
        <w:rPr>
          <w:rFonts w:ascii="Times New Roman" w:hAnsi="Times New Roman" w:cs="Times New Roman"/>
          <w:sz w:val="24"/>
          <w:szCs w:val="24"/>
        </w:rPr>
        <w:t xml:space="preserve">. </w:t>
      </w:r>
      <w:r w:rsidR="00723EFC" w:rsidRPr="006449A5">
        <w:rPr>
          <w:rFonts w:ascii="Times New Roman" w:hAnsi="Times New Roman" w:cs="Times New Roman"/>
          <w:sz w:val="24"/>
          <w:szCs w:val="24"/>
        </w:rPr>
        <w:t>Par ailleurs</w:t>
      </w:r>
      <w:r w:rsidR="008440A2" w:rsidRPr="006449A5">
        <w:rPr>
          <w:rFonts w:ascii="Times New Roman" w:hAnsi="Times New Roman" w:cs="Times New Roman"/>
          <w:sz w:val="24"/>
          <w:szCs w:val="24"/>
        </w:rPr>
        <w:t xml:space="preserve">, </w:t>
      </w:r>
      <w:r w:rsidR="00723EFC" w:rsidRPr="006449A5">
        <w:rPr>
          <w:rFonts w:ascii="Times New Roman" w:hAnsi="Times New Roman" w:cs="Times New Roman"/>
          <w:sz w:val="24"/>
          <w:szCs w:val="24"/>
        </w:rPr>
        <w:t>le droit international privé positif</w:t>
      </w:r>
      <w:r w:rsidR="00F1302C" w:rsidRPr="006449A5">
        <w:rPr>
          <w:rFonts w:ascii="Times New Roman" w:hAnsi="Times New Roman" w:cs="Times New Roman"/>
          <w:sz w:val="24"/>
          <w:szCs w:val="24"/>
        </w:rPr>
        <w:t xml:space="preserve"> n’a pas encore été analysé d’un point de vue </w:t>
      </w:r>
      <w:proofErr w:type="spellStart"/>
      <w:r w:rsidR="00F1302C" w:rsidRPr="006449A5">
        <w:rPr>
          <w:rFonts w:ascii="Times New Roman" w:hAnsi="Times New Roman" w:cs="Times New Roman"/>
          <w:sz w:val="24"/>
          <w:szCs w:val="24"/>
        </w:rPr>
        <w:t>décolonial</w:t>
      </w:r>
      <w:proofErr w:type="spellEnd"/>
      <w:r w:rsidR="00F1302C" w:rsidRPr="006449A5">
        <w:rPr>
          <w:rStyle w:val="Appelnotedebasdep"/>
          <w:rFonts w:ascii="Times New Roman" w:hAnsi="Times New Roman" w:cs="Times New Roman"/>
          <w:sz w:val="24"/>
          <w:szCs w:val="24"/>
        </w:rPr>
        <w:footnoteReference w:id="24"/>
      </w:r>
      <w:r w:rsidR="008440A2" w:rsidRPr="006449A5">
        <w:rPr>
          <w:rStyle w:val="Marquedecommentaire"/>
        </w:rPr>
        <w:t>.</w:t>
      </w:r>
    </w:p>
    <w:p w14:paraId="1FF394C9" w14:textId="0C981F39" w:rsidR="00805A90" w:rsidRPr="006449A5" w:rsidRDefault="00A75453" w:rsidP="00E10F13">
      <w:pPr>
        <w:rPr>
          <w:rFonts w:ascii="Times New Roman" w:hAnsi="Times New Roman" w:cs="Times New Roman"/>
          <w:sz w:val="24"/>
          <w:szCs w:val="24"/>
        </w:rPr>
      </w:pPr>
      <w:r w:rsidRPr="006449A5">
        <w:rPr>
          <w:rFonts w:ascii="Times New Roman" w:hAnsi="Times New Roman" w:cs="Times New Roman"/>
          <w:sz w:val="24"/>
          <w:szCs w:val="24"/>
        </w:rPr>
        <w:t>C</w:t>
      </w:r>
      <w:r w:rsidR="00A5158F" w:rsidRPr="006449A5">
        <w:rPr>
          <w:rFonts w:ascii="Times New Roman" w:hAnsi="Times New Roman" w:cs="Times New Roman"/>
          <w:sz w:val="24"/>
          <w:szCs w:val="24"/>
        </w:rPr>
        <w:t xml:space="preserve">et article </w:t>
      </w:r>
      <w:r w:rsidR="00080FA1" w:rsidRPr="006449A5">
        <w:rPr>
          <w:rFonts w:ascii="Times New Roman" w:hAnsi="Times New Roman" w:cs="Times New Roman"/>
          <w:sz w:val="24"/>
          <w:szCs w:val="24"/>
        </w:rPr>
        <w:t>se concentre sur</w:t>
      </w:r>
      <w:r w:rsidR="00A5158F" w:rsidRPr="006449A5">
        <w:rPr>
          <w:rFonts w:ascii="Times New Roman" w:hAnsi="Times New Roman" w:cs="Times New Roman"/>
          <w:sz w:val="24"/>
          <w:szCs w:val="24"/>
        </w:rPr>
        <w:t xml:space="preserve"> les litiges </w:t>
      </w:r>
      <w:r w:rsidR="002B4897" w:rsidRPr="006449A5">
        <w:rPr>
          <w:rFonts w:ascii="Times New Roman" w:hAnsi="Times New Roman" w:cs="Times New Roman"/>
          <w:sz w:val="24"/>
          <w:szCs w:val="24"/>
        </w:rPr>
        <w:t>portés devant les cours et tribunaux étatiques européens</w:t>
      </w:r>
      <w:r w:rsidRPr="006449A5">
        <w:rPr>
          <w:rFonts w:ascii="Times New Roman" w:hAnsi="Times New Roman" w:cs="Times New Roman"/>
          <w:sz w:val="24"/>
          <w:szCs w:val="24"/>
        </w:rPr>
        <w:t xml:space="preserve"> </w:t>
      </w:r>
      <w:r w:rsidR="00A5158F" w:rsidRPr="006449A5">
        <w:rPr>
          <w:rFonts w:ascii="Times New Roman" w:hAnsi="Times New Roman" w:cs="Times New Roman"/>
          <w:sz w:val="24"/>
          <w:szCs w:val="24"/>
        </w:rPr>
        <w:t xml:space="preserve">impliquant l'interaction entre le droit </w:t>
      </w:r>
      <w:r w:rsidR="009F64CA" w:rsidRPr="006449A5">
        <w:rPr>
          <w:rFonts w:ascii="Times New Roman" w:hAnsi="Times New Roman" w:cs="Times New Roman"/>
          <w:sz w:val="24"/>
          <w:szCs w:val="24"/>
        </w:rPr>
        <w:t xml:space="preserve">étatique </w:t>
      </w:r>
      <w:r w:rsidR="00532368" w:rsidRPr="006449A5">
        <w:rPr>
          <w:rFonts w:ascii="Times New Roman" w:hAnsi="Times New Roman" w:cs="Times New Roman"/>
          <w:sz w:val="24"/>
          <w:szCs w:val="24"/>
        </w:rPr>
        <w:t>européen</w:t>
      </w:r>
      <w:r w:rsidR="00A5158F" w:rsidRPr="006449A5">
        <w:rPr>
          <w:rFonts w:ascii="Times New Roman" w:hAnsi="Times New Roman" w:cs="Times New Roman"/>
          <w:sz w:val="24"/>
          <w:szCs w:val="24"/>
        </w:rPr>
        <w:t xml:space="preserve"> et </w:t>
      </w:r>
      <w:r w:rsidRPr="006449A5">
        <w:rPr>
          <w:rFonts w:ascii="Times New Roman" w:hAnsi="Times New Roman" w:cs="Times New Roman"/>
          <w:sz w:val="24"/>
          <w:szCs w:val="24"/>
        </w:rPr>
        <w:t>le droit étatique postcolonial</w:t>
      </w:r>
      <w:r w:rsidR="00285397" w:rsidRPr="00285397">
        <w:rPr>
          <w:rFonts w:ascii="Times New Roman" w:hAnsi="Times New Roman" w:cs="Times New Roman"/>
          <w:sz w:val="24"/>
          <w:szCs w:val="24"/>
          <w:vertAlign w:val="superscript"/>
        </w:rPr>
        <w:footnoteReference w:id="25"/>
      </w:r>
      <w:r w:rsidR="002C521B" w:rsidRPr="006449A5">
        <w:rPr>
          <w:rFonts w:ascii="Times New Roman" w:hAnsi="Times New Roman" w:cs="Times New Roman"/>
          <w:sz w:val="24"/>
          <w:szCs w:val="24"/>
        </w:rPr>
        <w:t xml:space="preserve">. </w:t>
      </w:r>
      <w:r w:rsidR="009F64CA" w:rsidRPr="006449A5">
        <w:rPr>
          <w:rFonts w:ascii="Times New Roman" w:hAnsi="Times New Roman" w:cs="Times New Roman"/>
          <w:sz w:val="24"/>
          <w:szCs w:val="24"/>
        </w:rPr>
        <w:t>Le droit étatique postcolonial couvre du droit dit « religieux », « coutumier », et « autochtone », ainsi que du droit étatique dont l'origine historique remonte à la colonisation européenne. Dans les contextes étatiques postcoloniaux, ces sources de droit sont liées les unes aux autres. En effet, le droit étatique se réfère souvent officiellement à certaines normes religieuses ou coutumières</w:t>
      </w:r>
      <w:r w:rsidR="009F64CA" w:rsidRPr="006449A5">
        <w:rPr>
          <w:rStyle w:val="Appelnotedebasdep"/>
          <w:rFonts w:ascii="Times New Roman" w:hAnsi="Times New Roman" w:cs="Times New Roman"/>
          <w:sz w:val="24"/>
          <w:szCs w:val="24"/>
        </w:rPr>
        <w:footnoteReference w:id="26"/>
      </w:r>
      <w:r w:rsidR="009F64CA" w:rsidRPr="006449A5">
        <w:rPr>
          <w:rFonts w:ascii="Times New Roman" w:hAnsi="Times New Roman" w:cs="Times New Roman"/>
          <w:sz w:val="24"/>
          <w:szCs w:val="24"/>
        </w:rPr>
        <w:t xml:space="preserve">; les normes non étatiques peuvent être </w:t>
      </w:r>
      <w:r w:rsidR="009F64CA" w:rsidRPr="006449A5">
        <w:rPr>
          <w:rFonts w:ascii="Times New Roman" w:hAnsi="Times New Roman" w:cs="Times New Roman"/>
          <w:i/>
          <w:iCs/>
          <w:sz w:val="24"/>
          <w:szCs w:val="24"/>
        </w:rPr>
        <w:t>de facto</w:t>
      </w:r>
      <w:r w:rsidR="009F64CA" w:rsidRPr="006449A5">
        <w:rPr>
          <w:rFonts w:ascii="Times New Roman" w:hAnsi="Times New Roman" w:cs="Times New Roman"/>
          <w:sz w:val="24"/>
          <w:szCs w:val="24"/>
        </w:rPr>
        <w:t xml:space="preserve"> suivies par la population lorsque les institutions de l'État sont défaillantes, que les normes juridiques étatiques sont simplement inefficaces ; ou encore, le droit étatique postcolonial peut refléter des concepts ou des normes inspirées du droit religieux ou coutumier. En outre, l’article </w:t>
      </w:r>
      <w:r w:rsidRPr="006449A5">
        <w:rPr>
          <w:rFonts w:ascii="Times New Roman" w:hAnsi="Times New Roman" w:cs="Times New Roman"/>
          <w:sz w:val="24"/>
          <w:szCs w:val="24"/>
        </w:rPr>
        <w:t>considère spécifiquement les litiges opposant une partie originaire d’un État postcolonial à une autorité étatique européenne</w:t>
      </w:r>
      <w:r w:rsidR="009F64CA" w:rsidRPr="006449A5">
        <w:rPr>
          <w:rFonts w:ascii="Times New Roman" w:hAnsi="Times New Roman" w:cs="Times New Roman"/>
          <w:sz w:val="24"/>
          <w:szCs w:val="24"/>
        </w:rPr>
        <w:t xml:space="preserve">. </w:t>
      </w:r>
      <w:r w:rsidR="00A5158F" w:rsidRPr="006449A5">
        <w:rPr>
          <w:rFonts w:ascii="Times New Roman" w:hAnsi="Times New Roman" w:cs="Times New Roman"/>
          <w:sz w:val="24"/>
          <w:szCs w:val="24"/>
        </w:rPr>
        <w:t>Ces litiges</w:t>
      </w:r>
      <w:r w:rsidR="009F64CA" w:rsidRPr="006449A5">
        <w:rPr>
          <w:rFonts w:ascii="Times New Roman" w:hAnsi="Times New Roman" w:cs="Times New Roman"/>
          <w:sz w:val="24"/>
          <w:szCs w:val="24"/>
        </w:rPr>
        <w:t xml:space="preserve"> sont régis</w:t>
      </w:r>
      <w:r w:rsidR="002C521B" w:rsidRPr="006449A5">
        <w:rPr>
          <w:rFonts w:ascii="Times New Roman" w:hAnsi="Times New Roman" w:cs="Times New Roman"/>
          <w:sz w:val="24"/>
          <w:szCs w:val="24"/>
        </w:rPr>
        <w:t>, du moins en partie, par le DIP</w:t>
      </w:r>
      <w:r w:rsidR="009F64CA" w:rsidRPr="006449A5">
        <w:rPr>
          <w:rFonts w:ascii="Times New Roman" w:hAnsi="Times New Roman" w:cs="Times New Roman"/>
          <w:sz w:val="24"/>
          <w:szCs w:val="24"/>
        </w:rPr>
        <w:t>. Notamment</w:t>
      </w:r>
      <w:r w:rsidR="003260CF" w:rsidRPr="006449A5">
        <w:rPr>
          <w:rFonts w:ascii="Times New Roman" w:hAnsi="Times New Roman" w:cs="Times New Roman"/>
          <w:sz w:val="24"/>
          <w:szCs w:val="24"/>
        </w:rPr>
        <w:t xml:space="preserve">, ils impliquent fréquemment des questions liées à l'application du droit étranger, à la reconnaissance du statut étranger (personnel et familial) et à l'utilisation des exceptions d'ordre public (pour refuser l'application ou la reconnaissance du droit étranger). </w:t>
      </w:r>
    </w:p>
    <w:p w14:paraId="472C3989" w14:textId="5C24D359" w:rsidR="005B2F3D" w:rsidRPr="006449A5" w:rsidRDefault="00723EFC" w:rsidP="005B2F3D">
      <w:pPr>
        <w:rPr>
          <w:rFonts w:ascii="Times New Roman" w:hAnsi="Times New Roman" w:cs="Times New Roman"/>
          <w:sz w:val="24"/>
          <w:szCs w:val="24"/>
        </w:rPr>
      </w:pPr>
      <w:r w:rsidRPr="006449A5">
        <w:rPr>
          <w:rFonts w:ascii="Times New Roman" w:hAnsi="Times New Roman" w:cs="Times New Roman"/>
          <w:sz w:val="24"/>
          <w:szCs w:val="24"/>
        </w:rPr>
        <w:t>Ce type de cas a</w:t>
      </w:r>
      <w:r w:rsidR="003260CF" w:rsidRPr="006449A5">
        <w:rPr>
          <w:rFonts w:ascii="Times New Roman" w:hAnsi="Times New Roman" w:cs="Times New Roman"/>
          <w:sz w:val="24"/>
          <w:szCs w:val="24"/>
        </w:rPr>
        <w:t xml:space="preserve"> parfois été examiné dans la littérature</w:t>
      </w:r>
      <w:r w:rsidR="0062339E" w:rsidRPr="006449A5">
        <w:rPr>
          <w:rFonts w:ascii="Times New Roman" w:hAnsi="Times New Roman" w:cs="Times New Roman"/>
          <w:sz w:val="24"/>
          <w:szCs w:val="24"/>
        </w:rPr>
        <w:t>, notamment dans le contexte migratoire</w:t>
      </w:r>
      <w:r w:rsidR="0062339E" w:rsidRPr="006449A5">
        <w:rPr>
          <w:rStyle w:val="Appelnotedebasdep"/>
          <w:rFonts w:ascii="Times New Roman" w:hAnsi="Times New Roman" w:cs="Times New Roman"/>
          <w:sz w:val="24"/>
          <w:szCs w:val="24"/>
        </w:rPr>
        <w:footnoteReference w:id="27"/>
      </w:r>
      <w:r w:rsidR="0062339E" w:rsidRPr="006449A5">
        <w:rPr>
          <w:rFonts w:ascii="Times New Roman" w:hAnsi="Times New Roman" w:cs="Times New Roman"/>
          <w:sz w:val="24"/>
          <w:szCs w:val="24"/>
        </w:rPr>
        <w:t xml:space="preserve">, sans prendre </w:t>
      </w:r>
      <w:r w:rsidR="00A5158F" w:rsidRPr="006449A5">
        <w:rPr>
          <w:rFonts w:ascii="Times New Roman" w:hAnsi="Times New Roman" w:cs="Times New Roman"/>
          <w:sz w:val="24"/>
          <w:szCs w:val="24"/>
        </w:rPr>
        <w:t xml:space="preserve">spécialement en compte la </w:t>
      </w:r>
      <w:r w:rsidR="00532368" w:rsidRPr="006449A5">
        <w:rPr>
          <w:rFonts w:ascii="Times New Roman" w:hAnsi="Times New Roman" w:cs="Times New Roman"/>
          <w:sz w:val="24"/>
          <w:szCs w:val="24"/>
        </w:rPr>
        <w:t>dimension postcoloniale</w:t>
      </w:r>
      <w:r w:rsidR="0062339E" w:rsidRPr="006449A5">
        <w:rPr>
          <w:rFonts w:ascii="Times New Roman" w:hAnsi="Times New Roman" w:cs="Times New Roman"/>
          <w:sz w:val="24"/>
          <w:szCs w:val="24"/>
        </w:rPr>
        <w:t xml:space="preserve">, et surtout sans considérer le paradigme de la </w:t>
      </w:r>
      <w:proofErr w:type="spellStart"/>
      <w:r w:rsidR="0062339E" w:rsidRPr="006449A5">
        <w:rPr>
          <w:rFonts w:ascii="Times New Roman" w:hAnsi="Times New Roman" w:cs="Times New Roman"/>
          <w:sz w:val="24"/>
          <w:szCs w:val="24"/>
        </w:rPr>
        <w:t>décolonialité</w:t>
      </w:r>
      <w:proofErr w:type="spellEnd"/>
      <w:r w:rsidR="0062339E" w:rsidRPr="006449A5">
        <w:rPr>
          <w:rFonts w:ascii="Times New Roman" w:hAnsi="Times New Roman" w:cs="Times New Roman"/>
          <w:sz w:val="24"/>
          <w:szCs w:val="24"/>
        </w:rPr>
        <w:t xml:space="preserve">. Pour </w:t>
      </w:r>
      <w:r w:rsidR="00532368" w:rsidRPr="006449A5">
        <w:rPr>
          <w:rFonts w:ascii="Times New Roman" w:hAnsi="Times New Roman" w:cs="Times New Roman"/>
          <w:sz w:val="24"/>
          <w:szCs w:val="24"/>
        </w:rPr>
        <w:t>pallier</w:t>
      </w:r>
      <w:r w:rsidR="009B6E39" w:rsidRPr="006449A5">
        <w:rPr>
          <w:rFonts w:ascii="Times New Roman" w:hAnsi="Times New Roman" w:cs="Times New Roman"/>
          <w:sz w:val="24"/>
          <w:szCs w:val="24"/>
        </w:rPr>
        <w:t xml:space="preserve"> </w:t>
      </w:r>
      <w:r w:rsidR="0062339E" w:rsidRPr="006449A5">
        <w:rPr>
          <w:rFonts w:ascii="Times New Roman" w:hAnsi="Times New Roman" w:cs="Times New Roman"/>
          <w:sz w:val="24"/>
          <w:szCs w:val="24"/>
        </w:rPr>
        <w:t xml:space="preserve">cette absence théorique, cet article </w:t>
      </w:r>
      <w:r w:rsidR="005B2F3D" w:rsidRPr="006449A5">
        <w:rPr>
          <w:rFonts w:ascii="Times New Roman" w:hAnsi="Times New Roman" w:cs="Times New Roman"/>
          <w:sz w:val="24"/>
          <w:szCs w:val="24"/>
        </w:rPr>
        <w:t xml:space="preserve">propose </w:t>
      </w:r>
      <w:r w:rsidR="0059215D" w:rsidRPr="006449A5">
        <w:rPr>
          <w:rFonts w:ascii="Times New Roman" w:hAnsi="Times New Roman" w:cs="Times New Roman"/>
          <w:sz w:val="24"/>
          <w:szCs w:val="24"/>
        </w:rPr>
        <w:t>une a</w:t>
      </w:r>
      <w:r w:rsidR="005B2F3D" w:rsidRPr="006449A5">
        <w:rPr>
          <w:rFonts w:ascii="Times New Roman" w:hAnsi="Times New Roman" w:cs="Times New Roman"/>
          <w:sz w:val="24"/>
          <w:szCs w:val="24"/>
        </w:rPr>
        <w:t xml:space="preserve">nalyse </w:t>
      </w:r>
      <w:r w:rsidR="0059215D" w:rsidRPr="006449A5">
        <w:rPr>
          <w:rFonts w:ascii="Times New Roman" w:hAnsi="Times New Roman" w:cs="Times New Roman"/>
          <w:sz w:val="24"/>
          <w:szCs w:val="24"/>
        </w:rPr>
        <w:t>de ces</w:t>
      </w:r>
      <w:r w:rsidR="005B2F3D" w:rsidRPr="006449A5">
        <w:rPr>
          <w:rFonts w:ascii="Times New Roman" w:hAnsi="Times New Roman" w:cs="Times New Roman"/>
          <w:sz w:val="24"/>
          <w:szCs w:val="24"/>
        </w:rPr>
        <w:t xml:space="preserve"> cas</w:t>
      </w:r>
      <w:r w:rsidR="0059215D" w:rsidRPr="006449A5">
        <w:rPr>
          <w:rFonts w:ascii="Times New Roman" w:hAnsi="Times New Roman" w:cs="Times New Roman"/>
          <w:sz w:val="24"/>
          <w:szCs w:val="24"/>
        </w:rPr>
        <w:t>,</w:t>
      </w:r>
      <w:r w:rsidR="005B2F3D" w:rsidRPr="006449A5">
        <w:rPr>
          <w:rFonts w:ascii="Times New Roman" w:hAnsi="Times New Roman" w:cs="Times New Roman"/>
          <w:sz w:val="24"/>
          <w:szCs w:val="24"/>
        </w:rPr>
        <w:t xml:space="preserve"> inspirée par la théorie </w:t>
      </w:r>
      <w:proofErr w:type="spellStart"/>
      <w:r w:rsidR="005B2F3D" w:rsidRPr="006449A5">
        <w:rPr>
          <w:rFonts w:ascii="Times New Roman" w:hAnsi="Times New Roman" w:cs="Times New Roman"/>
          <w:sz w:val="24"/>
          <w:szCs w:val="24"/>
        </w:rPr>
        <w:t>décoloniale</w:t>
      </w:r>
      <w:proofErr w:type="spellEnd"/>
      <w:r w:rsidR="0059215D" w:rsidRPr="006449A5">
        <w:rPr>
          <w:rFonts w:ascii="Times New Roman" w:hAnsi="Times New Roman" w:cs="Times New Roman"/>
          <w:sz w:val="24"/>
          <w:szCs w:val="24"/>
        </w:rPr>
        <w:t xml:space="preserve"> (</w:t>
      </w:r>
      <w:proofErr w:type="spellStart"/>
      <w:r w:rsidR="0059215D" w:rsidRPr="006449A5">
        <w:rPr>
          <w:rFonts w:ascii="Times New Roman" w:hAnsi="Times New Roman" w:cs="Times New Roman"/>
          <w:i/>
          <w:iCs/>
          <w:sz w:val="24"/>
          <w:szCs w:val="24"/>
        </w:rPr>
        <w:t>décolonial</w:t>
      </w:r>
      <w:proofErr w:type="spellEnd"/>
      <w:r w:rsidR="0059215D" w:rsidRPr="006449A5">
        <w:rPr>
          <w:rFonts w:ascii="Times New Roman" w:hAnsi="Times New Roman" w:cs="Times New Roman"/>
          <w:i/>
          <w:iCs/>
          <w:sz w:val="24"/>
          <w:szCs w:val="24"/>
        </w:rPr>
        <w:t xml:space="preserve"> </w:t>
      </w:r>
      <w:proofErr w:type="spellStart"/>
      <w:r w:rsidR="0059215D" w:rsidRPr="006449A5">
        <w:rPr>
          <w:rFonts w:ascii="Times New Roman" w:hAnsi="Times New Roman" w:cs="Times New Roman"/>
          <w:i/>
          <w:iCs/>
          <w:sz w:val="24"/>
          <w:szCs w:val="24"/>
        </w:rPr>
        <w:t>theory</w:t>
      </w:r>
      <w:proofErr w:type="spellEnd"/>
      <w:r w:rsidR="0059215D" w:rsidRPr="006449A5">
        <w:rPr>
          <w:rFonts w:ascii="Times New Roman" w:hAnsi="Times New Roman" w:cs="Times New Roman"/>
          <w:i/>
          <w:iCs/>
          <w:sz w:val="24"/>
          <w:szCs w:val="24"/>
        </w:rPr>
        <w:t>)</w:t>
      </w:r>
      <w:r w:rsidR="007D0893" w:rsidRPr="006449A5">
        <w:rPr>
          <w:rFonts w:ascii="Times New Roman" w:hAnsi="Times New Roman" w:cs="Times New Roman"/>
          <w:sz w:val="24"/>
          <w:szCs w:val="24"/>
        </w:rPr>
        <w:t xml:space="preserve">, que </w:t>
      </w:r>
      <w:r w:rsidR="007D0893" w:rsidRPr="006449A5">
        <w:rPr>
          <w:rFonts w:ascii="Times New Roman" w:hAnsi="Times New Roman" w:cs="Times New Roman"/>
          <w:sz w:val="24"/>
          <w:szCs w:val="24"/>
        </w:rPr>
        <w:lastRenderedPageBreak/>
        <w:t xml:space="preserve">nous appellerons ici aussi « pensée </w:t>
      </w:r>
      <w:proofErr w:type="spellStart"/>
      <w:r w:rsidR="007D0893" w:rsidRPr="006449A5">
        <w:rPr>
          <w:rFonts w:ascii="Times New Roman" w:hAnsi="Times New Roman" w:cs="Times New Roman"/>
          <w:sz w:val="24"/>
          <w:szCs w:val="24"/>
        </w:rPr>
        <w:t>décoloniale</w:t>
      </w:r>
      <w:proofErr w:type="spellEnd"/>
      <w:r w:rsidR="007D0893" w:rsidRPr="006449A5">
        <w:rPr>
          <w:rFonts w:ascii="Times New Roman" w:hAnsi="Times New Roman" w:cs="Times New Roman"/>
          <w:sz w:val="24"/>
          <w:szCs w:val="24"/>
        </w:rPr>
        <w:t> »</w:t>
      </w:r>
      <w:r w:rsidR="005B2F3D" w:rsidRPr="006449A5">
        <w:rPr>
          <w:rFonts w:ascii="Times New Roman" w:hAnsi="Times New Roman" w:cs="Times New Roman"/>
          <w:sz w:val="24"/>
          <w:szCs w:val="24"/>
        </w:rPr>
        <w:t xml:space="preserve">. </w:t>
      </w:r>
      <w:r w:rsidR="0059215D" w:rsidRPr="006449A5">
        <w:rPr>
          <w:rFonts w:ascii="Times New Roman" w:hAnsi="Times New Roman" w:cs="Times New Roman"/>
          <w:sz w:val="24"/>
          <w:szCs w:val="24"/>
        </w:rPr>
        <w:t xml:space="preserve">La théorie </w:t>
      </w:r>
      <w:proofErr w:type="spellStart"/>
      <w:r w:rsidR="0059215D" w:rsidRPr="006449A5">
        <w:rPr>
          <w:rFonts w:ascii="Times New Roman" w:hAnsi="Times New Roman" w:cs="Times New Roman"/>
          <w:sz w:val="24"/>
          <w:szCs w:val="24"/>
        </w:rPr>
        <w:t>décoloniale</w:t>
      </w:r>
      <w:proofErr w:type="spellEnd"/>
      <w:r w:rsidR="00A75453" w:rsidRPr="006449A5">
        <w:rPr>
          <w:rStyle w:val="Appelnotedebasdep"/>
          <w:rFonts w:ascii="Times New Roman" w:hAnsi="Times New Roman" w:cs="Times New Roman"/>
          <w:sz w:val="24"/>
          <w:szCs w:val="24"/>
        </w:rPr>
        <w:footnoteReference w:id="28"/>
      </w:r>
      <w:r w:rsidR="005B2F3D" w:rsidRPr="006449A5">
        <w:rPr>
          <w:rFonts w:ascii="Times New Roman" w:hAnsi="Times New Roman" w:cs="Times New Roman"/>
          <w:sz w:val="24"/>
          <w:szCs w:val="24"/>
        </w:rPr>
        <w:t>, largement associée à la littérature latino-américaine, mais aussi influencée par des penseurs africains</w:t>
      </w:r>
      <w:r w:rsidR="005B2F3D" w:rsidRPr="006449A5">
        <w:rPr>
          <w:rStyle w:val="Appelnotedebasdep"/>
          <w:rFonts w:ascii="Times New Roman" w:hAnsi="Times New Roman" w:cs="Times New Roman"/>
          <w:sz w:val="24"/>
          <w:szCs w:val="24"/>
        </w:rPr>
        <w:footnoteReference w:id="29"/>
      </w:r>
      <w:r w:rsidR="005B2F3D" w:rsidRPr="006449A5">
        <w:rPr>
          <w:rFonts w:ascii="Times New Roman" w:hAnsi="Times New Roman" w:cs="Times New Roman"/>
          <w:sz w:val="24"/>
          <w:szCs w:val="24"/>
        </w:rPr>
        <w:t xml:space="preserve">, rejette l’imposition d’une vision du monde d’origine européenne à l’ensemble de la planète. </w:t>
      </w:r>
      <w:r w:rsidR="00752890" w:rsidRPr="006449A5">
        <w:rPr>
          <w:rFonts w:ascii="Times New Roman" w:hAnsi="Times New Roman" w:cs="Times New Roman"/>
          <w:sz w:val="24"/>
          <w:szCs w:val="24"/>
        </w:rPr>
        <w:t>Elle est par ailleurs orientée vers le présent et le futur, dans lequel elle prône une compensation du « différentiel de pouvoir</w:t>
      </w:r>
      <w:r w:rsidR="00752890" w:rsidRPr="006449A5">
        <w:rPr>
          <w:rStyle w:val="Appelnotedebasdep"/>
          <w:rFonts w:ascii="Times New Roman" w:hAnsi="Times New Roman" w:cs="Times New Roman"/>
          <w:sz w:val="24"/>
          <w:szCs w:val="24"/>
        </w:rPr>
        <w:footnoteReference w:id="30"/>
      </w:r>
      <w:r w:rsidR="00752890" w:rsidRPr="006449A5">
        <w:rPr>
          <w:rFonts w:ascii="Times New Roman" w:hAnsi="Times New Roman" w:cs="Times New Roman"/>
          <w:sz w:val="24"/>
          <w:szCs w:val="24"/>
        </w:rPr>
        <w:t xml:space="preserve"> » entre cette vision du monde et les perspectives des individus et communautés originaires des </w:t>
      </w:r>
      <w:r w:rsidR="002518E4" w:rsidRPr="006449A5">
        <w:rPr>
          <w:rFonts w:ascii="Times New Roman" w:hAnsi="Times New Roman" w:cs="Times New Roman"/>
          <w:sz w:val="24"/>
          <w:szCs w:val="24"/>
        </w:rPr>
        <w:t>É</w:t>
      </w:r>
      <w:r w:rsidR="00752890" w:rsidRPr="006449A5">
        <w:rPr>
          <w:rFonts w:ascii="Times New Roman" w:hAnsi="Times New Roman" w:cs="Times New Roman"/>
          <w:sz w:val="24"/>
          <w:szCs w:val="24"/>
        </w:rPr>
        <w:t>tats postcoloniaux. Cette compensation doit avoir lieu au niveau global</w:t>
      </w:r>
      <w:r w:rsidR="00752890" w:rsidRPr="006449A5">
        <w:rPr>
          <w:rStyle w:val="Appelnotedebasdep"/>
          <w:rFonts w:ascii="Times New Roman" w:hAnsi="Times New Roman" w:cs="Times New Roman"/>
          <w:sz w:val="24"/>
          <w:szCs w:val="24"/>
        </w:rPr>
        <w:footnoteReference w:id="31"/>
      </w:r>
      <w:r w:rsidR="00752890" w:rsidRPr="006449A5">
        <w:rPr>
          <w:rFonts w:ascii="Times New Roman" w:hAnsi="Times New Roman" w:cs="Times New Roman"/>
          <w:sz w:val="24"/>
          <w:szCs w:val="24"/>
        </w:rPr>
        <w:t xml:space="preserve">, c’est-à-dire aussi bien dans les </w:t>
      </w:r>
      <w:r w:rsidR="002518E4" w:rsidRPr="006449A5">
        <w:rPr>
          <w:rFonts w:ascii="Times New Roman" w:hAnsi="Times New Roman" w:cs="Times New Roman"/>
          <w:sz w:val="24"/>
          <w:szCs w:val="24"/>
        </w:rPr>
        <w:t>É</w:t>
      </w:r>
      <w:r w:rsidR="00752890" w:rsidRPr="006449A5">
        <w:rPr>
          <w:rFonts w:ascii="Times New Roman" w:hAnsi="Times New Roman" w:cs="Times New Roman"/>
          <w:sz w:val="24"/>
          <w:szCs w:val="24"/>
        </w:rPr>
        <w:t xml:space="preserve">tats postcoloniaux qu’au niveau international et dans les </w:t>
      </w:r>
      <w:r w:rsidR="002518E4" w:rsidRPr="006449A5">
        <w:rPr>
          <w:rFonts w:ascii="Times New Roman" w:hAnsi="Times New Roman" w:cs="Times New Roman"/>
          <w:sz w:val="24"/>
          <w:szCs w:val="24"/>
        </w:rPr>
        <w:t>É</w:t>
      </w:r>
      <w:r w:rsidR="00752890" w:rsidRPr="006449A5">
        <w:rPr>
          <w:rFonts w:ascii="Times New Roman" w:hAnsi="Times New Roman" w:cs="Times New Roman"/>
          <w:sz w:val="24"/>
          <w:szCs w:val="24"/>
        </w:rPr>
        <w:t xml:space="preserve">tats européens. </w:t>
      </w:r>
    </w:p>
    <w:p w14:paraId="31A764DD" w14:textId="36F34FC6" w:rsidR="004057CC" w:rsidRPr="006449A5" w:rsidRDefault="007D2776">
      <w:pPr>
        <w:rPr>
          <w:rFonts w:ascii="Times New Roman" w:hAnsi="Times New Roman" w:cs="Times New Roman"/>
          <w:sz w:val="24"/>
          <w:szCs w:val="24"/>
        </w:rPr>
      </w:pPr>
      <w:r w:rsidRPr="006449A5">
        <w:rPr>
          <w:rFonts w:ascii="Times New Roman" w:hAnsi="Times New Roman" w:cs="Times New Roman"/>
          <w:sz w:val="24"/>
          <w:szCs w:val="24"/>
        </w:rPr>
        <w:t xml:space="preserve">Pour ce faire, </w:t>
      </w:r>
      <w:r w:rsidR="005B2F3D" w:rsidRPr="006449A5">
        <w:rPr>
          <w:rFonts w:ascii="Times New Roman" w:hAnsi="Times New Roman" w:cs="Times New Roman"/>
          <w:sz w:val="24"/>
          <w:szCs w:val="24"/>
        </w:rPr>
        <w:t>l’article procède en deux temps. Da</w:t>
      </w:r>
      <w:r w:rsidR="0026705E" w:rsidRPr="006449A5">
        <w:rPr>
          <w:rFonts w:ascii="Times New Roman" w:hAnsi="Times New Roman" w:cs="Times New Roman"/>
          <w:sz w:val="24"/>
          <w:szCs w:val="24"/>
        </w:rPr>
        <w:t>ns une première partie</w:t>
      </w:r>
      <w:r w:rsidR="00196BD7" w:rsidRPr="006449A5">
        <w:rPr>
          <w:rFonts w:ascii="Times New Roman" w:hAnsi="Times New Roman" w:cs="Times New Roman"/>
          <w:sz w:val="24"/>
          <w:szCs w:val="24"/>
        </w:rPr>
        <w:t xml:space="preserve"> </w:t>
      </w:r>
      <w:r w:rsidR="00196BD7" w:rsidRPr="006449A5">
        <w:rPr>
          <w:rFonts w:ascii="Times New Roman" w:hAnsi="Times New Roman" w:cs="Times New Roman"/>
          <w:b/>
          <w:bCs/>
          <w:sz w:val="24"/>
          <w:szCs w:val="24"/>
        </w:rPr>
        <w:t>(</w:t>
      </w:r>
      <w:r w:rsidR="004A2030" w:rsidRPr="006449A5">
        <w:rPr>
          <w:rFonts w:ascii="Times New Roman" w:hAnsi="Times New Roman" w:cs="Times New Roman"/>
          <w:b/>
          <w:bCs/>
          <w:sz w:val="24"/>
          <w:szCs w:val="24"/>
        </w:rPr>
        <w:t>Premier Titre</w:t>
      </w:r>
      <w:r w:rsidR="00196BD7" w:rsidRPr="006449A5">
        <w:rPr>
          <w:rFonts w:ascii="Times New Roman" w:hAnsi="Times New Roman" w:cs="Times New Roman"/>
          <w:b/>
          <w:bCs/>
          <w:sz w:val="24"/>
          <w:szCs w:val="24"/>
        </w:rPr>
        <w:t>)</w:t>
      </w:r>
      <w:r w:rsidR="0026705E" w:rsidRPr="006449A5">
        <w:rPr>
          <w:rFonts w:ascii="Times New Roman" w:hAnsi="Times New Roman" w:cs="Times New Roman"/>
          <w:sz w:val="24"/>
          <w:szCs w:val="24"/>
        </w:rPr>
        <w:t xml:space="preserve">, </w:t>
      </w:r>
      <w:r w:rsidR="005B2F3D" w:rsidRPr="006449A5">
        <w:rPr>
          <w:rFonts w:ascii="Times New Roman" w:hAnsi="Times New Roman" w:cs="Times New Roman"/>
          <w:sz w:val="24"/>
          <w:szCs w:val="24"/>
        </w:rPr>
        <w:t>il développe les résultats de recherche explicités dans deux articles précédents</w:t>
      </w:r>
      <w:r w:rsidR="005B2F3D" w:rsidRPr="006449A5">
        <w:rPr>
          <w:rStyle w:val="Appelnotedebasdep"/>
          <w:rFonts w:ascii="Times New Roman" w:hAnsi="Times New Roman" w:cs="Times New Roman"/>
          <w:sz w:val="24"/>
          <w:szCs w:val="24"/>
        </w:rPr>
        <w:footnoteReference w:id="32"/>
      </w:r>
      <w:r w:rsidR="00B3443E" w:rsidRPr="006449A5">
        <w:rPr>
          <w:rFonts w:ascii="Times New Roman" w:hAnsi="Times New Roman" w:cs="Times New Roman"/>
          <w:sz w:val="24"/>
          <w:szCs w:val="24"/>
        </w:rPr>
        <w:t xml:space="preserve"> afin de poser les jalons d’un cadre théorique </w:t>
      </w:r>
      <w:proofErr w:type="spellStart"/>
      <w:r w:rsidR="00B3443E" w:rsidRPr="006449A5">
        <w:rPr>
          <w:rFonts w:ascii="Times New Roman" w:hAnsi="Times New Roman" w:cs="Times New Roman"/>
          <w:sz w:val="24"/>
          <w:szCs w:val="24"/>
        </w:rPr>
        <w:t>décolonial</w:t>
      </w:r>
      <w:proofErr w:type="spellEnd"/>
      <w:r w:rsidR="00B3443E" w:rsidRPr="006449A5">
        <w:rPr>
          <w:rFonts w:ascii="Times New Roman" w:hAnsi="Times New Roman" w:cs="Times New Roman"/>
          <w:sz w:val="24"/>
          <w:szCs w:val="24"/>
        </w:rPr>
        <w:t xml:space="preserve"> pouvant s’appliquer </w:t>
      </w:r>
      <w:r w:rsidR="00F609EE" w:rsidRPr="006449A5">
        <w:rPr>
          <w:rFonts w:ascii="Times New Roman" w:hAnsi="Times New Roman" w:cs="Times New Roman"/>
          <w:sz w:val="24"/>
          <w:szCs w:val="24"/>
        </w:rPr>
        <w:t xml:space="preserve">aux questions de DIP dans </w:t>
      </w:r>
      <w:r w:rsidR="00752890" w:rsidRPr="006449A5">
        <w:rPr>
          <w:rFonts w:ascii="Times New Roman" w:hAnsi="Times New Roman" w:cs="Times New Roman"/>
          <w:sz w:val="24"/>
          <w:szCs w:val="24"/>
        </w:rPr>
        <w:t>le type de cas étudié</w:t>
      </w:r>
      <w:r w:rsidR="00F609EE" w:rsidRPr="006449A5">
        <w:rPr>
          <w:rFonts w:ascii="Times New Roman" w:hAnsi="Times New Roman" w:cs="Times New Roman"/>
          <w:sz w:val="24"/>
          <w:szCs w:val="24"/>
        </w:rPr>
        <w:t xml:space="preserve">. </w:t>
      </w:r>
      <w:r w:rsidR="002518E4" w:rsidRPr="006449A5">
        <w:rPr>
          <w:rFonts w:ascii="Times New Roman" w:hAnsi="Times New Roman" w:cs="Times New Roman"/>
          <w:sz w:val="24"/>
          <w:szCs w:val="24"/>
        </w:rPr>
        <w:t>Les limites de ce cadre seront identifiées, notamment celles résultant du point de vue nécessairement situé de l’auteure, chercheuse européenne, s’intéressant au droit européen par le prisme juridique</w:t>
      </w:r>
      <w:r w:rsidR="00B3443E" w:rsidRPr="006449A5">
        <w:rPr>
          <w:rFonts w:ascii="Times New Roman" w:hAnsi="Times New Roman" w:cs="Times New Roman"/>
          <w:sz w:val="24"/>
          <w:szCs w:val="24"/>
        </w:rPr>
        <w:t xml:space="preserve">. </w:t>
      </w:r>
      <w:r w:rsidR="00196BD7" w:rsidRPr="006449A5">
        <w:rPr>
          <w:rFonts w:ascii="Times New Roman" w:hAnsi="Times New Roman" w:cs="Times New Roman"/>
          <w:sz w:val="24"/>
          <w:szCs w:val="24"/>
        </w:rPr>
        <w:t xml:space="preserve">Dans une seconde partie </w:t>
      </w:r>
      <w:r w:rsidR="00196BD7" w:rsidRPr="006449A5">
        <w:rPr>
          <w:rFonts w:ascii="Times New Roman" w:hAnsi="Times New Roman" w:cs="Times New Roman"/>
          <w:b/>
          <w:bCs/>
          <w:sz w:val="24"/>
          <w:szCs w:val="24"/>
        </w:rPr>
        <w:t>(</w:t>
      </w:r>
      <w:r w:rsidR="004A2030" w:rsidRPr="006449A5">
        <w:rPr>
          <w:rFonts w:ascii="Times New Roman" w:hAnsi="Times New Roman" w:cs="Times New Roman"/>
          <w:b/>
          <w:bCs/>
          <w:sz w:val="24"/>
          <w:szCs w:val="24"/>
        </w:rPr>
        <w:t>Second Titre</w:t>
      </w:r>
      <w:r w:rsidR="00196BD7" w:rsidRPr="006449A5">
        <w:rPr>
          <w:rFonts w:ascii="Times New Roman" w:hAnsi="Times New Roman" w:cs="Times New Roman"/>
          <w:b/>
          <w:bCs/>
          <w:sz w:val="24"/>
          <w:szCs w:val="24"/>
        </w:rPr>
        <w:t>)</w:t>
      </w:r>
      <w:r w:rsidR="00196BD7" w:rsidRPr="006449A5">
        <w:rPr>
          <w:rFonts w:ascii="Times New Roman" w:hAnsi="Times New Roman" w:cs="Times New Roman"/>
          <w:sz w:val="24"/>
          <w:szCs w:val="24"/>
        </w:rPr>
        <w:t xml:space="preserve">, </w:t>
      </w:r>
      <w:r w:rsidR="00B3443E" w:rsidRPr="006449A5">
        <w:rPr>
          <w:rFonts w:ascii="Times New Roman" w:hAnsi="Times New Roman" w:cs="Times New Roman"/>
          <w:sz w:val="24"/>
          <w:szCs w:val="24"/>
        </w:rPr>
        <w:t xml:space="preserve">le cadre théorique ainsi défini est utilisé pour analyser trois cas venant respectivement de France, de Belgique et de </w:t>
      </w:r>
      <w:r w:rsidR="002518E4" w:rsidRPr="006449A5">
        <w:rPr>
          <w:rFonts w:ascii="Times New Roman" w:hAnsi="Times New Roman" w:cs="Times New Roman"/>
          <w:sz w:val="24"/>
          <w:szCs w:val="24"/>
        </w:rPr>
        <w:t>G</w:t>
      </w:r>
      <w:r w:rsidR="00B3443E" w:rsidRPr="006449A5">
        <w:rPr>
          <w:rFonts w:ascii="Times New Roman" w:hAnsi="Times New Roman" w:cs="Times New Roman"/>
          <w:sz w:val="24"/>
          <w:szCs w:val="24"/>
        </w:rPr>
        <w:t xml:space="preserve">rande-Bretagne, trois importantes anciennes puissances coloniales. </w:t>
      </w:r>
      <w:r w:rsidR="000E44D2" w:rsidRPr="006449A5">
        <w:rPr>
          <w:rFonts w:ascii="Times New Roman" w:hAnsi="Times New Roman" w:cs="Times New Roman"/>
          <w:sz w:val="24"/>
          <w:szCs w:val="24"/>
        </w:rPr>
        <w:t>L’article met ainsi en évidence</w:t>
      </w:r>
      <w:r w:rsidR="002518E4" w:rsidRPr="006449A5">
        <w:rPr>
          <w:rFonts w:ascii="Times New Roman" w:hAnsi="Times New Roman" w:cs="Times New Roman"/>
          <w:sz w:val="24"/>
          <w:szCs w:val="24"/>
        </w:rPr>
        <w:t xml:space="preserve"> les éléments</w:t>
      </w:r>
      <w:r w:rsidR="00712393" w:rsidRPr="006449A5">
        <w:rPr>
          <w:rFonts w:ascii="Times New Roman" w:hAnsi="Times New Roman" w:cs="Times New Roman"/>
          <w:sz w:val="24"/>
          <w:szCs w:val="24"/>
        </w:rPr>
        <w:t xml:space="preserve"> du raisonnement</w:t>
      </w:r>
      <w:r w:rsidR="002518E4" w:rsidRPr="006449A5">
        <w:rPr>
          <w:rFonts w:ascii="Times New Roman" w:hAnsi="Times New Roman" w:cs="Times New Roman"/>
          <w:sz w:val="24"/>
          <w:szCs w:val="24"/>
        </w:rPr>
        <w:t xml:space="preserve"> juridique qui y </w:t>
      </w:r>
      <w:r w:rsidR="000E44D2" w:rsidRPr="006449A5">
        <w:rPr>
          <w:rFonts w:ascii="Times New Roman" w:hAnsi="Times New Roman" w:cs="Times New Roman"/>
          <w:sz w:val="24"/>
          <w:szCs w:val="24"/>
        </w:rPr>
        <w:t>apparaissent plus ou moins compatible</w:t>
      </w:r>
      <w:r w:rsidR="00712393" w:rsidRPr="006449A5">
        <w:rPr>
          <w:rFonts w:ascii="Times New Roman" w:hAnsi="Times New Roman" w:cs="Times New Roman"/>
          <w:sz w:val="24"/>
          <w:szCs w:val="24"/>
        </w:rPr>
        <w:t>s</w:t>
      </w:r>
      <w:r w:rsidR="000E44D2" w:rsidRPr="006449A5">
        <w:rPr>
          <w:rFonts w:ascii="Times New Roman" w:hAnsi="Times New Roman" w:cs="Times New Roman"/>
          <w:sz w:val="24"/>
          <w:szCs w:val="24"/>
        </w:rPr>
        <w:t xml:space="preserve"> avec la </w:t>
      </w:r>
      <w:proofErr w:type="spellStart"/>
      <w:r w:rsidR="000E44D2" w:rsidRPr="006449A5">
        <w:rPr>
          <w:rFonts w:ascii="Times New Roman" w:hAnsi="Times New Roman" w:cs="Times New Roman"/>
          <w:sz w:val="24"/>
          <w:szCs w:val="24"/>
        </w:rPr>
        <w:t>décolonialité</w:t>
      </w:r>
      <w:proofErr w:type="spellEnd"/>
      <w:r w:rsidR="000E44D2" w:rsidRPr="006449A5">
        <w:rPr>
          <w:rFonts w:ascii="Times New Roman" w:hAnsi="Times New Roman" w:cs="Times New Roman"/>
          <w:sz w:val="24"/>
          <w:szCs w:val="24"/>
        </w:rPr>
        <w:t xml:space="preserve">. Le but de cet exercice est </w:t>
      </w:r>
      <w:r w:rsidR="0059215D" w:rsidRPr="006449A5">
        <w:rPr>
          <w:rFonts w:ascii="Times New Roman" w:hAnsi="Times New Roman" w:cs="Times New Roman"/>
          <w:sz w:val="24"/>
          <w:szCs w:val="24"/>
        </w:rPr>
        <w:t xml:space="preserve">de </w:t>
      </w:r>
      <w:r w:rsidR="00712393" w:rsidRPr="006449A5">
        <w:rPr>
          <w:rFonts w:ascii="Times New Roman" w:hAnsi="Times New Roman" w:cs="Times New Roman"/>
          <w:sz w:val="24"/>
          <w:szCs w:val="24"/>
        </w:rPr>
        <w:t>préciser</w:t>
      </w:r>
      <w:r w:rsidR="0059215D" w:rsidRPr="006449A5">
        <w:rPr>
          <w:rFonts w:ascii="Times New Roman" w:hAnsi="Times New Roman" w:cs="Times New Roman"/>
          <w:sz w:val="24"/>
          <w:szCs w:val="24"/>
        </w:rPr>
        <w:t xml:space="preserve"> le cadre théorique prédéfini, afin </w:t>
      </w:r>
      <w:r w:rsidR="000E44D2" w:rsidRPr="006449A5">
        <w:rPr>
          <w:rFonts w:ascii="Times New Roman" w:hAnsi="Times New Roman" w:cs="Times New Roman"/>
          <w:sz w:val="24"/>
          <w:szCs w:val="24"/>
        </w:rPr>
        <w:t xml:space="preserve">d’ouvrir la voie au développement d’une boite à outils permettant aux juges étatiques européens d’appliquer un raisonnement le plus inclusif possible des considérations </w:t>
      </w:r>
      <w:proofErr w:type="spellStart"/>
      <w:r w:rsidR="000E44D2" w:rsidRPr="006449A5">
        <w:rPr>
          <w:rFonts w:ascii="Times New Roman" w:hAnsi="Times New Roman" w:cs="Times New Roman"/>
          <w:sz w:val="24"/>
          <w:szCs w:val="24"/>
        </w:rPr>
        <w:t>décoloniales</w:t>
      </w:r>
      <w:proofErr w:type="spellEnd"/>
      <w:r w:rsidR="000E44D2" w:rsidRPr="006449A5">
        <w:rPr>
          <w:rFonts w:ascii="Times New Roman" w:hAnsi="Times New Roman" w:cs="Times New Roman"/>
          <w:sz w:val="24"/>
          <w:szCs w:val="24"/>
        </w:rPr>
        <w:t xml:space="preserve">. </w:t>
      </w:r>
      <w:r w:rsidR="00712393" w:rsidRPr="006449A5">
        <w:rPr>
          <w:rFonts w:ascii="Times New Roman" w:hAnsi="Times New Roman" w:cs="Times New Roman"/>
          <w:sz w:val="24"/>
          <w:szCs w:val="24"/>
        </w:rPr>
        <w:t xml:space="preserve">La </w:t>
      </w:r>
      <w:r w:rsidR="0059215D" w:rsidRPr="006449A5">
        <w:rPr>
          <w:rFonts w:ascii="Times New Roman" w:hAnsi="Times New Roman" w:cs="Times New Roman"/>
          <w:sz w:val="24"/>
          <w:szCs w:val="24"/>
        </w:rPr>
        <w:t>boite à outils</w:t>
      </w:r>
      <w:r w:rsidR="00712393" w:rsidRPr="006449A5">
        <w:rPr>
          <w:rFonts w:ascii="Times New Roman" w:hAnsi="Times New Roman" w:cs="Times New Roman"/>
          <w:sz w:val="24"/>
          <w:szCs w:val="24"/>
        </w:rPr>
        <w:t xml:space="preserve"> devra en effet résulter de l’étude de nombreux cas, à réaliser dans le futur. Elle devra par ailleurs être adaptée en fonction d’études de terrain, impliquant les parties venant d’Etats postcoloniaux, permettant de prendre en compte leur voix – études que nous entreprendrons également. </w:t>
      </w:r>
    </w:p>
    <w:p w14:paraId="1CCABF08" w14:textId="6F49C300" w:rsidR="00532368" w:rsidRPr="006449A5" w:rsidRDefault="0059215D">
      <w:pPr>
        <w:rPr>
          <w:rFonts w:ascii="Times New Roman" w:hAnsi="Times New Roman" w:cs="Times New Roman"/>
          <w:sz w:val="24"/>
          <w:szCs w:val="24"/>
        </w:rPr>
      </w:pPr>
      <w:r w:rsidRPr="006449A5">
        <w:rPr>
          <w:rFonts w:ascii="Times New Roman" w:hAnsi="Times New Roman" w:cs="Times New Roman"/>
          <w:sz w:val="24"/>
          <w:szCs w:val="24"/>
        </w:rPr>
        <w:t>Le choix de cette méthodologie</w:t>
      </w:r>
      <w:r w:rsidR="009173AC" w:rsidRPr="006449A5">
        <w:rPr>
          <w:rFonts w:ascii="Times New Roman" w:hAnsi="Times New Roman" w:cs="Times New Roman"/>
          <w:sz w:val="24"/>
          <w:szCs w:val="24"/>
        </w:rPr>
        <w:t xml:space="preserve"> reflète les considérations </w:t>
      </w:r>
      <w:proofErr w:type="spellStart"/>
      <w:r w:rsidR="009173AC" w:rsidRPr="006449A5">
        <w:rPr>
          <w:rFonts w:ascii="Times New Roman" w:hAnsi="Times New Roman" w:cs="Times New Roman"/>
          <w:sz w:val="24"/>
          <w:szCs w:val="24"/>
        </w:rPr>
        <w:t>décoloniales</w:t>
      </w:r>
      <w:proofErr w:type="spellEnd"/>
      <w:r w:rsidRPr="006449A5">
        <w:rPr>
          <w:rFonts w:ascii="Times New Roman" w:hAnsi="Times New Roman" w:cs="Times New Roman"/>
          <w:sz w:val="24"/>
          <w:szCs w:val="24"/>
        </w:rPr>
        <w:t>. En effet,</w:t>
      </w:r>
      <w:r w:rsidR="009173AC" w:rsidRPr="006449A5">
        <w:rPr>
          <w:rFonts w:ascii="Times New Roman" w:hAnsi="Times New Roman" w:cs="Times New Roman"/>
          <w:sz w:val="24"/>
          <w:szCs w:val="24"/>
        </w:rPr>
        <w:t xml:space="preserve"> </w:t>
      </w:r>
      <w:r w:rsidRPr="006449A5">
        <w:rPr>
          <w:rFonts w:ascii="Times New Roman" w:hAnsi="Times New Roman" w:cs="Times New Roman"/>
          <w:sz w:val="24"/>
          <w:szCs w:val="24"/>
        </w:rPr>
        <w:t>contrairement à d’autres</w:t>
      </w:r>
      <w:r w:rsidR="009173AC" w:rsidRPr="006449A5">
        <w:rPr>
          <w:rFonts w:ascii="Times New Roman" w:hAnsi="Times New Roman" w:cs="Times New Roman"/>
          <w:sz w:val="24"/>
          <w:szCs w:val="24"/>
        </w:rPr>
        <w:t xml:space="preserve"> méthodes juridiques, l’étude de cas permet de prendre en compte les particularités propres à chaque situation – notamment, le pays postcolonial considéré, le type de normes postcoloniales concernées, </w:t>
      </w:r>
      <w:r w:rsidR="00896B0E" w:rsidRPr="006449A5">
        <w:rPr>
          <w:rFonts w:ascii="Times New Roman" w:hAnsi="Times New Roman" w:cs="Times New Roman"/>
          <w:sz w:val="24"/>
          <w:szCs w:val="24"/>
        </w:rPr>
        <w:t xml:space="preserve">ou </w:t>
      </w:r>
      <w:r w:rsidR="009173AC" w:rsidRPr="006449A5">
        <w:rPr>
          <w:rFonts w:ascii="Times New Roman" w:hAnsi="Times New Roman" w:cs="Times New Roman"/>
          <w:sz w:val="24"/>
          <w:szCs w:val="24"/>
        </w:rPr>
        <w:t xml:space="preserve">la position des parties postcoloniales face à ses normes (car </w:t>
      </w:r>
      <w:r w:rsidR="009173AC" w:rsidRPr="006449A5">
        <w:rPr>
          <w:rFonts w:ascii="Times New Roman" w:hAnsi="Times New Roman" w:cs="Times New Roman"/>
          <w:sz w:val="24"/>
          <w:szCs w:val="24"/>
        </w:rPr>
        <w:lastRenderedPageBreak/>
        <w:t>elles pourraient somme toute vouloir s’en défaire et préférer la loi du for étatique européen</w:t>
      </w:r>
      <w:r w:rsidR="009173AC" w:rsidRPr="006449A5">
        <w:rPr>
          <w:rStyle w:val="Appelnotedebasdep"/>
          <w:rFonts w:ascii="Times New Roman" w:hAnsi="Times New Roman" w:cs="Times New Roman"/>
          <w:sz w:val="24"/>
          <w:szCs w:val="24"/>
        </w:rPr>
        <w:footnoteReference w:id="33"/>
      </w:r>
      <w:r w:rsidR="009173AC" w:rsidRPr="006449A5">
        <w:rPr>
          <w:rFonts w:ascii="Times New Roman" w:hAnsi="Times New Roman" w:cs="Times New Roman"/>
          <w:sz w:val="24"/>
          <w:szCs w:val="24"/>
        </w:rPr>
        <w:t>)</w:t>
      </w:r>
      <w:r w:rsidR="00896B0E" w:rsidRPr="006449A5">
        <w:rPr>
          <w:rFonts w:ascii="Times New Roman" w:hAnsi="Times New Roman" w:cs="Times New Roman"/>
          <w:sz w:val="24"/>
          <w:szCs w:val="24"/>
        </w:rPr>
        <w:t xml:space="preserve">. </w:t>
      </w:r>
      <w:r w:rsidR="007D3F30" w:rsidRPr="006449A5">
        <w:rPr>
          <w:rFonts w:ascii="Times New Roman" w:hAnsi="Times New Roman" w:cs="Times New Roman"/>
          <w:sz w:val="24"/>
          <w:szCs w:val="24"/>
        </w:rPr>
        <w:t>Sur cette base, une</w:t>
      </w:r>
      <w:r w:rsidR="00896B0E" w:rsidRPr="006449A5">
        <w:rPr>
          <w:rFonts w:ascii="Times New Roman" w:hAnsi="Times New Roman" w:cs="Times New Roman"/>
          <w:sz w:val="24"/>
          <w:szCs w:val="24"/>
        </w:rPr>
        <w:t xml:space="preserve"> théorie peut être élaborée, d’une manière qui se rapproche sans doute de la théorie ancrée en sciences sociale</w:t>
      </w:r>
      <w:r w:rsidR="00896B0E" w:rsidRPr="006449A5">
        <w:rPr>
          <w:rStyle w:val="Appelnotedebasdep"/>
          <w:rFonts w:ascii="Times New Roman" w:hAnsi="Times New Roman" w:cs="Times New Roman"/>
          <w:sz w:val="24"/>
          <w:szCs w:val="24"/>
        </w:rPr>
        <w:footnoteReference w:id="34"/>
      </w:r>
      <w:r w:rsidR="00896B0E" w:rsidRPr="006449A5">
        <w:rPr>
          <w:rFonts w:ascii="Times New Roman" w:hAnsi="Times New Roman" w:cs="Times New Roman"/>
          <w:sz w:val="24"/>
          <w:szCs w:val="24"/>
        </w:rPr>
        <w:t xml:space="preserve">. </w:t>
      </w:r>
      <w:r w:rsidR="007D3F30" w:rsidRPr="006449A5">
        <w:rPr>
          <w:rFonts w:ascii="Times New Roman" w:hAnsi="Times New Roman" w:cs="Times New Roman"/>
          <w:sz w:val="24"/>
          <w:szCs w:val="24"/>
        </w:rPr>
        <w:t>Cependant, la</w:t>
      </w:r>
      <w:r w:rsidR="00896B0E" w:rsidRPr="006449A5">
        <w:rPr>
          <w:rFonts w:ascii="Times New Roman" w:hAnsi="Times New Roman" w:cs="Times New Roman"/>
          <w:sz w:val="24"/>
          <w:szCs w:val="24"/>
        </w:rPr>
        <w:t xml:space="preserve"> </w:t>
      </w:r>
      <w:proofErr w:type="spellStart"/>
      <w:r w:rsidR="00896B0E" w:rsidRPr="006449A5">
        <w:rPr>
          <w:rFonts w:ascii="Times New Roman" w:hAnsi="Times New Roman" w:cs="Times New Roman"/>
          <w:sz w:val="24"/>
          <w:szCs w:val="24"/>
        </w:rPr>
        <w:t>décolonialité</w:t>
      </w:r>
      <w:proofErr w:type="spellEnd"/>
      <w:r w:rsidR="00896B0E" w:rsidRPr="006449A5">
        <w:rPr>
          <w:rFonts w:ascii="Times New Roman" w:hAnsi="Times New Roman" w:cs="Times New Roman"/>
          <w:sz w:val="24"/>
          <w:szCs w:val="24"/>
        </w:rPr>
        <w:t xml:space="preserve"> demanderait certainement l’élaboration d’une méthode interdisciplinaire pour repenser le droit en Europe</w:t>
      </w:r>
      <w:r w:rsidR="00814ACE" w:rsidRPr="006449A5">
        <w:rPr>
          <w:rStyle w:val="Appelnotedebasdep"/>
          <w:rFonts w:ascii="Times New Roman" w:hAnsi="Times New Roman" w:cs="Times New Roman"/>
          <w:sz w:val="24"/>
          <w:szCs w:val="24"/>
        </w:rPr>
        <w:footnoteReference w:id="35"/>
      </w:r>
      <w:r w:rsidR="007D3F30" w:rsidRPr="006449A5">
        <w:rPr>
          <w:rFonts w:ascii="Times New Roman" w:hAnsi="Times New Roman" w:cs="Times New Roman"/>
          <w:sz w:val="24"/>
          <w:szCs w:val="24"/>
        </w:rPr>
        <w:t xml:space="preserve">. S’il </w:t>
      </w:r>
      <w:r w:rsidR="00896B0E" w:rsidRPr="006449A5">
        <w:rPr>
          <w:rFonts w:ascii="Times New Roman" w:hAnsi="Times New Roman" w:cs="Times New Roman"/>
          <w:sz w:val="24"/>
          <w:szCs w:val="24"/>
        </w:rPr>
        <w:t>nous a paru trop ambitieux de rajouter cette ligne à l’agenda de la présente recherche</w:t>
      </w:r>
      <w:r w:rsidR="007D3F30" w:rsidRPr="006449A5">
        <w:rPr>
          <w:rFonts w:ascii="Times New Roman" w:hAnsi="Times New Roman" w:cs="Times New Roman"/>
          <w:sz w:val="24"/>
          <w:szCs w:val="24"/>
        </w:rPr>
        <w:t>, elle fera l’objet d’une prochaine étude</w:t>
      </w:r>
      <w:r w:rsidR="00896B0E" w:rsidRPr="006449A5">
        <w:rPr>
          <w:rFonts w:ascii="Times New Roman" w:hAnsi="Times New Roman" w:cs="Times New Roman"/>
          <w:sz w:val="24"/>
          <w:szCs w:val="24"/>
        </w:rPr>
        <w:t>. De même, il faut insister sur la caractère illustratif et tout à fait parcellaire des cas choisis</w:t>
      </w:r>
      <w:r w:rsidR="007D3F30" w:rsidRPr="006449A5">
        <w:rPr>
          <w:rFonts w:ascii="Times New Roman" w:hAnsi="Times New Roman" w:cs="Times New Roman"/>
          <w:sz w:val="24"/>
          <w:szCs w:val="24"/>
        </w:rPr>
        <w:t>. C</w:t>
      </w:r>
      <w:r w:rsidR="004057CC" w:rsidRPr="006449A5">
        <w:rPr>
          <w:rFonts w:ascii="Times New Roman" w:hAnsi="Times New Roman" w:cs="Times New Roman"/>
          <w:sz w:val="24"/>
          <w:szCs w:val="24"/>
        </w:rPr>
        <w:t xml:space="preserve">et article est un appel à la multiplication d’études de cas pour constituer progressivement un cadre </w:t>
      </w:r>
      <w:proofErr w:type="spellStart"/>
      <w:r w:rsidR="004057CC" w:rsidRPr="006449A5">
        <w:rPr>
          <w:rFonts w:ascii="Times New Roman" w:hAnsi="Times New Roman" w:cs="Times New Roman"/>
          <w:sz w:val="24"/>
          <w:szCs w:val="24"/>
        </w:rPr>
        <w:t>décolonial</w:t>
      </w:r>
      <w:proofErr w:type="spellEnd"/>
      <w:r w:rsidR="00766E8A">
        <w:rPr>
          <w:rFonts w:ascii="Times New Roman" w:hAnsi="Times New Roman" w:cs="Times New Roman"/>
          <w:sz w:val="24"/>
          <w:szCs w:val="24"/>
        </w:rPr>
        <w:t xml:space="preserve">, à la fois pour ce qui concerne les litiges opposant une partie postcoloniale à une autorité étatique européenne et ceux impliquant uniquement </w:t>
      </w:r>
      <w:r w:rsidR="00766E8A" w:rsidRPr="00766E8A">
        <w:rPr>
          <w:rFonts w:ascii="Times New Roman" w:hAnsi="Times New Roman" w:cs="Times New Roman"/>
          <w:sz w:val="24"/>
          <w:szCs w:val="24"/>
        </w:rPr>
        <w:t>des parties privées (venant toutes du même Etat postcolonial ou non).</w:t>
      </w:r>
      <w:r w:rsidR="004057CC" w:rsidRPr="006449A5">
        <w:rPr>
          <w:rFonts w:ascii="Times New Roman" w:hAnsi="Times New Roman" w:cs="Times New Roman"/>
          <w:sz w:val="24"/>
          <w:szCs w:val="24"/>
        </w:rPr>
        <w:t xml:space="preserve"> </w:t>
      </w:r>
      <w:r w:rsidR="007D3F30" w:rsidRPr="006449A5">
        <w:rPr>
          <w:rFonts w:ascii="Times New Roman" w:hAnsi="Times New Roman" w:cs="Times New Roman"/>
          <w:sz w:val="24"/>
          <w:szCs w:val="24"/>
        </w:rPr>
        <w:t>L</w:t>
      </w:r>
      <w:r w:rsidR="00615022" w:rsidRPr="006449A5">
        <w:rPr>
          <w:rFonts w:ascii="Times New Roman" w:hAnsi="Times New Roman" w:cs="Times New Roman"/>
          <w:sz w:val="24"/>
          <w:szCs w:val="24"/>
        </w:rPr>
        <w:t xml:space="preserve">es cas ont été choisis pour illustrer la plus grande diversité possible de questions </w:t>
      </w:r>
      <w:proofErr w:type="spellStart"/>
      <w:r w:rsidR="00615022" w:rsidRPr="006449A5">
        <w:rPr>
          <w:rFonts w:ascii="Times New Roman" w:hAnsi="Times New Roman" w:cs="Times New Roman"/>
          <w:sz w:val="24"/>
          <w:szCs w:val="24"/>
        </w:rPr>
        <w:t>décoloniales</w:t>
      </w:r>
      <w:proofErr w:type="spellEnd"/>
      <w:r w:rsidR="00615022" w:rsidRPr="006449A5">
        <w:rPr>
          <w:rFonts w:ascii="Times New Roman" w:hAnsi="Times New Roman" w:cs="Times New Roman"/>
          <w:sz w:val="24"/>
          <w:szCs w:val="24"/>
        </w:rPr>
        <w:t xml:space="preserve">, tout en étant alignés sur nos meilleures connaissances linguistiques et juridiques. </w:t>
      </w:r>
      <w:r w:rsidR="00F609EE" w:rsidRPr="006449A5">
        <w:rPr>
          <w:rFonts w:ascii="Times New Roman" w:hAnsi="Times New Roman" w:cs="Times New Roman"/>
          <w:sz w:val="24"/>
          <w:szCs w:val="24"/>
        </w:rPr>
        <w:t xml:space="preserve">Ils reflètent par ailleurs une variété de questions de DIP et de domaines en matière personnelle et familiale </w:t>
      </w:r>
      <w:r w:rsidR="007D3F30" w:rsidRPr="006449A5">
        <w:rPr>
          <w:rFonts w:ascii="Times New Roman" w:hAnsi="Times New Roman" w:cs="Times New Roman"/>
          <w:sz w:val="24"/>
          <w:szCs w:val="24"/>
        </w:rPr>
        <w:t>et de nationalité</w:t>
      </w:r>
      <w:r w:rsidR="0051773A">
        <w:rPr>
          <w:rFonts w:ascii="Times New Roman" w:hAnsi="Times New Roman" w:cs="Times New Roman"/>
          <w:sz w:val="24"/>
          <w:szCs w:val="24"/>
        </w:rPr>
        <w:t xml:space="preserve">, et plus précisément </w:t>
      </w:r>
      <w:r w:rsidR="0051773A" w:rsidRPr="0051773A">
        <w:rPr>
          <w:rFonts w:ascii="Times New Roman" w:hAnsi="Times New Roman" w:cs="Times New Roman"/>
          <w:sz w:val="24"/>
          <w:szCs w:val="24"/>
        </w:rPr>
        <w:t>la nationalité</w:t>
      </w:r>
      <w:r w:rsidR="0051773A">
        <w:rPr>
          <w:rFonts w:ascii="Times New Roman" w:hAnsi="Times New Roman" w:cs="Times New Roman"/>
          <w:sz w:val="24"/>
          <w:szCs w:val="24"/>
        </w:rPr>
        <w:t xml:space="preserve"> de l’Etat colon acquise durant la colonisation</w:t>
      </w:r>
      <w:r w:rsidR="0051773A" w:rsidRPr="0051773A">
        <w:rPr>
          <w:rFonts w:ascii="Times New Roman" w:hAnsi="Times New Roman" w:cs="Times New Roman"/>
          <w:sz w:val="24"/>
          <w:szCs w:val="24"/>
        </w:rPr>
        <w:t>, les mariages impliquant un mineur et l’adoption internationale</w:t>
      </w:r>
      <w:r w:rsidR="00F609EE" w:rsidRPr="006449A5">
        <w:rPr>
          <w:rFonts w:ascii="Times New Roman" w:hAnsi="Times New Roman" w:cs="Times New Roman"/>
          <w:sz w:val="24"/>
          <w:szCs w:val="24"/>
        </w:rPr>
        <w:t xml:space="preserve">. </w:t>
      </w:r>
      <w:r w:rsidR="007D3F30" w:rsidRPr="006449A5">
        <w:rPr>
          <w:rFonts w:ascii="Times New Roman" w:hAnsi="Times New Roman" w:cs="Times New Roman"/>
          <w:sz w:val="24"/>
          <w:szCs w:val="24"/>
        </w:rPr>
        <w:t xml:space="preserve">On aurait </w:t>
      </w:r>
      <w:r w:rsidR="004057CC" w:rsidRPr="006449A5">
        <w:rPr>
          <w:rFonts w:ascii="Times New Roman" w:hAnsi="Times New Roman" w:cs="Times New Roman"/>
          <w:sz w:val="24"/>
          <w:szCs w:val="24"/>
        </w:rPr>
        <w:t>p</w:t>
      </w:r>
      <w:r w:rsidR="00615022" w:rsidRPr="006449A5">
        <w:rPr>
          <w:rFonts w:ascii="Times New Roman" w:hAnsi="Times New Roman" w:cs="Times New Roman"/>
          <w:sz w:val="24"/>
          <w:szCs w:val="24"/>
        </w:rPr>
        <w:t>u</w:t>
      </w:r>
      <w:r w:rsidR="004057CC" w:rsidRPr="006449A5">
        <w:rPr>
          <w:rFonts w:ascii="Times New Roman" w:hAnsi="Times New Roman" w:cs="Times New Roman"/>
          <w:sz w:val="24"/>
          <w:szCs w:val="24"/>
        </w:rPr>
        <w:t xml:space="preserve"> se limiter à une juridiction étatique – sans doute à la </w:t>
      </w:r>
      <w:r w:rsidR="007D3F30" w:rsidRPr="006449A5">
        <w:rPr>
          <w:rFonts w:ascii="Times New Roman" w:hAnsi="Times New Roman" w:cs="Times New Roman"/>
          <w:sz w:val="24"/>
          <w:szCs w:val="24"/>
        </w:rPr>
        <w:t>France, c</w:t>
      </w:r>
      <w:r w:rsidR="004057CC" w:rsidRPr="006449A5">
        <w:rPr>
          <w:rFonts w:ascii="Times New Roman" w:hAnsi="Times New Roman" w:cs="Times New Roman"/>
          <w:sz w:val="24"/>
          <w:szCs w:val="24"/>
        </w:rPr>
        <w:t xml:space="preserve">ar les cas choisis ne sont en aucun cas représentatif d’une tendance plus ou moins (dé)coloniale des </w:t>
      </w:r>
      <w:r w:rsidR="007F1A4E" w:rsidRPr="006449A5">
        <w:rPr>
          <w:rFonts w:ascii="Times New Roman" w:hAnsi="Times New Roman" w:cs="Times New Roman"/>
          <w:sz w:val="24"/>
          <w:szCs w:val="24"/>
        </w:rPr>
        <w:t>État</w:t>
      </w:r>
      <w:r w:rsidR="004057CC" w:rsidRPr="006449A5">
        <w:rPr>
          <w:rFonts w:ascii="Times New Roman" w:hAnsi="Times New Roman" w:cs="Times New Roman"/>
          <w:sz w:val="24"/>
          <w:szCs w:val="24"/>
        </w:rPr>
        <w:t xml:space="preserve">s européens concernés. Néanmoins, l’inclusion de plusieurs juridictions </w:t>
      </w:r>
      <w:r w:rsidR="00086159" w:rsidRPr="006449A5">
        <w:rPr>
          <w:rFonts w:ascii="Times New Roman" w:hAnsi="Times New Roman" w:cs="Times New Roman"/>
          <w:sz w:val="24"/>
          <w:szCs w:val="24"/>
        </w:rPr>
        <w:t xml:space="preserve">facilite l’identification de la diversité des règles, techniques et </w:t>
      </w:r>
      <w:proofErr w:type="gramStart"/>
      <w:r w:rsidR="00086159" w:rsidRPr="006449A5">
        <w:rPr>
          <w:rFonts w:ascii="Times New Roman" w:hAnsi="Times New Roman" w:cs="Times New Roman"/>
          <w:sz w:val="24"/>
          <w:szCs w:val="24"/>
        </w:rPr>
        <w:t>raisonnement disponibles</w:t>
      </w:r>
      <w:proofErr w:type="gramEnd"/>
      <w:r w:rsidR="00086159" w:rsidRPr="006449A5">
        <w:rPr>
          <w:rFonts w:ascii="Times New Roman" w:hAnsi="Times New Roman" w:cs="Times New Roman"/>
          <w:sz w:val="24"/>
          <w:szCs w:val="24"/>
        </w:rPr>
        <w:t xml:space="preserve"> </w:t>
      </w:r>
      <w:r w:rsidR="00086159" w:rsidRPr="006449A5">
        <w:rPr>
          <w:rFonts w:ascii="Times New Roman" w:hAnsi="Times New Roman" w:cs="Times New Roman"/>
          <w:i/>
          <w:iCs/>
          <w:sz w:val="24"/>
          <w:szCs w:val="24"/>
        </w:rPr>
        <w:t xml:space="preserve">de lege </w:t>
      </w:r>
      <w:proofErr w:type="spellStart"/>
      <w:r w:rsidR="00086159" w:rsidRPr="006449A5">
        <w:rPr>
          <w:rFonts w:ascii="Times New Roman" w:hAnsi="Times New Roman" w:cs="Times New Roman"/>
          <w:i/>
          <w:iCs/>
          <w:sz w:val="24"/>
          <w:szCs w:val="24"/>
        </w:rPr>
        <w:t>lata</w:t>
      </w:r>
      <w:proofErr w:type="spellEnd"/>
      <w:r w:rsidR="00086159" w:rsidRPr="006449A5">
        <w:rPr>
          <w:rFonts w:ascii="Times New Roman" w:hAnsi="Times New Roman" w:cs="Times New Roman"/>
          <w:sz w:val="24"/>
          <w:szCs w:val="24"/>
        </w:rPr>
        <w:t xml:space="preserve">, </w:t>
      </w:r>
      <w:r w:rsidR="007D3F30" w:rsidRPr="006449A5">
        <w:rPr>
          <w:rFonts w:ascii="Times New Roman" w:hAnsi="Times New Roman" w:cs="Times New Roman"/>
          <w:sz w:val="24"/>
          <w:szCs w:val="24"/>
        </w:rPr>
        <w:t>ou bien</w:t>
      </w:r>
      <w:r w:rsidR="00086159" w:rsidRPr="006449A5">
        <w:rPr>
          <w:rFonts w:ascii="Times New Roman" w:hAnsi="Times New Roman" w:cs="Times New Roman"/>
          <w:sz w:val="24"/>
          <w:szCs w:val="24"/>
        </w:rPr>
        <w:t xml:space="preserve"> dans un </w:t>
      </w:r>
      <w:r w:rsidR="007F1A4E" w:rsidRPr="006449A5">
        <w:rPr>
          <w:rFonts w:ascii="Times New Roman" w:hAnsi="Times New Roman" w:cs="Times New Roman"/>
          <w:sz w:val="24"/>
          <w:szCs w:val="24"/>
        </w:rPr>
        <w:t>État</w:t>
      </w:r>
      <w:r w:rsidR="00086159" w:rsidRPr="006449A5">
        <w:rPr>
          <w:rFonts w:ascii="Times New Roman" w:hAnsi="Times New Roman" w:cs="Times New Roman"/>
          <w:sz w:val="24"/>
          <w:szCs w:val="24"/>
        </w:rPr>
        <w:t xml:space="preserve"> européen voisin, permettant d’élaborer une boite à outils </w:t>
      </w:r>
      <w:proofErr w:type="spellStart"/>
      <w:r w:rsidR="00086159" w:rsidRPr="006449A5">
        <w:rPr>
          <w:rFonts w:ascii="Times New Roman" w:hAnsi="Times New Roman" w:cs="Times New Roman"/>
          <w:sz w:val="24"/>
          <w:szCs w:val="24"/>
        </w:rPr>
        <w:t>décoloniale</w:t>
      </w:r>
      <w:proofErr w:type="spellEnd"/>
      <w:r w:rsidR="00086159" w:rsidRPr="006449A5">
        <w:rPr>
          <w:rFonts w:ascii="Times New Roman" w:hAnsi="Times New Roman" w:cs="Times New Roman"/>
          <w:sz w:val="24"/>
          <w:szCs w:val="24"/>
        </w:rPr>
        <w:t xml:space="preserve"> en DIP. </w:t>
      </w:r>
    </w:p>
    <w:p w14:paraId="0094EA37" w14:textId="5C0D82C5" w:rsidR="00F51759" w:rsidRPr="006449A5" w:rsidRDefault="00500658" w:rsidP="004A2030">
      <w:pPr>
        <w:rPr>
          <w:rFonts w:ascii="Times New Roman" w:hAnsi="Times New Roman" w:cs="Times New Roman"/>
          <w:b/>
          <w:bCs/>
          <w:sz w:val="28"/>
          <w:szCs w:val="28"/>
        </w:rPr>
      </w:pPr>
      <w:r w:rsidRPr="006449A5">
        <w:rPr>
          <w:rFonts w:ascii="Times New Roman" w:hAnsi="Times New Roman" w:cs="Times New Roman"/>
          <w:b/>
          <w:bCs/>
          <w:sz w:val="24"/>
          <w:szCs w:val="24"/>
        </w:rPr>
        <w:t xml:space="preserve">Le droit international privé européen face à la </w:t>
      </w:r>
      <w:proofErr w:type="spellStart"/>
      <w:r w:rsidRPr="006449A5">
        <w:rPr>
          <w:rFonts w:ascii="Times New Roman" w:hAnsi="Times New Roman" w:cs="Times New Roman"/>
          <w:b/>
          <w:bCs/>
          <w:sz w:val="24"/>
          <w:szCs w:val="24"/>
        </w:rPr>
        <w:t>décolonialité</w:t>
      </w:r>
      <w:proofErr w:type="spellEnd"/>
      <w:r w:rsidRPr="006449A5">
        <w:rPr>
          <w:rFonts w:ascii="Times New Roman" w:hAnsi="Times New Roman" w:cs="Times New Roman"/>
          <w:b/>
          <w:bCs/>
          <w:sz w:val="24"/>
          <w:szCs w:val="24"/>
        </w:rPr>
        <w:t> : cadre théorique</w:t>
      </w:r>
    </w:p>
    <w:p w14:paraId="0B444920" w14:textId="4A1F9B84" w:rsidR="0078373A" w:rsidRPr="006449A5" w:rsidRDefault="00E005ED" w:rsidP="00BC6302">
      <w:pPr>
        <w:rPr>
          <w:rFonts w:ascii="Times New Roman" w:hAnsi="Times New Roman" w:cs="Times New Roman"/>
          <w:sz w:val="24"/>
          <w:szCs w:val="24"/>
        </w:rPr>
      </w:pPr>
      <w:bookmarkStart w:id="13" w:name="_Hlk184302920"/>
      <w:r w:rsidRPr="006449A5">
        <w:rPr>
          <w:rFonts w:ascii="Times New Roman" w:hAnsi="Times New Roman" w:cs="Times New Roman"/>
          <w:sz w:val="24"/>
          <w:szCs w:val="24"/>
        </w:rPr>
        <w:t>Cette</w:t>
      </w:r>
      <w:r w:rsidR="00BC6302" w:rsidRPr="006449A5">
        <w:rPr>
          <w:rFonts w:ascii="Times New Roman" w:hAnsi="Times New Roman" w:cs="Times New Roman"/>
          <w:sz w:val="24"/>
          <w:szCs w:val="24"/>
        </w:rPr>
        <w:t xml:space="preserve"> </w:t>
      </w:r>
      <w:r w:rsidR="007F1A4E" w:rsidRPr="006449A5">
        <w:rPr>
          <w:rFonts w:ascii="Times New Roman" w:hAnsi="Times New Roman" w:cs="Times New Roman"/>
          <w:sz w:val="24"/>
          <w:szCs w:val="24"/>
        </w:rPr>
        <w:t xml:space="preserve">partie </w:t>
      </w:r>
      <w:r w:rsidR="00BC6302" w:rsidRPr="006449A5">
        <w:rPr>
          <w:rFonts w:ascii="Times New Roman" w:hAnsi="Times New Roman" w:cs="Times New Roman"/>
          <w:sz w:val="24"/>
          <w:szCs w:val="24"/>
        </w:rPr>
        <w:t xml:space="preserve">présente le cadre théorique de l’approche </w:t>
      </w:r>
      <w:proofErr w:type="spellStart"/>
      <w:r w:rsidR="00BC6302" w:rsidRPr="006449A5">
        <w:rPr>
          <w:rFonts w:ascii="Times New Roman" w:hAnsi="Times New Roman" w:cs="Times New Roman"/>
          <w:sz w:val="24"/>
          <w:szCs w:val="24"/>
        </w:rPr>
        <w:t>décoloniale</w:t>
      </w:r>
      <w:proofErr w:type="spellEnd"/>
      <w:r w:rsidR="00BC6302" w:rsidRPr="006449A5">
        <w:rPr>
          <w:rFonts w:ascii="Times New Roman" w:hAnsi="Times New Roman" w:cs="Times New Roman"/>
          <w:sz w:val="24"/>
          <w:szCs w:val="24"/>
        </w:rPr>
        <w:t xml:space="preserve"> adoptée ici. Ainsi, l’on devra d’abord proposer </w:t>
      </w:r>
      <w:bookmarkEnd w:id="13"/>
      <w:r w:rsidR="00BC6302" w:rsidRPr="006449A5">
        <w:rPr>
          <w:rFonts w:ascii="Times New Roman" w:hAnsi="Times New Roman" w:cs="Times New Roman"/>
          <w:sz w:val="24"/>
          <w:szCs w:val="24"/>
        </w:rPr>
        <w:t xml:space="preserve">un résumé des grandes lignes de la </w:t>
      </w:r>
      <w:proofErr w:type="spellStart"/>
      <w:r w:rsidR="00BC6302" w:rsidRPr="006449A5">
        <w:rPr>
          <w:rFonts w:ascii="Times New Roman" w:hAnsi="Times New Roman" w:cs="Times New Roman"/>
          <w:i/>
          <w:iCs/>
          <w:sz w:val="24"/>
          <w:szCs w:val="24"/>
        </w:rPr>
        <w:t>decolonial</w:t>
      </w:r>
      <w:proofErr w:type="spellEnd"/>
      <w:r w:rsidR="00BC6302" w:rsidRPr="006449A5">
        <w:rPr>
          <w:rFonts w:ascii="Times New Roman" w:hAnsi="Times New Roman" w:cs="Times New Roman"/>
          <w:i/>
          <w:iCs/>
          <w:sz w:val="24"/>
          <w:szCs w:val="24"/>
        </w:rPr>
        <w:t xml:space="preserve"> </w:t>
      </w:r>
      <w:proofErr w:type="spellStart"/>
      <w:r w:rsidR="00BC6302" w:rsidRPr="006449A5">
        <w:rPr>
          <w:rFonts w:ascii="Times New Roman" w:hAnsi="Times New Roman" w:cs="Times New Roman"/>
          <w:i/>
          <w:iCs/>
          <w:sz w:val="24"/>
          <w:szCs w:val="24"/>
        </w:rPr>
        <w:t>theory</w:t>
      </w:r>
      <w:proofErr w:type="spellEnd"/>
      <w:r w:rsidR="00824D9C" w:rsidRPr="006449A5">
        <w:rPr>
          <w:rFonts w:ascii="Times New Roman" w:hAnsi="Times New Roman" w:cs="Times New Roman"/>
          <w:sz w:val="24"/>
          <w:szCs w:val="24"/>
        </w:rPr>
        <w:t xml:space="preserve"> (</w:t>
      </w:r>
      <w:bookmarkStart w:id="14" w:name="_Hlk144375778"/>
      <w:r w:rsidR="004A2030" w:rsidRPr="006449A5">
        <w:rPr>
          <w:rFonts w:ascii="Times New Roman" w:hAnsi="Times New Roman" w:cs="Times New Roman"/>
          <w:sz w:val="24"/>
          <w:szCs w:val="24"/>
          <w:u w:val="single"/>
        </w:rPr>
        <w:t>Premier Sous-Titre</w:t>
      </w:r>
      <w:bookmarkEnd w:id="14"/>
      <w:r w:rsidR="00824D9C" w:rsidRPr="006449A5">
        <w:rPr>
          <w:rFonts w:ascii="Times New Roman" w:hAnsi="Times New Roman" w:cs="Times New Roman"/>
          <w:sz w:val="24"/>
          <w:szCs w:val="24"/>
        </w:rPr>
        <w:t xml:space="preserve">). </w:t>
      </w:r>
      <w:r w:rsidR="00231ECB" w:rsidRPr="006449A5">
        <w:rPr>
          <w:rFonts w:ascii="Times New Roman" w:hAnsi="Times New Roman" w:cs="Times New Roman"/>
          <w:sz w:val="24"/>
          <w:szCs w:val="24"/>
        </w:rPr>
        <w:t>L’on proposera ensuite plusieurs conséquences à en tirer en droit européen</w:t>
      </w:r>
      <w:r w:rsidR="0059215D" w:rsidRPr="006449A5">
        <w:rPr>
          <w:rFonts w:ascii="Times New Roman" w:hAnsi="Times New Roman" w:cs="Times New Roman"/>
          <w:sz w:val="24"/>
          <w:szCs w:val="24"/>
        </w:rPr>
        <w:t>, et particulièrement en DIP européen</w:t>
      </w:r>
      <w:r w:rsidR="00642184" w:rsidRPr="006449A5">
        <w:rPr>
          <w:rFonts w:ascii="Times New Roman" w:hAnsi="Times New Roman" w:cs="Times New Roman"/>
          <w:sz w:val="24"/>
          <w:szCs w:val="24"/>
        </w:rPr>
        <w:t xml:space="preserve">, tout en identifiant les limites de la théorie </w:t>
      </w:r>
      <w:proofErr w:type="spellStart"/>
      <w:r w:rsidR="00642184" w:rsidRPr="006449A5">
        <w:rPr>
          <w:rFonts w:ascii="Times New Roman" w:hAnsi="Times New Roman" w:cs="Times New Roman"/>
          <w:sz w:val="24"/>
          <w:szCs w:val="24"/>
        </w:rPr>
        <w:t>décoloniale</w:t>
      </w:r>
      <w:proofErr w:type="spellEnd"/>
      <w:r w:rsidR="00B87801" w:rsidRPr="006449A5">
        <w:rPr>
          <w:rFonts w:ascii="Times New Roman" w:hAnsi="Times New Roman" w:cs="Times New Roman"/>
          <w:sz w:val="24"/>
          <w:szCs w:val="24"/>
        </w:rPr>
        <w:t xml:space="preserve"> dans le cadre d’une recherche européenne</w:t>
      </w:r>
      <w:r w:rsidR="00642184" w:rsidRPr="006449A5">
        <w:rPr>
          <w:rFonts w:ascii="Times New Roman" w:hAnsi="Times New Roman" w:cs="Times New Roman"/>
          <w:sz w:val="24"/>
          <w:szCs w:val="24"/>
        </w:rPr>
        <w:t xml:space="preserve"> </w:t>
      </w:r>
      <w:r w:rsidR="00824D9C" w:rsidRPr="006449A5">
        <w:rPr>
          <w:rFonts w:ascii="Times New Roman" w:hAnsi="Times New Roman" w:cs="Times New Roman"/>
          <w:sz w:val="24"/>
          <w:szCs w:val="24"/>
        </w:rPr>
        <w:t>(</w:t>
      </w:r>
      <w:r w:rsidR="004A2030" w:rsidRPr="006449A5">
        <w:rPr>
          <w:rFonts w:ascii="Times New Roman" w:hAnsi="Times New Roman" w:cs="Times New Roman"/>
          <w:sz w:val="24"/>
          <w:szCs w:val="24"/>
          <w:u w:val="single"/>
        </w:rPr>
        <w:t>Second Sous-Titre</w:t>
      </w:r>
      <w:r w:rsidR="00824D9C" w:rsidRPr="006449A5">
        <w:rPr>
          <w:rFonts w:ascii="Times New Roman" w:hAnsi="Times New Roman" w:cs="Times New Roman"/>
          <w:sz w:val="24"/>
          <w:szCs w:val="24"/>
        </w:rPr>
        <w:t xml:space="preserve">).  </w:t>
      </w:r>
    </w:p>
    <w:p w14:paraId="55B60FF0" w14:textId="03AD2F77" w:rsidR="006D73A2" w:rsidRPr="006449A5" w:rsidRDefault="006D73A2" w:rsidP="004A2030">
      <w:pPr>
        <w:rPr>
          <w:rFonts w:ascii="Times New Roman" w:hAnsi="Times New Roman" w:cs="Times New Roman"/>
          <w:sz w:val="28"/>
          <w:szCs w:val="28"/>
          <w:u w:val="single"/>
        </w:rPr>
      </w:pPr>
      <w:r w:rsidRPr="006449A5">
        <w:rPr>
          <w:rFonts w:ascii="Times New Roman" w:hAnsi="Times New Roman" w:cs="Times New Roman"/>
          <w:sz w:val="28"/>
          <w:szCs w:val="28"/>
          <w:u w:val="single"/>
        </w:rPr>
        <w:t>« </w:t>
      </w:r>
      <w:proofErr w:type="spellStart"/>
      <w:r w:rsidRPr="006449A5">
        <w:rPr>
          <w:rFonts w:ascii="Times New Roman" w:hAnsi="Times New Roman" w:cs="Times New Roman"/>
          <w:i/>
          <w:iCs/>
          <w:sz w:val="28"/>
          <w:szCs w:val="28"/>
          <w:u w:val="single"/>
        </w:rPr>
        <w:t>Decolonial</w:t>
      </w:r>
      <w:proofErr w:type="spellEnd"/>
      <w:r w:rsidRPr="006449A5">
        <w:rPr>
          <w:rFonts w:ascii="Times New Roman" w:hAnsi="Times New Roman" w:cs="Times New Roman"/>
          <w:i/>
          <w:iCs/>
          <w:sz w:val="28"/>
          <w:szCs w:val="28"/>
          <w:u w:val="single"/>
        </w:rPr>
        <w:t xml:space="preserve"> Theory</w:t>
      </w:r>
      <w:r w:rsidRPr="006449A5">
        <w:rPr>
          <w:rFonts w:ascii="Times New Roman" w:hAnsi="Times New Roman" w:cs="Times New Roman"/>
          <w:sz w:val="28"/>
          <w:szCs w:val="28"/>
          <w:u w:val="single"/>
        </w:rPr>
        <w:t xml:space="preserve"> » </w:t>
      </w:r>
    </w:p>
    <w:p w14:paraId="3268AC12" w14:textId="2FE8B506" w:rsidR="000E03E0" w:rsidRPr="006449A5" w:rsidRDefault="000E03E0" w:rsidP="000E03E0">
      <w:pPr>
        <w:rPr>
          <w:rFonts w:ascii="Times New Roman" w:hAnsi="Times New Roman" w:cs="Times New Roman"/>
          <w:sz w:val="24"/>
          <w:szCs w:val="24"/>
        </w:rPr>
      </w:pPr>
      <w:bookmarkStart w:id="15" w:name="_Hlk174024055"/>
      <w:r w:rsidRPr="006449A5">
        <w:rPr>
          <w:rFonts w:ascii="Times New Roman" w:hAnsi="Times New Roman" w:cs="Times New Roman"/>
          <w:sz w:val="24"/>
          <w:szCs w:val="24"/>
        </w:rPr>
        <w:t xml:space="preserve">La théorie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se caractérise par le rejet d'une vision unique du monde issue de la modernité européenne et imposée de manière hégémonique par la colonisation. Elle vise par ailleurs à (ré)accorder du pouvoir aux visions du monde non-occidentales, </w:t>
      </w:r>
      <w:r w:rsidR="00B87801" w:rsidRPr="006449A5">
        <w:rPr>
          <w:rFonts w:ascii="Times New Roman" w:hAnsi="Times New Roman" w:cs="Times New Roman"/>
          <w:sz w:val="24"/>
          <w:szCs w:val="24"/>
        </w:rPr>
        <w:t xml:space="preserve">par exemple ce qu'Anselm </w:t>
      </w:r>
      <w:proofErr w:type="spellStart"/>
      <w:r w:rsidR="00B87801" w:rsidRPr="006449A5">
        <w:rPr>
          <w:rFonts w:ascii="Times New Roman" w:hAnsi="Times New Roman" w:cs="Times New Roman"/>
          <w:sz w:val="24"/>
          <w:szCs w:val="24"/>
        </w:rPr>
        <w:t>Kole</w:t>
      </w:r>
      <w:proofErr w:type="spellEnd"/>
      <w:r w:rsidR="00B87801" w:rsidRPr="006449A5">
        <w:rPr>
          <w:rFonts w:ascii="Times New Roman" w:hAnsi="Times New Roman" w:cs="Times New Roman"/>
          <w:sz w:val="24"/>
          <w:szCs w:val="24"/>
        </w:rPr>
        <w:t xml:space="preserve"> </w:t>
      </w:r>
      <w:proofErr w:type="spellStart"/>
      <w:r w:rsidR="00B87801" w:rsidRPr="006449A5">
        <w:rPr>
          <w:rFonts w:ascii="Times New Roman" w:hAnsi="Times New Roman" w:cs="Times New Roman"/>
          <w:sz w:val="24"/>
          <w:szCs w:val="24"/>
        </w:rPr>
        <w:t>Jimoh</w:t>
      </w:r>
      <w:proofErr w:type="spellEnd"/>
      <w:r w:rsidR="00B87801" w:rsidRPr="006449A5">
        <w:rPr>
          <w:rFonts w:ascii="Times New Roman" w:hAnsi="Times New Roman" w:cs="Times New Roman"/>
          <w:sz w:val="24"/>
          <w:szCs w:val="24"/>
        </w:rPr>
        <w:t xml:space="preserve"> a appelé l</w:t>
      </w:r>
      <w:proofErr w:type="gramStart"/>
      <w:r w:rsidR="00B87801" w:rsidRPr="006449A5">
        <w:rPr>
          <w:rFonts w:ascii="Times New Roman" w:hAnsi="Times New Roman" w:cs="Times New Roman"/>
          <w:sz w:val="24"/>
          <w:szCs w:val="24"/>
        </w:rPr>
        <w:t>'«</w:t>
      </w:r>
      <w:proofErr w:type="gramEnd"/>
      <w:r w:rsidR="00B87801" w:rsidRPr="006449A5">
        <w:rPr>
          <w:rFonts w:ascii="Times New Roman" w:hAnsi="Times New Roman" w:cs="Times New Roman"/>
          <w:sz w:val="24"/>
          <w:szCs w:val="24"/>
        </w:rPr>
        <w:t xml:space="preserve"> épistémologie communautaire africaine</w:t>
      </w:r>
      <w:r w:rsidR="00B87801" w:rsidRPr="006449A5">
        <w:rPr>
          <w:rFonts w:ascii="Times New Roman" w:hAnsi="Times New Roman" w:cs="Times New Roman"/>
          <w:sz w:val="24"/>
          <w:szCs w:val="24"/>
          <w:vertAlign w:val="superscript"/>
        </w:rPr>
        <w:footnoteReference w:id="36"/>
      </w:r>
      <w:r w:rsidR="00B87801" w:rsidRPr="006449A5">
        <w:rPr>
          <w:rFonts w:ascii="Times New Roman" w:hAnsi="Times New Roman" w:cs="Times New Roman"/>
          <w:sz w:val="24"/>
          <w:szCs w:val="24"/>
        </w:rPr>
        <w:t xml:space="preserve">», </w:t>
      </w:r>
      <w:r w:rsidRPr="006449A5">
        <w:rPr>
          <w:rFonts w:ascii="Times New Roman" w:hAnsi="Times New Roman" w:cs="Times New Roman"/>
          <w:sz w:val="24"/>
          <w:szCs w:val="24"/>
        </w:rPr>
        <w:t xml:space="preserve">non seulement au niveau local, mais aussi au niveau mondial. En d'autres termes, la théorie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consiste à </w:t>
      </w:r>
      <w:r w:rsidR="00B87801" w:rsidRPr="006449A5">
        <w:rPr>
          <w:rFonts w:ascii="Times New Roman" w:hAnsi="Times New Roman" w:cs="Times New Roman"/>
          <w:sz w:val="24"/>
          <w:szCs w:val="24"/>
        </w:rPr>
        <w:t xml:space="preserve">« </w:t>
      </w:r>
      <w:r w:rsidRPr="006449A5">
        <w:rPr>
          <w:rFonts w:ascii="Times New Roman" w:hAnsi="Times New Roman" w:cs="Times New Roman"/>
          <w:sz w:val="24"/>
          <w:szCs w:val="24"/>
        </w:rPr>
        <w:t>désessentialiser</w:t>
      </w:r>
      <w:r w:rsidR="00B87801" w:rsidRPr="006449A5">
        <w:rPr>
          <w:rFonts w:ascii="Times New Roman" w:hAnsi="Times New Roman" w:cs="Times New Roman"/>
          <w:sz w:val="24"/>
          <w:szCs w:val="24"/>
        </w:rPr>
        <w:t xml:space="preserve"> » </w:t>
      </w:r>
      <w:r w:rsidRPr="006449A5">
        <w:rPr>
          <w:rFonts w:ascii="Times New Roman" w:hAnsi="Times New Roman" w:cs="Times New Roman"/>
          <w:sz w:val="24"/>
          <w:szCs w:val="24"/>
        </w:rPr>
        <w:t>les visions du monde occidentales pour « créer une épistémologie polycentrique ou multiculturelle qui permettrait à toutes les formes de recherche épistémique de s'exprimer sur un pied d'égalité</w:t>
      </w:r>
      <w:r w:rsidRPr="006449A5">
        <w:rPr>
          <w:rFonts w:ascii="Times New Roman" w:hAnsi="Times New Roman" w:cs="Times New Roman"/>
          <w:sz w:val="24"/>
          <w:szCs w:val="24"/>
          <w:vertAlign w:val="superscript"/>
        </w:rPr>
        <w:footnoteReference w:id="37"/>
      </w:r>
      <w:r w:rsidRPr="006449A5">
        <w:rPr>
          <w:rFonts w:ascii="Times New Roman" w:hAnsi="Times New Roman" w:cs="Times New Roman"/>
          <w:sz w:val="24"/>
          <w:szCs w:val="24"/>
        </w:rPr>
        <w:t xml:space="preserve">». Elle implique en outre plusieurs exigences conceptuelles, substantielles et méthodologiques. </w:t>
      </w:r>
    </w:p>
    <w:p w14:paraId="749DFCC3" w14:textId="07214601" w:rsidR="000E03E0" w:rsidRPr="006449A5" w:rsidRDefault="000E03E0" w:rsidP="000E03E0">
      <w:pPr>
        <w:rPr>
          <w:rFonts w:ascii="Times New Roman" w:hAnsi="Times New Roman" w:cs="Times New Roman"/>
          <w:sz w:val="24"/>
          <w:szCs w:val="24"/>
        </w:rPr>
      </w:pPr>
      <w:r w:rsidRPr="006449A5">
        <w:rPr>
          <w:rFonts w:ascii="Times New Roman" w:hAnsi="Times New Roman" w:cs="Times New Roman"/>
          <w:sz w:val="24"/>
          <w:szCs w:val="24"/>
        </w:rPr>
        <w:lastRenderedPageBreak/>
        <w:t xml:space="preserve">La pensée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reflète d’abord l'adhésion au concept de </w:t>
      </w:r>
      <w:proofErr w:type="spellStart"/>
      <w:r w:rsidRPr="006449A5">
        <w:rPr>
          <w:rFonts w:ascii="Times New Roman" w:hAnsi="Times New Roman" w:cs="Times New Roman"/>
          <w:i/>
          <w:iCs/>
          <w:sz w:val="24"/>
          <w:szCs w:val="24"/>
        </w:rPr>
        <w:t>pluriversalité</w:t>
      </w:r>
      <w:proofErr w:type="spellEnd"/>
      <w:r w:rsidRPr="006449A5">
        <w:rPr>
          <w:rFonts w:ascii="Times New Roman" w:hAnsi="Times New Roman" w:cs="Times New Roman"/>
          <w:sz w:val="24"/>
          <w:szCs w:val="24"/>
        </w:rPr>
        <w:t>, dont l'invention est attribuée aux zapatistes</w:t>
      </w:r>
      <w:r w:rsidRPr="006449A5">
        <w:rPr>
          <w:rFonts w:ascii="Times New Roman" w:hAnsi="Times New Roman" w:cs="Times New Roman"/>
          <w:sz w:val="24"/>
          <w:szCs w:val="24"/>
          <w:vertAlign w:val="superscript"/>
        </w:rPr>
        <w:footnoteReference w:id="38"/>
      </w:r>
      <w:r w:rsidRPr="006449A5">
        <w:rPr>
          <w:rFonts w:ascii="Times New Roman" w:hAnsi="Times New Roman" w:cs="Times New Roman"/>
          <w:sz w:val="24"/>
          <w:szCs w:val="24"/>
        </w:rPr>
        <w:t>. Ce concept suppose que plusieurs visions du monde, et pas seulement la vision occidentale, aspirent à l'universel – ou, pour le dire autrement, qu’il y a une pluralité d’universels</w:t>
      </w:r>
      <w:r w:rsidRPr="006449A5">
        <w:rPr>
          <w:rFonts w:ascii="Times New Roman" w:hAnsi="Times New Roman" w:cs="Times New Roman"/>
          <w:sz w:val="24"/>
          <w:szCs w:val="24"/>
          <w:vertAlign w:val="superscript"/>
        </w:rPr>
        <w:footnoteReference w:id="39"/>
      </w:r>
      <w:r w:rsidRPr="006449A5">
        <w:rPr>
          <w:rFonts w:ascii="Times New Roman" w:hAnsi="Times New Roman" w:cs="Times New Roman"/>
          <w:sz w:val="24"/>
          <w:szCs w:val="24"/>
        </w:rPr>
        <w:t>. Il est associé à l'argument selon lequel « l'idée d'universel dans la pensée européenne est fondée sur une prétention à l'universalité en même temps qu'elle élude sa propre particularité » - une prétention qui est « soutenue par l'exercice du pouvoir matériel dans le monde</w:t>
      </w:r>
      <w:r w:rsidRPr="006449A5">
        <w:rPr>
          <w:rFonts w:ascii="Times New Roman" w:hAnsi="Times New Roman" w:cs="Times New Roman"/>
          <w:sz w:val="24"/>
          <w:szCs w:val="24"/>
          <w:vertAlign w:val="superscript"/>
        </w:rPr>
        <w:footnoteReference w:id="40"/>
      </w:r>
      <w:r w:rsidRPr="006449A5">
        <w:rPr>
          <w:rFonts w:ascii="Times New Roman" w:hAnsi="Times New Roman" w:cs="Times New Roman"/>
          <w:sz w:val="24"/>
          <w:szCs w:val="24"/>
        </w:rPr>
        <w:t> ». L'idée</w:t>
      </w:r>
      <w:r w:rsidR="00A13F09" w:rsidRPr="006449A5">
        <w:rPr>
          <w:rFonts w:ascii="Times New Roman" w:hAnsi="Times New Roman" w:cs="Times New Roman"/>
          <w:sz w:val="24"/>
          <w:szCs w:val="24"/>
        </w:rPr>
        <w:t xml:space="preserve"> de la </w:t>
      </w:r>
      <w:proofErr w:type="spellStart"/>
      <w:r w:rsidR="00A13F09" w:rsidRPr="006449A5">
        <w:rPr>
          <w:rFonts w:ascii="Times New Roman" w:hAnsi="Times New Roman" w:cs="Times New Roman"/>
          <w:sz w:val="24"/>
          <w:szCs w:val="24"/>
        </w:rPr>
        <w:t>pluriversalité</w:t>
      </w:r>
      <w:proofErr w:type="spellEnd"/>
      <w:r w:rsidRPr="006449A5">
        <w:rPr>
          <w:rFonts w:ascii="Times New Roman" w:hAnsi="Times New Roman" w:cs="Times New Roman"/>
          <w:sz w:val="24"/>
          <w:szCs w:val="24"/>
        </w:rPr>
        <w:t xml:space="preserve"> est de s'éloigner de l'épistémè moderne (qui sous-tend le droit étatique en particulier) de la totalité unifiée associée au concept d'universalisme, pour explorer la « diversité interconnectée</w:t>
      </w:r>
      <w:r w:rsidRPr="006449A5">
        <w:rPr>
          <w:rFonts w:ascii="Times New Roman" w:hAnsi="Times New Roman" w:cs="Times New Roman"/>
          <w:sz w:val="24"/>
          <w:szCs w:val="24"/>
          <w:vertAlign w:val="superscript"/>
        </w:rPr>
        <w:footnoteReference w:id="41"/>
      </w:r>
      <w:r w:rsidRPr="006449A5">
        <w:rPr>
          <w:rFonts w:ascii="Times New Roman" w:hAnsi="Times New Roman" w:cs="Times New Roman"/>
          <w:sz w:val="24"/>
          <w:szCs w:val="24"/>
        </w:rPr>
        <w:t> », ou la « </w:t>
      </w:r>
      <w:proofErr w:type="spellStart"/>
      <w:r w:rsidRPr="006449A5">
        <w:rPr>
          <w:rFonts w:ascii="Times New Roman" w:hAnsi="Times New Roman" w:cs="Times New Roman"/>
          <w:sz w:val="24"/>
          <w:szCs w:val="24"/>
        </w:rPr>
        <w:t>relationnalité</w:t>
      </w:r>
      <w:proofErr w:type="spellEnd"/>
      <w:r w:rsidRPr="006449A5">
        <w:rPr>
          <w:rFonts w:ascii="Times New Roman" w:hAnsi="Times New Roman" w:cs="Times New Roman"/>
          <w:sz w:val="24"/>
          <w:szCs w:val="24"/>
          <w:vertAlign w:val="superscript"/>
        </w:rPr>
        <w:footnoteReference w:id="42"/>
      </w:r>
      <w:r w:rsidRPr="006449A5">
        <w:rPr>
          <w:rFonts w:ascii="Times New Roman" w:hAnsi="Times New Roman" w:cs="Times New Roman"/>
          <w:sz w:val="24"/>
          <w:szCs w:val="24"/>
        </w:rPr>
        <w:t> ».</w:t>
      </w:r>
    </w:p>
    <w:p w14:paraId="6BF6B6F4" w14:textId="18B06342" w:rsidR="000E03E0" w:rsidRPr="006449A5" w:rsidRDefault="00FD6F60" w:rsidP="000E03E0">
      <w:pPr>
        <w:rPr>
          <w:rFonts w:ascii="Times New Roman" w:hAnsi="Times New Roman" w:cs="Times New Roman"/>
          <w:sz w:val="24"/>
          <w:szCs w:val="24"/>
        </w:rPr>
      </w:pPr>
      <w:r w:rsidRPr="006449A5">
        <w:rPr>
          <w:rFonts w:ascii="Times New Roman" w:hAnsi="Times New Roman" w:cs="Times New Roman"/>
          <w:sz w:val="24"/>
          <w:szCs w:val="24"/>
        </w:rPr>
        <w:t>Le</w:t>
      </w:r>
      <w:r w:rsidR="000E03E0" w:rsidRPr="006449A5">
        <w:rPr>
          <w:rFonts w:ascii="Times New Roman" w:hAnsi="Times New Roman" w:cs="Times New Roman"/>
          <w:sz w:val="24"/>
          <w:szCs w:val="24"/>
        </w:rPr>
        <w:t xml:space="preserve"> paradigme de la </w:t>
      </w:r>
      <w:proofErr w:type="spellStart"/>
      <w:r w:rsidR="000E03E0" w:rsidRPr="006449A5">
        <w:rPr>
          <w:rFonts w:ascii="Times New Roman" w:hAnsi="Times New Roman" w:cs="Times New Roman"/>
          <w:sz w:val="24"/>
          <w:szCs w:val="24"/>
        </w:rPr>
        <w:t>pluriversalité</w:t>
      </w:r>
      <w:proofErr w:type="spellEnd"/>
      <w:r w:rsidR="000E03E0" w:rsidRPr="006449A5">
        <w:rPr>
          <w:rFonts w:ascii="Times New Roman" w:hAnsi="Times New Roman" w:cs="Times New Roman"/>
          <w:sz w:val="24"/>
          <w:szCs w:val="24"/>
        </w:rPr>
        <w:t xml:space="preserve"> implique </w:t>
      </w:r>
      <w:r w:rsidRPr="006449A5">
        <w:rPr>
          <w:rFonts w:ascii="Times New Roman" w:hAnsi="Times New Roman" w:cs="Times New Roman"/>
          <w:sz w:val="24"/>
          <w:szCs w:val="24"/>
        </w:rPr>
        <w:t xml:space="preserve">par ailleurs </w:t>
      </w:r>
      <w:r w:rsidR="000E03E0" w:rsidRPr="006449A5">
        <w:rPr>
          <w:rFonts w:ascii="Times New Roman" w:hAnsi="Times New Roman" w:cs="Times New Roman"/>
          <w:sz w:val="24"/>
          <w:szCs w:val="24"/>
        </w:rPr>
        <w:t xml:space="preserve">de sortir de, ou </w:t>
      </w:r>
      <w:r w:rsidR="000E03E0" w:rsidRPr="006449A5">
        <w:rPr>
          <w:rFonts w:ascii="Times New Roman" w:hAnsi="Times New Roman" w:cs="Times New Roman"/>
          <w:i/>
          <w:iCs/>
          <w:sz w:val="24"/>
          <w:szCs w:val="24"/>
        </w:rPr>
        <w:t xml:space="preserve">se détacher </w:t>
      </w:r>
      <w:r w:rsidR="000E03E0" w:rsidRPr="006449A5">
        <w:rPr>
          <w:rFonts w:ascii="Times New Roman" w:hAnsi="Times New Roman" w:cs="Times New Roman"/>
          <w:sz w:val="24"/>
          <w:szCs w:val="24"/>
        </w:rPr>
        <w:t>(« </w:t>
      </w:r>
      <w:proofErr w:type="spellStart"/>
      <w:r w:rsidR="000E03E0" w:rsidRPr="006449A5">
        <w:rPr>
          <w:rFonts w:ascii="Times New Roman" w:hAnsi="Times New Roman" w:cs="Times New Roman"/>
          <w:i/>
          <w:iCs/>
          <w:sz w:val="24"/>
          <w:szCs w:val="24"/>
        </w:rPr>
        <w:t>delinking</w:t>
      </w:r>
      <w:proofErr w:type="spellEnd"/>
      <w:r w:rsidR="000E03E0" w:rsidRPr="006449A5">
        <w:rPr>
          <w:rFonts w:ascii="Times New Roman" w:hAnsi="Times New Roman" w:cs="Times New Roman"/>
          <w:sz w:val="24"/>
          <w:szCs w:val="24"/>
        </w:rPr>
        <w:t> »</w:t>
      </w:r>
      <w:r w:rsidR="000E03E0" w:rsidRPr="006449A5">
        <w:rPr>
          <w:rFonts w:ascii="Times New Roman" w:hAnsi="Times New Roman" w:cs="Times New Roman"/>
          <w:sz w:val="24"/>
          <w:szCs w:val="24"/>
          <w:vertAlign w:val="superscript"/>
        </w:rPr>
        <w:footnoteReference w:id="43"/>
      </w:r>
      <w:r w:rsidR="000E03E0" w:rsidRPr="006449A5">
        <w:rPr>
          <w:rFonts w:ascii="Times New Roman" w:hAnsi="Times New Roman" w:cs="Times New Roman"/>
          <w:sz w:val="24"/>
          <w:szCs w:val="24"/>
        </w:rPr>
        <w:t xml:space="preserve">) de la modernité en tant que seul cadre disponible. Le détachement cependant est une tâche difficile, pour la première raison que les visions du monde des peuples postcoloniaux ont été influencées, déformées ou simplement supprimées par l'entreprise coloniale </w:t>
      </w:r>
      <w:r w:rsidR="00C457B5" w:rsidRPr="006449A5">
        <w:rPr>
          <w:rFonts w:ascii="Times New Roman" w:hAnsi="Times New Roman" w:cs="Times New Roman"/>
          <w:sz w:val="24"/>
          <w:szCs w:val="24"/>
        </w:rPr>
        <w:t>européenne</w:t>
      </w:r>
      <w:r w:rsidR="000E03E0" w:rsidRPr="006449A5">
        <w:rPr>
          <w:rFonts w:ascii="Times New Roman" w:hAnsi="Times New Roman" w:cs="Times New Roman"/>
          <w:sz w:val="24"/>
          <w:szCs w:val="24"/>
        </w:rPr>
        <w:t xml:space="preserve"> et sont </w:t>
      </w:r>
      <w:r w:rsidR="00A13F09" w:rsidRPr="006449A5">
        <w:rPr>
          <w:rFonts w:ascii="Times New Roman" w:hAnsi="Times New Roman" w:cs="Times New Roman"/>
          <w:sz w:val="24"/>
          <w:szCs w:val="24"/>
        </w:rPr>
        <w:t xml:space="preserve">par conséquent </w:t>
      </w:r>
      <w:r w:rsidR="000E03E0" w:rsidRPr="006449A5">
        <w:rPr>
          <w:rFonts w:ascii="Times New Roman" w:hAnsi="Times New Roman" w:cs="Times New Roman"/>
          <w:sz w:val="24"/>
          <w:szCs w:val="24"/>
        </w:rPr>
        <w:t>aujourd'hui dépendantes</w:t>
      </w:r>
      <w:r w:rsidR="00A13F09" w:rsidRPr="006449A5">
        <w:rPr>
          <w:rFonts w:ascii="Times New Roman" w:hAnsi="Times New Roman" w:cs="Times New Roman"/>
          <w:sz w:val="24"/>
          <w:szCs w:val="24"/>
        </w:rPr>
        <w:t>, du moins en partie,</w:t>
      </w:r>
      <w:r w:rsidR="000E03E0" w:rsidRPr="006449A5">
        <w:rPr>
          <w:rFonts w:ascii="Times New Roman" w:hAnsi="Times New Roman" w:cs="Times New Roman"/>
          <w:sz w:val="24"/>
          <w:szCs w:val="24"/>
        </w:rPr>
        <w:t xml:space="preserve"> du </w:t>
      </w:r>
      <w:r w:rsidR="00B87801" w:rsidRPr="006449A5">
        <w:rPr>
          <w:rFonts w:ascii="Times New Roman" w:hAnsi="Times New Roman" w:cs="Times New Roman"/>
          <w:sz w:val="24"/>
          <w:szCs w:val="24"/>
        </w:rPr>
        <w:t xml:space="preserve">« </w:t>
      </w:r>
      <w:r w:rsidR="000E03E0" w:rsidRPr="006449A5">
        <w:rPr>
          <w:rFonts w:ascii="Times New Roman" w:hAnsi="Times New Roman" w:cs="Times New Roman"/>
          <w:sz w:val="24"/>
          <w:szCs w:val="24"/>
        </w:rPr>
        <w:t>récit rhétorique de la modernité</w:t>
      </w:r>
      <w:r w:rsidR="000E03E0" w:rsidRPr="006449A5">
        <w:rPr>
          <w:rFonts w:ascii="Times New Roman" w:hAnsi="Times New Roman" w:cs="Times New Roman"/>
          <w:sz w:val="24"/>
          <w:szCs w:val="24"/>
          <w:vertAlign w:val="superscript"/>
        </w:rPr>
        <w:footnoteReference w:id="44"/>
      </w:r>
      <w:r w:rsidR="00B87801" w:rsidRPr="006449A5">
        <w:rPr>
          <w:rFonts w:ascii="Times New Roman" w:hAnsi="Times New Roman" w:cs="Times New Roman"/>
          <w:sz w:val="24"/>
          <w:szCs w:val="24"/>
        </w:rPr>
        <w:t>»</w:t>
      </w:r>
      <w:r w:rsidR="000E03E0" w:rsidRPr="006449A5">
        <w:rPr>
          <w:rFonts w:ascii="Times New Roman" w:hAnsi="Times New Roman" w:cs="Times New Roman"/>
          <w:sz w:val="24"/>
          <w:szCs w:val="24"/>
        </w:rPr>
        <w:t xml:space="preserve">. </w:t>
      </w:r>
    </w:p>
    <w:p w14:paraId="72D5A10E" w14:textId="2668F6C5" w:rsidR="000E03E0" w:rsidRPr="006449A5" w:rsidRDefault="000E03E0" w:rsidP="000E03E0">
      <w:pPr>
        <w:rPr>
          <w:rFonts w:ascii="Times New Roman" w:hAnsi="Times New Roman" w:cs="Times New Roman"/>
          <w:sz w:val="24"/>
          <w:szCs w:val="24"/>
        </w:rPr>
      </w:pPr>
      <w:r w:rsidRPr="006449A5">
        <w:rPr>
          <w:rFonts w:ascii="Times New Roman" w:hAnsi="Times New Roman" w:cs="Times New Roman"/>
          <w:sz w:val="24"/>
          <w:szCs w:val="24"/>
        </w:rPr>
        <w:t>A tout le moins, les visions du monde postcoloniales doivent être mieux reconnues - c'est-à-dire se voir accorder une visibilité et une valeur - à tous les niveaux, y compris dans le monde universitaire, notamment par la voix des universitaires du Sud</w:t>
      </w:r>
      <w:r w:rsidRPr="006449A5">
        <w:rPr>
          <w:rFonts w:ascii="Times New Roman" w:hAnsi="Times New Roman" w:cs="Times New Roman"/>
          <w:sz w:val="24"/>
          <w:szCs w:val="24"/>
          <w:vertAlign w:val="superscript"/>
        </w:rPr>
        <w:footnoteReference w:id="45"/>
      </w:r>
      <w:r w:rsidRPr="006449A5">
        <w:rPr>
          <w:rFonts w:ascii="Times New Roman" w:hAnsi="Times New Roman" w:cs="Times New Roman"/>
          <w:sz w:val="24"/>
          <w:szCs w:val="24"/>
        </w:rPr>
        <w:t xml:space="preserve">. Walter </w:t>
      </w:r>
      <w:proofErr w:type="spellStart"/>
      <w:r w:rsidRPr="006449A5">
        <w:rPr>
          <w:rFonts w:ascii="Times New Roman" w:hAnsi="Times New Roman" w:cs="Times New Roman"/>
          <w:sz w:val="24"/>
          <w:szCs w:val="24"/>
        </w:rPr>
        <w:t>Mignolo</w:t>
      </w:r>
      <w:proofErr w:type="spellEnd"/>
      <w:r w:rsidRPr="006449A5">
        <w:rPr>
          <w:rFonts w:ascii="Times New Roman" w:hAnsi="Times New Roman" w:cs="Times New Roman"/>
          <w:sz w:val="24"/>
          <w:szCs w:val="24"/>
        </w:rPr>
        <w:t xml:space="preserve"> a notamment suggéré que la connaissance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doit être le résultat d'une </w:t>
      </w:r>
      <w:r w:rsidRPr="006449A5">
        <w:rPr>
          <w:rFonts w:ascii="Times New Roman" w:hAnsi="Times New Roman" w:cs="Times New Roman"/>
          <w:i/>
          <w:iCs/>
          <w:sz w:val="24"/>
          <w:szCs w:val="24"/>
        </w:rPr>
        <w:t>pensée frontalière</w:t>
      </w:r>
      <w:r w:rsidRPr="006449A5">
        <w:rPr>
          <w:rFonts w:ascii="Times New Roman" w:hAnsi="Times New Roman" w:cs="Times New Roman"/>
          <w:sz w:val="24"/>
          <w:szCs w:val="24"/>
        </w:rPr>
        <w:t xml:space="preserve"> (« </w:t>
      </w:r>
      <w:r w:rsidRPr="006449A5">
        <w:rPr>
          <w:rFonts w:ascii="Times New Roman" w:hAnsi="Times New Roman" w:cs="Times New Roman"/>
          <w:i/>
          <w:iCs/>
          <w:sz w:val="24"/>
          <w:szCs w:val="24"/>
        </w:rPr>
        <w:t xml:space="preserve">border </w:t>
      </w:r>
      <w:proofErr w:type="spellStart"/>
      <w:r w:rsidRPr="006449A5">
        <w:rPr>
          <w:rFonts w:ascii="Times New Roman" w:hAnsi="Times New Roman" w:cs="Times New Roman"/>
          <w:i/>
          <w:iCs/>
          <w:sz w:val="24"/>
          <w:szCs w:val="24"/>
        </w:rPr>
        <w:t>thinking</w:t>
      </w:r>
      <w:proofErr w:type="spellEnd"/>
      <w:r w:rsidRPr="006449A5">
        <w:rPr>
          <w:rFonts w:ascii="Times New Roman" w:hAnsi="Times New Roman" w:cs="Times New Roman"/>
          <w:sz w:val="24"/>
          <w:szCs w:val="24"/>
        </w:rPr>
        <w:t> »</w:t>
      </w:r>
      <w:r w:rsidRPr="006449A5">
        <w:rPr>
          <w:rFonts w:ascii="Times New Roman" w:hAnsi="Times New Roman" w:cs="Times New Roman"/>
          <w:sz w:val="24"/>
          <w:szCs w:val="24"/>
          <w:vertAlign w:val="superscript"/>
        </w:rPr>
        <w:footnoteReference w:id="46"/>
      </w:r>
      <w:r w:rsidRPr="006449A5">
        <w:rPr>
          <w:rFonts w:ascii="Times New Roman" w:hAnsi="Times New Roman" w:cs="Times New Roman"/>
          <w:sz w:val="24"/>
          <w:szCs w:val="24"/>
        </w:rPr>
        <w:t>) entre les visions du monde postcoloniales et occidentales. Dans l'idéal, cela suppose que les chercheurs</w:t>
      </w:r>
      <w:r w:rsidR="0019083E" w:rsidRPr="006449A5">
        <w:rPr>
          <w:rStyle w:val="Appelnotedebasdep"/>
          <w:rFonts w:ascii="Times New Roman" w:hAnsi="Times New Roman" w:cs="Times New Roman"/>
          <w:sz w:val="24"/>
          <w:szCs w:val="24"/>
        </w:rPr>
        <w:footnoteReference w:id="47"/>
      </w:r>
      <w:r w:rsidRPr="006449A5">
        <w:rPr>
          <w:rFonts w:ascii="Times New Roman" w:hAnsi="Times New Roman" w:cs="Times New Roman"/>
          <w:sz w:val="24"/>
          <w:szCs w:val="24"/>
        </w:rPr>
        <w:t xml:space="preserve"> soient familiarisés à la fois avec les visions du monde postcoloniales et occidentales ou qu'ils mènent des recherches collectives réunissant des chercheurs familiarisés avec l'une ou l'autre de ces visions du monde</w:t>
      </w:r>
      <w:r w:rsidRPr="006449A5">
        <w:rPr>
          <w:rFonts w:ascii="Times New Roman" w:hAnsi="Times New Roman" w:cs="Times New Roman"/>
          <w:sz w:val="24"/>
          <w:szCs w:val="24"/>
          <w:vertAlign w:val="superscript"/>
        </w:rPr>
        <w:footnoteReference w:id="48"/>
      </w:r>
      <w:r w:rsidRPr="006449A5">
        <w:rPr>
          <w:rFonts w:ascii="Times New Roman" w:hAnsi="Times New Roman" w:cs="Times New Roman"/>
          <w:sz w:val="24"/>
          <w:szCs w:val="24"/>
        </w:rPr>
        <w:t>.</w:t>
      </w:r>
    </w:p>
    <w:p w14:paraId="08907E04" w14:textId="77777777" w:rsidR="000E03E0" w:rsidRPr="006449A5" w:rsidRDefault="000E03E0" w:rsidP="000E03E0">
      <w:pPr>
        <w:rPr>
          <w:rFonts w:ascii="Times New Roman" w:hAnsi="Times New Roman" w:cs="Times New Roman"/>
          <w:sz w:val="24"/>
          <w:szCs w:val="24"/>
        </w:rPr>
      </w:pPr>
      <w:r w:rsidRPr="006449A5">
        <w:rPr>
          <w:rFonts w:ascii="Times New Roman" w:hAnsi="Times New Roman" w:cs="Times New Roman"/>
          <w:sz w:val="24"/>
          <w:szCs w:val="24"/>
        </w:rPr>
        <w:lastRenderedPageBreak/>
        <w:t xml:space="preserve">En outre, la pensée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exige d'associer la modernité à la </w:t>
      </w:r>
      <w:proofErr w:type="spellStart"/>
      <w:r w:rsidRPr="006449A5">
        <w:rPr>
          <w:rFonts w:ascii="Times New Roman" w:hAnsi="Times New Roman" w:cs="Times New Roman"/>
          <w:sz w:val="24"/>
          <w:szCs w:val="24"/>
        </w:rPr>
        <w:t>colonialité</w:t>
      </w:r>
      <w:proofErr w:type="spellEnd"/>
      <w:r w:rsidRPr="006449A5">
        <w:rPr>
          <w:rFonts w:ascii="Times New Roman" w:hAnsi="Times New Roman" w:cs="Times New Roman"/>
          <w:sz w:val="24"/>
          <w:szCs w:val="24"/>
        </w:rPr>
        <w:t xml:space="preserve">, pour parler de </w:t>
      </w:r>
      <w:proofErr w:type="spellStart"/>
      <w:r w:rsidRPr="006449A5">
        <w:rPr>
          <w:rFonts w:ascii="Times New Roman" w:hAnsi="Times New Roman" w:cs="Times New Roman"/>
          <w:i/>
          <w:iCs/>
          <w:sz w:val="24"/>
          <w:szCs w:val="24"/>
        </w:rPr>
        <w:t>colonialité</w:t>
      </w:r>
      <w:proofErr w:type="spellEnd"/>
      <w:r w:rsidRPr="006449A5">
        <w:rPr>
          <w:rFonts w:ascii="Times New Roman" w:hAnsi="Times New Roman" w:cs="Times New Roman"/>
          <w:i/>
          <w:iCs/>
          <w:sz w:val="24"/>
          <w:szCs w:val="24"/>
        </w:rPr>
        <w:t>/modernité</w:t>
      </w:r>
      <w:r w:rsidRPr="006449A5">
        <w:rPr>
          <w:rFonts w:ascii="Times New Roman" w:hAnsi="Times New Roman" w:cs="Times New Roman"/>
          <w:sz w:val="24"/>
          <w:szCs w:val="24"/>
        </w:rPr>
        <w:t xml:space="preserve">. Comme l'a bien expliqué </w:t>
      </w:r>
      <w:proofErr w:type="spellStart"/>
      <w:r w:rsidRPr="006449A5">
        <w:rPr>
          <w:rFonts w:ascii="Times New Roman" w:hAnsi="Times New Roman" w:cs="Times New Roman"/>
          <w:sz w:val="24"/>
          <w:szCs w:val="24"/>
        </w:rPr>
        <w:t>Bhambra</w:t>
      </w:r>
      <w:proofErr w:type="spellEnd"/>
      <w:r w:rsidRPr="006449A5">
        <w:rPr>
          <w:rFonts w:ascii="Times New Roman" w:hAnsi="Times New Roman" w:cs="Times New Roman"/>
          <w:sz w:val="24"/>
          <w:szCs w:val="24"/>
        </w:rPr>
        <w:t xml:space="preserve"> : </w:t>
      </w:r>
    </w:p>
    <w:p w14:paraId="2A3F1088" w14:textId="30588074" w:rsidR="000E03E0" w:rsidRPr="006449A5" w:rsidRDefault="000E03E0" w:rsidP="000E03E0">
      <w:pPr>
        <w:rPr>
          <w:rFonts w:ascii="Times New Roman" w:hAnsi="Times New Roman" w:cs="Times New Roman"/>
          <w:sz w:val="24"/>
          <w:szCs w:val="24"/>
        </w:rPr>
      </w:pPr>
      <w:r w:rsidRPr="006449A5">
        <w:rPr>
          <w:rFonts w:ascii="Times New Roman" w:hAnsi="Times New Roman" w:cs="Times New Roman"/>
          <w:sz w:val="24"/>
          <w:szCs w:val="24"/>
        </w:rPr>
        <w:t xml:space="preserve">« La plupart des discussions sur l'Europe sont orientées vers des explications endogènes de ce que sont les Européens et de ce qu'est l'Europe. Contre cette conception dominante, </w:t>
      </w:r>
      <w:proofErr w:type="spellStart"/>
      <w:r w:rsidRPr="006449A5">
        <w:rPr>
          <w:rFonts w:ascii="Times New Roman" w:hAnsi="Times New Roman" w:cs="Times New Roman"/>
          <w:sz w:val="24"/>
          <w:szCs w:val="24"/>
        </w:rPr>
        <w:t>Quijano</w:t>
      </w:r>
      <w:proofErr w:type="spellEnd"/>
      <w:r w:rsidRPr="006449A5">
        <w:rPr>
          <w:rFonts w:ascii="Times New Roman" w:hAnsi="Times New Roman" w:cs="Times New Roman"/>
          <w:sz w:val="24"/>
          <w:szCs w:val="24"/>
        </w:rPr>
        <w:t xml:space="preserve"> soutient que la modernité que l'Europe considère comme le contexte de sa propre existence est, en fait, si profondément imbriquée dans les structures de la domination coloniale européenne sur le reste du monde qu'il est impossible de séparer les deux : d'où le tandem « modernité/</w:t>
      </w:r>
      <w:proofErr w:type="spellStart"/>
      <w:r w:rsidRPr="006449A5">
        <w:rPr>
          <w:rFonts w:ascii="Times New Roman" w:hAnsi="Times New Roman" w:cs="Times New Roman"/>
          <w:sz w:val="24"/>
          <w:szCs w:val="24"/>
        </w:rPr>
        <w:t>colonialité</w:t>
      </w:r>
      <w:proofErr w:type="spellEnd"/>
      <w:r w:rsidRPr="006449A5">
        <w:rPr>
          <w:rFonts w:ascii="Times New Roman" w:hAnsi="Times New Roman" w:cs="Times New Roman"/>
          <w:sz w:val="24"/>
          <w:szCs w:val="24"/>
        </w:rPr>
        <w:t> »</w:t>
      </w:r>
      <w:r w:rsidRPr="006449A5">
        <w:rPr>
          <w:rFonts w:ascii="Times New Roman" w:hAnsi="Times New Roman" w:cs="Times New Roman"/>
          <w:sz w:val="24"/>
          <w:szCs w:val="24"/>
          <w:vertAlign w:val="superscript"/>
        </w:rPr>
        <w:footnoteReference w:id="49"/>
      </w:r>
      <w:r w:rsidR="009F59B0" w:rsidRPr="006449A5">
        <w:rPr>
          <w:rFonts w:ascii="Times New Roman" w:hAnsi="Times New Roman" w:cs="Times New Roman"/>
          <w:sz w:val="24"/>
          <w:szCs w:val="24"/>
        </w:rPr>
        <w:t>».</w:t>
      </w:r>
    </w:p>
    <w:p w14:paraId="506A0A45" w14:textId="41C21128" w:rsidR="000E03E0" w:rsidRPr="006449A5" w:rsidRDefault="000E03E0" w:rsidP="000E03E0">
      <w:pPr>
        <w:rPr>
          <w:rFonts w:ascii="Times New Roman" w:hAnsi="Times New Roman" w:cs="Times New Roman"/>
          <w:sz w:val="24"/>
          <w:szCs w:val="24"/>
        </w:rPr>
      </w:pPr>
      <w:r w:rsidRPr="006449A5">
        <w:rPr>
          <w:rFonts w:ascii="Times New Roman" w:hAnsi="Times New Roman" w:cs="Times New Roman"/>
          <w:sz w:val="24"/>
          <w:szCs w:val="24"/>
        </w:rPr>
        <w:t xml:space="preserve">Par ailleurs, il faut souligner que l'approche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cherche à éviter la construction d'une énième singularité. Elle tente donc d'éviter la possibilité d'universaliser une définition unique de la </w:t>
      </w:r>
      <w:proofErr w:type="spellStart"/>
      <w:r w:rsidRPr="006449A5">
        <w:rPr>
          <w:rFonts w:ascii="Times New Roman" w:hAnsi="Times New Roman" w:cs="Times New Roman"/>
          <w:sz w:val="24"/>
          <w:szCs w:val="24"/>
        </w:rPr>
        <w:t>décolonialité</w:t>
      </w:r>
      <w:proofErr w:type="spellEnd"/>
      <w:r w:rsidRPr="006449A5">
        <w:rPr>
          <w:rFonts w:ascii="Times New Roman" w:hAnsi="Times New Roman" w:cs="Times New Roman"/>
          <w:sz w:val="24"/>
          <w:szCs w:val="24"/>
        </w:rPr>
        <w:t xml:space="preserve"> et de la différence, qui viserait à libérer tous les peuples, mais créerait inévitablement d'autres formes de violence. </w:t>
      </w:r>
      <w:r w:rsidR="00A13F09" w:rsidRPr="006449A5">
        <w:rPr>
          <w:rFonts w:ascii="Times New Roman" w:hAnsi="Times New Roman" w:cs="Times New Roman"/>
          <w:sz w:val="24"/>
          <w:szCs w:val="24"/>
        </w:rPr>
        <w:t>Elle entend</w:t>
      </w:r>
      <w:r w:rsidRPr="006449A5">
        <w:rPr>
          <w:rFonts w:ascii="Times New Roman" w:hAnsi="Times New Roman" w:cs="Times New Roman"/>
          <w:sz w:val="24"/>
          <w:szCs w:val="24"/>
        </w:rPr>
        <w:t xml:space="preserve"> rendre compte des multiples histoires locales - c'est-à-dire des expériences de colonisation - qui montrent différentes facettes de l'oppression (néo)coloniale et appellent des réponses contextualisées</w:t>
      </w:r>
      <w:r w:rsidRPr="006449A5">
        <w:rPr>
          <w:rFonts w:ascii="Times New Roman" w:hAnsi="Times New Roman" w:cs="Times New Roman"/>
          <w:sz w:val="24"/>
          <w:szCs w:val="24"/>
          <w:vertAlign w:val="superscript"/>
        </w:rPr>
        <w:footnoteReference w:id="50"/>
      </w:r>
      <w:r w:rsidRPr="006449A5">
        <w:rPr>
          <w:rFonts w:ascii="Times New Roman" w:hAnsi="Times New Roman" w:cs="Times New Roman"/>
          <w:sz w:val="24"/>
          <w:szCs w:val="24"/>
        </w:rPr>
        <w:t xml:space="preserve">. En outre, l'approche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implique la prise en compte des </w:t>
      </w:r>
      <w:r w:rsidR="00EE1B76">
        <w:rPr>
          <w:rFonts w:ascii="Times New Roman" w:hAnsi="Times New Roman" w:cs="Times New Roman"/>
          <w:sz w:val="24"/>
          <w:szCs w:val="24"/>
        </w:rPr>
        <w:t>marginalités</w:t>
      </w:r>
      <w:r w:rsidR="00EE1B76" w:rsidRPr="00EE1B76">
        <w:rPr>
          <w:rFonts w:ascii="Times New Roman" w:hAnsi="Times New Roman" w:cs="Times New Roman"/>
          <w:sz w:val="24"/>
          <w:szCs w:val="24"/>
          <w:vertAlign w:val="superscript"/>
        </w:rPr>
        <w:footnoteReference w:id="51"/>
      </w:r>
      <w:r w:rsidR="00EE1B76" w:rsidRPr="00EE1B76">
        <w:rPr>
          <w:rFonts w:ascii="Times New Roman" w:hAnsi="Times New Roman" w:cs="Times New Roman"/>
          <w:sz w:val="24"/>
          <w:szCs w:val="24"/>
        </w:rPr>
        <w:t xml:space="preserve"> </w:t>
      </w:r>
      <w:r w:rsidRPr="006449A5">
        <w:rPr>
          <w:rFonts w:ascii="Times New Roman" w:hAnsi="Times New Roman" w:cs="Times New Roman"/>
          <w:sz w:val="24"/>
          <w:szCs w:val="24"/>
        </w:rPr>
        <w:t>individuelles</w:t>
      </w:r>
      <w:r w:rsidR="00ED64AF" w:rsidRPr="006449A5">
        <w:rPr>
          <w:rFonts w:ascii="Times New Roman" w:hAnsi="Times New Roman" w:cs="Times New Roman"/>
          <w:sz w:val="24"/>
          <w:szCs w:val="24"/>
        </w:rPr>
        <w:t xml:space="preserve"> </w:t>
      </w:r>
      <w:r w:rsidRPr="006449A5">
        <w:rPr>
          <w:rFonts w:ascii="Times New Roman" w:hAnsi="Times New Roman" w:cs="Times New Roman"/>
          <w:sz w:val="24"/>
          <w:szCs w:val="24"/>
        </w:rPr>
        <w:t xml:space="preserve">- un point qui sera examiné plus en détail dans la </w:t>
      </w:r>
      <w:r w:rsidR="007F1A4E" w:rsidRPr="006449A5">
        <w:rPr>
          <w:rFonts w:ascii="Times New Roman" w:hAnsi="Times New Roman" w:cs="Times New Roman"/>
          <w:sz w:val="24"/>
          <w:szCs w:val="24"/>
        </w:rPr>
        <w:t>sous-partie</w:t>
      </w:r>
      <w:r w:rsidRPr="006449A5">
        <w:rPr>
          <w:rFonts w:ascii="Times New Roman" w:hAnsi="Times New Roman" w:cs="Times New Roman"/>
          <w:sz w:val="24"/>
          <w:szCs w:val="24"/>
        </w:rPr>
        <w:t xml:space="preserve"> suivante. </w:t>
      </w:r>
    </w:p>
    <w:p w14:paraId="6B9F1D9D" w14:textId="6B26B5E3" w:rsidR="000E03E0" w:rsidRPr="006449A5" w:rsidRDefault="000E03E0" w:rsidP="004A2030">
      <w:pPr>
        <w:rPr>
          <w:rFonts w:ascii="Times New Roman" w:hAnsi="Times New Roman" w:cs="Times New Roman"/>
          <w:sz w:val="24"/>
          <w:szCs w:val="24"/>
        </w:rPr>
      </w:pPr>
      <w:r w:rsidRPr="006449A5">
        <w:rPr>
          <w:rFonts w:ascii="Times New Roman" w:hAnsi="Times New Roman" w:cs="Times New Roman"/>
          <w:sz w:val="24"/>
          <w:szCs w:val="24"/>
        </w:rPr>
        <w:t>Enfin,</w:t>
      </w:r>
      <w:bookmarkStart w:id="17" w:name="_Hlk182495799"/>
      <w:r w:rsidRPr="006449A5">
        <w:rPr>
          <w:rFonts w:ascii="Times New Roman" w:hAnsi="Times New Roman" w:cs="Times New Roman"/>
          <w:sz w:val="24"/>
          <w:szCs w:val="24"/>
        </w:rPr>
        <w:t xml:space="preserve"> il est important de comprendre que la pensée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ne consiste pas (seulement) à opposer l'Occident au reste du monde. Il s'agit également d'aider chacun à trouver un paradigme pour faire face aux défis mondiaux tels que le changement climatique et la santé mondiale</w:t>
      </w:r>
      <w:r w:rsidR="00ED64AF" w:rsidRPr="006449A5">
        <w:rPr>
          <w:rFonts w:ascii="Times New Roman" w:hAnsi="Times New Roman" w:cs="Times New Roman"/>
          <w:sz w:val="24"/>
          <w:szCs w:val="24"/>
        </w:rPr>
        <w:t>, qui reflèterait un mélange de plusieurs visions du monde</w:t>
      </w:r>
      <w:r w:rsidRPr="006449A5">
        <w:rPr>
          <w:rFonts w:ascii="Times New Roman" w:hAnsi="Times New Roman" w:cs="Times New Roman"/>
          <w:sz w:val="24"/>
          <w:szCs w:val="24"/>
        </w:rPr>
        <w:t xml:space="preserve">. </w:t>
      </w:r>
      <w:bookmarkEnd w:id="17"/>
      <w:r w:rsidR="00ED64AF" w:rsidRPr="006449A5">
        <w:rPr>
          <w:rFonts w:ascii="Times New Roman" w:hAnsi="Times New Roman" w:cs="Times New Roman"/>
          <w:sz w:val="24"/>
          <w:szCs w:val="24"/>
        </w:rPr>
        <w:t>Notamment</w:t>
      </w:r>
      <w:r w:rsidRPr="006449A5">
        <w:rPr>
          <w:rFonts w:ascii="Times New Roman" w:hAnsi="Times New Roman" w:cs="Times New Roman"/>
          <w:sz w:val="24"/>
          <w:szCs w:val="24"/>
        </w:rPr>
        <w:t>, certaines visions du monde non</w:t>
      </w:r>
      <w:r w:rsidR="00C457B5" w:rsidRPr="006449A5">
        <w:rPr>
          <w:rFonts w:ascii="Times New Roman" w:hAnsi="Times New Roman" w:cs="Times New Roman"/>
          <w:sz w:val="24"/>
          <w:szCs w:val="24"/>
        </w:rPr>
        <w:t>-</w:t>
      </w:r>
      <w:r w:rsidRPr="006449A5">
        <w:rPr>
          <w:rFonts w:ascii="Times New Roman" w:hAnsi="Times New Roman" w:cs="Times New Roman"/>
          <w:sz w:val="24"/>
          <w:szCs w:val="24"/>
        </w:rPr>
        <w:t>occidentales peuvent permettre à chacun de vivre heureux autrement, y compris et surtout d'une manière plus compatible avec le monde naturel. Par exemple, le mode de vie de nombreux peuples autochtones, qui est certainement plus en phase avec la nature que le monde moderne, pourrait grandement inspirer la lutte contre le changement climatique au niveau mondial</w:t>
      </w:r>
      <w:r w:rsidRPr="006449A5">
        <w:rPr>
          <w:rFonts w:ascii="Times New Roman" w:hAnsi="Times New Roman" w:cs="Times New Roman"/>
          <w:sz w:val="24"/>
          <w:szCs w:val="24"/>
          <w:vertAlign w:val="superscript"/>
        </w:rPr>
        <w:footnoteReference w:id="52"/>
      </w:r>
      <w:r w:rsidRPr="006449A5">
        <w:rPr>
          <w:rFonts w:ascii="Times New Roman" w:hAnsi="Times New Roman" w:cs="Times New Roman"/>
          <w:sz w:val="24"/>
          <w:szCs w:val="24"/>
        </w:rPr>
        <w:t xml:space="preserve">.  </w:t>
      </w:r>
      <w:bookmarkEnd w:id="15"/>
    </w:p>
    <w:p w14:paraId="1C1D5AF8" w14:textId="77777777" w:rsidR="00760147" w:rsidRPr="006449A5" w:rsidRDefault="00760147">
      <w:pPr>
        <w:rPr>
          <w:rFonts w:ascii="Times New Roman" w:hAnsi="Times New Roman" w:cs="Times New Roman"/>
          <w:sz w:val="28"/>
          <w:szCs w:val="28"/>
          <w:u w:val="single"/>
        </w:rPr>
      </w:pPr>
      <w:r w:rsidRPr="006449A5">
        <w:rPr>
          <w:rFonts w:ascii="Times New Roman" w:hAnsi="Times New Roman" w:cs="Times New Roman"/>
          <w:sz w:val="28"/>
          <w:szCs w:val="28"/>
          <w:u w:val="single"/>
        </w:rPr>
        <w:t xml:space="preserve">Adopter la théorie </w:t>
      </w:r>
      <w:proofErr w:type="spellStart"/>
      <w:r w:rsidRPr="006449A5">
        <w:rPr>
          <w:rFonts w:ascii="Times New Roman" w:hAnsi="Times New Roman" w:cs="Times New Roman"/>
          <w:sz w:val="28"/>
          <w:szCs w:val="28"/>
          <w:u w:val="single"/>
        </w:rPr>
        <w:t>décoloniale</w:t>
      </w:r>
      <w:proofErr w:type="spellEnd"/>
      <w:r w:rsidRPr="006449A5">
        <w:rPr>
          <w:rFonts w:ascii="Times New Roman" w:hAnsi="Times New Roman" w:cs="Times New Roman"/>
          <w:sz w:val="28"/>
          <w:szCs w:val="28"/>
          <w:u w:val="single"/>
        </w:rPr>
        <w:t xml:space="preserve"> dans un article européen sur le droit européen : Possibilités et limites</w:t>
      </w:r>
    </w:p>
    <w:p w14:paraId="1C7FCA10" w14:textId="1C94237E" w:rsidR="00D971ED" w:rsidRPr="006449A5" w:rsidRDefault="00D971ED" w:rsidP="00D971ED">
      <w:pPr>
        <w:rPr>
          <w:rFonts w:ascii="Times New Roman" w:hAnsi="Times New Roman" w:cs="Times New Roman"/>
          <w:sz w:val="24"/>
          <w:szCs w:val="24"/>
        </w:rPr>
      </w:pPr>
      <w:bookmarkStart w:id="18" w:name="_Hlk174024226"/>
      <w:r w:rsidRPr="006449A5">
        <w:rPr>
          <w:rFonts w:ascii="Times New Roman" w:hAnsi="Times New Roman" w:cs="Times New Roman"/>
          <w:sz w:val="24"/>
          <w:szCs w:val="24"/>
        </w:rPr>
        <w:t xml:space="preserve">La question à laquelle il faut maintenant répondre est </w:t>
      </w:r>
      <w:r w:rsidR="00636C65" w:rsidRPr="006449A5">
        <w:rPr>
          <w:rFonts w:ascii="Times New Roman" w:hAnsi="Times New Roman" w:cs="Times New Roman"/>
          <w:sz w:val="24"/>
          <w:szCs w:val="24"/>
        </w:rPr>
        <w:t>la suivante :</w:t>
      </w:r>
      <w:r w:rsidRPr="006449A5">
        <w:rPr>
          <w:rFonts w:ascii="Times New Roman" w:hAnsi="Times New Roman" w:cs="Times New Roman"/>
          <w:sz w:val="24"/>
          <w:szCs w:val="24"/>
        </w:rPr>
        <w:t xml:space="preserve"> comment la théorie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remet</w:t>
      </w:r>
      <w:r w:rsidR="00636C65" w:rsidRPr="006449A5">
        <w:rPr>
          <w:rFonts w:ascii="Times New Roman" w:hAnsi="Times New Roman" w:cs="Times New Roman"/>
          <w:sz w:val="24"/>
          <w:szCs w:val="24"/>
        </w:rPr>
        <w:t xml:space="preserve">-elle </w:t>
      </w:r>
      <w:r w:rsidRPr="006449A5">
        <w:rPr>
          <w:rFonts w:ascii="Times New Roman" w:hAnsi="Times New Roman" w:cs="Times New Roman"/>
          <w:sz w:val="24"/>
          <w:szCs w:val="24"/>
        </w:rPr>
        <w:t xml:space="preserve">en question le droit étatique en Europe, </w:t>
      </w:r>
      <w:r w:rsidR="00636C65" w:rsidRPr="006449A5">
        <w:rPr>
          <w:rFonts w:ascii="Times New Roman" w:hAnsi="Times New Roman" w:cs="Times New Roman"/>
          <w:sz w:val="24"/>
          <w:szCs w:val="24"/>
        </w:rPr>
        <w:t>et spécialement le DIP ? Les</w:t>
      </w:r>
      <w:r w:rsidRPr="006449A5">
        <w:rPr>
          <w:rFonts w:ascii="Times New Roman" w:hAnsi="Times New Roman" w:cs="Times New Roman"/>
          <w:sz w:val="24"/>
          <w:szCs w:val="24"/>
        </w:rPr>
        <w:t xml:space="preserve"> </w:t>
      </w:r>
      <w:r w:rsidRPr="006449A5">
        <w:rPr>
          <w:rFonts w:ascii="Times New Roman" w:hAnsi="Times New Roman" w:cs="Times New Roman"/>
          <w:sz w:val="24"/>
          <w:szCs w:val="24"/>
        </w:rPr>
        <w:lastRenderedPageBreak/>
        <w:t xml:space="preserve">conclusions présentées </w:t>
      </w:r>
      <w:r w:rsidR="00636C65" w:rsidRPr="006449A5">
        <w:rPr>
          <w:rFonts w:ascii="Times New Roman" w:hAnsi="Times New Roman" w:cs="Times New Roman"/>
          <w:sz w:val="24"/>
          <w:szCs w:val="24"/>
        </w:rPr>
        <w:t>ici</w:t>
      </w:r>
      <w:r w:rsidRPr="006449A5">
        <w:rPr>
          <w:rFonts w:ascii="Times New Roman" w:hAnsi="Times New Roman" w:cs="Times New Roman"/>
          <w:sz w:val="24"/>
          <w:szCs w:val="24"/>
        </w:rPr>
        <w:t xml:space="preserve"> </w:t>
      </w:r>
      <w:r w:rsidR="00636C65" w:rsidRPr="006449A5">
        <w:rPr>
          <w:rFonts w:ascii="Times New Roman" w:hAnsi="Times New Roman" w:cs="Times New Roman"/>
          <w:sz w:val="24"/>
          <w:szCs w:val="24"/>
        </w:rPr>
        <w:t>se fondent</w:t>
      </w:r>
      <w:r w:rsidR="00636C65" w:rsidRPr="006449A5">
        <w:rPr>
          <w:rStyle w:val="Marquedecommentaire"/>
        </w:rPr>
        <w:t xml:space="preserve"> </w:t>
      </w:r>
      <w:r w:rsidR="00636C65" w:rsidRPr="006449A5">
        <w:rPr>
          <w:rFonts w:ascii="Times New Roman" w:hAnsi="Times New Roman" w:cs="Times New Roman"/>
          <w:sz w:val="24"/>
          <w:szCs w:val="24"/>
        </w:rPr>
        <w:t>su</w:t>
      </w:r>
      <w:r w:rsidRPr="006449A5">
        <w:rPr>
          <w:rFonts w:ascii="Times New Roman" w:hAnsi="Times New Roman" w:cs="Times New Roman"/>
          <w:sz w:val="24"/>
          <w:szCs w:val="24"/>
        </w:rPr>
        <w:t>r un travail de comparaison</w:t>
      </w:r>
      <w:r w:rsidR="00636C65" w:rsidRPr="006449A5">
        <w:rPr>
          <w:rFonts w:ascii="Times New Roman" w:hAnsi="Times New Roman" w:cs="Times New Roman"/>
          <w:sz w:val="24"/>
          <w:szCs w:val="24"/>
        </w:rPr>
        <w:t xml:space="preserve"> préexistant</w:t>
      </w:r>
      <w:r w:rsidR="00203354" w:rsidRPr="006449A5">
        <w:rPr>
          <w:rFonts w:ascii="Times New Roman" w:hAnsi="Times New Roman" w:cs="Times New Roman"/>
          <w:sz w:val="24"/>
          <w:szCs w:val="24"/>
          <w:vertAlign w:val="superscript"/>
        </w:rPr>
        <w:t xml:space="preserve"> </w:t>
      </w:r>
      <w:r w:rsidR="00636C65" w:rsidRPr="006449A5">
        <w:rPr>
          <w:rFonts w:ascii="Times New Roman" w:hAnsi="Times New Roman" w:cs="Times New Roman"/>
          <w:sz w:val="24"/>
          <w:szCs w:val="24"/>
        </w:rPr>
        <w:t xml:space="preserve">entre les exigences </w:t>
      </w:r>
      <w:proofErr w:type="spellStart"/>
      <w:r w:rsidR="00636C65" w:rsidRPr="006449A5">
        <w:rPr>
          <w:rFonts w:ascii="Times New Roman" w:hAnsi="Times New Roman" w:cs="Times New Roman"/>
          <w:sz w:val="24"/>
          <w:szCs w:val="24"/>
        </w:rPr>
        <w:t>décoloniales</w:t>
      </w:r>
      <w:proofErr w:type="spellEnd"/>
      <w:r w:rsidR="00636C65" w:rsidRPr="006449A5">
        <w:rPr>
          <w:rFonts w:ascii="Times New Roman" w:hAnsi="Times New Roman" w:cs="Times New Roman"/>
          <w:sz w:val="24"/>
          <w:szCs w:val="24"/>
        </w:rPr>
        <w:t xml:space="preserve"> et celles résultant de la gestion de la diversité culturelle </w:t>
      </w:r>
      <w:r w:rsidRPr="006449A5">
        <w:rPr>
          <w:rFonts w:ascii="Times New Roman" w:hAnsi="Times New Roman" w:cs="Times New Roman"/>
          <w:sz w:val="24"/>
          <w:szCs w:val="24"/>
        </w:rPr>
        <w:t>dans les démocraties occidentales contemporaines</w:t>
      </w:r>
      <w:r w:rsidRPr="006449A5">
        <w:rPr>
          <w:rFonts w:ascii="Times New Roman" w:hAnsi="Times New Roman" w:cs="Times New Roman"/>
          <w:sz w:val="24"/>
          <w:szCs w:val="24"/>
          <w:vertAlign w:val="superscript"/>
        </w:rPr>
        <w:footnoteReference w:id="53"/>
      </w:r>
      <w:r w:rsidRPr="006449A5">
        <w:rPr>
          <w:rFonts w:ascii="Times New Roman" w:hAnsi="Times New Roman" w:cs="Times New Roman"/>
          <w:sz w:val="24"/>
          <w:szCs w:val="24"/>
        </w:rPr>
        <w:t>.</w:t>
      </w:r>
    </w:p>
    <w:p w14:paraId="6D779B35" w14:textId="69697D8C" w:rsidR="00D971ED" w:rsidRPr="006449A5" w:rsidRDefault="002F60E7" w:rsidP="00D971ED">
      <w:pPr>
        <w:rPr>
          <w:rFonts w:ascii="Times New Roman" w:hAnsi="Times New Roman" w:cs="Times New Roman"/>
          <w:sz w:val="24"/>
          <w:szCs w:val="24"/>
        </w:rPr>
      </w:pPr>
      <w:r w:rsidRPr="006449A5">
        <w:rPr>
          <w:rFonts w:ascii="Times New Roman" w:hAnsi="Times New Roman" w:cs="Times New Roman"/>
          <w:sz w:val="24"/>
          <w:szCs w:val="24"/>
        </w:rPr>
        <w:t xml:space="preserve">Si l’on décide de tenter de transformer le droit pour qu’il reflète davantage une certaine justice, </w:t>
      </w:r>
      <w:r w:rsidR="00D971ED" w:rsidRPr="006449A5">
        <w:rPr>
          <w:rFonts w:ascii="Times New Roman" w:hAnsi="Times New Roman" w:cs="Times New Roman"/>
          <w:sz w:val="24"/>
          <w:szCs w:val="24"/>
        </w:rPr>
        <w:t xml:space="preserve">la pensée </w:t>
      </w:r>
      <w:proofErr w:type="spellStart"/>
      <w:r w:rsidR="00D971ED" w:rsidRPr="006449A5">
        <w:rPr>
          <w:rFonts w:ascii="Times New Roman" w:hAnsi="Times New Roman" w:cs="Times New Roman"/>
          <w:sz w:val="24"/>
          <w:szCs w:val="24"/>
        </w:rPr>
        <w:t>décoloniale</w:t>
      </w:r>
      <w:proofErr w:type="spellEnd"/>
      <w:r w:rsidR="00D971ED" w:rsidRPr="006449A5">
        <w:rPr>
          <w:rFonts w:ascii="Times New Roman" w:hAnsi="Times New Roman" w:cs="Times New Roman"/>
          <w:sz w:val="24"/>
          <w:szCs w:val="24"/>
        </w:rPr>
        <w:t xml:space="preserve"> fait apparaître la théorie juridique conventionnelle, notamment les fonctions du droit étatique (y compris le fait d'ordonner la société), ses caractéristiques (y compris la généralité et l'abstraction), ses modes de raisonnement, sa légitimité supposée et sa supériorité par rapport à d'autres normes (parce qu'elle est fondée sur la Raison), son processus d'adoption, ses sources et son enseignement, comme reflétant les visions du monde </w:t>
      </w:r>
      <w:r w:rsidR="00C457B5" w:rsidRPr="006449A5">
        <w:rPr>
          <w:rFonts w:ascii="Times New Roman" w:hAnsi="Times New Roman" w:cs="Times New Roman"/>
          <w:sz w:val="24"/>
          <w:szCs w:val="24"/>
        </w:rPr>
        <w:t>européennes</w:t>
      </w:r>
      <w:r w:rsidR="00D971ED" w:rsidRPr="006449A5">
        <w:rPr>
          <w:rFonts w:ascii="Times New Roman" w:hAnsi="Times New Roman" w:cs="Times New Roman"/>
          <w:sz w:val="24"/>
          <w:szCs w:val="24"/>
        </w:rPr>
        <w:t>. En d'autres termes,</w:t>
      </w:r>
      <w:r w:rsidR="00203354" w:rsidRPr="006449A5">
        <w:rPr>
          <w:rFonts w:ascii="Times New Roman" w:hAnsi="Times New Roman" w:cs="Times New Roman"/>
          <w:sz w:val="24"/>
          <w:szCs w:val="24"/>
        </w:rPr>
        <w:t xml:space="preserve"> à l'instar de ce que pourraient suggérer les études culturelles (« </w:t>
      </w:r>
      <w:r w:rsidR="00203354" w:rsidRPr="006449A5">
        <w:rPr>
          <w:rFonts w:ascii="Times New Roman" w:hAnsi="Times New Roman" w:cs="Times New Roman"/>
          <w:i/>
          <w:iCs/>
          <w:sz w:val="24"/>
          <w:szCs w:val="24"/>
        </w:rPr>
        <w:t xml:space="preserve">cultural </w:t>
      </w:r>
      <w:proofErr w:type="spellStart"/>
      <w:r w:rsidR="00203354" w:rsidRPr="006449A5">
        <w:rPr>
          <w:rFonts w:ascii="Times New Roman" w:hAnsi="Times New Roman" w:cs="Times New Roman"/>
          <w:i/>
          <w:iCs/>
          <w:sz w:val="24"/>
          <w:szCs w:val="24"/>
        </w:rPr>
        <w:t>studies</w:t>
      </w:r>
      <w:proofErr w:type="spellEnd"/>
      <w:r w:rsidR="00203354" w:rsidRPr="006449A5">
        <w:rPr>
          <w:rFonts w:ascii="Times New Roman" w:hAnsi="Times New Roman" w:cs="Times New Roman"/>
          <w:sz w:val="24"/>
          <w:szCs w:val="24"/>
        </w:rPr>
        <w:t xml:space="preserve"> ») du droit, le droit étatique est perçu comme un artefact culturel émanant de la tradition européenne</w:t>
      </w:r>
      <w:r w:rsidR="00D971ED" w:rsidRPr="006449A5">
        <w:rPr>
          <w:rFonts w:ascii="Times New Roman" w:hAnsi="Times New Roman" w:cs="Times New Roman"/>
          <w:sz w:val="24"/>
          <w:szCs w:val="24"/>
          <w:vertAlign w:val="superscript"/>
        </w:rPr>
        <w:footnoteReference w:id="54"/>
      </w:r>
      <w:r w:rsidR="00D971ED" w:rsidRPr="006449A5">
        <w:rPr>
          <w:rFonts w:ascii="Times New Roman" w:hAnsi="Times New Roman" w:cs="Times New Roman"/>
          <w:sz w:val="24"/>
          <w:szCs w:val="24"/>
        </w:rPr>
        <w:t xml:space="preserve">. Notamment, le concept de </w:t>
      </w:r>
      <w:proofErr w:type="spellStart"/>
      <w:r w:rsidR="00D971ED" w:rsidRPr="006449A5">
        <w:rPr>
          <w:rFonts w:ascii="Times New Roman" w:hAnsi="Times New Roman" w:cs="Times New Roman"/>
          <w:sz w:val="24"/>
          <w:szCs w:val="24"/>
        </w:rPr>
        <w:t>pluriversalité</w:t>
      </w:r>
      <w:proofErr w:type="spellEnd"/>
      <w:r w:rsidR="00D971ED" w:rsidRPr="006449A5">
        <w:rPr>
          <w:rFonts w:ascii="Times New Roman" w:hAnsi="Times New Roman" w:cs="Times New Roman"/>
          <w:sz w:val="24"/>
          <w:szCs w:val="24"/>
        </w:rPr>
        <w:t xml:space="preserve"> remet en question l'hypothèse d'universalité incluse dans la théorie juridique moderne, qui naturalise certaines visions occidentales du monde. Peut-être plus encore, le concept de </w:t>
      </w:r>
      <w:proofErr w:type="spellStart"/>
      <w:r w:rsidR="00D971ED" w:rsidRPr="006449A5">
        <w:rPr>
          <w:rFonts w:ascii="Times New Roman" w:hAnsi="Times New Roman" w:cs="Times New Roman"/>
          <w:sz w:val="24"/>
          <w:szCs w:val="24"/>
        </w:rPr>
        <w:t>pluriversalité</w:t>
      </w:r>
      <w:proofErr w:type="spellEnd"/>
      <w:r w:rsidR="00D971ED" w:rsidRPr="006449A5">
        <w:rPr>
          <w:rFonts w:ascii="Times New Roman" w:hAnsi="Times New Roman" w:cs="Times New Roman"/>
          <w:i/>
          <w:iCs/>
          <w:sz w:val="24"/>
          <w:szCs w:val="24"/>
        </w:rPr>
        <w:t xml:space="preserve"> </w:t>
      </w:r>
      <w:r w:rsidR="00D971ED" w:rsidRPr="006449A5">
        <w:rPr>
          <w:rFonts w:ascii="Times New Roman" w:hAnsi="Times New Roman" w:cs="Times New Roman"/>
          <w:sz w:val="24"/>
          <w:szCs w:val="24"/>
        </w:rPr>
        <w:t xml:space="preserve">exige de renoncer à l'hypothèse universaliste-rationaliste qui sous-tend la théorie juridique moderne, pour considérer au contraire que le </w:t>
      </w:r>
      <w:r w:rsidR="009F59B0" w:rsidRPr="006449A5">
        <w:rPr>
          <w:rFonts w:ascii="Times New Roman" w:hAnsi="Times New Roman" w:cs="Times New Roman"/>
          <w:sz w:val="24"/>
          <w:szCs w:val="24"/>
        </w:rPr>
        <w:t xml:space="preserve">« </w:t>
      </w:r>
      <w:r w:rsidR="00D971ED" w:rsidRPr="006449A5">
        <w:rPr>
          <w:rFonts w:ascii="Times New Roman" w:hAnsi="Times New Roman" w:cs="Times New Roman"/>
          <w:sz w:val="24"/>
          <w:szCs w:val="24"/>
        </w:rPr>
        <w:t>consensus de tous est une illusion contrefactuelle</w:t>
      </w:r>
      <w:r w:rsidR="009F59B0" w:rsidRPr="006449A5">
        <w:rPr>
          <w:rFonts w:ascii="Times New Roman" w:hAnsi="Times New Roman" w:cs="Times New Roman"/>
          <w:sz w:val="24"/>
          <w:szCs w:val="24"/>
        </w:rPr>
        <w:t xml:space="preserve"> »</w:t>
      </w:r>
      <w:r w:rsidR="00D971ED" w:rsidRPr="006449A5">
        <w:rPr>
          <w:rFonts w:ascii="Times New Roman" w:hAnsi="Times New Roman" w:cs="Times New Roman"/>
          <w:sz w:val="24"/>
          <w:szCs w:val="24"/>
        </w:rPr>
        <w:t>, de sorte qu'un raisonnement juridique sain doit être plus modeste, c'est-à-dire « sensible aux différences d'identité, de besoins et de modes de raisonnement sans les effacer derrière une conception de l'autonomie morale rationnelle uniforme</w:t>
      </w:r>
      <w:r w:rsidR="00D971ED" w:rsidRPr="006449A5">
        <w:rPr>
          <w:rFonts w:ascii="Times New Roman" w:hAnsi="Times New Roman" w:cs="Times New Roman"/>
          <w:sz w:val="24"/>
          <w:szCs w:val="24"/>
          <w:vertAlign w:val="superscript"/>
        </w:rPr>
        <w:footnoteReference w:id="55"/>
      </w:r>
      <w:r w:rsidR="00D971ED" w:rsidRPr="006449A5">
        <w:rPr>
          <w:rFonts w:ascii="Times New Roman" w:hAnsi="Times New Roman" w:cs="Times New Roman"/>
          <w:sz w:val="24"/>
          <w:szCs w:val="24"/>
        </w:rPr>
        <w:t xml:space="preserve"> ». Dans ce contexte, « même la législation sur les droits de l'homme perd son objectivité et cède la place à un </w:t>
      </w:r>
      <w:proofErr w:type="spellStart"/>
      <w:r w:rsidR="00D971ED" w:rsidRPr="006449A5">
        <w:rPr>
          <w:rFonts w:ascii="Times New Roman" w:hAnsi="Times New Roman" w:cs="Times New Roman"/>
          <w:sz w:val="24"/>
          <w:szCs w:val="24"/>
        </w:rPr>
        <w:t>plurivers</w:t>
      </w:r>
      <w:proofErr w:type="spellEnd"/>
      <w:r w:rsidR="00D971ED" w:rsidRPr="006449A5">
        <w:rPr>
          <w:rFonts w:ascii="Times New Roman" w:hAnsi="Times New Roman" w:cs="Times New Roman"/>
          <w:sz w:val="24"/>
          <w:szCs w:val="24"/>
        </w:rPr>
        <w:t xml:space="preserve"> de droits de l'homme, promulgués dans de nombreux cadres cognitifs contre-hégémoniques</w:t>
      </w:r>
      <w:r w:rsidR="00D971ED" w:rsidRPr="006449A5">
        <w:rPr>
          <w:rFonts w:ascii="Times New Roman" w:hAnsi="Times New Roman" w:cs="Times New Roman"/>
          <w:sz w:val="24"/>
          <w:szCs w:val="24"/>
          <w:vertAlign w:val="superscript"/>
        </w:rPr>
        <w:footnoteReference w:id="56"/>
      </w:r>
      <w:r w:rsidR="00D971ED" w:rsidRPr="006449A5">
        <w:rPr>
          <w:rFonts w:ascii="Times New Roman" w:hAnsi="Times New Roman" w:cs="Times New Roman"/>
          <w:sz w:val="24"/>
          <w:szCs w:val="24"/>
        </w:rPr>
        <w:t xml:space="preserve">». Lors de l’étude de cas, l’on se demandera ce que cela signifie pour le DIP et les cas </w:t>
      </w:r>
      <w:r w:rsidR="00370C33" w:rsidRPr="006449A5">
        <w:rPr>
          <w:rFonts w:ascii="Times New Roman" w:hAnsi="Times New Roman" w:cs="Times New Roman"/>
          <w:sz w:val="24"/>
          <w:szCs w:val="24"/>
        </w:rPr>
        <w:t>qui nous occupent</w:t>
      </w:r>
      <w:r w:rsidR="00D971ED" w:rsidRPr="006449A5">
        <w:rPr>
          <w:rFonts w:ascii="Times New Roman" w:hAnsi="Times New Roman" w:cs="Times New Roman"/>
          <w:sz w:val="24"/>
          <w:szCs w:val="24"/>
        </w:rPr>
        <w:t xml:space="preserve">, notamment au </w:t>
      </w:r>
      <w:r w:rsidR="00203354" w:rsidRPr="006449A5">
        <w:rPr>
          <w:rFonts w:ascii="Times New Roman" w:hAnsi="Times New Roman" w:cs="Times New Roman"/>
          <w:sz w:val="24"/>
          <w:szCs w:val="24"/>
        </w:rPr>
        <w:t>stade</w:t>
      </w:r>
      <w:r w:rsidR="00D971ED" w:rsidRPr="006449A5">
        <w:rPr>
          <w:rFonts w:ascii="Times New Roman" w:hAnsi="Times New Roman" w:cs="Times New Roman"/>
          <w:sz w:val="24"/>
          <w:szCs w:val="24"/>
        </w:rPr>
        <w:t xml:space="preserve"> de la preuve du droit postcolonial. </w:t>
      </w:r>
    </w:p>
    <w:p w14:paraId="64CFEA6C" w14:textId="5329C16E" w:rsidR="00D971ED" w:rsidRPr="006449A5" w:rsidRDefault="00D971ED" w:rsidP="00D971ED">
      <w:pPr>
        <w:rPr>
          <w:rFonts w:ascii="Times New Roman" w:hAnsi="Times New Roman" w:cs="Times New Roman"/>
          <w:sz w:val="24"/>
          <w:szCs w:val="24"/>
        </w:rPr>
      </w:pPr>
      <w:r w:rsidRPr="006449A5">
        <w:rPr>
          <w:rFonts w:ascii="Times New Roman" w:hAnsi="Times New Roman" w:cs="Times New Roman"/>
          <w:sz w:val="24"/>
          <w:szCs w:val="24"/>
        </w:rPr>
        <w:t xml:space="preserve">Dans le même temps, la théorie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exige du droit européen qu'il s'écarte du paradigme du monisme juridique et qu'il adopte le pluralisme juridique</w:t>
      </w:r>
      <w:r w:rsidR="00E3606C" w:rsidRPr="006449A5">
        <w:rPr>
          <w:rStyle w:val="Appelnotedebasdep"/>
          <w:rFonts w:ascii="Times New Roman" w:hAnsi="Times New Roman" w:cs="Times New Roman"/>
          <w:sz w:val="24"/>
          <w:szCs w:val="24"/>
        </w:rPr>
        <w:footnoteReference w:id="57"/>
      </w:r>
      <w:r w:rsidRPr="006449A5">
        <w:rPr>
          <w:rFonts w:ascii="Times New Roman" w:hAnsi="Times New Roman" w:cs="Times New Roman"/>
          <w:sz w:val="24"/>
          <w:szCs w:val="24"/>
        </w:rPr>
        <w:t xml:space="preserve">. La </w:t>
      </w:r>
      <w:proofErr w:type="spellStart"/>
      <w:r w:rsidRPr="006449A5">
        <w:rPr>
          <w:rFonts w:ascii="Times New Roman" w:hAnsi="Times New Roman" w:cs="Times New Roman"/>
          <w:sz w:val="24"/>
          <w:szCs w:val="24"/>
        </w:rPr>
        <w:t>décolonialité</w:t>
      </w:r>
      <w:proofErr w:type="spellEnd"/>
      <w:r w:rsidRPr="006449A5">
        <w:rPr>
          <w:rFonts w:ascii="Times New Roman" w:hAnsi="Times New Roman" w:cs="Times New Roman"/>
          <w:sz w:val="24"/>
          <w:szCs w:val="24"/>
        </w:rPr>
        <w:t xml:space="preserve"> demande en effet de reconnaitre que les normes non étatiques, typiquement les normes autochtones, coutumières et religieuses, sont contraignantes pour les </w:t>
      </w:r>
      <w:r w:rsidR="00203354" w:rsidRPr="006449A5">
        <w:rPr>
          <w:rFonts w:ascii="Times New Roman" w:hAnsi="Times New Roman" w:cs="Times New Roman"/>
          <w:sz w:val="24"/>
          <w:szCs w:val="24"/>
        </w:rPr>
        <w:t xml:space="preserve">individus et groupes </w:t>
      </w:r>
      <w:r w:rsidRPr="006449A5">
        <w:rPr>
          <w:rFonts w:ascii="Times New Roman" w:hAnsi="Times New Roman" w:cs="Times New Roman"/>
          <w:sz w:val="24"/>
          <w:szCs w:val="24"/>
        </w:rPr>
        <w:t xml:space="preserve">qui s'identifient à ces visions du monde. </w:t>
      </w:r>
      <w:r w:rsidR="00370C33" w:rsidRPr="006449A5">
        <w:rPr>
          <w:rFonts w:ascii="Times New Roman" w:hAnsi="Times New Roman" w:cs="Times New Roman"/>
          <w:sz w:val="24"/>
          <w:szCs w:val="24"/>
        </w:rPr>
        <w:t>Or, le</w:t>
      </w:r>
      <w:r w:rsidRPr="006449A5">
        <w:rPr>
          <w:rFonts w:ascii="Times New Roman" w:hAnsi="Times New Roman" w:cs="Times New Roman"/>
          <w:sz w:val="24"/>
          <w:szCs w:val="24"/>
        </w:rPr>
        <w:t xml:space="preserve"> pluralisme juridique contemporain</w:t>
      </w:r>
      <w:r w:rsidR="00370C33" w:rsidRPr="006449A5">
        <w:rPr>
          <w:rFonts w:ascii="Times New Roman" w:hAnsi="Times New Roman" w:cs="Times New Roman"/>
          <w:sz w:val="24"/>
          <w:szCs w:val="24"/>
        </w:rPr>
        <w:t xml:space="preserve"> </w:t>
      </w:r>
      <w:r w:rsidRPr="006449A5">
        <w:rPr>
          <w:rFonts w:ascii="Times New Roman" w:hAnsi="Times New Roman" w:cs="Times New Roman"/>
          <w:sz w:val="24"/>
          <w:szCs w:val="24"/>
        </w:rPr>
        <w:t>revendique notamment l'abandon, dans la théorie juridique occidentale, de l'idée que le droit étatique doit être supérieur aux légalités postcoloniales non étatiques</w:t>
      </w:r>
      <w:r w:rsidRPr="006449A5">
        <w:rPr>
          <w:rFonts w:ascii="Times New Roman" w:hAnsi="Times New Roman" w:cs="Times New Roman"/>
          <w:sz w:val="24"/>
          <w:szCs w:val="24"/>
          <w:vertAlign w:val="superscript"/>
        </w:rPr>
        <w:footnoteReference w:id="58"/>
      </w:r>
      <w:r w:rsidRPr="006449A5">
        <w:rPr>
          <w:rFonts w:ascii="Times New Roman" w:hAnsi="Times New Roman" w:cs="Times New Roman"/>
          <w:sz w:val="24"/>
          <w:szCs w:val="24"/>
        </w:rPr>
        <w:t xml:space="preserve">. Au contraire, parfois, ces légalités </w:t>
      </w:r>
      <w:r w:rsidRPr="006449A5">
        <w:rPr>
          <w:rFonts w:ascii="Times New Roman" w:hAnsi="Times New Roman" w:cs="Times New Roman"/>
          <w:sz w:val="24"/>
          <w:szCs w:val="24"/>
        </w:rPr>
        <w:lastRenderedPageBreak/>
        <w:t xml:space="preserve">doivent être ou sont supérieures </w:t>
      </w:r>
      <w:r w:rsidR="00370C33" w:rsidRPr="006449A5">
        <w:rPr>
          <w:rFonts w:ascii="Times New Roman" w:hAnsi="Times New Roman" w:cs="Times New Roman"/>
          <w:sz w:val="24"/>
          <w:szCs w:val="24"/>
        </w:rPr>
        <w:t xml:space="preserve">(mieux suivies) </w:t>
      </w:r>
      <w:r w:rsidRPr="006449A5">
        <w:rPr>
          <w:rFonts w:ascii="Times New Roman" w:hAnsi="Times New Roman" w:cs="Times New Roman"/>
          <w:sz w:val="24"/>
          <w:szCs w:val="24"/>
        </w:rPr>
        <w:t>au droit étatique. Selon de nombreux auteurs, le pluralisme juridique dit « fort</w:t>
      </w:r>
      <w:r w:rsidRPr="006449A5">
        <w:rPr>
          <w:rFonts w:ascii="Times New Roman" w:hAnsi="Times New Roman" w:cs="Times New Roman"/>
          <w:sz w:val="24"/>
          <w:szCs w:val="24"/>
          <w:vertAlign w:val="superscript"/>
        </w:rPr>
        <w:footnoteReference w:id="59"/>
      </w:r>
      <w:r w:rsidRPr="006449A5">
        <w:rPr>
          <w:rFonts w:ascii="Times New Roman" w:hAnsi="Times New Roman" w:cs="Times New Roman"/>
          <w:sz w:val="24"/>
          <w:szCs w:val="24"/>
        </w:rPr>
        <w:t>» ou « radical</w:t>
      </w:r>
      <w:r w:rsidRPr="006449A5">
        <w:rPr>
          <w:rFonts w:ascii="Times New Roman" w:hAnsi="Times New Roman" w:cs="Times New Roman"/>
          <w:sz w:val="24"/>
          <w:szCs w:val="24"/>
          <w:vertAlign w:val="superscript"/>
        </w:rPr>
        <w:footnoteReference w:id="60"/>
      </w:r>
      <w:r w:rsidRPr="006449A5">
        <w:rPr>
          <w:rFonts w:ascii="Times New Roman" w:hAnsi="Times New Roman" w:cs="Times New Roman"/>
          <w:sz w:val="24"/>
          <w:szCs w:val="24"/>
        </w:rPr>
        <w:t> », qui vise à reconnaitre la primauté de l’une ou l’autre source normative, étatique ou non-étatique, en fonction des cas, correspond mieux à la réalité que le centralisme juridique, mais il est également plus légitime que le centralisme juridique dans notre monde globalisé contemporain</w:t>
      </w:r>
      <w:r w:rsidRPr="006449A5">
        <w:rPr>
          <w:rFonts w:ascii="Times New Roman" w:hAnsi="Times New Roman" w:cs="Times New Roman"/>
          <w:sz w:val="24"/>
          <w:szCs w:val="24"/>
          <w:vertAlign w:val="superscript"/>
        </w:rPr>
        <w:footnoteReference w:id="61"/>
      </w:r>
      <w:r w:rsidRPr="006449A5">
        <w:rPr>
          <w:rFonts w:ascii="Times New Roman" w:hAnsi="Times New Roman" w:cs="Times New Roman"/>
          <w:sz w:val="24"/>
          <w:szCs w:val="24"/>
        </w:rPr>
        <w:t>. Leur définition de la notion de légalité varie cependant. À cet égard, l'idée principale défendue ici est que sont légalités les normes que les groupes et individus considèrent comme contraignantes pour eux</w:t>
      </w:r>
      <w:r w:rsidRPr="006449A5">
        <w:rPr>
          <w:rFonts w:ascii="Times New Roman" w:hAnsi="Times New Roman" w:cs="Times New Roman"/>
          <w:sz w:val="24"/>
          <w:szCs w:val="24"/>
          <w:vertAlign w:val="superscript"/>
        </w:rPr>
        <w:footnoteReference w:id="62"/>
      </w:r>
      <w:r w:rsidRPr="006449A5">
        <w:rPr>
          <w:rFonts w:ascii="Times New Roman" w:hAnsi="Times New Roman" w:cs="Times New Roman"/>
          <w:sz w:val="24"/>
          <w:szCs w:val="24"/>
        </w:rPr>
        <w:t xml:space="preserve">. Pour le DIP, la reconnaissance du pluralisme juridique fort </w:t>
      </w:r>
      <w:r w:rsidR="00367066" w:rsidRPr="006449A5">
        <w:rPr>
          <w:rFonts w:ascii="Times New Roman" w:hAnsi="Times New Roman" w:cs="Times New Roman"/>
          <w:sz w:val="24"/>
          <w:szCs w:val="24"/>
        </w:rPr>
        <w:t>est source de remise en question</w:t>
      </w:r>
      <w:r w:rsidRPr="006449A5">
        <w:rPr>
          <w:rFonts w:ascii="Times New Roman" w:hAnsi="Times New Roman" w:cs="Times New Roman"/>
          <w:sz w:val="24"/>
          <w:szCs w:val="24"/>
        </w:rPr>
        <w:t xml:space="preserve">. En effet, en vertu du DIP européen positif, les tribunaux des États européens doivent appliquer les normes religieuses ou coutumières en tant que droit étranger lorsque le droit de l'État postcolonial concerné s'y réfère officiellement. Selon le pays concerné, cela est prévu par la législation ou correspond à une pratique judiciaire bien établie. D’un point de vue </w:t>
      </w:r>
      <w:proofErr w:type="spellStart"/>
      <w:r w:rsidRPr="006449A5">
        <w:rPr>
          <w:rFonts w:ascii="Times New Roman" w:hAnsi="Times New Roman" w:cs="Times New Roman"/>
          <w:sz w:val="24"/>
          <w:szCs w:val="24"/>
        </w:rPr>
        <w:t>décolonial</w:t>
      </w:r>
      <w:proofErr w:type="spellEnd"/>
      <w:r w:rsidRPr="006449A5">
        <w:rPr>
          <w:rFonts w:ascii="Times New Roman" w:hAnsi="Times New Roman" w:cs="Times New Roman"/>
          <w:sz w:val="24"/>
          <w:szCs w:val="24"/>
        </w:rPr>
        <w:t>, l'applicabilité de certaines normes non étatiques qui ne sont pas reconnues comme du droit par l'État postcolonial pourrait être envisagée, typiquement lorsque ces normes sont de facto suivies par (une partie de) la population</w:t>
      </w:r>
      <w:r w:rsidRPr="006449A5">
        <w:rPr>
          <w:rFonts w:ascii="Times New Roman" w:hAnsi="Times New Roman" w:cs="Times New Roman"/>
          <w:sz w:val="24"/>
          <w:szCs w:val="24"/>
          <w:vertAlign w:val="superscript"/>
        </w:rPr>
        <w:footnoteReference w:id="63"/>
      </w:r>
      <w:r w:rsidRPr="006449A5">
        <w:rPr>
          <w:rFonts w:ascii="Times New Roman" w:hAnsi="Times New Roman" w:cs="Times New Roman"/>
          <w:sz w:val="24"/>
          <w:szCs w:val="24"/>
        </w:rPr>
        <w:t xml:space="preserve">. Certes, cette proposition pourrait aller à l'encontre du respect de la souveraineté des autorités des États postcoloniaux sur leur territoire. </w:t>
      </w:r>
      <w:r w:rsidR="00883E4C" w:rsidRPr="006449A5">
        <w:rPr>
          <w:rFonts w:ascii="Times New Roman" w:hAnsi="Times New Roman" w:cs="Times New Roman"/>
          <w:sz w:val="24"/>
          <w:szCs w:val="24"/>
        </w:rPr>
        <w:t>Mais</w:t>
      </w:r>
      <w:r w:rsidRPr="006449A5">
        <w:rPr>
          <w:rFonts w:ascii="Times New Roman" w:hAnsi="Times New Roman" w:cs="Times New Roman"/>
          <w:sz w:val="24"/>
          <w:szCs w:val="24"/>
        </w:rPr>
        <w:t xml:space="preserve"> l’institution de l’État est</w:t>
      </w:r>
      <w:r w:rsidR="00E3606C" w:rsidRPr="006449A5">
        <w:rPr>
          <w:rFonts w:ascii="Times New Roman" w:hAnsi="Times New Roman" w:cs="Times New Roman"/>
          <w:sz w:val="24"/>
          <w:szCs w:val="24"/>
        </w:rPr>
        <w:t>, du moins originairement,</w:t>
      </w:r>
      <w:r w:rsidRPr="006449A5">
        <w:rPr>
          <w:rFonts w:ascii="Times New Roman" w:hAnsi="Times New Roman" w:cs="Times New Roman"/>
          <w:sz w:val="24"/>
          <w:szCs w:val="24"/>
        </w:rPr>
        <w:t xml:space="preserve"> coloniale</w:t>
      </w:r>
      <w:r w:rsidRPr="006449A5">
        <w:rPr>
          <w:rFonts w:ascii="Times New Roman" w:hAnsi="Times New Roman" w:cs="Times New Roman"/>
          <w:sz w:val="24"/>
          <w:szCs w:val="24"/>
          <w:vertAlign w:val="superscript"/>
        </w:rPr>
        <w:footnoteReference w:id="64"/>
      </w:r>
      <w:r w:rsidRPr="006449A5">
        <w:rPr>
          <w:rFonts w:ascii="Times New Roman" w:hAnsi="Times New Roman" w:cs="Times New Roman"/>
          <w:sz w:val="24"/>
          <w:szCs w:val="24"/>
        </w:rPr>
        <w:t xml:space="preserve">. En outre, dans certaines circonstances, le forum </w:t>
      </w:r>
      <w:r w:rsidR="00C457B5" w:rsidRPr="006449A5">
        <w:rPr>
          <w:rFonts w:ascii="Times New Roman" w:hAnsi="Times New Roman" w:cs="Times New Roman"/>
          <w:sz w:val="24"/>
          <w:szCs w:val="24"/>
        </w:rPr>
        <w:t>étatique européen</w:t>
      </w:r>
      <w:r w:rsidRPr="006449A5">
        <w:rPr>
          <w:rFonts w:ascii="Times New Roman" w:hAnsi="Times New Roman" w:cs="Times New Roman"/>
          <w:sz w:val="24"/>
          <w:szCs w:val="24"/>
        </w:rPr>
        <w:t xml:space="preserve"> peut avoir une responsabilité particulière en ce qui concerne le rétablissement de la légalité non étatique postcoloniale, en raison de son histoire coloniale avec l'État postcolonial concerné ou de son rôle financier et politique actuel dans ce même </w:t>
      </w:r>
      <w:r w:rsidRPr="006449A5">
        <w:rPr>
          <w:rFonts w:ascii="Times New Roman" w:hAnsi="Times New Roman" w:cs="Times New Roman"/>
          <w:sz w:val="24"/>
          <w:szCs w:val="24"/>
        </w:rPr>
        <w:lastRenderedPageBreak/>
        <w:t>État</w:t>
      </w:r>
      <w:r w:rsidR="006449A5" w:rsidRPr="006449A5">
        <w:rPr>
          <w:rStyle w:val="Appelnotedebasdep"/>
          <w:rFonts w:ascii="Times New Roman" w:hAnsi="Times New Roman" w:cs="Times New Roman"/>
          <w:sz w:val="24"/>
          <w:szCs w:val="24"/>
        </w:rPr>
        <w:footnoteReference w:id="65"/>
      </w:r>
      <w:r w:rsidRPr="006449A5">
        <w:rPr>
          <w:rFonts w:ascii="Times New Roman" w:hAnsi="Times New Roman" w:cs="Times New Roman"/>
          <w:sz w:val="24"/>
          <w:szCs w:val="24"/>
        </w:rPr>
        <w:t xml:space="preserve">. Cependant, si les autorités de l'État postcolonial s'opposent clairement à l'application des normes coutumières ou religieuses concernées, </w:t>
      </w:r>
      <w:r w:rsidR="00883E4C" w:rsidRPr="006449A5">
        <w:rPr>
          <w:rFonts w:ascii="Times New Roman" w:hAnsi="Times New Roman" w:cs="Times New Roman"/>
          <w:sz w:val="24"/>
          <w:szCs w:val="24"/>
        </w:rPr>
        <w:t xml:space="preserve">le juge étatique européen </w:t>
      </w:r>
      <w:r w:rsidR="007F18D9" w:rsidRPr="006449A5">
        <w:rPr>
          <w:rFonts w:ascii="Times New Roman" w:hAnsi="Times New Roman" w:cs="Times New Roman"/>
          <w:sz w:val="24"/>
          <w:szCs w:val="24"/>
        </w:rPr>
        <w:t>pourra</w:t>
      </w:r>
      <w:r w:rsidR="00883E4C" w:rsidRPr="006449A5">
        <w:rPr>
          <w:rFonts w:ascii="Times New Roman" w:hAnsi="Times New Roman" w:cs="Times New Roman"/>
          <w:sz w:val="24"/>
          <w:szCs w:val="24"/>
        </w:rPr>
        <w:t xml:space="preserve"> </w:t>
      </w:r>
      <w:r w:rsidRPr="006449A5">
        <w:rPr>
          <w:rFonts w:ascii="Times New Roman" w:hAnsi="Times New Roman" w:cs="Times New Roman"/>
          <w:sz w:val="24"/>
          <w:szCs w:val="24"/>
        </w:rPr>
        <w:t xml:space="preserve">difficilement </w:t>
      </w:r>
      <w:r w:rsidR="00883E4C" w:rsidRPr="006449A5">
        <w:rPr>
          <w:rFonts w:ascii="Times New Roman" w:hAnsi="Times New Roman" w:cs="Times New Roman"/>
          <w:sz w:val="24"/>
          <w:szCs w:val="24"/>
        </w:rPr>
        <w:t>mépriser leur volonté</w:t>
      </w:r>
      <w:r w:rsidRPr="006449A5">
        <w:rPr>
          <w:rFonts w:ascii="Times New Roman" w:hAnsi="Times New Roman" w:cs="Times New Roman"/>
          <w:sz w:val="24"/>
          <w:szCs w:val="24"/>
        </w:rPr>
        <w:t>. Alors, la technique du DIP consistant à donner effet ou à prendre en considération le droit étranger dans le cadre d'une application juridique substantielle pourrait potentiellement être utilisée pour prendre en compte des normes postcoloniales non-étatiques</w:t>
      </w:r>
      <w:r w:rsidRPr="006449A5">
        <w:rPr>
          <w:rFonts w:ascii="Times New Roman" w:hAnsi="Times New Roman" w:cs="Times New Roman"/>
          <w:sz w:val="24"/>
          <w:szCs w:val="24"/>
          <w:vertAlign w:val="superscript"/>
        </w:rPr>
        <w:footnoteReference w:id="66"/>
      </w:r>
      <w:r w:rsidR="002958B0" w:rsidRPr="006449A5">
        <w:rPr>
          <w:rFonts w:ascii="Times New Roman" w:hAnsi="Times New Roman" w:cs="Times New Roman"/>
          <w:sz w:val="24"/>
          <w:szCs w:val="24"/>
        </w:rPr>
        <w:t xml:space="preserve"> - nous y reviendrons</w:t>
      </w:r>
      <w:r w:rsidRPr="006449A5">
        <w:rPr>
          <w:rFonts w:ascii="Times New Roman" w:hAnsi="Times New Roman" w:cs="Times New Roman"/>
          <w:sz w:val="24"/>
          <w:szCs w:val="24"/>
        </w:rPr>
        <w:t xml:space="preserve">. </w:t>
      </w:r>
    </w:p>
    <w:p w14:paraId="17611F75" w14:textId="17C5B3CD" w:rsidR="00D971ED" w:rsidRPr="006449A5" w:rsidRDefault="00D971ED" w:rsidP="00D971ED">
      <w:pPr>
        <w:rPr>
          <w:rFonts w:ascii="Times New Roman" w:hAnsi="Times New Roman" w:cs="Times New Roman"/>
          <w:sz w:val="24"/>
          <w:szCs w:val="24"/>
        </w:rPr>
      </w:pPr>
      <w:r w:rsidRPr="006449A5">
        <w:rPr>
          <w:rFonts w:ascii="Times New Roman" w:hAnsi="Times New Roman" w:cs="Times New Roman"/>
          <w:sz w:val="24"/>
          <w:szCs w:val="24"/>
        </w:rPr>
        <w:t xml:space="preserve">En outre, </w:t>
      </w:r>
      <w:r w:rsidR="00B15946">
        <w:rPr>
          <w:rFonts w:ascii="Times New Roman" w:hAnsi="Times New Roman" w:cs="Times New Roman"/>
          <w:sz w:val="24"/>
          <w:szCs w:val="24"/>
        </w:rPr>
        <w:t xml:space="preserve">selon la théorie </w:t>
      </w:r>
      <w:proofErr w:type="spellStart"/>
      <w:r w:rsidR="00B15946">
        <w:rPr>
          <w:rFonts w:ascii="Times New Roman" w:hAnsi="Times New Roman" w:cs="Times New Roman"/>
          <w:sz w:val="24"/>
          <w:szCs w:val="24"/>
        </w:rPr>
        <w:t>décoloniale</w:t>
      </w:r>
      <w:proofErr w:type="spellEnd"/>
      <w:r w:rsidR="00B15946">
        <w:rPr>
          <w:rFonts w:ascii="Times New Roman" w:hAnsi="Times New Roman" w:cs="Times New Roman"/>
          <w:sz w:val="24"/>
          <w:szCs w:val="24"/>
        </w:rPr>
        <w:t xml:space="preserve">, </w:t>
      </w:r>
      <w:r w:rsidRPr="006449A5">
        <w:rPr>
          <w:rFonts w:ascii="Times New Roman" w:hAnsi="Times New Roman" w:cs="Times New Roman"/>
          <w:sz w:val="24"/>
          <w:szCs w:val="24"/>
        </w:rPr>
        <w:t xml:space="preserve">un objectif de compensation du </w:t>
      </w:r>
      <w:r w:rsidRPr="006449A5">
        <w:rPr>
          <w:rFonts w:ascii="Times New Roman" w:hAnsi="Times New Roman" w:cs="Times New Roman"/>
          <w:i/>
          <w:iCs/>
          <w:sz w:val="24"/>
          <w:szCs w:val="24"/>
        </w:rPr>
        <w:t>différentiel de pouvoir</w:t>
      </w:r>
      <w:r w:rsidRPr="006449A5">
        <w:rPr>
          <w:rFonts w:ascii="Times New Roman" w:hAnsi="Times New Roman" w:cs="Times New Roman"/>
          <w:i/>
          <w:iCs/>
          <w:sz w:val="24"/>
          <w:szCs w:val="24"/>
          <w:vertAlign w:val="superscript"/>
        </w:rPr>
        <w:footnoteReference w:id="67"/>
      </w:r>
      <w:r w:rsidRPr="006449A5">
        <w:rPr>
          <w:rFonts w:ascii="Times New Roman" w:hAnsi="Times New Roman" w:cs="Times New Roman"/>
          <w:i/>
          <w:iCs/>
          <w:sz w:val="24"/>
          <w:szCs w:val="24"/>
        </w:rPr>
        <w:t xml:space="preserve"> </w:t>
      </w:r>
      <w:r w:rsidRPr="006449A5">
        <w:rPr>
          <w:rFonts w:ascii="Times New Roman" w:hAnsi="Times New Roman" w:cs="Times New Roman"/>
          <w:sz w:val="24"/>
          <w:szCs w:val="24"/>
        </w:rPr>
        <w:t>entre les visions du monde occidentales et postcoloniales est à prévoir, à trois égards. Premièrement, la marginalité</w:t>
      </w:r>
      <w:r w:rsidR="00EE1B76">
        <w:rPr>
          <w:rFonts w:ascii="Times New Roman" w:hAnsi="Times New Roman" w:cs="Times New Roman"/>
          <w:sz w:val="24"/>
          <w:szCs w:val="24"/>
          <w:vertAlign w:val="superscript"/>
        </w:rPr>
        <w:t xml:space="preserve"> </w:t>
      </w:r>
      <w:r w:rsidRPr="006449A5">
        <w:rPr>
          <w:rFonts w:ascii="Times New Roman" w:hAnsi="Times New Roman" w:cs="Times New Roman"/>
          <w:sz w:val="24"/>
          <w:szCs w:val="24"/>
        </w:rPr>
        <w:t xml:space="preserve">épistémologique des visions du monde postcoloniales doit être prise en compte. </w:t>
      </w:r>
      <w:r w:rsidR="00600D66" w:rsidRPr="006449A5">
        <w:rPr>
          <w:rFonts w:ascii="Times New Roman" w:hAnsi="Times New Roman" w:cs="Times New Roman"/>
          <w:sz w:val="24"/>
          <w:szCs w:val="24"/>
        </w:rPr>
        <w:t>Dans ce contexte</w:t>
      </w:r>
      <w:r w:rsidRPr="006449A5">
        <w:rPr>
          <w:rFonts w:ascii="Times New Roman" w:hAnsi="Times New Roman" w:cs="Times New Roman"/>
          <w:sz w:val="24"/>
          <w:szCs w:val="24"/>
        </w:rPr>
        <w:t xml:space="preserve">, le concept de </w:t>
      </w:r>
      <w:proofErr w:type="spellStart"/>
      <w:r w:rsidRPr="006449A5">
        <w:rPr>
          <w:rFonts w:ascii="Times New Roman" w:hAnsi="Times New Roman" w:cs="Times New Roman"/>
          <w:sz w:val="24"/>
          <w:szCs w:val="24"/>
        </w:rPr>
        <w:t>pluriversalité</w:t>
      </w:r>
      <w:proofErr w:type="spellEnd"/>
      <w:r w:rsidRPr="006449A5">
        <w:rPr>
          <w:rFonts w:ascii="Times New Roman" w:hAnsi="Times New Roman" w:cs="Times New Roman"/>
          <w:sz w:val="24"/>
          <w:szCs w:val="24"/>
        </w:rPr>
        <w:t xml:space="preserve"> exige sans doute une</w:t>
      </w:r>
      <w:r w:rsidR="00B15946" w:rsidRPr="006449A5">
        <w:rPr>
          <w:rFonts w:ascii="Times New Roman" w:hAnsi="Times New Roman" w:cs="Times New Roman"/>
          <w:sz w:val="24"/>
          <w:szCs w:val="24"/>
        </w:rPr>
        <w:t xml:space="preserve"> « pluralisation</w:t>
      </w:r>
      <w:r w:rsidRPr="006449A5">
        <w:rPr>
          <w:rFonts w:ascii="Times New Roman" w:hAnsi="Times New Roman" w:cs="Times New Roman"/>
          <w:sz w:val="24"/>
          <w:szCs w:val="24"/>
        </w:rPr>
        <w:t xml:space="preserve"> située</w:t>
      </w:r>
      <w:r w:rsidR="00B15946">
        <w:rPr>
          <w:rFonts w:ascii="Times New Roman" w:hAnsi="Times New Roman" w:cs="Times New Roman"/>
          <w:sz w:val="24"/>
          <w:szCs w:val="24"/>
        </w:rPr>
        <w:t xml:space="preserve"> </w:t>
      </w:r>
      <w:r w:rsidR="009F59B0" w:rsidRPr="006449A5">
        <w:rPr>
          <w:rFonts w:ascii="Times New Roman" w:hAnsi="Times New Roman" w:cs="Times New Roman"/>
          <w:sz w:val="24"/>
          <w:szCs w:val="24"/>
        </w:rPr>
        <w:t>»</w:t>
      </w:r>
      <w:r w:rsidRPr="006449A5">
        <w:rPr>
          <w:rFonts w:ascii="Times New Roman" w:hAnsi="Times New Roman" w:cs="Times New Roman"/>
          <w:sz w:val="24"/>
          <w:szCs w:val="24"/>
        </w:rPr>
        <w:t xml:space="preserve"> plutôt qu'une hybridation du droit étatique européen, bien que cette dernière soit certainement la bienvenue par rapport au statu quo. </w:t>
      </w:r>
      <w:r w:rsidR="00B15946">
        <w:rPr>
          <w:rFonts w:ascii="Times New Roman" w:hAnsi="Times New Roman" w:cs="Times New Roman"/>
          <w:sz w:val="24"/>
          <w:szCs w:val="24"/>
        </w:rPr>
        <w:t>Par exemple, il demande au juge étatique européen de reconnaitre la définition plurielle de la notion de résidence habituelle</w:t>
      </w:r>
      <w:r w:rsidR="00B15946">
        <w:rPr>
          <w:rStyle w:val="Appelnotedebasdep"/>
          <w:rFonts w:ascii="Times New Roman" w:hAnsi="Times New Roman" w:cs="Times New Roman"/>
          <w:sz w:val="24"/>
          <w:szCs w:val="24"/>
        </w:rPr>
        <w:footnoteReference w:id="68"/>
      </w:r>
      <w:r w:rsidR="00B15946">
        <w:rPr>
          <w:rFonts w:ascii="Times New Roman" w:hAnsi="Times New Roman" w:cs="Times New Roman"/>
          <w:sz w:val="24"/>
          <w:szCs w:val="24"/>
        </w:rPr>
        <w:t xml:space="preserve">, et non de modifier la définition actuelle dominante de manière à refléter davantage de diversité – ce qui impliquerait par ailleurs sans doute de la rendre trop vague. </w:t>
      </w:r>
      <w:r w:rsidRPr="006449A5">
        <w:rPr>
          <w:rFonts w:ascii="Times New Roman" w:hAnsi="Times New Roman" w:cs="Times New Roman"/>
          <w:sz w:val="24"/>
          <w:szCs w:val="24"/>
        </w:rPr>
        <w:t>En effet, les « formes juridiques hybrides</w:t>
      </w:r>
      <w:r w:rsidRPr="006449A5">
        <w:rPr>
          <w:rFonts w:ascii="Times New Roman" w:hAnsi="Times New Roman" w:cs="Times New Roman"/>
          <w:sz w:val="24"/>
          <w:szCs w:val="24"/>
          <w:vertAlign w:val="superscript"/>
        </w:rPr>
        <w:footnoteReference w:id="69"/>
      </w:r>
      <w:r w:rsidRPr="006449A5">
        <w:rPr>
          <w:rFonts w:ascii="Times New Roman" w:hAnsi="Times New Roman" w:cs="Times New Roman"/>
          <w:sz w:val="24"/>
          <w:szCs w:val="24"/>
        </w:rPr>
        <w:t xml:space="preserve"> » peuvent certainement être plus inclusives des diverses visions du monde, mais elles refléteront toujours une compréhension située de ces visions du monde – en l’occurrence, celle des autorités étatiques européennes concernées. Par conséquent, l’on préfèrerait que les juridictions étatiques </w:t>
      </w:r>
      <w:r w:rsidR="00600D66" w:rsidRPr="006449A5">
        <w:rPr>
          <w:rFonts w:ascii="Times New Roman" w:hAnsi="Times New Roman" w:cs="Times New Roman"/>
          <w:sz w:val="24"/>
          <w:szCs w:val="24"/>
        </w:rPr>
        <w:t>européennes</w:t>
      </w:r>
      <w:r w:rsidRPr="006449A5">
        <w:rPr>
          <w:rFonts w:ascii="Times New Roman" w:hAnsi="Times New Roman" w:cs="Times New Roman"/>
          <w:sz w:val="24"/>
          <w:szCs w:val="24"/>
        </w:rPr>
        <w:t xml:space="preserve"> appliquent des concepts et des règles pluralisés, reflétant respectivement les visions du monde </w:t>
      </w:r>
      <w:r w:rsidR="00600D66" w:rsidRPr="006449A5">
        <w:rPr>
          <w:rFonts w:ascii="Times New Roman" w:hAnsi="Times New Roman" w:cs="Times New Roman"/>
          <w:sz w:val="24"/>
          <w:szCs w:val="24"/>
        </w:rPr>
        <w:t>européennes</w:t>
      </w:r>
      <w:r w:rsidRPr="006449A5">
        <w:rPr>
          <w:rFonts w:ascii="Times New Roman" w:hAnsi="Times New Roman" w:cs="Times New Roman"/>
          <w:sz w:val="24"/>
          <w:szCs w:val="24"/>
        </w:rPr>
        <w:t xml:space="preserve"> et postcoloniales, tout en reconnaissant leur compréhension </w:t>
      </w:r>
      <w:r w:rsidR="00600D66" w:rsidRPr="006449A5">
        <w:rPr>
          <w:rFonts w:ascii="Times New Roman" w:hAnsi="Times New Roman" w:cs="Times New Roman"/>
          <w:sz w:val="24"/>
          <w:szCs w:val="24"/>
        </w:rPr>
        <w:t>européenne</w:t>
      </w:r>
      <w:r w:rsidRPr="006449A5">
        <w:rPr>
          <w:rFonts w:ascii="Times New Roman" w:hAnsi="Times New Roman" w:cs="Times New Roman"/>
          <w:sz w:val="24"/>
          <w:szCs w:val="24"/>
        </w:rPr>
        <w:t xml:space="preserve"> de ces dernières. Il est intéressant de noter que ce processus n'exige pas que tout le monde se mette d'accord sur une définition juridique, bien que le même concept juridique soit appliqué à tout le monde. Les règles elles-mêmes peuvent varier en fonction des parties concernées, ce qui semble correspondre à l'idée de </w:t>
      </w:r>
      <w:proofErr w:type="spellStart"/>
      <w:r w:rsidRPr="006449A5">
        <w:rPr>
          <w:rFonts w:ascii="Times New Roman" w:hAnsi="Times New Roman" w:cs="Times New Roman"/>
          <w:sz w:val="24"/>
          <w:szCs w:val="24"/>
        </w:rPr>
        <w:t>pluriversalité</w:t>
      </w:r>
      <w:proofErr w:type="spellEnd"/>
      <w:r w:rsidRPr="006449A5">
        <w:rPr>
          <w:rFonts w:ascii="Times New Roman" w:hAnsi="Times New Roman" w:cs="Times New Roman"/>
          <w:sz w:val="24"/>
          <w:szCs w:val="24"/>
        </w:rPr>
        <w:t xml:space="preserve">. Ainsi, par exemple, les facteurs de rattachement (tels que la résidence habituelle), ainsi que les concepts juridiques primordiaux, spécifiques au DIP (tels que la compétence) ou non (tels que la famille), peuvent être interprétés différemment en fonction des visions du monde des parties impliquées dans l'affaire et des normes qu’elles revendiquent. En outre, lorsqu'il s'agit de de </w:t>
      </w:r>
      <w:r w:rsidR="00B15946">
        <w:rPr>
          <w:rFonts w:ascii="Times New Roman" w:hAnsi="Times New Roman" w:cs="Times New Roman"/>
          <w:sz w:val="24"/>
          <w:szCs w:val="24"/>
        </w:rPr>
        <w:t>« </w:t>
      </w:r>
      <w:r w:rsidRPr="006449A5">
        <w:rPr>
          <w:rFonts w:ascii="Times New Roman" w:hAnsi="Times New Roman" w:cs="Times New Roman"/>
          <w:sz w:val="24"/>
          <w:szCs w:val="24"/>
        </w:rPr>
        <w:t>redonner du pouvoir</w:t>
      </w:r>
      <w:r w:rsidR="00B15946">
        <w:rPr>
          <w:rFonts w:ascii="Times New Roman" w:hAnsi="Times New Roman" w:cs="Times New Roman"/>
          <w:sz w:val="24"/>
          <w:szCs w:val="24"/>
        </w:rPr>
        <w:t> »</w:t>
      </w:r>
      <w:r w:rsidRPr="006449A5">
        <w:rPr>
          <w:rFonts w:ascii="Times New Roman" w:hAnsi="Times New Roman" w:cs="Times New Roman"/>
          <w:sz w:val="24"/>
          <w:szCs w:val="24"/>
        </w:rPr>
        <w:t xml:space="preserve"> aux visions du monde postcoloniales, la pluralisation semble plus adéquate que l’hybridation. En effet, l’hybridation inclut une idée de convergence des visions du monde, ou au moins de recherche de certains terrains d'entente. L'objectif de la théorie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est plutôt de redonner du pouvoir aux légalités qui ont été forcées de se rapprocher du droit </w:t>
      </w:r>
      <w:r w:rsidR="00C457B5" w:rsidRPr="006449A5">
        <w:rPr>
          <w:rFonts w:ascii="Times New Roman" w:hAnsi="Times New Roman" w:cs="Times New Roman"/>
          <w:sz w:val="24"/>
          <w:szCs w:val="24"/>
        </w:rPr>
        <w:t>étatique importé par les colons européens</w:t>
      </w:r>
      <w:r w:rsidRPr="006449A5">
        <w:rPr>
          <w:rFonts w:ascii="Times New Roman" w:hAnsi="Times New Roman" w:cs="Times New Roman"/>
          <w:sz w:val="24"/>
          <w:szCs w:val="24"/>
        </w:rPr>
        <w:t>, afin qu'elles puissent s'en éloigner davantage, et se reconstruire</w:t>
      </w:r>
      <w:r w:rsidR="00C457B5" w:rsidRPr="006449A5">
        <w:rPr>
          <w:rFonts w:ascii="Times New Roman" w:hAnsi="Times New Roman" w:cs="Times New Roman"/>
          <w:sz w:val="24"/>
          <w:szCs w:val="24"/>
          <w:vertAlign w:val="superscript"/>
        </w:rPr>
        <w:t xml:space="preserve"> </w:t>
      </w:r>
      <w:r w:rsidRPr="006449A5">
        <w:rPr>
          <w:rFonts w:ascii="Times New Roman" w:hAnsi="Times New Roman" w:cs="Times New Roman"/>
          <w:sz w:val="24"/>
          <w:szCs w:val="24"/>
        </w:rPr>
        <w:t xml:space="preserve">à leur manière. </w:t>
      </w:r>
    </w:p>
    <w:p w14:paraId="04008667" w14:textId="7F53D370" w:rsidR="00D971ED" w:rsidRPr="006449A5" w:rsidRDefault="00D971ED" w:rsidP="00D971ED">
      <w:pPr>
        <w:rPr>
          <w:rFonts w:ascii="Times New Roman" w:hAnsi="Times New Roman" w:cs="Times New Roman"/>
          <w:sz w:val="24"/>
          <w:szCs w:val="24"/>
        </w:rPr>
      </w:pPr>
      <w:r w:rsidRPr="006449A5">
        <w:rPr>
          <w:rFonts w:ascii="Times New Roman" w:hAnsi="Times New Roman" w:cs="Times New Roman"/>
          <w:sz w:val="24"/>
          <w:szCs w:val="24"/>
        </w:rPr>
        <w:lastRenderedPageBreak/>
        <w:t xml:space="preserve">Deuxièmement, la théorie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souligne l'importance de la diversité des expériences de marginalité collective des peuples </w:t>
      </w:r>
      <w:proofErr w:type="spellStart"/>
      <w:r w:rsidRPr="006449A5">
        <w:rPr>
          <w:rFonts w:ascii="Times New Roman" w:hAnsi="Times New Roman" w:cs="Times New Roman"/>
          <w:sz w:val="24"/>
          <w:szCs w:val="24"/>
        </w:rPr>
        <w:t>postoloniaux</w:t>
      </w:r>
      <w:proofErr w:type="spellEnd"/>
      <w:r w:rsidRPr="006449A5">
        <w:rPr>
          <w:rFonts w:ascii="Times New Roman" w:hAnsi="Times New Roman" w:cs="Times New Roman"/>
          <w:sz w:val="24"/>
          <w:szCs w:val="24"/>
        </w:rPr>
        <w:t>, en ce qui concerne la colonisation (passée) et la « </w:t>
      </w:r>
      <w:proofErr w:type="spellStart"/>
      <w:r w:rsidRPr="006449A5">
        <w:rPr>
          <w:rFonts w:ascii="Times New Roman" w:hAnsi="Times New Roman" w:cs="Times New Roman"/>
          <w:sz w:val="24"/>
          <w:szCs w:val="24"/>
        </w:rPr>
        <w:t>colonialité</w:t>
      </w:r>
      <w:proofErr w:type="spellEnd"/>
      <w:r w:rsidRPr="006449A5">
        <w:rPr>
          <w:rFonts w:ascii="Times New Roman" w:hAnsi="Times New Roman" w:cs="Times New Roman"/>
          <w:sz w:val="24"/>
          <w:szCs w:val="24"/>
        </w:rPr>
        <w:t xml:space="preserve"> globale</w:t>
      </w:r>
      <w:r w:rsidRPr="006449A5">
        <w:rPr>
          <w:rFonts w:ascii="Times New Roman" w:hAnsi="Times New Roman" w:cs="Times New Roman"/>
          <w:sz w:val="24"/>
          <w:szCs w:val="24"/>
          <w:vertAlign w:val="superscript"/>
        </w:rPr>
        <w:footnoteReference w:id="70"/>
      </w:r>
      <w:r w:rsidRPr="006449A5">
        <w:rPr>
          <w:rFonts w:ascii="Times New Roman" w:hAnsi="Times New Roman" w:cs="Times New Roman"/>
          <w:sz w:val="24"/>
          <w:szCs w:val="24"/>
        </w:rPr>
        <w:t xml:space="preserve"> » (contemporaine). </w:t>
      </w:r>
      <w:bookmarkStart w:id="26" w:name="_Hlk184307885"/>
      <w:r w:rsidR="00262388" w:rsidRPr="00262388">
        <w:rPr>
          <w:rFonts w:ascii="Times New Roman" w:hAnsi="Times New Roman" w:cs="Times New Roman"/>
          <w:sz w:val="24"/>
          <w:szCs w:val="24"/>
        </w:rPr>
        <w:t>Elle implique ainsi probablement en Europe la prise en compte de la relation entre un Etat postcolonial et la puissance coloniale européenne historique, ce qui se matérialiserait éventuellement par</w:t>
      </w:r>
      <w:r w:rsidRPr="006449A5">
        <w:rPr>
          <w:rFonts w:ascii="Times New Roman" w:hAnsi="Times New Roman" w:cs="Times New Roman"/>
          <w:sz w:val="24"/>
          <w:szCs w:val="24"/>
        </w:rPr>
        <w:t xml:space="preserve"> la</w:t>
      </w:r>
      <w:r w:rsidR="00600D66" w:rsidRPr="006449A5">
        <w:rPr>
          <w:rFonts w:ascii="Times New Roman" w:hAnsi="Times New Roman" w:cs="Times New Roman"/>
          <w:sz w:val="24"/>
          <w:szCs w:val="24"/>
        </w:rPr>
        <w:t xml:space="preserve"> considération de la possible dépendance contemporaine entre l’Union européenne et/ou un </w:t>
      </w:r>
      <w:r w:rsidR="007F1A4E" w:rsidRPr="006449A5">
        <w:rPr>
          <w:rFonts w:ascii="Times New Roman" w:hAnsi="Times New Roman" w:cs="Times New Roman"/>
          <w:sz w:val="24"/>
          <w:szCs w:val="24"/>
        </w:rPr>
        <w:t>État</w:t>
      </w:r>
      <w:r w:rsidR="00600D66" w:rsidRPr="006449A5">
        <w:rPr>
          <w:rFonts w:ascii="Times New Roman" w:hAnsi="Times New Roman" w:cs="Times New Roman"/>
          <w:sz w:val="24"/>
          <w:szCs w:val="24"/>
        </w:rPr>
        <w:t xml:space="preserve"> européen, d’une part, et un certain </w:t>
      </w:r>
      <w:r w:rsidR="007F1A4E" w:rsidRPr="006449A5">
        <w:rPr>
          <w:rFonts w:ascii="Times New Roman" w:hAnsi="Times New Roman" w:cs="Times New Roman"/>
          <w:sz w:val="24"/>
          <w:szCs w:val="24"/>
        </w:rPr>
        <w:t>État</w:t>
      </w:r>
      <w:r w:rsidR="00600D66" w:rsidRPr="006449A5">
        <w:rPr>
          <w:rFonts w:ascii="Times New Roman" w:hAnsi="Times New Roman" w:cs="Times New Roman"/>
          <w:sz w:val="24"/>
          <w:szCs w:val="24"/>
        </w:rPr>
        <w:t xml:space="preserve"> postcolonial, d’autre part</w:t>
      </w:r>
      <w:r w:rsidR="00262388">
        <w:rPr>
          <w:rStyle w:val="Appelnotedebasdep"/>
          <w:rFonts w:ascii="Times New Roman" w:hAnsi="Times New Roman" w:cs="Times New Roman"/>
          <w:sz w:val="24"/>
          <w:szCs w:val="24"/>
        </w:rPr>
        <w:footnoteReference w:id="71"/>
      </w:r>
      <w:r w:rsidR="00600D66" w:rsidRPr="006449A5">
        <w:rPr>
          <w:rFonts w:ascii="Times New Roman" w:hAnsi="Times New Roman" w:cs="Times New Roman"/>
          <w:sz w:val="24"/>
          <w:szCs w:val="24"/>
        </w:rPr>
        <w:t>.</w:t>
      </w:r>
      <w:r w:rsidRPr="006449A5">
        <w:rPr>
          <w:rFonts w:ascii="Times New Roman" w:hAnsi="Times New Roman" w:cs="Times New Roman"/>
          <w:sz w:val="24"/>
          <w:szCs w:val="24"/>
        </w:rPr>
        <w:t xml:space="preserve"> </w:t>
      </w:r>
      <w:bookmarkEnd w:id="26"/>
    </w:p>
    <w:p w14:paraId="2330C80E" w14:textId="5A44A1C6" w:rsidR="00D971ED" w:rsidRPr="006449A5" w:rsidRDefault="00D971ED" w:rsidP="00D971ED">
      <w:pPr>
        <w:rPr>
          <w:rFonts w:ascii="Times New Roman" w:hAnsi="Times New Roman" w:cs="Times New Roman"/>
          <w:sz w:val="24"/>
          <w:szCs w:val="24"/>
        </w:rPr>
      </w:pPr>
      <w:r w:rsidRPr="006449A5">
        <w:rPr>
          <w:rFonts w:ascii="Times New Roman" w:hAnsi="Times New Roman" w:cs="Times New Roman"/>
          <w:sz w:val="24"/>
          <w:szCs w:val="24"/>
        </w:rPr>
        <w:t xml:space="preserve">Troisièmement, les positions marginales individuelles au sein des populations postcoloniales devraient être prises en compte en fonction des visions du monde postcoloniales. Cela signifie que le droit national doit protéger les identités marginalisées au-delà des normes antidiscriminatoires européennes, qui doivent être considérées comme reflétant potentiellement une conception </w:t>
      </w:r>
      <w:r w:rsidR="00C457B5" w:rsidRPr="006449A5">
        <w:rPr>
          <w:rFonts w:ascii="Times New Roman" w:hAnsi="Times New Roman" w:cs="Times New Roman"/>
          <w:sz w:val="24"/>
          <w:szCs w:val="24"/>
        </w:rPr>
        <w:t>européenne</w:t>
      </w:r>
      <w:r w:rsidRPr="006449A5">
        <w:rPr>
          <w:rFonts w:ascii="Times New Roman" w:hAnsi="Times New Roman" w:cs="Times New Roman"/>
          <w:sz w:val="24"/>
          <w:szCs w:val="24"/>
        </w:rPr>
        <w:t xml:space="preserve"> de ces identités</w:t>
      </w:r>
      <w:r w:rsidRPr="006449A5">
        <w:rPr>
          <w:rFonts w:ascii="Times New Roman" w:hAnsi="Times New Roman" w:cs="Times New Roman"/>
          <w:sz w:val="24"/>
          <w:szCs w:val="24"/>
          <w:vertAlign w:val="superscript"/>
        </w:rPr>
        <w:footnoteReference w:id="72"/>
      </w:r>
      <w:r w:rsidRPr="006449A5">
        <w:rPr>
          <w:rFonts w:ascii="Times New Roman" w:hAnsi="Times New Roman" w:cs="Times New Roman"/>
          <w:sz w:val="24"/>
          <w:szCs w:val="24"/>
        </w:rPr>
        <w:t xml:space="preserve">. </w:t>
      </w:r>
      <w:r w:rsidR="00262388">
        <w:rPr>
          <w:rFonts w:ascii="Times New Roman" w:hAnsi="Times New Roman" w:cs="Times New Roman"/>
          <w:sz w:val="24"/>
          <w:szCs w:val="24"/>
        </w:rPr>
        <w:t>La</w:t>
      </w:r>
      <w:r w:rsidRPr="006449A5">
        <w:rPr>
          <w:rFonts w:ascii="Times New Roman" w:hAnsi="Times New Roman" w:cs="Times New Roman"/>
          <w:sz w:val="24"/>
          <w:szCs w:val="24"/>
        </w:rPr>
        <w:t xml:space="preserve"> théorie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insist</w:t>
      </w:r>
      <w:r w:rsidR="00262388">
        <w:rPr>
          <w:rFonts w:ascii="Times New Roman" w:hAnsi="Times New Roman" w:cs="Times New Roman"/>
          <w:sz w:val="24"/>
          <w:szCs w:val="24"/>
        </w:rPr>
        <w:t>ant</w:t>
      </w:r>
      <w:r w:rsidRPr="006449A5">
        <w:rPr>
          <w:rFonts w:ascii="Times New Roman" w:hAnsi="Times New Roman" w:cs="Times New Roman"/>
          <w:sz w:val="24"/>
          <w:szCs w:val="24"/>
        </w:rPr>
        <w:t xml:space="preserve"> sur l'importance de l'</w:t>
      </w:r>
      <w:r w:rsidRPr="006449A5">
        <w:rPr>
          <w:rFonts w:ascii="Times New Roman" w:hAnsi="Times New Roman" w:cs="Times New Roman"/>
          <w:i/>
          <w:iCs/>
          <w:sz w:val="24"/>
          <w:szCs w:val="24"/>
        </w:rPr>
        <w:t xml:space="preserve">expérience des </w:t>
      </w:r>
      <w:r w:rsidRPr="006449A5">
        <w:rPr>
          <w:rFonts w:ascii="Times New Roman" w:hAnsi="Times New Roman" w:cs="Times New Roman"/>
          <w:sz w:val="24"/>
          <w:szCs w:val="24"/>
        </w:rPr>
        <w:t>personnes, la marginalité des parties postcoloniales doit être définie en tenant compte de l'expérience personnelle de ces parties, au-delà des visions du monde occidentales et non occidentales qui la définissent. À cet égard, il convient de noter qu'une telle considération multiforme de la marginalité a déjà été suggérée en Europe, en ce qui concerne la migration, bien que sans considérer spécifiquement la dimension postcoloniale. En particulier, dans un article intitulé « </w:t>
      </w:r>
      <w:proofErr w:type="spellStart"/>
      <w:r w:rsidRPr="006449A5">
        <w:rPr>
          <w:rFonts w:ascii="Times New Roman" w:hAnsi="Times New Roman" w:cs="Times New Roman"/>
          <w:i/>
          <w:iCs/>
          <w:sz w:val="24"/>
          <w:szCs w:val="24"/>
        </w:rPr>
        <w:t>Examining</w:t>
      </w:r>
      <w:proofErr w:type="spellEnd"/>
      <w:r w:rsidRPr="006449A5">
        <w:rPr>
          <w:rFonts w:ascii="Times New Roman" w:hAnsi="Times New Roman" w:cs="Times New Roman"/>
          <w:i/>
          <w:iCs/>
          <w:sz w:val="24"/>
          <w:szCs w:val="24"/>
        </w:rPr>
        <w:t xml:space="preserve"> </w:t>
      </w:r>
      <w:proofErr w:type="spellStart"/>
      <w:r w:rsidRPr="006449A5">
        <w:rPr>
          <w:rFonts w:ascii="Times New Roman" w:hAnsi="Times New Roman" w:cs="Times New Roman"/>
          <w:i/>
          <w:iCs/>
          <w:sz w:val="24"/>
          <w:szCs w:val="24"/>
        </w:rPr>
        <w:t>Asylum</w:t>
      </w:r>
      <w:proofErr w:type="spellEnd"/>
      <w:r w:rsidRPr="006449A5">
        <w:rPr>
          <w:rFonts w:ascii="Times New Roman" w:hAnsi="Times New Roman" w:cs="Times New Roman"/>
          <w:i/>
          <w:iCs/>
          <w:sz w:val="24"/>
          <w:szCs w:val="24"/>
        </w:rPr>
        <w:t xml:space="preserve"> </w:t>
      </w:r>
      <w:proofErr w:type="spellStart"/>
      <w:r w:rsidRPr="006449A5">
        <w:rPr>
          <w:rFonts w:ascii="Times New Roman" w:hAnsi="Times New Roman" w:cs="Times New Roman"/>
          <w:i/>
          <w:iCs/>
          <w:sz w:val="24"/>
          <w:szCs w:val="24"/>
        </w:rPr>
        <w:t>Seekers</w:t>
      </w:r>
      <w:proofErr w:type="spellEnd"/>
      <w:r w:rsidRPr="006449A5">
        <w:rPr>
          <w:rFonts w:ascii="Times New Roman" w:hAnsi="Times New Roman" w:cs="Times New Roman"/>
          <w:i/>
          <w:iCs/>
          <w:sz w:val="24"/>
          <w:szCs w:val="24"/>
        </w:rPr>
        <w:t>, '</w:t>
      </w:r>
      <w:proofErr w:type="spellStart"/>
      <w:r w:rsidRPr="006449A5">
        <w:rPr>
          <w:rFonts w:ascii="Times New Roman" w:hAnsi="Times New Roman" w:cs="Times New Roman"/>
          <w:i/>
          <w:iCs/>
          <w:sz w:val="24"/>
          <w:szCs w:val="24"/>
        </w:rPr>
        <w:t>Other</w:t>
      </w:r>
      <w:proofErr w:type="spellEnd"/>
      <w:r w:rsidRPr="006449A5">
        <w:rPr>
          <w:rFonts w:ascii="Times New Roman" w:hAnsi="Times New Roman" w:cs="Times New Roman"/>
          <w:i/>
          <w:iCs/>
          <w:sz w:val="24"/>
          <w:szCs w:val="24"/>
        </w:rPr>
        <w:t xml:space="preserve"> </w:t>
      </w:r>
      <w:proofErr w:type="spellStart"/>
      <w:r w:rsidRPr="006449A5">
        <w:rPr>
          <w:rFonts w:ascii="Times New Roman" w:hAnsi="Times New Roman" w:cs="Times New Roman"/>
          <w:i/>
          <w:iCs/>
          <w:sz w:val="24"/>
          <w:szCs w:val="24"/>
        </w:rPr>
        <w:t>Vulnerabilities</w:t>
      </w:r>
      <w:proofErr w:type="spellEnd"/>
      <w:r w:rsidRPr="006449A5">
        <w:rPr>
          <w:rFonts w:ascii="Times New Roman" w:hAnsi="Times New Roman" w:cs="Times New Roman"/>
          <w:i/>
          <w:iCs/>
          <w:sz w:val="24"/>
          <w:szCs w:val="24"/>
        </w:rPr>
        <w:t xml:space="preserve">' : </w:t>
      </w:r>
      <w:proofErr w:type="spellStart"/>
      <w:r w:rsidRPr="006449A5">
        <w:rPr>
          <w:rFonts w:ascii="Times New Roman" w:hAnsi="Times New Roman" w:cs="Times New Roman"/>
          <w:i/>
          <w:iCs/>
          <w:sz w:val="24"/>
          <w:szCs w:val="24"/>
        </w:rPr>
        <w:t>Intersectionality</w:t>
      </w:r>
      <w:proofErr w:type="spellEnd"/>
      <w:r w:rsidRPr="006449A5">
        <w:rPr>
          <w:rFonts w:ascii="Times New Roman" w:hAnsi="Times New Roman" w:cs="Times New Roman"/>
          <w:i/>
          <w:iCs/>
          <w:sz w:val="24"/>
          <w:szCs w:val="24"/>
        </w:rPr>
        <w:t xml:space="preserve"> in </w:t>
      </w:r>
      <w:proofErr w:type="spellStart"/>
      <w:r w:rsidRPr="006449A5">
        <w:rPr>
          <w:rFonts w:ascii="Times New Roman" w:hAnsi="Times New Roman" w:cs="Times New Roman"/>
          <w:i/>
          <w:iCs/>
          <w:sz w:val="24"/>
          <w:szCs w:val="24"/>
        </w:rPr>
        <w:t>Context</w:t>
      </w:r>
      <w:proofErr w:type="spellEnd"/>
      <w:r w:rsidRPr="006449A5">
        <w:rPr>
          <w:rFonts w:ascii="Times New Roman" w:hAnsi="Times New Roman" w:cs="Times New Roman"/>
          <w:sz w:val="24"/>
          <w:szCs w:val="24"/>
        </w:rPr>
        <w:t xml:space="preserve"> », Christine Flamand, Francesca Raimondo et Sylvie </w:t>
      </w:r>
      <w:proofErr w:type="spellStart"/>
      <w:r w:rsidRPr="006449A5">
        <w:rPr>
          <w:rFonts w:ascii="Times New Roman" w:hAnsi="Times New Roman" w:cs="Times New Roman"/>
          <w:sz w:val="24"/>
          <w:szCs w:val="24"/>
        </w:rPr>
        <w:t>Sarolea</w:t>
      </w:r>
      <w:proofErr w:type="spellEnd"/>
      <w:r w:rsidRPr="006449A5">
        <w:rPr>
          <w:rFonts w:ascii="Times New Roman" w:hAnsi="Times New Roman" w:cs="Times New Roman"/>
          <w:sz w:val="24"/>
          <w:szCs w:val="24"/>
          <w:vertAlign w:val="superscript"/>
        </w:rPr>
        <w:footnoteReference w:id="73"/>
      </w:r>
      <w:r w:rsidRPr="006449A5">
        <w:rPr>
          <w:rFonts w:ascii="Times New Roman" w:hAnsi="Times New Roman" w:cs="Times New Roman"/>
          <w:sz w:val="24"/>
          <w:szCs w:val="24"/>
        </w:rPr>
        <w:t xml:space="preserve"> </w:t>
      </w:r>
      <w:r w:rsidR="00262388">
        <w:rPr>
          <w:rFonts w:ascii="Times New Roman" w:hAnsi="Times New Roman" w:cs="Times New Roman"/>
          <w:sz w:val="24"/>
          <w:szCs w:val="24"/>
        </w:rPr>
        <w:t>défendent</w:t>
      </w:r>
      <w:r w:rsidRPr="006449A5">
        <w:rPr>
          <w:rFonts w:ascii="Times New Roman" w:hAnsi="Times New Roman" w:cs="Times New Roman"/>
          <w:sz w:val="24"/>
          <w:szCs w:val="24"/>
        </w:rPr>
        <w:t xml:space="preserve"> une autre conception de la vulnérabilité</w:t>
      </w:r>
      <w:r w:rsidRPr="006449A5">
        <w:rPr>
          <w:rFonts w:ascii="Times New Roman" w:hAnsi="Times New Roman" w:cs="Times New Roman"/>
          <w:sz w:val="24"/>
          <w:szCs w:val="24"/>
          <w:vertAlign w:val="superscript"/>
        </w:rPr>
        <w:footnoteReference w:id="74"/>
      </w:r>
      <w:r w:rsidRPr="006449A5">
        <w:rPr>
          <w:rFonts w:ascii="Times New Roman" w:hAnsi="Times New Roman" w:cs="Times New Roman"/>
          <w:sz w:val="24"/>
          <w:szCs w:val="24"/>
        </w:rPr>
        <w:t xml:space="preserve"> des migrants</w:t>
      </w:r>
      <w:bookmarkStart w:id="27" w:name="_Hlk184311079"/>
      <w:r w:rsidRPr="006449A5">
        <w:rPr>
          <w:rFonts w:ascii="Times New Roman" w:hAnsi="Times New Roman" w:cs="Times New Roman"/>
          <w:sz w:val="24"/>
          <w:szCs w:val="24"/>
        </w:rPr>
        <w:t xml:space="preserve">. Ainsi, elles affirment qu'au lieu de s'appuyer sur des </w:t>
      </w:r>
      <w:r w:rsidR="009F59B0" w:rsidRPr="006449A5">
        <w:rPr>
          <w:rFonts w:ascii="Times New Roman" w:hAnsi="Times New Roman" w:cs="Times New Roman"/>
          <w:sz w:val="24"/>
          <w:szCs w:val="24"/>
        </w:rPr>
        <w:t xml:space="preserve">« </w:t>
      </w:r>
      <w:r w:rsidRPr="006449A5">
        <w:rPr>
          <w:rFonts w:ascii="Times New Roman" w:hAnsi="Times New Roman" w:cs="Times New Roman"/>
          <w:sz w:val="24"/>
          <w:szCs w:val="24"/>
        </w:rPr>
        <w:t>contrôles de vulnérabilité</w:t>
      </w:r>
      <w:r w:rsidR="009F59B0" w:rsidRPr="006449A5">
        <w:rPr>
          <w:rFonts w:ascii="Times New Roman" w:hAnsi="Times New Roman" w:cs="Times New Roman"/>
          <w:sz w:val="24"/>
          <w:szCs w:val="24"/>
        </w:rPr>
        <w:t xml:space="preserve"> »</w:t>
      </w:r>
      <w:r w:rsidRPr="006449A5">
        <w:rPr>
          <w:rFonts w:ascii="Times New Roman" w:hAnsi="Times New Roman" w:cs="Times New Roman"/>
          <w:sz w:val="24"/>
          <w:szCs w:val="24"/>
        </w:rPr>
        <w:t xml:space="preserve"> standards, basés sur des caractéristiques communes telles que le sexe ou l'âge, il conviendrait d'adopter une approche plus individualisée qui prenne en compte les défis de la vie réelle des personnes. Cette approche nécessite de considérer que l'expérience de la vulnérabilité est différente pour chaque personne et qu'il existe différents degrés de vulnérabilité, qui peuvent changer pour une personne au fil du temps et selon les lieux. Dès lors, dans le cadre du traitement en DIP des cas considérés ici, l’on pourrait imaginer que l’application de l’exception d’ordre public ou des lois de police visant à protéger des identités vulnérables, typiquement les femmes et les enfants (et permettant d’appliquer le droit du for européen à la place du droit postcolonial applicable) ne soit mise en œuvre qu’après avoir considéré l’expérience de la</w:t>
      </w:r>
      <w:r w:rsidR="00814ACE" w:rsidRPr="006449A5">
        <w:rPr>
          <w:rFonts w:ascii="Times New Roman" w:hAnsi="Times New Roman" w:cs="Times New Roman"/>
          <w:sz w:val="24"/>
          <w:szCs w:val="24"/>
        </w:rPr>
        <w:t xml:space="preserve"> personne</w:t>
      </w:r>
      <w:r w:rsidRPr="006449A5">
        <w:rPr>
          <w:rFonts w:ascii="Times New Roman" w:hAnsi="Times New Roman" w:cs="Times New Roman"/>
          <w:sz w:val="24"/>
          <w:szCs w:val="24"/>
        </w:rPr>
        <w:t xml:space="preserve"> concernée. Mais l’on devrait aussi considérer que, dans certains cas, la légalité postcoloniale </w:t>
      </w:r>
      <w:r w:rsidRPr="006449A5">
        <w:rPr>
          <w:rFonts w:ascii="Times New Roman" w:hAnsi="Times New Roman" w:cs="Times New Roman"/>
          <w:sz w:val="24"/>
          <w:szCs w:val="24"/>
        </w:rPr>
        <w:lastRenderedPageBreak/>
        <w:t xml:space="preserve">considérée ne peut être appliquée, au vu de la vulnérabilité dans laquelle elle met une personne, bien que ce cas n’ait pas été envisagé dans la conception de l’ordre public du for. </w:t>
      </w:r>
    </w:p>
    <w:bookmarkEnd w:id="27"/>
    <w:p w14:paraId="21778220" w14:textId="32300E3D" w:rsidR="00D971ED" w:rsidRPr="006449A5" w:rsidRDefault="00262388" w:rsidP="00D971ED">
      <w:pPr>
        <w:rPr>
          <w:rFonts w:ascii="Times New Roman" w:hAnsi="Times New Roman" w:cs="Times New Roman"/>
          <w:sz w:val="24"/>
          <w:szCs w:val="24"/>
        </w:rPr>
      </w:pPr>
      <w:r>
        <w:rPr>
          <w:rFonts w:ascii="Times New Roman" w:hAnsi="Times New Roman" w:cs="Times New Roman"/>
          <w:sz w:val="24"/>
          <w:szCs w:val="24"/>
        </w:rPr>
        <w:t xml:space="preserve">Enfin, </w:t>
      </w:r>
      <w:r w:rsidR="00D971ED" w:rsidRPr="006449A5">
        <w:rPr>
          <w:rFonts w:ascii="Times New Roman" w:hAnsi="Times New Roman" w:cs="Times New Roman"/>
          <w:sz w:val="24"/>
          <w:szCs w:val="24"/>
        </w:rPr>
        <w:t xml:space="preserve">contrairement à la théorie </w:t>
      </w:r>
      <w:proofErr w:type="spellStart"/>
      <w:r w:rsidR="00D971ED" w:rsidRPr="006449A5">
        <w:rPr>
          <w:rFonts w:ascii="Times New Roman" w:hAnsi="Times New Roman" w:cs="Times New Roman"/>
          <w:sz w:val="24"/>
          <w:szCs w:val="24"/>
        </w:rPr>
        <w:t>décoloniale</w:t>
      </w:r>
      <w:proofErr w:type="spellEnd"/>
      <w:r w:rsidR="00D971ED" w:rsidRPr="006449A5">
        <w:rPr>
          <w:rFonts w:ascii="Times New Roman" w:hAnsi="Times New Roman" w:cs="Times New Roman"/>
          <w:sz w:val="24"/>
          <w:szCs w:val="24"/>
        </w:rPr>
        <w:t>, cet article ne peut viser à se « détacher » (« </w:t>
      </w:r>
      <w:proofErr w:type="spellStart"/>
      <w:r w:rsidR="00D971ED" w:rsidRPr="006449A5">
        <w:rPr>
          <w:rFonts w:ascii="Times New Roman" w:hAnsi="Times New Roman" w:cs="Times New Roman"/>
          <w:i/>
          <w:iCs/>
          <w:sz w:val="24"/>
          <w:szCs w:val="24"/>
        </w:rPr>
        <w:t>delink</w:t>
      </w:r>
      <w:proofErr w:type="spellEnd"/>
      <w:r w:rsidR="00D971ED" w:rsidRPr="006449A5">
        <w:rPr>
          <w:rFonts w:ascii="Times New Roman" w:hAnsi="Times New Roman" w:cs="Times New Roman"/>
          <w:sz w:val="24"/>
          <w:szCs w:val="24"/>
        </w:rPr>
        <w:t> ») de la modernité - parce que le droit étatique européen (et sans doute le droit étatique en général</w:t>
      </w:r>
      <w:r w:rsidR="00D971ED" w:rsidRPr="006449A5">
        <w:rPr>
          <w:rFonts w:ascii="Times New Roman" w:hAnsi="Times New Roman" w:cs="Times New Roman"/>
          <w:sz w:val="24"/>
          <w:szCs w:val="24"/>
          <w:vertAlign w:val="superscript"/>
        </w:rPr>
        <w:footnoteReference w:id="75"/>
      </w:r>
      <w:r w:rsidR="00D971ED" w:rsidRPr="006449A5">
        <w:rPr>
          <w:rFonts w:ascii="Times New Roman" w:hAnsi="Times New Roman" w:cs="Times New Roman"/>
          <w:sz w:val="24"/>
          <w:szCs w:val="24"/>
        </w:rPr>
        <w:t xml:space="preserve"> ), y compris le DIP, </w:t>
      </w:r>
      <w:r w:rsidR="00D971ED" w:rsidRPr="006449A5">
        <w:rPr>
          <w:rFonts w:ascii="Times New Roman" w:hAnsi="Times New Roman" w:cs="Times New Roman"/>
          <w:i/>
          <w:iCs/>
          <w:sz w:val="24"/>
          <w:szCs w:val="24"/>
        </w:rPr>
        <w:t xml:space="preserve">est </w:t>
      </w:r>
      <w:r w:rsidR="00D971ED" w:rsidRPr="006449A5">
        <w:rPr>
          <w:rFonts w:ascii="Times New Roman" w:hAnsi="Times New Roman" w:cs="Times New Roman"/>
          <w:sz w:val="24"/>
          <w:szCs w:val="24"/>
        </w:rPr>
        <w:t>la modernité</w:t>
      </w:r>
      <w:r w:rsidR="00D971ED" w:rsidRPr="006449A5">
        <w:rPr>
          <w:rFonts w:ascii="Times New Roman" w:hAnsi="Times New Roman" w:cs="Times New Roman"/>
          <w:sz w:val="24"/>
          <w:szCs w:val="24"/>
          <w:vertAlign w:val="superscript"/>
        </w:rPr>
        <w:footnoteReference w:id="76"/>
      </w:r>
      <w:r w:rsidR="00D971ED" w:rsidRPr="006449A5">
        <w:rPr>
          <w:rFonts w:ascii="Times New Roman" w:hAnsi="Times New Roman" w:cs="Times New Roman"/>
          <w:i/>
          <w:iCs/>
          <w:sz w:val="24"/>
          <w:szCs w:val="24"/>
        </w:rPr>
        <w:t>.</w:t>
      </w:r>
      <w:r w:rsidR="00D971ED" w:rsidRPr="006449A5">
        <w:rPr>
          <w:rFonts w:ascii="Times New Roman" w:hAnsi="Times New Roman" w:cs="Times New Roman"/>
          <w:sz w:val="24"/>
          <w:szCs w:val="24"/>
        </w:rPr>
        <w:t xml:space="preserve">  C'est la raison pour laquelle l'objectif de cet ouvrage ne peut être que de rendre le DIP européen « moins colonial », ou « plus inclusif des demandes postcoloniales » : il s'agit d'ajouter des visions du monde postcoloniales aux visions du monde juridiques </w:t>
      </w:r>
      <w:r w:rsidR="00C457B5" w:rsidRPr="006449A5">
        <w:rPr>
          <w:rFonts w:ascii="Times New Roman" w:hAnsi="Times New Roman" w:cs="Times New Roman"/>
          <w:sz w:val="24"/>
          <w:szCs w:val="24"/>
        </w:rPr>
        <w:t>européennes</w:t>
      </w:r>
      <w:r w:rsidR="00D971ED" w:rsidRPr="006449A5">
        <w:rPr>
          <w:rFonts w:ascii="Times New Roman" w:hAnsi="Times New Roman" w:cs="Times New Roman"/>
          <w:sz w:val="24"/>
          <w:szCs w:val="24"/>
        </w:rPr>
        <w:t xml:space="preserve">, et de modifier ces dernières pour rendre cela possible.  Dans cette perspective, l’article vise à participer à un processus de pluralisation de la théorie juridique occidentale, des concepts, des règles, des raisonnements, des sources, du processus d'adoption, de l'enseignement, etc., tout en accordant plus de place à une approche au cas par cas, pour mieux inclure les visions du monde postcoloniales et les identités et pratiques qui s'y rattachent. </w:t>
      </w:r>
    </w:p>
    <w:p w14:paraId="00C7D295" w14:textId="62BA7EC8" w:rsidR="00D971ED" w:rsidRPr="006449A5" w:rsidRDefault="00D971ED" w:rsidP="00D971ED">
      <w:pPr>
        <w:rPr>
          <w:rFonts w:ascii="Times New Roman" w:hAnsi="Times New Roman" w:cs="Times New Roman"/>
          <w:sz w:val="24"/>
          <w:szCs w:val="24"/>
        </w:rPr>
      </w:pPr>
      <w:r w:rsidRPr="006449A5">
        <w:rPr>
          <w:rFonts w:ascii="Times New Roman" w:hAnsi="Times New Roman" w:cs="Times New Roman"/>
          <w:sz w:val="24"/>
          <w:szCs w:val="24"/>
        </w:rPr>
        <w:t xml:space="preserve">Pour ce faire, l’article s'appuie autant que possible sur les travaux de chercheurs des États postcoloniaux, afin de parvenir à une certaine </w:t>
      </w:r>
      <w:r w:rsidR="009F59B0" w:rsidRPr="006449A5">
        <w:rPr>
          <w:rFonts w:ascii="Times New Roman" w:hAnsi="Times New Roman" w:cs="Times New Roman"/>
          <w:sz w:val="24"/>
          <w:szCs w:val="24"/>
        </w:rPr>
        <w:t xml:space="preserve">« </w:t>
      </w:r>
      <w:r w:rsidRPr="006449A5">
        <w:rPr>
          <w:rFonts w:ascii="Times New Roman" w:hAnsi="Times New Roman" w:cs="Times New Roman"/>
          <w:i/>
          <w:iCs/>
          <w:sz w:val="24"/>
          <w:szCs w:val="24"/>
        </w:rPr>
        <w:t>pensée frontalière</w:t>
      </w:r>
      <w:r w:rsidR="009F59B0" w:rsidRPr="006449A5">
        <w:rPr>
          <w:rFonts w:ascii="Times New Roman" w:hAnsi="Times New Roman" w:cs="Times New Roman"/>
          <w:i/>
          <w:iCs/>
          <w:sz w:val="24"/>
          <w:szCs w:val="24"/>
        </w:rPr>
        <w:t xml:space="preserve"> </w:t>
      </w:r>
      <w:r w:rsidR="009F59B0" w:rsidRPr="006449A5">
        <w:rPr>
          <w:rFonts w:ascii="Times New Roman" w:hAnsi="Times New Roman" w:cs="Times New Roman"/>
          <w:sz w:val="24"/>
          <w:szCs w:val="24"/>
        </w:rPr>
        <w:t>»</w:t>
      </w:r>
      <w:r w:rsidRPr="006449A5">
        <w:rPr>
          <w:rFonts w:ascii="Times New Roman" w:hAnsi="Times New Roman" w:cs="Times New Roman"/>
          <w:sz w:val="24"/>
          <w:szCs w:val="24"/>
        </w:rPr>
        <w:t>, bien qu'inévitablement dans une mesure limitée</w:t>
      </w:r>
      <w:bookmarkStart w:id="28" w:name="_Hlk157692215"/>
      <w:r w:rsidRPr="006449A5">
        <w:rPr>
          <w:rFonts w:ascii="Times New Roman" w:hAnsi="Times New Roman" w:cs="Times New Roman"/>
          <w:sz w:val="24"/>
          <w:szCs w:val="24"/>
        </w:rPr>
        <w:t xml:space="preserve">. </w:t>
      </w:r>
      <w:r w:rsidR="002F60E7" w:rsidRPr="006449A5">
        <w:rPr>
          <w:rFonts w:ascii="Times New Roman" w:hAnsi="Times New Roman" w:cs="Times New Roman"/>
          <w:sz w:val="24"/>
          <w:szCs w:val="24"/>
        </w:rPr>
        <w:t xml:space="preserve">Ceci est d’autant plus vrai que les études des chercheurs venant du Sud Global ou </w:t>
      </w:r>
      <w:r w:rsidR="00814ACE" w:rsidRPr="006449A5">
        <w:rPr>
          <w:rFonts w:ascii="Times New Roman" w:hAnsi="Times New Roman" w:cs="Times New Roman"/>
          <w:sz w:val="24"/>
          <w:szCs w:val="24"/>
        </w:rPr>
        <w:t xml:space="preserve">réalisées </w:t>
      </w:r>
      <w:r w:rsidR="002F60E7" w:rsidRPr="006449A5">
        <w:rPr>
          <w:rFonts w:ascii="Times New Roman" w:hAnsi="Times New Roman" w:cs="Times New Roman"/>
          <w:sz w:val="24"/>
          <w:szCs w:val="24"/>
        </w:rPr>
        <w:t xml:space="preserve">dans des universités du Sud Global qui s’intéressent au DIP européen semblent inexistantes. </w:t>
      </w:r>
      <w:r w:rsidR="00B028A1" w:rsidRPr="006449A5">
        <w:rPr>
          <w:rFonts w:ascii="Times New Roman" w:hAnsi="Times New Roman" w:cs="Times New Roman"/>
          <w:sz w:val="24"/>
          <w:szCs w:val="24"/>
        </w:rPr>
        <w:t>À</w:t>
      </w:r>
      <w:r w:rsidRPr="006449A5">
        <w:rPr>
          <w:rFonts w:ascii="Times New Roman" w:hAnsi="Times New Roman" w:cs="Times New Roman"/>
          <w:sz w:val="24"/>
          <w:szCs w:val="24"/>
        </w:rPr>
        <w:t xml:space="preserve"> cet égard, nous reconnaissons les limites et les précautions qui sont de rigueur lorsqu’une chercheuse européenne</w:t>
      </w:r>
      <w:r w:rsidR="002B6BA8" w:rsidRPr="006449A5">
        <w:rPr>
          <w:rStyle w:val="Appelnotedebasdep"/>
          <w:rFonts w:ascii="Times New Roman" w:hAnsi="Times New Roman" w:cs="Times New Roman"/>
          <w:sz w:val="24"/>
          <w:szCs w:val="24"/>
        </w:rPr>
        <w:footnoteReference w:id="77"/>
      </w:r>
      <w:r w:rsidRPr="006449A5">
        <w:rPr>
          <w:rFonts w:ascii="Times New Roman" w:hAnsi="Times New Roman" w:cs="Times New Roman"/>
          <w:sz w:val="24"/>
          <w:szCs w:val="24"/>
        </w:rPr>
        <w:t xml:space="preserve"> mène une recherche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au sein d’une université européenne</w:t>
      </w:r>
      <w:r w:rsidRPr="006449A5">
        <w:rPr>
          <w:rFonts w:ascii="Times New Roman" w:hAnsi="Times New Roman" w:cs="Times New Roman"/>
          <w:sz w:val="24"/>
          <w:szCs w:val="24"/>
          <w:vertAlign w:val="superscript"/>
        </w:rPr>
        <w:footnoteReference w:id="78"/>
      </w:r>
      <w:r w:rsidRPr="006449A5">
        <w:rPr>
          <w:rFonts w:ascii="Times New Roman" w:hAnsi="Times New Roman" w:cs="Times New Roman"/>
          <w:sz w:val="24"/>
          <w:szCs w:val="24"/>
        </w:rPr>
        <w:t>. Notamment,</w:t>
      </w:r>
      <w:r w:rsidR="00FB2BBA" w:rsidRPr="006449A5">
        <w:rPr>
          <w:rFonts w:ascii="Times New Roman" w:hAnsi="Times New Roman" w:cs="Times New Roman"/>
          <w:sz w:val="24"/>
          <w:szCs w:val="24"/>
        </w:rPr>
        <w:t xml:space="preserve"> Leon </w:t>
      </w:r>
      <w:proofErr w:type="spellStart"/>
      <w:r w:rsidR="00FB2BBA" w:rsidRPr="006449A5">
        <w:rPr>
          <w:rFonts w:ascii="Times New Roman" w:hAnsi="Times New Roman" w:cs="Times New Roman"/>
          <w:sz w:val="24"/>
          <w:szCs w:val="24"/>
        </w:rPr>
        <w:t>Moosavi</w:t>
      </w:r>
      <w:proofErr w:type="spellEnd"/>
      <w:r w:rsidR="00FB2BBA" w:rsidRPr="006449A5">
        <w:rPr>
          <w:rFonts w:ascii="Times New Roman" w:hAnsi="Times New Roman" w:cs="Times New Roman"/>
          <w:sz w:val="24"/>
          <w:szCs w:val="24"/>
        </w:rPr>
        <w:t xml:space="preserve"> identifie six dangers pour les académiques du Nord Global de vouloir entamer une recherche </w:t>
      </w:r>
      <w:proofErr w:type="spellStart"/>
      <w:r w:rsidR="00FB2BBA" w:rsidRPr="006449A5">
        <w:rPr>
          <w:rFonts w:ascii="Times New Roman" w:hAnsi="Times New Roman" w:cs="Times New Roman"/>
          <w:sz w:val="24"/>
          <w:szCs w:val="24"/>
        </w:rPr>
        <w:t>décoloniale</w:t>
      </w:r>
      <w:proofErr w:type="spellEnd"/>
      <w:r w:rsidR="00FB2BBA" w:rsidRPr="006449A5">
        <w:rPr>
          <w:rFonts w:ascii="Times New Roman" w:hAnsi="Times New Roman" w:cs="Times New Roman"/>
          <w:sz w:val="24"/>
          <w:szCs w:val="24"/>
        </w:rPr>
        <w:t xml:space="preserve">, qui gravitent autour du fait de ne pas ancrer cette recherche dans la théorie </w:t>
      </w:r>
      <w:proofErr w:type="spellStart"/>
      <w:r w:rsidR="00FB2BBA" w:rsidRPr="006449A5">
        <w:rPr>
          <w:rFonts w:ascii="Times New Roman" w:hAnsi="Times New Roman" w:cs="Times New Roman"/>
          <w:sz w:val="24"/>
          <w:szCs w:val="24"/>
        </w:rPr>
        <w:t>décoloniale</w:t>
      </w:r>
      <w:proofErr w:type="spellEnd"/>
      <w:r w:rsidR="00FB2BBA" w:rsidRPr="006449A5">
        <w:rPr>
          <w:rStyle w:val="Appelnotedebasdep"/>
          <w:rFonts w:ascii="Times New Roman" w:hAnsi="Times New Roman" w:cs="Times New Roman"/>
          <w:sz w:val="24"/>
          <w:szCs w:val="24"/>
        </w:rPr>
        <w:footnoteReference w:id="79"/>
      </w:r>
      <w:r w:rsidR="00FB2BBA" w:rsidRPr="006449A5">
        <w:rPr>
          <w:rFonts w:ascii="Times New Roman" w:hAnsi="Times New Roman" w:cs="Times New Roman"/>
          <w:sz w:val="24"/>
          <w:szCs w:val="24"/>
        </w:rPr>
        <w:t xml:space="preserve">.  </w:t>
      </w:r>
    </w:p>
    <w:p w14:paraId="13870993" w14:textId="2DD9E0EC" w:rsidR="00D971ED" w:rsidRPr="006449A5" w:rsidRDefault="00D971ED" w:rsidP="003B15E1">
      <w:pPr>
        <w:rPr>
          <w:rFonts w:ascii="Times New Roman" w:hAnsi="Times New Roman" w:cs="Times New Roman"/>
          <w:sz w:val="24"/>
          <w:szCs w:val="24"/>
        </w:rPr>
      </w:pPr>
      <w:r w:rsidRPr="006449A5">
        <w:rPr>
          <w:rFonts w:ascii="Times New Roman" w:hAnsi="Times New Roman" w:cs="Times New Roman"/>
          <w:sz w:val="24"/>
          <w:szCs w:val="24"/>
        </w:rPr>
        <w:t xml:space="preserve">Enfin, comme cet article s'inspire de la pensée </w:t>
      </w:r>
      <w:proofErr w:type="spellStart"/>
      <w:r w:rsidRPr="006449A5">
        <w:rPr>
          <w:rFonts w:ascii="Times New Roman" w:hAnsi="Times New Roman" w:cs="Times New Roman"/>
          <w:sz w:val="24"/>
          <w:szCs w:val="24"/>
        </w:rPr>
        <w:t>décoloniale</w:t>
      </w:r>
      <w:proofErr w:type="spellEnd"/>
      <w:r w:rsidRPr="006449A5">
        <w:rPr>
          <w:rFonts w:ascii="Times New Roman" w:hAnsi="Times New Roman" w:cs="Times New Roman"/>
          <w:sz w:val="24"/>
          <w:szCs w:val="24"/>
        </w:rPr>
        <w:t xml:space="preserve">, il part du principe qu'accorder plus de pouvoir aux visions du monde, aux identités et aux pratiques postcoloniales en droit peut être une source de bien-être pour la société et les citoyens </w:t>
      </w:r>
      <w:r w:rsidR="00C457B5" w:rsidRPr="006449A5">
        <w:rPr>
          <w:rFonts w:ascii="Times New Roman" w:hAnsi="Times New Roman" w:cs="Times New Roman"/>
          <w:sz w:val="24"/>
          <w:szCs w:val="24"/>
        </w:rPr>
        <w:t>européens</w:t>
      </w:r>
      <w:r w:rsidRPr="006449A5">
        <w:rPr>
          <w:rFonts w:ascii="Times New Roman" w:hAnsi="Times New Roman" w:cs="Times New Roman"/>
          <w:sz w:val="24"/>
          <w:szCs w:val="24"/>
        </w:rPr>
        <w:t xml:space="preserve"> : l'inclusion de la diversité élargit les possibilités d'être, les valeurs disponibles pour vivre seul et ensemble, ainsi que les voies potentielles pour s'attaquer </w:t>
      </w:r>
      <w:r w:rsidR="002F60E7" w:rsidRPr="006449A5">
        <w:rPr>
          <w:rFonts w:ascii="Times New Roman" w:hAnsi="Times New Roman" w:cs="Times New Roman"/>
          <w:sz w:val="24"/>
          <w:szCs w:val="24"/>
        </w:rPr>
        <w:t>aux crises</w:t>
      </w:r>
      <w:r w:rsidRPr="006449A5">
        <w:rPr>
          <w:rFonts w:ascii="Times New Roman" w:hAnsi="Times New Roman" w:cs="Times New Roman"/>
          <w:sz w:val="24"/>
          <w:szCs w:val="24"/>
        </w:rPr>
        <w:t xml:space="preserve"> de notre époque. </w:t>
      </w:r>
      <w:bookmarkEnd w:id="18"/>
      <w:bookmarkEnd w:id="28"/>
    </w:p>
    <w:p w14:paraId="75E15506" w14:textId="40D4FACE" w:rsidR="00CF1D1E" w:rsidRPr="006449A5" w:rsidRDefault="00500658" w:rsidP="004A2030">
      <w:pPr>
        <w:rPr>
          <w:rFonts w:ascii="Times New Roman" w:hAnsi="Times New Roman" w:cs="Times New Roman"/>
          <w:b/>
          <w:bCs/>
          <w:sz w:val="28"/>
          <w:szCs w:val="28"/>
        </w:rPr>
      </w:pPr>
      <w:r w:rsidRPr="006449A5">
        <w:rPr>
          <w:rFonts w:ascii="Times New Roman" w:hAnsi="Times New Roman" w:cs="Times New Roman"/>
          <w:b/>
          <w:bCs/>
          <w:sz w:val="28"/>
          <w:szCs w:val="28"/>
        </w:rPr>
        <w:lastRenderedPageBreak/>
        <w:t>A</w:t>
      </w:r>
      <w:r w:rsidR="009F59B0" w:rsidRPr="006449A5">
        <w:rPr>
          <w:rFonts w:ascii="Times New Roman" w:hAnsi="Times New Roman" w:cs="Times New Roman"/>
          <w:b/>
          <w:bCs/>
          <w:sz w:val="28"/>
          <w:szCs w:val="28"/>
        </w:rPr>
        <w:t xml:space="preserve">nalyse </w:t>
      </w:r>
      <w:proofErr w:type="spellStart"/>
      <w:r w:rsidR="009F59B0" w:rsidRPr="006449A5">
        <w:rPr>
          <w:rFonts w:ascii="Times New Roman" w:hAnsi="Times New Roman" w:cs="Times New Roman"/>
          <w:b/>
          <w:bCs/>
          <w:sz w:val="28"/>
          <w:szCs w:val="28"/>
        </w:rPr>
        <w:t>décoloniale</w:t>
      </w:r>
      <w:proofErr w:type="spellEnd"/>
      <w:r w:rsidR="009F59B0" w:rsidRPr="006449A5">
        <w:rPr>
          <w:rFonts w:ascii="Times New Roman" w:hAnsi="Times New Roman" w:cs="Times New Roman"/>
          <w:b/>
          <w:bCs/>
          <w:sz w:val="28"/>
          <w:szCs w:val="28"/>
        </w:rPr>
        <w:t> : a</w:t>
      </w:r>
      <w:r w:rsidRPr="006449A5">
        <w:rPr>
          <w:rFonts w:ascii="Times New Roman" w:hAnsi="Times New Roman" w:cs="Times New Roman"/>
          <w:b/>
          <w:bCs/>
          <w:sz w:val="28"/>
          <w:szCs w:val="28"/>
        </w:rPr>
        <w:t>pport d’une étude de cas </w:t>
      </w:r>
    </w:p>
    <w:p w14:paraId="0CDD2724" w14:textId="7B49381A" w:rsidR="0033619B" w:rsidRPr="006449A5" w:rsidRDefault="00F83A07" w:rsidP="00E35AF8">
      <w:pPr>
        <w:rPr>
          <w:rFonts w:ascii="Times New Roman" w:hAnsi="Times New Roman" w:cs="Times New Roman"/>
          <w:sz w:val="24"/>
          <w:szCs w:val="24"/>
        </w:rPr>
      </w:pPr>
      <w:r>
        <w:rPr>
          <w:rFonts w:ascii="Times New Roman" w:hAnsi="Times New Roman" w:cs="Times New Roman"/>
          <w:sz w:val="24"/>
          <w:szCs w:val="24"/>
        </w:rPr>
        <w:t xml:space="preserve">Dans la présente section, </w:t>
      </w:r>
      <w:r w:rsidR="00D7295A">
        <w:rPr>
          <w:rFonts w:ascii="Times New Roman" w:hAnsi="Times New Roman" w:cs="Times New Roman"/>
          <w:sz w:val="24"/>
          <w:szCs w:val="24"/>
        </w:rPr>
        <w:t xml:space="preserve">nous précisons le cadre </w:t>
      </w:r>
      <w:proofErr w:type="spellStart"/>
      <w:r w:rsidR="00D7295A">
        <w:rPr>
          <w:rFonts w:ascii="Times New Roman" w:hAnsi="Times New Roman" w:cs="Times New Roman"/>
          <w:sz w:val="24"/>
          <w:szCs w:val="24"/>
        </w:rPr>
        <w:t>décolonial</w:t>
      </w:r>
      <w:proofErr w:type="spellEnd"/>
      <w:r w:rsidR="00D7295A">
        <w:rPr>
          <w:rFonts w:ascii="Times New Roman" w:hAnsi="Times New Roman" w:cs="Times New Roman"/>
          <w:sz w:val="24"/>
          <w:szCs w:val="24"/>
        </w:rPr>
        <w:t xml:space="preserve"> théorique établi ci-dessus pour ce qui concerne</w:t>
      </w:r>
      <w:r w:rsidR="00183495" w:rsidRPr="006449A5">
        <w:rPr>
          <w:rFonts w:ascii="Times New Roman" w:hAnsi="Times New Roman" w:cs="Times New Roman"/>
          <w:sz w:val="24"/>
          <w:szCs w:val="24"/>
        </w:rPr>
        <w:t xml:space="preserve"> </w:t>
      </w:r>
      <w:r w:rsidR="00D7295A">
        <w:rPr>
          <w:rFonts w:ascii="Times New Roman" w:hAnsi="Times New Roman" w:cs="Times New Roman"/>
          <w:sz w:val="24"/>
          <w:szCs w:val="24"/>
        </w:rPr>
        <w:t>les</w:t>
      </w:r>
      <w:r>
        <w:rPr>
          <w:rFonts w:ascii="Times New Roman" w:hAnsi="Times New Roman" w:cs="Times New Roman"/>
          <w:sz w:val="24"/>
          <w:szCs w:val="24"/>
        </w:rPr>
        <w:t xml:space="preserve"> </w:t>
      </w:r>
      <w:r w:rsidR="002F60E7" w:rsidRPr="006449A5">
        <w:rPr>
          <w:rFonts w:ascii="Times New Roman" w:hAnsi="Times New Roman" w:cs="Times New Roman"/>
          <w:sz w:val="24"/>
          <w:szCs w:val="24"/>
        </w:rPr>
        <w:t>cas</w:t>
      </w:r>
      <w:r w:rsidR="00E35AF8" w:rsidRPr="006449A5">
        <w:rPr>
          <w:rFonts w:ascii="Times New Roman" w:hAnsi="Times New Roman" w:cs="Times New Roman"/>
          <w:sz w:val="24"/>
          <w:szCs w:val="24"/>
        </w:rPr>
        <w:t xml:space="preserve"> impliquant un conflit entre une partie </w:t>
      </w:r>
      <w:r w:rsidR="00D7295A">
        <w:rPr>
          <w:rFonts w:ascii="Times New Roman" w:hAnsi="Times New Roman" w:cs="Times New Roman"/>
          <w:sz w:val="24"/>
          <w:szCs w:val="24"/>
        </w:rPr>
        <w:t xml:space="preserve">venant d’un </w:t>
      </w:r>
      <w:r w:rsidR="00D7295A" w:rsidRPr="00D7295A">
        <w:rPr>
          <w:rFonts w:ascii="Times New Roman" w:hAnsi="Times New Roman" w:cs="Times New Roman"/>
          <w:sz w:val="24"/>
          <w:szCs w:val="24"/>
        </w:rPr>
        <w:t>État</w:t>
      </w:r>
      <w:r w:rsidR="00D7295A">
        <w:rPr>
          <w:rFonts w:ascii="Times New Roman" w:hAnsi="Times New Roman" w:cs="Times New Roman"/>
          <w:sz w:val="24"/>
          <w:szCs w:val="24"/>
        </w:rPr>
        <w:t xml:space="preserve"> postcolonial</w:t>
      </w:r>
      <w:r w:rsidR="00E35AF8" w:rsidRPr="006449A5">
        <w:rPr>
          <w:rFonts w:ascii="Times New Roman" w:hAnsi="Times New Roman" w:cs="Times New Roman"/>
          <w:sz w:val="24"/>
          <w:szCs w:val="24"/>
        </w:rPr>
        <w:t xml:space="preserve"> et une autorité étatique européenne</w:t>
      </w:r>
      <w:r w:rsidR="00AA31A9" w:rsidRPr="006449A5">
        <w:rPr>
          <w:rFonts w:ascii="Times New Roman" w:hAnsi="Times New Roman" w:cs="Times New Roman"/>
          <w:sz w:val="24"/>
          <w:szCs w:val="24"/>
        </w:rPr>
        <w:t xml:space="preserve">. </w:t>
      </w:r>
      <w:r w:rsidR="000D5D94">
        <w:rPr>
          <w:rFonts w:ascii="Times New Roman" w:hAnsi="Times New Roman" w:cs="Times New Roman"/>
          <w:sz w:val="24"/>
          <w:szCs w:val="24"/>
        </w:rPr>
        <w:t xml:space="preserve">Pour ce faire, nous nous fondons sur une étude de cas car, comme </w:t>
      </w:r>
      <w:r w:rsidR="002F60E7" w:rsidRPr="006449A5">
        <w:rPr>
          <w:rFonts w:ascii="Times New Roman" w:hAnsi="Times New Roman" w:cs="Times New Roman"/>
          <w:sz w:val="24"/>
          <w:szCs w:val="24"/>
        </w:rPr>
        <w:t xml:space="preserve">expliqué dans l’introduction, cette méthodologie nous semble la plus adéquate, parmi les méthodes juridiques conventionnelles, au regard du paradigme de la </w:t>
      </w:r>
      <w:proofErr w:type="spellStart"/>
      <w:r w:rsidR="002F60E7" w:rsidRPr="006449A5">
        <w:rPr>
          <w:rFonts w:ascii="Times New Roman" w:hAnsi="Times New Roman" w:cs="Times New Roman"/>
          <w:sz w:val="24"/>
          <w:szCs w:val="24"/>
        </w:rPr>
        <w:t>décolonialité</w:t>
      </w:r>
      <w:proofErr w:type="spellEnd"/>
      <w:r w:rsidR="002F60E7" w:rsidRPr="006449A5">
        <w:rPr>
          <w:rFonts w:ascii="Times New Roman" w:hAnsi="Times New Roman" w:cs="Times New Roman"/>
          <w:sz w:val="24"/>
          <w:szCs w:val="24"/>
        </w:rPr>
        <w:t xml:space="preserve">. </w:t>
      </w:r>
      <w:r w:rsidR="00294B34" w:rsidRPr="006449A5">
        <w:rPr>
          <w:rFonts w:ascii="Times New Roman" w:hAnsi="Times New Roman" w:cs="Times New Roman"/>
          <w:sz w:val="24"/>
          <w:szCs w:val="24"/>
        </w:rPr>
        <w:t>Dès lors, dans les sous-</w:t>
      </w:r>
      <w:r w:rsidR="007F1A4E" w:rsidRPr="006449A5">
        <w:rPr>
          <w:rFonts w:ascii="Times New Roman" w:hAnsi="Times New Roman" w:cs="Times New Roman"/>
          <w:sz w:val="24"/>
          <w:szCs w:val="24"/>
        </w:rPr>
        <w:t>parties</w:t>
      </w:r>
      <w:r w:rsidR="00294B34" w:rsidRPr="006449A5">
        <w:rPr>
          <w:rFonts w:ascii="Times New Roman" w:hAnsi="Times New Roman" w:cs="Times New Roman"/>
          <w:sz w:val="24"/>
          <w:szCs w:val="24"/>
        </w:rPr>
        <w:t xml:space="preserve"> suivantes, </w:t>
      </w:r>
      <w:r w:rsidR="002A7E79" w:rsidRPr="006449A5">
        <w:rPr>
          <w:rFonts w:ascii="Times New Roman" w:hAnsi="Times New Roman" w:cs="Times New Roman"/>
          <w:sz w:val="24"/>
          <w:szCs w:val="24"/>
        </w:rPr>
        <w:t>trois</w:t>
      </w:r>
      <w:r w:rsidR="00294B34" w:rsidRPr="006449A5">
        <w:rPr>
          <w:rFonts w:ascii="Times New Roman" w:hAnsi="Times New Roman" w:cs="Times New Roman"/>
          <w:sz w:val="24"/>
          <w:szCs w:val="24"/>
        </w:rPr>
        <w:t xml:space="preserve"> cas sont présentés, venant respectivement de </w:t>
      </w:r>
      <w:r w:rsidR="00AA31A9" w:rsidRPr="006449A5">
        <w:rPr>
          <w:rFonts w:ascii="Times New Roman" w:hAnsi="Times New Roman" w:cs="Times New Roman"/>
          <w:sz w:val="24"/>
          <w:szCs w:val="24"/>
        </w:rPr>
        <w:t xml:space="preserve">France, de Belgique, </w:t>
      </w:r>
      <w:r w:rsidR="002A7E79" w:rsidRPr="006449A5">
        <w:rPr>
          <w:rFonts w:ascii="Times New Roman" w:hAnsi="Times New Roman" w:cs="Times New Roman"/>
          <w:sz w:val="24"/>
          <w:szCs w:val="24"/>
        </w:rPr>
        <w:t xml:space="preserve">et </w:t>
      </w:r>
      <w:r w:rsidR="00615D01" w:rsidRPr="006449A5">
        <w:rPr>
          <w:rFonts w:ascii="Times New Roman" w:hAnsi="Times New Roman" w:cs="Times New Roman"/>
          <w:sz w:val="24"/>
          <w:szCs w:val="24"/>
        </w:rPr>
        <w:t xml:space="preserve">du </w:t>
      </w:r>
      <w:r w:rsidR="0051773A">
        <w:rPr>
          <w:rFonts w:ascii="Times New Roman" w:hAnsi="Times New Roman" w:cs="Times New Roman"/>
          <w:sz w:val="24"/>
          <w:szCs w:val="24"/>
        </w:rPr>
        <w:t xml:space="preserve">Royaume-Uni, concernant </w:t>
      </w:r>
      <w:r w:rsidR="0051773A" w:rsidRPr="0051773A">
        <w:rPr>
          <w:rFonts w:ascii="Times New Roman" w:hAnsi="Times New Roman" w:cs="Times New Roman"/>
          <w:sz w:val="24"/>
          <w:szCs w:val="24"/>
        </w:rPr>
        <w:t>la nationalité, les mariages impliquant un mineur et l’adoption internationale.</w:t>
      </w:r>
    </w:p>
    <w:p w14:paraId="5E6D4D9A" w14:textId="0757D0BD" w:rsidR="00702079" w:rsidRPr="006449A5" w:rsidRDefault="00702079" w:rsidP="00294B34">
      <w:pPr>
        <w:rPr>
          <w:rFonts w:ascii="Times New Roman" w:hAnsi="Times New Roman" w:cs="Times New Roman"/>
          <w:sz w:val="24"/>
          <w:szCs w:val="24"/>
        </w:rPr>
      </w:pPr>
      <w:r w:rsidRPr="006449A5">
        <w:rPr>
          <w:rFonts w:ascii="Times New Roman" w:hAnsi="Times New Roman" w:cs="Times New Roman"/>
          <w:sz w:val="24"/>
          <w:szCs w:val="24"/>
        </w:rPr>
        <w:t xml:space="preserve">La présentation </w:t>
      </w:r>
      <w:r w:rsidR="009F4043" w:rsidRPr="006449A5">
        <w:rPr>
          <w:rFonts w:ascii="Times New Roman" w:hAnsi="Times New Roman" w:cs="Times New Roman"/>
          <w:sz w:val="24"/>
          <w:szCs w:val="24"/>
        </w:rPr>
        <w:t xml:space="preserve">des </w:t>
      </w:r>
      <w:r w:rsidR="000D5D94">
        <w:rPr>
          <w:rFonts w:ascii="Times New Roman" w:hAnsi="Times New Roman" w:cs="Times New Roman"/>
          <w:sz w:val="24"/>
          <w:szCs w:val="24"/>
        </w:rPr>
        <w:t xml:space="preserve">affaires </w:t>
      </w:r>
      <w:r w:rsidRPr="006449A5">
        <w:rPr>
          <w:rFonts w:ascii="Times New Roman" w:hAnsi="Times New Roman" w:cs="Times New Roman"/>
          <w:sz w:val="24"/>
          <w:szCs w:val="24"/>
        </w:rPr>
        <w:t xml:space="preserve">inclut </w:t>
      </w:r>
      <w:r w:rsidR="008D2306" w:rsidRPr="006449A5">
        <w:rPr>
          <w:rFonts w:ascii="Times New Roman" w:hAnsi="Times New Roman" w:cs="Times New Roman"/>
          <w:sz w:val="24"/>
          <w:szCs w:val="24"/>
        </w:rPr>
        <w:t>trois</w:t>
      </w:r>
      <w:r w:rsidRPr="006449A5">
        <w:rPr>
          <w:rFonts w:ascii="Times New Roman" w:hAnsi="Times New Roman" w:cs="Times New Roman"/>
          <w:sz w:val="24"/>
          <w:szCs w:val="24"/>
        </w:rPr>
        <w:t xml:space="preserve"> point</w:t>
      </w:r>
      <w:r w:rsidR="009F4043" w:rsidRPr="006449A5">
        <w:rPr>
          <w:rFonts w:ascii="Times New Roman" w:hAnsi="Times New Roman" w:cs="Times New Roman"/>
          <w:sz w:val="24"/>
          <w:szCs w:val="24"/>
        </w:rPr>
        <w:t>s</w:t>
      </w:r>
      <w:r w:rsidRPr="006449A5">
        <w:rPr>
          <w:rFonts w:ascii="Times New Roman" w:hAnsi="Times New Roman" w:cs="Times New Roman"/>
          <w:sz w:val="24"/>
          <w:szCs w:val="24"/>
        </w:rPr>
        <w:t xml:space="preserve"> principaux, soit : (i) un bref exposé du litige</w:t>
      </w:r>
      <w:r w:rsidR="008D2306" w:rsidRPr="006449A5">
        <w:rPr>
          <w:rFonts w:ascii="Times New Roman" w:hAnsi="Times New Roman" w:cs="Times New Roman"/>
          <w:sz w:val="24"/>
          <w:szCs w:val="24"/>
        </w:rPr>
        <w:t xml:space="preserve">, incluant </w:t>
      </w:r>
      <w:r w:rsidR="00DF62FA" w:rsidRPr="006449A5">
        <w:rPr>
          <w:rFonts w:ascii="Times New Roman" w:hAnsi="Times New Roman" w:cs="Times New Roman"/>
          <w:sz w:val="24"/>
          <w:szCs w:val="24"/>
        </w:rPr>
        <w:t>les règles</w:t>
      </w:r>
      <w:r w:rsidR="008D2306" w:rsidRPr="006449A5">
        <w:rPr>
          <w:rFonts w:ascii="Times New Roman" w:hAnsi="Times New Roman" w:cs="Times New Roman"/>
          <w:sz w:val="24"/>
          <w:szCs w:val="24"/>
        </w:rPr>
        <w:t xml:space="preserve"> de </w:t>
      </w:r>
      <w:r w:rsidR="00DF62FA" w:rsidRPr="006449A5">
        <w:rPr>
          <w:rFonts w:ascii="Times New Roman" w:hAnsi="Times New Roman" w:cs="Times New Roman"/>
          <w:sz w:val="24"/>
          <w:szCs w:val="24"/>
        </w:rPr>
        <w:t>DIP</w:t>
      </w:r>
      <w:r w:rsidR="008D2306" w:rsidRPr="006449A5">
        <w:rPr>
          <w:rFonts w:ascii="Times New Roman" w:hAnsi="Times New Roman" w:cs="Times New Roman"/>
          <w:sz w:val="24"/>
          <w:szCs w:val="24"/>
        </w:rPr>
        <w:t xml:space="preserve"> </w:t>
      </w:r>
      <w:proofErr w:type="gramStart"/>
      <w:r w:rsidR="008D2306" w:rsidRPr="006449A5">
        <w:rPr>
          <w:rFonts w:ascii="Times New Roman" w:hAnsi="Times New Roman" w:cs="Times New Roman"/>
          <w:sz w:val="24"/>
          <w:szCs w:val="24"/>
        </w:rPr>
        <w:t>pertinente</w:t>
      </w:r>
      <w:r w:rsidR="000D5D94">
        <w:rPr>
          <w:rFonts w:ascii="Times New Roman" w:hAnsi="Times New Roman" w:cs="Times New Roman"/>
          <w:sz w:val="24"/>
          <w:szCs w:val="24"/>
        </w:rPr>
        <w:t>s</w:t>
      </w:r>
      <w:r w:rsidRPr="006449A5">
        <w:rPr>
          <w:rFonts w:ascii="Times New Roman" w:hAnsi="Times New Roman" w:cs="Times New Roman"/>
          <w:sz w:val="24"/>
          <w:szCs w:val="24"/>
        </w:rPr>
        <w:t>;</w:t>
      </w:r>
      <w:proofErr w:type="gramEnd"/>
      <w:r w:rsidRPr="006449A5">
        <w:rPr>
          <w:rFonts w:ascii="Times New Roman" w:hAnsi="Times New Roman" w:cs="Times New Roman"/>
          <w:sz w:val="24"/>
          <w:szCs w:val="24"/>
        </w:rPr>
        <w:t xml:space="preserve"> (ii) le modèle de pluralisme juridique spécialement en vigueur dans l’</w:t>
      </w:r>
      <w:r w:rsidR="007F1A4E" w:rsidRPr="006449A5">
        <w:rPr>
          <w:rFonts w:ascii="Times New Roman" w:hAnsi="Times New Roman" w:cs="Times New Roman"/>
          <w:sz w:val="24"/>
          <w:szCs w:val="24"/>
        </w:rPr>
        <w:t>État</w:t>
      </w:r>
      <w:r w:rsidRPr="006449A5">
        <w:rPr>
          <w:rFonts w:ascii="Times New Roman" w:hAnsi="Times New Roman" w:cs="Times New Roman"/>
          <w:sz w:val="24"/>
          <w:szCs w:val="24"/>
        </w:rPr>
        <w:t xml:space="preserve"> postcolonial concerné; </w:t>
      </w:r>
      <w:r w:rsidR="008D2306" w:rsidRPr="006449A5">
        <w:rPr>
          <w:rFonts w:ascii="Times New Roman" w:hAnsi="Times New Roman" w:cs="Times New Roman"/>
          <w:sz w:val="24"/>
          <w:szCs w:val="24"/>
        </w:rPr>
        <w:t xml:space="preserve">et </w:t>
      </w:r>
      <w:r w:rsidRPr="006449A5">
        <w:rPr>
          <w:rFonts w:ascii="Times New Roman" w:hAnsi="Times New Roman" w:cs="Times New Roman"/>
          <w:sz w:val="24"/>
          <w:szCs w:val="24"/>
        </w:rPr>
        <w:t xml:space="preserve">(iii) </w:t>
      </w:r>
      <w:r w:rsidR="00DF62FA" w:rsidRPr="006449A5">
        <w:rPr>
          <w:rFonts w:ascii="Times New Roman" w:hAnsi="Times New Roman" w:cs="Times New Roman"/>
          <w:sz w:val="24"/>
          <w:szCs w:val="24"/>
        </w:rPr>
        <w:t>la décision judiciaire et le raisonnement qui la sous-tend</w:t>
      </w:r>
      <w:r w:rsidR="008D2306" w:rsidRPr="006449A5">
        <w:rPr>
          <w:rFonts w:ascii="Times New Roman" w:hAnsi="Times New Roman" w:cs="Times New Roman"/>
          <w:sz w:val="24"/>
          <w:szCs w:val="24"/>
        </w:rPr>
        <w:t>.</w:t>
      </w:r>
      <w:r w:rsidR="00A50A9C" w:rsidRPr="006449A5">
        <w:rPr>
          <w:rFonts w:ascii="Times New Roman" w:hAnsi="Times New Roman" w:cs="Times New Roman"/>
          <w:sz w:val="24"/>
          <w:szCs w:val="24"/>
        </w:rPr>
        <w:t xml:space="preserve"> </w:t>
      </w:r>
      <w:r w:rsidR="00590218" w:rsidRPr="006449A5">
        <w:rPr>
          <w:rFonts w:ascii="Times New Roman" w:hAnsi="Times New Roman" w:cs="Times New Roman"/>
          <w:sz w:val="24"/>
          <w:szCs w:val="24"/>
        </w:rPr>
        <w:t xml:space="preserve">Une analyse </w:t>
      </w:r>
      <w:proofErr w:type="spellStart"/>
      <w:r w:rsidR="00590218" w:rsidRPr="006449A5">
        <w:rPr>
          <w:rFonts w:ascii="Times New Roman" w:hAnsi="Times New Roman" w:cs="Times New Roman"/>
          <w:sz w:val="24"/>
          <w:szCs w:val="24"/>
        </w:rPr>
        <w:t>décoloniale</w:t>
      </w:r>
      <w:proofErr w:type="spellEnd"/>
      <w:r w:rsidR="00590218" w:rsidRPr="006449A5">
        <w:rPr>
          <w:rFonts w:ascii="Times New Roman" w:hAnsi="Times New Roman" w:cs="Times New Roman"/>
          <w:sz w:val="24"/>
          <w:szCs w:val="24"/>
        </w:rPr>
        <w:t xml:space="preserve"> est ensuite proposée</w:t>
      </w:r>
      <w:r w:rsidR="00CB74A3" w:rsidRPr="006449A5">
        <w:rPr>
          <w:rFonts w:ascii="Times New Roman" w:hAnsi="Times New Roman" w:cs="Times New Roman"/>
          <w:sz w:val="24"/>
          <w:szCs w:val="24"/>
        </w:rPr>
        <w:t xml:space="preserve">, </w:t>
      </w:r>
      <w:r w:rsidR="00E35AF8" w:rsidRPr="006449A5">
        <w:rPr>
          <w:rFonts w:ascii="Times New Roman" w:hAnsi="Times New Roman" w:cs="Times New Roman"/>
          <w:sz w:val="24"/>
          <w:szCs w:val="24"/>
        </w:rPr>
        <w:t xml:space="preserve">et </w:t>
      </w:r>
      <w:proofErr w:type="gramStart"/>
      <w:r w:rsidR="00E35AF8" w:rsidRPr="006449A5">
        <w:rPr>
          <w:rFonts w:ascii="Times New Roman" w:hAnsi="Times New Roman" w:cs="Times New Roman"/>
          <w:sz w:val="24"/>
          <w:szCs w:val="24"/>
        </w:rPr>
        <w:t>comprend elle</w:t>
      </w:r>
      <w:proofErr w:type="gramEnd"/>
      <w:r w:rsidR="00E35AF8" w:rsidRPr="006449A5">
        <w:rPr>
          <w:rFonts w:ascii="Times New Roman" w:hAnsi="Times New Roman" w:cs="Times New Roman"/>
          <w:sz w:val="24"/>
          <w:szCs w:val="24"/>
        </w:rPr>
        <w:t xml:space="preserve"> aussi trois points</w:t>
      </w:r>
      <w:r w:rsidR="00590218" w:rsidRPr="006449A5">
        <w:rPr>
          <w:rFonts w:ascii="Times New Roman" w:hAnsi="Times New Roman" w:cs="Times New Roman"/>
          <w:sz w:val="24"/>
          <w:szCs w:val="24"/>
        </w:rPr>
        <w:t xml:space="preserve"> (iv).</w:t>
      </w:r>
    </w:p>
    <w:p w14:paraId="1B4A7D5F" w14:textId="0DED5AA8" w:rsidR="00702079" w:rsidRPr="006449A5" w:rsidRDefault="005F5F3D" w:rsidP="00294B34">
      <w:pPr>
        <w:rPr>
          <w:rFonts w:ascii="Times New Roman" w:hAnsi="Times New Roman" w:cs="Times New Roman"/>
          <w:sz w:val="28"/>
          <w:szCs w:val="28"/>
          <w:u w:val="single"/>
        </w:rPr>
      </w:pPr>
      <w:r w:rsidRPr="006449A5">
        <w:rPr>
          <w:rFonts w:ascii="Times New Roman" w:hAnsi="Times New Roman" w:cs="Times New Roman"/>
          <w:sz w:val="28"/>
          <w:szCs w:val="28"/>
          <w:u w:val="single"/>
        </w:rPr>
        <w:t>France : Cass. civ. 1</w:t>
      </w:r>
      <w:r w:rsidRPr="006449A5">
        <w:rPr>
          <w:rFonts w:ascii="Times New Roman" w:hAnsi="Times New Roman" w:cs="Times New Roman"/>
          <w:sz w:val="28"/>
          <w:szCs w:val="28"/>
          <w:u w:val="single"/>
          <w:vertAlign w:val="superscript"/>
        </w:rPr>
        <w:t>re</w:t>
      </w:r>
      <w:r w:rsidRPr="006449A5">
        <w:rPr>
          <w:rFonts w:ascii="Times New Roman" w:hAnsi="Times New Roman" w:cs="Times New Roman"/>
          <w:sz w:val="28"/>
          <w:szCs w:val="28"/>
          <w:u w:val="single"/>
        </w:rPr>
        <w:t xml:space="preserve">, 4 </w:t>
      </w:r>
      <w:r w:rsidR="00CE7D77" w:rsidRPr="006449A5">
        <w:rPr>
          <w:rFonts w:ascii="Times New Roman" w:hAnsi="Times New Roman" w:cs="Times New Roman"/>
          <w:sz w:val="28"/>
          <w:szCs w:val="28"/>
          <w:u w:val="single"/>
        </w:rPr>
        <w:t>novembre</w:t>
      </w:r>
      <w:r w:rsidRPr="006449A5">
        <w:rPr>
          <w:rFonts w:ascii="Times New Roman" w:hAnsi="Times New Roman" w:cs="Times New Roman"/>
          <w:sz w:val="28"/>
          <w:szCs w:val="28"/>
          <w:u w:val="single"/>
        </w:rPr>
        <w:t xml:space="preserve"> 2020, nº 19-18.281</w:t>
      </w:r>
      <w:r w:rsidR="001777C9" w:rsidRPr="006449A5">
        <w:rPr>
          <w:rStyle w:val="Appelnotedebasdep"/>
          <w:rFonts w:ascii="Times New Roman" w:hAnsi="Times New Roman" w:cs="Times New Roman"/>
          <w:sz w:val="28"/>
          <w:szCs w:val="28"/>
          <w:u w:val="single"/>
        </w:rPr>
        <w:footnoteReference w:id="80"/>
      </w:r>
      <w:r w:rsidR="00702079" w:rsidRPr="006449A5">
        <w:rPr>
          <w:rFonts w:ascii="Times New Roman" w:hAnsi="Times New Roman" w:cs="Times New Roman"/>
          <w:sz w:val="28"/>
          <w:szCs w:val="28"/>
          <w:u w:val="single"/>
        </w:rPr>
        <w:t xml:space="preserve"> </w:t>
      </w:r>
    </w:p>
    <w:p w14:paraId="07A9884C" w14:textId="1DD37618" w:rsidR="0052392E" w:rsidRPr="006449A5" w:rsidRDefault="0052392E" w:rsidP="00294B34">
      <w:pPr>
        <w:rPr>
          <w:rFonts w:ascii="Times New Roman" w:hAnsi="Times New Roman" w:cs="Times New Roman"/>
          <w:sz w:val="24"/>
          <w:szCs w:val="24"/>
        </w:rPr>
      </w:pPr>
      <w:r w:rsidRPr="006449A5">
        <w:rPr>
          <w:rFonts w:ascii="Times New Roman" w:hAnsi="Times New Roman" w:cs="Times New Roman"/>
          <w:sz w:val="24"/>
          <w:szCs w:val="24"/>
        </w:rPr>
        <w:t xml:space="preserve">Cette affaire concerne la question de la prise en compte </w:t>
      </w:r>
      <w:r w:rsidR="00B01AA8" w:rsidRPr="006449A5">
        <w:rPr>
          <w:rFonts w:ascii="Times New Roman" w:hAnsi="Times New Roman" w:cs="Times New Roman"/>
          <w:sz w:val="24"/>
          <w:szCs w:val="24"/>
        </w:rPr>
        <w:t>des coutumes</w:t>
      </w:r>
      <w:r w:rsidRPr="006449A5">
        <w:rPr>
          <w:rFonts w:ascii="Times New Roman" w:hAnsi="Times New Roman" w:cs="Times New Roman"/>
          <w:sz w:val="24"/>
          <w:szCs w:val="24"/>
        </w:rPr>
        <w:t xml:space="preserve"> du Dahomey</w:t>
      </w:r>
      <w:r w:rsidR="00B01AA8" w:rsidRPr="006449A5">
        <w:rPr>
          <w:rFonts w:ascii="Times New Roman" w:hAnsi="Times New Roman" w:cs="Times New Roman"/>
          <w:sz w:val="24"/>
          <w:szCs w:val="24"/>
        </w:rPr>
        <w:t xml:space="preserve">, </w:t>
      </w:r>
      <w:r w:rsidRPr="006449A5">
        <w:rPr>
          <w:rFonts w:ascii="Times New Roman" w:hAnsi="Times New Roman" w:cs="Times New Roman"/>
          <w:sz w:val="24"/>
          <w:szCs w:val="24"/>
        </w:rPr>
        <w:t xml:space="preserve">devenu le Bénin. </w:t>
      </w:r>
    </w:p>
    <w:p w14:paraId="4EF3B66B" w14:textId="54663DE6" w:rsidR="003E2C18" w:rsidRPr="006449A5" w:rsidRDefault="000D06F1" w:rsidP="00294B34">
      <w:pPr>
        <w:rPr>
          <w:rFonts w:ascii="Times New Roman" w:hAnsi="Times New Roman" w:cs="Times New Roman"/>
          <w:sz w:val="24"/>
          <w:szCs w:val="24"/>
        </w:rPr>
      </w:pPr>
      <w:r w:rsidRPr="006449A5">
        <w:rPr>
          <w:rFonts w:ascii="Times New Roman" w:hAnsi="Times New Roman" w:cs="Times New Roman"/>
          <w:sz w:val="24"/>
          <w:szCs w:val="24"/>
        </w:rPr>
        <w:t xml:space="preserve">Le cas concerne une action déclaratoire de nationalité française introduite à Paris par </w:t>
      </w:r>
      <w:r w:rsidR="0052392E" w:rsidRPr="006449A5">
        <w:rPr>
          <w:rFonts w:ascii="Times New Roman" w:hAnsi="Times New Roman" w:cs="Times New Roman"/>
          <w:sz w:val="24"/>
          <w:szCs w:val="24"/>
        </w:rPr>
        <w:t>M</w:t>
      </w:r>
      <w:r w:rsidRPr="006449A5">
        <w:rPr>
          <w:rFonts w:ascii="Times New Roman" w:hAnsi="Times New Roman" w:cs="Times New Roman"/>
          <w:sz w:val="24"/>
          <w:szCs w:val="24"/>
        </w:rPr>
        <w:t>r</w:t>
      </w:r>
      <w:r w:rsidR="0052392E" w:rsidRPr="006449A5">
        <w:rPr>
          <w:rFonts w:ascii="Times New Roman" w:hAnsi="Times New Roman" w:cs="Times New Roman"/>
          <w:sz w:val="24"/>
          <w:szCs w:val="24"/>
        </w:rPr>
        <w:t>. Y, originaire du Bénin</w:t>
      </w:r>
      <w:r w:rsidR="00DE7F38">
        <w:rPr>
          <w:rFonts w:ascii="Times New Roman" w:hAnsi="Times New Roman" w:cs="Times New Roman"/>
          <w:sz w:val="24"/>
          <w:szCs w:val="24"/>
        </w:rPr>
        <w:t>,</w:t>
      </w:r>
      <w:r w:rsidR="0052392E" w:rsidRPr="006449A5">
        <w:rPr>
          <w:rFonts w:ascii="Times New Roman" w:hAnsi="Times New Roman" w:cs="Times New Roman"/>
          <w:sz w:val="24"/>
          <w:szCs w:val="24"/>
        </w:rPr>
        <w:t xml:space="preserve"> où il est né en 2002</w:t>
      </w:r>
      <w:r w:rsidR="001C0ED3" w:rsidRPr="006449A5">
        <w:rPr>
          <w:rFonts w:ascii="Times New Roman" w:hAnsi="Times New Roman" w:cs="Times New Roman"/>
          <w:sz w:val="24"/>
          <w:szCs w:val="24"/>
        </w:rPr>
        <w:t>. Cette demande est</w:t>
      </w:r>
      <w:r w:rsidR="0052392E" w:rsidRPr="006449A5">
        <w:rPr>
          <w:rFonts w:ascii="Times New Roman" w:hAnsi="Times New Roman" w:cs="Times New Roman"/>
          <w:sz w:val="24"/>
          <w:szCs w:val="24"/>
        </w:rPr>
        <w:t xml:space="preserve"> fondée sur son lien de filiation paternelle et </w:t>
      </w:r>
      <w:r w:rsidR="001C0ED3" w:rsidRPr="006449A5">
        <w:rPr>
          <w:rFonts w:ascii="Times New Roman" w:hAnsi="Times New Roman" w:cs="Times New Roman"/>
          <w:sz w:val="24"/>
          <w:szCs w:val="24"/>
        </w:rPr>
        <w:t xml:space="preserve">sur </w:t>
      </w:r>
      <w:r w:rsidR="0052392E" w:rsidRPr="006449A5">
        <w:rPr>
          <w:rFonts w:ascii="Times New Roman" w:hAnsi="Times New Roman" w:cs="Times New Roman"/>
          <w:sz w:val="24"/>
          <w:szCs w:val="24"/>
        </w:rPr>
        <w:t xml:space="preserve">la double naissance </w:t>
      </w:r>
      <w:r w:rsidR="001C0ED3" w:rsidRPr="006449A5">
        <w:rPr>
          <w:rFonts w:ascii="Times New Roman" w:hAnsi="Times New Roman" w:cs="Times New Roman"/>
          <w:sz w:val="24"/>
          <w:szCs w:val="24"/>
        </w:rPr>
        <w:t>au</w:t>
      </w:r>
      <w:r w:rsidR="00431DCD" w:rsidRPr="006449A5">
        <w:rPr>
          <w:rFonts w:ascii="Times New Roman" w:hAnsi="Times New Roman" w:cs="Times New Roman"/>
          <w:sz w:val="24"/>
          <w:szCs w:val="24"/>
        </w:rPr>
        <w:t xml:space="preserve"> Dahomey</w:t>
      </w:r>
      <w:r w:rsidR="0052392E" w:rsidRPr="006449A5">
        <w:rPr>
          <w:rFonts w:ascii="Times New Roman" w:hAnsi="Times New Roman" w:cs="Times New Roman"/>
          <w:sz w:val="24"/>
          <w:szCs w:val="24"/>
        </w:rPr>
        <w:t xml:space="preserve"> de son père et de son grand-père</w:t>
      </w:r>
      <w:r w:rsidRPr="006449A5">
        <w:rPr>
          <w:rFonts w:ascii="Times New Roman" w:hAnsi="Times New Roman" w:cs="Times New Roman"/>
          <w:sz w:val="24"/>
          <w:szCs w:val="24"/>
        </w:rPr>
        <w:t xml:space="preserve">, étant entendu que le Bénin faisait partie de la France jusqu’à son indépendance en 1960. </w:t>
      </w:r>
      <w:r w:rsidR="00B01AA8" w:rsidRPr="006449A5">
        <w:rPr>
          <w:rFonts w:ascii="Times New Roman" w:hAnsi="Times New Roman" w:cs="Times New Roman"/>
          <w:sz w:val="24"/>
          <w:szCs w:val="24"/>
        </w:rPr>
        <w:t>En vertu de l’</w:t>
      </w:r>
      <w:r w:rsidR="005C5383" w:rsidRPr="006449A5">
        <w:rPr>
          <w:rFonts w:ascii="Times New Roman" w:hAnsi="Times New Roman" w:cs="Times New Roman"/>
          <w:sz w:val="24"/>
          <w:szCs w:val="24"/>
        </w:rPr>
        <w:t xml:space="preserve">article 30 du </w:t>
      </w:r>
      <w:r w:rsidR="007F1A4E" w:rsidRPr="006449A5">
        <w:rPr>
          <w:rFonts w:ascii="Times New Roman" w:hAnsi="Times New Roman" w:cs="Times New Roman"/>
          <w:sz w:val="24"/>
          <w:szCs w:val="24"/>
        </w:rPr>
        <w:t>C</w:t>
      </w:r>
      <w:r w:rsidR="005C5383" w:rsidRPr="006449A5">
        <w:rPr>
          <w:rFonts w:ascii="Times New Roman" w:hAnsi="Times New Roman" w:cs="Times New Roman"/>
          <w:sz w:val="24"/>
          <w:szCs w:val="24"/>
        </w:rPr>
        <w:t xml:space="preserve">ode civil français, il incombe à celui qui s’en réclame de prouver sa nationalité française, </w:t>
      </w:r>
      <w:r w:rsidR="009511C8" w:rsidRPr="006449A5">
        <w:rPr>
          <w:rFonts w:ascii="Times New Roman" w:hAnsi="Times New Roman" w:cs="Times New Roman"/>
          <w:sz w:val="24"/>
          <w:szCs w:val="24"/>
        </w:rPr>
        <w:t xml:space="preserve">et, </w:t>
      </w:r>
      <w:r w:rsidR="005C5383" w:rsidRPr="006449A5">
        <w:rPr>
          <w:rFonts w:ascii="Times New Roman" w:hAnsi="Times New Roman" w:cs="Times New Roman"/>
          <w:sz w:val="24"/>
          <w:szCs w:val="24"/>
        </w:rPr>
        <w:t xml:space="preserve">selon l’article 18, cette preuve est amenée par un lien de filiation (établi lui possiblement en vertu d’un autre droit que le droit français) avec au moins un parent français. En </w:t>
      </w:r>
      <w:r w:rsidR="00431DCD" w:rsidRPr="006449A5">
        <w:rPr>
          <w:rFonts w:ascii="Times New Roman" w:hAnsi="Times New Roman" w:cs="Times New Roman"/>
          <w:sz w:val="24"/>
          <w:szCs w:val="24"/>
        </w:rPr>
        <w:t xml:space="preserve">outre, en </w:t>
      </w:r>
      <w:r w:rsidR="005C5383" w:rsidRPr="006449A5">
        <w:rPr>
          <w:rFonts w:ascii="Times New Roman" w:hAnsi="Times New Roman" w:cs="Times New Roman"/>
          <w:sz w:val="24"/>
          <w:szCs w:val="24"/>
        </w:rPr>
        <w:t>vertu de l’</w:t>
      </w:r>
      <w:r w:rsidR="00431DCD" w:rsidRPr="006449A5">
        <w:rPr>
          <w:rFonts w:ascii="Times New Roman" w:hAnsi="Times New Roman" w:cs="Times New Roman"/>
          <w:sz w:val="24"/>
          <w:szCs w:val="24"/>
        </w:rPr>
        <w:t xml:space="preserve">article </w:t>
      </w:r>
      <w:r w:rsidR="003E2C18" w:rsidRPr="006449A5">
        <w:rPr>
          <w:rFonts w:ascii="Times New Roman" w:hAnsi="Times New Roman" w:cs="Times New Roman"/>
          <w:sz w:val="24"/>
          <w:szCs w:val="24"/>
        </w:rPr>
        <w:t xml:space="preserve">47 </w:t>
      </w:r>
      <w:r w:rsidR="00A52F94" w:rsidRPr="006449A5">
        <w:rPr>
          <w:rFonts w:ascii="Times New Roman" w:hAnsi="Times New Roman" w:cs="Times New Roman"/>
          <w:sz w:val="24"/>
          <w:szCs w:val="24"/>
        </w:rPr>
        <w:t xml:space="preserve">du </w:t>
      </w:r>
      <w:r w:rsidR="005C5383" w:rsidRPr="006449A5">
        <w:rPr>
          <w:rFonts w:ascii="Times New Roman" w:hAnsi="Times New Roman" w:cs="Times New Roman"/>
          <w:sz w:val="24"/>
          <w:szCs w:val="24"/>
        </w:rPr>
        <w:t>même code</w:t>
      </w:r>
      <w:r w:rsidR="0025759C" w:rsidRPr="006449A5">
        <w:rPr>
          <w:rFonts w:ascii="Times New Roman" w:hAnsi="Times New Roman" w:cs="Times New Roman"/>
          <w:sz w:val="24"/>
          <w:szCs w:val="24"/>
        </w:rPr>
        <w:t>, tel qu’en vigueur alors</w:t>
      </w:r>
      <w:r w:rsidR="00A52F94" w:rsidRPr="006449A5">
        <w:rPr>
          <w:rFonts w:ascii="Times New Roman" w:hAnsi="Times New Roman" w:cs="Times New Roman"/>
          <w:sz w:val="24"/>
          <w:szCs w:val="24"/>
        </w:rPr>
        <w:t>,</w:t>
      </w:r>
      <w:r w:rsidR="003E2C18" w:rsidRPr="006449A5">
        <w:rPr>
          <w:rFonts w:ascii="Times New Roman" w:hAnsi="Times New Roman" w:cs="Times New Roman"/>
          <w:sz w:val="24"/>
          <w:szCs w:val="24"/>
        </w:rPr>
        <w:t xml:space="preserve"> </w:t>
      </w:r>
    </w:p>
    <w:p w14:paraId="131425E5" w14:textId="7E9AFC58" w:rsidR="00A52F94" w:rsidRPr="006449A5" w:rsidRDefault="003E2C18" w:rsidP="00A52F94">
      <w:pPr>
        <w:ind w:left="567" w:right="1134"/>
        <w:rPr>
          <w:rFonts w:ascii="Times New Roman" w:hAnsi="Times New Roman" w:cs="Times New Roman"/>
          <w:sz w:val="24"/>
          <w:szCs w:val="24"/>
        </w:rPr>
      </w:pPr>
      <w:proofErr w:type="gramStart"/>
      <w:r w:rsidRPr="006449A5">
        <w:rPr>
          <w:rFonts w:ascii="Times New Roman" w:hAnsi="Times New Roman" w:cs="Times New Roman"/>
          <w:sz w:val="24"/>
          <w:szCs w:val="24"/>
        </w:rPr>
        <w:t>«[</w:t>
      </w:r>
      <w:proofErr w:type="gramEnd"/>
      <w:r w:rsidRPr="006449A5">
        <w:rPr>
          <w:rFonts w:ascii="Times New Roman" w:hAnsi="Times New Roman" w:cs="Times New Roman"/>
          <w:sz w:val="24"/>
          <w:szCs w:val="24"/>
        </w:rPr>
        <w:t>t]</w:t>
      </w:r>
      <w:r w:rsidR="00B0770D" w:rsidRPr="006449A5">
        <w:rPr>
          <w:rFonts w:ascii="Times New Roman" w:hAnsi="Times New Roman" w:cs="Times New Roman"/>
          <w:sz w:val="24"/>
          <w:szCs w:val="24"/>
        </w:rPr>
        <w:t>out acte de l'état civil des Français et des étrangers fait en pays étranger et rédigé dans les formes usitées dans ce pays fait foi, sauf si d'autres actes ou pièces détenus, des données extérieures ou des éléments tirés de l'acte lui-même établissent, le cas échéant après toutes vérifications utiles, que cet acte est irrégulier, falsifié ou que les faits qui y sont déclarés ne correspondent pas à la réalité.</w:t>
      </w:r>
      <w:r w:rsidRPr="006449A5">
        <w:rPr>
          <w:rStyle w:val="Appelnotedebasdep"/>
          <w:rFonts w:ascii="Times New Roman" w:hAnsi="Times New Roman" w:cs="Times New Roman"/>
          <w:sz w:val="24"/>
          <w:szCs w:val="24"/>
        </w:rPr>
        <w:footnoteReference w:id="81"/>
      </w:r>
      <w:r w:rsidRPr="006449A5">
        <w:rPr>
          <w:rFonts w:ascii="Times New Roman" w:hAnsi="Times New Roman" w:cs="Times New Roman"/>
          <w:sz w:val="24"/>
          <w:szCs w:val="24"/>
        </w:rPr>
        <w:t>». </w:t>
      </w:r>
    </w:p>
    <w:p w14:paraId="45D87D0A" w14:textId="47ECA236" w:rsidR="00431DCD" w:rsidRPr="006449A5" w:rsidRDefault="00DE7F38" w:rsidP="00431DCD">
      <w:pPr>
        <w:rPr>
          <w:rFonts w:ascii="Times New Roman" w:hAnsi="Times New Roman" w:cs="Times New Roman"/>
          <w:sz w:val="24"/>
          <w:szCs w:val="24"/>
        </w:rPr>
      </w:pPr>
      <w:r>
        <w:rPr>
          <w:rFonts w:ascii="Times New Roman" w:hAnsi="Times New Roman" w:cs="Times New Roman"/>
          <w:sz w:val="24"/>
          <w:szCs w:val="24"/>
        </w:rPr>
        <w:t>Cet article d</w:t>
      </w:r>
      <w:r w:rsidR="00431DCD" w:rsidRPr="006449A5">
        <w:rPr>
          <w:rFonts w:ascii="Times New Roman" w:hAnsi="Times New Roman" w:cs="Times New Roman"/>
          <w:sz w:val="24"/>
          <w:szCs w:val="24"/>
        </w:rPr>
        <w:t>emande au juge français</w:t>
      </w:r>
      <w:r>
        <w:rPr>
          <w:rFonts w:ascii="Times New Roman" w:hAnsi="Times New Roman" w:cs="Times New Roman"/>
          <w:sz w:val="24"/>
          <w:szCs w:val="24"/>
        </w:rPr>
        <w:t xml:space="preserve"> de reconnaitre comme authentiques les</w:t>
      </w:r>
      <w:r w:rsidR="00431DCD" w:rsidRPr="006449A5">
        <w:rPr>
          <w:rFonts w:ascii="Times New Roman" w:hAnsi="Times New Roman" w:cs="Times New Roman"/>
          <w:sz w:val="24"/>
          <w:szCs w:val="24"/>
        </w:rPr>
        <w:t xml:space="preserve"> actes de l'état civil </w:t>
      </w:r>
      <w:r>
        <w:rPr>
          <w:rFonts w:ascii="Times New Roman" w:hAnsi="Times New Roman" w:cs="Times New Roman"/>
          <w:sz w:val="24"/>
          <w:szCs w:val="24"/>
        </w:rPr>
        <w:t xml:space="preserve">d’un </w:t>
      </w:r>
      <w:r w:rsidR="00431DCD" w:rsidRPr="006449A5">
        <w:rPr>
          <w:rFonts w:ascii="Times New Roman" w:hAnsi="Times New Roman" w:cs="Times New Roman"/>
          <w:sz w:val="24"/>
          <w:szCs w:val="24"/>
        </w:rPr>
        <w:t xml:space="preserve">pays étranger </w:t>
      </w:r>
      <w:r>
        <w:rPr>
          <w:rFonts w:ascii="Times New Roman" w:hAnsi="Times New Roman" w:cs="Times New Roman"/>
          <w:sz w:val="24"/>
          <w:szCs w:val="24"/>
        </w:rPr>
        <w:t>qui sont</w:t>
      </w:r>
      <w:r w:rsidR="00431DCD" w:rsidRPr="006449A5">
        <w:rPr>
          <w:rFonts w:ascii="Times New Roman" w:hAnsi="Times New Roman" w:cs="Times New Roman"/>
          <w:sz w:val="24"/>
          <w:szCs w:val="24"/>
        </w:rPr>
        <w:t xml:space="preserve"> rédigés dans les formes en usage dans ce pays. Il crée en outre une présomption de valeur probante de ces actes mais en définit également les limites, en prévoyant que la pleine confiance </w:t>
      </w:r>
      <w:r>
        <w:rPr>
          <w:rFonts w:ascii="Times New Roman" w:hAnsi="Times New Roman" w:cs="Times New Roman"/>
          <w:sz w:val="24"/>
          <w:szCs w:val="24"/>
        </w:rPr>
        <w:t>ne leur est pas accordée</w:t>
      </w:r>
      <w:r w:rsidR="00431DCD" w:rsidRPr="006449A5">
        <w:rPr>
          <w:rFonts w:ascii="Times New Roman" w:hAnsi="Times New Roman" w:cs="Times New Roman"/>
          <w:sz w:val="24"/>
          <w:szCs w:val="24"/>
        </w:rPr>
        <w:t xml:space="preserve"> lorsque d'autres registres ou documents conservés, des preuves extérieures ou des éléments tirés de l'acte lui-même établissent, après toutes vérifications utiles le cas échéant, que l'acte est irrégulier ou faux, ou </w:t>
      </w:r>
      <w:r w:rsidR="00431DCD" w:rsidRPr="006449A5">
        <w:rPr>
          <w:rFonts w:ascii="Times New Roman" w:hAnsi="Times New Roman" w:cs="Times New Roman"/>
          <w:sz w:val="24"/>
          <w:szCs w:val="24"/>
        </w:rPr>
        <w:lastRenderedPageBreak/>
        <w:t xml:space="preserve">que les faits qui y sont déclarés ne correspondent pas à la </w:t>
      </w:r>
      <w:r w:rsidR="001D2250" w:rsidRPr="006449A5">
        <w:rPr>
          <w:rFonts w:ascii="Times New Roman" w:hAnsi="Times New Roman" w:cs="Times New Roman"/>
          <w:sz w:val="24"/>
          <w:szCs w:val="24"/>
        </w:rPr>
        <w:t>réalité</w:t>
      </w:r>
      <w:r w:rsidR="00431DCD" w:rsidRPr="006449A5">
        <w:rPr>
          <w:rFonts w:ascii="Times New Roman" w:hAnsi="Times New Roman" w:cs="Times New Roman"/>
          <w:sz w:val="24"/>
          <w:szCs w:val="24"/>
        </w:rPr>
        <w:t xml:space="preserve">. </w:t>
      </w:r>
      <w:r w:rsidR="0025759C" w:rsidRPr="006449A5">
        <w:rPr>
          <w:rFonts w:ascii="Times New Roman" w:hAnsi="Times New Roman" w:cs="Times New Roman"/>
          <w:sz w:val="24"/>
          <w:szCs w:val="24"/>
        </w:rPr>
        <w:t>Cet article 47 a cependant été modifié par une loi du 2 août 2021</w:t>
      </w:r>
      <w:r w:rsidR="0025759C" w:rsidRPr="006449A5">
        <w:rPr>
          <w:rStyle w:val="Appelnotedebasdep"/>
          <w:rFonts w:ascii="Times New Roman" w:hAnsi="Times New Roman" w:cs="Times New Roman"/>
          <w:sz w:val="24"/>
          <w:szCs w:val="24"/>
        </w:rPr>
        <w:footnoteReference w:id="82"/>
      </w:r>
      <w:r w:rsidR="00B0770D" w:rsidRPr="006449A5">
        <w:rPr>
          <w:rFonts w:ascii="Times New Roman" w:hAnsi="Times New Roman" w:cs="Times New Roman"/>
          <w:sz w:val="24"/>
          <w:szCs w:val="24"/>
        </w:rPr>
        <w:t>, qui ajoute que « la réalité » est « </w:t>
      </w:r>
      <w:r w:rsidR="0025759C" w:rsidRPr="006449A5">
        <w:rPr>
          <w:rFonts w:ascii="Times New Roman" w:hAnsi="Times New Roman" w:cs="Times New Roman"/>
          <w:sz w:val="24"/>
          <w:szCs w:val="24"/>
        </w:rPr>
        <w:t>appréciée au regard de la loi française</w:t>
      </w:r>
      <w:r w:rsidR="00B0770D" w:rsidRPr="006449A5">
        <w:rPr>
          <w:rFonts w:ascii="Times New Roman" w:hAnsi="Times New Roman" w:cs="Times New Roman"/>
          <w:sz w:val="24"/>
          <w:szCs w:val="24"/>
        </w:rPr>
        <w:t> »</w:t>
      </w:r>
      <w:r w:rsidR="00B0770D" w:rsidRPr="006449A5">
        <w:rPr>
          <w:rStyle w:val="Appelnotedebasdep"/>
          <w:rFonts w:ascii="Times New Roman" w:hAnsi="Times New Roman" w:cs="Times New Roman"/>
          <w:sz w:val="24"/>
          <w:szCs w:val="24"/>
        </w:rPr>
        <w:footnoteReference w:id="83"/>
      </w:r>
      <w:r w:rsidR="0025759C" w:rsidRPr="006449A5">
        <w:rPr>
          <w:rFonts w:ascii="Times New Roman" w:hAnsi="Times New Roman" w:cs="Times New Roman"/>
          <w:sz w:val="24"/>
          <w:szCs w:val="24"/>
        </w:rPr>
        <w:t>.</w:t>
      </w:r>
    </w:p>
    <w:p w14:paraId="68F1A8A9" w14:textId="4ECEFE13" w:rsidR="00C93CE7" w:rsidRPr="006449A5" w:rsidRDefault="00C12B8C" w:rsidP="00CB4C4C">
      <w:pPr>
        <w:rPr>
          <w:rFonts w:ascii="Times New Roman" w:hAnsi="Times New Roman" w:cs="Times New Roman"/>
          <w:sz w:val="24"/>
          <w:szCs w:val="24"/>
        </w:rPr>
      </w:pPr>
      <w:r w:rsidRPr="006449A5">
        <w:rPr>
          <w:rFonts w:ascii="Times New Roman" w:hAnsi="Times New Roman" w:cs="Times New Roman"/>
          <w:sz w:val="24"/>
          <w:szCs w:val="24"/>
        </w:rPr>
        <w:t xml:space="preserve">Au vu de ces divers articles du </w:t>
      </w:r>
      <w:r w:rsidR="007F1A4E" w:rsidRPr="006449A5">
        <w:rPr>
          <w:rFonts w:ascii="Times New Roman" w:hAnsi="Times New Roman" w:cs="Times New Roman"/>
          <w:sz w:val="24"/>
          <w:szCs w:val="24"/>
        </w:rPr>
        <w:t>C</w:t>
      </w:r>
      <w:r w:rsidRPr="006449A5">
        <w:rPr>
          <w:rFonts w:ascii="Times New Roman" w:hAnsi="Times New Roman" w:cs="Times New Roman"/>
          <w:sz w:val="24"/>
          <w:szCs w:val="24"/>
        </w:rPr>
        <w:t>ode civil français, Y tente de démontrer</w:t>
      </w:r>
      <w:r w:rsidR="00A52F94" w:rsidRPr="006449A5">
        <w:rPr>
          <w:rFonts w:ascii="Times New Roman" w:hAnsi="Times New Roman" w:cs="Times New Roman"/>
          <w:sz w:val="24"/>
          <w:szCs w:val="24"/>
        </w:rPr>
        <w:t xml:space="preserve"> que son grand-père paternel était français à sa naissance</w:t>
      </w:r>
      <w:r w:rsidRPr="006449A5">
        <w:rPr>
          <w:rFonts w:ascii="Times New Roman" w:hAnsi="Times New Roman" w:cs="Times New Roman"/>
          <w:sz w:val="24"/>
          <w:szCs w:val="24"/>
        </w:rPr>
        <w:t>, parce qu’il est né à un moment où le Dahomey était considéré comme une partie de la France</w:t>
      </w:r>
      <w:r w:rsidRPr="006449A5">
        <w:rPr>
          <w:rStyle w:val="Appelnotedebasdep"/>
          <w:rFonts w:ascii="Times New Roman" w:hAnsi="Times New Roman" w:cs="Times New Roman"/>
          <w:sz w:val="24"/>
          <w:szCs w:val="24"/>
        </w:rPr>
        <w:footnoteReference w:id="84"/>
      </w:r>
      <w:r w:rsidR="00A52F94" w:rsidRPr="006449A5">
        <w:rPr>
          <w:rFonts w:ascii="Times New Roman" w:hAnsi="Times New Roman" w:cs="Times New Roman"/>
          <w:sz w:val="24"/>
          <w:szCs w:val="24"/>
        </w:rPr>
        <w:t>. Pour cela, Y produit un jugement supplétif d’acte de naissance rendu le 30 octobre 1984 </w:t>
      </w:r>
      <w:r w:rsidRPr="006449A5">
        <w:rPr>
          <w:rFonts w:ascii="Times New Roman" w:hAnsi="Times New Roman" w:cs="Times New Roman"/>
          <w:sz w:val="24"/>
          <w:szCs w:val="24"/>
        </w:rPr>
        <w:t xml:space="preserve">(soit après l’indépendance) </w:t>
      </w:r>
      <w:r w:rsidR="00A52F94" w:rsidRPr="006449A5">
        <w:rPr>
          <w:rFonts w:ascii="Times New Roman" w:hAnsi="Times New Roman" w:cs="Times New Roman"/>
          <w:sz w:val="24"/>
          <w:szCs w:val="24"/>
        </w:rPr>
        <w:t>par le tribunal de conciliation d’Abomey Calavi</w:t>
      </w:r>
      <w:r w:rsidR="00612EF4" w:rsidRPr="006449A5">
        <w:rPr>
          <w:rFonts w:ascii="Times New Roman" w:hAnsi="Times New Roman" w:cs="Times New Roman"/>
          <w:sz w:val="24"/>
          <w:szCs w:val="24"/>
        </w:rPr>
        <w:t xml:space="preserve">, </w:t>
      </w:r>
      <w:r w:rsidR="00A52F94" w:rsidRPr="006449A5">
        <w:rPr>
          <w:rFonts w:ascii="Times New Roman" w:hAnsi="Times New Roman" w:cs="Times New Roman"/>
          <w:sz w:val="24"/>
          <w:szCs w:val="24"/>
        </w:rPr>
        <w:t>au profit du grand-père, le</w:t>
      </w:r>
      <w:r w:rsidR="00612EF4" w:rsidRPr="006449A5">
        <w:rPr>
          <w:rFonts w:ascii="Times New Roman" w:hAnsi="Times New Roman" w:cs="Times New Roman"/>
          <w:sz w:val="24"/>
          <w:szCs w:val="24"/>
        </w:rPr>
        <w:t xml:space="preserve"> </w:t>
      </w:r>
      <w:r w:rsidR="00A52F94" w:rsidRPr="006449A5">
        <w:rPr>
          <w:rFonts w:ascii="Times New Roman" w:hAnsi="Times New Roman" w:cs="Times New Roman"/>
          <w:sz w:val="24"/>
          <w:szCs w:val="24"/>
        </w:rPr>
        <w:t xml:space="preserve">disant né en 1925 à </w:t>
      </w:r>
      <w:proofErr w:type="spellStart"/>
      <w:r w:rsidR="00A52F94" w:rsidRPr="006449A5">
        <w:rPr>
          <w:rFonts w:ascii="Times New Roman" w:hAnsi="Times New Roman" w:cs="Times New Roman"/>
          <w:sz w:val="24"/>
          <w:szCs w:val="24"/>
        </w:rPr>
        <w:t>Godomey</w:t>
      </w:r>
      <w:proofErr w:type="spellEnd"/>
      <w:r w:rsidR="001427F5" w:rsidRPr="006449A5">
        <w:rPr>
          <w:rFonts w:ascii="Times New Roman" w:hAnsi="Times New Roman" w:cs="Times New Roman"/>
          <w:sz w:val="24"/>
          <w:szCs w:val="24"/>
        </w:rPr>
        <w:t xml:space="preserve"> (soit avant l’indépendance)</w:t>
      </w:r>
      <w:r w:rsidR="00A52F94" w:rsidRPr="006449A5">
        <w:rPr>
          <w:rFonts w:ascii="Times New Roman" w:hAnsi="Times New Roman" w:cs="Times New Roman"/>
          <w:sz w:val="24"/>
          <w:szCs w:val="24"/>
        </w:rPr>
        <w:t>, transcrit par l’officier d’état civil après homologation le 20 février 1985</w:t>
      </w:r>
      <w:r w:rsidR="00612EF4" w:rsidRPr="006449A5">
        <w:rPr>
          <w:rFonts w:ascii="Times New Roman" w:hAnsi="Times New Roman" w:cs="Times New Roman"/>
          <w:sz w:val="24"/>
          <w:szCs w:val="24"/>
        </w:rPr>
        <w:t xml:space="preserve">. </w:t>
      </w:r>
      <w:r w:rsidR="00DE7F38">
        <w:rPr>
          <w:rFonts w:ascii="Times New Roman" w:hAnsi="Times New Roman" w:cs="Times New Roman"/>
          <w:sz w:val="24"/>
          <w:szCs w:val="24"/>
        </w:rPr>
        <w:t>Y p</w:t>
      </w:r>
      <w:r w:rsidR="00E320F1" w:rsidRPr="006449A5">
        <w:rPr>
          <w:rFonts w:ascii="Times New Roman" w:hAnsi="Times New Roman" w:cs="Times New Roman"/>
          <w:sz w:val="24"/>
          <w:szCs w:val="24"/>
        </w:rPr>
        <w:t xml:space="preserve">roduit aussi les actes de mariage et de décès du grand-père, les actes de naissance de ses enfants, et son livret catholique. </w:t>
      </w:r>
      <w:bookmarkStart w:id="29" w:name="_Hlk146203191"/>
      <w:r w:rsidR="00DE7F38">
        <w:rPr>
          <w:rFonts w:ascii="Times New Roman" w:hAnsi="Times New Roman" w:cs="Times New Roman"/>
          <w:sz w:val="24"/>
          <w:szCs w:val="24"/>
        </w:rPr>
        <w:t>De surcroit</w:t>
      </w:r>
      <w:r w:rsidR="00612EF4" w:rsidRPr="006449A5">
        <w:rPr>
          <w:rFonts w:ascii="Times New Roman" w:hAnsi="Times New Roman" w:cs="Times New Roman"/>
          <w:sz w:val="24"/>
          <w:szCs w:val="24"/>
        </w:rPr>
        <w:t xml:space="preserve">, Y doit démontrer </w:t>
      </w:r>
      <w:r w:rsidR="00CB4C4C" w:rsidRPr="006449A5">
        <w:rPr>
          <w:rFonts w:ascii="Times New Roman" w:hAnsi="Times New Roman" w:cs="Times New Roman"/>
          <w:sz w:val="24"/>
          <w:szCs w:val="24"/>
        </w:rPr>
        <w:t>le</w:t>
      </w:r>
      <w:r w:rsidR="00F24C78" w:rsidRPr="006449A5">
        <w:rPr>
          <w:rFonts w:ascii="Times New Roman" w:hAnsi="Times New Roman" w:cs="Times New Roman"/>
          <w:sz w:val="24"/>
          <w:szCs w:val="24"/>
        </w:rPr>
        <w:t xml:space="preserve"> lien de filiation </w:t>
      </w:r>
      <w:r w:rsidR="00CB4C4C" w:rsidRPr="006449A5">
        <w:rPr>
          <w:rFonts w:ascii="Times New Roman" w:hAnsi="Times New Roman" w:cs="Times New Roman"/>
          <w:sz w:val="24"/>
          <w:szCs w:val="24"/>
        </w:rPr>
        <w:t>de</w:t>
      </w:r>
      <w:r w:rsidR="00F24C78" w:rsidRPr="006449A5">
        <w:rPr>
          <w:rFonts w:ascii="Times New Roman" w:hAnsi="Times New Roman" w:cs="Times New Roman"/>
          <w:sz w:val="24"/>
          <w:szCs w:val="24"/>
        </w:rPr>
        <w:t xml:space="preserve"> son père, âgé d’un an au moment de l’indépendance et né au Bénin</w:t>
      </w:r>
      <w:r w:rsidR="00CB4C4C" w:rsidRPr="006449A5">
        <w:rPr>
          <w:rFonts w:ascii="Times New Roman" w:hAnsi="Times New Roman" w:cs="Times New Roman"/>
          <w:sz w:val="24"/>
          <w:szCs w:val="24"/>
        </w:rPr>
        <w:t>, avec son grand-père</w:t>
      </w:r>
      <w:r w:rsidR="00F24C78" w:rsidRPr="006449A5">
        <w:rPr>
          <w:rFonts w:ascii="Times New Roman" w:hAnsi="Times New Roman" w:cs="Times New Roman"/>
          <w:sz w:val="24"/>
          <w:szCs w:val="24"/>
        </w:rPr>
        <w:t xml:space="preserve">. </w:t>
      </w:r>
      <w:r w:rsidR="001427F5" w:rsidRPr="006449A5">
        <w:rPr>
          <w:rFonts w:ascii="Times New Roman" w:hAnsi="Times New Roman" w:cs="Times New Roman"/>
          <w:sz w:val="24"/>
          <w:szCs w:val="24"/>
        </w:rPr>
        <w:t>S</w:t>
      </w:r>
      <w:r w:rsidR="00CB4C4C" w:rsidRPr="006449A5">
        <w:rPr>
          <w:rFonts w:ascii="Times New Roman" w:hAnsi="Times New Roman" w:cs="Times New Roman"/>
          <w:sz w:val="24"/>
          <w:szCs w:val="24"/>
        </w:rPr>
        <w:t>elon le droit</w:t>
      </w:r>
      <w:r w:rsidR="003010A2" w:rsidRPr="006449A5">
        <w:rPr>
          <w:rFonts w:ascii="Times New Roman" w:hAnsi="Times New Roman" w:cs="Times New Roman"/>
          <w:sz w:val="24"/>
          <w:szCs w:val="24"/>
        </w:rPr>
        <w:t xml:space="preserve"> international privé</w:t>
      </w:r>
      <w:r w:rsidR="00CB4C4C" w:rsidRPr="006449A5">
        <w:rPr>
          <w:rFonts w:ascii="Times New Roman" w:hAnsi="Times New Roman" w:cs="Times New Roman"/>
          <w:sz w:val="24"/>
          <w:szCs w:val="24"/>
        </w:rPr>
        <w:t xml:space="preserve"> français pertinent</w:t>
      </w:r>
      <w:r w:rsidRPr="006449A5">
        <w:rPr>
          <w:rStyle w:val="Appelnotedebasdep"/>
          <w:rFonts w:ascii="Times New Roman" w:hAnsi="Times New Roman" w:cs="Times New Roman"/>
          <w:sz w:val="24"/>
          <w:szCs w:val="24"/>
        </w:rPr>
        <w:footnoteReference w:id="85"/>
      </w:r>
      <w:r w:rsidR="00CB4C4C" w:rsidRPr="006449A5">
        <w:rPr>
          <w:rFonts w:ascii="Times New Roman" w:hAnsi="Times New Roman" w:cs="Times New Roman"/>
          <w:sz w:val="24"/>
          <w:szCs w:val="24"/>
        </w:rPr>
        <w:t xml:space="preserve">, cette filiation est régie par la loi personnelle de la mère au jour de la naissance de l’enfant. Or, </w:t>
      </w:r>
      <w:r w:rsidR="00042091" w:rsidRPr="006449A5">
        <w:rPr>
          <w:rFonts w:ascii="Times New Roman" w:hAnsi="Times New Roman" w:cs="Times New Roman"/>
          <w:sz w:val="24"/>
          <w:szCs w:val="24"/>
        </w:rPr>
        <w:t xml:space="preserve">au vu d’un jugement supplétif d’acte de naissance postérieur à l’indépendance, </w:t>
      </w:r>
      <w:r w:rsidR="00CB4C4C" w:rsidRPr="006449A5">
        <w:rPr>
          <w:rFonts w:ascii="Times New Roman" w:hAnsi="Times New Roman" w:cs="Times New Roman"/>
          <w:sz w:val="24"/>
          <w:szCs w:val="24"/>
        </w:rPr>
        <w:t>la mère d’Y est</w:t>
      </w:r>
      <w:r w:rsidR="006B292C" w:rsidRPr="006449A5">
        <w:rPr>
          <w:rFonts w:ascii="Times New Roman" w:hAnsi="Times New Roman" w:cs="Times New Roman"/>
          <w:sz w:val="24"/>
          <w:szCs w:val="24"/>
        </w:rPr>
        <w:t xml:space="preserve"> </w:t>
      </w:r>
      <w:r w:rsidR="00CB4C4C" w:rsidRPr="006449A5">
        <w:rPr>
          <w:rFonts w:ascii="Times New Roman" w:hAnsi="Times New Roman" w:cs="Times New Roman"/>
          <w:sz w:val="24"/>
          <w:szCs w:val="24"/>
        </w:rPr>
        <w:t>née vers 1930 à Cotonou</w:t>
      </w:r>
      <w:r w:rsidR="00042091" w:rsidRPr="006449A5">
        <w:rPr>
          <w:rStyle w:val="Appelnotedebasdep"/>
          <w:rFonts w:ascii="Times New Roman" w:hAnsi="Times New Roman" w:cs="Times New Roman"/>
          <w:sz w:val="24"/>
          <w:szCs w:val="24"/>
        </w:rPr>
        <w:footnoteReference w:id="86"/>
      </w:r>
      <w:r w:rsidR="006B292C" w:rsidRPr="006449A5">
        <w:rPr>
          <w:rFonts w:ascii="Times New Roman" w:hAnsi="Times New Roman" w:cs="Times New Roman"/>
          <w:sz w:val="24"/>
          <w:szCs w:val="24"/>
        </w:rPr>
        <w:t xml:space="preserve">. Dès lors, </w:t>
      </w:r>
      <w:r w:rsidR="00CB4C4C" w:rsidRPr="006449A5">
        <w:rPr>
          <w:rFonts w:ascii="Times New Roman" w:hAnsi="Times New Roman" w:cs="Times New Roman"/>
          <w:sz w:val="24"/>
          <w:szCs w:val="24"/>
        </w:rPr>
        <w:t xml:space="preserve">la loi applicable à l’établissement de la filiation </w:t>
      </w:r>
      <w:r w:rsidR="00566385" w:rsidRPr="006449A5">
        <w:rPr>
          <w:rFonts w:ascii="Times New Roman" w:hAnsi="Times New Roman" w:cs="Times New Roman"/>
          <w:sz w:val="24"/>
          <w:szCs w:val="24"/>
        </w:rPr>
        <w:t xml:space="preserve">d’Y </w:t>
      </w:r>
      <w:r w:rsidR="00CB4C4C" w:rsidRPr="006449A5">
        <w:rPr>
          <w:rFonts w:ascii="Times New Roman" w:hAnsi="Times New Roman" w:cs="Times New Roman"/>
          <w:sz w:val="24"/>
          <w:szCs w:val="24"/>
        </w:rPr>
        <w:t xml:space="preserve">est </w:t>
      </w:r>
      <w:r w:rsidR="006B292C" w:rsidRPr="006449A5">
        <w:rPr>
          <w:rFonts w:ascii="Times New Roman" w:hAnsi="Times New Roman" w:cs="Times New Roman"/>
          <w:sz w:val="24"/>
          <w:szCs w:val="24"/>
        </w:rPr>
        <w:t xml:space="preserve">la coutume du Dahomey. Si </w:t>
      </w:r>
      <w:r w:rsidR="00566385" w:rsidRPr="006449A5">
        <w:rPr>
          <w:rFonts w:ascii="Times New Roman" w:hAnsi="Times New Roman" w:cs="Times New Roman"/>
          <w:sz w:val="24"/>
          <w:szCs w:val="24"/>
        </w:rPr>
        <w:t>cette coutume</w:t>
      </w:r>
      <w:r w:rsidR="006B292C" w:rsidRPr="006449A5">
        <w:rPr>
          <w:rFonts w:ascii="Times New Roman" w:hAnsi="Times New Roman" w:cs="Times New Roman"/>
          <w:sz w:val="24"/>
          <w:szCs w:val="24"/>
        </w:rPr>
        <w:t xml:space="preserve"> ne dit rien à proprement parlé à propos de l’établissement de la filiation</w:t>
      </w:r>
      <w:r w:rsidR="00566385" w:rsidRPr="006449A5">
        <w:rPr>
          <w:rFonts w:ascii="Times New Roman" w:hAnsi="Times New Roman" w:cs="Times New Roman"/>
          <w:sz w:val="24"/>
          <w:szCs w:val="24"/>
        </w:rPr>
        <w:t>, son applicabilité demande d’avoir</w:t>
      </w:r>
      <w:r w:rsidR="006B292C" w:rsidRPr="006449A5">
        <w:rPr>
          <w:rFonts w:ascii="Times New Roman" w:hAnsi="Times New Roman" w:cs="Times New Roman"/>
          <w:sz w:val="24"/>
          <w:szCs w:val="24"/>
        </w:rPr>
        <w:t xml:space="preserve"> égard aux usages du Dahomey durant la colonisation, qui admettaient que pour l’établissement de la filiation naturelle paternelle, la mention du nom du père dans l’acte de naissance sur la simple affirmation de la mère</w:t>
      </w:r>
      <w:r w:rsidR="00C93CE7" w:rsidRPr="006449A5">
        <w:rPr>
          <w:rFonts w:ascii="Times New Roman" w:hAnsi="Times New Roman" w:cs="Times New Roman"/>
          <w:sz w:val="24"/>
          <w:szCs w:val="24"/>
        </w:rPr>
        <w:t xml:space="preserve"> ou d’une sage-femme</w:t>
      </w:r>
      <w:r w:rsidR="006B292C" w:rsidRPr="006449A5">
        <w:rPr>
          <w:rFonts w:ascii="Times New Roman" w:hAnsi="Times New Roman" w:cs="Times New Roman"/>
          <w:sz w:val="24"/>
          <w:szCs w:val="24"/>
        </w:rPr>
        <w:t xml:space="preserve"> </w:t>
      </w:r>
      <w:r w:rsidR="00DE7F38">
        <w:rPr>
          <w:rFonts w:ascii="Times New Roman" w:hAnsi="Times New Roman" w:cs="Times New Roman"/>
          <w:sz w:val="24"/>
          <w:szCs w:val="24"/>
        </w:rPr>
        <w:t>- s</w:t>
      </w:r>
      <w:r w:rsidR="006B292C" w:rsidRPr="006449A5">
        <w:rPr>
          <w:rFonts w:ascii="Times New Roman" w:hAnsi="Times New Roman" w:cs="Times New Roman"/>
          <w:sz w:val="24"/>
          <w:szCs w:val="24"/>
        </w:rPr>
        <w:t>ans déclaration de naissance par le père lui-même</w:t>
      </w:r>
      <w:r w:rsidR="00DE7F38">
        <w:rPr>
          <w:rFonts w:ascii="Times New Roman" w:hAnsi="Times New Roman" w:cs="Times New Roman"/>
          <w:sz w:val="24"/>
          <w:szCs w:val="24"/>
        </w:rPr>
        <w:t xml:space="preserve"> -</w:t>
      </w:r>
      <w:r w:rsidR="006B292C" w:rsidRPr="006449A5">
        <w:rPr>
          <w:rFonts w:ascii="Times New Roman" w:hAnsi="Times New Roman" w:cs="Times New Roman"/>
          <w:sz w:val="24"/>
          <w:szCs w:val="24"/>
        </w:rPr>
        <w:t>, val</w:t>
      </w:r>
      <w:r w:rsidR="00C93CE7" w:rsidRPr="006449A5">
        <w:rPr>
          <w:rFonts w:ascii="Times New Roman" w:hAnsi="Times New Roman" w:cs="Times New Roman"/>
          <w:sz w:val="24"/>
          <w:szCs w:val="24"/>
        </w:rPr>
        <w:t>ait</w:t>
      </w:r>
      <w:r w:rsidR="006B292C" w:rsidRPr="006449A5">
        <w:rPr>
          <w:rFonts w:ascii="Times New Roman" w:hAnsi="Times New Roman" w:cs="Times New Roman"/>
          <w:sz w:val="24"/>
          <w:szCs w:val="24"/>
        </w:rPr>
        <w:t xml:space="preserve"> reconnaissance. A cet égard, le requérant se réfère à </w:t>
      </w:r>
      <w:r w:rsidR="00CB4C4C" w:rsidRPr="006449A5">
        <w:rPr>
          <w:rFonts w:ascii="Times New Roman" w:hAnsi="Times New Roman" w:cs="Times New Roman"/>
          <w:sz w:val="24"/>
          <w:szCs w:val="24"/>
        </w:rPr>
        <w:t xml:space="preserve">une décision de la </w:t>
      </w:r>
      <w:r w:rsidR="00C93CE7" w:rsidRPr="006449A5">
        <w:rPr>
          <w:rFonts w:ascii="Times New Roman" w:hAnsi="Times New Roman" w:cs="Times New Roman"/>
          <w:sz w:val="24"/>
          <w:szCs w:val="24"/>
        </w:rPr>
        <w:t>C</w:t>
      </w:r>
      <w:r w:rsidR="00CB4C4C" w:rsidRPr="006449A5">
        <w:rPr>
          <w:rFonts w:ascii="Times New Roman" w:hAnsi="Times New Roman" w:cs="Times New Roman"/>
          <w:sz w:val="24"/>
          <w:szCs w:val="24"/>
        </w:rPr>
        <w:t>our de cassation du 22 octobre 2008</w:t>
      </w:r>
      <w:r w:rsidR="006B292C" w:rsidRPr="006449A5">
        <w:rPr>
          <w:rStyle w:val="Appelnotedebasdep"/>
          <w:rFonts w:ascii="Times New Roman" w:hAnsi="Times New Roman" w:cs="Times New Roman"/>
          <w:sz w:val="24"/>
          <w:szCs w:val="24"/>
        </w:rPr>
        <w:footnoteReference w:id="87"/>
      </w:r>
      <w:r w:rsidR="00CB4C4C" w:rsidRPr="006449A5">
        <w:rPr>
          <w:rFonts w:ascii="Times New Roman" w:hAnsi="Times New Roman" w:cs="Times New Roman"/>
          <w:sz w:val="24"/>
          <w:szCs w:val="24"/>
        </w:rPr>
        <w:t> </w:t>
      </w:r>
      <w:r w:rsidR="00C93CE7" w:rsidRPr="006449A5">
        <w:rPr>
          <w:rFonts w:ascii="Times New Roman" w:hAnsi="Times New Roman" w:cs="Times New Roman"/>
          <w:sz w:val="24"/>
          <w:szCs w:val="24"/>
        </w:rPr>
        <w:t xml:space="preserve">(thèse de l’affirmation de la mère) </w:t>
      </w:r>
      <w:r w:rsidR="00CB4C4C" w:rsidRPr="006449A5">
        <w:rPr>
          <w:rFonts w:ascii="Times New Roman" w:hAnsi="Times New Roman" w:cs="Times New Roman"/>
          <w:sz w:val="24"/>
          <w:szCs w:val="24"/>
        </w:rPr>
        <w:t xml:space="preserve">et </w:t>
      </w:r>
      <w:r w:rsidR="00566385" w:rsidRPr="006449A5">
        <w:rPr>
          <w:rFonts w:ascii="Times New Roman" w:hAnsi="Times New Roman" w:cs="Times New Roman"/>
          <w:sz w:val="24"/>
          <w:szCs w:val="24"/>
        </w:rPr>
        <w:t xml:space="preserve">à </w:t>
      </w:r>
      <w:r w:rsidR="00CB4C4C" w:rsidRPr="006449A5">
        <w:rPr>
          <w:rFonts w:ascii="Times New Roman" w:hAnsi="Times New Roman" w:cs="Times New Roman"/>
          <w:sz w:val="24"/>
          <w:szCs w:val="24"/>
        </w:rPr>
        <w:t xml:space="preserve">une décision de la </w:t>
      </w:r>
      <w:r w:rsidR="00566385" w:rsidRPr="006449A5">
        <w:rPr>
          <w:rFonts w:ascii="Times New Roman" w:hAnsi="Times New Roman" w:cs="Times New Roman"/>
          <w:sz w:val="24"/>
          <w:szCs w:val="24"/>
        </w:rPr>
        <w:t>C</w:t>
      </w:r>
      <w:r w:rsidR="00CB4C4C" w:rsidRPr="006449A5">
        <w:rPr>
          <w:rFonts w:ascii="Times New Roman" w:hAnsi="Times New Roman" w:cs="Times New Roman"/>
          <w:sz w:val="24"/>
          <w:szCs w:val="24"/>
        </w:rPr>
        <w:t>our d’appel de Paris du 28 janvier 2010</w:t>
      </w:r>
      <w:r w:rsidR="00C93CE7" w:rsidRPr="006449A5">
        <w:rPr>
          <w:rStyle w:val="Appelnotedebasdep"/>
          <w:rFonts w:ascii="Times New Roman" w:hAnsi="Times New Roman" w:cs="Times New Roman"/>
          <w:sz w:val="24"/>
          <w:szCs w:val="24"/>
        </w:rPr>
        <w:footnoteReference w:id="88"/>
      </w:r>
      <w:r w:rsidR="00C93CE7" w:rsidRPr="006449A5">
        <w:rPr>
          <w:rFonts w:ascii="Times New Roman" w:hAnsi="Times New Roman" w:cs="Times New Roman"/>
          <w:sz w:val="24"/>
          <w:szCs w:val="24"/>
        </w:rPr>
        <w:t xml:space="preserve"> (thèse de l’affirmation de la sage-femme)</w:t>
      </w:r>
      <w:r w:rsidR="00CB4C4C" w:rsidRPr="006449A5">
        <w:rPr>
          <w:rFonts w:ascii="Times New Roman" w:hAnsi="Times New Roman" w:cs="Times New Roman"/>
          <w:sz w:val="24"/>
          <w:szCs w:val="24"/>
        </w:rPr>
        <w:t xml:space="preserve">, </w:t>
      </w:r>
      <w:r w:rsidR="006B292C" w:rsidRPr="006449A5">
        <w:rPr>
          <w:rFonts w:ascii="Times New Roman" w:hAnsi="Times New Roman" w:cs="Times New Roman"/>
          <w:sz w:val="24"/>
          <w:szCs w:val="24"/>
        </w:rPr>
        <w:t xml:space="preserve">s’appuyant elles-mêmes </w:t>
      </w:r>
      <w:r w:rsidR="00C93CE7" w:rsidRPr="006449A5">
        <w:rPr>
          <w:rFonts w:ascii="Times New Roman" w:hAnsi="Times New Roman" w:cs="Times New Roman"/>
          <w:sz w:val="24"/>
          <w:szCs w:val="24"/>
        </w:rPr>
        <w:t>sur une consultation ordonnée par le juge, un certificat de coutume et une attestation notariée.</w:t>
      </w:r>
      <w:r w:rsidR="00C93CE7" w:rsidRPr="006449A5">
        <w:rPr>
          <w:rStyle w:val="Appelnotedebasdep"/>
          <w:rFonts w:ascii="Times New Roman" w:hAnsi="Times New Roman" w:cs="Times New Roman"/>
          <w:sz w:val="24"/>
          <w:szCs w:val="24"/>
        </w:rPr>
        <w:footnoteReference w:id="89"/>
      </w:r>
      <w:r w:rsidR="00E320F1" w:rsidRPr="006449A5">
        <w:rPr>
          <w:rFonts w:ascii="Times New Roman" w:hAnsi="Times New Roman" w:cs="Times New Roman"/>
          <w:sz w:val="24"/>
          <w:szCs w:val="24"/>
        </w:rPr>
        <w:t xml:space="preserve"> En l’occurrence, le requérant apporte la preuve de l’acte de naissance, dans lequel la sage-femme déclare que le père d’Y est bien son père. </w:t>
      </w:r>
    </w:p>
    <w:bookmarkEnd w:id="29"/>
    <w:p w14:paraId="1A522778" w14:textId="4B9A35E0" w:rsidR="00103399" w:rsidRPr="006449A5" w:rsidRDefault="00103399" w:rsidP="00294B34">
      <w:pPr>
        <w:rPr>
          <w:rFonts w:ascii="Times New Roman" w:hAnsi="Times New Roman" w:cs="Times New Roman"/>
          <w:sz w:val="24"/>
          <w:szCs w:val="24"/>
        </w:rPr>
      </w:pPr>
      <w:r w:rsidRPr="006449A5">
        <w:rPr>
          <w:rFonts w:ascii="Times New Roman" w:hAnsi="Times New Roman" w:cs="Times New Roman"/>
          <w:sz w:val="24"/>
          <w:szCs w:val="24"/>
        </w:rPr>
        <w:lastRenderedPageBreak/>
        <w:t xml:space="preserve">Le Bénin est décrit par </w:t>
      </w:r>
      <w:proofErr w:type="spellStart"/>
      <w:r w:rsidRPr="006449A5">
        <w:rPr>
          <w:rFonts w:ascii="Times New Roman" w:hAnsi="Times New Roman" w:cs="Times New Roman"/>
          <w:sz w:val="24"/>
          <w:szCs w:val="24"/>
        </w:rPr>
        <w:t>Ahonagnon</w:t>
      </w:r>
      <w:proofErr w:type="spellEnd"/>
      <w:r w:rsidRPr="006449A5">
        <w:rPr>
          <w:rFonts w:ascii="Times New Roman" w:hAnsi="Times New Roman" w:cs="Times New Roman"/>
          <w:sz w:val="24"/>
          <w:szCs w:val="24"/>
        </w:rPr>
        <w:t xml:space="preserve"> Noel </w:t>
      </w:r>
      <w:proofErr w:type="spellStart"/>
      <w:r w:rsidRPr="006449A5">
        <w:rPr>
          <w:rFonts w:ascii="Times New Roman" w:hAnsi="Times New Roman" w:cs="Times New Roman"/>
          <w:sz w:val="24"/>
          <w:szCs w:val="24"/>
        </w:rPr>
        <w:t>Gbaguidi</w:t>
      </w:r>
      <w:proofErr w:type="spellEnd"/>
      <w:r w:rsidRPr="006449A5">
        <w:rPr>
          <w:rFonts w:ascii="Times New Roman" w:hAnsi="Times New Roman" w:cs="Times New Roman"/>
          <w:sz w:val="24"/>
          <w:szCs w:val="24"/>
        </w:rPr>
        <w:t xml:space="preserve"> et William </w:t>
      </w:r>
      <w:proofErr w:type="spellStart"/>
      <w:r w:rsidRPr="006449A5">
        <w:rPr>
          <w:rFonts w:ascii="Times New Roman" w:hAnsi="Times New Roman" w:cs="Times New Roman"/>
          <w:sz w:val="24"/>
          <w:szCs w:val="24"/>
        </w:rPr>
        <w:t>Kodjoh-Kpakpassou</w:t>
      </w:r>
      <w:proofErr w:type="spellEnd"/>
      <w:r w:rsidRPr="006449A5">
        <w:rPr>
          <w:rFonts w:ascii="Times New Roman" w:hAnsi="Times New Roman" w:cs="Times New Roman"/>
          <w:sz w:val="24"/>
          <w:szCs w:val="24"/>
        </w:rPr>
        <w:t xml:space="preserve"> comme un pays postcolonial caractérisé par le dualisme juridique, constitué du droit </w:t>
      </w:r>
      <w:r w:rsidR="00B77D3E" w:rsidRPr="006449A5">
        <w:rPr>
          <w:rFonts w:ascii="Times New Roman" w:hAnsi="Times New Roman" w:cs="Times New Roman"/>
          <w:sz w:val="24"/>
          <w:szCs w:val="24"/>
        </w:rPr>
        <w:t>étatique</w:t>
      </w:r>
      <w:r w:rsidRPr="006449A5">
        <w:rPr>
          <w:rFonts w:ascii="Times New Roman" w:hAnsi="Times New Roman" w:cs="Times New Roman"/>
          <w:sz w:val="24"/>
          <w:szCs w:val="24"/>
        </w:rPr>
        <w:t xml:space="preserve"> et du droit coutumier. Le droit coutumier est </w:t>
      </w:r>
      <w:r w:rsidR="00B01AA8" w:rsidRPr="006449A5">
        <w:rPr>
          <w:rFonts w:ascii="Times New Roman" w:hAnsi="Times New Roman" w:cs="Times New Roman"/>
          <w:sz w:val="24"/>
          <w:szCs w:val="24"/>
        </w:rPr>
        <w:t xml:space="preserve">lui-même notamment </w:t>
      </w:r>
      <w:r w:rsidRPr="006449A5">
        <w:rPr>
          <w:rFonts w:ascii="Times New Roman" w:hAnsi="Times New Roman" w:cs="Times New Roman"/>
          <w:sz w:val="24"/>
          <w:szCs w:val="24"/>
        </w:rPr>
        <w:t>constitué par un ensemble de règles issues des coutumes locales</w:t>
      </w:r>
      <w:r w:rsidR="00B01AA8" w:rsidRPr="006449A5">
        <w:rPr>
          <w:rFonts w:ascii="Times New Roman" w:hAnsi="Times New Roman" w:cs="Times New Roman"/>
          <w:sz w:val="24"/>
          <w:szCs w:val="24"/>
        </w:rPr>
        <w:t xml:space="preserve">, qui </w:t>
      </w:r>
      <w:r w:rsidRPr="006449A5">
        <w:rPr>
          <w:rFonts w:ascii="Times New Roman" w:hAnsi="Times New Roman" w:cs="Times New Roman"/>
          <w:sz w:val="24"/>
          <w:szCs w:val="24"/>
        </w:rPr>
        <w:t>ont été recueillies et transcrites</w:t>
      </w:r>
      <w:r w:rsidR="00B01AA8" w:rsidRPr="006449A5">
        <w:rPr>
          <w:rFonts w:ascii="Times New Roman" w:hAnsi="Times New Roman" w:cs="Times New Roman"/>
          <w:sz w:val="24"/>
          <w:szCs w:val="24"/>
        </w:rPr>
        <w:t xml:space="preserve"> durant la colonisation française </w:t>
      </w:r>
      <w:r w:rsidRPr="006449A5">
        <w:rPr>
          <w:rFonts w:ascii="Times New Roman" w:hAnsi="Times New Roman" w:cs="Times New Roman"/>
          <w:sz w:val="24"/>
          <w:szCs w:val="24"/>
        </w:rPr>
        <w:t>dans un document appelé « </w:t>
      </w:r>
      <w:r w:rsidR="004A5B15" w:rsidRPr="006449A5">
        <w:rPr>
          <w:rFonts w:ascii="Times New Roman" w:hAnsi="Times New Roman" w:cs="Times New Roman"/>
          <w:sz w:val="24"/>
          <w:szCs w:val="24"/>
        </w:rPr>
        <w:t>C</w:t>
      </w:r>
      <w:r w:rsidRPr="006449A5">
        <w:rPr>
          <w:rFonts w:ascii="Times New Roman" w:hAnsi="Times New Roman" w:cs="Times New Roman"/>
          <w:sz w:val="24"/>
          <w:szCs w:val="24"/>
        </w:rPr>
        <w:t>outumier du Dahomey</w:t>
      </w:r>
      <w:r w:rsidR="007B0800" w:rsidRPr="006449A5">
        <w:rPr>
          <w:rFonts w:ascii="Times New Roman" w:hAnsi="Times New Roman" w:cs="Times New Roman"/>
          <w:sz w:val="24"/>
          <w:szCs w:val="24"/>
        </w:rPr>
        <w:t xml:space="preserve"> </w:t>
      </w:r>
      <w:r w:rsidRPr="006449A5">
        <w:rPr>
          <w:rFonts w:ascii="Times New Roman" w:hAnsi="Times New Roman" w:cs="Times New Roman"/>
          <w:sz w:val="24"/>
          <w:szCs w:val="24"/>
        </w:rPr>
        <w:t>»</w:t>
      </w:r>
      <w:r w:rsidR="00B01AA8" w:rsidRPr="006449A5">
        <w:rPr>
          <w:rFonts w:ascii="Times New Roman" w:hAnsi="Times New Roman" w:cs="Times New Roman"/>
          <w:sz w:val="24"/>
          <w:szCs w:val="24"/>
        </w:rPr>
        <w:t>, et qui concerne essentiellement une grande partie du droit foncier</w:t>
      </w:r>
      <w:r w:rsidRPr="006449A5">
        <w:rPr>
          <w:rFonts w:ascii="Times New Roman" w:hAnsi="Times New Roman" w:cs="Times New Roman"/>
          <w:sz w:val="24"/>
          <w:szCs w:val="24"/>
        </w:rPr>
        <w:t xml:space="preserve">. </w:t>
      </w:r>
      <w:r w:rsidR="00B01AA8" w:rsidRPr="006449A5">
        <w:rPr>
          <w:rFonts w:ascii="Times New Roman" w:hAnsi="Times New Roman" w:cs="Times New Roman"/>
          <w:sz w:val="24"/>
          <w:szCs w:val="24"/>
        </w:rPr>
        <w:t>D</w:t>
      </w:r>
      <w:r w:rsidRPr="006449A5">
        <w:rPr>
          <w:rFonts w:ascii="Times New Roman" w:hAnsi="Times New Roman" w:cs="Times New Roman"/>
          <w:sz w:val="24"/>
          <w:szCs w:val="24"/>
        </w:rPr>
        <w:t>epuis le 24 août 2004, le Bénin s’est doté d’un Code des Personnes et de la Famille</w:t>
      </w:r>
      <w:r w:rsidR="001427F5" w:rsidRPr="006449A5">
        <w:rPr>
          <w:rFonts w:ascii="Times New Roman" w:hAnsi="Times New Roman" w:cs="Times New Roman"/>
          <w:sz w:val="24"/>
          <w:szCs w:val="24"/>
        </w:rPr>
        <w:t>,</w:t>
      </w:r>
      <w:r w:rsidRPr="006449A5">
        <w:rPr>
          <w:rFonts w:ascii="Times New Roman" w:hAnsi="Times New Roman" w:cs="Times New Roman"/>
          <w:sz w:val="24"/>
          <w:szCs w:val="24"/>
        </w:rPr>
        <w:t xml:space="preserve"> dont l’article 1030 dispose que « les coutumes cessent d’avoir force de loi en toutes matières régies par le (…) code ». </w:t>
      </w:r>
      <w:r w:rsidR="00B01AA8" w:rsidRPr="006449A5">
        <w:rPr>
          <w:rFonts w:ascii="Times New Roman" w:hAnsi="Times New Roman" w:cs="Times New Roman"/>
          <w:sz w:val="24"/>
          <w:szCs w:val="24"/>
        </w:rPr>
        <w:t>Ainsi, d</w:t>
      </w:r>
      <w:r w:rsidRPr="006449A5">
        <w:rPr>
          <w:rFonts w:ascii="Times New Roman" w:hAnsi="Times New Roman" w:cs="Times New Roman"/>
          <w:sz w:val="24"/>
          <w:szCs w:val="24"/>
        </w:rPr>
        <w:t xml:space="preserve">ésormais, le droit </w:t>
      </w:r>
      <w:r w:rsidR="00566385" w:rsidRPr="006449A5">
        <w:rPr>
          <w:rFonts w:ascii="Times New Roman" w:hAnsi="Times New Roman" w:cs="Times New Roman"/>
          <w:sz w:val="24"/>
          <w:szCs w:val="24"/>
        </w:rPr>
        <w:t>familial est largement régi par le droit étatique</w:t>
      </w:r>
      <w:r w:rsidR="001427F5" w:rsidRPr="006449A5">
        <w:rPr>
          <w:rFonts w:ascii="Times New Roman" w:hAnsi="Times New Roman" w:cs="Times New Roman"/>
          <w:sz w:val="24"/>
          <w:szCs w:val="24"/>
        </w:rPr>
        <w:t>,</w:t>
      </w:r>
      <w:r w:rsidR="00566385" w:rsidRPr="006449A5">
        <w:rPr>
          <w:rFonts w:ascii="Times New Roman" w:hAnsi="Times New Roman" w:cs="Times New Roman"/>
          <w:sz w:val="24"/>
          <w:szCs w:val="24"/>
        </w:rPr>
        <w:t xml:space="preserve"> et le droit </w:t>
      </w:r>
      <w:r w:rsidRPr="006449A5">
        <w:rPr>
          <w:rFonts w:ascii="Times New Roman" w:hAnsi="Times New Roman" w:cs="Times New Roman"/>
          <w:sz w:val="24"/>
          <w:szCs w:val="24"/>
        </w:rPr>
        <w:t xml:space="preserve">foncier </w:t>
      </w:r>
      <w:r w:rsidR="00566385" w:rsidRPr="006449A5">
        <w:rPr>
          <w:rFonts w:ascii="Times New Roman" w:hAnsi="Times New Roman" w:cs="Times New Roman"/>
          <w:sz w:val="24"/>
          <w:szCs w:val="24"/>
        </w:rPr>
        <w:t>par le Coutumier du Dahomey</w:t>
      </w:r>
      <w:r w:rsidR="00E56821" w:rsidRPr="006449A5">
        <w:rPr>
          <w:rStyle w:val="Appelnotedebasdep"/>
          <w:rFonts w:ascii="Times New Roman" w:hAnsi="Times New Roman" w:cs="Times New Roman"/>
          <w:sz w:val="24"/>
          <w:szCs w:val="24"/>
        </w:rPr>
        <w:footnoteReference w:id="90"/>
      </w:r>
      <w:r w:rsidRPr="006449A5">
        <w:rPr>
          <w:rFonts w:ascii="Times New Roman" w:hAnsi="Times New Roman" w:cs="Times New Roman"/>
          <w:sz w:val="24"/>
          <w:szCs w:val="24"/>
        </w:rPr>
        <w:t>.</w:t>
      </w:r>
      <w:r w:rsidR="00B01AA8" w:rsidRPr="006449A5">
        <w:rPr>
          <w:rFonts w:ascii="Times New Roman" w:hAnsi="Times New Roman" w:cs="Times New Roman"/>
          <w:sz w:val="24"/>
          <w:szCs w:val="24"/>
        </w:rPr>
        <w:t xml:space="preserve"> De </w:t>
      </w:r>
      <w:r w:rsidR="00566385" w:rsidRPr="006449A5">
        <w:rPr>
          <w:rFonts w:ascii="Times New Roman" w:hAnsi="Times New Roman" w:cs="Times New Roman"/>
          <w:sz w:val="24"/>
          <w:szCs w:val="24"/>
        </w:rPr>
        <w:t xml:space="preserve">ce </w:t>
      </w:r>
      <w:r w:rsidR="00B01AA8" w:rsidRPr="006449A5">
        <w:rPr>
          <w:rFonts w:ascii="Times New Roman" w:hAnsi="Times New Roman" w:cs="Times New Roman"/>
          <w:sz w:val="24"/>
          <w:szCs w:val="24"/>
        </w:rPr>
        <w:t xml:space="preserve">point de vue, l’on pourrait donc dire que le dualisme juridique est aujourd’hui très restreint, </w:t>
      </w:r>
      <w:r w:rsidR="00566385" w:rsidRPr="006449A5">
        <w:rPr>
          <w:rFonts w:ascii="Times New Roman" w:hAnsi="Times New Roman" w:cs="Times New Roman"/>
          <w:sz w:val="24"/>
          <w:szCs w:val="24"/>
        </w:rPr>
        <w:t>dans la mesure où</w:t>
      </w:r>
      <w:r w:rsidR="00B01AA8" w:rsidRPr="006449A5">
        <w:rPr>
          <w:rFonts w:ascii="Times New Roman" w:hAnsi="Times New Roman" w:cs="Times New Roman"/>
          <w:sz w:val="24"/>
          <w:szCs w:val="24"/>
        </w:rPr>
        <w:t xml:space="preserve"> les coutumes locales non codifiées</w:t>
      </w:r>
      <w:r w:rsidR="00566385" w:rsidRPr="006449A5">
        <w:rPr>
          <w:rFonts w:ascii="Times New Roman" w:hAnsi="Times New Roman" w:cs="Times New Roman"/>
          <w:sz w:val="24"/>
          <w:szCs w:val="24"/>
        </w:rPr>
        <w:t xml:space="preserve"> ne régissent que certaines questions résiduelles</w:t>
      </w:r>
      <w:r w:rsidR="00B01AA8" w:rsidRPr="006449A5">
        <w:rPr>
          <w:rFonts w:ascii="Times New Roman" w:hAnsi="Times New Roman" w:cs="Times New Roman"/>
          <w:sz w:val="24"/>
          <w:szCs w:val="24"/>
        </w:rPr>
        <w:t xml:space="preserve">. </w:t>
      </w:r>
      <w:r w:rsidR="00E56821" w:rsidRPr="006449A5">
        <w:rPr>
          <w:rFonts w:ascii="Times New Roman" w:hAnsi="Times New Roman" w:cs="Times New Roman"/>
          <w:sz w:val="24"/>
          <w:szCs w:val="24"/>
        </w:rPr>
        <w:t xml:space="preserve">Cependant, en matière foncière, il demeure en réalité </w:t>
      </w:r>
      <w:r w:rsidR="004A5B15" w:rsidRPr="006449A5">
        <w:rPr>
          <w:rFonts w:ascii="Times New Roman" w:hAnsi="Times New Roman" w:cs="Times New Roman"/>
          <w:sz w:val="24"/>
          <w:szCs w:val="24"/>
        </w:rPr>
        <w:t xml:space="preserve">que le droit </w:t>
      </w:r>
      <w:r w:rsidR="00B77D3E" w:rsidRPr="006449A5">
        <w:rPr>
          <w:rFonts w:ascii="Times New Roman" w:hAnsi="Times New Roman" w:cs="Times New Roman"/>
          <w:sz w:val="24"/>
          <w:szCs w:val="24"/>
        </w:rPr>
        <w:t xml:space="preserve">étatique </w:t>
      </w:r>
      <w:r w:rsidR="004A5B15" w:rsidRPr="006449A5">
        <w:rPr>
          <w:rFonts w:ascii="Times New Roman" w:hAnsi="Times New Roman" w:cs="Times New Roman"/>
          <w:sz w:val="24"/>
          <w:szCs w:val="24"/>
        </w:rPr>
        <w:t>coexiste avec des pratiques coutumières dont seulement certaines se retrouvent dans le Coutumier du Dahomey</w:t>
      </w:r>
      <w:r w:rsidR="004A5B15" w:rsidRPr="006449A5">
        <w:rPr>
          <w:rStyle w:val="Appelnotedebasdep"/>
          <w:rFonts w:ascii="Times New Roman" w:hAnsi="Times New Roman" w:cs="Times New Roman"/>
          <w:sz w:val="24"/>
          <w:szCs w:val="24"/>
        </w:rPr>
        <w:footnoteReference w:id="91"/>
      </w:r>
      <w:r w:rsidR="004A5B15" w:rsidRPr="006449A5">
        <w:rPr>
          <w:rFonts w:ascii="Times New Roman" w:hAnsi="Times New Roman" w:cs="Times New Roman"/>
          <w:sz w:val="24"/>
          <w:szCs w:val="24"/>
        </w:rPr>
        <w:t xml:space="preserve">. </w:t>
      </w:r>
      <w:r w:rsidR="00F36379" w:rsidRPr="006449A5">
        <w:rPr>
          <w:rFonts w:ascii="Times New Roman" w:hAnsi="Times New Roman" w:cs="Times New Roman"/>
          <w:sz w:val="24"/>
          <w:szCs w:val="24"/>
        </w:rPr>
        <w:t xml:space="preserve">En outre, selon </w:t>
      </w:r>
      <w:proofErr w:type="spellStart"/>
      <w:r w:rsidR="006866E2" w:rsidRPr="006449A5">
        <w:rPr>
          <w:rFonts w:ascii="Times New Roman" w:hAnsi="Times New Roman" w:cs="Times New Roman"/>
          <w:sz w:val="24"/>
          <w:szCs w:val="24"/>
        </w:rPr>
        <w:t>Yémalin</w:t>
      </w:r>
      <w:proofErr w:type="spellEnd"/>
      <w:r w:rsidR="006866E2" w:rsidRPr="006449A5">
        <w:rPr>
          <w:rFonts w:ascii="Times New Roman" w:hAnsi="Times New Roman" w:cs="Times New Roman"/>
          <w:sz w:val="24"/>
          <w:szCs w:val="24"/>
        </w:rPr>
        <w:t xml:space="preserve"> </w:t>
      </w:r>
      <w:proofErr w:type="spellStart"/>
      <w:r w:rsidR="006866E2" w:rsidRPr="006449A5">
        <w:rPr>
          <w:rFonts w:ascii="Times New Roman" w:hAnsi="Times New Roman" w:cs="Times New Roman"/>
          <w:sz w:val="24"/>
          <w:szCs w:val="24"/>
        </w:rPr>
        <w:t>Gnonlonfoun</w:t>
      </w:r>
      <w:proofErr w:type="spellEnd"/>
      <w:r w:rsidR="00F36379" w:rsidRPr="006449A5">
        <w:rPr>
          <w:rFonts w:ascii="Times New Roman" w:hAnsi="Times New Roman" w:cs="Times New Roman"/>
          <w:sz w:val="24"/>
          <w:szCs w:val="24"/>
        </w:rPr>
        <w:t>, le droit étatique béninois de la famille ne correspond pas tout à fait aux « pratiques familiales »</w:t>
      </w:r>
      <w:r w:rsidR="00F36379" w:rsidRPr="006449A5">
        <w:rPr>
          <w:rStyle w:val="Appelnotedebasdep"/>
          <w:rFonts w:ascii="Times New Roman" w:hAnsi="Times New Roman" w:cs="Times New Roman"/>
          <w:sz w:val="24"/>
          <w:szCs w:val="24"/>
        </w:rPr>
        <w:footnoteReference w:id="92"/>
      </w:r>
      <w:r w:rsidR="00F36379" w:rsidRPr="006449A5">
        <w:rPr>
          <w:rFonts w:ascii="Times New Roman" w:hAnsi="Times New Roman" w:cs="Times New Roman"/>
          <w:sz w:val="24"/>
          <w:szCs w:val="24"/>
        </w:rPr>
        <w:t>.</w:t>
      </w:r>
      <w:r w:rsidR="00566385" w:rsidRPr="006449A5">
        <w:rPr>
          <w:rFonts w:ascii="Times New Roman" w:hAnsi="Times New Roman" w:cs="Times New Roman"/>
          <w:sz w:val="24"/>
          <w:szCs w:val="24"/>
        </w:rPr>
        <w:t xml:space="preserve"> Il semble donc qu’il y ait un certain conflit entre les pratiques béninoises, qui font office de coutumes locales mais ne sont pas reconnues comme du droit, et le droit étatique. </w:t>
      </w:r>
    </w:p>
    <w:p w14:paraId="3CC8E016" w14:textId="62270795" w:rsidR="001427F5" w:rsidRPr="006449A5" w:rsidRDefault="00566385" w:rsidP="005C5383">
      <w:pPr>
        <w:rPr>
          <w:rFonts w:ascii="Times New Roman" w:hAnsi="Times New Roman" w:cs="Times New Roman"/>
          <w:sz w:val="24"/>
          <w:szCs w:val="24"/>
        </w:rPr>
      </w:pPr>
      <w:r w:rsidRPr="006449A5">
        <w:rPr>
          <w:rFonts w:ascii="Times New Roman" w:hAnsi="Times New Roman" w:cs="Times New Roman"/>
          <w:sz w:val="24"/>
          <w:szCs w:val="24"/>
        </w:rPr>
        <w:t>Dans ce contexte, le</w:t>
      </w:r>
      <w:r w:rsidR="00154FBB" w:rsidRPr="006449A5">
        <w:rPr>
          <w:rFonts w:ascii="Times New Roman" w:hAnsi="Times New Roman" w:cs="Times New Roman"/>
          <w:sz w:val="24"/>
          <w:szCs w:val="24"/>
        </w:rPr>
        <w:t xml:space="preserve"> tribunal de Grande Instance de Paris et la Cour d’appel de Paris ont rejeté l’action</w:t>
      </w:r>
      <w:r w:rsidRPr="006449A5">
        <w:rPr>
          <w:rFonts w:ascii="Times New Roman" w:hAnsi="Times New Roman" w:cs="Times New Roman"/>
          <w:sz w:val="24"/>
          <w:szCs w:val="24"/>
        </w:rPr>
        <w:t xml:space="preserve"> en déclaration de nationalité d’Y</w:t>
      </w:r>
      <w:r w:rsidR="00154FBB" w:rsidRPr="006449A5">
        <w:rPr>
          <w:rFonts w:ascii="Times New Roman" w:hAnsi="Times New Roman" w:cs="Times New Roman"/>
          <w:sz w:val="24"/>
          <w:szCs w:val="24"/>
        </w:rPr>
        <w:t xml:space="preserve">, selon un raisonnement confirmé par la Cour de </w:t>
      </w:r>
      <w:proofErr w:type="gramStart"/>
      <w:r w:rsidR="00154FBB" w:rsidRPr="006449A5">
        <w:rPr>
          <w:rFonts w:ascii="Times New Roman" w:hAnsi="Times New Roman" w:cs="Times New Roman"/>
          <w:sz w:val="24"/>
          <w:szCs w:val="24"/>
        </w:rPr>
        <w:t>Cassation</w:t>
      </w:r>
      <w:proofErr w:type="gramEnd"/>
      <w:r w:rsidR="00154FBB" w:rsidRPr="006449A5">
        <w:rPr>
          <w:rFonts w:ascii="Times New Roman" w:hAnsi="Times New Roman" w:cs="Times New Roman"/>
          <w:sz w:val="24"/>
          <w:szCs w:val="24"/>
        </w:rPr>
        <w:t xml:space="preserve"> le 4 novembre 2020</w:t>
      </w:r>
      <w:r w:rsidR="00A52F94" w:rsidRPr="006449A5">
        <w:rPr>
          <w:rFonts w:ascii="Times New Roman" w:hAnsi="Times New Roman" w:cs="Times New Roman"/>
          <w:sz w:val="24"/>
          <w:szCs w:val="24"/>
        </w:rPr>
        <w:t>.</w:t>
      </w:r>
      <w:r w:rsidR="00E320F1" w:rsidRPr="006449A5">
        <w:rPr>
          <w:rFonts w:ascii="Times New Roman" w:hAnsi="Times New Roman" w:cs="Times New Roman"/>
          <w:sz w:val="24"/>
          <w:szCs w:val="24"/>
        </w:rPr>
        <w:t xml:space="preserve"> </w:t>
      </w:r>
      <w:bookmarkStart w:id="30" w:name="_Hlk146203285"/>
      <w:r w:rsidR="00E320F1" w:rsidRPr="006449A5">
        <w:rPr>
          <w:rFonts w:ascii="Times New Roman" w:hAnsi="Times New Roman" w:cs="Times New Roman"/>
          <w:sz w:val="24"/>
          <w:szCs w:val="24"/>
        </w:rPr>
        <w:t>D’abord, les juges admettent l’existence du lien de filiation entre le père et grand-père</w:t>
      </w:r>
      <w:r w:rsidR="001C0ED3" w:rsidRPr="006449A5">
        <w:rPr>
          <w:rFonts w:ascii="Times New Roman" w:hAnsi="Times New Roman" w:cs="Times New Roman"/>
          <w:sz w:val="24"/>
          <w:szCs w:val="24"/>
        </w:rPr>
        <w:t>,</w:t>
      </w:r>
      <w:r w:rsidR="00E320F1" w:rsidRPr="006449A5">
        <w:rPr>
          <w:rFonts w:ascii="Times New Roman" w:hAnsi="Times New Roman" w:cs="Times New Roman"/>
          <w:sz w:val="24"/>
          <w:szCs w:val="24"/>
        </w:rPr>
        <w:t xml:space="preserve"> sans cependant se référer à la coutume</w:t>
      </w:r>
      <w:r w:rsidR="003010A2" w:rsidRPr="006449A5">
        <w:rPr>
          <w:rFonts w:ascii="Times New Roman" w:hAnsi="Times New Roman" w:cs="Times New Roman"/>
          <w:sz w:val="24"/>
          <w:szCs w:val="24"/>
        </w:rPr>
        <w:t xml:space="preserve"> dont ils estiment qu’elle ne permet qu’à la mère et pas à la sage-femme de déclarer la paternité</w:t>
      </w:r>
      <w:r w:rsidR="002F26E7">
        <w:rPr>
          <w:rFonts w:ascii="Times New Roman" w:hAnsi="Times New Roman" w:cs="Times New Roman"/>
          <w:sz w:val="24"/>
          <w:szCs w:val="24"/>
        </w:rPr>
        <w:t xml:space="preserve"> de manière juridiquement certaine</w:t>
      </w:r>
      <w:r w:rsidR="003010A2" w:rsidRPr="006449A5">
        <w:rPr>
          <w:rFonts w:ascii="Times New Roman" w:hAnsi="Times New Roman" w:cs="Times New Roman"/>
          <w:sz w:val="24"/>
          <w:szCs w:val="24"/>
        </w:rPr>
        <w:t>. Au contraire, ils appliquent le droit français en vigueur avant l’indépendance, qui permettait</w:t>
      </w:r>
      <w:r w:rsidR="001C0ED3" w:rsidRPr="006449A5">
        <w:rPr>
          <w:rFonts w:ascii="Times New Roman" w:hAnsi="Times New Roman" w:cs="Times New Roman"/>
          <w:sz w:val="24"/>
          <w:szCs w:val="24"/>
        </w:rPr>
        <w:t xml:space="preserve"> </w:t>
      </w:r>
      <w:r w:rsidR="003010A2" w:rsidRPr="006449A5">
        <w:rPr>
          <w:rFonts w:ascii="Times New Roman" w:hAnsi="Times New Roman" w:cs="Times New Roman"/>
          <w:sz w:val="24"/>
          <w:szCs w:val="24"/>
        </w:rPr>
        <w:t>à la sage-femme de déclarer la paternité</w:t>
      </w:r>
      <w:r w:rsidR="002F26E7">
        <w:rPr>
          <w:rFonts w:ascii="Times New Roman" w:hAnsi="Times New Roman" w:cs="Times New Roman"/>
          <w:sz w:val="24"/>
          <w:szCs w:val="24"/>
        </w:rPr>
        <w:t xml:space="preserve"> avec des effets juridiques certains</w:t>
      </w:r>
      <w:r w:rsidR="00B77D3E" w:rsidRPr="006449A5">
        <w:rPr>
          <w:rStyle w:val="Appelnotedebasdep"/>
          <w:rFonts w:ascii="Times New Roman" w:hAnsi="Times New Roman" w:cs="Times New Roman"/>
          <w:sz w:val="24"/>
          <w:szCs w:val="24"/>
        </w:rPr>
        <w:footnoteReference w:id="93"/>
      </w:r>
      <w:r w:rsidRPr="006449A5">
        <w:rPr>
          <w:rFonts w:ascii="Times New Roman" w:hAnsi="Times New Roman" w:cs="Times New Roman"/>
          <w:sz w:val="24"/>
          <w:szCs w:val="24"/>
        </w:rPr>
        <w:t xml:space="preserve">. </w:t>
      </w:r>
      <w:bookmarkEnd w:id="30"/>
      <w:r w:rsidR="002F26E7">
        <w:rPr>
          <w:rFonts w:ascii="Times New Roman" w:hAnsi="Times New Roman" w:cs="Times New Roman"/>
          <w:sz w:val="24"/>
          <w:szCs w:val="24"/>
        </w:rPr>
        <w:t>Les juges</w:t>
      </w:r>
      <w:r w:rsidR="003010A2" w:rsidRPr="006449A5">
        <w:rPr>
          <w:rFonts w:ascii="Times New Roman" w:hAnsi="Times New Roman" w:cs="Times New Roman"/>
          <w:sz w:val="24"/>
          <w:szCs w:val="24"/>
        </w:rPr>
        <w:t xml:space="preserve"> refusent </w:t>
      </w:r>
      <w:r w:rsidR="002F26E7">
        <w:rPr>
          <w:rFonts w:ascii="Times New Roman" w:hAnsi="Times New Roman" w:cs="Times New Roman"/>
          <w:sz w:val="24"/>
          <w:szCs w:val="24"/>
        </w:rPr>
        <w:t xml:space="preserve">ensuite </w:t>
      </w:r>
      <w:r w:rsidR="003010A2" w:rsidRPr="006449A5">
        <w:rPr>
          <w:rFonts w:ascii="Times New Roman" w:hAnsi="Times New Roman" w:cs="Times New Roman"/>
          <w:sz w:val="24"/>
          <w:szCs w:val="24"/>
        </w:rPr>
        <w:t>de reconnaitre la nationalité française du grand-père, a</w:t>
      </w:r>
      <w:r w:rsidR="00FD23B1" w:rsidRPr="006449A5">
        <w:rPr>
          <w:rFonts w:ascii="Times New Roman" w:hAnsi="Times New Roman" w:cs="Times New Roman"/>
          <w:sz w:val="24"/>
          <w:szCs w:val="24"/>
        </w:rPr>
        <w:t>près avoir retenu que</w:t>
      </w:r>
      <w:r w:rsidR="003010A2" w:rsidRPr="006449A5">
        <w:rPr>
          <w:rFonts w:ascii="Times New Roman" w:hAnsi="Times New Roman" w:cs="Times New Roman"/>
          <w:sz w:val="24"/>
          <w:szCs w:val="24"/>
        </w:rPr>
        <w:t>, d’une part,</w:t>
      </w:r>
      <w:r w:rsidR="00FD23B1" w:rsidRPr="006449A5">
        <w:rPr>
          <w:rFonts w:ascii="Times New Roman" w:hAnsi="Times New Roman" w:cs="Times New Roman"/>
          <w:sz w:val="24"/>
          <w:szCs w:val="24"/>
        </w:rPr>
        <w:t xml:space="preserve"> le jugement supplétif d’acte de naissance produit par M. Y pour justifier du lieu de naissance de son grand-père paternel </w:t>
      </w:r>
      <w:r w:rsidR="005C5383" w:rsidRPr="006449A5">
        <w:rPr>
          <w:rFonts w:ascii="Times New Roman" w:hAnsi="Times New Roman" w:cs="Times New Roman"/>
          <w:sz w:val="24"/>
          <w:szCs w:val="24"/>
        </w:rPr>
        <w:t>ne peut être reconnu en droit français, au vu des conventions franco-béninoises applicables, spécialement parce que</w:t>
      </w:r>
      <w:r w:rsidR="005C5383" w:rsidRPr="006449A5">
        <w:rPr>
          <w:rFonts w:ascii="Arial" w:hAnsi="Arial" w:cs="Arial"/>
          <w:color w:val="323440"/>
          <w:kern w:val="0"/>
          <w:sz w:val="15"/>
          <w:szCs w:val="15"/>
        </w:rPr>
        <w:t xml:space="preserve"> </w:t>
      </w:r>
      <w:r w:rsidR="005C5383" w:rsidRPr="006449A5">
        <w:rPr>
          <w:rFonts w:ascii="Times New Roman" w:hAnsi="Times New Roman" w:cs="Times New Roman"/>
          <w:sz w:val="24"/>
          <w:szCs w:val="24"/>
        </w:rPr>
        <w:t xml:space="preserve">la copie certifiée conforme de ce jugement a été délivrée non par le greffier en chef de la juridiction qui a rendu ledit jugement mais par le maire de la commune d'Abomey Calavi, </w:t>
      </w:r>
      <w:r w:rsidR="00A4454E" w:rsidRPr="006449A5">
        <w:rPr>
          <w:rFonts w:ascii="Times New Roman" w:hAnsi="Times New Roman" w:cs="Times New Roman"/>
          <w:sz w:val="24"/>
          <w:szCs w:val="24"/>
        </w:rPr>
        <w:t xml:space="preserve">et que le jugement n’est pas motivé et ne mentionne pas le nom du/de la juge en charge. </w:t>
      </w:r>
      <w:r w:rsidR="005C5383" w:rsidRPr="006449A5">
        <w:rPr>
          <w:rFonts w:ascii="Times New Roman" w:hAnsi="Times New Roman" w:cs="Times New Roman"/>
          <w:sz w:val="24"/>
          <w:szCs w:val="24"/>
        </w:rPr>
        <w:t>D</w:t>
      </w:r>
      <w:r w:rsidR="003010A2" w:rsidRPr="006449A5">
        <w:rPr>
          <w:rFonts w:ascii="Times New Roman" w:hAnsi="Times New Roman" w:cs="Times New Roman"/>
          <w:sz w:val="24"/>
          <w:szCs w:val="24"/>
        </w:rPr>
        <w:t xml:space="preserve">’autre part, </w:t>
      </w:r>
      <w:r w:rsidR="00A50A9C" w:rsidRPr="006449A5">
        <w:rPr>
          <w:rFonts w:ascii="Times New Roman" w:hAnsi="Times New Roman" w:cs="Times New Roman"/>
          <w:sz w:val="24"/>
          <w:szCs w:val="24"/>
        </w:rPr>
        <w:t>selon les juges</w:t>
      </w:r>
      <w:r w:rsidR="001427F5" w:rsidRPr="006449A5">
        <w:rPr>
          <w:rFonts w:ascii="Times New Roman" w:hAnsi="Times New Roman" w:cs="Times New Roman"/>
          <w:sz w:val="24"/>
          <w:szCs w:val="24"/>
        </w:rPr>
        <w:t xml:space="preserve"> français</w:t>
      </w:r>
      <w:r w:rsidR="00A50A9C" w:rsidRPr="006449A5">
        <w:rPr>
          <w:rFonts w:ascii="Times New Roman" w:hAnsi="Times New Roman" w:cs="Times New Roman"/>
          <w:sz w:val="24"/>
          <w:szCs w:val="24"/>
        </w:rPr>
        <w:t xml:space="preserve">, </w:t>
      </w:r>
      <w:r w:rsidR="00FD23B1" w:rsidRPr="006449A5">
        <w:rPr>
          <w:rFonts w:ascii="Times New Roman" w:hAnsi="Times New Roman" w:cs="Times New Roman"/>
          <w:sz w:val="24"/>
          <w:szCs w:val="24"/>
        </w:rPr>
        <w:t xml:space="preserve">ni </w:t>
      </w:r>
      <w:bookmarkStart w:id="31" w:name="_Hlk145427154"/>
      <w:r w:rsidR="00FD23B1" w:rsidRPr="006449A5">
        <w:rPr>
          <w:rFonts w:ascii="Times New Roman" w:hAnsi="Times New Roman" w:cs="Times New Roman"/>
          <w:sz w:val="24"/>
          <w:szCs w:val="24"/>
        </w:rPr>
        <w:t xml:space="preserve">les actes de mariage et de décès du grand-père, ni les actes de naissance de ses </w:t>
      </w:r>
      <w:r w:rsidR="00FD23B1" w:rsidRPr="006449A5">
        <w:rPr>
          <w:rFonts w:ascii="Times New Roman" w:hAnsi="Times New Roman" w:cs="Times New Roman"/>
          <w:sz w:val="24"/>
          <w:szCs w:val="24"/>
        </w:rPr>
        <w:lastRenderedPageBreak/>
        <w:t xml:space="preserve">enfants, ni son livret catholique </w:t>
      </w:r>
      <w:bookmarkEnd w:id="31"/>
      <w:r w:rsidR="00FD23B1" w:rsidRPr="006449A5">
        <w:rPr>
          <w:rFonts w:ascii="Times New Roman" w:hAnsi="Times New Roman" w:cs="Times New Roman"/>
          <w:sz w:val="24"/>
          <w:szCs w:val="24"/>
        </w:rPr>
        <w:t>ne sont de nature à suppléer l’absence de tout acte de naissance probant au sens de l’article </w:t>
      </w:r>
      <w:hyperlink r:id="rId8" w:history="1">
        <w:r w:rsidR="00FD23B1" w:rsidRPr="006449A5">
          <w:rPr>
            <w:rStyle w:val="Lienhypertexte"/>
            <w:rFonts w:ascii="Times New Roman" w:hAnsi="Times New Roman" w:cs="Times New Roman"/>
            <w:color w:val="auto"/>
            <w:sz w:val="24"/>
            <w:szCs w:val="24"/>
            <w:u w:val="none"/>
          </w:rPr>
          <w:t>47</w:t>
        </w:r>
      </w:hyperlink>
      <w:r w:rsidR="00FD23B1" w:rsidRPr="006449A5">
        <w:rPr>
          <w:rFonts w:ascii="Times New Roman" w:hAnsi="Times New Roman" w:cs="Times New Roman"/>
          <w:sz w:val="24"/>
          <w:szCs w:val="24"/>
        </w:rPr>
        <w:t xml:space="preserve"> du </w:t>
      </w:r>
      <w:r w:rsidR="007F1A4E" w:rsidRPr="006449A5">
        <w:rPr>
          <w:rFonts w:ascii="Times New Roman" w:hAnsi="Times New Roman" w:cs="Times New Roman"/>
          <w:sz w:val="24"/>
          <w:szCs w:val="24"/>
        </w:rPr>
        <w:t>C</w:t>
      </w:r>
      <w:r w:rsidR="00FD23B1" w:rsidRPr="006449A5">
        <w:rPr>
          <w:rFonts w:ascii="Times New Roman" w:hAnsi="Times New Roman" w:cs="Times New Roman"/>
          <w:sz w:val="24"/>
          <w:szCs w:val="24"/>
        </w:rPr>
        <w:t>ode civil.</w:t>
      </w:r>
      <w:r w:rsidR="00612EF4" w:rsidRPr="006449A5">
        <w:rPr>
          <w:rFonts w:ascii="Times New Roman" w:hAnsi="Times New Roman" w:cs="Times New Roman"/>
          <w:sz w:val="24"/>
          <w:szCs w:val="24"/>
        </w:rPr>
        <w:t xml:space="preserve"> </w:t>
      </w:r>
    </w:p>
    <w:p w14:paraId="1D11FCE6" w14:textId="5883994D" w:rsidR="00B77D3E" w:rsidRPr="006449A5" w:rsidRDefault="00B77D3E" w:rsidP="00B6181F">
      <w:pPr>
        <w:rPr>
          <w:rFonts w:ascii="Times New Roman" w:hAnsi="Times New Roman" w:cs="Times New Roman"/>
          <w:sz w:val="24"/>
          <w:szCs w:val="24"/>
        </w:rPr>
      </w:pPr>
      <w:r w:rsidRPr="006449A5">
        <w:rPr>
          <w:rFonts w:ascii="Times New Roman" w:hAnsi="Times New Roman" w:cs="Times New Roman"/>
          <w:sz w:val="24"/>
          <w:szCs w:val="24"/>
        </w:rPr>
        <w:t xml:space="preserve">D’un point de vue </w:t>
      </w:r>
      <w:proofErr w:type="spellStart"/>
      <w:r w:rsidRPr="006449A5">
        <w:rPr>
          <w:rFonts w:ascii="Times New Roman" w:hAnsi="Times New Roman" w:cs="Times New Roman"/>
          <w:sz w:val="24"/>
          <w:szCs w:val="24"/>
        </w:rPr>
        <w:t>décolonial</w:t>
      </w:r>
      <w:proofErr w:type="spellEnd"/>
      <w:r w:rsidRPr="006449A5">
        <w:rPr>
          <w:rFonts w:ascii="Times New Roman" w:hAnsi="Times New Roman" w:cs="Times New Roman"/>
          <w:sz w:val="24"/>
          <w:szCs w:val="24"/>
        </w:rPr>
        <w:t>, n</w:t>
      </w:r>
      <w:r w:rsidR="001427F5" w:rsidRPr="006449A5">
        <w:rPr>
          <w:rFonts w:ascii="Times New Roman" w:hAnsi="Times New Roman" w:cs="Times New Roman"/>
          <w:sz w:val="24"/>
          <w:szCs w:val="24"/>
        </w:rPr>
        <w:t xml:space="preserve">ous </w:t>
      </w:r>
      <w:r w:rsidRPr="006449A5">
        <w:rPr>
          <w:rFonts w:ascii="Times New Roman" w:hAnsi="Times New Roman" w:cs="Times New Roman"/>
          <w:sz w:val="24"/>
          <w:szCs w:val="24"/>
        </w:rPr>
        <w:t>pouvons relever trois points principau</w:t>
      </w:r>
      <w:r w:rsidR="001D2250" w:rsidRPr="006449A5">
        <w:rPr>
          <w:rFonts w:ascii="Times New Roman" w:hAnsi="Times New Roman" w:cs="Times New Roman"/>
          <w:sz w:val="24"/>
          <w:szCs w:val="24"/>
        </w:rPr>
        <w:t>x</w:t>
      </w:r>
      <w:r w:rsidR="009511C8" w:rsidRPr="006449A5">
        <w:rPr>
          <w:rFonts w:ascii="Times New Roman" w:hAnsi="Times New Roman" w:cs="Times New Roman"/>
          <w:sz w:val="24"/>
          <w:szCs w:val="24"/>
        </w:rPr>
        <w:t>.</w:t>
      </w:r>
    </w:p>
    <w:p w14:paraId="6A75D6A8" w14:textId="3785694A" w:rsidR="009511C8" w:rsidRPr="006449A5" w:rsidRDefault="00B77D3E" w:rsidP="00B6181F">
      <w:pPr>
        <w:rPr>
          <w:rFonts w:ascii="Times New Roman" w:hAnsi="Times New Roman" w:cs="Times New Roman"/>
          <w:sz w:val="24"/>
          <w:szCs w:val="24"/>
        </w:rPr>
      </w:pPr>
      <w:r w:rsidRPr="006449A5">
        <w:rPr>
          <w:rFonts w:ascii="Times New Roman" w:hAnsi="Times New Roman" w:cs="Times New Roman"/>
          <w:sz w:val="24"/>
          <w:szCs w:val="24"/>
        </w:rPr>
        <w:t xml:space="preserve">D’abord, </w:t>
      </w:r>
      <w:r w:rsidR="00783A12" w:rsidRPr="006449A5">
        <w:rPr>
          <w:rFonts w:ascii="Times New Roman" w:hAnsi="Times New Roman" w:cs="Times New Roman"/>
          <w:sz w:val="24"/>
          <w:szCs w:val="24"/>
        </w:rPr>
        <w:t xml:space="preserve">il s’agit d’un cas dans lequel, pragmatiquement, une préférence de traitement est accordée aux ressortissants d’une ancienne colonie française quant à l’acquisition de la nationalité française. </w:t>
      </w:r>
      <w:r w:rsidR="002F26E7" w:rsidRPr="002F26E7">
        <w:rPr>
          <w:rFonts w:ascii="Times New Roman" w:hAnsi="Times New Roman" w:cs="Times New Roman"/>
          <w:sz w:val="24"/>
          <w:szCs w:val="24"/>
        </w:rPr>
        <w:t>Cette préférence de traitement ne semble pas discriminatoire par rapport à la situation des ressortissants des anciennes colonies d’autres puissances européennes</w:t>
      </w:r>
      <w:r w:rsidR="002F26E7" w:rsidRPr="002F26E7">
        <w:rPr>
          <w:rFonts w:ascii="Times New Roman" w:hAnsi="Times New Roman" w:cs="Times New Roman"/>
          <w:sz w:val="24"/>
          <w:szCs w:val="24"/>
          <w:vertAlign w:val="superscript"/>
        </w:rPr>
        <w:footnoteReference w:id="94"/>
      </w:r>
      <w:r w:rsidR="002F26E7" w:rsidRPr="002F26E7">
        <w:rPr>
          <w:rFonts w:ascii="Times New Roman" w:hAnsi="Times New Roman" w:cs="Times New Roman"/>
          <w:sz w:val="24"/>
          <w:szCs w:val="24"/>
        </w:rPr>
        <w:t xml:space="preserve">. Une telle solution est conforme à l’approche </w:t>
      </w:r>
      <w:proofErr w:type="spellStart"/>
      <w:proofErr w:type="gramStart"/>
      <w:r w:rsidR="002F26E7" w:rsidRPr="002F26E7">
        <w:rPr>
          <w:rFonts w:ascii="Times New Roman" w:hAnsi="Times New Roman" w:cs="Times New Roman"/>
          <w:sz w:val="24"/>
          <w:szCs w:val="24"/>
        </w:rPr>
        <w:t>décoloniale</w:t>
      </w:r>
      <w:proofErr w:type="spellEnd"/>
      <w:r w:rsidR="002F26E7" w:rsidRPr="002F26E7">
        <w:rPr>
          <w:rFonts w:ascii="Times New Roman" w:hAnsi="Times New Roman" w:cs="Times New Roman"/>
          <w:sz w:val="24"/>
          <w:szCs w:val="24"/>
        </w:rPr>
        <w:t>:</w:t>
      </w:r>
      <w:proofErr w:type="gramEnd"/>
      <w:r w:rsidR="002F26E7" w:rsidRPr="002F26E7">
        <w:rPr>
          <w:rFonts w:ascii="Times New Roman" w:hAnsi="Times New Roman" w:cs="Times New Roman"/>
          <w:sz w:val="24"/>
          <w:szCs w:val="24"/>
        </w:rPr>
        <w:t xml:space="preserve"> il s’agit de reconnaitre la nationalité française d’une personne</w:t>
      </w:r>
      <w:r w:rsidR="002F26E7">
        <w:rPr>
          <w:rFonts w:ascii="Times New Roman" w:hAnsi="Times New Roman" w:cs="Times New Roman"/>
          <w:sz w:val="24"/>
          <w:szCs w:val="24"/>
        </w:rPr>
        <w:t xml:space="preserve"> </w:t>
      </w:r>
      <w:r w:rsidR="009511C8" w:rsidRPr="006449A5">
        <w:rPr>
          <w:rFonts w:ascii="Times New Roman" w:hAnsi="Times New Roman" w:cs="Times New Roman"/>
          <w:sz w:val="24"/>
          <w:szCs w:val="24"/>
        </w:rPr>
        <w:t xml:space="preserve">dont les ancêtres avaient la nationalité française du fait même de la colonisation. </w:t>
      </w:r>
    </w:p>
    <w:p w14:paraId="2288B2EE" w14:textId="09F56289" w:rsidR="007B4850" w:rsidRPr="006449A5" w:rsidRDefault="00B77D3E" w:rsidP="007B4850">
      <w:pPr>
        <w:rPr>
          <w:rFonts w:ascii="Times New Roman" w:hAnsi="Times New Roman" w:cs="Times New Roman"/>
          <w:sz w:val="24"/>
          <w:szCs w:val="24"/>
        </w:rPr>
      </w:pPr>
      <w:r w:rsidRPr="006449A5">
        <w:rPr>
          <w:rFonts w:ascii="Times New Roman" w:hAnsi="Times New Roman" w:cs="Times New Roman"/>
          <w:sz w:val="24"/>
          <w:szCs w:val="24"/>
        </w:rPr>
        <w:t>Ensuite</w:t>
      </w:r>
      <w:r w:rsidR="009511C8" w:rsidRPr="006449A5">
        <w:rPr>
          <w:rFonts w:ascii="Times New Roman" w:hAnsi="Times New Roman" w:cs="Times New Roman"/>
          <w:sz w:val="24"/>
          <w:szCs w:val="24"/>
        </w:rPr>
        <w:t xml:space="preserve">, exiger la production d’un acte de naissance alors que ce genre de document n’était apparemment pas habituellement délivré à l’époque dans cette région apparait potentiellement colonial. </w:t>
      </w:r>
      <w:r w:rsidR="009B6E39" w:rsidRPr="006449A5">
        <w:rPr>
          <w:rFonts w:ascii="Times New Roman" w:hAnsi="Times New Roman" w:cs="Times New Roman"/>
          <w:sz w:val="24"/>
          <w:szCs w:val="24"/>
        </w:rPr>
        <w:t xml:space="preserve">La possibilité de fournir un jugement supplétif en lieu et place de celui-ci permet dans doute de pallier ce manque de considération contextuelle. Néanmoins, pour que ledit jugement supplétif soit reconnu par la France, il doit répondre aux conditions prévues par la convention franco-béninoise de coopération judiciaire signée le 27 février 1975. Or, selon la Cour de </w:t>
      </w:r>
      <w:proofErr w:type="gramStart"/>
      <w:r w:rsidR="009B6E39" w:rsidRPr="006449A5">
        <w:rPr>
          <w:rFonts w:ascii="Times New Roman" w:hAnsi="Times New Roman" w:cs="Times New Roman"/>
          <w:sz w:val="24"/>
          <w:szCs w:val="24"/>
        </w:rPr>
        <w:t>Cassation</w:t>
      </w:r>
      <w:proofErr w:type="gramEnd"/>
      <w:r w:rsidR="009B6E39" w:rsidRPr="006449A5">
        <w:rPr>
          <w:rFonts w:ascii="Times New Roman" w:hAnsi="Times New Roman" w:cs="Times New Roman"/>
          <w:sz w:val="24"/>
          <w:szCs w:val="24"/>
        </w:rPr>
        <w:t xml:space="preserve">, ces conditions ne sont pas remplies, car le jugement n’a pas été </w:t>
      </w:r>
      <w:r w:rsidR="00B6181F" w:rsidRPr="006449A5">
        <w:rPr>
          <w:rFonts w:ascii="Times New Roman" w:hAnsi="Times New Roman" w:cs="Times New Roman"/>
          <w:sz w:val="24"/>
          <w:szCs w:val="24"/>
        </w:rPr>
        <w:t xml:space="preserve">délivré par le greffier en chef de la juridiction, </w:t>
      </w:r>
      <w:r w:rsidR="009B6E39" w:rsidRPr="006449A5">
        <w:rPr>
          <w:rFonts w:ascii="Times New Roman" w:hAnsi="Times New Roman" w:cs="Times New Roman"/>
          <w:sz w:val="24"/>
          <w:szCs w:val="24"/>
        </w:rPr>
        <w:t xml:space="preserve">n’est pas </w:t>
      </w:r>
      <w:r w:rsidR="00B6181F" w:rsidRPr="006449A5">
        <w:rPr>
          <w:rFonts w:ascii="Times New Roman" w:hAnsi="Times New Roman" w:cs="Times New Roman"/>
          <w:sz w:val="24"/>
          <w:szCs w:val="24"/>
        </w:rPr>
        <w:t xml:space="preserve">motivé et </w:t>
      </w:r>
      <w:r w:rsidR="009B6E39" w:rsidRPr="006449A5">
        <w:rPr>
          <w:rFonts w:ascii="Times New Roman" w:hAnsi="Times New Roman" w:cs="Times New Roman"/>
          <w:sz w:val="24"/>
          <w:szCs w:val="24"/>
        </w:rPr>
        <w:t xml:space="preserve">ne </w:t>
      </w:r>
      <w:r w:rsidR="00B6181F" w:rsidRPr="006449A5">
        <w:rPr>
          <w:rFonts w:ascii="Times New Roman" w:hAnsi="Times New Roman" w:cs="Times New Roman"/>
          <w:sz w:val="24"/>
          <w:szCs w:val="24"/>
        </w:rPr>
        <w:t>mentionn</w:t>
      </w:r>
      <w:r w:rsidR="009B6E39" w:rsidRPr="006449A5">
        <w:rPr>
          <w:rFonts w:ascii="Times New Roman" w:hAnsi="Times New Roman" w:cs="Times New Roman"/>
          <w:sz w:val="24"/>
          <w:szCs w:val="24"/>
        </w:rPr>
        <w:t>e pas</w:t>
      </w:r>
      <w:r w:rsidR="00B6181F" w:rsidRPr="006449A5">
        <w:rPr>
          <w:rFonts w:ascii="Times New Roman" w:hAnsi="Times New Roman" w:cs="Times New Roman"/>
          <w:sz w:val="24"/>
          <w:szCs w:val="24"/>
        </w:rPr>
        <w:t xml:space="preserve"> le nom du/ de la juge</w:t>
      </w:r>
      <w:r w:rsidR="009B6E39" w:rsidRPr="006449A5">
        <w:rPr>
          <w:rFonts w:ascii="Times New Roman" w:hAnsi="Times New Roman" w:cs="Times New Roman"/>
          <w:sz w:val="24"/>
          <w:szCs w:val="24"/>
        </w:rPr>
        <w:t>. A cet égard, il nous semble qu’une simple absence de respect des formalités ne devrait pas permettre d’écarter un tel jugement supplétif, mais pourrait conduire le juge à enjoindre les parties d’obtenir une correction du jugement de façon à le rendre conforme à la convention – si du moins aucun autre élément du dossier ne donne à penser que le jugement est un faux.</w:t>
      </w:r>
      <w:r w:rsidR="002F0F08" w:rsidRPr="006449A5">
        <w:rPr>
          <w:rFonts w:ascii="Times New Roman" w:hAnsi="Times New Roman" w:cs="Times New Roman"/>
          <w:sz w:val="24"/>
          <w:szCs w:val="24"/>
        </w:rPr>
        <w:t xml:space="preserve"> </w:t>
      </w:r>
      <w:r w:rsidR="002F0F08" w:rsidRPr="006449A5">
        <w:rPr>
          <w:rFonts w:ascii="Times New Roman" w:hAnsi="Times New Roman" w:cs="Times New Roman"/>
          <w:i/>
          <w:iCs/>
          <w:sz w:val="24"/>
          <w:szCs w:val="24"/>
        </w:rPr>
        <w:t>A fortiori</w:t>
      </w:r>
      <w:r w:rsidR="002F0F08" w:rsidRPr="006449A5">
        <w:rPr>
          <w:rFonts w:ascii="Times New Roman" w:hAnsi="Times New Roman" w:cs="Times New Roman"/>
          <w:sz w:val="24"/>
          <w:szCs w:val="24"/>
        </w:rPr>
        <w:t>, l</w:t>
      </w:r>
      <w:r w:rsidR="007B4850" w:rsidRPr="006449A5">
        <w:rPr>
          <w:rFonts w:ascii="Times New Roman" w:hAnsi="Times New Roman" w:cs="Times New Roman"/>
          <w:sz w:val="24"/>
          <w:szCs w:val="24"/>
        </w:rPr>
        <w:t xml:space="preserve">’on peut noter que, sous la nouvelle version de l’article 47 du </w:t>
      </w:r>
      <w:r w:rsidR="007F1A4E" w:rsidRPr="006449A5">
        <w:rPr>
          <w:rFonts w:ascii="Times New Roman" w:hAnsi="Times New Roman" w:cs="Times New Roman"/>
          <w:sz w:val="24"/>
          <w:szCs w:val="24"/>
        </w:rPr>
        <w:t>C</w:t>
      </w:r>
      <w:r w:rsidR="007B4850" w:rsidRPr="006449A5">
        <w:rPr>
          <w:rFonts w:ascii="Times New Roman" w:hAnsi="Times New Roman" w:cs="Times New Roman"/>
          <w:sz w:val="24"/>
          <w:szCs w:val="24"/>
        </w:rPr>
        <w:t xml:space="preserve">ode civil, </w:t>
      </w:r>
      <w:r w:rsidR="009B6E39" w:rsidRPr="006449A5">
        <w:rPr>
          <w:rFonts w:ascii="Times New Roman" w:hAnsi="Times New Roman" w:cs="Times New Roman"/>
          <w:sz w:val="24"/>
          <w:szCs w:val="24"/>
        </w:rPr>
        <w:t>les juges</w:t>
      </w:r>
      <w:r w:rsidR="007B4850" w:rsidRPr="006449A5">
        <w:rPr>
          <w:rFonts w:ascii="Times New Roman" w:hAnsi="Times New Roman" w:cs="Times New Roman"/>
          <w:sz w:val="24"/>
          <w:szCs w:val="24"/>
        </w:rPr>
        <w:t xml:space="preserve"> aurai</w:t>
      </w:r>
      <w:r w:rsidR="009B6E39" w:rsidRPr="006449A5">
        <w:rPr>
          <w:rFonts w:ascii="Times New Roman" w:hAnsi="Times New Roman" w:cs="Times New Roman"/>
          <w:sz w:val="24"/>
          <w:szCs w:val="24"/>
        </w:rPr>
        <w:t xml:space="preserve">ent </w:t>
      </w:r>
      <w:r w:rsidR="007B4850" w:rsidRPr="006449A5">
        <w:rPr>
          <w:rFonts w:ascii="Times New Roman" w:hAnsi="Times New Roman" w:cs="Times New Roman"/>
          <w:sz w:val="24"/>
          <w:szCs w:val="24"/>
        </w:rPr>
        <w:t xml:space="preserve">pu brandir la formule nébuleuse selon laquelle, en tous les cas, </w:t>
      </w:r>
      <w:r w:rsidR="007B0800" w:rsidRPr="006449A5">
        <w:rPr>
          <w:rFonts w:ascii="Times New Roman" w:hAnsi="Times New Roman" w:cs="Times New Roman"/>
          <w:sz w:val="24"/>
          <w:szCs w:val="24"/>
        </w:rPr>
        <w:t xml:space="preserve">« la réalité » de la nationalité doit être « appréciée au regard de la loi française » - une question qui ne relève plus de la preuve de l’acte établissant la nationalité mais de l’existence elle-même du statut. </w:t>
      </w:r>
      <w:r w:rsidR="0014779F" w:rsidRPr="006449A5">
        <w:rPr>
          <w:rFonts w:ascii="Times New Roman" w:hAnsi="Times New Roman" w:cs="Times New Roman"/>
          <w:sz w:val="24"/>
          <w:szCs w:val="24"/>
        </w:rPr>
        <w:t>C’est une raison pour laquelle cet ajout a été fortement critiqué</w:t>
      </w:r>
      <w:r w:rsidR="0014779F" w:rsidRPr="006449A5">
        <w:rPr>
          <w:rStyle w:val="Appelnotedebasdep"/>
          <w:rFonts w:ascii="Times New Roman" w:hAnsi="Times New Roman" w:cs="Times New Roman"/>
          <w:sz w:val="24"/>
          <w:szCs w:val="24"/>
        </w:rPr>
        <w:footnoteReference w:id="95"/>
      </w:r>
      <w:r w:rsidR="0014779F" w:rsidRPr="006449A5">
        <w:rPr>
          <w:rFonts w:ascii="Times New Roman" w:hAnsi="Times New Roman" w:cs="Times New Roman"/>
          <w:sz w:val="24"/>
          <w:szCs w:val="24"/>
        </w:rPr>
        <w:t xml:space="preserve">. D’un point de vue </w:t>
      </w:r>
      <w:proofErr w:type="spellStart"/>
      <w:r w:rsidR="0014779F" w:rsidRPr="006449A5">
        <w:rPr>
          <w:rFonts w:ascii="Times New Roman" w:hAnsi="Times New Roman" w:cs="Times New Roman"/>
          <w:sz w:val="24"/>
          <w:szCs w:val="24"/>
        </w:rPr>
        <w:t>décolonial</w:t>
      </w:r>
      <w:proofErr w:type="spellEnd"/>
      <w:r w:rsidR="0014779F" w:rsidRPr="006449A5">
        <w:rPr>
          <w:rFonts w:ascii="Times New Roman" w:hAnsi="Times New Roman" w:cs="Times New Roman"/>
          <w:sz w:val="24"/>
          <w:szCs w:val="24"/>
        </w:rPr>
        <w:t>, il faudrait certainement éviter de soumettre la preuve de la nationalité aux standards du for et préférer les standards de l’</w:t>
      </w:r>
      <w:r w:rsidR="007F1A4E" w:rsidRPr="006449A5">
        <w:rPr>
          <w:rFonts w:ascii="Times New Roman" w:hAnsi="Times New Roman" w:cs="Times New Roman"/>
          <w:sz w:val="24"/>
          <w:szCs w:val="24"/>
        </w:rPr>
        <w:t>État</w:t>
      </w:r>
      <w:r w:rsidR="0014779F" w:rsidRPr="006449A5">
        <w:rPr>
          <w:rFonts w:ascii="Times New Roman" w:hAnsi="Times New Roman" w:cs="Times New Roman"/>
          <w:sz w:val="24"/>
          <w:szCs w:val="24"/>
        </w:rPr>
        <w:t xml:space="preserve"> postcolonial concerné.  </w:t>
      </w:r>
    </w:p>
    <w:p w14:paraId="588627A3" w14:textId="0D748492" w:rsidR="00D71EF0" w:rsidRPr="006449A5" w:rsidRDefault="00B77D3E" w:rsidP="00B6181F">
      <w:pPr>
        <w:rPr>
          <w:rFonts w:ascii="Times New Roman" w:hAnsi="Times New Roman" w:cs="Times New Roman"/>
          <w:sz w:val="24"/>
          <w:szCs w:val="24"/>
        </w:rPr>
      </w:pPr>
      <w:r w:rsidRPr="006449A5">
        <w:rPr>
          <w:rFonts w:ascii="Times New Roman" w:hAnsi="Times New Roman" w:cs="Times New Roman"/>
          <w:sz w:val="24"/>
          <w:szCs w:val="24"/>
        </w:rPr>
        <w:t xml:space="preserve">Enfin, </w:t>
      </w:r>
      <w:r w:rsidR="007B4850" w:rsidRPr="006449A5">
        <w:rPr>
          <w:rFonts w:ascii="Times New Roman" w:hAnsi="Times New Roman" w:cs="Times New Roman"/>
          <w:sz w:val="24"/>
          <w:szCs w:val="24"/>
        </w:rPr>
        <w:t xml:space="preserve">l’analyse </w:t>
      </w:r>
      <w:proofErr w:type="spellStart"/>
      <w:r w:rsidR="007B4850" w:rsidRPr="006449A5">
        <w:rPr>
          <w:rFonts w:ascii="Times New Roman" w:hAnsi="Times New Roman" w:cs="Times New Roman"/>
          <w:sz w:val="24"/>
          <w:szCs w:val="24"/>
        </w:rPr>
        <w:t>décoloniale</w:t>
      </w:r>
      <w:proofErr w:type="spellEnd"/>
      <w:r w:rsidR="001D1E6F" w:rsidRPr="006449A5">
        <w:rPr>
          <w:rFonts w:ascii="Times New Roman" w:hAnsi="Times New Roman" w:cs="Times New Roman"/>
          <w:sz w:val="24"/>
          <w:szCs w:val="24"/>
        </w:rPr>
        <w:t xml:space="preserve"> nous amène à questionner le raisonnement du juge </w:t>
      </w:r>
      <w:r w:rsidR="002F0F08" w:rsidRPr="006449A5">
        <w:rPr>
          <w:rFonts w:ascii="Times New Roman" w:hAnsi="Times New Roman" w:cs="Times New Roman"/>
          <w:sz w:val="24"/>
          <w:szCs w:val="24"/>
        </w:rPr>
        <w:t>quant au droit applicable</w:t>
      </w:r>
      <w:r w:rsidR="001D1E6F" w:rsidRPr="006449A5">
        <w:rPr>
          <w:rFonts w:ascii="Times New Roman" w:hAnsi="Times New Roman" w:cs="Times New Roman"/>
          <w:sz w:val="24"/>
          <w:szCs w:val="24"/>
        </w:rPr>
        <w:t xml:space="preserve">. En l’espèce, le juge s’est écarté des règles de </w:t>
      </w:r>
      <w:r w:rsidR="007B4850" w:rsidRPr="006449A5">
        <w:rPr>
          <w:rFonts w:ascii="Times New Roman" w:hAnsi="Times New Roman" w:cs="Times New Roman"/>
          <w:sz w:val="24"/>
          <w:szCs w:val="24"/>
        </w:rPr>
        <w:t>DIP pertinentes</w:t>
      </w:r>
      <w:r w:rsidR="001D1E6F" w:rsidRPr="006449A5">
        <w:rPr>
          <w:rFonts w:ascii="Times New Roman" w:hAnsi="Times New Roman" w:cs="Times New Roman"/>
          <w:sz w:val="24"/>
          <w:szCs w:val="24"/>
        </w:rPr>
        <w:t xml:space="preserve"> pour appliquer les règles du for. Pour rappel, afin de déterminer le lien de filiation entre le père et le grand-père, le juge a considéré que la coutume du Dahomey s’appliquait et renvoyait aux « usages » en vigueur durant la période coloniale. Or, ces usages couvrent l’établissement de la filiation naturelle paternelle par la mention du nom du père dans l’acte de naissance sur la simple affirmation de la mère ou d’une sage-femme. Au lieu de choisir l’usage de la sage-femme, qui aurait permis d’établir la filiation, le juge a considéré que le seul usage valable était celui de la mention du nom du père par la mère (peut-être parce </w:t>
      </w:r>
      <w:r w:rsidR="002F26E7">
        <w:rPr>
          <w:rFonts w:ascii="Times New Roman" w:hAnsi="Times New Roman" w:cs="Times New Roman"/>
          <w:sz w:val="24"/>
          <w:szCs w:val="24"/>
        </w:rPr>
        <w:t xml:space="preserve">que cet usage </w:t>
      </w:r>
      <w:r w:rsidR="001D1E6F" w:rsidRPr="006449A5">
        <w:rPr>
          <w:rFonts w:ascii="Times New Roman" w:hAnsi="Times New Roman" w:cs="Times New Roman"/>
          <w:sz w:val="24"/>
          <w:szCs w:val="24"/>
        </w:rPr>
        <w:t xml:space="preserve">était dominant ?). Dès lors, pour reconnaitre la filiation établie par la sage-femme, le juge s’est référé au droit français en vigueur avant l’indépendance. Il a ainsi jugé bon de se référer au droit français parce que le </w:t>
      </w:r>
      <w:r w:rsidR="001D1E6F" w:rsidRPr="006449A5">
        <w:rPr>
          <w:rFonts w:ascii="Times New Roman" w:hAnsi="Times New Roman" w:cs="Times New Roman"/>
          <w:sz w:val="24"/>
          <w:szCs w:val="24"/>
        </w:rPr>
        <w:lastRenderedPageBreak/>
        <w:t>droit coutumier normalement applicable renvoie à des usages pluriels. Mais une norme peut être plurielle tout en restant une norme. Seule l’épistémologie juridique occidentale requiert qu’une seule norme s’applique de la même manière à tous</w:t>
      </w:r>
      <w:r w:rsidR="007B4850" w:rsidRPr="006449A5">
        <w:rPr>
          <w:rFonts w:ascii="Times New Roman" w:hAnsi="Times New Roman" w:cs="Times New Roman"/>
          <w:sz w:val="24"/>
          <w:szCs w:val="24"/>
        </w:rPr>
        <w:t xml:space="preserve">. </w:t>
      </w:r>
      <w:r w:rsidR="001D2250" w:rsidRPr="006449A5">
        <w:rPr>
          <w:rFonts w:ascii="Times New Roman" w:hAnsi="Times New Roman" w:cs="Times New Roman"/>
          <w:sz w:val="24"/>
          <w:szCs w:val="24"/>
        </w:rPr>
        <w:t xml:space="preserve">A tout le moins, dans ce cas-ci, l’on peut saluer le fait que la référence au droit français permette la reconnaissance de la validité de l’acte de naissance. </w:t>
      </w:r>
    </w:p>
    <w:p w14:paraId="3E375931" w14:textId="701977A7" w:rsidR="00702079" w:rsidRPr="006449A5" w:rsidRDefault="00702079" w:rsidP="00294B34">
      <w:pPr>
        <w:rPr>
          <w:rFonts w:ascii="Times New Roman" w:hAnsi="Times New Roman" w:cs="Times New Roman"/>
          <w:sz w:val="28"/>
          <w:szCs w:val="28"/>
          <w:u w:val="single"/>
        </w:rPr>
      </w:pPr>
      <w:r w:rsidRPr="006449A5">
        <w:rPr>
          <w:rFonts w:ascii="Times New Roman" w:hAnsi="Times New Roman" w:cs="Times New Roman"/>
          <w:sz w:val="28"/>
          <w:szCs w:val="28"/>
          <w:u w:val="single"/>
        </w:rPr>
        <w:t>Belgique</w:t>
      </w:r>
      <w:r w:rsidR="008D2306" w:rsidRPr="006449A5">
        <w:rPr>
          <w:rFonts w:ascii="Times New Roman" w:hAnsi="Times New Roman" w:cs="Times New Roman"/>
          <w:sz w:val="28"/>
          <w:szCs w:val="28"/>
          <w:u w:val="single"/>
        </w:rPr>
        <w:t xml:space="preserve"> : Trib. </w:t>
      </w:r>
      <w:proofErr w:type="spellStart"/>
      <w:r w:rsidR="008D2306" w:rsidRPr="006449A5">
        <w:rPr>
          <w:rFonts w:ascii="Times New Roman" w:hAnsi="Times New Roman" w:cs="Times New Roman"/>
          <w:sz w:val="28"/>
          <w:szCs w:val="28"/>
          <w:u w:val="single"/>
        </w:rPr>
        <w:t>fam</w:t>
      </w:r>
      <w:proofErr w:type="spellEnd"/>
      <w:r w:rsidR="008D2306" w:rsidRPr="006449A5">
        <w:rPr>
          <w:rFonts w:ascii="Times New Roman" w:hAnsi="Times New Roman" w:cs="Times New Roman"/>
          <w:sz w:val="28"/>
          <w:szCs w:val="28"/>
          <w:u w:val="single"/>
        </w:rPr>
        <w:t>. Liège (div. Liège) (10e ch.) n° 18/522/B, 25 mai 2018</w:t>
      </w:r>
      <w:r w:rsidR="000A11BC" w:rsidRPr="006449A5">
        <w:rPr>
          <w:rStyle w:val="Appelnotedebasdep"/>
          <w:rFonts w:ascii="Times New Roman" w:hAnsi="Times New Roman" w:cs="Times New Roman"/>
          <w:sz w:val="28"/>
          <w:szCs w:val="28"/>
          <w:u w:val="single"/>
        </w:rPr>
        <w:footnoteReference w:id="96"/>
      </w:r>
    </w:p>
    <w:p w14:paraId="067D18CC" w14:textId="027FAEF3" w:rsidR="009055AC" w:rsidRPr="006449A5" w:rsidRDefault="009055AC" w:rsidP="009055AC">
      <w:pPr>
        <w:rPr>
          <w:rFonts w:ascii="Times New Roman" w:hAnsi="Times New Roman" w:cs="Times New Roman"/>
          <w:iCs/>
          <w:sz w:val="24"/>
          <w:szCs w:val="24"/>
        </w:rPr>
      </w:pPr>
      <w:r w:rsidRPr="006449A5">
        <w:rPr>
          <w:rFonts w:ascii="Times New Roman" w:hAnsi="Times New Roman" w:cs="Times New Roman"/>
          <w:iCs/>
          <w:sz w:val="24"/>
          <w:szCs w:val="24"/>
        </w:rPr>
        <w:t>Cette affaire concerne une demande de reconnaissance d'un mariage coutumier entre deux Somaliens ayant fui la Somalie, par les autorités belges, alors que l'un des époux était âgé de 14 ans au moment du mariage</w:t>
      </w:r>
      <w:r w:rsidRPr="006449A5">
        <w:rPr>
          <w:rFonts w:ascii="Times New Roman" w:hAnsi="Times New Roman" w:cs="Times New Roman"/>
          <w:iCs/>
          <w:sz w:val="24"/>
          <w:szCs w:val="24"/>
          <w:vertAlign w:val="superscript"/>
        </w:rPr>
        <w:footnoteReference w:id="97"/>
      </w:r>
      <w:r w:rsidR="005B3D23" w:rsidRPr="006449A5">
        <w:rPr>
          <w:rFonts w:ascii="Times New Roman" w:hAnsi="Times New Roman" w:cs="Times New Roman"/>
          <w:iCs/>
          <w:sz w:val="24"/>
          <w:szCs w:val="24"/>
        </w:rPr>
        <w:t xml:space="preserve">. </w:t>
      </w:r>
      <w:r w:rsidRPr="006449A5">
        <w:rPr>
          <w:rFonts w:ascii="Times New Roman" w:hAnsi="Times New Roman" w:cs="Times New Roman"/>
          <w:iCs/>
          <w:sz w:val="24"/>
          <w:szCs w:val="24"/>
        </w:rPr>
        <w:t xml:space="preserve">Cette demande est introduite à l'encontre du procureur général, dans le cadre de la demande de visa de regroupement familial introduite auprès de l'Office des étrangers, l'un des époux (le plus âgé) ayant acquis le statut de réfugié en </w:t>
      </w:r>
      <w:r w:rsidR="00603C17">
        <w:rPr>
          <w:rFonts w:ascii="Times New Roman" w:hAnsi="Times New Roman" w:cs="Times New Roman"/>
          <w:iCs/>
          <w:sz w:val="24"/>
          <w:szCs w:val="24"/>
        </w:rPr>
        <w:t>Belgique, où il était arrivé en septembre 2015, en mars 2016</w:t>
      </w:r>
      <w:r w:rsidRPr="006449A5">
        <w:rPr>
          <w:rFonts w:ascii="Times New Roman" w:hAnsi="Times New Roman" w:cs="Times New Roman"/>
          <w:iCs/>
          <w:sz w:val="24"/>
          <w:szCs w:val="24"/>
        </w:rPr>
        <w:t xml:space="preserve">. L'Office des étrangers ayant refusé d'accorder le visa en raison de la non-reconnaissance du mariage, le couple a porté l'affaire devant le tribunal </w:t>
      </w:r>
      <w:r w:rsidR="005B3D23" w:rsidRPr="006449A5">
        <w:rPr>
          <w:rFonts w:ascii="Times New Roman" w:hAnsi="Times New Roman" w:cs="Times New Roman"/>
          <w:iCs/>
          <w:sz w:val="24"/>
          <w:szCs w:val="24"/>
        </w:rPr>
        <w:t>de la famille</w:t>
      </w:r>
      <w:r w:rsidRPr="006449A5">
        <w:rPr>
          <w:rFonts w:ascii="Times New Roman" w:hAnsi="Times New Roman" w:cs="Times New Roman"/>
          <w:iCs/>
          <w:sz w:val="24"/>
          <w:szCs w:val="24"/>
        </w:rPr>
        <w:t xml:space="preserve"> compétent. </w:t>
      </w:r>
    </w:p>
    <w:p w14:paraId="082D05E8" w14:textId="0FA96025" w:rsidR="009055AC" w:rsidRPr="006449A5" w:rsidRDefault="009055AC" w:rsidP="009055AC">
      <w:pPr>
        <w:rPr>
          <w:rFonts w:ascii="Times New Roman" w:hAnsi="Times New Roman" w:cs="Times New Roman"/>
          <w:iCs/>
          <w:sz w:val="24"/>
          <w:szCs w:val="24"/>
        </w:rPr>
      </w:pPr>
      <w:r w:rsidRPr="006449A5">
        <w:rPr>
          <w:rFonts w:ascii="Times New Roman" w:hAnsi="Times New Roman" w:cs="Times New Roman"/>
          <w:iCs/>
          <w:sz w:val="24"/>
          <w:szCs w:val="24"/>
        </w:rPr>
        <w:t>Selon le Code belge de DIP</w:t>
      </w:r>
      <w:r w:rsidR="005B3D23" w:rsidRPr="006449A5">
        <w:rPr>
          <w:rFonts w:ascii="Times New Roman" w:hAnsi="Times New Roman" w:cs="Times New Roman"/>
          <w:iCs/>
          <w:sz w:val="24"/>
          <w:szCs w:val="24"/>
          <w:vertAlign w:val="superscript"/>
        </w:rPr>
        <w:footnoteReference w:id="98"/>
      </w:r>
      <w:r w:rsidRPr="006449A5">
        <w:rPr>
          <w:rFonts w:ascii="Times New Roman" w:hAnsi="Times New Roman" w:cs="Times New Roman"/>
          <w:iCs/>
          <w:sz w:val="24"/>
          <w:szCs w:val="24"/>
        </w:rPr>
        <w:t>, les conditions de fond et de forme de la validité d'un mariage sont soumises respectivement à la loi de l'État de nationalité des époux au moment de la célébration du mariage (art. 46) et à la loi de l'État sur le territoire duquel le mariage a été célébré (art. 47). En l'espèce, ces deux dispositions désignent la loi somalienne. Lorsque les conditions de forme, à savoir si et comment l'acte de mariage doit être établi et transcrit ou enregistré, sont régies par une loi étrangère (comme la loi somalienne) et que ces conditions sont remplies, l'acte de mariage est reconnu en Belgique par toute autorité, sans qu'aucune procédure ne soit nécessaire (art. 27§1).</w:t>
      </w:r>
      <w:r w:rsidR="007D2C66" w:rsidRPr="007D2C66">
        <w:rPr>
          <w:rFonts w:ascii="Segoe UI" w:hAnsi="Segoe UI" w:cs="Segoe UI"/>
          <w:sz w:val="18"/>
          <w:szCs w:val="18"/>
        </w:rPr>
        <w:t xml:space="preserve"> </w:t>
      </w:r>
      <w:r w:rsidR="007D2C66" w:rsidRPr="007D2C66">
        <w:rPr>
          <w:rFonts w:ascii="Times New Roman" w:hAnsi="Times New Roman" w:cs="Times New Roman"/>
          <w:iCs/>
          <w:sz w:val="24"/>
          <w:szCs w:val="24"/>
        </w:rPr>
        <w:t>Toutefois, même lorsque les conditions de fond et de forme prévues par la loi étrangère applicable sont remplies, l'acte de mariage établi à l'étranger doit également satisfaire aux conditions du Code régissant la forme des actes pour constituer une preuve fiable du mariage en Belgique (art.</w:t>
      </w:r>
      <w:r w:rsidR="007D2C66">
        <w:rPr>
          <w:rFonts w:ascii="Times New Roman" w:hAnsi="Times New Roman" w:cs="Times New Roman"/>
          <w:iCs/>
          <w:sz w:val="24"/>
          <w:szCs w:val="24"/>
        </w:rPr>
        <w:t xml:space="preserve"> </w:t>
      </w:r>
      <w:r w:rsidR="007D2C66" w:rsidRPr="007D2C66">
        <w:rPr>
          <w:rFonts w:ascii="Times New Roman" w:hAnsi="Times New Roman" w:cs="Times New Roman"/>
          <w:iCs/>
          <w:sz w:val="24"/>
          <w:szCs w:val="24"/>
        </w:rPr>
        <w:t>28§1)</w:t>
      </w:r>
      <w:r w:rsidR="007D2C66">
        <w:rPr>
          <w:rFonts w:ascii="Times New Roman" w:hAnsi="Times New Roman" w:cs="Times New Roman"/>
          <w:iCs/>
          <w:sz w:val="24"/>
          <w:szCs w:val="24"/>
        </w:rPr>
        <w:t xml:space="preserve">. </w:t>
      </w:r>
      <w:r w:rsidRPr="006449A5">
        <w:rPr>
          <w:rFonts w:ascii="Times New Roman" w:hAnsi="Times New Roman" w:cs="Times New Roman"/>
          <w:iCs/>
          <w:sz w:val="24"/>
          <w:szCs w:val="24"/>
        </w:rPr>
        <w:t xml:space="preserve">À cet égard, l'article 30 du code prévoit que l'acte de mariage doit être légalisé, une formalité administrative à accomplir par une autorité belge qui ne confère aucune authenticité au contenu de l'acte mais lui donne la force probante requise pour son utilisation en Belgique. En outre, le juge peut refuser la reconnaissance du mariage en se fondant sur l'exception d'ordre public. </w:t>
      </w:r>
      <w:bookmarkStart w:id="32" w:name="_Hlk165631750"/>
      <w:r w:rsidR="007D2C66">
        <w:rPr>
          <w:rFonts w:ascii="Times New Roman" w:hAnsi="Times New Roman" w:cs="Times New Roman"/>
          <w:iCs/>
          <w:sz w:val="24"/>
          <w:szCs w:val="24"/>
        </w:rPr>
        <w:t>L</w:t>
      </w:r>
      <w:r w:rsidRPr="006449A5">
        <w:rPr>
          <w:rFonts w:ascii="Times New Roman" w:hAnsi="Times New Roman" w:cs="Times New Roman"/>
          <w:iCs/>
          <w:sz w:val="24"/>
          <w:szCs w:val="24"/>
        </w:rPr>
        <w:t xml:space="preserve">'article </w:t>
      </w:r>
      <w:r w:rsidR="005B3D23" w:rsidRPr="006449A5">
        <w:rPr>
          <w:rFonts w:ascii="Times New Roman" w:hAnsi="Times New Roman" w:cs="Times New Roman"/>
          <w:iCs/>
          <w:sz w:val="24"/>
          <w:szCs w:val="24"/>
        </w:rPr>
        <w:t>21</w:t>
      </w:r>
      <w:r w:rsidRPr="006449A5">
        <w:rPr>
          <w:rFonts w:ascii="Times New Roman" w:hAnsi="Times New Roman" w:cs="Times New Roman"/>
          <w:iCs/>
          <w:sz w:val="24"/>
          <w:szCs w:val="24"/>
        </w:rPr>
        <w:t xml:space="preserve"> du Code explique l'application de l'exception d'ordre public en Belgique comme suit : </w:t>
      </w:r>
    </w:p>
    <w:p w14:paraId="424846CF" w14:textId="266DC440" w:rsidR="009055AC" w:rsidRPr="006449A5" w:rsidRDefault="005B3D23" w:rsidP="009055AC">
      <w:pPr>
        <w:rPr>
          <w:iCs/>
        </w:rPr>
      </w:pPr>
      <w:r w:rsidRPr="006449A5">
        <w:rPr>
          <w:rFonts w:ascii="Times New Roman" w:hAnsi="Times New Roman" w:cs="Times New Roman"/>
          <w:iCs/>
          <w:sz w:val="24"/>
          <w:szCs w:val="24"/>
        </w:rPr>
        <w:t xml:space="preserve">« L'application d'une disposition du droit étranger désigné par la présente loi est écartée dans la mesure où elle produirait un effet manifestement incompatible avec l'ordre public. Cette incompatibilité s'apprécie en tenant compte, notamment, de l'intensité du rattachement de la situation avec l'ordre juridique belge et de la gravité de l'effet que produirait l'application de </w:t>
      </w:r>
      <w:r w:rsidRPr="006449A5">
        <w:rPr>
          <w:rFonts w:ascii="Times New Roman" w:hAnsi="Times New Roman" w:cs="Times New Roman"/>
          <w:iCs/>
          <w:sz w:val="24"/>
          <w:szCs w:val="24"/>
        </w:rPr>
        <w:lastRenderedPageBreak/>
        <w:t>ce droit étranger.</w:t>
      </w:r>
      <w:r w:rsidRPr="006449A5">
        <w:rPr>
          <w:iCs/>
        </w:rPr>
        <w:t xml:space="preserve"> </w:t>
      </w:r>
      <w:r w:rsidRPr="006449A5">
        <w:rPr>
          <w:rFonts w:ascii="Times New Roman" w:hAnsi="Times New Roman" w:cs="Times New Roman"/>
          <w:iCs/>
          <w:sz w:val="24"/>
          <w:szCs w:val="24"/>
        </w:rPr>
        <w:t>Lorsqu'une disposition du droit étranger n'est pas appliquée en raison de cette incompatibilité, une autre disposition pertinente de ce droit ou, au besoin, du droit belge, est appliquée</w:t>
      </w:r>
      <w:r w:rsidR="009F59B0" w:rsidRPr="006449A5">
        <w:rPr>
          <w:rFonts w:ascii="Times New Roman" w:hAnsi="Times New Roman" w:cs="Times New Roman"/>
          <w:iCs/>
          <w:sz w:val="24"/>
          <w:szCs w:val="24"/>
        </w:rPr>
        <w:t xml:space="preserve"> </w:t>
      </w:r>
      <w:r w:rsidRPr="006449A5">
        <w:rPr>
          <w:rFonts w:ascii="Times New Roman" w:hAnsi="Times New Roman" w:cs="Times New Roman"/>
          <w:iCs/>
          <w:sz w:val="24"/>
          <w:szCs w:val="24"/>
        </w:rPr>
        <w:t>»</w:t>
      </w:r>
      <w:r w:rsidR="009F59B0" w:rsidRPr="006449A5">
        <w:rPr>
          <w:rFonts w:ascii="Times New Roman" w:hAnsi="Times New Roman" w:cs="Times New Roman"/>
          <w:iCs/>
          <w:sz w:val="24"/>
          <w:szCs w:val="24"/>
        </w:rPr>
        <w:t>.</w:t>
      </w:r>
    </w:p>
    <w:bookmarkEnd w:id="32"/>
    <w:p w14:paraId="69D14F82" w14:textId="07A479D1" w:rsidR="009055AC" w:rsidRPr="006449A5" w:rsidRDefault="009055AC" w:rsidP="009055AC">
      <w:pPr>
        <w:rPr>
          <w:rFonts w:ascii="Times New Roman" w:hAnsi="Times New Roman" w:cs="Times New Roman"/>
          <w:iCs/>
          <w:sz w:val="24"/>
          <w:szCs w:val="24"/>
        </w:rPr>
      </w:pPr>
      <w:r w:rsidRPr="006449A5">
        <w:rPr>
          <w:rFonts w:ascii="Times New Roman" w:hAnsi="Times New Roman" w:cs="Times New Roman"/>
          <w:iCs/>
          <w:sz w:val="24"/>
          <w:szCs w:val="24"/>
        </w:rPr>
        <w:t xml:space="preserve">La Somalie, colonisée par l'Italie et le Royaume-Uni, est un État </w:t>
      </w:r>
      <w:r w:rsidR="009F59B0" w:rsidRPr="006449A5">
        <w:rPr>
          <w:rFonts w:ascii="Times New Roman" w:hAnsi="Times New Roman" w:cs="Times New Roman"/>
          <w:iCs/>
          <w:sz w:val="24"/>
          <w:szCs w:val="24"/>
        </w:rPr>
        <w:t xml:space="preserve">« </w:t>
      </w:r>
      <w:r w:rsidRPr="006449A5">
        <w:rPr>
          <w:rFonts w:ascii="Times New Roman" w:hAnsi="Times New Roman" w:cs="Times New Roman"/>
          <w:iCs/>
          <w:sz w:val="24"/>
          <w:szCs w:val="24"/>
        </w:rPr>
        <w:t>effondré</w:t>
      </w:r>
      <w:r w:rsidR="009F59B0" w:rsidRPr="006449A5">
        <w:rPr>
          <w:rFonts w:ascii="Times New Roman" w:hAnsi="Times New Roman" w:cs="Times New Roman"/>
          <w:iCs/>
          <w:sz w:val="24"/>
          <w:szCs w:val="24"/>
        </w:rPr>
        <w:t xml:space="preserve"> »</w:t>
      </w:r>
      <w:r w:rsidRPr="006449A5">
        <w:rPr>
          <w:rFonts w:ascii="Times New Roman" w:hAnsi="Times New Roman" w:cs="Times New Roman"/>
          <w:iCs/>
          <w:sz w:val="24"/>
          <w:szCs w:val="24"/>
        </w:rPr>
        <w:t xml:space="preserve"> depuis 1991, où le droit coutumier, appelé </w:t>
      </w:r>
      <w:proofErr w:type="spellStart"/>
      <w:r w:rsidRPr="006449A5">
        <w:rPr>
          <w:rFonts w:ascii="Times New Roman" w:hAnsi="Times New Roman" w:cs="Times New Roman"/>
          <w:i/>
          <w:sz w:val="24"/>
          <w:szCs w:val="24"/>
        </w:rPr>
        <w:t>Xeer</w:t>
      </w:r>
      <w:proofErr w:type="spellEnd"/>
      <w:r w:rsidRPr="006449A5">
        <w:rPr>
          <w:rFonts w:ascii="Times New Roman" w:hAnsi="Times New Roman" w:cs="Times New Roman"/>
          <w:iCs/>
          <w:sz w:val="24"/>
          <w:szCs w:val="24"/>
        </w:rPr>
        <w:t xml:space="preserve">, qui régissait la société avant l'arrivée des colons, a depuis repris une place prépondérante dans l'organisation de la vie des habitants. Il comprend ses propres lois et mécanismes de résolution des conflits. Il est intéressant de noter que le système </w:t>
      </w:r>
      <w:proofErr w:type="spellStart"/>
      <w:r w:rsidRPr="006449A5">
        <w:rPr>
          <w:rFonts w:ascii="Times New Roman" w:hAnsi="Times New Roman" w:cs="Times New Roman"/>
          <w:iCs/>
          <w:sz w:val="24"/>
          <w:szCs w:val="24"/>
        </w:rPr>
        <w:t>Xeer</w:t>
      </w:r>
      <w:proofErr w:type="spellEnd"/>
      <w:r w:rsidRPr="006449A5">
        <w:rPr>
          <w:rFonts w:ascii="Times New Roman" w:hAnsi="Times New Roman" w:cs="Times New Roman"/>
          <w:iCs/>
          <w:sz w:val="24"/>
          <w:szCs w:val="24"/>
        </w:rPr>
        <w:t xml:space="preserve"> lui-même apparaît pluraliste, dans la mesure où il se divise en </w:t>
      </w:r>
      <w:proofErr w:type="spellStart"/>
      <w:r w:rsidRPr="006449A5">
        <w:rPr>
          <w:rFonts w:ascii="Times New Roman" w:hAnsi="Times New Roman" w:cs="Times New Roman"/>
          <w:iCs/>
          <w:sz w:val="24"/>
          <w:szCs w:val="24"/>
        </w:rPr>
        <w:t>Xeer</w:t>
      </w:r>
      <w:proofErr w:type="spellEnd"/>
      <w:r w:rsidRPr="006449A5">
        <w:rPr>
          <w:rFonts w:ascii="Times New Roman" w:hAnsi="Times New Roman" w:cs="Times New Roman"/>
          <w:iCs/>
          <w:sz w:val="24"/>
          <w:szCs w:val="24"/>
        </w:rPr>
        <w:t xml:space="preserve"> </w:t>
      </w:r>
      <w:proofErr w:type="spellStart"/>
      <w:r w:rsidRPr="006449A5">
        <w:rPr>
          <w:rFonts w:ascii="Times New Roman" w:hAnsi="Times New Roman" w:cs="Times New Roman"/>
          <w:i/>
          <w:sz w:val="24"/>
          <w:szCs w:val="24"/>
        </w:rPr>
        <w:t>guud</w:t>
      </w:r>
      <w:proofErr w:type="spellEnd"/>
      <w:r w:rsidRPr="006449A5">
        <w:rPr>
          <w:rFonts w:ascii="Times New Roman" w:hAnsi="Times New Roman" w:cs="Times New Roman"/>
          <w:i/>
          <w:sz w:val="24"/>
          <w:szCs w:val="24"/>
        </w:rPr>
        <w:t xml:space="preserve"> </w:t>
      </w:r>
      <w:r w:rsidRPr="006449A5">
        <w:rPr>
          <w:rFonts w:ascii="Times New Roman" w:hAnsi="Times New Roman" w:cs="Times New Roman"/>
          <w:iCs/>
          <w:sz w:val="24"/>
          <w:szCs w:val="24"/>
        </w:rPr>
        <w:t xml:space="preserve">- lois généralement acceptées à l'échelle nationale, par tous les clans - et </w:t>
      </w:r>
      <w:proofErr w:type="spellStart"/>
      <w:r w:rsidRPr="006449A5">
        <w:rPr>
          <w:rFonts w:ascii="Times New Roman" w:hAnsi="Times New Roman" w:cs="Times New Roman"/>
          <w:iCs/>
          <w:sz w:val="24"/>
          <w:szCs w:val="24"/>
        </w:rPr>
        <w:t>Xeer</w:t>
      </w:r>
      <w:proofErr w:type="spellEnd"/>
      <w:r w:rsidRPr="006449A5">
        <w:rPr>
          <w:rFonts w:ascii="Times New Roman" w:hAnsi="Times New Roman" w:cs="Times New Roman"/>
          <w:iCs/>
          <w:sz w:val="24"/>
          <w:szCs w:val="24"/>
        </w:rPr>
        <w:t xml:space="preserve"> </w:t>
      </w:r>
      <w:proofErr w:type="spellStart"/>
      <w:r w:rsidRPr="006449A5">
        <w:rPr>
          <w:rFonts w:ascii="Times New Roman" w:hAnsi="Times New Roman" w:cs="Times New Roman"/>
          <w:i/>
          <w:sz w:val="24"/>
          <w:szCs w:val="24"/>
        </w:rPr>
        <w:t>sokeye</w:t>
      </w:r>
      <w:proofErr w:type="spellEnd"/>
      <w:r w:rsidRPr="006449A5">
        <w:rPr>
          <w:rFonts w:ascii="Times New Roman" w:hAnsi="Times New Roman" w:cs="Times New Roman"/>
          <w:i/>
          <w:sz w:val="24"/>
          <w:szCs w:val="24"/>
        </w:rPr>
        <w:t xml:space="preserve"> </w:t>
      </w:r>
      <w:r w:rsidRPr="006449A5">
        <w:rPr>
          <w:rFonts w:ascii="Times New Roman" w:hAnsi="Times New Roman" w:cs="Times New Roman"/>
          <w:iCs/>
          <w:sz w:val="24"/>
          <w:szCs w:val="24"/>
        </w:rPr>
        <w:t xml:space="preserve">- lois de parenté qui sont suivies par les membres de clans ou sous-clans particuliers. Le </w:t>
      </w:r>
      <w:proofErr w:type="spellStart"/>
      <w:r w:rsidRPr="006449A5">
        <w:rPr>
          <w:rFonts w:ascii="Times New Roman" w:hAnsi="Times New Roman" w:cs="Times New Roman"/>
          <w:iCs/>
          <w:sz w:val="24"/>
          <w:szCs w:val="24"/>
        </w:rPr>
        <w:t>Xeer</w:t>
      </w:r>
      <w:proofErr w:type="spellEnd"/>
      <w:r w:rsidRPr="006449A5">
        <w:rPr>
          <w:rFonts w:ascii="Times New Roman" w:hAnsi="Times New Roman" w:cs="Times New Roman"/>
          <w:iCs/>
          <w:sz w:val="24"/>
          <w:szCs w:val="24"/>
        </w:rPr>
        <w:t xml:space="preserve"> est ainsi adopté par les chefs de clan (</w:t>
      </w:r>
      <w:proofErr w:type="spellStart"/>
      <w:r w:rsidRPr="006449A5">
        <w:rPr>
          <w:rFonts w:ascii="Times New Roman" w:hAnsi="Times New Roman" w:cs="Times New Roman"/>
          <w:i/>
          <w:iCs/>
          <w:sz w:val="24"/>
          <w:szCs w:val="24"/>
        </w:rPr>
        <w:t>Odayaal</w:t>
      </w:r>
      <w:proofErr w:type="spellEnd"/>
      <w:r w:rsidRPr="006449A5">
        <w:rPr>
          <w:rFonts w:ascii="Times New Roman" w:hAnsi="Times New Roman" w:cs="Times New Roman"/>
          <w:iCs/>
          <w:sz w:val="24"/>
          <w:szCs w:val="24"/>
        </w:rPr>
        <w:t>) et les sages (</w:t>
      </w:r>
      <w:r w:rsidRPr="006449A5">
        <w:rPr>
          <w:rFonts w:ascii="Times New Roman" w:hAnsi="Times New Roman" w:cs="Times New Roman"/>
          <w:i/>
          <w:iCs/>
          <w:sz w:val="24"/>
          <w:szCs w:val="24"/>
        </w:rPr>
        <w:t xml:space="preserve">wax </w:t>
      </w:r>
      <w:proofErr w:type="spellStart"/>
      <w:r w:rsidRPr="006449A5">
        <w:rPr>
          <w:rFonts w:ascii="Times New Roman" w:hAnsi="Times New Roman" w:cs="Times New Roman"/>
          <w:i/>
          <w:iCs/>
          <w:sz w:val="24"/>
          <w:szCs w:val="24"/>
        </w:rPr>
        <w:t>garad</w:t>
      </w:r>
      <w:proofErr w:type="spellEnd"/>
      <w:r w:rsidRPr="006449A5">
        <w:rPr>
          <w:rFonts w:ascii="Times New Roman" w:hAnsi="Times New Roman" w:cs="Times New Roman"/>
          <w:iCs/>
          <w:sz w:val="24"/>
          <w:szCs w:val="24"/>
        </w:rPr>
        <w:t>). Bien que fortement influencée par l'islam, cette loi trouve également ses racines dans les coutumes (</w:t>
      </w:r>
      <w:proofErr w:type="spellStart"/>
      <w:r w:rsidRPr="006449A5">
        <w:rPr>
          <w:rFonts w:ascii="Times New Roman" w:hAnsi="Times New Roman" w:cs="Times New Roman"/>
          <w:i/>
          <w:sz w:val="24"/>
          <w:szCs w:val="24"/>
        </w:rPr>
        <w:t>dhaqan</w:t>
      </w:r>
      <w:proofErr w:type="spellEnd"/>
      <w:r w:rsidRPr="006449A5">
        <w:rPr>
          <w:rFonts w:ascii="Times New Roman" w:hAnsi="Times New Roman" w:cs="Times New Roman"/>
          <w:iCs/>
          <w:sz w:val="24"/>
          <w:szCs w:val="24"/>
        </w:rPr>
        <w:t>) et les habitudes culturelles.</w:t>
      </w:r>
      <w:r w:rsidRPr="006449A5">
        <w:rPr>
          <w:rFonts w:ascii="Times New Roman" w:hAnsi="Times New Roman" w:cs="Times New Roman"/>
          <w:iCs/>
          <w:sz w:val="24"/>
          <w:szCs w:val="24"/>
          <w:vertAlign w:val="superscript"/>
        </w:rPr>
        <w:footnoteReference w:id="99"/>
      </w:r>
      <w:r w:rsidRPr="006449A5">
        <w:rPr>
          <w:rFonts w:ascii="Times New Roman" w:hAnsi="Times New Roman" w:cs="Times New Roman"/>
          <w:iCs/>
          <w:sz w:val="24"/>
          <w:szCs w:val="24"/>
        </w:rPr>
        <w:t xml:space="preserve"> En ce qui concerne spécifiquement le mariage, selon le juge, se référant aux informations fournies par le ministère belge des Affaires étrangères, le droit somalien applicable "est un droit coutumier basé sur la tradition musulmane et clanique", qui n'est "pas codifié". Cependant, pour être valide, le juge a noté que le mariage devait être enregistré (conformément à la loi somalienne). </w:t>
      </w:r>
    </w:p>
    <w:p w14:paraId="1DE4260A" w14:textId="03918C7C" w:rsidR="009055AC" w:rsidRPr="006449A5" w:rsidRDefault="009055AC" w:rsidP="009055AC">
      <w:pPr>
        <w:rPr>
          <w:rFonts w:ascii="Times New Roman" w:hAnsi="Times New Roman" w:cs="Times New Roman"/>
          <w:iCs/>
          <w:sz w:val="24"/>
          <w:szCs w:val="24"/>
        </w:rPr>
      </w:pPr>
      <w:r w:rsidRPr="006449A5">
        <w:rPr>
          <w:rFonts w:ascii="Times New Roman" w:hAnsi="Times New Roman" w:cs="Times New Roman"/>
          <w:iCs/>
          <w:sz w:val="24"/>
          <w:szCs w:val="24"/>
        </w:rPr>
        <w:t xml:space="preserve">Le 25 mai 2018, </w:t>
      </w:r>
      <w:r w:rsidR="005B3D23" w:rsidRPr="006449A5">
        <w:rPr>
          <w:rFonts w:ascii="Times New Roman" w:hAnsi="Times New Roman" w:cs="Times New Roman"/>
          <w:iCs/>
          <w:sz w:val="24"/>
          <w:szCs w:val="24"/>
        </w:rPr>
        <w:t>le tribunal belge</w:t>
      </w:r>
      <w:r w:rsidRPr="006449A5">
        <w:rPr>
          <w:rFonts w:ascii="Times New Roman" w:hAnsi="Times New Roman" w:cs="Times New Roman"/>
          <w:iCs/>
          <w:sz w:val="24"/>
          <w:szCs w:val="24"/>
        </w:rPr>
        <w:t xml:space="preserve">, en première et unique instance, a reconnu le mariage somalien. D'une part, </w:t>
      </w:r>
      <w:r w:rsidR="005B3D23" w:rsidRPr="006449A5">
        <w:rPr>
          <w:rFonts w:ascii="Times New Roman" w:hAnsi="Times New Roman" w:cs="Times New Roman"/>
          <w:iCs/>
          <w:sz w:val="24"/>
          <w:szCs w:val="24"/>
        </w:rPr>
        <w:t>il</w:t>
      </w:r>
      <w:r w:rsidRPr="006449A5">
        <w:rPr>
          <w:rFonts w:ascii="Times New Roman" w:hAnsi="Times New Roman" w:cs="Times New Roman"/>
          <w:iCs/>
          <w:sz w:val="24"/>
          <w:szCs w:val="24"/>
        </w:rPr>
        <w:t xml:space="preserve"> a considéré que les conditions formelles de la loi somalienne applicable, dont l'enregistrement du mariage, ont été respectées. </w:t>
      </w:r>
      <w:bookmarkStart w:id="33" w:name="_Hlk165551568"/>
      <w:r w:rsidRPr="006449A5">
        <w:rPr>
          <w:rFonts w:ascii="Times New Roman" w:hAnsi="Times New Roman" w:cs="Times New Roman"/>
          <w:iCs/>
          <w:sz w:val="24"/>
          <w:szCs w:val="24"/>
        </w:rPr>
        <w:t xml:space="preserve">Pour ce faire, </w:t>
      </w:r>
      <w:r w:rsidR="005B3D23" w:rsidRPr="006449A5">
        <w:rPr>
          <w:rFonts w:ascii="Times New Roman" w:hAnsi="Times New Roman" w:cs="Times New Roman"/>
          <w:iCs/>
          <w:sz w:val="24"/>
          <w:szCs w:val="24"/>
        </w:rPr>
        <w:t>il</w:t>
      </w:r>
      <w:r w:rsidRPr="006449A5">
        <w:rPr>
          <w:rFonts w:ascii="Times New Roman" w:hAnsi="Times New Roman" w:cs="Times New Roman"/>
          <w:iCs/>
          <w:sz w:val="24"/>
          <w:szCs w:val="24"/>
        </w:rPr>
        <w:t xml:space="preserve"> a noté que les déclarations faites </w:t>
      </w:r>
      <w:r w:rsidRPr="006449A5">
        <w:rPr>
          <w:rFonts w:ascii="Times New Roman" w:hAnsi="Times New Roman" w:cs="Times New Roman"/>
          <w:i/>
          <w:sz w:val="24"/>
          <w:szCs w:val="24"/>
        </w:rPr>
        <w:t xml:space="preserve">in </w:t>
      </w:r>
      <w:proofErr w:type="spellStart"/>
      <w:r w:rsidRPr="006449A5">
        <w:rPr>
          <w:rFonts w:ascii="Times New Roman" w:hAnsi="Times New Roman" w:cs="Times New Roman"/>
          <w:i/>
          <w:sz w:val="24"/>
          <w:szCs w:val="24"/>
        </w:rPr>
        <w:t>tempore</w:t>
      </w:r>
      <w:proofErr w:type="spellEnd"/>
      <w:r w:rsidRPr="006449A5">
        <w:rPr>
          <w:rFonts w:ascii="Times New Roman" w:hAnsi="Times New Roman" w:cs="Times New Roman"/>
          <w:i/>
          <w:sz w:val="24"/>
          <w:szCs w:val="24"/>
        </w:rPr>
        <w:t xml:space="preserve"> non </w:t>
      </w:r>
      <w:proofErr w:type="spellStart"/>
      <w:r w:rsidRPr="006449A5">
        <w:rPr>
          <w:rFonts w:ascii="Times New Roman" w:hAnsi="Times New Roman" w:cs="Times New Roman"/>
          <w:i/>
          <w:sz w:val="24"/>
          <w:szCs w:val="24"/>
        </w:rPr>
        <w:t>suspecto</w:t>
      </w:r>
      <w:proofErr w:type="spellEnd"/>
      <w:r w:rsidRPr="006449A5">
        <w:rPr>
          <w:rFonts w:ascii="Times New Roman" w:hAnsi="Times New Roman" w:cs="Times New Roman"/>
          <w:i/>
          <w:sz w:val="24"/>
          <w:szCs w:val="24"/>
        </w:rPr>
        <w:t xml:space="preserve"> </w:t>
      </w:r>
      <w:r w:rsidRPr="006449A5">
        <w:rPr>
          <w:rFonts w:ascii="Times New Roman" w:hAnsi="Times New Roman" w:cs="Times New Roman"/>
          <w:iCs/>
          <w:sz w:val="24"/>
          <w:szCs w:val="24"/>
        </w:rPr>
        <w:t>et les documents somaliens produits par les époux permettaient de considérer que le mariage avait été enregistré, bien que la date d'enregistrement soit inconnue. Elle note également que le statut de réfugié de l'un des époux devrait conduire l'</w:t>
      </w:r>
      <w:r w:rsidR="007F1A4E" w:rsidRPr="006449A5">
        <w:rPr>
          <w:rFonts w:ascii="Times New Roman" w:hAnsi="Times New Roman" w:cs="Times New Roman"/>
          <w:iCs/>
          <w:sz w:val="24"/>
          <w:szCs w:val="24"/>
        </w:rPr>
        <w:t>État</w:t>
      </w:r>
      <w:r w:rsidRPr="006449A5">
        <w:rPr>
          <w:rFonts w:ascii="Times New Roman" w:hAnsi="Times New Roman" w:cs="Times New Roman"/>
          <w:iCs/>
          <w:sz w:val="24"/>
          <w:szCs w:val="24"/>
        </w:rPr>
        <w:t xml:space="preserve"> belge à faire preuve de souplesse administrative, et que tout échange avec la Somalie, qui est un pays en guerre, est impossible, de sorte que le document de certification du mariage ne peut être légalisé. </w:t>
      </w:r>
      <w:bookmarkEnd w:id="33"/>
      <w:r w:rsidR="007D2C66">
        <w:rPr>
          <w:rFonts w:ascii="Times New Roman" w:hAnsi="Times New Roman" w:cs="Times New Roman"/>
          <w:iCs/>
          <w:sz w:val="24"/>
          <w:szCs w:val="24"/>
        </w:rPr>
        <w:t>D’autre part,</w:t>
      </w:r>
      <w:r w:rsidRPr="006449A5">
        <w:rPr>
          <w:rFonts w:ascii="Times New Roman" w:hAnsi="Times New Roman" w:cs="Times New Roman"/>
          <w:iCs/>
          <w:sz w:val="24"/>
          <w:szCs w:val="24"/>
        </w:rPr>
        <w:t xml:space="preserve"> le juge belge a considéré que les conditions de fond du mariage en droit somalien étaient réunies, aucune des parties n'ayant invoqué leur violation. </w:t>
      </w:r>
    </w:p>
    <w:p w14:paraId="5494121E" w14:textId="43C40881" w:rsidR="009055AC" w:rsidRPr="006449A5" w:rsidRDefault="007D2C66" w:rsidP="009055AC">
      <w:pPr>
        <w:rPr>
          <w:rFonts w:ascii="Times New Roman" w:hAnsi="Times New Roman" w:cs="Times New Roman"/>
          <w:iCs/>
          <w:sz w:val="24"/>
          <w:szCs w:val="24"/>
        </w:rPr>
      </w:pPr>
      <w:r>
        <w:rPr>
          <w:rFonts w:ascii="Times New Roman" w:hAnsi="Times New Roman" w:cs="Times New Roman"/>
          <w:iCs/>
          <w:sz w:val="24"/>
          <w:szCs w:val="24"/>
        </w:rPr>
        <w:t>Le juge a ensuite</w:t>
      </w:r>
      <w:r w:rsidR="009055AC" w:rsidRPr="006449A5">
        <w:rPr>
          <w:rFonts w:ascii="Times New Roman" w:hAnsi="Times New Roman" w:cs="Times New Roman"/>
          <w:iCs/>
          <w:sz w:val="24"/>
          <w:szCs w:val="24"/>
        </w:rPr>
        <w:t xml:space="preserve"> examiné si l'exception d'ordre public devait s'appliquer, ce qui empêcherait la reconnaissance du mariage en Belgique, compte tenu de l'article 146bis du Code civil</w:t>
      </w:r>
      <w:r w:rsidR="009055AC" w:rsidRPr="006449A5">
        <w:rPr>
          <w:rFonts w:ascii="Times New Roman" w:hAnsi="Times New Roman" w:cs="Times New Roman"/>
          <w:iCs/>
          <w:sz w:val="24"/>
          <w:szCs w:val="24"/>
          <w:vertAlign w:val="superscript"/>
        </w:rPr>
        <w:footnoteReference w:id="100"/>
      </w:r>
      <w:r w:rsidR="009055AC" w:rsidRPr="006449A5">
        <w:rPr>
          <w:rFonts w:ascii="Times New Roman" w:hAnsi="Times New Roman" w:cs="Times New Roman"/>
          <w:iCs/>
          <w:sz w:val="24"/>
          <w:szCs w:val="24"/>
        </w:rPr>
        <w:t xml:space="preserve"> qui interdit les mariages frauduleux, mais aussi du fait que l'ordre public belge interdit les mariages impliquant un mineur (moins de 18 ans, ou moins de 16 ans avec le consentement des parents</w:t>
      </w:r>
      <w:r w:rsidR="009055AC" w:rsidRPr="006449A5">
        <w:rPr>
          <w:rFonts w:ascii="Times New Roman" w:hAnsi="Times New Roman" w:cs="Times New Roman"/>
          <w:iCs/>
          <w:sz w:val="24"/>
          <w:szCs w:val="24"/>
          <w:vertAlign w:val="superscript"/>
        </w:rPr>
        <w:footnoteReference w:id="101"/>
      </w:r>
      <w:r w:rsidR="009055AC" w:rsidRPr="006449A5">
        <w:rPr>
          <w:rFonts w:ascii="Times New Roman" w:hAnsi="Times New Roman" w:cs="Times New Roman"/>
          <w:iCs/>
          <w:sz w:val="24"/>
          <w:szCs w:val="24"/>
        </w:rPr>
        <w:t xml:space="preserve"> ). Sur le premier point, le juge a estimé qu'il n'était pas possible de considérer que le mariage, contracté en 2010 en Somalie entre deux Somaliens, avait pour seul but d'obtenir un avantage de résidence pour l'un d'entre eux en Belgique en 2017, de sorte que l'article 146bis n'a pas été violé. Sur le second point, le juge a estimé que l'exception d'ordre public ne devait pas s'appliquer car, d'une part, le lien de la situation avec la Belgique était</w:t>
      </w:r>
      <w:r w:rsidR="00603C17">
        <w:rPr>
          <w:rFonts w:ascii="Times New Roman" w:hAnsi="Times New Roman" w:cs="Times New Roman"/>
          <w:iCs/>
          <w:sz w:val="24"/>
          <w:szCs w:val="24"/>
        </w:rPr>
        <w:t xml:space="preserve"> </w:t>
      </w:r>
      <w:r w:rsidR="006839F4">
        <w:rPr>
          <w:rFonts w:ascii="Times New Roman" w:hAnsi="Times New Roman" w:cs="Times New Roman"/>
          <w:iCs/>
          <w:sz w:val="24"/>
          <w:szCs w:val="24"/>
        </w:rPr>
        <w:lastRenderedPageBreak/>
        <w:t>limité</w:t>
      </w:r>
      <w:r w:rsidR="00603C17">
        <w:rPr>
          <w:rFonts w:ascii="Times New Roman" w:hAnsi="Times New Roman" w:cs="Times New Roman"/>
          <w:iCs/>
          <w:sz w:val="24"/>
          <w:szCs w:val="24"/>
        </w:rPr>
        <w:t>,</w:t>
      </w:r>
      <w:r w:rsidR="006839F4">
        <w:rPr>
          <w:rFonts w:ascii="Times New Roman" w:hAnsi="Times New Roman" w:cs="Times New Roman"/>
          <w:iCs/>
          <w:sz w:val="24"/>
          <w:szCs w:val="24"/>
        </w:rPr>
        <w:t xml:space="preserve"> le mariage ayant eu</w:t>
      </w:r>
      <w:r w:rsidR="00603C17" w:rsidRPr="00603C17">
        <w:rPr>
          <w:rFonts w:ascii="Times New Roman" w:hAnsi="Times New Roman" w:cs="Times New Roman"/>
          <w:iCs/>
          <w:sz w:val="24"/>
          <w:szCs w:val="24"/>
        </w:rPr>
        <w:t xml:space="preserve"> lieu 5 ans avant </w:t>
      </w:r>
      <w:r w:rsidR="00603C17">
        <w:rPr>
          <w:rFonts w:ascii="Times New Roman" w:hAnsi="Times New Roman" w:cs="Times New Roman"/>
          <w:iCs/>
          <w:sz w:val="24"/>
          <w:szCs w:val="24"/>
        </w:rPr>
        <w:t xml:space="preserve">l’arrivée de l’époux réfugié en </w:t>
      </w:r>
      <w:r w:rsidR="006839F4">
        <w:rPr>
          <w:rFonts w:ascii="Times New Roman" w:hAnsi="Times New Roman" w:cs="Times New Roman"/>
          <w:iCs/>
          <w:sz w:val="24"/>
          <w:szCs w:val="24"/>
        </w:rPr>
        <w:t>Belgique en septembre 2025,</w:t>
      </w:r>
      <w:r w:rsidR="009055AC" w:rsidRPr="006449A5">
        <w:rPr>
          <w:rFonts w:ascii="Times New Roman" w:hAnsi="Times New Roman" w:cs="Times New Roman"/>
          <w:iCs/>
          <w:sz w:val="24"/>
          <w:szCs w:val="24"/>
        </w:rPr>
        <w:t xml:space="preserve"> et d'autre part, la gravité de l'effet que produirait actuellement la reconnaissance du mariage en Belgique était faible</w:t>
      </w:r>
      <w:r w:rsidR="005B3D23" w:rsidRPr="006449A5">
        <w:rPr>
          <w:rFonts w:ascii="Times New Roman" w:hAnsi="Times New Roman" w:cs="Times New Roman"/>
          <w:iCs/>
          <w:sz w:val="24"/>
          <w:szCs w:val="24"/>
        </w:rPr>
        <w:t>. L</w:t>
      </w:r>
      <w:r w:rsidR="009055AC" w:rsidRPr="006449A5">
        <w:rPr>
          <w:rFonts w:ascii="Times New Roman" w:hAnsi="Times New Roman" w:cs="Times New Roman"/>
          <w:iCs/>
          <w:sz w:val="24"/>
          <w:szCs w:val="24"/>
        </w:rPr>
        <w:t xml:space="preserve">'épouse qui avait 14 ans au moment du mariage avait </w:t>
      </w:r>
      <w:r w:rsidR="005B3D23" w:rsidRPr="006449A5">
        <w:rPr>
          <w:rFonts w:ascii="Times New Roman" w:hAnsi="Times New Roman" w:cs="Times New Roman"/>
          <w:iCs/>
          <w:sz w:val="24"/>
          <w:szCs w:val="24"/>
        </w:rPr>
        <w:t xml:space="preserve">en effet </w:t>
      </w:r>
      <w:r w:rsidR="009055AC" w:rsidRPr="006449A5">
        <w:rPr>
          <w:rFonts w:ascii="Times New Roman" w:hAnsi="Times New Roman" w:cs="Times New Roman"/>
          <w:iCs/>
          <w:sz w:val="24"/>
          <w:szCs w:val="24"/>
        </w:rPr>
        <w:t>20 ans</w:t>
      </w:r>
      <w:r w:rsidR="006839F4">
        <w:rPr>
          <w:rFonts w:ascii="Times New Roman" w:hAnsi="Times New Roman" w:cs="Times New Roman"/>
          <w:iCs/>
          <w:sz w:val="24"/>
          <w:szCs w:val="24"/>
        </w:rPr>
        <w:t xml:space="preserve"> </w:t>
      </w:r>
      <w:r w:rsidR="006839F4" w:rsidRPr="006839F4">
        <w:rPr>
          <w:rFonts w:ascii="Times New Roman" w:hAnsi="Times New Roman" w:cs="Times New Roman"/>
          <w:iCs/>
          <w:sz w:val="24"/>
          <w:szCs w:val="24"/>
        </w:rPr>
        <w:t>lors de la demande de visa et 22 ans au moment du jugement, l’autre époux n’ayant que trois ans</w:t>
      </w:r>
      <w:r w:rsidR="009055AC" w:rsidRPr="006449A5">
        <w:rPr>
          <w:rFonts w:ascii="Times New Roman" w:hAnsi="Times New Roman" w:cs="Times New Roman"/>
          <w:iCs/>
          <w:sz w:val="24"/>
          <w:szCs w:val="24"/>
        </w:rPr>
        <w:t xml:space="preserve"> de plus qu'elle.</w:t>
      </w:r>
    </w:p>
    <w:p w14:paraId="4F87E37C" w14:textId="77777777" w:rsidR="009055AC" w:rsidRPr="006449A5" w:rsidRDefault="009055AC" w:rsidP="009055AC">
      <w:pPr>
        <w:rPr>
          <w:rFonts w:ascii="Times New Roman" w:hAnsi="Times New Roman" w:cs="Times New Roman"/>
          <w:iCs/>
          <w:vanish/>
          <w:sz w:val="24"/>
          <w:szCs w:val="24"/>
        </w:rPr>
      </w:pPr>
      <w:r w:rsidRPr="006449A5">
        <w:rPr>
          <w:rFonts w:ascii="Times New Roman" w:hAnsi="Times New Roman" w:cs="Times New Roman"/>
          <w:iCs/>
          <w:vanish/>
          <w:sz w:val="24"/>
          <w:szCs w:val="24"/>
        </w:rPr>
        <w:t>Haut du formulaire</w:t>
      </w:r>
    </w:p>
    <w:p w14:paraId="2B2EFD0A" w14:textId="77777777" w:rsidR="009055AC" w:rsidRPr="006449A5" w:rsidRDefault="009055AC" w:rsidP="009055AC">
      <w:pPr>
        <w:rPr>
          <w:rFonts w:ascii="Times New Roman" w:hAnsi="Times New Roman" w:cs="Times New Roman"/>
          <w:iCs/>
          <w:sz w:val="24"/>
          <w:szCs w:val="24"/>
        </w:rPr>
      </w:pPr>
      <w:r w:rsidRPr="006449A5">
        <w:rPr>
          <w:rFonts w:ascii="Times New Roman" w:hAnsi="Times New Roman" w:cs="Times New Roman"/>
          <w:iCs/>
          <w:sz w:val="24"/>
          <w:szCs w:val="24"/>
        </w:rPr>
        <w:t xml:space="preserve">Le juge a donc décidé que le mariage devait être reconnu en Belgique. </w:t>
      </w:r>
    </w:p>
    <w:p w14:paraId="70605072" w14:textId="2EB11A9A" w:rsidR="00834969" w:rsidRPr="006449A5" w:rsidRDefault="00834969" w:rsidP="001427F5">
      <w:pPr>
        <w:rPr>
          <w:rFonts w:ascii="Times New Roman" w:hAnsi="Times New Roman" w:cs="Times New Roman"/>
          <w:iCs/>
          <w:sz w:val="24"/>
          <w:szCs w:val="24"/>
        </w:rPr>
      </w:pPr>
      <w:r w:rsidRPr="006449A5">
        <w:rPr>
          <w:rFonts w:ascii="Times New Roman" w:hAnsi="Times New Roman" w:cs="Times New Roman"/>
          <w:iCs/>
          <w:sz w:val="24"/>
          <w:szCs w:val="24"/>
        </w:rPr>
        <w:t xml:space="preserve">D’un point de vue </w:t>
      </w:r>
      <w:proofErr w:type="spellStart"/>
      <w:r w:rsidRPr="006449A5">
        <w:rPr>
          <w:rFonts w:ascii="Times New Roman" w:hAnsi="Times New Roman" w:cs="Times New Roman"/>
          <w:iCs/>
          <w:sz w:val="24"/>
          <w:szCs w:val="24"/>
        </w:rPr>
        <w:t>décolonial</w:t>
      </w:r>
      <w:proofErr w:type="spellEnd"/>
      <w:r w:rsidRPr="006449A5">
        <w:rPr>
          <w:rFonts w:ascii="Times New Roman" w:hAnsi="Times New Roman" w:cs="Times New Roman"/>
          <w:iCs/>
          <w:sz w:val="24"/>
          <w:szCs w:val="24"/>
        </w:rPr>
        <w:t xml:space="preserve">, nous pouvons </w:t>
      </w:r>
      <w:r w:rsidR="00FF7B54" w:rsidRPr="006449A5">
        <w:rPr>
          <w:rFonts w:ascii="Times New Roman" w:hAnsi="Times New Roman" w:cs="Times New Roman"/>
          <w:iCs/>
          <w:sz w:val="24"/>
          <w:szCs w:val="24"/>
        </w:rPr>
        <w:t>formuler</w:t>
      </w:r>
      <w:r w:rsidR="00AD557F" w:rsidRPr="006449A5">
        <w:rPr>
          <w:rFonts w:ascii="Times New Roman" w:hAnsi="Times New Roman" w:cs="Times New Roman"/>
          <w:iCs/>
          <w:sz w:val="24"/>
          <w:szCs w:val="24"/>
        </w:rPr>
        <w:t xml:space="preserve"> trois</w:t>
      </w:r>
      <w:r w:rsidRPr="006449A5">
        <w:rPr>
          <w:rFonts w:ascii="Times New Roman" w:hAnsi="Times New Roman" w:cs="Times New Roman"/>
          <w:iCs/>
          <w:sz w:val="24"/>
          <w:szCs w:val="24"/>
        </w:rPr>
        <w:t xml:space="preserve"> observations. </w:t>
      </w:r>
    </w:p>
    <w:p w14:paraId="0C312AE0" w14:textId="0B27A2AD" w:rsidR="0014779F" w:rsidRPr="006449A5" w:rsidRDefault="00834969" w:rsidP="001427F5">
      <w:pPr>
        <w:rPr>
          <w:rFonts w:ascii="Times New Roman" w:hAnsi="Times New Roman" w:cs="Times New Roman"/>
          <w:iCs/>
          <w:sz w:val="24"/>
          <w:szCs w:val="24"/>
        </w:rPr>
      </w:pPr>
      <w:r w:rsidRPr="006449A5">
        <w:rPr>
          <w:rFonts w:ascii="Times New Roman" w:hAnsi="Times New Roman" w:cs="Times New Roman"/>
          <w:iCs/>
          <w:sz w:val="24"/>
          <w:szCs w:val="24"/>
        </w:rPr>
        <w:t xml:space="preserve">Premièrement, </w:t>
      </w:r>
      <w:bookmarkStart w:id="34" w:name="_Hlk146203414"/>
      <w:r w:rsidRPr="006449A5">
        <w:rPr>
          <w:rFonts w:ascii="Times New Roman" w:hAnsi="Times New Roman" w:cs="Times New Roman"/>
          <w:iCs/>
          <w:sz w:val="24"/>
          <w:szCs w:val="24"/>
        </w:rPr>
        <w:t>l’on a</w:t>
      </w:r>
      <w:r w:rsidR="00637ED0" w:rsidRPr="006449A5">
        <w:rPr>
          <w:rFonts w:ascii="Times New Roman" w:hAnsi="Times New Roman" w:cs="Times New Roman"/>
          <w:iCs/>
          <w:sz w:val="24"/>
          <w:szCs w:val="24"/>
        </w:rPr>
        <w:t xml:space="preserve"> </w:t>
      </w:r>
      <w:r w:rsidR="00E07E70" w:rsidRPr="006449A5">
        <w:rPr>
          <w:rFonts w:ascii="Times New Roman" w:hAnsi="Times New Roman" w:cs="Times New Roman"/>
          <w:iCs/>
          <w:sz w:val="24"/>
          <w:szCs w:val="24"/>
        </w:rPr>
        <w:t xml:space="preserve">ici affaire à une approche </w:t>
      </w:r>
      <w:r w:rsidR="001D2250" w:rsidRPr="006449A5">
        <w:rPr>
          <w:rFonts w:ascii="Times New Roman" w:hAnsi="Times New Roman" w:cs="Times New Roman"/>
          <w:iCs/>
          <w:sz w:val="24"/>
          <w:szCs w:val="24"/>
        </w:rPr>
        <w:t xml:space="preserve">sans doute </w:t>
      </w:r>
      <w:r w:rsidR="00E07E70" w:rsidRPr="006449A5">
        <w:rPr>
          <w:rFonts w:ascii="Times New Roman" w:hAnsi="Times New Roman" w:cs="Times New Roman"/>
          <w:iCs/>
          <w:sz w:val="24"/>
          <w:szCs w:val="24"/>
        </w:rPr>
        <w:t xml:space="preserve">plus souple de la preuve du statut étranger </w:t>
      </w:r>
      <w:r w:rsidRPr="006449A5">
        <w:rPr>
          <w:rFonts w:ascii="Times New Roman" w:hAnsi="Times New Roman" w:cs="Times New Roman"/>
          <w:iCs/>
          <w:sz w:val="24"/>
          <w:szCs w:val="24"/>
        </w:rPr>
        <w:t xml:space="preserve">(qui passe par la preuve de l’acte étranger matérialisant le statut) </w:t>
      </w:r>
      <w:r w:rsidR="00E07E70" w:rsidRPr="006449A5">
        <w:rPr>
          <w:rFonts w:ascii="Times New Roman" w:hAnsi="Times New Roman" w:cs="Times New Roman"/>
          <w:iCs/>
          <w:sz w:val="24"/>
          <w:szCs w:val="24"/>
        </w:rPr>
        <w:t xml:space="preserve">que celle suivie dans le cas français </w:t>
      </w:r>
      <w:r w:rsidRPr="006449A5">
        <w:rPr>
          <w:rFonts w:ascii="Times New Roman" w:hAnsi="Times New Roman" w:cs="Times New Roman"/>
          <w:iCs/>
          <w:sz w:val="24"/>
          <w:szCs w:val="24"/>
        </w:rPr>
        <w:t xml:space="preserve">discuté ci-dessus. D’un point de vue </w:t>
      </w:r>
      <w:proofErr w:type="spellStart"/>
      <w:r w:rsidRPr="006449A5">
        <w:rPr>
          <w:rFonts w:ascii="Times New Roman" w:hAnsi="Times New Roman" w:cs="Times New Roman"/>
          <w:iCs/>
          <w:sz w:val="24"/>
          <w:szCs w:val="24"/>
        </w:rPr>
        <w:t>décolonial</w:t>
      </w:r>
      <w:proofErr w:type="spellEnd"/>
      <w:r w:rsidRPr="006449A5">
        <w:rPr>
          <w:rFonts w:ascii="Times New Roman" w:hAnsi="Times New Roman" w:cs="Times New Roman"/>
          <w:iCs/>
          <w:sz w:val="24"/>
          <w:szCs w:val="24"/>
        </w:rPr>
        <w:t>, on ne peut que saluer l’approche pragmatique qui vise à faire preuve de « souplesse administrative ». Elle permet en effet de prendre en compte la réalité propre à certains pays, bien différente de la nôtre, et d’adapter l’application de nos règles juridiques en conséquence</w:t>
      </w:r>
      <w:r w:rsidR="00844895" w:rsidRPr="006449A5">
        <w:rPr>
          <w:rFonts w:ascii="Times New Roman" w:hAnsi="Times New Roman" w:cs="Times New Roman"/>
          <w:iCs/>
          <w:sz w:val="24"/>
          <w:szCs w:val="24"/>
        </w:rPr>
        <w:t xml:space="preserve"> – et notamment l’</w:t>
      </w:r>
      <w:r w:rsidR="007F1A4E" w:rsidRPr="006449A5">
        <w:rPr>
          <w:rFonts w:ascii="Times New Roman" w:hAnsi="Times New Roman" w:cs="Times New Roman"/>
          <w:iCs/>
          <w:sz w:val="24"/>
          <w:szCs w:val="24"/>
        </w:rPr>
        <w:t>État</w:t>
      </w:r>
      <w:r w:rsidR="00844895" w:rsidRPr="006449A5">
        <w:rPr>
          <w:rFonts w:ascii="Times New Roman" w:hAnsi="Times New Roman" w:cs="Times New Roman"/>
          <w:iCs/>
          <w:sz w:val="24"/>
          <w:szCs w:val="24"/>
        </w:rPr>
        <w:t xml:space="preserve"> de guerre</w:t>
      </w:r>
      <w:r w:rsidR="001D2250" w:rsidRPr="006449A5">
        <w:rPr>
          <w:rStyle w:val="Appelnotedebasdep"/>
          <w:rFonts w:ascii="Times New Roman" w:hAnsi="Times New Roman" w:cs="Times New Roman"/>
          <w:iCs/>
          <w:sz w:val="24"/>
          <w:szCs w:val="24"/>
        </w:rPr>
        <w:footnoteReference w:id="102"/>
      </w:r>
      <w:r w:rsidRPr="006449A5">
        <w:rPr>
          <w:rFonts w:ascii="Times New Roman" w:hAnsi="Times New Roman" w:cs="Times New Roman"/>
          <w:iCs/>
          <w:sz w:val="24"/>
          <w:szCs w:val="24"/>
        </w:rPr>
        <w:t xml:space="preserve">. </w:t>
      </w:r>
      <w:r w:rsidR="00B028A1" w:rsidRPr="006449A5">
        <w:rPr>
          <w:rFonts w:ascii="Times New Roman" w:hAnsi="Times New Roman" w:cs="Times New Roman"/>
          <w:iCs/>
          <w:sz w:val="24"/>
          <w:szCs w:val="24"/>
        </w:rPr>
        <w:t>À</w:t>
      </w:r>
      <w:r w:rsidRPr="006449A5">
        <w:rPr>
          <w:rFonts w:ascii="Times New Roman" w:hAnsi="Times New Roman" w:cs="Times New Roman"/>
          <w:iCs/>
          <w:sz w:val="24"/>
          <w:szCs w:val="24"/>
        </w:rPr>
        <w:t xml:space="preserve"> cet égard, </w:t>
      </w:r>
      <w:bookmarkEnd w:id="34"/>
      <w:r w:rsidR="0014779F" w:rsidRPr="006449A5">
        <w:rPr>
          <w:rFonts w:ascii="Times New Roman" w:hAnsi="Times New Roman" w:cs="Times New Roman"/>
          <w:iCs/>
          <w:sz w:val="24"/>
          <w:szCs w:val="24"/>
        </w:rPr>
        <w:t>S</w:t>
      </w:r>
      <w:r w:rsidRPr="006449A5">
        <w:rPr>
          <w:rFonts w:ascii="Times New Roman" w:hAnsi="Times New Roman" w:cs="Times New Roman"/>
          <w:iCs/>
          <w:sz w:val="24"/>
          <w:szCs w:val="24"/>
        </w:rPr>
        <w:t xml:space="preserve">abine </w:t>
      </w:r>
      <w:r w:rsidR="0014779F" w:rsidRPr="006449A5">
        <w:rPr>
          <w:rFonts w:ascii="Times New Roman" w:hAnsi="Times New Roman" w:cs="Times New Roman"/>
          <w:iCs/>
          <w:sz w:val="24"/>
          <w:szCs w:val="24"/>
        </w:rPr>
        <w:t xml:space="preserve">Corneloup et </w:t>
      </w:r>
      <w:proofErr w:type="spellStart"/>
      <w:r w:rsidR="0014779F" w:rsidRPr="006449A5">
        <w:rPr>
          <w:rFonts w:ascii="Times New Roman" w:hAnsi="Times New Roman" w:cs="Times New Roman"/>
          <w:iCs/>
          <w:sz w:val="24"/>
          <w:szCs w:val="24"/>
        </w:rPr>
        <w:t>J</w:t>
      </w:r>
      <w:r w:rsidRPr="006449A5">
        <w:rPr>
          <w:rFonts w:ascii="Times New Roman" w:hAnsi="Times New Roman" w:cs="Times New Roman"/>
          <w:iCs/>
          <w:sz w:val="24"/>
          <w:szCs w:val="24"/>
        </w:rPr>
        <w:t>inske</w:t>
      </w:r>
      <w:proofErr w:type="spellEnd"/>
      <w:r w:rsidRPr="006449A5">
        <w:rPr>
          <w:rFonts w:ascii="Times New Roman" w:hAnsi="Times New Roman" w:cs="Times New Roman"/>
          <w:iCs/>
          <w:sz w:val="24"/>
          <w:szCs w:val="24"/>
        </w:rPr>
        <w:t xml:space="preserve"> </w:t>
      </w:r>
      <w:proofErr w:type="spellStart"/>
      <w:r w:rsidR="0014779F" w:rsidRPr="006449A5">
        <w:rPr>
          <w:rFonts w:ascii="Times New Roman" w:hAnsi="Times New Roman" w:cs="Times New Roman"/>
          <w:iCs/>
          <w:sz w:val="24"/>
          <w:szCs w:val="24"/>
        </w:rPr>
        <w:t>Verhellen</w:t>
      </w:r>
      <w:proofErr w:type="spellEnd"/>
      <w:r w:rsidRPr="006449A5">
        <w:rPr>
          <w:rFonts w:ascii="Times New Roman" w:hAnsi="Times New Roman" w:cs="Times New Roman"/>
          <w:iCs/>
          <w:sz w:val="24"/>
          <w:szCs w:val="24"/>
        </w:rPr>
        <w:t xml:space="preserve"> ont relevé qu’en Europe, </w:t>
      </w:r>
      <w:r w:rsidR="0014779F" w:rsidRPr="006449A5">
        <w:rPr>
          <w:rFonts w:ascii="Times New Roman" w:hAnsi="Times New Roman" w:cs="Times New Roman"/>
          <w:iCs/>
          <w:sz w:val="24"/>
          <w:szCs w:val="24"/>
        </w:rPr>
        <w:t xml:space="preserve">les modes de preuves admis par la </w:t>
      </w:r>
      <w:proofErr w:type="spellStart"/>
      <w:r w:rsidR="0014779F" w:rsidRPr="006449A5">
        <w:rPr>
          <w:rFonts w:ascii="Times New Roman" w:hAnsi="Times New Roman" w:cs="Times New Roman"/>
          <w:i/>
          <w:iCs/>
          <w:sz w:val="24"/>
          <w:szCs w:val="24"/>
        </w:rPr>
        <w:t>lex</w:t>
      </w:r>
      <w:proofErr w:type="spellEnd"/>
      <w:r w:rsidR="0014779F" w:rsidRPr="006449A5">
        <w:rPr>
          <w:rFonts w:ascii="Times New Roman" w:hAnsi="Times New Roman" w:cs="Times New Roman"/>
          <w:i/>
          <w:iCs/>
          <w:sz w:val="24"/>
          <w:szCs w:val="24"/>
        </w:rPr>
        <w:t xml:space="preserve"> </w:t>
      </w:r>
      <w:proofErr w:type="spellStart"/>
      <w:r w:rsidR="0014779F" w:rsidRPr="006449A5">
        <w:rPr>
          <w:rFonts w:ascii="Times New Roman" w:hAnsi="Times New Roman" w:cs="Times New Roman"/>
          <w:i/>
          <w:iCs/>
          <w:sz w:val="24"/>
          <w:szCs w:val="24"/>
        </w:rPr>
        <w:t>loci</w:t>
      </w:r>
      <w:proofErr w:type="spellEnd"/>
      <w:r w:rsidR="0014779F" w:rsidRPr="006449A5">
        <w:rPr>
          <w:rFonts w:ascii="Times New Roman" w:hAnsi="Times New Roman" w:cs="Times New Roman"/>
          <w:i/>
          <w:iCs/>
          <w:sz w:val="24"/>
          <w:szCs w:val="24"/>
        </w:rPr>
        <w:t xml:space="preserve"> actus</w:t>
      </w:r>
      <w:r w:rsidR="0014779F" w:rsidRPr="006449A5">
        <w:rPr>
          <w:rFonts w:ascii="Times New Roman" w:hAnsi="Times New Roman" w:cs="Times New Roman"/>
          <w:iCs/>
          <w:sz w:val="24"/>
          <w:szCs w:val="24"/>
        </w:rPr>
        <w:t xml:space="preserve"> (soit la loi du lieu où l’acte établissant le statut a été rédigé) sont souvent également acceptés pour apporter la preuve d’un statut personnel ou familial constitué à l’étranger, notamment en vue de protéger les attentes légitimes des parties</w:t>
      </w:r>
      <w:r w:rsidR="0014779F" w:rsidRPr="006449A5">
        <w:rPr>
          <w:rFonts w:ascii="Times New Roman" w:hAnsi="Times New Roman" w:cs="Times New Roman"/>
          <w:iCs/>
          <w:sz w:val="24"/>
          <w:szCs w:val="24"/>
          <w:vertAlign w:val="superscript"/>
        </w:rPr>
        <w:footnoteReference w:id="103"/>
      </w:r>
      <w:r w:rsidR="0014779F" w:rsidRPr="006449A5">
        <w:rPr>
          <w:rFonts w:ascii="Times New Roman" w:hAnsi="Times New Roman" w:cs="Times New Roman"/>
          <w:iCs/>
          <w:sz w:val="24"/>
          <w:szCs w:val="24"/>
        </w:rPr>
        <w:t xml:space="preserve">. </w:t>
      </w:r>
      <w:bookmarkStart w:id="35" w:name="_Hlk185959248"/>
      <w:r w:rsidR="0014779F" w:rsidRPr="006449A5">
        <w:rPr>
          <w:rFonts w:ascii="Times New Roman" w:hAnsi="Times New Roman" w:cs="Times New Roman"/>
          <w:iCs/>
          <w:sz w:val="24"/>
          <w:szCs w:val="24"/>
        </w:rPr>
        <w:t xml:space="preserve">De manière générale, cependant, le droit des </w:t>
      </w:r>
      <w:r w:rsidR="007F1A4E" w:rsidRPr="006449A5">
        <w:rPr>
          <w:rFonts w:ascii="Times New Roman" w:hAnsi="Times New Roman" w:cs="Times New Roman"/>
          <w:iCs/>
          <w:sz w:val="24"/>
          <w:szCs w:val="24"/>
        </w:rPr>
        <w:t>État</w:t>
      </w:r>
      <w:r w:rsidR="0014779F" w:rsidRPr="006449A5">
        <w:rPr>
          <w:rFonts w:ascii="Times New Roman" w:hAnsi="Times New Roman" w:cs="Times New Roman"/>
          <w:iCs/>
          <w:sz w:val="24"/>
          <w:szCs w:val="24"/>
        </w:rPr>
        <w:t xml:space="preserve">s postcoloniaux et les conventions internationales en droit international privé auxquels ces </w:t>
      </w:r>
      <w:r w:rsidR="007F1A4E" w:rsidRPr="006449A5">
        <w:rPr>
          <w:rFonts w:ascii="Times New Roman" w:hAnsi="Times New Roman" w:cs="Times New Roman"/>
          <w:iCs/>
          <w:sz w:val="24"/>
          <w:szCs w:val="24"/>
        </w:rPr>
        <w:t>État</w:t>
      </w:r>
      <w:r w:rsidR="0014779F" w:rsidRPr="006449A5">
        <w:rPr>
          <w:rFonts w:ascii="Times New Roman" w:hAnsi="Times New Roman" w:cs="Times New Roman"/>
          <w:iCs/>
          <w:sz w:val="24"/>
          <w:szCs w:val="24"/>
        </w:rPr>
        <w:t>s sont de plus en plus partie, exigent souvent qu’un statut potentiellement établi sur la base de normativités coutumières ou religieuses soit daté et transcrit dans les registres d’état civil de l’</w:t>
      </w:r>
      <w:r w:rsidR="007F1A4E" w:rsidRPr="006449A5">
        <w:rPr>
          <w:rFonts w:ascii="Times New Roman" w:hAnsi="Times New Roman" w:cs="Times New Roman"/>
          <w:iCs/>
          <w:sz w:val="24"/>
          <w:szCs w:val="24"/>
        </w:rPr>
        <w:t>État</w:t>
      </w:r>
      <w:r w:rsidR="0014779F" w:rsidRPr="006449A5">
        <w:rPr>
          <w:rFonts w:ascii="Times New Roman" w:hAnsi="Times New Roman" w:cs="Times New Roman"/>
          <w:iCs/>
          <w:sz w:val="24"/>
          <w:szCs w:val="24"/>
        </w:rPr>
        <w:t xml:space="preserve"> postcolonial concerné - une exigence qui reflète la manière occidentale de fonctionner. Or, parfois, la situation du pays, comme l’état de guerre, ne permet pas cette transcription</w:t>
      </w:r>
      <w:r w:rsidR="001D2250" w:rsidRPr="006449A5">
        <w:rPr>
          <w:rStyle w:val="Appelnotedebasdep"/>
          <w:rFonts w:ascii="Times New Roman" w:hAnsi="Times New Roman" w:cs="Times New Roman"/>
          <w:iCs/>
          <w:sz w:val="24"/>
          <w:szCs w:val="24"/>
        </w:rPr>
        <w:footnoteReference w:id="104"/>
      </w:r>
      <w:r w:rsidR="0014779F" w:rsidRPr="006449A5">
        <w:rPr>
          <w:rFonts w:ascii="Times New Roman" w:hAnsi="Times New Roman" w:cs="Times New Roman"/>
          <w:iCs/>
          <w:sz w:val="24"/>
          <w:szCs w:val="24"/>
        </w:rPr>
        <w:t xml:space="preserve">. </w:t>
      </w:r>
      <w:bookmarkEnd w:id="35"/>
      <w:r w:rsidR="0014779F" w:rsidRPr="006449A5">
        <w:rPr>
          <w:rFonts w:ascii="Times New Roman" w:hAnsi="Times New Roman" w:cs="Times New Roman"/>
          <w:iCs/>
          <w:sz w:val="24"/>
          <w:szCs w:val="24"/>
        </w:rPr>
        <w:t>Par ailleurs, dans certains États postcoloniaux, la population perçoit le système d’état civil, qui a généralement été construit par l’État colonial, comme un symbole de survie de la domination coloniale, et est donc réticente à procéder à cette transcription</w:t>
      </w:r>
      <w:r w:rsidR="0014779F" w:rsidRPr="006449A5">
        <w:rPr>
          <w:rFonts w:ascii="Times New Roman" w:hAnsi="Times New Roman" w:cs="Times New Roman"/>
          <w:iCs/>
          <w:sz w:val="24"/>
          <w:szCs w:val="24"/>
          <w:vertAlign w:val="superscript"/>
        </w:rPr>
        <w:footnoteReference w:id="105"/>
      </w:r>
      <w:r w:rsidR="0014779F" w:rsidRPr="006449A5">
        <w:rPr>
          <w:rFonts w:ascii="Times New Roman" w:hAnsi="Times New Roman" w:cs="Times New Roman"/>
          <w:iCs/>
          <w:sz w:val="24"/>
          <w:szCs w:val="24"/>
        </w:rPr>
        <w:t xml:space="preserve">. Enfin, le fait de dater les évènements majeurs de la vie tels qu’une naissance ou un mariage parait naturel d’un point de vue occidental, mais ne l’est pas spécialement </w:t>
      </w:r>
      <w:r w:rsidR="00C457B5" w:rsidRPr="006449A5">
        <w:rPr>
          <w:rFonts w:ascii="Times New Roman" w:hAnsi="Times New Roman" w:cs="Times New Roman"/>
          <w:iCs/>
          <w:sz w:val="24"/>
          <w:szCs w:val="24"/>
        </w:rPr>
        <w:t>en dehors de ce cadre culturel</w:t>
      </w:r>
      <w:r w:rsidR="0014779F" w:rsidRPr="006449A5">
        <w:rPr>
          <w:rFonts w:ascii="Times New Roman" w:hAnsi="Times New Roman" w:cs="Times New Roman"/>
          <w:iCs/>
          <w:sz w:val="24"/>
          <w:szCs w:val="24"/>
          <w:vertAlign w:val="superscript"/>
        </w:rPr>
        <w:footnoteReference w:id="106"/>
      </w:r>
      <w:r w:rsidR="0014779F" w:rsidRPr="006449A5">
        <w:rPr>
          <w:rFonts w:ascii="Times New Roman" w:hAnsi="Times New Roman" w:cs="Times New Roman"/>
          <w:iCs/>
          <w:sz w:val="24"/>
          <w:szCs w:val="24"/>
        </w:rPr>
        <w:t>.</w:t>
      </w:r>
      <w:r w:rsidR="00844895" w:rsidRPr="006449A5">
        <w:rPr>
          <w:rFonts w:ascii="Times New Roman" w:hAnsi="Times New Roman" w:cs="Times New Roman"/>
          <w:iCs/>
          <w:sz w:val="24"/>
          <w:szCs w:val="24"/>
        </w:rPr>
        <w:t xml:space="preserve"> </w:t>
      </w:r>
    </w:p>
    <w:p w14:paraId="5D13861C" w14:textId="707DBD93" w:rsidR="00AD557F" w:rsidRPr="006449A5" w:rsidRDefault="00834969" w:rsidP="00AD557F">
      <w:pPr>
        <w:rPr>
          <w:rFonts w:ascii="Times New Roman" w:hAnsi="Times New Roman" w:cs="Times New Roman"/>
          <w:iCs/>
          <w:sz w:val="24"/>
          <w:szCs w:val="24"/>
        </w:rPr>
      </w:pPr>
      <w:r w:rsidRPr="006449A5">
        <w:rPr>
          <w:rFonts w:ascii="Times New Roman" w:hAnsi="Times New Roman" w:cs="Times New Roman"/>
          <w:iCs/>
          <w:sz w:val="24"/>
          <w:szCs w:val="24"/>
        </w:rPr>
        <w:t xml:space="preserve">Deuxièmement, l’on peut </w:t>
      </w:r>
      <w:r w:rsidR="00D95C0A" w:rsidRPr="006449A5">
        <w:rPr>
          <w:rFonts w:ascii="Times New Roman" w:hAnsi="Times New Roman" w:cs="Times New Roman"/>
          <w:iCs/>
          <w:sz w:val="24"/>
          <w:szCs w:val="24"/>
        </w:rPr>
        <w:t>se réjouir, sur le principe, de</w:t>
      </w:r>
      <w:r w:rsidRPr="006449A5">
        <w:rPr>
          <w:rFonts w:ascii="Times New Roman" w:hAnsi="Times New Roman" w:cs="Times New Roman"/>
          <w:iCs/>
          <w:sz w:val="24"/>
          <w:szCs w:val="24"/>
        </w:rPr>
        <w:t xml:space="preserve"> l’application </w:t>
      </w:r>
      <w:r w:rsidR="00274BC5" w:rsidRPr="006449A5">
        <w:rPr>
          <w:rFonts w:ascii="Times New Roman" w:hAnsi="Times New Roman" w:cs="Times New Roman"/>
          <w:iCs/>
          <w:sz w:val="24"/>
          <w:szCs w:val="24"/>
        </w:rPr>
        <w:t>restrictive</w:t>
      </w:r>
      <w:r w:rsidRPr="006449A5">
        <w:rPr>
          <w:rFonts w:ascii="Times New Roman" w:hAnsi="Times New Roman" w:cs="Times New Roman"/>
          <w:iCs/>
          <w:sz w:val="24"/>
          <w:szCs w:val="24"/>
        </w:rPr>
        <w:t xml:space="preserve"> de l’exception d’ordre public qui correspond à la conception belge de cette exception</w:t>
      </w:r>
      <w:r w:rsidR="00274BC5" w:rsidRPr="006449A5">
        <w:rPr>
          <w:rStyle w:val="Appelnotedebasdep"/>
          <w:rFonts w:ascii="Times New Roman" w:hAnsi="Times New Roman" w:cs="Times New Roman"/>
          <w:iCs/>
          <w:sz w:val="24"/>
          <w:szCs w:val="24"/>
        </w:rPr>
        <w:footnoteReference w:id="107"/>
      </w:r>
      <w:r w:rsidRPr="006449A5">
        <w:rPr>
          <w:rFonts w:ascii="Times New Roman" w:hAnsi="Times New Roman" w:cs="Times New Roman"/>
          <w:iCs/>
          <w:sz w:val="24"/>
          <w:szCs w:val="24"/>
        </w:rPr>
        <w:t>.</w:t>
      </w:r>
      <w:r w:rsidR="00D95C0A" w:rsidRPr="006449A5">
        <w:rPr>
          <w:rFonts w:ascii="Times New Roman" w:hAnsi="Times New Roman" w:cs="Times New Roman"/>
          <w:iCs/>
          <w:sz w:val="24"/>
          <w:szCs w:val="24"/>
        </w:rPr>
        <w:t xml:space="preserve"> En effet, cette application implique que </w:t>
      </w:r>
      <w:r w:rsidR="00AD557F" w:rsidRPr="006449A5">
        <w:rPr>
          <w:rFonts w:ascii="Times New Roman" w:hAnsi="Times New Roman" w:cs="Times New Roman"/>
          <w:iCs/>
          <w:sz w:val="24"/>
          <w:szCs w:val="24"/>
        </w:rPr>
        <w:t>des conditions supplémentaires so</w:t>
      </w:r>
      <w:r w:rsidR="00D95C0A" w:rsidRPr="006449A5">
        <w:rPr>
          <w:rFonts w:ascii="Times New Roman" w:hAnsi="Times New Roman" w:cs="Times New Roman"/>
          <w:iCs/>
          <w:sz w:val="24"/>
          <w:szCs w:val="24"/>
        </w:rPr>
        <w:t>ient</w:t>
      </w:r>
      <w:r w:rsidR="00AD557F" w:rsidRPr="006449A5">
        <w:rPr>
          <w:rFonts w:ascii="Times New Roman" w:hAnsi="Times New Roman" w:cs="Times New Roman"/>
          <w:iCs/>
          <w:sz w:val="24"/>
          <w:szCs w:val="24"/>
        </w:rPr>
        <w:t xml:space="preserve"> remplies avant d'utiliser </w:t>
      </w:r>
      <w:r w:rsidR="00AD557F" w:rsidRPr="006449A5">
        <w:rPr>
          <w:rFonts w:ascii="Times New Roman" w:hAnsi="Times New Roman" w:cs="Times New Roman"/>
          <w:iCs/>
          <w:sz w:val="24"/>
          <w:szCs w:val="24"/>
        </w:rPr>
        <w:lastRenderedPageBreak/>
        <w:t>l'exception</w:t>
      </w:r>
      <w:r w:rsidR="001D2250" w:rsidRPr="006449A5">
        <w:rPr>
          <w:rFonts w:ascii="Times New Roman" w:hAnsi="Times New Roman" w:cs="Times New Roman"/>
          <w:iCs/>
          <w:sz w:val="24"/>
          <w:szCs w:val="24"/>
        </w:rPr>
        <w:t>. D’abord, elle exige une</w:t>
      </w:r>
      <w:r w:rsidR="00AD557F" w:rsidRPr="006449A5">
        <w:rPr>
          <w:rFonts w:ascii="Times New Roman" w:hAnsi="Times New Roman" w:cs="Times New Roman"/>
          <w:iCs/>
          <w:sz w:val="24"/>
          <w:szCs w:val="24"/>
        </w:rPr>
        <w:t xml:space="preserve"> proximité suffisante de l'affaire avec le for</w:t>
      </w:r>
      <w:r w:rsidR="00D95C0A" w:rsidRPr="006449A5">
        <w:rPr>
          <w:rFonts w:ascii="Times New Roman" w:hAnsi="Times New Roman" w:cs="Times New Roman"/>
          <w:iCs/>
          <w:sz w:val="24"/>
          <w:szCs w:val="24"/>
        </w:rPr>
        <w:t xml:space="preserve">. Elle demande en outre que </w:t>
      </w:r>
      <w:r w:rsidR="00AD557F" w:rsidRPr="006449A5">
        <w:rPr>
          <w:rFonts w:ascii="Times New Roman" w:hAnsi="Times New Roman" w:cs="Times New Roman"/>
          <w:iCs/>
          <w:sz w:val="24"/>
          <w:szCs w:val="24"/>
        </w:rPr>
        <w:t>l'application de la règle étrangère dans le for (et non la règle étrangère elle-même) viole l'ordre public du for</w:t>
      </w:r>
      <w:r w:rsidR="00D95C0A" w:rsidRPr="006449A5">
        <w:rPr>
          <w:rFonts w:ascii="Times New Roman" w:hAnsi="Times New Roman" w:cs="Times New Roman"/>
          <w:iCs/>
          <w:sz w:val="24"/>
          <w:szCs w:val="24"/>
        </w:rPr>
        <w:t xml:space="preserve">. Encore, l’incompatibilité avec l’ordre public du for doit être manifeste pour pouvoir donner lieu à l’application de l’exception. </w:t>
      </w:r>
      <w:r w:rsidR="005972A5">
        <w:rPr>
          <w:rFonts w:ascii="Times New Roman" w:hAnsi="Times New Roman" w:cs="Times New Roman"/>
          <w:iCs/>
          <w:sz w:val="24"/>
          <w:szCs w:val="24"/>
        </w:rPr>
        <w:t>L</w:t>
      </w:r>
      <w:r w:rsidR="00D95C0A" w:rsidRPr="006449A5">
        <w:rPr>
          <w:rFonts w:ascii="Times New Roman" w:hAnsi="Times New Roman" w:cs="Times New Roman"/>
          <w:iCs/>
          <w:sz w:val="24"/>
          <w:szCs w:val="24"/>
        </w:rPr>
        <w:t>’ordre public peut</w:t>
      </w:r>
      <w:r w:rsidR="005972A5">
        <w:rPr>
          <w:rFonts w:ascii="Times New Roman" w:hAnsi="Times New Roman" w:cs="Times New Roman"/>
          <w:iCs/>
          <w:sz w:val="24"/>
          <w:szCs w:val="24"/>
        </w:rPr>
        <w:t xml:space="preserve"> par ailleurs</w:t>
      </w:r>
      <w:r w:rsidR="00D95C0A" w:rsidRPr="006449A5">
        <w:rPr>
          <w:rFonts w:ascii="Times New Roman" w:hAnsi="Times New Roman" w:cs="Times New Roman"/>
          <w:iCs/>
          <w:sz w:val="24"/>
          <w:szCs w:val="24"/>
        </w:rPr>
        <w:t xml:space="preserve"> être défini de plus manière plus ou moins large</w:t>
      </w:r>
      <w:r w:rsidR="005972A5">
        <w:rPr>
          <w:rFonts w:ascii="Times New Roman" w:hAnsi="Times New Roman" w:cs="Times New Roman"/>
          <w:iCs/>
          <w:sz w:val="24"/>
          <w:szCs w:val="24"/>
        </w:rPr>
        <w:t>. Dans de plusieurs Etats européens (Belgique, France, Allemagne notamment),</w:t>
      </w:r>
      <w:r w:rsidR="00D95C0A" w:rsidRPr="006449A5">
        <w:rPr>
          <w:rFonts w:ascii="Times New Roman" w:hAnsi="Times New Roman" w:cs="Times New Roman"/>
          <w:iCs/>
          <w:sz w:val="24"/>
          <w:szCs w:val="24"/>
        </w:rPr>
        <w:t xml:space="preserve"> l’on donne </w:t>
      </w:r>
      <w:r w:rsidR="00AD557F" w:rsidRPr="006449A5">
        <w:rPr>
          <w:rFonts w:ascii="Times New Roman" w:hAnsi="Times New Roman" w:cs="Times New Roman"/>
          <w:iCs/>
          <w:sz w:val="24"/>
          <w:szCs w:val="24"/>
        </w:rPr>
        <w:t xml:space="preserve">à l'ordre public une signification distincte et plus étroite en matière de DIP que dans d'autres branches du droit, </w:t>
      </w:r>
      <w:r w:rsidR="00D95C0A" w:rsidRPr="006449A5">
        <w:rPr>
          <w:rFonts w:ascii="Times New Roman" w:hAnsi="Times New Roman" w:cs="Times New Roman"/>
          <w:iCs/>
          <w:sz w:val="24"/>
          <w:szCs w:val="24"/>
        </w:rPr>
        <w:t>que l’on nomme dès lors « </w:t>
      </w:r>
      <w:r w:rsidR="00AD557F" w:rsidRPr="006449A5">
        <w:rPr>
          <w:rFonts w:ascii="Times New Roman" w:hAnsi="Times New Roman" w:cs="Times New Roman"/>
          <w:iCs/>
          <w:sz w:val="24"/>
          <w:szCs w:val="24"/>
        </w:rPr>
        <w:t>ordre public international</w:t>
      </w:r>
      <w:r w:rsidR="00D95C0A" w:rsidRPr="006449A5">
        <w:rPr>
          <w:rFonts w:ascii="Times New Roman" w:hAnsi="Times New Roman" w:cs="Times New Roman"/>
          <w:iCs/>
          <w:sz w:val="24"/>
          <w:szCs w:val="24"/>
        </w:rPr>
        <w:t> ». Cette notion couvre des principes considérés par le législateur comme « essentiels à l'ordre moral, politique ou économique établi en Belgique</w:t>
      </w:r>
      <w:r w:rsidR="00D95C0A" w:rsidRPr="006449A5">
        <w:rPr>
          <w:rStyle w:val="Appelnotedebasdep"/>
          <w:rFonts w:ascii="Times New Roman" w:hAnsi="Times New Roman" w:cs="Times New Roman"/>
          <w:iCs/>
          <w:sz w:val="24"/>
          <w:szCs w:val="24"/>
        </w:rPr>
        <w:footnoteReference w:id="108"/>
      </w:r>
      <w:r w:rsidR="00D95C0A" w:rsidRPr="006449A5">
        <w:rPr>
          <w:rFonts w:ascii="Times New Roman" w:hAnsi="Times New Roman" w:cs="Times New Roman"/>
          <w:iCs/>
          <w:sz w:val="24"/>
          <w:szCs w:val="24"/>
        </w:rPr>
        <w:t> ». Enfin</w:t>
      </w:r>
      <w:r w:rsidR="00AD557F" w:rsidRPr="006449A5">
        <w:rPr>
          <w:rFonts w:ascii="Times New Roman" w:hAnsi="Times New Roman" w:cs="Times New Roman"/>
          <w:iCs/>
          <w:sz w:val="24"/>
          <w:szCs w:val="24"/>
        </w:rPr>
        <w:t>, la possibilité de rechercher une autre norme</w:t>
      </w:r>
      <w:r w:rsidR="00E2019B" w:rsidRPr="006449A5">
        <w:rPr>
          <w:rFonts w:ascii="Times New Roman" w:hAnsi="Times New Roman" w:cs="Times New Roman"/>
          <w:iCs/>
          <w:sz w:val="24"/>
          <w:szCs w:val="24"/>
        </w:rPr>
        <w:t xml:space="preserve"> </w:t>
      </w:r>
      <w:r w:rsidR="00AD557F" w:rsidRPr="006449A5">
        <w:rPr>
          <w:rFonts w:ascii="Times New Roman" w:hAnsi="Times New Roman" w:cs="Times New Roman"/>
          <w:iCs/>
          <w:sz w:val="24"/>
          <w:szCs w:val="24"/>
        </w:rPr>
        <w:t xml:space="preserve">du droit étranger applicable qui pourrait s'appliquer à la place de la norme contraire à l'ordre public du for semble bienvenue. </w:t>
      </w:r>
      <w:bookmarkStart w:id="36" w:name="_Hlk185959361"/>
      <w:r w:rsidR="00E2019B" w:rsidRPr="006449A5">
        <w:rPr>
          <w:rFonts w:ascii="Times New Roman" w:hAnsi="Times New Roman" w:cs="Times New Roman"/>
          <w:iCs/>
          <w:sz w:val="24"/>
          <w:szCs w:val="24"/>
        </w:rPr>
        <w:t xml:space="preserve">Dans ce cadre, l’on pourrait suggérer que, lorsqu’une telle norme n’existe pas dans le droit étatique coutumier ou religieux concerné, au lieu de se diriger alors vers le droit du for, il faudrait plutôt rechercher à </w:t>
      </w:r>
      <w:r w:rsidR="00AD557F" w:rsidRPr="006449A5">
        <w:rPr>
          <w:rFonts w:ascii="Times New Roman" w:hAnsi="Times New Roman" w:cs="Times New Roman"/>
          <w:iCs/>
          <w:sz w:val="24"/>
          <w:szCs w:val="24"/>
        </w:rPr>
        <w:t>appliquer d'autres lois postcoloniales du même État (par exemple, le droit coutumier au lieu du droit étatique), ou le même droit étatique, coutumier ou religieux d'un autre État postcolonial</w:t>
      </w:r>
      <w:r w:rsidR="00E2019B" w:rsidRPr="006449A5">
        <w:rPr>
          <w:rFonts w:ascii="Times New Roman" w:hAnsi="Times New Roman" w:cs="Times New Roman"/>
          <w:iCs/>
          <w:sz w:val="24"/>
          <w:szCs w:val="24"/>
        </w:rPr>
        <w:t xml:space="preserve"> voisin, si cela semble approprié, compte tenu du respect du pluralisme juridique idiosyncrasique et de l'histoire coloniale de chaque État postcolonial</w:t>
      </w:r>
      <w:r w:rsidR="00AD557F" w:rsidRPr="006449A5">
        <w:rPr>
          <w:rFonts w:ascii="Times New Roman" w:hAnsi="Times New Roman" w:cs="Times New Roman"/>
          <w:iCs/>
          <w:sz w:val="24"/>
          <w:szCs w:val="24"/>
        </w:rPr>
        <w:t>.</w:t>
      </w:r>
      <w:bookmarkEnd w:id="36"/>
    </w:p>
    <w:p w14:paraId="48621072" w14:textId="0DF4518F" w:rsidR="0014779F" w:rsidRPr="006449A5" w:rsidRDefault="00D95C0A" w:rsidP="001427F5">
      <w:pPr>
        <w:rPr>
          <w:rFonts w:ascii="Times New Roman" w:hAnsi="Times New Roman" w:cs="Times New Roman"/>
          <w:iCs/>
          <w:sz w:val="24"/>
          <w:szCs w:val="24"/>
        </w:rPr>
      </w:pPr>
      <w:bookmarkStart w:id="37" w:name="_Hlk185959537"/>
      <w:r w:rsidRPr="006449A5">
        <w:rPr>
          <w:rFonts w:ascii="Times New Roman" w:hAnsi="Times New Roman" w:cs="Times New Roman"/>
          <w:iCs/>
          <w:sz w:val="24"/>
          <w:szCs w:val="24"/>
        </w:rPr>
        <w:t>Troisièmement</w:t>
      </w:r>
      <w:r w:rsidR="00AD557F" w:rsidRPr="006449A5">
        <w:rPr>
          <w:rFonts w:ascii="Times New Roman" w:hAnsi="Times New Roman" w:cs="Times New Roman"/>
          <w:iCs/>
          <w:sz w:val="24"/>
          <w:szCs w:val="24"/>
        </w:rPr>
        <w:t xml:space="preserve">, </w:t>
      </w:r>
      <w:r w:rsidR="001D2250" w:rsidRPr="006449A5">
        <w:rPr>
          <w:rFonts w:ascii="Times New Roman" w:hAnsi="Times New Roman" w:cs="Times New Roman"/>
          <w:iCs/>
          <w:sz w:val="24"/>
          <w:szCs w:val="24"/>
        </w:rPr>
        <w:t xml:space="preserve">d’un point de vue </w:t>
      </w:r>
      <w:proofErr w:type="spellStart"/>
      <w:r w:rsidR="001D2250" w:rsidRPr="006449A5">
        <w:rPr>
          <w:rFonts w:ascii="Times New Roman" w:hAnsi="Times New Roman" w:cs="Times New Roman"/>
          <w:iCs/>
          <w:sz w:val="24"/>
          <w:szCs w:val="24"/>
        </w:rPr>
        <w:t>décolonial</w:t>
      </w:r>
      <w:proofErr w:type="spellEnd"/>
      <w:r w:rsidR="001D2250" w:rsidRPr="006449A5">
        <w:rPr>
          <w:rFonts w:ascii="Times New Roman" w:hAnsi="Times New Roman" w:cs="Times New Roman"/>
          <w:iCs/>
          <w:sz w:val="24"/>
          <w:szCs w:val="24"/>
        </w:rPr>
        <w:t>,</w:t>
      </w:r>
      <w:r w:rsidR="00AD557F" w:rsidRPr="006449A5">
        <w:rPr>
          <w:rFonts w:ascii="Times New Roman" w:hAnsi="Times New Roman" w:cs="Times New Roman"/>
          <w:iCs/>
          <w:sz w:val="24"/>
          <w:szCs w:val="24"/>
        </w:rPr>
        <w:t xml:space="preserve"> les valeurs protégées par l'ordre public </w:t>
      </w:r>
      <w:r w:rsidRPr="006449A5">
        <w:rPr>
          <w:rFonts w:ascii="Times New Roman" w:hAnsi="Times New Roman" w:cs="Times New Roman"/>
          <w:iCs/>
          <w:sz w:val="24"/>
          <w:szCs w:val="24"/>
        </w:rPr>
        <w:t>devraient pouvoir</w:t>
      </w:r>
      <w:r w:rsidR="00AD557F" w:rsidRPr="006449A5">
        <w:rPr>
          <w:rFonts w:ascii="Times New Roman" w:hAnsi="Times New Roman" w:cs="Times New Roman"/>
          <w:iCs/>
          <w:sz w:val="24"/>
          <w:szCs w:val="24"/>
        </w:rPr>
        <w:t xml:space="preserve"> être considérées </w:t>
      </w:r>
      <w:r w:rsidRPr="006449A5">
        <w:rPr>
          <w:rFonts w:ascii="Times New Roman" w:hAnsi="Times New Roman" w:cs="Times New Roman"/>
          <w:iCs/>
          <w:sz w:val="24"/>
          <w:szCs w:val="24"/>
        </w:rPr>
        <w:t xml:space="preserve">par le juge </w:t>
      </w:r>
      <w:r w:rsidR="00AD557F" w:rsidRPr="006449A5">
        <w:rPr>
          <w:rFonts w:ascii="Times New Roman" w:hAnsi="Times New Roman" w:cs="Times New Roman"/>
          <w:iCs/>
          <w:sz w:val="24"/>
          <w:szCs w:val="24"/>
        </w:rPr>
        <w:t>au-delà de l'ordre public lui-même</w:t>
      </w:r>
      <w:r w:rsidRPr="006449A5">
        <w:rPr>
          <w:rFonts w:ascii="Times New Roman" w:hAnsi="Times New Roman" w:cs="Times New Roman"/>
          <w:iCs/>
          <w:sz w:val="24"/>
          <w:szCs w:val="24"/>
        </w:rPr>
        <w:t>,</w:t>
      </w:r>
      <w:r w:rsidR="00AD557F" w:rsidRPr="006449A5">
        <w:rPr>
          <w:rFonts w:ascii="Times New Roman" w:hAnsi="Times New Roman" w:cs="Times New Roman"/>
          <w:iCs/>
          <w:sz w:val="24"/>
          <w:szCs w:val="24"/>
        </w:rPr>
        <w:t xml:space="preserve"> afin d'embrasser le point de vue de la partie </w:t>
      </w:r>
      <w:r w:rsidRPr="006449A5">
        <w:rPr>
          <w:rFonts w:ascii="Times New Roman" w:hAnsi="Times New Roman" w:cs="Times New Roman"/>
          <w:iCs/>
          <w:sz w:val="24"/>
          <w:szCs w:val="24"/>
        </w:rPr>
        <w:t xml:space="preserve">postcoloniale </w:t>
      </w:r>
      <w:r w:rsidR="005972A5">
        <w:rPr>
          <w:rFonts w:ascii="Times New Roman" w:hAnsi="Times New Roman" w:cs="Times New Roman"/>
          <w:iCs/>
          <w:sz w:val="24"/>
          <w:szCs w:val="24"/>
        </w:rPr>
        <w:t>c</w:t>
      </w:r>
      <w:r w:rsidRPr="006449A5">
        <w:rPr>
          <w:rFonts w:ascii="Times New Roman" w:hAnsi="Times New Roman" w:cs="Times New Roman"/>
          <w:iCs/>
          <w:sz w:val="24"/>
          <w:szCs w:val="24"/>
        </w:rPr>
        <w:t>ensée être protégée</w:t>
      </w:r>
      <w:r w:rsidR="00AD557F" w:rsidRPr="006449A5">
        <w:rPr>
          <w:rFonts w:ascii="Times New Roman" w:hAnsi="Times New Roman" w:cs="Times New Roman"/>
          <w:iCs/>
          <w:sz w:val="24"/>
          <w:szCs w:val="24"/>
        </w:rPr>
        <w:t xml:space="preserve"> par l'exception d'ordre public</w:t>
      </w:r>
      <w:r w:rsidRPr="006449A5">
        <w:rPr>
          <w:rFonts w:ascii="Times New Roman" w:hAnsi="Times New Roman" w:cs="Times New Roman"/>
          <w:iCs/>
          <w:sz w:val="24"/>
          <w:szCs w:val="24"/>
        </w:rPr>
        <w:t xml:space="preserve">, ainsi que la vision du monde postcoloniale en jeu dans le litige. </w:t>
      </w:r>
      <w:r w:rsidR="00AD557F" w:rsidRPr="006449A5">
        <w:rPr>
          <w:rFonts w:ascii="Times New Roman" w:hAnsi="Times New Roman" w:cs="Times New Roman"/>
          <w:iCs/>
          <w:sz w:val="24"/>
          <w:szCs w:val="24"/>
        </w:rPr>
        <w:t>Pour reprendre l'exemple d</w:t>
      </w:r>
      <w:r w:rsidRPr="006449A5">
        <w:rPr>
          <w:rFonts w:ascii="Times New Roman" w:hAnsi="Times New Roman" w:cs="Times New Roman"/>
          <w:iCs/>
          <w:sz w:val="24"/>
          <w:szCs w:val="24"/>
        </w:rPr>
        <w:t xml:space="preserve">iscuté ici, </w:t>
      </w:r>
      <w:r w:rsidR="00AD557F" w:rsidRPr="006449A5">
        <w:rPr>
          <w:rFonts w:ascii="Times New Roman" w:hAnsi="Times New Roman" w:cs="Times New Roman"/>
          <w:iCs/>
          <w:sz w:val="24"/>
          <w:szCs w:val="24"/>
        </w:rPr>
        <w:t>l'interdiction du mariage impliquant un mineur f</w:t>
      </w:r>
      <w:r w:rsidR="005972A5">
        <w:rPr>
          <w:rFonts w:ascii="Times New Roman" w:hAnsi="Times New Roman" w:cs="Times New Roman"/>
          <w:iCs/>
          <w:sz w:val="24"/>
          <w:szCs w:val="24"/>
        </w:rPr>
        <w:t>ait</w:t>
      </w:r>
      <w:r w:rsidR="00AD557F" w:rsidRPr="006449A5">
        <w:rPr>
          <w:rFonts w:ascii="Times New Roman" w:hAnsi="Times New Roman" w:cs="Times New Roman"/>
          <w:iCs/>
          <w:sz w:val="24"/>
          <w:szCs w:val="24"/>
        </w:rPr>
        <w:t xml:space="preserve"> partie de l'ordre public parce </w:t>
      </w:r>
      <w:r w:rsidRPr="006449A5">
        <w:rPr>
          <w:rFonts w:ascii="Times New Roman" w:hAnsi="Times New Roman" w:cs="Times New Roman"/>
          <w:iCs/>
          <w:sz w:val="24"/>
          <w:szCs w:val="24"/>
        </w:rPr>
        <w:t>qu’elle vise</w:t>
      </w:r>
      <w:r w:rsidR="00AD557F" w:rsidRPr="006449A5">
        <w:rPr>
          <w:rFonts w:ascii="Times New Roman" w:hAnsi="Times New Roman" w:cs="Times New Roman"/>
          <w:iCs/>
          <w:sz w:val="24"/>
          <w:szCs w:val="24"/>
        </w:rPr>
        <w:t xml:space="preserve"> à protéger des catégories de personnes vulnérables (les femmes et les mineurs). </w:t>
      </w:r>
      <w:r w:rsidR="001D2250" w:rsidRPr="006449A5">
        <w:rPr>
          <w:rFonts w:ascii="Times New Roman" w:hAnsi="Times New Roman" w:cs="Times New Roman"/>
          <w:iCs/>
          <w:sz w:val="24"/>
          <w:szCs w:val="24"/>
        </w:rPr>
        <w:t>Pour</w:t>
      </w:r>
      <w:r w:rsidRPr="006449A5">
        <w:rPr>
          <w:rFonts w:ascii="Times New Roman" w:hAnsi="Times New Roman" w:cs="Times New Roman"/>
          <w:iCs/>
          <w:sz w:val="24"/>
          <w:szCs w:val="24"/>
        </w:rPr>
        <w:t xml:space="preserve"> l’appliquer, </w:t>
      </w:r>
      <w:r w:rsidR="00AD557F" w:rsidRPr="006449A5">
        <w:rPr>
          <w:rFonts w:ascii="Times New Roman" w:hAnsi="Times New Roman" w:cs="Times New Roman"/>
          <w:iCs/>
          <w:sz w:val="24"/>
          <w:szCs w:val="24"/>
        </w:rPr>
        <w:t xml:space="preserve">le juge </w:t>
      </w:r>
      <w:r w:rsidR="001D2250" w:rsidRPr="006449A5">
        <w:rPr>
          <w:rFonts w:ascii="Times New Roman" w:hAnsi="Times New Roman" w:cs="Times New Roman"/>
          <w:iCs/>
          <w:sz w:val="24"/>
          <w:szCs w:val="24"/>
        </w:rPr>
        <w:t>pourrait examiner de manière systématique</w:t>
      </w:r>
      <w:r w:rsidR="00AD557F" w:rsidRPr="006449A5">
        <w:rPr>
          <w:rFonts w:ascii="Times New Roman" w:hAnsi="Times New Roman" w:cs="Times New Roman"/>
          <w:iCs/>
          <w:sz w:val="24"/>
          <w:szCs w:val="24"/>
        </w:rPr>
        <w:t xml:space="preserve"> si, en appliquant l'exception d'ordre public, la situation économique, sociale ou psychologique de la personne vulnérable concernée serait améliorée ou au contraire aggravée. Si elle est aggravée, l'exception ne devrait pas être appliquée</w:t>
      </w:r>
      <w:r w:rsidRPr="006449A5">
        <w:rPr>
          <w:rFonts w:ascii="Times New Roman" w:hAnsi="Times New Roman" w:cs="Times New Roman"/>
          <w:iCs/>
          <w:sz w:val="24"/>
          <w:szCs w:val="24"/>
        </w:rPr>
        <w:t xml:space="preserve"> (c</w:t>
      </w:r>
      <w:r w:rsidR="00AD557F" w:rsidRPr="006449A5">
        <w:rPr>
          <w:rFonts w:ascii="Times New Roman" w:hAnsi="Times New Roman" w:cs="Times New Roman"/>
          <w:iCs/>
          <w:sz w:val="24"/>
          <w:szCs w:val="24"/>
        </w:rPr>
        <w:t xml:space="preserve">e qui a </w:t>
      </w:r>
      <w:r w:rsidRPr="006449A5">
        <w:rPr>
          <w:rFonts w:ascii="Times New Roman" w:hAnsi="Times New Roman" w:cs="Times New Roman"/>
          <w:iCs/>
          <w:sz w:val="24"/>
          <w:szCs w:val="24"/>
        </w:rPr>
        <w:t xml:space="preserve">d’ailleurs </w:t>
      </w:r>
      <w:r w:rsidR="00AD557F" w:rsidRPr="006449A5">
        <w:rPr>
          <w:rFonts w:ascii="Times New Roman" w:hAnsi="Times New Roman" w:cs="Times New Roman"/>
          <w:iCs/>
          <w:sz w:val="24"/>
          <w:szCs w:val="24"/>
        </w:rPr>
        <w:t xml:space="preserve">déjà été suggéré en dehors du cadre </w:t>
      </w:r>
      <w:proofErr w:type="spellStart"/>
      <w:r w:rsidR="00AD557F" w:rsidRPr="006449A5">
        <w:rPr>
          <w:rFonts w:ascii="Times New Roman" w:hAnsi="Times New Roman" w:cs="Times New Roman"/>
          <w:iCs/>
          <w:sz w:val="24"/>
          <w:szCs w:val="24"/>
        </w:rPr>
        <w:t>décolonial</w:t>
      </w:r>
      <w:proofErr w:type="spellEnd"/>
      <w:r w:rsidR="00AD557F" w:rsidRPr="006449A5">
        <w:rPr>
          <w:rFonts w:ascii="Times New Roman" w:hAnsi="Times New Roman" w:cs="Times New Roman"/>
          <w:iCs/>
          <w:sz w:val="24"/>
          <w:szCs w:val="24"/>
          <w:vertAlign w:val="superscript"/>
        </w:rPr>
        <w:footnoteReference w:id="109"/>
      </w:r>
      <w:r w:rsidRPr="006449A5">
        <w:rPr>
          <w:rFonts w:ascii="Times New Roman" w:hAnsi="Times New Roman" w:cs="Times New Roman"/>
          <w:iCs/>
          <w:sz w:val="24"/>
          <w:szCs w:val="24"/>
        </w:rPr>
        <w:t xml:space="preserve">). En outre, </w:t>
      </w:r>
      <w:r w:rsidR="001D2250" w:rsidRPr="006449A5">
        <w:rPr>
          <w:rFonts w:ascii="Times New Roman" w:hAnsi="Times New Roman" w:cs="Times New Roman"/>
          <w:iCs/>
          <w:sz w:val="24"/>
          <w:szCs w:val="24"/>
        </w:rPr>
        <w:t xml:space="preserve">dans ce genre de case, le juge pourrait prendre en compte les visions postcoloniales en présence – soit, dans le cas d’espèce, </w:t>
      </w:r>
      <w:r w:rsidR="00FF7B54" w:rsidRPr="006449A5">
        <w:rPr>
          <w:rFonts w:ascii="Times New Roman" w:hAnsi="Times New Roman" w:cs="Times New Roman"/>
          <w:iCs/>
          <w:sz w:val="24"/>
          <w:szCs w:val="24"/>
        </w:rPr>
        <w:t xml:space="preserve">la définition de la famille, et la signification subséquente du mariage, selon les valeurs, principes et ou règles </w:t>
      </w:r>
      <w:proofErr w:type="spellStart"/>
      <w:r w:rsidR="00FF7B54" w:rsidRPr="006449A5">
        <w:rPr>
          <w:rFonts w:ascii="Times New Roman" w:hAnsi="Times New Roman" w:cs="Times New Roman"/>
          <w:iCs/>
          <w:sz w:val="24"/>
          <w:szCs w:val="24"/>
        </w:rPr>
        <w:t>Xeer</w:t>
      </w:r>
      <w:proofErr w:type="spellEnd"/>
      <w:r w:rsidR="00FF7B54" w:rsidRPr="006449A5">
        <w:rPr>
          <w:rFonts w:ascii="Times New Roman" w:hAnsi="Times New Roman" w:cs="Times New Roman"/>
          <w:iCs/>
          <w:sz w:val="24"/>
          <w:szCs w:val="24"/>
        </w:rPr>
        <w:t xml:space="preserve"> pertinents. </w:t>
      </w:r>
      <w:r w:rsidR="001D2250" w:rsidRPr="006449A5">
        <w:rPr>
          <w:rFonts w:ascii="Times New Roman" w:hAnsi="Times New Roman" w:cs="Times New Roman"/>
          <w:iCs/>
          <w:sz w:val="24"/>
          <w:szCs w:val="24"/>
        </w:rPr>
        <w:t xml:space="preserve">Peut-être qu’au vu </w:t>
      </w:r>
      <w:r w:rsidR="005972A5">
        <w:rPr>
          <w:rFonts w:ascii="Times New Roman" w:hAnsi="Times New Roman" w:cs="Times New Roman"/>
          <w:iCs/>
          <w:sz w:val="24"/>
          <w:szCs w:val="24"/>
        </w:rPr>
        <w:t xml:space="preserve">de ces </w:t>
      </w:r>
      <w:proofErr w:type="spellStart"/>
      <w:r w:rsidR="005972A5">
        <w:rPr>
          <w:rFonts w:ascii="Times New Roman" w:hAnsi="Times New Roman" w:cs="Times New Roman"/>
          <w:iCs/>
          <w:sz w:val="24"/>
          <w:szCs w:val="24"/>
        </w:rPr>
        <w:t>élements</w:t>
      </w:r>
      <w:proofErr w:type="spellEnd"/>
      <w:r w:rsidR="001D2250" w:rsidRPr="006449A5">
        <w:rPr>
          <w:rFonts w:ascii="Times New Roman" w:hAnsi="Times New Roman" w:cs="Times New Roman"/>
          <w:iCs/>
          <w:sz w:val="24"/>
          <w:szCs w:val="24"/>
        </w:rPr>
        <w:t xml:space="preserve">, dans un cas donné, un mariage impliquant une mineure peut apparaitre en réalité compatible avec l’objectif de protection de la femme mineure justifiant son interdiction dans le for européen. La question pourrait en tout cas être examinée. </w:t>
      </w:r>
    </w:p>
    <w:bookmarkEnd w:id="37"/>
    <w:p w14:paraId="2D70E735" w14:textId="77777777" w:rsidR="009200B0" w:rsidRPr="00A06CCC" w:rsidRDefault="009200B0" w:rsidP="009200B0">
      <w:pPr>
        <w:rPr>
          <w:rFonts w:ascii="Times New Roman" w:hAnsi="Times New Roman" w:cs="Times New Roman"/>
          <w:sz w:val="28"/>
          <w:szCs w:val="28"/>
          <w:u w:val="single"/>
          <w:lang w:val="en-US"/>
        </w:rPr>
      </w:pPr>
      <w:proofErr w:type="spellStart"/>
      <w:r w:rsidRPr="00A06CCC">
        <w:rPr>
          <w:rFonts w:ascii="Times New Roman" w:hAnsi="Times New Roman" w:cs="Times New Roman"/>
          <w:sz w:val="28"/>
          <w:szCs w:val="28"/>
          <w:u w:val="single"/>
          <w:lang w:val="en-US"/>
        </w:rPr>
        <w:t>Royaume</w:t>
      </w:r>
      <w:proofErr w:type="spellEnd"/>
      <w:r w:rsidRPr="00A06CCC">
        <w:rPr>
          <w:rFonts w:ascii="Times New Roman" w:hAnsi="Times New Roman" w:cs="Times New Roman"/>
          <w:sz w:val="28"/>
          <w:szCs w:val="28"/>
          <w:u w:val="single"/>
          <w:lang w:val="en-US"/>
        </w:rPr>
        <w:t xml:space="preserve">-Uni: </w:t>
      </w:r>
      <w:bookmarkStart w:id="38" w:name="_Hlk155888540"/>
      <w:r w:rsidRPr="00A06CCC">
        <w:rPr>
          <w:rFonts w:ascii="Times New Roman" w:hAnsi="Times New Roman" w:cs="Times New Roman"/>
          <w:sz w:val="28"/>
          <w:szCs w:val="28"/>
          <w:u w:val="single"/>
          <w:lang w:val="en-US"/>
        </w:rPr>
        <w:t>X v Secretary of State for the Home Department [2021] EWHC 355 (Fam)</w:t>
      </w:r>
      <w:bookmarkEnd w:id="38"/>
    </w:p>
    <w:p w14:paraId="1ED2F105" w14:textId="3711E07C" w:rsidR="009840DD" w:rsidRPr="006449A5" w:rsidRDefault="009840DD" w:rsidP="009840DD">
      <w:pPr>
        <w:rPr>
          <w:rFonts w:ascii="Times New Roman" w:hAnsi="Times New Roman" w:cs="Times New Roman"/>
          <w:iCs/>
          <w:sz w:val="24"/>
          <w:szCs w:val="24"/>
        </w:rPr>
      </w:pPr>
      <w:r w:rsidRPr="006449A5">
        <w:rPr>
          <w:rFonts w:ascii="Times New Roman" w:hAnsi="Times New Roman" w:cs="Times New Roman"/>
          <w:iCs/>
          <w:sz w:val="24"/>
          <w:szCs w:val="24"/>
        </w:rPr>
        <w:t>Dans cette affaire, une femme nommée X cherchait à faire reconnaître par les autorités britanniques l'adoption de Z au Nigeria, établie par le jugement d'un tribunal nigérian. Ce jugement constitue l'ordonnance d'adoption. En vertu des règles britanniques applicables en matière de DIP, cette adoption devait être reconnue dans le forum si elle remplissait les conditions énoncées dans l'</w:t>
      </w:r>
      <w:r w:rsidRPr="006449A5">
        <w:rPr>
          <w:rFonts w:ascii="Times New Roman" w:hAnsi="Times New Roman" w:cs="Times New Roman"/>
          <w:sz w:val="24"/>
          <w:szCs w:val="24"/>
        </w:rPr>
        <w:t xml:space="preserve">affaire </w:t>
      </w:r>
      <w:r w:rsidRPr="006449A5">
        <w:rPr>
          <w:rFonts w:ascii="Times New Roman" w:hAnsi="Times New Roman" w:cs="Times New Roman"/>
          <w:i/>
          <w:sz w:val="24"/>
          <w:szCs w:val="24"/>
        </w:rPr>
        <w:t xml:space="preserve">In </w:t>
      </w:r>
      <w:r w:rsidRPr="006449A5">
        <w:rPr>
          <w:rFonts w:ascii="Times New Roman" w:hAnsi="Times New Roman" w:cs="Times New Roman"/>
          <w:i/>
          <w:iCs/>
          <w:sz w:val="24"/>
          <w:szCs w:val="24"/>
        </w:rPr>
        <w:t xml:space="preserve">re </w:t>
      </w:r>
      <w:proofErr w:type="spellStart"/>
      <w:r w:rsidR="000E0648" w:rsidRPr="006449A5">
        <w:rPr>
          <w:rFonts w:ascii="Times New Roman" w:hAnsi="Times New Roman" w:cs="Times New Roman"/>
          <w:i/>
          <w:iCs/>
          <w:sz w:val="24"/>
          <w:szCs w:val="24"/>
        </w:rPr>
        <w:t>Valentine's</w:t>
      </w:r>
      <w:proofErr w:type="spellEnd"/>
      <w:r w:rsidR="000E0648" w:rsidRPr="006449A5">
        <w:rPr>
          <w:rFonts w:ascii="Times New Roman" w:hAnsi="Times New Roman" w:cs="Times New Roman"/>
          <w:i/>
          <w:iCs/>
          <w:sz w:val="24"/>
          <w:szCs w:val="24"/>
        </w:rPr>
        <w:t xml:space="preserve"> </w:t>
      </w:r>
      <w:proofErr w:type="spellStart"/>
      <w:r w:rsidR="000E0648" w:rsidRPr="006449A5">
        <w:rPr>
          <w:rFonts w:ascii="Times New Roman" w:hAnsi="Times New Roman" w:cs="Times New Roman"/>
          <w:i/>
          <w:iCs/>
          <w:sz w:val="24"/>
          <w:szCs w:val="24"/>
        </w:rPr>
        <w:t>Settlement</w:t>
      </w:r>
      <w:proofErr w:type="spellEnd"/>
      <w:r w:rsidR="000E0648" w:rsidRPr="006449A5">
        <w:rPr>
          <w:rFonts w:ascii="Times New Roman" w:hAnsi="Times New Roman" w:cs="Times New Roman"/>
          <w:vertAlign w:val="superscript"/>
        </w:rPr>
        <w:footnoteReference w:id="110"/>
      </w:r>
      <w:r w:rsidRPr="006449A5">
        <w:rPr>
          <w:rFonts w:ascii="Times New Roman" w:hAnsi="Times New Roman" w:cs="Times New Roman"/>
          <w:sz w:val="24"/>
          <w:szCs w:val="24"/>
          <w:vertAlign w:val="superscript"/>
        </w:rPr>
        <w:t xml:space="preserve"> </w:t>
      </w:r>
      <w:r w:rsidRPr="006449A5">
        <w:rPr>
          <w:rFonts w:ascii="Times New Roman" w:hAnsi="Times New Roman" w:cs="Times New Roman"/>
          <w:i/>
          <w:iCs/>
          <w:sz w:val="24"/>
          <w:szCs w:val="24"/>
        </w:rPr>
        <w:t xml:space="preserve">, </w:t>
      </w:r>
      <w:r w:rsidRPr="006449A5">
        <w:rPr>
          <w:rFonts w:ascii="Times New Roman" w:hAnsi="Times New Roman" w:cs="Times New Roman"/>
          <w:iCs/>
          <w:sz w:val="24"/>
          <w:szCs w:val="24"/>
        </w:rPr>
        <w:t xml:space="preserve">y compris le respect des </w:t>
      </w:r>
      <w:r w:rsidRPr="006449A5">
        <w:rPr>
          <w:rFonts w:ascii="Times New Roman" w:hAnsi="Times New Roman" w:cs="Times New Roman"/>
          <w:iCs/>
          <w:sz w:val="24"/>
          <w:szCs w:val="24"/>
        </w:rPr>
        <w:lastRenderedPageBreak/>
        <w:t>exigences du droit étranger en matière d'adoption. À cet égard, il convient de noter que le Nigeria est un État fédéral et que l'État concerné au sein de la fédération est l'</w:t>
      </w:r>
      <w:proofErr w:type="spellStart"/>
      <w:r w:rsidRPr="006449A5">
        <w:rPr>
          <w:rFonts w:ascii="Times New Roman" w:hAnsi="Times New Roman" w:cs="Times New Roman"/>
          <w:iCs/>
          <w:sz w:val="24"/>
          <w:szCs w:val="24"/>
        </w:rPr>
        <w:t>Anambra</w:t>
      </w:r>
      <w:proofErr w:type="spellEnd"/>
      <w:r w:rsidRPr="006449A5">
        <w:rPr>
          <w:rFonts w:ascii="Times New Roman" w:hAnsi="Times New Roman" w:cs="Times New Roman"/>
          <w:iCs/>
          <w:sz w:val="24"/>
          <w:szCs w:val="24"/>
        </w:rPr>
        <w:t>. Dans cet État, l</w:t>
      </w:r>
      <w:r w:rsidR="007F1A4E" w:rsidRPr="006449A5">
        <w:rPr>
          <w:rFonts w:ascii="Times New Roman" w:hAnsi="Times New Roman" w:cs="Times New Roman"/>
          <w:iCs/>
          <w:sz w:val="24"/>
          <w:szCs w:val="24"/>
        </w:rPr>
        <w:t>’article</w:t>
      </w:r>
      <w:r w:rsidRPr="006449A5">
        <w:rPr>
          <w:rFonts w:ascii="Times New Roman" w:hAnsi="Times New Roman" w:cs="Times New Roman"/>
          <w:iCs/>
          <w:sz w:val="24"/>
          <w:szCs w:val="24"/>
        </w:rPr>
        <w:t xml:space="preserve">134(b) de la </w:t>
      </w:r>
      <w:r w:rsidRPr="006449A5">
        <w:rPr>
          <w:rFonts w:ascii="Times New Roman" w:hAnsi="Times New Roman" w:cs="Times New Roman"/>
          <w:sz w:val="24"/>
          <w:szCs w:val="24"/>
        </w:rPr>
        <w:t>loi sur les droits de l'enfant</w:t>
      </w:r>
      <w:r w:rsidRPr="006449A5">
        <w:rPr>
          <w:rFonts w:ascii="Times New Roman" w:hAnsi="Times New Roman" w:cs="Times New Roman"/>
          <w:iCs/>
          <w:sz w:val="24"/>
          <w:szCs w:val="24"/>
        </w:rPr>
        <w:t xml:space="preserve"> de 2004 prévoit que l'adoption exige que l'adoptant (ou l'un d'entre eux s'il y en a deux) et la personne adoptée résident dans le même État. Cette question n'est pas abordée dans l'ordonnance d'adoption, qui ne fait pas référence à l'article 134 et n'interprète donc pas la notion de résidence dans ce contexte</w:t>
      </w:r>
      <w:r w:rsidRPr="006449A5">
        <w:rPr>
          <w:rFonts w:ascii="Times New Roman" w:hAnsi="Times New Roman" w:cs="Times New Roman"/>
          <w:iCs/>
          <w:sz w:val="24"/>
          <w:szCs w:val="24"/>
          <w:vertAlign w:val="superscript"/>
        </w:rPr>
        <w:footnoteReference w:id="111"/>
      </w:r>
      <w:r w:rsidRPr="006449A5">
        <w:rPr>
          <w:rFonts w:ascii="Times New Roman" w:hAnsi="Times New Roman" w:cs="Times New Roman"/>
          <w:iCs/>
          <w:sz w:val="24"/>
          <w:szCs w:val="24"/>
        </w:rPr>
        <w:t xml:space="preserve"> . </w:t>
      </w:r>
      <w:r w:rsidR="005972A5">
        <w:rPr>
          <w:rFonts w:ascii="Times New Roman" w:hAnsi="Times New Roman" w:cs="Times New Roman"/>
          <w:iCs/>
          <w:sz w:val="24"/>
          <w:szCs w:val="24"/>
        </w:rPr>
        <w:t>L</w:t>
      </w:r>
      <w:r w:rsidRPr="006449A5">
        <w:rPr>
          <w:rFonts w:ascii="Times New Roman" w:hAnsi="Times New Roman" w:cs="Times New Roman"/>
          <w:iCs/>
          <w:sz w:val="24"/>
          <w:szCs w:val="24"/>
        </w:rPr>
        <w:t xml:space="preserve">es autorités britanniques contestent que X réside au Nigéria, où réside Z, puisqu'elle vit entre le Nigéria et le Royaume-Uni. Elles </w:t>
      </w:r>
      <w:r w:rsidR="005972A5" w:rsidRPr="005972A5">
        <w:rPr>
          <w:rFonts w:ascii="Times New Roman" w:hAnsi="Times New Roman" w:cs="Times New Roman"/>
          <w:iCs/>
          <w:sz w:val="24"/>
          <w:szCs w:val="24"/>
        </w:rPr>
        <w:t>refusent donc de reconnaitre la décision d’adoption en raison de sa contrariété avec l’article</w:t>
      </w:r>
      <w:r w:rsidR="005972A5">
        <w:rPr>
          <w:rFonts w:ascii="Times New Roman" w:hAnsi="Times New Roman" w:cs="Times New Roman"/>
          <w:iCs/>
          <w:sz w:val="24"/>
          <w:szCs w:val="24"/>
        </w:rPr>
        <w:t xml:space="preserve"> </w:t>
      </w:r>
      <w:r w:rsidRPr="006449A5">
        <w:rPr>
          <w:rFonts w:ascii="Times New Roman" w:hAnsi="Times New Roman" w:cs="Times New Roman"/>
          <w:iCs/>
          <w:sz w:val="24"/>
          <w:szCs w:val="24"/>
        </w:rPr>
        <w:t xml:space="preserve">134(b). X conteste ce point de vue, affirmant que sa résidence est au Nigéria. </w:t>
      </w:r>
    </w:p>
    <w:p w14:paraId="1D75205D" w14:textId="7A3A1FCD" w:rsidR="009840DD" w:rsidRPr="006449A5" w:rsidRDefault="009840DD" w:rsidP="009840DD">
      <w:pPr>
        <w:rPr>
          <w:rFonts w:ascii="Times New Roman" w:hAnsi="Times New Roman" w:cs="Times New Roman"/>
          <w:iCs/>
          <w:sz w:val="24"/>
          <w:szCs w:val="24"/>
        </w:rPr>
      </w:pPr>
      <w:r w:rsidRPr="006449A5">
        <w:rPr>
          <w:rFonts w:ascii="Times New Roman" w:hAnsi="Times New Roman" w:cs="Times New Roman"/>
          <w:iCs/>
          <w:sz w:val="24"/>
          <w:szCs w:val="24"/>
        </w:rPr>
        <w:t>Selon les faits rapportés par le juge, X est née en Grande-Bretagne alors que ses parents s'y trouvaient avec des visas temporaires</w:t>
      </w:r>
      <w:r w:rsidR="000E0648" w:rsidRPr="006449A5">
        <w:rPr>
          <w:rFonts w:ascii="Times New Roman" w:hAnsi="Times New Roman" w:cs="Times New Roman"/>
          <w:iCs/>
          <w:sz w:val="24"/>
          <w:szCs w:val="24"/>
        </w:rPr>
        <w:t>,</w:t>
      </w:r>
      <w:r w:rsidRPr="006449A5">
        <w:rPr>
          <w:rFonts w:ascii="Times New Roman" w:hAnsi="Times New Roman" w:cs="Times New Roman"/>
          <w:iCs/>
          <w:sz w:val="24"/>
          <w:szCs w:val="24"/>
        </w:rPr>
        <w:t xml:space="preserve"> mais a vécu à </w:t>
      </w:r>
      <w:proofErr w:type="spellStart"/>
      <w:r w:rsidRPr="006449A5">
        <w:rPr>
          <w:rFonts w:ascii="Times New Roman" w:hAnsi="Times New Roman" w:cs="Times New Roman"/>
          <w:iCs/>
          <w:sz w:val="24"/>
          <w:szCs w:val="24"/>
        </w:rPr>
        <w:t>Anambra</w:t>
      </w:r>
      <w:proofErr w:type="spellEnd"/>
      <w:r w:rsidRPr="006449A5">
        <w:rPr>
          <w:rFonts w:ascii="Times New Roman" w:hAnsi="Times New Roman" w:cs="Times New Roman"/>
          <w:iCs/>
          <w:sz w:val="24"/>
          <w:szCs w:val="24"/>
        </w:rPr>
        <w:t xml:space="preserve"> de 3 mois à 25 ans, s'y est mariée, y a eu trois enfants, y possède toujours la résidence familiale et y construit sa maison de retraite. Depuis 1991, X a vécu la plupart du temps au Royaume-Uni, où elle a également acquis une propriété, mais où elle a d'abord loué des logements à court terme pour travailler et subvenir aux besoins de sa famille. Lorsqu'elle a demandé à adopter Z en 2014, année de son divorce au Nigéria, elle a confié Z à sa mère. Toutefois, elle en assume l'entière responsabilité financière et prend toutes les décisions relatives à son éducation.  </w:t>
      </w:r>
    </w:p>
    <w:p w14:paraId="31675791" w14:textId="73B2B445" w:rsidR="009840DD" w:rsidRPr="006449A5" w:rsidRDefault="009840DD" w:rsidP="009840DD">
      <w:pPr>
        <w:rPr>
          <w:rFonts w:ascii="Times New Roman" w:hAnsi="Times New Roman" w:cs="Times New Roman"/>
          <w:iCs/>
          <w:sz w:val="24"/>
          <w:szCs w:val="24"/>
        </w:rPr>
      </w:pPr>
      <w:r w:rsidRPr="006449A5">
        <w:rPr>
          <w:rFonts w:ascii="Times New Roman" w:hAnsi="Times New Roman" w:cs="Times New Roman"/>
          <w:iCs/>
          <w:sz w:val="24"/>
          <w:szCs w:val="24"/>
        </w:rPr>
        <w:t>Le litige porte donc sur l'interprétation de la notion de résidence en droit nigérian, et plus particulièrement en droit étatique nigérian, étant entendu que</w:t>
      </w:r>
      <w:r w:rsidR="000E0648" w:rsidRPr="006449A5">
        <w:rPr>
          <w:rFonts w:ascii="Times New Roman" w:hAnsi="Times New Roman" w:cs="Times New Roman"/>
          <w:iCs/>
          <w:sz w:val="24"/>
          <w:szCs w:val="24"/>
        </w:rPr>
        <w:t>, selon les contextes,</w:t>
      </w:r>
      <w:r w:rsidRPr="006449A5">
        <w:rPr>
          <w:rFonts w:ascii="Times New Roman" w:hAnsi="Times New Roman" w:cs="Times New Roman"/>
          <w:iCs/>
          <w:sz w:val="24"/>
          <w:szCs w:val="24"/>
        </w:rPr>
        <w:t xml:space="preserve"> la résidence peut être interprétée selon le droit étatique, le droit coutumier ou le droit musulman. </w:t>
      </w:r>
      <w:r w:rsidR="000E0648" w:rsidRPr="006449A5">
        <w:rPr>
          <w:rFonts w:ascii="Times New Roman" w:hAnsi="Times New Roman" w:cs="Times New Roman"/>
          <w:iCs/>
          <w:sz w:val="24"/>
          <w:szCs w:val="24"/>
        </w:rPr>
        <w:t>En effet, l</w:t>
      </w:r>
      <w:r w:rsidRPr="006449A5">
        <w:rPr>
          <w:rFonts w:ascii="Times New Roman" w:hAnsi="Times New Roman" w:cs="Times New Roman"/>
          <w:iCs/>
          <w:sz w:val="24"/>
          <w:szCs w:val="24"/>
        </w:rPr>
        <w:t xml:space="preserve">e Nigeria, ancienne colonie britannique devenue un État indépendant en 1960, </w:t>
      </w:r>
      <w:proofErr w:type="spellStart"/>
      <w:r w:rsidRPr="006449A5">
        <w:rPr>
          <w:rFonts w:ascii="Times New Roman" w:hAnsi="Times New Roman" w:cs="Times New Roman"/>
          <w:iCs/>
          <w:sz w:val="24"/>
          <w:szCs w:val="24"/>
        </w:rPr>
        <w:t>a</w:t>
      </w:r>
      <w:proofErr w:type="spellEnd"/>
      <w:r w:rsidRPr="006449A5">
        <w:rPr>
          <w:rFonts w:ascii="Times New Roman" w:hAnsi="Times New Roman" w:cs="Times New Roman"/>
          <w:iCs/>
          <w:sz w:val="24"/>
          <w:szCs w:val="24"/>
        </w:rPr>
        <w:t xml:space="preserve"> trois sources de droit : le droit étatique, basé sur la </w:t>
      </w:r>
      <w:proofErr w:type="spellStart"/>
      <w:r w:rsidRPr="006449A5">
        <w:rPr>
          <w:rFonts w:ascii="Times New Roman" w:hAnsi="Times New Roman" w:cs="Times New Roman"/>
          <w:i/>
          <w:sz w:val="24"/>
          <w:szCs w:val="24"/>
        </w:rPr>
        <w:t>common</w:t>
      </w:r>
      <w:proofErr w:type="spellEnd"/>
      <w:r w:rsidRPr="006449A5">
        <w:rPr>
          <w:rFonts w:ascii="Times New Roman" w:hAnsi="Times New Roman" w:cs="Times New Roman"/>
          <w:i/>
          <w:sz w:val="24"/>
          <w:szCs w:val="24"/>
        </w:rPr>
        <w:t xml:space="preserve"> </w:t>
      </w:r>
      <w:proofErr w:type="spellStart"/>
      <w:r w:rsidRPr="006449A5">
        <w:rPr>
          <w:rFonts w:ascii="Times New Roman" w:hAnsi="Times New Roman" w:cs="Times New Roman"/>
          <w:i/>
          <w:sz w:val="24"/>
          <w:szCs w:val="24"/>
        </w:rPr>
        <w:t>law</w:t>
      </w:r>
      <w:proofErr w:type="spellEnd"/>
      <w:r w:rsidRPr="006449A5">
        <w:rPr>
          <w:rFonts w:ascii="Times New Roman" w:hAnsi="Times New Roman" w:cs="Times New Roman"/>
          <w:i/>
          <w:sz w:val="24"/>
          <w:szCs w:val="24"/>
        </w:rPr>
        <w:t xml:space="preserve"> </w:t>
      </w:r>
      <w:r w:rsidRPr="006449A5">
        <w:rPr>
          <w:rFonts w:ascii="Times New Roman" w:hAnsi="Times New Roman" w:cs="Times New Roman"/>
          <w:iCs/>
          <w:sz w:val="24"/>
          <w:szCs w:val="24"/>
        </w:rPr>
        <w:t xml:space="preserve">britannique ; le droit coutumier, qui varie en fonction de la communauté concernée ; et la charia (qui y a été importée avant la période </w:t>
      </w:r>
      <w:r w:rsidR="004F09F7" w:rsidRPr="006449A5">
        <w:rPr>
          <w:rFonts w:ascii="Times New Roman" w:hAnsi="Times New Roman" w:cs="Times New Roman"/>
          <w:iCs/>
          <w:sz w:val="24"/>
          <w:szCs w:val="24"/>
        </w:rPr>
        <w:t>coloniale</w:t>
      </w:r>
      <w:r w:rsidRPr="006449A5">
        <w:rPr>
          <w:rFonts w:ascii="Times New Roman" w:hAnsi="Times New Roman" w:cs="Times New Roman"/>
          <w:iCs/>
          <w:sz w:val="24"/>
          <w:szCs w:val="24"/>
        </w:rPr>
        <w:t xml:space="preserve"> britannique)</w:t>
      </w:r>
      <w:r w:rsidRPr="006449A5">
        <w:rPr>
          <w:rFonts w:ascii="Times New Roman" w:hAnsi="Times New Roman" w:cs="Times New Roman"/>
          <w:iCs/>
          <w:sz w:val="24"/>
          <w:szCs w:val="24"/>
          <w:vertAlign w:val="superscript"/>
        </w:rPr>
        <w:footnoteReference w:id="112"/>
      </w:r>
      <w:r w:rsidR="006B0501" w:rsidRPr="006449A5">
        <w:rPr>
          <w:rFonts w:ascii="Times New Roman" w:hAnsi="Times New Roman" w:cs="Times New Roman"/>
          <w:iCs/>
          <w:sz w:val="24"/>
          <w:szCs w:val="24"/>
        </w:rPr>
        <w:t>.</w:t>
      </w:r>
    </w:p>
    <w:p w14:paraId="64972FF6" w14:textId="60B58E2E" w:rsidR="009840DD" w:rsidRPr="006449A5" w:rsidRDefault="009840DD" w:rsidP="009840DD">
      <w:pPr>
        <w:rPr>
          <w:rFonts w:ascii="Times New Roman" w:hAnsi="Times New Roman" w:cs="Times New Roman"/>
          <w:iCs/>
          <w:sz w:val="24"/>
          <w:szCs w:val="24"/>
        </w:rPr>
      </w:pPr>
      <w:r w:rsidRPr="006449A5">
        <w:rPr>
          <w:rFonts w:ascii="Times New Roman" w:hAnsi="Times New Roman" w:cs="Times New Roman"/>
          <w:iCs/>
          <w:sz w:val="24"/>
          <w:szCs w:val="24"/>
        </w:rPr>
        <w:t xml:space="preserve">Devant le tribunal, X présente l'avis d'un témoin expert en droit nigérian, Mme </w:t>
      </w:r>
      <w:proofErr w:type="spellStart"/>
      <w:r w:rsidRPr="006449A5">
        <w:rPr>
          <w:rFonts w:ascii="Times New Roman" w:hAnsi="Times New Roman" w:cs="Times New Roman"/>
          <w:iCs/>
          <w:sz w:val="24"/>
          <w:szCs w:val="24"/>
        </w:rPr>
        <w:t>Omovbude</w:t>
      </w:r>
      <w:proofErr w:type="spellEnd"/>
      <w:r w:rsidRPr="006449A5">
        <w:rPr>
          <w:rFonts w:ascii="Times New Roman" w:hAnsi="Times New Roman" w:cs="Times New Roman"/>
          <w:iCs/>
          <w:sz w:val="24"/>
          <w:szCs w:val="24"/>
        </w:rPr>
        <w:t xml:space="preserve">, qui soutient que la notion de résidence dans ce contexte doit être interprétée conformément à </w:t>
      </w:r>
      <w:r w:rsidR="008E19BE" w:rsidRPr="006449A5">
        <w:rPr>
          <w:rFonts w:ascii="Times New Roman" w:hAnsi="Times New Roman" w:cs="Times New Roman"/>
          <w:iCs/>
          <w:sz w:val="24"/>
          <w:szCs w:val="24"/>
        </w:rPr>
        <w:t xml:space="preserve">« </w:t>
      </w:r>
      <w:r w:rsidRPr="006449A5">
        <w:rPr>
          <w:rFonts w:ascii="Times New Roman" w:hAnsi="Times New Roman" w:cs="Times New Roman"/>
          <w:iCs/>
          <w:sz w:val="24"/>
          <w:szCs w:val="24"/>
        </w:rPr>
        <w:t>la coutume, la tradition et les pratiques culturelles</w:t>
      </w:r>
      <w:r w:rsidR="009F59B0" w:rsidRPr="006449A5">
        <w:rPr>
          <w:rFonts w:ascii="Times New Roman" w:hAnsi="Times New Roman" w:cs="Times New Roman"/>
          <w:iCs/>
          <w:sz w:val="24"/>
          <w:szCs w:val="24"/>
        </w:rPr>
        <w:t xml:space="preserve"> » </w:t>
      </w:r>
      <w:r w:rsidRPr="006449A5">
        <w:rPr>
          <w:rFonts w:ascii="Times New Roman" w:hAnsi="Times New Roman" w:cs="Times New Roman"/>
          <w:iCs/>
          <w:sz w:val="24"/>
          <w:szCs w:val="24"/>
        </w:rPr>
        <w:t>(</w:t>
      </w:r>
      <w:r w:rsidR="000E0648" w:rsidRPr="006449A5">
        <w:rPr>
          <w:rFonts w:ascii="Times New Roman" w:hAnsi="Times New Roman" w:cs="Times New Roman"/>
          <w:iCs/>
          <w:sz w:val="24"/>
          <w:szCs w:val="24"/>
        </w:rPr>
        <w:t>para.</w:t>
      </w:r>
      <w:r w:rsidRPr="006449A5">
        <w:rPr>
          <w:rFonts w:ascii="Times New Roman" w:hAnsi="Times New Roman" w:cs="Times New Roman"/>
          <w:iCs/>
          <w:sz w:val="24"/>
          <w:szCs w:val="24"/>
        </w:rPr>
        <w:t xml:space="preserve"> 41). Ainsi, selon elle, il doit être admis que X réside à la fois en Grande-Bretagne et au Nigeria, compte tenu des liens ancestraux de X avec l'</w:t>
      </w:r>
      <w:proofErr w:type="spellStart"/>
      <w:r w:rsidRPr="006449A5">
        <w:rPr>
          <w:rFonts w:ascii="Times New Roman" w:hAnsi="Times New Roman" w:cs="Times New Roman"/>
          <w:iCs/>
          <w:sz w:val="24"/>
          <w:szCs w:val="24"/>
        </w:rPr>
        <w:t>Anambra</w:t>
      </w:r>
      <w:proofErr w:type="spellEnd"/>
      <w:r w:rsidRPr="006449A5">
        <w:rPr>
          <w:rFonts w:ascii="Times New Roman" w:hAnsi="Times New Roman" w:cs="Times New Roman"/>
          <w:iCs/>
          <w:sz w:val="24"/>
          <w:szCs w:val="24"/>
        </w:rPr>
        <w:t>. Ceci est contesté par le témoin expert des autorités britanniques, qui considère que le droit de l'</w:t>
      </w:r>
      <w:r w:rsidR="007F1A4E" w:rsidRPr="006449A5">
        <w:rPr>
          <w:rFonts w:ascii="Times New Roman" w:hAnsi="Times New Roman" w:cs="Times New Roman"/>
          <w:iCs/>
          <w:sz w:val="24"/>
          <w:szCs w:val="24"/>
        </w:rPr>
        <w:t>État</w:t>
      </w:r>
      <w:r w:rsidRPr="006449A5">
        <w:rPr>
          <w:rFonts w:ascii="Times New Roman" w:hAnsi="Times New Roman" w:cs="Times New Roman"/>
          <w:iCs/>
          <w:sz w:val="24"/>
          <w:szCs w:val="24"/>
        </w:rPr>
        <w:t xml:space="preserve"> nigérian ne doit pas être interprété en s'appuyant sur la coutume, qu'il associe au droit coutumier et doit plutôt refléter le </w:t>
      </w:r>
      <w:r w:rsidR="008E19BE" w:rsidRPr="006449A5">
        <w:rPr>
          <w:rFonts w:ascii="Times New Roman" w:hAnsi="Times New Roman" w:cs="Times New Roman"/>
          <w:iCs/>
          <w:sz w:val="24"/>
          <w:szCs w:val="24"/>
        </w:rPr>
        <w:t xml:space="preserve">« </w:t>
      </w:r>
      <w:r w:rsidRPr="006449A5">
        <w:rPr>
          <w:rFonts w:ascii="Times New Roman" w:hAnsi="Times New Roman" w:cs="Times New Roman"/>
          <w:iCs/>
          <w:sz w:val="24"/>
          <w:szCs w:val="24"/>
        </w:rPr>
        <w:t>sens grammatical ordinaire des mots sans addition, soustraction ou extension de sens</w:t>
      </w:r>
      <w:r w:rsidR="009F59B0" w:rsidRPr="006449A5">
        <w:rPr>
          <w:rFonts w:ascii="Times New Roman" w:hAnsi="Times New Roman" w:cs="Times New Roman"/>
          <w:iCs/>
          <w:sz w:val="24"/>
          <w:szCs w:val="24"/>
        </w:rPr>
        <w:t xml:space="preserve"> »</w:t>
      </w:r>
      <w:r w:rsidRPr="006449A5">
        <w:rPr>
          <w:rFonts w:ascii="Times New Roman" w:hAnsi="Times New Roman" w:cs="Times New Roman"/>
          <w:iCs/>
          <w:sz w:val="24"/>
          <w:szCs w:val="24"/>
        </w:rPr>
        <w:t xml:space="preserve"> (para. 59). Il semble donc que ce sens ne puisse pas inclure la coutume mais un autre </w:t>
      </w:r>
      <w:r w:rsidR="008E19BE" w:rsidRPr="006449A5">
        <w:rPr>
          <w:rFonts w:ascii="Times New Roman" w:hAnsi="Times New Roman" w:cs="Times New Roman"/>
          <w:iCs/>
          <w:sz w:val="24"/>
          <w:szCs w:val="24"/>
        </w:rPr>
        <w:t xml:space="preserve">« </w:t>
      </w:r>
      <w:r w:rsidRPr="006449A5">
        <w:rPr>
          <w:rFonts w:ascii="Times New Roman" w:hAnsi="Times New Roman" w:cs="Times New Roman"/>
          <w:iCs/>
          <w:sz w:val="24"/>
          <w:szCs w:val="24"/>
        </w:rPr>
        <w:t>sens commun</w:t>
      </w:r>
      <w:r w:rsidR="009F59B0" w:rsidRPr="006449A5">
        <w:rPr>
          <w:rFonts w:ascii="Times New Roman" w:hAnsi="Times New Roman" w:cs="Times New Roman"/>
          <w:iCs/>
          <w:sz w:val="24"/>
          <w:szCs w:val="24"/>
        </w:rPr>
        <w:t xml:space="preserve"> »</w:t>
      </w:r>
      <w:r w:rsidRPr="006449A5">
        <w:rPr>
          <w:rFonts w:ascii="Times New Roman" w:hAnsi="Times New Roman" w:cs="Times New Roman"/>
          <w:iCs/>
          <w:sz w:val="24"/>
          <w:szCs w:val="24"/>
        </w:rPr>
        <w:t xml:space="preserve"> concernant la définition de la résidence, car inclure la coutume correspondrait à appliquer le droit coutumier. </w:t>
      </w:r>
    </w:p>
    <w:p w14:paraId="7A240B27" w14:textId="775FCC80" w:rsidR="009840DD" w:rsidRPr="006449A5" w:rsidRDefault="009840DD" w:rsidP="009200B0">
      <w:pPr>
        <w:rPr>
          <w:rFonts w:ascii="Times New Roman" w:hAnsi="Times New Roman" w:cs="Times New Roman"/>
          <w:iCs/>
          <w:sz w:val="24"/>
          <w:szCs w:val="24"/>
        </w:rPr>
      </w:pPr>
      <w:r w:rsidRPr="006449A5">
        <w:rPr>
          <w:rFonts w:ascii="Times New Roman" w:hAnsi="Times New Roman" w:cs="Times New Roman"/>
          <w:iCs/>
          <w:sz w:val="24"/>
          <w:szCs w:val="24"/>
        </w:rPr>
        <w:t xml:space="preserve">Le 18 février 2021, la juge chargée de l'affaire a statué en faveur de X. Elle a estimé que, pour interpréter le concept de résidence en vertu du droit de l'État nigérian, il convenait de tenir compte de la jurisprudence des tribunaux nigérians. En l'absence d'une telle jurisprudence, </w:t>
      </w:r>
      <w:r w:rsidRPr="006449A5">
        <w:rPr>
          <w:rFonts w:ascii="Times New Roman" w:hAnsi="Times New Roman" w:cs="Times New Roman"/>
          <w:iCs/>
          <w:sz w:val="24"/>
          <w:szCs w:val="24"/>
        </w:rPr>
        <w:lastRenderedPageBreak/>
        <w:t xml:space="preserve">c'est la jurisprudence des tribunaux britanniques - et non le droit coutumier nigérian - qui devrait s'appliquer, comme convenu par les deux parties. </w:t>
      </w:r>
      <w:r w:rsidR="000E0648" w:rsidRPr="006449A5">
        <w:rPr>
          <w:rFonts w:ascii="Times New Roman" w:hAnsi="Times New Roman" w:cs="Times New Roman"/>
          <w:iCs/>
          <w:sz w:val="24"/>
          <w:szCs w:val="24"/>
        </w:rPr>
        <w:t>Dès lors</w:t>
      </w:r>
      <w:r w:rsidRPr="006449A5">
        <w:rPr>
          <w:rFonts w:ascii="Times New Roman" w:hAnsi="Times New Roman" w:cs="Times New Roman"/>
          <w:iCs/>
          <w:sz w:val="24"/>
          <w:szCs w:val="24"/>
        </w:rPr>
        <w:t>, l</w:t>
      </w:r>
      <w:r w:rsidR="006B0501" w:rsidRPr="006449A5">
        <w:rPr>
          <w:rFonts w:ascii="Times New Roman" w:hAnsi="Times New Roman" w:cs="Times New Roman"/>
          <w:iCs/>
          <w:sz w:val="24"/>
          <w:szCs w:val="24"/>
        </w:rPr>
        <w:t>a</w:t>
      </w:r>
      <w:r w:rsidRPr="006449A5">
        <w:rPr>
          <w:rFonts w:ascii="Times New Roman" w:hAnsi="Times New Roman" w:cs="Times New Roman"/>
          <w:iCs/>
          <w:sz w:val="24"/>
          <w:szCs w:val="24"/>
        </w:rPr>
        <w:t xml:space="preserve"> juge s'est </w:t>
      </w:r>
      <w:r w:rsidR="006B0501" w:rsidRPr="006449A5">
        <w:rPr>
          <w:rFonts w:ascii="Times New Roman" w:hAnsi="Times New Roman" w:cs="Times New Roman"/>
          <w:iCs/>
          <w:sz w:val="24"/>
          <w:szCs w:val="24"/>
        </w:rPr>
        <w:t>référée</w:t>
      </w:r>
      <w:r w:rsidRPr="006449A5">
        <w:rPr>
          <w:rFonts w:ascii="Times New Roman" w:hAnsi="Times New Roman" w:cs="Times New Roman"/>
          <w:iCs/>
          <w:sz w:val="24"/>
          <w:szCs w:val="24"/>
        </w:rPr>
        <w:t xml:space="preserve"> à la jurisprudence britannique de </w:t>
      </w:r>
      <w:r w:rsidRPr="006449A5">
        <w:rPr>
          <w:rFonts w:ascii="Times New Roman" w:hAnsi="Times New Roman" w:cs="Times New Roman"/>
          <w:i/>
          <w:iCs/>
          <w:sz w:val="24"/>
          <w:szCs w:val="24"/>
        </w:rPr>
        <w:t>Grace</w:t>
      </w:r>
      <w:r w:rsidRPr="006449A5">
        <w:rPr>
          <w:rFonts w:ascii="Times New Roman" w:hAnsi="Times New Roman" w:cs="Times New Roman"/>
          <w:iCs/>
          <w:sz w:val="24"/>
          <w:szCs w:val="24"/>
          <w:vertAlign w:val="superscript"/>
        </w:rPr>
        <w:footnoteReference w:id="113"/>
      </w:r>
      <w:r w:rsidRPr="006449A5">
        <w:rPr>
          <w:rFonts w:ascii="Times New Roman" w:hAnsi="Times New Roman" w:cs="Times New Roman"/>
          <w:iCs/>
          <w:sz w:val="24"/>
          <w:szCs w:val="24"/>
        </w:rPr>
        <w:t xml:space="preserve">, qui appelle à </w:t>
      </w:r>
      <w:r w:rsidR="008E19BE" w:rsidRPr="006449A5">
        <w:rPr>
          <w:rFonts w:ascii="Times New Roman" w:hAnsi="Times New Roman" w:cs="Times New Roman"/>
          <w:iCs/>
          <w:sz w:val="24"/>
          <w:szCs w:val="24"/>
        </w:rPr>
        <w:t xml:space="preserve">« </w:t>
      </w:r>
      <w:r w:rsidRPr="006449A5">
        <w:rPr>
          <w:rFonts w:ascii="Times New Roman" w:hAnsi="Times New Roman" w:cs="Times New Roman"/>
          <w:iCs/>
          <w:sz w:val="24"/>
          <w:szCs w:val="24"/>
        </w:rPr>
        <w:t>une approche plus souple et plus nuancée</w:t>
      </w:r>
      <w:r w:rsidR="009F59B0" w:rsidRPr="006449A5">
        <w:rPr>
          <w:rFonts w:ascii="Times New Roman" w:hAnsi="Times New Roman" w:cs="Times New Roman"/>
          <w:iCs/>
          <w:sz w:val="24"/>
          <w:szCs w:val="24"/>
        </w:rPr>
        <w:t xml:space="preserve"> »</w:t>
      </w:r>
      <w:r w:rsidR="006B0501" w:rsidRPr="006449A5">
        <w:rPr>
          <w:rFonts w:ascii="Times New Roman" w:hAnsi="Times New Roman" w:cs="Times New Roman"/>
          <w:iCs/>
          <w:sz w:val="24"/>
          <w:szCs w:val="24"/>
        </w:rPr>
        <w:t xml:space="preserve"> de la notion de résidence</w:t>
      </w:r>
      <w:r w:rsidRPr="006449A5">
        <w:rPr>
          <w:rFonts w:ascii="Times New Roman" w:hAnsi="Times New Roman" w:cs="Times New Roman"/>
          <w:iCs/>
          <w:sz w:val="24"/>
          <w:szCs w:val="24"/>
        </w:rPr>
        <w:t xml:space="preserve"> (para</w:t>
      </w:r>
      <w:r w:rsidR="000E0648" w:rsidRPr="006449A5">
        <w:rPr>
          <w:rFonts w:ascii="Times New Roman" w:hAnsi="Times New Roman" w:cs="Times New Roman"/>
          <w:iCs/>
          <w:sz w:val="24"/>
          <w:szCs w:val="24"/>
        </w:rPr>
        <w:t>.</w:t>
      </w:r>
      <w:r w:rsidRPr="006449A5">
        <w:rPr>
          <w:rFonts w:ascii="Times New Roman" w:hAnsi="Times New Roman" w:cs="Times New Roman"/>
          <w:iCs/>
          <w:sz w:val="24"/>
          <w:szCs w:val="24"/>
        </w:rPr>
        <w:t xml:space="preserve"> 84 (5))</w:t>
      </w:r>
      <w:r w:rsidR="006B0501" w:rsidRPr="006449A5">
        <w:rPr>
          <w:rFonts w:ascii="Times New Roman" w:hAnsi="Times New Roman" w:cs="Times New Roman"/>
          <w:iCs/>
          <w:sz w:val="24"/>
          <w:szCs w:val="24"/>
        </w:rPr>
        <w:t>. Alors que cette décision a été rendue en matière de droit fiscal, la juge semble donc étendre son champ d’application au-delà de ce domaine, pour ce qui concerne la notion de résidence</w:t>
      </w:r>
      <w:r w:rsidRPr="006449A5">
        <w:rPr>
          <w:rFonts w:ascii="Times New Roman" w:hAnsi="Times New Roman" w:cs="Times New Roman"/>
          <w:iCs/>
          <w:sz w:val="24"/>
          <w:szCs w:val="24"/>
        </w:rPr>
        <w:t>. Sur cette base, l</w:t>
      </w:r>
      <w:r w:rsidR="006B0501" w:rsidRPr="006449A5">
        <w:rPr>
          <w:rFonts w:ascii="Times New Roman" w:hAnsi="Times New Roman" w:cs="Times New Roman"/>
          <w:iCs/>
          <w:sz w:val="24"/>
          <w:szCs w:val="24"/>
        </w:rPr>
        <w:t>a</w:t>
      </w:r>
      <w:r w:rsidRPr="006449A5">
        <w:rPr>
          <w:rFonts w:ascii="Times New Roman" w:hAnsi="Times New Roman" w:cs="Times New Roman"/>
          <w:iCs/>
          <w:sz w:val="24"/>
          <w:szCs w:val="24"/>
        </w:rPr>
        <w:t xml:space="preserve"> juge a décidé que la coutume</w:t>
      </w:r>
      <w:r w:rsidR="004F09F7" w:rsidRPr="006449A5">
        <w:rPr>
          <w:rFonts w:ascii="Times New Roman" w:hAnsi="Times New Roman" w:cs="Times New Roman"/>
          <w:iCs/>
          <w:sz w:val="24"/>
          <w:szCs w:val="24"/>
        </w:rPr>
        <w:t xml:space="preserve"> (à entendre ici comme l’habitude répandue et répétée)</w:t>
      </w:r>
      <w:r w:rsidRPr="006449A5">
        <w:rPr>
          <w:rFonts w:ascii="Times New Roman" w:hAnsi="Times New Roman" w:cs="Times New Roman"/>
          <w:iCs/>
          <w:sz w:val="24"/>
          <w:szCs w:val="24"/>
        </w:rPr>
        <w:t xml:space="preserve"> devait être prise en compte, ainsi que les liens culturels et familiaux étroits de X avec l'</w:t>
      </w:r>
      <w:proofErr w:type="spellStart"/>
      <w:r w:rsidRPr="006449A5">
        <w:rPr>
          <w:rFonts w:ascii="Times New Roman" w:hAnsi="Times New Roman" w:cs="Times New Roman"/>
          <w:iCs/>
          <w:sz w:val="24"/>
          <w:szCs w:val="24"/>
        </w:rPr>
        <w:t>Anambra</w:t>
      </w:r>
      <w:proofErr w:type="spellEnd"/>
      <w:r w:rsidRPr="006449A5">
        <w:rPr>
          <w:rFonts w:ascii="Times New Roman" w:hAnsi="Times New Roman" w:cs="Times New Roman"/>
          <w:iCs/>
          <w:sz w:val="24"/>
          <w:szCs w:val="24"/>
        </w:rPr>
        <w:t xml:space="preserve"> et le fait qu'elle y maintenait une maison pour sa mère et ses enfants. Par conséquent, sa résidence devrait être située au Nigéria. À cet égard, l</w:t>
      </w:r>
      <w:r w:rsidR="006B0501" w:rsidRPr="006449A5">
        <w:rPr>
          <w:rFonts w:ascii="Times New Roman" w:hAnsi="Times New Roman" w:cs="Times New Roman"/>
          <w:iCs/>
          <w:sz w:val="24"/>
          <w:szCs w:val="24"/>
        </w:rPr>
        <w:t>a</w:t>
      </w:r>
      <w:r w:rsidRPr="006449A5">
        <w:rPr>
          <w:rFonts w:ascii="Times New Roman" w:hAnsi="Times New Roman" w:cs="Times New Roman"/>
          <w:iCs/>
          <w:sz w:val="24"/>
          <w:szCs w:val="24"/>
        </w:rPr>
        <w:t xml:space="preserve"> juge mentionne qu'</w:t>
      </w:r>
      <w:r w:rsidR="006B0501" w:rsidRPr="006449A5">
        <w:rPr>
          <w:rFonts w:ascii="Times New Roman" w:hAnsi="Times New Roman" w:cs="Times New Roman"/>
          <w:iCs/>
          <w:sz w:val="24"/>
          <w:szCs w:val="24"/>
        </w:rPr>
        <w:t>elle</w:t>
      </w:r>
      <w:r w:rsidRPr="006449A5">
        <w:rPr>
          <w:rFonts w:ascii="Times New Roman" w:hAnsi="Times New Roman" w:cs="Times New Roman"/>
          <w:iCs/>
          <w:sz w:val="24"/>
          <w:szCs w:val="24"/>
        </w:rPr>
        <w:t xml:space="preserve"> fait confiance au témoin expert de X, Mme </w:t>
      </w:r>
      <w:proofErr w:type="spellStart"/>
      <w:r w:rsidRPr="006449A5">
        <w:rPr>
          <w:rFonts w:ascii="Times New Roman" w:hAnsi="Times New Roman" w:cs="Times New Roman"/>
          <w:iCs/>
          <w:sz w:val="24"/>
          <w:szCs w:val="24"/>
        </w:rPr>
        <w:t>Omovbude</w:t>
      </w:r>
      <w:proofErr w:type="spellEnd"/>
      <w:r w:rsidRPr="006449A5">
        <w:rPr>
          <w:rFonts w:ascii="Times New Roman" w:hAnsi="Times New Roman" w:cs="Times New Roman"/>
          <w:iCs/>
          <w:sz w:val="24"/>
          <w:szCs w:val="24"/>
        </w:rPr>
        <w:t>, "car elle est une personne plus étroitement liée à la pratique du droit de la famille au Nigéria par sa propre expérience. Son expertise est étayée par l'ouvrage qu'elle a écrit sur le domaine pertinent du droit" (para</w:t>
      </w:r>
      <w:r w:rsidR="006B0501" w:rsidRPr="006449A5">
        <w:rPr>
          <w:rFonts w:ascii="Times New Roman" w:hAnsi="Times New Roman" w:cs="Times New Roman"/>
          <w:iCs/>
          <w:sz w:val="24"/>
          <w:szCs w:val="24"/>
        </w:rPr>
        <w:t>.</w:t>
      </w:r>
      <w:r w:rsidRPr="006449A5">
        <w:rPr>
          <w:rFonts w:ascii="Times New Roman" w:hAnsi="Times New Roman" w:cs="Times New Roman"/>
          <w:iCs/>
          <w:sz w:val="24"/>
          <w:szCs w:val="24"/>
        </w:rPr>
        <w:t xml:space="preserve"> 84(5)). L'ordonnance d'adoption nigériane doit donc être reconnue au Royaume-Uni.  </w:t>
      </w:r>
    </w:p>
    <w:p w14:paraId="6092F7C7" w14:textId="4260980A" w:rsidR="000E0648" w:rsidRPr="006449A5" w:rsidRDefault="006B0501" w:rsidP="009200B0">
      <w:pPr>
        <w:rPr>
          <w:rFonts w:ascii="Times New Roman" w:hAnsi="Times New Roman" w:cs="Times New Roman"/>
          <w:iCs/>
          <w:sz w:val="24"/>
          <w:szCs w:val="24"/>
        </w:rPr>
      </w:pPr>
      <w:r w:rsidRPr="006449A5">
        <w:rPr>
          <w:rFonts w:ascii="Times New Roman" w:hAnsi="Times New Roman" w:cs="Times New Roman"/>
          <w:iCs/>
          <w:sz w:val="24"/>
          <w:szCs w:val="24"/>
        </w:rPr>
        <w:t xml:space="preserve">Au regard du paradigme de la </w:t>
      </w:r>
      <w:proofErr w:type="spellStart"/>
      <w:r w:rsidRPr="006449A5">
        <w:rPr>
          <w:rFonts w:ascii="Times New Roman" w:hAnsi="Times New Roman" w:cs="Times New Roman"/>
          <w:iCs/>
          <w:sz w:val="24"/>
          <w:szCs w:val="24"/>
        </w:rPr>
        <w:t>décolonialité</w:t>
      </w:r>
      <w:proofErr w:type="spellEnd"/>
      <w:r w:rsidRPr="006449A5">
        <w:rPr>
          <w:rFonts w:ascii="Times New Roman" w:hAnsi="Times New Roman" w:cs="Times New Roman"/>
          <w:iCs/>
          <w:sz w:val="24"/>
          <w:szCs w:val="24"/>
        </w:rPr>
        <w:t xml:space="preserve">, nous pouvons faire les </w:t>
      </w:r>
      <w:r w:rsidR="00CB74A3" w:rsidRPr="006449A5">
        <w:rPr>
          <w:rFonts w:ascii="Times New Roman" w:hAnsi="Times New Roman" w:cs="Times New Roman"/>
          <w:iCs/>
          <w:sz w:val="24"/>
          <w:szCs w:val="24"/>
        </w:rPr>
        <w:t xml:space="preserve">trois </w:t>
      </w:r>
      <w:r w:rsidR="00844895" w:rsidRPr="006449A5">
        <w:rPr>
          <w:rFonts w:ascii="Times New Roman" w:hAnsi="Times New Roman" w:cs="Times New Roman"/>
          <w:iCs/>
          <w:sz w:val="24"/>
          <w:szCs w:val="24"/>
        </w:rPr>
        <w:t>remarques</w:t>
      </w:r>
      <w:r w:rsidRPr="006449A5">
        <w:rPr>
          <w:rFonts w:ascii="Times New Roman" w:hAnsi="Times New Roman" w:cs="Times New Roman"/>
          <w:iCs/>
          <w:sz w:val="24"/>
          <w:szCs w:val="24"/>
        </w:rPr>
        <w:t xml:space="preserve"> suivantes. </w:t>
      </w:r>
    </w:p>
    <w:p w14:paraId="3D5A877C" w14:textId="202D2310" w:rsidR="009200B0" w:rsidRPr="006449A5" w:rsidRDefault="006B0501" w:rsidP="001427F5">
      <w:pPr>
        <w:rPr>
          <w:rFonts w:ascii="Times New Roman" w:hAnsi="Times New Roman" w:cs="Times New Roman"/>
          <w:iCs/>
          <w:sz w:val="24"/>
          <w:szCs w:val="24"/>
        </w:rPr>
      </w:pPr>
      <w:r w:rsidRPr="006449A5">
        <w:rPr>
          <w:rFonts w:ascii="Times New Roman" w:hAnsi="Times New Roman" w:cs="Times New Roman"/>
          <w:iCs/>
          <w:sz w:val="24"/>
          <w:szCs w:val="24"/>
        </w:rPr>
        <w:t>En premier lieu</w:t>
      </w:r>
      <w:r w:rsidR="009200B0" w:rsidRPr="006449A5">
        <w:rPr>
          <w:rFonts w:ascii="Times New Roman" w:hAnsi="Times New Roman" w:cs="Times New Roman"/>
          <w:iCs/>
          <w:sz w:val="24"/>
          <w:szCs w:val="24"/>
        </w:rPr>
        <w:t xml:space="preserve">, </w:t>
      </w:r>
      <w:r w:rsidRPr="006449A5">
        <w:rPr>
          <w:rFonts w:ascii="Times New Roman" w:hAnsi="Times New Roman" w:cs="Times New Roman"/>
          <w:iCs/>
          <w:sz w:val="24"/>
          <w:szCs w:val="24"/>
        </w:rPr>
        <w:t>l’on voit bien que, selon la juge, pour définir la résidence ici, il faut</w:t>
      </w:r>
      <w:r w:rsidR="009200B0" w:rsidRPr="006449A5">
        <w:rPr>
          <w:rFonts w:ascii="Times New Roman" w:hAnsi="Times New Roman" w:cs="Times New Roman"/>
          <w:iCs/>
          <w:sz w:val="24"/>
          <w:szCs w:val="24"/>
        </w:rPr>
        <w:t xml:space="preserve"> </w:t>
      </w:r>
      <w:r w:rsidRPr="006449A5">
        <w:rPr>
          <w:rFonts w:ascii="Times New Roman" w:hAnsi="Times New Roman" w:cs="Times New Roman"/>
          <w:iCs/>
          <w:sz w:val="24"/>
          <w:szCs w:val="24"/>
        </w:rPr>
        <w:t xml:space="preserve">prendre en compte </w:t>
      </w:r>
      <w:r w:rsidR="009200B0" w:rsidRPr="006449A5">
        <w:rPr>
          <w:rFonts w:ascii="Times New Roman" w:hAnsi="Times New Roman" w:cs="Times New Roman"/>
          <w:iCs/>
          <w:sz w:val="24"/>
          <w:szCs w:val="24"/>
        </w:rPr>
        <w:t>les liens culturels et familiaux étroits de X avec l'</w:t>
      </w:r>
      <w:proofErr w:type="spellStart"/>
      <w:r w:rsidR="009200B0" w:rsidRPr="006449A5">
        <w:rPr>
          <w:rFonts w:ascii="Times New Roman" w:hAnsi="Times New Roman" w:cs="Times New Roman"/>
          <w:iCs/>
          <w:sz w:val="24"/>
          <w:szCs w:val="24"/>
        </w:rPr>
        <w:t>Anambra</w:t>
      </w:r>
      <w:proofErr w:type="spellEnd"/>
      <w:r w:rsidR="009200B0" w:rsidRPr="006449A5">
        <w:rPr>
          <w:rFonts w:ascii="Times New Roman" w:hAnsi="Times New Roman" w:cs="Times New Roman"/>
          <w:iCs/>
          <w:sz w:val="24"/>
          <w:szCs w:val="24"/>
        </w:rPr>
        <w:t xml:space="preserve"> et le fait qu’elle y entretenait un foyer pour sa mère et ses enfants. </w:t>
      </w:r>
      <w:r w:rsidR="004F09F7" w:rsidRPr="006449A5">
        <w:rPr>
          <w:rFonts w:ascii="Times New Roman" w:hAnsi="Times New Roman" w:cs="Times New Roman"/>
          <w:iCs/>
          <w:sz w:val="24"/>
          <w:szCs w:val="24"/>
        </w:rPr>
        <w:t>La</w:t>
      </w:r>
      <w:r w:rsidR="009200B0" w:rsidRPr="006449A5">
        <w:rPr>
          <w:rFonts w:ascii="Times New Roman" w:hAnsi="Times New Roman" w:cs="Times New Roman"/>
          <w:iCs/>
          <w:sz w:val="24"/>
          <w:szCs w:val="24"/>
        </w:rPr>
        <w:t xml:space="preserve"> juge britannique </w:t>
      </w:r>
      <w:r w:rsidRPr="006449A5">
        <w:rPr>
          <w:rFonts w:ascii="Times New Roman" w:hAnsi="Times New Roman" w:cs="Times New Roman"/>
          <w:iCs/>
          <w:sz w:val="24"/>
          <w:szCs w:val="24"/>
        </w:rPr>
        <w:t xml:space="preserve">pluralise </w:t>
      </w:r>
      <w:r w:rsidR="004F09F7" w:rsidRPr="006449A5">
        <w:rPr>
          <w:rFonts w:ascii="Times New Roman" w:hAnsi="Times New Roman" w:cs="Times New Roman"/>
          <w:iCs/>
          <w:sz w:val="24"/>
          <w:szCs w:val="24"/>
        </w:rPr>
        <w:t xml:space="preserve">ainsi </w:t>
      </w:r>
      <w:r w:rsidR="009200B0" w:rsidRPr="006449A5">
        <w:rPr>
          <w:rFonts w:ascii="Times New Roman" w:hAnsi="Times New Roman" w:cs="Times New Roman"/>
          <w:iCs/>
          <w:sz w:val="24"/>
          <w:szCs w:val="24"/>
        </w:rPr>
        <w:t xml:space="preserve">d’une certaine manière la notion de résidence, mais en appliquant le droit anglais et non la coutume nigériane. </w:t>
      </w:r>
      <w:r w:rsidR="0057451B" w:rsidRPr="006449A5">
        <w:rPr>
          <w:rFonts w:ascii="Times New Roman" w:hAnsi="Times New Roman" w:cs="Times New Roman"/>
          <w:iCs/>
          <w:sz w:val="24"/>
          <w:szCs w:val="24"/>
        </w:rPr>
        <w:t xml:space="preserve">Cela semble propice au développement d’une </w:t>
      </w:r>
      <w:proofErr w:type="spellStart"/>
      <w:r w:rsidR="0057451B" w:rsidRPr="006449A5">
        <w:rPr>
          <w:rFonts w:ascii="Times New Roman" w:hAnsi="Times New Roman" w:cs="Times New Roman"/>
          <w:iCs/>
          <w:sz w:val="24"/>
          <w:szCs w:val="24"/>
        </w:rPr>
        <w:t>décolonialité</w:t>
      </w:r>
      <w:proofErr w:type="spellEnd"/>
      <w:r w:rsidR="0057451B" w:rsidRPr="006449A5">
        <w:rPr>
          <w:rFonts w:ascii="Times New Roman" w:hAnsi="Times New Roman" w:cs="Times New Roman"/>
          <w:iCs/>
          <w:sz w:val="24"/>
          <w:szCs w:val="24"/>
        </w:rPr>
        <w:t xml:space="preserve"> juridique européenne.  </w:t>
      </w:r>
      <w:r w:rsidR="00844895" w:rsidRPr="006449A5">
        <w:rPr>
          <w:rFonts w:ascii="Times New Roman" w:hAnsi="Times New Roman" w:cs="Times New Roman"/>
          <w:iCs/>
          <w:sz w:val="24"/>
          <w:szCs w:val="24"/>
        </w:rPr>
        <w:t xml:space="preserve">Il s’agit sans doute d’une manière </w:t>
      </w:r>
      <w:r w:rsidR="0057451B" w:rsidRPr="006449A5">
        <w:rPr>
          <w:rFonts w:ascii="Times New Roman" w:hAnsi="Times New Roman" w:cs="Times New Roman"/>
          <w:iCs/>
          <w:sz w:val="24"/>
          <w:szCs w:val="24"/>
        </w:rPr>
        <w:t xml:space="preserve">très large </w:t>
      </w:r>
      <w:r w:rsidR="00844895" w:rsidRPr="006449A5">
        <w:rPr>
          <w:rFonts w:ascii="Times New Roman" w:hAnsi="Times New Roman" w:cs="Times New Roman"/>
          <w:iCs/>
          <w:sz w:val="24"/>
          <w:szCs w:val="24"/>
        </w:rPr>
        <w:t xml:space="preserve">d’appliquer la technique de DIP, mentionnée </w:t>
      </w:r>
      <w:r w:rsidR="005B7CC1">
        <w:rPr>
          <w:rFonts w:ascii="Times New Roman" w:hAnsi="Times New Roman" w:cs="Times New Roman"/>
          <w:iCs/>
          <w:sz w:val="24"/>
          <w:szCs w:val="24"/>
        </w:rPr>
        <w:t>plus haut</w:t>
      </w:r>
      <w:r w:rsidR="00844895" w:rsidRPr="006449A5">
        <w:rPr>
          <w:rStyle w:val="Appelnotedebasdep"/>
          <w:rFonts w:ascii="Times New Roman" w:hAnsi="Times New Roman" w:cs="Times New Roman"/>
          <w:iCs/>
          <w:sz w:val="24"/>
          <w:szCs w:val="24"/>
        </w:rPr>
        <w:footnoteReference w:id="114"/>
      </w:r>
      <w:r w:rsidR="00844895" w:rsidRPr="006449A5">
        <w:rPr>
          <w:rFonts w:ascii="Times New Roman" w:hAnsi="Times New Roman" w:cs="Times New Roman"/>
          <w:iCs/>
          <w:sz w:val="24"/>
          <w:szCs w:val="24"/>
        </w:rPr>
        <w:t xml:space="preserve">, qui fait partie du droit britannique positif, consistant à donner effet ou à prendre en considération le droit étranger dans le cadre d'une application juridique substantielle. </w:t>
      </w:r>
      <w:r w:rsidR="0057451B" w:rsidRPr="006449A5">
        <w:rPr>
          <w:rFonts w:ascii="Times New Roman" w:hAnsi="Times New Roman" w:cs="Times New Roman"/>
          <w:iCs/>
          <w:sz w:val="24"/>
          <w:szCs w:val="24"/>
        </w:rPr>
        <w:t xml:space="preserve">En effet, la juge a pris en compte de simples pratiques </w:t>
      </w:r>
      <w:r w:rsidR="004F09F7" w:rsidRPr="006449A5">
        <w:rPr>
          <w:rFonts w:ascii="Times New Roman" w:hAnsi="Times New Roman" w:cs="Times New Roman"/>
          <w:iCs/>
          <w:sz w:val="24"/>
          <w:szCs w:val="24"/>
        </w:rPr>
        <w:t xml:space="preserve">culturelles </w:t>
      </w:r>
      <w:r w:rsidR="0057451B" w:rsidRPr="006449A5">
        <w:rPr>
          <w:rFonts w:ascii="Times New Roman" w:hAnsi="Times New Roman" w:cs="Times New Roman"/>
          <w:iCs/>
          <w:sz w:val="24"/>
          <w:szCs w:val="24"/>
        </w:rPr>
        <w:t xml:space="preserve">contemporaines pour interpréter le droit étatique, sans exiger qu’elles aient le statut de normes précoloniales – soit de coutume </w:t>
      </w:r>
      <w:r w:rsidR="0057451B" w:rsidRPr="006449A5">
        <w:rPr>
          <w:rFonts w:ascii="Times New Roman" w:hAnsi="Times New Roman" w:cs="Times New Roman"/>
          <w:i/>
          <w:sz w:val="24"/>
          <w:szCs w:val="24"/>
        </w:rPr>
        <w:t>stricto sensu</w:t>
      </w:r>
      <w:r w:rsidR="0057451B" w:rsidRPr="006449A5">
        <w:rPr>
          <w:rFonts w:ascii="Times New Roman" w:hAnsi="Times New Roman" w:cs="Times New Roman"/>
          <w:iCs/>
          <w:sz w:val="24"/>
          <w:szCs w:val="24"/>
        </w:rPr>
        <w:t xml:space="preserve">. Cela semble respectueux de l’expérience collective de la partie postcoloniale concernée. En effet, la colonisation explique que de nombreux citoyens postcoloniaux vivent aujourd’hui de manière diasporique et transnationale – partageant leur vie entre le Sud et le Nord, souvent entre leur pays d’origine et le pays européen qui y a avait autrefois une colonie. </w:t>
      </w:r>
      <w:r w:rsidR="009200B0" w:rsidRPr="006449A5">
        <w:rPr>
          <w:rFonts w:ascii="Times New Roman" w:hAnsi="Times New Roman" w:cs="Times New Roman"/>
          <w:iCs/>
          <w:sz w:val="24"/>
          <w:szCs w:val="24"/>
        </w:rPr>
        <w:t xml:space="preserve"> </w:t>
      </w:r>
    </w:p>
    <w:p w14:paraId="11158BAD" w14:textId="5CDBA3E4" w:rsidR="000E0648" w:rsidRPr="006449A5" w:rsidRDefault="006B0501" w:rsidP="001427F5">
      <w:pPr>
        <w:rPr>
          <w:iCs/>
        </w:rPr>
      </w:pPr>
      <w:r w:rsidRPr="006449A5">
        <w:rPr>
          <w:rFonts w:ascii="Times New Roman" w:hAnsi="Times New Roman" w:cs="Times New Roman"/>
          <w:iCs/>
          <w:sz w:val="24"/>
          <w:szCs w:val="24"/>
        </w:rPr>
        <w:t>En second lieu</w:t>
      </w:r>
      <w:r w:rsidR="000E0648" w:rsidRPr="006449A5">
        <w:rPr>
          <w:rFonts w:ascii="Times New Roman" w:hAnsi="Times New Roman" w:cs="Times New Roman"/>
          <w:iCs/>
          <w:sz w:val="24"/>
          <w:szCs w:val="24"/>
        </w:rPr>
        <w:t xml:space="preserve">, </w:t>
      </w:r>
      <w:r w:rsidR="00CB74A3" w:rsidRPr="006449A5">
        <w:rPr>
          <w:rFonts w:ascii="Times New Roman" w:hAnsi="Times New Roman" w:cs="Times New Roman"/>
          <w:iCs/>
          <w:sz w:val="24"/>
          <w:szCs w:val="24"/>
        </w:rPr>
        <w:t xml:space="preserve">l’on peut se réjouir que, pour définir la notion de résidence en droit britannique, dans le contexte postcolonial donné, la juge accorde davantage de crédit à la témoin expert de la demanderesse, Mme </w:t>
      </w:r>
      <w:proofErr w:type="spellStart"/>
      <w:r w:rsidR="00CB74A3" w:rsidRPr="006449A5">
        <w:rPr>
          <w:rFonts w:ascii="Times New Roman" w:hAnsi="Times New Roman" w:cs="Times New Roman"/>
          <w:iCs/>
          <w:sz w:val="24"/>
          <w:szCs w:val="24"/>
        </w:rPr>
        <w:t>Omovbude</w:t>
      </w:r>
      <w:proofErr w:type="spellEnd"/>
      <w:r w:rsidR="00CB74A3" w:rsidRPr="006449A5">
        <w:rPr>
          <w:rFonts w:ascii="Times New Roman" w:hAnsi="Times New Roman" w:cs="Times New Roman"/>
          <w:iCs/>
          <w:sz w:val="24"/>
          <w:szCs w:val="24"/>
        </w:rPr>
        <w:t xml:space="preserve">, car « elle est plus étroitement liée à la pratique du droit de la famille au Nigeria par sa propre expérience » (para. 84(5)), par rapport à l’expert des autorités britanniques, Mr </w:t>
      </w:r>
      <w:proofErr w:type="spellStart"/>
      <w:r w:rsidR="00CB74A3" w:rsidRPr="006449A5">
        <w:rPr>
          <w:rFonts w:ascii="Times New Roman" w:hAnsi="Times New Roman" w:cs="Times New Roman"/>
          <w:iCs/>
          <w:sz w:val="24"/>
          <w:szCs w:val="24"/>
        </w:rPr>
        <w:t>Nsugbe</w:t>
      </w:r>
      <w:proofErr w:type="spellEnd"/>
      <w:r w:rsidR="00CB74A3" w:rsidRPr="006449A5">
        <w:rPr>
          <w:rFonts w:ascii="Times New Roman" w:hAnsi="Times New Roman" w:cs="Times New Roman"/>
          <w:iCs/>
          <w:sz w:val="24"/>
          <w:szCs w:val="24"/>
        </w:rPr>
        <w:t xml:space="preserve"> Q.C. SAN, qui est (lui-même…) avocat à la fois au Nigéria et en Grande-Bretagne. </w:t>
      </w:r>
    </w:p>
    <w:p w14:paraId="10534659" w14:textId="281C39C2" w:rsidR="00844895" w:rsidRPr="006449A5" w:rsidRDefault="00844895" w:rsidP="001427F5">
      <w:pPr>
        <w:rPr>
          <w:rFonts w:ascii="Times New Roman" w:hAnsi="Times New Roman" w:cs="Times New Roman"/>
          <w:iCs/>
          <w:sz w:val="24"/>
          <w:szCs w:val="24"/>
        </w:rPr>
      </w:pPr>
      <w:r w:rsidRPr="006449A5">
        <w:rPr>
          <w:rFonts w:ascii="Times New Roman" w:hAnsi="Times New Roman" w:cs="Times New Roman"/>
          <w:iCs/>
          <w:sz w:val="24"/>
          <w:szCs w:val="24"/>
        </w:rPr>
        <w:t xml:space="preserve">En troisième lieu, </w:t>
      </w:r>
      <w:r w:rsidR="00F158CF" w:rsidRPr="006449A5">
        <w:rPr>
          <w:rFonts w:ascii="Times New Roman" w:hAnsi="Times New Roman" w:cs="Times New Roman"/>
          <w:iCs/>
          <w:sz w:val="24"/>
          <w:szCs w:val="24"/>
        </w:rPr>
        <w:t xml:space="preserve">l’on peut tout de même noter qu’il existe une technique, </w:t>
      </w:r>
      <w:r w:rsidR="005B7CC1">
        <w:rPr>
          <w:rFonts w:ascii="Times New Roman" w:hAnsi="Times New Roman" w:cs="Times New Roman"/>
          <w:iCs/>
          <w:sz w:val="24"/>
          <w:szCs w:val="24"/>
        </w:rPr>
        <w:t>introduite</w:t>
      </w:r>
      <w:r w:rsidR="00F158CF" w:rsidRPr="006449A5">
        <w:rPr>
          <w:rFonts w:ascii="Times New Roman" w:hAnsi="Times New Roman" w:cs="Times New Roman"/>
          <w:iCs/>
          <w:sz w:val="24"/>
          <w:szCs w:val="24"/>
        </w:rPr>
        <w:t xml:space="preserve"> dans le DIP via la Cour européenne des droits de l’homme</w:t>
      </w:r>
      <w:r w:rsidR="00766E8A">
        <w:rPr>
          <w:rFonts w:ascii="Times New Roman" w:hAnsi="Times New Roman" w:cs="Times New Roman"/>
          <w:iCs/>
          <w:sz w:val="24"/>
          <w:szCs w:val="24"/>
        </w:rPr>
        <w:t xml:space="preserve"> (CEDH)</w:t>
      </w:r>
      <w:r w:rsidR="005B7CC1">
        <w:rPr>
          <w:rStyle w:val="Appelnotedebasdep"/>
          <w:rFonts w:ascii="Times New Roman" w:hAnsi="Times New Roman" w:cs="Times New Roman"/>
          <w:iCs/>
          <w:sz w:val="24"/>
          <w:szCs w:val="24"/>
        </w:rPr>
        <w:footnoteReference w:id="115"/>
      </w:r>
      <w:r w:rsidR="00F158CF" w:rsidRPr="006449A5">
        <w:rPr>
          <w:rFonts w:ascii="Times New Roman" w:hAnsi="Times New Roman" w:cs="Times New Roman"/>
          <w:iCs/>
          <w:sz w:val="24"/>
          <w:szCs w:val="24"/>
        </w:rPr>
        <w:t>, qui aurait pu ici mener la juge à reconnaitre l’adoption sans passer par la règle de conflit de loi, si du moins X aurait voulu s’installer avec sa fille en Grande Bretagne (ce qui n’a pas l’air d’être le cas). En effet</w:t>
      </w:r>
      <w:r w:rsidR="00F158CF" w:rsidRPr="006449A5">
        <w:rPr>
          <w:iCs/>
        </w:rPr>
        <w:t xml:space="preserve">, </w:t>
      </w:r>
      <w:r w:rsidR="00F158CF" w:rsidRPr="006449A5">
        <w:rPr>
          <w:rFonts w:ascii="Times New Roman" w:hAnsi="Times New Roman" w:cs="Times New Roman"/>
          <w:iCs/>
          <w:sz w:val="24"/>
          <w:szCs w:val="24"/>
        </w:rPr>
        <w:t xml:space="preserve">selon la jurisprudence de la </w:t>
      </w:r>
      <w:r w:rsidR="00766E8A">
        <w:rPr>
          <w:rFonts w:ascii="Times New Roman" w:hAnsi="Times New Roman" w:cs="Times New Roman"/>
          <w:iCs/>
          <w:sz w:val="24"/>
          <w:szCs w:val="24"/>
        </w:rPr>
        <w:t>CEDH</w:t>
      </w:r>
      <w:r w:rsidR="00F158CF" w:rsidRPr="006449A5">
        <w:rPr>
          <w:rFonts w:ascii="Times New Roman" w:hAnsi="Times New Roman" w:cs="Times New Roman"/>
          <w:iCs/>
          <w:sz w:val="24"/>
          <w:szCs w:val="24"/>
        </w:rPr>
        <w:t xml:space="preserve">, un statut d'étranger postcolonial devrait être reconnu dans le </w:t>
      </w:r>
      <w:r w:rsidR="00F158CF" w:rsidRPr="006449A5">
        <w:rPr>
          <w:rFonts w:ascii="Times New Roman" w:hAnsi="Times New Roman" w:cs="Times New Roman"/>
          <w:iCs/>
          <w:sz w:val="24"/>
          <w:szCs w:val="24"/>
        </w:rPr>
        <w:lastRenderedPageBreak/>
        <w:t>forum européen nonobstant les règles de DIP applicables, lorsque cela est requis par le respect de la Convention européenne des droits de l'homme, y compris le droit à la vie privée et familiale d'un enfant adopté à l'étranger (article 8)</w:t>
      </w:r>
      <w:r w:rsidR="00F158CF" w:rsidRPr="006449A5">
        <w:rPr>
          <w:rStyle w:val="Appelnotedebasdep"/>
          <w:rFonts w:ascii="Times New Roman" w:hAnsi="Times New Roman" w:cs="Times New Roman"/>
          <w:iCs/>
          <w:sz w:val="24"/>
          <w:szCs w:val="24"/>
        </w:rPr>
        <w:footnoteReference w:id="116"/>
      </w:r>
      <w:r w:rsidR="00F158CF" w:rsidRPr="006449A5">
        <w:rPr>
          <w:rFonts w:ascii="Times New Roman" w:hAnsi="Times New Roman" w:cs="Times New Roman"/>
          <w:iCs/>
          <w:sz w:val="24"/>
          <w:szCs w:val="24"/>
        </w:rPr>
        <w:t>. Cette technique s’appelle la reconnaissance des situations</w:t>
      </w:r>
      <w:r w:rsidR="00F158CF" w:rsidRPr="006449A5">
        <w:rPr>
          <w:rStyle w:val="Appelnotedebasdep"/>
          <w:rFonts w:ascii="Times New Roman" w:hAnsi="Times New Roman" w:cs="Times New Roman"/>
          <w:iCs/>
          <w:sz w:val="24"/>
          <w:szCs w:val="24"/>
        </w:rPr>
        <w:footnoteReference w:id="117"/>
      </w:r>
      <w:r w:rsidR="00F158CF" w:rsidRPr="006449A5">
        <w:rPr>
          <w:rFonts w:ascii="Times New Roman" w:hAnsi="Times New Roman" w:cs="Times New Roman"/>
          <w:iCs/>
          <w:sz w:val="24"/>
          <w:szCs w:val="24"/>
        </w:rPr>
        <w:t xml:space="preserve"> et peut tout à fait servir l’objectif </w:t>
      </w:r>
      <w:proofErr w:type="spellStart"/>
      <w:r w:rsidR="00F158CF" w:rsidRPr="006449A5">
        <w:rPr>
          <w:rFonts w:ascii="Times New Roman" w:hAnsi="Times New Roman" w:cs="Times New Roman"/>
          <w:iCs/>
          <w:sz w:val="24"/>
          <w:szCs w:val="24"/>
        </w:rPr>
        <w:t>décolonial</w:t>
      </w:r>
      <w:proofErr w:type="spellEnd"/>
      <w:r w:rsidR="005B7CC1">
        <w:rPr>
          <w:rStyle w:val="Appelnotedebasdep"/>
          <w:rFonts w:ascii="Times New Roman" w:hAnsi="Times New Roman" w:cs="Times New Roman"/>
          <w:iCs/>
          <w:sz w:val="24"/>
          <w:szCs w:val="24"/>
        </w:rPr>
        <w:footnoteReference w:id="118"/>
      </w:r>
      <w:r w:rsidR="00F158CF" w:rsidRPr="006449A5">
        <w:rPr>
          <w:rFonts w:ascii="Times New Roman" w:hAnsi="Times New Roman" w:cs="Times New Roman"/>
          <w:iCs/>
          <w:sz w:val="24"/>
          <w:szCs w:val="24"/>
        </w:rPr>
        <w:t xml:space="preserve">.  </w:t>
      </w:r>
    </w:p>
    <w:p w14:paraId="0F015883" w14:textId="6854FAB9" w:rsidR="00F51759" w:rsidRPr="006449A5" w:rsidRDefault="00F51759">
      <w:pPr>
        <w:rPr>
          <w:rFonts w:ascii="Times New Roman" w:hAnsi="Times New Roman" w:cs="Times New Roman"/>
          <w:b/>
          <w:bCs/>
          <w:sz w:val="28"/>
          <w:szCs w:val="28"/>
        </w:rPr>
      </w:pPr>
      <w:r w:rsidRPr="006449A5">
        <w:rPr>
          <w:rFonts w:ascii="Times New Roman" w:hAnsi="Times New Roman" w:cs="Times New Roman"/>
          <w:b/>
          <w:bCs/>
          <w:sz w:val="28"/>
          <w:szCs w:val="28"/>
        </w:rPr>
        <w:t>Conclusion</w:t>
      </w:r>
      <w:r w:rsidR="009B6E39" w:rsidRPr="006449A5">
        <w:rPr>
          <w:rFonts w:ascii="Times New Roman" w:hAnsi="Times New Roman" w:cs="Times New Roman"/>
          <w:b/>
          <w:bCs/>
          <w:sz w:val="28"/>
          <w:szCs w:val="28"/>
        </w:rPr>
        <w:t xml:space="preserve"> : pour un « pragmatisme </w:t>
      </w:r>
      <w:proofErr w:type="spellStart"/>
      <w:r w:rsidR="009B6E39" w:rsidRPr="006449A5">
        <w:rPr>
          <w:rFonts w:ascii="Times New Roman" w:hAnsi="Times New Roman" w:cs="Times New Roman"/>
          <w:b/>
          <w:bCs/>
          <w:sz w:val="28"/>
          <w:szCs w:val="28"/>
        </w:rPr>
        <w:t>décolonial</w:t>
      </w:r>
      <w:proofErr w:type="spellEnd"/>
      <w:r w:rsidR="009B6E39" w:rsidRPr="006449A5">
        <w:rPr>
          <w:rFonts w:ascii="Times New Roman" w:hAnsi="Times New Roman" w:cs="Times New Roman"/>
          <w:b/>
          <w:bCs/>
          <w:sz w:val="28"/>
          <w:szCs w:val="28"/>
        </w:rPr>
        <w:t> »</w:t>
      </w:r>
    </w:p>
    <w:p w14:paraId="4012B3F5" w14:textId="5A2A4C48" w:rsidR="009511C8" w:rsidRPr="006449A5" w:rsidRDefault="00DD6AB8" w:rsidP="00CF1D1E">
      <w:pPr>
        <w:rPr>
          <w:rFonts w:ascii="Times New Roman" w:hAnsi="Times New Roman" w:cs="Times New Roman"/>
          <w:sz w:val="24"/>
          <w:szCs w:val="24"/>
        </w:rPr>
      </w:pPr>
      <w:r w:rsidRPr="006449A5">
        <w:rPr>
          <w:rFonts w:ascii="Times New Roman" w:hAnsi="Times New Roman" w:cs="Times New Roman"/>
          <w:sz w:val="24"/>
          <w:szCs w:val="24"/>
        </w:rPr>
        <w:t xml:space="preserve">Dans le présent article, </w:t>
      </w:r>
      <w:r w:rsidR="009B6E39" w:rsidRPr="006449A5">
        <w:rPr>
          <w:rFonts w:ascii="Times New Roman" w:hAnsi="Times New Roman" w:cs="Times New Roman"/>
          <w:sz w:val="24"/>
          <w:szCs w:val="24"/>
        </w:rPr>
        <w:t xml:space="preserve">nous avons tenté d’identifier les questions pertinentes pour élaborer un cadre </w:t>
      </w:r>
      <w:proofErr w:type="spellStart"/>
      <w:r w:rsidR="009B6E39" w:rsidRPr="006449A5">
        <w:rPr>
          <w:rFonts w:ascii="Times New Roman" w:hAnsi="Times New Roman" w:cs="Times New Roman"/>
          <w:sz w:val="24"/>
          <w:szCs w:val="24"/>
        </w:rPr>
        <w:t>décolonial</w:t>
      </w:r>
      <w:proofErr w:type="spellEnd"/>
      <w:r w:rsidR="009B6E39" w:rsidRPr="006449A5">
        <w:rPr>
          <w:rFonts w:ascii="Times New Roman" w:hAnsi="Times New Roman" w:cs="Times New Roman"/>
          <w:sz w:val="24"/>
          <w:szCs w:val="24"/>
        </w:rPr>
        <w:t xml:space="preserve"> pour le traitement</w:t>
      </w:r>
      <w:r w:rsidR="005B7CC1">
        <w:rPr>
          <w:rFonts w:ascii="Times New Roman" w:hAnsi="Times New Roman" w:cs="Times New Roman"/>
          <w:sz w:val="24"/>
          <w:szCs w:val="24"/>
        </w:rPr>
        <w:t xml:space="preserve"> des</w:t>
      </w:r>
      <w:r w:rsidR="009B6E39" w:rsidRPr="006449A5">
        <w:rPr>
          <w:rFonts w:ascii="Times New Roman" w:hAnsi="Times New Roman" w:cs="Times New Roman"/>
          <w:sz w:val="24"/>
          <w:szCs w:val="24"/>
        </w:rPr>
        <w:t xml:space="preserve"> </w:t>
      </w:r>
      <w:r w:rsidR="005972A5">
        <w:rPr>
          <w:rFonts w:ascii="Times New Roman" w:hAnsi="Times New Roman" w:cs="Times New Roman"/>
          <w:sz w:val="24"/>
          <w:szCs w:val="24"/>
        </w:rPr>
        <w:t xml:space="preserve">litiges opposant une partie venant d’un </w:t>
      </w:r>
      <w:r w:rsidR="005972A5" w:rsidRPr="005972A5">
        <w:rPr>
          <w:rFonts w:ascii="Times New Roman" w:hAnsi="Times New Roman" w:cs="Times New Roman"/>
          <w:sz w:val="24"/>
          <w:szCs w:val="24"/>
        </w:rPr>
        <w:t>É</w:t>
      </w:r>
      <w:r w:rsidR="005972A5">
        <w:rPr>
          <w:rFonts w:ascii="Times New Roman" w:hAnsi="Times New Roman" w:cs="Times New Roman"/>
          <w:sz w:val="24"/>
          <w:szCs w:val="24"/>
        </w:rPr>
        <w:t>tat postcolonial à une autorité étatique européenne, en matière personnelle, familiale, ou de nationalité</w:t>
      </w:r>
      <w:r w:rsidR="009B6E39" w:rsidRPr="006449A5">
        <w:rPr>
          <w:rFonts w:ascii="Times New Roman" w:hAnsi="Times New Roman" w:cs="Times New Roman"/>
          <w:sz w:val="24"/>
          <w:szCs w:val="24"/>
        </w:rPr>
        <w:t>. Nous nous sommes concentrés sur les aspects de DIP de ces cas, en particulier concernant l’application du droit étranger, la reconnaissance d’un statut étranger, et l’exception d’ordre public. Nous avons ensuite proposé quelques pistes de réponses sur la base d’une étude de cas</w:t>
      </w:r>
      <w:r w:rsidR="00766E8A">
        <w:rPr>
          <w:rFonts w:ascii="Times New Roman" w:hAnsi="Times New Roman" w:cs="Times New Roman"/>
          <w:sz w:val="24"/>
          <w:szCs w:val="24"/>
        </w:rPr>
        <w:t xml:space="preserve"> </w:t>
      </w:r>
      <w:r w:rsidR="00766E8A" w:rsidRPr="00766E8A">
        <w:rPr>
          <w:rFonts w:ascii="Times New Roman" w:hAnsi="Times New Roman" w:cs="Times New Roman"/>
          <w:sz w:val="24"/>
          <w:szCs w:val="24"/>
        </w:rPr>
        <w:t>limitée, destinée à être revue et complétée dans le futur par d’autres études similaires</w:t>
      </w:r>
      <w:r w:rsidR="00766E8A">
        <w:rPr>
          <w:rFonts w:ascii="Times New Roman" w:hAnsi="Times New Roman" w:cs="Times New Roman"/>
          <w:sz w:val="24"/>
          <w:szCs w:val="24"/>
        </w:rPr>
        <w:t xml:space="preserve"> ainsi que par des études de terrain impliquant les parties postcoloniales concernées et par l’étude de cas opposant des parties privées (venant toutes du même Etat postcolonial ou non)</w:t>
      </w:r>
      <w:r w:rsidR="00766E8A" w:rsidRPr="00766E8A">
        <w:rPr>
          <w:rFonts w:ascii="Times New Roman" w:hAnsi="Times New Roman" w:cs="Times New Roman"/>
          <w:sz w:val="24"/>
          <w:szCs w:val="24"/>
        </w:rPr>
        <w:t>. Nous enjoignons</w:t>
      </w:r>
      <w:r w:rsidR="00766E8A">
        <w:rPr>
          <w:rFonts w:ascii="Times New Roman" w:hAnsi="Times New Roman" w:cs="Times New Roman"/>
          <w:sz w:val="24"/>
          <w:szCs w:val="24"/>
        </w:rPr>
        <w:t xml:space="preserve"> </w:t>
      </w:r>
      <w:r w:rsidR="009B6E39" w:rsidRPr="006449A5">
        <w:rPr>
          <w:rFonts w:ascii="Times New Roman" w:hAnsi="Times New Roman" w:cs="Times New Roman"/>
          <w:sz w:val="24"/>
          <w:szCs w:val="24"/>
        </w:rPr>
        <w:t xml:space="preserve">donc les chercheurs de réaliser </w:t>
      </w:r>
      <w:r w:rsidR="00766E8A">
        <w:rPr>
          <w:rFonts w:ascii="Times New Roman" w:hAnsi="Times New Roman" w:cs="Times New Roman"/>
          <w:sz w:val="24"/>
          <w:szCs w:val="24"/>
        </w:rPr>
        <w:t xml:space="preserve">ces recherches </w:t>
      </w:r>
      <w:r w:rsidR="009B6E39" w:rsidRPr="006449A5">
        <w:rPr>
          <w:rFonts w:ascii="Times New Roman" w:hAnsi="Times New Roman" w:cs="Times New Roman"/>
          <w:sz w:val="24"/>
          <w:szCs w:val="24"/>
        </w:rPr>
        <w:t>avec nous à l’avenir.  Les pistes que nous avons proposées</w:t>
      </w:r>
      <w:r w:rsidR="002F0F08" w:rsidRPr="006449A5">
        <w:rPr>
          <w:rFonts w:ascii="Times New Roman" w:hAnsi="Times New Roman" w:cs="Times New Roman"/>
          <w:sz w:val="24"/>
          <w:szCs w:val="24"/>
        </w:rPr>
        <w:t xml:space="preserve"> </w:t>
      </w:r>
      <w:r w:rsidR="00766E8A">
        <w:rPr>
          <w:rFonts w:ascii="Times New Roman" w:hAnsi="Times New Roman" w:cs="Times New Roman"/>
          <w:sz w:val="24"/>
          <w:szCs w:val="24"/>
        </w:rPr>
        <w:t>peuvent être résumées</w:t>
      </w:r>
      <w:r w:rsidR="009B6E39" w:rsidRPr="006449A5">
        <w:rPr>
          <w:rFonts w:ascii="Times New Roman" w:hAnsi="Times New Roman" w:cs="Times New Roman"/>
          <w:sz w:val="24"/>
          <w:szCs w:val="24"/>
        </w:rPr>
        <w:t xml:space="preserve"> comme suit, en mettant en évidence le fait qu’elles convergent vers une demande de « pragmatisme </w:t>
      </w:r>
      <w:proofErr w:type="spellStart"/>
      <w:r w:rsidR="009B6E39" w:rsidRPr="006449A5">
        <w:rPr>
          <w:rFonts w:ascii="Times New Roman" w:hAnsi="Times New Roman" w:cs="Times New Roman"/>
          <w:sz w:val="24"/>
          <w:szCs w:val="24"/>
        </w:rPr>
        <w:t>décolonial</w:t>
      </w:r>
      <w:proofErr w:type="spellEnd"/>
      <w:r w:rsidR="009B6E39" w:rsidRPr="006449A5">
        <w:rPr>
          <w:rFonts w:ascii="Times New Roman" w:hAnsi="Times New Roman" w:cs="Times New Roman"/>
          <w:sz w:val="24"/>
          <w:szCs w:val="24"/>
        </w:rPr>
        <w:t xml:space="preserve"> » auprès des juges. En effet, </w:t>
      </w:r>
      <w:r w:rsidR="002F0F08" w:rsidRPr="006449A5">
        <w:rPr>
          <w:rFonts w:ascii="Times New Roman" w:hAnsi="Times New Roman" w:cs="Times New Roman"/>
          <w:sz w:val="24"/>
          <w:szCs w:val="24"/>
        </w:rPr>
        <w:t>ces derniers</w:t>
      </w:r>
      <w:r w:rsidR="009B6E39" w:rsidRPr="006449A5">
        <w:rPr>
          <w:rFonts w:ascii="Times New Roman" w:hAnsi="Times New Roman" w:cs="Times New Roman"/>
          <w:sz w:val="24"/>
          <w:szCs w:val="24"/>
        </w:rPr>
        <w:t xml:space="preserve"> doivent somme toute pouvoir aboutir à une décision, le plus rapidement possible et avec les (faibles) moyens </w:t>
      </w:r>
      <w:r w:rsidR="00766E8A">
        <w:rPr>
          <w:rFonts w:ascii="Times New Roman" w:hAnsi="Times New Roman" w:cs="Times New Roman"/>
          <w:sz w:val="24"/>
          <w:szCs w:val="24"/>
        </w:rPr>
        <w:t>à disposition</w:t>
      </w:r>
      <w:r w:rsidR="009B6E39" w:rsidRPr="006449A5">
        <w:rPr>
          <w:rFonts w:ascii="Times New Roman" w:hAnsi="Times New Roman" w:cs="Times New Roman"/>
          <w:sz w:val="24"/>
          <w:szCs w:val="24"/>
        </w:rPr>
        <w:t>, d’une manière qui leur paraisse équitable, en utilisant les règles juridiques applicable</w:t>
      </w:r>
      <w:r w:rsidR="002F0F08" w:rsidRPr="006449A5">
        <w:rPr>
          <w:rFonts w:ascii="Times New Roman" w:hAnsi="Times New Roman" w:cs="Times New Roman"/>
          <w:sz w:val="24"/>
          <w:szCs w:val="24"/>
        </w:rPr>
        <w:t>s</w:t>
      </w:r>
      <w:r w:rsidR="009B6E39" w:rsidRPr="006449A5">
        <w:rPr>
          <w:rFonts w:ascii="Times New Roman" w:hAnsi="Times New Roman" w:cs="Times New Roman"/>
          <w:sz w:val="24"/>
          <w:szCs w:val="24"/>
        </w:rPr>
        <w:t xml:space="preserve">. Les lignes directrices que nous proposons ici sont donc le plus pragmatique possible. Elles montrent par ailleurs que </w:t>
      </w:r>
      <w:r w:rsidR="009511C8" w:rsidRPr="006449A5">
        <w:rPr>
          <w:rFonts w:ascii="Times New Roman" w:hAnsi="Times New Roman" w:cs="Times New Roman"/>
          <w:sz w:val="24"/>
          <w:szCs w:val="24"/>
        </w:rPr>
        <w:t xml:space="preserve">l’analyse </w:t>
      </w:r>
      <w:proofErr w:type="spellStart"/>
      <w:r w:rsidR="009511C8" w:rsidRPr="006449A5">
        <w:rPr>
          <w:rFonts w:ascii="Times New Roman" w:hAnsi="Times New Roman" w:cs="Times New Roman"/>
          <w:sz w:val="24"/>
          <w:szCs w:val="24"/>
        </w:rPr>
        <w:t>décoloniale</w:t>
      </w:r>
      <w:proofErr w:type="spellEnd"/>
      <w:r w:rsidR="009511C8" w:rsidRPr="006449A5">
        <w:rPr>
          <w:rFonts w:ascii="Times New Roman" w:hAnsi="Times New Roman" w:cs="Times New Roman"/>
          <w:sz w:val="24"/>
          <w:szCs w:val="24"/>
        </w:rPr>
        <w:t xml:space="preserve"> concerne surtout le raisonnement</w:t>
      </w:r>
      <w:r w:rsidR="00766E8A">
        <w:rPr>
          <w:rFonts w:ascii="Times New Roman" w:hAnsi="Times New Roman" w:cs="Times New Roman"/>
          <w:sz w:val="24"/>
          <w:szCs w:val="24"/>
        </w:rPr>
        <w:t xml:space="preserve"> du juge saisi</w:t>
      </w:r>
      <w:r w:rsidR="009511C8" w:rsidRPr="006449A5">
        <w:rPr>
          <w:rFonts w:ascii="Times New Roman" w:hAnsi="Times New Roman" w:cs="Times New Roman"/>
          <w:sz w:val="24"/>
          <w:szCs w:val="24"/>
        </w:rPr>
        <w:t>, sans imposer automatiquement que la décision du juge aille dans un sens ou dans un autre.</w:t>
      </w:r>
    </w:p>
    <w:p w14:paraId="4B191C97" w14:textId="4DAED910" w:rsidR="009B6E39" w:rsidRPr="006449A5" w:rsidRDefault="009B6E39" w:rsidP="00CF1D1E">
      <w:pPr>
        <w:rPr>
          <w:rFonts w:ascii="Times New Roman" w:hAnsi="Times New Roman" w:cs="Times New Roman"/>
          <w:sz w:val="24"/>
          <w:szCs w:val="24"/>
        </w:rPr>
      </w:pPr>
      <w:r w:rsidRPr="006449A5">
        <w:rPr>
          <w:rFonts w:ascii="Times New Roman" w:hAnsi="Times New Roman" w:cs="Times New Roman"/>
          <w:sz w:val="24"/>
          <w:szCs w:val="24"/>
        </w:rPr>
        <w:t xml:space="preserve">D'abord, concernant l’application du droit étranger postcolonial, il nous semble que le juge européen doit pouvoir </w:t>
      </w:r>
      <w:r w:rsidR="002F0F08" w:rsidRPr="006449A5">
        <w:rPr>
          <w:rFonts w:ascii="Times New Roman" w:hAnsi="Times New Roman" w:cs="Times New Roman"/>
          <w:sz w:val="24"/>
          <w:szCs w:val="24"/>
        </w:rPr>
        <w:t>l’</w:t>
      </w:r>
      <w:r w:rsidRPr="006449A5">
        <w:rPr>
          <w:rFonts w:ascii="Times New Roman" w:hAnsi="Times New Roman" w:cs="Times New Roman"/>
          <w:sz w:val="24"/>
          <w:szCs w:val="24"/>
        </w:rPr>
        <w:t xml:space="preserve">accepter, même lorsqu’il règle une même question de manière plurielle, </w:t>
      </w:r>
      <w:r w:rsidR="002F0F08" w:rsidRPr="006449A5">
        <w:rPr>
          <w:rFonts w:ascii="Times New Roman" w:hAnsi="Times New Roman" w:cs="Times New Roman"/>
          <w:sz w:val="24"/>
          <w:szCs w:val="24"/>
        </w:rPr>
        <w:t xml:space="preserve">c’est-à-dire </w:t>
      </w:r>
      <w:r w:rsidRPr="006449A5">
        <w:rPr>
          <w:rFonts w:ascii="Times New Roman" w:hAnsi="Times New Roman" w:cs="Times New Roman"/>
          <w:sz w:val="24"/>
          <w:szCs w:val="24"/>
        </w:rPr>
        <w:t>même si cela ne correspond pas à l’exigence de cohérence de la théorie juridique moderne. Il peut alors choisir la règle la plus favorable à la partie postcoloniale</w:t>
      </w:r>
      <w:r w:rsidR="002F0F08" w:rsidRPr="006449A5">
        <w:rPr>
          <w:rFonts w:ascii="Times New Roman" w:hAnsi="Times New Roman" w:cs="Times New Roman"/>
          <w:sz w:val="24"/>
          <w:szCs w:val="24"/>
        </w:rPr>
        <w:t>. S</w:t>
      </w:r>
      <w:r w:rsidRPr="006449A5">
        <w:rPr>
          <w:rFonts w:ascii="Times New Roman" w:hAnsi="Times New Roman" w:cs="Times New Roman"/>
          <w:sz w:val="24"/>
          <w:szCs w:val="24"/>
        </w:rPr>
        <w:t xml:space="preserve">’il désire appliquer le droit du for pour éviter l’incertitude, il peut le faire uniquement si cela le mène à traiter cette partie plus favorablement. </w:t>
      </w:r>
    </w:p>
    <w:p w14:paraId="5F8AC579" w14:textId="4E370D9B" w:rsidR="009B6E39" w:rsidRPr="006449A5" w:rsidRDefault="009B6E39" w:rsidP="00CF1D1E">
      <w:pPr>
        <w:rPr>
          <w:rFonts w:ascii="Times New Roman" w:hAnsi="Times New Roman" w:cs="Times New Roman"/>
          <w:sz w:val="24"/>
          <w:szCs w:val="24"/>
        </w:rPr>
      </w:pPr>
      <w:r w:rsidRPr="006449A5">
        <w:rPr>
          <w:rFonts w:ascii="Times New Roman" w:hAnsi="Times New Roman" w:cs="Times New Roman"/>
          <w:sz w:val="24"/>
          <w:szCs w:val="24"/>
        </w:rPr>
        <w:t>Ensuite, le juge doit pouvoir pluraliser la définition des concepts du DIP – et notamment, des facteurs de rattachement, comme la notion de résidence</w:t>
      </w:r>
      <w:r w:rsidR="00E2019B" w:rsidRPr="006449A5">
        <w:rPr>
          <w:rFonts w:ascii="Times New Roman" w:hAnsi="Times New Roman" w:cs="Times New Roman"/>
          <w:sz w:val="24"/>
          <w:szCs w:val="24"/>
        </w:rPr>
        <w:t xml:space="preserve">. De cette manière, il peut </w:t>
      </w:r>
      <w:r w:rsidRPr="006449A5">
        <w:rPr>
          <w:rFonts w:ascii="Times New Roman" w:hAnsi="Times New Roman" w:cs="Times New Roman"/>
          <w:sz w:val="24"/>
          <w:szCs w:val="24"/>
        </w:rPr>
        <w:t xml:space="preserve">prendre en compte, non seulement le droit non étatique suivi par la population postcoloniale concernée, mais aussi </w:t>
      </w:r>
      <w:r w:rsidR="00E2019B" w:rsidRPr="006449A5">
        <w:rPr>
          <w:rFonts w:ascii="Times New Roman" w:hAnsi="Times New Roman" w:cs="Times New Roman"/>
          <w:sz w:val="24"/>
          <w:szCs w:val="24"/>
        </w:rPr>
        <w:t>ses</w:t>
      </w:r>
      <w:r w:rsidRPr="006449A5">
        <w:rPr>
          <w:rFonts w:ascii="Times New Roman" w:hAnsi="Times New Roman" w:cs="Times New Roman"/>
          <w:sz w:val="24"/>
          <w:szCs w:val="24"/>
        </w:rPr>
        <w:t xml:space="preserve"> habitudes de vie, et spécialement le fait que nombre </w:t>
      </w:r>
      <w:r w:rsidR="00E2019B" w:rsidRPr="006449A5">
        <w:rPr>
          <w:rFonts w:ascii="Times New Roman" w:hAnsi="Times New Roman" w:cs="Times New Roman"/>
          <w:sz w:val="24"/>
          <w:szCs w:val="24"/>
        </w:rPr>
        <w:t>de ses membres</w:t>
      </w:r>
      <w:r w:rsidRPr="006449A5">
        <w:rPr>
          <w:rFonts w:ascii="Times New Roman" w:hAnsi="Times New Roman" w:cs="Times New Roman"/>
          <w:sz w:val="24"/>
          <w:szCs w:val="24"/>
        </w:rPr>
        <w:t xml:space="preserve"> vivent entre l’ancienne colonie et l’ancienne puissance européenne. </w:t>
      </w:r>
      <w:r w:rsidR="00E2019B" w:rsidRPr="006449A5">
        <w:rPr>
          <w:rFonts w:ascii="Times New Roman" w:hAnsi="Times New Roman" w:cs="Times New Roman"/>
          <w:sz w:val="24"/>
          <w:szCs w:val="24"/>
        </w:rPr>
        <w:t xml:space="preserve">Il s’agit d’un contexte dans lequel la relation postcoloniale spéciale entre un </w:t>
      </w:r>
      <w:r w:rsidR="00171AB3" w:rsidRPr="006449A5">
        <w:rPr>
          <w:rFonts w:ascii="Times New Roman" w:hAnsi="Times New Roman" w:cs="Times New Roman"/>
          <w:sz w:val="24"/>
          <w:szCs w:val="24"/>
        </w:rPr>
        <w:t>État</w:t>
      </w:r>
      <w:r w:rsidR="00E2019B" w:rsidRPr="006449A5">
        <w:rPr>
          <w:rFonts w:ascii="Times New Roman" w:hAnsi="Times New Roman" w:cs="Times New Roman"/>
          <w:sz w:val="24"/>
          <w:szCs w:val="24"/>
        </w:rPr>
        <w:t xml:space="preserve"> postcolonial et un </w:t>
      </w:r>
      <w:r w:rsidR="00171AB3" w:rsidRPr="006449A5">
        <w:rPr>
          <w:rFonts w:ascii="Times New Roman" w:hAnsi="Times New Roman" w:cs="Times New Roman"/>
          <w:sz w:val="24"/>
          <w:szCs w:val="24"/>
        </w:rPr>
        <w:t>État</w:t>
      </w:r>
      <w:r w:rsidR="00E2019B" w:rsidRPr="006449A5">
        <w:rPr>
          <w:rFonts w:ascii="Times New Roman" w:hAnsi="Times New Roman" w:cs="Times New Roman"/>
          <w:sz w:val="24"/>
          <w:szCs w:val="24"/>
        </w:rPr>
        <w:t xml:space="preserve"> européen peut être prise en compte comme élément de l’expérience spécifique de la colonisation du peuple </w:t>
      </w:r>
      <w:r w:rsidR="00E2019B" w:rsidRPr="006449A5">
        <w:rPr>
          <w:rFonts w:ascii="Times New Roman" w:hAnsi="Times New Roman" w:cs="Times New Roman"/>
          <w:sz w:val="24"/>
          <w:szCs w:val="24"/>
        </w:rPr>
        <w:lastRenderedPageBreak/>
        <w:t xml:space="preserve">d’un pays postcolonial ou d’une zone (régionale ou locale) postcoloniale – ce qui est demandé par l’approche </w:t>
      </w:r>
      <w:proofErr w:type="spellStart"/>
      <w:r w:rsidR="00E2019B" w:rsidRPr="006449A5">
        <w:rPr>
          <w:rFonts w:ascii="Times New Roman" w:hAnsi="Times New Roman" w:cs="Times New Roman"/>
          <w:sz w:val="24"/>
          <w:szCs w:val="24"/>
        </w:rPr>
        <w:t>décoloniale</w:t>
      </w:r>
      <w:proofErr w:type="spellEnd"/>
      <w:r w:rsidR="00E2019B" w:rsidRPr="006449A5">
        <w:rPr>
          <w:rFonts w:ascii="Times New Roman" w:hAnsi="Times New Roman" w:cs="Times New Roman"/>
          <w:sz w:val="24"/>
          <w:szCs w:val="24"/>
        </w:rPr>
        <w:t xml:space="preserve">. De même, il semble bienvenue que les citoyens des anciennes colonies d’un pays européen donné puissent y acquérir la nationalité plus facilement que d’autres citoyens non français. </w:t>
      </w:r>
    </w:p>
    <w:p w14:paraId="4780020A" w14:textId="59B88B64" w:rsidR="000E44D2" w:rsidRPr="006449A5" w:rsidRDefault="00766E8A" w:rsidP="00CF1D1E">
      <w:pPr>
        <w:rPr>
          <w:rFonts w:ascii="Times New Roman" w:hAnsi="Times New Roman" w:cs="Times New Roman"/>
          <w:sz w:val="24"/>
          <w:szCs w:val="24"/>
        </w:rPr>
      </w:pPr>
      <w:r>
        <w:rPr>
          <w:rFonts w:ascii="Times New Roman" w:hAnsi="Times New Roman" w:cs="Times New Roman"/>
          <w:sz w:val="24"/>
          <w:szCs w:val="24"/>
        </w:rPr>
        <w:t>L’on plaidera en outre</w:t>
      </w:r>
      <w:r w:rsidR="009B6E39" w:rsidRPr="006449A5">
        <w:rPr>
          <w:rFonts w:ascii="Times New Roman" w:hAnsi="Times New Roman" w:cs="Times New Roman"/>
          <w:sz w:val="24"/>
          <w:szCs w:val="24"/>
        </w:rPr>
        <w:t xml:space="preserve"> pour la souplesse administrative dans la considération de la preuve d’un statut personnel et familial établi dans un </w:t>
      </w:r>
      <w:r w:rsidR="007F1A4E" w:rsidRPr="006449A5">
        <w:rPr>
          <w:rFonts w:ascii="Times New Roman" w:hAnsi="Times New Roman" w:cs="Times New Roman"/>
          <w:sz w:val="24"/>
          <w:szCs w:val="24"/>
        </w:rPr>
        <w:t>État</w:t>
      </w:r>
      <w:r w:rsidR="009B6E39" w:rsidRPr="006449A5">
        <w:rPr>
          <w:rFonts w:ascii="Times New Roman" w:hAnsi="Times New Roman" w:cs="Times New Roman"/>
          <w:sz w:val="24"/>
          <w:szCs w:val="24"/>
        </w:rPr>
        <w:t xml:space="preserve"> postcolonial, </w:t>
      </w:r>
      <w:proofErr w:type="gramStart"/>
      <w:r w:rsidR="009B6E39" w:rsidRPr="006449A5">
        <w:rPr>
          <w:rFonts w:ascii="Times New Roman" w:hAnsi="Times New Roman" w:cs="Times New Roman"/>
          <w:sz w:val="24"/>
          <w:szCs w:val="24"/>
        </w:rPr>
        <w:t>de façon</w:t>
      </w:r>
      <w:r>
        <w:rPr>
          <w:rFonts w:ascii="Times New Roman" w:hAnsi="Times New Roman" w:cs="Times New Roman"/>
          <w:sz w:val="24"/>
          <w:szCs w:val="24"/>
        </w:rPr>
        <w:t xml:space="preserve"> à</w:t>
      </w:r>
      <w:r w:rsidR="009B6E39" w:rsidRPr="006449A5">
        <w:rPr>
          <w:rFonts w:ascii="Times New Roman" w:hAnsi="Times New Roman" w:cs="Times New Roman"/>
          <w:sz w:val="24"/>
          <w:szCs w:val="24"/>
        </w:rPr>
        <w:t xml:space="preserve"> </w:t>
      </w:r>
      <w:r w:rsidR="002F0F08" w:rsidRPr="006449A5">
        <w:rPr>
          <w:rFonts w:ascii="Times New Roman" w:hAnsi="Times New Roman" w:cs="Times New Roman"/>
          <w:sz w:val="24"/>
          <w:szCs w:val="24"/>
        </w:rPr>
        <w:t>ce</w:t>
      </w:r>
      <w:proofErr w:type="gramEnd"/>
      <w:r w:rsidR="002F0F08" w:rsidRPr="006449A5">
        <w:rPr>
          <w:rFonts w:ascii="Times New Roman" w:hAnsi="Times New Roman" w:cs="Times New Roman"/>
          <w:sz w:val="24"/>
          <w:szCs w:val="24"/>
        </w:rPr>
        <w:t xml:space="preserve"> qu’un tel statut puisse être reconnu</w:t>
      </w:r>
      <w:r w:rsidR="009B6E39" w:rsidRPr="006449A5">
        <w:rPr>
          <w:rFonts w:ascii="Times New Roman" w:hAnsi="Times New Roman" w:cs="Times New Roman"/>
          <w:sz w:val="24"/>
          <w:szCs w:val="24"/>
        </w:rPr>
        <w:t xml:space="preserve">, même lorsque les formalités étatiques postcoloniales n’ont pas été effectuées (et qu’il n’existe donc pas d’acte prouvant le statut aux yeux du juge européen). A cet égard, l’état de guerre </w:t>
      </w:r>
      <w:r w:rsidR="002F0F08" w:rsidRPr="006449A5">
        <w:rPr>
          <w:rFonts w:ascii="Times New Roman" w:hAnsi="Times New Roman" w:cs="Times New Roman"/>
          <w:sz w:val="24"/>
          <w:szCs w:val="24"/>
        </w:rPr>
        <w:t>d’un</w:t>
      </w:r>
      <w:r w:rsidR="009B6E39" w:rsidRPr="006449A5">
        <w:rPr>
          <w:rFonts w:ascii="Times New Roman" w:hAnsi="Times New Roman" w:cs="Times New Roman"/>
          <w:sz w:val="24"/>
          <w:szCs w:val="24"/>
        </w:rPr>
        <w:t xml:space="preserve"> pays constitue une explication valable </w:t>
      </w:r>
      <w:r>
        <w:rPr>
          <w:rFonts w:ascii="Times New Roman" w:hAnsi="Times New Roman" w:cs="Times New Roman"/>
          <w:sz w:val="24"/>
          <w:szCs w:val="24"/>
        </w:rPr>
        <w:t xml:space="preserve">aux yeux de tout </w:t>
      </w:r>
      <w:r w:rsidR="009B6E39" w:rsidRPr="006449A5">
        <w:rPr>
          <w:rFonts w:ascii="Times New Roman" w:hAnsi="Times New Roman" w:cs="Times New Roman"/>
          <w:sz w:val="24"/>
          <w:szCs w:val="24"/>
        </w:rPr>
        <w:t>juge européen, mais on pourrait l’enjoindre de considérer d’autres explications</w:t>
      </w:r>
      <w:r>
        <w:rPr>
          <w:rFonts w:ascii="Times New Roman" w:hAnsi="Times New Roman" w:cs="Times New Roman"/>
          <w:sz w:val="24"/>
          <w:szCs w:val="24"/>
        </w:rPr>
        <w:t xml:space="preserve"> possibles</w:t>
      </w:r>
      <w:r w:rsidR="009B6E39" w:rsidRPr="006449A5">
        <w:rPr>
          <w:rFonts w:ascii="Times New Roman" w:hAnsi="Times New Roman" w:cs="Times New Roman"/>
          <w:sz w:val="24"/>
          <w:szCs w:val="24"/>
        </w:rPr>
        <w:t xml:space="preserve">, liées à l’expérience personnelle et collective des parties postcoloniales. </w:t>
      </w:r>
      <w:r w:rsidR="002F0F08" w:rsidRPr="006449A5">
        <w:rPr>
          <w:rFonts w:ascii="Times New Roman" w:hAnsi="Times New Roman" w:cs="Times New Roman"/>
          <w:sz w:val="24"/>
          <w:szCs w:val="24"/>
        </w:rPr>
        <w:t>Plus largement, concernant la reconnaissance d’un statut établi dans un État postcolonial, la technique de la reconnaissance automatique de ce statut</w:t>
      </w:r>
      <w:r w:rsidR="00E2019B" w:rsidRPr="006449A5">
        <w:rPr>
          <w:rFonts w:ascii="Times New Roman" w:hAnsi="Times New Roman" w:cs="Times New Roman"/>
          <w:sz w:val="24"/>
          <w:szCs w:val="24"/>
        </w:rPr>
        <w:t xml:space="preserve"> à des fins de protection du droit à la vie privée et familiale, </w:t>
      </w:r>
      <w:r w:rsidR="002F0F08" w:rsidRPr="006449A5">
        <w:rPr>
          <w:rFonts w:ascii="Times New Roman" w:hAnsi="Times New Roman" w:cs="Times New Roman"/>
          <w:sz w:val="24"/>
          <w:szCs w:val="24"/>
        </w:rPr>
        <w:t>sauf en cas de violation de l’ordre public</w:t>
      </w:r>
      <w:r w:rsidR="00E2019B" w:rsidRPr="006449A5">
        <w:rPr>
          <w:rFonts w:ascii="Times New Roman" w:hAnsi="Times New Roman" w:cs="Times New Roman"/>
          <w:sz w:val="24"/>
          <w:szCs w:val="24"/>
        </w:rPr>
        <w:t>, comme semble de requérir la CEDH, semble bienvenue</w:t>
      </w:r>
      <w:r w:rsidR="002F0F08" w:rsidRPr="006449A5">
        <w:rPr>
          <w:rFonts w:ascii="Times New Roman" w:hAnsi="Times New Roman" w:cs="Times New Roman"/>
          <w:sz w:val="24"/>
          <w:szCs w:val="24"/>
        </w:rPr>
        <w:t xml:space="preserve">. </w:t>
      </w:r>
    </w:p>
    <w:p w14:paraId="5047D57D" w14:textId="422AF7E8" w:rsidR="00E2019B" w:rsidRPr="006449A5" w:rsidRDefault="002F0F08" w:rsidP="00E2019B">
      <w:pPr>
        <w:rPr>
          <w:rFonts w:ascii="Times New Roman" w:hAnsi="Times New Roman" w:cs="Times New Roman"/>
          <w:iCs/>
          <w:sz w:val="24"/>
          <w:szCs w:val="24"/>
        </w:rPr>
      </w:pPr>
      <w:r w:rsidRPr="006449A5">
        <w:rPr>
          <w:rFonts w:ascii="Times New Roman" w:hAnsi="Times New Roman" w:cs="Times New Roman"/>
          <w:sz w:val="24"/>
          <w:szCs w:val="24"/>
        </w:rPr>
        <w:t>Enfin, concernant l’ordre public, l’on préconisera l’application la plus restrictive de l’ordre public – qui requière une violation manifeste</w:t>
      </w:r>
      <w:r w:rsidR="00E2019B" w:rsidRPr="006449A5">
        <w:rPr>
          <w:rFonts w:ascii="Times New Roman" w:hAnsi="Times New Roman" w:cs="Times New Roman"/>
          <w:sz w:val="24"/>
          <w:szCs w:val="24"/>
        </w:rPr>
        <w:t xml:space="preserve"> de l’ordre public et une proximité entre le for et la situation étrangère</w:t>
      </w:r>
      <w:r w:rsidRPr="006449A5">
        <w:rPr>
          <w:rFonts w:ascii="Times New Roman" w:hAnsi="Times New Roman" w:cs="Times New Roman"/>
          <w:sz w:val="24"/>
          <w:szCs w:val="24"/>
        </w:rPr>
        <w:t>, définit l’ordre public international comme étant plus réduit que l’ordre public interne, s’attache à l’effet d’une règle étrangère dans le for sans se préoccuper de la règle elle-même</w:t>
      </w:r>
      <w:r w:rsidR="00E2019B" w:rsidRPr="006449A5">
        <w:rPr>
          <w:rFonts w:ascii="Times New Roman" w:hAnsi="Times New Roman" w:cs="Times New Roman"/>
          <w:sz w:val="24"/>
          <w:szCs w:val="24"/>
        </w:rPr>
        <w:t xml:space="preserve"> et cherche à applique </w:t>
      </w:r>
      <w:r w:rsidR="00E2019B" w:rsidRPr="006449A5">
        <w:rPr>
          <w:rFonts w:ascii="Times New Roman" w:hAnsi="Times New Roman" w:cs="Times New Roman"/>
          <w:iCs/>
          <w:sz w:val="24"/>
          <w:szCs w:val="24"/>
        </w:rPr>
        <w:t>une autre norme du droit étranger applicable à la place de la norme contraire à l'ordre public du for. Mais l’on suggèrera aussi, d’une part, que lorsque la norme postcoloniale applicable viole l’ordre public, l’on recherchera une norme applicable alternativement dans le pluralisme juridique de l’</w:t>
      </w:r>
      <w:r w:rsidR="00171AB3" w:rsidRPr="006449A5">
        <w:rPr>
          <w:rFonts w:ascii="Times New Roman" w:hAnsi="Times New Roman" w:cs="Times New Roman"/>
          <w:iCs/>
          <w:sz w:val="24"/>
          <w:szCs w:val="24"/>
        </w:rPr>
        <w:t>État</w:t>
      </w:r>
      <w:r w:rsidR="00E2019B" w:rsidRPr="006449A5">
        <w:rPr>
          <w:rFonts w:ascii="Times New Roman" w:hAnsi="Times New Roman" w:cs="Times New Roman"/>
          <w:iCs/>
          <w:sz w:val="24"/>
          <w:szCs w:val="24"/>
        </w:rPr>
        <w:t xml:space="preserve"> postcolonial concerné, ou dans celui d’un </w:t>
      </w:r>
      <w:r w:rsidR="00171AB3" w:rsidRPr="006449A5">
        <w:rPr>
          <w:rFonts w:ascii="Times New Roman" w:hAnsi="Times New Roman" w:cs="Times New Roman"/>
          <w:iCs/>
          <w:sz w:val="24"/>
          <w:szCs w:val="24"/>
        </w:rPr>
        <w:t>État</w:t>
      </w:r>
      <w:r w:rsidR="00E2019B" w:rsidRPr="006449A5">
        <w:rPr>
          <w:rFonts w:ascii="Times New Roman" w:hAnsi="Times New Roman" w:cs="Times New Roman"/>
          <w:iCs/>
          <w:sz w:val="24"/>
          <w:szCs w:val="24"/>
        </w:rPr>
        <w:t xml:space="preserve"> voisin, si cela semble approprié, compte tenu du respect du pluralisme juridique idiosyncrasique et de l'histoire coloniale de chaque État postcolonial. C’est seulement à défaut d’une telle norme que l’on appliquera le droit du for étatique européen. D’autre part, les valeurs protégées par l'ordre public devraient pouvoir être considérées par le juge au-delà de l'ordre public lui-même, afin d'embrasser le point de vue de la partie postcoloniale sensée être protégée par l'exception d'ordre public, ainsi que la vision du monde postcoloniale en jeu dans le litige.</w:t>
      </w:r>
    </w:p>
    <w:p w14:paraId="41AD62CC" w14:textId="017FB80E" w:rsidR="00890630" w:rsidRPr="003B15E1" w:rsidRDefault="004E3603">
      <w:pPr>
        <w:rPr>
          <w:rFonts w:ascii="Times New Roman" w:hAnsi="Times New Roman" w:cs="Times New Roman"/>
          <w:sz w:val="24"/>
          <w:szCs w:val="24"/>
          <w:lang w:val="fr-FR"/>
        </w:rPr>
      </w:pPr>
      <w:r w:rsidRPr="006449A5">
        <w:rPr>
          <w:rFonts w:ascii="Times New Roman" w:hAnsi="Times New Roman" w:cs="Times New Roman"/>
          <w:sz w:val="24"/>
          <w:szCs w:val="24"/>
        </w:rPr>
        <w:t xml:space="preserve">Ces quelques conclusions sont certainement discutables, </w:t>
      </w:r>
      <w:r w:rsidR="009B6E39" w:rsidRPr="006449A5">
        <w:rPr>
          <w:rFonts w:ascii="Times New Roman" w:hAnsi="Times New Roman" w:cs="Times New Roman"/>
          <w:sz w:val="24"/>
          <w:szCs w:val="24"/>
        </w:rPr>
        <w:t xml:space="preserve">notamment </w:t>
      </w:r>
      <w:r w:rsidRPr="006449A5">
        <w:rPr>
          <w:rFonts w:ascii="Times New Roman" w:hAnsi="Times New Roman" w:cs="Times New Roman"/>
          <w:sz w:val="24"/>
          <w:szCs w:val="24"/>
        </w:rPr>
        <w:t>car elles sont fondées</w:t>
      </w:r>
      <w:r w:rsidR="0013595B" w:rsidRPr="006449A5">
        <w:rPr>
          <w:rFonts w:ascii="Times New Roman" w:hAnsi="Times New Roman" w:cs="Times New Roman"/>
          <w:sz w:val="24"/>
          <w:szCs w:val="24"/>
        </w:rPr>
        <w:t xml:space="preserve"> sur</w:t>
      </w:r>
      <w:r w:rsidR="009B6E39" w:rsidRPr="006449A5">
        <w:rPr>
          <w:rFonts w:ascii="Times New Roman" w:hAnsi="Times New Roman" w:cs="Times New Roman"/>
          <w:sz w:val="24"/>
          <w:szCs w:val="24"/>
        </w:rPr>
        <w:t xml:space="preserve"> </w:t>
      </w:r>
      <w:r w:rsidRPr="006449A5">
        <w:rPr>
          <w:rFonts w:ascii="Times New Roman" w:hAnsi="Times New Roman" w:cs="Times New Roman"/>
          <w:sz w:val="24"/>
          <w:szCs w:val="24"/>
        </w:rPr>
        <w:t xml:space="preserve">une étude purement juridique, fondée sur de la littérature et des jugements - et non sur une étude de terrain dans les pays postcoloniaux et dans les tribunaux européens étatiques. En outre, cette étude ne peut que refléter un point de vue académique </w:t>
      </w:r>
      <w:r w:rsidR="009B6E39" w:rsidRPr="006449A5">
        <w:rPr>
          <w:rFonts w:ascii="Times New Roman" w:hAnsi="Times New Roman" w:cs="Times New Roman"/>
          <w:sz w:val="24"/>
          <w:szCs w:val="24"/>
        </w:rPr>
        <w:t>européen</w:t>
      </w:r>
      <w:r w:rsidRPr="006449A5">
        <w:rPr>
          <w:rFonts w:ascii="Times New Roman" w:hAnsi="Times New Roman" w:cs="Times New Roman"/>
          <w:sz w:val="24"/>
          <w:szCs w:val="24"/>
        </w:rPr>
        <w:t xml:space="preserve">, puisque nous ne pouvons prétendre ni connaitre ni nous identifier à une cosmologie </w:t>
      </w:r>
      <w:r w:rsidR="009B6E39" w:rsidRPr="006449A5">
        <w:rPr>
          <w:rFonts w:ascii="Times New Roman" w:hAnsi="Times New Roman" w:cs="Times New Roman"/>
          <w:sz w:val="24"/>
          <w:szCs w:val="24"/>
        </w:rPr>
        <w:t>postcoloniale</w:t>
      </w:r>
      <w:r w:rsidRPr="006449A5">
        <w:rPr>
          <w:rFonts w:ascii="Times New Roman" w:hAnsi="Times New Roman" w:cs="Times New Roman"/>
          <w:sz w:val="24"/>
          <w:szCs w:val="24"/>
        </w:rPr>
        <w:t xml:space="preserve">. </w:t>
      </w:r>
      <w:r w:rsidR="00171AB3" w:rsidRPr="006449A5">
        <w:rPr>
          <w:rFonts w:ascii="Times New Roman" w:hAnsi="Times New Roman" w:cs="Times New Roman"/>
          <w:sz w:val="24"/>
          <w:szCs w:val="24"/>
        </w:rPr>
        <w:t>À</w:t>
      </w:r>
      <w:r w:rsidRPr="006449A5">
        <w:rPr>
          <w:rFonts w:ascii="Times New Roman" w:hAnsi="Times New Roman" w:cs="Times New Roman"/>
          <w:sz w:val="24"/>
          <w:szCs w:val="24"/>
        </w:rPr>
        <w:t xml:space="preserve"> cet égard, </w:t>
      </w:r>
      <w:r w:rsidR="00A45F56" w:rsidRPr="006449A5">
        <w:rPr>
          <w:rFonts w:ascii="Times New Roman" w:hAnsi="Times New Roman" w:cs="Times New Roman"/>
          <w:sz w:val="24"/>
          <w:szCs w:val="24"/>
        </w:rPr>
        <w:t>la présente contribution</w:t>
      </w:r>
      <w:r w:rsidRPr="006449A5">
        <w:rPr>
          <w:rFonts w:ascii="Times New Roman" w:hAnsi="Times New Roman" w:cs="Times New Roman"/>
          <w:sz w:val="24"/>
          <w:szCs w:val="24"/>
        </w:rPr>
        <w:t xml:space="preserve"> devrait être complétée à l’avenir par une étude « à la frontière » regroupant plusieurs académiques </w:t>
      </w:r>
      <w:r w:rsidR="00A45F56" w:rsidRPr="006449A5">
        <w:rPr>
          <w:rFonts w:ascii="Times New Roman" w:hAnsi="Times New Roman" w:cs="Times New Roman"/>
          <w:sz w:val="24"/>
          <w:szCs w:val="24"/>
        </w:rPr>
        <w:t xml:space="preserve">liés à diverses </w:t>
      </w:r>
      <w:r w:rsidR="009B6E39" w:rsidRPr="006449A5">
        <w:rPr>
          <w:rFonts w:ascii="Times New Roman" w:hAnsi="Times New Roman" w:cs="Times New Roman"/>
          <w:sz w:val="24"/>
          <w:szCs w:val="24"/>
        </w:rPr>
        <w:t>visions du monde postcoloniales et européennes</w:t>
      </w:r>
      <w:r w:rsidR="00A45F56" w:rsidRPr="006449A5">
        <w:rPr>
          <w:rFonts w:ascii="Times New Roman" w:hAnsi="Times New Roman" w:cs="Times New Roman"/>
          <w:sz w:val="24"/>
          <w:szCs w:val="24"/>
        </w:rPr>
        <w:t xml:space="preserve">. Dans cette mesure, l’objectif premier de cet article n’est pas de soulever des questions </w:t>
      </w:r>
      <w:proofErr w:type="spellStart"/>
      <w:r w:rsidR="00A45F56" w:rsidRPr="006449A5">
        <w:rPr>
          <w:rFonts w:ascii="Times New Roman" w:hAnsi="Times New Roman" w:cs="Times New Roman"/>
          <w:sz w:val="24"/>
          <w:szCs w:val="24"/>
        </w:rPr>
        <w:t>décoloniales</w:t>
      </w:r>
      <w:proofErr w:type="spellEnd"/>
      <w:r w:rsidR="00A45F56" w:rsidRPr="006449A5">
        <w:rPr>
          <w:rFonts w:ascii="Times New Roman" w:hAnsi="Times New Roman" w:cs="Times New Roman"/>
          <w:sz w:val="24"/>
          <w:szCs w:val="24"/>
        </w:rPr>
        <w:t xml:space="preserve"> et d’y répondre, mais surtout </w:t>
      </w:r>
      <w:r w:rsidR="00CF1D1E" w:rsidRPr="006449A5">
        <w:rPr>
          <w:rFonts w:ascii="Times New Roman" w:hAnsi="Times New Roman" w:cs="Times New Roman"/>
          <w:sz w:val="24"/>
          <w:szCs w:val="24"/>
        </w:rPr>
        <w:t xml:space="preserve">d’en générer davantage, à la fois quant </w:t>
      </w:r>
      <w:r w:rsidR="009B6E39" w:rsidRPr="006449A5">
        <w:rPr>
          <w:rFonts w:ascii="Times New Roman" w:hAnsi="Times New Roman" w:cs="Times New Roman"/>
          <w:sz w:val="24"/>
          <w:szCs w:val="24"/>
        </w:rPr>
        <w:t>au droit international privé européen</w:t>
      </w:r>
      <w:r w:rsidR="00CF1D1E" w:rsidRPr="006449A5">
        <w:rPr>
          <w:rFonts w:ascii="Times New Roman" w:hAnsi="Times New Roman" w:cs="Times New Roman"/>
          <w:sz w:val="24"/>
          <w:szCs w:val="24"/>
        </w:rPr>
        <w:t xml:space="preserve">, mais également, d’une manière plus générale, quant à l’aspect colonial du droit des démocraties occidentales contemporaines. </w:t>
      </w:r>
    </w:p>
    <w:sectPr w:rsidR="00890630" w:rsidRPr="003B15E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05252F" w14:textId="77777777" w:rsidR="001031B8" w:rsidRPr="006449A5" w:rsidRDefault="001031B8" w:rsidP="0044059B">
      <w:pPr>
        <w:spacing w:after="0" w:line="240" w:lineRule="auto"/>
      </w:pPr>
      <w:r w:rsidRPr="006449A5">
        <w:separator/>
      </w:r>
    </w:p>
  </w:endnote>
  <w:endnote w:type="continuationSeparator" w:id="0">
    <w:p w14:paraId="4714A4B3" w14:textId="77777777" w:rsidR="001031B8" w:rsidRPr="006449A5" w:rsidRDefault="001031B8" w:rsidP="0044059B">
      <w:pPr>
        <w:spacing w:after="0" w:line="240" w:lineRule="auto"/>
      </w:pPr>
      <w:r w:rsidRPr="006449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1093645"/>
      <w:docPartObj>
        <w:docPartGallery w:val="Page Numbers (Bottom of Page)"/>
        <w:docPartUnique/>
      </w:docPartObj>
    </w:sdtPr>
    <w:sdtContent>
      <w:p w14:paraId="604E28D5" w14:textId="472E16F0" w:rsidR="005C7195" w:rsidRPr="006449A5" w:rsidRDefault="005C7195">
        <w:pPr>
          <w:pStyle w:val="Pieddepage"/>
          <w:jc w:val="center"/>
        </w:pPr>
        <w:r w:rsidRPr="006449A5">
          <w:fldChar w:fldCharType="begin"/>
        </w:r>
        <w:r w:rsidRPr="006449A5">
          <w:instrText>PAGE   \* MERGEFORMAT</w:instrText>
        </w:r>
        <w:r w:rsidRPr="006449A5">
          <w:fldChar w:fldCharType="separate"/>
        </w:r>
        <w:r w:rsidRPr="006449A5">
          <w:t>2</w:t>
        </w:r>
        <w:r w:rsidRPr="006449A5">
          <w:fldChar w:fldCharType="end"/>
        </w:r>
      </w:p>
    </w:sdtContent>
  </w:sdt>
  <w:p w14:paraId="491B7410" w14:textId="77777777" w:rsidR="005C7195" w:rsidRPr="006449A5" w:rsidRDefault="005C719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7EA44C" w14:textId="77777777" w:rsidR="001031B8" w:rsidRPr="006449A5" w:rsidRDefault="001031B8" w:rsidP="0044059B">
      <w:pPr>
        <w:spacing w:after="0" w:line="240" w:lineRule="auto"/>
      </w:pPr>
      <w:r w:rsidRPr="006449A5">
        <w:separator/>
      </w:r>
    </w:p>
  </w:footnote>
  <w:footnote w:type="continuationSeparator" w:id="0">
    <w:p w14:paraId="690F93DA" w14:textId="77777777" w:rsidR="001031B8" w:rsidRPr="006449A5" w:rsidRDefault="001031B8" w:rsidP="0044059B">
      <w:pPr>
        <w:spacing w:after="0" w:line="240" w:lineRule="auto"/>
      </w:pPr>
      <w:r w:rsidRPr="006449A5">
        <w:continuationSeparator/>
      </w:r>
    </w:p>
  </w:footnote>
  <w:footnote w:id="1">
    <w:p w14:paraId="525CB4EC" w14:textId="43DB5817" w:rsidR="004A2030" w:rsidRPr="006449A5" w:rsidRDefault="004A2030" w:rsidP="00E005ED">
      <w:pPr>
        <w:pStyle w:val="Notedebasdepage"/>
        <w:rPr>
          <w:lang w:val="fr-BE"/>
        </w:rPr>
      </w:pPr>
      <w:r w:rsidRPr="006449A5">
        <w:rPr>
          <w:rStyle w:val="Appelnotedebasdep"/>
          <w:lang w:val="fr-BE"/>
        </w:rPr>
        <w:footnoteRef/>
      </w:r>
      <w:r w:rsidRPr="006449A5">
        <w:rPr>
          <w:lang w:val="fr-BE"/>
        </w:rPr>
        <w:t xml:space="preserve"> Je voudrais remercier vivement Marie-Bénédicte </w:t>
      </w:r>
      <w:proofErr w:type="spellStart"/>
      <w:r w:rsidRPr="006449A5">
        <w:rPr>
          <w:lang w:val="fr-BE"/>
        </w:rPr>
        <w:t>Dembour</w:t>
      </w:r>
      <w:proofErr w:type="spellEnd"/>
      <w:r w:rsidR="00DE1B86" w:rsidRPr="006449A5">
        <w:rPr>
          <w:lang w:val="fr-BE"/>
        </w:rPr>
        <w:t>, et son équipe de recherche « </w:t>
      </w:r>
      <w:proofErr w:type="spellStart"/>
      <w:r w:rsidR="00DE1B86" w:rsidRPr="006449A5">
        <w:rPr>
          <w:lang w:val="fr-BE"/>
        </w:rPr>
        <w:t>Dissect</w:t>
      </w:r>
      <w:proofErr w:type="spellEnd"/>
      <w:r w:rsidR="00DE1B86" w:rsidRPr="006449A5">
        <w:rPr>
          <w:lang w:val="fr-BE"/>
        </w:rPr>
        <w:t xml:space="preserve"> » </w:t>
      </w:r>
      <w:r w:rsidR="00FA2AA8" w:rsidRPr="006449A5">
        <w:rPr>
          <w:lang w:val="fr-BE"/>
        </w:rPr>
        <w:t xml:space="preserve">(v. la page internet officielle : </w:t>
      </w:r>
      <w:hyperlink r:id="rId1" w:history="1">
        <w:r w:rsidR="00FA2AA8" w:rsidRPr="006449A5">
          <w:rPr>
            <w:rStyle w:val="Lienhypertexte"/>
            <w:lang w:val="fr-BE"/>
          </w:rPr>
          <w:t>https://dissect.ugent.be/</w:t>
        </w:r>
      </w:hyperlink>
      <w:r w:rsidR="00FA2AA8" w:rsidRPr="006449A5">
        <w:rPr>
          <w:lang w:val="fr-BE"/>
        </w:rPr>
        <w:t xml:space="preserve">, consultée le </w:t>
      </w:r>
      <w:r w:rsidR="00234020" w:rsidRPr="006449A5">
        <w:rPr>
          <w:lang w:val="fr-BE"/>
        </w:rPr>
        <w:t>2 janvier 2025</w:t>
      </w:r>
      <w:r w:rsidR="00FA2AA8" w:rsidRPr="006449A5">
        <w:rPr>
          <w:lang w:val="fr-BE"/>
        </w:rPr>
        <w:t xml:space="preserve">), ainsi que </w:t>
      </w:r>
      <w:proofErr w:type="spellStart"/>
      <w:r w:rsidRPr="006449A5">
        <w:rPr>
          <w:lang w:val="fr-BE"/>
        </w:rPr>
        <w:t>Jinske</w:t>
      </w:r>
      <w:proofErr w:type="spellEnd"/>
      <w:r w:rsidRPr="006449A5">
        <w:rPr>
          <w:lang w:val="fr-BE"/>
        </w:rPr>
        <w:t xml:space="preserve"> </w:t>
      </w:r>
      <w:proofErr w:type="spellStart"/>
      <w:r w:rsidRPr="006449A5">
        <w:rPr>
          <w:lang w:val="fr-BE"/>
        </w:rPr>
        <w:t>Verhellen</w:t>
      </w:r>
      <w:proofErr w:type="spellEnd"/>
      <w:r w:rsidR="00FA2AA8" w:rsidRPr="006449A5">
        <w:rPr>
          <w:lang w:val="fr-BE"/>
        </w:rPr>
        <w:t>,</w:t>
      </w:r>
      <w:r w:rsidRPr="006449A5">
        <w:rPr>
          <w:lang w:val="fr-BE"/>
        </w:rPr>
        <w:t xml:space="preserve"> pour leur aide précieuse dans des étapes antérieures </w:t>
      </w:r>
      <w:r w:rsidR="009B76C8" w:rsidRPr="006449A5">
        <w:rPr>
          <w:lang w:val="fr-BE"/>
        </w:rPr>
        <w:t>de</w:t>
      </w:r>
      <w:r w:rsidRPr="006449A5">
        <w:rPr>
          <w:lang w:val="fr-BE"/>
        </w:rPr>
        <w:t xml:space="preserve"> l’élaboration de la présente recherche. </w:t>
      </w:r>
      <w:r w:rsidR="00FA2AA8" w:rsidRPr="006449A5">
        <w:rPr>
          <w:lang w:val="fr-BE"/>
        </w:rPr>
        <w:t xml:space="preserve">Je remercie aussi </w:t>
      </w:r>
      <w:r w:rsidR="00386A37" w:rsidRPr="006449A5">
        <w:rPr>
          <w:lang w:val="fr-BE"/>
        </w:rPr>
        <w:t>Sabine Corneloup</w:t>
      </w:r>
      <w:r w:rsidR="00FA2AA8" w:rsidRPr="006449A5">
        <w:rPr>
          <w:lang w:val="fr-BE"/>
        </w:rPr>
        <w:t xml:space="preserve"> pour ses commentaires sur une version antérieure de cet article</w:t>
      </w:r>
      <w:r w:rsidR="00532368" w:rsidRPr="006449A5">
        <w:rPr>
          <w:lang w:val="fr-BE"/>
        </w:rPr>
        <w:t xml:space="preserve"> et Laureline </w:t>
      </w:r>
      <w:proofErr w:type="spellStart"/>
      <w:r w:rsidR="00E005ED" w:rsidRPr="006449A5">
        <w:rPr>
          <w:lang w:val="fr-BE"/>
        </w:rPr>
        <w:t>Kerg</w:t>
      </w:r>
      <w:r w:rsidR="0004320C" w:rsidRPr="006449A5">
        <w:rPr>
          <w:lang w:val="fr-BE"/>
        </w:rPr>
        <w:t>u</w:t>
      </w:r>
      <w:r w:rsidR="00E005ED" w:rsidRPr="006449A5">
        <w:rPr>
          <w:lang w:val="fr-BE"/>
        </w:rPr>
        <w:t>eris</w:t>
      </w:r>
      <w:proofErr w:type="spellEnd"/>
      <w:r w:rsidR="00E005ED" w:rsidRPr="006449A5">
        <w:rPr>
          <w:lang w:val="fr-BE"/>
        </w:rPr>
        <w:t xml:space="preserve"> pour sa récente relecture. </w:t>
      </w:r>
    </w:p>
  </w:footnote>
  <w:footnote w:id="2">
    <w:p w14:paraId="1D60F2C3" w14:textId="1F84E0E3" w:rsidR="00C6586E" w:rsidRPr="006449A5" w:rsidRDefault="00C6586E" w:rsidP="00E005ED">
      <w:pPr>
        <w:pStyle w:val="Notedebasdepage"/>
        <w:rPr>
          <w:lang w:val="fr-BE"/>
        </w:rPr>
      </w:pPr>
      <w:r w:rsidRPr="006449A5">
        <w:rPr>
          <w:rStyle w:val="Appelnotedebasdep"/>
          <w:lang w:val="fr-BE"/>
        </w:rPr>
        <w:footnoteRef/>
      </w:r>
      <w:r w:rsidRPr="006449A5">
        <w:rPr>
          <w:lang w:val="fr-BE"/>
        </w:rPr>
        <w:t xml:space="preserve"> </w:t>
      </w:r>
      <w:r w:rsidR="00231ECB" w:rsidRPr="006449A5">
        <w:rPr>
          <w:lang w:val="fr-BE"/>
        </w:rPr>
        <w:t>Même en droit - v</w:t>
      </w:r>
      <w:r w:rsidR="00245A3F" w:rsidRPr="006449A5">
        <w:rPr>
          <w:lang w:val="fr-BE"/>
        </w:rPr>
        <w:t>. par ex.</w:t>
      </w:r>
      <w:r w:rsidR="00231ECB" w:rsidRPr="006449A5">
        <w:rPr>
          <w:lang w:val="fr-BE"/>
        </w:rPr>
        <w:t xml:space="preserve">, en Belgique, </w:t>
      </w:r>
      <w:r w:rsidR="00245A3F" w:rsidRPr="006449A5">
        <w:rPr>
          <w:lang w:val="fr-BE"/>
        </w:rPr>
        <w:t xml:space="preserve">Marie-Sophie De </w:t>
      </w:r>
      <w:proofErr w:type="spellStart"/>
      <w:r w:rsidR="00245A3F" w:rsidRPr="006449A5">
        <w:rPr>
          <w:lang w:val="fr-BE"/>
        </w:rPr>
        <w:t>Clippele</w:t>
      </w:r>
      <w:proofErr w:type="spellEnd"/>
      <w:r w:rsidR="00245A3F" w:rsidRPr="006449A5">
        <w:rPr>
          <w:lang w:val="fr-BE"/>
        </w:rPr>
        <w:t xml:space="preserve">, </w:t>
      </w:r>
      <w:r w:rsidR="00FD6F60" w:rsidRPr="006449A5">
        <w:rPr>
          <w:iCs/>
          <w:lang w:val="fr-BE"/>
        </w:rPr>
        <w:t>« </w:t>
      </w:r>
      <w:r w:rsidR="00245A3F" w:rsidRPr="006449A5">
        <w:rPr>
          <w:lang w:val="fr-BE"/>
        </w:rPr>
        <w:t>Perspectives juridiques sur le passé colonial belge, entre déni et justice</w:t>
      </w:r>
      <w:r w:rsidR="00FD6F60" w:rsidRPr="006449A5">
        <w:rPr>
          <w:lang w:val="fr-BE"/>
        </w:rPr>
        <w:t> »</w:t>
      </w:r>
      <w:r w:rsidR="00245A3F" w:rsidRPr="006449A5">
        <w:rPr>
          <w:lang w:val="fr-BE"/>
        </w:rPr>
        <w:t xml:space="preserve">, </w:t>
      </w:r>
      <w:r w:rsidR="00245A3F" w:rsidRPr="006449A5">
        <w:rPr>
          <w:i/>
          <w:iCs/>
          <w:lang w:val="fr-BE"/>
        </w:rPr>
        <w:t>Hypermédia</w:t>
      </w:r>
      <w:r w:rsidR="00245A3F" w:rsidRPr="006449A5">
        <w:rPr>
          <w:lang w:val="fr-BE"/>
        </w:rPr>
        <w:t>, 25(1), 2024, p. 1-31.</w:t>
      </w:r>
      <w:r w:rsidR="00231ECB" w:rsidRPr="006449A5">
        <w:rPr>
          <w:lang w:val="fr-BE"/>
        </w:rPr>
        <w:t xml:space="preserve"> V. aussi </w:t>
      </w:r>
      <w:r w:rsidR="00080FA1" w:rsidRPr="006449A5">
        <w:rPr>
          <w:lang w:val="fr-BE"/>
        </w:rPr>
        <w:t xml:space="preserve">en Belgique, le travail de la  commission parlementaire qui été mandatée pour enquêter sur le passé colonial du pays, mais sans succès puisque le rapport de la commission ne sera pas publié officiellement par la Chambre des Représentants (v. le rapport de 2023, cependant disponible ici : </w:t>
      </w:r>
      <w:hyperlink r:id="rId2" w:history="1">
        <w:r w:rsidR="00080FA1" w:rsidRPr="006449A5">
          <w:rPr>
            <w:rStyle w:val="Lienhypertexte"/>
            <w:lang w:val="fr-BE"/>
          </w:rPr>
          <w:t>https://www.rtbf.be/article/voici-le-rapport-sur-le-passe-colonial-belge-quand-l-histoire-continue-de-deranger-notre-monde-politique-11324605</w:t>
        </w:r>
      </w:hyperlink>
      <w:r w:rsidR="00080FA1" w:rsidRPr="006449A5">
        <w:rPr>
          <w:lang w:val="fr-BE"/>
        </w:rPr>
        <w:t xml:space="preserve">, consulté le 5 décembre 2024). </w:t>
      </w:r>
    </w:p>
  </w:footnote>
  <w:footnote w:id="3">
    <w:p w14:paraId="19C94DC7" w14:textId="48C3D6E0" w:rsidR="00C6586E" w:rsidRPr="006449A5" w:rsidRDefault="00C6586E" w:rsidP="00E005ED">
      <w:pPr>
        <w:pStyle w:val="Notedebasdepage"/>
        <w:rPr>
          <w:b/>
          <w:bCs/>
          <w:lang w:val="fr-BE"/>
        </w:rPr>
      </w:pPr>
      <w:r w:rsidRPr="006449A5">
        <w:rPr>
          <w:rStyle w:val="Appelnotedebasdep"/>
          <w:lang w:val="fr-BE"/>
        </w:rPr>
        <w:footnoteRef/>
      </w:r>
      <w:r w:rsidRPr="006449A5">
        <w:rPr>
          <w:lang w:val="fr-BE"/>
        </w:rPr>
        <w:t xml:space="preserve"> </w:t>
      </w:r>
      <w:r w:rsidR="00245A3F" w:rsidRPr="006449A5">
        <w:rPr>
          <w:lang w:val="fr-BE"/>
        </w:rPr>
        <w:t xml:space="preserve">V. </w:t>
      </w:r>
      <w:r w:rsidR="00FB5D3F" w:rsidRPr="006449A5">
        <w:rPr>
          <w:lang w:val="fr-BE"/>
        </w:rPr>
        <w:t xml:space="preserve">Arturo Escobar, </w:t>
      </w:r>
      <w:r w:rsidR="00FD6F60" w:rsidRPr="006449A5">
        <w:rPr>
          <w:lang w:val="fr-BE"/>
        </w:rPr>
        <w:t>« </w:t>
      </w:r>
      <w:r w:rsidR="00FB5D3F" w:rsidRPr="006449A5">
        <w:rPr>
          <w:lang w:val="fr-BE"/>
        </w:rPr>
        <w:t xml:space="preserve">Beyond the </w:t>
      </w:r>
      <w:proofErr w:type="spellStart"/>
      <w:r w:rsidR="00FB5D3F" w:rsidRPr="006449A5">
        <w:rPr>
          <w:lang w:val="fr-BE"/>
        </w:rPr>
        <w:t>Third</w:t>
      </w:r>
      <w:proofErr w:type="spellEnd"/>
      <w:r w:rsidR="00FB5D3F" w:rsidRPr="006449A5">
        <w:rPr>
          <w:lang w:val="fr-BE"/>
        </w:rPr>
        <w:t xml:space="preserve"> </w:t>
      </w:r>
      <w:proofErr w:type="gramStart"/>
      <w:r w:rsidR="00FB5D3F" w:rsidRPr="006449A5">
        <w:rPr>
          <w:lang w:val="fr-BE"/>
        </w:rPr>
        <w:t>World:</w:t>
      </w:r>
      <w:proofErr w:type="gramEnd"/>
      <w:r w:rsidR="00FB5D3F" w:rsidRPr="006449A5">
        <w:rPr>
          <w:lang w:val="fr-BE"/>
        </w:rPr>
        <w:t xml:space="preserve"> Imperial </w:t>
      </w:r>
      <w:proofErr w:type="spellStart"/>
      <w:r w:rsidR="00FB5D3F" w:rsidRPr="006449A5">
        <w:rPr>
          <w:lang w:val="fr-BE"/>
        </w:rPr>
        <w:t>Globality</w:t>
      </w:r>
      <w:proofErr w:type="spellEnd"/>
      <w:r w:rsidR="00FB5D3F" w:rsidRPr="006449A5">
        <w:rPr>
          <w:lang w:val="fr-BE"/>
        </w:rPr>
        <w:t xml:space="preserve">, Global </w:t>
      </w:r>
      <w:proofErr w:type="spellStart"/>
      <w:r w:rsidR="00FB5D3F" w:rsidRPr="006449A5">
        <w:rPr>
          <w:lang w:val="fr-BE"/>
        </w:rPr>
        <w:t>Coloniality</w:t>
      </w:r>
      <w:proofErr w:type="spellEnd"/>
      <w:r w:rsidR="00FB5D3F" w:rsidRPr="006449A5">
        <w:rPr>
          <w:lang w:val="fr-BE"/>
        </w:rPr>
        <w:t xml:space="preserve"> and Anti-Globalisation Social </w:t>
      </w:r>
      <w:proofErr w:type="spellStart"/>
      <w:r w:rsidR="00FB5D3F" w:rsidRPr="006449A5">
        <w:rPr>
          <w:lang w:val="fr-BE"/>
        </w:rPr>
        <w:t>Movements</w:t>
      </w:r>
      <w:proofErr w:type="spellEnd"/>
      <w:r w:rsidR="00FD6F60" w:rsidRPr="006449A5">
        <w:rPr>
          <w:lang w:val="fr-BE"/>
        </w:rPr>
        <w:t> »</w:t>
      </w:r>
      <w:r w:rsidR="00FB5D3F" w:rsidRPr="006449A5">
        <w:rPr>
          <w:lang w:val="fr-BE"/>
        </w:rPr>
        <w:t xml:space="preserve">, </w:t>
      </w:r>
      <w:proofErr w:type="spellStart"/>
      <w:r w:rsidR="008E70CB" w:rsidRPr="006449A5">
        <w:rPr>
          <w:lang w:val="fr-BE"/>
        </w:rPr>
        <w:t>Third</w:t>
      </w:r>
      <w:proofErr w:type="spellEnd"/>
      <w:r w:rsidR="008E70CB" w:rsidRPr="006449A5">
        <w:rPr>
          <w:lang w:val="fr-BE"/>
        </w:rPr>
        <w:t xml:space="preserve"> World </w:t>
      </w:r>
      <w:proofErr w:type="spellStart"/>
      <w:r w:rsidR="008E70CB" w:rsidRPr="006449A5">
        <w:rPr>
          <w:lang w:val="fr-BE"/>
        </w:rPr>
        <w:t>Quarterly</w:t>
      </w:r>
      <w:proofErr w:type="spellEnd"/>
      <w:r w:rsidR="00FB5D3F" w:rsidRPr="006449A5">
        <w:rPr>
          <w:lang w:val="fr-BE"/>
        </w:rPr>
        <w:t xml:space="preserve">, 25(1) 2004, p. 207-230, </w:t>
      </w:r>
      <w:proofErr w:type="spellStart"/>
      <w:r w:rsidR="00245A3F" w:rsidRPr="006449A5">
        <w:rPr>
          <w:lang w:val="fr-BE"/>
        </w:rPr>
        <w:t>spéc</w:t>
      </w:r>
      <w:proofErr w:type="spellEnd"/>
      <w:r w:rsidR="00245A3F" w:rsidRPr="006449A5">
        <w:rPr>
          <w:lang w:val="fr-BE"/>
        </w:rPr>
        <w:t>. p. 211</w:t>
      </w:r>
      <w:r w:rsidR="00F609EE" w:rsidRPr="006449A5">
        <w:rPr>
          <w:lang w:val="fr-BE"/>
        </w:rPr>
        <w:t>, et la notion de “</w:t>
      </w:r>
      <w:proofErr w:type="spellStart"/>
      <w:r w:rsidR="00F609EE" w:rsidRPr="006449A5">
        <w:rPr>
          <w:lang w:val="fr-BE"/>
        </w:rPr>
        <w:t>colonialité</w:t>
      </w:r>
      <w:proofErr w:type="spellEnd"/>
      <w:r w:rsidR="00F609EE" w:rsidRPr="006449A5">
        <w:rPr>
          <w:lang w:val="fr-BE"/>
        </w:rPr>
        <w:t xml:space="preserve"> globale” dont on lui attribue souvent la création. </w:t>
      </w:r>
    </w:p>
  </w:footnote>
  <w:footnote w:id="4">
    <w:p w14:paraId="4A52E39C" w14:textId="59757654" w:rsidR="00671908" w:rsidRPr="00285397" w:rsidRDefault="00671908" w:rsidP="00E005ED">
      <w:pPr>
        <w:pStyle w:val="Notedebasdepage"/>
        <w:rPr>
          <w:lang w:val="en-US"/>
        </w:rPr>
      </w:pPr>
      <w:r w:rsidRPr="006449A5">
        <w:rPr>
          <w:rStyle w:val="Appelnotedebasdep"/>
          <w:lang w:val="fr-BE"/>
        </w:rPr>
        <w:footnoteRef/>
      </w:r>
      <w:r w:rsidRPr="006449A5">
        <w:rPr>
          <w:lang w:val="fr-BE"/>
        </w:rPr>
        <w:t xml:space="preserve"> Le terme englobe ici à la fois les </w:t>
      </w:r>
      <w:r w:rsidR="007F1A4E" w:rsidRPr="006449A5">
        <w:rPr>
          <w:lang w:val="fr-BE"/>
        </w:rPr>
        <w:t>État</w:t>
      </w:r>
      <w:r w:rsidRPr="006449A5">
        <w:rPr>
          <w:lang w:val="fr-BE"/>
        </w:rPr>
        <w:t xml:space="preserve">s qui ont pris leur indépendance des anciennes puissances coloniales européennes et ceux </w:t>
      </w:r>
      <w:r w:rsidR="00A74EAB" w:rsidRPr="006449A5">
        <w:rPr>
          <w:lang w:val="fr-BE"/>
        </w:rPr>
        <w:t>que l’on appelle</w:t>
      </w:r>
      <w:r w:rsidRPr="006449A5">
        <w:rPr>
          <w:lang w:val="fr-BE"/>
        </w:rPr>
        <w:t xml:space="preserve"> </w:t>
      </w:r>
      <w:r w:rsidR="00A74EAB" w:rsidRPr="006449A5">
        <w:rPr>
          <w:lang w:val="fr-BE"/>
        </w:rPr>
        <w:t>l</w:t>
      </w:r>
      <w:r w:rsidRPr="006449A5">
        <w:rPr>
          <w:lang w:val="fr-BE"/>
        </w:rPr>
        <w:t>es « </w:t>
      </w:r>
      <w:proofErr w:type="spellStart"/>
      <w:r w:rsidRPr="006449A5">
        <w:rPr>
          <w:i/>
          <w:iCs/>
          <w:lang w:val="fr-BE"/>
        </w:rPr>
        <w:t>settler</w:t>
      </w:r>
      <w:proofErr w:type="spellEnd"/>
      <w:r w:rsidRPr="006449A5">
        <w:rPr>
          <w:i/>
          <w:iCs/>
          <w:lang w:val="fr-BE"/>
        </w:rPr>
        <w:t xml:space="preserve"> states</w:t>
      </w:r>
      <w:r w:rsidRPr="006449A5">
        <w:rPr>
          <w:lang w:val="fr-BE"/>
        </w:rPr>
        <w:t> »</w:t>
      </w:r>
      <w:r w:rsidR="00D53371" w:rsidRPr="006449A5">
        <w:rPr>
          <w:lang w:val="fr-BE"/>
        </w:rPr>
        <w:t xml:space="preserve"> (v. par ex. </w:t>
      </w:r>
      <w:r w:rsidR="00D53371" w:rsidRPr="00285397">
        <w:rPr>
          <w:lang w:val="en-US"/>
        </w:rPr>
        <w:t>L</w:t>
      </w:r>
      <w:r w:rsidR="008E19BE" w:rsidRPr="00285397">
        <w:rPr>
          <w:lang w:val="en-US"/>
        </w:rPr>
        <w:t>orenzi</w:t>
      </w:r>
      <w:r w:rsidR="00D53371" w:rsidRPr="00285397">
        <w:rPr>
          <w:lang w:val="en-US"/>
        </w:rPr>
        <w:t xml:space="preserve"> Veracini, </w:t>
      </w:r>
      <w:r w:rsidR="00D53371" w:rsidRPr="00285397">
        <w:rPr>
          <w:i/>
          <w:iCs/>
          <w:lang w:val="en-US"/>
        </w:rPr>
        <w:t xml:space="preserve">Settler </w:t>
      </w:r>
      <w:proofErr w:type="gramStart"/>
      <w:r w:rsidR="00D53371" w:rsidRPr="00285397">
        <w:rPr>
          <w:i/>
          <w:iCs/>
          <w:lang w:val="en-US"/>
        </w:rPr>
        <w:t>Colonialism:</w:t>
      </w:r>
      <w:proofErr w:type="gramEnd"/>
      <w:r w:rsidR="00D53371" w:rsidRPr="00285397">
        <w:rPr>
          <w:i/>
          <w:iCs/>
          <w:lang w:val="en-US"/>
        </w:rPr>
        <w:t xml:space="preserve"> A Theoretical Overview</w:t>
      </w:r>
      <w:r w:rsidR="00D53371" w:rsidRPr="00285397">
        <w:rPr>
          <w:lang w:val="en-US"/>
        </w:rPr>
        <w:t>, London, Palgrave Macmillan, 20</w:t>
      </w:r>
      <w:r w:rsidR="008E19BE" w:rsidRPr="00285397">
        <w:rPr>
          <w:lang w:val="en-US"/>
        </w:rPr>
        <w:t xml:space="preserve">24 (2ème </w:t>
      </w:r>
      <w:proofErr w:type="spellStart"/>
      <w:r w:rsidR="008E19BE" w:rsidRPr="00285397">
        <w:rPr>
          <w:lang w:val="en-US"/>
        </w:rPr>
        <w:t>éd</w:t>
      </w:r>
      <w:proofErr w:type="spellEnd"/>
      <w:r w:rsidR="008E19BE" w:rsidRPr="00285397">
        <w:rPr>
          <w:lang w:val="en-US"/>
        </w:rPr>
        <w:t>.)</w:t>
      </w:r>
      <w:r w:rsidR="00D53371" w:rsidRPr="00285397">
        <w:rPr>
          <w:lang w:val="en-US"/>
        </w:rPr>
        <w:t>).</w:t>
      </w:r>
    </w:p>
  </w:footnote>
  <w:footnote w:id="5">
    <w:p w14:paraId="142D8C13" w14:textId="7E08213A" w:rsidR="007B33B8" w:rsidRPr="00285397" w:rsidRDefault="007B33B8" w:rsidP="00E005ED">
      <w:pPr>
        <w:pStyle w:val="Notedebasdepage"/>
        <w:rPr>
          <w:lang w:val="en-US"/>
        </w:rPr>
      </w:pPr>
      <w:r w:rsidRPr="006449A5">
        <w:rPr>
          <w:rStyle w:val="Appelnotedebasdep"/>
          <w:lang w:val="fr-BE"/>
        </w:rPr>
        <w:footnoteRef/>
      </w:r>
      <w:r w:rsidRPr="00285397">
        <w:rPr>
          <w:lang w:val="en-US"/>
        </w:rPr>
        <w:t xml:space="preserve"> </w:t>
      </w:r>
      <w:r w:rsidR="00FB5D3F" w:rsidRPr="00285397">
        <w:rPr>
          <w:lang w:val="en-US"/>
        </w:rPr>
        <w:t xml:space="preserve">Walter </w:t>
      </w:r>
      <w:proofErr w:type="spellStart"/>
      <w:r w:rsidR="00FB5D3F" w:rsidRPr="00285397">
        <w:rPr>
          <w:lang w:val="en-US"/>
        </w:rPr>
        <w:t>Mignolo</w:t>
      </w:r>
      <w:proofErr w:type="spellEnd"/>
      <w:r w:rsidR="00FB5D3F" w:rsidRPr="00285397">
        <w:rPr>
          <w:lang w:val="en-US"/>
        </w:rPr>
        <w:t xml:space="preserve"> et Catherine Walsh, </w:t>
      </w:r>
      <w:r w:rsidR="00FB5D3F" w:rsidRPr="00285397">
        <w:rPr>
          <w:i/>
          <w:iCs/>
          <w:lang w:val="en-US"/>
        </w:rPr>
        <w:t>On Decoloniality: Concepts, Analytics, Praxis</w:t>
      </w:r>
      <w:r w:rsidR="00FB5D3F" w:rsidRPr="00285397">
        <w:rPr>
          <w:lang w:val="en-US"/>
        </w:rPr>
        <w:t>, Duke University Press, 2018.</w:t>
      </w:r>
    </w:p>
  </w:footnote>
  <w:footnote w:id="6">
    <w:p w14:paraId="296BF642" w14:textId="621890CA" w:rsidR="00500658" w:rsidRPr="00285397" w:rsidRDefault="00500658" w:rsidP="00E005ED">
      <w:pPr>
        <w:pStyle w:val="Notedebasdepage"/>
        <w:rPr>
          <w:lang w:val="en-US"/>
        </w:rPr>
      </w:pPr>
      <w:r w:rsidRPr="006449A5">
        <w:rPr>
          <w:rStyle w:val="Appelnotedebasdep"/>
          <w:lang w:val="fr-BE"/>
        </w:rPr>
        <w:footnoteRef/>
      </w:r>
      <w:r w:rsidRPr="00285397">
        <w:rPr>
          <w:lang w:val="en-US"/>
        </w:rPr>
        <w:t xml:space="preserve"> </w:t>
      </w:r>
      <w:r w:rsidR="00FB5D3F" w:rsidRPr="00285397">
        <w:rPr>
          <w:lang w:val="en-US"/>
        </w:rPr>
        <w:t>V. par ex. V</w:t>
      </w:r>
      <w:r w:rsidR="008E19BE" w:rsidRPr="00285397">
        <w:rPr>
          <w:lang w:val="en-US"/>
        </w:rPr>
        <w:t>asuki</w:t>
      </w:r>
      <w:r w:rsidR="00FB5D3F" w:rsidRPr="00285397">
        <w:rPr>
          <w:lang w:val="en-US"/>
        </w:rPr>
        <w:t xml:space="preserve"> Nesiah, </w:t>
      </w:r>
      <w:r w:rsidR="00FD6F60" w:rsidRPr="00285397">
        <w:rPr>
          <w:lang w:val="en-US"/>
        </w:rPr>
        <w:t>« </w:t>
      </w:r>
      <w:r w:rsidR="00FB5D3F" w:rsidRPr="00285397">
        <w:rPr>
          <w:lang w:val="en-US"/>
        </w:rPr>
        <w:t>Placing International Law: White Spaces on a Map</w:t>
      </w:r>
      <w:r w:rsidR="00FD6F60" w:rsidRPr="00285397">
        <w:rPr>
          <w:lang w:val="en-US"/>
        </w:rPr>
        <w:t xml:space="preserve"> », </w:t>
      </w:r>
      <w:r w:rsidR="00FB5D3F" w:rsidRPr="00285397">
        <w:rPr>
          <w:i/>
          <w:iCs/>
          <w:lang w:val="en-US"/>
        </w:rPr>
        <w:t>Leiden Journal of International Law</w:t>
      </w:r>
      <w:r w:rsidR="00FB5D3F" w:rsidRPr="00285397">
        <w:rPr>
          <w:lang w:val="en-US"/>
        </w:rPr>
        <w:t xml:space="preserve"> 16(1) 2003, p. 1-35; Tatiana C. </w:t>
      </w:r>
      <w:proofErr w:type="spellStart"/>
      <w:r w:rsidR="00FB5D3F" w:rsidRPr="00285397">
        <w:rPr>
          <w:lang w:val="en-US"/>
        </w:rPr>
        <w:t>Squeff</w:t>
      </w:r>
      <w:proofErr w:type="spellEnd"/>
      <w:r w:rsidR="00FB5D3F" w:rsidRPr="00285397">
        <w:rPr>
          <w:lang w:val="en-US"/>
        </w:rPr>
        <w:t xml:space="preserve">, </w:t>
      </w:r>
      <w:r w:rsidR="00FD6F60" w:rsidRPr="00285397">
        <w:rPr>
          <w:lang w:val="en-US"/>
        </w:rPr>
        <w:t>« </w:t>
      </w:r>
      <w:r w:rsidR="00FB5D3F" w:rsidRPr="00285397">
        <w:rPr>
          <w:lang w:val="en-US"/>
        </w:rPr>
        <w:t>Overcoming the ‘Coloniality of Doing’</w:t>
      </w:r>
      <w:r w:rsidR="00FD6F60" w:rsidRPr="00285397">
        <w:rPr>
          <w:lang w:val="en-US"/>
        </w:rPr>
        <w:t> </w:t>
      </w:r>
      <w:r w:rsidR="00FB5D3F" w:rsidRPr="00285397">
        <w:rPr>
          <w:lang w:val="en-US"/>
        </w:rPr>
        <w:t>in International Law: Soft Law as a Decolonial Tool</w:t>
      </w:r>
      <w:r w:rsidR="00FD6F60" w:rsidRPr="00285397">
        <w:rPr>
          <w:lang w:val="en-US"/>
        </w:rPr>
        <w:t> »</w:t>
      </w:r>
      <w:r w:rsidR="00FB5D3F" w:rsidRPr="00285397">
        <w:rPr>
          <w:lang w:val="en-US"/>
        </w:rPr>
        <w:t xml:space="preserve">, </w:t>
      </w:r>
      <w:proofErr w:type="spellStart"/>
      <w:r w:rsidR="00FB5D3F" w:rsidRPr="00285397">
        <w:rPr>
          <w:i/>
          <w:iCs/>
          <w:lang w:val="en-US"/>
        </w:rPr>
        <w:t>Revista</w:t>
      </w:r>
      <w:proofErr w:type="spellEnd"/>
      <w:r w:rsidR="00FB5D3F" w:rsidRPr="00285397">
        <w:rPr>
          <w:i/>
          <w:iCs/>
          <w:lang w:val="en-US"/>
        </w:rPr>
        <w:t xml:space="preserve"> </w:t>
      </w:r>
      <w:proofErr w:type="spellStart"/>
      <w:r w:rsidR="00FB5D3F" w:rsidRPr="00285397">
        <w:rPr>
          <w:i/>
          <w:iCs/>
          <w:lang w:val="en-US"/>
        </w:rPr>
        <w:t>Dereito</w:t>
      </w:r>
      <w:proofErr w:type="spellEnd"/>
      <w:r w:rsidR="00FB5D3F" w:rsidRPr="00285397">
        <w:rPr>
          <w:lang w:val="en-US"/>
        </w:rPr>
        <w:t xml:space="preserve"> </w:t>
      </w:r>
      <w:r w:rsidR="00FB5D3F" w:rsidRPr="00285397">
        <w:rPr>
          <w:i/>
          <w:iCs/>
          <w:lang w:val="en-US"/>
        </w:rPr>
        <w:t>GV</w:t>
      </w:r>
      <w:r w:rsidR="00FB5D3F" w:rsidRPr="00285397">
        <w:rPr>
          <w:lang w:val="en-US"/>
        </w:rPr>
        <w:t xml:space="preserve"> 17(2) 2021 [</w:t>
      </w:r>
      <w:proofErr w:type="spellStart"/>
      <w:r w:rsidR="00FB5D3F" w:rsidRPr="00285397">
        <w:rPr>
          <w:lang w:val="en-US"/>
        </w:rPr>
        <w:t>en</w:t>
      </w:r>
      <w:proofErr w:type="spellEnd"/>
      <w:r w:rsidR="00FB5D3F" w:rsidRPr="00285397">
        <w:rPr>
          <w:lang w:val="en-US"/>
        </w:rPr>
        <w:t xml:space="preserve"> </w:t>
      </w:r>
      <w:proofErr w:type="spellStart"/>
      <w:r w:rsidR="00FB5D3F" w:rsidRPr="00285397">
        <w:rPr>
          <w:lang w:val="en-US"/>
        </w:rPr>
        <w:t>ligne</w:t>
      </w:r>
      <w:proofErr w:type="spellEnd"/>
      <w:r w:rsidR="00FB5D3F" w:rsidRPr="00285397">
        <w:rPr>
          <w:lang w:val="en-US"/>
        </w:rPr>
        <w:t xml:space="preserve">], </w:t>
      </w:r>
      <w:proofErr w:type="spellStart"/>
      <w:r w:rsidR="00FB5D3F" w:rsidRPr="00285397">
        <w:rPr>
          <w:lang w:val="en-US"/>
        </w:rPr>
        <w:t>consulté</w:t>
      </w:r>
      <w:proofErr w:type="spellEnd"/>
      <w:r w:rsidR="00FB5D3F" w:rsidRPr="00285397">
        <w:rPr>
          <w:lang w:val="en-US"/>
        </w:rPr>
        <w:t xml:space="preserve"> le 4 </w:t>
      </w:r>
      <w:proofErr w:type="spellStart"/>
      <w:r w:rsidR="00FB5D3F" w:rsidRPr="00285397">
        <w:rPr>
          <w:lang w:val="en-US"/>
        </w:rPr>
        <w:t>décembre</w:t>
      </w:r>
      <w:proofErr w:type="spellEnd"/>
      <w:r w:rsidR="00FB5D3F" w:rsidRPr="00285397">
        <w:rPr>
          <w:lang w:val="en-US"/>
        </w:rPr>
        <w:t xml:space="preserve"> 2024.</w:t>
      </w:r>
    </w:p>
  </w:footnote>
  <w:footnote w:id="7">
    <w:p w14:paraId="2DCB8490" w14:textId="23BCE8FE" w:rsidR="00FB5D3F" w:rsidRPr="00285397" w:rsidRDefault="00FB5D3F" w:rsidP="00E005ED">
      <w:pPr>
        <w:pStyle w:val="Notedebasdepage"/>
        <w:rPr>
          <w:lang w:val="en-US"/>
        </w:rPr>
      </w:pPr>
      <w:r w:rsidRPr="006449A5">
        <w:rPr>
          <w:rStyle w:val="Appelnotedebasdep"/>
          <w:lang w:val="fr-BE"/>
        </w:rPr>
        <w:footnoteRef/>
      </w:r>
      <w:r w:rsidRPr="00285397">
        <w:rPr>
          <w:lang w:val="en-US"/>
        </w:rPr>
        <w:t xml:space="preserve"> V. par ex. R</w:t>
      </w:r>
      <w:r w:rsidR="008E19BE" w:rsidRPr="00285397">
        <w:rPr>
          <w:lang w:val="en-US"/>
        </w:rPr>
        <w:t>atna</w:t>
      </w:r>
      <w:r w:rsidRPr="00285397">
        <w:rPr>
          <w:lang w:val="en-US"/>
        </w:rPr>
        <w:t xml:space="preserve"> Kapur, </w:t>
      </w:r>
      <w:r w:rsidRPr="00285397">
        <w:rPr>
          <w:i/>
          <w:lang w:val="en-US"/>
        </w:rPr>
        <w:t>Gender, Alterity and Human Rights: Freedom in a Fishbowl</w:t>
      </w:r>
      <w:r w:rsidRPr="00285397">
        <w:rPr>
          <w:lang w:val="en-US"/>
        </w:rPr>
        <w:t xml:space="preserve">, </w:t>
      </w:r>
      <w:r w:rsidR="009B2C3D" w:rsidRPr="00285397">
        <w:rPr>
          <w:lang w:val="en-US"/>
        </w:rPr>
        <w:t>Cheltenham, Edward Elgar, 2018</w:t>
      </w:r>
      <w:r w:rsidRPr="00285397">
        <w:rPr>
          <w:lang w:val="en-US"/>
        </w:rPr>
        <w:t>; J</w:t>
      </w:r>
      <w:r w:rsidR="009B2C3D" w:rsidRPr="00285397">
        <w:rPr>
          <w:lang w:val="en-US"/>
        </w:rPr>
        <w:t>osé</w:t>
      </w:r>
      <w:r w:rsidRPr="00285397">
        <w:rPr>
          <w:lang w:val="en-US"/>
        </w:rPr>
        <w:t>-M</w:t>
      </w:r>
      <w:r w:rsidR="009B2C3D" w:rsidRPr="00285397">
        <w:rPr>
          <w:lang w:val="en-US"/>
        </w:rPr>
        <w:t xml:space="preserve">anuel </w:t>
      </w:r>
      <w:r w:rsidRPr="00285397">
        <w:rPr>
          <w:lang w:val="en-US"/>
        </w:rPr>
        <w:t xml:space="preserve">Barreto, </w:t>
      </w:r>
      <w:r w:rsidR="00FD6F60" w:rsidRPr="00285397">
        <w:rPr>
          <w:lang w:val="en-US"/>
        </w:rPr>
        <w:t>« </w:t>
      </w:r>
      <w:r w:rsidRPr="00285397">
        <w:rPr>
          <w:lang w:val="en-US"/>
        </w:rPr>
        <w:t xml:space="preserve">Decolonial Thinking and the Quest for </w:t>
      </w:r>
      <w:proofErr w:type="spellStart"/>
      <w:r w:rsidRPr="00285397">
        <w:rPr>
          <w:lang w:val="en-US"/>
        </w:rPr>
        <w:t>Decolonising</w:t>
      </w:r>
      <w:proofErr w:type="spellEnd"/>
      <w:r w:rsidRPr="00285397">
        <w:rPr>
          <w:lang w:val="en-US"/>
        </w:rPr>
        <w:t xml:space="preserve"> Human Rights</w:t>
      </w:r>
      <w:r w:rsidR="00FD6F60" w:rsidRPr="00285397">
        <w:rPr>
          <w:lang w:val="en-US"/>
        </w:rPr>
        <w:t> »</w:t>
      </w:r>
      <w:r w:rsidRPr="00285397">
        <w:rPr>
          <w:lang w:val="en-US"/>
        </w:rPr>
        <w:t xml:space="preserve">, </w:t>
      </w:r>
      <w:r w:rsidRPr="00285397">
        <w:rPr>
          <w:i/>
          <w:iCs/>
          <w:lang w:val="en-US"/>
        </w:rPr>
        <w:t>Asian Journal of Social Science</w:t>
      </w:r>
      <w:r w:rsidRPr="00285397">
        <w:rPr>
          <w:lang w:val="en-US"/>
        </w:rPr>
        <w:t xml:space="preserve"> 46(4-5) 2018, p. 484-402.</w:t>
      </w:r>
    </w:p>
  </w:footnote>
  <w:footnote w:id="8">
    <w:p w14:paraId="211BD3DE" w14:textId="2E33A9D2" w:rsidR="00FB5D3F" w:rsidRPr="00285397" w:rsidRDefault="00FB5D3F" w:rsidP="00E005ED">
      <w:pPr>
        <w:pStyle w:val="Notedebasdepage"/>
        <w:rPr>
          <w:lang w:val="en-US"/>
        </w:rPr>
      </w:pPr>
      <w:r w:rsidRPr="006449A5">
        <w:rPr>
          <w:rStyle w:val="Appelnotedebasdep"/>
          <w:lang w:val="fr-BE"/>
        </w:rPr>
        <w:footnoteRef/>
      </w:r>
      <w:r w:rsidRPr="00285397">
        <w:rPr>
          <w:lang w:val="en-US"/>
        </w:rPr>
        <w:t xml:space="preserve"> </w:t>
      </w:r>
      <w:bookmarkStart w:id="1" w:name="_Hlk180407795"/>
      <w:bookmarkStart w:id="2" w:name="_Hlk183977569"/>
      <w:r w:rsidR="00E005ED" w:rsidRPr="00285397">
        <w:rPr>
          <w:lang w:val="en-US"/>
        </w:rPr>
        <w:t xml:space="preserve">V. par ex. </w:t>
      </w:r>
      <w:r w:rsidR="00FD25EC" w:rsidRPr="00285397">
        <w:rPr>
          <w:lang w:val="en-US"/>
        </w:rPr>
        <w:t xml:space="preserve">E. Tendayi </w:t>
      </w:r>
      <w:proofErr w:type="spellStart"/>
      <w:r w:rsidR="00FD25EC" w:rsidRPr="00285397">
        <w:rPr>
          <w:lang w:val="en-US"/>
        </w:rPr>
        <w:t>Achiume</w:t>
      </w:r>
      <w:proofErr w:type="spellEnd"/>
      <w:r w:rsidR="00FD25EC" w:rsidRPr="00285397">
        <w:rPr>
          <w:lang w:val="en-US"/>
        </w:rPr>
        <w:t xml:space="preserve">, </w:t>
      </w:r>
      <w:bookmarkEnd w:id="1"/>
      <w:r w:rsidR="00FD6F60" w:rsidRPr="00285397">
        <w:rPr>
          <w:lang w:val="en-US"/>
        </w:rPr>
        <w:t>« </w:t>
      </w:r>
      <w:r w:rsidR="00FD25EC" w:rsidRPr="00285397">
        <w:rPr>
          <w:lang w:val="en-US"/>
        </w:rPr>
        <w:t>Reimagining International Law for Global Migration</w:t>
      </w:r>
      <w:r w:rsidR="00FD6F60" w:rsidRPr="00285397">
        <w:rPr>
          <w:lang w:val="en-US"/>
        </w:rPr>
        <w:t> »</w:t>
      </w:r>
      <w:r w:rsidR="00FD25EC" w:rsidRPr="00285397">
        <w:rPr>
          <w:lang w:val="en-US"/>
        </w:rPr>
        <w:t xml:space="preserve">, </w:t>
      </w:r>
      <w:r w:rsidR="00FD25EC" w:rsidRPr="00285397">
        <w:rPr>
          <w:i/>
          <w:iCs/>
          <w:lang w:val="en-US"/>
        </w:rPr>
        <w:t>AJIL Unbound</w:t>
      </w:r>
      <w:r w:rsidR="00FD25EC" w:rsidRPr="00285397">
        <w:rPr>
          <w:lang w:val="en-US"/>
        </w:rPr>
        <w:t xml:space="preserve"> 111, 2017, p. 142-146.</w:t>
      </w:r>
      <w:bookmarkEnd w:id="2"/>
    </w:p>
  </w:footnote>
  <w:footnote w:id="9">
    <w:p w14:paraId="724FCBFF" w14:textId="033A732D" w:rsidR="00FB5D3F" w:rsidRPr="006449A5" w:rsidRDefault="00FB5D3F" w:rsidP="00E005ED">
      <w:pPr>
        <w:pStyle w:val="Notedebasdepage"/>
        <w:rPr>
          <w:lang w:val="fr-BE"/>
        </w:rPr>
      </w:pPr>
      <w:r w:rsidRPr="006449A5">
        <w:rPr>
          <w:rStyle w:val="Appelnotedebasdep"/>
          <w:lang w:val="fr-BE"/>
        </w:rPr>
        <w:footnoteRef/>
      </w:r>
      <w:r w:rsidRPr="006449A5">
        <w:rPr>
          <w:lang w:val="fr-BE"/>
        </w:rPr>
        <w:t xml:space="preserve"> </w:t>
      </w:r>
      <w:r w:rsidR="00E005ED" w:rsidRPr="006449A5">
        <w:rPr>
          <w:lang w:val="fr-BE"/>
        </w:rPr>
        <w:t xml:space="preserve">V. par ex. </w:t>
      </w:r>
      <w:r w:rsidRPr="006449A5">
        <w:rPr>
          <w:lang w:val="fr-BE"/>
        </w:rPr>
        <w:t>R</w:t>
      </w:r>
      <w:r w:rsidR="00D971ED" w:rsidRPr="006449A5">
        <w:rPr>
          <w:lang w:val="fr-BE"/>
        </w:rPr>
        <w:t xml:space="preserve">alf </w:t>
      </w:r>
      <w:r w:rsidRPr="006449A5">
        <w:rPr>
          <w:lang w:val="fr-BE"/>
        </w:rPr>
        <w:t>Michaels et L</w:t>
      </w:r>
      <w:r w:rsidR="00D971ED" w:rsidRPr="006449A5">
        <w:rPr>
          <w:lang w:val="fr-BE"/>
        </w:rPr>
        <w:t>ena</w:t>
      </w:r>
      <w:r w:rsidRPr="006449A5">
        <w:rPr>
          <w:lang w:val="fr-BE"/>
        </w:rPr>
        <w:t xml:space="preserve"> </w:t>
      </w:r>
      <w:proofErr w:type="spellStart"/>
      <w:r w:rsidRPr="006449A5">
        <w:rPr>
          <w:lang w:val="fr-BE"/>
        </w:rPr>
        <w:t>Salaymeh</w:t>
      </w:r>
      <w:proofErr w:type="spellEnd"/>
      <w:r w:rsidRPr="006449A5">
        <w:rPr>
          <w:lang w:val="fr-BE"/>
        </w:rPr>
        <w:t>, « </w:t>
      </w:r>
      <w:proofErr w:type="spellStart"/>
      <w:r w:rsidRPr="006449A5">
        <w:rPr>
          <w:lang w:val="fr-BE"/>
        </w:rPr>
        <w:t>Decolonial</w:t>
      </w:r>
      <w:proofErr w:type="spellEnd"/>
      <w:r w:rsidRPr="006449A5">
        <w:rPr>
          <w:lang w:val="fr-BE"/>
        </w:rPr>
        <w:t xml:space="preserve"> Comparative </w:t>
      </w:r>
      <w:proofErr w:type="gramStart"/>
      <w:r w:rsidRPr="006449A5">
        <w:rPr>
          <w:lang w:val="fr-BE"/>
        </w:rPr>
        <w:t>Law:</w:t>
      </w:r>
      <w:proofErr w:type="gramEnd"/>
      <w:r w:rsidRPr="006449A5">
        <w:rPr>
          <w:lang w:val="fr-BE"/>
        </w:rPr>
        <w:t xml:space="preserve"> A </w:t>
      </w:r>
      <w:proofErr w:type="spellStart"/>
      <w:r w:rsidRPr="006449A5">
        <w:rPr>
          <w:lang w:val="fr-BE"/>
        </w:rPr>
        <w:t>Conceptual</w:t>
      </w:r>
      <w:proofErr w:type="spellEnd"/>
      <w:r w:rsidRPr="006449A5">
        <w:rPr>
          <w:lang w:val="fr-BE"/>
        </w:rPr>
        <w:t xml:space="preserve"> </w:t>
      </w:r>
      <w:proofErr w:type="spellStart"/>
      <w:r w:rsidRPr="006449A5">
        <w:rPr>
          <w:lang w:val="fr-BE"/>
        </w:rPr>
        <w:t>Beginning</w:t>
      </w:r>
      <w:proofErr w:type="spellEnd"/>
      <w:r w:rsidRPr="006449A5">
        <w:rPr>
          <w:lang w:val="fr-BE"/>
        </w:rPr>
        <w:t xml:space="preserve"> », </w:t>
      </w:r>
      <w:proofErr w:type="spellStart"/>
      <w:r w:rsidRPr="006449A5">
        <w:rPr>
          <w:i/>
          <w:iCs/>
          <w:lang w:val="fr-BE"/>
        </w:rPr>
        <w:t>RabelsZ</w:t>
      </w:r>
      <w:proofErr w:type="spellEnd"/>
      <w:r w:rsidRPr="006449A5">
        <w:rPr>
          <w:lang w:val="fr-BE"/>
        </w:rPr>
        <w:t xml:space="preserve"> 86(1) 2022, p. 166-188</w:t>
      </w:r>
      <w:r w:rsidR="00E005ED" w:rsidRPr="006449A5">
        <w:rPr>
          <w:lang w:val="fr-BE"/>
        </w:rPr>
        <w:t xml:space="preserve">; </w:t>
      </w:r>
      <w:r w:rsidRPr="006449A5">
        <w:rPr>
          <w:lang w:val="fr-BE"/>
        </w:rPr>
        <w:t xml:space="preserve">Henri Culot et Wim Decock, </w:t>
      </w:r>
      <w:r w:rsidR="00FD6F60" w:rsidRPr="006449A5">
        <w:rPr>
          <w:lang w:val="fr-BE"/>
        </w:rPr>
        <w:t>« </w:t>
      </w:r>
      <w:r w:rsidRPr="006449A5">
        <w:rPr>
          <w:lang w:val="fr-BE"/>
        </w:rPr>
        <w:t>Éditorial : Colonialisme et comparatisme – pratiquer et penser le droit comparé à l’ère postcoloniale</w:t>
      </w:r>
      <w:r w:rsidR="00FD6F60" w:rsidRPr="006449A5">
        <w:rPr>
          <w:lang w:val="fr-BE"/>
        </w:rPr>
        <w:t> »</w:t>
      </w:r>
      <w:r w:rsidRPr="006449A5">
        <w:rPr>
          <w:lang w:val="fr-BE"/>
        </w:rPr>
        <w:t xml:space="preserve">, </w:t>
      </w:r>
      <w:r w:rsidRPr="006449A5">
        <w:rPr>
          <w:i/>
          <w:iCs/>
          <w:lang w:val="fr-BE"/>
        </w:rPr>
        <w:t>RDIDC</w:t>
      </w:r>
      <w:r w:rsidRPr="006449A5">
        <w:rPr>
          <w:lang w:val="fr-BE"/>
        </w:rPr>
        <w:t xml:space="preserve"> 2023/3-4, p. 353-355 (et le dossier qui suit); </w:t>
      </w:r>
      <w:proofErr w:type="spellStart"/>
      <w:r w:rsidRPr="006449A5">
        <w:rPr>
          <w:lang w:val="fr-BE"/>
        </w:rPr>
        <w:t>Sherally</w:t>
      </w:r>
      <w:proofErr w:type="spellEnd"/>
      <w:r w:rsidRPr="006449A5">
        <w:rPr>
          <w:lang w:val="fr-BE"/>
        </w:rPr>
        <w:t xml:space="preserve"> Munshi, </w:t>
      </w:r>
      <w:r w:rsidR="00FD6F60" w:rsidRPr="006449A5">
        <w:rPr>
          <w:lang w:val="fr-BE"/>
        </w:rPr>
        <w:t>« </w:t>
      </w:r>
      <w:r w:rsidRPr="006449A5">
        <w:rPr>
          <w:lang w:val="fr-BE"/>
        </w:rPr>
        <w:t xml:space="preserve">Comparative Law and </w:t>
      </w:r>
      <w:proofErr w:type="spellStart"/>
      <w:r w:rsidRPr="006449A5">
        <w:rPr>
          <w:lang w:val="fr-BE"/>
        </w:rPr>
        <w:t>Decolonizing</w:t>
      </w:r>
      <w:proofErr w:type="spellEnd"/>
      <w:r w:rsidRPr="006449A5">
        <w:rPr>
          <w:lang w:val="fr-BE"/>
        </w:rPr>
        <w:t xml:space="preserve"> Critique</w:t>
      </w:r>
      <w:r w:rsidR="00FD6F60" w:rsidRPr="006449A5">
        <w:rPr>
          <w:lang w:val="fr-BE"/>
        </w:rPr>
        <w:t> »</w:t>
      </w:r>
      <w:r w:rsidRPr="006449A5">
        <w:rPr>
          <w:lang w:val="fr-BE"/>
        </w:rPr>
        <w:t xml:space="preserve">, </w:t>
      </w:r>
      <w:r w:rsidRPr="006449A5">
        <w:rPr>
          <w:i/>
          <w:iCs/>
          <w:lang w:val="fr-BE"/>
        </w:rPr>
        <w:t>The American Journal of Comparative Law</w:t>
      </w:r>
      <w:r w:rsidRPr="006449A5">
        <w:rPr>
          <w:lang w:val="fr-BE"/>
        </w:rPr>
        <w:t xml:space="preserve"> 65/2017, p. 207-235.</w:t>
      </w:r>
    </w:p>
  </w:footnote>
  <w:footnote w:id="10">
    <w:p w14:paraId="45434C65" w14:textId="3CF020FF" w:rsidR="00FD25EC" w:rsidRPr="00285397" w:rsidRDefault="00FD25EC" w:rsidP="00E005ED">
      <w:pPr>
        <w:pStyle w:val="Notedebasdepage"/>
        <w:rPr>
          <w:lang w:val="en-US"/>
        </w:rPr>
      </w:pPr>
      <w:r w:rsidRPr="006449A5">
        <w:rPr>
          <w:rStyle w:val="Appelnotedebasdep"/>
          <w:lang w:val="fr-BE"/>
        </w:rPr>
        <w:footnoteRef/>
      </w:r>
      <w:r w:rsidRPr="00933CFE">
        <w:rPr>
          <w:lang w:val="en-US"/>
        </w:rPr>
        <w:t xml:space="preserve"> V. par ex. G</w:t>
      </w:r>
      <w:r w:rsidR="009B2C3D" w:rsidRPr="00933CFE">
        <w:rPr>
          <w:lang w:val="en-US"/>
        </w:rPr>
        <w:t xml:space="preserve">iulia </w:t>
      </w:r>
      <w:r w:rsidRPr="00933CFE">
        <w:rPr>
          <w:lang w:val="en-US"/>
        </w:rPr>
        <w:t>Parola</w:t>
      </w:r>
      <w:r w:rsidR="009B2C3D" w:rsidRPr="00933CFE">
        <w:rPr>
          <w:lang w:val="en-US"/>
        </w:rPr>
        <w:t xml:space="preserve"> et al.</w:t>
      </w:r>
      <w:r w:rsidRPr="00933CFE">
        <w:rPr>
          <w:lang w:val="en-US"/>
        </w:rPr>
        <w:t xml:space="preserve">, </w:t>
      </w:r>
      <w:r w:rsidR="00FD6F60" w:rsidRPr="00933CFE">
        <w:rPr>
          <w:lang w:val="en-US"/>
        </w:rPr>
        <w:t>“</w:t>
      </w:r>
      <w:r w:rsidRPr="00933CFE">
        <w:rPr>
          <w:lang w:val="en-US"/>
        </w:rPr>
        <w:t xml:space="preserve">Is a decolonial law possible? </w:t>
      </w:r>
      <w:r w:rsidRPr="00285397">
        <w:rPr>
          <w:lang w:val="en-US"/>
        </w:rPr>
        <w:t xml:space="preserve">Epistemologies of the South and constitutional law”, </w:t>
      </w:r>
      <w:r w:rsidRPr="00285397">
        <w:rPr>
          <w:i/>
          <w:iCs/>
          <w:lang w:val="en-US"/>
        </w:rPr>
        <w:t>Curitiba</w:t>
      </w:r>
      <w:r w:rsidRPr="00285397">
        <w:rPr>
          <w:lang w:val="en-US"/>
        </w:rPr>
        <w:t xml:space="preserve"> 69(2) 2022, p. 655-674; R</w:t>
      </w:r>
      <w:r w:rsidR="009B2C3D" w:rsidRPr="00285397">
        <w:rPr>
          <w:lang w:val="en-US"/>
        </w:rPr>
        <w:t>oger</w:t>
      </w:r>
      <w:r w:rsidRPr="00285397">
        <w:rPr>
          <w:lang w:val="en-US"/>
        </w:rPr>
        <w:t xml:space="preserve"> Merino, “Reimagining the Nation-State: Indigenous Peoples and the Making of Plurinationalism in Latin America</w:t>
      </w:r>
      <w:r w:rsidR="00FD6F60" w:rsidRPr="00285397">
        <w:rPr>
          <w:lang w:val="en-US"/>
        </w:rPr>
        <w:t> »</w:t>
      </w:r>
      <w:r w:rsidRPr="00285397">
        <w:rPr>
          <w:lang w:val="en-US"/>
        </w:rPr>
        <w:t xml:space="preserve">, </w:t>
      </w:r>
      <w:r w:rsidRPr="00285397">
        <w:rPr>
          <w:i/>
          <w:iCs/>
          <w:lang w:val="en-US"/>
        </w:rPr>
        <w:t>Leiden Journal of International Law</w:t>
      </w:r>
      <w:r w:rsidRPr="00285397">
        <w:rPr>
          <w:lang w:val="en-US"/>
        </w:rPr>
        <w:t xml:space="preserve"> 31(4) 2018, p.773-792; </w:t>
      </w:r>
      <w:r w:rsidR="009B2C3D" w:rsidRPr="00285397">
        <w:rPr>
          <w:lang w:val="en-US"/>
        </w:rPr>
        <w:t>César Augusto</w:t>
      </w:r>
      <w:r w:rsidRPr="00285397">
        <w:rPr>
          <w:lang w:val="en-US"/>
        </w:rPr>
        <w:t xml:space="preserve"> Baldi, </w:t>
      </w:r>
      <w:r w:rsidR="00FD6F60" w:rsidRPr="00285397">
        <w:rPr>
          <w:lang w:val="en-US"/>
        </w:rPr>
        <w:t>« </w:t>
      </w:r>
      <w:r w:rsidRPr="00285397">
        <w:rPr>
          <w:lang w:val="en-US"/>
        </w:rPr>
        <w:t>From Modern Constitutionalism to New Latin American Decolonial Constitutionalism</w:t>
      </w:r>
      <w:r w:rsidR="00FD6F60" w:rsidRPr="00285397">
        <w:rPr>
          <w:lang w:val="en-US"/>
        </w:rPr>
        <w:t xml:space="preserve"> », </w:t>
      </w:r>
      <w:r w:rsidRPr="00285397">
        <w:rPr>
          <w:i/>
          <w:iCs/>
          <w:lang w:val="en-US"/>
        </w:rPr>
        <w:t>The CLR James Journal</w:t>
      </w:r>
      <w:r w:rsidRPr="00285397">
        <w:rPr>
          <w:lang w:val="en-US"/>
        </w:rPr>
        <w:t xml:space="preserve"> 23(1-2) 2017, p. 307-322.</w:t>
      </w:r>
    </w:p>
  </w:footnote>
  <w:footnote w:id="11">
    <w:p w14:paraId="4FC23A4A" w14:textId="59D77223" w:rsidR="00FD25EC" w:rsidRPr="00285397" w:rsidRDefault="00FD25EC" w:rsidP="00E005ED">
      <w:pPr>
        <w:pStyle w:val="Notedebasdepage"/>
        <w:rPr>
          <w:lang w:val="en-US"/>
        </w:rPr>
      </w:pPr>
      <w:r w:rsidRPr="006449A5">
        <w:rPr>
          <w:rStyle w:val="Appelnotedebasdep"/>
          <w:lang w:val="fr-BE"/>
        </w:rPr>
        <w:footnoteRef/>
      </w:r>
      <w:r w:rsidRPr="00285397">
        <w:rPr>
          <w:lang w:val="en-US"/>
        </w:rPr>
        <w:t xml:space="preserve"> Tshepo </w:t>
      </w:r>
      <w:proofErr w:type="spellStart"/>
      <w:r w:rsidRPr="00285397">
        <w:rPr>
          <w:lang w:val="en-US"/>
        </w:rPr>
        <w:t>Bogosi</w:t>
      </w:r>
      <w:proofErr w:type="spellEnd"/>
      <w:r w:rsidRPr="00285397">
        <w:rPr>
          <w:lang w:val="en-US"/>
        </w:rPr>
        <w:t xml:space="preserve"> </w:t>
      </w:r>
      <w:proofErr w:type="spellStart"/>
      <w:r w:rsidRPr="00285397">
        <w:rPr>
          <w:lang w:val="en-US"/>
        </w:rPr>
        <w:t>Mosaka</w:t>
      </w:r>
      <w:proofErr w:type="spellEnd"/>
      <w:r w:rsidRPr="00285397">
        <w:rPr>
          <w:lang w:val="en-US"/>
        </w:rPr>
        <w:t xml:space="preserve">, « A Decolonial Legal Method » </w:t>
      </w:r>
      <w:r w:rsidRPr="00285397">
        <w:rPr>
          <w:i/>
          <w:iCs/>
          <w:lang w:val="en-US"/>
        </w:rPr>
        <w:t>South African Law Journal</w:t>
      </w:r>
      <w:r w:rsidRPr="00285397">
        <w:rPr>
          <w:lang w:val="en-US"/>
        </w:rPr>
        <w:t>, 138(4) 2021, p. 761-798.</w:t>
      </w:r>
    </w:p>
  </w:footnote>
  <w:footnote w:id="12">
    <w:p w14:paraId="58BE2FEA" w14:textId="4A4B21C3" w:rsidR="00FD25EC" w:rsidRPr="006449A5" w:rsidRDefault="00FD25EC" w:rsidP="00E005ED">
      <w:pPr>
        <w:pStyle w:val="Notedebasdepage"/>
        <w:rPr>
          <w:lang w:val="fr-BE"/>
        </w:rPr>
      </w:pPr>
      <w:r w:rsidRPr="006449A5">
        <w:rPr>
          <w:rStyle w:val="Appelnotedebasdep"/>
          <w:lang w:val="fr-BE"/>
        </w:rPr>
        <w:footnoteRef/>
      </w:r>
      <w:r w:rsidRPr="006449A5">
        <w:rPr>
          <w:lang w:val="fr-BE"/>
        </w:rPr>
        <w:t xml:space="preserve"> </w:t>
      </w:r>
      <w:r w:rsidR="008C0D13" w:rsidRPr="006449A5">
        <w:rPr>
          <w:lang w:val="fr-BE"/>
        </w:rPr>
        <w:t>Abdoul Aziz Diouf,</w:t>
      </w:r>
      <w:r w:rsidRPr="006449A5">
        <w:rPr>
          <w:lang w:val="fr-BE"/>
        </w:rPr>
        <w:t xml:space="preserve"> "Repenser le droit civil en Afrique noire francophone", </w:t>
      </w:r>
      <w:r w:rsidRPr="006449A5">
        <w:rPr>
          <w:i/>
          <w:iCs/>
          <w:lang w:val="fr-BE"/>
        </w:rPr>
        <w:t>RIDC</w:t>
      </w:r>
      <w:r w:rsidRPr="006449A5">
        <w:rPr>
          <w:lang w:val="fr-BE"/>
        </w:rPr>
        <w:t xml:space="preserve"> 2/2022, p. 369-388.</w:t>
      </w:r>
    </w:p>
  </w:footnote>
  <w:footnote w:id="13">
    <w:p w14:paraId="7395CD9B" w14:textId="2EAD16D1" w:rsidR="008C0D13" w:rsidRPr="00285397" w:rsidRDefault="008C0D13" w:rsidP="00E005ED">
      <w:pPr>
        <w:pStyle w:val="Notedebasdepage"/>
        <w:rPr>
          <w:lang w:val="en-US"/>
        </w:rPr>
      </w:pPr>
      <w:r w:rsidRPr="006449A5">
        <w:rPr>
          <w:rStyle w:val="Appelnotedebasdep"/>
          <w:lang w:val="fr-BE"/>
        </w:rPr>
        <w:footnoteRef/>
      </w:r>
      <w:r w:rsidRPr="00285397">
        <w:rPr>
          <w:lang w:val="en-US"/>
        </w:rPr>
        <w:t xml:space="preserve"> </w:t>
      </w:r>
      <w:r w:rsidR="00850108" w:rsidRPr="00285397">
        <w:rPr>
          <w:lang w:val="en-US"/>
        </w:rPr>
        <w:t xml:space="preserve">V. </w:t>
      </w:r>
      <w:proofErr w:type="spellStart"/>
      <w:r w:rsidR="00850108" w:rsidRPr="00285397">
        <w:rPr>
          <w:lang w:val="en-US"/>
        </w:rPr>
        <w:t>principalement</w:t>
      </w:r>
      <w:proofErr w:type="spellEnd"/>
      <w:r w:rsidR="00850108" w:rsidRPr="00285397">
        <w:rPr>
          <w:lang w:val="en-US"/>
        </w:rPr>
        <w:t xml:space="preserve"> H</w:t>
      </w:r>
      <w:r w:rsidR="009B2C3D" w:rsidRPr="00285397">
        <w:rPr>
          <w:lang w:val="en-US"/>
        </w:rPr>
        <w:t>anna</w:t>
      </w:r>
      <w:r w:rsidR="00850108" w:rsidRPr="00285397">
        <w:rPr>
          <w:lang w:val="en-US"/>
        </w:rPr>
        <w:t xml:space="preserve"> Eklund (ed.), </w:t>
      </w:r>
      <w:r w:rsidR="00850108" w:rsidRPr="00285397">
        <w:rPr>
          <w:i/>
          <w:iCs/>
          <w:lang w:val="en-US"/>
        </w:rPr>
        <w:t>Colonialism and the EU Legal Order</w:t>
      </w:r>
      <w:r w:rsidR="00850108" w:rsidRPr="00285397">
        <w:rPr>
          <w:lang w:val="en-US"/>
        </w:rPr>
        <w:t xml:space="preserve">, Cambridge, CUP, 2025 (à </w:t>
      </w:r>
      <w:proofErr w:type="spellStart"/>
      <w:r w:rsidR="00850108" w:rsidRPr="00285397">
        <w:rPr>
          <w:lang w:val="en-US"/>
        </w:rPr>
        <w:t>paraitre</w:t>
      </w:r>
      <w:proofErr w:type="spellEnd"/>
      <w:r w:rsidR="00850108" w:rsidRPr="00285397">
        <w:rPr>
          <w:lang w:val="en-US"/>
        </w:rPr>
        <w:t xml:space="preserve">). </w:t>
      </w:r>
    </w:p>
  </w:footnote>
  <w:footnote w:id="14">
    <w:p w14:paraId="4A7E7F23" w14:textId="2B6A94C8" w:rsidR="008C0D13" w:rsidRPr="006449A5" w:rsidRDefault="008C0D13" w:rsidP="00E005ED">
      <w:pPr>
        <w:pStyle w:val="Notedebasdepage"/>
        <w:rPr>
          <w:lang w:val="fr-BE"/>
        </w:rPr>
      </w:pPr>
      <w:r w:rsidRPr="006449A5">
        <w:rPr>
          <w:rStyle w:val="Appelnotedebasdep"/>
          <w:lang w:val="fr-BE"/>
        </w:rPr>
        <w:footnoteRef/>
      </w:r>
      <w:r w:rsidRPr="006449A5">
        <w:rPr>
          <w:lang w:val="fr-BE"/>
        </w:rPr>
        <w:t xml:space="preserve"> </w:t>
      </w:r>
      <w:r w:rsidR="00850108" w:rsidRPr="006449A5">
        <w:rPr>
          <w:lang w:val="fr-BE"/>
        </w:rPr>
        <w:t xml:space="preserve">V. par ex. </w:t>
      </w:r>
      <w:r w:rsidRPr="006449A5">
        <w:rPr>
          <w:lang w:val="fr-BE"/>
        </w:rPr>
        <w:t xml:space="preserve">Hans </w:t>
      </w:r>
      <w:proofErr w:type="spellStart"/>
      <w:r w:rsidRPr="006449A5">
        <w:rPr>
          <w:iCs/>
          <w:lang w:val="fr-BE"/>
        </w:rPr>
        <w:t>Kundnani</w:t>
      </w:r>
      <w:proofErr w:type="spellEnd"/>
      <w:r w:rsidRPr="006449A5">
        <w:rPr>
          <w:iCs/>
          <w:lang w:val="fr-BE"/>
        </w:rPr>
        <w:t xml:space="preserve">, </w:t>
      </w:r>
      <w:proofErr w:type="spellStart"/>
      <w:r w:rsidRPr="006449A5">
        <w:rPr>
          <w:i/>
          <w:lang w:val="fr-BE"/>
        </w:rPr>
        <w:t>Eurowhiteness</w:t>
      </w:r>
      <w:proofErr w:type="spellEnd"/>
      <w:r w:rsidRPr="006449A5">
        <w:rPr>
          <w:i/>
          <w:iCs/>
          <w:lang w:val="fr-BE"/>
        </w:rPr>
        <w:t xml:space="preserve">, </w:t>
      </w:r>
      <w:r w:rsidRPr="006449A5">
        <w:rPr>
          <w:lang w:val="fr-BE"/>
        </w:rPr>
        <w:t xml:space="preserve">London, </w:t>
      </w:r>
      <w:r w:rsidRPr="006449A5">
        <w:rPr>
          <w:iCs/>
          <w:lang w:val="fr-BE"/>
        </w:rPr>
        <w:t>Hurst, 2023.</w:t>
      </w:r>
    </w:p>
  </w:footnote>
  <w:footnote w:id="15">
    <w:p w14:paraId="2C6751B5" w14:textId="057E4B93" w:rsidR="008C0D13" w:rsidRPr="006449A5" w:rsidRDefault="008C0D13" w:rsidP="00E005ED">
      <w:pPr>
        <w:pStyle w:val="Notedebasdepage"/>
        <w:rPr>
          <w:lang w:val="fr-BE"/>
        </w:rPr>
      </w:pPr>
      <w:r w:rsidRPr="006449A5">
        <w:rPr>
          <w:rStyle w:val="Appelnotedebasdep"/>
          <w:lang w:val="fr-BE"/>
        </w:rPr>
        <w:footnoteRef/>
      </w:r>
      <w:r w:rsidRPr="00285397">
        <w:rPr>
          <w:lang w:val="en-US"/>
        </w:rPr>
        <w:t xml:space="preserve"> Montserrat </w:t>
      </w:r>
      <w:proofErr w:type="spellStart"/>
      <w:r w:rsidRPr="00285397">
        <w:rPr>
          <w:lang w:val="en-US"/>
        </w:rPr>
        <w:t>Galcerán</w:t>
      </w:r>
      <w:proofErr w:type="spellEnd"/>
      <w:r w:rsidRPr="00285397">
        <w:rPr>
          <w:lang w:val="en-US"/>
        </w:rPr>
        <w:t xml:space="preserve"> Huguet, </w:t>
      </w:r>
      <w:r w:rsidR="00FD6F60" w:rsidRPr="00285397">
        <w:rPr>
          <w:lang w:val="en-US"/>
        </w:rPr>
        <w:t>« </w:t>
      </w:r>
      <w:r w:rsidRPr="00285397">
        <w:rPr>
          <w:lang w:val="en-US"/>
        </w:rPr>
        <w:t>How Post-Colonial and Decolonial Theories Are Received in Europe and the Idea of Europe</w:t>
      </w:r>
      <w:r w:rsidR="00FD6F60" w:rsidRPr="00285397">
        <w:rPr>
          <w:lang w:val="en-US"/>
        </w:rPr>
        <w:t> »</w:t>
      </w:r>
      <w:r w:rsidRPr="00285397">
        <w:rPr>
          <w:lang w:val="en-US"/>
        </w:rPr>
        <w:t xml:space="preserve">, </w:t>
      </w:r>
      <w:r w:rsidRPr="00285397">
        <w:rPr>
          <w:i/>
          <w:iCs/>
          <w:lang w:val="en-US"/>
        </w:rPr>
        <w:t>in</w:t>
      </w:r>
      <w:r w:rsidRPr="00285397">
        <w:rPr>
          <w:lang w:val="en-US"/>
        </w:rPr>
        <w:t xml:space="preserve"> M. Araújo et S. Rodríguez </w:t>
      </w:r>
      <w:proofErr w:type="spellStart"/>
      <w:r w:rsidRPr="00285397">
        <w:rPr>
          <w:lang w:val="en-US"/>
        </w:rPr>
        <w:t>Maeso</w:t>
      </w:r>
      <w:proofErr w:type="spellEnd"/>
      <w:r w:rsidRPr="00285397">
        <w:rPr>
          <w:lang w:val="en-US"/>
        </w:rPr>
        <w:t xml:space="preserve">, </w:t>
      </w:r>
      <w:r w:rsidRPr="00285397">
        <w:rPr>
          <w:i/>
          <w:iCs/>
          <w:lang w:val="en-US"/>
        </w:rPr>
        <w:t>Eurocentrism, Racism and Knowledge</w:t>
      </w:r>
      <w:r w:rsidRPr="00285397">
        <w:rPr>
          <w:lang w:val="en-US"/>
        </w:rPr>
        <w:t xml:space="preserve">, London, Palgrave Macmillan UK, 2015, p. 93-113. </w:t>
      </w:r>
      <w:r w:rsidR="00C0039F" w:rsidRPr="00285397">
        <w:rPr>
          <w:lang w:val="en-US"/>
        </w:rPr>
        <w:t xml:space="preserve"> </w:t>
      </w:r>
      <w:r w:rsidR="00C0039F" w:rsidRPr="006449A5">
        <w:rPr>
          <w:lang w:val="fr-BE"/>
        </w:rPr>
        <w:t xml:space="preserve">En France particulièrement, les étudies </w:t>
      </w:r>
      <w:proofErr w:type="spellStart"/>
      <w:r w:rsidR="00C0039F" w:rsidRPr="006449A5">
        <w:rPr>
          <w:lang w:val="fr-BE"/>
        </w:rPr>
        <w:t>décoloniales</w:t>
      </w:r>
      <w:proofErr w:type="spellEnd"/>
      <w:r w:rsidR="00C0039F" w:rsidRPr="006449A5">
        <w:rPr>
          <w:lang w:val="fr-BE"/>
        </w:rPr>
        <w:t xml:space="preserve"> manquent, qu’elles concernent l’Europe ou une autre partie du monde (v. par ex. v. </w:t>
      </w:r>
      <w:r w:rsidR="00615022" w:rsidRPr="006449A5">
        <w:rPr>
          <w:lang w:val="fr-BE"/>
        </w:rPr>
        <w:t xml:space="preserve">Capucine </w:t>
      </w:r>
      <w:proofErr w:type="spellStart"/>
      <w:r w:rsidR="00615022" w:rsidRPr="006449A5">
        <w:rPr>
          <w:lang w:val="fr-BE"/>
        </w:rPr>
        <w:t>Boidin</w:t>
      </w:r>
      <w:proofErr w:type="spellEnd"/>
      <w:r w:rsidR="00615022" w:rsidRPr="006449A5">
        <w:rPr>
          <w:lang w:val="fr-BE"/>
        </w:rPr>
        <w:t xml:space="preserve">, « Études </w:t>
      </w:r>
      <w:proofErr w:type="spellStart"/>
      <w:r w:rsidR="00615022" w:rsidRPr="006449A5">
        <w:rPr>
          <w:lang w:val="fr-BE"/>
        </w:rPr>
        <w:t>décoloniales</w:t>
      </w:r>
      <w:proofErr w:type="spellEnd"/>
      <w:r w:rsidR="00615022" w:rsidRPr="006449A5">
        <w:rPr>
          <w:lang w:val="fr-BE"/>
        </w:rPr>
        <w:t xml:space="preserve"> et postcoloniales dans les débats français », </w:t>
      </w:r>
      <w:r w:rsidR="00615022" w:rsidRPr="006449A5">
        <w:rPr>
          <w:i/>
          <w:iCs/>
          <w:lang w:val="fr-BE"/>
        </w:rPr>
        <w:t>Cahier des Amériques latines</w:t>
      </w:r>
      <w:r w:rsidR="00615022" w:rsidRPr="006449A5">
        <w:rPr>
          <w:lang w:val="fr-BE"/>
        </w:rPr>
        <w:t xml:space="preserve"> 62, 2009, p. 129-</w:t>
      </w:r>
      <w:proofErr w:type="gramStart"/>
      <w:r w:rsidR="00615022" w:rsidRPr="006449A5">
        <w:rPr>
          <w:lang w:val="fr-BE"/>
        </w:rPr>
        <w:t>140</w:t>
      </w:r>
      <w:r w:rsidR="00C0039F" w:rsidRPr="006449A5">
        <w:rPr>
          <w:lang w:val="fr-BE"/>
        </w:rPr>
        <w:t>;</w:t>
      </w:r>
      <w:proofErr w:type="gramEnd"/>
      <w:r w:rsidR="00C0039F" w:rsidRPr="006449A5">
        <w:rPr>
          <w:lang w:val="fr-BE"/>
        </w:rPr>
        <w:t xml:space="preserve"> </w:t>
      </w:r>
      <w:proofErr w:type="spellStart"/>
      <w:r w:rsidR="00C0039F" w:rsidRPr="006449A5">
        <w:rPr>
          <w:lang w:val="fr-BE"/>
        </w:rPr>
        <w:t>A</w:t>
      </w:r>
      <w:r w:rsidR="009B2C3D" w:rsidRPr="006449A5">
        <w:rPr>
          <w:lang w:val="fr-BE"/>
        </w:rPr>
        <w:t>kbane</w:t>
      </w:r>
      <w:proofErr w:type="spellEnd"/>
      <w:r w:rsidR="00C0039F" w:rsidRPr="006449A5">
        <w:rPr>
          <w:lang w:val="fr-BE"/>
        </w:rPr>
        <w:t xml:space="preserve"> Geslin</w:t>
      </w:r>
      <w:r w:rsidR="009B2C3D" w:rsidRPr="006449A5">
        <w:rPr>
          <w:lang w:val="fr-BE"/>
        </w:rPr>
        <w:t xml:space="preserve"> et al</w:t>
      </w:r>
      <w:r w:rsidR="00C0039F" w:rsidRPr="006449A5">
        <w:rPr>
          <w:lang w:val="fr-BE"/>
        </w:rPr>
        <w:t xml:space="preserve"> (</w:t>
      </w:r>
      <w:proofErr w:type="spellStart"/>
      <w:r w:rsidR="00C0039F" w:rsidRPr="006449A5">
        <w:rPr>
          <w:lang w:val="fr-BE"/>
        </w:rPr>
        <w:t>dir</w:t>
      </w:r>
      <w:proofErr w:type="spellEnd"/>
      <w:r w:rsidR="00C0039F" w:rsidRPr="006449A5">
        <w:rPr>
          <w:lang w:val="fr-BE"/>
        </w:rPr>
        <w:t xml:space="preserve">.), Postcolonialisme et droit : perspectives épistémologiques, Paris, </w:t>
      </w:r>
      <w:proofErr w:type="spellStart"/>
      <w:r w:rsidR="00C0039F" w:rsidRPr="006449A5">
        <w:rPr>
          <w:lang w:val="fr-BE"/>
        </w:rPr>
        <w:t>Kimé</w:t>
      </w:r>
      <w:proofErr w:type="spellEnd"/>
      <w:r w:rsidR="00C0039F" w:rsidRPr="006449A5">
        <w:rPr>
          <w:lang w:val="fr-BE"/>
        </w:rPr>
        <w:t xml:space="preserve">, 2020). </w:t>
      </w:r>
    </w:p>
  </w:footnote>
  <w:footnote w:id="16">
    <w:p w14:paraId="72CA9E2F" w14:textId="4DCA8B9C" w:rsidR="00D629CA" w:rsidRPr="006449A5" w:rsidRDefault="00D629CA">
      <w:pPr>
        <w:pStyle w:val="Notedebasdepage"/>
        <w:rPr>
          <w:lang w:val="fr-BE"/>
        </w:rPr>
      </w:pPr>
      <w:r w:rsidRPr="006449A5">
        <w:rPr>
          <w:rStyle w:val="Appelnotedebasdep"/>
          <w:lang w:val="fr-BE"/>
        </w:rPr>
        <w:footnoteRef/>
      </w:r>
      <w:r w:rsidRPr="006449A5">
        <w:rPr>
          <w:lang w:val="fr-BE"/>
        </w:rPr>
        <w:t xml:space="preserve"> Secrétaire Général de la Conférence de La Haye de droit international privé (HCCH).</w:t>
      </w:r>
    </w:p>
  </w:footnote>
  <w:footnote w:id="17">
    <w:p w14:paraId="1408116C" w14:textId="6D7144E0" w:rsidR="00D629CA" w:rsidRPr="00285397" w:rsidRDefault="00D629CA" w:rsidP="00D629CA">
      <w:pPr>
        <w:pStyle w:val="Notedebasdepage"/>
        <w:rPr>
          <w:lang w:val="en-US"/>
        </w:rPr>
      </w:pPr>
      <w:r w:rsidRPr="006449A5">
        <w:rPr>
          <w:rStyle w:val="Appelnotedebasdep"/>
          <w:lang w:val="fr-BE"/>
        </w:rPr>
        <w:footnoteRef/>
      </w:r>
      <w:r w:rsidRPr="00285397">
        <w:rPr>
          <w:lang w:val="en-US"/>
        </w:rPr>
        <w:t xml:space="preserve"> Christophe Bernasconi, </w:t>
      </w:r>
      <w:r w:rsidR="00FD6F60" w:rsidRPr="00285397">
        <w:rPr>
          <w:lang w:val="en-US"/>
        </w:rPr>
        <w:t>« </w:t>
      </w:r>
      <w:r w:rsidRPr="00285397">
        <w:rPr>
          <w:lang w:val="en-US"/>
        </w:rPr>
        <w:t>Foreword I</w:t>
      </w:r>
      <w:r w:rsidR="00FD6F60" w:rsidRPr="00285397">
        <w:rPr>
          <w:lang w:val="en-US"/>
        </w:rPr>
        <w:t> »</w:t>
      </w:r>
      <w:r w:rsidRPr="00285397">
        <w:rPr>
          <w:lang w:val="en-US"/>
        </w:rPr>
        <w:t xml:space="preserve">, </w:t>
      </w:r>
      <w:r w:rsidRPr="00285397">
        <w:rPr>
          <w:i/>
          <w:iCs/>
          <w:lang w:val="en-US"/>
        </w:rPr>
        <w:t>in</w:t>
      </w:r>
      <w:r w:rsidRPr="00285397">
        <w:rPr>
          <w:lang w:val="en-US"/>
        </w:rPr>
        <w:t xml:space="preserve"> T. John, R. Gulati, and B. Köhler (dir.), </w:t>
      </w:r>
      <w:r w:rsidRPr="00285397">
        <w:rPr>
          <w:i/>
          <w:iCs/>
          <w:lang w:val="en-US"/>
        </w:rPr>
        <w:t>The Elgar Companion to the Hague Conference on Private International Law</w:t>
      </w:r>
      <w:r w:rsidRPr="00285397">
        <w:rPr>
          <w:lang w:val="en-US"/>
        </w:rPr>
        <w:t>, Cheltenham, Edward Elgar, 2020, p. xxi.</w:t>
      </w:r>
    </w:p>
  </w:footnote>
  <w:footnote w:id="18">
    <w:p w14:paraId="14B11C2A" w14:textId="522315F3" w:rsidR="008C0D13" w:rsidRPr="00285397" w:rsidRDefault="008C0D13" w:rsidP="00E005ED">
      <w:pPr>
        <w:pStyle w:val="Notedebasdepage"/>
        <w:rPr>
          <w:lang w:val="en-US"/>
        </w:rPr>
      </w:pPr>
      <w:r w:rsidRPr="006449A5">
        <w:rPr>
          <w:rStyle w:val="Appelnotedebasdep"/>
          <w:lang w:val="fr-BE"/>
        </w:rPr>
        <w:footnoteRef/>
      </w:r>
      <w:r w:rsidRPr="00285397">
        <w:rPr>
          <w:lang w:val="en-US"/>
        </w:rPr>
        <w:t xml:space="preserve"> </w:t>
      </w:r>
      <w:r w:rsidR="00B16F5E" w:rsidRPr="00285397">
        <w:rPr>
          <w:lang w:val="en-US"/>
        </w:rPr>
        <w:t xml:space="preserve">V. par ex. </w:t>
      </w:r>
      <w:bookmarkStart w:id="3" w:name="_Hlk56162357"/>
      <w:bookmarkStart w:id="4" w:name="_Hlk183984464"/>
      <w:bookmarkStart w:id="5" w:name="_Hlk100248289"/>
      <w:r w:rsidR="00B16F5E" w:rsidRPr="00285397">
        <w:rPr>
          <w:lang w:val="en-US"/>
        </w:rPr>
        <w:t>A</w:t>
      </w:r>
      <w:r w:rsidR="009B2C3D" w:rsidRPr="00285397">
        <w:rPr>
          <w:lang w:val="en-US"/>
        </w:rPr>
        <w:t xml:space="preserve">rjun </w:t>
      </w:r>
      <w:r w:rsidR="00B16F5E" w:rsidRPr="00285397">
        <w:rPr>
          <w:lang w:val="en-US"/>
        </w:rPr>
        <w:t xml:space="preserve">Appadurai (dir.), </w:t>
      </w:r>
      <w:proofErr w:type="spellStart"/>
      <w:r w:rsidR="00B16F5E" w:rsidRPr="00285397">
        <w:rPr>
          <w:i/>
          <w:iCs/>
          <w:lang w:val="en-US"/>
        </w:rPr>
        <w:t>Globalisation</w:t>
      </w:r>
      <w:proofErr w:type="spellEnd"/>
      <w:r w:rsidR="00B16F5E" w:rsidRPr="00285397">
        <w:rPr>
          <w:lang w:val="en-US"/>
        </w:rPr>
        <w:t>, Durham, Duke University Press, 2001</w:t>
      </w:r>
      <w:bookmarkEnd w:id="3"/>
      <w:bookmarkEnd w:id="4"/>
      <w:r w:rsidR="00B16F5E" w:rsidRPr="00285397">
        <w:rPr>
          <w:lang w:val="en-US"/>
        </w:rPr>
        <w:t xml:space="preserve">; M Waters, </w:t>
      </w:r>
      <w:proofErr w:type="spellStart"/>
      <w:r w:rsidR="00B16F5E" w:rsidRPr="00285397">
        <w:rPr>
          <w:i/>
          <w:iCs/>
          <w:lang w:val="en-US"/>
        </w:rPr>
        <w:t>Globalisation</w:t>
      </w:r>
      <w:proofErr w:type="spellEnd"/>
      <w:r w:rsidR="00B16F5E" w:rsidRPr="00285397">
        <w:rPr>
          <w:lang w:val="en-US"/>
        </w:rPr>
        <w:t>, London, Routledge, 2013; W</w:t>
      </w:r>
      <w:r w:rsidR="009B2C3D" w:rsidRPr="00285397">
        <w:rPr>
          <w:lang w:val="en-US"/>
        </w:rPr>
        <w:t>illiam</w:t>
      </w:r>
      <w:r w:rsidR="00B16F5E" w:rsidRPr="00285397">
        <w:rPr>
          <w:lang w:val="en-US"/>
        </w:rPr>
        <w:t xml:space="preserve"> Robinson, </w:t>
      </w:r>
      <w:r w:rsidR="00FD6F60" w:rsidRPr="00285397">
        <w:rPr>
          <w:lang w:val="en-US"/>
        </w:rPr>
        <w:t>« </w:t>
      </w:r>
      <w:r w:rsidR="00B16F5E" w:rsidRPr="00285397">
        <w:rPr>
          <w:lang w:val="en-US"/>
        </w:rPr>
        <w:t xml:space="preserve">Theories of </w:t>
      </w:r>
      <w:proofErr w:type="spellStart"/>
      <w:r w:rsidR="00B16F5E" w:rsidRPr="00285397">
        <w:rPr>
          <w:lang w:val="en-US"/>
        </w:rPr>
        <w:t>Globalisation</w:t>
      </w:r>
      <w:proofErr w:type="spellEnd"/>
      <w:r w:rsidR="00FD6F60" w:rsidRPr="00285397">
        <w:rPr>
          <w:lang w:val="en-US"/>
        </w:rPr>
        <w:t> »</w:t>
      </w:r>
      <w:r w:rsidR="00B16F5E" w:rsidRPr="00285397">
        <w:rPr>
          <w:lang w:val="en-US"/>
        </w:rPr>
        <w:t xml:space="preserve">, </w:t>
      </w:r>
      <w:r w:rsidR="00B16F5E" w:rsidRPr="00285397">
        <w:rPr>
          <w:i/>
          <w:iCs/>
          <w:lang w:val="en-US"/>
        </w:rPr>
        <w:t>in</w:t>
      </w:r>
      <w:r w:rsidR="00B16F5E" w:rsidRPr="00285397">
        <w:rPr>
          <w:lang w:val="en-US"/>
        </w:rPr>
        <w:t xml:space="preserve"> G. Ritzer, </w:t>
      </w:r>
      <w:r w:rsidR="00B16F5E" w:rsidRPr="00285397">
        <w:rPr>
          <w:i/>
          <w:iCs/>
          <w:lang w:val="en-US"/>
        </w:rPr>
        <w:t xml:space="preserve">The Blackwell Companion to </w:t>
      </w:r>
      <w:proofErr w:type="spellStart"/>
      <w:r w:rsidR="00B16F5E" w:rsidRPr="00285397">
        <w:rPr>
          <w:i/>
          <w:iCs/>
          <w:lang w:val="en-US"/>
        </w:rPr>
        <w:t>Globalisation</w:t>
      </w:r>
      <w:proofErr w:type="spellEnd"/>
      <w:r w:rsidR="00B16F5E" w:rsidRPr="00285397">
        <w:rPr>
          <w:lang w:val="en-US"/>
        </w:rPr>
        <w:t>, Oxford, Blackwell, 2007</w:t>
      </w:r>
      <w:bookmarkEnd w:id="5"/>
      <w:r w:rsidR="00B16F5E" w:rsidRPr="00285397">
        <w:rPr>
          <w:lang w:val="en-US"/>
        </w:rPr>
        <w:t>.</w:t>
      </w:r>
    </w:p>
  </w:footnote>
  <w:footnote w:id="19">
    <w:p w14:paraId="6CEE7DA9" w14:textId="1442EC1A" w:rsidR="008D659C" w:rsidRPr="00285397" w:rsidRDefault="008D659C" w:rsidP="00E005ED">
      <w:pPr>
        <w:pStyle w:val="Notedebasdepage"/>
        <w:rPr>
          <w:lang w:val="en-US"/>
        </w:rPr>
      </w:pPr>
      <w:r w:rsidRPr="006449A5">
        <w:rPr>
          <w:rStyle w:val="Appelnotedebasdep"/>
          <w:lang w:val="fr-BE"/>
        </w:rPr>
        <w:footnoteRef/>
      </w:r>
      <w:r w:rsidRPr="006449A5">
        <w:rPr>
          <w:lang w:val="fr-BE"/>
        </w:rPr>
        <w:t xml:space="preserve"> Le concept de vision du monde utilisé ici est synonyme de « cosmologie », « ontologie », « monde de vie », « modes de vie » ou « </w:t>
      </w:r>
      <w:proofErr w:type="spellStart"/>
      <w:r w:rsidRPr="006449A5">
        <w:rPr>
          <w:lang w:val="fr-BE"/>
        </w:rPr>
        <w:t>nomos</w:t>
      </w:r>
      <w:proofErr w:type="spellEnd"/>
      <w:r w:rsidRPr="006449A5">
        <w:rPr>
          <w:lang w:val="fr-BE"/>
        </w:rPr>
        <w:t xml:space="preserve"> », mots qui conviennent mieux pour désigner certaines visions du monde. Il doit être compris comme couvrant les croyances et les valeurs fondamentales qui justifient des rationalités, des concepts et des règles de conduite spécifiques, en termes non seulement de substance mais aussi de sources, de formes et de modes de transmission (pour plus de détails, v.  </w:t>
      </w:r>
      <w:r w:rsidRPr="00285397">
        <w:rPr>
          <w:lang w:val="en-US"/>
        </w:rPr>
        <w:t>S</w:t>
      </w:r>
      <w:r w:rsidR="009B2C3D" w:rsidRPr="00285397">
        <w:rPr>
          <w:lang w:val="en-US"/>
        </w:rPr>
        <w:t>andrine</w:t>
      </w:r>
      <w:r w:rsidRPr="00285397">
        <w:rPr>
          <w:lang w:val="en-US"/>
        </w:rPr>
        <w:t xml:space="preserve"> Brachotte, </w:t>
      </w:r>
      <w:r w:rsidRPr="00285397">
        <w:rPr>
          <w:i/>
          <w:iCs/>
          <w:lang w:val="en-US"/>
        </w:rPr>
        <w:t>Conflicts of Worldviews and Private International law</w:t>
      </w:r>
      <w:r w:rsidRPr="00285397">
        <w:rPr>
          <w:lang w:val="en-US"/>
        </w:rPr>
        <w:t xml:space="preserve">, Oxford, Hart Publishing, 2025 (à </w:t>
      </w:r>
      <w:proofErr w:type="spellStart"/>
      <w:r w:rsidRPr="00285397">
        <w:rPr>
          <w:lang w:val="en-US"/>
        </w:rPr>
        <w:t>paraitre</w:t>
      </w:r>
      <w:proofErr w:type="spellEnd"/>
      <w:r w:rsidRPr="00285397">
        <w:rPr>
          <w:lang w:val="en-US"/>
        </w:rPr>
        <w:t xml:space="preserve">)). </w:t>
      </w:r>
    </w:p>
  </w:footnote>
  <w:footnote w:id="20">
    <w:p w14:paraId="385DD407" w14:textId="4C602FCC" w:rsidR="00B16F5E" w:rsidRPr="006449A5" w:rsidRDefault="00B16F5E" w:rsidP="00E005ED">
      <w:pPr>
        <w:pStyle w:val="Notedebasdepage"/>
        <w:rPr>
          <w:lang w:val="fr-BE"/>
        </w:rPr>
      </w:pPr>
      <w:r w:rsidRPr="006449A5">
        <w:rPr>
          <w:rStyle w:val="Appelnotedebasdep"/>
          <w:lang w:val="fr-BE"/>
        </w:rPr>
        <w:footnoteRef/>
      </w:r>
      <w:r w:rsidRPr="006449A5">
        <w:rPr>
          <w:lang w:val="fr-BE"/>
        </w:rPr>
        <w:t xml:space="preserve"> Didier Boden, </w:t>
      </w:r>
      <w:r w:rsidR="00FD6F60" w:rsidRPr="006449A5">
        <w:rPr>
          <w:lang w:val="fr-BE"/>
        </w:rPr>
        <w:t>« </w:t>
      </w:r>
      <w:r w:rsidRPr="006449A5">
        <w:rPr>
          <w:lang w:val="fr-BE"/>
        </w:rPr>
        <w:t>Le pluralisme juridique en droit international privé</w:t>
      </w:r>
      <w:r w:rsidR="00FD6F60" w:rsidRPr="006449A5">
        <w:rPr>
          <w:lang w:val="fr-BE"/>
        </w:rPr>
        <w:t> »</w:t>
      </w:r>
      <w:r w:rsidRPr="006449A5">
        <w:rPr>
          <w:lang w:val="fr-BE"/>
        </w:rPr>
        <w:t xml:space="preserve">, </w:t>
      </w:r>
      <w:r w:rsidRPr="006449A5">
        <w:rPr>
          <w:i/>
          <w:iCs/>
          <w:lang w:val="fr-BE"/>
        </w:rPr>
        <w:t>Archives de philosophie du droit</w:t>
      </w:r>
      <w:r w:rsidRPr="006449A5">
        <w:rPr>
          <w:lang w:val="fr-BE"/>
        </w:rPr>
        <w:t xml:space="preserve"> 49, 2005, p. 275-316.</w:t>
      </w:r>
    </w:p>
  </w:footnote>
  <w:footnote w:id="21">
    <w:p w14:paraId="088DDDCC" w14:textId="5BC7BF8C" w:rsidR="00B16F5E" w:rsidRPr="00285397" w:rsidRDefault="00B16F5E" w:rsidP="00E005ED">
      <w:pPr>
        <w:pStyle w:val="Notedebasdepage"/>
        <w:rPr>
          <w:lang w:val="en-US"/>
        </w:rPr>
      </w:pPr>
      <w:r w:rsidRPr="006449A5">
        <w:rPr>
          <w:rStyle w:val="Appelnotedebasdep"/>
          <w:lang w:val="fr-BE"/>
        </w:rPr>
        <w:footnoteRef/>
      </w:r>
      <w:r w:rsidRPr="00285397">
        <w:rPr>
          <w:lang w:val="en-US"/>
        </w:rPr>
        <w:t xml:space="preserve"> </w:t>
      </w:r>
      <w:r w:rsidRPr="00285397">
        <w:rPr>
          <w:iCs/>
          <w:lang w:val="en-US"/>
        </w:rPr>
        <w:t xml:space="preserve">Annelise Riles, </w:t>
      </w:r>
      <w:r w:rsidR="00FD6F60" w:rsidRPr="00285397">
        <w:rPr>
          <w:iCs/>
          <w:lang w:val="en-US"/>
        </w:rPr>
        <w:t>« </w:t>
      </w:r>
      <w:r w:rsidRPr="00285397">
        <w:rPr>
          <w:iCs/>
          <w:lang w:val="en-US"/>
        </w:rPr>
        <w:t>Cultural Conflict</w:t>
      </w:r>
      <w:r w:rsidR="00FD6F60" w:rsidRPr="00285397">
        <w:rPr>
          <w:iCs/>
          <w:lang w:val="en-US"/>
        </w:rPr>
        <w:t> »</w:t>
      </w:r>
      <w:r w:rsidRPr="00285397">
        <w:rPr>
          <w:iCs/>
          <w:lang w:val="en-US"/>
        </w:rPr>
        <w:t xml:space="preserve">, </w:t>
      </w:r>
      <w:r w:rsidRPr="00285397">
        <w:rPr>
          <w:i/>
          <w:iCs/>
          <w:lang w:val="en-US"/>
        </w:rPr>
        <w:t>Law and Contemporary Problems,</w:t>
      </w:r>
      <w:r w:rsidRPr="00285397">
        <w:rPr>
          <w:iCs/>
          <w:lang w:val="en-US"/>
        </w:rPr>
        <w:t xml:space="preserve"> 71(3), 2008, p. 273-308.</w:t>
      </w:r>
    </w:p>
  </w:footnote>
  <w:footnote w:id="22">
    <w:p w14:paraId="40EFF856" w14:textId="163307DD" w:rsidR="00B16F5E" w:rsidRPr="006449A5" w:rsidRDefault="00B16F5E" w:rsidP="00E005ED">
      <w:pPr>
        <w:pStyle w:val="Notedebasdepage"/>
        <w:rPr>
          <w:lang w:val="fr-BE"/>
        </w:rPr>
      </w:pPr>
      <w:r w:rsidRPr="006449A5">
        <w:rPr>
          <w:rStyle w:val="Appelnotedebasdep"/>
          <w:lang w:val="fr-BE"/>
        </w:rPr>
        <w:footnoteRef/>
      </w:r>
      <w:r w:rsidRPr="00285397">
        <w:rPr>
          <w:lang w:val="en-US"/>
        </w:rPr>
        <w:t xml:space="preserve"> </w:t>
      </w:r>
      <w:bookmarkStart w:id="6" w:name="_Hlk184302474"/>
      <w:r w:rsidR="00D971ED" w:rsidRPr="00285397">
        <w:rPr>
          <w:iCs/>
          <w:lang w:val="en-US"/>
        </w:rPr>
        <w:t xml:space="preserve">Ralf Michaels, « Private International Law and the Legal Pluriverse », </w:t>
      </w:r>
      <w:r w:rsidR="00D971ED" w:rsidRPr="00285397">
        <w:rPr>
          <w:i/>
          <w:iCs/>
          <w:lang w:val="en-US"/>
        </w:rPr>
        <w:t>in</w:t>
      </w:r>
      <w:r w:rsidR="00D971ED" w:rsidRPr="00285397">
        <w:rPr>
          <w:iCs/>
          <w:lang w:val="en-US"/>
        </w:rPr>
        <w:t xml:space="preserve"> R. Banu, M. Green, et R. Michaels (dir.), </w:t>
      </w:r>
      <w:r w:rsidR="00D971ED" w:rsidRPr="00285397">
        <w:rPr>
          <w:i/>
          <w:iCs/>
          <w:lang w:val="en-US"/>
        </w:rPr>
        <w:t xml:space="preserve">Philosophical Foundations of Private International Law, </w:t>
      </w:r>
      <w:r w:rsidR="00D971ED" w:rsidRPr="00285397">
        <w:rPr>
          <w:iCs/>
          <w:lang w:val="en-US"/>
        </w:rPr>
        <w:t>Oxford University Press, 2024</w:t>
      </w:r>
      <w:r w:rsidRPr="00285397">
        <w:rPr>
          <w:lang w:val="en-US"/>
        </w:rPr>
        <w:t xml:space="preserve">. </w:t>
      </w:r>
      <w:bookmarkEnd w:id="6"/>
      <w:r w:rsidR="00723EFC" w:rsidRPr="006449A5">
        <w:rPr>
          <w:lang w:val="fr-BE"/>
        </w:rPr>
        <w:t xml:space="preserve">La discipline accepte en effet la pluralité du droit substantiel, mais aussi la pluralité du droit international privé lui-même, alors qu’il est l’endroit d’où l’on peut voir la pluralité du droit substantiel (comme une vision universelle). </w:t>
      </w:r>
    </w:p>
  </w:footnote>
  <w:footnote w:id="23">
    <w:p w14:paraId="4A23C448" w14:textId="61C1C5D7" w:rsidR="002A6297" w:rsidRPr="00285397" w:rsidRDefault="002A6297" w:rsidP="00E005ED">
      <w:pPr>
        <w:pStyle w:val="Notedebasdepage"/>
        <w:rPr>
          <w:iCs/>
          <w:lang w:val="en-US"/>
        </w:rPr>
      </w:pPr>
      <w:r w:rsidRPr="006449A5">
        <w:rPr>
          <w:rStyle w:val="Appelnotedebasdep"/>
          <w:lang w:val="fr-BE"/>
        </w:rPr>
        <w:footnoteRef/>
      </w:r>
      <w:r w:rsidRPr="006449A5">
        <w:rPr>
          <w:lang w:val="fr-BE"/>
        </w:rPr>
        <w:t xml:space="preserve"> </w:t>
      </w:r>
      <w:proofErr w:type="spellStart"/>
      <w:r w:rsidRPr="006449A5">
        <w:rPr>
          <w:lang w:val="fr-BE"/>
        </w:rPr>
        <w:t>H</w:t>
      </w:r>
      <w:r w:rsidR="009B2C3D" w:rsidRPr="006449A5">
        <w:rPr>
          <w:lang w:val="fr-BE"/>
        </w:rPr>
        <w:t>oratia</w:t>
      </w:r>
      <w:proofErr w:type="spellEnd"/>
      <w:r w:rsidR="009B2C3D" w:rsidRPr="006449A5">
        <w:rPr>
          <w:lang w:val="fr-BE"/>
        </w:rPr>
        <w:t xml:space="preserve"> </w:t>
      </w:r>
      <w:r w:rsidRPr="006449A5">
        <w:rPr>
          <w:lang w:val="fr-BE"/>
        </w:rPr>
        <w:t xml:space="preserve">Muir Watt, </w:t>
      </w:r>
      <w:r w:rsidR="005C7195" w:rsidRPr="006449A5">
        <w:rPr>
          <w:rFonts w:cs="Times New Roman"/>
          <w:i/>
          <w:iCs/>
          <w:lang w:val="fr-BE"/>
        </w:rPr>
        <w:t>Discours sur les Méthodes de Droit International Privé (Des Formes Juridiques de l’Inter-Altérité)</w:t>
      </w:r>
      <w:r w:rsidR="005C7195" w:rsidRPr="006449A5">
        <w:rPr>
          <w:rFonts w:cs="Times New Roman"/>
          <w:lang w:val="fr-BE"/>
        </w:rPr>
        <w:t xml:space="preserve">, Leiden, Martinus </w:t>
      </w:r>
      <w:proofErr w:type="spellStart"/>
      <w:r w:rsidR="005C7195" w:rsidRPr="006449A5">
        <w:rPr>
          <w:rFonts w:cs="Times New Roman"/>
          <w:lang w:val="fr-BE"/>
        </w:rPr>
        <w:t>Nijhoff</w:t>
      </w:r>
      <w:proofErr w:type="spellEnd"/>
      <w:r w:rsidR="005C7195" w:rsidRPr="006449A5">
        <w:rPr>
          <w:rFonts w:cs="Times New Roman"/>
          <w:lang w:val="fr-BE"/>
        </w:rPr>
        <w:t>, 2019</w:t>
      </w:r>
      <w:r w:rsidRPr="006449A5">
        <w:rPr>
          <w:lang w:val="fr-BE"/>
        </w:rPr>
        <w:t xml:space="preserve">. </w:t>
      </w:r>
      <w:r w:rsidRPr="00285397">
        <w:rPr>
          <w:lang w:val="en-US"/>
        </w:rPr>
        <w:t xml:space="preserve">See also Karen </w:t>
      </w:r>
      <w:r w:rsidRPr="00285397">
        <w:rPr>
          <w:iCs/>
          <w:lang w:val="en-US"/>
        </w:rPr>
        <w:t xml:space="preserve">Knop, Ralf Michaels, et Annelise Riles, </w:t>
      </w:r>
      <w:r w:rsidR="00FD6F60" w:rsidRPr="00285397">
        <w:rPr>
          <w:iCs/>
          <w:lang w:val="en-US"/>
        </w:rPr>
        <w:t>« </w:t>
      </w:r>
      <w:r w:rsidRPr="00285397">
        <w:rPr>
          <w:iCs/>
          <w:lang w:val="en-US"/>
        </w:rPr>
        <w:t>From Multiculturalism to Technique: Feminism, Culture and the Conflict of Law Style</w:t>
      </w:r>
      <w:r w:rsidR="00FD6F60" w:rsidRPr="00285397">
        <w:rPr>
          <w:iCs/>
          <w:lang w:val="en-US"/>
        </w:rPr>
        <w:t> »</w:t>
      </w:r>
      <w:r w:rsidRPr="00285397">
        <w:rPr>
          <w:iCs/>
          <w:lang w:val="en-US"/>
        </w:rPr>
        <w:t xml:space="preserve">, </w:t>
      </w:r>
      <w:r w:rsidRPr="00285397">
        <w:rPr>
          <w:i/>
          <w:iCs/>
          <w:lang w:val="en-US"/>
        </w:rPr>
        <w:t>Stanford Law Review,</w:t>
      </w:r>
      <w:r w:rsidRPr="00285397">
        <w:rPr>
          <w:iCs/>
          <w:lang w:val="en-US"/>
        </w:rPr>
        <w:t xml:space="preserve"> 64(3), 2012, p. 589-656</w:t>
      </w:r>
      <w:r w:rsidR="008440A2" w:rsidRPr="00285397">
        <w:rPr>
          <w:iCs/>
          <w:lang w:val="en-US"/>
        </w:rPr>
        <w:t xml:space="preserve">. </w:t>
      </w:r>
    </w:p>
  </w:footnote>
  <w:footnote w:id="24">
    <w:p w14:paraId="46E8F32A" w14:textId="618B0CC4" w:rsidR="00F1302C" w:rsidRPr="00285397" w:rsidRDefault="00F1302C" w:rsidP="00E005ED">
      <w:pPr>
        <w:pStyle w:val="Notedebasdepage"/>
        <w:rPr>
          <w:lang w:val="en-US"/>
        </w:rPr>
      </w:pPr>
      <w:r w:rsidRPr="006449A5">
        <w:rPr>
          <w:rStyle w:val="Appelnotedebasdep"/>
          <w:lang w:val="fr-BE"/>
        </w:rPr>
        <w:footnoteRef/>
      </w:r>
      <w:r w:rsidRPr="006449A5">
        <w:rPr>
          <w:lang w:val="fr-BE"/>
        </w:rPr>
        <w:t xml:space="preserve"> A l’exception d’une étude allemande récente (</w:t>
      </w:r>
      <w:r w:rsidR="002A6297" w:rsidRPr="006449A5">
        <w:rPr>
          <w:lang w:val="fr-BE"/>
        </w:rPr>
        <w:t xml:space="preserve">Susanne </w:t>
      </w:r>
      <w:proofErr w:type="spellStart"/>
      <w:r w:rsidR="002A6297" w:rsidRPr="006449A5">
        <w:rPr>
          <w:lang w:val="fr-BE"/>
        </w:rPr>
        <w:t>Gössl</w:t>
      </w:r>
      <w:proofErr w:type="spellEnd"/>
      <w:r w:rsidR="002A6297" w:rsidRPr="006449A5">
        <w:rPr>
          <w:lang w:val="fr-BE"/>
        </w:rPr>
        <w:t xml:space="preserve">, </w:t>
      </w:r>
      <w:r w:rsidR="00FD6F60" w:rsidRPr="006449A5">
        <w:rPr>
          <w:lang w:val="fr-BE"/>
        </w:rPr>
        <w:t>« </w:t>
      </w:r>
      <w:proofErr w:type="spellStart"/>
      <w:r w:rsidR="002A6297" w:rsidRPr="006449A5">
        <w:rPr>
          <w:lang w:val="fr-BE"/>
        </w:rPr>
        <w:t>Fortsetzung</w:t>
      </w:r>
      <w:proofErr w:type="spellEnd"/>
      <w:r w:rsidR="002A6297" w:rsidRPr="006449A5">
        <w:rPr>
          <w:lang w:val="fr-BE"/>
        </w:rPr>
        <w:t xml:space="preserve"> des </w:t>
      </w:r>
      <w:proofErr w:type="spellStart"/>
      <w:r w:rsidR="002A6297" w:rsidRPr="006449A5">
        <w:rPr>
          <w:lang w:val="fr-BE"/>
        </w:rPr>
        <w:t>Kolonialismus</w:t>
      </w:r>
      <w:proofErr w:type="spellEnd"/>
      <w:r w:rsidR="002A6297" w:rsidRPr="006449A5">
        <w:rPr>
          <w:lang w:val="fr-BE"/>
        </w:rPr>
        <w:t xml:space="preserve"> </w:t>
      </w:r>
      <w:proofErr w:type="spellStart"/>
      <w:r w:rsidR="002A6297" w:rsidRPr="006449A5">
        <w:rPr>
          <w:lang w:val="fr-BE"/>
        </w:rPr>
        <w:t>im</w:t>
      </w:r>
      <w:proofErr w:type="spellEnd"/>
      <w:r w:rsidR="002A6297" w:rsidRPr="006449A5">
        <w:rPr>
          <w:lang w:val="fr-BE"/>
        </w:rPr>
        <w:t xml:space="preserve"> </w:t>
      </w:r>
      <w:proofErr w:type="spellStart"/>
      <w:r w:rsidR="002A6297" w:rsidRPr="006449A5">
        <w:rPr>
          <w:lang w:val="fr-BE"/>
        </w:rPr>
        <w:t>internationalen</w:t>
      </w:r>
      <w:proofErr w:type="spellEnd"/>
      <w:r w:rsidR="002A6297" w:rsidRPr="006449A5">
        <w:rPr>
          <w:lang w:val="fr-BE"/>
        </w:rPr>
        <w:t xml:space="preserve"> </w:t>
      </w:r>
      <w:proofErr w:type="spellStart"/>
      <w:r w:rsidR="002A6297" w:rsidRPr="006449A5">
        <w:rPr>
          <w:lang w:val="fr-BE"/>
        </w:rPr>
        <w:t>Recht</w:t>
      </w:r>
      <w:proofErr w:type="spellEnd"/>
      <w:r w:rsidR="002A6297" w:rsidRPr="006449A5">
        <w:rPr>
          <w:lang w:val="fr-BE"/>
        </w:rPr>
        <w:t xml:space="preserve"> der </w:t>
      </w:r>
      <w:proofErr w:type="spellStart"/>
      <w:proofErr w:type="gramStart"/>
      <w:r w:rsidR="002A6297" w:rsidRPr="006449A5">
        <w:rPr>
          <w:lang w:val="fr-BE"/>
        </w:rPr>
        <w:t>Gegenwart</w:t>
      </w:r>
      <w:proofErr w:type="spellEnd"/>
      <w:r w:rsidR="002A6297" w:rsidRPr="006449A5">
        <w:rPr>
          <w:lang w:val="fr-BE"/>
        </w:rPr>
        <w:t>?</w:t>
      </w:r>
      <w:proofErr w:type="gramEnd"/>
      <w:r w:rsidR="002A6297" w:rsidRPr="006449A5">
        <w:rPr>
          <w:lang w:val="fr-BE"/>
        </w:rPr>
        <w:t xml:space="preserve"> </w:t>
      </w:r>
      <w:proofErr w:type="spellStart"/>
      <w:r w:rsidR="002A6297" w:rsidRPr="006449A5">
        <w:rPr>
          <w:lang w:val="fr-BE"/>
        </w:rPr>
        <w:t>Grundlagen</w:t>
      </w:r>
      <w:proofErr w:type="spellEnd"/>
      <w:r w:rsidR="002A6297" w:rsidRPr="006449A5">
        <w:rPr>
          <w:lang w:val="fr-BE"/>
        </w:rPr>
        <w:t xml:space="preserve">, </w:t>
      </w:r>
      <w:proofErr w:type="spellStart"/>
      <w:proofErr w:type="gramStart"/>
      <w:r w:rsidR="002A6297" w:rsidRPr="006449A5">
        <w:rPr>
          <w:lang w:val="fr-BE"/>
        </w:rPr>
        <w:t>Strukturen</w:t>
      </w:r>
      <w:proofErr w:type="spellEnd"/>
      <w:r w:rsidR="002A6297" w:rsidRPr="006449A5">
        <w:rPr>
          <w:lang w:val="fr-BE"/>
        </w:rPr>
        <w:t xml:space="preserve">  </w:t>
      </w:r>
      <w:proofErr w:type="spellStart"/>
      <w:r w:rsidR="002A6297" w:rsidRPr="006449A5">
        <w:rPr>
          <w:lang w:val="fr-BE"/>
        </w:rPr>
        <w:t>Methoden</w:t>
      </w:r>
      <w:proofErr w:type="spellEnd"/>
      <w:proofErr w:type="gramEnd"/>
      <w:r w:rsidR="002A6297" w:rsidRPr="006449A5">
        <w:rPr>
          <w:lang w:val="fr-BE"/>
        </w:rPr>
        <w:t xml:space="preserve"> </w:t>
      </w:r>
      <w:proofErr w:type="spellStart"/>
      <w:r w:rsidR="002A6297" w:rsidRPr="006449A5">
        <w:rPr>
          <w:lang w:val="fr-BE"/>
        </w:rPr>
        <w:t>aus</w:t>
      </w:r>
      <w:proofErr w:type="spellEnd"/>
      <w:r w:rsidR="002A6297" w:rsidRPr="006449A5">
        <w:rPr>
          <w:lang w:val="fr-BE"/>
        </w:rPr>
        <w:t xml:space="preserve"> der </w:t>
      </w:r>
      <w:proofErr w:type="spellStart"/>
      <w:r w:rsidR="002A6297" w:rsidRPr="006449A5">
        <w:rPr>
          <w:lang w:val="fr-BE"/>
        </w:rPr>
        <w:t>Perspektive</w:t>
      </w:r>
      <w:proofErr w:type="spellEnd"/>
      <w:r w:rsidR="002A6297" w:rsidRPr="006449A5">
        <w:rPr>
          <w:lang w:val="fr-BE"/>
        </w:rPr>
        <w:t xml:space="preserve"> des IPR</w:t>
      </w:r>
      <w:r w:rsidR="00FD6F60" w:rsidRPr="006449A5">
        <w:rPr>
          <w:lang w:val="fr-BE"/>
        </w:rPr>
        <w:t> »</w:t>
      </w:r>
      <w:r w:rsidR="002A6297" w:rsidRPr="006449A5">
        <w:rPr>
          <w:lang w:val="fr-BE"/>
        </w:rPr>
        <w:t xml:space="preserve">, </w:t>
      </w:r>
      <w:r w:rsidR="002A6297" w:rsidRPr="006449A5">
        <w:rPr>
          <w:i/>
          <w:iCs/>
          <w:lang w:val="fr-BE"/>
        </w:rPr>
        <w:t xml:space="preserve">in </w:t>
      </w:r>
      <w:r w:rsidR="002A6297" w:rsidRPr="006449A5">
        <w:rPr>
          <w:lang w:val="fr-BE"/>
        </w:rPr>
        <w:t xml:space="preserve">A. Peters, S. </w:t>
      </w:r>
      <w:proofErr w:type="spellStart"/>
      <w:r w:rsidR="002A6297" w:rsidRPr="006449A5">
        <w:rPr>
          <w:lang w:val="fr-BE"/>
        </w:rPr>
        <w:t>Hobe</w:t>
      </w:r>
      <w:proofErr w:type="spellEnd"/>
      <w:r w:rsidR="002A6297" w:rsidRPr="006449A5">
        <w:rPr>
          <w:lang w:val="fr-BE"/>
        </w:rPr>
        <w:t xml:space="preserve">, et E-M. </w:t>
      </w:r>
      <w:proofErr w:type="spellStart"/>
      <w:r w:rsidR="002A6297" w:rsidRPr="006449A5">
        <w:rPr>
          <w:lang w:val="fr-BE"/>
        </w:rPr>
        <w:t>Kieninge</w:t>
      </w:r>
      <w:proofErr w:type="spellEnd"/>
      <w:r w:rsidR="002A6297" w:rsidRPr="006449A5">
        <w:rPr>
          <w:lang w:val="fr-BE"/>
        </w:rPr>
        <w:t xml:space="preserve"> (</w:t>
      </w:r>
      <w:proofErr w:type="spellStart"/>
      <w:r w:rsidR="002A6297" w:rsidRPr="006449A5">
        <w:rPr>
          <w:lang w:val="fr-BE"/>
        </w:rPr>
        <w:t>dir</w:t>
      </w:r>
      <w:proofErr w:type="spellEnd"/>
      <w:r w:rsidR="002A6297" w:rsidRPr="006449A5">
        <w:rPr>
          <w:lang w:val="fr-BE"/>
        </w:rPr>
        <w:t xml:space="preserve">.), </w:t>
      </w:r>
      <w:proofErr w:type="spellStart"/>
      <w:r w:rsidR="002A6297" w:rsidRPr="006449A5">
        <w:rPr>
          <w:i/>
          <w:iCs/>
          <w:lang w:val="fr-BE"/>
        </w:rPr>
        <w:t>Koloniale</w:t>
      </w:r>
      <w:proofErr w:type="spellEnd"/>
      <w:r w:rsidR="002A6297" w:rsidRPr="006449A5">
        <w:rPr>
          <w:i/>
          <w:iCs/>
          <w:lang w:val="fr-BE"/>
        </w:rPr>
        <w:t xml:space="preserve"> </w:t>
      </w:r>
      <w:proofErr w:type="spellStart"/>
      <w:r w:rsidR="002A6297" w:rsidRPr="006449A5">
        <w:rPr>
          <w:i/>
          <w:iCs/>
          <w:lang w:val="fr-BE"/>
        </w:rPr>
        <w:t>Kontinuitäten</w:t>
      </w:r>
      <w:proofErr w:type="spellEnd"/>
      <w:r w:rsidR="002A6297" w:rsidRPr="006449A5">
        <w:rPr>
          <w:i/>
          <w:iCs/>
          <w:lang w:val="fr-BE"/>
        </w:rPr>
        <w:t xml:space="preserve"> </w:t>
      </w:r>
      <w:proofErr w:type="spellStart"/>
      <w:r w:rsidR="002A6297" w:rsidRPr="006449A5">
        <w:rPr>
          <w:i/>
          <w:iCs/>
          <w:lang w:val="fr-BE"/>
        </w:rPr>
        <w:t>im</w:t>
      </w:r>
      <w:proofErr w:type="spellEnd"/>
      <w:r w:rsidR="002A6297" w:rsidRPr="006449A5">
        <w:rPr>
          <w:i/>
          <w:iCs/>
          <w:lang w:val="fr-BE"/>
        </w:rPr>
        <w:t xml:space="preserve"> </w:t>
      </w:r>
      <w:proofErr w:type="spellStart"/>
      <w:r w:rsidR="002A6297" w:rsidRPr="006449A5">
        <w:rPr>
          <w:i/>
          <w:iCs/>
          <w:lang w:val="fr-BE"/>
        </w:rPr>
        <w:t>internationalen</w:t>
      </w:r>
      <w:proofErr w:type="spellEnd"/>
      <w:r w:rsidR="002A6297" w:rsidRPr="006449A5">
        <w:rPr>
          <w:i/>
          <w:iCs/>
          <w:lang w:val="fr-BE"/>
        </w:rPr>
        <w:t xml:space="preserve"> </w:t>
      </w:r>
      <w:proofErr w:type="spellStart"/>
      <w:r w:rsidR="002A6297" w:rsidRPr="006449A5">
        <w:rPr>
          <w:i/>
          <w:iCs/>
          <w:lang w:val="fr-BE"/>
        </w:rPr>
        <w:t>Recht</w:t>
      </w:r>
      <w:proofErr w:type="spellEnd"/>
      <w:r w:rsidR="002A6297" w:rsidRPr="006449A5">
        <w:rPr>
          <w:lang w:val="fr-BE"/>
        </w:rPr>
        <w:t>, Heidelberg, C.F. Müller, 2024</w:t>
      </w:r>
      <w:r w:rsidR="00DB3B01" w:rsidRPr="006449A5">
        <w:rPr>
          <w:lang w:val="fr-BE"/>
        </w:rPr>
        <w:t>)</w:t>
      </w:r>
      <w:r w:rsidRPr="006449A5">
        <w:rPr>
          <w:lang w:val="fr-BE"/>
        </w:rPr>
        <w:t xml:space="preserve">. </w:t>
      </w:r>
      <w:r w:rsidRPr="00285397">
        <w:rPr>
          <w:lang w:val="en-US"/>
        </w:rPr>
        <w:t xml:space="preserve">Dans les pays </w:t>
      </w:r>
      <w:proofErr w:type="spellStart"/>
      <w:r w:rsidRPr="00285397">
        <w:rPr>
          <w:lang w:val="en-US"/>
        </w:rPr>
        <w:t>postcoloniaux</w:t>
      </w:r>
      <w:proofErr w:type="spellEnd"/>
      <w:r w:rsidRPr="00285397">
        <w:rPr>
          <w:lang w:val="en-US"/>
        </w:rPr>
        <w:t xml:space="preserve">, v. </w:t>
      </w:r>
      <w:r w:rsidR="002A6297" w:rsidRPr="00285397">
        <w:rPr>
          <w:lang w:val="en-US"/>
        </w:rPr>
        <w:t xml:space="preserve">Maria Ochoa </w:t>
      </w:r>
      <w:proofErr w:type="spellStart"/>
      <w:r w:rsidR="002A6297" w:rsidRPr="00285397">
        <w:rPr>
          <w:lang w:val="en-US"/>
        </w:rPr>
        <w:t>Jimenèz</w:t>
      </w:r>
      <w:proofErr w:type="spellEnd"/>
      <w:r w:rsidR="002A6297" w:rsidRPr="00285397">
        <w:rPr>
          <w:lang w:val="en-US"/>
        </w:rPr>
        <w:t xml:space="preserve">, </w:t>
      </w:r>
      <w:r w:rsidR="00FD6F60" w:rsidRPr="00285397">
        <w:rPr>
          <w:lang w:val="en-US"/>
        </w:rPr>
        <w:t>« </w:t>
      </w:r>
      <w:r w:rsidR="002A6297" w:rsidRPr="00285397">
        <w:rPr>
          <w:lang w:val="en-US"/>
        </w:rPr>
        <w:t>Exploring a Minefield: Private International Law in Latin America, Its Neocolonial Character, and Its Potentialities</w:t>
      </w:r>
      <w:r w:rsidR="00FD6F60" w:rsidRPr="00285397">
        <w:rPr>
          <w:lang w:val="en-US"/>
        </w:rPr>
        <w:t> »</w:t>
      </w:r>
      <w:r w:rsidR="002A6297" w:rsidRPr="00285397">
        <w:rPr>
          <w:lang w:val="en-US"/>
        </w:rPr>
        <w:t xml:space="preserve">, </w:t>
      </w:r>
      <w:r w:rsidR="002A6297" w:rsidRPr="00285397">
        <w:rPr>
          <w:i/>
          <w:iCs/>
          <w:lang w:val="en-US"/>
        </w:rPr>
        <w:t>Critical Analysis of Law</w:t>
      </w:r>
      <w:r w:rsidR="008E70CB" w:rsidRPr="00285397">
        <w:rPr>
          <w:lang w:val="en-US"/>
        </w:rPr>
        <w:t xml:space="preserve">, </w:t>
      </w:r>
      <w:r w:rsidR="002A6297" w:rsidRPr="00285397">
        <w:rPr>
          <w:lang w:val="en-US"/>
        </w:rPr>
        <w:t>8(2)</w:t>
      </w:r>
      <w:r w:rsidR="008E70CB" w:rsidRPr="00285397">
        <w:rPr>
          <w:lang w:val="en-US"/>
        </w:rPr>
        <w:t>,</w:t>
      </w:r>
      <w:r w:rsidR="002A6297" w:rsidRPr="00285397">
        <w:rPr>
          <w:lang w:val="en-US"/>
        </w:rPr>
        <w:t xml:space="preserve"> 2012, p. 87-107</w:t>
      </w:r>
      <w:r w:rsidR="00303E02" w:rsidRPr="00285397">
        <w:rPr>
          <w:lang w:val="en-US"/>
        </w:rPr>
        <w:t xml:space="preserve">. Pour </w:t>
      </w:r>
      <w:proofErr w:type="spellStart"/>
      <w:r w:rsidR="00303E02" w:rsidRPr="00285397">
        <w:rPr>
          <w:lang w:val="en-US"/>
        </w:rPr>
        <w:t>ce</w:t>
      </w:r>
      <w:proofErr w:type="spellEnd"/>
      <w:r w:rsidR="00303E02" w:rsidRPr="00285397">
        <w:rPr>
          <w:lang w:val="en-US"/>
        </w:rPr>
        <w:t xml:space="preserve"> qui </w:t>
      </w:r>
      <w:proofErr w:type="spellStart"/>
      <w:r w:rsidR="00303E02" w:rsidRPr="00285397">
        <w:rPr>
          <w:lang w:val="en-US"/>
        </w:rPr>
        <w:t>concerne</w:t>
      </w:r>
      <w:proofErr w:type="spellEnd"/>
      <w:r w:rsidR="00303E02" w:rsidRPr="00285397">
        <w:rPr>
          <w:lang w:val="en-US"/>
        </w:rPr>
        <w:t xml:space="preserve"> le droit international du DIP, v. </w:t>
      </w:r>
      <w:bookmarkStart w:id="7" w:name="_Hlk167355302"/>
      <w:proofErr w:type="spellStart"/>
      <w:r w:rsidR="00590218" w:rsidRPr="00285397">
        <w:rPr>
          <w:lang w:val="en-US"/>
        </w:rPr>
        <w:t>Anver</w:t>
      </w:r>
      <w:proofErr w:type="spellEnd"/>
      <w:r w:rsidR="00590218" w:rsidRPr="00285397">
        <w:rPr>
          <w:lang w:val="en-US"/>
        </w:rPr>
        <w:t xml:space="preserve"> Emon and Urfan Khaliq, </w:t>
      </w:r>
      <w:r w:rsidR="00590218" w:rsidRPr="00285397">
        <w:rPr>
          <w:i/>
          <w:iCs/>
          <w:lang w:val="en-US"/>
        </w:rPr>
        <w:t>Jurisdictional Exceptionalisms: Islamic Law, International Law and Parental Child Abduction</w:t>
      </w:r>
      <w:r w:rsidR="00590218" w:rsidRPr="00285397">
        <w:rPr>
          <w:lang w:val="en-US"/>
        </w:rPr>
        <w:t>, Cambridge, Cambridge University Press, 2021</w:t>
      </w:r>
      <w:bookmarkEnd w:id="7"/>
      <w:r w:rsidR="00590218" w:rsidRPr="00285397">
        <w:rPr>
          <w:lang w:val="en-US"/>
        </w:rPr>
        <w:t xml:space="preserve">. </w:t>
      </w:r>
    </w:p>
  </w:footnote>
  <w:footnote w:id="25">
    <w:p w14:paraId="19C93D30" w14:textId="77777777" w:rsidR="00285397" w:rsidRDefault="00285397" w:rsidP="00285397">
      <w:pPr>
        <w:pStyle w:val="Notedebasdepage"/>
      </w:pPr>
      <w:r>
        <w:rPr>
          <w:rStyle w:val="Appelnotedebasdep"/>
        </w:rPr>
        <w:footnoteRef/>
      </w:r>
      <w:r>
        <w:t xml:space="preserve"> Un </w:t>
      </w:r>
      <w:proofErr w:type="spellStart"/>
      <w:r>
        <w:t>Dipiste</w:t>
      </w:r>
      <w:proofErr w:type="spellEnd"/>
      <w:r>
        <w:t xml:space="preserve"> fera sans doute remarquer que le DIP est destiné à s’appliquer aux litiges entre parties privées. Cependant, dans le contexte migratoire notamment, il joue en réalité un rôle crucial dans l’issue de litiges impliquant des parties publiques. </w:t>
      </w:r>
    </w:p>
  </w:footnote>
  <w:footnote w:id="26">
    <w:p w14:paraId="3167A34D" w14:textId="1FE86BF9" w:rsidR="009F64CA" w:rsidRPr="006449A5" w:rsidRDefault="009F64CA">
      <w:pPr>
        <w:pStyle w:val="Notedebasdepage"/>
        <w:rPr>
          <w:lang w:val="fr-BE"/>
        </w:rPr>
      </w:pPr>
      <w:r w:rsidRPr="006449A5">
        <w:rPr>
          <w:rStyle w:val="Appelnotedebasdep"/>
          <w:lang w:val="fr-BE"/>
        </w:rPr>
        <w:footnoteRef/>
      </w:r>
      <w:r w:rsidRPr="006449A5">
        <w:rPr>
          <w:lang w:val="fr-BE"/>
        </w:rPr>
        <w:t xml:space="preserve"> </w:t>
      </w:r>
      <w:r w:rsidR="0016582D" w:rsidRPr="006449A5">
        <w:rPr>
          <w:lang w:val="fr-BE"/>
        </w:rPr>
        <w:t>V. l’exemple de l’Egypte (</w:t>
      </w:r>
      <w:proofErr w:type="spellStart"/>
      <w:r w:rsidR="0016582D" w:rsidRPr="006449A5">
        <w:rPr>
          <w:lang w:val="fr-BE"/>
        </w:rPr>
        <w:t>M</w:t>
      </w:r>
      <w:r w:rsidR="009B2C3D" w:rsidRPr="006449A5">
        <w:rPr>
          <w:lang w:val="fr-BE"/>
        </w:rPr>
        <w:t>aurits</w:t>
      </w:r>
      <w:proofErr w:type="spellEnd"/>
      <w:r w:rsidR="009B2C3D" w:rsidRPr="006449A5">
        <w:rPr>
          <w:lang w:val="fr-BE"/>
        </w:rPr>
        <w:t xml:space="preserve"> </w:t>
      </w:r>
      <w:r w:rsidR="0016582D" w:rsidRPr="006449A5">
        <w:rPr>
          <w:lang w:val="fr-BE"/>
        </w:rPr>
        <w:t>Berger, « </w:t>
      </w:r>
      <w:proofErr w:type="spellStart"/>
      <w:r w:rsidR="0016582D" w:rsidRPr="006449A5">
        <w:rPr>
          <w:lang w:val="fr-BE"/>
        </w:rPr>
        <w:t>Conflicts</w:t>
      </w:r>
      <w:proofErr w:type="spellEnd"/>
      <w:r w:rsidR="0016582D" w:rsidRPr="006449A5">
        <w:rPr>
          <w:lang w:val="fr-BE"/>
        </w:rPr>
        <w:t xml:space="preserve"> Law and Public Policy in </w:t>
      </w:r>
      <w:proofErr w:type="spellStart"/>
      <w:r w:rsidR="0016582D" w:rsidRPr="006449A5">
        <w:rPr>
          <w:lang w:val="fr-BE"/>
        </w:rPr>
        <w:t>Egyptian</w:t>
      </w:r>
      <w:proofErr w:type="spellEnd"/>
      <w:r w:rsidR="0016582D" w:rsidRPr="006449A5">
        <w:rPr>
          <w:lang w:val="fr-BE"/>
        </w:rPr>
        <w:t xml:space="preserve"> Family </w:t>
      </w:r>
      <w:proofErr w:type="gramStart"/>
      <w:r w:rsidR="0016582D" w:rsidRPr="006449A5">
        <w:rPr>
          <w:lang w:val="fr-BE"/>
        </w:rPr>
        <w:t>Law:</w:t>
      </w:r>
      <w:proofErr w:type="gramEnd"/>
      <w:r w:rsidR="0016582D" w:rsidRPr="006449A5">
        <w:rPr>
          <w:lang w:val="fr-BE"/>
        </w:rPr>
        <w:t xml:space="preserve"> </w:t>
      </w:r>
      <w:proofErr w:type="spellStart"/>
      <w:r w:rsidR="0016582D" w:rsidRPr="006449A5">
        <w:rPr>
          <w:lang w:val="fr-BE"/>
        </w:rPr>
        <w:t>Islamic</w:t>
      </w:r>
      <w:proofErr w:type="spellEnd"/>
      <w:r w:rsidR="0016582D" w:rsidRPr="006449A5">
        <w:rPr>
          <w:lang w:val="fr-BE"/>
        </w:rPr>
        <w:t xml:space="preserve"> Law </w:t>
      </w:r>
      <w:proofErr w:type="spellStart"/>
      <w:r w:rsidR="0016582D" w:rsidRPr="006449A5">
        <w:rPr>
          <w:lang w:val="fr-BE"/>
        </w:rPr>
        <w:t>Through</w:t>
      </w:r>
      <w:proofErr w:type="spellEnd"/>
      <w:r w:rsidR="0016582D" w:rsidRPr="006449A5">
        <w:rPr>
          <w:lang w:val="fr-BE"/>
        </w:rPr>
        <w:t xml:space="preserve"> the Backdoor », </w:t>
      </w:r>
      <w:r w:rsidR="0016582D" w:rsidRPr="006449A5">
        <w:rPr>
          <w:i/>
          <w:iCs/>
          <w:lang w:val="fr-BE"/>
        </w:rPr>
        <w:t>The American Journal of Comparative Law</w:t>
      </w:r>
      <w:r w:rsidR="0016582D" w:rsidRPr="006449A5">
        <w:rPr>
          <w:lang w:val="fr-BE"/>
        </w:rPr>
        <w:t xml:space="preserve">, 50(3), 2002, p. 555-594) parmi les pays dans lequel le statut personnel est régi, selon le droit étatique, par le droit religieux. </w:t>
      </w:r>
    </w:p>
  </w:footnote>
  <w:footnote w:id="27">
    <w:p w14:paraId="44AE0422" w14:textId="70F2F27C" w:rsidR="0062339E" w:rsidRPr="00285397" w:rsidRDefault="0062339E" w:rsidP="00E005ED">
      <w:pPr>
        <w:pStyle w:val="Notedebasdepage"/>
        <w:rPr>
          <w:lang w:val="en-US"/>
        </w:rPr>
      </w:pPr>
      <w:r w:rsidRPr="006449A5">
        <w:rPr>
          <w:rStyle w:val="Appelnotedebasdep"/>
          <w:lang w:val="fr-BE"/>
        </w:rPr>
        <w:footnoteRef/>
      </w:r>
      <w:r w:rsidRPr="00285397">
        <w:rPr>
          <w:lang w:val="en-US"/>
        </w:rPr>
        <w:t xml:space="preserve"> </w:t>
      </w:r>
      <w:r w:rsidR="00E005ED" w:rsidRPr="00285397">
        <w:rPr>
          <w:lang w:val="en-US"/>
        </w:rPr>
        <w:t xml:space="preserve">V. par ex. </w:t>
      </w:r>
      <w:r w:rsidR="00D02327" w:rsidRPr="00285397">
        <w:rPr>
          <w:lang w:val="en-US"/>
        </w:rPr>
        <w:t>S</w:t>
      </w:r>
      <w:r w:rsidR="009B2C3D" w:rsidRPr="00285397">
        <w:rPr>
          <w:lang w:val="en-US"/>
        </w:rPr>
        <w:t>abine</w:t>
      </w:r>
      <w:r w:rsidR="00D02327" w:rsidRPr="00285397">
        <w:rPr>
          <w:lang w:val="en-US"/>
        </w:rPr>
        <w:t xml:space="preserve"> </w:t>
      </w:r>
      <w:proofErr w:type="spellStart"/>
      <w:r w:rsidR="00D02327" w:rsidRPr="00285397">
        <w:rPr>
          <w:lang w:val="en-US"/>
        </w:rPr>
        <w:t>Corneloup</w:t>
      </w:r>
      <w:proofErr w:type="spellEnd"/>
      <w:r w:rsidR="00D02327" w:rsidRPr="00285397">
        <w:rPr>
          <w:lang w:val="en-US"/>
        </w:rPr>
        <w:t xml:space="preserve"> et </w:t>
      </w:r>
      <w:proofErr w:type="spellStart"/>
      <w:r w:rsidR="00D02327" w:rsidRPr="00285397">
        <w:rPr>
          <w:lang w:val="en-US"/>
        </w:rPr>
        <w:t>J</w:t>
      </w:r>
      <w:r w:rsidR="009B2C3D" w:rsidRPr="00285397">
        <w:rPr>
          <w:lang w:val="en-US"/>
        </w:rPr>
        <w:t>inske</w:t>
      </w:r>
      <w:proofErr w:type="spellEnd"/>
      <w:r w:rsidR="009B2C3D" w:rsidRPr="00285397">
        <w:rPr>
          <w:lang w:val="en-US"/>
        </w:rPr>
        <w:t xml:space="preserve"> </w:t>
      </w:r>
      <w:proofErr w:type="spellStart"/>
      <w:r w:rsidR="00D02327" w:rsidRPr="00285397">
        <w:rPr>
          <w:lang w:val="en-US"/>
        </w:rPr>
        <w:t>Verhellen</w:t>
      </w:r>
      <w:proofErr w:type="spellEnd"/>
      <w:r w:rsidR="00D02327" w:rsidRPr="00285397">
        <w:rPr>
          <w:lang w:val="en-US"/>
        </w:rPr>
        <w:t xml:space="preserve">, « SDG 16: Peace, Justice and Strong Institutions », </w:t>
      </w:r>
      <w:r w:rsidR="00D971ED" w:rsidRPr="00285397">
        <w:rPr>
          <w:i/>
          <w:lang w:val="en-US"/>
        </w:rPr>
        <w:t>i</w:t>
      </w:r>
      <w:r w:rsidR="00D02327" w:rsidRPr="00285397">
        <w:rPr>
          <w:i/>
          <w:lang w:val="en-US"/>
        </w:rPr>
        <w:t>n</w:t>
      </w:r>
      <w:r w:rsidR="00D02327" w:rsidRPr="00285397">
        <w:rPr>
          <w:iCs/>
          <w:lang w:val="en-US"/>
        </w:rPr>
        <w:t xml:space="preserve"> </w:t>
      </w:r>
      <w:r w:rsidR="00D02327" w:rsidRPr="00285397">
        <w:rPr>
          <w:lang w:val="en-US"/>
        </w:rPr>
        <w:t>R. Michaels</w:t>
      </w:r>
      <w:r w:rsidR="00D02327" w:rsidRPr="00285397">
        <w:rPr>
          <w:iCs/>
          <w:lang w:val="en-US"/>
        </w:rPr>
        <w:t>, </w:t>
      </w:r>
      <w:r w:rsidR="00D02327" w:rsidRPr="00285397">
        <w:rPr>
          <w:lang w:val="en-US"/>
        </w:rPr>
        <w:t>V. Ruiz Abou-</w:t>
      </w:r>
      <w:proofErr w:type="spellStart"/>
      <w:r w:rsidR="00D02327" w:rsidRPr="00285397">
        <w:rPr>
          <w:lang w:val="en-US"/>
        </w:rPr>
        <w:t>Nigm</w:t>
      </w:r>
      <w:proofErr w:type="spellEnd"/>
      <w:r w:rsidR="00D02327" w:rsidRPr="00285397">
        <w:rPr>
          <w:iCs/>
          <w:lang w:val="en-US"/>
        </w:rPr>
        <w:t> and </w:t>
      </w:r>
      <w:r w:rsidR="00D02327" w:rsidRPr="00285397">
        <w:rPr>
          <w:lang w:val="en-US"/>
        </w:rPr>
        <w:t>Hans Van Loon</w:t>
      </w:r>
      <w:r w:rsidR="00D02327" w:rsidRPr="00285397">
        <w:rPr>
          <w:iCs/>
          <w:lang w:val="en-US"/>
        </w:rPr>
        <w:t xml:space="preserve"> (dir.), </w:t>
      </w:r>
      <w:r w:rsidR="00D02327" w:rsidRPr="00285397">
        <w:rPr>
          <w:i/>
          <w:iCs/>
          <w:lang w:val="en-US"/>
        </w:rPr>
        <w:t xml:space="preserve">The Private Side of Transforming our World - UN Sustainable Development Goals 2030 and the Role of Private International Law, </w:t>
      </w:r>
      <w:r w:rsidR="00D02327" w:rsidRPr="00285397">
        <w:rPr>
          <w:iCs/>
          <w:lang w:val="en-US"/>
        </w:rPr>
        <w:t xml:space="preserve">Cambridge, </w:t>
      </w:r>
      <w:proofErr w:type="spellStart"/>
      <w:r w:rsidR="00D02327" w:rsidRPr="00285397">
        <w:rPr>
          <w:iCs/>
          <w:lang w:val="en-US"/>
        </w:rPr>
        <w:t>Intersentia</w:t>
      </w:r>
      <w:proofErr w:type="spellEnd"/>
      <w:r w:rsidR="00D02327" w:rsidRPr="00285397">
        <w:rPr>
          <w:iCs/>
          <w:lang w:val="en-US"/>
        </w:rPr>
        <w:t xml:space="preserve"> 2021</w:t>
      </w:r>
      <w:r w:rsidRPr="00285397">
        <w:rPr>
          <w:lang w:val="en-US"/>
        </w:rPr>
        <w:t xml:space="preserve">; </w:t>
      </w:r>
      <w:r w:rsidR="00DA3633" w:rsidRPr="00285397">
        <w:rPr>
          <w:lang w:val="en-US"/>
        </w:rPr>
        <w:t xml:space="preserve">Leontine </w:t>
      </w:r>
      <w:proofErr w:type="spellStart"/>
      <w:r w:rsidR="00DA3633" w:rsidRPr="00285397">
        <w:rPr>
          <w:lang w:val="en-US"/>
        </w:rPr>
        <w:t>Bruijnen</w:t>
      </w:r>
      <w:proofErr w:type="spellEnd"/>
      <w:r w:rsidR="00DA3633" w:rsidRPr="00285397">
        <w:rPr>
          <w:lang w:val="en-US"/>
        </w:rPr>
        <w:t>,</w:t>
      </w:r>
      <w:r w:rsidRPr="00285397">
        <w:rPr>
          <w:lang w:val="en-US"/>
        </w:rPr>
        <w:t xml:space="preserve"> </w:t>
      </w:r>
      <w:r w:rsidR="00FD6F60" w:rsidRPr="00285397">
        <w:rPr>
          <w:lang w:val="en-US"/>
        </w:rPr>
        <w:t>« </w:t>
      </w:r>
      <w:r w:rsidRPr="00285397">
        <w:rPr>
          <w:lang w:val="en-US"/>
        </w:rPr>
        <w:t>The recognition of child and polygamous marriages in Belgium: alignment between private international law and migration law?</w:t>
      </w:r>
      <w:r w:rsidR="00FD6F60" w:rsidRPr="00285397">
        <w:rPr>
          <w:lang w:val="en-US"/>
        </w:rPr>
        <w:t> »</w:t>
      </w:r>
      <w:r w:rsidRPr="00285397">
        <w:rPr>
          <w:lang w:val="en-US"/>
        </w:rPr>
        <w:t>, in E. D</w:t>
      </w:r>
      <w:r w:rsidR="00DA3633" w:rsidRPr="00285397">
        <w:rPr>
          <w:lang w:val="en-US"/>
        </w:rPr>
        <w:t>esmet</w:t>
      </w:r>
      <w:r w:rsidR="00FD6F60" w:rsidRPr="00285397">
        <w:rPr>
          <w:lang w:val="en-US"/>
        </w:rPr>
        <w:t xml:space="preserve"> et al </w:t>
      </w:r>
      <w:r w:rsidR="00DA3633" w:rsidRPr="00285397">
        <w:rPr>
          <w:lang w:val="en-US"/>
        </w:rPr>
        <w:t>(dir.)</w:t>
      </w:r>
      <w:r w:rsidRPr="00285397">
        <w:rPr>
          <w:lang w:val="en-US"/>
        </w:rPr>
        <w:t xml:space="preserve">, </w:t>
      </w:r>
      <w:r w:rsidRPr="00285397">
        <w:rPr>
          <w:i/>
          <w:iCs/>
          <w:lang w:val="en-US"/>
        </w:rPr>
        <w:t>Family reunification in Europe : exposing inequalities,</w:t>
      </w:r>
      <w:r w:rsidRPr="00285397">
        <w:rPr>
          <w:b/>
          <w:bCs/>
          <w:i/>
          <w:iCs/>
          <w:lang w:val="en-US"/>
        </w:rPr>
        <w:t xml:space="preserve"> </w:t>
      </w:r>
      <w:r w:rsidRPr="00285397">
        <w:rPr>
          <w:lang w:val="en-US"/>
        </w:rPr>
        <w:t xml:space="preserve">Routledge, 2024; </w:t>
      </w:r>
      <w:r w:rsidR="00DA3633" w:rsidRPr="00285397">
        <w:rPr>
          <w:lang w:val="en-US"/>
        </w:rPr>
        <w:t>Sarah Den Haese</w:t>
      </w:r>
      <w:r w:rsidRPr="00285397">
        <w:rPr>
          <w:lang w:val="en-US"/>
        </w:rPr>
        <w:t xml:space="preserve">, </w:t>
      </w:r>
      <w:r w:rsidRPr="00285397">
        <w:rPr>
          <w:i/>
          <w:iCs/>
          <w:lang w:val="en-US"/>
        </w:rPr>
        <w:t>Crossing Borders: Proving Your Personal Status. Interactions Between Private International Law and Human Rights Law</w:t>
      </w:r>
      <w:r w:rsidRPr="00285397">
        <w:rPr>
          <w:lang w:val="en-US"/>
        </w:rPr>
        <w:t xml:space="preserve">, </w:t>
      </w:r>
      <w:r w:rsidR="00DA3633" w:rsidRPr="00285397">
        <w:rPr>
          <w:lang w:val="en-US"/>
        </w:rPr>
        <w:t xml:space="preserve">Anvers, </w:t>
      </w:r>
      <w:proofErr w:type="spellStart"/>
      <w:r w:rsidRPr="00285397">
        <w:rPr>
          <w:lang w:val="en-US"/>
        </w:rPr>
        <w:t>Boomjuridisch</w:t>
      </w:r>
      <w:proofErr w:type="spellEnd"/>
      <w:r w:rsidRPr="00285397">
        <w:rPr>
          <w:lang w:val="en-US"/>
        </w:rPr>
        <w:t>, 2023</w:t>
      </w:r>
      <w:r w:rsidR="00DA3633" w:rsidRPr="00285397">
        <w:rPr>
          <w:lang w:val="en-US"/>
        </w:rPr>
        <w:t xml:space="preserve">. </w:t>
      </w:r>
    </w:p>
  </w:footnote>
  <w:footnote w:id="28">
    <w:p w14:paraId="41FD8C31" w14:textId="745CDDF8" w:rsidR="00A75453" w:rsidRPr="00285397" w:rsidRDefault="00A75453">
      <w:pPr>
        <w:pStyle w:val="Notedebasdepage"/>
        <w:rPr>
          <w:lang w:val="en-US"/>
        </w:rPr>
      </w:pPr>
      <w:r w:rsidRPr="006449A5">
        <w:rPr>
          <w:rStyle w:val="Appelnotedebasdep"/>
          <w:lang w:val="fr-BE"/>
        </w:rPr>
        <w:footnoteRef/>
      </w:r>
      <w:r w:rsidRPr="006449A5">
        <w:rPr>
          <w:lang w:val="fr-BE"/>
        </w:rPr>
        <w:t xml:space="preserve"> Qui ne reflète pas toutes les perspectives </w:t>
      </w:r>
      <w:proofErr w:type="spellStart"/>
      <w:r w:rsidRPr="006449A5">
        <w:rPr>
          <w:lang w:val="fr-BE"/>
        </w:rPr>
        <w:t>décoloniales</w:t>
      </w:r>
      <w:proofErr w:type="spellEnd"/>
      <w:r w:rsidRPr="006449A5">
        <w:rPr>
          <w:lang w:val="fr-BE"/>
        </w:rPr>
        <w:t xml:space="preserve">. Il existe d’abord une différence entre les études </w:t>
      </w:r>
      <w:proofErr w:type="spellStart"/>
      <w:r w:rsidRPr="006449A5">
        <w:rPr>
          <w:lang w:val="fr-BE"/>
        </w:rPr>
        <w:t>décoloniales</w:t>
      </w:r>
      <w:proofErr w:type="spellEnd"/>
      <w:r w:rsidRPr="006449A5">
        <w:rPr>
          <w:lang w:val="fr-BE"/>
        </w:rPr>
        <w:t xml:space="preserve"> au sens strict et les études dites postcoloniales (v. </w:t>
      </w:r>
      <w:proofErr w:type="spellStart"/>
      <w:r w:rsidRPr="006449A5">
        <w:rPr>
          <w:lang w:val="fr-BE"/>
        </w:rPr>
        <w:t>G</w:t>
      </w:r>
      <w:r w:rsidR="009B2C3D" w:rsidRPr="006449A5">
        <w:rPr>
          <w:lang w:val="fr-BE"/>
        </w:rPr>
        <w:t>urminder</w:t>
      </w:r>
      <w:proofErr w:type="spellEnd"/>
      <w:r w:rsidR="009B2C3D" w:rsidRPr="006449A5">
        <w:rPr>
          <w:lang w:val="fr-BE"/>
        </w:rPr>
        <w:t xml:space="preserve"> </w:t>
      </w:r>
      <w:proofErr w:type="spellStart"/>
      <w:r w:rsidRPr="006449A5">
        <w:rPr>
          <w:lang w:val="fr-BE"/>
        </w:rPr>
        <w:t>Bhambra</w:t>
      </w:r>
      <w:proofErr w:type="spellEnd"/>
      <w:r w:rsidRPr="006449A5">
        <w:rPr>
          <w:lang w:val="fr-BE"/>
        </w:rPr>
        <w:t xml:space="preserve">, « Postcolonial and </w:t>
      </w:r>
      <w:proofErr w:type="spellStart"/>
      <w:r w:rsidRPr="006449A5">
        <w:rPr>
          <w:lang w:val="fr-BE"/>
        </w:rPr>
        <w:t>decolonial</w:t>
      </w:r>
      <w:proofErr w:type="spellEnd"/>
      <w:r w:rsidRPr="006449A5">
        <w:rPr>
          <w:lang w:val="fr-BE"/>
        </w:rPr>
        <w:t xml:space="preserve"> dialogue », </w:t>
      </w:r>
      <w:r w:rsidRPr="006449A5">
        <w:rPr>
          <w:i/>
          <w:iCs/>
          <w:lang w:val="fr-BE"/>
        </w:rPr>
        <w:t xml:space="preserve">Postcolonial </w:t>
      </w:r>
      <w:proofErr w:type="spellStart"/>
      <w:r w:rsidRPr="006449A5">
        <w:rPr>
          <w:i/>
          <w:iCs/>
          <w:lang w:val="fr-BE"/>
        </w:rPr>
        <w:t>Studies</w:t>
      </w:r>
      <w:proofErr w:type="spellEnd"/>
      <w:r w:rsidRPr="006449A5">
        <w:rPr>
          <w:i/>
          <w:iCs/>
          <w:lang w:val="fr-BE"/>
        </w:rPr>
        <w:t xml:space="preserve"> </w:t>
      </w:r>
      <w:r w:rsidRPr="006449A5">
        <w:rPr>
          <w:lang w:val="fr-BE"/>
        </w:rPr>
        <w:t>17(2)</w:t>
      </w:r>
      <w:r w:rsidRPr="006449A5">
        <w:rPr>
          <w:i/>
          <w:iCs/>
          <w:lang w:val="fr-BE"/>
        </w:rPr>
        <w:t xml:space="preserve"> </w:t>
      </w:r>
      <w:r w:rsidRPr="006449A5">
        <w:rPr>
          <w:lang w:val="fr-BE"/>
        </w:rPr>
        <w:t>2014, p. 115-</w:t>
      </w:r>
      <w:proofErr w:type="gramStart"/>
      <w:r w:rsidRPr="006449A5">
        <w:rPr>
          <w:lang w:val="fr-BE"/>
        </w:rPr>
        <w:t>121;</w:t>
      </w:r>
      <w:proofErr w:type="gramEnd"/>
      <w:r w:rsidRPr="006449A5">
        <w:rPr>
          <w:lang w:val="fr-BE"/>
        </w:rPr>
        <w:t xml:space="preserve"> Capucine </w:t>
      </w:r>
      <w:proofErr w:type="spellStart"/>
      <w:r w:rsidRPr="006449A5">
        <w:rPr>
          <w:lang w:val="fr-BE"/>
        </w:rPr>
        <w:t>Boidin</w:t>
      </w:r>
      <w:proofErr w:type="spellEnd"/>
      <w:r w:rsidRPr="006449A5">
        <w:rPr>
          <w:lang w:val="fr-BE"/>
        </w:rPr>
        <w:t xml:space="preserve">, </w:t>
      </w:r>
      <w:bookmarkStart w:id="8" w:name="_Hlk186724587"/>
      <w:r w:rsidRPr="006449A5">
        <w:rPr>
          <w:lang w:val="fr-BE"/>
        </w:rPr>
        <w:t>« </w:t>
      </w:r>
      <w:bookmarkEnd w:id="8"/>
      <w:r w:rsidRPr="006449A5">
        <w:rPr>
          <w:lang w:val="fr-BE"/>
        </w:rPr>
        <w:t xml:space="preserve">Études </w:t>
      </w:r>
      <w:proofErr w:type="spellStart"/>
      <w:r w:rsidRPr="006449A5">
        <w:rPr>
          <w:lang w:val="fr-BE"/>
        </w:rPr>
        <w:t>décoloniales</w:t>
      </w:r>
      <w:proofErr w:type="spellEnd"/>
      <w:r w:rsidRPr="006449A5">
        <w:rPr>
          <w:lang w:val="fr-BE"/>
        </w:rPr>
        <w:t xml:space="preserve"> et postcoloniales dans les débats français », </w:t>
      </w:r>
      <w:proofErr w:type="spellStart"/>
      <w:r w:rsidR="00FD6F60" w:rsidRPr="006449A5">
        <w:rPr>
          <w:lang w:val="fr-BE"/>
        </w:rPr>
        <w:t>préc</w:t>
      </w:r>
      <w:proofErr w:type="spellEnd"/>
      <w:r w:rsidR="00FD6F60" w:rsidRPr="006449A5">
        <w:rPr>
          <w:i/>
          <w:iCs/>
          <w:lang w:val="fr-BE"/>
        </w:rPr>
        <w:t>.</w:t>
      </w:r>
      <w:r w:rsidRPr="006449A5">
        <w:rPr>
          <w:lang w:val="fr-BE"/>
        </w:rPr>
        <w:t xml:space="preserve">). Mais les études </w:t>
      </w:r>
      <w:proofErr w:type="spellStart"/>
      <w:r w:rsidRPr="006449A5">
        <w:rPr>
          <w:lang w:val="fr-BE"/>
        </w:rPr>
        <w:t>décoloniales</w:t>
      </w:r>
      <w:proofErr w:type="spellEnd"/>
      <w:r w:rsidRPr="006449A5">
        <w:rPr>
          <w:lang w:val="fr-BE"/>
        </w:rPr>
        <w:t xml:space="preserve"> varient aussi selon la région considérée (v. par ex. </w:t>
      </w:r>
      <w:proofErr w:type="spellStart"/>
      <w:r w:rsidRPr="00285397">
        <w:rPr>
          <w:lang w:val="en-US"/>
        </w:rPr>
        <w:t>B</w:t>
      </w:r>
      <w:r w:rsidR="009B2C3D" w:rsidRPr="00285397">
        <w:rPr>
          <w:lang w:val="en-US"/>
        </w:rPr>
        <w:t>reny</w:t>
      </w:r>
      <w:proofErr w:type="spellEnd"/>
      <w:r w:rsidRPr="00285397">
        <w:rPr>
          <w:lang w:val="en-US"/>
        </w:rPr>
        <w:t xml:space="preserve"> Mendoza, </w:t>
      </w:r>
      <w:r w:rsidR="00FD6F60" w:rsidRPr="00285397">
        <w:rPr>
          <w:lang w:val="en-US"/>
        </w:rPr>
        <w:t>« </w:t>
      </w:r>
      <w:r w:rsidRPr="00285397">
        <w:rPr>
          <w:lang w:val="en-US"/>
        </w:rPr>
        <w:t>Decolonial Theories in Comparison</w:t>
      </w:r>
      <w:r w:rsidR="00FD6F60" w:rsidRPr="00285397">
        <w:rPr>
          <w:lang w:val="en-US"/>
        </w:rPr>
        <w:t xml:space="preserve"> »</w:t>
      </w:r>
      <w:r w:rsidRPr="00285397">
        <w:rPr>
          <w:lang w:val="en-US"/>
        </w:rPr>
        <w:t xml:space="preserve">, </w:t>
      </w:r>
      <w:r w:rsidRPr="00285397">
        <w:rPr>
          <w:i/>
          <w:iCs/>
          <w:lang w:val="en-US"/>
        </w:rPr>
        <w:t>Journal of World Philosophies</w:t>
      </w:r>
      <w:r w:rsidRPr="00285397">
        <w:rPr>
          <w:lang w:val="en-US"/>
        </w:rPr>
        <w:t xml:space="preserve"> 5(1), 2020, p. 43-60; L</w:t>
      </w:r>
      <w:r w:rsidR="00FD6F60" w:rsidRPr="00285397">
        <w:rPr>
          <w:lang w:val="en-US"/>
        </w:rPr>
        <w:t>ucy</w:t>
      </w:r>
      <w:r w:rsidRPr="00285397">
        <w:rPr>
          <w:lang w:val="en-US"/>
        </w:rPr>
        <w:t xml:space="preserve"> Taylor et G</w:t>
      </w:r>
      <w:r w:rsidR="00FD6F60" w:rsidRPr="00285397">
        <w:rPr>
          <w:lang w:val="en-US"/>
        </w:rPr>
        <w:t xml:space="preserve">eraldine </w:t>
      </w:r>
      <w:r w:rsidRPr="00285397">
        <w:rPr>
          <w:lang w:val="en-US"/>
        </w:rPr>
        <w:t xml:space="preserve">Lublin, </w:t>
      </w:r>
      <w:r w:rsidR="00FD6F60" w:rsidRPr="00285397">
        <w:rPr>
          <w:lang w:val="en-US"/>
        </w:rPr>
        <w:t>« </w:t>
      </w:r>
      <w:r w:rsidRPr="00285397">
        <w:rPr>
          <w:lang w:val="en-US"/>
        </w:rPr>
        <w:t>Settler colonial studies and Latin America</w:t>
      </w:r>
      <w:r w:rsidR="00FD6F60" w:rsidRPr="00285397">
        <w:rPr>
          <w:lang w:val="en-US"/>
        </w:rPr>
        <w:t xml:space="preserve"> », </w:t>
      </w:r>
      <w:r w:rsidRPr="00285397">
        <w:rPr>
          <w:i/>
          <w:iCs/>
          <w:lang w:val="en-US"/>
        </w:rPr>
        <w:t>Settler Colonial Studies</w:t>
      </w:r>
      <w:r w:rsidRPr="00285397">
        <w:rPr>
          <w:lang w:val="en-US"/>
        </w:rPr>
        <w:t xml:space="preserve"> 11(3), 2021, p. 259-270). V. </w:t>
      </w:r>
      <w:proofErr w:type="spellStart"/>
      <w:r w:rsidRPr="00285397">
        <w:rPr>
          <w:lang w:val="en-US"/>
        </w:rPr>
        <w:t>aussi</w:t>
      </w:r>
      <w:proofErr w:type="spellEnd"/>
      <w:r w:rsidRPr="00285397">
        <w:rPr>
          <w:lang w:val="en-US"/>
        </w:rPr>
        <w:t xml:space="preserve"> </w:t>
      </w:r>
      <w:proofErr w:type="spellStart"/>
      <w:r w:rsidRPr="00285397">
        <w:rPr>
          <w:lang w:val="en-US"/>
        </w:rPr>
        <w:t>Folúké</w:t>
      </w:r>
      <w:proofErr w:type="spellEnd"/>
      <w:r w:rsidRPr="00285397">
        <w:rPr>
          <w:lang w:val="en-US"/>
        </w:rPr>
        <w:t xml:space="preserve"> </w:t>
      </w:r>
      <w:proofErr w:type="spellStart"/>
      <w:r w:rsidRPr="00285397">
        <w:rPr>
          <w:lang w:val="en-US"/>
        </w:rPr>
        <w:t>Adébísí</w:t>
      </w:r>
      <w:proofErr w:type="spellEnd"/>
      <w:r w:rsidRPr="00285397">
        <w:rPr>
          <w:lang w:val="en-US"/>
        </w:rPr>
        <w:t xml:space="preserve">, </w:t>
      </w:r>
      <w:proofErr w:type="spellStart"/>
      <w:r w:rsidRPr="00285397">
        <w:rPr>
          <w:i/>
          <w:iCs/>
          <w:lang w:val="en-US"/>
        </w:rPr>
        <w:t>Decolonisation</w:t>
      </w:r>
      <w:proofErr w:type="spellEnd"/>
      <w:r w:rsidRPr="00285397">
        <w:rPr>
          <w:i/>
          <w:iCs/>
          <w:lang w:val="en-US"/>
        </w:rPr>
        <w:t xml:space="preserve"> and Legal Knowledge: Reflections on Power and Possibility</w:t>
      </w:r>
      <w:r w:rsidRPr="00285397">
        <w:rPr>
          <w:lang w:val="en-US"/>
        </w:rPr>
        <w:t>, Bristol University Press, 2023, p. 22-29.</w:t>
      </w:r>
    </w:p>
  </w:footnote>
  <w:footnote w:id="29">
    <w:p w14:paraId="700CE872" w14:textId="22FD89C0" w:rsidR="005B2F3D" w:rsidRPr="006449A5" w:rsidRDefault="005B2F3D" w:rsidP="00E005ED">
      <w:pPr>
        <w:pStyle w:val="Notedebasdepage"/>
        <w:rPr>
          <w:lang w:val="fr-BE"/>
        </w:rPr>
      </w:pPr>
      <w:r w:rsidRPr="006449A5">
        <w:rPr>
          <w:rStyle w:val="Appelnotedebasdep"/>
          <w:lang w:val="fr-BE"/>
        </w:rPr>
        <w:footnoteRef/>
      </w:r>
      <w:r w:rsidRPr="00285397">
        <w:rPr>
          <w:lang w:val="en-US"/>
        </w:rPr>
        <w:t xml:space="preserve"> </w:t>
      </w:r>
      <w:r w:rsidR="00DA3633" w:rsidRPr="00285397">
        <w:rPr>
          <w:lang w:val="en-US"/>
        </w:rPr>
        <w:t xml:space="preserve">V. par ex. </w:t>
      </w:r>
      <w:bookmarkStart w:id="9" w:name="_Hlk174025325"/>
      <w:bookmarkStart w:id="10" w:name="_Hlk173930618"/>
      <w:r w:rsidR="00DA3633" w:rsidRPr="00285397">
        <w:rPr>
          <w:lang w:val="en-US"/>
        </w:rPr>
        <w:t>S</w:t>
      </w:r>
      <w:r w:rsidR="00FD6F60" w:rsidRPr="00285397">
        <w:rPr>
          <w:lang w:val="en-US"/>
        </w:rPr>
        <w:t>abelo</w:t>
      </w:r>
      <w:r w:rsidR="00DA3633" w:rsidRPr="00285397">
        <w:rPr>
          <w:lang w:val="en-US"/>
        </w:rPr>
        <w:t xml:space="preserve"> Ndlovu-</w:t>
      </w:r>
      <w:proofErr w:type="spellStart"/>
      <w:r w:rsidR="00DA3633" w:rsidRPr="00285397">
        <w:rPr>
          <w:lang w:val="en-US"/>
        </w:rPr>
        <w:t>Gatsheni</w:t>
      </w:r>
      <w:proofErr w:type="spellEnd"/>
      <w:r w:rsidR="00DA3633" w:rsidRPr="00285397">
        <w:rPr>
          <w:lang w:val="en-US"/>
        </w:rPr>
        <w:t xml:space="preserve">, </w:t>
      </w:r>
      <w:r w:rsidR="00DA3633" w:rsidRPr="00285397">
        <w:rPr>
          <w:i/>
          <w:iCs/>
          <w:lang w:val="en-US"/>
        </w:rPr>
        <w:t xml:space="preserve">Decolonization, Development and Knowledge in Africa: Turning Over a New </w:t>
      </w:r>
      <w:r w:rsidR="00DA3633" w:rsidRPr="00285397">
        <w:rPr>
          <w:lang w:val="en-US"/>
        </w:rPr>
        <w:t>Leaf, New York</w:t>
      </w:r>
      <w:r w:rsidR="00DA3633" w:rsidRPr="00285397">
        <w:rPr>
          <w:i/>
          <w:iCs/>
          <w:lang w:val="en-US"/>
        </w:rPr>
        <w:t xml:space="preserve">, </w:t>
      </w:r>
      <w:r w:rsidR="00DA3633" w:rsidRPr="00285397">
        <w:rPr>
          <w:lang w:val="en-US"/>
        </w:rPr>
        <w:t>Routledge</w:t>
      </w:r>
      <w:r w:rsidR="00DA3633" w:rsidRPr="00285397">
        <w:rPr>
          <w:i/>
          <w:iCs/>
          <w:lang w:val="en-US"/>
        </w:rPr>
        <w:t xml:space="preserve">, </w:t>
      </w:r>
      <w:r w:rsidR="00DA3633" w:rsidRPr="00285397">
        <w:rPr>
          <w:lang w:val="en-US"/>
        </w:rPr>
        <w:t xml:space="preserve">2020; </w:t>
      </w:r>
      <w:proofErr w:type="spellStart"/>
      <w:r w:rsidR="00DA3633" w:rsidRPr="00285397">
        <w:rPr>
          <w:lang w:val="en-US"/>
        </w:rPr>
        <w:t>S</w:t>
      </w:r>
      <w:r w:rsidR="00FD6F60" w:rsidRPr="00285397">
        <w:rPr>
          <w:lang w:val="en-US"/>
        </w:rPr>
        <w:t>hose</w:t>
      </w:r>
      <w:proofErr w:type="spellEnd"/>
      <w:r w:rsidR="00DA3633" w:rsidRPr="00285397">
        <w:rPr>
          <w:lang w:val="en-US"/>
        </w:rPr>
        <w:t xml:space="preserve"> Kessi, Z</w:t>
      </w:r>
      <w:r w:rsidR="00FD6F60" w:rsidRPr="00285397">
        <w:rPr>
          <w:lang w:val="en-US"/>
        </w:rPr>
        <w:t xml:space="preserve">oé </w:t>
      </w:r>
      <w:r w:rsidR="00DA3633" w:rsidRPr="00285397">
        <w:rPr>
          <w:lang w:val="en-US"/>
        </w:rPr>
        <w:t xml:space="preserve">Marks, et </w:t>
      </w:r>
      <w:proofErr w:type="spellStart"/>
      <w:r w:rsidR="00DA3633" w:rsidRPr="00285397">
        <w:rPr>
          <w:lang w:val="en-US"/>
        </w:rPr>
        <w:t>E</w:t>
      </w:r>
      <w:r w:rsidR="00FD6F60" w:rsidRPr="00285397">
        <w:rPr>
          <w:lang w:val="en-US"/>
        </w:rPr>
        <w:t>lelwani</w:t>
      </w:r>
      <w:proofErr w:type="spellEnd"/>
      <w:r w:rsidR="00DA3633" w:rsidRPr="00285397">
        <w:rPr>
          <w:lang w:val="en-US"/>
        </w:rPr>
        <w:t xml:space="preserve"> </w:t>
      </w:r>
      <w:proofErr w:type="spellStart"/>
      <w:r w:rsidR="00DA3633" w:rsidRPr="00285397">
        <w:rPr>
          <w:lang w:val="en-US"/>
        </w:rPr>
        <w:t>Ramugondo</w:t>
      </w:r>
      <w:proofErr w:type="spellEnd"/>
      <w:r w:rsidR="00DA3633" w:rsidRPr="00285397">
        <w:rPr>
          <w:lang w:val="en-US"/>
        </w:rPr>
        <w:t xml:space="preserve">, “Decolonizing African Studies”, </w:t>
      </w:r>
      <w:r w:rsidR="00D02327" w:rsidRPr="00285397">
        <w:rPr>
          <w:lang w:val="en-US"/>
        </w:rPr>
        <w:t xml:space="preserve">12(3), </w:t>
      </w:r>
      <w:r w:rsidR="00DA3633" w:rsidRPr="00285397">
        <w:rPr>
          <w:lang w:val="en-US"/>
        </w:rPr>
        <w:t>2020</w:t>
      </w:r>
      <w:r w:rsidR="00D02327" w:rsidRPr="00285397">
        <w:rPr>
          <w:lang w:val="en-US"/>
        </w:rPr>
        <w:t xml:space="preserve">, p. </w:t>
      </w:r>
      <w:r w:rsidR="00DA3633" w:rsidRPr="00285397">
        <w:rPr>
          <w:lang w:val="en-US"/>
        </w:rPr>
        <w:t>271</w:t>
      </w:r>
      <w:r w:rsidR="00D02327" w:rsidRPr="00285397">
        <w:rPr>
          <w:lang w:val="en-US"/>
        </w:rPr>
        <w:t>-282</w:t>
      </w:r>
      <w:r w:rsidR="00DA3633" w:rsidRPr="00285397">
        <w:rPr>
          <w:lang w:val="en-US"/>
        </w:rPr>
        <w:t xml:space="preserve">; </w:t>
      </w:r>
      <w:r w:rsidR="00FD6F60" w:rsidRPr="00285397">
        <w:rPr>
          <w:lang w:val="en-US"/>
        </w:rPr>
        <w:t>Anselm</w:t>
      </w:r>
      <w:r w:rsidR="00DA3633" w:rsidRPr="00285397">
        <w:rPr>
          <w:lang w:val="en-US"/>
        </w:rPr>
        <w:t xml:space="preserve"> Jimoh, </w:t>
      </w:r>
      <w:r w:rsidR="00FD6F60" w:rsidRPr="00285397">
        <w:rPr>
          <w:lang w:val="en-US"/>
        </w:rPr>
        <w:t>«</w:t>
      </w:r>
      <w:r w:rsidR="00DA3633" w:rsidRPr="00285397">
        <w:rPr>
          <w:lang w:val="en-US"/>
        </w:rPr>
        <w:t>Decoloniality, Epistemological Decolonization and African Knowledge Practices</w:t>
      </w:r>
      <w:r w:rsidR="00D02327" w:rsidRPr="00285397">
        <w:rPr>
          <w:lang w:val="en-US"/>
        </w:rPr>
        <w:t xml:space="preserve">”, </w:t>
      </w:r>
      <w:proofErr w:type="spellStart"/>
      <w:r w:rsidR="00DA3633" w:rsidRPr="00285397">
        <w:rPr>
          <w:i/>
          <w:iCs/>
          <w:lang w:val="en-US"/>
        </w:rPr>
        <w:t>Bodija</w:t>
      </w:r>
      <w:proofErr w:type="spellEnd"/>
      <w:r w:rsidR="00DA3633" w:rsidRPr="00285397">
        <w:rPr>
          <w:i/>
          <w:iCs/>
          <w:lang w:val="en-US"/>
        </w:rPr>
        <w:t xml:space="preserve"> Journal</w:t>
      </w:r>
      <w:r w:rsidR="00DA3633" w:rsidRPr="00285397">
        <w:rPr>
          <w:lang w:val="en-US"/>
        </w:rPr>
        <w:t xml:space="preserve">, </w:t>
      </w:r>
      <w:r w:rsidR="00D02327" w:rsidRPr="00285397">
        <w:rPr>
          <w:lang w:val="en-US"/>
        </w:rPr>
        <w:t xml:space="preserve">12, 2022, p. </w:t>
      </w:r>
      <w:r w:rsidR="00DA3633" w:rsidRPr="00285397">
        <w:rPr>
          <w:lang w:val="en-US"/>
        </w:rPr>
        <w:t>78</w:t>
      </w:r>
      <w:r w:rsidR="00D02327" w:rsidRPr="00285397">
        <w:rPr>
          <w:lang w:val="en-US"/>
        </w:rPr>
        <w:t>-96</w:t>
      </w:r>
      <w:r w:rsidR="00DA3633" w:rsidRPr="00285397">
        <w:rPr>
          <w:lang w:val="en-US"/>
        </w:rPr>
        <w:t xml:space="preserve">; </w:t>
      </w:r>
      <w:r w:rsidR="00FD6F60" w:rsidRPr="00285397">
        <w:rPr>
          <w:lang w:val="en-US"/>
        </w:rPr>
        <w:t>Souleymane Bachir</w:t>
      </w:r>
      <w:r w:rsidR="00DA3633" w:rsidRPr="00285397">
        <w:rPr>
          <w:lang w:val="en-US"/>
        </w:rPr>
        <w:t xml:space="preserve"> and J</w:t>
      </w:r>
      <w:r w:rsidR="00FD6F60" w:rsidRPr="00285397">
        <w:rPr>
          <w:lang w:val="en-US"/>
        </w:rPr>
        <w:t>ean-Loup</w:t>
      </w:r>
      <w:r w:rsidR="00DA3633" w:rsidRPr="00285397">
        <w:rPr>
          <w:lang w:val="en-US"/>
        </w:rPr>
        <w:t xml:space="preserve"> </w:t>
      </w:r>
      <w:proofErr w:type="spellStart"/>
      <w:r w:rsidR="00DA3633" w:rsidRPr="00285397">
        <w:rPr>
          <w:lang w:val="en-US"/>
        </w:rPr>
        <w:t>Amselle</w:t>
      </w:r>
      <w:proofErr w:type="spellEnd"/>
      <w:r w:rsidR="00DA3633" w:rsidRPr="00285397">
        <w:rPr>
          <w:lang w:val="en-US"/>
        </w:rPr>
        <w:t xml:space="preserve">, </w:t>
      </w:r>
      <w:r w:rsidR="00DA3633" w:rsidRPr="00285397">
        <w:rPr>
          <w:i/>
          <w:iCs/>
          <w:lang w:val="en-US"/>
        </w:rPr>
        <w:t xml:space="preserve">En </w:t>
      </w:r>
      <w:proofErr w:type="spellStart"/>
      <w:r w:rsidR="00DA3633" w:rsidRPr="00285397">
        <w:rPr>
          <w:i/>
          <w:iCs/>
          <w:lang w:val="en-US"/>
        </w:rPr>
        <w:t>quête</w:t>
      </w:r>
      <w:proofErr w:type="spellEnd"/>
      <w:r w:rsidR="00DA3633" w:rsidRPr="00285397">
        <w:rPr>
          <w:i/>
          <w:iCs/>
          <w:lang w:val="en-US"/>
        </w:rPr>
        <w:t xml:space="preserve"> </w:t>
      </w:r>
      <w:proofErr w:type="spellStart"/>
      <w:r w:rsidR="00DA3633" w:rsidRPr="00285397">
        <w:rPr>
          <w:i/>
          <w:iCs/>
          <w:lang w:val="en-US"/>
        </w:rPr>
        <w:t>d’Afrique</w:t>
      </w:r>
      <w:proofErr w:type="spellEnd"/>
      <w:r w:rsidR="00DA3633" w:rsidRPr="00285397">
        <w:rPr>
          <w:i/>
          <w:iCs/>
          <w:lang w:val="en-US"/>
        </w:rPr>
        <w:t xml:space="preserve">(s). </w:t>
      </w:r>
      <w:r w:rsidR="00DA3633" w:rsidRPr="006449A5">
        <w:rPr>
          <w:i/>
          <w:iCs/>
          <w:lang w:val="fr-BE"/>
        </w:rPr>
        <w:t xml:space="preserve">Universalisme et pensée </w:t>
      </w:r>
      <w:proofErr w:type="spellStart"/>
      <w:r w:rsidR="00DA3633" w:rsidRPr="006449A5">
        <w:rPr>
          <w:i/>
          <w:iCs/>
          <w:lang w:val="fr-BE"/>
        </w:rPr>
        <w:t>décoloniale</w:t>
      </w:r>
      <w:proofErr w:type="spellEnd"/>
      <w:r w:rsidR="00D02327" w:rsidRPr="006449A5">
        <w:rPr>
          <w:i/>
          <w:iCs/>
          <w:lang w:val="fr-BE"/>
        </w:rPr>
        <w:t xml:space="preserve">, </w:t>
      </w:r>
      <w:r w:rsidR="00DA3633" w:rsidRPr="006449A5">
        <w:rPr>
          <w:lang w:val="fr-BE"/>
        </w:rPr>
        <w:t xml:space="preserve">Paris, Albin Michel, 2018 ; </w:t>
      </w:r>
      <w:proofErr w:type="spellStart"/>
      <w:r w:rsidR="00DA3633" w:rsidRPr="006449A5">
        <w:rPr>
          <w:lang w:val="fr-BE"/>
        </w:rPr>
        <w:t>K</w:t>
      </w:r>
      <w:r w:rsidR="00FD6F60" w:rsidRPr="006449A5">
        <w:rPr>
          <w:lang w:val="fr-BE"/>
        </w:rPr>
        <w:t>asereka</w:t>
      </w:r>
      <w:proofErr w:type="spellEnd"/>
      <w:r w:rsidR="00DA3633" w:rsidRPr="006449A5">
        <w:rPr>
          <w:lang w:val="fr-BE"/>
        </w:rPr>
        <w:t xml:space="preserve"> </w:t>
      </w:r>
      <w:proofErr w:type="spellStart"/>
      <w:r w:rsidR="00DA3633" w:rsidRPr="006449A5">
        <w:rPr>
          <w:lang w:val="fr-BE"/>
        </w:rPr>
        <w:t>Kavwahirehi</w:t>
      </w:r>
      <w:proofErr w:type="spellEnd"/>
      <w:r w:rsidR="00DA3633" w:rsidRPr="006449A5">
        <w:rPr>
          <w:lang w:val="fr-BE"/>
        </w:rPr>
        <w:t xml:space="preserve">, </w:t>
      </w:r>
      <w:r w:rsidR="00DA3633" w:rsidRPr="006449A5">
        <w:rPr>
          <w:i/>
          <w:iCs/>
          <w:lang w:val="fr-BE"/>
        </w:rPr>
        <w:t xml:space="preserve">V. Y. </w:t>
      </w:r>
      <w:proofErr w:type="spellStart"/>
      <w:r w:rsidR="00DA3633" w:rsidRPr="006449A5">
        <w:rPr>
          <w:i/>
          <w:iCs/>
          <w:lang w:val="fr-BE"/>
        </w:rPr>
        <w:t>Mudimbe</w:t>
      </w:r>
      <w:proofErr w:type="spellEnd"/>
      <w:r w:rsidR="00DA3633" w:rsidRPr="006449A5">
        <w:rPr>
          <w:i/>
          <w:iCs/>
          <w:lang w:val="fr-BE"/>
        </w:rPr>
        <w:t xml:space="preserve"> et la </w:t>
      </w:r>
      <w:proofErr w:type="spellStart"/>
      <w:r w:rsidR="00DA3633" w:rsidRPr="006449A5">
        <w:rPr>
          <w:i/>
          <w:iCs/>
          <w:lang w:val="fr-BE"/>
        </w:rPr>
        <w:t>ré-invention</w:t>
      </w:r>
      <w:proofErr w:type="spellEnd"/>
      <w:r w:rsidR="00DA3633" w:rsidRPr="006449A5">
        <w:rPr>
          <w:i/>
          <w:iCs/>
          <w:lang w:val="fr-BE"/>
        </w:rPr>
        <w:t xml:space="preserve"> de l’Afrique. Poétique et politique de la décolonisation des sciences humaines</w:t>
      </w:r>
      <w:r w:rsidR="00D02327" w:rsidRPr="006449A5">
        <w:rPr>
          <w:lang w:val="fr-BE"/>
        </w:rPr>
        <w:t xml:space="preserve">, </w:t>
      </w:r>
      <w:r w:rsidR="00DA3633" w:rsidRPr="006449A5">
        <w:rPr>
          <w:lang w:val="fr-BE"/>
        </w:rPr>
        <w:t xml:space="preserve">Amsterdam, </w:t>
      </w:r>
      <w:proofErr w:type="spellStart"/>
      <w:r w:rsidR="00DA3633" w:rsidRPr="006449A5">
        <w:rPr>
          <w:lang w:val="fr-BE"/>
        </w:rPr>
        <w:t>Rodopi</w:t>
      </w:r>
      <w:proofErr w:type="spellEnd"/>
      <w:r w:rsidR="00DA3633" w:rsidRPr="006449A5">
        <w:rPr>
          <w:lang w:val="fr-BE"/>
        </w:rPr>
        <w:t xml:space="preserve">, 2006). </w:t>
      </w:r>
      <w:bookmarkEnd w:id="9"/>
      <w:bookmarkEnd w:id="10"/>
    </w:p>
  </w:footnote>
  <w:footnote w:id="30">
    <w:p w14:paraId="1738D45F" w14:textId="2B068F38" w:rsidR="00752890" w:rsidRPr="006449A5" w:rsidRDefault="00752890">
      <w:pPr>
        <w:pStyle w:val="Notedebasdepage"/>
        <w:rPr>
          <w:lang w:val="fr-BE"/>
        </w:rPr>
      </w:pPr>
      <w:r w:rsidRPr="006449A5">
        <w:rPr>
          <w:rStyle w:val="Appelnotedebasdep"/>
          <w:lang w:val="fr-BE"/>
        </w:rPr>
        <w:footnoteRef/>
      </w:r>
      <w:r w:rsidRPr="00285397">
        <w:rPr>
          <w:lang w:val="en-US"/>
        </w:rPr>
        <w:t xml:space="preserve"> Walter </w:t>
      </w:r>
      <w:proofErr w:type="spellStart"/>
      <w:r w:rsidRPr="00285397">
        <w:rPr>
          <w:lang w:val="en-US"/>
        </w:rPr>
        <w:t>Mignolo</w:t>
      </w:r>
      <w:proofErr w:type="spellEnd"/>
      <w:r w:rsidRPr="00285397">
        <w:rPr>
          <w:lang w:val="en-US"/>
        </w:rPr>
        <w:t xml:space="preserve">, </w:t>
      </w:r>
      <w:r w:rsidR="00FD6F60" w:rsidRPr="00285397">
        <w:rPr>
          <w:lang w:val="en-US"/>
        </w:rPr>
        <w:t xml:space="preserve">« </w:t>
      </w:r>
      <w:r w:rsidRPr="00285397">
        <w:rPr>
          <w:lang w:val="en-US"/>
        </w:rPr>
        <w:t>Foreword, On Pluriversality and Multipolarity</w:t>
      </w:r>
      <w:r w:rsidR="00FD6F60" w:rsidRPr="00285397">
        <w:rPr>
          <w:i/>
          <w:iCs/>
          <w:lang w:val="en-US"/>
        </w:rPr>
        <w:t> </w:t>
      </w:r>
      <w:r w:rsidR="00FD6F60" w:rsidRPr="00285397">
        <w:rPr>
          <w:lang w:val="en-US"/>
        </w:rPr>
        <w:t>»</w:t>
      </w:r>
      <w:r w:rsidRPr="00285397">
        <w:rPr>
          <w:i/>
          <w:iCs/>
          <w:lang w:val="en-US"/>
        </w:rPr>
        <w:t>,</w:t>
      </w:r>
      <w:r w:rsidRPr="00285397">
        <w:rPr>
          <w:lang w:val="en-US"/>
        </w:rPr>
        <w:t xml:space="preserve"> </w:t>
      </w:r>
      <w:r w:rsidRPr="00285397">
        <w:rPr>
          <w:i/>
          <w:iCs/>
          <w:lang w:val="en-US"/>
        </w:rPr>
        <w:t>in</w:t>
      </w:r>
      <w:r w:rsidRPr="00285397">
        <w:rPr>
          <w:lang w:val="en-US"/>
        </w:rPr>
        <w:t xml:space="preserve"> B. Reiter, </w:t>
      </w:r>
      <w:r w:rsidRPr="00285397">
        <w:rPr>
          <w:i/>
          <w:iCs/>
          <w:lang w:val="en-US"/>
        </w:rPr>
        <w:t xml:space="preserve">Constructing the Pluriverse. </w:t>
      </w:r>
      <w:r w:rsidRPr="006449A5">
        <w:rPr>
          <w:i/>
          <w:iCs/>
          <w:lang w:val="fr-BE"/>
        </w:rPr>
        <w:t xml:space="preserve">The </w:t>
      </w:r>
      <w:proofErr w:type="spellStart"/>
      <w:r w:rsidRPr="006449A5">
        <w:rPr>
          <w:i/>
          <w:iCs/>
          <w:lang w:val="fr-BE"/>
        </w:rPr>
        <w:t>Geopolitics</w:t>
      </w:r>
      <w:proofErr w:type="spellEnd"/>
      <w:r w:rsidRPr="006449A5">
        <w:rPr>
          <w:i/>
          <w:iCs/>
          <w:lang w:val="fr-BE"/>
        </w:rPr>
        <w:t xml:space="preserve"> of </w:t>
      </w:r>
      <w:proofErr w:type="spellStart"/>
      <w:r w:rsidRPr="006449A5">
        <w:rPr>
          <w:i/>
          <w:iCs/>
          <w:lang w:val="fr-BE"/>
        </w:rPr>
        <w:t>Knowledge</w:t>
      </w:r>
      <w:proofErr w:type="spellEnd"/>
      <w:r w:rsidRPr="006449A5">
        <w:rPr>
          <w:lang w:val="fr-BE"/>
        </w:rPr>
        <w:t xml:space="preserve">, Duke </w:t>
      </w:r>
      <w:proofErr w:type="spellStart"/>
      <w:r w:rsidRPr="006449A5">
        <w:rPr>
          <w:lang w:val="fr-BE"/>
        </w:rPr>
        <w:t>University</w:t>
      </w:r>
      <w:proofErr w:type="spellEnd"/>
      <w:r w:rsidRPr="006449A5">
        <w:rPr>
          <w:lang w:val="fr-BE"/>
        </w:rPr>
        <w:t xml:space="preserve"> </w:t>
      </w:r>
      <w:proofErr w:type="spellStart"/>
      <w:r w:rsidRPr="006449A5">
        <w:rPr>
          <w:lang w:val="fr-BE"/>
        </w:rPr>
        <w:t>Press</w:t>
      </w:r>
      <w:proofErr w:type="spellEnd"/>
      <w:r w:rsidRPr="006449A5">
        <w:rPr>
          <w:lang w:val="fr-BE"/>
        </w:rPr>
        <w:t xml:space="preserve"> 2011. </w:t>
      </w:r>
    </w:p>
  </w:footnote>
  <w:footnote w:id="31">
    <w:p w14:paraId="64A116D7" w14:textId="6E2273A5" w:rsidR="00752890" w:rsidRPr="00285397" w:rsidRDefault="00752890">
      <w:pPr>
        <w:pStyle w:val="Notedebasdepage"/>
        <w:rPr>
          <w:lang w:val="en-US"/>
        </w:rPr>
      </w:pPr>
      <w:r w:rsidRPr="006449A5">
        <w:rPr>
          <w:rStyle w:val="Appelnotedebasdep"/>
          <w:lang w:val="fr-BE"/>
        </w:rPr>
        <w:footnoteRef/>
      </w:r>
      <w:r w:rsidRPr="00285397">
        <w:rPr>
          <w:lang w:val="en-US"/>
        </w:rPr>
        <w:t xml:space="preserve"> Arturo Escobar, </w:t>
      </w:r>
      <w:r w:rsidR="00FD6F60" w:rsidRPr="00285397">
        <w:rPr>
          <w:lang w:val="en-US"/>
        </w:rPr>
        <w:t>« </w:t>
      </w:r>
      <w:r w:rsidRPr="00285397">
        <w:rPr>
          <w:lang w:val="en-US"/>
        </w:rPr>
        <w:t xml:space="preserve">Beyond the Third </w:t>
      </w:r>
      <w:proofErr w:type="gramStart"/>
      <w:r w:rsidRPr="00285397">
        <w:rPr>
          <w:lang w:val="en-US"/>
        </w:rPr>
        <w:t>World</w:t>
      </w:r>
      <w:r w:rsidR="00FD6F60" w:rsidRPr="00285397">
        <w:rPr>
          <w:lang w:val="en-US"/>
        </w:rPr>
        <w:t>..</w:t>
      </w:r>
      <w:proofErr w:type="gramEnd"/>
      <w:r w:rsidR="00FD6F60" w:rsidRPr="00285397">
        <w:rPr>
          <w:lang w:val="en-US"/>
        </w:rPr>
        <w:t xml:space="preserve"> », </w:t>
      </w:r>
      <w:proofErr w:type="spellStart"/>
      <w:r w:rsidR="00FD6F60" w:rsidRPr="00285397">
        <w:rPr>
          <w:lang w:val="en-US"/>
        </w:rPr>
        <w:t>préc</w:t>
      </w:r>
      <w:proofErr w:type="spellEnd"/>
      <w:r w:rsidRPr="00285397">
        <w:rPr>
          <w:lang w:val="en-US"/>
        </w:rPr>
        <w:t>.</w:t>
      </w:r>
    </w:p>
  </w:footnote>
  <w:footnote w:id="32">
    <w:p w14:paraId="7EAD8761" w14:textId="04AC5AC4" w:rsidR="005B2F3D" w:rsidRPr="00285397" w:rsidRDefault="005B2F3D" w:rsidP="00E005ED">
      <w:pPr>
        <w:pStyle w:val="Notedebasdepage"/>
        <w:rPr>
          <w:lang w:val="en-US"/>
        </w:rPr>
      </w:pPr>
      <w:r w:rsidRPr="006449A5">
        <w:rPr>
          <w:rStyle w:val="Appelnotedebasdep"/>
          <w:lang w:val="fr-BE"/>
        </w:rPr>
        <w:footnoteRef/>
      </w:r>
      <w:r w:rsidRPr="00285397">
        <w:rPr>
          <w:lang w:val="en-US"/>
        </w:rPr>
        <w:t xml:space="preserve"> </w:t>
      </w:r>
      <w:r w:rsidR="00324621" w:rsidRPr="00285397">
        <w:rPr>
          <w:lang w:val="en-US"/>
        </w:rPr>
        <w:t xml:space="preserve">Sandrine Brachotte, « Pour </w:t>
      </w:r>
      <w:proofErr w:type="spellStart"/>
      <w:r w:rsidR="00324621" w:rsidRPr="00285397">
        <w:rPr>
          <w:lang w:val="en-US"/>
        </w:rPr>
        <w:t>une</w:t>
      </w:r>
      <w:proofErr w:type="spellEnd"/>
      <w:r w:rsidR="00324621" w:rsidRPr="00285397">
        <w:rPr>
          <w:lang w:val="en-US"/>
        </w:rPr>
        <w:t xml:space="preserve"> </w:t>
      </w:r>
      <w:proofErr w:type="spellStart"/>
      <w:r w:rsidR="00324621" w:rsidRPr="00285397">
        <w:rPr>
          <w:lang w:val="en-US"/>
        </w:rPr>
        <w:t>approche</w:t>
      </w:r>
      <w:proofErr w:type="spellEnd"/>
      <w:r w:rsidR="00324621" w:rsidRPr="00285397">
        <w:rPr>
          <w:lang w:val="en-US"/>
        </w:rPr>
        <w:t xml:space="preserve"> </w:t>
      </w:r>
      <w:proofErr w:type="spellStart"/>
      <w:r w:rsidR="00324621" w:rsidRPr="00285397">
        <w:rPr>
          <w:lang w:val="en-US"/>
        </w:rPr>
        <w:t>décoloniale</w:t>
      </w:r>
      <w:proofErr w:type="spellEnd"/>
      <w:r w:rsidR="00324621" w:rsidRPr="00285397">
        <w:rPr>
          <w:lang w:val="en-US"/>
        </w:rPr>
        <w:t xml:space="preserve"> du droit international </w:t>
      </w:r>
      <w:proofErr w:type="spellStart"/>
      <w:r w:rsidR="00324621" w:rsidRPr="00285397">
        <w:rPr>
          <w:lang w:val="en-US"/>
        </w:rPr>
        <w:t>privé</w:t>
      </w:r>
      <w:proofErr w:type="spellEnd"/>
      <w:r w:rsidR="00324621" w:rsidRPr="00285397">
        <w:rPr>
          <w:lang w:val="en-US"/>
        </w:rPr>
        <w:t xml:space="preserve"> », </w:t>
      </w:r>
      <w:r w:rsidR="004D6DA6" w:rsidRPr="00285397">
        <w:rPr>
          <w:i/>
          <w:iCs/>
          <w:lang w:val="en-US"/>
        </w:rPr>
        <w:t>RCDIP</w:t>
      </w:r>
      <w:r w:rsidR="00324621" w:rsidRPr="00285397">
        <w:rPr>
          <w:i/>
          <w:iCs/>
          <w:lang w:val="en-US"/>
        </w:rPr>
        <w:t xml:space="preserve">, </w:t>
      </w:r>
      <w:r w:rsidR="00324621" w:rsidRPr="00285397">
        <w:rPr>
          <w:lang w:val="en-US"/>
        </w:rPr>
        <w:t>2023/2, p. 297-</w:t>
      </w:r>
      <w:proofErr w:type="gramStart"/>
      <w:r w:rsidR="00324621" w:rsidRPr="00285397">
        <w:rPr>
          <w:lang w:val="en-US"/>
        </w:rPr>
        <w:t>316 ;</w:t>
      </w:r>
      <w:proofErr w:type="gramEnd"/>
      <w:r w:rsidR="00324621" w:rsidRPr="00285397">
        <w:rPr>
          <w:lang w:val="en-US"/>
        </w:rPr>
        <w:t xml:space="preserve"> </w:t>
      </w:r>
      <w:bookmarkStart w:id="11" w:name="_Hlk184308559"/>
      <w:r w:rsidR="00C0039F" w:rsidRPr="00285397">
        <w:rPr>
          <w:lang w:val="en-US"/>
        </w:rPr>
        <w:t>S</w:t>
      </w:r>
      <w:r w:rsidR="009B2C3D" w:rsidRPr="00285397">
        <w:rPr>
          <w:lang w:val="en-US"/>
        </w:rPr>
        <w:t xml:space="preserve">andrine </w:t>
      </w:r>
      <w:r w:rsidR="00C0039F" w:rsidRPr="00285397">
        <w:rPr>
          <w:lang w:val="en-US"/>
        </w:rPr>
        <w:t xml:space="preserve">Brachotte, </w:t>
      </w:r>
      <w:r w:rsidR="00FD6F60" w:rsidRPr="00285397">
        <w:rPr>
          <w:lang w:val="en-US"/>
        </w:rPr>
        <w:t>«</w:t>
      </w:r>
      <w:r w:rsidR="00C0039F" w:rsidRPr="00285397">
        <w:rPr>
          <w:lang w:val="en-US"/>
        </w:rPr>
        <w:t xml:space="preserve">When European State Courts Face Post-Colonial Legality: A Private International Law Approach Inspired by Decolonial Theory”, </w:t>
      </w:r>
      <w:r w:rsidR="00C0039F" w:rsidRPr="00285397">
        <w:rPr>
          <w:i/>
          <w:iCs/>
          <w:lang w:val="en-US"/>
        </w:rPr>
        <w:t>Buffalo Law Review,</w:t>
      </w:r>
      <w:r w:rsidR="00C0039F" w:rsidRPr="00285397">
        <w:rPr>
          <w:lang w:val="en-US"/>
        </w:rPr>
        <w:t xml:space="preserve"> 72(5), 2024, p. </w:t>
      </w:r>
      <w:r w:rsidR="00C0039F" w:rsidRPr="00285397">
        <w:rPr>
          <w:highlight w:val="yellow"/>
          <w:lang w:val="en-US"/>
        </w:rPr>
        <w:t>…</w:t>
      </w:r>
      <w:bookmarkEnd w:id="11"/>
      <w:r w:rsidR="00C0039F" w:rsidRPr="00285397">
        <w:rPr>
          <w:lang w:val="en-US"/>
        </w:rPr>
        <w:t>.</w:t>
      </w:r>
    </w:p>
  </w:footnote>
  <w:footnote w:id="33">
    <w:p w14:paraId="44CBC2F8" w14:textId="2FD7C182" w:rsidR="009173AC" w:rsidRPr="006449A5" w:rsidRDefault="009173AC" w:rsidP="00E005ED">
      <w:pPr>
        <w:pStyle w:val="Notedebasdepage"/>
        <w:rPr>
          <w:lang w:val="fr-BE"/>
        </w:rPr>
      </w:pPr>
      <w:r w:rsidRPr="006449A5">
        <w:rPr>
          <w:rStyle w:val="Appelnotedebasdep"/>
          <w:lang w:val="fr-BE"/>
        </w:rPr>
        <w:footnoteRef/>
      </w:r>
      <w:r w:rsidRPr="006449A5">
        <w:rPr>
          <w:lang w:val="fr-BE"/>
        </w:rPr>
        <w:t xml:space="preserve"> </w:t>
      </w:r>
      <w:proofErr w:type="spellStart"/>
      <w:r w:rsidRPr="006449A5">
        <w:rPr>
          <w:lang w:val="fr-BE"/>
        </w:rPr>
        <w:t>Voy</w:t>
      </w:r>
      <w:proofErr w:type="spellEnd"/>
      <w:r w:rsidRPr="006449A5">
        <w:rPr>
          <w:lang w:val="fr-BE"/>
        </w:rPr>
        <w:t xml:space="preserve"> par ex</w:t>
      </w:r>
      <w:r w:rsidR="008E70CB" w:rsidRPr="006449A5">
        <w:rPr>
          <w:lang w:val="fr-BE"/>
        </w:rPr>
        <w:t xml:space="preserve">. </w:t>
      </w:r>
      <w:bookmarkStart w:id="12" w:name="_Hlk185944581"/>
      <w:proofErr w:type="spellStart"/>
      <w:r w:rsidR="008E70CB" w:rsidRPr="006449A5">
        <w:rPr>
          <w:lang w:val="fr-BE"/>
        </w:rPr>
        <w:t>Oberlandesgericht</w:t>
      </w:r>
      <w:proofErr w:type="spellEnd"/>
      <w:r w:rsidR="008E70CB" w:rsidRPr="006449A5">
        <w:rPr>
          <w:lang w:val="fr-BE"/>
        </w:rPr>
        <w:t xml:space="preserve"> </w:t>
      </w:r>
      <w:proofErr w:type="spellStart"/>
      <w:r w:rsidR="008E70CB" w:rsidRPr="006449A5">
        <w:rPr>
          <w:lang w:val="fr-BE"/>
        </w:rPr>
        <w:t>Hamburg</w:t>
      </w:r>
      <w:proofErr w:type="spellEnd"/>
      <w:r w:rsidR="008E70CB" w:rsidRPr="006449A5">
        <w:rPr>
          <w:lang w:val="fr-BE"/>
        </w:rPr>
        <w:t xml:space="preserve"> </w:t>
      </w:r>
      <w:r w:rsidR="00324621" w:rsidRPr="006449A5">
        <w:rPr>
          <w:lang w:val="fr-BE"/>
        </w:rPr>
        <w:t>(</w:t>
      </w:r>
      <w:r w:rsidR="008E70CB" w:rsidRPr="006449A5">
        <w:rPr>
          <w:lang w:val="fr-BE"/>
        </w:rPr>
        <w:t>OLGZ</w:t>
      </w:r>
      <w:r w:rsidR="00324621" w:rsidRPr="006449A5">
        <w:rPr>
          <w:lang w:val="fr-BE"/>
        </w:rPr>
        <w:t>)</w:t>
      </w:r>
      <w:r w:rsidR="008E70CB" w:rsidRPr="006449A5">
        <w:rPr>
          <w:lang w:val="fr-BE"/>
        </w:rPr>
        <w:t xml:space="preserve"> [Cour régionale supérieure], 29 mars 2021, 2 W. 17/20</w:t>
      </w:r>
      <w:bookmarkEnd w:id="12"/>
      <w:r w:rsidR="008E70CB" w:rsidRPr="006449A5">
        <w:rPr>
          <w:lang w:val="fr-BE"/>
        </w:rPr>
        <w:t>.</w:t>
      </w:r>
    </w:p>
  </w:footnote>
  <w:footnote w:id="34">
    <w:p w14:paraId="06B4E294" w14:textId="39EC1366" w:rsidR="00896B0E" w:rsidRPr="006449A5" w:rsidRDefault="00896B0E" w:rsidP="00E005ED">
      <w:pPr>
        <w:pStyle w:val="Notedebasdepage"/>
        <w:rPr>
          <w:lang w:val="fr-BE"/>
        </w:rPr>
      </w:pPr>
      <w:r w:rsidRPr="006449A5">
        <w:rPr>
          <w:rStyle w:val="Appelnotedebasdep"/>
          <w:lang w:val="fr-BE"/>
        </w:rPr>
        <w:footnoteRef/>
      </w:r>
      <w:r w:rsidRPr="006449A5">
        <w:rPr>
          <w:lang w:val="fr-BE"/>
        </w:rPr>
        <w:t xml:space="preserve"> </w:t>
      </w:r>
      <w:r w:rsidR="008E70CB" w:rsidRPr="006449A5">
        <w:rPr>
          <w:lang w:val="fr-BE"/>
        </w:rPr>
        <w:t xml:space="preserve">V. par ex.  Barney Glaser et </w:t>
      </w:r>
      <w:proofErr w:type="spellStart"/>
      <w:r w:rsidR="008E70CB" w:rsidRPr="006449A5">
        <w:rPr>
          <w:lang w:val="fr-BE"/>
        </w:rPr>
        <w:t>Amselm</w:t>
      </w:r>
      <w:proofErr w:type="spellEnd"/>
      <w:r w:rsidR="008E70CB" w:rsidRPr="006449A5">
        <w:rPr>
          <w:lang w:val="fr-BE"/>
        </w:rPr>
        <w:t xml:space="preserve"> Strauss</w:t>
      </w:r>
      <w:r w:rsidR="008E70CB" w:rsidRPr="006449A5">
        <w:rPr>
          <w:i/>
          <w:iCs/>
          <w:lang w:val="fr-BE"/>
        </w:rPr>
        <w:t>, La découverte de la théorie ancrée. Stratégies pour la recherche qualitative</w:t>
      </w:r>
      <w:r w:rsidR="008E70CB" w:rsidRPr="006449A5">
        <w:rPr>
          <w:lang w:val="fr-BE"/>
        </w:rPr>
        <w:t>, Paris, Armand Colin 2017 (2</w:t>
      </w:r>
      <w:r w:rsidR="008E70CB" w:rsidRPr="006449A5">
        <w:rPr>
          <w:vertAlign w:val="superscript"/>
          <w:lang w:val="fr-BE"/>
        </w:rPr>
        <w:t>ème</w:t>
      </w:r>
      <w:r w:rsidR="008E70CB" w:rsidRPr="006449A5">
        <w:rPr>
          <w:lang w:val="fr-BE"/>
        </w:rPr>
        <w:t xml:space="preserve"> éd.).</w:t>
      </w:r>
    </w:p>
  </w:footnote>
  <w:footnote w:id="35">
    <w:p w14:paraId="68EB098A" w14:textId="20F19DB9" w:rsidR="00814ACE" w:rsidRPr="006449A5" w:rsidRDefault="00814ACE">
      <w:pPr>
        <w:pStyle w:val="Notedebasdepage"/>
        <w:rPr>
          <w:lang w:val="fr-BE"/>
        </w:rPr>
      </w:pPr>
      <w:r w:rsidRPr="006449A5">
        <w:rPr>
          <w:rStyle w:val="Appelnotedebasdep"/>
          <w:lang w:val="fr-BE"/>
        </w:rPr>
        <w:footnoteRef/>
      </w:r>
      <w:r w:rsidRPr="006449A5">
        <w:rPr>
          <w:lang w:val="fr-BE"/>
        </w:rPr>
        <w:t xml:space="preserve"> Si ce n’est une méthode dépassant les disciplines académiques, car « [l]a nature inhérente des théories de la décolonisation, et par conséquent leur examen, repose sur une désobéissance aux théories dominantes et aux pratiques de cadrage</w:t>
      </w:r>
      <w:r w:rsidR="007F18D9" w:rsidRPr="006449A5">
        <w:rPr>
          <w:lang w:val="fr-BE"/>
        </w:rPr>
        <w:t> » (</w:t>
      </w:r>
      <w:proofErr w:type="spellStart"/>
      <w:r w:rsidR="007F18D9" w:rsidRPr="006449A5">
        <w:rPr>
          <w:lang w:val="fr-BE"/>
        </w:rPr>
        <w:t>Folúké</w:t>
      </w:r>
      <w:proofErr w:type="spellEnd"/>
      <w:r w:rsidR="007F18D9" w:rsidRPr="006449A5">
        <w:rPr>
          <w:lang w:val="fr-BE"/>
        </w:rPr>
        <w:t xml:space="preserve"> </w:t>
      </w:r>
      <w:proofErr w:type="spellStart"/>
      <w:r w:rsidR="007F18D9" w:rsidRPr="006449A5">
        <w:rPr>
          <w:lang w:val="fr-BE"/>
        </w:rPr>
        <w:t>Adébísí</w:t>
      </w:r>
      <w:proofErr w:type="spellEnd"/>
      <w:r w:rsidR="007F18D9" w:rsidRPr="006449A5">
        <w:rPr>
          <w:lang w:val="fr-BE"/>
        </w:rPr>
        <w:t xml:space="preserve">, </w:t>
      </w:r>
      <w:proofErr w:type="spellStart"/>
      <w:r w:rsidR="007F18D9" w:rsidRPr="006449A5">
        <w:rPr>
          <w:i/>
          <w:iCs/>
          <w:lang w:val="fr-BE"/>
        </w:rPr>
        <w:t>Decolonisation</w:t>
      </w:r>
      <w:proofErr w:type="spellEnd"/>
      <w:r w:rsidR="007F18D9" w:rsidRPr="006449A5">
        <w:rPr>
          <w:i/>
          <w:iCs/>
          <w:lang w:val="fr-BE"/>
        </w:rPr>
        <w:t xml:space="preserve"> and Legal </w:t>
      </w:r>
      <w:proofErr w:type="spellStart"/>
      <w:proofErr w:type="gramStart"/>
      <w:r w:rsidR="007F18D9" w:rsidRPr="006449A5">
        <w:rPr>
          <w:i/>
          <w:iCs/>
          <w:lang w:val="fr-BE"/>
        </w:rPr>
        <w:t>Knowledge</w:t>
      </w:r>
      <w:proofErr w:type="spellEnd"/>
      <w:r w:rsidR="007F18D9" w:rsidRPr="006449A5">
        <w:rPr>
          <w:i/>
          <w:iCs/>
          <w:lang w:val="fr-BE"/>
        </w:rPr>
        <w:t>:</w:t>
      </w:r>
      <w:proofErr w:type="gramEnd"/>
      <w:r w:rsidR="007F18D9" w:rsidRPr="006449A5">
        <w:rPr>
          <w:i/>
          <w:iCs/>
          <w:lang w:val="fr-BE"/>
        </w:rPr>
        <w:t xml:space="preserve"> </w:t>
      </w:r>
      <w:proofErr w:type="spellStart"/>
      <w:r w:rsidR="007F18D9" w:rsidRPr="006449A5">
        <w:rPr>
          <w:i/>
          <w:iCs/>
          <w:lang w:val="fr-BE"/>
        </w:rPr>
        <w:t>Reflections</w:t>
      </w:r>
      <w:proofErr w:type="spellEnd"/>
      <w:r w:rsidR="007F18D9" w:rsidRPr="006449A5">
        <w:rPr>
          <w:i/>
          <w:iCs/>
          <w:lang w:val="fr-BE"/>
        </w:rPr>
        <w:t xml:space="preserve"> on Power and </w:t>
      </w:r>
      <w:proofErr w:type="spellStart"/>
      <w:r w:rsidR="007F18D9" w:rsidRPr="006449A5">
        <w:rPr>
          <w:i/>
          <w:iCs/>
          <w:lang w:val="fr-BE"/>
        </w:rPr>
        <w:t>Possibility</w:t>
      </w:r>
      <w:proofErr w:type="spellEnd"/>
      <w:r w:rsidR="007F18D9" w:rsidRPr="006449A5">
        <w:rPr>
          <w:lang w:val="fr-BE"/>
        </w:rPr>
        <w:t xml:space="preserve">, Bristol </w:t>
      </w:r>
      <w:proofErr w:type="spellStart"/>
      <w:r w:rsidR="007F18D9" w:rsidRPr="006449A5">
        <w:rPr>
          <w:lang w:val="fr-BE"/>
        </w:rPr>
        <w:t>University</w:t>
      </w:r>
      <w:proofErr w:type="spellEnd"/>
      <w:r w:rsidR="007F18D9" w:rsidRPr="006449A5">
        <w:rPr>
          <w:lang w:val="fr-BE"/>
        </w:rPr>
        <w:t xml:space="preserve"> </w:t>
      </w:r>
      <w:proofErr w:type="spellStart"/>
      <w:r w:rsidR="007F18D9" w:rsidRPr="006449A5">
        <w:rPr>
          <w:lang w:val="fr-BE"/>
        </w:rPr>
        <w:t>Press</w:t>
      </w:r>
      <w:proofErr w:type="spellEnd"/>
      <w:r w:rsidR="007F18D9" w:rsidRPr="006449A5">
        <w:rPr>
          <w:lang w:val="fr-BE"/>
        </w:rPr>
        <w:t xml:space="preserve">, 2023, p. 15 (traduction libre)). </w:t>
      </w:r>
    </w:p>
  </w:footnote>
  <w:footnote w:id="36">
    <w:p w14:paraId="76B81761" w14:textId="2C5EB297" w:rsidR="00B87801" w:rsidRPr="00285397" w:rsidRDefault="00B87801" w:rsidP="00B87801">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A</w:t>
      </w:r>
      <w:r w:rsidR="00FD6F60" w:rsidRPr="00285397">
        <w:rPr>
          <w:rFonts w:cs="Times New Roman"/>
          <w:lang w:val="en-US"/>
        </w:rPr>
        <w:t xml:space="preserve">nselm </w:t>
      </w:r>
      <w:r w:rsidRPr="00285397">
        <w:rPr>
          <w:rFonts w:cs="Times New Roman"/>
          <w:lang w:val="en-US"/>
        </w:rPr>
        <w:t>Jimoh, « Decoloniality, Epistemological Decolonization</w:t>
      </w:r>
      <w:r w:rsidR="00FD6F60" w:rsidRPr="00285397">
        <w:rPr>
          <w:rFonts w:cs="Times New Roman"/>
          <w:lang w:val="en-US"/>
        </w:rPr>
        <w:t xml:space="preserve">…”, </w:t>
      </w:r>
      <w:proofErr w:type="spellStart"/>
      <w:r w:rsidR="00FD6F60" w:rsidRPr="00285397">
        <w:rPr>
          <w:rFonts w:cs="Times New Roman"/>
          <w:lang w:val="en-US"/>
        </w:rPr>
        <w:t>préc</w:t>
      </w:r>
      <w:proofErr w:type="spellEnd"/>
      <w:r w:rsidR="00FD6F60" w:rsidRPr="00285397">
        <w:rPr>
          <w:rFonts w:cs="Times New Roman"/>
          <w:lang w:val="en-US"/>
        </w:rPr>
        <w:t>.</w:t>
      </w:r>
      <w:r w:rsidRPr="00285397">
        <w:rPr>
          <w:rFonts w:cs="Times New Roman"/>
          <w:lang w:val="en-US"/>
        </w:rPr>
        <w:t xml:space="preserve">, </w:t>
      </w:r>
      <w:proofErr w:type="spellStart"/>
      <w:r w:rsidRPr="00285397">
        <w:rPr>
          <w:rFonts w:cs="Times New Roman"/>
          <w:lang w:val="en-US"/>
        </w:rPr>
        <w:t>spéc</w:t>
      </w:r>
      <w:proofErr w:type="spellEnd"/>
      <w:r w:rsidRPr="00285397">
        <w:rPr>
          <w:rFonts w:cs="Times New Roman"/>
          <w:lang w:val="en-US"/>
        </w:rPr>
        <w:t xml:space="preserve">. 87-88. </w:t>
      </w:r>
    </w:p>
  </w:footnote>
  <w:footnote w:id="37">
    <w:p w14:paraId="12CFC294" w14:textId="77777777" w:rsidR="000E03E0" w:rsidRPr="00285397" w:rsidRDefault="000E03E0"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Ibid, 82 (</w:t>
      </w:r>
      <w:proofErr w:type="spellStart"/>
      <w:r w:rsidRPr="00285397">
        <w:rPr>
          <w:rFonts w:cs="Times New Roman"/>
          <w:lang w:val="en-US"/>
        </w:rPr>
        <w:t>traduction</w:t>
      </w:r>
      <w:proofErr w:type="spellEnd"/>
      <w:r w:rsidRPr="00285397">
        <w:rPr>
          <w:rFonts w:cs="Times New Roman"/>
          <w:lang w:val="en-US"/>
        </w:rPr>
        <w:t xml:space="preserve"> libre). </w:t>
      </w:r>
    </w:p>
  </w:footnote>
  <w:footnote w:id="38">
    <w:p w14:paraId="476853C0" w14:textId="79A5D9F3" w:rsidR="000E03E0" w:rsidRPr="006449A5" w:rsidRDefault="000E03E0" w:rsidP="00E005ED">
      <w:pPr>
        <w:pStyle w:val="Notedebasdepage"/>
        <w:rPr>
          <w:rFonts w:cs="Times New Roman"/>
          <w:lang w:val="fr-BE"/>
        </w:rPr>
      </w:pPr>
      <w:r w:rsidRPr="006449A5">
        <w:rPr>
          <w:rStyle w:val="Appelnotedebasdep"/>
          <w:rFonts w:cs="Times New Roman"/>
          <w:lang w:val="fr-BE"/>
        </w:rPr>
        <w:footnoteRef/>
      </w:r>
      <w:r w:rsidRPr="00285397">
        <w:rPr>
          <w:rFonts w:cs="Times New Roman"/>
          <w:lang w:val="en-US"/>
        </w:rPr>
        <w:t xml:space="preserve"> Walter </w:t>
      </w:r>
      <w:proofErr w:type="spellStart"/>
      <w:r w:rsidRPr="00285397">
        <w:rPr>
          <w:rFonts w:cs="Times New Roman"/>
          <w:lang w:val="en-US"/>
        </w:rPr>
        <w:t>Mignolo</w:t>
      </w:r>
      <w:proofErr w:type="spellEnd"/>
      <w:r w:rsidRPr="00285397">
        <w:rPr>
          <w:rFonts w:cs="Times New Roman"/>
          <w:lang w:val="en-US"/>
        </w:rPr>
        <w:t>, “Foreword, On Pluriversality and Multipolarity</w:t>
      </w:r>
      <w:r w:rsidRPr="00285397">
        <w:rPr>
          <w:rFonts w:cs="Times New Roman"/>
          <w:i/>
          <w:iCs/>
          <w:lang w:val="en-US"/>
        </w:rPr>
        <w:t>”,</w:t>
      </w:r>
      <w:r w:rsidRPr="00285397">
        <w:rPr>
          <w:rFonts w:cs="Times New Roman"/>
          <w:lang w:val="en-US"/>
        </w:rPr>
        <w:t xml:space="preserve"> </w:t>
      </w:r>
      <w:proofErr w:type="spellStart"/>
      <w:r w:rsidR="00FD6F60" w:rsidRPr="00285397">
        <w:rPr>
          <w:rFonts w:cs="Times New Roman"/>
          <w:lang w:val="en-US"/>
        </w:rPr>
        <w:t>préc</w:t>
      </w:r>
      <w:proofErr w:type="spellEnd"/>
      <w:r w:rsidR="00FD6F60" w:rsidRPr="00285397">
        <w:rPr>
          <w:rFonts w:cs="Times New Roman"/>
          <w:lang w:val="en-US"/>
        </w:rPr>
        <w:t xml:space="preserve">., </w:t>
      </w:r>
      <w:r w:rsidRPr="00285397">
        <w:rPr>
          <w:rFonts w:cs="Times New Roman"/>
          <w:lang w:val="en-US"/>
        </w:rPr>
        <w:t xml:space="preserve">p. ix. </w:t>
      </w:r>
      <w:r w:rsidRPr="006449A5">
        <w:rPr>
          <w:rFonts w:cs="Times New Roman"/>
          <w:lang w:val="fr-BE"/>
        </w:rPr>
        <w:t>Comme le montre l'article de Ralf Michaels, ce concept peut toutefois également être associé aux travaux de chercheurs occidentaux tels que Carl Schmidt et William James (</w:t>
      </w:r>
      <w:bookmarkStart w:id="16" w:name="_Hlk184412531"/>
      <w:r w:rsidRPr="006449A5">
        <w:rPr>
          <w:rFonts w:cs="Times New Roman"/>
          <w:iCs/>
          <w:lang w:val="fr-BE"/>
        </w:rPr>
        <w:t>R</w:t>
      </w:r>
      <w:r w:rsidR="00D971ED" w:rsidRPr="006449A5">
        <w:rPr>
          <w:rFonts w:cs="Times New Roman"/>
          <w:iCs/>
          <w:lang w:val="fr-BE"/>
        </w:rPr>
        <w:t>alf</w:t>
      </w:r>
      <w:r w:rsidRPr="006449A5">
        <w:rPr>
          <w:rFonts w:cs="Times New Roman"/>
          <w:iCs/>
          <w:lang w:val="fr-BE"/>
        </w:rPr>
        <w:t xml:space="preserve"> Michaels, « </w:t>
      </w:r>
      <w:proofErr w:type="spellStart"/>
      <w:r w:rsidRPr="006449A5">
        <w:rPr>
          <w:rFonts w:cs="Times New Roman"/>
          <w:iCs/>
          <w:lang w:val="fr-BE"/>
        </w:rPr>
        <w:t>Private</w:t>
      </w:r>
      <w:proofErr w:type="spellEnd"/>
      <w:r w:rsidRPr="006449A5">
        <w:rPr>
          <w:rFonts w:cs="Times New Roman"/>
          <w:iCs/>
          <w:lang w:val="fr-BE"/>
        </w:rPr>
        <w:t xml:space="preserve"> International Law and the Legal </w:t>
      </w:r>
      <w:proofErr w:type="spellStart"/>
      <w:r w:rsidRPr="006449A5">
        <w:rPr>
          <w:rFonts w:cs="Times New Roman"/>
          <w:iCs/>
          <w:lang w:val="fr-BE"/>
        </w:rPr>
        <w:t>Pluriverse</w:t>
      </w:r>
      <w:proofErr w:type="spellEnd"/>
      <w:r w:rsidRPr="006449A5">
        <w:rPr>
          <w:rFonts w:cs="Times New Roman"/>
          <w:iCs/>
          <w:lang w:val="fr-BE"/>
        </w:rPr>
        <w:t xml:space="preserve"> », </w:t>
      </w:r>
      <w:bookmarkEnd w:id="16"/>
      <w:proofErr w:type="spellStart"/>
      <w:r w:rsidR="00FD6F60" w:rsidRPr="006449A5">
        <w:rPr>
          <w:rFonts w:cs="Times New Roman"/>
          <w:iCs/>
          <w:lang w:val="fr-BE"/>
        </w:rPr>
        <w:t>préc</w:t>
      </w:r>
      <w:proofErr w:type="spellEnd"/>
      <w:r w:rsidR="00FD6F60" w:rsidRPr="006449A5">
        <w:rPr>
          <w:rFonts w:cs="Times New Roman"/>
          <w:iCs/>
          <w:lang w:val="fr-BE"/>
        </w:rPr>
        <w:t>.</w:t>
      </w:r>
      <w:r w:rsidRPr="006449A5">
        <w:rPr>
          <w:rFonts w:cs="Times New Roman"/>
          <w:lang w:val="fr-BE"/>
        </w:rPr>
        <w:t>).</w:t>
      </w:r>
    </w:p>
  </w:footnote>
  <w:footnote w:id="39">
    <w:p w14:paraId="0861B822" w14:textId="32F3D593" w:rsidR="000E03E0" w:rsidRPr="006449A5" w:rsidRDefault="000E03E0"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Ce qui nous fait penser à une autre recherche, critique mais pas </w:t>
      </w:r>
      <w:proofErr w:type="spellStart"/>
      <w:r w:rsidRPr="006449A5">
        <w:rPr>
          <w:rFonts w:cs="Times New Roman"/>
          <w:lang w:val="fr-BE"/>
        </w:rPr>
        <w:t>décoloniale</w:t>
      </w:r>
      <w:proofErr w:type="spellEnd"/>
      <w:r w:rsidRPr="006449A5">
        <w:rPr>
          <w:rFonts w:cs="Times New Roman"/>
          <w:lang w:val="fr-BE"/>
        </w:rPr>
        <w:t> : E</w:t>
      </w:r>
      <w:r w:rsidR="00C6164B" w:rsidRPr="006449A5">
        <w:rPr>
          <w:rFonts w:cs="Times New Roman"/>
          <w:lang w:val="fr-BE"/>
        </w:rPr>
        <w:t xml:space="preserve">tienne </w:t>
      </w:r>
      <w:r w:rsidRPr="006449A5">
        <w:rPr>
          <w:rFonts w:cs="Times New Roman"/>
          <w:lang w:val="fr-BE"/>
        </w:rPr>
        <w:t xml:space="preserve">Balibar, </w:t>
      </w:r>
      <w:r w:rsidRPr="006449A5">
        <w:rPr>
          <w:rFonts w:cs="Times New Roman"/>
          <w:i/>
          <w:iCs/>
          <w:lang w:val="fr-BE"/>
        </w:rPr>
        <w:t>Des Universels. Essais et conférences</w:t>
      </w:r>
      <w:r w:rsidRPr="006449A5">
        <w:rPr>
          <w:rFonts w:cs="Times New Roman"/>
          <w:lang w:val="fr-BE"/>
        </w:rPr>
        <w:t xml:space="preserve">, Paris, Editions Galilée, 2016. </w:t>
      </w:r>
    </w:p>
  </w:footnote>
  <w:footnote w:id="40">
    <w:p w14:paraId="27E1997D" w14:textId="7E0400B5" w:rsidR="000E03E0" w:rsidRPr="006449A5" w:rsidRDefault="000E03E0"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w:t>
      </w:r>
      <w:proofErr w:type="spellStart"/>
      <w:r w:rsidRPr="006449A5">
        <w:rPr>
          <w:rFonts w:cs="Times New Roman"/>
          <w:lang w:val="fr-BE"/>
        </w:rPr>
        <w:t>G</w:t>
      </w:r>
      <w:r w:rsidR="00C6164B" w:rsidRPr="006449A5">
        <w:rPr>
          <w:rFonts w:cs="Times New Roman"/>
          <w:lang w:val="fr-BE"/>
        </w:rPr>
        <w:t>urminder</w:t>
      </w:r>
      <w:proofErr w:type="spellEnd"/>
      <w:r w:rsidRPr="006449A5">
        <w:rPr>
          <w:rFonts w:cs="Times New Roman"/>
          <w:lang w:val="fr-BE"/>
        </w:rPr>
        <w:t xml:space="preserve"> </w:t>
      </w:r>
      <w:proofErr w:type="spellStart"/>
      <w:r w:rsidRPr="006449A5">
        <w:rPr>
          <w:rFonts w:cs="Times New Roman"/>
          <w:lang w:val="fr-BE"/>
        </w:rPr>
        <w:t>Bhambra</w:t>
      </w:r>
      <w:proofErr w:type="spellEnd"/>
      <w:r w:rsidRPr="006449A5">
        <w:rPr>
          <w:rFonts w:cs="Times New Roman"/>
          <w:lang w:val="fr-BE"/>
        </w:rPr>
        <w:t xml:space="preserve">, « Postcolonial and </w:t>
      </w:r>
      <w:proofErr w:type="spellStart"/>
      <w:r w:rsidRPr="006449A5">
        <w:rPr>
          <w:rFonts w:cs="Times New Roman"/>
          <w:lang w:val="fr-BE"/>
        </w:rPr>
        <w:t>decolonial</w:t>
      </w:r>
      <w:proofErr w:type="spellEnd"/>
      <w:r w:rsidRPr="006449A5">
        <w:rPr>
          <w:rFonts w:cs="Times New Roman"/>
          <w:lang w:val="fr-BE"/>
        </w:rPr>
        <w:t xml:space="preserve"> dialogue », </w:t>
      </w:r>
      <w:proofErr w:type="spellStart"/>
      <w:r w:rsidR="00ED64AF" w:rsidRPr="006449A5">
        <w:rPr>
          <w:rFonts w:cs="Times New Roman"/>
          <w:lang w:val="fr-BE"/>
        </w:rPr>
        <w:t>préc</w:t>
      </w:r>
      <w:proofErr w:type="spellEnd"/>
      <w:r w:rsidR="00ED64AF" w:rsidRPr="006449A5">
        <w:rPr>
          <w:rFonts w:cs="Times New Roman"/>
          <w:i/>
          <w:iCs/>
          <w:lang w:val="fr-BE"/>
        </w:rPr>
        <w:t>.</w:t>
      </w:r>
      <w:r w:rsidRPr="006449A5">
        <w:rPr>
          <w:rFonts w:cs="Times New Roman"/>
          <w:lang w:val="fr-BE"/>
        </w:rPr>
        <w:t xml:space="preserve">, </w:t>
      </w:r>
      <w:proofErr w:type="spellStart"/>
      <w:r w:rsidRPr="006449A5">
        <w:rPr>
          <w:rFonts w:cs="Times New Roman"/>
          <w:lang w:val="fr-BE"/>
        </w:rPr>
        <w:t>spéc</w:t>
      </w:r>
      <w:proofErr w:type="spellEnd"/>
      <w:r w:rsidRPr="006449A5">
        <w:rPr>
          <w:rFonts w:cs="Times New Roman"/>
          <w:lang w:val="fr-BE"/>
        </w:rPr>
        <w:t xml:space="preserve">. p. 120, résumant l'argument principal de Edward Said, </w:t>
      </w:r>
      <w:proofErr w:type="spellStart"/>
      <w:r w:rsidRPr="006449A5">
        <w:rPr>
          <w:rFonts w:cs="Times New Roman"/>
          <w:i/>
          <w:iCs/>
          <w:lang w:val="fr-BE"/>
        </w:rPr>
        <w:t>Orientalism</w:t>
      </w:r>
      <w:proofErr w:type="spellEnd"/>
      <w:r w:rsidRPr="006449A5">
        <w:rPr>
          <w:rFonts w:cs="Times New Roman"/>
          <w:i/>
          <w:iCs/>
          <w:lang w:val="fr-BE"/>
        </w:rPr>
        <w:t xml:space="preserve">, </w:t>
      </w:r>
      <w:r w:rsidRPr="006449A5">
        <w:rPr>
          <w:rFonts w:cs="Times New Roman"/>
          <w:lang w:val="fr-BE"/>
        </w:rPr>
        <w:t xml:space="preserve">Londres, Routledge &amp; </w:t>
      </w:r>
      <w:proofErr w:type="spellStart"/>
      <w:r w:rsidRPr="006449A5">
        <w:rPr>
          <w:rFonts w:cs="Times New Roman"/>
          <w:lang w:val="fr-BE"/>
        </w:rPr>
        <w:t>Kegan</w:t>
      </w:r>
      <w:proofErr w:type="spellEnd"/>
      <w:r w:rsidRPr="006449A5">
        <w:rPr>
          <w:rFonts w:cs="Times New Roman"/>
          <w:lang w:val="fr-BE"/>
        </w:rPr>
        <w:t xml:space="preserve"> Paul Ltd, 1078) (traduction libre). </w:t>
      </w:r>
    </w:p>
  </w:footnote>
  <w:footnote w:id="41">
    <w:p w14:paraId="14CA1F8A" w14:textId="77777777" w:rsidR="000E03E0" w:rsidRPr="00285397" w:rsidRDefault="000E03E0"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Walter </w:t>
      </w:r>
      <w:proofErr w:type="spellStart"/>
      <w:r w:rsidRPr="00285397">
        <w:rPr>
          <w:rFonts w:cs="Times New Roman"/>
          <w:lang w:val="en-US"/>
        </w:rPr>
        <w:t>Mignolo</w:t>
      </w:r>
      <w:proofErr w:type="spellEnd"/>
      <w:r w:rsidRPr="00285397">
        <w:rPr>
          <w:rFonts w:cs="Times New Roman"/>
          <w:lang w:val="en-US"/>
        </w:rPr>
        <w:t xml:space="preserve">, </w:t>
      </w:r>
      <w:r w:rsidRPr="00285397">
        <w:rPr>
          <w:rFonts w:cs="Times New Roman"/>
          <w:i/>
          <w:iCs/>
          <w:lang w:val="en-US"/>
        </w:rPr>
        <w:t xml:space="preserve">Local Histories/Global Designs : Coloniality, Subaltern Knowledges, and Border Thinking, </w:t>
      </w:r>
      <w:r w:rsidRPr="00285397">
        <w:rPr>
          <w:rFonts w:cs="Times New Roman"/>
          <w:lang w:val="en-US"/>
        </w:rPr>
        <w:t>Princeton, Princeton University Press, 2012.</w:t>
      </w:r>
    </w:p>
  </w:footnote>
  <w:footnote w:id="42">
    <w:p w14:paraId="29289D6B" w14:textId="108CEBA6" w:rsidR="000E03E0" w:rsidRPr="00285397" w:rsidRDefault="000E03E0"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Walter </w:t>
      </w:r>
      <w:proofErr w:type="spellStart"/>
      <w:r w:rsidRPr="00285397">
        <w:rPr>
          <w:rFonts w:cs="Times New Roman"/>
          <w:lang w:val="en-US"/>
        </w:rPr>
        <w:t>Mignolo</w:t>
      </w:r>
      <w:proofErr w:type="spellEnd"/>
      <w:r w:rsidRPr="00285397">
        <w:rPr>
          <w:rFonts w:cs="Times New Roman"/>
          <w:lang w:val="en-US"/>
        </w:rPr>
        <w:t xml:space="preserve"> et </w:t>
      </w:r>
      <w:proofErr w:type="spellStart"/>
      <w:r w:rsidRPr="00285397">
        <w:rPr>
          <w:rFonts w:cs="Times New Roman"/>
          <w:lang w:val="en-US"/>
        </w:rPr>
        <w:t>Catherie</w:t>
      </w:r>
      <w:proofErr w:type="spellEnd"/>
      <w:r w:rsidRPr="00285397">
        <w:rPr>
          <w:rFonts w:cs="Times New Roman"/>
          <w:lang w:val="en-US"/>
        </w:rPr>
        <w:t xml:space="preserve"> Walsh, </w:t>
      </w:r>
      <w:proofErr w:type="spellStart"/>
      <w:r w:rsidR="00ED64AF" w:rsidRPr="00285397">
        <w:rPr>
          <w:rFonts w:cs="Times New Roman"/>
          <w:lang w:val="en-US"/>
        </w:rPr>
        <w:t>préc</w:t>
      </w:r>
      <w:proofErr w:type="spellEnd"/>
      <w:r w:rsidRPr="00285397">
        <w:rPr>
          <w:rFonts w:cs="Times New Roman"/>
          <w:lang w:val="en-US"/>
        </w:rPr>
        <w:t xml:space="preserve">. </w:t>
      </w:r>
    </w:p>
  </w:footnote>
  <w:footnote w:id="43">
    <w:p w14:paraId="162BD2C3" w14:textId="7B7DE1E7" w:rsidR="000E03E0" w:rsidRPr="00285397" w:rsidRDefault="000E03E0"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Walter </w:t>
      </w:r>
      <w:proofErr w:type="spellStart"/>
      <w:r w:rsidRPr="00285397">
        <w:rPr>
          <w:rFonts w:cs="Times New Roman"/>
          <w:lang w:val="en-US"/>
        </w:rPr>
        <w:t>Mignolo</w:t>
      </w:r>
      <w:proofErr w:type="spellEnd"/>
      <w:r w:rsidRPr="00285397">
        <w:rPr>
          <w:rFonts w:cs="Times New Roman"/>
          <w:lang w:val="en-US"/>
        </w:rPr>
        <w:t xml:space="preserve">, </w:t>
      </w:r>
      <w:r w:rsidR="00ED64AF" w:rsidRPr="00285397">
        <w:rPr>
          <w:rFonts w:cs="Times New Roman"/>
          <w:lang w:val="en-US"/>
        </w:rPr>
        <w:t>« </w:t>
      </w:r>
      <w:r w:rsidRPr="00285397">
        <w:rPr>
          <w:rFonts w:cs="Times New Roman"/>
          <w:lang w:val="en-US"/>
        </w:rPr>
        <w:t>Delinking</w:t>
      </w:r>
      <w:r w:rsidR="00ED64AF" w:rsidRPr="00285397">
        <w:rPr>
          <w:rFonts w:cs="Times New Roman"/>
          <w:lang w:val="en-US"/>
        </w:rPr>
        <w:t> »</w:t>
      </w:r>
      <w:r w:rsidRPr="00285397">
        <w:rPr>
          <w:rFonts w:cs="Times New Roman"/>
          <w:lang w:val="en-US"/>
        </w:rPr>
        <w:t xml:space="preserve">, </w:t>
      </w:r>
      <w:r w:rsidRPr="00285397">
        <w:rPr>
          <w:rFonts w:cs="Times New Roman"/>
          <w:i/>
          <w:iCs/>
          <w:lang w:val="en-US"/>
        </w:rPr>
        <w:t xml:space="preserve">Cultural Studies, </w:t>
      </w:r>
      <w:r w:rsidRPr="00285397">
        <w:rPr>
          <w:rFonts w:cs="Times New Roman"/>
          <w:lang w:val="en-US"/>
        </w:rPr>
        <w:t>21(2), 2007, p.</w:t>
      </w:r>
      <w:r w:rsidRPr="00285397">
        <w:rPr>
          <w:rFonts w:cs="Times New Roman"/>
          <w:i/>
          <w:iCs/>
          <w:lang w:val="en-US"/>
        </w:rPr>
        <w:t xml:space="preserve"> </w:t>
      </w:r>
      <w:r w:rsidRPr="00285397">
        <w:rPr>
          <w:rFonts w:cs="Times New Roman"/>
          <w:lang w:val="en-US"/>
        </w:rPr>
        <w:t>497-514.</w:t>
      </w:r>
    </w:p>
  </w:footnote>
  <w:footnote w:id="44">
    <w:p w14:paraId="2A4141DB" w14:textId="1FA74C77" w:rsidR="000E03E0" w:rsidRPr="006449A5" w:rsidRDefault="000E03E0"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w:t>
      </w:r>
      <w:r w:rsidR="00ED64AF" w:rsidRPr="006449A5">
        <w:rPr>
          <w:rFonts w:cs="Times New Roman"/>
          <w:lang w:val="fr-BE"/>
        </w:rPr>
        <w:t xml:space="preserve">Walter </w:t>
      </w:r>
      <w:proofErr w:type="spellStart"/>
      <w:r w:rsidRPr="006449A5">
        <w:rPr>
          <w:rFonts w:cs="Times New Roman"/>
          <w:lang w:val="fr-BE"/>
        </w:rPr>
        <w:t>Mignolo</w:t>
      </w:r>
      <w:proofErr w:type="spellEnd"/>
      <w:r w:rsidRPr="006449A5">
        <w:rPr>
          <w:rFonts w:cs="Times New Roman"/>
          <w:lang w:val="fr-BE"/>
        </w:rPr>
        <w:t xml:space="preserve">, </w:t>
      </w:r>
      <w:r w:rsidR="00ED64AF" w:rsidRPr="006449A5">
        <w:rPr>
          <w:rFonts w:cs="Times New Roman"/>
          <w:lang w:val="fr-BE"/>
        </w:rPr>
        <w:t>« </w:t>
      </w:r>
      <w:proofErr w:type="spellStart"/>
      <w:r w:rsidRPr="006449A5">
        <w:rPr>
          <w:rFonts w:cs="Times New Roman"/>
          <w:lang w:val="fr-BE"/>
        </w:rPr>
        <w:t>Foreword</w:t>
      </w:r>
      <w:proofErr w:type="spellEnd"/>
      <w:r w:rsidRPr="006449A5">
        <w:rPr>
          <w:rFonts w:cs="Times New Roman"/>
          <w:lang w:val="fr-BE"/>
        </w:rPr>
        <w:t xml:space="preserve">. On </w:t>
      </w:r>
      <w:proofErr w:type="spellStart"/>
      <w:r w:rsidRPr="006449A5">
        <w:rPr>
          <w:rFonts w:cs="Times New Roman"/>
          <w:lang w:val="fr-BE"/>
        </w:rPr>
        <w:t>Pluriversality</w:t>
      </w:r>
      <w:proofErr w:type="spellEnd"/>
      <w:r w:rsidRPr="006449A5">
        <w:rPr>
          <w:rFonts w:cs="Times New Roman"/>
          <w:lang w:val="fr-BE"/>
        </w:rPr>
        <w:t xml:space="preserve"> and </w:t>
      </w:r>
      <w:proofErr w:type="spellStart"/>
      <w:r w:rsidRPr="006449A5">
        <w:rPr>
          <w:rFonts w:cs="Times New Roman"/>
          <w:lang w:val="fr-BE"/>
        </w:rPr>
        <w:t>Multipolarity</w:t>
      </w:r>
      <w:proofErr w:type="spellEnd"/>
      <w:r w:rsidR="00ED64AF" w:rsidRPr="006449A5">
        <w:rPr>
          <w:rFonts w:cs="Times New Roman"/>
          <w:lang w:val="fr-BE"/>
        </w:rPr>
        <w:t xml:space="preserve">”, </w:t>
      </w:r>
      <w:proofErr w:type="spellStart"/>
      <w:r w:rsidR="00ED64AF" w:rsidRPr="006449A5">
        <w:rPr>
          <w:rFonts w:cs="Times New Roman"/>
          <w:lang w:val="fr-BE"/>
        </w:rPr>
        <w:t>préc</w:t>
      </w:r>
      <w:proofErr w:type="spellEnd"/>
      <w:r w:rsidR="00ED64AF" w:rsidRPr="006449A5">
        <w:rPr>
          <w:rFonts w:cs="Times New Roman"/>
          <w:lang w:val="fr-BE"/>
        </w:rPr>
        <w:t>., p.</w:t>
      </w:r>
      <w:r w:rsidRPr="006449A5">
        <w:rPr>
          <w:rFonts w:cs="Times New Roman"/>
          <w:lang w:val="fr-BE"/>
        </w:rPr>
        <w:t xml:space="preserve"> x (traduction libre). </w:t>
      </w:r>
    </w:p>
  </w:footnote>
  <w:footnote w:id="45">
    <w:p w14:paraId="24883F2F" w14:textId="77777777" w:rsidR="000E03E0" w:rsidRPr="006449A5" w:rsidRDefault="000E03E0"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V. par ex.</w:t>
      </w:r>
      <w:r w:rsidRPr="006449A5">
        <w:rPr>
          <w:rFonts w:cs="Times New Roman"/>
          <w:sz w:val="22"/>
          <w:szCs w:val="22"/>
          <w:lang w:val="fr-BE"/>
        </w:rPr>
        <w:t xml:space="preserve"> </w:t>
      </w:r>
      <w:proofErr w:type="spellStart"/>
      <w:r w:rsidRPr="006449A5">
        <w:rPr>
          <w:rFonts w:cs="Times New Roman"/>
          <w:lang w:val="fr-BE"/>
        </w:rPr>
        <w:t>Boaventura</w:t>
      </w:r>
      <w:proofErr w:type="spellEnd"/>
      <w:r w:rsidRPr="006449A5">
        <w:rPr>
          <w:rFonts w:cs="Times New Roman"/>
          <w:lang w:val="fr-BE"/>
        </w:rPr>
        <w:t xml:space="preserve"> De Sousa Santos, </w:t>
      </w:r>
      <w:proofErr w:type="spellStart"/>
      <w:r w:rsidRPr="006449A5">
        <w:rPr>
          <w:rFonts w:cs="Times New Roman"/>
          <w:i/>
          <w:iCs/>
          <w:lang w:val="fr-BE"/>
        </w:rPr>
        <w:t>Epistemologies</w:t>
      </w:r>
      <w:proofErr w:type="spellEnd"/>
      <w:r w:rsidRPr="006449A5">
        <w:rPr>
          <w:rFonts w:cs="Times New Roman"/>
          <w:i/>
          <w:iCs/>
          <w:lang w:val="fr-BE"/>
        </w:rPr>
        <w:t xml:space="preserve"> of the </w:t>
      </w:r>
      <w:proofErr w:type="gramStart"/>
      <w:r w:rsidRPr="006449A5">
        <w:rPr>
          <w:rFonts w:cs="Times New Roman"/>
          <w:i/>
          <w:iCs/>
          <w:lang w:val="fr-BE"/>
        </w:rPr>
        <w:t>South:</w:t>
      </w:r>
      <w:proofErr w:type="gramEnd"/>
      <w:r w:rsidRPr="006449A5">
        <w:rPr>
          <w:rFonts w:cs="Times New Roman"/>
          <w:i/>
          <w:iCs/>
          <w:lang w:val="fr-BE"/>
        </w:rPr>
        <w:t xml:space="preserve"> Justice Against </w:t>
      </w:r>
      <w:proofErr w:type="spellStart"/>
      <w:r w:rsidRPr="006449A5">
        <w:rPr>
          <w:rFonts w:cs="Times New Roman"/>
          <w:i/>
          <w:iCs/>
          <w:lang w:val="fr-BE"/>
        </w:rPr>
        <w:t>Epistemicide</w:t>
      </w:r>
      <w:proofErr w:type="spellEnd"/>
      <w:r w:rsidRPr="006449A5">
        <w:rPr>
          <w:rFonts w:cs="Times New Roman"/>
          <w:lang w:val="fr-BE"/>
        </w:rPr>
        <w:t xml:space="preserve">, New York, Routledge, 2014; Enrique </w:t>
      </w:r>
      <w:proofErr w:type="spellStart"/>
      <w:r w:rsidRPr="006449A5">
        <w:rPr>
          <w:rFonts w:cs="Times New Roman"/>
          <w:lang w:val="fr-BE"/>
        </w:rPr>
        <w:t>Dussel</w:t>
      </w:r>
      <w:proofErr w:type="spellEnd"/>
      <w:r w:rsidRPr="006449A5">
        <w:rPr>
          <w:rFonts w:cs="Times New Roman"/>
          <w:lang w:val="fr-BE"/>
        </w:rPr>
        <w:t xml:space="preserve">, « Pour un dialogue mondial entre traditions philosophiques », </w:t>
      </w:r>
      <w:r w:rsidRPr="006449A5">
        <w:rPr>
          <w:rFonts w:cs="Times New Roman"/>
          <w:i/>
          <w:iCs/>
          <w:lang w:val="fr-BE"/>
        </w:rPr>
        <w:t>Cahiers des Amériques latines</w:t>
      </w:r>
      <w:r w:rsidRPr="006449A5">
        <w:rPr>
          <w:rFonts w:cs="Times New Roman"/>
          <w:lang w:val="fr-BE"/>
        </w:rPr>
        <w:t xml:space="preserve">, 62/2009, p. 111-127; Zahra Ali et </w:t>
      </w:r>
      <w:proofErr w:type="spellStart"/>
      <w:r w:rsidRPr="006449A5">
        <w:rPr>
          <w:rFonts w:cs="Times New Roman"/>
          <w:lang w:val="fr-BE"/>
        </w:rPr>
        <w:t>Sonai</w:t>
      </w:r>
      <w:proofErr w:type="spellEnd"/>
      <w:r w:rsidRPr="006449A5">
        <w:rPr>
          <w:rFonts w:cs="Times New Roman"/>
          <w:lang w:val="fr-BE"/>
        </w:rPr>
        <w:t xml:space="preserve"> Dayan-</w:t>
      </w:r>
      <w:proofErr w:type="spellStart"/>
      <w:r w:rsidRPr="006449A5">
        <w:rPr>
          <w:rFonts w:cs="Times New Roman"/>
          <w:lang w:val="fr-BE"/>
        </w:rPr>
        <w:t>Herzbrun</w:t>
      </w:r>
      <w:proofErr w:type="spellEnd"/>
      <w:r w:rsidRPr="006449A5">
        <w:rPr>
          <w:rFonts w:cs="Times New Roman"/>
          <w:lang w:val="fr-BE"/>
        </w:rPr>
        <w:t xml:space="preserve">, « Présentation », </w:t>
      </w:r>
      <w:r w:rsidRPr="006449A5">
        <w:rPr>
          <w:rFonts w:cs="Times New Roman"/>
          <w:i/>
          <w:iCs/>
          <w:lang w:val="fr-BE"/>
        </w:rPr>
        <w:t>Tumultes</w:t>
      </w:r>
      <w:r w:rsidRPr="006449A5">
        <w:rPr>
          <w:rFonts w:cs="Times New Roman"/>
          <w:lang w:val="fr-BE"/>
        </w:rPr>
        <w:t xml:space="preserve">, n°48, 2017/1, p. 5-13, </w:t>
      </w:r>
      <w:proofErr w:type="spellStart"/>
      <w:r w:rsidRPr="006449A5">
        <w:rPr>
          <w:rFonts w:cs="Times New Roman"/>
          <w:lang w:val="fr-BE"/>
        </w:rPr>
        <w:t>spéc</w:t>
      </w:r>
      <w:proofErr w:type="spellEnd"/>
      <w:r w:rsidRPr="006449A5">
        <w:rPr>
          <w:rFonts w:cs="Times New Roman"/>
          <w:lang w:val="fr-BE"/>
        </w:rPr>
        <w:t>. p. 6-</w:t>
      </w:r>
      <w:proofErr w:type="gramStart"/>
      <w:r w:rsidRPr="006449A5">
        <w:rPr>
          <w:rFonts w:cs="Times New Roman"/>
          <w:lang w:val="fr-BE"/>
        </w:rPr>
        <w:t>7;</w:t>
      </w:r>
      <w:proofErr w:type="gramEnd"/>
      <w:r w:rsidRPr="006449A5">
        <w:rPr>
          <w:rFonts w:cs="Times New Roman"/>
          <w:lang w:val="fr-BE"/>
        </w:rPr>
        <w:t xml:space="preserve"> </w:t>
      </w:r>
      <w:proofErr w:type="spellStart"/>
      <w:r w:rsidRPr="006449A5">
        <w:rPr>
          <w:rFonts w:cs="Times New Roman"/>
          <w:lang w:val="fr-BE"/>
        </w:rPr>
        <w:t>Ràmon</w:t>
      </w:r>
      <w:proofErr w:type="spellEnd"/>
      <w:r w:rsidRPr="006449A5">
        <w:rPr>
          <w:rFonts w:cs="Times New Roman"/>
          <w:lang w:val="fr-BE"/>
        </w:rPr>
        <w:t xml:space="preserve"> </w:t>
      </w:r>
      <w:proofErr w:type="spellStart"/>
      <w:r w:rsidRPr="006449A5">
        <w:rPr>
          <w:rFonts w:cs="Times New Roman"/>
          <w:lang w:val="fr-BE"/>
        </w:rPr>
        <w:t>Grosfoguel</w:t>
      </w:r>
      <w:proofErr w:type="spellEnd"/>
      <w:r w:rsidRPr="006449A5">
        <w:rPr>
          <w:rFonts w:cs="Times New Roman"/>
          <w:lang w:val="fr-BE"/>
        </w:rPr>
        <w:t xml:space="preserve">, « The </w:t>
      </w:r>
      <w:proofErr w:type="spellStart"/>
      <w:r w:rsidRPr="006449A5">
        <w:rPr>
          <w:rFonts w:cs="Times New Roman"/>
          <w:lang w:val="fr-BE"/>
        </w:rPr>
        <w:t>Epistemic</w:t>
      </w:r>
      <w:proofErr w:type="spellEnd"/>
      <w:r w:rsidRPr="006449A5">
        <w:rPr>
          <w:rFonts w:cs="Times New Roman"/>
          <w:lang w:val="fr-BE"/>
        </w:rPr>
        <w:t xml:space="preserve"> </w:t>
      </w:r>
      <w:proofErr w:type="spellStart"/>
      <w:r w:rsidRPr="006449A5">
        <w:rPr>
          <w:rFonts w:cs="Times New Roman"/>
          <w:lang w:val="fr-BE"/>
        </w:rPr>
        <w:t>Decolonial</w:t>
      </w:r>
      <w:proofErr w:type="spellEnd"/>
      <w:r w:rsidRPr="006449A5">
        <w:rPr>
          <w:rFonts w:cs="Times New Roman"/>
          <w:lang w:val="fr-BE"/>
        </w:rPr>
        <w:t xml:space="preserve"> </w:t>
      </w:r>
      <w:proofErr w:type="spellStart"/>
      <w:r w:rsidRPr="006449A5">
        <w:rPr>
          <w:rFonts w:cs="Times New Roman"/>
          <w:lang w:val="fr-BE"/>
        </w:rPr>
        <w:t>Turn</w:t>
      </w:r>
      <w:proofErr w:type="spellEnd"/>
      <w:r w:rsidRPr="006449A5">
        <w:rPr>
          <w:rFonts w:cs="Times New Roman"/>
          <w:lang w:val="fr-BE"/>
        </w:rPr>
        <w:t xml:space="preserve"> », </w:t>
      </w:r>
      <w:r w:rsidRPr="006449A5">
        <w:rPr>
          <w:rFonts w:cs="Times New Roman"/>
          <w:i/>
          <w:iCs/>
          <w:lang w:val="fr-BE"/>
        </w:rPr>
        <w:t xml:space="preserve">Cultural </w:t>
      </w:r>
      <w:proofErr w:type="spellStart"/>
      <w:r w:rsidRPr="006449A5">
        <w:rPr>
          <w:rFonts w:cs="Times New Roman"/>
          <w:i/>
          <w:iCs/>
          <w:lang w:val="fr-BE"/>
        </w:rPr>
        <w:t>Studies</w:t>
      </w:r>
      <w:proofErr w:type="spellEnd"/>
      <w:r w:rsidRPr="006449A5">
        <w:rPr>
          <w:rFonts w:cs="Times New Roman"/>
          <w:lang w:val="fr-BE"/>
        </w:rPr>
        <w:t xml:space="preserve"> 21(2) 2007, p. 211-223, </w:t>
      </w:r>
      <w:proofErr w:type="spellStart"/>
      <w:r w:rsidRPr="006449A5">
        <w:rPr>
          <w:rFonts w:cs="Times New Roman"/>
          <w:lang w:val="fr-BE"/>
        </w:rPr>
        <w:t>spéc</w:t>
      </w:r>
      <w:proofErr w:type="spellEnd"/>
      <w:r w:rsidRPr="006449A5">
        <w:rPr>
          <w:rFonts w:cs="Times New Roman"/>
          <w:lang w:val="fr-BE"/>
        </w:rPr>
        <w:t>. p. 212.</w:t>
      </w:r>
    </w:p>
  </w:footnote>
  <w:footnote w:id="46">
    <w:p w14:paraId="19ECB2A3" w14:textId="14AC9FA0" w:rsidR="000E03E0" w:rsidRPr="006449A5" w:rsidRDefault="000E03E0"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Expression inspirée de G</w:t>
      </w:r>
      <w:r w:rsidR="00ED64AF" w:rsidRPr="006449A5">
        <w:rPr>
          <w:rFonts w:cs="Times New Roman"/>
          <w:lang w:val="fr-BE"/>
        </w:rPr>
        <w:t>loria</w:t>
      </w:r>
      <w:r w:rsidRPr="006449A5">
        <w:rPr>
          <w:rFonts w:cs="Times New Roman"/>
          <w:lang w:val="fr-BE"/>
        </w:rPr>
        <w:t xml:space="preserve"> </w:t>
      </w:r>
      <w:proofErr w:type="spellStart"/>
      <w:r w:rsidRPr="006449A5">
        <w:rPr>
          <w:rFonts w:cs="Times New Roman"/>
          <w:lang w:val="fr-BE"/>
        </w:rPr>
        <w:t>Anzaldùa</w:t>
      </w:r>
      <w:proofErr w:type="spellEnd"/>
      <w:r w:rsidRPr="006449A5">
        <w:rPr>
          <w:rFonts w:cs="Times New Roman"/>
          <w:lang w:val="fr-BE"/>
        </w:rPr>
        <w:t xml:space="preserve">, </w:t>
      </w:r>
      <w:proofErr w:type="spellStart"/>
      <w:r w:rsidRPr="006449A5">
        <w:rPr>
          <w:rFonts w:cs="Times New Roman"/>
          <w:i/>
          <w:iCs/>
          <w:lang w:val="fr-BE"/>
        </w:rPr>
        <w:t>Borderlands</w:t>
      </w:r>
      <w:proofErr w:type="spellEnd"/>
      <w:r w:rsidRPr="006449A5">
        <w:rPr>
          <w:rFonts w:cs="Times New Roman"/>
          <w:i/>
          <w:iCs/>
          <w:lang w:val="fr-BE"/>
        </w:rPr>
        <w:t xml:space="preserve">/La </w:t>
      </w:r>
      <w:proofErr w:type="gramStart"/>
      <w:r w:rsidRPr="006449A5">
        <w:rPr>
          <w:rFonts w:cs="Times New Roman"/>
          <w:i/>
          <w:iCs/>
          <w:lang w:val="fr-BE"/>
        </w:rPr>
        <w:t>Frontera:</w:t>
      </w:r>
      <w:proofErr w:type="gramEnd"/>
      <w:r w:rsidRPr="006449A5">
        <w:rPr>
          <w:rFonts w:cs="Times New Roman"/>
          <w:i/>
          <w:iCs/>
          <w:lang w:val="fr-BE"/>
        </w:rPr>
        <w:t xml:space="preserve"> The New </w:t>
      </w:r>
      <w:proofErr w:type="spellStart"/>
      <w:r w:rsidRPr="006449A5">
        <w:rPr>
          <w:rFonts w:cs="Times New Roman"/>
          <w:i/>
          <w:iCs/>
          <w:lang w:val="fr-BE"/>
        </w:rPr>
        <w:t>Mestiza</w:t>
      </w:r>
      <w:proofErr w:type="spellEnd"/>
      <w:r w:rsidRPr="006449A5">
        <w:rPr>
          <w:rFonts w:cs="Times New Roman"/>
          <w:i/>
          <w:iCs/>
          <w:lang w:val="fr-BE"/>
        </w:rPr>
        <w:t xml:space="preserve">, </w:t>
      </w:r>
      <w:r w:rsidRPr="006449A5">
        <w:rPr>
          <w:rFonts w:cs="Times New Roman"/>
          <w:lang w:val="fr-BE"/>
        </w:rPr>
        <w:t xml:space="preserve">San Francisco, </w:t>
      </w:r>
      <w:proofErr w:type="spellStart"/>
      <w:r w:rsidRPr="006449A5">
        <w:rPr>
          <w:rFonts w:cs="Times New Roman"/>
          <w:lang w:val="fr-BE"/>
        </w:rPr>
        <w:t>Spinsters</w:t>
      </w:r>
      <w:proofErr w:type="spellEnd"/>
      <w:r w:rsidRPr="006449A5">
        <w:rPr>
          <w:rFonts w:cs="Times New Roman"/>
          <w:lang w:val="fr-BE"/>
        </w:rPr>
        <w:t>/</w:t>
      </w:r>
      <w:proofErr w:type="spellStart"/>
      <w:r w:rsidRPr="006449A5">
        <w:rPr>
          <w:rFonts w:cs="Times New Roman"/>
          <w:lang w:val="fr-BE"/>
        </w:rPr>
        <w:t>Aunt</w:t>
      </w:r>
      <w:proofErr w:type="spellEnd"/>
      <w:r w:rsidRPr="006449A5">
        <w:rPr>
          <w:rFonts w:cs="Times New Roman"/>
          <w:lang w:val="fr-BE"/>
        </w:rPr>
        <w:t xml:space="preserve"> Lute, 1987. </w:t>
      </w:r>
    </w:p>
  </w:footnote>
  <w:footnote w:id="47">
    <w:p w14:paraId="23CF99BE" w14:textId="326A1067" w:rsidR="0019083E" w:rsidRPr="006449A5" w:rsidRDefault="0019083E" w:rsidP="00E005ED">
      <w:pPr>
        <w:pStyle w:val="Notedebasdepage"/>
        <w:rPr>
          <w:lang w:val="fr-BE"/>
        </w:rPr>
      </w:pPr>
      <w:r w:rsidRPr="006449A5">
        <w:rPr>
          <w:rStyle w:val="Appelnotedebasdep"/>
          <w:lang w:val="fr-BE"/>
        </w:rPr>
        <w:footnoteRef/>
      </w:r>
      <w:r w:rsidRPr="006449A5">
        <w:rPr>
          <w:lang w:val="fr-BE"/>
        </w:rPr>
        <w:t xml:space="preserve"> Nous n’utilisons pas l’écriture inclusive pour ne pas alourdir le texte mais nous </w:t>
      </w:r>
      <w:r w:rsidR="00814ACE" w:rsidRPr="006449A5">
        <w:rPr>
          <w:lang w:val="fr-BE"/>
        </w:rPr>
        <w:t>souscrivons</w:t>
      </w:r>
      <w:r w:rsidRPr="006449A5">
        <w:rPr>
          <w:lang w:val="fr-BE"/>
        </w:rPr>
        <w:t xml:space="preserve"> tout à fait à sa raison d’être. </w:t>
      </w:r>
    </w:p>
  </w:footnote>
  <w:footnote w:id="48">
    <w:p w14:paraId="288DD269" w14:textId="2A70F5AB" w:rsidR="000E03E0" w:rsidRPr="00285397" w:rsidRDefault="000E03E0"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V. R</w:t>
      </w:r>
      <w:r w:rsidR="00ED64AF" w:rsidRPr="00285397">
        <w:rPr>
          <w:rFonts w:cs="Times New Roman"/>
          <w:lang w:val="en-US"/>
        </w:rPr>
        <w:t>obin</w:t>
      </w:r>
      <w:r w:rsidRPr="00285397">
        <w:rPr>
          <w:rFonts w:cs="Times New Roman"/>
          <w:lang w:val="en-US"/>
        </w:rPr>
        <w:t xml:space="preserve"> Dunford, « Toward a Decolonial Global Ethics », </w:t>
      </w:r>
      <w:r w:rsidRPr="00285397">
        <w:rPr>
          <w:rFonts w:cs="Times New Roman"/>
          <w:i/>
          <w:iCs/>
          <w:lang w:val="en-US"/>
        </w:rPr>
        <w:t>Journal of Global Ethics</w:t>
      </w:r>
      <w:r w:rsidRPr="00285397">
        <w:rPr>
          <w:rFonts w:cs="Times New Roman"/>
          <w:lang w:val="en-US"/>
        </w:rPr>
        <w:t xml:space="preserve"> 13(3) 2017, p. 380-397; Walter </w:t>
      </w:r>
      <w:proofErr w:type="spellStart"/>
      <w:r w:rsidRPr="00285397">
        <w:rPr>
          <w:rFonts w:cs="Times New Roman"/>
          <w:lang w:val="en-US"/>
        </w:rPr>
        <w:t>Mignolo</w:t>
      </w:r>
      <w:proofErr w:type="spellEnd"/>
      <w:r w:rsidRPr="00285397">
        <w:rPr>
          <w:rFonts w:cs="Times New Roman"/>
          <w:lang w:val="en-US"/>
        </w:rPr>
        <w:t xml:space="preserve">, </w:t>
      </w:r>
      <w:r w:rsidR="00ED64AF" w:rsidRPr="00285397">
        <w:rPr>
          <w:rFonts w:cs="Times New Roman"/>
          <w:lang w:val="en-US"/>
        </w:rPr>
        <w:t>« </w:t>
      </w:r>
      <w:r w:rsidRPr="00285397">
        <w:rPr>
          <w:rFonts w:cs="Times New Roman"/>
          <w:lang w:val="en-US"/>
        </w:rPr>
        <w:t>Geopolitics of sensing and knowing: on (de)coloniality, border thinking and epistemic disobedience</w:t>
      </w:r>
      <w:r w:rsidR="00ED64AF" w:rsidRPr="00285397">
        <w:rPr>
          <w:rFonts w:cs="Times New Roman"/>
          <w:lang w:val="en-US"/>
        </w:rPr>
        <w:t> »</w:t>
      </w:r>
      <w:r w:rsidRPr="00285397">
        <w:rPr>
          <w:rFonts w:cs="Times New Roman"/>
          <w:lang w:val="en-US"/>
        </w:rPr>
        <w:t xml:space="preserve">, </w:t>
      </w:r>
      <w:r w:rsidRPr="00285397">
        <w:rPr>
          <w:rFonts w:cs="Times New Roman"/>
          <w:i/>
          <w:iCs/>
          <w:lang w:val="en-US"/>
        </w:rPr>
        <w:t>Postcolonial Studies</w:t>
      </w:r>
      <w:r w:rsidRPr="00285397">
        <w:rPr>
          <w:rFonts w:cs="Times New Roman"/>
          <w:lang w:val="en-US"/>
        </w:rPr>
        <w:t xml:space="preserve"> 14(3) 2011, p. 273-283; Enrique Dussel, </w:t>
      </w:r>
      <w:r w:rsidR="00ED64AF" w:rsidRPr="00285397">
        <w:rPr>
          <w:rFonts w:cs="Times New Roman"/>
          <w:lang w:val="en-US"/>
        </w:rPr>
        <w:t>« </w:t>
      </w:r>
      <w:proofErr w:type="spellStart"/>
      <w:r w:rsidRPr="00285397">
        <w:rPr>
          <w:rFonts w:cs="Times New Roman"/>
          <w:lang w:val="en-US"/>
        </w:rPr>
        <w:t>Transmodernity</w:t>
      </w:r>
      <w:proofErr w:type="spellEnd"/>
      <w:r w:rsidRPr="00285397">
        <w:rPr>
          <w:rFonts w:cs="Times New Roman"/>
          <w:lang w:val="en-US"/>
        </w:rPr>
        <w:t xml:space="preserve"> and Interculturality: An </w:t>
      </w:r>
      <w:proofErr w:type="spellStart"/>
      <w:r w:rsidRPr="00285397">
        <w:rPr>
          <w:rFonts w:cs="Times New Roman"/>
          <w:lang w:val="en-US"/>
        </w:rPr>
        <w:t>Interpr</w:t>
      </w:r>
      <w:r w:rsidR="007F1A4E" w:rsidRPr="00285397">
        <w:rPr>
          <w:rFonts w:cs="Times New Roman"/>
          <w:lang w:val="en-US"/>
        </w:rPr>
        <w:t>État</w:t>
      </w:r>
      <w:r w:rsidRPr="00285397">
        <w:rPr>
          <w:rFonts w:cs="Times New Roman"/>
          <w:lang w:val="en-US"/>
        </w:rPr>
        <w:t>ion</w:t>
      </w:r>
      <w:proofErr w:type="spellEnd"/>
      <w:r w:rsidRPr="00285397">
        <w:rPr>
          <w:rFonts w:cs="Times New Roman"/>
          <w:lang w:val="en-US"/>
        </w:rPr>
        <w:t xml:space="preserve"> from the Perspective of the Philosophy of </w:t>
      </w:r>
      <w:r w:rsidR="00ED64AF" w:rsidRPr="00285397">
        <w:rPr>
          <w:rFonts w:cs="Times New Roman"/>
          <w:lang w:val="en-US"/>
        </w:rPr>
        <w:t>Libération »,</w:t>
      </w:r>
      <w:r w:rsidRPr="00285397">
        <w:rPr>
          <w:rFonts w:cs="Times New Roman"/>
          <w:lang w:val="en-US"/>
        </w:rPr>
        <w:t xml:space="preserve"> </w:t>
      </w:r>
      <w:r w:rsidRPr="00285397">
        <w:rPr>
          <w:rFonts w:cs="Times New Roman"/>
          <w:i/>
          <w:iCs/>
          <w:lang w:val="en-US"/>
        </w:rPr>
        <w:t>Journal of Peripheral Cultural Production of the Luso-Hispanic World</w:t>
      </w:r>
      <w:r w:rsidRPr="00285397">
        <w:rPr>
          <w:rFonts w:cs="Times New Roman"/>
          <w:lang w:val="en-US"/>
        </w:rPr>
        <w:t xml:space="preserve"> 1(3) 2012, p. 28–59 ; Arturo Escobar, </w:t>
      </w:r>
      <w:r w:rsidR="00ED64AF" w:rsidRPr="00285397">
        <w:rPr>
          <w:rFonts w:cs="Times New Roman"/>
          <w:lang w:val="en-US"/>
        </w:rPr>
        <w:t>« </w:t>
      </w:r>
      <w:r w:rsidRPr="00285397">
        <w:rPr>
          <w:rFonts w:cs="Times New Roman"/>
          <w:lang w:val="en-US"/>
        </w:rPr>
        <w:t>Worlds and Knowledges Otherwise</w:t>
      </w:r>
      <w:r w:rsidR="00ED64AF" w:rsidRPr="00285397">
        <w:rPr>
          <w:rFonts w:cs="Times New Roman"/>
          <w:lang w:val="en-US"/>
        </w:rPr>
        <w:t> »</w:t>
      </w:r>
      <w:r w:rsidRPr="00285397">
        <w:rPr>
          <w:rFonts w:cs="Times New Roman"/>
          <w:lang w:val="en-US"/>
        </w:rPr>
        <w:t xml:space="preserve">, </w:t>
      </w:r>
      <w:r w:rsidRPr="00285397">
        <w:rPr>
          <w:rFonts w:cs="Times New Roman"/>
          <w:i/>
          <w:iCs/>
          <w:lang w:val="en-US"/>
        </w:rPr>
        <w:t>Cultural Studies</w:t>
      </w:r>
      <w:r w:rsidRPr="00285397">
        <w:rPr>
          <w:rFonts w:cs="Times New Roman"/>
          <w:lang w:val="en-US"/>
        </w:rPr>
        <w:t xml:space="preserve"> 21 (2–3) 2007, p.179–210.</w:t>
      </w:r>
    </w:p>
  </w:footnote>
  <w:footnote w:id="49">
    <w:p w14:paraId="63CDCCA6" w14:textId="0B94A383" w:rsidR="000E03E0" w:rsidRPr="00285397" w:rsidRDefault="000E03E0"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G</w:t>
      </w:r>
      <w:r w:rsidR="00ED64AF" w:rsidRPr="00285397">
        <w:rPr>
          <w:rFonts w:cs="Times New Roman"/>
          <w:lang w:val="en-US"/>
        </w:rPr>
        <w:t>urminder</w:t>
      </w:r>
      <w:r w:rsidRPr="00285397">
        <w:rPr>
          <w:rFonts w:cs="Times New Roman"/>
          <w:lang w:val="en-US"/>
        </w:rPr>
        <w:t xml:space="preserve"> Bhambra, « Postcolonial and decolonial dialogue », </w:t>
      </w:r>
      <w:proofErr w:type="spellStart"/>
      <w:r w:rsidR="00ED64AF" w:rsidRPr="00285397">
        <w:rPr>
          <w:rFonts w:cs="Times New Roman"/>
          <w:lang w:val="en-US"/>
        </w:rPr>
        <w:t>pr</w:t>
      </w:r>
      <w:r w:rsidR="00636C65" w:rsidRPr="00285397">
        <w:rPr>
          <w:rFonts w:cs="Times New Roman"/>
          <w:lang w:val="en-US"/>
        </w:rPr>
        <w:t>éc</w:t>
      </w:r>
      <w:proofErr w:type="spellEnd"/>
      <w:r w:rsidR="00636C65" w:rsidRPr="00285397">
        <w:rPr>
          <w:rFonts w:cs="Times New Roman"/>
          <w:lang w:val="en-US"/>
        </w:rPr>
        <w:t>.</w:t>
      </w:r>
      <w:r w:rsidR="00636C65" w:rsidRPr="00285397">
        <w:rPr>
          <w:rFonts w:cs="Times New Roman"/>
          <w:i/>
          <w:iCs/>
          <w:lang w:val="en-US"/>
        </w:rPr>
        <w:t>,</w:t>
      </w:r>
      <w:r w:rsidRPr="00285397">
        <w:rPr>
          <w:rFonts w:cs="Times New Roman"/>
          <w:lang w:val="en-US"/>
        </w:rPr>
        <w:t xml:space="preserve"> </w:t>
      </w:r>
      <w:proofErr w:type="spellStart"/>
      <w:r w:rsidRPr="00285397">
        <w:rPr>
          <w:rFonts w:cs="Times New Roman"/>
          <w:lang w:val="en-US"/>
        </w:rPr>
        <w:t>spéc</w:t>
      </w:r>
      <w:proofErr w:type="spellEnd"/>
      <w:r w:rsidRPr="00285397">
        <w:rPr>
          <w:rFonts w:cs="Times New Roman"/>
          <w:lang w:val="en-US"/>
        </w:rPr>
        <w:t xml:space="preserve">. p. 118, se </w:t>
      </w:r>
      <w:proofErr w:type="spellStart"/>
      <w:r w:rsidRPr="00285397">
        <w:rPr>
          <w:rFonts w:cs="Times New Roman"/>
          <w:lang w:val="en-US"/>
        </w:rPr>
        <w:t>référant</w:t>
      </w:r>
      <w:proofErr w:type="spellEnd"/>
      <w:r w:rsidRPr="00285397">
        <w:rPr>
          <w:rFonts w:cs="Times New Roman"/>
          <w:lang w:val="en-US"/>
        </w:rPr>
        <w:t xml:space="preserve"> à A. Quijano, “Coloniality and Modernity/Rationality" </w:t>
      </w:r>
      <w:r w:rsidRPr="00285397">
        <w:rPr>
          <w:rFonts w:cs="Times New Roman"/>
          <w:i/>
          <w:iCs/>
          <w:lang w:val="en-US"/>
        </w:rPr>
        <w:t xml:space="preserve">Cultural Studies </w:t>
      </w:r>
      <w:r w:rsidRPr="00285397">
        <w:rPr>
          <w:rFonts w:cs="Times New Roman"/>
          <w:lang w:val="en-US"/>
        </w:rPr>
        <w:t>21(2-3), 2007, p. 168-178.</w:t>
      </w:r>
    </w:p>
  </w:footnote>
  <w:footnote w:id="50">
    <w:p w14:paraId="6930F995" w14:textId="0F28795E" w:rsidR="000E03E0" w:rsidRPr="00285397" w:rsidRDefault="000E03E0"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V. M</w:t>
      </w:r>
      <w:r w:rsidR="00203354" w:rsidRPr="00285397">
        <w:rPr>
          <w:rFonts w:cs="Times New Roman"/>
          <w:lang w:val="en-US"/>
        </w:rPr>
        <w:t>arcos</w:t>
      </w:r>
      <w:r w:rsidRPr="00285397">
        <w:rPr>
          <w:rFonts w:cs="Times New Roman"/>
          <w:lang w:val="en-US"/>
        </w:rPr>
        <w:t xml:space="preserve"> </w:t>
      </w:r>
      <w:proofErr w:type="spellStart"/>
      <w:r w:rsidRPr="00285397">
        <w:rPr>
          <w:rFonts w:cs="Times New Roman"/>
          <w:lang w:val="en-US"/>
        </w:rPr>
        <w:t>Scauso</w:t>
      </w:r>
      <w:proofErr w:type="spellEnd"/>
      <w:r w:rsidRPr="00285397">
        <w:rPr>
          <w:rFonts w:cs="Times New Roman"/>
          <w:lang w:val="en-US"/>
        </w:rPr>
        <w:t xml:space="preserve">, </w:t>
      </w:r>
      <w:r w:rsidRPr="00285397">
        <w:rPr>
          <w:rFonts w:cs="Times New Roman"/>
          <w:i/>
          <w:iCs/>
          <w:lang w:val="en-US"/>
        </w:rPr>
        <w:t xml:space="preserve">Intersectional Decoloniality : Reimagining International Relations and the Problem of Difference, </w:t>
      </w:r>
      <w:r w:rsidRPr="00285397">
        <w:rPr>
          <w:rFonts w:cs="Times New Roman"/>
          <w:lang w:val="en-US"/>
        </w:rPr>
        <w:t xml:space="preserve">New York, Routledge, 2022, p. 203-227.  </w:t>
      </w:r>
    </w:p>
  </w:footnote>
  <w:footnote w:id="51">
    <w:p w14:paraId="1BEB5B67" w14:textId="77777777" w:rsidR="00EE1B76" w:rsidRPr="006449A5" w:rsidRDefault="00EE1B76" w:rsidP="00EE1B76">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D’aucun préfèreront l’expression « vulnérabilité », entendue comme la « condition de ... fragilité à laquelle une personne est exposée », soit comme un concept vague, non strictement défini, qui est cependant de plus en plus utilisé à travers les disciplines, parce qu'il peut être le « point de départ vers une vision plus substantielle de l'égalité » (Christine Flamand, Francesca Raimondo, et Sylvie </w:t>
      </w:r>
      <w:proofErr w:type="spellStart"/>
      <w:r w:rsidRPr="006449A5">
        <w:rPr>
          <w:rFonts w:cs="Times New Roman"/>
          <w:lang w:val="fr-BE"/>
        </w:rPr>
        <w:t>Sarolea</w:t>
      </w:r>
      <w:proofErr w:type="spellEnd"/>
      <w:r w:rsidRPr="006449A5">
        <w:rPr>
          <w:rFonts w:cs="Times New Roman"/>
          <w:lang w:val="fr-BE"/>
        </w:rPr>
        <w:t>, « </w:t>
      </w:r>
      <w:proofErr w:type="spellStart"/>
      <w:r w:rsidRPr="006449A5">
        <w:rPr>
          <w:rFonts w:cs="Times New Roman"/>
          <w:lang w:val="fr-BE"/>
        </w:rPr>
        <w:t>Examining</w:t>
      </w:r>
      <w:proofErr w:type="spellEnd"/>
      <w:r w:rsidRPr="006449A5">
        <w:rPr>
          <w:rFonts w:cs="Times New Roman"/>
          <w:lang w:val="fr-BE"/>
        </w:rPr>
        <w:t xml:space="preserve"> </w:t>
      </w:r>
      <w:proofErr w:type="spellStart"/>
      <w:r w:rsidRPr="006449A5">
        <w:rPr>
          <w:rFonts w:cs="Times New Roman"/>
          <w:lang w:val="fr-BE"/>
        </w:rPr>
        <w:t>Asylum</w:t>
      </w:r>
      <w:proofErr w:type="spellEnd"/>
      <w:r w:rsidRPr="006449A5">
        <w:rPr>
          <w:rFonts w:cs="Times New Roman"/>
          <w:lang w:val="fr-BE"/>
        </w:rPr>
        <w:t xml:space="preserve"> </w:t>
      </w:r>
      <w:proofErr w:type="spellStart"/>
      <w:r w:rsidRPr="006449A5">
        <w:rPr>
          <w:rFonts w:cs="Times New Roman"/>
          <w:lang w:val="fr-BE"/>
        </w:rPr>
        <w:t>Seekers</w:t>
      </w:r>
      <w:proofErr w:type="spellEnd"/>
      <w:r w:rsidRPr="006449A5">
        <w:rPr>
          <w:rFonts w:cs="Times New Roman"/>
          <w:lang w:val="fr-BE"/>
        </w:rPr>
        <w:t>, '</w:t>
      </w:r>
      <w:proofErr w:type="spellStart"/>
      <w:r w:rsidRPr="006449A5">
        <w:rPr>
          <w:rFonts w:cs="Times New Roman"/>
          <w:lang w:val="fr-BE"/>
        </w:rPr>
        <w:t>Other</w:t>
      </w:r>
      <w:proofErr w:type="spellEnd"/>
      <w:r w:rsidRPr="006449A5">
        <w:rPr>
          <w:rFonts w:cs="Times New Roman"/>
          <w:lang w:val="fr-BE"/>
        </w:rPr>
        <w:t xml:space="preserve"> </w:t>
      </w:r>
      <w:proofErr w:type="spellStart"/>
      <w:r w:rsidRPr="006449A5">
        <w:rPr>
          <w:rFonts w:cs="Times New Roman"/>
          <w:lang w:val="fr-BE"/>
        </w:rPr>
        <w:t>Vulnerabilities</w:t>
      </w:r>
      <w:proofErr w:type="spellEnd"/>
      <w:r w:rsidRPr="006449A5">
        <w:rPr>
          <w:rFonts w:cs="Times New Roman"/>
          <w:lang w:val="fr-BE"/>
        </w:rPr>
        <w:t xml:space="preserve">' : </w:t>
      </w:r>
      <w:proofErr w:type="spellStart"/>
      <w:r w:rsidRPr="006449A5">
        <w:rPr>
          <w:rFonts w:cs="Times New Roman"/>
          <w:lang w:val="fr-BE"/>
        </w:rPr>
        <w:t>Intersectionality</w:t>
      </w:r>
      <w:proofErr w:type="spellEnd"/>
      <w:r w:rsidRPr="006449A5">
        <w:rPr>
          <w:rFonts w:cs="Times New Roman"/>
          <w:lang w:val="fr-BE"/>
        </w:rPr>
        <w:t xml:space="preserve"> in </w:t>
      </w:r>
      <w:proofErr w:type="spellStart"/>
      <w:r w:rsidRPr="006449A5">
        <w:rPr>
          <w:rFonts w:cs="Times New Roman"/>
          <w:lang w:val="fr-BE"/>
        </w:rPr>
        <w:t>Context</w:t>
      </w:r>
      <w:proofErr w:type="spellEnd"/>
      <w:r w:rsidRPr="006449A5">
        <w:rPr>
          <w:rFonts w:cs="Times New Roman"/>
          <w:lang w:val="fr-BE"/>
        </w:rPr>
        <w:t xml:space="preserve"> », </w:t>
      </w:r>
      <w:proofErr w:type="spellStart"/>
      <w:r w:rsidRPr="006449A5">
        <w:rPr>
          <w:rFonts w:cs="Times New Roman"/>
          <w:i/>
          <w:iCs/>
          <w:lang w:val="fr-BE"/>
        </w:rPr>
        <w:t>European</w:t>
      </w:r>
      <w:proofErr w:type="spellEnd"/>
      <w:r w:rsidRPr="006449A5">
        <w:rPr>
          <w:rFonts w:cs="Times New Roman"/>
          <w:i/>
          <w:iCs/>
          <w:lang w:val="fr-BE"/>
        </w:rPr>
        <w:t xml:space="preserve"> Journal of Migration and Law</w:t>
      </w:r>
      <w:r w:rsidRPr="006449A5">
        <w:rPr>
          <w:rFonts w:cs="Times New Roman"/>
          <w:lang w:val="fr-BE"/>
        </w:rPr>
        <w:t xml:space="preserve">, 25(4), 2023, p. 501-524, se référant à Martha </w:t>
      </w:r>
      <w:proofErr w:type="spellStart"/>
      <w:r w:rsidRPr="006449A5">
        <w:rPr>
          <w:rFonts w:cs="Times New Roman"/>
          <w:lang w:val="fr-BE"/>
        </w:rPr>
        <w:t>Fineman</w:t>
      </w:r>
      <w:proofErr w:type="spellEnd"/>
      <w:r w:rsidRPr="006449A5">
        <w:rPr>
          <w:rFonts w:cs="Times New Roman"/>
          <w:lang w:val="fr-BE"/>
        </w:rPr>
        <w:t xml:space="preserve">, « The </w:t>
      </w:r>
      <w:proofErr w:type="spellStart"/>
      <w:r w:rsidRPr="006449A5">
        <w:rPr>
          <w:rFonts w:cs="Times New Roman"/>
          <w:lang w:val="fr-BE"/>
        </w:rPr>
        <w:t>Vulnerable</w:t>
      </w:r>
      <w:proofErr w:type="spellEnd"/>
      <w:r w:rsidRPr="006449A5">
        <w:rPr>
          <w:rFonts w:cs="Times New Roman"/>
          <w:lang w:val="fr-BE"/>
        </w:rPr>
        <w:t xml:space="preserve"> </w:t>
      </w:r>
      <w:proofErr w:type="spellStart"/>
      <w:r w:rsidRPr="006449A5">
        <w:rPr>
          <w:rFonts w:cs="Times New Roman"/>
          <w:lang w:val="fr-BE"/>
        </w:rPr>
        <w:t>Subject</w:t>
      </w:r>
      <w:proofErr w:type="spellEnd"/>
      <w:r w:rsidRPr="006449A5">
        <w:rPr>
          <w:rFonts w:cs="Times New Roman"/>
          <w:lang w:val="fr-BE"/>
        </w:rPr>
        <w:t xml:space="preserve"> : </w:t>
      </w:r>
      <w:proofErr w:type="spellStart"/>
      <w:r w:rsidRPr="006449A5">
        <w:rPr>
          <w:rFonts w:cs="Times New Roman"/>
          <w:lang w:val="fr-BE"/>
        </w:rPr>
        <w:t>Anchoring</w:t>
      </w:r>
      <w:proofErr w:type="spellEnd"/>
      <w:r w:rsidRPr="006449A5">
        <w:rPr>
          <w:rFonts w:cs="Times New Roman"/>
          <w:lang w:val="fr-BE"/>
        </w:rPr>
        <w:t xml:space="preserve"> </w:t>
      </w:r>
      <w:proofErr w:type="spellStart"/>
      <w:r w:rsidRPr="006449A5">
        <w:rPr>
          <w:rFonts w:cs="Times New Roman"/>
          <w:lang w:val="fr-BE"/>
        </w:rPr>
        <w:t>Equality</w:t>
      </w:r>
      <w:proofErr w:type="spellEnd"/>
      <w:r w:rsidRPr="006449A5">
        <w:rPr>
          <w:rFonts w:cs="Times New Roman"/>
          <w:lang w:val="fr-BE"/>
        </w:rPr>
        <w:t xml:space="preserve"> in the Human Condition », </w:t>
      </w:r>
      <w:r w:rsidRPr="006449A5">
        <w:rPr>
          <w:rFonts w:cs="Times New Roman"/>
          <w:i/>
          <w:iCs/>
          <w:lang w:val="fr-BE"/>
        </w:rPr>
        <w:t xml:space="preserve">Yale Journal of Law &amp; </w:t>
      </w:r>
      <w:proofErr w:type="spellStart"/>
      <w:r w:rsidRPr="006449A5">
        <w:rPr>
          <w:rFonts w:cs="Times New Roman"/>
          <w:i/>
          <w:iCs/>
          <w:lang w:val="fr-BE"/>
        </w:rPr>
        <w:t>Feminism</w:t>
      </w:r>
      <w:proofErr w:type="spellEnd"/>
      <w:r w:rsidRPr="006449A5">
        <w:rPr>
          <w:rFonts w:cs="Times New Roman"/>
          <w:i/>
          <w:iCs/>
          <w:lang w:val="fr-BE"/>
        </w:rPr>
        <w:t xml:space="preserve">, </w:t>
      </w:r>
      <w:r w:rsidRPr="006449A5">
        <w:rPr>
          <w:rFonts w:cs="Times New Roman"/>
          <w:lang w:val="fr-BE"/>
        </w:rPr>
        <w:t xml:space="preserve">20(1), 2008, p. 1-23). Nous choisissons ici l’expression plus neutre de la marginalité de façon à définir le moins possible la position de l’Autre à sa place (comme demandé par les études postcoloniales et subalternes – v. emblématiquement, Gayatri Spivak, « Can the </w:t>
      </w:r>
      <w:proofErr w:type="spellStart"/>
      <w:r w:rsidRPr="006449A5">
        <w:rPr>
          <w:rFonts w:cs="Times New Roman"/>
          <w:lang w:val="fr-BE"/>
        </w:rPr>
        <w:t>Subaltern</w:t>
      </w:r>
      <w:proofErr w:type="spellEnd"/>
      <w:r w:rsidRPr="006449A5">
        <w:rPr>
          <w:rFonts w:cs="Times New Roman"/>
          <w:lang w:val="fr-BE"/>
        </w:rPr>
        <w:t xml:space="preserve"> </w:t>
      </w:r>
      <w:proofErr w:type="spellStart"/>
      <w:proofErr w:type="gramStart"/>
      <w:r w:rsidRPr="006449A5">
        <w:rPr>
          <w:rFonts w:cs="Times New Roman"/>
          <w:lang w:val="fr-BE"/>
        </w:rPr>
        <w:t>Speak</w:t>
      </w:r>
      <w:proofErr w:type="spellEnd"/>
      <w:r w:rsidRPr="006449A5">
        <w:rPr>
          <w:rFonts w:cs="Times New Roman"/>
          <w:lang w:val="fr-BE"/>
        </w:rPr>
        <w:t>?</w:t>
      </w:r>
      <w:proofErr w:type="gramEnd"/>
      <w:r w:rsidRPr="006449A5">
        <w:rPr>
          <w:rFonts w:cs="Times New Roman"/>
          <w:lang w:val="fr-BE"/>
        </w:rPr>
        <w:t xml:space="preserve"> »,  </w:t>
      </w:r>
      <w:r w:rsidRPr="006449A5">
        <w:rPr>
          <w:rFonts w:cs="Times New Roman"/>
          <w:i/>
          <w:iCs/>
          <w:lang w:val="fr-BE"/>
        </w:rPr>
        <w:t>in</w:t>
      </w:r>
      <w:r w:rsidRPr="006449A5">
        <w:rPr>
          <w:rFonts w:cs="Times New Roman"/>
          <w:lang w:val="fr-BE"/>
        </w:rPr>
        <w:t xml:space="preserve"> C. Nelson et L. </w:t>
      </w:r>
      <w:proofErr w:type="spellStart"/>
      <w:r w:rsidRPr="006449A5">
        <w:rPr>
          <w:rFonts w:cs="Times New Roman"/>
          <w:lang w:val="fr-BE"/>
        </w:rPr>
        <w:t>Grossberg</w:t>
      </w:r>
      <w:proofErr w:type="spellEnd"/>
      <w:r w:rsidRPr="006449A5">
        <w:rPr>
          <w:rFonts w:cs="Times New Roman"/>
          <w:lang w:val="fr-BE"/>
        </w:rPr>
        <w:t xml:space="preserve"> (</w:t>
      </w:r>
      <w:proofErr w:type="spellStart"/>
      <w:r w:rsidRPr="006449A5">
        <w:rPr>
          <w:rFonts w:cs="Times New Roman"/>
          <w:lang w:val="fr-BE"/>
        </w:rPr>
        <w:t>dir</w:t>
      </w:r>
      <w:proofErr w:type="spellEnd"/>
      <w:r w:rsidRPr="006449A5">
        <w:rPr>
          <w:rFonts w:cs="Times New Roman"/>
          <w:lang w:val="fr-BE"/>
        </w:rPr>
        <w:t xml:space="preserve">.), </w:t>
      </w:r>
      <w:proofErr w:type="spellStart"/>
      <w:r w:rsidRPr="006449A5">
        <w:rPr>
          <w:rFonts w:cs="Times New Roman"/>
          <w:i/>
          <w:iCs/>
          <w:lang w:val="fr-BE"/>
        </w:rPr>
        <w:t>Marxism</w:t>
      </w:r>
      <w:proofErr w:type="spellEnd"/>
      <w:r w:rsidRPr="006449A5">
        <w:rPr>
          <w:rFonts w:cs="Times New Roman"/>
          <w:i/>
          <w:iCs/>
          <w:lang w:val="fr-BE"/>
        </w:rPr>
        <w:t xml:space="preserve"> and the </w:t>
      </w:r>
      <w:proofErr w:type="spellStart"/>
      <w:r w:rsidRPr="006449A5">
        <w:rPr>
          <w:rFonts w:cs="Times New Roman"/>
          <w:i/>
          <w:iCs/>
          <w:lang w:val="fr-BE"/>
        </w:rPr>
        <w:t>InterprÉtation</w:t>
      </w:r>
      <w:proofErr w:type="spellEnd"/>
      <w:r w:rsidRPr="006449A5">
        <w:rPr>
          <w:rFonts w:cs="Times New Roman"/>
          <w:i/>
          <w:iCs/>
          <w:lang w:val="fr-BE"/>
        </w:rPr>
        <w:t xml:space="preserve"> of Culture</w:t>
      </w:r>
      <w:r w:rsidRPr="006449A5">
        <w:rPr>
          <w:rFonts w:cs="Times New Roman"/>
          <w:lang w:val="fr-BE"/>
        </w:rPr>
        <w:t xml:space="preserve">, Urbana and Chicago, </w:t>
      </w:r>
      <w:proofErr w:type="spellStart"/>
      <w:r w:rsidRPr="006449A5">
        <w:rPr>
          <w:rFonts w:cs="Times New Roman"/>
          <w:lang w:val="fr-BE"/>
        </w:rPr>
        <w:t>University</w:t>
      </w:r>
      <w:proofErr w:type="spellEnd"/>
      <w:r w:rsidRPr="006449A5">
        <w:rPr>
          <w:rFonts w:cs="Times New Roman"/>
          <w:lang w:val="fr-BE"/>
        </w:rPr>
        <w:t xml:space="preserve"> of Illinois </w:t>
      </w:r>
      <w:proofErr w:type="spellStart"/>
      <w:r w:rsidRPr="006449A5">
        <w:rPr>
          <w:rFonts w:cs="Times New Roman"/>
          <w:lang w:val="fr-BE"/>
        </w:rPr>
        <w:t>Press</w:t>
      </w:r>
      <w:proofErr w:type="spellEnd"/>
      <w:r w:rsidRPr="006449A5">
        <w:rPr>
          <w:rFonts w:cs="Times New Roman"/>
          <w:lang w:val="fr-BE"/>
        </w:rPr>
        <w:t xml:space="preserve">, 1988). </w:t>
      </w:r>
    </w:p>
  </w:footnote>
  <w:footnote w:id="52">
    <w:p w14:paraId="39FAA735" w14:textId="5ABC87D3" w:rsidR="000E03E0" w:rsidRPr="00285397" w:rsidRDefault="000E03E0"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V. par ex. J</w:t>
      </w:r>
      <w:r w:rsidR="00203354" w:rsidRPr="00285397">
        <w:rPr>
          <w:rFonts w:cs="Times New Roman"/>
          <w:lang w:val="en-US"/>
        </w:rPr>
        <w:t xml:space="preserve">ustyna </w:t>
      </w:r>
      <w:r w:rsidRPr="00285397">
        <w:rPr>
          <w:rFonts w:cs="Times New Roman"/>
          <w:lang w:val="en-US"/>
        </w:rPr>
        <w:t>Olko et C</w:t>
      </w:r>
      <w:r w:rsidR="00203354" w:rsidRPr="00285397">
        <w:rPr>
          <w:rFonts w:cs="Times New Roman"/>
          <w:lang w:val="en-US"/>
        </w:rPr>
        <w:t>ynthia</w:t>
      </w:r>
      <w:r w:rsidRPr="00285397">
        <w:rPr>
          <w:rFonts w:cs="Times New Roman"/>
          <w:lang w:val="en-US"/>
        </w:rPr>
        <w:t xml:space="preserve"> Radding (dir.), </w:t>
      </w:r>
      <w:r w:rsidRPr="00285397">
        <w:rPr>
          <w:rFonts w:cs="Times New Roman"/>
          <w:i/>
          <w:iCs/>
          <w:lang w:val="en-US"/>
        </w:rPr>
        <w:t xml:space="preserve">Living with Nature, Cherishing Language Indigenous Knowledges in the Americas Through History, </w:t>
      </w:r>
      <w:proofErr w:type="spellStart"/>
      <w:r w:rsidRPr="00285397">
        <w:rPr>
          <w:rFonts w:cs="Times New Roman"/>
          <w:lang w:val="en-US"/>
        </w:rPr>
        <w:t>Londres</w:t>
      </w:r>
      <w:proofErr w:type="spellEnd"/>
      <w:r w:rsidRPr="00285397">
        <w:rPr>
          <w:rFonts w:cs="Times New Roman"/>
          <w:lang w:val="en-US"/>
        </w:rPr>
        <w:t>, Palgrave Macmillan, 2023; R</w:t>
      </w:r>
      <w:r w:rsidR="00203354" w:rsidRPr="00285397">
        <w:rPr>
          <w:rFonts w:cs="Times New Roman"/>
          <w:lang w:val="en-US"/>
        </w:rPr>
        <w:t>iley</w:t>
      </w:r>
      <w:r w:rsidRPr="00285397">
        <w:rPr>
          <w:rFonts w:cs="Times New Roman"/>
          <w:lang w:val="en-US"/>
        </w:rPr>
        <w:t xml:space="preserve"> </w:t>
      </w:r>
      <w:proofErr w:type="spellStart"/>
      <w:r w:rsidRPr="00285397">
        <w:rPr>
          <w:rFonts w:cs="Times New Roman"/>
          <w:lang w:val="en-US"/>
        </w:rPr>
        <w:t>Olstead</w:t>
      </w:r>
      <w:proofErr w:type="spellEnd"/>
      <w:r w:rsidRPr="00285397">
        <w:rPr>
          <w:rFonts w:cs="Times New Roman"/>
          <w:lang w:val="en-US"/>
        </w:rPr>
        <w:t xml:space="preserve"> et S. Chattopadhyay, </w:t>
      </w:r>
      <w:r w:rsidR="00203354" w:rsidRPr="00285397">
        <w:rPr>
          <w:rFonts w:cs="Times New Roman"/>
          <w:lang w:val="en-US"/>
        </w:rPr>
        <w:t>« </w:t>
      </w:r>
      <w:r w:rsidRPr="00285397">
        <w:rPr>
          <w:rFonts w:cs="Times New Roman"/>
          <w:lang w:val="en-US"/>
        </w:rPr>
        <w:t xml:space="preserve">Circles and lines : indigenous ontologies and </w:t>
      </w:r>
      <w:proofErr w:type="spellStart"/>
      <w:r w:rsidRPr="00285397">
        <w:rPr>
          <w:rFonts w:cs="Times New Roman"/>
          <w:lang w:val="en-US"/>
        </w:rPr>
        <w:t>decolonising</w:t>
      </w:r>
      <w:proofErr w:type="spellEnd"/>
      <w:r w:rsidRPr="00285397">
        <w:rPr>
          <w:rFonts w:cs="Times New Roman"/>
          <w:lang w:val="en-US"/>
        </w:rPr>
        <w:t xml:space="preserve"> climate change education</w:t>
      </w:r>
      <w:r w:rsidR="00203354" w:rsidRPr="00285397">
        <w:rPr>
          <w:rFonts w:cs="Times New Roman"/>
          <w:lang w:val="en-US"/>
        </w:rPr>
        <w:t xml:space="preserve"> », </w:t>
      </w:r>
      <w:r w:rsidRPr="00285397">
        <w:rPr>
          <w:rFonts w:cs="Times New Roman"/>
          <w:i/>
          <w:iCs/>
          <w:lang w:val="en-US"/>
        </w:rPr>
        <w:t>Settler Colonial Studies</w:t>
      </w:r>
      <w:r w:rsidRPr="00285397">
        <w:rPr>
          <w:rFonts w:cs="Times New Roman"/>
          <w:lang w:val="en-US"/>
        </w:rPr>
        <w:t xml:space="preserve">, 14(1), 2023, p. 1-18.  </w:t>
      </w:r>
    </w:p>
  </w:footnote>
  <w:footnote w:id="53">
    <w:p w14:paraId="0E732892" w14:textId="7958A7C5" w:rsidR="00D971ED" w:rsidRPr="00285397" w:rsidRDefault="00D971ED" w:rsidP="00E005ED">
      <w:pPr>
        <w:pStyle w:val="Notedebasdepage"/>
        <w:rPr>
          <w:rFonts w:cs="Times New Roman"/>
          <w:lang w:val="en-US"/>
        </w:rPr>
      </w:pPr>
      <w:r w:rsidRPr="006449A5">
        <w:rPr>
          <w:rStyle w:val="Appelnotedebasdep"/>
          <w:rFonts w:cs="Times New Roman"/>
          <w:lang w:val="fr-BE"/>
        </w:rPr>
        <w:footnoteRef/>
      </w:r>
      <w:r w:rsidRPr="006449A5">
        <w:rPr>
          <w:rFonts w:cs="Times New Roman"/>
          <w:lang w:val="fr-BE"/>
        </w:rPr>
        <w:t xml:space="preserve"> V. </w:t>
      </w:r>
      <w:proofErr w:type="spellStart"/>
      <w:r w:rsidRPr="006449A5">
        <w:rPr>
          <w:rFonts w:cs="Times New Roman"/>
          <w:lang w:val="fr-BE"/>
        </w:rPr>
        <w:t>Horatia</w:t>
      </w:r>
      <w:proofErr w:type="spellEnd"/>
      <w:r w:rsidRPr="006449A5">
        <w:rPr>
          <w:rFonts w:cs="Times New Roman"/>
          <w:lang w:val="fr-BE"/>
        </w:rPr>
        <w:t xml:space="preserve"> Muir </w:t>
      </w:r>
      <w:proofErr w:type="spellStart"/>
      <w:r w:rsidRPr="006449A5">
        <w:rPr>
          <w:rFonts w:cs="Times New Roman"/>
          <w:lang w:val="fr-BE"/>
        </w:rPr>
        <w:t>Wattt</w:t>
      </w:r>
      <w:proofErr w:type="spellEnd"/>
      <w:r w:rsidRPr="006449A5">
        <w:rPr>
          <w:rFonts w:cs="Times New Roman"/>
          <w:lang w:val="fr-BE"/>
        </w:rPr>
        <w:t xml:space="preserve">, </w:t>
      </w:r>
      <w:r w:rsidRPr="006449A5">
        <w:rPr>
          <w:rFonts w:cs="Times New Roman"/>
          <w:i/>
          <w:iCs/>
          <w:lang w:val="fr-BE"/>
        </w:rPr>
        <w:t>Discours sur les Méthodes de Droit International Privé (Des Formes Juridiques de l’Inter-Altérité)</w:t>
      </w:r>
      <w:r w:rsidRPr="006449A5">
        <w:rPr>
          <w:rFonts w:cs="Times New Roman"/>
          <w:lang w:val="fr-BE"/>
        </w:rPr>
        <w:t xml:space="preserve">, Leiden, Martinus </w:t>
      </w:r>
      <w:proofErr w:type="spellStart"/>
      <w:r w:rsidRPr="006449A5">
        <w:rPr>
          <w:rFonts w:cs="Times New Roman"/>
          <w:lang w:val="fr-BE"/>
        </w:rPr>
        <w:t>Nijhoff</w:t>
      </w:r>
      <w:proofErr w:type="spellEnd"/>
      <w:r w:rsidRPr="006449A5">
        <w:rPr>
          <w:rFonts w:cs="Times New Roman"/>
          <w:lang w:val="fr-BE"/>
        </w:rPr>
        <w:t xml:space="preserve">, </w:t>
      </w:r>
      <w:proofErr w:type="gramStart"/>
      <w:r w:rsidRPr="006449A5">
        <w:rPr>
          <w:rFonts w:cs="Times New Roman"/>
          <w:lang w:val="fr-BE"/>
        </w:rPr>
        <w:t>2019;</w:t>
      </w:r>
      <w:proofErr w:type="gramEnd"/>
      <w:r w:rsidRPr="006449A5">
        <w:rPr>
          <w:rFonts w:cs="Times New Roman"/>
          <w:lang w:val="fr-BE"/>
        </w:rPr>
        <w:t xml:space="preserve"> Paul Schiff Berman, </w:t>
      </w:r>
      <w:r w:rsidRPr="006449A5">
        <w:rPr>
          <w:rFonts w:cs="Times New Roman"/>
          <w:i/>
          <w:iCs/>
          <w:lang w:val="fr-BE"/>
        </w:rPr>
        <w:t xml:space="preserve">Global Legal </w:t>
      </w:r>
      <w:proofErr w:type="spellStart"/>
      <w:r w:rsidRPr="006449A5">
        <w:rPr>
          <w:rFonts w:cs="Times New Roman"/>
          <w:i/>
          <w:iCs/>
          <w:lang w:val="fr-BE"/>
        </w:rPr>
        <w:t>Pluralism</w:t>
      </w:r>
      <w:proofErr w:type="spellEnd"/>
      <w:r w:rsidRPr="006449A5">
        <w:rPr>
          <w:rFonts w:cs="Times New Roman"/>
          <w:i/>
          <w:iCs/>
          <w:lang w:val="fr-BE"/>
        </w:rPr>
        <w:t xml:space="preserve">: A Jurisprudence of Law Beyond </w:t>
      </w:r>
      <w:proofErr w:type="spellStart"/>
      <w:r w:rsidRPr="006449A5">
        <w:rPr>
          <w:rFonts w:cs="Times New Roman"/>
          <w:i/>
          <w:iCs/>
          <w:lang w:val="fr-BE"/>
        </w:rPr>
        <w:t>Borders</w:t>
      </w:r>
      <w:proofErr w:type="spellEnd"/>
      <w:r w:rsidRPr="006449A5">
        <w:rPr>
          <w:rFonts w:cs="Times New Roman"/>
          <w:lang w:val="fr-BE"/>
        </w:rPr>
        <w:t xml:space="preserve">, New York, Cambridge </w:t>
      </w:r>
      <w:proofErr w:type="spellStart"/>
      <w:r w:rsidRPr="006449A5">
        <w:rPr>
          <w:rFonts w:cs="Times New Roman"/>
          <w:lang w:val="fr-BE"/>
        </w:rPr>
        <w:t>University</w:t>
      </w:r>
      <w:proofErr w:type="spellEnd"/>
      <w:r w:rsidRPr="006449A5">
        <w:rPr>
          <w:rFonts w:cs="Times New Roman"/>
          <w:lang w:val="fr-BE"/>
        </w:rPr>
        <w:t xml:space="preserve"> </w:t>
      </w:r>
      <w:proofErr w:type="spellStart"/>
      <w:r w:rsidRPr="006449A5">
        <w:rPr>
          <w:rFonts w:cs="Times New Roman"/>
          <w:lang w:val="fr-BE"/>
        </w:rPr>
        <w:t>Press</w:t>
      </w:r>
      <w:proofErr w:type="spellEnd"/>
      <w:r w:rsidRPr="006449A5">
        <w:rPr>
          <w:rFonts w:cs="Times New Roman"/>
          <w:lang w:val="fr-BE"/>
        </w:rPr>
        <w:t xml:space="preserve">, 2012. </w:t>
      </w:r>
      <w:r w:rsidRPr="00285397">
        <w:rPr>
          <w:rFonts w:cs="Times New Roman"/>
          <w:lang w:val="en-US"/>
        </w:rPr>
        <w:t xml:space="preserve">Cette </w:t>
      </w:r>
      <w:proofErr w:type="spellStart"/>
      <w:r w:rsidRPr="00285397">
        <w:rPr>
          <w:rFonts w:cs="Times New Roman"/>
          <w:lang w:val="en-US"/>
        </w:rPr>
        <w:t>comparaison</w:t>
      </w:r>
      <w:proofErr w:type="spellEnd"/>
      <w:r w:rsidRPr="00285397">
        <w:rPr>
          <w:rFonts w:cs="Times New Roman"/>
          <w:lang w:val="en-US"/>
        </w:rPr>
        <w:t xml:space="preserve"> a </w:t>
      </w:r>
      <w:proofErr w:type="spellStart"/>
      <w:r w:rsidRPr="00285397">
        <w:rPr>
          <w:rFonts w:cs="Times New Roman"/>
          <w:lang w:val="en-US"/>
        </w:rPr>
        <w:t>été</w:t>
      </w:r>
      <w:proofErr w:type="spellEnd"/>
      <w:r w:rsidRPr="00285397">
        <w:rPr>
          <w:rFonts w:cs="Times New Roman"/>
          <w:lang w:val="en-US"/>
        </w:rPr>
        <w:t xml:space="preserve"> </w:t>
      </w:r>
      <w:proofErr w:type="spellStart"/>
      <w:r w:rsidRPr="00285397">
        <w:rPr>
          <w:rFonts w:cs="Times New Roman"/>
          <w:lang w:val="en-US"/>
        </w:rPr>
        <w:t>réalisée</w:t>
      </w:r>
      <w:proofErr w:type="spellEnd"/>
      <w:r w:rsidRPr="00285397">
        <w:rPr>
          <w:rFonts w:cs="Times New Roman"/>
          <w:lang w:val="en-US"/>
        </w:rPr>
        <w:t xml:space="preserve"> dans S</w:t>
      </w:r>
      <w:r w:rsidR="00203354" w:rsidRPr="00285397">
        <w:rPr>
          <w:rFonts w:cs="Times New Roman"/>
          <w:lang w:val="en-US"/>
        </w:rPr>
        <w:t>andrine</w:t>
      </w:r>
      <w:r w:rsidRPr="00285397">
        <w:rPr>
          <w:rFonts w:cs="Times New Roman"/>
          <w:lang w:val="en-US"/>
        </w:rPr>
        <w:t xml:space="preserve"> Brachotte, “When European State Courts Face Post-Colonial Legality: A Private International Law Approach Inspired by Decolonial Theory”, </w:t>
      </w:r>
      <w:r w:rsidRPr="00285397">
        <w:rPr>
          <w:rFonts w:cs="Times New Roman"/>
          <w:i/>
          <w:iCs/>
          <w:lang w:val="en-US"/>
        </w:rPr>
        <w:t>Buffalo Law Review,</w:t>
      </w:r>
      <w:r w:rsidRPr="00285397">
        <w:rPr>
          <w:rFonts w:cs="Times New Roman"/>
          <w:lang w:val="en-US"/>
        </w:rPr>
        <w:t xml:space="preserve"> 72(5), 2024, p. </w:t>
      </w:r>
      <w:r w:rsidRPr="00285397">
        <w:rPr>
          <w:rFonts w:cs="Times New Roman"/>
          <w:highlight w:val="yellow"/>
          <w:lang w:val="en-US"/>
        </w:rPr>
        <w:t>…</w:t>
      </w:r>
    </w:p>
  </w:footnote>
  <w:footnote w:id="54">
    <w:p w14:paraId="72E8346A" w14:textId="1B9A2224" w:rsidR="00D971ED" w:rsidRPr="00285397" w:rsidRDefault="00D971ED"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V. par ex. </w:t>
      </w:r>
      <w:r w:rsidR="00370C33" w:rsidRPr="00285397">
        <w:rPr>
          <w:rFonts w:cs="Times New Roman"/>
          <w:lang w:val="en-US"/>
        </w:rPr>
        <w:t>Sara</w:t>
      </w:r>
      <w:r w:rsidRPr="00285397">
        <w:rPr>
          <w:rFonts w:cs="Times New Roman"/>
          <w:lang w:val="en-US"/>
        </w:rPr>
        <w:t xml:space="preserve"> Knox et C</w:t>
      </w:r>
      <w:r w:rsidR="00370C33" w:rsidRPr="00285397">
        <w:rPr>
          <w:rFonts w:cs="Times New Roman"/>
          <w:lang w:val="en-US"/>
        </w:rPr>
        <w:t>ristyn</w:t>
      </w:r>
      <w:r w:rsidRPr="00285397">
        <w:rPr>
          <w:rFonts w:cs="Times New Roman"/>
          <w:lang w:val="en-US"/>
        </w:rPr>
        <w:t xml:space="preserve"> Davies, </w:t>
      </w:r>
      <w:r w:rsidR="00370C33" w:rsidRPr="00285397">
        <w:rPr>
          <w:rFonts w:cs="Times New Roman"/>
          <w:lang w:val="en-US"/>
        </w:rPr>
        <w:t>« </w:t>
      </w:r>
      <w:r w:rsidRPr="00285397">
        <w:rPr>
          <w:rFonts w:cs="Times New Roman"/>
          <w:lang w:val="en-US"/>
        </w:rPr>
        <w:t>The Force of Meaning. Cultural Studies of Law</w:t>
      </w:r>
      <w:r w:rsidR="00370C33" w:rsidRPr="00285397">
        <w:rPr>
          <w:rFonts w:cs="Times New Roman"/>
          <w:lang w:val="en-US"/>
        </w:rPr>
        <w:t> »</w:t>
      </w:r>
      <w:r w:rsidRPr="00285397">
        <w:rPr>
          <w:rFonts w:cs="Times New Roman"/>
          <w:lang w:val="en-US"/>
        </w:rPr>
        <w:t xml:space="preserve">, </w:t>
      </w:r>
      <w:r w:rsidRPr="00285397">
        <w:rPr>
          <w:rFonts w:cs="Times New Roman"/>
          <w:i/>
          <w:iCs/>
          <w:lang w:val="en-US"/>
        </w:rPr>
        <w:t xml:space="preserve">Cultural studies, </w:t>
      </w:r>
      <w:r w:rsidRPr="00285397">
        <w:rPr>
          <w:rFonts w:cs="Times New Roman"/>
          <w:lang w:val="en-US"/>
        </w:rPr>
        <w:t>27(1), 2013, p.</w:t>
      </w:r>
      <w:r w:rsidRPr="00285397">
        <w:rPr>
          <w:rFonts w:cs="Times New Roman"/>
          <w:i/>
          <w:iCs/>
          <w:lang w:val="en-US"/>
        </w:rPr>
        <w:t xml:space="preserve"> </w:t>
      </w:r>
      <w:r w:rsidRPr="00285397">
        <w:rPr>
          <w:rFonts w:cs="Times New Roman"/>
          <w:lang w:val="en-US"/>
        </w:rPr>
        <w:t>1-10; R</w:t>
      </w:r>
      <w:r w:rsidR="00370C33" w:rsidRPr="00285397">
        <w:rPr>
          <w:rFonts w:cs="Times New Roman"/>
          <w:lang w:val="en-US"/>
        </w:rPr>
        <w:t>osemary</w:t>
      </w:r>
      <w:r w:rsidRPr="00285397">
        <w:rPr>
          <w:rFonts w:cs="Times New Roman"/>
          <w:lang w:val="en-US"/>
        </w:rPr>
        <w:t xml:space="preserve"> Coombe, </w:t>
      </w:r>
      <w:r w:rsidR="00370C33" w:rsidRPr="00285397">
        <w:rPr>
          <w:rFonts w:cs="Times New Roman"/>
          <w:lang w:val="en-US"/>
        </w:rPr>
        <w:t>« </w:t>
      </w:r>
      <w:r w:rsidRPr="00285397">
        <w:rPr>
          <w:rFonts w:cs="Times New Roman"/>
          <w:lang w:val="en-US"/>
        </w:rPr>
        <w:t>Is there a Cultural Studies of Law?</w:t>
      </w:r>
      <w:r w:rsidR="00370C33" w:rsidRPr="00285397">
        <w:rPr>
          <w:rFonts w:cs="Times New Roman"/>
          <w:lang w:val="en-US"/>
        </w:rPr>
        <w:t> »</w:t>
      </w:r>
      <w:r w:rsidRPr="00285397">
        <w:rPr>
          <w:rFonts w:cs="Times New Roman"/>
          <w:lang w:val="en-US"/>
        </w:rPr>
        <w:t xml:space="preserve">, </w:t>
      </w:r>
      <w:r w:rsidRPr="00285397">
        <w:rPr>
          <w:rFonts w:cs="Times New Roman"/>
          <w:i/>
          <w:iCs/>
          <w:lang w:val="en-US"/>
        </w:rPr>
        <w:t xml:space="preserve">in </w:t>
      </w:r>
      <w:r w:rsidRPr="00285397">
        <w:rPr>
          <w:rFonts w:cs="Times New Roman"/>
          <w:lang w:val="en-US"/>
        </w:rPr>
        <w:t>T. Miller (</w:t>
      </w:r>
      <w:r w:rsidR="00370C33" w:rsidRPr="00285397">
        <w:rPr>
          <w:rFonts w:cs="Times New Roman"/>
          <w:lang w:val="en-US"/>
        </w:rPr>
        <w:t>dir</w:t>
      </w:r>
      <w:r w:rsidRPr="00285397">
        <w:rPr>
          <w:rFonts w:cs="Times New Roman"/>
          <w:lang w:val="en-US"/>
        </w:rPr>
        <w:t xml:space="preserve">.), </w:t>
      </w:r>
      <w:r w:rsidRPr="00285397">
        <w:rPr>
          <w:rFonts w:cs="Times New Roman"/>
          <w:i/>
          <w:iCs/>
          <w:lang w:val="en-US"/>
        </w:rPr>
        <w:t xml:space="preserve">A Companion to Cultural Studies, </w:t>
      </w:r>
      <w:r w:rsidRPr="00285397">
        <w:rPr>
          <w:rFonts w:cs="Times New Roman"/>
          <w:lang w:val="en-US"/>
        </w:rPr>
        <w:t xml:space="preserve">Oxford, Blackwell, 2001; Paul Kahn, </w:t>
      </w:r>
      <w:r w:rsidRPr="00285397">
        <w:rPr>
          <w:rFonts w:cs="Times New Roman"/>
          <w:i/>
          <w:lang w:val="en-US"/>
        </w:rPr>
        <w:t xml:space="preserve">The Cultural Study of Law : Reconstructing Legal Scholarship, </w:t>
      </w:r>
      <w:r w:rsidRPr="00285397">
        <w:rPr>
          <w:rFonts w:cs="Times New Roman"/>
          <w:lang w:val="en-US"/>
        </w:rPr>
        <w:t>Chicago, London, The University of Chicago Press, 1999</w:t>
      </w:r>
      <w:bookmarkStart w:id="19" w:name="_Hlk60219572"/>
      <w:bookmarkStart w:id="20" w:name="_Hlk94878925"/>
      <w:r w:rsidRPr="00285397">
        <w:rPr>
          <w:rFonts w:cs="Times New Roman"/>
          <w:lang w:val="en-US"/>
        </w:rPr>
        <w:t xml:space="preserve">; Louis </w:t>
      </w:r>
      <w:proofErr w:type="spellStart"/>
      <w:r w:rsidRPr="00285397">
        <w:rPr>
          <w:rFonts w:cs="Times New Roman"/>
          <w:lang w:val="en-US"/>
        </w:rPr>
        <w:t>Assier</w:t>
      </w:r>
      <w:proofErr w:type="spellEnd"/>
      <w:r w:rsidRPr="00285397">
        <w:rPr>
          <w:rFonts w:cs="Times New Roman"/>
          <w:lang w:val="en-US"/>
        </w:rPr>
        <w:t xml:space="preserve"> Andrieu, </w:t>
      </w:r>
      <w:r w:rsidRPr="00285397">
        <w:rPr>
          <w:rFonts w:cs="Times New Roman"/>
          <w:i/>
          <w:iCs/>
          <w:lang w:val="en-US"/>
        </w:rPr>
        <w:t xml:space="preserve">Le droit dans les sociétés </w:t>
      </w:r>
      <w:proofErr w:type="spellStart"/>
      <w:r w:rsidRPr="00285397">
        <w:rPr>
          <w:rFonts w:cs="Times New Roman"/>
          <w:i/>
          <w:iCs/>
          <w:lang w:val="en-US"/>
        </w:rPr>
        <w:t>humaines</w:t>
      </w:r>
      <w:proofErr w:type="spellEnd"/>
      <w:r w:rsidRPr="00285397">
        <w:rPr>
          <w:rFonts w:cs="Times New Roman"/>
          <w:i/>
          <w:iCs/>
          <w:lang w:val="en-US"/>
        </w:rPr>
        <w:t xml:space="preserve">, </w:t>
      </w:r>
      <w:r w:rsidRPr="00285397">
        <w:rPr>
          <w:rFonts w:cs="Times New Roman"/>
          <w:lang w:val="en-US"/>
        </w:rPr>
        <w:t>Paris, Nathan, 1996</w:t>
      </w:r>
      <w:bookmarkStart w:id="21" w:name="_Hlk171424719"/>
      <w:r w:rsidRPr="00285397">
        <w:rPr>
          <w:rFonts w:cs="Times New Roman"/>
          <w:iCs/>
          <w:lang w:val="en-US"/>
        </w:rPr>
        <w:t xml:space="preserve">. </w:t>
      </w:r>
      <w:bookmarkEnd w:id="19"/>
      <w:bookmarkEnd w:id="20"/>
      <w:bookmarkEnd w:id="21"/>
    </w:p>
  </w:footnote>
  <w:footnote w:id="55">
    <w:p w14:paraId="512FBC5F" w14:textId="5DAA79A0" w:rsidR="00D971ED" w:rsidRPr="00285397" w:rsidRDefault="00D971ED"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S</w:t>
      </w:r>
      <w:r w:rsidR="00370C33" w:rsidRPr="00285397">
        <w:rPr>
          <w:rFonts w:cs="Times New Roman"/>
          <w:lang w:val="en-US"/>
        </w:rPr>
        <w:t>eyla</w:t>
      </w:r>
      <w:r w:rsidRPr="00285397">
        <w:rPr>
          <w:rFonts w:cs="Times New Roman"/>
          <w:lang w:val="en-US"/>
        </w:rPr>
        <w:t xml:space="preserve"> </w:t>
      </w:r>
      <w:proofErr w:type="spellStart"/>
      <w:r w:rsidRPr="00285397">
        <w:rPr>
          <w:rFonts w:cs="Times New Roman"/>
          <w:lang w:val="en-US"/>
        </w:rPr>
        <w:t>Benhabib</w:t>
      </w:r>
      <w:proofErr w:type="spellEnd"/>
      <w:r w:rsidRPr="00285397">
        <w:rPr>
          <w:rFonts w:cs="Times New Roman"/>
          <w:lang w:val="en-US"/>
        </w:rPr>
        <w:t xml:space="preserve">, </w:t>
      </w:r>
      <w:r w:rsidRPr="00285397">
        <w:rPr>
          <w:rFonts w:cs="Times New Roman"/>
          <w:i/>
          <w:iCs/>
          <w:lang w:val="en-US"/>
        </w:rPr>
        <w:t>Situating the Self. Gender, Community, and Postmodernism in Contemporary Ethics</w:t>
      </w:r>
      <w:r w:rsidRPr="00285397">
        <w:rPr>
          <w:rFonts w:cs="Times New Roman"/>
          <w:lang w:val="en-US"/>
        </w:rPr>
        <w:t xml:space="preserve">, New York, Routledge, 1992, p. 8. </w:t>
      </w:r>
    </w:p>
  </w:footnote>
  <w:footnote w:id="56">
    <w:p w14:paraId="2F5A57B6" w14:textId="4A6E4CD4" w:rsidR="00D971ED" w:rsidRPr="00285397" w:rsidRDefault="00D971ED" w:rsidP="00E005ED">
      <w:pPr>
        <w:pStyle w:val="Notedebasdepage"/>
        <w:rPr>
          <w:rFonts w:cs="Times New Roman"/>
          <w:lang w:val="en-US"/>
        </w:rPr>
      </w:pPr>
      <w:r w:rsidRPr="006449A5">
        <w:rPr>
          <w:rStyle w:val="Appelnotedebasdep"/>
          <w:rFonts w:cs="Times New Roman"/>
          <w:lang w:val="fr-BE"/>
        </w:rPr>
        <w:footnoteRef/>
      </w:r>
      <w:bookmarkStart w:id="22" w:name="_Hlk183946952"/>
      <w:r w:rsidRPr="00285397">
        <w:rPr>
          <w:rFonts w:cs="Times New Roman"/>
          <w:lang w:val="en-US"/>
        </w:rPr>
        <w:t xml:space="preserve"> </w:t>
      </w:r>
      <w:bookmarkEnd w:id="22"/>
      <w:r w:rsidRPr="00285397">
        <w:rPr>
          <w:rFonts w:cs="Times New Roman"/>
          <w:iCs/>
          <w:lang w:val="en-US"/>
        </w:rPr>
        <w:t>R</w:t>
      </w:r>
      <w:r w:rsidR="007F18D9" w:rsidRPr="00285397">
        <w:rPr>
          <w:rFonts w:cs="Times New Roman"/>
          <w:iCs/>
          <w:lang w:val="en-US"/>
        </w:rPr>
        <w:t>alf</w:t>
      </w:r>
      <w:r w:rsidRPr="00285397">
        <w:rPr>
          <w:rFonts w:cs="Times New Roman"/>
          <w:iCs/>
          <w:lang w:val="en-US"/>
        </w:rPr>
        <w:t xml:space="preserve"> Michaels, « Private International Law and the Legal Pluriverse », </w:t>
      </w:r>
      <w:proofErr w:type="spellStart"/>
      <w:r w:rsidR="00370C33" w:rsidRPr="00285397">
        <w:rPr>
          <w:rFonts w:cs="Times New Roman"/>
          <w:iCs/>
          <w:lang w:val="en-US"/>
        </w:rPr>
        <w:t>préc</w:t>
      </w:r>
      <w:proofErr w:type="spellEnd"/>
      <w:r w:rsidR="00370C33" w:rsidRPr="00285397">
        <w:rPr>
          <w:rFonts w:cs="Times New Roman"/>
          <w:i/>
          <w:lang w:val="en-US"/>
        </w:rPr>
        <w:t>.</w:t>
      </w:r>
      <w:r w:rsidRPr="00285397">
        <w:rPr>
          <w:rFonts w:cs="Times New Roman"/>
          <w:lang w:val="en-US"/>
        </w:rPr>
        <w:t xml:space="preserve">, se </w:t>
      </w:r>
      <w:proofErr w:type="spellStart"/>
      <w:r w:rsidRPr="00285397">
        <w:rPr>
          <w:rFonts w:cs="Times New Roman"/>
          <w:lang w:val="en-US"/>
        </w:rPr>
        <w:t>référant</w:t>
      </w:r>
      <w:proofErr w:type="spellEnd"/>
      <w:r w:rsidRPr="00285397">
        <w:rPr>
          <w:rFonts w:cs="Times New Roman"/>
          <w:lang w:val="en-US"/>
        </w:rPr>
        <w:t xml:space="preserve"> à </w:t>
      </w:r>
      <w:r w:rsidR="00370C33" w:rsidRPr="00285397">
        <w:rPr>
          <w:rFonts w:cs="Times New Roman"/>
          <w:lang w:val="en-US"/>
        </w:rPr>
        <w:t>Balakrishnan</w:t>
      </w:r>
      <w:r w:rsidRPr="00285397">
        <w:rPr>
          <w:rFonts w:cs="Times New Roman"/>
          <w:lang w:val="en-US"/>
        </w:rPr>
        <w:t xml:space="preserve"> Rajagopal, </w:t>
      </w:r>
      <w:r w:rsidR="00370C33" w:rsidRPr="00285397">
        <w:rPr>
          <w:rFonts w:cs="Times New Roman"/>
          <w:lang w:val="en-US"/>
        </w:rPr>
        <w:t>« </w:t>
      </w:r>
      <w:r w:rsidRPr="00285397">
        <w:rPr>
          <w:rFonts w:cs="Times New Roman"/>
          <w:lang w:val="en-US"/>
        </w:rPr>
        <w:t>Counter-Hegemonic International Law - Rethinking Human Rights and Development as a Third World Strategy</w:t>
      </w:r>
      <w:r w:rsidR="00370C33" w:rsidRPr="00285397">
        <w:rPr>
          <w:rFonts w:cs="Times New Roman"/>
          <w:lang w:val="en-US"/>
        </w:rPr>
        <w:t> »</w:t>
      </w:r>
      <w:r w:rsidRPr="00285397">
        <w:rPr>
          <w:rFonts w:cs="Times New Roman"/>
          <w:lang w:val="en-US"/>
        </w:rPr>
        <w:t xml:space="preserve">, </w:t>
      </w:r>
      <w:r w:rsidRPr="00285397">
        <w:rPr>
          <w:rFonts w:cs="Times New Roman"/>
          <w:i/>
          <w:iCs/>
          <w:lang w:val="en-US"/>
        </w:rPr>
        <w:t>Third World Quarterly</w:t>
      </w:r>
      <w:r w:rsidRPr="00285397">
        <w:rPr>
          <w:rFonts w:cs="Times New Roman"/>
          <w:lang w:val="en-US"/>
        </w:rPr>
        <w:t>, 27(5), 2006, p.</w:t>
      </w:r>
      <w:r w:rsidRPr="00285397">
        <w:rPr>
          <w:rFonts w:cs="Times New Roman"/>
          <w:i/>
          <w:iCs/>
          <w:lang w:val="en-US"/>
        </w:rPr>
        <w:t xml:space="preserve"> </w:t>
      </w:r>
      <w:r w:rsidRPr="00285397">
        <w:rPr>
          <w:rFonts w:cs="Times New Roman"/>
          <w:lang w:val="en-US"/>
        </w:rPr>
        <w:t xml:space="preserve">767-783, </w:t>
      </w:r>
      <w:proofErr w:type="spellStart"/>
      <w:r w:rsidRPr="00285397">
        <w:rPr>
          <w:rFonts w:cs="Times New Roman"/>
          <w:lang w:val="en-US"/>
        </w:rPr>
        <w:t>spéc</w:t>
      </w:r>
      <w:proofErr w:type="spellEnd"/>
      <w:r w:rsidRPr="00285397">
        <w:rPr>
          <w:rFonts w:cs="Times New Roman"/>
          <w:lang w:val="en-US"/>
        </w:rPr>
        <w:t xml:space="preserve">. p. 768.  </w:t>
      </w:r>
    </w:p>
  </w:footnote>
  <w:footnote w:id="57">
    <w:p w14:paraId="0E832470" w14:textId="49428735" w:rsidR="00E3606C" w:rsidRPr="006449A5" w:rsidRDefault="00E3606C">
      <w:pPr>
        <w:pStyle w:val="Notedebasdepage"/>
        <w:rPr>
          <w:b/>
          <w:bCs/>
          <w:lang w:val="fr-BE"/>
        </w:rPr>
      </w:pPr>
      <w:r w:rsidRPr="006449A5">
        <w:rPr>
          <w:rStyle w:val="Appelnotedebasdep"/>
          <w:lang w:val="fr-BE"/>
        </w:rPr>
        <w:footnoteRef/>
      </w:r>
      <w:r w:rsidRPr="006449A5">
        <w:rPr>
          <w:lang w:val="fr-BE"/>
        </w:rPr>
        <w:t xml:space="preserve"> Ou au moins qu’il aille dans cette direction (Laureline </w:t>
      </w:r>
      <w:proofErr w:type="spellStart"/>
      <w:r w:rsidRPr="006449A5">
        <w:rPr>
          <w:lang w:val="fr-BE"/>
        </w:rPr>
        <w:t>Kergueris</w:t>
      </w:r>
      <w:proofErr w:type="spellEnd"/>
      <w:r w:rsidRPr="006449A5">
        <w:rPr>
          <w:lang w:val="fr-BE"/>
        </w:rPr>
        <w:t xml:space="preserve">, </w:t>
      </w:r>
      <w:r w:rsidRPr="006449A5">
        <w:rPr>
          <w:i/>
          <w:iCs/>
          <w:lang w:val="fr-BE"/>
        </w:rPr>
        <w:t xml:space="preserve">Les normes non étatiques en matière personnelle et familiale internationale - Etude critique des méthodes de droit international privé, </w:t>
      </w:r>
      <w:r w:rsidRPr="006449A5">
        <w:rPr>
          <w:highlight w:val="yellow"/>
          <w:lang w:val="fr-BE"/>
        </w:rPr>
        <w:t>à paraitre</w:t>
      </w:r>
      <w:r w:rsidRPr="006449A5">
        <w:rPr>
          <w:lang w:val="fr-BE"/>
        </w:rPr>
        <w:t xml:space="preserve">). </w:t>
      </w:r>
    </w:p>
  </w:footnote>
  <w:footnote w:id="58">
    <w:p w14:paraId="37E3BABB" w14:textId="21B5E0A8" w:rsidR="00D971ED" w:rsidRPr="00285397" w:rsidRDefault="00D971ED" w:rsidP="00E005ED">
      <w:pPr>
        <w:pStyle w:val="Notedebasdepage"/>
        <w:rPr>
          <w:rFonts w:cs="Times New Roman"/>
          <w:lang w:val="en-US"/>
        </w:rPr>
      </w:pPr>
      <w:r w:rsidRPr="006449A5">
        <w:rPr>
          <w:rStyle w:val="Appelnotedebasdep"/>
          <w:rFonts w:cs="Times New Roman"/>
          <w:lang w:val="fr-BE"/>
        </w:rPr>
        <w:footnoteRef/>
      </w:r>
      <w:r w:rsidRPr="006449A5">
        <w:rPr>
          <w:rFonts w:cs="Times New Roman"/>
          <w:lang w:val="fr-BE"/>
        </w:rPr>
        <w:t xml:space="preserve"> Bien que cette littérature revendique largement la reconnaissance du pluralisme juridique concernant tous les types de normativités non étatiques (et pas spécialement dans le cadre postcolonial) - une revendication qui est également adoptée dans ce travail. </w:t>
      </w:r>
      <w:r w:rsidRPr="00285397">
        <w:rPr>
          <w:rFonts w:cs="Times New Roman"/>
          <w:lang w:val="en-US"/>
        </w:rPr>
        <w:t>V. not. N</w:t>
      </w:r>
      <w:r w:rsidR="00370C33" w:rsidRPr="00285397">
        <w:rPr>
          <w:rFonts w:cs="Times New Roman"/>
          <w:lang w:val="en-US"/>
        </w:rPr>
        <w:t>icole</w:t>
      </w:r>
      <w:r w:rsidRPr="00285397">
        <w:rPr>
          <w:rFonts w:cs="Times New Roman"/>
          <w:lang w:val="en-US"/>
        </w:rPr>
        <w:t xml:space="preserve"> Roughan et A</w:t>
      </w:r>
      <w:r w:rsidR="00370C33" w:rsidRPr="00285397">
        <w:rPr>
          <w:rFonts w:cs="Times New Roman"/>
          <w:lang w:val="en-US"/>
        </w:rPr>
        <w:t>ndrew</w:t>
      </w:r>
      <w:r w:rsidRPr="00285397">
        <w:rPr>
          <w:rFonts w:cs="Times New Roman"/>
          <w:lang w:val="en-US"/>
        </w:rPr>
        <w:t xml:space="preserve"> Halpin (dir.), </w:t>
      </w:r>
      <w:r w:rsidRPr="00285397">
        <w:rPr>
          <w:rFonts w:cs="Times New Roman"/>
          <w:i/>
          <w:iCs/>
          <w:lang w:val="en-US"/>
        </w:rPr>
        <w:t xml:space="preserve">In pursuit of pluralist jurisprudence, </w:t>
      </w:r>
      <w:r w:rsidRPr="00285397">
        <w:rPr>
          <w:rFonts w:cs="Times New Roman"/>
          <w:lang w:val="en-US"/>
        </w:rPr>
        <w:t xml:space="preserve">Cambridge, Cambridge University Press, 2017 ; Paul Schiff Berman, </w:t>
      </w:r>
      <w:r w:rsidRPr="00285397">
        <w:rPr>
          <w:rFonts w:cs="Times New Roman"/>
          <w:i/>
          <w:lang w:val="en-US"/>
        </w:rPr>
        <w:t>Global Legal Pluralism</w:t>
      </w:r>
      <w:r w:rsidR="00370C33" w:rsidRPr="00285397">
        <w:rPr>
          <w:rFonts w:cs="Times New Roman"/>
          <w:i/>
          <w:lang w:val="en-US"/>
        </w:rPr>
        <w:t xml:space="preserve">, </w:t>
      </w:r>
      <w:proofErr w:type="spellStart"/>
      <w:r w:rsidR="00370C33" w:rsidRPr="00285397">
        <w:rPr>
          <w:rFonts w:cs="Times New Roman"/>
          <w:iCs/>
          <w:lang w:val="en-US"/>
        </w:rPr>
        <w:t>préc</w:t>
      </w:r>
      <w:proofErr w:type="spellEnd"/>
      <w:r w:rsidR="00370C33" w:rsidRPr="00285397">
        <w:rPr>
          <w:rFonts w:cs="Times New Roman"/>
          <w:iCs/>
          <w:lang w:val="en-US"/>
        </w:rPr>
        <w:t>.</w:t>
      </w:r>
      <w:r w:rsidRPr="00285397">
        <w:rPr>
          <w:rFonts w:cs="Times New Roman"/>
          <w:lang w:val="en-US"/>
        </w:rPr>
        <w:t xml:space="preserve"> ; Brian Tamanaha, </w:t>
      </w:r>
      <w:r w:rsidR="00370C33" w:rsidRPr="00285397">
        <w:rPr>
          <w:rFonts w:cs="Times New Roman"/>
          <w:lang w:val="en-US"/>
        </w:rPr>
        <w:t>« </w:t>
      </w:r>
      <w:r w:rsidRPr="00285397">
        <w:rPr>
          <w:rFonts w:cs="Times New Roman"/>
          <w:lang w:val="en-US"/>
        </w:rPr>
        <w:t>Understanding Legal Pluralism : Past to Present, Local to Global</w:t>
      </w:r>
      <w:r w:rsidR="00370C33" w:rsidRPr="00285397">
        <w:rPr>
          <w:rFonts w:cs="Times New Roman"/>
          <w:lang w:val="en-US"/>
        </w:rPr>
        <w:t> »</w:t>
      </w:r>
      <w:r w:rsidRPr="00285397">
        <w:rPr>
          <w:rFonts w:cs="Times New Roman"/>
          <w:lang w:val="en-US"/>
        </w:rPr>
        <w:t xml:space="preserve">, </w:t>
      </w:r>
      <w:r w:rsidRPr="00285397">
        <w:rPr>
          <w:rFonts w:cs="Times New Roman"/>
          <w:i/>
          <w:iCs/>
          <w:lang w:val="en-US"/>
        </w:rPr>
        <w:t>Sidney Law Review</w:t>
      </w:r>
      <w:r w:rsidRPr="00285397">
        <w:rPr>
          <w:rFonts w:cs="Times New Roman"/>
          <w:lang w:val="en-US"/>
        </w:rPr>
        <w:t>, 30(3), 2008, p. 375-411 ;</w:t>
      </w:r>
      <w:bookmarkStart w:id="23" w:name="_Hlk183019998"/>
      <w:bookmarkStart w:id="24" w:name="_Hlk179973074"/>
      <w:r w:rsidRPr="00285397">
        <w:rPr>
          <w:rFonts w:cs="Times New Roman"/>
          <w:lang w:val="en-US"/>
        </w:rPr>
        <w:t xml:space="preserve"> Roger Cotterrell, </w:t>
      </w:r>
      <w:r w:rsidRPr="00285397">
        <w:rPr>
          <w:rFonts w:cs="Times New Roman"/>
          <w:i/>
          <w:iCs/>
          <w:lang w:val="en-US"/>
        </w:rPr>
        <w:t xml:space="preserve">Law, Culture and Society : Legal Ideas in the Mirror of Social Theory, </w:t>
      </w:r>
      <w:r w:rsidRPr="00285397">
        <w:rPr>
          <w:rFonts w:cs="Times New Roman"/>
          <w:lang w:val="en-US"/>
        </w:rPr>
        <w:t xml:space="preserve">Aldershot, Ashgate Publishing Limited, 2006 ; Sally Falke Moore, </w:t>
      </w:r>
      <w:r w:rsidR="00370C33" w:rsidRPr="00285397">
        <w:rPr>
          <w:rFonts w:cs="Times New Roman"/>
          <w:lang w:val="en-US"/>
        </w:rPr>
        <w:t>« </w:t>
      </w:r>
      <w:r w:rsidRPr="00285397">
        <w:rPr>
          <w:rFonts w:cs="Times New Roman"/>
          <w:lang w:val="en-US"/>
        </w:rPr>
        <w:t>Law and Social Change : The Semi-Autonomous Social Field as an Appropriate Subject of Study</w:t>
      </w:r>
      <w:r w:rsidR="00370C33" w:rsidRPr="00285397">
        <w:rPr>
          <w:rFonts w:cs="Times New Roman"/>
          <w:lang w:val="en-US"/>
        </w:rPr>
        <w:t> »</w:t>
      </w:r>
      <w:r w:rsidRPr="00285397">
        <w:rPr>
          <w:rFonts w:cs="Times New Roman"/>
          <w:lang w:val="en-US"/>
        </w:rPr>
        <w:t xml:space="preserve">, </w:t>
      </w:r>
      <w:r w:rsidRPr="00285397">
        <w:rPr>
          <w:rFonts w:cs="Times New Roman"/>
          <w:i/>
          <w:iCs/>
          <w:lang w:val="en-US"/>
        </w:rPr>
        <w:t xml:space="preserve">Law &amp; Society Review, </w:t>
      </w:r>
      <w:r w:rsidRPr="00285397">
        <w:rPr>
          <w:rFonts w:cs="Times New Roman"/>
          <w:lang w:val="en-US"/>
        </w:rPr>
        <w:t>7(4)</w:t>
      </w:r>
      <w:r w:rsidRPr="00285397">
        <w:rPr>
          <w:rFonts w:cs="Times New Roman"/>
          <w:i/>
          <w:iCs/>
          <w:lang w:val="en-US"/>
        </w:rPr>
        <w:t xml:space="preserve">, </w:t>
      </w:r>
      <w:r w:rsidRPr="00285397">
        <w:rPr>
          <w:rFonts w:cs="Times New Roman"/>
          <w:lang w:val="en-US"/>
        </w:rPr>
        <w:t>1973, p. 719-746.</w:t>
      </w:r>
      <w:bookmarkEnd w:id="23"/>
    </w:p>
    <w:bookmarkEnd w:id="24"/>
  </w:footnote>
  <w:footnote w:id="59">
    <w:p w14:paraId="367F7B11" w14:textId="18C9D74B" w:rsidR="00D971ED" w:rsidRPr="00285397" w:rsidRDefault="00D971ED"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See John Griffiths, </w:t>
      </w:r>
      <w:r w:rsidR="00370C33" w:rsidRPr="00285397">
        <w:rPr>
          <w:rFonts w:cs="Times New Roman"/>
          <w:lang w:val="en-US"/>
        </w:rPr>
        <w:t>« </w:t>
      </w:r>
      <w:r w:rsidRPr="00285397">
        <w:rPr>
          <w:rFonts w:cs="Times New Roman"/>
          <w:lang w:val="en-US"/>
        </w:rPr>
        <w:t>What is legal pluralism?</w:t>
      </w:r>
      <w:r w:rsidR="00370C33" w:rsidRPr="00285397">
        <w:rPr>
          <w:rFonts w:cs="Times New Roman"/>
          <w:i/>
          <w:iCs/>
          <w:lang w:val="en-US"/>
        </w:rPr>
        <w:t> »</w:t>
      </w:r>
      <w:r w:rsidRPr="00285397">
        <w:rPr>
          <w:rFonts w:cs="Times New Roman"/>
          <w:i/>
          <w:iCs/>
          <w:lang w:val="en-US"/>
        </w:rPr>
        <w:t>, Journal of Legal Pluralism and Unofficial Law,</w:t>
      </w:r>
      <w:r w:rsidRPr="00285397">
        <w:rPr>
          <w:rFonts w:cs="Times New Roman"/>
          <w:lang w:val="en-US"/>
        </w:rPr>
        <w:t xml:space="preserve"> 18(24), 1986 p. 1-55. </w:t>
      </w:r>
    </w:p>
  </w:footnote>
  <w:footnote w:id="60">
    <w:p w14:paraId="53A0FA90" w14:textId="77777777" w:rsidR="00D971ED" w:rsidRPr="00285397" w:rsidRDefault="00D971ED"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Nico Krisch, </w:t>
      </w:r>
      <w:r w:rsidRPr="00285397">
        <w:rPr>
          <w:rFonts w:cs="Times New Roman"/>
          <w:i/>
          <w:iCs/>
          <w:lang w:val="en-US"/>
        </w:rPr>
        <w:t xml:space="preserve">Beyond Constitutionalism: The Pluralist Structure of </w:t>
      </w:r>
      <w:proofErr w:type="spellStart"/>
      <w:r w:rsidRPr="00285397">
        <w:rPr>
          <w:rFonts w:cs="Times New Roman"/>
          <w:i/>
          <w:iCs/>
          <w:lang w:val="en-US"/>
        </w:rPr>
        <w:t>Postnational</w:t>
      </w:r>
      <w:proofErr w:type="spellEnd"/>
      <w:r w:rsidRPr="00285397">
        <w:rPr>
          <w:rFonts w:cs="Times New Roman"/>
          <w:i/>
          <w:iCs/>
          <w:lang w:val="en-US"/>
        </w:rPr>
        <w:t xml:space="preserve"> Law</w:t>
      </w:r>
      <w:r w:rsidRPr="00285397">
        <w:rPr>
          <w:rFonts w:cs="Times New Roman"/>
          <w:lang w:val="en-US"/>
        </w:rPr>
        <w:t>, Oxford, Oxford University Press, 2010.</w:t>
      </w:r>
    </w:p>
  </w:footnote>
  <w:footnote w:id="61">
    <w:p w14:paraId="61B959C6" w14:textId="20E4F11C" w:rsidR="00D971ED" w:rsidRPr="006449A5" w:rsidRDefault="00D971ED"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Voir typiquement Paul Schiff Berman, </w:t>
      </w:r>
      <w:r w:rsidRPr="006449A5">
        <w:rPr>
          <w:rFonts w:cs="Times New Roman"/>
          <w:i/>
          <w:lang w:val="fr-BE"/>
        </w:rPr>
        <w:t xml:space="preserve">Global Legal </w:t>
      </w:r>
      <w:proofErr w:type="spellStart"/>
      <w:r w:rsidRPr="006449A5">
        <w:rPr>
          <w:rFonts w:cs="Times New Roman"/>
          <w:i/>
          <w:lang w:val="fr-BE"/>
        </w:rPr>
        <w:t>Pluralism</w:t>
      </w:r>
      <w:proofErr w:type="spellEnd"/>
      <w:r w:rsidR="00370C33" w:rsidRPr="006449A5">
        <w:rPr>
          <w:rFonts w:cs="Times New Roman"/>
          <w:i/>
          <w:lang w:val="fr-BE"/>
        </w:rPr>
        <w:t xml:space="preserve">, </w:t>
      </w:r>
      <w:proofErr w:type="spellStart"/>
      <w:r w:rsidR="00370C33" w:rsidRPr="006449A5">
        <w:rPr>
          <w:rFonts w:cs="Times New Roman"/>
          <w:iCs/>
          <w:lang w:val="fr-BE"/>
        </w:rPr>
        <w:t>préc</w:t>
      </w:r>
      <w:proofErr w:type="spellEnd"/>
      <w:r w:rsidRPr="006449A5">
        <w:rPr>
          <w:rFonts w:cs="Times New Roman"/>
          <w:lang w:val="fr-BE"/>
        </w:rPr>
        <w:t xml:space="preserve">. </w:t>
      </w:r>
    </w:p>
  </w:footnote>
  <w:footnote w:id="62">
    <w:p w14:paraId="1EB5FD9D" w14:textId="7D85E10D" w:rsidR="00D971ED" w:rsidRPr="006449A5" w:rsidRDefault="00D971ED" w:rsidP="00E005ED">
      <w:pPr>
        <w:pStyle w:val="Notedebasdepage"/>
        <w:rPr>
          <w:rFonts w:cs="Times New Roman"/>
          <w:lang w:val="fr-BE"/>
        </w:rPr>
      </w:pPr>
      <w:r w:rsidRPr="006449A5">
        <w:rPr>
          <w:rStyle w:val="Appelnotedebasdep"/>
          <w:rFonts w:cs="Times New Roman"/>
          <w:lang w:val="fr-BE"/>
        </w:rPr>
        <w:footnoteRef/>
      </w:r>
      <w:r w:rsidRPr="00285397">
        <w:rPr>
          <w:rFonts w:cs="Times New Roman"/>
          <w:lang w:val="en-US"/>
        </w:rPr>
        <w:t xml:space="preserve"> V. par ex. R</w:t>
      </w:r>
      <w:r w:rsidR="00E3606C" w:rsidRPr="00285397">
        <w:rPr>
          <w:rFonts w:cs="Times New Roman"/>
          <w:lang w:val="en-US"/>
        </w:rPr>
        <w:t>oger</w:t>
      </w:r>
      <w:r w:rsidRPr="00285397">
        <w:rPr>
          <w:rFonts w:cs="Times New Roman"/>
          <w:lang w:val="en-US"/>
        </w:rPr>
        <w:t xml:space="preserve"> Cotterrell, </w:t>
      </w:r>
      <w:r w:rsidRPr="00285397">
        <w:rPr>
          <w:rFonts w:cs="Times New Roman"/>
          <w:i/>
          <w:iCs/>
          <w:lang w:val="en-US"/>
        </w:rPr>
        <w:t>Law, Culture and Society</w:t>
      </w:r>
      <w:r w:rsidR="00E3606C" w:rsidRPr="00285397">
        <w:rPr>
          <w:rFonts w:cs="Times New Roman"/>
          <w:i/>
          <w:iCs/>
          <w:lang w:val="en-US"/>
        </w:rPr>
        <w:t>,</w:t>
      </w:r>
      <w:r w:rsidRPr="00285397">
        <w:rPr>
          <w:rFonts w:cs="Times New Roman"/>
          <w:i/>
          <w:iCs/>
          <w:lang w:val="en-US"/>
        </w:rPr>
        <w:t xml:space="preserve"> </w:t>
      </w:r>
      <w:proofErr w:type="spellStart"/>
      <w:r w:rsidR="00E3606C" w:rsidRPr="00285397">
        <w:rPr>
          <w:rFonts w:cs="Times New Roman"/>
          <w:lang w:val="en-US"/>
        </w:rPr>
        <w:t>préc</w:t>
      </w:r>
      <w:proofErr w:type="spellEnd"/>
      <w:r w:rsidR="00E3606C" w:rsidRPr="00285397">
        <w:rPr>
          <w:rFonts w:cs="Times New Roman"/>
          <w:lang w:val="en-US"/>
        </w:rPr>
        <w:t>.</w:t>
      </w:r>
      <w:r w:rsidRPr="00285397">
        <w:rPr>
          <w:rFonts w:cs="Times New Roman"/>
          <w:lang w:val="en-US"/>
        </w:rPr>
        <w:t xml:space="preserve">; Sally Falke Moore, </w:t>
      </w:r>
      <w:r w:rsidR="00E3606C" w:rsidRPr="00285397">
        <w:rPr>
          <w:rFonts w:cs="Times New Roman"/>
          <w:lang w:val="en-US"/>
        </w:rPr>
        <w:t>« </w:t>
      </w:r>
      <w:r w:rsidRPr="00285397">
        <w:rPr>
          <w:rFonts w:cs="Times New Roman"/>
          <w:lang w:val="en-US"/>
        </w:rPr>
        <w:t>Law and Social Change</w:t>
      </w:r>
      <w:r w:rsidR="00E3606C" w:rsidRPr="00285397">
        <w:rPr>
          <w:rFonts w:cs="Times New Roman"/>
          <w:lang w:val="en-US"/>
        </w:rPr>
        <w:t xml:space="preserve">… », </w:t>
      </w:r>
      <w:proofErr w:type="spellStart"/>
      <w:r w:rsidR="00E3606C" w:rsidRPr="00285397">
        <w:rPr>
          <w:rFonts w:cs="Times New Roman"/>
          <w:lang w:val="en-US"/>
        </w:rPr>
        <w:t>préc</w:t>
      </w:r>
      <w:proofErr w:type="spellEnd"/>
      <w:r w:rsidRPr="00285397">
        <w:rPr>
          <w:rFonts w:cs="Times New Roman"/>
          <w:lang w:val="en-US"/>
        </w:rPr>
        <w:t xml:space="preserve">.  </w:t>
      </w:r>
      <w:r w:rsidRPr="006449A5">
        <w:rPr>
          <w:rFonts w:cs="Times New Roman"/>
          <w:lang w:val="fr-BE"/>
        </w:rPr>
        <w:t xml:space="preserve">Cette définition peut sembler plus proche de la conception anthropologique du pluralisme juridique que de sa conception juridique (à propos de la conception anthropologique, v. par ex. </w:t>
      </w:r>
      <w:proofErr w:type="spellStart"/>
      <w:r w:rsidRPr="00285397">
        <w:rPr>
          <w:rFonts w:cs="Times New Roman"/>
          <w:lang w:val="en-US"/>
        </w:rPr>
        <w:t>K</w:t>
      </w:r>
      <w:r w:rsidR="00E3606C" w:rsidRPr="00285397">
        <w:rPr>
          <w:rFonts w:cs="Times New Roman"/>
          <w:lang w:val="en-US"/>
        </w:rPr>
        <w:t>eebet</w:t>
      </w:r>
      <w:proofErr w:type="spellEnd"/>
      <w:r w:rsidRPr="00285397">
        <w:rPr>
          <w:rFonts w:cs="Times New Roman"/>
          <w:lang w:val="en-US"/>
        </w:rPr>
        <w:t xml:space="preserve"> Von Benda-Beckmann et B</w:t>
      </w:r>
      <w:r w:rsidR="00E3606C" w:rsidRPr="00285397">
        <w:rPr>
          <w:rFonts w:cs="Times New Roman"/>
          <w:lang w:val="en-US"/>
        </w:rPr>
        <w:t>ertram</w:t>
      </w:r>
      <w:r w:rsidRPr="00285397">
        <w:rPr>
          <w:rFonts w:cs="Times New Roman"/>
          <w:lang w:val="en-US"/>
        </w:rPr>
        <w:t xml:space="preserve"> Turner, « Anthropological Roots of Global Pluralism » in P. S. Berman (dir.), </w:t>
      </w:r>
      <w:r w:rsidRPr="00285397">
        <w:rPr>
          <w:rFonts w:cs="Times New Roman"/>
          <w:i/>
          <w:lang w:val="en-US"/>
        </w:rPr>
        <w:t xml:space="preserve">Oxford Handbook of Global Legal Pluralism, </w:t>
      </w:r>
      <w:r w:rsidRPr="00285397">
        <w:rPr>
          <w:rFonts w:cs="Times New Roman"/>
          <w:iCs/>
          <w:lang w:val="en-US"/>
        </w:rPr>
        <w:t xml:space="preserve">Oxford, Oxford University Press, </w:t>
      </w:r>
      <w:r w:rsidRPr="00285397">
        <w:rPr>
          <w:rFonts w:cs="Times New Roman"/>
          <w:lang w:val="en-US"/>
        </w:rPr>
        <w:t xml:space="preserve">2020; Sally Engle Merry, </w:t>
      </w:r>
      <w:r w:rsidRPr="00285397">
        <w:rPr>
          <w:rFonts w:cs="Times New Roman"/>
          <w:iCs/>
          <w:lang w:val="en-US"/>
        </w:rPr>
        <w:t xml:space="preserve">« An Anthropological Perspective on Legal Pluralism », </w:t>
      </w:r>
      <w:r w:rsidRPr="00285397">
        <w:rPr>
          <w:rFonts w:cs="Times New Roman"/>
          <w:i/>
          <w:lang w:val="en-US"/>
        </w:rPr>
        <w:t>in</w:t>
      </w:r>
      <w:r w:rsidRPr="00285397">
        <w:rPr>
          <w:rFonts w:cs="Times New Roman"/>
          <w:iCs/>
          <w:lang w:val="en-US"/>
        </w:rPr>
        <w:t xml:space="preserve"> P.S. Berman (dir.), </w:t>
      </w:r>
      <w:r w:rsidRPr="00285397">
        <w:rPr>
          <w:rFonts w:cs="Times New Roman"/>
          <w:i/>
          <w:lang w:val="en-US"/>
        </w:rPr>
        <w:t>Ibid</w:t>
      </w:r>
      <w:r w:rsidRPr="00285397">
        <w:rPr>
          <w:rFonts w:cs="Times New Roman"/>
          <w:iCs/>
          <w:lang w:val="en-US"/>
        </w:rPr>
        <w:t xml:space="preserve">). </w:t>
      </w:r>
      <w:r w:rsidRPr="006449A5">
        <w:rPr>
          <w:rFonts w:cs="Times New Roman"/>
          <w:iCs/>
          <w:lang w:val="fr-BE"/>
        </w:rPr>
        <w:t xml:space="preserve">A cet égard, la </w:t>
      </w:r>
      <w:proofErr w:type="spellStart"/>
      <w:r w:rsidRPr="006449A5">
        <w:rPr>
          <w:rFonts w:cs="Times New Roman"/>
          <w:iCs/>
          <w:lang w:val="fr-BE"/>
        </w:rPr>
        <w:t>décolonialité</w:t>
      </w:r>
      <w:proofErr w:type="spellEnd"/>
      <w:r w:rsidRPr="006449A5">
        <w:rPr>
          <w:rFonts w:cs="Times New Roman"/>
          <w:iCs/>
          <w:lang w:val="fr-BE"/>
        </w:rPr>
        <w:t xml:space="preserve"> demande sans doute que ces </w:t>
      </w:r>
      <w:r w:rsidRPr="006449A5">
        <w:rPr>
          <w:rFonts w:cs="Times New Roman"/>
          <w:lang w:val="fr-BE"/>
        </w:rPr>
        <w:t xml:space="preserve">deux conceptions se rapprochent le plus possible l'une de l'autre. </w:t>
      </w:r>
    </w:p>
  </w:footnote>
  <w:footnote w:id="63">
    <w:p w14:paraId="46CF2D1A" w14:textId="77777777" w:rsidR="00D971ED" w:rsidRPr="006449A5" w:rsidRDefault="00D971ED"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A ce sujet, v. par ex. la situation au Bénin, qui a notamment été étudiée dans </w:t>
      </w:r>
      <w:proofErr w:type="spellStart"/>
      <w:r w:rsidRPr="006449A5">
        <w:rPr>
          <w:rFonts w:cs="Times New Roman"/>
          <w:lang w:val="fr-BE"/>
        </w:rPr>
        <w:t>Yémalin</w:t>
      </w:r>
      <w:proofErr w:type="spellEnd"/>
      <w:r w:rsidRPr="006449A5">
        <w:rPr>
          <w:rFonts w:cs="Times New Roman"/>
          <w:lang w:val="fr-BE"/>
        </w:rPr>
        <w:t xml:space="preserve"> </w:t>
      </w:r>
      <w:proofErr w:type="spellStart"/>
      <w:r w:rsidRPr="006449A5">
        <w:rPr>
          <w:rFonts w:cs="Times New Roman"/>
          <w:lang w:val="fr-BE"/>
        </w:rPr>
        <w:t>Gnonlonfoun</w:t>
      </w:r>
      <w:proofErr w:type="spellEnd"/>
      <w:r w:rsidRPr="006449A5">
        <w:rPr>
          <w:rFonts w:cs="Times New Roman"/>
          <w:lang w:val="fr-BE"/>
        </w:rPr>
        <w:t xml:space="preserve">, </w:t>
      </w:r>
      <w:r w:rsidRPr="006449A5">
        <w:rPr>
          <w:rFonts w:cs="Times New Roman"/>
          <w:i/>
          <w:iCs/>
          <w:lang w:val="fr-BE"/>
        </w:rPr>
        <w:t>Le rôle de la pratique dans la formation du droit de la famille en Afrique noire francophone : cas du Bénin</w:t>
      </w:r>
      <w:r w:rsidRPr="006449A5">
        <w:rPr>
          <w:rFonts w:cs="Times New Roman"/>
          <w:lang w:val="fr-BE"/>
        </w:rPr>
        <w:t>, Thèse de Doctorat supervisée par François-Pierre Blanc, Université de Perpignan, Faculté de droit, 2022.</w:t>
      </w:r>
    </w:p>
  </w:footnote>
  <w:footnote w:id="64">
    <w:p w14:paraId="0CA117BD" w14:textId="717D3E33" w:rsidR="00D971ED" w:rsidRPr="006449A5" w:rsidRDefault="00D971ED" w:rsidP="00E005ED">
      <w:pPr>
        <w:pStyle w:val="Notedebasdepage"/>
        <w:rPr>
          <w:rFonts w:cs="Times New Roman"/>
          <w:lang w:val="fr-BE"/>
        </w:rPr>
      </w:pPr>
      <w:r w:rsidRPr="006449A5">
        <w:rPr>
          <w:rStyle w:val="Appelnotedebasdep"/>
          <w:rFonts w:cs="Times New Roman"/>
          <w:lang w:val="fr-BE"/>
        </w:rPr>
        <w:footnoteRef/>
      </w:r>
      <w:r w:rsidRPr="00285397">
        <w:rPr>
          <w:rFonts w:cs="Times New Roman"/>
          <w:lang w:val="en-US"/>
        </w:rPr>
        <w:t xml:space="preserve"> V. par ex. Sabelo Ndlovu-</w:t>
      </w:r>
      <w:proofErr w:type="spellStart"/>
      <w:r w:rsidRPr="00285397">
        <w:rPr>
          <w:rFonts w:cs="Times New Roman"/>
          <w:lang w:val="en-US"/>
        </w:rPr>
        <w:t>Gatsheni</w:t>
      </w:r>
      <w:proofErr w:type="spellEnd"/>
      <w:r w:rsidRPr="00285397">
        <w:rPr>
          <w:rFonts w:cs="Times New Roman"/>
          <w:lang w:val="en-US"/>
        </w:rPr>
        <w:t xml:space="preserve">, « Global coloniality and the challenges of creating African futures”, </w:t>
      </w:r>
      <w:r w:rsidRPr="00285397">
        <w:rPr>
          <w:rFonts w:cs="Times New Roman"/>
          <w:i/>
          <w:iCs/>
          <w:lang w:val="en-US"/>
        </w:rPr>
        <w:t xml:space="preserve">Strategic Review for Southern Africa, </w:t>
      </w:r>
      <w:r w:rsidRPr="00285397">
        <w:rPr>
          <w:rFonts w:cs="Times New Roman"/>
          <w:lang w:val="en-US"/>
        </w:rPr>
        <w:t>36(2), 2014, p. 181-202; A</w:t>
      </w:r>
      <w:r w:rsidR="006449A5" w:rsidRPr="00285397">
        <w:rPr>
          <w:rFonts w:cs="Times New Roman"/>
          <w:lang w:val="en-US"/>
        </w:rPr>
        <w:t>nna Maria</w:t>
      </w:r>
      <w:r w:rsidRPr="00285397">
        <w:rPr>
          <w:rFonts w:cs="Times New Roman"/>
          <w:lang w:val="en-US"/>
        </w:rPr>
        <w:t xml:space="preserve"> Krämer, </w:t>
      </w:r>
      <w:r w:rsidR="006449A5" w:rsidRPr="00285397">
        <w:rPr>
          <w:rFonts w:cs="Times New Roman"/>
          <w:lang w:val="en-US"/>
        </w:rPr>
        <w:t>« </w:t>
      </w:r>
      <w:r w:rsidRPr="00285397">
        <w:rPr>
          <w:rFonts w:cs="Times New Roman"/>
          <w:lang w:val="en-US"/>
        </w:rPr>
        <w:t>Why Africa’s ‘weak states’ matter. A postcolonial critique of Euro-Western discourse on African statehood and sovereignty</w:t>
      </w:r>
      <w:r w:rsidR="006449A5" w:rsidRPr="00285397">
        <w:rPr>
          <w:rFonts w:cs="Times New Roman"/>
          <w:lang w:val="en-US"/>
        </w:rPr>
        <w:t> »</w:t>
      </w:r>
      <w:r w:rsidRPr="00285397">
        <w:rPr>
          <w:rFonts w:cs="Times New Roman"/>
          <w:lang w:val="en-US"/>
        </w:rPr>
        <w:t xml:space="preserve">, </w:t>
      </w:r>
      <w:r w:rsidRPr="00285397">
        <w:rPr>
          <w:rFonts w:cs="Times New Roman"/>
          <w:i/>
          <w:iCs/>
          <w:lang w:val="en-US"/>
        </w:rPr>
        <w:t>in</w:t>
      </w:r>
      <w:r w:rsidRPr="00285397">
        <w:rPr>
          <w:rFonts w:cs="Times New Roman"/>
          <w:lang w:val="en-US"/>
        </w:rPr>
        <w:t xml:space="preserve"> D. Cooper, N. Dhawan and J. Newman (dir.), </w:t>
      </w:r>
      <w:r w:rsidRPr="00285397">
        <w:rPr>
          <w:rFonts w:cs="Times New Roman"/>
          <w:i/>
          <w:iCs/>
          <w:lang w:val="en-US"/>
        </w:rPr>
        <w:t>Reimagining the State. Theoretical Challenges and Transformative Possibilities</w:t>
      </w:r>
      <w:r w:rsidRPr="00285397">
        <w:rPr>
          <w:rFonts w:cs="Times New Roman"/>
          <w:lang w:val="en-US"/>
        </w:rPr>
        <w:t>, London and New York, Routledge, 2019; G</w:t>
      </w:r>
      <w:r w:rsidR="006449A5" w:rsidRPr="00285397">
        <w:rPr>
          <w:rFonts w:cs="Times New Roman"/>
          <w:lang w:val="en-US"/>
        </w:rPr>
        <w:t>erard</w:t>
      </w:r>
      <w:r w:rsidRPr="00285397">
        <w:rPr>
          <w:rFonts w:cs="Times New Roman"/>
          <w:lang w:val="en-US"/>
        </w:rPr>
        <w:t xml:space="preserve"> </w:t>
      </w:r>
      <w:proofErr w:type="spellStart"/>
      <w:r w:rsidRPr="00285397">
        <w:rPr>
          <w:rFonts w:cs="Times New Roman"/>
          <w:lang w:val="en-US"/>
        </w:rPr>
        <w:t>Kreijen</w:t>
      </w:r>
      <w:proofErr w:type="spellEnd"/>
      <w:r w:rsidRPr="00285397">
        <w:rPr>
          <w:rFonts w:cs="Times New Roman"/>
          <w:lang w:val="en-US"/>
        </w:rPr>
        <w:t xml:space="preserve">, </w:t>
      </w:r>
      <w:r w:rsidRPr="00285397">
        <w:rPr>
          <w:rFonts w:cs="Times New Roman"/>
          <w:i/>
          <w:iCs/>
          <w:lang w:val="en-US"/>
        </w:rPr>
        <w:t xml:space="preserve">State Failure, Sovereignty and Effectiveness. Legal Lessons from the Decolonization of Sub-Saharan Africa, </w:t>
      </w:r>
      <w:r w:rsidRPr="00285397">
        <w:rPr>
          <w:rFonts w:cs="Times New Roman"/>
          <w:lang w:val="en-US"/>
        </w:rPr>
        <w:t xml:space="preserve">Leiden, Brill, 2004. </w:t>
      </w:r>
      <w:r w:rsidRPr="006449A5">
        <w:rPr>
          <w:rFonts w:cs="Times New Roman"/>
          <w:lang w:val="fr-BE"/>
        </w:rPr>
        <w:t xml:space="preserve">En outre, en Allemagne, Susan </w:t>
      </w:r>
      <w:proofErr w:type="spellStart"/>
      <w:r w:rsidRPr="006449A5">
        <w:rPr>
          <w:rFonts w:cs="Times New Roman"/>
          <w:lang w:val="fr-BE"/>
        </w:rPr>
        <w:t>Gössl</w:t>
      </w:r>
      <w:proofErr w:type="spellEnd"/>
      <w:r w:rsidRPr="006449A5">
        <w:rPr>
          <w:rFonts w:cs="Times New Roman"/>
          <w:lang w:val="fr-BE"/>
        </w:rPr>
        <w:t xml:space="preserve"> a évoqué l’idée de la possibilité théorique (mais non réelle) d’interpréter certaines conventions internationales de manière à justifier l’application de normes religieuses ou coutumières comme droit étranger, au-delà du pluralisme juridique officiel de l’État postcolonial concerné, lorsque cela correspond aux obligations de l’État postcolonial (Susanne </w:t>
      </w:r>
      <w:proofErr w:type="spellStart"/>
      <w:r w:rsidRPr="006449A5">
        <w:rPr>
          <w:rFonts w:cs="Times New Roman"/>
          <w:lang w:val="fr-BE"/>
        </w:rPr>
        <w:t>Gössl</w:t>
      </w:r>
      <w:proofErr w:type="spellEnd"/>
      <w:r w:rsidRPr="006449A5">
        <w:rPr>
          <w:rFonts w:cs="Times New Roman"/>
          <w:lang w:val="fr-BE"/>
        </w:rPr>
        <w:t xml:space="preserve">, </w:t>
      </w:r>
      <w:r w:rsidR="006449A5" w:rsidRPr="006449A5">
        <w:rPr>
          <w:rFonts w:cs="Times New Roman"/>
          <w:lang w:val="fr-BE"/>
        </w:rPr>
        <w:t>« </w:t>
      </w:r>
      <w:proofErr w:type="spellStart"/>
      <w:r w:rsidRPr="006449A5">
        <w:rPr>
          <w:rFonts w:cs="Times New Roman"/>
          <w:lang w:val="fr-BE"/>
        </w:rPr>
        <w:t>Fortsetzung</w:t>
      </w:r>
      <w:proofErr w:type="spellEnd"/>
      <w:r w:rsidRPr="006449A5">
        <w:rPr>
          <w:rFonts w:cs="Times New Roman"/>
          <w:lang w:val="fr-BE"/>
        </w:rPr>
        <w:t xml:space="preserve"> des </w:t>
      </w:r>
      <w:proofErr w:type="spellStart"/>
      <w:r w:rsidRPr="006449A5">
        <w:rPr>
          <w:rFonts w:cs="Times New Roman"/>
          <w:lang w:val="fr-BE"/>
        </w:rPr>
        <w:t>Kolonialismus</w:t>
      </w:r>
      <w:proofErr w:type="spellEnd"/>
      <w:r w:rsidRPr="006449A5">
        <w:rPr>
          <w:rFonts w:cs="Times New Roman"/>
          <w:lang w:val="fr-BE"/>
        </w:rPr>
        <w:t xml:space="preserve"> </w:t>
      </w:r>
      <w:r w:rsidR="006449A5" w:rsidRPr="006449A5">
        <w:rPr>
          <w:rFonts w:cs="Times New Roman"/>
          <w:lang w:val="fr-BE"/>
        </w:rPr>
        <w:t xml:space="preserve">… », </w:t>
      </w:r>
      <w:proofErr w:type="spellStart"/>
      <w:r w:rsidR="006449A5" w:rsidRPr="006449A5">
        <w:rPr>
          <w:rFonts w:cs="Times New Roman"/>
          <w:lang w:val="fr-BE"/>
        </w:rPr>
        <w:t>préc</w:t>
      </w:r>
      <w:proofErr w:type="spellEnd"/>
      <w:r w:rsidR="006449A5" w:rsidRPr="006449A5">
        <w:rPr>
          <w:rFonts w:cs="Times New Roman"/>
          <w:lang w:val="fr-BE"/>
        </w:rPr>
        <w:t>.</w:t>
      </w:r>
      <w:r w:rsidRPr="006449A5">
        <w:rPr>
          <w:rFonts w:cs="Times New Roman"/>
          <w:lang w:val="fr-BE"/>
        </w:rPr>
        <w:t xml:space="preserve">). </w:t>
      </w:r>
    </w:p>
  </w:footnote>
  <w:footnote w:id="65">
    <w:p w14:paraId="5D821F3A" w14:textId="54CB5449" w:rsidR="006449A5" w:rsidRPr="006449A5" w:rsidRDefault="006449A5">
      <w:pPr>
        <w:pStyle w:val="Notedebasdepage"/>
        <w:rPr>
          <w:lang w:val="en-US"/>
        </w:rPr>
      </w:pPr>
      <w:r w:rsidRPr="006449A5">
        <w:rPr>
          <w:rStyle w:val="Appelnotedebasdep"/>
          <w:lang w:val="fr-BE"/>
        </w:rPr>
        <w:footnoteRef/>
      </w:r>
      <w:r w:rsidRPr="006449A5">
        <w:rPr>
          <w:lang w:val="fr-BE"/>
        </w:rPr>
        <w:t xml:space="preserve"> D’aucuns serons d’avis que le DIP n’a pas à se préoccuper de ce genre de considérations, traditionnellement attachées au droit international public. Nous nous rallions cependant aux auteurs qui prône une relation beaucoup plus poreuse entre les deux branches du droit (v. not. </w:t>
      </w:r>
      <w:r w:rsidRPr="006449A5">
        <w:rPr>
          <w:lang w:val="en-US"/>
        </w:rPr>
        <w:t>Alex Mills,</w:t>
      </w:r>
      <w:r w:rsidRPr="006449A5">
        <w:rPr>
          <w:rFonts w:cs="Times New Roman"/>
          <w:kern w:val="2"/>
          <w:lang w:val="en-US"/>
          <w14:ligatures w14:val="standardContextual"/>
        </w:rPr>
        <w:t xml:space="preserve"> </w:t>
      </w:r>
      <w:r w:rsidRPr="006449A5">
        <w:rPr>
          <w:i/>
          <w:iCs/>
          <w:lang w:val="en-US"/>
        </w:rPr>
        <w:t xml:space="preserve">The Confluence of Public and Private International Law: Justice, Pluralism and Subsidiarity in the International Constitutional Ordering of </w:t>
      </w:r>
      <w:proofErr w:type="spellStart"/>
      <w:r w:rsidRPr="006449A5">
        <w:rPr>
          <w:i/>
          <w:iCs/>
          <w:lang w:val="en-US"/>
        </w:rPr>
        <w:t>PrivateLaw</w:t>
      </w:r>
      <w:proofErr w:type="spellEnd"/>
      <w:r w:rsidRPr="006449A5">
        <w:rPr>
          <w:i/>
          <w:iCs/>
          <w:lang w:val="en-US"/>
        </w:rPr>
        <w:t xml:space="preserve">, </w:t>
      </w:r>
      <w:r w:rsidRPr="006449A5">
        <w:rPr>
          <w:lang w:val="en-US"/>
        </w:rPr>
        <w:t>Cambridge, CUP, 2009; Horatia Muir Watt, « </w:t>
      </w:r>
      <w:r w:rsidRPr="006449A5">
        <w:rPr>
          <w:iCs/>
          <w:lang w:val="en-US"/>
        </w:rPr>
        <w:t>Private International Law Beyond the Schism »,</w:t>
      </w:r>
      <w:r>
        <w:rPr>
          <w:iCs/>
          <w:lang w:val="en-US"/>
        </w:rPr>
        <w:t xml:space="preserve"> </w:t>
      </w:r>
      <w:r w:rsidRPr="006449A5">
        <w:rPr>
          <w:i/>
          <w:iCs/>
          <w:lang w:val="en-US"/>
        </w:rPr>
        <w:t>Transnational Legal Theory</w:t>
      </w:r>
      <w:r w:rsidRPr="006449A5">
        <w:rPr>
          <w:iCs/>
          <w:lang w:val="en-US"/>
        </w:rPr>
        <w:t xml:space="preserve"> 2(3), 2011, p</w:t>
      </w:r>
      <w:r>
        <w:rPr>
          <w:iCs/>
          <w:lang w:val="en-US"/>
        </w:rPr>
        <w:t xml:space="preserve">. </w:t>
      </w:r>
      <w:r w:rsidRPr="006449A5">
        <w:rPr>
          <w:iCs/>
          <w:lang w:val="en-US"/>
        </w:rPr>
        <w:t>347</w:t>
      </w:r>
      <w:r>
        <w:rPr>
          <w:iCs/>
          <w:lang w:val="en-US"/>
        </w:rPr>
        <w:t xml:space="preserve">-428. </w:t>
      </w:r>
    </w:p>
  </w:footnote>
  <w:footnote w:id="66">
    <w:p w14:paraId="1B185F1E" w14:textId="77777777" w:rsidR="00D971ED" w:rsidRPr="006449A5" w:rsidRDefault="00D971ED" w:rsidP="00E005ED">
      <w:pPr>
        <w:pStyle w:val="Notedebasdepage"/>
        <w:rPr>
          <w:rFonts w:cs="Times New Roman"/>
          <w:lang w:val="fr-BE"/>
        </w:rPr>
      </w:pPr>
      <w:r w:rsidRPr="006449A5">
        <w:rPr>
          <w:rStyle w:val="Appelnotedebasdep"/>
          <w:rFonts w:cs="Times New Roman"/>
          <w:lang w:val="fr-BE"/>
        </w:rPr>
        <w:footnoteRef/>
      </w:r>
      <w:r w:rsidRPr="00285397">
        <w:rPr>
          <w:rFonts w:cs="Times New Roman"/>
          <w:lang w:val="en-US"/>
        </w:rPr>
        <w:t xml:space="preserve"> </w:t>
      </w:r>
      <w:bookmarkStart w:id="25" w:name="_Hlk184394179"/>
      <w:r w:rsidRPr="00285397">
        <w:rPr>
          <w:rFonts w:cs="Times New Roman"/>
          <w:lang w:val="en-US"/>
        </w:rPr>
        <w:t xml:space="preserve">Adrien Briggs, </w:t>
      </w:r>
      <w:r w:rsidRPr="00285397">
        <w:rPr>
          <w:rFonts w:cs="Times New Roman"/>
          <w:i/>
          <w:iCs/>
          <w:lang w:val="en-US"/>
        </w:rPr>
        <w:t>The Conflict of Laws</w:t>
      </w:r>
      <w:r w:rsidRPr="00285397">
        <w:rPr>
          <w:rFonts w:cs="Times New Roman"/>
          <w:lang w:val="en-US"/>
        </w:rPr>
        <w:t>, Oxford, Oxford University Press, 2019 (4</w:t>
      </w:r>
      <w:r w:rsidRPr="00285397">
        <w:rPr>
          <w:rFonts w:cs="Times New Roman"/>
          <w:vertAlign w:val="superscript"/>
          <w:lang w:val="en-US"/>
        </w:rPr>
        <w:t xml:space="preserve">ème </w:t>
      </w:r>
      <w:proofErr w:type="spellStart"/>
      <w:r w:rsidRPr="00285397">
        <w:rPr>
          <w:rFonts w:cs="Times New Roman"/>
          <w:lang w:val="en-US"/>
        </w:rPr>
        <w:t>éd</w:t>
      </w:r>
      <w:proofErr w:type="spellEnd"/>
      <w:r w:rsidRPr="00285397">
        <w:rPr>
          <w:rFonts w:cs="Times New Roman"/>
          <w:lang w:val="en-US"/>
        </w:rPr>
        <w:t xml:space="preserve">.), p. 187 et seq; Dominique Bureau et Horatia Muir Watt, </w:t>
      </w:r>
      <w:r w:rsidRPr="00285397">
        <w:rPr>
          <w:rFonts w:cs="Times New Roman"/>
          <w:i/>
          <w:lang w:val="en-US"/>
        </w:rPr>
        <w:t xml:space="preserve">Droit International </w:t>
      </w:r>
      <w:proofErr w:type="spellStart"/>
      <w:r w:rsidRPr="00285397">
        <w:rPr>
          <w:rFonts w:cs="Times New Roman"/>
          <w:i/>
          <w:lang w:val="en-US"/>
        </w:rPr>
        <w:t>Privé</w:t>
      </w:r>
      <w:proofErr w:type="spellEnd"/>
      <w:r w:rsidRPr="00285397">
        <w:rPr>
          <w:rFonts w:cs="Times New Roman"/>
          <w:i/>
          <w:lang w:val="en-US"/>
        </w:rPr>
        <w:t xml:space="preserve">. </w:t>
      </w:r>
      <w:r w:rsidRPr="006449A5">
        <w:rPr>
          <w:rFonts w:cs="Times New Roman"/>
          <w:i/>
          <w:lang w:val="fr-BE"/>
        </w:rPr>
        <w:t xml:space="preserve">Tome I. Partie Générale, </w:t>
      </w:r>
      <w:r w:rsidRPr="006449A5">
        <w:rPr>
          <w:rFonts w:cs="Times New Roman"/>
          <w:lang w:val="fr-BE"/>
        </w:rPr>
        <w:t>Paris, PUF, 2021 (5ème éd.), p. 680</w:t>
      </w:r>
      <w:bookmarkEnd w:id="25"/>
      <w:r w:rsidRPr="006449A5">
        <w:rPr>
          <w:rFonts w:cs="Times New Roman"/>
          <w:lang w:val="fr-BE"/>
        </w:rPr>
        <w:t xml:space="preserve">, v. aussi Règlement (CE) n° 864/2007 du Parlement Européen et du Conseil du 11 juillet 2007 sur la loi applicable aux obligations non contractuelles (Rome II), </w:t>
      </w:r>
      <w:r w:rsidRPr="006449A5">
        <w:rPr>
          <w:rFonts w:cs="Times New Roman"/>
          <w:i/>
          <w:iCs/>
          <w:lang w:val="fr-BE"/>
        </w:rPr>
        <w:t xml:space="preserve">JO </w:t>
      </w:r>
      <w:r w:rsidRPr="006449A5">
        <w:rPr>
          <w:rFonts w:cs="Times New Roman"/>
          <w:lang w:val="fr-BE"/>
        </w:rPr>
        <w:t>L 199, 31 juillet 2007, p. 40–49, Art. 17.</w:t>
      </w:r>
      <w:r w:rsidRPr="006449A5">
        <w:rPr>
          <w:rFonts w:cs="Times New Roman"/>
          <w:i/>
          <w:iCs/>
          <w:lang w:val="fr-BE"/>
        </w:rPr>
        <w:t xml:space="preserve"> </w:t>
      </w:r>
    </w:p>
  </w:footnote>
  <w:footnote w:id="67">
    <w:p w14:paraId="225F7D4F" w14:textId="4E8CF432" w:rsidR="00D971ED" w:rsidRPr="006449A5" w:rsidRDefault="00D971ED"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Walter </w:t>
      </w:r>
      <w:proofErr w:type="spellStart"/>
      <w:r w:rsidRPr="006449A5">
        <w:rPr>
          <w:rFonts w:cs="Times New Roman"/>
          <w:lang w:val="fr-BE"/>
        </w:rPr>
        <w:t>Mignolo</w:t>
      </w:r>
      <w:proofErr w:type="spellEnd"/>
      <w:r w:rsidRPr="006449A5">
        <w:rPr>
          <w:rFonts w:cs="Times New Roman"/>
          <w:lang w:val="fr-BE"/>
        </w:rPr>
        <w:t xml:space="preserve">, </w:t>
      </w:r>
      <w:r w:rsidR="009F59B0" w:rsidRPr="006449A5">
        <w:rPr>
          <w:rFonts w:cs="Times New Roman"/>
          <w:lang w:val="fr-BE"/>
        </w:rPr>
        <w:t xml:space="preserve">« </w:t>
      </w:r>
      <w:proofErr w:type="spellStart"/>
      <w:r w:rsidRPr="006449A5">
        <w:rPr>
          <w:rFonts w:cs="Times New Roman"/>
          <w:lang w:val="fr-BE"/>
        </w:rPr>
        <w:t>Foreword</w:t>
      </w:r>
      <w:proofErr w:type="spellEnd"/>
      <w:r w:rsidR="00262388">
        <w:rPr>
          <w:rFonts w:cs="Times New Roman"/>
          <w:lang w:val="fr-BE"/>
        </w:rPr>
        <w:t xml:space="preserve">… », </w:t>
      </w:r>
      <w:proofErr w:type="spellStart"/>
      <w:r w:rsidR="00262388">
        <w:rPr>
          <w:rFonts w:cs="Times New Roman"/>
          <w:lang w:val="fr-BE"/>
        </w:rPr>
        <w:t>préc</w:t>
      </w:r>
      <w:proofErr w:type="spellEnd"/>
      <w:r w:rsidRPr="006449A5">
        <w:rPr>
          <w:rFonts w:cs="Times New Roman"/>
          <w:lang w:val="fr-BE"/>
        </w:rPr>
        <w:t xml:space="preserve">. </w:t>
      </w:r>
    </w:p>
  </w:footnote>
  <w:footnote w:id="68">
    <w:p w14:paraId="2931AD76" w14:textId="3F92A736" w:rsidR="00B15946" w:rsidRPr="00B15946" w:rsidRDefault="00B15946">
      <w:pPr>
        <w:pStyle w:val="Notedebasdepage"/>
        <w:rPr>
          <w:lang w:val="fr-BE"/>
        </w:rPr>
      </w:pPr>
      <w:r>
        <w:rPr>
          <w:rStyle w:val="Appelnotedebasdep"/>
        </w:rPr>
        <w:footnoteRef/>
      </w:r>
      <w:r w:rsidRPr="00B15946">
        <w:rPr>
          <w:lang w:val="fr-BE"/>
        </w:rPr>
        <w:t xml:space="preserve"> </w:t>
      </w:r>
      <w:r>
        <w:rPr>
          <w:lang w:val="fr-BE"/>
        </w:rPr>
        <w:t>Notamment, d</w:t>
      </w:r>
      <w:r w:rsidRPr="00B15946">
        <w:rPr>
          <w:lang w:val="fr-BE"/>
        </w:rPr>
        <w:t>ans le cadre de mo</w:t>
      </w:r>
      <w:r>
        <w:rPr>
          <w:lang w:val="fr-BE"/>
        </w:rPr>
        <w:t xml:space="preserve">des vie diasporiques, typiques de certaines populations postcoloniales, il faut concevoir la résidence habituelle de manière alternative (v. </w:t>
      </w:r>
      <w:r w:rsidRPr="00B15946">
        <w:rPr>
          <w:i/>
          <w:iCs/>
          <w:lang w:val="fr-BE"/>
        </w:rPr>
        <w:t>infra</w:t>
      </w:r>
      <w:r>
        <w:rPr>
          <w:lang w:val="fr-BE"/>
        </w:rPr>
        <w:t xml:space="preserve">, le cas venant de Grande-Bretagne).  </w:t>
      </w:r>
    </w:p>
  </w:footnote>
  <w:footnote w:id="69">
    <w:p w14:paraId="5939FA4F" w14:textId="15AAD1A7" w:rsidR="00D971ED" w:rsidRPr="00B15946" w:rsidRDefault="00D971ED" w:rsidP="00E005ED">
      <w:pPr>
        <w:pStyle w:val="Notedebasdepage"/>
        <w:rPr>
          <w:rFonts w:cs="Times New Roman"/>
          <w:lang w:val="en-US"/>
        </w:rPr>
      </w:pPr>
      <w:r w:rsidRPr="006449A5">
        <w:rPr>
          <w:rStyle w:val="Appelnotedebasdep"/>
          <w:rFonts w:cs="Times New Roman"/>
          <w:lang w:val="fr-BE"/>
        </w:rPr>
        <w:footnoteRef/>
      </w:r>
      <w:r w:rsidRPr="00B15946">
        <w:rPr>
          <w:rFonts w:cs="Times New Roman"/>
          <w:lang w:val="en-US"/>
        </w:rPr>
        <w:t xml:space="preserve"> Paul Schiff Berman, </w:t>
      </w:r>
      <w:r w:rsidRPr="00B15946">
        <w:rPr>
          <w:rFonts w:cs="Times New Roman"/>
          <w:i/>
          <w:iCs/>
          <w:lang w:val="en-US"/>
        </w:rPr>
        <w:t>Global Legal Pluralism</w:t>
      </w:r>
      <w:r w:rsidR="00262388">
        <w:rPr>
          <w:rFonts w:cs="Times New Roman"/>
          <w:i/>
          <w:iCs/>
          <w:lang w:val="en-US"/>
        </w:rPr>
        <w:t xml:space="preserve">, </w:t>
      </w:r>
      <w:proofErr w:type="spellStart"/>
      <w:r w:rsidR="00262388">
        <w:rPr>
          <w:rFonts w:cs="Times New Roman"/>
          <w:lang w:val="en-US"/>
        </w:rPr>
        <w:t>préc</w:t>
      </w:r>
      <w:proofErr w:type="spellEnd"/>
      <w:r w:rsidRPr="00B15946">
        <w:rPr>
          <w:rFonts w:cs="Times New Roman"/>
          <w:lang w:val="en-US"/>
        </w:rPr>
        <w:t>.</w:t>
      </w:r>
    </w:p>
  </w:footnote>
  <w:footnote w:id="70">
    <w:p w14:paraId="001FB07F" w14:textId="63D0966B" w:rsidR="00D971ED" w:rsidRPr="00262388" w:rsidRDefault="00D971ED" w:rsidP="00E005ED">
      <w:pPr>
        <w:pStyle w:val="Notedebasdepage"/>
        <w:rPr>
          <w:rFonts w:cs="Times New Roman"/>
          <w:lang w:val="en-US"/>
        </w:rPr>
      </w:pPr>
      <w:r w:rsidRPr="006449A5">
        <w:rPr>
          <w:rStyle w:val="Appelnotedebasdep"/>
          <w:rFonts w:cs="Times New Roman"/>
          <w:lang w:val="fr-BE"/>
        </w:rPr>
        <w:footnoteRef/>
      </w:r>
      <w:r w:rsidRPr="00262388">
        <w:rPr>
          <w:rFonts w:cs="Times New Roman"/>
          <w:lang w:val="en-US"/>
        </w:rPr>
        <w:t xml:space="preserve"> </w:t>
      </w:r>
      <w:r w:rsidR="00262388" w:rsidRPr="00262388">
        <w:rPr>
          <w:rFonts w:cs="Times New Roman"/>
          <w:lang w:val="en-US"/>
        </w:rPr>
        <w:t>Arturo Escobar, « Beyond the Third World</w:t>
      </w:r>
      <w:r w:rsidR="00262388">
        <w:rPr>
          <w:rFonts w:cs="Times New Roman"/>
          <w:lang w:val="en-US"/>
        </w:rPr>
        <w:t>…</w:t>
      </w:r>
      <w:r w:rsidR="00262388" w:rsidRPr="00262388">
        <w:rPr>
          <w:rFonts w:cs="Times New Roman"/>
          <w:lang w:val="en-US"/>
        </w:rPr>
        <w:t xml:space="preserve">», </w:t>
      </w:r>
      <w:proofErr w:type="spellStart"/>
      <w:r w:rsidR="00262388" w:rsidRPr="00262388">
        <w:rPr>
          <w:rFonts w:cs="Times New Roman"/>
          <w:lang w:val="en-US"/>
        </w:rPr>
        <w:t>préc</w:t>
      </w:r>
      <w:proofErr w:type="spellEnd"/>
      <w:r w:rsidR="00262388" w:rsidRPr="00262388">
        <w:rPr>
          <w:rFonts w:cs="Times New Roman"/>
          <w:lang w:val="en-US"/>
        </w:rPr>
        <w:t>.</w:t>
      </w:r>
    </w:p>
  </w:footnote>
  <w:footnote w:id="71">
    <w:p w14:paraId="4DE35DC2" w14:textId="4389E08B" w:rsidR="00262388" w:rsidRDefault="00262388">
      <w:pPr>
        <w:pStyle w:val="Notedebasdepage"/>
      </w:pPr>
      <w:r>
        <w:rPr>
          <w:rStyle w:val="Appelnotedebasdep"/>
        </w:rPr>
        <w:footnoteRef/>
      </w:r>
      <w:r>
        <w:t xml:space="preserve"> V. not. </w:t>
      </w:r>
      <w:proofErr w:type="gramStart"/>
      <w:r w:rsidRPr="00262388">
        <w:rPr>
          <w:i/>
          <w:iCs/>
        </w:rPr>
        <w:t>supra</w:t>
      </w:r>
      <w:proofErr w:type="gramEnd"/>
      <w:r>
        <w:t>, n°</w:t>
      </w:r>
      <w:r w:rsidRPr="00262388">
        <w:rPr>
          <w:highlight w:val="yellow"/>
        </w:rPr>
        <w:t>6</w:t>
      </w:r>
      <w:r w:rsidR="00AD3FF9">
        <w:t>4</w:t>
      </w:r>
      <w:r>
        <w:t xml:space="preserve">. </w:t>
      </w:r>
    </w:p>
  </w:footnote>
  <w:footnote w:id="72">
    <w:p w14:paraId="7AB426E5" w14:textId="30793504" w:rsidR="00D971ED" w:rsidRPr="00285397" w:rsidRDefault="00D971ED" w:rsidP="00E005ED">
      <w:pPr>
        <w:pStyle w:val="Notedebasdepage"/>
        <w:rPr>
          <w:rFonts w:cs="Times New Roman"/>
          <w:lang w:val="en-US"/>
        </w:rPr>
      </w:pPr>
      <w:r w:rsidRPr="006449A5">
        <w:rPr>
          <w:rStyle w:val="Appelnotedebasdep"/>
          <w:rFonts w:cs="Times New Roman"/>
          <w:lang w:val="fr-BE"/>
        </w:rPr>
        <w:footnoteRef/>
      </w:r>
      <w:r w:rsidRPr="006449A5">
        <w:rPr>
          <w:rFonts w:cs="Times New Roman"/>
          <w:lang w:val="fr-BE"/>
        </w:rPr>
        <w:t xml:space="preserve"> V</w:t>
      </w:r>
      <w:r w:rsidR="00C457B5" w:rsidRPr="006449A5">
        <w:rPr>
          <w:rFonts w:cs="Times New Roman"/>
          <w:lang w:val="fr-BE"/>
        </w:rPr>
        <w:t>. par ex.</w:t>
      </w:r>
      <w:r w:rsidRPr="006449A5">
        <w:rPr>
          <w:rFonts w:cs="Times New Roman"/>
          <w:lang w:val="fr-BE"/>
        </w:rPr>
        <w:t xml:space="preserve"> l'association entre le genre et le sexe, imposée dans les anciennes colonies européennes, qui a placé les minorités sexuelles aujourd'hui dans une position très vulnérable parce qu'elles ne peuvent plus définir leur non-hétérosexualité en dehors du carcan épistémologique d’origine européenne (v. par ex. </w:t>
      </w:r>
      <w:r w:rsidRPr="00285397">
        <w:rPr>
          <w:rFonts w:cs="Times New Roman"/>
          <w:lang w:val="en-US"/>
        </w:rPr>
        <w:t xml:space="preserve">B </w:t>
      </w:r>
      <w:proofErr w:type="spellStart"/>
      <w:r w:rsidRPr="00285397">
        <w:rPr>
          <w:rFonts w:cs="Times New Roman"/>
          <w:lang w:val="en-US"/>
        </w:rPr>
        <w:t>Ndjio</w:t>
      </w:r>
      <w:proofErr w:type="spellEnd"/>
      <w:r w:rsidRPr="00285397">
        <w:rPr>
          <w:rFonts w:cs="Times New Roman"/>
          <w:lang w:val="en-US"/>
        </w:rPr>
        <w:t xml:space="preserve">, « Post-Colonial Histories of Sexuality : The Political Invention of A Libidinal African Straight”, </w:t>
      </w:r>
      <w:r w:rsidRPr="00285397">
        <w:rPr>
          <w:rFonts w:cs="Times New Roman"/>
          <w:i/>
          <w:iCs/>
          <w:lang w:val="en-US"/>
        </w:rPr>
        <w:t xml:space="preserve">Africa, </w:t>
      </w:r>
      <w:r w:rsidRPr="00285397">
        <w:rPr>
          <w:rFonts w:cs="Times New Roman"/>
          <w:lang w:val="en-US"/>
        </w:rPr>
        <w:t xml:space="preserve">82(4), 2021, p. 609-631, </w:t>
      </w:r>
      <w:proofErr w:type="spellStart"/>
      <w:r w:rsidRPr="00285397">
        <w:rPr>
          <w:rFonts w:cs="Times New Roman"/>
          <w:lang w:val="en-US"/>
        </w:rPr>
        <w:t>spéc</w:t>
      </w:r>
      <w:proofErr w:type="spellEnd"/>
      <w:r w:rsidRPr="00285397">
        <w:rPr>
          <w:rFonts w:cs="Times New Roman"/>
          <w:lang w:val="en-US"/>
        </w:rPr>
        <w:t xml:space="preserve">. p. 610; S. Neck, “Heretical </w:t>
      </w:r>
      <w:r w:rsidRPr="00285397">
        <w:rPr>
          <w:rFonts w:eastAsia="Times New Roman" w:cs="Times New Roman"/>
          <w:lang w:val="en-US"/>
        </w:rPr>
        <w:t xml:space="preserve">Falsification </w:t>
      </w:r>
      <w:r w:rsidRPr="00285397">
        <w:rPr>
          <w:rFonts w:cs="Times New Roman"/>
          <w:lang w:val="en-US"/>
        </w:rPr>
        <w:t xml:space="preserve">and the Challenge of Theorizing LGBT Politics from the South”, </w:t>
      </w:r>
      <w:r w:rsidRPr="00285397">
        <w:rPr>
          <w:rFonts w:cs="Times New Roman"/>
          <w:i/>
          <w:iCs/>
          <w:lang w:val="en-US"/>
        </w:rPr>
        <w:t>in</w:t>
      </w:r>
      <w:r w:rsidRPr="00285397">
        <w:rPr>
          <w:rFonts w:cs="Times New Roman"/>
          <w:lang w:val="en-US"/>
        </w:rPr>
        <w:t xml:space="preserve"> M. J. </w:t>
      </w:r>
      <w:proofErr w:type="spellStart"/>
      <w:r w:rsidRPr="00285397">
        <w:rPr>
          <w:rFonts w:cs="Times New Roman"/>
          <w:lang w:val="en-US"/>
        </w:rPr>
        <w:t>Bosia</w:t>
      </w:r>
      <w:proofErr w:type="spellEnd"/>
      <w:r w:rsidRPr="00285397">
        <w:rPr>
          <w:rFonts w:cs="Times New Roman"/>
          <w:lang w:val="en-US"/>
        </w:rPr>
        <w:t xml:space="preserve"> (dir.), </w:t>
      </w:r>
      <w:r w:rsidRPr="00285397">
        <w:rPr>
          <w:rFonts w:cs="Times New Roman"/>
          <w:i/>
          <w:iCs/>
          <w:lang w:val="en-US"/>
        </w:rPr>
        <w:t xml:space="preserve">The Oxford Handbook of Global LGBT and Sexual Diversity Politics, </w:t>
      </w:r>
      <w:r w:rsidRPr="00285397">
        <w:rPr>
          <w:rFonts w:cs="Times New Roman"/>
          <w:lang w:val="en-US"/>
        </w:rPr>
        <w:t xml:space="preserve">Oxford, Oxford University Press, 2019; S. Chang, “The Postcolonial Problem for Global Gay Rights”, </w:t>
      </w:r>
      <w:r w:rsidRPr="00285397">
        <w:rPr>
          <w:rFonts w:cs="Times New Roman"/>
          <w:i/>
          <w:iCs/>
          <w:lang w:val="en-US"/>
        </w:rPr>
        <w:t xml:space="preserve">Boston University International Law Journal, </w:t>
      </w:r>
      <w:r w:rsidRPr="00285397">
        <w:rPr>
          <w:rFonts w:cs="Times New Roman"/>
          <w:lang w:val="en-US"/>
        </w:rPr>
        <w:t xml:space="preserve">32, 2014, p. 309-342) </w:t>
      </w:r>
      <w:proofErr w:type="spellStart"/>
      <w:r w:rsidRPr="00285397">
        <w:rPr>
          <w:rFonts w:cs="Times New Roman"/>
          <w:lang w:val="en-US"/>
        </w:rPr>
        <w:t>ou</w:t>
      </w:r>
      <w:proofErr w:type="spellEnd"/>
      <w:r w:rsidRPr="00285397">
        <w:rPr>
          <w:rFonts w:cs="Times New Roman"/>
          <w:lang w:val="en-US"/>
        </w:rPr>
        <w:t xml:space="preserve"> du </w:t>
      </w:r>
      <w:proofErr w:type="spellStart"/>
      <w:r w:rsidRPr="00285397">
        <w:rPr>
          <w:rFonts w:cs="Times New Roman"/>
          <w:lang w:val="en-US"/>
        </w:rPr>
        <w:t>moins</w:t>
      </w:r>
      <w:proofErr w:type="spellEnd"/>
      <w:r w:rsidRPr="00285397">
        <w:rPr>
          <w:rFonts w:cs="Times New Roman"/>
          <w:lang w:val="en-US"/>
        </w:rPr>
        <w:t xml:space="preserve"> </w:t>
      </w:r>
      <w:proofErr w:type="spellStart"/>
      <w:r w:rsidRPr="00285397">
        <w:rPr>
          <w:rFonts w:cs="Times New Roman"/>
          <w:lang w:val="en-US"/>
        </w:rPr>
        <w:t>sont</w:t>
      </w:r>
      <w:proofErr w:type="spellEnd"/>
      <w:r w:rsidRPr="00285397">
        <w:rPr>
          <w:rFonts w:cs="Times New Roman"/>
          <w:lang w:val="en-US"/>
        </w:rPr>
        <w:t xml:space="preserve"> </w:t>
      </w:r>
      <w:proofErr w:type="spellStart"/>
      <w:r w:rsidRPr="00285397">
        <w:rPr>
          <w:rFonts w:cs="Times New Roman"/>
          <w:lang w:val="en-US"/>
        </w:rPr>
        <w:t>seulement</w:t>
      </w:r>
      <w:proofErr w:type="spellEnd"/>
      <w:r w:rsidRPr="00285397">
        <w:rPr>
          <w:rFonts w:cs="Times New Roman"/>
          <w:lang w:val="en-US"/>
        </w:rPr>
        <w:t xml:space="preserve"> sur la </w:t>
      </w:r>
      <w:proofErr w:type="spellStart"/>
      <w:r w:rsidRPr="00285397">
        <w:rPr>
          <w:rFonts w:cs="Times New Roman"/>
          <w:lang w:val="en-US"/>
        </w:rPr>
        <w:t>voie</w:t>
      </w:r>
      <w:proofErr w:type="spellEnd"/>
      <w:r w:rsidRPr="00285397">
        <w:rPr>
          <w:rFonts w:cs="Times New Roman"/>
          <w:lang w:val="en-US"/>
        </w:rPr>
        <w:t xml:space="preserve"> </w:t>
      </w:r>
      <w:proofErr w:type="spellStart"/>
      <w:r w:rsidRPr="00285397">
        <w:rPr>
          <w:rFonts w:cs="Times New Roman"/>
          <w:lang w:val="en-US"/>
        </w:rPr>
        <w:t>d'en</w:t>
      </w:r>
      <w:proofErr w:type="spellEnd"/>
      <w:r w:rsidRPr="00285397">
        <w:rPr>
          <w:rFonts w:cs="Times New Roman"/>
          <w:lang w:val="en-US"/>
        </w:rPr>
        <w:t xml:space="preserve"> </w:t>
      </w:r>
      <w:proofErr w:type="spellStart"/>
      <w:r w:rsidRPr="00285397">
        <w:rPr>
          <w:rFonts w:cs="Times New Roman"/>
          <w:lang w:val="en-US"/>
        </w:rPr>
        <w:t>reconstruire</w:t>
      </w:r>
      <w:proofErr w:type="spellEnd"/>
      <w:r w:rsidRPr="00285397">
        <w:rPr>
          <w:rFonts w:cs="Times New Roman"/>
          <w:lang w:val="en-US"/>
        </w:rPr>
        <w:t xml:space="preserve"> </w:t>
      </w:r>
      <w:proofErr w:type="spellStart"/>
      <w:r w:rsidRPr="00285397">
        <w:rPr>
          <w:rFonts w:cs="Times New Roman"/>
          <w:lang w:val="en-US"/>
        </w:rPr>
        <w:t>une</w:t>
      </w:r>
      <w:proofErr w:type="spellEnd"/>
      <w:r w:rsidRPr="00285397">
        <w:rPr>
          <w:rFonts w:cs="Times New Roman"/>
          <w:lang w:val="en-US"/>
        </w:rPr>
        <w:t xml:space="preserve"> (</w:t>
      </w:r>
      <w:proofErr w:type="spellStart"/>
      <w:r w:rsidRPr="00285397">
        <w:rPr>
          <w:rFonts w:cs="Times New Roman"/>
          <w:lang w:val="en-US"/>
        </w:rPr>
        <w:t>voir</w:t>
      </w:r>
      <w:proofErr w:type="spellEnd"/>
      <w:r w:rsidRPr="00285397">
        <w:rPr>
          <w:rFonts w:cs="Times New Roman"/>
          <w:lang w:val="en-US"/>
        </w:rPr>
        <w:t xml:space="preserve"> </w:t>
      </w:r>
      <w:proofErr w:type="spellStart"/>
      <w:r w:rsidRPr="00285397">
        <w:rPr>
          <w:rFonts w:cs="Times New Roman"/>
          <w:lang w:val="en-US"/>
        </w:rPr>
        <w:t>emblématiquement</w:t>
      </w:r>
      <w:proofErr w:type="spellEnd"/>
      <w:r w:rsidRPr="00285397">
        <w:rPr>
          <w:rFonts w:cs="Times New Roman"/>
          <w:lang w:val="en-US"/>
        </w:rPr>
        <w:t xml:space="preserve"> S. Bakshi, S. Jivraj et S. </w:t>
      </w:r>
      <w:proofErr w:type="spellStart"/>
      <w:r w:rsidRPr="00285397">
        <w:rPr>
          <w:rFonts w:cs="Times New Roman"/>
          <w:lang w:val="en-US"/>
        </w:rPr>
        <w:t>Podocco</w:t>
      </w:r>
      <w:proofErr w:type="spellEnd"/>
      <w:r w:rsidRPr="00285397">
        <w:rPr>
          <w:rFonts w:cs="Times New Roman"/>
          <w:lang w:val="en-US"/>
        </w:rPr>
        <w:t xml:space="preserve">, </w:t>
      </w:r>
      <w:r w:rsidRPr="00285397">
        <w:rPr>
          <w:rFonts w:cs="Times New Roman"/>
          <w:i/>
          <w:iCs/>
          <w:lang w:val="en-US"/>
        </w:rPr>
        <w:t xml:space="preserve">Decolonizing Sexualities : Transnational Perspectives, Critical Interventions, </w:t>
      </w:r>
      <w:r w:rsidRPr="00285397">
        <w:rPr>
          <w:rFonts w:cs="Times New Roman"/>
          <w:lang w:val="en-US"/>
        </w:rPr>
        <w:t xml:space="preserve">Oxford, </w:t>
      </w:r>
      <w:proofErr w:type="spellStart"/>
      <w:r w:rsidRPr="00285397">
        <w:rPr>
          <w:rFonts w:cs="Times New Roman"/>
          <w:lang w:val="en-US"/>
        </w:rPr>
        <w:t>Counterpress</w:t>
      </w:r>
      <w:proofErr w:type="spellEnd"/>
      <w:r w:rsidRPr="00285397">
        <w:rPr>
          <w:rFonts w:cs="Times New Roman"/>
          <w:lang w:val="en-US"/>
        </w:rPr>
        <w:t xml:space="preserve">, 2016). V. </w:t>
      </w:r>
      <w:proofErr w:type="spellStart"/>
      <w:r w:rsidRPr="00285397">
        <w:rPr>
          <w:rFonts w:cs="Times New Roman"/>
          <w:lang w:val="en-US"/>
        </w:rPr>
        <w:t>aussi</w:t>
      </w:r>
      <w:proofErr w:type="spellEnd"/>
      <w:r w:rsidRPr="00285397">
        <w:rPr>
          <w:rFonts w:cs="Times New Roman"/>
          <w:lang w:val="en-US"/>
        </w:rPr>
        <w:t xml:space="preserve"> Maria </w:t>
      </w:r>
      <w:r w:rsidRPr="00285397">
        <w:rPr>
          <w:rFonts w:cs="Times New Roman"/>
          <w:iCs/>
          <w:lang w:val="en-US"/>
        </w:rPr>
        <w:t xml:space="preserve">Lugones, “Heterosexualism and the Colonial / Modern Gender System”, </w:t>
      </w:r>
      <w:r w:rsidRPr="00285397">
        <w:rPr>
          <w:rFonts w:cs="Times New Roman"/>
          <w:i/>
          <w:lang w:val="en-US"/>
        </w:rPr>
        <w:t>Hypatia</w:t>
      </w:r>
      <w:r w:rsidRPr="00285397">
        <w:rPr>
          <w:rFonts w:cs="Times New Roman"/>
          <w:iCs/>
          <w:lang w:val="en-US"/>
        </w:rPr>
        <w:t xml:space="preserve">, 22(1), 2007, p. 186-209. </w:t>
      </w:r>
    </w:p>
  </w:footnote>
  <w:footnote w:id="73">
    <w:p w14:paraId="6C450850" w14:textId="5FB8B64D" w:rsidR="00D971ED" w:rsidRPr="00285397" w:rsidRDefault="00D971ED"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Christine Flamand, Francesca Raimondo, et Sylvie </w:t>
      </w:r>
      <w:proofErr w:type="spellStart"/>
      <w:r w:rsidRPr="00285397">
        <w:rPr>
          <w:rFonts w:cs="Times New Roman"/>
          <w:lang w:val="en-US"/>
        </w:rPr>
        <w:t>Sarolea</w:t>
      </w:r>
      <w:proofErr w:type="spellEnd"/>
      <w:r w:rsidRPr="00285397">
        <w:rPr>
          <w:rFonts w:cs="Times New Roman"/>
          <w:lang w:val="en-US"/>
        </w:rPr>
        <w:t>, « Examining Asylum Seekers, 'Other Vulnerabilities</w:t>
      </w:r>
      <w:proofErr w:type="gramStart"/>
      <w:r w:rsidRPr="00285397">
        <w:rPr>
          <w:rFonts w:cs="Times New Roman"/>
          <w:lang w:val="en-US"/>
        </w:rPr>
        <w:t>' :</w:t>
      </w:r>
      <w:proofErr w:type="gramEnd"/>
      <w:r w:rsidRPr="00285397">
        <w:rPr>
          <w:rFonts w:cs="Times New Roman"/>
          <w:lang w:val="en-US"/>
        </w:rPr>
        <w:t xml:space="preserve"> Intersectionality in Context », </w:t>
      </w:r>
      <w:r w:rsidRPr="00285397">
        <w:rPr>
          <w:rFonts w:cs="Times New Roman"/>
          <w:i/>
          <w:iCs/>
          <w:lang w:val="en-US"/>
        </w:rPr>
        <w:t>European Journal of Migration and Law</w:t>
      </w:r>
      <w:r w:rsidRPr="00285397">
        <w:rPr>
          <w:rFonts w:cs="Times New Roman"/>
          <w:lang w:val="en-US"/>
        </w:rPr>
        <w:t>, 25(4), 2023, p. 501-524</w:t>
      </w:r>
      <w:r w:rsidR="00262388" w:rsidRPr="00285397">
        <w:rPr>
          <w:rFonts w:cs="Times New Roman"/>
          <w:lang w:val="en-US"/>
        </w:rPr>
        <w:t xml:space="preserve">, se </w:t>
      </w:r>
      <w:proofErr w:type="spellStart"/>
      <w:r w:rsidR="00262388" w:rsidRPr="00285397">
        <w:rPr>
          <w:rFonts w:cs="Times New Roman"/>
          <w:lang w:val="en-US"/>
        </w:rPr>
        <w:t>référant</w:t>
      </w:r>
      <w:proofErr w:type="spellEnd"/>
      <w:r w:rsidR="00262388" w:rsidRPr="00285397">
        <w:rPr>
          <w:rFonts w:cs="Times New Roman"/>
          <w:lang w:val="en-US"/>
        </w:rPr>
        <w:t xml:space="preserve"> à Martha Fineman, « The Vulnerable Subject: Anchoring Equality in the Human Condition », </w:t>
      </w:r>
      <w:r w:rsidR="00262388" w:rsidRPr="00285397">
        <w:rPr>
          <w:rFonts w:cs="Times New Roman"/>
          <w:i/>
          <w:iCs/>
          <w:lang w:val="en-US"/>
        </w:rPr>
        <w:t xml:space="preserve">Yale Journal of Law &amp; Feminism, </w:t>
      </w:r>
      <w:r w:rsidR="00262388" w:rsidRPr="00285397">
        <w:rPr>
          <w:rFonts w:cs="Times New Roman"/>
          <w:lang w:val="en-US"/>
        </w:rPr>
        <w:t xml:space="preserve">20(1), 2008, p. 1-23. </w:t>
      </w:r>
    </w:p>
  </w:footnote>
  <w:footnote w:id="74">
    <w:p w14:paraId="18EE3DCC" w14:textId="6A62CD0A" w:rsidR="00D971ED" w:rsidRPr="006449A5" w:rsidRDefault="00D971ED"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Sur l’utilisation de l’expression « vulnérabilité » ou « marginalité », v. </w:t>
      </w:r>
      <w:r w:rsidRPr="006449A5">
        <w:rPr>
          <w:rFonts w:cs="Times New Roman"/>
          <w:i/>
          <w:iCs/>
          <w:lang w:val="fr-BE"/>
        </w:rPr>
        <w:t>supra</w:t>
      </w:r>
      <w:r w:rsidRPr="006449A5">
        <w:rPr>
          <w:rFonts w:cs="Times New Roman"/>
          <w:lang w:val="fr-BE"/>
        </w:rPr>
        <w:t>, note n°</w:t>
      </w:r>
      <w:r w:rsidR="00EE1B76">
        <w:rPr>
          <w:rFonts w:cs="Times New Roman"/>
          <w:highlight w:val="yellow"/>
          <w:lang w:val="fr-BE"/>
        </w:rPr>
        <w:t>5</w:t>
      </w:r>
      <w:r w:rsidR="00AD3FF9">
        <w:rPr>
          <w:rFonts w:cs="Times New Roman"/>
          <w:highlight w:val="yellow"/>
          <w:lang w:val="fr-BE"/>
        </w:rPr>
        <w:t>1</w:t>
      </w:r>
      <w:r w:rsidRPr="006449A5">
        <w:rPr>
          <w:rFonts w:cs="Times New Roman"/>
          <w:highlight w:val="yellow"/>
          <w:lang w:val="fr-BE"/>
        </w:rPr>
        <w:t>.</w:t>
      </w:r>
    </w:p>
  </w:footnote>
  <w:footnote w:id="75">
    <w:p w14:paraId="06C58BE3" w14:textId="048600BB" w:rsidR="00D971ED" w:rsidRPr="006449A5" w:rsidRDefault="00D971ED"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C'est du moins une façon d'interpréter la citation suivante : </w:t>
      </w:r>
      <w:r w:rsidR="009F59B0" w:rsidRPr="006449A5">
        <w:rPr>
          <w:rFonts w:cs="Times New Roman"/>
          <w:lang w:val="fr-BE"/>
        </w:rPr>
        <w:t xml:space="preserve">« </w:t>
      </w:r>
      <w:r w:rsidRPr="006449A5">
        <w:rPr>
          <w:rFonts w:cs="Times New Roman"/>
          <w:lang w:val="fr-BE"/>
        </w:rPr>
        <w:t xml:space="preserve">se détacher des formes étatiques de gouvernance, de l'économie d'accumulation et des personnalités égocentriques qui ont à la fois mis en œuvre et reproduit l'occidentalisation : le sujet moderne forçant la formation de sujets coloniaux. La </w:t>
      </w:r>
      <w:proofErr w:type="spellStart"/>
      <w:r w:rsidRPr="006449A5">
        <w:rPr>
          <w:rFonts w:cs="Times New Roman"/>
          <w:lang w:val="fr-BE"/>
        </w:rPr>
        <w:t>décolonialité</w:t>
      </w:r>
      <w:proofErr w:type="spellEnd"/>
      <w:r w:rsidRPr="006449A5">
        <w:rPr>
          <w:rFonts w:cs="Times New Roman"/>
          <w:lang w:val="fr-BE"/>
        </w:rPr>
        <w:t xml:space="preserve"> n'est pas un plan d'ensemble ou une conception globale. Il s'agit avant tout d'un horizon diversifié de libération pour les sujets coloniaux, construit par les sujets coloniaux eux-mêmes</w:t>
      </w:r>
      <w:r w:rsidR="009F59B0" w:rsidRPr="006449A5">
        <w:rPr>
          <w:rFonts w:cs="Times New Roman"/>
          <w:lang w:val="fr-BE"/>
        </w:rPr>
        <w:t xml:space="preserve"> »</w:t>
      </w:r>
      <w:r w:rsidRPr="006449A5">
        <w:rPr>
          <w:rFonts w:cs="Times New Roman"/>
          <w:lang w:val="fr-BE"/>
        </w:rPr>
        <w:t xml:space="preserve"> (Walter </w:t>
      </w:r>
      <w:proofErr w:type="spellStart"/>
      <w:r w:rsidRPr="006449A5">
        <w:rPr>
          <w:rFonts w:cs="Times New Roman"/>
          <w:lang w:val="fr-BE"/>
        </w:rPr>
        <w:t>Mignolo</w:t>
      </w:r>
      <w:proofErr w:type="spellEnd"/>
      <w:r w:rsidRPr="006449A5">
        <w:rPr>
          <w:rFonts w:cs="Times New Roman"/>
          <w:lang w:val="fr-BE"/>
        </w:rPr>
        <w:t xml:space="preserve">, </w:t>
      </w:r>
      <w:r w:rsidR="009F59B0" w:rsidRPr="006449A5">
        <w:rPr>
          <w:rFonts w:cs="Times New Roman"/>
          <w:lang w:val="fr-BE"/>
        </w:rPr>
        <w:t xml:space="preserve">« </w:t>
      </w:r>
      <w:proofErr w:type="spellStart"/>
      <w:r w:rsidRPr="006449A5">
        <w:rPr>
          <w:rFonts w:cs="Times New Roman"/>
          <w:lang w:val="fr-BE"/>
        </w:rPr>
        <w:t>Foreword</w:t>
      </w:r>
      <w:proofErr w:type="spellEnd"/>
      <w:r w:rsidR="00F83A07">
        <w:rPr>
          <w:rFonts w:cs="Times New Roman"/>
          <w:lang w:val="fr-BE"/>
        </w:rPr>
        <w:t xml:space="preserve">… », </w:t>
      </w:r>
      <w:proofErr w:type="spellStart"/>
      <w:r w:rsidR="00F83A07">
        <w:rPr>
          <w:rFonts w:cs="Times New Roman"/>
          <w:lang w:val="fr-BE"/>
        </w:rPr>
        <w:t>préc</w:t>
      </w:r>
      <w:proofErr w:type="spellEnd"/>
      <w:r w:rsidR="00F83A07">
        <w:rPr>
          <w:rFonts w:cs="Times New Roman"/>
          <w:lang w:val="fr-BE"/>
        </w:rPr>
        <w:t>.</w:t>
      </w:r>
      <w:r w:rsidRPr="006449A5">
        <w:rPr>
          <w:rFonts w:cs="Times New Roman"/>
          <w:lang w:val="fr-BE"/>
        </w:rPr>
        <w:t>, p. xiv (traduction libre)).</w:t>
      </w:r>
    </w:p>
  </w:footnote>
  <w:footnote w:id="76">
    <w:p w14:paraId="63942F99" w14:textId="415075DC" w:rsidR="00D971ED" w:rsidRPr="006449A5" w:rsidRDefault="00D971ED"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La question de savoir si le détachement est possible est laissée ouverte (v</w:t>
      </w:r>
      <w:r w:rsidR="00C457B5" w:rsidRPr="006449A5">
        <w:rPr>
          <w:rFonts w:cs="Times New Roman"/>
          <w:lang w:val="fr-BE"/>
        </w:rPr>
        <w:t>.</w:t>
      </w:r>
      <w:r w:rsidRPr="006449A5">
        <w:rPr>
          <w:rFonts w:cs="Times New Roman"/>
          <w:lang w:val="fr-BE"/>
        </w:rPr>
        <w:t xml:space="preserve"> </w:t>
      </w:r>
      <w:r w:rsidRPr="006449A5">
        <w:rPr>
          <w:rFonts w:cs="Times New Roman"/>
          <w:iCs/>
          <w:lang w:val="fr-BE"/>
        </w:rPr>
        <w:t>Ralf Michaels, « </w:t>
      </w:r>
      <w:proofErr w:type="spellStart"/>
      <w:r w:rsidRPr="006449A5">
        <w:rPr>
          <w:rFonts w:cs="Times New Roman"/>
          <w:iCs/>
          <w:lang w:val="fr-BE"/>
        </w:rPr>
        <w:t>Private</w:t>
      </w:r>
      <w:proofErr w:type="spellEnd"/>
      <w:r w:rsidRPr="006449A5">
        <w:rPr>
          <w:rFonts w:cs="Times New Roman"/>
          <w:iCs/>
          <w:lang w:val="fr-BE"/>
        </w:rPr>
        <w:t xml:space="preserve"> International Law and the Legal </w:t>
      </w:r>
      <w:proofErr w:type="spellStart"/>
      <w:r w:rsidRPr="006449A5">
        <w:rPr>
          <w:rFonts w:cs="Times New Roman"/>
          <w:iCs/>
          <w:lang w:val="fr-BE"/>
        </w:rPr>
        <w:t>Pluriverse</w:t>
      </w:r>
      <w:proofErr w:type="spellEnd"/>
      <w:r w:rsidRPr="006449A5">
        <w:rPr>
          <w:rFonts w:cs="Times New Roman"/>
          <w:iCs/>
          <w:lang w:val="fr-BE"/>
        </w:rPr>
        <w:t xml:space="preserve"> », </w:t>
      </w:r>
      <w:proofErr w:type="spellStart"/>
      <w:r w:rsidR="00F83A07" w:rsidRPr="00F83A07">
        <w:rPr>
          <w:rFonts w:cs="Times New Roman"/>
          <w:iCs/>
          <w:lang w:val="fr-BE"/>
        </w:rPr>
        <w:t>préc</w:t>
      </w:r>
      <w:proofErr w:type="spellEnd"/>
      <w:proofErr w:type="gramStart"/>
      <w:r w:rsidR="00F83A07" w:rsidRPr="00F83A07">
        <w:rPr>
          <w:rFonts w:cs="Times New Roman"/>
          <w:iCs/>
          <w:lang w:val="fr-BE"/>
        </w:rPr>
        <w:t>.</w:t>
      </w:r>
      <w:r w:rsidRPr="00F83A07">
        <w:rPr>
          <w:rFonts w:cs="Times New Roman"/>
          <w:iCs/>
          <w:lang w:val="fr-BE"/>
        </w:rPr>
        <w:t>:</w:t>
      </w:r>
      <w:proofErr w:type="gramEnd"/>
      <w:r w:rsidRPr="006449A5">
        <w:rPr>
          <w:rFonts w:cs="Times New Roman"/>
          <w:lang w:val="fr-BE"/>
        </w:rPr>
        <w:t xml:space="preserve"> « Le détachement est impossible parce que les ordres normatifs construisent nécessairement leurs relations les uns avec les autres. Un </w:t>
      </w:r>
      <w:proofErr w:type="spellStart"/>
      <w:r w:rsidRPr="006449A5">
        <w:rPr>
          <w:rFonts w:cs="Times New Roman"/>
          <w:lang w:val="fr-BE"/>
        </w:rPr>
        <w:t>plurivers</w:t>
      </w:r>
      <w:proofErr w:type="spellEnd"/>
      <w:r w:rsidRPr="006449A5">
        <w:rPr>
          <w:rFonts w:cs="Times New Roman"/>
          <w:lang w:val="fr-BE"/>
        </w:rPr>
        <w:t xml:space="preserve"> sans liens est impossible ; les liens peuvent être de différentes natures mais ils ne peuvent pas disparaître complètement... Ce qui est une option, c'est la modification des liens existant</w:t>
      </w:r>
      <w:r w:rsidR="00C457B5" w:rsidRPr="006449A5">
        <w:rPr>
          <w:rFonts w:cs="Times New Roman"/>
          <w:lang w:val="fr-BE"/>
        </w:rPr>
        <w:t xml:space="preserve"> » </w:t>
      </w:r>
      <w:r w:rsidRPr="006449A5">
        <w:rPr>
          <w:rFonts w:cs="Times New Roman"/>
          <w:lang w:val="fr-BE"/>
        </w:rPr>
        <w:t xml:space="preserve">(traduction libre)). </w:t>
      </w:r>
    </w:p>
  </w:footnote>
  <w:footnote w:id="77">
    <w:p w14:paraId="75437895" w14:textId="1BE73262" w:rsidR="002B6BA8" w:rsidRPr="006449A5" w:rsidRDefault="002B6BA8" w:rsidP="00E005ED">
      <w:pPr>
        <w:pStyle w:val="Notedebasdepage"/>
        <w:rPr>
          <w:lang w:val="fr-BE"/>
        </w:rPr>
      </w:pPr>
      <w:r w:rsidRPr="006449A5">
        <w:rPr>
          <w:rStyle w:val="Appelnotedebasdep"/>
          <w:lang w:val="fr-BE"/>
        </w:rPr>
        <w:footnoteRef/>
      </w:r>
      <w:r w:rsidRPr="006449A5">
        <w:rPr>
          <w:lang w:val="fr-BE"/>
        </w:rPr>
        <w:t xml:space="preserve"> Qui se situe </w:t>
      </w:r>
      <w:r w:rsidR="00C457B5" w:rsidRPr="006449A5">
        <w:rPr>
          <w:lang w:val="fr-BE"/>
        </w:rPr>
        <w:t>au</w:t>
      </w:r>
      <w:r w:rsidRPr="006449A5">
        <w:rPr>
          <w:lang w:val="fr-BE"/>
        </w:rPr>
        <w:t xml:space="preserve"> centre et pas à </w:t>
      </w:r>
      <w:r w:rsidR="00C457B5" w:rsidRPr="006449A5">
        <w:rPr>
          <w:lang w:val="fr-BE"/>
        </w:rPr>
        <w:t>l</w:t>
      </w:r>
      <w:r w:rsidRPr="006449A5">
        <w:rPr>
          <w:lang w:val="fr-BE"/>
        </w:rPr>
        <w:t xml:space="preserve">a périphérie, car elle est aussi blanche et née en Europe (à ce sujet, v. Léon </w:t>
      </w:r>
      <w:proofErr w:type="spellStart"/>
      <w:r w:rsidRPr="006449A5">
        <w:rPr>
          <w:lang w:val="fr-BE"/>
        </w:rPr>
        <w:t>Moosavi</w:t>
      </w:r>
      <w:proofErr w:type="spellEnd"/>
      <w:r w:rsidRPr="006449A5">
        <w:rPr>
          <w:lang w:val="fr-BE"/>
        </w:rPr>
        <w:t xml:space="preserve">, </w:t>
      </w:r>
      <w:r w:rsidR="00F83A07">
        <w:rPr>
          <w:lang w:val="fr-BE"/>
        </w:rPr>
        <w:t>« </w:t>
      </w:r>
      <w:r w:rsidRPr="006449A5">
        <w:rPr>
          <w:lang w:val="fr-BE"/>
        </w:rPr>
        <w:t xml:space="preserve">The </w:t>
      </w:r>
      <w:proofErr w:type="spellStart"/>
      <w:r w:rsidRPr="006449A5">
        <w:rPr>
          <w:lang w:val="fr-BE"/>
        </w:rPr>
        <w:t>decolonial</w:t>
      </w:r>
      <w:proofErr w:type="spellEnd"/>
      <w:r w:rsidRPr="006449A5">
        <w:rPr>
          <w:lang w:val="fr-BE"/>
        </w:rPr>
        <w:t xml:space="preserve"> </w:t>
      </w:r>
      <w:proofErr w:type="spellStart"/>
      <w:r w:rsidRPr="006449A5">
        <w:rPr>
          <w:lang w:val="fr-BE"/>
        </w:rPr>
        <w:t>bandwagon</w:t>
      </w:r>
      <w:proofErr w:type="spellEnd"/>
      <w:r w:rsidRPr="006449A5">
        <w:rPr>
          <w:lang w:val="fr-BE"/>
        </w:rPr>
        <w:t xml:space="preserve"> and the dangers of </w:t>
      </w:r>
      <w:proofErr w:type="spellStart"/>
      <w:r w:rsidRPr="006449A5">
        <w:rPr>
          <w:lang w:val="fr-BE"/>
        </w:rPr>
        <w:t>intellectual</w:t>
      </w:r>
      <w:proofErr w:type="spellEnd"/>
      <w:r w:rsidRPr="006449A5">
        <w:rPr>
          <w:lang w:val="fr-BE"/>
        </w:rPr>
        <w:t xml:space="preserve"> </w:t>
      </w:r>
      <w:proofErr w:type="spellStart"/>
      <w:r w:rsidRPr="006449A5">
        <w:rPr>
          <w:lang w:val="fr-BE"/>
        </w:rPr>
        <w:t>decolonisation</w:t>
      </w:r>
      <w:proofErr w:type="spellEnd"/>
      <w:r w:rsidR="00F83A07">
        <w:rPr>
          <w:lang w:val="fr-BE"/>
        </w:rPr>
        <w:t> »</w:t>
      </w:r>
      <w:r w:rsidRPr="006449A5">
        <w:rPr>
          <w:lang w:val="fr-BE"/>
        </w:rPr>
        <w:t xml:space="preserve">, </w:t>
      </w:r>
      <w:r w:rsidRPr="006449A5">
        <w:rPr>
          <w:i/>
          <w:iCs/>
          <w:lang w:val="fr-BE"/>
        </w:rPr>
        <w:t xml:space="preserve">International </w:t>
      </w:r>
      <w:proofErr w:type="spellStart"/>
      <w:r w:rsidRPr="006449A5">
        <w:rPr>
          <w:i/>
          <w:iCs/>
          <w:lang w:val="fr-BE"/>
        </w:rPr>
        <w:t>Review</w:t>
      </w:r>
      <w:proofErr w:type="spellEnd"/>
      <w:r w:rsidRPr="006449A5">
        <w:rPr>
          <w:i/>
          <w:iCs/>
          <w:lang w:val="fr-BE"/>
        </w:rPr>
        <w:t xml:space="preserve"> of </w:t>
      </w:r>
      <w:proofErr w:type="spellStart"/>
      <w:r w:rsidRPr="006449A5">
        <w:rPr>
          <w:i/>
          <w:iCs/>
          <w:lang w:val="fr-BE"/>
        </w:rPr>
        <w:t>Sociology</w:t>
      </w:r>
      <w:proofErr w:type="spellEnd"/>
      <w:r w:rsidRPr="006449A5">
        <w:rPr>
          <w:lang w:val="fr-BE"/>
        </w:rPr>
        <w:t xml:space="preserve">, 30(2), 2020, p. 332–354, </w:t>
      </w:r>
      <w:proofErr w:type="spellStart"/>
      <w:r w:rsidRPr="006449A5">
        <w:rPr>
          <w:lang w:val="fr-BE"/>
        </w:rPr>
        <w:t>spéc</w:t>
      </w:r>
      <w:proofErr w:type="spellEnd"/>
      <w:r w:rsidRPr="006449A5">
        <w:rPr>
          <w:lang w:val="fr-BE"/>
        </w:rPr>
        <w:t xml:space="preserve">. p. 346). </w:t>
      </w:r>
    </w:p>
  </w:footnote>
  <w:footnote w:id="78">
    <w:p w14:paraId="46F2D9E5" w14:textId="4DB0D816" w:rsidR="00D971ED" w:rsidRPr="006449A5" w:rsidRDefault="00D971ED" w:rsidP="00E005ED">
      <w:pPr>
        <w:pStyle w:val="Notedebasdepage"/>
        <w:rPr>
          <w:rFonts w:cs="Times New Roman"/>
          <w:lang w:val="fr-BE"/>
        </w:rPr>
      </w:pPr>
      <w:r w:rsidRPr="006449A5">
        <w:rPr>
          <w:rStyle w:val="Appelnotedebasdep"/>
          <w:rFonts w:cs="Times New Roman"/>
          <w:lang w:val="fr-BE"/>
        </w:rPr>
        <w:footnoteRef/>
      </w:r>
      <w:r w:rsidRPr="00285397">
        <w:rPr>
          <w:rFonts w:cs="Times New Roman"/>
          <w:lang w:val="en-US"/>
        </w:rPr>
        <w:t xml:space="preserve"> </w:t>
      </w:r>
      <w:proofErr w:type="spellStart"/>
      <w:r w:rsidRPr="00285397">
        <w:rPr>
          <w:rFonts w:cs="Times New Roman"/>
          <w:lang w:val="en-US"/>
        </w:rPr>
        <w:t>Folúké</w:t>
      </w:r>
      <w:proofErr w:type="spellEnd"/>
      <w:r w:rsidRPr="00285397">
        <w:rPr>
          <w:rFonts w:cs="Times New Roman"/>
          <w:lang w:val="en-US"/>
        </w:rPr>
        <w:t xml:space="preserve"> </w:t>
      </w:r>
      <w:proofErr w:type="spellStart"/>
      <w:r w:rsidRPr="00285397">
        <w:rPr>
          <w:rFonts w:cs="Times New Roman"/>
          <w:lang w:val="en-US"/>
        </w:rPr>
        <w:t>Adébísí</w:t>
      </w:r>
      <w:proofErr w:type="spellEnd"/>
      <w:r w:rsidRPr="00285397">
        <w:rPr>
          <w:rFonts w:cs="Times New Roman"/>
          <w:lang w:val="en-US"/>
        </w:rPr>
        <w:t xml:space="preserve">, </w:t>
      </w:r>
      <w:proofErr w:type="spellStart"/>
      <w:r w:rsidRPr="00285397">
        <w:rPr>
          <w:rFonts w:cs="Times New Roman"/>
          <w:i/>
          <w:iCs/>
          <w:lang w:val="en-US"/>
        </w:rPr>
        <w:t>Decolonisation</w:t>
      </w:r>
      <w:proofErr w:type="spellEnd"/>
      <w:r w:rsidRPr="00285397">
        <w:rPr>
          <w:rFonts w:cs="Times New Roman"/>
          <w:i/>
          <w:iCs/>
          <w:lang w:val="en-US"/>
        </w:rPr>
        <w:t xml:space="preserve"> and Legal Knowledge: Reflections on Power and Possibility</w:t>
      </w:r>
      <w:r w:rsidRPr="00285397">
        <w:rPr>
          <w:rFonts w:cs="Times New Roman"/>
          <w:lang w:val="en-US"/>
        </w:rPr>
        <w:t xml:space="preserve">, Bristol University Press, 2023, </w:t>
      </w:r>
      <w:proofErr w:type="spellStart"/>
      <w:r w:rsidRPr="00285397">
        <w:rPr>
          <w:rFonts w:cs="Times New Roman"/>
          <w:lang w:val="en-US"/>
        </w:rPr>
        <w:t>ch.</w:t>
      </w:r>
      <w:proofErr w:type="spellEnd"/>
      <w:r w:rsidRPr="00285397">
        <w:rPr>
          <w:rFonts w:cs="Times New Roman"/>
          <w:lang w:val="en-US"/>
        </w:rPr>
        <w:t xml:space="preserve"> 1; Léon Moosavi, </w:t>
      </w:r>
      <w:r w:rsidR="00F83A07" w:rsidRPr="00285397">
        <w:rPr>
          <w:rFonts w:cs="Times New Roman"/>
          <w:lang w:val="en-US"/>
        </w:rPr>
        <w:t>« </w:t>
      </w:r>
      <w:r w:rsidRPr="00285397">
        <w:rPr>
          <w:rFonts w:cs="Times New Roman"/>
          <w:lang w:val="en-US"/>
        </w:rPr>
        <w:t xml:space="preserve">The decolonial bandwagon </w:t>
      </w:r>
      <w:r w:rsidR="00F83A07" w:rsidRPr="00285397">
        <w:rPr>
          <w:rFonts w:cs="Times New Roman"/>
          <w:lang w:val="en-US"/>
        </w:rPr>
        <w:t xml:space="preserve">… », </w:t>
      </w:r>
      <w:proofErr w:type="spellStart"/>
      <w:r w:rsidR="00F83A07" w:rsidRPr="00285397">
        <w:rPr>
          <w:rFonts w:cs="Times New Roman"/>
          <w:lang w:val="en-US"/>
        </w:rPr>
        <w:t>préc</w:t>
      </w:r>
      <w:proofErr w:type="spellEnd"/>
      <w:r w:rsidRPr="00285397">
        <w:rPr>
          <w:rFonts w:cs="Times New Roman"/>
          <w:lang w:val="en-US"/>
        </w:rPr>
        <w:t xml:space="preserve">. </w:t>
      </w:r>
      <w:r w:rsidR="00F83A07">
        <w:rPr>
          <w:rFonts w:cs="Times New Roman"/>
          <w:lang w:val="fr-BE"/>
        </w:rPr>
        <w:t>Nous tenons aussi compte</w:t>
      </w:r>
      <w:r w:rsidRPr="006449A5">
        <w:rPr>
          <w:rFonts w:cs="Times New Roman"/>
          <w:lang w:val="fr-BE"/>
        </w:rPr>
        <w:t xml:space="preserve"> de la méthode </w:t>
      </w:r>
      <w:proofErr w:type="spellStart"/>
      <w:r w:rsidRPr="006449A5">
        <w:rPr>
          <w:rFonts w:cs="Times New Roman"/>
          <w:lang w:val="fr-BE"/>
        </w:rPr>
        <w:t>décoloniale</w:t>
      </w:r>
      <w:proofErr w:type="spellEnd"/>
      <w:r w:rsidRPr="006449A5">
        <w:rPr>
          <w:rFonts w:cs="Times New Roman"/>
          <w:lang w:val="fr-BE"/>
        </w:rPr>
        <w:t xml:space="preserve"> juridique de </w:t>
      </w:r>
      <w:proofErr w:type="spellStart"/>
      <w:r w:rsidRPr="006449A5">
        <w:rPr>
          <w:rFonts w:cs="Times New Roman"/>
          <w:lang w:val="fr-BE"/>
        </w:rPr>
        <w:t>Tshepo</w:t>
      </w:r>
      <w:proofErr w:type="spellEnd"/>
      <w:r w:rsidRPr="006449A5">
        <w:rPr>
          <w:rFonts w:cs="Times New Roman"/>
          <w:lang w:val="fr-BE"/>
        </w:rPr>
        <w:t xml:space="preserve"> </w:t>
      </w:r>
      <w:proofErr w:type="spellStart"/>
      <w:r w:rsidRPr="006449A5">
        <w:rPr>
          <w:rFonts w:cs="Times New Roman"/>
          <w:lang w:val="fr-BE"/>
        </w:rPr>
        <w:t>Mosaka</w:t>
      </w:r>
      <w:proofErr w:type="spellEnd"/>
      <w:r w:rsidRPr="006449A5">
        <w:rPr>
          <w:rFonts w:cs="Times New Roman"/>
          <w:lang w:val="fr-BE"/>
        </w:rPr>
        <w:t xml:space="preserve">, qui convient toutefois mieux aux études </w:t>
      </w:r>
      <w:proofErr w:type="spellStart"/>
      <w:r w:rsidRPr="006449A5">
        <w:rPr>
          <w:rFonts w:cs="Times New Roman"/>
          <w:lang w:val="fr-BE"/>
        </w:rPr>
        <w:t>décoloniales</w:t>
      </w:r>
      <w:proofErr w:type="spellEnd"/>
      <w:r w:rsidRPr="006449A5">
        <w:rPr>
          <w:rFonts w:cs="Times New Roman"/>
          <w:lang w:val="fr-BE"/>
        </w:rPr>
        <w:t xml:space="preserve"> concernant les États postcoloniaux qu’à celles qui concernent l’Europe (v. </w:t>
      </w:r>
      <w:proofErr w:type="spellStart"/>
      <w:r w:rsidRPr="006449A5">
        <w:rPr>
          <w:rFonts w:cs="Times New Roman"/>
          <w:lang w:val="fr-BE"/>
        </w:rPr>
        <w:t>Tshepo</w:t>
      </w:r>
      <w:proofErr w:type="spellEnd"/>
      <w:r w:rsidRPr="006449A5">
        <w:rPr>
          <w:rFonts w:cs="Times New Roman"/>
          <w:lang w:val="fr-BE"/>
        </w:rPr>
        <w:t xml:space="preserve"> </w:t>
      </w:r>
      <w:proofErr w:type="spellStart"/>
      <w:r w:rsidRPr="006449A5">
        <w:rPr>
          <w:rFonts w:cs="Times New Roman"/>
          <w:lang w:val="fr-BE"/>
        </w:rPr>
        <w:t>Mosaka</w:t>
      </w:r>
      <w:proofErr w:type="spellEnd"/>
      <w:r w:rsidRPr="006449A5">
        <w:rPr>
          <w:rFonts w:cs="Times New Roman"/>
          <w:lang w:val="fr-BE"/>
        </w:rPr>
        <w:t xml:space="preserve">, </w:t>
      </w:r>
      <w:r w:rsidR="00F83A07">
        <w:rPr>
          <w:rFonts w:cs="Times New Roman"/>
          <w:lang w:val="fr-BE"/>
        </w:rPr>
        <w:t>« </w:t>
      </w:r>
      <w:r w:rsidRPr="006449A5">
        <w:rPr>
          <w:rFonts w:cs="Times New Roman"/>
          <w:lang w:val="fr-BE"/>
        </w:rPr>
        <w:t xml:space="preserve">A </w:t>
      </w:r>
      <w:proofErr w:type="spellStart"/>
      <w:r w:rsidRPr="006449A5">
        <w:rPr>
          <w:rFonts w:cs="Times New Roman"/>
          <w:lang w:val="fr-BE"/>
        </w:rPr>
        <w:t>Decolonial</w:t>
      </w:r>
      <w:proofErr w:type="spellEnd"/>
      <w:r w:rsidRPr="006449A5">
        <w:rPr>
          <w:rFonts w:cs="Times New Roman"/>
          <w:lang w:val="fr-BE"/>
        </w:rPr>
        <w:t xml:space="preserve"> Legal Method</w:t>
      </w:r>
      <w:r w:rsidR="00F83A07">
        <w:rPr>
          <w:rFonts w:cs="Times New Roman"/>
          <w:lang w:val="fr-BE"/>
        </w:rPr>
        <w:t> »</w:t>
      </w:r>
      <w:r w:rsidRPr="006449A5">
        <w:rPr>
          <w:rFonts w:cs="Times New Roman"/>
          <w:lang w:val="fr-BE"/>
        </w:rPr>
        <w:t xml:space="preserve">, </w:t>
      </w:r>
      <w:r w:rsidRPr="006449A5">
        <w:rPr>
          <w:rFonts w:cs="Times New Roman"/>
          <w:i/>
          <w:iCs/>
          <w:lang w:val="fr-BE"/>
        </w:rPr>
        <w:t xml:space="preserve">South </w:t>
      </w:r>
      <w:proofErr w:type="spellStart"/>
      <w:r w:rsidRPr="006449A5">
        <w:rPr>
          <w:rFonts w:cs="Times New Roman"/>
          <w:i/>
          <w:iCs/>
          <w:lang w:val="fr-BE"/>
        </w:rPr>
        <w:t>African</w:t>
      </w:r>
      <w:proofErr w:type="spellEnd"/>
      <w:r w:rsidRPr="006449A5">
        <w:rPr>
          <w:rFonts w:cs="Times New Roman"/>
          <w:i/>
          <w:iCs/>
          <w:lang w:val="fr-BE"/>
        </w:rPr>
        <w:t xml:space="preserve"> Law Journal</w:t>
      </w:r>
      <w:r w:rsidRPr="006449A5">
        <w:rPr>
          <w:rFonts w:cs="Times New Roman"/>
          <w:lang w:val="fr-BE"/>
        </w:rPr>
        <w:t>, 138(4), 2021, p. 761-798).</w:t>
      </w:r>
    </w:p>
  </w:footnote>
  <w:footnote w:id="79">
    <w:p w14:paraId="7DA10D31" w14:textId="7A6D24BF" w:rsidR="00FB2BBA" w:rsidRPr="00285397" w:rsidRDefault="00FB2BBA" w:rsidP="00E005ED">
      <w:pPr>
        <w:pStyle w:val="Notedebasdepage"/>
        <w:rPr>
          <w:lang w:val="en-US"/>
        </w:rPr>
      </w:pPr>
      <w:r w:rsidRPr="006449A5">
        <w:rPr>
          <w:rStyle w:val="Appelnotedebasdep"/>
          <w:lang w:val="fr-BE"/>
        </w:rPr>
        <w:footnoteRef/>
      </w:r>
      <w:r w:rsidRPr="00285397">
        <w:rPr>
          <w:lang w:val="en-US"/>
        </w:rPr>
        <w:t xml:space="preserve"> Leon Moosavi, </w:t>
      </w:r>
      <w:r w:rsidR="00F83A07" w:rsidRPr="00285397">
        <w:rPr>
          <w:lang w:val="en-US"/>
        </w:rPr>
        <w:t>« </w:t>
      </w:r>
      <w:r w:rsidRPr="00285397">
        <w:rPr>
          <w:lang w:val="en-US"/>
        </w:rPr>
        <w:t>The decolonial bandwagon</w:t>
      </w:r>
      <w:r w:rsidR="00F83A07" w:rsidRPr="00285397">
        <w:rPr>
          <w:lang w:val="en-US"/>
        </w:rPr>
        <w:t>… », préc</w:t>
      </w:r>
      <w:r w:rsidRPr="00285397">
        <w:rPr>
          <w:lang w:val="en-US"/>
        </w:rPr>
        <w:t>, sp</w:t>
      </w:r>
      <w:r w:rsidR="00F83A07" w:rsidRPr="00285397">
        <w:rPr>
          <w:lang w:val="en-US"/>
        </w:rPr>
        <w:t>é</w:t>
      </w:r>
      <w:r w:rsidRPr="00285397">
        <w:rPr>
          <w:lang w:val="en-US"/>
        </w:rPr>
        <w:t xml:space="preserve">c. p. 333. </w:t>
      </w:r>
    </w:p>
  </w:footnote>
  <w:footnote w:id="80">
    <w:p w14:paraId="2CEF22A6" w14:textId="1102DA95" w:rsidR="001777C9" w:rsidRPr="006449A5" w:rsidRDefault="001777C9" w:rsidP="00E005ED">
      <w:pPr>
        <w:pStyle w:val="Notedebasdepage"/>
        <w:rPr>
          <w:lang w:val="fr-BE"/>
        </w:rPr>
      </w:pPr>
      <w:r w:rsidRPr="006449A5">
        <w:rPr>
          <w:rStyle w:val="Appelnotedebasdep"/>
          <w:lang w:val="fr-BE"/>
        </w:rPr>
        <w:footnoteRef/>
      </w:r>
      <w:r w:rsidRPr="006449A5">
        <w:rPr>
          <w:lang w:val="fr-BE"/>
        </w:rPr>
        <w:t xml:space="preserve"> Disponible sur la page officielle suivante : </w:t>
      </w:r>
      <w:hyperlink r:id="rId3" w:history="1">
        <w:r w:rsidRPr="006449A5">
          <w:rPr>
            <w:rStyle w:val="Lienhypertexte"/>
            <w:lang w:val="fr-BE"/>
          </w:rPr>
          <w:t>https://www.legifrance.gouv.fr/juri/id/JURITEXT000042524875?dateDecision=04%2F11%2F2020&amp;init=true&amp;juridictionJudiciaire=Cour+de+cassation&amp;page=1&amp;query=Dahomey&amp;searchField=TEXTE&amp;tab_selection=juri</w:t>
        </w:r>
      </w:hyperlink>
      <w:r w:rsidRPr="006449A5">
        <w:rPr>
          <w:lang w:val="fr-BE"/>
        </w:rPr>
        <w:t xml:space="preserve"> (consultée le 7 décembre 2024). </w:t>
      </w:r>
    </w:p>
  </w:footnote>
  <w:footnote w:id="81">
    <w:p w14:paraId="52D786A2" w14:textId="173F04B3" w:rsidR="003E2C18" w:rsidRPr="006449A5" w:rsidRDefault="003E2C18" w:rsidP="00E005ED">
      <w:pPr>
        <w:pStyle w:val="Notedebasdepage"/>
        <w:rPr>
          <w:lang w:val="fr-BE"/>
        </w:rPr>
      </w:pPr>
      <w:r w:rsidRPr="006449A5">
        <w:rPr>
          <w:rStyle w:val="Appelnotedebasdep"/>
          <w:lang w:val="fr-BE"/>
        </w:rPr>
        <w:footnoteRef/>
      </w:r>
      <w:r w:rsidRPr="006449A5">
        <w:rPr>
          <w:lang w:val="fr-BE"/>
        </w:rPr>
        <w:t xml:space="preserve"> V. sur le site officiel de la législation française, la page suivante : </w:t>
      </w:r>
      <w:hyperlink r:id="rId4" w:history="1">
        <w:r w:rsidRPr="006449A5">
          <w:rPr>
            <w:rStyle w:val="Lienhypertexte"/>
            <w:lang w:val="fr-BE"/>
          </w:rPr>
          <w:t>https://www.legifrance.gouv.fr/codes/texte_lc/LEGITEXT000006070721/</w:t>
        </w:r>
      </w:hyperlink>
      <w:r w:rsidRPr="006449A5">
        <w:rPr>
          <w:lang w:val="fr-BE"/>
        </w:rPr>
        <w:t xml:space="preserve">, consultée le </w:t>
      </w:r>
      <w:r w:rsidR="00DE7F38">
        <w:rPr>
          <w:lang w:val="fr-BE"/>
        </w:rPr>
        <w:t>12 décembre 2024</w:t>
      </w:r>
      <w:r w:rsidR="00E56821" w:rsidRPr="006449A5">
        <w:rPr>
          <w:lang w:val="fr-BE"/>
        </w:rPr>
        <w:t xml:space="preserve">. </w:t>
      </w:r>
    </w:p>
  </w:footnote>
  <w:footnote w:id="82">
    <w:p w14:paraId="61A6EF23" w14:textId="658EFC98" w:rsidR="0025759C" w:rsidRPr="006449A5" w:rsidRDefault="0025759C" w:rsidP="00E005ED">
      <w:pPr>
        <w:pStyle w:val="Notedebasdepage"/>
        <w:rPr>
          <w:lang w:val="fr-BE"/>
        </w:rPr>
      </w:pPr>
      <w:r w:rsidRPr="006449A5">
        <w:rPr>
          <w:rStyle w:val="Appelnotedebasdep"/>
          <w:lang w:val="fr-BE"/>
        </w:rPr>
        <w:footnoteRef/>
      </w:r>
      <w:r w:rsidRPr="006449A5">
        <w:rPr>
          <w:lang w:val="fr-BE"/>
        </w:rPr>
        <w:t xml:space="preserve"> </w:t>
      </w:r>
      <w:r w:rsidRPr="006449A5">
        <w:rPr>
          <w:b/>
          <w:bCs/>
          <w:lang w:val="fr-BE"/>
        </w:rPr>
        <w:t> </w:t>
      </w:r>
      <w:r w:rsidRPr="006449A5">
        <w:rPr>
          <w:lang w:val="fr-BE"/>
        </w:rPr>
        <w:t>L</w:t>
      </w:r>
      <w:r w:rsidR="004D6DA6" w:rsidRPr="006449A5">
        <w:rPr>
          <w:lang w:val="fr-BE"/>
        </w:rPr>
        <w:t>oi</w:t>
      </w:r>
      <w:r w:rsidRPr="006449A5">
        <w:rPr>
          <w:lang w:val="fr-BE"/>
        </w:rPr>
        <w:t xml:space="preserve"> n°</w:t>
      </w:r>
      <w:r w:rsidR="004D6DA6" w:rsidRPr="006449A5">
        <w:rPr>
          <w:lang w:val="fr-BE"/>
        </w:rPr>
        <w:t xml:space="preserve"> </w:t>
      </w:r>
      <w:r w:rsidRPr="006449A5">
        <w:rPr>
          <w:lang w:val="fr-BE"/>
        </w:rPr>
        <w:t>2021-1017 du 2 août 2021, entrée en vigueur le 4 août 2021, Art. 7 (disponible sur la page internet officielle suivante</w:t>
      </w:r>
      <w:r w:rsidR="00B0770D" w:rsidRPr="006449A5">
        <w:rPr>
          <w:lang w:val="fr-BE"/>
        </w:rPr>
        <w:t> : https://www.legifrance.gouv.fr/loda/id/LEGIARTI000043886085/2021-08-04#LEGIARTI000043886085</w:t>
      </w:r>
      <w:r w:rsidRPr="006449A5">
        <w:rPr>
          <w:lang w:val="fr-BE"/>
        </w:rPr>
        <w:t xml:space="preserve">, consultée le 7 décembre 2024). </w:t>
      </w:r>
    </w:p>
  </w:footnote>
  <w:footnote w:id="83">
    <w:p w14:paraId="0B07F244" w14:textId="07BD3953" w:rsidR="00B0770D" w:rsidRPr="006449A5" w:rsidRDefault="00B0770D" w:rsidP="00E005ED">
      <w:pPr>
        <w:pStyle w:val="Notedebasdepage"/>
        <w:rPr>
          <w:lang w:val="fr-BE"/>
        </w:rPr>
      </w:pPr>
      <w:r w:rsidRPr="006449A5">
        <w:rPr>
          <w:rStyle w:val="Appelnotedebasdep"/>
          <w:lang w:val="fr-BE"/>
        </w:rPr>
        <w:footnoteRef/>
      </w:r>
      <w:r w:rsidRPr="006449A5">
        <w:rPr>
          <w:lang w:val="fr-BE"/>
        </w:rPr>
        <w:t xml:space="preserve"> </w:t>
      </w:r>
      <w:r w:rsidR="000C0BD1" w:rsidRPr="006449A5">
        <w:rPr>
          <w:lang w:val="fr-BE"/>
        </w:rPr>
        <w:t xml:space="preserve">Ajout qui semble malheureux, au-delà de toute considération </w:t>
      </w:r>
      <w:proofErr w:type="spellStart"/>
      <w:r w:rsidR="000C0BD1" w:rsidRPr="006449A5">
        <w:rPr>
          <w:lang w:val="fr-BE"/>
        </w:rPr>
        <w:t>décoloniale</w:t>
      </w:r>
      <w:proofErr w:type="spellEnd"/>
      <w:r w:rsidR="000C0BD1" w:rsidRPr="006449A5">
        <w:rPr>
          <w:lang w:val="fr-BE"/>
        </w:rPr>
        <w:t xml:space="preserve"> (Christine Bidaud, « La force probante des actes de l’état civil étrangers modifiée par la loi bioéthique : du sens à donner à l’exigence de conformité des faits à la réalité « appréciée au regard de la loi française</w:t>
      </w:r>
      <w:proofErr w:type="gramStart"/>
      <w:r w:rsidR="000C0BD1" w:rsidRPr="006449A5">
        <w:rPr>
          <w:lang w:val="fr-BE"/>
        </w:rPr>
        <w:t> »…</w:t>
      </w:r>
      <w:proofErr w:type="gramEnd"/>
      <w:r w:rsidR="000C0BD1" w:rsidRPr="006449A5">
        <w:rPr>
          <w:lang w:val="fr-BE"/>
        </w:rPr>
        <w:t xml:space="preserve"> », </w:t>
      </w:r>
      <w:r w:rsidR="004D6DA6" w:rsidRPr="006449A5">
        <w:rPr>
          <w:i/>
          <w:iCs/>
          <w:lang w:val="fr-BE"/>
        </w:rPr>
        <w:t>RCDIP</w:t>
      </w:r>
      <w:r w:rsidR="000C0BD1" w:rsidRPr="006449A5">
        <w:rPr>
          <w:i/>
          <w:iCs/>
          <w:lang w:val="fr-BE"/>
        </w:rPr>
        <w:t xml:space="preserve">, </w:t>
      </w:r>
      <w:r w:rsidR="000C0BD1" w:rsidRPr="006449A5">
        <w:rPr>
          <w:lang w:val="fr-BE"/>
        </w:rPr>
        <w:t>2022/1,</w:t>
      </w:r>
      <w:r w:rsidR="000C0BD1" w:rsidRPr="006449A5">
        <w:rPr>
          <w:i/>
          <w:iCs/>
          <w:lang w:val="fr-BE"/>
        </w:rPr>
        <w:t xml:space="preserve"> </w:t>
      </w:r>
      <w:r w:rsidR="000C0BD1" w:rsidRPr="006449A5">
        <w:rPr>
          <w:lang w:val="fr-BE"/>
        </w:rPr>
        <w:t xml:space="preserve">p. 35-46. </w:t>
      </w:r>
      <w:r w:rsidRPr="006449A5">
        <w:rPr>
          <w:lang w:val="fr-BE"/>
        </w:rPr>
        <w:t xml:space="preserve">V. aussi Mariel </w:t>
      </w:r>
      <w:proofErr w:type="spellStart"/>
      <w:r w:rsidRPr="006449A5">
        <w:rPr>
          <w:lang w:val="fr-BE"/>
        </w:rPr>
        <w:t>Revillard</w:t>
      </w:r>
      <w:proofErr w:type="spellEnd"/>
      <w:r w:rsidRPr="006449A5">
        <w:rPr>
          <w:lang w:val="fr-BE"/>
        </w:rPr>
        <w:t xml:space="preserve">, « Sur la portée de l’exigence de la légalisation des actes d’état civil étrangers face à l’application de l’article 47 du </w:t>
      </w:r>
      <w:r w:rsidR="007F1A4E" w:rsidRPr="006449A5">
        <w:rPr>
          <w:lang w:val="fr-BE"/>
        </w:rPr>
        <w:t>C</w:t>
      </w:r>
      <w:r w:rsidRPr="006449A5">
        <w:rPr>
          <w:lang w:val="fr-BE"/>
        </w:rPr>
        <w:t xml:space="preserve">ode civil (CE 21 juin 2022, n° 457494) », </w:t>
      </w:r>
      <w:r w:rsidR="004D6DA6" w:rsidRPr="006449A5">
        <w:rPr>
          <w:i/>
          <w:iCs/>
          <w:lang w:val="fr-BE"/>
        </w:rPr>
        <w:t>RCDIP</w:t>
      </w:r>
      <w:r w:rsidRPr="006449A5">
        <w:rPr>
          <w:i/>
          <w:iCs/>
          <w:lang w:val="fr-BE"/>
        </w:rPr>
        <w:t xml:space="preserve">, </w:t>
      </w:r>
      <w:r w:rsidRPr="006449A5">
        <w:rPr>
          <w:lang w:val="fr-BE"/>
        </w:rPr>
        <w:t>2023/1, p. 270-272</w:t>
      </w:r>
      <w:r w:rsidR="00051991" w:rsidRPr="006449A5">
        <w:rPr>
          <w:lang w:val="fr-BE"/>
        </w:rPr>
        <w:t xml:space="preserve"> ; Amélie </w:t>
      </w:r>
      <w:proofErr w:type="spellStart"/>
      <w:r w:rsidR="00051991" w:rsidRPr="006449A5">
        <w:rPr>
          <w:lang w:val="fr-BE"/>
        </w:rPr>
        <w:t>Benoistel</w:t>
      </w:r>
      <w:proofErr w:type="spellEnd"/>
      <w:r w:rsidR="00051991" w:rsidRPr="006449A5">
        <w:rPr>
          <w:lang w:val="fr-BE"/>
        </w:rPr>
        <w:t>, « La preuve de la filiation attributive de nationalité française par un acte de naissance établi en exécution d’un jugement supplétif (</w:t>
      </w:r>
      <w:proofErr w:type="spellStart"/>
      <w:r w:rsidR="00051991" w:rsidRPr="006449A5">
        <w:rPr>
          <w:lang w:val="fr-BE"/>
        </w:rPr>
        <w:t>Civ</w:t>
      </w:r>
      <w:proofErr w:type="spellEnd"/>
      <w:r w:rsidR="00051991" w:rsidRPr="006449A5">
        <w:rPr>
          <w:lang w:val="fr-BE"/>
        </w:rPr>
        <w:t xml:space="preserve">. 1re, 4 décembre 2019, n° 18-50.040) », </w:t>
      </w:r>
      <w:r w:rsidR="004D6DA6" w:rsidRPr="006449A5">
        <w:rPr>
          <w:i/>
          <w:iCs/>
          <w:lang w:val="fr-BE"/>
        </w:rPr>
        <w:t>RCDIP</w:t>
      </w:r>
      <w:r w:rsidR="00051991" w:rsidRPr="006449A5">
        <w:rPr>
          <w:i/>
          <w:iCs/>
          <w:lang w:val="fr-BE"/>
        </w:rPr>
        <w:t xml:space="preserve">, </w:t>
      </w:r>
      <w:r w:rsidR="00051991" w:rsidRPr="006449A5">
        <w:rPr>
          <w:lang w:val="fr-BE"/>
        </w:rPr>
        <w:t xml:space="preserve">2022/2, p. 317-330. </w:t>
      </w:r>
    </w:p>
  </w:footnote>
  <w:footnote w:id="84">
    <w:p w14:paraId="7024F207" w14:textId="34E9DF3B" w:rsidR="00C12B8C" w:rsidRPr="006449A5" w:rsidRDefault="00C12B8C" w:rsidP="00E005ED">
      <w:pPr>
        <w:pStyle w:val="Notedebasdepage"/>
        <w:rPr>
          <w:lang w:val="fr-BE"/>
        </w:rPr>
      </w:pPr>
      <w:r w:rsidRPr="006449A5">
        <w:rPr>
          <w:rStyle w:val="Appelnotedebasdep"/>
          <w:lang w:val="fr-BE"/>
        </w:rPr>
        <w:footnoteRef/>
      </w:r>
      <w:r w:rsidRPr="006449A5">
        <w:rPr>
          <w:lang w:val="fr-BE"/>
        </w:rPr>
        <w:t xml:space="preserve"> Il devrait également démontrer que son grand-père a conservé sa nationalité française après l’indépendance en s’installant hors du Bénin, mais, comme nous le verrons, le juge n’accepte pas de reconnaitre la naissance du grand-père en France et n’examine donc pas cette seconde question. </w:t>
      </w:r>
    </w:p>
  </w:footnote>
  <w:footnote w:id="85">
    <w:p w14:paraId="3E126FBE" w14:textId="1E186172" w:rsidR="00C12B8C" w:rsidRPr="006449A5" w:rsidRDefault="00C12B8C" w:rsidP="00E005ED">
      <w:pPr>
        <w:pStyle w:val="Notedebasdepage"/>
        <w:rPr>
          <w:lang w:val="fr-BE"/>
        </w:rPr>
      </w:pPr>
      <w:r w:rsidRPr="006449A5">
        <w:rPr>
          <w:rStyle w:val="Appelnotedebasdep"/>
          <w:lang w:val="fr-BE"/>
        </w:rPr>
        <w:footnoteRef/>
      </w:r>
      <w:r w:rsidRPr="006449A5">
        <w:rPr>
          <w:lang w:val="fr-BE"/>
        </w:rPr>
        <w:t xml:space="preserve"> Il s’agit de règles spécifiques applicables au Dahomey durant la colonisation française.  </w:t>
      </w:r>
    </w:p>
  </w:footnote>
  <w:footnote w:id="86">
    <w:p w14:paraId="3B28D479" w14:textId="02FD17B6" w:rsidR="00042091" w:rsidRPr="006449A5" w:rsidRDefault="00042091" w:rsidP="00E005ED">
      <w:pPr>
        <w:pStyle w:val="Notedebasdepage"/>
        <w:rPr>
          <w:lang w:val="fr-BE"/>
        </w:rPr>
      </w:pPr>
      <w:r w:rsidRPr="006449A5">
        <w:rPr>
          <w:rStyle w:val="Appelnotedebasdep"/>
          <w:lang w:val="fr-BE"/>
        </w:rPr>
        <w:footnoteRef/>
      </w:r>
      <w:r w:rsidRPr="006449A5">
        <w:rPr>
          <w:lang w:val="fr-BE"/>
        </w:rPr>
        <w:t xml:space="preserve"> Ce qui n’est pas contesté par l’</w:t>
      </w:r>
      <w:r w:rsidR="007F1A4E" w:rsidRPr="006449A5">
        <w:rPr>
          <w:lang w:val="fr-BE"/>
        </w:rPr>
        <w:t>État</w:t>
      </w:r>
      <w:r w:rsidRPr="006449A5">
        <w:rPr>
          <w:lang w:val="fr-BE"/>
        </w:rPr>
        <w:t xml:space="preserve"> français pour ce qui concerne l’application de la coutume visant l’établissement de la filiation, mais qui ne peut servir de base à l’établissement de filiation entre le père et la grand-mère.</w:t>
      </w:r>
    </w:p>
  </w:footnote>
  <w:footnote w:id="87">
    <w:p w14:paraId="5EF80C6C" w14:textId="4A3CA85D" w:rsidR="006B292C" w:rsidRPr="006449A5" w:rsidRDefault="006B292C" w:rsidP="00E005ED">
      <w:pPr>
        <w:pStyle w:val="Notedebasdepage"/>
        <w:rPr>
          <w:lang w:val="fr-BE"/>
        </w:rPr>
      </w:pPr>
      <w:r w:rsidRPr="006449A5">
        <w:rPr>
          <w:rStyle w:val="Appelnotedebasdep"/>
          <w:lang w:val="fr-BE"/>
        </w:rPr>
        <w:footnoteRef/>
      </w:r>
      <w:r w:rsidRPr="006449A5">
        <w:rPr>
          <w:lang w:val="fr-BE"/>
        </w:rPr>
        <w:t xml:space="preserve"> Qui n’est pas référencé dans l’arrêt mais que nous avons retrouvé sous la référence suivante : Cour de cassation, civile, Chambre civile 1, 22 octobre 2008, 07-14.934, Publié au bulletin.</w:t>
      </w:r>
    </w:p>
  </w:footnote>
  <w:footnote w:id="88">
    <w:p w14:paraId="079F73CF" w14:textId="092365A0" w:rsidR="00C93CE7" w:rsidRPr="006449A5" w:rsidRDefault="00C93CE7" w:rsidP="00E005ED">
      <w:pPr>
        <w:pStyle w:val="Notedebasdepage"/>
        <w:rPr>
          <w:lang w:val="fr-BE"/>
        </w:rPr>
      </w:pPr>
      <w:r w:rsidRPr="006449A5">
        <w:rPr>
          <w:rStyle w:val="Appelnotedebasdep"/>
          <w:lang w:val="fr-BE"/>
        </w:rPr>
        <w:footnoteRef/>
      </w:r>
      <w:r w:rsidRPr="006449A5">
        <w:rPr>
          <w:lang w:val="fr-BE"/>
        </w:rPr>
        <w:t xml:space="preserve"> Qui n’est pas référencé dans l’arrêt mais que nous avons retrouvé sous la référence suivante :</w:t>
      </w:r>
      <w:r w:rsidRPr="006449A5">
        <w:rPr>
          <w:rFonts w:ascii="Arial" w:hAnsi="Arial" w:cs="Arial"/>
          <w:sz w:val="15"/>
          <w:szCs w:val="15"/>
          <w:lang w:val="fr-BE"/>
          <w14:ligatures w14:val="standardContextual"/>
        </w:rPr>
        <w:t xml:space="preserve"> </w:t>
      </w:r>
      <w:r w:rsidRPr="006449A5">
        <w:rPr>
          <w:lang w:val="fr-BE"/>
        </w:rPr>
        <w:t xml:space="preserve">Cour d'appel, Paris, Pôle 1, chambre 1, 28 </w:t>
      </w:r>
      <w:proofErr w:type="gramStart"/>
      <w:r w:rsidRPr="006449A5">
        <w:rPr>
          <w:lang w:val="fr-BE"/>
        </w:rPr>
        <w:t>Janvier</w:t>
      </w:r>
      <w:proofErr w:type="gramEnd"/>
      <w:r w:rsidRPr="006449A5">
        <w:rPr>
          <w:lang w:val="fr-BE"/>
        </w:rPr>
        <w:t xml:space="preserve"> 2010 – n° 08/24644. </w:t>
      </w:r>
    </w:p>
  </w:footnote>
  <w:footnote w:id="89">
    <w:p w14:paraId="4DFBDBB4" w14:textId="133BCA42" w:rsidR="00C93CE7" w:rsidRPr="006449A5" w:rsidRDefault="00C93CE7" w:rsidP="00E005ED">
      <w:pPr>
        <w:pStyle w:val="Notedebasdepage"/>
        <w:rPr>
          <w:lang w:val="fr-BE"/>
        </w:rPr>
      </w:pPr>
      <w:r w:rsidRPr="006449A5">
        <w:rPr>
          <w:rStyle w:val="Appelnotedebasdep"/>
          <w:lang w:val="fr-BE"/>
        </w:rPr>
        <w:footnoteRef/>
      </w:r>
      <w:r w:rsidRPr="006449A5">
        <w:rPr>
          <w:lang w:val="fr-BE"/>
        </w:rPr>
        <w:t xml:space="preserve"> Nous ajoutons cette information après avoir consulté lesdites décisions. </w:t>
      </w:r>
    </w:p>
  </w:footnote>
  <w:footnote w:id="90">
    <w:p w14:paraId="5205B8F2" w14:textId="3F623F4E" w:rsidR="00E56821" w:rsidRPr="006449A5" w:rsidRDefault="00E56821" w:rsidP="00E005ED">
      <w:pPr>
        <w:pStyle w:val="Notedebasdepage"/>
        <w:rPr>
          <w:lang w:val="fr-BE"/>
        </w:rPr>
      </w:pPr>
      <w:r w:rsidRPr="006449A5">
        <w:rPr>
          <w:rStyle w:val="Appelnotedebasdep"/>
          <w:lang w:val="fr-BE"/>
        </w:rPr>
        <w:footnoteRef/>
      </w:r>
      <w:r w:rsidRPr="006449A5">
        <w:rPr>
          <w:lang w:val="fr-BE"/>
        </w:rPr>
        <w:t xml:space="preserve"> </w:t>
      </w:r>
      <w:proofErr w:type="spellStart"/>
      <w:r w:rsidRPr="006449A5">
        <w:rPr>
          <w:lang w:val="fr-BE"/>
        </w:rPr>
        <w:t>Ahonagnon</w:t>
      </w:r>
      <w:proofErr w:type="spellEnd"/>
      <w:r w:rsidRPr="006449A5">
        <w:rPr>
          <w:lang w:val="fr-BE"/>
        </w:rPr>
        <w:t xml:space="preserve"> Noel </w:t>
      </w:r>
      <w:proofErr w:type="spellStart"/>
      <w:r w:rsidRPr="006449A5">
        <w:rPr>
          <w:lang w:val="fr-BE"/>
        </w:rPr>
        <w:t>Gbaguidi</w:t>
      </w:r>
      <w:proofErr w:type="spellEnd"/>
      <w:r w:rsidRPr="006449A5">
        <w:rPr>
          <w:lang w:val="fr-BE"/>
        </w:rPr>
        <w:t xml:space="preserve"> et William </w:t>
      </w:r>
      <w:proofErr w:type="spellStart"/>
      <w:r w:rsidRPr="006449A5">
        <w:rPr>
          <w:lang w:val="fr-BE"/>
        </w:rPr>
        <w:t>Kodjoh-Kpakpassou</w:t>
      </w:r>
      <w:proofErr w:type="spellEnd"/>
      <w:r w:rsidRPr="006449A5">
        <w:rPr>
          <w:lang w:val="fr-BE"/>
        </w:rPr>
        <w:t xml:space="preserve">, </w:t>
      </w:r>
      <w:r w:rsidRPr="006449A5">
        <w:rPr>
          <w:i/>
          <w:iCs/>
          <w:lang w:val="fr-BE"/>
        </w:rPr>
        <w:t>Introduction au Système Juridique et Judiciaire du Bénin</w:t>
      </w:r>
      <w:r w:rsidR="00F36379" w:rsidRPr="006449A5">
        <w:rPr>
          <w:lang w:val="fr-BE"/>
        </w:rPr>
        <w:t xml:space="preserve">, 2009, disponible sur la page internet : </w:t>
      </w:r>
      <w:hyperlink r:id="rId5" w:history="1">
        <w:r w:rsidR="00F36379" w:rsidRPr="006449A5">
          <w:rPr>
            <w:rStyle w:val="Lienhypertexte"/>
            <w:lang w:val="fr-BE"/>
          </w:rPr>
          <w:t>https://www.nyulawglobal.org/globalex/BENIN.html</w:t>
        </w:r>
      </w:hyperlink>
      <w:r w:rsidR="00F36379" w:rsidRPr="006449A5">
        <w:rPr>
          <w:lang w:val="fr-BE"/>
        </w:rPr>
        <w:t xml:space="preserve">, consultée le 12 septembre 2023. </w:t>
      </w:r>
    </w:p>
  </w:footnote>
  <w:footnote w:id="91">
    <w:p w14:paraId="70B50A88" w14:textId="7B0754D6" w:rsidR="004A5B15" w:rsidRPr="006449A5" w:rsidRDefault="004A5B15" w:rsidP="00E005ED">
      <w:pPr>
        <w:pStyle w:val="Notedebasdepage"/>
        <w:rPr>
          <w:b/>
          <w:bCs/>
          <w:lang w:val="fr-BE"/>
        </w:rPr>
      </w:pPr>
      <w:r w:rsidRPr="006449A5">
        <w:rPr>
          <w:rStyle w:val="Appelnotedebasdep"/>
          <w:lang w:val="fr-BE"/>
        </w:rPr>
        <w:footnoteRef/>
      </w:r>
      <w:r w:rsidRPr="006449A5">
        <w:rPr>
          <w:lang w:val="fr-BE"/>
        </w:rPr>
        <w:t xml:space="preserve"> </w:t>
      </w:r>
      <w:proofErr w:type="spellStart"/>
      <w:r w:rsidRPr="006449A5">
        <w:rPr>
          <w:lang w:val="fr-BE"/>
        </w:rPr>
        <w:t>Thikandé</w:t>
      </w:r>
      <w:proofErr w:type="spellEnd"/>
      <w:r w:rsidRPr="006449A5">
        <w:rPr>
          <w:lang w:val="fr-BE"/>
        </w:rPr>
        <w:t xml:space="preserve"> </w:t>
      </w:r>
      <w:proofErr w:type="spellStart"/>
      <w:r w:rsidRPr="006449A5">
        <w:rPr>
          <w:lang w:val="fr-BE"/>
        </w:rPr>
        <w:t>Sero</w:t>
      </w:r>
      <w:proofErr w:type="spellEnd"/>
      <w:r w:rsidRPr="006449A5">
        <w:rPr>
          <w:lang w:val="fr-BE"/>
        </w:rPr>
        <w:t xml:space="preserve">, </w:t>
      </w:r>
      <w:hyperlink r:id="rId6" w:history="1">
        <w:r w:rsidRPr="006449A5">
          <w:rPr>
            <w:rStyle w:val="Lienhypertexte"/>
            <w:i/>
            <w:iCs/>
            <w:color w:val="auto"/>
            <w:u w:val="none"/>
            <w:lang w:val="fr-BE"/>
          </w:rPr>
          <w:t>De l'unité au pluralisme des normes dans la transformation foncière au Bénin</w:t>
        </w:r>
      </w:hyperlink>
      <w:r w:rsidRPr="006449A5">
        <w:rPr>
          <w:lang w:val="fr-BE"/>
        </w:rPr>
        <w:t xml:space="preserve">, Thèse de Doctorat : </w:t>
      </w:r>
      <w:proofErr w:type="spellStart"/>
      <w:r w:rsidRPr="006449A5">
        <w:rPr>
          <w:lang w:val="fr-BE"/>
        </w:rPr>
        <w:t>Dir</w:t>
      </w:r>
      <w:proofErr w:type="spellEnd"/>
      <w:r w:rsidRPr="006449A5">
        <w:rPr>
          <w:lang w:val="fr-BE"/>
        </w:rPr>
        <w:t xml:space="preserve">. </w:t>
      </w:r>
      <w:proofErr w:type="spellStart"/>
      <w:r w:rsidRPr="006449A5">
        <w:rPr>
          <w:lang w:val="fr-BE"/>
        </w:rPr>
        <w:t>Eric</w:t>
      </w:r>
      <w:proofErr w:type="spellEnd"/>
      <w:r w:rsidRPr="006449A5">
        <w:rPr>
          <w:lang w:val="fr-BE"/>
        </w:rPr>
        <w:t xml:space="preserve"> Gasparini et G</w:t>
      </w:r>
      <w:r w:rsidR="00F36379" w:rsidRPr="006449A5">
        <w:rPr>
          <w:lang w:val="fr-BE"/>
        </w:rPr>
        <w:t xml:space="preserve">eorges </w:t>
      </w:r>
      <w:r w:rsidRPr="006449A5">
        <w:rPr>
          <w:lang w:val="fr-BE"/>
        </w:rPr>
        <w:t>B</w:t>
      </w:r>
      <w:r w:rsidR="00F36379" w:rsidRPr="006449A5">
        <w:rPr>
          <w:lang w:val="fr-BE"/>
        </w:rPr>
        <w:t xml:space="preserve">arnabé </w:t>
      </w:r>
      <w:proofErr w:type="spellStart"/>
      <w:r w:rsidR="00F36379" w:rsidRPr="006449A5">
        <w:rPr>
          <w:lang w:val="fr-BE"/>
        </w:rPr>
        <w:t>Gbago</w:t>
      </w:r>
      <w:proofErr w:type="spellEnd"/>
      <w:r w:rsidR="00F36379" w:rsidRPr="006449A5">
        <w:rPr>
          <w:lang w:val="fr-BE"/>
        </w:rPr>
        <w:t>,</w:t>
      </w:r>
      <w:r w:rsidRPr="006449A5">
        <w:rPr>
          <w:lang w:val="fr-BE"/>
        </w:rPr>
        <w:t xml:space="preserve"> </w:t>
      </w:r>
      <w:r w:rsidR="00F36379" w:rsidRPr="006449A5">
        <w:rPr>
          <w:lang w:val="fr-BE"/>
        </w:rPr>
        <w:t>Faculté de Droit et de Sciences Politique de Aix Marseille Université</w:t>
      </w:r>
      <w:r w:rsidRPr="006449A5">
        <w:rPr>
          <w:lang w:val="fr-BE"/>
        </w:rPr>
        <w:t>, 2021</w:t>
      </w:r>
      <w:r w:rsidR="00F36379" w:rsidRPr="006449A5">
        <w:rPr>
          <w:lang w:val="fr-BE"/>
        </w:rPr>
        <w:t>.</w:t>
      </w:r>
    </w:p>
  </w:footnote>
  <w:footnote w:id="92">
    <w:p w14:paraId="70948BFA" w14:textId="28D39BD0" w:rsidR="00F36379" w:rsidRPr="006449A5" w:rsidRDefault="00F36379" w:rsidP="00E005ED">
      <w:pPr>
        <w:pStyle w:val="Notedebasdepage"/>
        <w:rPr>
          <w:lang w:val="fr-BE"/>
        </w:rPr>
      </w:pPr>
      <w:r w:rsidRPr="006449A5">
        <w:rPr>
          <w:rStyle w:val="Appelnotedebasdep"/>
          <w:lang w:val="fr-BE"/>
        </w:rPr>
        <w:footnoteRef/>
      </w:r>
      <w:r w:rsidRPr="006449A5">
        <w:rPr>
          <w:lang w:val="fr-BE"/>
        </w:rPr>
        <w:t xml:space="preserve"> </w:t>
      </w:r>
      <w:proofErr w:type="spellStart"/>
      <w:r w:rsidRPr="006449A5">
        <w:rPr>
          <w:lang w:val="fr-BE"/>
        </w:rPr>
        <w:t>Yémalin</w:t>
      </w:r>
      <w:proofErr w:type="spellEnd"/>
      <w:r w:rsidRPr="006449A5">
        <w:rPr>
          <w:lang w:val="fr-BE"/>
        </w:rPr>
        <w:t xml:space="preserve"> </w:t>
      </w:r>
      <w:proofErr w:type="spellStart"/>
      <w:r w:rsidRPr="006449A5">
        <w:rPr>
          <w:lang w:val="fr-BE"/>
        </w:rPr>
        <w:t>Gnonlonfoun</w:t>
      </w:r>
      <w:proofErr w:type="spellEnd"/>
      <w:r w:rsidRPr="006449A5">
        <w:rPr>
          <w:lang w:val="fr-BE"/>
        </w:rPr>
        <w:t xml:space="preserve">. </w:t>
      </w:r>
      <w:r w:rsidRPr="006449A5">
        <w:rPr>
          <w:i/>
          <w:iCs/>
          <w:lang w:val="fr-BE"/>
        </w:rPr>
        <w:t>Le rôle de la pratique dans la formation du droit de la famille en Afrique noire francophone : cas du Bénin</w:t>
      </w:r>
      <w:r w:rsidRPr="006449A5">
        <w:rPr>
          <w:lang w:val="fr-BE"/>
        </w:rPr>
        <w:t xml:space="preserve">. Thèse de Doctorat : </w:t>
      </w:r>
      <w:proofErr w:type="spellStart"/>
      <w:r w:rsidRPr="006449A5">
        <w:rPr>
          <w:lang w:val="fr-BE"/>
        </w:rPr>
        <w:t>Dir</w:t>
      </w:r>
      <w:proofErr w:type="spellEnd"/>
      <w:r w:rsidRPr="006449A5">
        <w:rPr>
          <w:lang w:val="fr-BE"/>
        </w:rPr>
        <w:t xml:space="preserve">. </w:t>
      </w:r>
      <w:r w:rsidR="006866E2" w:rsidRPr="006449A5">
        <w:rPr>
          <w:lang w:val="fr-BE"/>
        </w:rPr>
        <w:t xml:space="preserve">François-Pierre Blanc, </w:t>
      </w:r>
      <w:r w:rsidRPr="006449A5">
        <w:rPr>
          <w:lang w:val="fr-BE"/>
        </w:rPr>
        <w:t>Faculté de droit de l’Université de Perpignan, 2022.</w:t>
      </w:r>
    </w:p>
  </w:footnote>
  <w:footnote w:id="93">
    <w:p w14:paraId="0C05FAE9" w14:textId="5DA20984" w:rsidR="00B77D3E" w:rsidRPr="006449A5" w:rsidRDefault="00B77D3E" w:rsidP="00E005ED">
      <w:pPr>
        <w:pStyle w:val="Notedebasdepage"/>
        <w:rPr>
          <w:lang w:val="fr-BE"/>
        </w:rPr>
      </w:pPr>
      <w:r w:rsidRPr="006449A5">
        <w:rPr>
          <w:rStyle w:val="Appelnotedebasdep"/>
          <w:lang w:val="fr-BE"/>
        </w:rPr>
        <w:footnoteRef/>
      </w:r>
      <w:r w:rsidRPr="006449A5">
        <w:rPr>
          <w:lang w:val="fr-BE"/>
        </w:rPr>
        <w:t xml:space="preserve"> L’on peut imaginer que cette façon de procéder reflète une extension de la </w:t>
      </w:r>
      <w:r w:rsidR="007B4850" w:rsidRPr="006449A5">
        <w:rPr>
          <w:lang w:val="fr-BE"/>
        </w:rPr>
        <w:t>règle ou pratique judiciaire</w:t>
      </w:r>
      <w:r w:rsidRPr="006449A5">
        <w:rPr>
          <w:lang w:val="fr-BE"/>
        </w:rPr>
        <w:t>, répandue en Europe, qui veut que, lorsque le juge européen ne peut définir avec certitude la teneur du droit étranger, il applique le droit français</w:t>
      </w:r>
      <w:r w:rsidR="007B4850" w:rsidRPr="006449A5">
        <w:rPr>
          <w:lang w:val="fr-BE"/>
        </w:rPr>
        <w:t xml:space="preserve"> (v. par.</w:t>
      </w:r>
      <w:r w:rsidR="002F26E7">
        <w:rPr>
          <w:lang w:val="fr-BE"/>
        </w:rPr>
        <w:t xml:space="preserve"> ex.</w:t>
      </w:r>
      <w:r w:rsidR="007B4850" w:rsidRPr="006449A5">
        <w:rPr>
          <w:lang w:val="fr-BE"/>
        </w:rPr>
        <w:t xml:space="preserve"> l'article 15 du Code belge de droit international privé, qui prévoit que, lorsqu'il s'avère qu'il n'est « pas possible » de déterminer « à temps » le contenu du droit étranger, les juges peuvent appliquer la loi du for (Loi du 16 juillet 2004 portant le Code de droit international privé, </w:t>
      </w:r>
      <w:r w:rsidR="007B4850" w:rsidRPr="006449A5">
        <w:rPr>
          <w:i/>
          <w:iCs/>
          <w:lang w:val="fr-BE"/>
        </w:rPr>
        <w:t>Moniteur belge</w:t>
      </w:r>
      <w:r w:rsidR="007B4850" w:rsidRPr="006449A5">
        <w:rPr>
          <w:lang w:val="fr-BE"/>
        </w:rPr>
        <w:t xml:space="preserve">, 27 juillet 2004 – v. la version actuellement en vigueur  sur la page internet officielle: </w:t>
      </w:r>
      <w:hyperlink r:id="rId7" w:history="1">
        <w:r w:rsidR="007B4850" w:rsidRPr="006449A5">
          <w:rPr>
            <w:rStyle w:val="Lienhypertexte"/>
            <w:lang w:val="fr-BE"/>
          </w:rPr>
          <w:t>https://www.ejustice.just.fgov.be/cgi_loi/change_lg.pl?language=fr&amp;la=F&amp;cn=2004071631&amp;table_name=loi</w:t>
        </w:r>
      </w:hyperlink>
      <w:r w:rsidR="007B4850" w:rsidRPr="006449A5">
        <w:rPr>
          <w:lang w:val="fr-BE"/>
        </w:rPr>
        <w:t>, consultée le 7 décembre 2024).</w:t>
      </w:r>
    </w:p>
  </w:footnote>
  <w:footnote w:id="94">
    <w:p w14:paraId="4575327F" w14:textId="77777777" w:rsidR="002F26E7" w:rsidRPr="006449A5" w:rsidRDefault="002F26E7" w:rsidP="002F26E7">
      <w:pPr>
        <w:pStyle w:val="Notedebasdepage"/>
        <w:rPr>
          <w:lang w:val="fr-BE"/>
        </w:rPr>
      </w:pPr>
      <w:r w:rsidRPr="006449A5">
        <w:rPr>
          <w:rStyle w:val="Appelnotedebasdep"/>
          <w:lang w:val="fr-BE"/>
        </w:rPr>
        <w:footnoteRef/>
      </w:r>
      <w:r w:rsidRPr="006449A5">
        <w:rPr>
          <w:lang w:val="fr-BE"/>
        </w:rPr>
        <w:t xml:space="preserve"> Pour autant que la même possibilité pragmatique d’acquisition de la nationalité existe dans les anciennes colonies d’un même État européen, en l’occurrence ici, la France. </w:t>
      </w:r>
    </w:p>
  </w:footnote>
  <w:footnote w:id="95">
    <w:p w14:paraId="52F08CC4" w14:textId="6744B002" w:rsidR="0014779F" w:rsidRPr="006449A5" w:rsidRDefault="0014779F" w:rsidP="00E005ED">
      <w:pPr>
        <w:pStyle w:val="Notedebasdepage"/>
        <w:rPr>
          <w:lang w:val="fr-BE"/>
        </w:rPr>
      </w:pPr>
      <w:r w:rsidRPr="006449A5">
        <w:rPr>
          <w:rStyle w:val="Appelnotedebasdep"/>
          <w:lang w:val="fr-BE"/>
        </w:rPr>
        <w:footnoteRef/>
      </w:r>
      <w:r w:rsidRPr="006449A5">
        <w:rPr>
          <w:lang w:val="fr-BE"/>
        </w:rPr>
        <w:t xml:space="preserve"> Christine Bidaud, « La force probante des actes de l’état civil étrangers modifiée par la loi bioéthique : du sens à donner à l’exigence de conformité des faits à la réalité « appréciée au regard de la loi française</w:t>
      </w:r>
      <w:proofErr w:type="gramStart"/>
      <w:r w:rsidRPr="006449A5">
        <w:rPr>
          <w:lang w:val="fr-BE"/>
        </w:rPr>
        <w:t> »…</w:t>
      </w:r>
      <w:proofErr w:type="gramEnd"/>
      <w:r w:rsidRPr="006449A5">
        <w:rPr>
          <w:lang w:val="fr-BE"/>
        </w:rPr>
        <w:t xml:space="preserve"> », </w:t>
      </w:r>
      <w:r w:rsidRPr="006449A5">
        <w:rPr>
          <w:i/>
          <w:iCs/>
          <w:lang w:val="fr-BE"/>
        </w:rPr>
        <w:t xml:space="preserve">RCDIP, </w:t>
      </w:r>
      <w:r w:rsidRPr="006449A5">
        <w:rPr>
          <w:lang w:val="fr-BE"/>
        </w:rPr>
        <w:t>2022/1,</w:t>
      </w:r>
      <w:r w:rsidRPr="006449A5">
        <w:rPr>
          <w:i/>
          <w:iCs/>
          <w:lang w:val="fr-BE"/>
        </w:rPr>
        <w:t xml:space="preserve"> </w:t>
      </w:r>
      <w:r w:rsidRPr="006449A5">
        <w:rPr>
          <w:lang w:val="fr-BE"/>
        </w:rPr>
        <w:t xml:space="preserve">p. 35-46, </w:t>
      </w:r>
      <w:proofErr w:type="spellStart"/>
      <w:r w:rsidRPr="006449A5">
        <w:rPr>
          <w:lang w:val="fr-BE"/>
        </w:rPr>
        <w:t>spéc</w:t>
      </w:r>
      <w:proofErr w:type="spellEnd"/>
      <w:r w:rsidRPr="006449A5">
        <w:rPr>
          <w:lang w:val="fr-BE"/>
        </w:rPr>
        <w:t xml:space="preserve">. p. 40. </w:t>
      </w:r>
    </w:p>
  </w:footnote>
  <w:footnote w:id="96">
    <w:p w14:paraId="2B473344" w14:textId="708751B3" w:rsidR="000A11BC" w:rsidRPr="006449A5" w:rsidRDefault="000A11BC" w:rsidP="00E005ED">
      <w:pPr>
        <w:pStyle w:val="Notedebasdepage"/>
        <w:rPr>
          <w:lang w:val="fr-BE"/>
        </w:rPr>
      </w:pPr>
      <w:r w:rsidRPr="006449A5">
        <w:rPr>
          <w:rStyle w:val="Appelnotedebasdep"/>
          <w:lang w:val="fr-BE"/>
        </w:rPr>
        <w:footnoteRef/>
      </w:r>
      <w:r w:rsidRPr="006449A5">
        <w:rPr>
          <w:lang w:val="fr-BE"/>
        </w:rPr>
        <w:t xml:space="preserve"> V. </w:t>
      </w:r>
      <w:r w:rsidR="004665D7" w:rsidRPr="006449A5">
        <w:rPr>
          <w:lang w:val="fr-BE"/>
        </w:rPr>
        <w:t>J</w:t>
      </w:r>
      <w:r w:rsidR="00D6388E" w:rsidRPr="006449A5">
        <w:rPr>
          <w:lang w:val="fr-BE"/>
        </w:rPr>
        <w:t xml:space="preserve">ulie </w:t>
      </w:r>
      <w:r w:rsidR="004665D7" w:rsidRPr="006449A5">
        <w:rPr>
          <w:lang w:val="fr-BE"/>
        </w:rPr>
        <w:t>Mary</w:t>
      </w:r>
      <w:r w:rsidRPr="006449A5">
        <w:rPr>
          <w:lang w:val="fr-BE"/>
        </w:rPr>
        <w:t xml:space="preserve"> « Note sous Trib. </w:t>
      </w:r>
      <w:proofErr w:type="spellStart"/>
      <w:r w:rsidRPr="006449A5">
        <w:rPr>
          <w:lang w:val="fr-BE"/>
        </w:rPr>
        <w:t>fam</w:t>
      </w:r>
      <w:proofErr w:type="spellEnd"/>
      <w:r w:rsidRPr="006449A5">
        <w:rPr>
          <w:lang w:val="fr-BE"/>
        </w:rPr>
        <w:t xml:space="preserve">. Liège, div. Liège (10e ch.), 25 mai 2018, 18/522/B », </w:t>
      </w:r>
      <w:r w:rsidR="004665D7" w:rsidRPr="006449A5">
        <w:rPr>
          <w:i/>
          <w:iCs/>
          <w:lang w:val="fr-BE"/>
        </w:rPr>
        <w:t>Revue trimestrielle de droit de la famille</w:t>
      </w:r>
      <w:r w:rsidRPr="006449A5">
        <w:rPr>
          <w:lang w:val="fr-BE"/>
        </w:rPr>
        <w:t>, 2020/1, p. 178-</w:t>
      </w:r>
      <w:proofErr w:type="gramStart"/>
      <w:r w:rsidRPr="006449A5">
        <w:rPr>
          <w:lang w:val="fr-BE"/>
        </w:rPr>
        <w:t>181;</w:t>
      </w:r>
      <w:proofErr w:type="gramEnd"/>
      <w:r w:rsidRPr="006449A5">
        <w:rPr>
          <w:lang w:val="fr-BE"/>
        </w:rPr>
        <w:t xml:space="preserve"> </w:t>
      </w:r>
      <w:r w:rsidR="004665D7" w:rsidRPr="006449A5">
        <w:rPr>
          <w:lang w:val="fr-BE"/>
        </w:rPr>
        <w:t xml:space="preserve">Patrick </w:t>
      </w:r>
      <w:proofErr w:type="spellStart"/>
      <w:r w:rsidR="004665D7" w:rsidRPr="006449A5">
        <w:rPr>
          <w:lang w:val="fr-BE"/>
        </w:rPr>
        <w:t>Wautelet</w:t>
      </w:r>
      <w:proofErr w:type="spellEnd"/>
      <w:r w:rsidR="004665D7" w:rsidRPr="006449A5">
        <w:rPr>
          <w:lang w:val="fr-BE"/>
        </w:rPr>
        <w:t>,</w:t>
      </w:r>
      <w:r w:rsidRPr="006449A5">
        <w:rPr>
          <w:lang w:val="fr-BE"/>
        </w:rPr>
        <w:t xml:space="preserve"> « Un mariage somalien et minorité des époux : une question de principe et de méthode », </w:t>
      </w:r>
      <w:r w:rsidR="004665D7" w:rsidRPr="006449A5">
        <w:rPr>
          <w:i/>
          <w:iCs/>
          <w:lang w:val="fr-BE"/>
        </w:rPr>
        <w:t>Revue du droit des étrangers</w:t>
      </w:r>
      <w:r w:rsidRPr="006449A5">
        <w:rPr>
          <w:lang w:val="fr-BE"/>
        </w:rPr>
        <w:t>, 2018/2, p. 331-339.</w:t>
      </w:r>
    </w:p>
  </w:footnote>
  <w:footnote w:id="97">
    <w:p w14:paraId="44AE3F2D" w14:textId="27357FD7" w:rsidR="009055AC" w:rsidRPr="00285397" w:rsidRDefault="009055AC" w:rsidP="00E005ED">
      <w:pPr>
        <w:pStyle w:val="Notedebasdepage"/>
        <w:rPr>
          <w:rFonts w:cs="Times New Roman"/>
          <w:lang w:val="en-US"/>
        </w:rPr>
      </w:pPr>
      <w:r w:rsidRPr="006449A5">
        <w:rPr>
          <w:rStyle w:val="Appelnotedebasdep"/>
          <w:rFonts w:cs="Times New Roman"/>
          <w:lang w:val="fr-BE"/>
        </w:rPr>
        <w:footnoteRef/>
      </w:r>
      <w:r w:rsidRPr="006449A5">
        <w:rPr>
          <w:rFonts w:cs="Times New Roman"/>
          <w:lang w:val="fr-BE"/>
        </w:rPr>
        <w:t xml:space="preserve"> La question de la reconnaissance des mariages impliquant un mineur est très discutée en Europe, notamment dans la littérature allemande récente (</w:t>
      </w:r>
      <w:r w:rsidR="00D6388E" w:rsidRPr="006449A5">
        <w:rPr>
          <w:rFonts w:cs="Times New Roman"/>
          <w:lang w:val="fr-BE"/>
        </w:rPr>
        <w:t xml:space="preserve">v. par ex. </w:t>
      </w:r>
      <w:proofErr w:type="spellStart"/>
      <w:r w:rsidRPr="006449A5">
        <w:rPr>
          <w:rFonts w:cs="Times New Roman"/>
          <w:lang w:val="fr-BE"/>
        </w:rPr>
        <w:t>Nadjma</w:t>
      </w:r>
      <w:proofErr w:type="spellEnd"/>
      <w:r w:rsidRPr="006449A5">
        <w:rPr>
          <w:rFonts w:cs="Times New Roman"/>
          <w:lang w:val="fr-BE"/>
        </w:rPr>
        <w:t xml:space="preserve"> </w:t>
      </w:r>
      <w:proofErr w:type="spellStart"/>
      <w:r w:rsidRPr="006449A5">
        <w:rPr>
          <w:rFonts w:cs="Times New Roman"/>
          <w:lang w:val="fr-BE"/>
        </w:rPr>
        <w:t>Yassari</w:t>
      </w:r>
      <w:proofErr w:type="spellEnd"/>
      <w:r w:rsidRPr="006449A5">
        <w:rPr>
          <w:rFonts w:cs="Times New Roman"/>
          <w:lang w:val="fr-BE"/>
        </w:rPr>
        <w:t xml:space="preserve"> et Ralf Michaels, </w:t>
      </w:r>
      <w:r w:rsidRPr="006449A5">
        <w:rPr>
          <w:rFonts w:cs="Times New Roman"/>
          <w:i/>
          <w:iCs/>
          <w:lang w:val="fr-BE"/>
        </w:rPr>
        <w:t xml:space="preserve">Die </w:t>
      </w:r>
      <w:proofErr w:type="spellStart"/>
      <w:r w:rsidRPr="006449A5">
        <w:rPr>
          <w:rFonts w:cs="Times New Roman"/>
          <w:i/>
          <w:iCs/>
          <w:lang w:val="fr-BE"/>
        </w:rPr>
        <w:t>Frühehe</w:t>
      </w:r>
      <w:proofErr w:type="spellEnd"/>
      <w:r w:rsidRPr="006449A5">
        <w:rPr>
          <w:rFonts w:cs="Times New Roman"/>
          <w:i/>
          <w:iCs/>
          <w:lang w:val="fr-BE"/>
        </w:rPr>
        <w:t xml:space="preserve"> </w:t>
      </w:r>
      <w:proofErr w:type="spellStart"/>
      <w:r w:rsidRPr="006449A5">
        <w:rPr>
          <w:rFonts w:cs="Times New Roman"/>
          <w:i/>
          <w:iCs/>
          <w:lang w:val="fr-BE"/>
        </w:rPr>
        <w:t>im</w:t>
      </w:r>
      <w:proofErr w:type="spellEnd"/>
      <w:r w:rsidRPr="006449A5">
        <w:rPr>
          <w:rFonts w:cs="Times New Roman"/>
          <w:i/>
          <w:iCs/>
          <w:lang w:val="fr-BE"/>
        </w:rPr>
        <w:t xml:space="preserve"> </w:t>
      </w:r>
      <w:proofErr w:type="spellStart"/>
      <w:r w:rsidRPr="006449A5">
        <w:rPr>
          <w:rFonts w:cs="Times New Roman"/>
          <w:i/>
          <w:iCs/>
          <w:lang w:val="fr-BE"/>
        </w:rPr>
        <w:t>Recht</w:t>
      </w:r>
      <w:proofErr w:type="spellEnd"/>
      <w:r w:rsidRPr="006449A5">
        <w:rPr>
          <w:rFonts w:cs="Times New Roman"/>
          <w:i/>
          <w:iCs/>
          <w:lang w:val="fr-BE"/>
        </w:rPr>
        <w:t xml:space="preserve">. Praxis, </w:t>
      </w:r>
      <w:proofErr w:type="spellStart"/>
      <w:r w:rsidRPr="006449A5">
        <w:rPr>
          <w:rFonts w:cs="Times New Roman"/>
          <w:i/>
          <w:iCs/>
          <w:lang w:val="fr-BE"/>
        </w:rPr>
        <w:t>Rechtsvergleich</w:t>
      </w:r>
      <w:proofErr w:type="spellEnd"/>
      <w:r w:rsidRPr="006449A5">
        <w:rPr>
          <w:rFonts w:cs="Times New Roman"/>
          <w:i/>
          <w:iCs/>
          <w:lang w:val="fr-BE"/>
        </w:rPr>
        <w:t xml:space="preserve">, </w:t>
      </w:r>
      <w:proofErr w:type="spellStart"/>
      <w:r w:rsidRPr="006449A5">
        <w:rPr>
          <w:rFonts w:cs="Times New Roman"/>
          <w:i/>
          <w:iCs/>
          <w:lang w:val="fr-BE"/>
        </w:rPr>
        <w:t>Kollisionsrecht</w:t>
      </w:r>
      <w:proofErr w:type="spellEnd"/>
      <w:r w:rsidRPr="006449A5">
        <w:rPr>
          <w:rFonts w:cs="Times New Roman"/>
          <w:i/>
          <w:iCs/>
          <w:lang w:val="fr-BE"/>
        </w:rPr>
        <w:t xml:space="preserve">, </w:t>
      </w:r>
      <w:proofErr w:type="spellStart"/>
      <w:r w:rsidRPr="006449A5">
        <w:rPr>
          <w:rFonts w:cs="Times New Roman"/>
          <w:i/>
          <w:iCs/>
          <w:lang w:val="fr-BE"/>
        </w:rPr>
        <w:t>höherrangiges</w:t>
      </w:r>
      <w:proofErr w:type="spellEnd"/>
      <w:r w:rsidRPr="006449A5">
        <w:rPr>
          <w:rFonts w:cs="Times New Roman"/>
          <w:i/>
          <w:iCs/>
          <w:lang w:val="fr-BE"/>
        </w:rPr>
        <w:t xml:space="preserve"> </w:t>
      </w:r>
      <w:proofErr w:type="spellStart"/>
      <w:r w:rsidRPr="006449A5">
        <w:rPr>
          <w:rFonts w:cs="Times New Roman"/>
          <w:i/>
          <w:iCs/>
          <w:lang w:val="fr-BE"/>
        </w:rPr>
        <w:t>Recht</w:t>
      </w:r>
      <w:proofErr w:type="spellEnd"/>
      <w:r w:rsidRPr="006449A5">
        <w:rPr>
          <w:rFonts w:cs="Times New Roman"/>
          <w:i/>
          <w:iCs/>
          <w:lang w:val="fr-BE"/>
        </w:rPr>
        <w:t xml:space="preserve"> </w:t>
      </w:r>
      <w:proofErr w:type="spellStart"/>
      <w:r w:rsidRPr="006449A5">
        <w:rPr>
          <w:rFonts w:cs="Times New Roman"/>
          <w:i/>
          <w:iCs/>
          <w:lang w:val="fr-BE"/>
        </w:rPr>
        <w:t>Husgegeben</w:t>
      </w:r>
      <w:proofErr w:type="spellEnd"/>
      <w:r w:rsidRPr="006449A5">
        <w:rPr>
          <w:rFonts w:cs="Times New Roman"/>
          <w:lang w:val="fr-BE"/>
        </w:rPr>
        <w:t xml:space="preserve">, Tübingen, Mohr Siebeck, 2021 ; Monique Marylou </w:t>
      </w:r>
      <w:proofErr w:type="spellStart"/>
      <w:r w:rsidRPr="006449A5">
        <w:rPr>
          <w:rFonts w:cs="Times New Roman"/>
          <w:lang w:val="fr-BE"/>
        </w:rPr>
        <w:t>Martinek</w:t>
      </w:r>
      <w:proofErr w:type="spellEnd"/>
      <w:r w:rsidRPr="006449A5">
        <w:rPr>
          <w:rFonts w:cs="Times New Roman"/>
          <w:lang w:val="fr-BE"/>
        </w:rPr>
        <w:t xml:space="preserve">, </w:t>
      </w:r>
      <w:proofErr w:type="spellStart"/>
      <w:r w:rsidRPr="006449A5">
        <w:rPr>
          <w:rFonts w:cs="Times New Roman"/>
          <w:i/>
          <w:iCs/>
          <w:lang w:val="fr-BE"/>
        </w:rPr>
        <w:t>Minderjährigenehen</w:t>
      </w:r>
      <w:proofErr w:type="spellEnd"/>
      <w:r w:rsidRPr="006449A5">
        <w:rPr>
          <w:rFonts w:cs="Times New Roman"/>
          <w:i/>
          <w:iCs/>
          <w:lang w:val="fr-BE"/>
        </w:rPr>
        <w:t xml:space="preserve"> </w:t>
      </w:r>
      <w:proofErr w:type="spellStart"/>
      <w:r w:rsidRPr="006449A5">
        <w:rPr>
          <w:rFonts w:cs="Times New Roman"/>
          <w:i/>
          <w:iCs/>
          <w:lang w:val="fr-BE"/>
        </w:rPr>
        <w:t>im</w:t>
      </w:r>
      <w:proofErr w:type="spellEnd"/>
      <w:r w:rsidRPr="006449A5">
        <w:rPr>
          <w:rFonts w:cs="Times New Roman"/>
          <w:i/>
          <w:iCs/>
          <w:lang w:val="fr-BE"/>
        </w:rPr>
        <w:t xml:space="preserve"> </w:t>
      </w:r>
      <w:proofErr w:type="spellStart"/>
      <w:r w:rsidRPr="006449A5">
        <w:rPr>
          <w:rFonts w:cs="Times New Roman"/>
          <w:i/>
          <w:iCs/>
          <w:lang w:val="fr-BE"/>
        </w:rPr>
        <w:t>nationalen</w:t>
      </w:r>
      <w:proofErr w:type="spellEnd"/>
      <w:r w:rsidRPr="006449A5">
        <w:rPr>
          <w:rFonts w:cs="Times New Roman"/>
          <w:i/>
          <w:iCs/>
          <w:lang w:val="fr-BE"/>
        </w:rPr>
        <w:t xml:space="preserve"> </w:t>
      </w:r>
      <w:proofErr w:type="spellStart"/>
      <w:r w:rsidRPr="006449A5">
        <w:rPr>
          <w:rFonts w:cs="Times New Roman"/>
          <w:i/>
          <w:iCs/>
          <w:lang w:val="fr-BE"/>
        </w:rPr>
        <w:t>und</w:t>
      </w:r>
      <w:proofErr w:type="spellEnd"/>
      <w:r w:rsidRPr="006449A5">
        <w:rPr>
          <w:rFonts w:cs="Times New Roman"/>
          <w:i/>
          <w:iCs/>
          <w:lang w:val="fr-BE"/>
        </w:rPr>
        <w:t xml:space="preserve"> </w:t>
      </w:r>
      <w:proofErr w:type="spellStart"/>
      <w:r w:rsidRPr="006449A5">
        <w:rPr>
          <w:rFonts w:cs="Times New Roman"/>
          <w:i/>
          <w:iCs/>
          <w:lang w:val="fr-BE"/>
        </w:rPr>
        <w:t>internationalen</w:t>
      </w:r>
      <w:proofErr w:type="spellEnd"/>
      <w:r w:rsidRPr="006449A5">
        <w:rPr>
          <w:rFonts w:cs="Times New Roman"/>
          <w:i/>
          <w:iCs/>
          <w:lang w:val="fr-BE"/>
        </w:rPr>
        <w:t xml:space="preserve"> </w:t>
      </w:r>
      <w:proofErr w:type="spellStart"/>
      <w:r w:rsidRPr="006449A5">
        <w:rPr>
          <w:rFonts w:cs="Times New Roman"/>
          <w:i/>
          <w:iCs/>
          <w:lang w:val="fr-BE"/>
        </w:rPr>
        <w:t>Familienrecht</w:t>
      </w:r>
      <w:proofErr w:type="spellEnd"/>
      <w:r w:rsidRPr="006449A5">
        <w:rPr>
          <w:rFonts w:cs="Times New Roman"/>
          <w:i/>
          <w:iCs/>
          <w:lang w:val="fr-BE"/>
        </w:rPr>
        <w:t xml:space="preserve"> </w:t>
      </w:r>
      <w:r w:rsidRPr="006449A5">
        <w:rPr>
          <w:rFonts w:cs="Times New Roman"/>
          <w:lang w:val="fr-BE"/>
        </w:rPr>
        <w:t xml:space="preserve">: </w:t>
      </w:r>
      <w:proofErr w:type="spellStart"/>
      <w:r w:rsidRPr="006449A5">
        <w:rPr>
          <w:rFonts w:cs="Times New Roman"/>
          <w:i/>
          <w:iCs/>
          <w:lang w:val="fr-BE"/>
        </w:rPr>
        <w:t>Eine</w:t>
      </w:r>
      <w:proofErr w:type="spellEnd"/>
      <w:r w:rsidRPr="006449A5">
        <w:rPr>
          <w:rFonts w:cs="Times New Roman"/>
          <w:i/>
          <w:iCs/>
          <w:lang w:val="fr-BE"/>
        </w:rPr>
        <w:t xml:space="preserve"> </w:t>
      </w:r>
      <w:proofErr w:type="spellStart"/>
      <w:r w:rsidRPr="006449A5">
        <w:rPr>
          <w:rFonts w:cs="Times New Roman"/>
          <w:i/>
          <w:iCs/>
          <w:lang w:val="fr-BE"/>
        </w:rPr>
        <w:t>kritische</w:t>
      </w:r>
      <w:proofErr w:type="spellEnd"/>
      <w:r w:rsidRPr="006449A5">
        <w:rPr>
          <w:rFonts w:cs="Times New Roman"/>
          <w:i/>
          <w:iCs/>
          <w:lang w:val="fr-BE"/>
        </w:rPr>
        <w:t xml:space="preserve"> </w:t>
      </w:r>
      <w:proofErr w:type="spellStart"/>
      <w:r w:rsidRPr="006449A5">
        <w:rPr>
          <w:rFonts w:cs="Times New Roman"/>
          <w:i/>
          <w:iCs/>
          <w:lang w:val="fr-BE"/>
        </w:rPr>
        <w:t>Betrachtung</w:t>
      </w:r>
      <w:proofErr w:type="spellEnd"/>
      <w:r w:rsidRPr="006449A5">
        <w:rPr>
          <w:rFonts w:cs="Times New Roman"/>
          <w:i/>
          <w:iCs/>
          <w:lang w:val="fr-BE"/>
        </w:rPr>
        <w:t xml:space="preserve"> des </w:t>
      </w:r>
      <w:proofErr w:type="spellStart"/>
      <w:r w:rsidRPr="006449A5">
        <w:rPr>
          <w:rFonts w:cs="Times New Roman"/>
          <w:i/>
          <w:iCs/>
          <w:lang w:val="fr-BE"/>
        </w:rPr>
        <w:t>Gesetzes</w:t>
      </w:r>
      <w:proofErr w:type="spellEnd"/>
      <w:r w:rsidRPr="006449A5">
        <w:rPr>
          <w:rFonts w:cs="Times New Roman"/>
          <w:i/>
          <w:iCs/>
          <w:lang w:val="fr-BE"/>
        </w:rPr>
        <w:t xml:space="preserve"> </w:t>
      </w:r>
      <w:proofErr w:type="spellStart"/>
      <w:r w:rsidRPr="006449A5">
        <w:rPr>
          <w:rFonts w:cs="Times New Roman"/>
          <w:i/>
          <w:iCs/>
          <w:lang w:val="fr-BE"/>
        </w:rPr>
        <w:t>zur</w:t>
      </w:r>
      <w:proofErr w:type="spellEnd"/>
      <w:r w:rsidRPr="006449A5">
        <w:rPr>
          <w:rFonts w:cs="Times New Roman"/>
          <w:i/>
          <w:iCs/>
          <w:lang w:val="fr-BE"/>
        </w:rPr>
        <w:t xml:space="preserve"> </w:t>
      </w:r>
      <w:proofErr w:type="spellStart"/>
      <w:r w:rsidRPr="006449A5">
        <w:rPr>
          <w:rFonts w:cs="Times New Roman"/>
          <w:i/>
          <w:iCs/>
          <w:lang w:val="fr-BE"/>
        </w:rPr>
        <w:t>Bekämpfung</w:t>
      </w:r>
      <w:proofErr w:type="spellEnd"/>
      <w:r w:rsidRPr="006449A5">
        <w:rPr>
          <w:rFonts w:cs="Times New Roman"/>
          <w:i/>
          <w:iCs/>
          <w:lang w:val="fr-BE"/>
        </w:rPr>
        <w:t xml:space="preserve"> von </w:t>
      </w:r>
      <w:proofErr w:type="spellStart"/>
      <w:r w:rsidRPr="006449A5">
        <w:rPr>
          <w:rFonts w:cs="Times New Roman"/>
          <w:i/>
          <w:iCs/>
          <w:lang w:val="fr-BE"/>
        </w:rPr>
        <w:t>Kinderehen</w:t>
      </w:r>
      <w:proofErr w:type="spellEnd"/>
      <w:r w:rsidRPr="006449A5">
        <w:rPr>
          <w:rFonts w:cs="Times New Roman"/>
          <w:lang w:val="fr-BE"/>
        </w:rPr>
        <w:t xml:space="preserve">, Berlin, </w:t>
      </w:r>
      <w:proofErr w:type="spellStart"/>
      <w:r w:rsidRPr="006449A5">
        <w:rPr>
          <w:rFonts w:cs="Times New Roman"/>
          <w:lang w:val="fr-BE"/>
        </w:rPr>
        <w:t>Duncker</w:t>
      </w:r>
      <w:proofErr w:type="spellEnd"/>
      <w:r w:rsidRPr="006449A5">
        <w:rPr>
          <w:rFonts w:cs="Times New Roman"/>
          <w:lang w:val="fr-BE"/>
        </w:rPr>
        <w:t xml:space="preserve"> &amp; </w:t>
      </w:r>
      <w:proofErr w:type="spellStart"/>
      <w:r w:rsidRPr="006449A5">
        <w:rPr>
          <w:rFonts w:cs="Times New Roman"/>
          <w:lang w:val="fr-BE"/>
        </w:rPr>
        <w:t>Humblot</w:t>
      </w:r>
      <w:proofErr w:type="spellEnd"/>
      <w:r w:rsidRPr="006449A5">
        <w:rPr>
          <w:rFonts w:cs="Times New Roman"/>
          <w:lang w:val="fr-BE"/>
        </w:rPr>
        <w:t xml:space="preserve">, 2023). </w:t>
      </w:r>
      <w:r w:rsidR="00D6388E" w:rsidRPr="00285397">
        <w:rPr>
          <w:rFonts w:cs="Times New Roman"/>
          <w:lang w:val="en-US"/>
        </w:rPr>
        <w:t xml:space="preserve">V. aussi </w:t>
      </w:r>
      <w:r w:rsidRPr="00285397">
        <w:rPr>
          <w:rFonts w:cs="Times New Roman"/>
          <w:lang w:val="en-US"/>
        </w:rPr>
        <w:t xml:space="preserve">Diego Zannoni, </w:t>
      </w:r>
      <w:r w:rsidR="009F59B0" w:rsidRPr="00285397">
        <w:rPr>
          <w:rFonts w:cs="Times New Roman"/>
          <w:iCs/>
          <w:lang w:val="en-US"/>
        </w:rPr>
        <w:t xml:space="preserve">« </w:t>
      </w:r>
      <w:r w:rsidRPr="00285397">
        <w:rPr>
          <w:rFonts w:cs="Times New Roman"/>
          <w:lang w:val="en-US"/>
        </w:rPr>
        <w:t>How to balance respect for diversity and the rights of the vulnerable ? (Non-)recognition of forced and underage marriage under the lens of the European Convention on Human Rights</w:t>
      </w:r>
      <w:r w:rsidR="009F59B0" w:rsidRPr="00285397">
        <w:rPr>
          <w:rFonts w:cs="Times New Roman"/>
          <w:lang w:val="en-US"/>
        </w:rPr>
        <w:t xml:space="preserve"> </w:t>
      </w:r>
      <w:r w:rsidR="009F59B0" w:rsidRPr="00285397">
        <w:rPr>
          <w:rFonts w:cs="Times New Roman"/>
          <w:iCs/>
          <w:lang w:val="en-US"/>
        </w:rPr>
        <w:t>»</w:t>
      </w:r>
      <w:r w:rsidR="00D6388E" w:rsidRPr="00285397">
        <w:rPr>
          <w:rFonts w:cs="Times New Roman"/>
          <w:lang w:val="en-US"/>
        </w:rPr>
        <w:t>,</w:t>
      </w:r>
      <w:r w:rsidRPr="00285397">
        <w:rPr>
          <w:rFonts w:cs="Times New Roman"/>
          <w:lang w:val="en-US"/>
        </w:rPr>
        <w:t xml:space="preserve"> </w:t>
      </w:r>
      <w:r w:rsidRPr="00285397">
        <w:rPr>
          <w:rFonts w:cs="Times New Roman"/>
          <w:i/>
          <w:iCs/>
          <w:lang w:val="en-US"/>
        </w:rPr>
        <w:t>Journal of Private International Law</w:t>
      </w:r>
      <w:r w:rsidR="00D6388E" w:rsidRPr="00285397">
        <w:rPr>
          <w:rFonts w:cs="Times New Roman"/>
          <w:i/>
          <w:iCs/>
          <w:lang w:val="en-US"/>
        </w:rPr>
        <w:t>,</w:t>
      </w:r>
      <w:r w:rsidRPr="00285397">
        <w:rPr>
          <w:rFonts w:cs="Times New Roman"/>
          <w:i/>
          <w:iCs/>
          <w:lang w:val="en-US"/>
        </w:rPr>
        <w:t xml:space="preserve"> </w:t>
      </w:r>
      <w:r w:rsidRPr="00285397">
        <w:rPr>
          <w:rFonts w:cs="Times New Roman"/>
          <w:lang w:val="en-US"/>
        </w:rPr>
        <w:t>19(2)</w:t>
      </w:r>
      <w:r w:rsidR="00D6388E" w:rsidRPr="00285397">
        <w:rPr>
          <w:rFonts w:cs="Times New Roman"/>
          <w:lang w:val="en-US"/>
        </w:rPr>
        <w:t>,</w:t>
      </w:r>
      <w:r w:rsidRPr="00285397">
        <w:rPr>
          <w:rFonts w:cs="Times New Roman"/>
          <w:lang w:val="en-US"/>
        </w:rPr>
        <w:t xml:space="preserve"> 2023, p. 277-301. </w:t>
      </w:r>
    </w:p>
  </w:footnote>
  <w:footnote w:id="98">
    <w:p w14:paraId="02D40A88" w14:textId="27B685E2" w:rsidR="005B3D23" w:rsidRPr="006449A5" w:rsidRDefault="005B3D23"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Loi du 16 juillet 2004 portant code de droit international privé, </w:t>
      </w:r>
      <w:proofErr w:type="spellStart"/>
      <w:r w:rsidR="007D2C66" w:rsidRPr="007D2C66">
        <w:rPr>
          <w:rFonts w:cs="Times New Roman"/>
          <w:lang w:val="fr-BE"/>
        </w:rPr>
        <w:t>préc</w:t>
      </w:r>
      <w:proofErr w:type="spellEnd"/>
      <w:r w:rsidR="007D2C66" w:rsidRPr="007D2C66">
        <w:rPr>
          <w:rFonts w:cs="Times New Roman"/>
          <w:lang w:val="fr-BE"/>
        </w:rPr>
        <w:t>.</w:t>
      </w:r>
      <w:r w:rsidRPr="006449A5">
        <w:rPr>
          <w:rFonts w:cs="Times New Roman"/>
          <w:lang w:val="fr-BE"/>
        </w:rPr>
        <w:t xml:space="preserve"> </w:t>
      </w:r>
    </w:p>
  </w:footnote>
  <w:footnote w:id="99">
    <w:p w14:paraId="3620471E" w14:textId="2A5EAE30" w:rsidR="009055AC" w:rsidRPr="00285397" w:rsidRDefault="009055AC" w:rsidP="00E005ED">
      <w:pPr>
        <w:pStyle w:val="Notedebasdepage"/>
        <w:rPr>
          <w:rFonts w:cs="Times New Roman"/>
          <w:lang w:val="en-US"/>
        </w:rPr>
      </w:pPr>
      <w:r w:rsidRPr="006449A5">
        <w:rPr>
          <w:rStyle w:val="Appelnotedebasdep"/>
          <w:rFonts w:cs="Times New Roman"/>
          <w:lang w:val="fr-BE"/>
        </w:rPr>
        <w:footnoteRef/>
      </w:r>
      <w:r w:rsidRPr="006449A5">
        <w:rPr>
          <w:rFonts w:cs="Times New Roman"/>
          <w:lang w:val="fr-BE"/>
        </w:rPr>
        <w:t xml:space="preserve"> Pour plus de détails, </w:t>
      </w:r>
      <w:r w:rsidR="00D6388E" w:rsidRPr="006449A5">
        <w:rPr>
          <w:rFonts w:cs="Times New Roman"/>
          <w:lang w:val="fr-BE"/>
        </w:rPr>
        <w:t>v. par ex.</w:t>
      </w:r>
      <w:r w:rsidRPr="006449A5">
        <w:rPr>
          <w:rFonts w:cs="Times New Roman"/>
          <w:lang w:val="fr-BE"/>
        </w:rPr>
        <w:t xml:space="preserve"> </w:t>
      </w:r>
      <w:r w:rsidRPr="00285397">
        <w:rPr>
          <w:rFonts w:cs="Times New Roman"/>
          <w:lang w:val="en-US"/>
        </w:rPr>
        <w:t>Mahdi</w:t>
      </w:r>
      <w:r w:rsidR="007D2C66" w:rsidRPr="00285397">
        <w:rPr>
          <w:rFonts w:cs="Times New Roman"/>
          <w:lang w:val="en-US"/>
        </w:rPr>
        <w:t xml:space="preserve"> Abdile</w:t>
      </w:r>
      <w:r w:rsidRPr="00285397">
        <w:rPr>
          <w:rFonts w:cs="Times New Roman"/>
          <w:lang w:val="en-US"/>
        </w:rPr>
        <w:t xml:space="preserve">, </w:t>
      </w:r>
      <w:r w:rsidR="009F59B0" w:rsidRPr="00285397">
        <w:rPr>
          <w:rFonts w:cs="Times New Roman"/>
          <w:iCs/>
          <w:lang w:val="en-US"/>
        </w:rPr>
        <w:t xml:space="preserve">« </w:t>
      </w:r>
      <w:r w:rsidRPr="00285397">
        <w:rPr>
          <w:rFonts w:cs="Times New Roman"/>
          <w:lang w:val="en-US"/>
        </w:rPr>
        <w:t>Customary Dispute Resolution in Somalia</w:t>
      </w:r>
      <w:r w:rsidR="009F59B0" w:rsidRPr="00285397">
        <w:rPr>
          <w:rFonts w:cs="Times New Roman"/>
          <w:iCs/>
          <w:lang w:val="en-US"/>
        </w:rPr>
        <w:t>»</w:t>
      </w:r>
      <w:r w:rsidRPr="00285397">
        <w:rPr>
          <w:rFonts w:cs="Times New Roman"/>
          <w:lang w:val="en-US"/>
        </w:rPr>
        <w:t xml:space="preserve">, </w:t>
      </w:r>
      <w:r w:rsidRPr="00285397">
        <w:rPr>
          <w:rFonts w:cs="Times New Roman"/>
          <w:i/>
          <w:iCs/>
          <w:lang w:val="en-US"/>
        </w:rPr>
        <w:t>African Conflict and Peacebuilding Review</w:t>
      </w:r>
      <w:r w:rsidRPr="00285397">
        <w:rPr>
          <w:rFonts w:cs="Times New Roman"/>
          <w:lang w:val="en-US"/>
        </w:rPr>
        <w:t>, 2(1)</w:t>
      </w:r>
      <w:r w:rsidR="005B3D23" w:rsidRPr="00285397">
        <w:rPr>
          <w:rFonts w:cs="Times New Roman"/>
          <w:lang w:val="en-US"/>
        </w:rPr>
        <w:t>,</w:t>
      </w:r>
      <w:r w:rsidRPr="00285397">
        <w:rPr>
          <w:rFonts w:cs="Times New Roman"/>
          <w:lang w:val="en-US"/>
        </w:rPr>
        <w:t xml:space="preserve"> 2012, p. 87-110. </w:t>
      </w:r>
      <w:r w:rsidRPr="006449A5">
        <w:rPr>
          <w:rFonts w:cs="Times New Roman"/>
          <w:lang w:val="fr-BE"/>
        </w:rPr>
        <w:t>D'autre part, une partie de la Somalie</w:t>
      </w:r>
      <w:r w:rsidR="005B3D23" w:rsidRPr="006449A5">
        <w:rPr>
          <w:rFonts w:cs="Times New Roman"/>
          <w:lang w:val="fr-BE"/>
        </w:rPr>
        <w:t>,</w:t>
      </w:r>
      <w:r w:rsidRPr="006449A5">
        <w:rPr>
          <w:rFonts w:cs="Times New Roman"/>
          <w:lang w:val="fr-BE"/>
        </w:rPr>
        <w:t xml:space="preserve"> appelée Somaliland</w:t>
      </w:r>
      <w:r w:rsidR="005B3D23" w:rsidRPr="006449A5">
        <w:rPr>
          <w:rFonts w:cs="Times New Roman"/>
          <w:lang w:val="fr-BE"/>
        </w:rPr>
        <w:t>,</w:t>
      </w:r>
      <w:r w:rsidRPr="006449A5">
        <w:rPr>
          <w:rFonts w:cs="Times New Roman"/>
          <w:lang w:val="fr-BE"/>
        </w:rPr>
        <w:t xml:space="preserve"> s'est déclarée indépendante en 1991, incluant plusieurs clans et promettant ainsi de respecter le </w:t>
      </w:r>
      <w:proofErr w:type="spellStart"/>
      <w:r w:rsidRPr="006449A5">
        <w:rPr>
          <w:rFonts w:cs="Times New Roman"/>
          <w:lang w:val="fr-BE"/>
        </w:rPr>
        <w:t>Xeer</w:t>
      </w:r>
      <w:proofErr w:type="spellEnd"/>
      <w:r w:rsidRPr="006449A5">
        <w:rPr>
          <w:rFonts w:cs="Times New Roman"/>
          <w:lang w:val="fr-BE"/>
        </w:rPr>
        <w:t xml:space="preserve"> dans une certaine mesure, mais déclarant que le droit musulman est constitutionnellement souverain par rapport aux autres lois (</w:t>
      </w:r>
      <w:r w:rsidR="00D6388E" w:rsidRPr="006449A5">
        <w:rPr>
          <w:rFonts w:cs="Times New Roman"/>
          <w:lang w:val="fr-BE"/>
        </w:rPr>
        <w:t>v. par ex.</w:t>
      </w:r>
      <w:r w:rsidRPr="006449A5">
        <w:rPr>
          <w:rFonts w:cs="Times New Roman"/>
          <w:lang w:val="fr-BE"/>
        </w:rPr>
        <w:t xml:space="preserve"> </w:t>
      </w:r>
      <w:r w:rsidRPr="00285397">
        <w:rPr>
          <w:rFonts w:cs="Times New Roman"/>
          <w:lang w:val="en-US"/>
        </w:rPr>
        <w:t xml:space="preserve">Louise Wiuff Moe, </w:t>
      </w:r>
      <w:r w:rsidR="009F59B0" w:rsidRPr="00285397">
        <w:rPr>
          <w:rFonts w:cs="Times New Roman"/>
          <w:iCs/>
          <w:lang w:val="en-US"/>
        </w:rPr>
        <w:t xml:space="preserve">« </w:t>
      </w:r>
      <w:r w:rsidRPr="00285397">
        <w:rPr>
          <w:rFonts w:cs="Times New Roman"/>
          <w:lang w:val="en-US"/>
        </w:rPr>
        <w:t>Hybrid and Everyday Political Ordering : Constructing and Contesting Legitimacy in Somaliland</w:t>
      </w:r>
      <w:r w:rsidR="009F59B0" w:rsidRPr="00285397">
        <w:rPr>
          <w:rFonts w:cs="Times New Roman"/>
          <w:lang w:val="en-US"/>
        </w:rPr>
        <w:t xml:space="preserve"> </w:t>
      </w:r>
      <w:r w:rsidR="009F59B0" w:rsidRPr="00285397">
        <w:rPr>
          <w:rFonts w:cs="Times New Roman"/>
          <w:iCs/>
          <w:lang w:val="en-US"/>
        </w:rPr>
        <w:t>»</w:t>
      </w:r>
      <w:r w:rsidRPr="00285397">
        <w:rPr>
          <w:rFonts w:cs="Times New Roman"/>
          <w:lang w:val="en-US"/>
        </w:rPr>
        <w:t xml:space="preserve">, </w:t>
      </w:r>
      <w:r w:rsidRPr="00285397">
        <w:rPr>
          <w:rFonts w:cs="Times New Roman"/>
          <w:i/>
          <w:iCs/>
          <w:lang w:val="en-US"/>
        </w:rPr>
        <w:t>Journal of Legal Pluralism and Unofficial Law</w:t>
      </w:r>
      <w:r w:rsidR="00D6388E" w:rsidRPr="00285397">
        <w:rPr>
          <w:rFonts w:cs="Times New Roman"/>
          <w:i/>
          <w:iCs/>
          <w:lang w:val="en-US"/>
        </w:rPr>
        <w:t>,</w:t>
      </w:r>
      <w:r w:rsidRPr="00285397">
        <w:rPr>
          <w:rFonts w:cs="Times New Roman"/>
          <w:i/>
          <w:iCs/>
          <w:lang w:val="en-US"/>
        </w:rPr>
        <w:t xml:space="preserve"> </w:t>
      </w:r>
      <w:r w:rsidR="00D6388E" w:rsidRPr="00285397">
        <w:rPr>
          <w:rFonts w:cs="Times New Roman"/>
          <w:lang w:val="en-US"/>
        </w:rPr>
        <w:t xml:space="preserve">43(63), </w:t>
      </w:r>
      <w:r w:rsidRPr="00285397">
        <w:rPr>
          <w:rFonts w:cs="Times New Roman"/>
          <w:lang w:val="en-US"/>
        </w:rPr>
        <w:t>2011, p. 143-178).</w:t>
      </w:r>
    </w:p>
  </w:footnote>
  <w:footnote w:id="100">
    <w:p w14:paraId="4F7424E7" w14:textId="2E21611B" w:rsidR="009055AC" w:rsidRPr="006449A5" w:rsidRDefault="009055AC"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Le </w:t>
      </w:r>
      <w:r w:rsidR="007F1A4E" w:rsidRPr="006449A5">
        <w:rPr>
          <w:rFonts w:cs="Times New Roman"/>
          <w:lang w:val="fr-BE"/>
        </w:rPr>
        <w:t>C</w:t>
      </w:r>
      <w:r w:rsidRPr="006449A5">
        <w:rPr>
          <w:rFonts w:cs="Times New Roman"/>
          <w:lang w:val="fr-BE"/>
        </w:rPr>
        <w:t>ode civil a été réformé depuis lors, mais les dispositions pertinentes restent les mêmes.</w:t>
      </w:r>
      <w:r w:rsidR="00603C17">
        <w:rPr>
          <w:rFonts w:cs="Times New Roman"/>
          <w:lang w:val="fr-BE"/>
        </w:rPr>
        <w:t xml:space="preserve"> </w:t>
      </w:r>
      <w:proofErr w:type="spellStart"/>
      <w:r w:rsidR="00603C17">
        <w:rPr>
          <w:rFonts w:cs="Times New Roman"/>
          <w:lang w:val="fr-BE"/>
        </w:rPr>
        <w:t>Voy</w:t>
      </w:r>
      <w:proofErr w:type="spellEnd"/>
      <w:r w:rsidR="00603C17">
        <w:rPr>
          <w:rFonts w:cs="Times New Roman"/>
          <w:lang w:val="fr-BE"/>
        </w:rPr>
        <w:t xml:space="preserve">. </w:t>
      </w:r>
      <w:proofErr w:type="gramStart"/>
      <w:r w:rsidR="00603C17">
        <w:rPr>
          <w:rFonts w:cs="Times New Roman"/>
          <w:lang w:val="fr-BE"/>
        </w:rPr>
        <w:t>les</w:t>
      </w:r>
      <w:proofErr w:type="gramEnd"/>
      <w:r w:rsidR="00603C17">
        <w:rPr>
          <w:rFonts w:cs="Times New Roman"/>
          <w:lang w:val="fr-BE"/>
        </w:rPr>
        <w:t xml:space="preserve"> versions antérieures et actuelles sur la page suivante : </w:t>
      </w:r>
      <w:r w:rsidRPr="006449A5">
        <w:rPr>
          <w:rFonts w:cs="Times New Roman"/>
          <w:lang w:val="fr-BE"/>
        </w:rPr>
        <w:t xml:space="preserve"> </w:t>
      </w:r>
      <w:hyperlink r:id="rId8" w:anchor="civ" w:history="1">
        <w:r w:rsidR="00603C17" w:rsidRPr="001E6889">
          <w:rPr>
            <w:rStyle w:val="Lienhypertexte"/>
            <w:rFonts w:cs="Times New Roman"/>
            <w:lang w:val="fr-BE"/>
          </w:rPr>
          <w:t>https://www.droitbelge.be/codes.asp#civ</w:t>
        </w:r>
      </w:hyperlink>
      <w:r w:rsidR="00603C17">
        <w:rPr>
          <w:rFonts w:cs="Times New Roman"/>
          <w:lang w:val="fr-BE"/>
        </w:rPr>
        <w:t>, consultée le 2 janvier 2025.</w:t>
      </w:r>
    </w:p>
  </w:footnote>
  <w:footnote w:id="101">
    <w:p w14:paraId="35B8895C" w14:textId="7334B45C" w:rsidR="009055AC" w:rsidRPr="006449A5" w:rsidRDefault="009055AC"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Pour plus de détails, v</w:t>
      </w:r>
      <w:r w:rsidR="00D6388E" w:rsidRPr="006449A5">
        <w:rPr>
          <w:rFonts w:cs="Times New Roman"/>
          <w:lang w:val="fr-BE"/>
        </w:rPr>
        <w:t>.</w:t>
      </w:r>
      <w:r w:rsidRPr="006449A5">
        <w:rPr>
          <w:rFonts w:cs="Times New Roman"/>
          <w:lang w:val="fr-BE"/>
        </w:rPr>
        <w:t xml:space="preserve"> l'article 148 du </w:t>
      </w:r>
      <w:r w:rsidR="007F1A4E" w:rsidRPr="006449A5">
        <w:rPr>
          <w:rFonts w:cs="Times New Roman"/>
          <w:lang w:val="fr-BE"/>
        </w:rPr>
        <w:t>C</w:t>
      </w:r>
      <w:r w:rsidRPr="006449A5">
        <w:rPr>
          <w:rFonts w:cs="Times New Roman"/>
          <w:lang w:val="fr-BE"/>
        </w:rPr>
        <w:t xml:space="preserve">ode civil. </w:t>
      </w:r>
    </w:p>
  </w:footnote>
  <w:footnote w:id="102">
    <w:p w14:paraId="4F8D5B3C" w14:textId="4DC31706" w:rsidR="001D2250" w:rsidRPr="006449A5" w:rsidRDefault="001D2250">
      <w:pPr>
        <w:pStyle w:val="Notedebasdepage"/>
        <w:rPr>
          <w:lang w:val="fr-BE"/>
        </w:rPr>
      </w:pPr>
      <w:r w:rsidRPr="006449A5">
        <w:rPr>
          <w:rStyle w:val="Appelnotedebasdep"/>
          <w:lang w:val="fr-BE"/>
        </w:rPr>
        <w:footnoteRef/>
      </w:r>
      <w:r w:rsidRPr="006449A5">
        <w:rPr>
          <w:lang w:val="fr-BE"/>
        </w:rPr>
        <w:t xml:space="preserve"> </w:t>
      </w:r>
      <w:r w:rsidR="007F1A4E" w:rsidRPr="006449A5">
        <w:rPr>
          <w:lang w:val="fr-BE"/>
        </w:rPr>
        <w:t>État</w:t>
      </w:r>
      <w:r w:rsidRPr="006449A5">
        <w:rPr>
          <w:lang w:val="fr-BE"/>
        </w:rPr>
        <w:t xml:space="preserve"> de guerre qui n’est d’ailleurs pas limité aux contextes étatiques postcoloniaux. </w:t>
      </w:r>
    </w:p>
  </w:footnote>
  <w:footnote w:id="103">
    <w:p w14:paraId="3730BDD9" w14:textId="200E8425" w:rsidR="0014779F" w:rsidRPr="00285397" w:rsidRDefault="0014779F" w:rsidP="00E005ED">
      <w:pPr>
        <w:pStyle w:val="Notedebasdepage"/>
        <w:rPr>
          <w:iCs/>
          <w:lang w:val="fr-BE"/>
        </w:rPr>
      </w:pPr>
      <w:r w:rsidRPr="006449A5">
        <w:rPr>
          <w:rStyle w:val="Appelnotedebasdep"/>
          <w:lang w:val="fr-BE"/>
        </w:rPr>
        <w:footnoteRef/>
      </w:r>
      <w:r w:rsidRPr="00285397">
        <w:rPr>
          <w:lang w:val="fr-BE"/>
        </w:rPr>
        <w:t xml:space="preserve"> S</w:t>
      </w:r>
      <w:r w:rsidR="00274BC5" w:rsidRPr="00285397">
        <w:rPr>
          <w:lang w:val="fr-BE"/>
        </w:rPr>
        <w:t>abine</w:t>
      </w:r>
      <w:r w:rsidRPr="00285397">
        <w:rPr>
          <w:lang w:val="fr-BE"/>
        </w:rPr>
        <w:t xml:space="preserve"> Corneloup et J</w:t>
      </w:r>
      <w:r w:rsidR="00274BC5" w:rsidRPr="00285397">
        <w:rPr>
          <w:lang w:val="fr-BE"/>
        </w:rPr>
        <w:t xml:space="preserve">inske </w:t>
      </w:r>
      <w:r w:rsidRPr="00285397">
        <w:rPr>
          <w:lang w:val="fr-BE"/>
        </w:rPr>
        <w:t xml:space="preserve">Verhellen, « SDG 16: Peace, Justice and Strong Institutions », </w:t>
      </w:r>
      <w:r w:rsidR="006839F4" w:rsidRPr="00285397">
        <w:rPr>
          <w:iCs/>
          <w:lang w:val="fr-BE"/>
        </w:rPr>
        <w:t>préc.</w:t>
      </w:r>
    </w:p>
  </w:footnote>
  <w:footnote w:id="104">
    <w:p w14:paraId="1326EA36" w14:textId="54BC4E89" w:rsidR="001D2250" w:rsidRPr="006449A5" w:rsidRDefault="001D2250">
      <w:pPr>
        <w:pStyle w:val="Notedebasdepage"/>
        <w:rPr>
          <w:lang w:val="fr-BE"/>
        </w:rPr>
      </w:pPr>
      <w:r w:rsidRPr="006449A5">
        <w:rPr>
          <w:rStyle w:val="Appelnotedebasdep"/>
          <w:lang w:val="fr-BE"/>
        </w:rPr>
        <w:footnoteRef/>
      </w:r>
      <w:r w:rsidRPr="006449A5">
        <w:rPr>
          <w:lang w:val="fr-BE"/>
        </w:rPr>
        <w:t xml:space="preserve"> Le problème ne s’est cependant apparemment pas posé dans le cas d’espèce, puisque le mariage coutumier a bien été enregistré, selon le juge belge, même si les parties ne peuvent en rapporter la preuve directe et formelle, au vu de l’état de guerre. </w:t>
      </w:r>
    </w:p>
  </w:footnote>
  <w:footnote w:id="105">
    <w:p w14:paraId="63EFEFB1" w14:textId="71131E70" w:rsidR="0014779F" w:rsidRPr="006449A5" w:rsidRDefault="0014779F" w:rsidP="00E005ED">
      <w:pPr>
        <w:pStyle w:val="Notedebasdepage"/>
        <w:rPr>
          <w:lang w:val="fr-BE"/>
        </w:rPr>
      </w:pPr>
      <w:r w:rsidRPr="006449A5">
        <w:rPr>
          <w:rStyle w:val="Appelnotedebasdep"/>
          <w:lang w:val="fr-BE"/>
        </w:rPr>
        <w:footnoteRef/>
      </w:r>
      <w:r w:rsidR="001D2250" w:rsidRPr="006449A5">
        <w:rPr>
          <w:lang w:val="fr-BE"/>
        </w:rPr>
        <w:t xml:space="preserve"> Sabine Corneloup et </w:t>
      </w:r>
      <w:proofErr w:type="spellStart"/>
      <w:r w:rsidR="001D2250" w:rsidRPr="006449A5">
        <w:rPr>
          <w:lang w:val="fr-BE"/>
        </w:rPr>
        <w:t>Jinske</w:t>
      </w:r>
      <w:proofErr w:type="spellEnd"/>
      <w:r w:rsidR="001D2250" w:rsidRPr="006449A5">
        <w:rPr>
          <w:lang w:val="fr-BE"/>
        </w:rPr>
        <w:t xml:space="preserve"> </w:t>
      </w:r>
      <w:proofErr w:type="spellStart"/>
      <w:r w:rsidR="001D2250" w:rsidRPr="006449A5">
        <w:rPr>
          <w:lang w:val="fr-BE"/>
        </w:rPr>
        <w:t>Verhellen</w:t>
      </w:r>
      <w:proofErr w:type="spellEnd"/>
      <w:r w:rsidR="001D2250" w:rsidRPr="006449A5">
        <w:rPr>
          <w:lang w:val="fr-BE"/>
        </w:rPr>
        <w:t xml:space="preserve">, </w:t>
      </w:r>
      <w:proofErr w:type="spellStart"/>
      <w:r w:rsidR="006839F4" w:rsidRPr="006839F4">
        <w:rPr>
          <w:lang w:val="fr-BE"/>
        </w:rPr>
        <w:t>préc</w:t>
      </w:r>
      <w:proofErr w:type="spellEnd"/>
      <w:r w:rsidR="006839F4" w:rsidRPr="006839F4">
        <w:rPr>
          <w:lang w:val="fr-BE"/>
        </w:rPr>
        <w:t>.</w:t>
      </w:r>
      <w:r w:rsidRPr="006449A5">
        <w:rPr>
          <w:iCs/>
          <w:lang w:val="fr-BE"/>
        </w:rPr>
        <w:t xml:space="preserve"> </w:t>
      </w:r>
    </w:p>
  </w:footnote>
  <w:footnote w:id="106">
    <w:p w14:paraId="06CB4C8B" w14:textId="77777777" w:rsidR="0014779F" w:rsidRPr="006449A5" w:rsidRDefault="0014779F" w:rsidP="00E005ED">
      <w:pPr>
        <w:pStyle w:val="Notedebasdepage"/>
        <w:rPr>
          <w:lang w:val="fr-BE"/>
        </w:rPr>
      </w:pPr>
      <w:r w:rsidRPr="006449A5">
        <w:rPr>
          <w:rStyle w:val="Appelnotedebasdep"/>
          <w:lang w:val="fr-BE"/>
        </w:rPr>
        <w:footnoteRef/>
      </w:r>
      <w:r w:rsidRPr="006449A5">
        <w:rPr>
          <w:lang w:val="fr-BE"/>
        </w:rPr>
        <w:t xml:space="preserve"> Ibid. </w:t>
      </w:r>
    </w:p>
  </w:footnote>
  <w:footnote w:id="107">
    <w:p w14:paraId="0EB6A4EB" w14:textId="3FE69631" w:rsidR="00274BC5" w:rsidRPr="006449A5" w:rsidRDefault="00274BC5" w:rsidP="00E005ED">
      <w:pPr>
        <w:pStyle w:val="Notedebasdepage"/>
        <w:rPr>
          <w:lang w:val="fr-BE"/>
        </w:rPr>
      </w:pPr>
      <w:r w:rsidRPr="006449A5">
        <w:rPr>
          <w:rStyle w:val="Appelnotedebasdep"/>
          <w:lang w:val="fr-BE"/>
        </w:rPr>
        <w:footnoteRef/>
      </w:r>
      <w:r w:rsidRPr="006449A5">
        <w:rPr>
          <w:lang w:val="fr-BE"/>
        </w:rPr>
        <w:t xml:space="preserve"> </w:t>
      </w:r>
      <w:r w:rsidR="00D95C0A" w:rsidRPr="006449A5">
        <w:rPr>
          <w:lang w:val="fr-BE"/>
        </w:rPr>
        <w:t xml:space="preserve">Que l’on retrouve dans d’autres </w:t>
      </w:r>
      <w:r w:rsidR="007F1A4E" w:rsidRPr="006449A5">
        <w:rPr>
          <w:lang w:val="fr-BE"/>
        </w:rPr>
        <w:t>État</w:t>
      </w:r>
      <w:r w:rsidR="00D95C0A" w:rsidRPr="006449A5">
        <w:rPr>
          <w:lang w:val="fr-BE"/>
        </w:rPr>
        <w:t xml:space="preserve">s, notamment en Allemagne. L’on retrouve par ailleurs certaines des conditions mentionnées ci-dessous </w:t>
      </w:r>
      <w:r w:rsidR="00A44246">
        <w:rPr>
          <w:lang w:val="fr-BE"/>
        </w:rPr>
        <w:t xml:space="preserve">à l’article </w:t>
      </w:r>
      <w:r w:rsidR="005972A5">
        <w:rPr>
          <w:lang w:val="fr-BE"/>
        </w:rPr>
        <w:t xml:space="preserve">12 </w:t>
      </w:r>
      <w:r w:rsidR="00A44246">
        <w:rPr>
          <w:lang w:val="fr-BE"/>
        </w:rPr>
        <w:t xml:space="preserve">du </w:t>
      </w:r>
      <w:r w:rsidR="00A44246" w:rsidRPr="00A44246">
        <w:rPr>
          <w:lang w:val="fr-BE"/>
        </w:rPr>
        <w:t xml:space="preserve">Règlement (UE) no 1259/2010 du Conseil du 20 décembre 2010 mettant en œuvre une coopération renforcée dans le domaine de la loi applicable au divorce et à la séparation de corps, </w:t>
      </w:r>
      <w:r w:rsidR="00A44246" w:rsidRPr="00A44246">
        <w:rPr>
          <w:i/>
          <w:iCs/>
          <w:lang w:val="fr-BE"/>
        </w:rPr>
        <w:t>JO</w:t>
      </w:r>
      <w:r w:rsidR="00A44246" w:rsidRPr="00A44246">
        <w:rPr>
          <w:lang w:val="fr-BE"/>
        </w:rPr>
        <w:t xml:space="preserve"> L343/10, 28 décembre 2010</w:t>
      </w:r>
      <w:r w:rsidR="00A44246">
        <w:rPr>
          <w:lang w:val="fr-BE"/>
        </w:rPr>
        <w:t xml:space="preserve">. </w:t>
      </w:r>
      <w:r w:rsidRPr="006449A5">
        <w:rPr>
          <w:lang w:val="fr-BE"/>
        </w:rPr>
        <w:t xml:space="preserve">A propos de l’exception d’ordre public en Europe plus généralement, v. </w:t>
      </w:r>
      <w:proofErr w:type="spellStart"/>
      <w:r w:rsidRPr="006449A5">
        <w:rPr>
          <w:lang w:val="fr-BE"/>
        </w:rPr>
        <w:t>see</w:t>
      </w:r>
      <w:proofErr w:type="spellEnd"/>
      <w:r w:rsidRPr="006449A5">
        <w:rPr>
          <w:lang w:val="fr-BE"/>
        </w:rPr>
        <w:t xml:space="preserve"> Susanne </w:t>
      </w:r>
      <w:proofErr w:type="spellStart"/>
      <w:r w:rsidRPr="006449A5">
        <w:rPr>
          <w:lang w:val="fr-BE"/>
        </w:rPr>
        <w:t>Gössl</w:t>
      </w:r>
      <w:proofErr w:type="spellEnd"/>
      <w:r w:rsidRPr="006449A5">
        <w:rPr>
          <w:lang w:val="fr-BE"/>
        </w:rPr>
        <w:t xml:space="preserve">, </w:t>
      </w:r>
      <w:r w:rsidR="00A44246">
        <w:rPr>
          <w:lang w:val="fr-BE"/>
        </w:rPr>
        <w:t>« </w:t>
      </w:r>
      <w:r w:rsidRPr="006449A5">
        <w:rPr>
          <w:lang w:val="fr-BE"/>
        </w:rPr>
        <w:t xml:space="preserve">The public </w:t>
      </w:r>
      <w:proofErr w:type="spellStart"/>
      <w:r w:rsidRPr="006449A5">
        <w:rPr>
          <w:lang w:val="fr-BE"/>
        </w:rPr>
        <w:t>policy</w:t>
      </w:r>
      <w:proofErr w:type="spellEnd"/>
      <w:r w:rsidRPr="006449A5">
        <w:rPr>
          <w:lang w:val="fr-BE"/>
        </w:rPr>
        <w:t xml:space="preserve"> exception in the </w:t>
      </w:r>
      <w:proofErr w:type="spellStart"/>
      <w:r w:rsidRPr="006449A5">
        <w:rPr>
          <w:lang w:val="fr-BE"/>
        </w:rPr>
        <w:t>European</w:t>
      </w:r>
      <w:proofErr w:type="spellEnd"/>
      <w:r w:rsidRPr="006449A5">
        <w:rPr>
          <w:lang w:val="fr-BE"/>
        </w:rPr>
        <w:t xml:space="preserve"> civil justice system</w:t>
      </w:r>
      <w:r w:rsidR="00A44246">
        <w:rPr>
          <w:lang w:val="fr-BE"/>
        </w:rPr>
        <w:t> »</w:t>
      </w:r>
      <w:r w:rsidRPr="006449A5">
        <w:rPr>
          <w:lang w:val="fr-BE"/>
        </w:rPr>
        <w:t xml:space="preserve">, </w:t>
      </w:r>
      <w:r w:rsidRPr="006449A5">
        <w:rPr>
          <w:i/>
          <w:iCs/>
          <w:lang w:val="fr-BE"/>
        </w:rPr>
        <w:t xml:space="preserve">The </w:t>
      </w:r>
      <w:proofErr w:type="spellStart"/>
      <w:r w:rsidRPr="006449A5">
        <w:rPr>
          <w:i/>
          <w:iCs/>
          <w:lang w:val="fr-BE"/>
        </w:rPr>
        <w:t>European</w:t>
      </w:r>
      <w:proofErr w:type="spellEnd"/>
      <w:r w:rsidRPr="006449A5">
        <w:rPr>
          <w:i/>
          <w:iCs/>
          <w:lang w:val="fr-BE"/>
        </w:rPr>
        <w:t xml:space="preserve"> Legal Forum</w:t>
      </w:r>
      <w:r w:rsidRPr="006449A5">
        <w:rPr>
          <w:lang w:val="fr-BE"/>
        </w:rPr>
        <w:t>, 4/2016, p. 85-112 ; Olaf Meyer (</w:t>
      </w:r>
      <w:proofErr w:type="spellStart"/>
      <w:r w:rsidR="00A44246">
        <w:rPr>
          <w:lang w:val="fr-BE"/>
        </w:rPr>
        <w:t>dir</w:t>
      </w:r>
      <w:proofErr w:type="spellEnd"/>
      <w:r w:rsidRPr="006449A5">
        <w:rPr>
          <w:lang w:val="fr-BE"/>
        </w:rPr>
        <w:t xml:space="preserve">.), </w:t>
      </w:r>
      <w:r w:rsidRPr="006449A5">
        <w:rPr>
          <w:i/>
          <w:iCs/>
          <w:lang w:val="fr-BE"/>
        </w:rPr>
        <w:t xml:space="preserve">Public Policy and </w:t>
      </w:r>
      <w:proofErr w:type="spellStart"/>
      <w:r w:rsidRPr="006449A5">
        <w:rPr>
          <w:i/>
          <w:iCs/>
          <w:lang w:val="fr-BE"/>
        </w:rPr>
        <w:t>Private</w:t>
      </w:r>
      <w:proofErr w:type="spellEnd"/>
      <w:r w:rsidRPr="006449A5">
        <w:rPr>
          <w:i/>
          <w:iCs/>
          <w:lang w:val="fr-BE"/>
        </w:rPr>
        <w:t xml:space="preserve"> International Law. </w:t>
      </w:r>
      <w:r w:rsidRPr="00A44246">
        <w:rPr>
          <w:i/>
          <w:iCs/>
          <w:lang w:val="en-US"/>
        </w:rPr>
        <w:t xml:space="preserve">A Comparative Guide, </w:t>
      </w:r>
      <w:r w:rsidRPr="00A44246">
        <w:rPr>
          <w:lang w:val="en-US"/>
        </w:rPr>
        <w:t>Edward Elgar Publishing, 2022; G</w:t>
      </w:r>
      <w:r w:rsidR="00A44246" w:rsidRPr="00A44246">
        <w:rPr>
          <w:lang w:val="en-US"/>
        </w:rPr>
        <w:t>i</w:t>
      </w:r>
      <w:r w:rsidR="00A44246">
        <w:rPr>
          <w:lang w:val="en-US"/>
        </w:rPr>
        <w:t>ovanni</w:t>
      </w:r>
      <w:r w:rsidRPr="00A44246">
        <w:rPr>
          <w:lang w:val="en-US"/>
        </w:rPr>
        <w:t xml:space="preserve"> Zarra, </w:t>
      </w:r>
      <w:r w:rsidRPr="00A44246">
        <w:rPr>
          <w:i/>
          <w:iCs/>
          <w:lang w:val="en-US"/>
        </w:rPr>
        <w:t xml:space="preserve">Imperativeness in Private International Law. </w:t>
      </w:r>
      <w:r w:rsidRPr="006449A5">
        <w:rPr>
          <w:i/>
          <w:iCs/>
          <w:lang w:val="fr-BE"/>
        </w:rPr>
        <w:t xml:space="preserve">A </w:t>
      </w:r>
      <w:proofErr w:type="spellStart"/>
      <w:r w:rsidRPr="006449A5">
        <w:rPr>
          <w:i/>
          <w:iCs/>
          <w:lang w:val="fr-BE"/>
        </w:rPr>
        <w:t>View</w:t>
      </w:r>
      <w:proofErr w:type="spellEnd"/>
      <w:r w:rsidRPr="006449A5">
        <w:rPr>
          <w:i/>
          <w:iCs/>
          <w:lang w:val="fr-BE"/>
        </w:rPr>
        <w:t xml:space="preserve"> </w:t>
      </w:r>
      <w:proofErr w:type="spellStart"/>
      <w:r w:rsidRPr="006449A5">
        <w:rPr>
          <w:i/>
          <w:iCs/>
          <w:lang w:val="fr-BE"/>
        </w:rPr>
        <w:t>from</w:t>
      </w:r>
      <w:proofErr w:type="spellEnd"/>
      <w:r w:rsidRPr="006449A5">
        <w:rPr>
          <w:i/>
          <w:iCs/>
          <w:lang w:val="fr-BE"/>
        </w:rPr>
        <w:t xml:space="preserve"> Europe</w:t>
      </w:r>
      <w:r w:rsidRPr="006449A5">
        <w:rPr>
          <w:lang w:val="fr-BE"/>
        </w:rPr>
        <w:t>, London, Springer Nature, 2022, p. 55-</w:t>
      </w:r>
      <w:proofErr w:type="gramStart"/>
      <w:r w:rsidRPr="006449A5">
        <w:rPr>
          <w:lang w:val="fr-BE"/>
        </w:rPr>
        <w:t>107;</w:t>
      </w:r>
      <w:proofErr w:type="gramEnd"/>
      <w:r w:rsidRPr="006449A5">
        <w:rPr>
          <w:lang w:val="fr-BE"/>
        </w:rPr>
        <w:t xml:space="preserve"> en France, v. B</w:t>
      </w:r>
      <w:r w:rsidR="00A44246">
        <w:rPr>
          <w:lang w:val="fr-BE"/>
        </w:rPr>
        <w:t>enjamin</w:t>
      </w:r>
      <w:r w:rsidRPr="006449A5">
        <w:rPr>
          <w:lang w:val="fr-BE"/>
        </w:rPr>
        <w:t xml:space="preserve"> Remy, </w:t>
      </w:r>
      <w:r w:rsidRPr="006449A5">
        <w:rPr>
          <w:i/>
          <w:iCs/>
          <w:lang w:val="fr-BE"/>
        </w:rPr>
        <w:t>Exception d'ordre public et mécanisme des lois de police en droit international privé</w:t>
      </w:r>
      <w:r w:rsidRPr="006449A5">
        <w:rPr>
          <w:lang w:val="fr-BE"/>
        </w:rPr>
        <w:t xml:space="preserve">, Paris, LGDJ, 2008. </w:t>
      </w:r>
    </w:p>
  </w:footnote>
  <w:footnote w:id="108">
    <w:p w14:paraId="40C82631" w14:textId="5DAEF9E2" w:rsidR="00D95C0A" w:rsidRPr="006449A5" w:rsidRDefault="00D95C0A" w:rsidP="00E005ED">
      <w:pPr>
        <w:pStyle w:val="Notedebasdepage"/>
        <w:rPr>
          <w:lang w:val="fr-BE"/>
        </w:rPr>
      </w:pPr>
      <w:r w:rsidRPr="006449A5">
        <w:rPr>
          <w:rStyle w:val="Appelnotedebasdep"/>
          <w:lang w:val="fr-BE"/>
        </w:rPr>
        <w:footnoteRef/>
      </w:r>
      <w:r w:rsidRPr="006449A5">
        <w:rPr>
          <w:lang w:val="fr-BE"/>
        </w:rPr>
        <w:t xml:space="preserve"> </w:t>
      </w:r>
      <w:r w:rsidRPr="006449A5">
        <w:rPr>
          <w:iCs/>
          <w:lang w:val="fr-BE"/>
        </w:rPr>
        <w:t xml:space="preserve">Comme l'a réaffirmé la Cour de cassation dans une affaire concernant l'application éventuelle du droit coutumier nigérien : Cass., 3 juin 2021, C.20.0463.F/1 (non publié). </w:t>
      </w:r>
    </w:p>
  </w:footnote>
  <w:footnote w:id="109">
    <w:p w14:paraId="52671EF9" w14:textId="11E3571E" w:rsidR="00AD557F" w:rsidRPr="006449A5" w:rsidRDefault="00AD557F" w:rsidP="005972A5">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w:t>
      </w:r>
      <w:r w:rsidR="004F09F7" w:rsidRPr="006449A5">
        <w:rPr>
          <w:rFonts w:cs="Times New Roman"/>
          <w:lang w:val="fr-BE"/>
        </w:rPr>
        <w:t>V. par ex. Je</w:t>
      </w:r>
      <w:r w:rsidR="008E19BE" w:rsidRPr="006449A5">
        <w:rPr>
          <w:rFonts w:cs="Times New Roman"/>
          <w:lang w:val="fr-BE"/>
        </w:rPr>
        <w:t>a</w:t>
      </w:r>
      <w:r w:rsidR="004F09F7" w:rsidRPr="006449A5">
        <w:rPr>
          <w:rFonts w:cs="Times New Roman"/>
          <w:lang w:val="fr-BE"/>
        </w:rPr>
        <w:t>n-Yves</w:t>
      </w:r>
      <w:r w:rsidRPr="006449A5">
        <w:rPr>
          <w:rFonts w:cs="Times New Roman"/>
          <w:lang w:val="fr-BE"/>
        </w:rPr>
        <w:t xml:space="preserve"> Carlier, </w:t>
      </w:r>
      <w:r w:rsidR="000E0648" w:rsidRPr="006449A5">
        <w:rPr>
          <w:rFonts w:cs="Times New Roman"/>
          <w:lang w:val="fr-BE"/>
        </w:rPr>
        <w:t>« </w:t>
      </w:r>
      <w:r w:rsidRPr="006449A5">
        <w:rPr>
          <w:rFonts w:cs="Times New Roman"/>
          <w:lang w:val="fr-BE"/>
        </w:rPr>
        <w:t>Quand l'ordre public fait désordre, note sous Cass. (3ech.), 3 décembre 2007</w:t>
      </w:r>
      <w:r w:rsidR="000E0648" w:rsidRPr="006449A5">
        <w:rPr>
          <w:rFonts w:cs="Times New Roman"/>
          <w:lang w:val="fr-BE"/>
        </w:rPr>
        <w:t> »</w:t>
      </w:r>
      <w:r w:rsidRPr="006449A5">
        <w:rPr>
          <w:rFonts w:cs="Times New Roman"/>
          <w:lang w:val="fr-BE"/>
        </w:rPr>
        <w:t xml:space="preserve">, </w:t>
      </w:r>
      <w:r w:rsidR="009840DD" w:rsidRPr="006449A5">
        <w:rPr>
          <w:rFonts w:cs="Times New Roman"/>
          <w:i/>
          <w:iCs/>
          <w:lang w:val="fr-BE"/>
        </w:rPr>
        <w:t>Revue générale de droit civil belge</w:t>
      </w:r>
      <w:r w:rsidR="009840DD" w:rsidRPr="006449A5">
        <w:rPr>
          <w:rFonts w:cs="Times New Roman"/>
          <w:lang w:val="fr-BE"/>
        </w:rPr>
        <w:t xml:space="preserve">, 2008/9, p. </w:t>
      </w:r>
      <w:r w:rsidRPr="006449A5">
        <w:rPr>
          <w:rFonts w:cs="Times New Roman"/>
          <w:smallCaps/>
          <w:lang w:val="fr-BE"/>
        </w:rPr>
        <w:t>525</w:t>
      </w:r>
      <w:r w:rsidR="009840DD" w:rsidRPr="006449A5">
        <w:rPr>
          <w:rFonts w:cs="Times New Roman"/>
          <w:smallCaps/>
          <w:lang w:val="fr-BE"/>
        </w:rPr>
        <w:t>-35</w:t>
      </w:r>
      <w:r w:rsidRPr="006449A5">
        <w:rPr>
          <w:rFonts w:cs="Times New Roman"/>
          <w:smallCaps/>
          <w:lang w:val="fr-BE"/>
        </w:rPr>
        <w:t>.</w:t>
      </w:r>
    </w:p>
  </w:footnote>
  <w:footnote w:id="110">
    <w:p w14:paraId="77C0BB72" w14:textId="54766393" w:rsidR="000E0648" w:rsidRPr="006449A5" w:rsidRDefault="000E0648" w:rsidP="00E005ED">
      <w:pPr>
        <w:pStyle w:val="Notedebasdepage"/>
        <w:rPr>
          <w:rFonts w:cs="Times New Roman"/>
          <w:lang w:val="fr-BE"/>
        </w:rPr>
      </w:pPr>
      <w:r w:rsidRPr="006449A5">
        <w:rPr>
          <w:rStyle w:val="Appelnotedebasdep"/>
          <w:rFonts w:cs="Times New Roman"/>
          <w:lang w:val="fr-BE"/>
        </w:rPr>
        <w:footnoteRef/>
      </w:r>
      <w:r w:rsidRPr="006449A5">
        <w:rPr>
          <w:rFonts w:cs="Times New Roman"/>
          <w:i/>
          <w:iCs/>
          <w:lang w:val="fr-BE"/>
        </w:rPr>
        <w:t xml:space="preserve"> </w:t>
      </w:r>
      <w:r w:rsidRPr="006449A5">
        <w:rPr>
          <w:rFonts w:cs="Times New Roman"/>
          <w:lang w:val="fr-BE"/>
        </w:rPr>
        <w:t xml:space="preserve">In re </w:t>
      </w:r>
      <w:proofErr w:type="spellStart"/>
      <w:r w:rsidRPr="006449A5">
        <w:rPr>
          <w:rFonts w:cs="Times New Roman"/>
          <w:lang w:val="fr-BE"/>
        </w:rPr>
        <w:t>Valentine's</w:t>
      </w:r>
      <w:proofErr w:type="spellEnd"/>
      <w:r w:rsidRPr="006449A5">
        <w:rPr>
          <w:rFonts w:cs="Times New Roman"/>
          <w:lang w:val="fr-BE"/>
        </w:rPr>
        <w:t xml:space="preserve"> </w:t>
      </w:r>
      <w:proofErr w:type="spellStart"/>
      <w:r w:rsidRPr="006449A5">
        <w:rPr>
          <w:rFonts w:cs="Times New Roman"/>
          <w:lang w:val="fr-BE"/>
        </w:rPr>
        <w:t>Settlement</w:t>
      </w:r>
      <w:proofErr w:type="spellEnd"/>
      <w:r w:rsidRPr="006449A5">
        <w:rPr>
          <w:rFonts w:cs="Times New Roman"/>
          <w:i/>
          <w:iCs/>
          <w:lang w:val="fr-BE"/>
        </w:rPr>
        <w:t xml:space="preserve"> </w:t>
      </w:r>
      <w:r w:rsidRPr="006449A5">
        <w:rPr>
          <w:rFonts w:cs="Times New Roman"/>
          <w:lang w:val="fr-BE"/>
        </w:rPr>
        <w:t xml:space="preserve">on adoption recognition [1965] 1 </w:t>
      </w:r>
      <w:proofErr w:type="spellStart"/>
      <w:r w:rsidRPr="006449A5">
        <w:rPr>
          <w:rFonts w:cs="Times New Roman"/>
          <w:lang w:val="fr-BE"/>
        </w:rPr>
        <w:t>Ch</w:t>
      </w:r>
      <w:proofErr w:type="spellEnd"/>
      <w:r w:rsidRPr="006449A5">
        <w:rPr>
          <w:rFonts w:cs="Times New Roman"/>
          <w:lang w:val="fr-BE"/>
        </w:rPr>
        <w:t xml:space="preserve"> 831. </w:t>
      </w:r>
    </w:p>
  </w:footnote>
  <w:footnote w:id="111">
    <w:p w14:paraId="065573A6" w14:textId="0C8DAE7D" w:rsidR="009840DD" w:rsidRPr="006449A5" w:rsidRDefault="009840DD" w:rsidP="00E005ED">
      <w:pPr>
        <w:pStyle w:val="Notedebasdepage"/>
        <w:rPr>
          <w:rFonts w:cs="Times New Roman"/>
          <w:lang w:val="fr-BE"/>
        </w:rPr>
      </w:pPr>
      <w:r w:rsidRPr="006449A5">
        <w:rPr>
          <w:rStyle w:val="Appelnotedebasdep"/>
          <w:rFonts w:cs="Times New Roman"/>
          <w:lang w:val="fr-BE"/>
        </w:rPr>
        <w:footnoteRef/>
      </w:r>
      <w:r w:rsidRPr="006449A5">
        <w:rPr>
          <w:rFonts w:cs="Times New Roman"/>
          <w:lang w:val="fr-BE"/>
        </w:rPr>
        <w:t xml:space="preserve"> Un élément que le juge anglais ne considère pas comme une raison de remettre en question la validité de l'ordonnance elle-même, car, en vertu de la loi de l'État nigérian, il n'y a pas de forme prescrite pour les ordonnances d'adoption, </w:t>
      </w:r>
      <w:r w:rsidR="006B0501" w:rsidRPr="006449A5">
        <w:rPr>
          <w:rFonts w:cs="Times New Roman"/>
          <w:lang w:val="fr-BE"/>
        </w:rPr>
        <w:t>exigeant l’inclusion de dispositions particulières ou la justification par des motifs spécifiques</w:t>
      </w:r>
      <w:r w:rsidRPr="006449A5">
        <w:rPr>
          <w:rFonts w:cs="Times New Roman"/>
          <w:lang w:val="fr-BE"/>
        </w:rPr>
        <w:t xml:space="preserve">. </w:t>
      </w:r>
    </w:p>
  </w:footnote>
  <w:footnote w:id="112">
    <w:p w14:paraId="17426D11" w14:textId="238C70BC" w:rsidR="009840DD" w:rsidRPr="00285397" w:rsidRDefault="009840DD"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Pour plus de détails, v</w:t>
      </w:r>
      <w:r w:rsidR="000E0648" w:rsidRPr="00285397">
        <w:rPr>
          <w:rFonts w:cs="Times New Roman"/>
          <w:lang w:val="en-US"/>
        </w:rPr>
        <w:t>.</w:t>
      </w:r>
      <w:r w:rsidRPr="00285397">
        <w:rPr>
          <w:rFonts w:cs="Times New Roman"/>
          <w:lang w:val="en-US"/>
        </w:rPr>
        <w:t xml:space="preserve"> Rhoda Asikia Ige</w:t>
      </w:r>
      <w:r w:rsidRPr="00285397">
        <w:rPr>
          <w:rFonts w:cs="Times New Roman"/>
          <w:b/>
          <w:bCs/>
          <w:lang w:val="en-US"/>
        </w:rPr>
        <w:t xml:space="preserve">, </w:t>
      </w:r>
      <w:r w:rsidR="008E19BE" w:rsidRPr="00285397">
        <w:rPr>
          <w:rFonts w:cs="Times New Roman"/>
          <w:b/>
          <w:bCs/>
          <w:iCs/>
          <w:lang w:val="en-US"/>
        </w:rPr>
        <w:t xml:space="preserve">« </w:t>
      </w:r>
      <w:r w:rsidRPr="00285397">
        <w:rPr>
          <w:rFonts w:cs="Times New Roman"/>
          <w:lang w:val="en-US"/>
        </w:rPr>
        <w:t>Legal Pluralism in Africa : Challenges, Conflicts and Adaptation in a Global Village</w:t>
      </w:r>
      <w:r w:rsidR="008E19BE" w:rsidRPr="00285397">
        <w:rPr>
          <w:rFonts w:cs="Times New Roman"/>
          <w:lang w:val="en-US"/>
        </w:rPr>
        <w:t xml:space="preserve"> </w:t>
      </w:r>
      <w:r w:rsidR="008E19BE" w:rsidRPr="00285397">
        <w:rPr>
          <w:rFonts w:cs="Times New Roman"/>
          <w:iCs/>
          <w:lang w:val="en-US"/>
        </w:rPr>
        <w:t>»</w:t>
      </w:r>
      <w:r w:rsidRPr="00285397">
        <w:rPr>
          <w:rFonts w:cs="Times New Roman"/>
          <w:lang w:val="en-US"/>
        </w:rPr>
        <w:t xml:space="preserve">, </w:t>
      </w:r>
      <w:r w:rsidRPr="00285397">
        <w:rPr>
          <w:rFonts w:cs="Times New Roman"/>
          <w:i/>
          <w:iCs/>
          <w:lang w:val="en-US"/>
        </w:rPr>
        <w:t>Journal of Law, Policy and Globalization</w:t>
      </w:r>
      <w:r w:rsidRPr="00285397">
        <w:rPr>
          <w:rFonts w:cs="Times New Roman"/>
          <w:lang w:val="en-US"/>
        </w:rPr>
        <w:t xml:space="preserve">, 34/2015, pp. 59-67 ; </w:t>
      </w:r>
      <w:r w:rsidR="000E0648" w:rsidRPr="00285397">
        <w:rPr>
          <w:rFonts w:cs="Times New Roman"/>
          <w:lang w:val="en-US"/>
        </w:rPr>
        <w:t>v. aussi</w:t>
      </w:r>
      <w:r w:rsidRPr="00285397">
        <w:rPr>
          <w:rFonts w:cs="Times New Roman"/>
          <w:lang w:val="en-US"/>
        </w:rPr>
        <w:t xml:space="preserve"> J.O. Asein, </w:t>
      </w:r>
      <w:r w:rsidRPr="00285397">
        <w:rPr>
          <w:rFonts w:cs="Times New Roman"/>
          <w:i/>
          <w:iCs/>
          <w:lang w:val="en-US"/>
        </w:rPr>
        <w:t>Introduction to Nigerian Legal System</w:t>
      </w:r>
      <w:r w:rsidRPr="00285397">
        <w:rPr>
          <w:rFonts w:cs="Times New Roman"/>
          <w:lang w:val="en-US"/>
        </w:rPr>
        <w:t>, Lagos, Ababa Press, 2005 (2</w:t>
      </w:r>
      <w:r w:rsidRPr="00285397">
        <w:rPr>
          <w:rFonts w:cs="Times New Roman"/>
          <w:vertAlign w:val="superscript"/>
          <w:lang w:val="en-US"/>
        </w:rPr>
        <w:t>nd</w:t>
      </w:r>
      <w:r w:rsidRPr="00285397">
        <w:rPr>
          <w:rFonts w:cs="Times New Roman"/>
          <w:lang w:val="en-US"/>
        </w:rPr>
        <w:t xml:space="preserve"> ed.). </w:t>
      </w:r>
    </w:p>
  </w:footnote>
  <w:footnote w:id="113">
    <w:p w14:paraId="6A5EDCC5" w14:textId="729F6A4F" w:rsidR="009840DD" w:rsidRPr="00285397" w:rsidRDefault="009840DD" w:rsidP="00E005ED">
      <w:pPr>
        <w:pStyle w:val="Notedebasdepage"/>
        <w:rPr>
          <w:rFonts w:cs="Times New Roman"/>
          <w:lang w:val="en-US"/>
        </w:rPr>
      </w:pPr>
      <w:r w:rsidRPr="006449A5">
        <w:rPr>
          <w:rStyle w:val="Appelnotedebasdep"/>
          <w:rFonts w:cs="Times New Roman"/>
          <w:lang w:val="fr-BE"/>
        </w:rPr>
        <w:footnoteRef/>
      </w:r>
      <w:r w:rsidRPr="00285397">
        <w:rPr>
          <w:rFonts w:cs="Times New Roman"/>
          <w:lang w:val="en-US"/>
        </w:rPr>
        <w:t xml:space="preserve"> </w:t>
      </w:r>
      <w:r w:rsidR="000E0648" w:rsidRPr="00285397">
        <w:rPr>
          <w:lang w:val="en-US"/>
        </w:rPr>
        <w:t>Grace c. Commissioners for Her Majesty's Revenue and Customs [2009] EWCA Civ 1082</w:t>
      </w:r>
      <w:r w:rsidR="006B0501" w:rsidRPr="00285397">
        <w:rPr>
          <w:rFonts w:cs="Times New Roman"/>
          <w:lang w:val="en-US"/>
        </w:rPr>
        <w:t xml:space="preserve">. </w:t>
      </w:r>
    </w:p>
  </w:footnote>
  <w:footnote w:id="114">
    <w:p w14:paraId="6F535B3B" w14:textId="7D77121E" w:rsidR="00844895" w:rsidRPr="006449A5" w:rsidRDefault="00844895" w:rsidP="00E005ED">
      <w:pPr>
        <w:pStyle w:val="Notedebasdepage"/>
        <w:rPr>
          <w:lang w:val="fr-BE"/>
        </w:rPr>
      </w:pPr>
      <w:r w:rsidRPr="006449A5">
        <w:rPr>
          <w:rStyle w:val="Appelnotedebasdep"/>
          <w:lang w:val="fr-BE"/>
        </w:rPr>
        <w:footnoteRef/>
      </w:r>
      <w:r w:rsidRPr="006449A5">
        <w:rPr>
          <w:lang w:val="fr-BE"/>
        </w:rPr>
        <w:t xml:space="preserve"> V. supa, note n</w:t>
      </w:r>
      <w:r w:rsidR="004F09F7" w:rsidRPr="006449A5">
        <w:rPr>
          <w:lang w:val="fr-BE"/>
        </w:rPr>
        <w:t>°</w:t>
      </w:r>
      <w:r w:rsidR="005B7CC1" w:rsidRPr="005B7CC1">
        <w:rPr>
          <w:highlight w:val="yellow"/>
          <w:lang w:val="fr-BE"/>
        </w:rPr>
        <w:t>6</w:t>
      </w:r>
      <w:r w:rsidR="00AD3FF9">
        <w:rPr>
          <w:lang w:val="fr-BE"/>
        </w:rPr>
        <w:t>6</w:t>
      </w:r>
      <w:r w:rsidR="004F09F7" w:rsidRPr="006449A5">
        <w:rPr>
          <w:lang w:val="fr-BE"/>
        </w:rPr>
        <w:t>.</w:t>
      </w:r>
    </w:p>
  </w:footnote>
  <w:footnote w:id="115">
    <w:p w14:paraId="25DB013E" w14:textId="265D523E" w:rsidR="005B7CC1" w:rsidRDefault="005B7CC1">
      <w:pPr>
        <w:pStyle w:val="Notedebasdepage"/>
      </w:pPr>
      <w:r>
        <w:rPr>
          <w:rStyle w:val="Appelnotedebasdep"/>
        </w:rPr>
        <w:footnoteRef/>
      </w:r>
      <w:r>
        <w:t xml:space="preserve"> </w:t>
      </w:r>
      <w:proofErr w:type="spellStart"/>
      <w:r>
        <w:t>Comp</w:t>
      </w:r>
      <w:proofErr w:type="spellEnd"/>
      <w:r>
        <w:t xml:space="preserve">. Etienne </w:t>
      </w:r>
      <w:proofErr w:type="spellStart"/>
      <w:r>
        <w:t>Pataut</w:t>
      </w:r>
      <w:proofErr w:type="spellEnd"/>
      <w:r>
        <w:t>, « L</w:t>
      </w:r>
      <w:r w:rsidRPr="005B7CC1">
        <w:rPr>
          <w:lang w:val="fr-BE"/>
        </w:rPr>
        <w:t>e renouveau de la théorie des droits acquis</w:t>
      </w:r>
      <w:r>
        <w:rPr>
          <w:lang w:val="fr-BE"/>
        </w:rPr>
        <w:t> », in</w:t>
      </w:r>
      <w:r w:rsidRPr="005B7CC1">
        <w:rPr>
          <w:lang w:val="fr-BE"/>
        </w:rPr>
        <w:t> </w:t>
      </w:r>
      <w:r w:rsidRPr="005B7CC1">
        <w:rPr>
          <w:i/>
          <w:iCs/>
          <w:lang w:val="fr-BE"/>
        </w:rPr>
        <w:t>Droit international privé : travaux du Comité français de droit international privé</w:t>
      </w:r>
      <w:r w:rsidRPr="005B7CC1">
        <w:rPr>
          <w:lang w:val="fr-BE"/>
        </w:rPr>
        <w:t xml:space="preserve">, </w:t>
      </w:r>
      <w:r w:rsidRPr="005B7CC1">
        <w:rPr>
          <w:i/>
          <w:iCs/>
          <w:lang w:val="fr-BE"/>
        </w:rPr>
        <w:t>18e année, 2006-2008</w:t>
      </w:r>
      <w:r>
        <w:rPr>
          <w:lang w:val="fr-BE"/>
        </w:rPr>
        <w:t xml:space="preserve">, Paris, </w:t>
      </w:r>
      <w:proofErr w:type="spellStart"/>
      <w:r>
        <w:rPr>
          <w:lang w:val="fr-BE"/>
        </w:rPr>
        <w:t>Pédone</w:t>
      </w:r>
      <w:proofErr w:type="spellEnd"/>
      <w:r>
        <w:rPr>
          <w:lang w:val="fr-BE"/>
        </w:rPr>
        <w:t xml:space="preserve">, </w:t>
      </w:r>
      <w:r w:rsidRPr="005B7CC1">
        <w:rPr>
          <w:lang w:val="fr-BE"/>
        </w:rPr>
        <w:t>2009</w:t>
      </w:r>
      <w:r>
        <w:rPr>
          <w:lang w:val="fr-BE"/>
        </w:rPr>
        <w:t xml:space="preserve">, </w:t>
      </w:r>
      <w:r w:rsidRPr="005B7CC1">
        <w:rPr>
          <w:lang w:val="fr-BE"/>
        </w:rPr>
        <w:t>p. 71-114</w:t>
      </w:r>
    </w:p>
  </w:footnote>
  <w:footnote w:id="116">
    <w:p w14:paraId="3F94056E" w14:textId="3916B7FC" w:rsidR="00F158CF" w:rsidRPr="006449A5" w:rsidRDefault="00F158CF" w:rsidP="00E005ED">
      <w:pPr>
        <w:pStyle w:val="Notedebasdepage"/>
        <w:rPr>
          <w:lang w:val="fr-BE"/>
        </w:rPr>
      </w:pPr>
      <w:r w:rsidRPr="006449A5">
        <w:rPr>
          <w:rStyle w:val="Appelnotedebasdep"/>
          <w:lang w:val="fr-BE"/>
        </w:rPr>
        <w:footnoteRef/>
      </w:r>
      <w:r w:rsidRPr="006449A5">
        <w:rPr>
          <w:lang w:val="fr-BE"/>
        </w:rPr>
        <w:t xml:space="preserve"> CEDH, </w:t>
      </w:r>
      <w:r w:rsidRPr="006449A5">
        <w:rPr>
          <w:i/>
          <w:iCs/>
          <w:lang w:val="fr-BE"/>
        </w:rPr>
        <w:t xml:space="preserve">Wagner et J.M.W.L. c. Luxembourg, </w:t>
      </w:r>
      <w:r w:rsidRPr="006449A5">
        <w:rPr>
          <w:lang w:val="fr-BE"/>
        </w:rPr>
        <w:t xml:space="preserve">5 octobre 2006, n° 76240/01. </w:t>
      </w:r>
    </w:p>
  </w:footnote>
  <w:footnote w:id="117">
    <w:p w14:paraId="18478695" w14:textId="63A53E7C" w:rsidR="00F158CF" w:rsidRPr="003B15E1" w:rsidRDefault="00F158CF" w:rsidP="00E005ED">
      <w:pPr>
        <w:pStyle w:val="Notedebasdepage"/>
        <w:rPr>
          <w:lang w:val="fr-BE"/>
        </w:rPr>
      </w:pPr>
      <w:r w:rsidRPr="006449A5">
        <w:rPr>
          <w:rStyle w:val="Appelnotedebasdep"/>
          <w:lang w:val="fr-BE"/>
        </w:rPr>
        <w:footnoteRef/>
      </w:r>
      <w:r w:rsidRPr="006449A5">
        <w:rPr>
          <w:lang w:val="fr-BE"/>
        </w:rPr>
        <w:t xml:space="preserve"> Pour plus de détails, v. Paul Lagarde, « Is the recognition </w:t>
      </w:r>
      <w:proofErr w:type="spellStart"/>
      <w:r w:rsidRPr="006449A5">
        <w:rPr>
          <w:lang w:val="fr-BE"/>
        </w:rPr>
        <w:t>method</w:t>
      </w:r>
      <w:proofErr w:type="spellEnd"/>
      <w:r w:rsidRPr="006449A5">
        <w:rPr>
          <w:lang w:val="fr-BE"/>
        </w:rPr>
        <w:t xml:space="preserve"> the future of </w:t>
      </w:r>
      <w:proofErr w:type="spellStart"/>
      <w:r w:rsidRPr="006449A5">
        <w:rPr>
          <w:lang w:val="fr-BE"/>
        </w:rPr>
        <w:t>private</w:t>
      </w:r>
      <w:proofErr w:type="spellEnd"/>
      <w:r w:rsidRPr="006449A5">
        <w:rPr>
          <w:lang w:val="fr-BE"/>
        </w:rPr>
        <w:t xml:space="preserve"> international </w:t>
      </w:r>
      <w:proofErr w:type="spellStart"/>
      <w:r w:rsidRPr="006449A5">
        <w:rPr>
          <w:lang w:val="fr-BE"/>
        </w:rPr>
        <w:t>law</w:t>
      </w:r>
      <w:proofErr w:type="spellEnd"/>
      <w:r w:rsidRPr="006449A5">
        <w:rPr>
          <w:lang w:val="fr-BE"/>
        </w:rPr>
        <w:t xml:space="preserve"> ? Inaugural Lecture, </w:t>
      </w:r>
      <w:proofErr w:type="spellStart"/>
      <w:r w:rsidRPr="006449A5">
        <w:rPr>
          <w:lang w:val="fr-BE"/>
        </w:rPr>
        <w:t>Private</w:t>
      </w:r>
      <w:proofErr w:type="spellEnd"/>
      <w:r w:rsidRPr="006449A5">
        <w:rPr>
          <w:lang w:val="fr-BE"/>
        </w:rPr>
        <w:t xml:space="preserve"> International Law Session », in </w:t>
      </w:r>
      <w:proofErr w:type="spellStart"/>
      <w:r w:rsidRPr="006449A5">
        <w:rPr>
          <w:i/>
          <w:iCs/>
          <w:lang w:val="fr-BE"/>
        </w:rPr>
        <w:t>Collected</w:t>
      </w:r>
      <w:proofErr w:type="spellEnd"/>
      <w:r w:rsidRPr="006449A5">
        <w:rPr>
          <w:i/>
          <w:iCs/>
          <w:lang w:val="fr-BE"/>
        </w:rPr>
        <w:t xml:space="preserve"> Courses of The Hague </w:t>
      </w:r>
      <w:proofErr w:type="spellStart"/>
      <w:r w:rsidRPr="006449A5">
        <w:rPr>
          <w:i/>
          <w:iCs/>
          <w:lang w:val="fr-BE"/>
        </w:rPr>
        <w:t>Academy</w:t>
      </w:r>
      <w:proofErr w:type="spellEnd"/>
      <w:r w:rsidRPr="006449A5">
        <w:rPr>
          <w:i/>
          <w:iCs/>
          <w:lang w:val="fr-BE"/>
        </w:rPr>
        <w:t xml:space="preserve"> of International Law </w:t>
      </w:r>
      <w:r w:rsidRPr="006449A5">
        <w:rPr>
          <w:lang w:val="fr-BE"/>
        </w:rPr>
        <w:t xml:space="preserve">(Volume 371), Leiden, Brill </w:t>
      </w:r>
      <w:proofErr w:type="gramStart"/>
      <w:r w:rsidRPr="006449A5">
        <w:rPr>
          <w:lang w:val="fr-BE"/>
        </w:rPr>
        <w:t>2014;</w:t>
      </w:r>
      <w:proofErr w:type="gramEnd"/>
      <w:r w:rsidRPr="006449A5">
        <w:rPr>
          <w:lang w:val="fr-BE"/>
        </w:rPr>
        <w:t xml:space="preserve"> Sylvia </w:t>
      </w:r>
      <w:proofErr w:type="spellStart"/>
      <w:r w:rsidRPr="006449A5">
        <w:rPr>
          <w:lang w:val="fr-BE"/>
        </w:rPr>
        <w:t>Pfeiff</w:t>
      </w:r>
      <w:proofErr w:type="spellEnd"/>
      <w:r w:rsidRPr="006449A5">
        <w:rPr>
          <w:lang w:val="fr-BE"/>
        </w:rPr>
        <w:t xml:space="preserve">, </w:t>
      </w:r>
      <w:r w:rsidRPr="006449A5">
        <w:rPr>
          <w:i/>
          <w:iCs/>
          <w:lang w:val="fr-BE"/>
        </w:rPr>
        <w:t xml:space="preserve">La portabilité du statut personnel dans l'espace européen : De l'émergence d'un droit fondamental à l'élaboration d'une méthode de la </w:t>
      </w:r>
      <w:r w:rsidRPr="006449A5">
        <w:rPr>
          <w:lang w:val="fr-BE"/>
        </w:rPr>
        <w:t xml:space="preserve">reconnaissance, Bruxelles, Bruylant, 2017; Samuel </w:t>
      </w:r>
      <w:proofErr w:type="spellStart"/>
      <w:r w:rsidRPr="006449A5">
        <w:rPr>
          <w:lang w:val="fr-BE"/>
        </w:rPr>
        <w:t>Fulli</w:t>
      </w:r>
      <w:proofErr w:type="spellEnd"/>
      <w:r w:rsidRPr="006449A5">
        <w:rPr>
          <w:lang w:val="fr-BE"/>
        </w:rPr>
        <w:t>-Lemaire</w:t>
      </w:r>
      <w:r w:rsidR="00727693" w:rsidRPr="006449A5">
        <w:rPr>
          <w:lang w:val="fr-BE"/>
        </w:rPr>
        <w:t>,</w:t>
      </w:r>
      <w:r w:rsidRPr="006449A5">
        <w:rPr>
          <w:lang w:val="fr-BE"/>
        </w:rPr>
        <w:t xml:space="preserve"> </w:t>
      </w:r>
      <w:r w:rsidRPr="006449A5">
        <w:rPr>
          <w:i/>
          <w:iCs/>
          <w:lang w:val="fr-BE"/>
        </w:rPr>
        <w:t xml:space="preserve">Le droit international privé de la famille à l'épreuve de l'impératif de reconnaissance des situations, </w:t>
      </w:r>
      <w:r w:rsidRPr="006449A5">
        <w:rPr>
          <w:lang w:val="fr-BE"/>
        </w:rPr>
        <w:t>Paris, LGDJ, 2022.</w:t>
      </w:r>
    </w:p>
  </w:footnote>
  <w:footnote w:id="118">
    <w:p w14:paraId="4973D9FE" w14:textId="509D8A88" w:rsidR="005B7CC1" w:rsidRDefault="005B7CC1">
      <w:pPr>
        <w:pStyle w:val="Notedebasdepage"/>
      </w:pPr>
      <w:r>
        <w:rPr>
          <w:rStyle w:val="Appelnotedebasdep"/>
        </w:rPr>
        <w:footnoteRef/>
      </w:r>
      <w:r>
        <w:t xml:space="preserve"> </w:t>
      </w:r>
      <w:r>
        <w:rPr>
          <w:lang w:val="fr-BE"/>
        </w:rPr>
        <w:t>P</w:t>
      </w:r>
      <w:r w:rsidRPr="005B7CC1">
        <w:rPr>
          <w:lang w:val="fr-BE"/>
        </w:rPr>
        <w:t>our une proposition d’application de cette méthode aux normes non étatiques (tout en précisant les conditio</w:t>
      </w:r>
      <w:r>
        <w:rPr>
          <w:lang w:val="fr-BE"/>
        </w:rPr>
        <w:t xml:space="preserve">ns </w:t>
      </w:r>
      <w:r w:rsidRPr="005B7CC1">
        <w:rPr>
          <w:lang w:val="fr-BE"/>
        </w:rPr>
        <w:t>très particulières de mise en œuvre de celle-ci)</w:t>
      </w:r>
      <w:r>
        <w:rPr>
          <w:lang w:val="fr-BE"/>
        </w:rPr>
        <w:t xml:space="preserve">, v. </w:t>
      </w:r>
      <w:r w:rsidRPr="005B7CC1">
        <w:rPr>
          <w:lang w:val="fr-BE"/>
        </w:rPr>
        <w:t xml:space="preserve">Laureline </w:t>
      </w:r>
      <w:proofErr w:type="spellStart"/>
      <w:r w:rsidRPr="005B7CC1">
        <w:rPr>
          <w:lang w:val="fr-BE"/>
        </w:rPr>
        <w:t>Kergueris</w:t>
      </w:r>
      <w:proofErr w:type="spellEnd"/>
      <w:r w:rsidRPr="005B7CC1">
        <w:rPr>
          <w:lang w:val="fr-BE"/>
        </w:rPr>
        <w:t xml:space="preserve">, </w:t>
      </w:r>
      <w:r w:rsidRPr="005B7CC1">
        <w:rPr>
          <w:i/>
          <w:iCs/>
          <w:lang w:val="fr-BE"/>
        </w:rPr>
        <w:t xml:space="preserve">Les normes non étatiques en matière personnelle et familiale internationale - Etude critique des méthodes de droit international privé, </w:t>
      </w:r>
      <w:proofErr w:type="spellStart"/>
      <w:r>
        <w:rPr>
          <w:lang w:val="fr-BE"/>
        </w:rPr>
        <w:t>préc</w:t>
      </w:r>
      <w:proofErr w:type="spellEnd"/>
      <w:r>
        <w:rPr>
          <w:lang w:val="fr-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E41A7"/>
    <w:multiLevelType w:val="hybridMultilevel"/>
    <w:tmpl w:val="1868929A"/>
    <w:lvl w:ilvl="0" w:tplc="ADF4E6CE">
      <w:start w:val="97"/>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4C9545F"/>
    <w:multiLevelType w:val="hybridMultilevel"/>
    <w:tmpl w:val="FD4867F8"/>
    <w:lvl w:ilvl="0" w:tplc="788063DA">
      <w:start w:val="97"/>
      <w:numFmt w:val="bullet"/>
      <w:lvlText w:val=""/>
      <w:lvlJc w:val="left"/>
      <w:pPr>
        <w:ind w:left="1440" w:hanging="360"/>
      </w:pPr>
      <w:rPr>
        <w:rFonts w:ascii="Wingdings" w:eastAsiaTheme="minorHAnsi" w:hAnsi="Wingdings" w:cstheme="minorBidi"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 w15:restartNumberingAfterBreak="0">
    <w:nsid w:val="12625D0F"/>
    <w:multiLevelType w:val="hybridMultilevel"/>
    <w:tmpl w:val="FD124162"/>
    <w:lvl w:ilvl="0" w:tplc="208260E0">
      <w:start w:val="1"/>
      <w:numFmt w:val="upp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3" w15:restartNumberingAfterBreak="0">
    <w:nsid w:val="15837CC0"/>
    <w:multiLevelType w:val="hybridMultilevel"/>
    <w:tmpl w:val="1158B150"/>
    <w:lvl w:ilvl="0" w:tplc="24AE7A16">
      <w:start w:val="1"/>
      <w:numFmt w:val="bullet"/>
      <w:lvlText w:val="-"/>
      <w:lvlJc w:val="left"/>
      <w:pPr>
        <w:ind w:left="2160" w:hanging="360"/>
      </w:pPr>
      <w:rPr>
        <w:rFonts w:ascii="Calibri" w:eastAsiaTheme="minorHAnsi" w:hAnsi="Calibri" w:cs="Calibri" w:hint="default"/>
      </w:rPr>
    </w:lvl>
    <w:lvl w:ilvl="1" w:tplc="080C0003" w:tentative="1">
      <w:start w:val="1"/>
      <w:numFmt w:val="bullet"/>
      <w:lvlText w:val="o"/>
      <w:lvlJc w:val="left"/>
      <w:pPr>
        <w:ind w:left="2880" w:hanging="360"/>
      </w:pPr>
      <w:rPr>
        <w:rFonts w:ascii="Courier New" w:hAnsi="Courier New" w:cs="Courier New" w:hint="default"/>
      </w:rPr>
    </w:lvl>
    <w:lvl w:ilvl="2" w:tplc="080C0005" w:tentative="1">
      <w:start w:val="1"/>
      <w:numFmt w:val="bullet"/>
      <w:lvlText w:val=""/>
      <w:lvlJc w:val="left"/>
      <w:pPr>
        <w:ind w:left="3600" w:hanging="360"/>
      </w:pPr>
      <w:rPr>
        <w:rFonts w:ascii="Wingdings" w:hAnsi="Wingdings" w:hint="default"/>
      </w:rPr>
    </w:lvl>
    <w:lvl w:ilvl="3" w:tplc="080C0001" w:tentative="1">
      <w:start w:val="1"/>
      <w:numFmt w:val="bullet"/>
      <w:lvlText w:val=""/>
      <w:lvlJc w:val="left"/>
      <w:pPr>
        <w:ind w:left="4320" w:hanging="360"/>
      </w:pPr>
      <w:rPr>
        <w:rFonts w:ascii="Symbol" w:hAnsi="Symbol" w:hint="default"/>
      </w:rPr>
    </w:lvl>
    <w:lvl w:ilvl="4" w:tplc="080C0003" w:tentative="1">
      <w:start w:val="1"/>
      <w:numFmt w:val="bullet"/>
      <w:lvlText w:val="o"/>
      <w:lvlJc w:val="left"/>
      <w:pPr>
        <w:ind w:left="5040" w:hanging="360"/>
      </w:pPr>
      <w:rPr>
        <w:rFonts w:ascii="Courier New" w:hAnsi="Courier New" w:cs="Courier New" w:hint="default"/>
      </w:rPr>
    </w:lvl>
    <w:lvl w:ilvl="5" w:tplc="080C0005" w:tentative="1">
      <w:start w:val="1"/>
      <w:numFmt w:val="bullet"/>
      <w:lvlText w:val=""/>
      <w:lvlJc w:val="left"/>
      <w:pPr>
        <w:ind w:left="5760" w:hanging="360"/>
      </w:pPr>
      <w:rPr>
        <w:rFonts w:ascii="Wingdings" w:hAnsi="Wingdings" w:hint="default"/>
      </w:rPr>
    </w:lvl>
    <w:lvl w:ilvl="6" w:tplc="080C0001" w:tentative="1">
      <w:start w:val="1"/>
      <w:numFmt w:val="bullet"/>
      <w:lvlText w:val=""/>
      <w:lvlJc w:val="left"/>
      <w:pPr>
        <w:ind w:left="6480" w:hanging="360"/>
      </w:pPr>
      <w:rPr>
        <w:rFonts w:ascii="Symbol" w:hAnsi="Symbol" w:hint="default"/>
      </w:rPr>
    </w:lvl>
    <w:lvl w:ilvl="7" w:tplc="080C0003" w:tentative="1">
      <w:start w:val="1"/>
      <w:numFmt w:val="bullet"/>
      <w:lvlText w:val="o"/>
      <w:lvlJc w:val="left"/>
      <w:pPr>
        <w:ind w:left="7200" w:hanging="360"/>
      </w:pPr>
      <w:rPr>
        <w:rFonts w:ascii="Courier New" w:hAnsi="Courier New" w:cs="Courier New" w:hint="default"/>
      </w:rPr>
    </w:lvl>
    <w:lvl w:ilvl="8" w:tplc="080C0005" w:tentative="1">
      <w:start w:val="1"/>
      <w:numFmt w:val="bullet"/>
      <w:lvlText w:val=""/>
      <w:lvlJc w:val="left"/>
      <w:pPr>
        <w:ind w:left="7920" w:hanging="360"/>
      </w:pPr>
      <w:rPr>
        <w:rFonts w:ascii="Wingdings" w:hAnsi="Wingdings" w:hint="default"/>
      </w:rPr>
    </w:lvl>
  </w:abstractNum>
  <w:abstractNum w:abstractNumId="4" w15:restartNumberingAfterBreak="0">
    <w:nsid w:val="1769415F"/>
    <w:multiLevelType w:val="hybridMultilevel"/>
    <w:tmpl w:val="B8C27F82"/>
    <w:lvl w:ilvl="0" w:tplc="48E60BF2">
      <w:start w:val="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E5443C4"/>
    <w:multiLevelType w:val="hybridMultilevel"/>
    <w:tmpl w:val="9EE8B206"/>
    <w:lvl w:ilvl="0" w:tplc="CD0268E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E8D4713"/>
    <w:multiLevelType w:val="hybridMultilevel"/>
    <w:tmpl w:val="0A50DBBE"/>
    <w:lvl w:ilvl="0" w:tplc="C5A0FE8C">
      <w:start w:val="19"/>
      <w:numFmt w:val="bullet"/>
      <w:lvlText w:val=""/>
      <w:lvlJc w:val="left"/>
      <w:pPr>
        <w:ind w:left="1800" w:hanging="360"/>
      </w:pPr>
      <w:rPr>
        <w:rFonts w:ascii="Wingdings" w:eastAsiaTheme="minorHAnsi" w:hAnsi="Wingdings" w:cstheme="minorBidi"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7" w15:restartNumberingAfterBreak="0">
    <w:nsid w:val="253652B1"/>
    <w:multiLevelType w:val="multilevel"/>
    <w:tmpl w:val="4CDC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B6E32"/>
    <w:multiLevelType w:val="multilevel"/>
    <w:tmpl w:val="8596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0221AC"/>
    <w:multiLevelType w:val="multilevel"/>
    <w:tmpl w:val="06FE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122DD4"/>
    <w:multiLevelType w:val="hybridMultilevel"/>
    <w:tmpl w:val="D8A4C4E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37021668"/>
    <w:multiLevelType w:val="hybridMultilevel"/>
    <w:tmpl w:val="4C90B8E6"/>
    <w:lvl w:ilvl="0" w:tplc="D2C0924E">
      <w:start w:val="1"/>
      <w:numFmt w:val="lowerLetter"/>
      <w:lvlText w:val="%1."/>
      <w:lvlJc w:val="left"/>
      <w:pPr>
        <w:ind w:left="1800" w:hanging="360"/>
      </w:pPr>
      <w:rPr>
        <w:rFonts w:hint="default"/>
      </w:rPr>
    </w:lvl>
    <w:lvl w:ilvl="1" w:tplc="080C0019" w:tentative="1">
      <w:start w:val="1"/>
      <w:numFmt w:val="lowerLetter"/>
      <w:lvlText w:val="%2."/>
      <w:lvlJc w:val="left"/>
      <w:pPr>
        <w:ind w:left="2520" w:hanging="360"/>
      </w:pPr>
    </w:lvl>
    <w:lvl w:ilvl="2" w:tplc="080C001B" w:tentative="1">
      <w:start w:val="1"/>
      <w:numFmt w:val="lowerRoman"/>
      <w:lvlText w:val="%3."/>
      <w:lvlJc w:val="right"/>
      <w:pPr>
        <w:ind w:left="3240" w:hanging="180"/>
      </w:pPr>
    </w:lvl>
    <w:lvl w:ilvl="3" w:tplc="080C000F" w:tentative="1">
      <w:start w:val="1"/>
      <w:numFmt w:val="decimal"/>
      <w:lvlText w:val="%4."/>
      <w:lvlJc w:val="left"/>
      <w:pPr>
        <w:ind w:left="3960" w:hanging="360"/>
      </w:pPr>
    </w:lvl>
    <w:lvl w:ilvl="4" w:tplc="080C0019" w:tentative="1">
      <w:start w:val="1"/>
      <w:numFmt w:val="lowerLetter"/>
      <w:lvlText w:val="%5."/>
      <w:lvlJc w:val="left"/>
      <w:pPr>
        <w:ind w:left="4680" w:hanging="360"/>
      </w:pPr>
    </w:lvl>
    <w:lvl w:ilvl="5" w:tplc="080C001B" w:tentative="1">
      <w:start w:val="1"/>
      <w:numFmt w:val="lowerRoman"/>
      <w:lvlText w:val="%6."/>
      <w:lvlJc w:val="right"/>
      <w:pPr>
        <w:ind w:left="5400" w:hanging="180"/>
      </w:pPr>
    </w:lvl>
    <w:lvl w:ilvl="6" w:tplc="080C000F" w:tentative="1">
      <w:start w:val="1"/>
      <w:numFmt w:val="decimal"/>
      <w:lvlText w:val="%7."/>
      <w:lvlJc w:val="left"/>
      <w:pPr>
        <w:ind w:left="6120" w:hanging="360"/>
      </w:pPr>
    </w:lvl>
    <w:lvl w:ilvl="7" w:tplc="080C0019" w:tentative="1">
      <w:start w:val="1"/>
      <w:numFmt w:val="lowerLetter"/>
      <w:lvlText w:val="%8."/>
      <w:lvlJc w:val="left"/>
      <w:pPr>
        <w:ind w:left="6840" w:hanging="360"/>
      </w:pPr>
    </w:lvl>
    <w:lvl w:ilvl="8" w:tplc="080C001B" w:tentative="1">
      <w:start w:val="1"/>
      <w:numFmt w:val="lowerRoman"/>
      <w:lvlText w:val="%9."/>
      <w:lvlJc w:val="right"/>
      <w:pPr>
        <w:ind w:left="7560" w:hanging="180"/>
      </w:pPr>
    </w:lvl>
  </w:abstractNum>
  <w:abstractNum w:abstractNumId="12" w15:restartNumberingAfterBreak="0">
    <w:nsid w:val="40332461"/>
    <w:multiLevelType w:val="hybridMultilevel"/>
    <w:tmpl w:val="41B0544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47107E04"/>
    <w:multiLevelType w:val="hybridMultilevel"/>
    <w:tmpl w:val="C39E34E8"/>
    <w:lvl w:ilvl="0" w:tplc="48F2CE1C">
      <w:start w:val="19"/>
      <w:numFmt w:val="bullet"/>
      <w:lvlText w:val="-"/>
      <w:lvlJc w:val="left"/>
      <w:pPr>
        <w:ind w:left="1440" w:hanging="360"/>
      </w:pPr>
      <w:rPr>
        <w:rFonts w:ascii="Calibri" w:eastAsiaTheme="minorHAnsi" w:hAnsi="Calibri" w:cs="Calibri"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4" w15:restartNumberingAfterBreak="0">
    <w:nsid w:val="4CD138ED"/>
    <w:multiLevelType w:val="hybridMultilevel"/>
    <w:tmpl w:val="28F2141E"/>
    <w:lvl w:ilvl="0" w:tplc="265291C2">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50B324C9"/>
    <w:multiLevelType w:val="multilevel"/>
    <w:tmpl w:val="C242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BE5434"/>
    <w:multiLevelType w:val="multilevel"/>
    <w:tmpl w:val="4DE2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8653AF"/>
    <w:multiLevelType w:val="hybridMultilevel"/>
    <w:tmpl w:val="D7FEA55E"/>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70B21AB9"/>
    <w:multiLevelType w:val="hybridMultilevel"/>
    <w:tmpl w:val="3F38B354"/>
    <w:lvl w:ilvl="0" w:tplc="77D6D530">
      <w:start w:val="1"/>
      <w:numFmt w:val="upp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9" w15:restartNumberingAfterBreak="0">
    <w:nsid w:val="74B34CB3"/>
    <w:multiLevelType w:val="hybridMultilevel"/>
    <w:tmpl w:val="E942383E"/>
    <w:lvl w:ilvl="0" w:tplc="CB423692">
      <w:start w:val="97"/>
      <w:numFmt w:val="bullet"/>
      <w:lvlText w:val="-"/>
      <w:lvlJc w:val="left"/>
      <w:pPr>
        <w:ind w:left="1080" w:hanging="360"/>
      </w:pPr>
      <w:rPr>
        <w:rFonts w:ascii="Calibri" w:eastAsiaTheme="minorHAns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0" w15:restartNumberingAfterBreak="0">
    <w:nsid w:val="7DAE5B9C"/>
    <w:multiLevelType w:val="hybridMultilevel"/>
    <w:tmpl w:val="61322E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7DEE6EE6"/>
    <w:multiLevelType w:val="hybridMultilevel"/>
    <w:tmpl w:val="F508D678"/>
    <w:lvl w:ilvl="0" w:tplc="73EED70E">
      <w:start w:val="1"/>
      <w:numFmt w:val="upperLetter"/>
      <w:lvlText w:val="%1."/>
      <w:lvlJc w:val="left"/>
      <w:pPr>
        <w:ind w:left="1776" w:hanging="360"/>
      </w:pPr>
      <w:rPr>
        <w:rFonts w:hint="default"/>
      </w:rPr>
    </w:lvl>
    <w:lvl w:ilvl="1" w:tplc="080C0019" w:tentative="1">
      <w:start w:val="1"/>
      <w:numFmt w:val="lowerLetter"/>
      <w:lvlText w:val="%2."/>
      <w:lvlJc w:val="left"/>
      <w:pPr>
        <w:ind w:left="2496" w:hanging="360"/>
      </w:pPr>
    </w:lvl>
    <w:lvl w:ilvl="2" w:tplc="080C001B" w:tentative="1">
      <w:start w:val="1"/>
      <w:numFmt w:val="lowerRoman"/>
      <w:lvlText w:val="%3."/>
      <w:lvlJc w:val="right"/>
      <w:pPr>
        <w:ind w:left="3216" w:hanging="180"/>
      </w:pPr>
    </w:lvl>
    <w:lvl w:ilvl="3" w:tplc="080C000F" w:tentative="1">
      <w:start w:val="1"/>
      <w:numFmt w:val="decimal"/>
      <w:lvlText w:val="%4."/>
      <w:lvlJc w:val="left"/>
      <w:pPr>
        <w:ind w:left="3936" w:hanging="360"/>
      </w:pPr>
    </w:lvl>
    <w:lvl w:ilvl="4" w:tplc="080C0019" w:tentative="1">
      <w:start w:val="1"/>
      <w:numFmt w:val="lowerLetter"/>
      <w:lvlText w:val="%5."/>
      <w:lvlJc w:val="left"/>
      <w:pPr>
        <w:ind w:left="4656" w:hanging="360"/>
      </w:pPr>
    </w:lvl>
    <w:lvl w:ilvl="5" w:tplc="080C001B" w:tentative="1">
      <w:start w:val="1"/>
      <w:numFmt w:val="lowerRoman"/>
      <w:lvlText w:val="%6."/>
      <w:lvlJc w:val="right"/>
      <w:pPr>
        <w:ind w:left="5376" w:hanging="180"/>
      </w:pPr>
    </w:lvl>
    <w:lvl w:ilvl="6" w:tplc="080C000F" w:tentative="1">
      <w:start w:val="1"/>
      <w:numFmt w:val="decimal"/>
      <w:lvlText w:val="%7."/>
      <w:lvlJc w:val="left"/>
      <w:pPr>
        <w:ind w:left="6096" w:hanging="360"/>
      </w:pPr>
    </w:lvl>
    <w:lvl w:ilvl="7" w:tplc="080C0019" w:tentative="1">
      <w:start w:val="1"/>
      <w:numFmt w:val="lowerLetter"/>
      <w:lvlText w:val="%8."/>
      <w:lvlJc w:val="left"/>
      <w:pPr>
        <w:ind w:left="6816" w:hanging="360"/>
      </w:pPr>
    </w:lvl>
    <w:lvl w:ilvl="8" w:tplc="080C001B" w:tentative="1">
      <w:start w:val="1"/>
      <w:numFmt w:val="lowerRoman"/>
      <w:lvlText w:val="%9."/>
      <w:lvlJc w:val="right"/>
      <w:pPr>
        <w:ind w:left="7536" w:hanging="180"/>
      </w:pPr>
    </w:lvl>
  </w:abstractNum>
  <w:num w:numId="1" w16cid:durableId="1155075286">
    <w:abstractNumId w:val="14"/>
  </w:num>
  <w:num w:numId="2" w16cid:durableId="864634180">
    <w:abstractNumId w:val="2"/>
  </w:num>
  <w:num w:numId="3" w16cid:durableId="217278292">
    <w:abstractNumId w:val="18"/>
  </w:num>
  <w:num w:numId="4" w16cid:durableId="271936177">
    <w:abstractNumId w:val="11"/>
  </w:num>
  <w:num w:numId="5" w16cid:durableId="1523938895">
    <w:abstractNumId w:val="3"/>
  </w:num>
  <w:num w:numId="6" w16cid:durableId="677080405">
    <w:abstractNumId w:val="13"/>
  </w:num>
  <w:num w:numId="7" w16cid:durableId="771899635">
    <w:abstractNumId w:val="6"/>
  </w:num>
  <w:num w:numId="8" w16cid:durableId="244800806">
    <w:abstractNumId w:val="1"/>
  </w:num>
  <w:num w:numId="9" w16cid:durableId="1648705015">
    <w:abstractNumId w:val="19"/>
  </w:num>
  <w:num w:numId="10" w16cid:durableId="1683313678">
    <w:abstractNumId w:val="0"/>
  </w:num>
  <w:num w:numId="11" w16cid:durableId="1586306264">
    <w:abstractNumId w:val="21"/>
  </w:num>
  <w:num w:numId="12" w16cid:durableId="1928801548">
    <w:abstractNumId w:val="17"/>
  </w:num>
  <w:num w:numId="13" w16cid:durableId="482696074">
    <w:abstractNumId w:val="12"/>
  </w:num>
  <w:num w:numId="14" w16cid:durableId="294481767">
    <w:abstractNumId w:val="4"/>
  </w:num>
  <w:num w:numId="15" w16cid:durableId="1083989654">
    <w:abstractNumId w:val="5"/>
  </w:num>
  <w:num w:numId="16" w16cid:durableId="497235481">
    <w:abstractNumId w:val="20"/>
  </w:num>
  <w:num w:numId="17" w16cid:durableId="1582637561">
    <w:abstractNumId w:val="9"/>
  </w:num>
  <w:num w:numId="18" w16cid:durableId="2135903446">
    <w:abstractNumId w:val="8"/>
  </w:num>
  <w:num w:numId="19" w16cid:durableId="47846632">
    <w:abstractNumId w:val="10"/>
  </w:num>
  <w:num w:numId="20" w16cid:durableId="18358442">
    <w:abstractNumId w:val="7"/>
  </w:num>
  <w:num w:numId="21" w16cid:durableId="2110542541">
    <w:abstractNumId w:val="15"/>
  </w:num>
  <w:num w:numId="22" w16cid:durableId="6963501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502"/>
    <w:rsid w:val="000039BE"/>
    <w:rsid w:val="00014CE2"/>
    <w:rsid w:val="000156B0"/>
    <w:rsid w:val="0002379B"/>
    <w:rsid w:val="00031D71"/>
    <w:rsid w:val="000331B6"/>
    <w:rsid w:val="00042091"/>
    <w:rsid w:val="0004320C"/>
    <w:rsid w:val="000456DD"/>
    <w:rsid w:val="0004658A"/>
    <w:rsid w:val="00047B46"/>
    <w:rsid w:val="00051991"/>
    <w:rsid w:val="0005474B"/>
    <w:rsid w:val="00055197"/>
    <w:rsid w:val="000573E3"/>
    <w:rsid w:val="000634DA"/>
    <w:rsid w:val="00067A96"/>
    <w:rsid w:val="00071DF6"/>
    <w:rsid w:val="00080FA1"/>
    <w:rsid w:val="0008184E"/>
    <w:rsid w:val="000831C6"/>
    <w:rsid w:val="00086159"/>
    <w:rsid w:val="000873A8"/>
    <w:rsid w:val="000933AA"/>
    <w:rsid w:val="00093623"/>
    <w:rsid w:val="00094444"/>
    <w:rsid w:val="000949B8"/>
    <w:rsid w:val="00096110"/>
    <w:rsid w:val="000974E2"/>
    <w:rsid w:val="0009771E"/>
    <w:rsid w:val="000A11BC"/>
    <w:rsid w:val="000A1AEE"/>
    <w:rsid w:val="000A7DEF"/>
    <w:rsid w:val="000B74F8"/>
    <w:rsid w:val="000C0BD1"/>
    <w:rsid w:val="000C11D4"/>
    <w:rsid w:val="000C2DBA"/>
    <w:rsid w:val="000C46CF"/>
    <w:rsid w:val="000C530F"/>
    <w:rsid w:val="000C70A3"/>
    <w:rsid w:val="000C7557"/>
    <w:rsid w:val="000D06F1"/>
    <w:rsid w:val="000D41FB"/>
    <w:rsid w:val="000D5D94"/>
    <w:rsid w:val="000E03AE"/>
    <w:rsid w:val="000E03E0"/>
    <w:rsid w:val="000E0648"/>
    <w:rsid w:val="000E0D6B"/>
    <w:rsid w:val="000E44D2"/>
    <w:rsid w:val="000E4551"/>
    <w:rsid w:val="000E57AC"/>
    <w:rsid w:val="000F2632"/>
    <w:rsid w:val="000F2EBD"/>
    <w:rsid w:val="000F31AE"/>
    <w:rsid w:val="000F44BA"/>
    <w:rsid w:val="000F77B8"/>
    <w:rsid w:val="001031B8"/>
    <w:rsid w:val="00103399"/>
    <w:rsid w:val="00103F2B"/>
    <w:rsid w:val="00116A1D"/>
    <w:rsid w:val="00124EE4"/>
    <w:rsid w:val="0013185B"/>
    <w:rsid w:val="0013595B"/>
    <w:rsid w:val="001427F5"/>
    <w:rsid w:val="0014779F"/>
    <w:rsid w:val="001506A7"/>
    <w:rsid w:val="00153EC4"/>
    <w:rsid w:val="00154FBB"/>
    <w:rsid w:val="00163424"/>
    <w:rsid w:val="0016465B"/>
    <w:rsid w:val="001653A8"/>
    <w:rsid w:val="0016582D"/>
    <w:rsid w:val="00167707"/>
    <w:rsid w:val="00171AB3"/>
    <w:rsid w:val="00173B80"/>
    <w:rsid w:val="0017759A"/>
    <w:rsid w:val="001777C9"/>
    <w:rsid w:val="00183495"/>
    <w:rsid w:val="0019083E"/>
    <w:rsid w:val="00191F7A"/>
    <w:rsid w:val="0019229C"/>
    <w:rsid w:val="00192B1C"/>
    <w:rsid w:val="00196BD7"/>
    <w:rsid w:val="00197024"/>
    <w:rsid w:val="001A0AB1"/>
    <w:rsid w:val="001A4B31"/>
    <w:rsid w:val="001A7988"/>
    <w:rsid w:val="001B0A59"/>
    <w:rsid w:val="001B16DC"/>
    <w:rsid w:val="001B3DF2"/>
    <w:rsid w:val="001C0ED3"/>
    <w:rsid w:val="001C0FC5"/>
    <w:rsid w:val="001C2884"/>
    <w:rsid w:val="001C35DB"/>
    <w:rsid w:val="001C7BD0"/>
    <w:rsid w:val="001D1E6F"/>
    <w:rsid w:val="001D2250"/>
    <w:rsid w:val="001D2E78"/>
    <w:rsid w:val="001E05A8"/>
    <w:rsid w:val="001E1E06"/>
    <w:rsid w:val="001E2D04"/>
    <w:rsid w:val="001E3FBC"/>
    <w:rsid w:val="001E7314"/>
    <w:rsid w:val="001F1B2D"/>
    <w:rsid w:val="001F4269"/>
    <w:rsid w:val="001F4B0C"/>
    <w:rsid w:val="002011D5"/>
    <w:rsid w:val="00203354"/>
    <w:rsid w:val="00211D4E"/>
    <w:rsid w:val="00212577"/>
    <w:rsid w:val="0021309C"/>
    <w:rsid w:val="0021412B"/>
    <w:rsid w:val="00221429"/>
    <w:rsid w:val="00225848"/>
    <w:rsid w:val="00231ECB"/>
    <w:rsid w:val="00232F65"/>
    <w:rsid w:val="00233085"/>
    <w:rsid w:val="00233B59"/>
    <w:rsid w:val="00234020"/>
    <w:rsid w:val="002375B5"/>
    <w:rsid w:val="002418CC"/>
    <w:rsid w:val="00241CDE"/>
    <w:rsid w:val="00242543"/>
    <w:rsid w:val="002458D9"/>
    <w:rsid w:val="00245A3F"/>
    <w:rsid w:val="002474E5"/>
    <w:rsid w:val="002518E4"/>
    <w:rsid w:val="002520B1"/>
    <w:rsid w:val="00253BC9"/>
    <w:rsid w:val="00253C88"/>
    <w:rsid w:val="00254130"/>
    <w:rsid w:val="00256CAF"/>
    <w:rsid w:val="0025759C"/>
    <w:rsid w:val="00262388"/>
    <w:rsid w:val="00262FD8"/>
    <w:rsid w:val="002655DB"/>
    <w:rsid w:val="002659C9"/>
    <w:rsid w:val="0026705E"/>
    <w:rsid w:val="00273941"/>
    <w:rsid w:val="00274BC5"/>
    <w:rsid w:val="00285397"/>
    <w:rsid w:val="00285D1C"/>
    <w:rsid w:val="002908B1"/>
    <w:rsid w:val="00294B34"/>
    <w:rsid w:val="002958B0"/>
    <w:rsid w:val="00296387"/>
    <w:rsid w:val="002968C1"/>
    <w:rsid w:val="002A3190"/>
    <w:rsid w:val="002A4150"/>
    <w:rsid w:val="002A6297"/>
    <w:rsid w:val="002A65DF"/>
    <w:rsid w:val="002A7A1B"/>
    <w:rsid w:val="002A7E79"/>
    <w:rsid w:val="002B161B"/>
    <w:rsid w:val="002B4897"/>
    <w:rsid w:val="002B6BA8"/>
    <w:rsid w:val="002C521B"/>
    <w:rsid w:val="002D02C1"/>
    <w:rsid w:val="002D12C5"/>
    <w:rsid w:val="002E0408"/>
    <w:rsid w:val="002E128A"/>
    <w:rsid w:val="002E27E0"/>
    <w:rsid w:val="002E2D50"/>
    <w:rsid w:val="002E78EA"/>
    <w:rsid w:val="002F0B8E"/>
    <w:rsid w:val="002F0F08"/>
    <w:rsid w:val="002F26E7"/>
    <w:rsid w:val="002F4BED"/>
    <w:rsid w:val="002F60E7"/>
    <w:rsid w:val="003010A2"/>
    <w:rsid w:val="003036B0"/>
    <w:rsid w:val="00303E02"/>
    <w:rsid w:val="003046FC"/>
    <w:rsid w:val="00305EB6"/>
    <w:rsid w:val="00311947"/>
    <w:rsid w:val="003133BA"/>
    <w:rsid w:val="00324595"/>
    <w:rsid w:val="00324621"/>
    <w:rsid w:val="003260CF"/>
    <w:rsid w:val="003328D0"/>
    <w:rsid w:val="00335351"/>
    <w:rsid w:val="0033619B"/>
    <w:rsid w:val="00341420"/>
    <w:rsid w:val="0034217C"/>
    <w:rsid w:val="00342844"/>
    <w:rsid w:val="00344EBC"/>
    <w:rsid w:val="003538C1"/>
    <w:rsid w:val="00354555"/>
    <w:rsid w:val="0035494C"/>
    <w:rsid w:val="00356DE4"/>
    <w:rsid w:val="0035710D"/>
    <w:rsid w:val="003578DD"/>
    <w:rsid w:val="003608B6"/>
    <w:rsid w:val="00360E11"/>
    <w:rsid w:val="003628DA"/>
    <w:rsid w:val="00367066"/>
    <w:rsid w:val="00370C33"/>
    <w:rsid w:val="00372541"/>
    <w:rsid w:val="0037698F"/>
    <w:rsid w:val="00376FC9"/>
    <w:rsid w:val="00382F8E"/>
    <w:rsid w:val="00386A37"/>
    <w:rsid w:val="00386A54"/>
    <w:rsid w:val="00387926"/>
    <w:rsid w:val="003909CE"/>
    <w:rsid w:val="0039181A"/>
    <w:rsid w:val="003A4259"/>
    <w:rsid w:val="003B144B"/>
    <w:rsid w:val="003B15E1"/>
    <w:rsid w:val="003B6B74"/>
    <w:rsid w:val="003B6E57"/>
    <w:rsid w:val="003C0580"/>
    <w:rsid w:val="003C20D2"/>
    <w:rsid w:val="003C7172"/>
    <w:rsid w:val="003D076F"/>
    <w:rsid w:val="003D109E"/>
    <w:rsid w:val="003D23FB"/>
    <w:rsid w:val="003D4E52"/>
    <w:rsid w:val="003D5759"/>
    <w:rsid w:val="003E2C18"/>
    <w:rsid w:val="003E5F09"/>
    <w:rsid w:val="003E77F8"/>
    <w:rsid w:val="003F135F"/>
    <w:rsid w:val="003F34A0"/>
    <w:rsid w:val="003F51B0"/>
    <w:rsid w:val="003F7882"/>
    <w:rsid w:val="00401668"/>
    <w:rsid w:val="00402BEE"/>
    <w:rsid w:val="00405151"/>
    <w:rsid w:val="004057CC"/>
    <w:rsid w:val="0041010F"/>
    <w:rsid w:val="0041290E"/>
    <w:rsid w:val="00415216"/>
    <w:rsid w:val="00416507"/>
    <w:rsid w:val="0041676A"/>
    <w:rsid w:val="0042564B"/>
    <w:rsid w:val="004275F1"/>
    <w:rsid w:val="00427796"/>
    <w:rsid w:val="0043197B"/>
    <w:rsid w:val="00431DCD"/>
    <w:rsid w:val="00433023"/>
    <w:rsid w:val="00436621"/>
    <w:rsid w:val="0044059B"/>
    <w:rsid w:val="00442AF1"/>
    <w:rsid w:val="00443A6D"/>
    <w:rsid w:val="00444BEA"/>
    <w:rsid w:val="0044612B"/>
    <w:rsid w:val="004533FF"/>
    <w:rsid w:val="00455482"/>
    <w:rsid w:val="00464748"/>
    <w:rsid w:val="00465623"/>
    <w:rsid w:val="00465CAF"/>
    <w:rsid w:val="004665D7"/>
    <w:rsid w:val="00466DD1"/>
    <w:rsid w:val="00470347"/>
    <w:rsid w:val="00473833"/>
    <w:rsid w:val="00486983"/>
    <w:rsid w:val="0049381F"/>
    <w:rsid w:val="004956BA"/>
    <w:rsid w:val="00495F30"/>
    <w:rsid w:val="004A1073"/>
    <w:rsid w:val="004A2030"/>
    <w:rsid w:val="004A2189"/>
    <w:rsid w:val="004A548D"/>
    <w:rsid w:val="004A5B15"/>
    <w:rsid w:val="004B1F65"/>
    <w:rsid w:val="004B20B8"/>
    <w:rsid w:val="004B3BE6"/>
    <w:rsid w:val="004C1E0A"/>
    <w:rsid w:val="004D54AD"/>
    <w:rsid w:val="004D6DA6"/>
    <w:rsid w:val="004E0FCA"/>
    <w:rsid w:val="004E3603"/>
    <w:rsid w:val="004F0238"/>
    <w:rsid w:val="004F09F7"/>
    <w:rsid w:val="005003F5"/>
    <w:rsid w:val="00500658"/>
    <w:rsid w:val="00501EBE"/>
    <w:rsid w:val="00504553"/>
    <w:rsid w:val="00506FD9"/>
    <w:rsid w:val="005101CC"/>
    <w:rsid w:val="00515A53"/>
    <w:rsid w:val="0051773A"/>
    <w:rsid w:val="00521F76"/>
    <w:rsid w:val="0052392E"/>
    <w:rsid w:val="00523FC6"/>
    <w:rsid w:val="00525909"/>
    <w:rsid w:val="005270CE"/>
    <w:rsid w:val="0053019C"/>
    <w:rsid w:val="00530490"/>
    <w:rsid w:val="00530A15"/>
    <w:rsid w:val="00531D7B"/>
    <w:rsid w:val="00532368"/>
    <w:rsid w:val="00533CCD"/>
    <w:rsid w:val="00534F8F"/>
    <w:rsid w:val="00543D91"/>
    <w:rsid w:val="0054420C"/>
    <w:rsid w:val="00544249"/>
    <w:rsid w:val="00546C13"/>
    <w:rsid w:val="005533D1"/>
    <w:rsid w:val="005605DF"/>
    <w:rsid w:val="005633FB"/>
    <w:rsid w:val="00566385"/>
    <w:rsid w:val="00566ABC"/>
    <w:rsid w:val="00570D5D"/>
    <w:rsid w:val="00572660"/>
    <w:rsid w:val="00572750"/>
    <w:rsid w:val="00573E55"/>
    <w:rsid w:val="005744E5"/>
    <w:rsid w:val="0057451B"/>
    <w:rsid w:val="005755AD"/>
    <w:rsid w:val="005803AD"/>
    <w:rsid w:val="00580968"/>
    <w:rsid w:val="00580F72"/>
    <w:rsid w:val="00582A43"/>
    <w:rsid w:val="00583EB4"/>
    <w:rsid w:val="005901A1"/>
    <w:rsid w:val="00590218"/>
    <w:rsid w:val="0059215D"/>
    <w:rsid w:val="00592FB3"/>
    <w:rsid w:val="00593A07"/>
    <w:rsid w:val="00593B11"/>
    <w:rsid w:val="005972A5"/>
    <w:rsid w:val="00597842"/>
    <w:rsid w:val="005A0F3C"/>
    <w:rsid w:val="005A1F93"/>
    <w:rsid w:val="005A579A"/>
    <w:rsid w:val="005A6241"/>
    <w:rsid w:val="005A65FD"/>
    <w:rsid w:val="005B1E83"/>
    <w:rsid w:val="005B2F3D"/>
    <w:rsid w:val="005B3D23"/>
    <w:rsid w:val="005B61AE"/>
    <w:rsid w:val="005B7CC1"/>
    <w:rsid w:val="005C2D4D"/>
    <w:rsid w:val="005C3EDB"/>
    <w:rsid w:val="005C45DB"/>
    <w:rsid w:val="005C5383"/>
    <w:rsid w:val="005C7195"/>
    <w:rsid w:val="005D1B8C"/>
    <w:rsid w:val="005D5BED"/>
    <w:rsid w:val="005D778C"/>
    <w:rsid w:val="005D7C88"/>
    <w:rsid w:val="005E1016"/>
    <w:rsid w:val="005E2EA5"/>
    <w:rsid w:val="005E3E43"/>
    <w:rsid w:val="005E4385"/>
    <w:rsid w:val="005E4EFC"/>
    <w:rsid w:val="005E669C"/>
    <w:rsid w:val="005E7375"/>
    <w:rsid w:val="005F0EA6"/>
    <w:rsid w:val="005F3CD3"/>
    <w:rsid w:val="005F5F3D"/>
    <w:rsid w:val="00600D66"/>
    <w:rsid w:val="006013CB"/>
    <w:rsid w:val="00603C17"/>
    <w:rsid w:val="00604769"/>
    <w:rsid w:val="00607750"/>
    <w:rsid w:val="00610424"/>
    <w:rsid w:val="00612EF4"/>
    <w:rsid w:val="00613A96"/>
    <w:rsid w:val="00615022"/>
    <w:rsid w:val="00615D01"/>
    <w:rsid w:val="006222D3"/>
    <w:rsid w:val="0062339E"/>
    <w:rsid w:val="00625785"/>
    <w:rsid w:val="00626675"/>
    <w:rsid w:val="006268A1"/>
    <w:rsid w:val="00636C65"/>
    <w:rsid w:val="00637ED0"/>
    <w:rsid w:val="00640617"/>
    <w:rsid w:val="0064213B"/>
    <w:rsid w:val="00642184"/>
    <w:rsid w:val="0064387A"/>
    <w:rsid w:val="00643A81"/>
    <w:rsid w:val="006449A5"/>
    <w:rsid w:val="00645586"/>
    <w:rsid w:val="00654D8A"/>
    <w:rsid w:val="00655CC0"/>
    <w:rsid w:val="006566D3"/>
    <w:rsid w:val="00661E65"/>
    <w:rsid w:val="00662332"/>
    <w:rsid w:val="006639F5"/>
    <w:rsid w:val="00671908"/>
    <w:rsid w:val="00675F69"/>
    <w:rsid w:val="00676E5E"/>
    <w:rsid w:val="00681AAC"/>
    <w:rsid w:val="006839F4"/>
    <w:rsid w:val="006864E3"/>
    <w:rsid w:val="006866E2"/>
    <w:rsid w:val="00690EE8"/>
    <w:rsid w:val="006912D3"/>
    <w:rsid w:val="0069669B"/>
    <w:rsid w:val="006970E8"/>
    <w:rsid w:val="00697FF3"/>
    <w:rsid w:val="006A06B2"/>
    <w:rsid w:val="006A2737"/>
    <w:rsid w:val="006A6C0A"/>
    <w:rsid w:val="006A7240"/>
    <w:rsid w:val="006B0501"/>
    <w:rsid w:val="006B1DFC"/>
    <w:rsid w:val="006B292C"/>
    <w:rsid w:val="006B360C"/>
    <w:rsid w:val="006B4856"/>
    <w:rsid w:val="006B4EE1"/>
    <w:rsid w:val="006C1379"/>
    <w:rsid w:val="006D3CCD"/>
    <w:rsid w:val="006D5E67"/>
    <w:rsid w:val="006D6AD3"/>
    <w:rsid w:val="006D73A2"/>
    <w:rsid w:val="006E122D"/>
    <w:rsid w:val="006E1CDD"/>
    <w:rsid w:val="006E3D5F"/>
    <w:rsid w:val="006F11F0"/>
    <w:rsid w:val="006F46AF"/>
    <w:rsid w:val="006F5DBC"/>
    <w:rsid w:val="006F6A5F"/>
    <w:rsid w:val="0070002F"/>
    <w:rsid w:val="00702079"/>
    <w:rsid w:val="0070242A"/>
    <w:rsid w:val="00712393"/>
    <w:rsid w:val="00712AF8"/>
    <w:rsid w:val="00716285"/>
    <w:rsid w:val="0072144F"/>
    <w:rsid w:val="00722991"/>
    <w:rsid w:val="00723EFC"/>
    <w:rsid w:val="00727693"/>
    <w:rsid w:val="007324E3"/>
    <w:rsid w:val="00732AB3"/>
    <w:rsid w:val="00735D22"/>
    <w:rsid w:val="00740652"/>
    <w:rsid w:val="00741A26"/>
    <w:rsid w:val="00752890"/>
    <w:rsid w:val="00756D06"/>
    <w:rsid w:val="00760147"/>
    <w:rsid w:val="00761742"/>
    <w:rsid w:val="00764B81"/>
    <w:rsid w:val="00766E8A"/>
    <w:rsid w:val="00774C44"/>
    <w:rsid w:val="00775458"/>
    <w:rsid w:val="007779FD"/>
    <w:rsid w:val="0078373A"/>
    <w:rsid w:val="00783A12"/>
    <w:rsid w:val="00784264"/>
    <w:rsid w:val="00787439"/>
    <w:rsid w:val="00793068"/>
    <w:rsid w:val="007A5517"/>
    <w:rsid w:val="007B0800"/>
    <w:rsid w:val="007B0B2F"/>
    <w:rsid w:val="007B1C11"/>
    <w:rsid w:val="007B1F1A"/>
    <w:rsid w:val="007B213A"/>
    <w:rsid w:val="007B2908"/>
    <w:rsid w:val="007B33B8"/>
    <w:rsid w:val="007B4850"/>
    <w:rsid w:val="007C0458"/>
    <w:rsid w:val="007C13E6"/>
    <w:rsid w:val="007C2507"/>
    <w:rsid w:val="007C3B12"/>
    <w:rsid w:val="007C5B1E"/>
    <w:rsid w:val="007C6621"/>
    <w:rsid w:val="007C7FB4"/>
    <w:rsid w:val="007D03F7"/>
    <w:rsid w:val="007D0893"/>
    <w:rsid w:val="007D2776"/>
    <w:rsid w:val="007D2C40"/>
    <w:rsid w:val="007D2C66"/>
    <w:rsid w:val="007D3F30"/>
    <w:rsid w:val="007D5B9F"/>
    <w:rsid w:val="007D6756"/>
    <w:rsid w:val="007D79AC"/>
    <w:rsid w:val="007E2C54"/>
    <w:rsid w:val="007E397A"/>
    <w:rsid w:val="007E63CA"/>
    <w:rsid w:val="007E6BE9"/>
    <w:rsid w:val="007E6BEF"/>
    <w:rsid w:val="007E6F40"/>
    <w:rsid w:val="007F18D9"/>
    <w:rsid w:val="007F1A4E"/>
    <w:rsid w:val="007F32D9"/>
    <w:rsid w:val="007F4502"/>
    <w:rsid w:val="007F4A26"/>
    <w:rsid w:val="007F60E1"/>
    <w:rsid w:val="00800EA6"/>
    <w:rsid w:val="00805A90"/>
    <w:rsid w:val="00810359"/>
    <w:rsid w:val="00813857"/>
    <w:rsid w:val="00814ACE"/>
    <w:rsid w:val="00821A6D"/>
    <w:rsid w:val="0082352B"/>
    <w:rsid w:val="00824D9C"/>
    <w:rsid w:val="00826563"/>
    <w:rsid w:val="00830074"/>
    <w:rsid w:val="00834969"/>
    <w:rsid w:val="0083601F"/>
    <w:rsid w:val="008440A2"/>
    <w:rsid w:val="0084431A"/>
    <w:rsid w:val="00844895"/>
    <w:rsid w:val="00850108"/>
    <w:rsid w:val="0085338A"/>
    <w:rsid w:val="008556C2"/>
    <w:rsid w:val="00870588"/>
    <w:rsid w:val="008737D2"/>
    <w:rsid w:val="00875FEE"/>
    <w:rsid w:val="00880842"/>
    <w:rsid w:val="008811C1"/>
    <w:rsid w:val="008814F6"/>
    <w:rsid w:val="00883847"/>
    <w:rsid w:val="00883E4C"/>
    <w:rsid w:val="008847D3"/>
    <w:rsid w:val="00890447"/>
    <w:rsid w:val="00890630"/>
    <w:rsid w:val="00892C35"/>
    <w:rsid w:val="00896B0E"/>
    <w:rsid w:val="008A53C8"/>
    <w:rsid w:val="008A71A2"/>
    <w:rsid w:val="008A7259"/>
    <w:rsid w:val="008B4114"/>
    <w:rsid w:val="008C0D13"/>
    <w:rsid w:val="008C111D"/>
    <w:rsid w:val="008C262F"/>
    <w:rsid w:val="008C4BE8"/>
    <w:rsid w:val="008D00BC"/>
    <w:rsid w:val="008D0A42"/>
    <w:rsid w:val="008D2306"/>
    <w:rsid w:val="008D4EE3"/>
    <w:rsid w:val="008D659C"/>
    <w:rsid w:val="008E0D55"/>
    <w:rsid w:val="008E19BE"/>
    <w:rsid w:val="008E2107"/>
    <w:rsid w:val="008E3C7A"/>
    <w:rsid w:val="008E41AB"/>
    <w:rsid w:val="008E67CE"/>
    <w:rsid w:val="008E70CB"/>
    <w:rsid w:val="008F571C"/>
    <w:rsid w:val="008F6154"/>
    <w:rsid w:val="00900BA2"/>
    <w:rsid w:val="0090135D"/>
    <w:rsid w:val="009055AC"/>
    <w:rsid w:val="0091214F"/>
    <w:rsid w:val="00913C96"/>
    <w:rsid w:val="00915622"/>
    <w:rsid w:val="00916409"/>
    <w:rsid w:val="009173AC"/>
    <w:rsid w:val="009200B0"/>
    <w:rsid w:val="00926320"/>
    <w:rsid w:val="009314C5"/>
    <w:rsid w:val="00933CFE"/>
    <w:rsid w:val="009344D5"/>
    <w:rsid w:val="00935589"/>
    <w:rsid w:val="0093774D"/>
    <w:rsid w:val="0093781E"/>
    <w:rsid w:val="00941611"/>
    <w:rsid w:val="00941B3D"/>
    <w:rsid w:val="0094257F"/>
    <w:rsid w:val="00942E46"/>
    <w:rsid w:val="009511C8"/>
    <w:rsid w:val="009522E5"/>
    <w:rsid w:val="0095688D"/>
    <w:rsid w:val="0096022F"/>
    <w:rsid w:val="00963262"/>
    <w:rsid w:val="00964A94"/>
    <w:rsid w:val="00967402"/>
    <w:rsid w:val="009739CE"/>
    <w:rsid w:val="0097409C"/>
    <w:rsid w:val="0098105C"/>
    <w:rsid w:val="009840DD"/>
    <w:rsid w:val="00990073"/>
    <w:rsid w:val="009937E0"/>
    <w:rsid w:val="00993CEA"/>
    <w:rsid w:val="00996BC7"/>
    <w:rsid w:val="00996F79"/>
    <w:rsid w:val="009A3305"/>
    <w:rsid w:val="009A3EAF"/>
    <w:rsid w:val="009A71E5"/>
    <w:rsid w:val="009B0BB0"/>
    <w:rsid w:val="009B11F7"/>
    <w:rsid w:val="009B25E8"/>
    <w:rsid w:val="009B2C3D"/>
    <w:rsid w:val="009B5A93"/>
    <w:rsid w:val="009B6E39"/>
    <w:rsid w:val="009B76C8"/>
    <w:rsid w:val="009C4DFE"/>
    <w:rsid w:val="009C771C"/>
    <w:rsid w:val="009D4C4D"/>
    <w:rsid w:val="009D4CBD"/>
    <w:rsid w:val="009D50C4"/>
    <w:rsid w:val="009D7BEA"/>
    <w:rsid w:val="009E24B5"/>
    <w:rsid w:val="009E5886"/>
    <w:rsid w:val="009E767E"/>
    <w:rsid w:val="009F0B43"/>
    <w:rsid w:val="009F34D8"/>
    <w:rsid w:val="009F4043"/>
    <w:rsid w:val="009F59B0"/>
    <w:rsid w:val="009F64CA"/>
    <w:rsid w:val="009F664C"/>
    <w:rsid w:val="00A0095C"/>
    <w:rsid w:val="00A04251"/>
    <w:rsid w:val="00A04998"/>
    <w:rsid w:val="00A067F5"/>
    <w:rsid w:val="00A06CCC"/>
    <w:rsid w:val="00A118F8"/>
    <w:rsid w:val="00A13233"/>
    <w:rsid w:val="00A13F09"/>
    <w:rsid w:val="00A141FE"/>
    <w:rsid w:val="00A20BB4"/>
    <w:rsid w:val="00A20E87"/>
    <w:rsid w:val="00A23199"/>
    <w:rsid w:val="00A2684E"/>
    <w:rsid w:val="00A2787C"/>
    <w:rsid w:val="00A30601"/>
    <w:rsid w:val="00A405D2"/>
    <w:rsid w:val="00A44246"/>
    <w:rsid w:val="00A4454E"/>
    <w:rsid w:val="00A45F56"/>
    <w:rsid w:val="00A46DFD"/>
    <w:rsid w:val="00A50A9C"/>
    <w:rsid w:val="00A5158F"/>
    <w:rsid w:val="00A527F2"/>
    <w:rsid w:val="00A52F94"/>
    <w:rsid w:val="00A57556"/>
    <w:rsid w:val="00A62384"/>
    <w:rsid w:val="00A64934"/>
    <w:rsid w:val="00A64A77"/>
    <w:rsid w:val="00A65BE2"/>
    <w:rsid w:val="00A72F4B"/>
    <w:rsid w:val="00A74E52"/>
    <w:rsid w:val="00A74EAB"/>
    <w:rsid w:val="00A75453"/>
    <w:rsid w:val="00A754D3"/>
    <w:rsid w:val="00A75B65"/>
    <w:rsid w:val="00A75BAE"/>
    <w:rsid w:val="00A75C4B"/>
    <w:rsid w:val="00A75F26"/>
    <w:rsid w:val="00A77264"/>
    <w:rsid w:val="00A77D07"/>
    <w:rsid w:val="00A855FD"/>
    <w:rsid w:val="00A91570"/>
    <w:rsid w:val="00A94592"/>
    <w:rsid w:val="00A95FCD"/>
    <w:rsid w:val="00A9658C"/>
    <w:rsid w:val="00AA041C"/>
    <w:rsid w:val="00AA31A9"/>
    <w:rsid w:val="00AA64BE"/>
    <w:rsid w:val="00AA74C6"/>
    <w:rsid w:val="00AC284F"/>
    <w:rsid w:val="00AC6888"/>
    <w:rsid w:val="00AD1483"/>
    <w:rsid w:val="00AD1B01"/>
    <w:rsid w:val="00AD3FF9"/>
    <w:rsid w:val="00AD4968"/>
    <w:rsid w:val="00AD557F"/>
    <w:rsid w:val="00AD6A1D"/>
    <w:rsid w:val="00AD71A4"/>
    <w:rsid w:val="00AD7316"/>
    <w:rsid w:val="00AE04E1"/>
    <w:rsid w:val="00AE5648"/>
    <w:rsid w:val="00AE58A1"/>
    <w:rsid w:val="00AE7220"/>
    <w:rsid w:val="00AE7BFB"/>
    <w:rsid w:val="00AF3D71"/>
    <w:rsid w:val="00AF555B"/>
    <w:rsid w:val="00AF5E46"/>
    <w:rsid w:val="00AF6CA9"/>
    <w:rsid w:val="00B01AA8"/>
    <w:rsid w:val="00B028A1"/>
    <w:rsid w:val="00B03235"/>
    <w:rsid w:val="00B0770D"/>
    <w:rsid w:val="00B10AD8"/>
    <w:rsid w:val="00B11225"/>
    <w:rsid w:val="00B12507"/>
    <w:rsid w:val="00B12CC6"/>
    <w:rsid w:val="00B15946"/>
    <w:rsid w:val="00B16CB9"/>
    <w:rsid w:val="00B16F5E"/>
    <w:rsid w:val="00B32422"/>
    <w:rsid w:val="00B3443E"/>
    <w:rsid w:val="00B37BE6"/>
    <w:rsid w:val="00B40CA8"/>
    <w:rsid w:val="00B42EB4"/>
    <w:rsid w:val="00B435C1"/>
    <w:rsid w:val="00B43852"/>
    <w:rsid w:val="00B4767F"/>
    <w:rsid w:val="00B60A8E"/>
    <w:rsid w:val="00B6181F"/>
    <w:rsid w:val="00B65209"/>
    <w:rsid w:val="00B66932"/>
    <w:rsid w:val="00B72DCB"/>
    <w:rsid w:val="00B73720"/>
    <w:rsid w:val="00B73E7A"/>
    <w:rsid w:val="00B7450E"/>
    <w:rsid w:val="00B76EC5"/>
    <w:rsid w:val="00B77D3E"/>
    <w:rsid w:val="00B81040"/>
    <w:rsid w:val="00B82F1B"/>
    <w:rsid w:val="00B85130"/>
    <w:rsid w:val="00B8628B"/>
    <w:rsid w:val="00B87801"/>
    <w:rsid w:val="00B94320"/>
    <w:rsid w:val="00B97302"/>
    <w:rsid w:val="00BA6477"/>
    <w:rsid w:val="00BA6F51"/>
    <w:rsid w:val="00BA7E84"/>
    <w:rsid w:val="00BB1FFC"/>
    <w:rsid w:val="00BB216B"/>
    <w:rsid w:val="00BB563F"/>
    <w:rsid w:val="00BB6562"/>
    <w:rsid w:val="00BB788B"/>
    <w:rsid w:val="00BB7C21"/>
    <w:rsid w:val="00BB7ED4"/>
    <w:rsid w:val="00BC0CB1"/>
    <w:rsid w:val="00BC392A"/>
    <w:rsid w:val="00BC5504"/>
    <w:rsid w:val="00BC6302"/>
    <w:rsid w:val="00BC7C23"/>
    <w:rsid w:val="00BD0626"/>
    <w:rsid w:val="00BD1774"/>
    <w:rsid w:val="00BD21D6"/>
    <w:rsid w:val="00BD47CE"/>
    <w:rsid w:val="00BD6E87"/>
    <w:rsid w:val="00BE0112"/>
    <w:rsid w:val="00BE678C"/>
    <w:rsid w:val="00BF638D"/>
    <w:rsid w:val="00C0039F"/>
    <w:rsid w:val="00C02185"/>
    <w:rsid w:val="00C07C10"/>
    <w:rsid w:val="00C104C1"/>
    <w:rsid w:val="00C12B8C"/>
    <w:rsid w:val="00C13D5E"/>
    <w:rsid w:val="00C145C9"/>
    <w:rsid w:val="00C15D4E"/>
    <w:rsid w:val="00C16C40"/>
    <w:rsid w:val="00C17313"/>
    <w:rsid w:val="00C207B5"/>
    <w:rsid w:val="00C23FCC"/>
    <w:rsid w:val="00C25A72"/>
    <w:rsid w:val="00C303D9"/>
    <w:rsid w:val="00C32384"/>
    <w:rsid w:val="00C340EB"/>
    <w:rsid w:val="00C35F5F"/>
    <w:rsid w:val="00C3796D"/>
    <w:rsid w:val="00C43891"/>
    <w:rsid w:val="00C457B5"/>
    <w:rsid w:val="00C50F8F"/>
    <w:rsid w:val="00C55897"/>
    <w:rsid w:val="00C55D8B"/>
    <w:rsid w:val="00C57DA8"/>
    <w:rsid w:val="00C6164B"/>
    <w:rsid w:val="00C6383E"/>
    <w:rsid w:val="00C6586E"/>
    <w:rsid w:val="00C6599A"/>
    <w:rsid w:val="00C7270B"/>
    <w:rsid w:val="00C73AA0"/>
    <w:rsid w:val="00C80B5F"/>
    <w:rsid w:val="00C81691"/>
    <w:rsid w:val="00C8369F"/>
    <w:rsid w:val="00C83EB4"/>
    <w:rsid w:val="00C91BE8"/>
    <w:rsid w:val="00C93CE7"/>
    <w:rsid w:val="00C95424"/>
    <w:rsid w:val="00C9579E"/>
    <w:rsid w:val="00CA1431"/>
    <w:rsid w:val="00CA3E4F"/>
    <w:rsid w:val="00CA3ECF"/>
    <w:rsid w:val="00CB167B"/>
    <w:rsid w:val="00CB4BCD"/>
    <w:rsid w:val="00CB4C4C"/>
    <w:rsid w:val="00CB5CB4"/>
    <w:rsid w:val="00CB667F"/>
    <w:rsid w:val="00CB6A66"/>
    <w:rsid w:val="00CB6B4F"/>
    <w:rsid w:val="00CB74A3"/>
    <w:rsid w:val="00CC03C9"/>
    <w:rsid w:val="00CC120E"/>
    <w:rsid w:val="00CC2C6D"/>
    <w:rsid w:val="00CD1381"/>
    <w:rsid w:val="00CD4225"/>
    <w:rsid w:val="00CD4A8B"/>
    <w:rsid w:val="00CD55B1"/>
    <w:rsid w:val="00CD7C1B"/>
    <w:rsid w:val="00CE0814"/>
    <w:rsid w:val="00CE0A83"/>
    <w:rsid w:val="00CE7D77"/>
    <w:rsid w:val="00CE7DFD"/>
    <w:rsid w:val="00CF1D1E"/>
    <w:rsid w:val="00D02327"/>
    <w:rsid w:val="00D02B5E"/>
    <w:rsid w:val="00D04D6A"/>
    <w:rsid w:val="00D10AF8"/>
    <w:rsid w:val="00D11D39"/>
    <w:rsid w:val="00D11E3E"/>
    <w:rsid w:val="00D151C8"/>
    <w:rsid w:val="00D16E6E"/>
    <w:rsid w:val="00D26B68"/>
    <w:rsid w:val="00D27468"/>
    <w:rsid w:val="00D4345B"/>
    <w:rsid w:val="00D458B3"/>
    <w:rsid w:val="00D45A2A"/>
    <w:rsid w:val="00D53371"/>
    <w:rsid w:val="00D544F0"/>
    <w:rsid w:val="00D60CAE"/>
    <w:rsid w:val="00D629CA"/>
    <w:rsid w:val="00D6388E"/>
    <w:rsid w:val="00D65E6D"/>
    <w:rsid w:val="00D6611C"/>
    <w:rsid w:val="00D71EF0"/>
    <w:rsid w:val="00D7295A"/>
    <w:rsid w:val="00D77C2F"/>
    <w:rsid w:val="00D80C99"/>
    <w:rsid w:val="00D82B4F"/>
    <w:rsid w:val="00D8372B"/>
    <w:rsid w:val="00D83EC1"/>
    <w:rsid w:val="00D83F26"/>
    <w:rsid w:val="00D85C0E"/>
    <w:rsid w:val="00D91843"/>
    <w:rsid w:val="00D944AC"/>
    <w:rsid w:val="00D95C0A"/>
    <w:rsid w:val="00D95C99"/>
    <w:rsid w:val="00D971ED"/>
    <w:rsid w:val="00D97BC8"/>
    <w:rsid w:val="00DA3633"/>
    <w:rsid w:val="00DB3374"/>
    <w:rsid w:val="00DB3B01"/>
    <w:rsid w:val="00DB4787"/>
    <w:rsid w:val="00DB5826"/>
    <w:rsid w:val="00DC0929"/>
    <w:rsid w:val="00DC0DB7"/>
    <w:rsid w:val="00DC47B2"/>
    <w:rsid w:val="00DC6731"/>
    <w:rsid w:val="00DC692D"/>
    <w:rsid w:val="00DC7144"/>
    <w:rsid w:val="00DD0590"/>
    <w:rsid w:val="00DD3BDE"/>
    <w:rsid w:val="00DD46F9"/>
    <w:rsid w:val="00DD6AB8"/>
    <w:rsid w:val="00DE1B86"/>
    <w:rsid w:val="00DE65BE"/>
    <w:rsid w:val="00DE7C86"/>
    <w:rsid w:val="00DE7F38"/>
    <w:rsid w:val="00DF1260"/>
    <w:rsid w:val="00DF17DC"/>
    <w:rsid w:val="00DF2D2A"/>
    <w:rsid w:val="00DF40EA"/>
    <w:rsid w:val="00DF62FA"/>
    <w:rsid w:val="00DF7801"/>
    <w:rsid w:val="00DF7B9C"/>
    <w:rsid w:val="00E005ED"/>
    <w:rsid w:val="00E0781D"/>
    <w:rsid w:val="00E07E70"/>
    <w:rsid w:val="00E10F13"/>
    <w:rsid w:val="00E119F5"/>
    <w:rsid w:val="00E13553"/>
    <w:rsid w:val="00E2019B"/>
    <w:rsid w:val="00E2430E"/>
    <w:rsid w:val="00E2504A"/>
    <w:rsid w:val="00E25F5D"/>
    <w:rsid w:val="00E320F1"/>
    <w:rsid w:val="00E3219F"/>
    <w:rsid w:val="00E3252C"/>
    <w:rsid w:val="00E35A27"/>
    <w:rsid w:val="00E35AF8"/>
    <w:rsid w:val="00E3606C"/>
    <w:rsid w:val="00E37293"/>
    <w:rsid w:val="00E3731F"/>
    <w:rsid w:val="00E376DB"/>
    <w:rsid w:val="00E40678"/>
    <w:rsid w:val="00E419D8"/>
    <w:rsid w:val="00E434D7"/>
    <w:rsid w:val="00E43EA6"/>
    <w:rsid w:val="00E450E4"/>
    <w:rsid w:val="00E46C08"/>
    <w:rsid w:val="00E541A1"/>
    <w:rsid w:val="00E54769"/>
    <w:rsid w:val="00E56821"/>
    <w:rsid w:val="00E65423"/>
    <w:rsid w:val="00E65D1A"/>
    <w:rsid w:val="00E71705"/>
    <w:rsid w:val="00E75005"/>
    <w:rsid w:val="00E75874"/>
    <w:rsid w:val="00E8040F"/>
    <w:rsid w:val="00E82861"/>
    <w:rsid w:val="00E84359"/>
    <w:rsid w:val="00E85F73"/>
    <w:rsid w:val="00E86B2B"/>
    <w:rsid w:val="00E90E75"/>
    <w:rsid w:val="00E92FCE"/>
    <w:rsid w:val="00E9543B"/>
    <w:rsid w:val="00E9649C"/>
    <w:rsid w:val="00EA0147"/>
    <w:rsid w:val="00EB3FC3"/>
    <w:rsid w:val="00EC209B"/>
    <w:rsid w:val="00EC2904"/>
    <w:rsid w:val="00EC2DE3"/>
    <w:rsid w:val="00EC7F8B"/>
    <w:rsid w:val="00ED2178"/>
    <w:rsid w:val="00ED3B2F"/>
    <w:rsid w:val="00ED5226"/>
    <w:rsid w:val="00ED64AF"/>
    <w:rsid w:val="00EE133A"/>
    <w:rsid w:val="00EE1B76"/>
    <w:rsid w:val="00EE4568"/>
    <w:rsid w:val="00EE57ED"/>
    <w:rsid w:val="00EE77B8"/>
    <w:rsid w:val="00EF36FF"/>
    <w:rsid w:val="00F03B75"/>
    <w:rsid w:val="00F0727F"/>
    <w:rsid w:val="00F1302C"/>
    <w:rsid w:val="00F151D2"/>
    <w:rsid w:val="00F158CF"/>
    <w:rsid w:val="00F20EA4"/>
    <w:rsid w:val="00F235F5"/>
    <w:rsid w:val="00F24C78"/>
    <w:rsid w:val="00F3273D"/>
    <w:rsid w:val="00F355C1"/>
    <w:rsid w:val="00F36379"/>
    <w:rsid w:val="00F4341F"/>
    <w:rsid w:val="00F47692"/>
    <w:rsid w:val="00F51759"/>
    <w:rsid w:val="00F54453"/>
    <w:rsid w:val="00F54A2A"/>
    <w:rsid w:val="00F55841"/>
    <w:rsid w:val="00F60389"/>
    <w:rsid w:val="00F609EE"/>
    <w:rsid w:val="00F67273"/>
    <w:rsid w:val="00F67809"/>
    <w:rsid w:val="00F70AAE"/>
    <w:rsid w:val="00F70FCD"/>
    <w:rsid w:val="00F72720"/>
    <w:rsid w:val="00F72E11"/>
    <w:rsid w:val="00F731C0"/>
    <w:rsid w:val="00F742A1"/>
    <w:rsid w:val="00F80E8A"/>
    <w:rsid w:val="00F83489"/>
    <w:rsid w:val="00F83A07"/>
    <w:rsid w:val="00F854B5"/>
    <w:rsid w:val="00F871E8"/>
    <w:rsid w:val="00F876BD"/>
    <w:rsid w:val="00F9175B"/>
    <w:rsid w:val="00FA2AA8"/>
    <w:rsid w:val="00FB2364"/>
    <w:rsid w:val="00FB2BBA"/>
    <w:rsid w:val="00FB2DBE"/>
    <w:rsid w:val="00FB2FC2"/>
    <w:rsid w:val="00FB5AB7"/>
    <w:rsid w:val="00FB5D3F"/>
    <w:rsid w:val="00FC0204"/>
    <w:rsid w:val="00FD1AFB"/>
    <w:rsid w:val="00FD23B1"/>
    <w:rsid w:val="00FD25EC"/>
    <w:rsid w:val="00FD5A7C"/>
    <w:rsid w:val="00FD6F60"/>
    <w:rsid w:val="00FE3392"/>
    <w:rsid w:val="00FE3F19"/>
    <w:rsid w:val="00FE4CAE"/>
    <w:rsid w:val="00FE535A"/>
    <w:rsid w:val="00FE69A3"/>
    <w:rsid w:val="00FF2901"/>
    <w:rsid w:val="00FF625D"/>
    <w:rsid w:val="00FF7728"/>
    <w:rsid w:val="00FF795D"/>
    <w:rsid w:val="00FF7B5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3E9084"/>
  <w15:docId w15:val="{E21F8529-8808-4847-ABAD-197345A1A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268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75C4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7779F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D73A2"/>
    <w:pPr>
      <w:ind w:left="720"/>
      <w:contextualSpacing/>
    </w:pPr>
  </w:style>
  <w:style w:type="character" w:styleId="Lienhypertexte">
    <w:name w:val="Hyperlink"/>
    <w:basedOn w:val="Policepardfaut"/>
    <w:uiPriority w:val="99"/>
    <w:unhideWhenUsed/>
    <w:rsid w:val="005C2D4D"/>
    <w:rPr>
      <w:color w:val="0563C1" w:themeColor="hyperlink"/>
      <w:u w:val="single"/>
    </w:rPr>
  </w:style>
  <w:style w:type="character" w:styleId="Mentionnonrsolue">
    <w:name w:val="Unresolved Mention"/>
    <w:basedOn w:val="Policepardfaut"/>
    <w:uiPriority w:val="99"/>
    <w:semiHidden/>
    <w:unhideWhenUsed/>
    <w:rsid w:val="005C2D4D"/>
    <w:rPr>
      <w:color w:val="605E5C"/>
      <w:shd w:val="clear" w:color="auto" w:fill="E1DFDD"/>
    </w:rPr>
  </w:style>
  <w:style w:type="paragraph" w:styleId="Notedebasdepage">
    <w:name w:val="footnote text"/>
    <w:aliases w:val="fn,Footnotes,Footnote ak,ICSID"/>
    <w:basedOn w:val="Normal"/>
    <w:link w:val="NotedebasdepageCar"/>
    <w:uiPriority w:val="99"/>
    <w:unhideWhenUsed/>
    <w:rsid w:val="00C80B5F"/>
    <w:pPr>
      <w:spacing w:after="0" w:line="240" w:lineRule="auto"/>
      <w:jc w:val="both"/>
    </w:pPr>
    <w:rPr>
      <w:rFonts w:ascii="Times New Roman" w:hAnsi="Times New Roman"/>
      <w:kern w:val="0"/>
      <w:sz w:val="20"/>
      <w:szCs w:val="20"/>
      <w:lang w:val="fr-FR"/>
      <w14:ligatures w14:val="none"/>
    </w:rPr>
  </w:style>
  <w:style w:type="character" w:customStyle="1" w:styleId="NotedebasdepageCar">
    <w:name w:val="Note de bas de page Car"/>
    <w:aliases w:val="fn Car,Footnotes Car,Footnote ak Car,ICSID Car"/>
    <w:basedOn w:val="Policepardfaut"/>
    <w:link w:val="Notedebasdepage"/>
    <w:uiPriority w:val="99"/>
    <w:rsid w:val="00C80B5F"/>
    <w:rPr>
      <w:rFonts w:ascii="Times New Roman" w:hAnsi="Times New Roman"/>
      <w:kern w:val="0"/>
      <w:sz w:val="20"/>
      <w:szCs w:val="20"/>
      <w:lang w:val="fr-FR"/>
      <w14:ligatures w14:val="none"/>
    </w:rPr>
  </w:style>
  <w:style w:type="character" w:styleId="Appelnotedebasdep">
    <w:name w:val="footnote reference"/>
    <w:aliases w:val="fr,Footnote Number,Ref,de nota al pie,Footnotemark,FR,Footnotemark1,Footnotemark2,FR1,Footnotemark3,FR2,Footnotemark4,FR3,Footnotemark5,FR4,Footnotemark6,Footnotemark7,Footnotemark8,FR5,Footnotemark11,Footnotemark21,FR11"/>
    <w:basedOn w:val="Policepardfaut"/>
    <w:unhideWhenUsed/>
    <w:qFormat/>
    <w:rsid w:val="0044059B"/>
    <w:rPr>
      <w:vertAlign w:val="superscript"/>
    </w:rPr>
  </w:style>
  <w:style w:type="paragraph" w:styleId="PrformatHTML">
    <w:name w:val="HTML Preformatted"/>
    <w:basedOn w:val="Normal"/>
    <w:link w:val="PrformatHTMLCar"/>
    <w:uiPriority w:val="99"/>
    <w:unhideWhenUsed/>
    <w:rsid w:val="006B360C"/>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rsid w:val="006B360C"/>
    <w:rPr>
      <w:rFonts w:ascii="Consolas" w:hAnsi="Consolas"/>
      <w:sz w:val="20"/>
      <w:szCs w:val="20"/>
      <w:lang w:val="en-GB"/>
    </w:rPr>
  </w:style>
  <w:style w:type="character" w:customStyle="1" w:styleId="Titre3Car">
    <w:name w:val="Titre 3 Car"/>
    <w:basedOn w:val="Policepardfaut"/>
    <w:link w:val="Titre3"/>
    <w:uiPriority w:val="9"/>
    <w:semiHidden/>
    <w:rsid w:val="00A75C4B"/>
    <w:rPr>
      <w:rFonts w:asciiTheme="majorHAnsi" w:eastAsiaTheme="majorEastAsia" w:hAnsiTheme="majorHAnsi" w:cstheme="majorBidi"/>
      <w:color w:val="1F3763" w:themeColor="accent1" w:themeShade="7F"/>
      <w:sz w:val="24"/>
      <w:szCs w:val="24"/>
      <w:lang w:val="en-GB"/>
    </w:rPr>
  </w:style>
  <w:style w:type="character" w:customStyle="1" w:styleId="Titre1Car">
    <w:name w:val="Titre 1 Car"/>
    <w:basedOn w:val="Policepardfaut"/>
    <w:link w:val="Titre1"/>
    <w:uiPriority w:val="9"/>
    <w:rsid w:val="00A2684E"/>
    <w:rPr>
      <w:rFonts w:asciiTheme="majorHAnsi" w:eastAsiaTheme="majorEastAsia" w:hAnsiTheme="majorHAnsi" w:cstheme="majorBidi"/>
      <w:color w:val="2F5496" w:themeColor="accent1" w:themeShade="BF"/>
      <w:sz w:val="32"/>
      <w:szCs w:val="32"/>
      <w:lang w:val="en-GB"/>
    </w:rPr>
  </w:style>
  <w:style w:type="character" w:customStyle="1" w:styleId="Titre4Car">
    <w:name w:val="Titre 4 Car"/>
    <w:basedOn w:val="Policepardfaut"/>
    <w:link w:val="Titre4"/>
    <w:uiPriority w:val="9"/>
    <w:semiHidden/>
    <w:rsid w:val="007779FD"/>
    <w:rPr>
      <w:rFonts w:asciiTheme="majorHAnsi" w:eastAsiaTheme="majorEastAsia" w:hAnsiTheme="majorHAnsi" w:cstheme="majorBidi"/>
      <w:i/>
      <w:iCs/>
      <w:color w:val="2F5496" w:themeColor="accent1" w:themeShade="BF"/>
      <w:lang w:val="en-GB"/>
    </w:rPr>
  </w:style>
  <w:style w:type="character" w:styleId="Marquedecommentaire">
    <w:name w:val="annotation reference"/>
    <w:basedOn w:val="Policepardfaut"/>
    <w:uiPriority w:val="99"/>
    <w:semiHidden/>
    <w:unhideWhenUsed/>
    <w:rsid w:val="00661E65"/>
    <w:rPr>
      <w:sz w:val="16"/>
      <w:szCs w:val="16"/>
    </w:rPr>
  </w:style>
  <w:style w:type="paragraph" w:styleId="Commentaire">
    <w:name w:val="annotation text"/>
    <w:basedOn w:val="Normal"/>
    <w:link w:val="CommentaireCar"/>
    <w:uiPriority w:val="99"/>
    <w:unhideWhenUsed/>
    <w:rsid w:val="00661E65"/>
    <w:pPr>
      <w:spacing w:line="240" w:lineRule="auto"/>
    </w:pPr>
    <w:rPr>
      <w:sz w:val="20"/>
      <w:szCs w:val="20"/>
    </w:rPr>
  </w:style>
  <w:style w:type="character" w:customStyle="1" w:styleId="CommentaireCar">
    <w:name w:val="Commentaire Car"/>
    <w:basedOn w:val="Policepardfaut"/>
    <w:link w:val="Commentaire"/>
    <w:uiPriority w:val="99"/>
    <w:rsid w:val="00661E65"/>
    <w:rPr>
      <w:sz w:val="20"/>
      <w:szCs w:val="20"/>
      <w:lang w:val="en-GB"/>
    </w:rPr>
  </w:style>
  <w:style w:type="paragraph" w:styleId="Objetducommentaire">
    <w:name w:val="annotation subject"/>
    <w:basedOn w:val="Commentaire"/>
    <w:next w:val="Commentaire"/>
    <w:link w:val="ObjetducommentaireCar"/>
    <w:uiPriority w:val="99"/>
    <w:semiHidden/>
    <w:unhideWhenUsed/>
    <w:rsid w:val="00661E65"/>
    <w:rPr>
      <w:b/>
      <w:bCs/>
    </w:rPr>
  </w:style>
  <w:style w:type="character" w:customStyle="1" w:styleId="ObjetducommentaireCar">
    <w:name w:val="Objet du commentaire Car"/>
    <w:basedOn w:val="CommentaireCar"/>
    <w:link w:val="Objetducommentaire"/>
    <w:uiPriority w:val="99"/>
    <w:semiHidden/>
    <w:rsid w:val="00661E65"/>
    <w:rPr>
      <w:b/>
      <w:bCs/>
      <w:sz w:val="20"/>
      <w:szCs w:val="20"/>
      <w:lang w:val="en-GB"/>
    </w:rPr>
  </w:style>
  <w:style w:type="character" w:styleId="Lienhypertextesuivivisit">
    <w:name w:val="FollowedHyperlink"/>
    <w:basedOn w:val="Policepardfaut"/>
    <w:uiPriority w:val="99"/>
    <w:semiHidden/>
    <w:unhideWhenUsed/>
    <w:rsid w:val="003C7172"/>
    <w:rPr>
      <w:color w:val="954F72" w:themeColor="followedHyperlink"/>
      <w:u w:val="single"/>
    </w:rPr>
  </w:style>
  <w:style w:type="paragraph" w:styleId="Rvision">
    <w:name w:val="Revision"/>
    <w:hidden/>
    <w:uiPriority w:val="99"/>
    <w:semiHidden/>
    <w:rsid w:val="005A65FD"/>
    <w:pPr>
      <w:spacing w:after="0" w:line="240" w:lineRule="auto"/>
    </w:pPr>
    <w:rPr>
      <w:lang w:val="en-GB"/>
    </w:rPr>
  </w:style>
  <w:style w:type="paragraph" w:styleId="NormalWeb">
    <w:name w:val="Normal (Web)"/>
    <w:basedOn w:val="Normal"/>
    <w:uiPriority w:val="99"/>
    <w:semiHidden/>
    <w:unhideWhenUsed/>
    <w:rsid w:val="00A5158F"/>
    <w:rPr>
      <w:rFonts w:ascii="Times New Roman" w:hAnsi="Times New Roman" w:cs="Times New Roman"/>
      <w:sz w:val="24"/>
      <w:szCs w:val="24"/>
    </w:rPr>
  </w:style>
  <w:style w:type="paragraph" w:styleId="En-tte">
    <w:name w:val="header"/>
    <w:basedOn w:val="Normal"/>
    <w:link w:val="En-tteCar"/>
    <w:uiPriority w:val="99"/>
    <w:unhideWhenUsed/>
    <w:rsid w:val="005C7195"/>
    <w:pPr>
      <w:tabs>
        <w:tab w:val="center" w:pos="4536"/>
        <w:tab w:val="right" w:pos="9072"/>
      </w:tabs>
      <w:spacing w:after="0" w:line="240" w:lineRule="auto"/>
    </w:pPr>
  </w:style>
  <w:style w:type="character" w:customStyle="1" w:styleId="En-tteCar">
    <w:name w:val="En-tête Car"/>
    <w:basedOn w:val="Policepardfaut"/>
    <w:link w:val="En-tte"/>
    <w:uiPriority w:val="99"/>
    <w:rsid w:val="005C7195"/>
    <w:rPr>
      <w:lang w:val="en-GB"/>
    </w:rPr>
  </w:style>
  <w:style w:type="paragraph" w:styleId="Pieddepage">
    <w:name w:val="footer"/>
    <w:basedOn w:val="Normal"/>
    <w:link w:val="PieddepageCar"/>
    <w:uiPriority w:val="99"/>
    <w:unhideWhenUsed/>
    <w:rsid w:val="005C719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C719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49855">
      <w:bodyDiv w:val="1"/>
      <w:marLeft w:val="0"/>
      <w:marRight w:val="0"/>
      <w:marTop w:val="0"/>
      <w:marBottom w:val="0"/>
      <w:divBdr>
        <w:top w:val="none" w:sz="0" w:space="0" w:color="auto"/>
        <w:left w:val="none" w:sz="0" w:space="0" w:color="auto"/>
        <w:bottom w:val="none" w:sz="0" w:space="0" w:color="auto"/>
        <w:right w:val="none" w:sz="0" w:space="0" w:color="auto"/>
      </w:divBdr>
    </w:div>
    <w:div w:id="36665692">
      <w:bodyDiv w:val="1"/>
      <w:marLeft w:val="0"/>
      <w:marRight w:val="0"/>
      <w:marTop w:val="0"/>
      <w:marBottom w:val="0"/>
      <w:divBdr>
        <w:top w:val="none" w:sz="0" w:space="0" w:color="auto"/>
        <w:left w:val="none" w:sz="0" w:space="0" w:color="auto"/>
        <w:bottom w:val="none" w:sz="0" w:space="0" w:color="auto"/>
        <w:right w:val="none" w:sz="0" w:space="0" w:color="auto"/>
      </w:divBdr>
      <w:divsChild>
        <w:div w:id="1611626732">
          <w:marLeft w:val="0"/>
          <w:marRight w:val="0"/>
          <w:marTop w:val="0"/>
          <w:marBottom w:val="0"/>
          <w:divBdr>
            <w:top w:val="none" w:sz="0" w:space="0" w:color="auto"/>
            <w:left w:val="none" w:sz="0" w:space="0" w:color="auto"/>
            <w:bottom w:val="none" w:sz="0" w:space="0" w:color="auto"/>
            <w:right w:val="none" w:sz="0" w:space="0" w:color="auto"/>
          </w:divBdr>
        </w:div>
        <w:div w:id="741413949">
          <w:marLeft w:val="0"/>
          <w:marRight w:val="0"/>
          <w:marTop w:val="0"/>
          <w:marBottom w:val="0"/>
          <w:divBdr>
            <w:top w:val="none" w:sz="0" w:space="0" w:color="auto"/>
            <w:left w:val="none" w:sz="0" w:space="0" w:color="auto"/>
            <w:bottom w:val="none" w:sz="0" w:space="0" w:color="auto"/>
            <w:right w:val="none" w:sz="0" w:space="0" w:color="auto"/>
          </w:divBdr>
        </w:div>
      </w:divsChild>
    </w:div>
    <w:div w:id="37171259">
      <w:bodyDiv w:val="1"/>
      <w:marLeft w:val="0"/>
      <w:marRight w:val="0"/>
      <w:marTop w:val="0"/>
      <w:marBottom w:val="0"/>
      <w:divBdr>
        <w:top w:val="none" w:sz="0" w:space="0" w:color="auto"/>
        <w:left w:val="none" w:sz="0" w:space="0" w:color="auto"/>
        <w:bottom w:val="none" w:sz="0" w:space="0" w:color="auto"/>
        <w:right w:val="none" w:sz="0" w:space="0" w:color="auto"/>
      </w:divBdr>
    </w:div>
    <w:div w:id="57435353">
      <w:bodyDiv w:val="1"/>
      <w:marLeft w:val="0"/>
      <w:marRight w:val="0"/>
      <w:marTop w:val="0"/>
      <w:marBottom w:val="0"/>
      <w:divBdr>
        <w:top w:val="none" w:sz="0" w:space="0" w:color="auto"/>
        <w:left w:val="none" w:sz="0" w:space="0" w:color="auto"/>
        <w:bottom w:val="none" w:sz="0" w:space="0" w:color="auto"/>
        <w:right w:val="none" w:sz="0" w:space="0" w:color="auto"/>
      </w:divBdr>
    </w:div>
    <w:div w:id="64690609">
      <w:bodyDiv w:val="1"/>
      <w:marLeft w:val="0"/>
      <w:marRight w:val="0"/>
      <w:marTop w:val="0"/>
      <w:marBottom w:val="0"/>
      <w:divBdr>
        <w:top w:val="none" w:sz="0" w:space="0" w:color="auto"/>
        <w:left w:val="none" w:sz="0" w:space="0" w:color="auto"/>
        <w:bottom w:val="none" w:sz="0" w:space="0" w:color="auto"/>
        <w:right w:val="none" w:sz="0" w:space="0" w:color="auto"/>
      </w:divBdr>
    </w:div>
    <w:div w:id="111024118">
      <w:bodyDiv w:val="1"/>
      <w:marLeft w:val="0"/>
      <w:marRight w:val="0"/>
      <w:marTop w:val="0"/>
      <w:marBottom w:val="0"/>
      <w:divBdr>
        <w:top w:val="none" w:sz="0" w:space="0" w:color="auto"/>
        <w:left w:val="none" w:sz="0" w:space="0" w:color="auto"/>
        <w:bottom w:val="none" w:sz="0" w:space="0" w:color="auto"/>
        <w:right w:val="none" w:sz="0" w:space="0" w:color="auto"/>
      </w:divBdr>
    </w:div>
    <w:div w:id="148252191">
      <w:bodyDiv w:val="1"/>
      <w:marLeft w:val="0"/>
      <w:marRight w:val="0"/>
      <w:marTop w:val="0"/>
      <w:marBottom w:val="0"/>
      <w:divBdr>
        <w:top w:val="none" w:sz="0" w:space="0" w:color="auto"/>
        <w:left w:val="none" w:sz="0" w:space="0" w:color="auto"/>
        <w:bottom w:val="none" w:sz="0" w:space="0" w:color="auto"/>
        <w:right w:val="none" w:sz="0" w:space="0" w:color="auto"/>
      </w:divBdr>
    </w:div>
    <w:div w:id="204371498">
      <w:bodyDiv w:val="1"/>
      <w:marLeft w:val="0"/>
      <w:marRight w:val="0"/>
      <w:marTop w:val="0"/>
      <w:marBottom w:val="0"/>
      <w:divBdr>
        <w:top w:val="none" w:sz="0" w:space="0" w:color="auto"/>
        <w:left w:val="none" w:sz="0" w:space="0" w:color="auto"/>
        <w:bottom w:val="none" w:sz="0" w:space="0" w:color="auto"/>
        <w:right w:val="none" w:sz="0" w:space="0" w:color="auto"/>
      </w:divBdr>
    </w:div>
    <w:div w:id="233509413">
      <w:bodyDiv w:val="1"/>
      <w:marLeft w:val="0"/>
      <w:marRight w:val="0"/>
      <w:marTop w:val="0"/>
      <w:marBottom w:val="0"/>
      <w:divBdr>
        <w:top w:val="none" w:sz="0" w:space="0" w:color="auto"/>
        <w:left w:val="none" w:sz="0" w:space="0" w:color="auto"/>
        <w:bottom w:val="none" w:sz="0" w:space="0" w:color="auto"/>
        <w:right w:val="none" w:sz="0" w:space="0" w:color="auto"/>
      </w:divBdr>
    </w:div>
    <w:div w:id="260382134">
      <w:bodyDiv w:val="1"/>
      <w:marLeft w:val="0"/>
      <w:marRight w:val="0"/>
      <w:marTop w:val="0"/>
      <w:marBottom w:val="0"/>
      <w:divBdr>
        <w:top w:val="none" w:sz="0" w:space="0" w:color="auto"/>
        <w:left w:val="none" w:sz="0" w:space="0" w:color="auto"/>
        <w:bottom w:val="none" w:sz="0" w:space="0" w:color="auto"/>
        <w:right w:val="none" w:sz="0" w:space="0" w:color="auto"/>
      </w:divBdr>
    </w:div>
    <w:div w:id="315839666">
      <w:bodyDiv w:val="1"/>
      <w:marLeft w:val="0"/>
      <w:marRight w:val="0"/>
      <w:marTop w:val="0"/>
      <w:marBottom w:val="0"/>
      <w:divBdr>
        <w:top w:val="none" w:sz="0" w:space="0" w:color="auto"/>
        <w:left w:val="none" w:sz="0" w:space="0" w:color="auto"/>
        <w:bottom w:val="none" w:sz="0" w:space="0" w:color="auto"/>
        <w:right w:val="none" w:sz="0" w:space="0" w:color="auto"/>
      </w:divBdr>
    </w:div>
    <w:div w:id="403799537">
      <w:bodyDiv w:val="1"/>
      <w:marLeft w:val="0"/>
      <w:marRight w:val="0"/>
      <w:marTop w:val="0"/>
      <w:marBottom w:val="0"/>
      <w:divBdr>
        <w:top w:val="none" w:sz="0" w:space="0" w:color="auto"/>
        <w:left w:val="none" w:sz="0" w:space="0" w:color="auto"/>
        <w:bottom w:val="none" w:sz="0" w:space="0" w:color="auto"/>
        <w:right w:val="none" w:sz="0" w:space="0" w:color="auto"/>
      </w:divBdr>
    </w:div>
    <w:div w:id="411780844">
      <w:bodyDiv w:val="1"/>
      <w:marLeft w:val="0"/>
      <w:marRight w:val="0"/>
      <w:marTop w:val="0"/>
      <w:marBottom w:val="0"/>
      <w:divBdr>
        <w:top w:val="none" w:sz="0" w:space="0" w:color="auto"/>
        <w:left w:val="none" w:sz="0" w:space="0" w:color="auto"/>
        <w:bottom w:val="none" w:sz="0" w:space="0" w:color="auto"/>
        <w:right w:val="none" w:sz="0" w:space="0" w:color="auto"/>
      </w:divBdr>
    </w:div>
    <w:div w:id="427850531">
      <w:bodyDiv w:val="1"/>
      <w:marLeft w:val="0"/>
      <w:marRight w:val="0"/>
      <w:marTop w:val="0"/>
      <w:marBottom w:val="0"/>
      <w:divBdr>
        <w:top w:val="none" w:sz="0" w:space="0" w:color="auto"/>
        <w:left w:val="none" w:sz="0" w:space="0" w:color="auto"/>
        <w:bottom w:val="none" w:sz="0" w:space="0" w:color="auto"/>
        <w:right w:val="none" w:sz="0" w:space="0" w:color="auto"/>
      </w:divBdr>
    </w:div>
    <w:div w:id="444037468">
      <w:bodyDiv w:val="1"/>
      <w:marLeft w:val="0"/>
      <w:marRight w:val="0"/>
      <w:marTop w:val="0"/>
      <w:marBottom w:val="0"/>
      <w:divBdr>
        <w:top w:val="none" w:sz="0" w:space="0" w:color="auto"/>
        <w:left w:val="none" w:sz="0" w:space="0" w:color="auto"/>
        <w:bottom w:val="none" w:sz="0" w:space="0" w:color="auto"/>
        <w:right w:val="none" w:sz="0" w:space="0" w:color="auto"/>
      </w:divBdr>
    </w:div>
    <w:div w:id="451628382">
      <w:bodyDiv w:val="1"/>
      <w:marLeft w:val="0"/>
      <w:marRight w:val="0"/>
      <w:marTop w:val="0"/>
      <w:marBottom w:val="0"/>
      <w:divBdr>
        <w:top w:val="none" w:sz="0" w:space="0" w:color="auto"/>
        <w:left w:val="none" w:sz="0" w:space="0" w:color="auto"/>
        <w:bottom w:val="none" w:sz="0" w:space="0" w:color="auto"/>
        <w:right w:val="none" w:sz="0" w:space="0" w:color="auto"/>
      </w:divBdr>
    </w:div>
    <w:div w:id="513694450">
      <w:bodyDiv w:val="1"/>
      <w:marLeft w:val="0"/>
      <w:marRight w:val="0"/>
      <w:marTop w:val="0"/>
      <w:marBottom w:val="0"/>
      <w:divBdr>
        <w:top w:val="none" w:sz="0" w:space="0" w:color="auto"/>
        <w:left w:val="none" w:sz="0" w:space="0" w:color="auto"/>
        <w:bottom w:val="none" w:sz="0" w:space="0" w:color="auto"/>
        <w:right w:val="none" w:sz="0" w:space="0" w:color="auto"/>
      </w:divBdr>
    </w:div>
    <w:div w:id="558368540">
      <w:bodyDiv w:val="1"/>
      <w:marLeft w:val="0"/>
      <w:marRight w:val="0"/>
      <w:marTop w:val="0"/>
      <w:marBottom w:val="0"/>
      <w:divBdr>
        <w:top w:val="none" w:sz="0" w:space="0" w:color="auto"/>
        <w:left w:val="none" w:sz="0" w:space="0" w:color="auto"/>
        <w:bottom w:val="none" w:sz="0" w:space="0" w:color="auto"/>
        <w:right w:val="none" w:sz="0" w:space="0" w:color="auto"/>
      </w:divBdr>
    </w:div>
    <w:div w:id="572544111">
      <w:bodyDiv w:val="1"/>
      <w:marLeft w:val="0"/>
      <w:marRight w:val="0"/>
      <w:marTop w:val="0"/>
      <w:marBottom w:val="0"/>
      <w:divBdr>
        <w:top w:val="none" w:sz="0" w:space="0" w:color="auto"/>
        <w:left w:val="none" w:sz="0" w:space="0" w:color="auto"/>
        <w:bottom w:val="none" w:sz="0" w:space="0" w:color="auto"/>
        <w:right w:val="none" w:sz="0" w:space="0" w:color="auto"/>
      </w:divBdr>
      <w:divsChild>
        <w:div w:id="1739013355">
          <w:marLeft w:val="0"/>
          <w:marRight w:val="0"/>
          <w:marTop w:val="0"/>
          <w:marBottom w:val="0"/>
          <w:divBdr>
            <w:top w:val="none" w:sz="0" w:space="0" w:color="auto"/>
            <w:left w:val="none" w:sz="0" w:space="0" w:color="auto"/>
            <w:bottom w:val="none" w:sz="0" w:space="0" w:color="auto"/>
            <w:right w:val="none" w:sz="0" w:space="0" w:color="auto"/>
          </w:divBdr>
          <w:divsChild>
            <w:div w:id="2144690345">
              <w:marLeft w:val="0"/>
              <w:marRight w:val="0"/>
              <w:marTop w:val="0"/>
              <w:marBottom w:val="0"/>
              <w:divBdr>
                <w:top w:val="none" w:sz="0" w:space="0" w:color="auto"/>
                <w:left w:val="none" w:sz="0" w:space="0" w:color="auto"/>
                <w:bottom w:val="none" w:sz="0" w:space="0" w:color="auto"/>
                <w:right w:val="none" w:sz="0" w:space="0" w:color="auto"/>
              </w:divBdr>
              <w:divsChild>
                <w:div w:id="1638141809">
                  <w:marLeft w:val="0"/>
                  <w:marRight w:val="0"/>
                  <w:marTop w:val="0"/>
                  <w:marBottom w:val="0"/>
                  <w:divBdr>
                    <w:top w:val="none" w:sz="0" w:space="0" w:color="auto"/>
                    <w:left w:val="none" w:sz="0" w:space="0" w:color="auto"/>
                    <w:bottom w:val="none" w:sz="0" w:space="0" w:color="auto"/>
                    <w:right w:val="none" w:sz="0" w:space="0" w:color="auto"/>
                  </w:divBdr>
                  <w:divsChild>
                    <w:div w:id="1094277048">
                      <w:marLeft w:val="0"/>
                      <w:marRight w:val="0"/>
                      <w:marTop w:val="0"/>
                      <w:marBottom w:val="0"/>
                      <w:divBdr>
                        <w:top w:val="none" w:sz="0" w:space="0" w:color="auto"/>
                        <w:left w:val="none" w:sz="0" w:space="0" w:color="auto"/>
                        <w:bottom w:val="none" w:sz="0" w:space="0" w:color="auto"/>
                        <w:right w:val="none" w:sz="0" w:space="0" w:color="auto"/>
                      </w:divBdr>
                      <w:divsChild>
                        <w:div w:id="1946300928">
                          <w:marLeft w:val="0"/>
                          <w:marRight w:val="0"/>
                          <w:marTop w:val="0"/>
                          <w:marBottom w:val="0"/>
                          <w:divBdr>
                            <w:top w:val="none" w:sz="0" w:space="0" w:color="auto"/>
                            <w:left w:val="none" w:sz="0" w:space="0" w:color="auto"/>
                            <w:bottom w:val="none" w:sz="0" w:space="0" w:color="auto"/>
                            <w:right w:val="none" w:sz="0" w:space="0" w:color="auto"/>
                          </w:divBdr>
                          <w:divsChild>
                            <w:div w:id="206420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970838">
      <w:bodyDiv w:val="1"/>
      <w:marLeft w:val="0"/>
      <w:marRight w:val="0"/>
      <w:marTop w:val="0"/>
      <w:marBottom w:val="0"/>
      <w:divBdr>
        <w:top w:val="none" w:sz="0" w:space="0" w:color="auto"/>
        <w:left w:val="none" w:sz="0" w:space="0" w:color="auto"/>
        <w:bottom w:val="none" w:sz="0" w:space="0" w:color="auto"/>
        <w:right w:val="none" w:sz="0" w:space="0" w:color="auto"/>
      </w:divBdr>
    </w:div>
    <w:div w:id="717319177">
      <w:bodyDiv w:val="1"/>
      <w:marLeft w:val="0"/>
      <w:marRight w:val="0"/>
      <w:marTop w:val="0"/>
      <w:marBottom w:val="0"/>
      <w:divBdr>
        <w:top w:val="none" w:sz="0" w:space="0" w:color="auto"/>
        <w:left w:val="none" w:sz="0" w:space="0" w:color="auto"/>
        <w:bottom w:val="none" w:sz="0" w:space="0" w:color="auto"/>
        <w:right w:val="none" w:sz="0" w:space="0" w:color="auto"/>
      </w:divBdr>
    </w:div>
    <w:div w:id="762385116">
      <w:bodyDiv w:val="1"/>
      <w:marLeft w:val="0"/>
      <w:marRight w:val="0"/>
      <w:marTop w:val="0"/>
      <w:marBottom w:val="0"/>
      <w:divBdr>
        <w:top w:val="none" w:sz="0" w:space="0" w:color="auto"/>
        <w:left w:val="none" w:sz="0" w:space="0" w:color="auto"/>
        <w:bottom w:val="none" w:sz="0" w:space="0" w:color="auto"/>
        <w:right w:val="none" w:sz="0" w:space="0" w:color="auto"/>
      </w:divBdr>
    </w:div>
    <w:div w:id="795410978">
      <w:bodyDiv w:val="1"/>
      <w:marLeft w:val="0"/>
      <w:marRight w:val="0"/>
      <w:marTop w:val="0"/>
      <w:marBottom w:val="0"/>
      <w:divBdr>
        <w:top w:val="none" w:sz="0" w:space="0" w:color="auto"/>
        <w:left w:val="none" w:sz="0" w:space="0" w:color="auto"/>
        <w:bottom w:val="none" w:sz="0" w:space="0" w:color="auto"/>
        <w:right w:val="none" w:sz="0" w:space="0" w:color="auto"/>
      </w:divBdr>
    </w:div>
    <w:div w:id="824860414">
      <w:bodyDiv w:val="1"/>
      <w:marLeft w:val="0"/>
      <w:marRight w:val="0"/>
      <w:marTop w:val="0"/>
      <w:marBottom w:val="0"/>
      <w:divBdr>
        <w:top w:val="none" w:sz="0" w:space="0" w:color="auto"/>
        <w:left w:val="none" w:sz="0" w:space="0" w:color="auto"/>
        <w:bottom w:val="none" w:sz="0" w:space="0" w:color="auto"/>
        <w:right w:val="none" w:sz="0" w:space="0" w:color="auto"/>
      </w:divBdr>
    </w:div>
    <w:div w:id="835924710">
      <w:bodyDiv w:val="1"/>
      <w:marLeft w:val="0"/>
      <w:marRight w:val="0"/>
      <w:marTop w:val="0"/>
      <w:marBottom w:val="0"/>
      <w:divBdr>
        <w:top w:val="none" w:sz="0" w:space="0" w:color="auto"/>
        <w:left w:val="none" w:sz="0" w:space="0" w:color="auto"/>
        <w:bottom w:val="none" w:sz="0" w:space="0" w:color="auto"/>
        <w:right w:val="none" w:sz="0" w:space="0" w:color="auto"/>
      </w:divBdr>
      <w:divsChild>
        <w:div w:id="722100513">
          <w:marLeft w:val="0"/>
          <w:marRight w:val="0"/>
          <w:marTop w:val="0"/>
          <w:marBottom w:val="0"/>
          <w:divBdr>
            <w:top w:val="none" w:sz="0" w:space="0" w:color="auto"/>
            <w:left w:val="none" w:sz="0" w:space="0" w:color="auto"/>
            <w:bottom w:val="none" w:sz="0" w:space="0" w:color="auto"/>
            <w:right w:val="none" w:sz="0" w:space="0" w:color="auto"/>
          </w:divBdr>
        </w:div>
        <w:div w:id="1540360427">
          <w:marLeft w:val="0"/>
          <w:marRight w:val="0"/>
          <w:marTop w:val="0"/>
          <w:marBottom w:val="0"/>
          <w:divBdr>
            <w:top w:val="none" w:sz="0" w:space="0" w:color="auto"/>
            <w:left w:val="none" w:sz="0" w:space="0" w:color="auto"/>
            <w:bottom w:val="none" w:sz="0" w:space="0" w:color="auto"/>
            <w:right w:val="none" w:sz="0" w:space="0" w:color="auto"/>
          </w:divBdr>
        </w:div>
      </w:divsChild>
    </w:div>
    <w:div w:id="854804918">
      <w:bodyDiv w:val="1"/>
      <w:marLeft w:val="0"/>
      <w:marRight w:val="0"/>
      <w:marTop w:val="0"/>
      <w:marBottom w:val="0"/>
      <w:divBdr>
        <w:top w:val="none" w:sz="0" w:space="0" w:color="auto"/>
        <w:left w:val="none" w:sz="0" w:space="0" w:color="auto"/>
        <w:bottom w:val="none" w:sz="0" w:space="0" w:color="auto"/>
        <w:right w:val="none" w:sz="0" w:space="0" w:color="auto"/>
      </w:divBdr>
    </w:div>
    <w:div w:id="955865577">
      <w:bodyDiv w:val="1"/>
      <w:marLeft w:val="0"/>
      <w:marRight w:val="0"/>
      <w:marTop w:val="0"/>
      <w:marBottom w:val="0"/>
      <w:divBdr>
        <w:top w:val="none" w:sz="0" w:space="0" w:color="auto"/>
        <w:left w:val="none" w:sz="0" w:space="0" w:color="auto"/>
        <w:bottom w:val="none" w:sz="0" w:space="0" w:color="auto"/>
        <w:right w:val="none" w:sz="0" w:space="0" w:color="auto"/>
      </w:divBdr>
      <w:divsChild>
        <w:div w:id="972293616">
          <w:marLeft w:val="0"/>
          <w:marRight w:val="0"/>
          <w:marTop w:val="0"/>
          <w:marBottom w:val="0"/>
          <w:divBdr>
            <w:top w:val="none" w:sz="0" w:space="0" w:color="auto"/>
            <w:left w:val="none" w:sz="0" w:space="0" w:color="auto"/>
            <w:bottom w:val="none" w:sz="0" w:space="0" w:color="auto"/>
            <w:right w:val="none" w:sz="0" w:space="0" w:color="auto"/>
          </w:divBdr>
          <w:divsChild>
            <w:div w:id="435487184">
              <w:marLeft w:val="0"/>
              <w:marRight w:val="0"/>
              <w:marTop w:val="0"/>
              <w:marBottom w:val="0"/>
              <w:divBdr>
                <w:top w:val="none" w:sz="0" w:space="0" w:color="auto"/>
                <w:left w:val="none" w:sz="0" w:space="0" w:color="auto"/>
                <w:bottom w:val="none" w:sz="0" w:space="0" w:color="auto"/>
                <w:right w:val="none" w:sz="0" w:space="0" w:color="auto"/>
              </w:divBdr>
            </w:div>
            <w:div w:id="410274349">
              <w:marLeft w:val="0"/>
              <w:marRight w:val="0"/>
              <w:marTop w:val="0"/>
              <w:marBottom w:val="0"/>
              <w:divBdr>
                <w:top w:val="none" w:sz="0" w:space="0" w:color="auto"/>
                <w:left w:val="none" w:sz="0" w:space="0" w:color="auto"/>
                <w:bottom w:val="none" w:sz="0" w:space="0" w:color="auto"/>
                <w:right w:val="none" w:sz="0" w:space="0" w:color="auto"/>
              </w:divBdr>
            </w:div>
          </w:divsChild>
        </w:div>
        <w:div w:id="541284847">
          <w:marLeft w:val="0"/>
          <w:marRight w:val="0"/>
          <w:marTop w:val="0"/>
          <w:marBottom w:val="0"/>
          <w:divBdr>
            <w:top w:val="none" w:sz="0" w:space="0" w:color="auto"/>
            <w:left w:val="none" w:sz="0" w:space="0" w:color="auto"/>
            <w:bottom w:val="none" w:sz="0" w:space="0" w:color="auto"/>
            <w:right w:val="none" w:sz="0" w:space="0" w:color="auto"/>
          </w:divBdr>
          <w:divsChild>
            <w:div w:id="105704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911090">
      <w:bodyDiv w:val="1"/>
      <w:marLeft w:val="0"/>
      <w:marRight w:val="0"/>
      <w:marTop w:val="0"/>
      <w:marBottom w:val="0"/>
      <w:divBdr>
        <w:top w:val="none" w:sz="0" w:space="0" w:color="auto"/>
        <w:left w:val="none" w:sz="0" w:space="0" w:color="auto"/>
        <w:bottom w:val="none" w:sz="0" w:space="0" w:color="auto"/>
        <w:right w:val="none" w:sz="0" w:space="0" w:color="auto"/>
      </w:divBdr>
    </w:div>
    <w:div w:id="1152989483">
      <w:bodyDiv w:val="1"/>
      <w:marLeft w:val="0"/>
      <w:marRight w:val="0"/>
      <w:marTop w:val="0"/>
      <w:marBottom w:val="0"/>
      <w:divBdr>
        <w:top w:val="none" w:sz="0" w:space="0" w:color="auto"/>
        <w:left w:val="none" w:sz="0" w:space="0" w:color="auto"/>
        <w:bottom w:val="none" w:sz="0" w:space="0" w:color="auto"/>
        <w:right w:val="none" w:sz="0" w:space="0" w:color="auto"/>
      </w:divBdr>
    </w:div>
    <w:div w:id="1155339458">
      <w:bodyDiv w:val="1"/>
      <w:marLeft w:val="0"/>
      <w:marRight w:val="0"/>
      <w:marTop w:val="0"/>
      <w:marBottom w:val="0"/>
      <w:divBdr>
        <w:top w:val="none" w:sz="0" w:space="0" w:color="auto"/>
        <w:left w:val="none" w:sz="0" w:space="0" w:color="auto"/>
        <w:bottom w:val="none" w:sz="0" w:space="0" w:color="auto"/>
        <w:right w:val="none" w:sz="0" w:space="0" w:color="auto"/>
      </w:divBdr>
    </w:div>
    <w:div w:id="1182009868">
      <w:bodyDiv w:val="1"/>
      <w:marLeft w:val="0"/>
      <w:marRight w:val="0"/>
      <w:marTop w:val="0"/>
      <w:marBottom w:val="0"/>
      <w:divBdr>
        <w:top w:val="none" w:sz="0" w:space="0" w:color="auto"/>
        <w:left w:val="none" w:sz="0" w:space="0" w:color="auto"/>
        <w:bottom w:val="none" w:sz="0" w:space="0" w:color="auto"/>
        <w:right w:val="none" w:sz="0" w:space="0" w:color="auto"/>
      </w:divBdr>
    </w:div>
    <w:div w:id="1227302699">
      <w:bodyDiv w:val="1"/>
      <w:marLeft w:val="0"/>
      <w:marRight w:val="0"/>
      <w:marTop w:val="0"/>
      <w:marBottom w:val="0"/>
      <w:divBdr>
        <w:top w:val="none" w:sz="0" w:space="0" w:color="auto"/>
        <w:left w:val="none" w:sz="0" w:space="0" w:color="auto"/>
        <w:bottom w:val="none" w:sz="0" w:space="0" w:color="auto"/>
        <w:right w:val="none" w:sz="0" w:space="0" w:color="auto"/>
      </w:divBdr>
    </w:div>
    <w:div w:id="1230842688">
      <w:bodyDiv w:val="1"/>
      <w:marLeft w:val="0"/>
      <w:marRight w:val="0"/>
      <w:marTop w:val="0"/>
      <w:marBottom w:val="0"/>
      <w:divBdr>
        <w:top w:val="none" w:sz="0" w:space="0" w:color="auto"/>
        <w:left w:val="none" w:sz="0" w:space="0" w:color="auto"/>
        <w:bottom w:val="none" w:sz="0" w:space="0" w:color="auto"/>
        <w:right w:val="none" w:sz="0" w:space="0" w:color="auto"/>
      </w:divBdr>
    </w:div>
    <w:div w:id="1233543276">
      <w:bodyDiv w:val="1"/>
      <w:marLeft w:val="0"/>
      <w:marRight w:val="0"/>
      <w:marTop w:val="0"/>
      <w:marBottom w:val="0"/>
      <w:divBdr>
        <w:top w:val="none" w:sz="0" w:space="0" w:color="auto"/>
        <w:left w:val="none" w:sz="0" w:space="0" w:color="auto"/>
        <w:bottom w:val="none" w:sz="0" w:space="0" w:color="auto"/>
        <w:right w:val="none" w:sz="0" w:space="0" w:color="auto"/>
      </w:divBdr>
    </w:div>
    <w:div w:id="1258177591">
      <w:bodyDiv w:val="1"/>
      <w:marLeft w:val="0"/>
      <w:marRight w:val="0"/>
      <w:marTop w:val="0"/>
      <w:marBottom w:val="0"/>
      <w:divBdr>
        <w:top w:val="none" w:sz="0" w:space="0" w:color="auto"/>
        <w:left w:val="none" w:sz="0" w:space="0" w:color="auto"/>
        <w:bottom w:val="none" w:sz="0" w:space="0" w:color="auto"/>
        <w:right w:val="none" w:sz="0" w:space="0" w:color="auto"/>
      </w:divBdr>
    </w:div>
    <w:div w:id="1265188323">
      <w:bodyDiv w:val="1"/>
      <w:marLeft w:val="0"/>
      <w:marRight w:val="0"/>
      <w:marTop w:val="0"/>
      <w:marBottom w:val="0"/>
      <w:divBdr>
        <w:top w:val="none" w:sz="0" w:space="0" w:color="auto"/>
        <w:left w:val="none" w:sz="0" w:space="0" w:color="auto"/>
        <w:bottom w:val="none" w:sz="0" w:space="0" w:color="auto"/>
        <w:right w:val="none" w:sz="0" w:space="0" w:color="auto"/>
      </w:divBdr>
    </w:div>
    <w:div w:id="1266841196">
      <w:bodyDiv w:val="1"/>
      <w:marLeft w:val="0"/>
      <w:marRight w:val="0"/>
      <w:marTop w:val="0"/>
      <w:marBottom w:val="0"/>
      <w:divBdr>
        <w:top w:val="none" w:sz="0" w:space="0" w:color="auto"/>
        <w:left w:val="none" w:sz="0" w:space="0" w:color="auto"/>
        <w:bottom w:val="none" w:sz="0" w:space="0" w:color="auto"/>
        <w:right w:val="none" w:sz="0" w:space="0" w:color="auto"/>
      </w:divBdr>
      <w:divsChild>
        <w:div w:id="1933004117">
          <w:marLeft w:val="0"/>
          <w:marRight w:val="0"/>
          <w:marTop w:val="0"/>
          <w:marBottom w:val="225"/>
          <w:divBdr>
            <w:top w:val="none" w:sz="0" w:space="0" w:color="auto"/>
            <w:left w:val="none" w:sz="0" w:space="0" w:color="auto"/>
            <w:bottom w:val="none" w:sz="0" w:space="0" w:color="auto"/>
            <w:right w:val="none" w:sz="0" w:space="0" w:color="auto"/>
          </w:divBdr>
        </w:div>
      </w:divsChild>
    </w:div>
    <w:div w:id="1307124108">
      <w:bodyDiv w:val="1"/>
      <w:marLeft w:val="0"/>
      <w:marRight w:val="0"/>
      <w:marTop w:val="0"/>
      <w:marBottom w:val="0"/>
      <w:divBdr>
        <w:top w:val="none" w:sz="0" w:space="0" w:color="auto"/>
        <w:left w:val="none" w:sz="0" w:space="0" w:color="auto"/>
        <w:bottom w:val="none" w:sz="0" w:space="0" w:color="auto"/>
        <w:right w:val="none" w:sz="0" w:space="0" w:color="auto"/>
      </w:divBdr>
    </w:div>
    <w:div w:id="1378237461">
      <w:bodyDiv w:val="1"/>
      <w:marLeft w:val="0"/>
      <w:marRight w:val="0"/>
      <w:marTop w:val="0"/>
      <w:marBottom w:val="0"/>
      <w:divBdr>
        <w:top w:val="none" w:sz="0" w:space="0" w:color="auto"/>
        <w:left w:val="none" w:sz="0" w:space="0" w:color="auto"/>
        <w:bottom w:val="none" w:sz="0" w:space="0" w:color="auto"/>
        <w:right w:val="none" w:sz="0" w:space="0" w:color="auto"/>
      </w:divBdr>
      <w:divsChild>
        <w:div w:id="1046683131">
          <w:marLeft w:val="0"/>
          <w:marRight w:val="0"/>
          <w:marTop w:val="282"/>
          <w:marBottom w:val="0"/>
          <w:divBdr>
            <w:top w:val="none" w:sz="0" w:space="0" w:color="auto"/>
            <w:left w:val="none" w:sz="0" w:space="0" w:color="auto"/>
            <w:bottom w:val="none" w:sz="0" w:space="0" w:color="auto"/>
            <w:right w:val="none" w:sz="0" w:space="0" w:color="auto"/>
          </w:divBdr>
          <w:divsChild>
            <w:div w:id="1835683213">
              <w:marLeft w:val="0"/>
              <w:marRight w:val="0"/>
              <w:marTop w:val="0"/>
              <w:marBottom w:val="0"/>
              <w:divBdr>
                <w:top w:val="none" w:sz="0" w:space="0" w:color="auto"/>
                <w:left w:val="none" w:sz="0" w:space="0" w:color="auto"/>
                <w:bottom w:val="none" w:sz="0" w:space="0" w:color="auto"/>
                <w:right w:val="none" w:sz="0" w:space="0" w:color="auto"/>
              </w:divBdr>
            </w:div>
          </w:divsChild>
        </w:div>
        <w:div w:id="1284730423">
          <w:marLeft w:val="0"/>
          <w:marRight w:val="0"/>
          <w:marTop w:val="480"/>
          <w:marBottom w:val="0"/>
          <w:divBdr>
            <w:top w:val="none" w:sz="0" w:space="0" w:color="auto"/>
            <w:left w:val="none" w:sz="0" w:space="0" w:color="auto"/>
            <w:bottom w:val="none" w:sz="0" w:space="0" w:color="auto"/>
            <w:right w:val="none" w:sz="0" w:space="0" w:color="auto"/>
          </w:divBdr>
          <w:divsChild>
            <w:div w:id="845243754">
              <w:marLeft w:val="0"/>
              <w:marRight w:val="0"/>
              <w:marTop w:val="0"/>
              <w:marBottom w:val="0"/>
              <w:divBdr>
                <w:top w:val="none" w:sz="0" w:space="0" w:color="auto"/>
                <w:left w:val="none" w:sz="0" w:space="0" w:color="auto"/>
                <w:bottom w:val="none" w:sz="0" w:space="0" w:color="auto"/>
                <w:right w:val="none" w:sz="0" w:space="0" w:color="auto"/>
              </w:divBdr>
            </w:div>
          </w:divsChild>
        </w:div>
        <w:div w:id="1271887802">
          <w:marLeft w:val="0"/>
          <w:marRight w:val="0"/>
          <w:marTop w:val="432"/>
          <w:marBottom w:val="0"/>
          <w:divBdr>
            <w:top w:val="none" w:sz="0" w:space="0" w:color="auto"/>
            <w:left w:val="none" w:sz="0" w:space="0" w:color="auto"/>
            <w:bottom w:val="none" w:sz="0" w:space="0" w:color="auto"/>
            <w:right w:val="none" w:sz="0" w:space="0" w:color="auto"/>
          </w:divBdr>
        </w:div>
        <w:div w:id="1033463807">
          <w:marLeft w:val="0"/>
          <w:marRight w:val="0"/>
          <w:marTop w:val="240"/>
          <w:marBottom w:val="0"/>
          <w:divBdr>
            <w:top w:val="none" w:sz="0" w:space="0" w:color="auto"/>
            <w:left w:val="none" w:sz="0" w:space="0" w:color="auto"/>
            <w:bottom w:val="none" w:sz="0" w:space="0" w:color="auto"/>
            <w:right w:val="none" w:sz="0" w:space="0" w:color="auto"/>
          </w:divBdr>
        </w:div>
      </w:divsChild>
    </w:div>
    <w:div w:id="1386680792">
      <w:bodyDiv w:val="1"/>
      <w:marLeft w:val="0"/>
      <w:marRight w:val="0"/>
      <w:marTop w:val="0"/>
      <w:marBottom w:val="0"/>
      <w:divBdr>
        <w:top w:val="none" w:sz="0" w:space="0" w:color="auto"/>
        <w:left w:val="none" w:sz="0" w:space="0" w:color="auto"/>
        <w:bottom w:val="none" w:sz="0" w:space="0" w:color="auto"/>
        <w:right w:val="none" w:sz="0" w:space="0" w:color="auto"/>
      </w:divBdr>
    </w:div>
    <w:div w:id="1390878629">
      <w:bodyDiv w:val="1"/>
      <w:marLeft w:val="0"/>
      <w:marRight w:val="0"/>
      <w:marTop w:val="0"/>
      <w:marBottom w:val="0"/>
      <w:divBdr>
        <w:top w:val="none" w:sz="0" w:space="0" w:color="auto"/>
        <w:left w:val="none" w:sz="0" w:space="0" w:color="auto"/>
        <w:bottom w:val="none" w:sz="0" w:space="0" w:color="auto"/>
        <w:right w:val="none" w:sz="0" w:space="0" w:color="auto"/>
      </w:divBdr>
      <w:divsChild>
        <w:div w:id="1139490801">
          <w:marLeft w:val="0"/>
          <w:marRight w:val="0"/>
          <w:marTop w:val="0"/>
          <w:marBottom w:val="0"/>
          <w:divBdr>
            <w:top w:val="none" w:sz="0" w:space="0" w:color="auto"/>
            <w:left w:val="none" w:sz="0" w:space="0" w:color="auto"/>
            <w:bottom w:val="none" w:sz="0" w:space="0" w:color="auto"/>
            <w:right w:val="none" w:sz="0" w:space="0" w:color="auto"/>
          </w:divBdr>
        </w:div>
        <w:div w:id="342051597">
          <w:marLeft w:val="0"/>
          <w:marRight w:val="0"/>
          <w:marTop w:val="0"/>
          <w:marBottom w:val="0"/>
          <w:divBdr>
            <w:top w:val="none" w:sz="0" w:space="0" w:color="auto"/>
            <w:left w:val="none" w:sz="0" w:space="0" w:color="auto"/>
            <w:bottom w:val="none" w:sz="0" w:space="0" w:color="auto"/>
            <w:right w:val="none" w:sz="0" w:space="0" w:color="auto"/>
          </w:divBdr>
        </w:div>
      </w:divsChild>
    </w:div>
    <w:div w:id="1399785930">
      <w:bodyDiv w:val="1"/>
      <w:marLeft w:val="0"/>
      <w:marRight w:val="0"/>
      <w:marTop w:val="0"/>
      <w:marBottom w:val="0"/>
      <w:divBdr>
        <w:top w:val="none" w:sz="0" w:space="0" w:color="auto"/>
        <w:left w:val="none" w:sz="0" w:space="0" w:color="auto"/>
        <w:bottom w:val="none" w:sz="0" w:space="0" w:color="auto"/>
        <w:right w:val="none" w:sz="0" w:space="0" w:color="auto"/>
      </w:divBdr>
    </w:div>
    <w:div w:id="1500343398">
      <w:bodyDiv w:val="1"/>
      <w:marLeft w:val="0"/>
      <w:marRight w:val="0"/>
      <w:marTop w:val="0"/>
      <w:marBottom w:val="0"/>
      <w:divBdr>
        <w:top w:val="none" w:sz="0" w:space="0" w:color="auto"/>
        <w:left w:val="none" w:sz="0" w:space="0" w:color="auto"/>
        <w:bottom w:val="none" w:sz="0" w:space="0" w:color="auto"/>
        <w:right w:val="none" w:sz="0" w:space="0" w:color="auto"/>
      </w:divBdr>
    </w:div>
    <w:div w:id="1506018430">
      <w:bodyDiv w:val="1"/>
      <w:marLeft w:val="0"/>
      <w:marRight w:val="0"/>
      <w:marTop w:val="0"/>
      <w:marBottom w:val="0"/>
      <w:divBdr>
        <w:top w:val="none" w:sz="0" w:space="0" w:color="auto"/>
        <w:left w:val="none" w:sz="0" w:space="0" w:color="auto"/>
        <w:bottom w:val="none" w:sz="0" w:space="0" w:color="auto"/>
        <w:right w:val="none" w:sz="0" w:space="0" w:color="auto"/>
      </w:divBdr>
    </w:div>
    <w:div w:id="1544977011">
      <w:bodyDiv w:val="1"/>
      <w:marLeft w:val="0"/>
      <w:marRight w:val="0"/>
      <w:marTop w:val="0"/>
      <w:marBottom w:val="0"/>
      <w:divBdr>
        <w:top w:val="none" w:sz="0" w:space="0" w:color="auto"/>
        <w:left w:val="none" w:sz="0" w:space="0" w:color="auto"/>
        <w:bottom w:val="none" w:sz="0" w:space="0" w:color="auto"/>
        <w:right w:val="none" w:sz="0" w:space="0" w:color="auto"/>
      </w:divBdr>
    </w:div>
    <w:div w:id="1615476470">
      <w:bodyDiv w:val="1"/>
      <w:marLeft w:val="0"/>
      <w:marRight w:val="0"/>
      <w:marTop w:val="0"/>
      <w:marBottom w:val="0"/>
      <w:divBdr>
        <w:top w:val="none" w:sz="0" w:space="0" w:color="auto"/>
        <w:left w:val="none" w:sz="0" w:space="0" w:color="auto"/>
        <w:bottom w:val="none" w:sz="0" w:space="0" w:color="auto"/>
        <w:right w:val="none" w:sz="0" w:space="0" w:color="auto"/>
      </w:divBdr>
    </w:div>
    <w:div w:id="1629705359">
      <w:bodyDiv w:val="1"/>
      <w:marLeft w:val="0"/>
      <w:marRight w:val="0"/>
      <w:marTop w:val="0"/>
      <w:marBottom w:val="0"/>
      <w:divBdr>
        <w:top w:val="none" w:sz="0" w:space="0" w:color="auto"/>
        <w:left w:val="none" w:sz="0" w:space="0" w:color="auto"/>
        <w:bottom w:val="none" w:sz="0" w:space="0" w:color="auto"/>
        <w:right w:val="none" w:sz="0" w:space="0" w:color="auto"/>
      </w:divBdr>
      <w:divsChild>
        <w:div w:id="1041830055">
          <w:marLeft w:val="0"/>
          <w:marRight w:val="0"/>
          <w:marTop w:val="0"/>
          <w:marBottom w:val="195"/>
          <w:divBdr>
            <w:top w:val="none" w:sz="0" w:space="0" w:color="auto"/>
            <w:left w:val="none" w:sz="0" w:space="0" w:color="auto"/>
            <w:bottom w:val="none" w:sz="0" w:space="0" w:color="auto"/>
            <w:right w:val="none" w:sz="0" w:space="0" w:color="auto"/>
          </w:divBdr>
        </w:div>
      </w:divsChild>
    </w:div>
    <w:div w:id="1632591271">
      <w:bodyDiv w:val="1"/>
      <w:marLeft w:val="0"/>
      <w:marRight w:val="0"/>
      <w:marTop w:val="0"/>
      <w:marBottom w:val="0"/>
      <w:divBdr>
        <w:top w:val="none" w:sz="0" w:space="0" w:color="auto"/>
        <w:left w:val="none" w:sz="0" w:space="0" w:color="auto"/>
        <w:bottom w:val="none" w:sz="0" w:space="0" w:color="auto"/>
        <w:right w:val="none" w:sz="0" w:space="0" w:color="auto"/>
      </w:divBdr>
    </w:div>
    <w:div w:id="1647931279">
      <w:bodyDiv w:val="1"/>
      <w:marLeft w:val="0"/>
      <w:marRight w:val="0"/>
      <w:marTop w:val="0"/>
      <w:marBottom w:val="0"/>
      <w:divBdr>
        <w:top w:val="none" w:sz="0" w:space="0" w:color="auto"/>
        <w:left w:val="none" w:sz="0" w:space="0" w:color="auto"/>
        <w:bottom w:val="none" w:sz="0" w:space="0" w:color="auto"/>
        <w:right w:val="none" w:sz="0" w:space="0" w:color="auto"/>
      </w:divBdr>
    </w:div>
    <w:div w:id="1699549220">
      <w:bodyDiv w:val="1"/>
      <w:marLeft w:val="0"/>
      <w:marRight w:val="0"/>
      <w:marTop w:val="0"/>
      <w:marBottom w:val="0"/>
      <w:divBdr>
        <w:top w:val="none" w:sz="0" w:space="0" w:color="auto"/>
        <w:left w:val="none" w:sz="0" w:space="0" w:color="auto"/>
        <w:bottom w:val="none" w:sz="0" w:space="0" w:color="auto"/>
        <w:right w:val="none" w:sz="0" w:space="0" w:color="auto"/>
      </w:divBdr>
      <w:divsChild>
        <w:div w:id="94835348">
          <w:marLeft w:val="0"/>
          <w:marRight w:val="0"/>
          <w:marTop w:val="0"/>
          <w:marBottom w:val="48"/>
          <w:divBdr>
            <w:top w:val="none" w:sz="0" w:space="0" w:color="auto"/>
            <w:left w:val="none" w:sz="0" w:space="0" w:color="auto"/>
            <w:bottom w:val="none" w:sz="0" w:space="0" w:color="auto"/>
            <w:right w:val="none" w:sz="0" w:space="0" w:color="auto"/>
          </w:divBdr>
          <w:divsChild>
            <w:div w:id="1897206522">
              <w:marLeft w:val="0"/>
              <w:marRight w:val="0"/>
              <w:marTop w:val="0"/>
              <w:marBottom w:val="0"/>
              <w:divBdr>
                <w:top w:val="none" w:sz="0" w:space="0" w:color="auto"/>
                <w:left w:val="none" w:sz="0" w:space="0" w:color="auto"/>
                <w:bottom w:val="none" w:sz="0" w:space="0" w:color="auto"/>
                <w:right w:val="none" w:sz="0" w:space="0" w:color="auto"/>
              </w:divBdr>
              <w:divsChild>
                <w:div w:id="415320409">
                  <w:marLeft w:val="0"/>
                  <w:marRight w:val="0"/>
                  <w:marTop w:val="0"/>
                  <w:marBottom w:val="0"/>
                  <w:divBdr>
                    <w:top w:val="none" w:sz="0" w:space="0" w:color="auto"/>
                    <w:left w:val="none" w:sz="0" w:space="0" w:color="auto"/>
                    <w:bottom w:val="none" w:sz="0" w:space="0" w:color="auto"/>
                    <w:right w:val="none" w:sz="0" w:space="0" w:color="auto"/>
                  </w:divBdr>
                  <w:divsChild>
                    <w:div w:id="1478495510">
                      <w:marLeft w:val="0"/>
                      <w:marRight w:val="0"/>
                      <w:marTop w:val="0"/>
                      <w:marBottom w:val="0"/>
                      <w:divBdr>
                        <w:top w:val="none" w:sz="0" w:space="0" w:color="auto"/>
                        <w:left w:val="none" w:sz="0" w:space="0" w:color="auto"/>
                        <w:bottom w:val="none" w:sz="0" w:space="0" w:color="auto"/>
                        <w:right w:val="none" w:sz="0" w:space="0" w:color="auto"/>
                      </w:divBdr>
                      <w:divsChild>
                        <w:div w:id="178337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119969">
          <w:marLeft w:val="0"/>
          <w:marRight w:val="0"/>
          <w:marTop w:val="0"/>
          <w:marBottom w:val="48"/>
          <w:divBdr>
            <w:top w:val="none" w:sz="0" w:space="0" w:color="auto"/>
            <w:left w:val="none" w:sz="0" w:space="0" w:color="auto"/>
            <w:bottom w:val="none" w:sz="0" w:space="0" w:color="auto"/>
            <w:right w:val="none" w:sz="0" w:space="0" w:color="auto"/>
          </w:divBdr>
          <w:divsChild>
            <w:div w:id="1480000006">
              <w:marLeft w:val="0"/>
              <w:marRight w:val="0"/>
              <w:marTop w:val="0"/>
              <w:marBottom w:val="0"/>
              <w:divBdr>
                <w:top w:val="none" w:sz="0" w:space="0" w:color="auto"/>
                <w:left w:val="none" w:sz="0" w:space="0" w:color="auto"/>
                <w:bottom w:val="none" w:sz="0" w:space="0" w:color="auto"/>
                <w:right w:val="none" w:sz="0" w:space="0" w:color="auto"/>
              </w:divBdr>
            </w:div>
            <w:div w:id="55327332">
              <w:marLeft w:val="0"/>
              <w:marRight w:val="0"/>
              <w:marTop w:val="0"/>
              <w:marBottom w:val="0"/>
              <w:divBdr>
                <w:top w:val="none" w:sz="0" w:space="0" w:color="auto"/>
                <w:left w:val="none" w:sz="0" w:space="0" w:color="auto"/>
                <w:bottom w:val="none" w:sz="0" w:space="0" w:color="auto"/>
                <w:right w:val="none" w:sz="0" w:space="0" w:color="auto"/>
              </w:divBdr>
              <w:divsChild>
                <w:div w:id="431433467">
                  <w:marLeft w:val="0"/>
                  <w:marRight w:val="0"/>
                  <w:marTop w:val="0"/>
                  <w:marBottom w:val="0"/>
                  <w:divBdr>
                    <w:top w:val="none" w:sz="0" w:space="0" w:color="auto"/>
                    <w:left w:val="none" w:sz="0" w:space="0" w:color="auto"/>
                    <w:bottom w:val="none" w:sz="0" w:space="0" w:color="auto"/>
                    <w:right w:val="none" w:sz="0" w:space="0" w:color="auto"/>
                  </w:divBdr>
                  <w:divsChild>
                    <w:div w:id="1502157052">
                      <w:marLeft w:val="0"/>
                      <w:marRight w:val="0"/>
                      <w:marTop w:val="0"/>
                      <w:marBottom w:val="0"/>
                      <w:divBdr>
                        <w:top w:val="none" w:sz="0" w:space="0" w:color="auto"/>
                        <w:left w:val="none" w:sz="0" w:space="0" w:color="auto"/>
                        <w:bottom w:val="none" w:sz="0" w:space="0" w:color="auto"/>
                        <w:right w:val="none" w:sz="0" w:space="0" w:color="auto"/>
                      </w:divBdr>
                      <w:divsChild>
                        <w:div w:id="56453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039554">
          <w:marLeft w:val="0"/>
          <w:marRight w:val="0"/>
          <w:marTop w:val="0"/>
          <w:marBottom w:val="48"/>
          <w:divBdr>
            <w:top w:val="none" w:sz="0" w:space="0" w:color="auto"/>
            <w:left w:val="none" w:sz="0" w:space="0" w:color="auto"/>
            <w:bottom w:val="none" w:sz="0" w:space="0" w:color="auto"/>
            <w:right w:val="none" w:sz="0" w:space="0" w:color="auto"/>
          </w:divBdr>
          <w:divsChild>
            <w:div w:id="1163466897">
              <w:marLeft w:val="0"/>
              <w:marRight w:val="0"/>
              <w:marTop w:val="0"/>
              <w:marBottom w:val="0"/>
              <w:divBdr>
                <w:top w:val="none" w:sz="0" w:space="0" w:color="auto"/>
                <w:left w:val="none" w:sz="0" w:space="0" w:color="auto"/>
                <w:bottom w:val="none" w:sz="0" w:space="0" w:color="auto"/>
                <w:right w:val="none" w:sz="0" w:space="0" w:color="auto"/>
              </w:divBdr>
            </w:div>
            <w:div w:id="265505309">
              <w:marLeft w:val="0"/>
              <w:marRight w:val="0"/>
              <w:marTop w:val="0"/>
              <w:marBottom w:val="0"/>
              <w:divBdr>
                <w:top w:val="none" w:sz="0" w:space="0" w:color="auto"/>
                <w:left w:val="none" w:sz="0" w:space="0" w:color="auto"/>
                <w:bottom w:val="none" w:sz="0" w:space="0" w:color="auto"/>
                <w:right w:val="none" w:sz="0" w:space="0" w:color="auto"/>
              </w:divBdr>
              <w:divsChild>
                <w:div w:id="81071702">
                  <w:marLeft w:val="0"/>
                  <w:marRight w:val="0"/>
                  <w:marTop w:val="0"/>
                  <w:marBottom w:val="0"/>
                  <w:divBdr>
                    <w:top w:val="none" w:sz="0" w:space="0" w:color="auto"/>
                    <w:left w:val="none" w:sz="0" w:space="0" w:color="auto"/>
                    <w:bottom w:val="none" w:sz="0" w:space="0" w:color="auto"/>
                    <w:right w:val="none" w:sz="0" w:space="0" w:color="auto"/>
                  </w:divBdr>
                  <w:divsChild>
                    <w:div w:id="1857964685">
                      <w:marLeft w:val="0"/>
                      <w:marRight w:val="0"/>
                      <w:marTop w:val="0"/>
                      <w:marBottom w:val="0"/>
                      <w:divBdr>
                        <w:top w:val="none" w:sz="0" w:space="0" w:color="auto"/>
                        <w:left w:val="none" w:sz="0" w:space="0" w:color="auto"/>
                        <w:bottom w:val="none" w:sz="0" w:space="0" w:color="auto"/>
                        <w:right w:val="none" w:sz="0" w:space="0" w:color="auto"/>
                      </w:divBdr>
                      <w:divsChild>
                        <w:div w:id="147601398">
                          <w:marLeft w:val="0"/>
                          <w:marRight w:val="0"/>
                          <w:marTop w:val="0"/>
                          <w:marBottom w:val="0"/>
                          <w:divBdr>
                            <w:top w:val="none" w:sz="0" w:space="0" w:color="auto"/>
                            <w:left w:val="none" w:sz="0" w:space="0" w:color="auto"/>
                            <w:bottom w:val="none" w:sz="0" w:space="0" w:color="auto"/>
                            <w:right w:val="none" w:sz="0" w:space="0" w:color="auto"/>
                          </w:divBdr>
                        </w:div>
                      </w:divsChild>
                    </w:div>
                    <w:div w:id="1052970399">
                      <w:marLeft w:val="0"/>
                      <w:marRight w:val="0"/>
                      <w:marTop w:val="0"/>
                      <w:marBottom w:val="0"/>
                      <w:divBdr>
                        <w:top w:val="none" w:sz="0" w:space="0" w:color="auto"/>
                        <w:left w:val="none" w:sz="0" w:space="0" w:color="auto"/>
                        <w:bottom w:val="none" w:sz="0" w:space="0" w:color="auto"/>
                        <w:right w:val="none" w:sz="0" w:space="0" w:color="auto"/>
                      </w:divBdr>
                      <w:divsChild>
                        <w:div w:id="574435937">
                          <w:marLeft w:val="0"/>
                          <w:marRight w:val="0"/>
                          <w:marTop w:val="0"/>
                          <w:marBottom w:val="0"/>
                          <w:divBdr>
                            <w:top w:val="none" w:sz="0" w:space="0" w:color="auto"/>
                            <w:left w:val="none" w:sz="0" w:space="0" w:color="auto"/>
                            <w:bottom w:val="none" w:sz="0" w:space="0" w:color="auto"/>
                            <w:right w:val="none" w:sz="0" w:space="0" w:color="auto"/>
                          </w:divBdr>
                        </w:div>
                      </w:divsChild>
                    </w:div>
                    <w:div w:id="518666080">
                      <w:marLeft w:val="0"/>
                      <w:marRight w:val="0"/>
                      <w:marTop w:val="0"/>
                      <w:marBottom w:val="0"/>
                      <w:divBdr>
                        <w:top w:val="none" w:sz="0" w:space="0" w:color="auto"/>
                        <w:left w:val="none" w:sz="0" w:space="0" w:color="auto"/>
                        <w:bottom w:val="none" w:sz="0" w:space="0" w:color="auto"/>
                        <w:right w:val="none" w:sz="0" w:space="0" w:color="auto"/>
                      </w:divBdr>
                      <w:divsChild>
                        <w:div w:id="58222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0276197">
      <w:bodyDiv w:val="1"/>
      <w:marLeft w:val="0"/>
      <w:marRight w:val="0"/>
      <w:marTop w:val="0"/>
      <w:marBottom w:val="0"/>
      <w:divBdr>
        <w:top w:val="none" w:sz="0" w:space="0" w:color="auto"/>
        <w:left w:val="none" w:sz="0" w:space="0" w:color="auto"/>
        <w:bottom w:val="none" w:sz="0" w:space="0" w:color="auto"/>
        <w:right w:val="none" w:sz="0" w:space="0" w:color="auto"/>
      </w:divBdr>
    </w:div>
    <w:div w:id="1730883388">
      <w:bodyDiv w:val="1"/>
      <w:marLeft w:val="0"/>
      <w:marRight w:val="0"/>
      <w:marTop w:val="0"/>
      <w:marBottom w:val="0"/>
      <w:divBdr>
        <w:top w:val="none" w:sz="0" w:space="0" w:color="auto"/>
        <w:left w:val="none" w:sz="0" w:space="0" w:color="auto"/>
        <w:bottom w:val="none" w:sz="0" w:space="0" w:color="auto"/>
        <w:right w:val="none" w:sz="0" w:space="0" w:color="auto"/>
      </w:divBdr>
    </w:div>
    <w:div w:id="1734422937">
      <w:bodyDiv w:val="1"/>
      <w:marLeft w:val="0"/>
      <w:marRight w:val="0"/>
      <w:marTop w:val="0"/>
      <w:marBottom w:val="0"/>
      <w:divBdr>
        <w:top w:val="none" w:sz="0" w:space="0" w:color="auto"/>
        <w:left w:val="none" w:sz="0" w:space="0" w:color="auto"/>
        <w:bottom w:val="none" w:sz="0" w:space="0" w:color="auto"/>
        <w:right w:val="none" w:sz="0" w:space="0" w:color="auto"/>
      </w:divBdr>
    </w:div>
    <w:div w:id="1772583122">
      <w:bodyDiv w:val="1"/>
      <w:marLeft w:val="0"/>
      <w:marRight w:val="0"/>
      <w:marTop w:val="0"/>
      <w:marBottom w:val="0"/>
      <w:divBdr>
        <w:top w:val="none" w:sz="0" w:space="0" w:color="auto"/>
        <w:left w:val="none" w:sz="0" w:space="0" w:color="auto"/>
        <w:bottom w:val="none" w:sz="0" w:space="0" w:color="auto"/>
        <w:right w:val="none" w:sz="0" w:space="0" w:color="auto"/>
      </w:divBdr>
    </w:div>
    <w:div w:id="1798983760">
      <w:bodyDiv w:val="1"/>
      <w:marLeft w:val="0"/>
      <w:marRight w:val="0"/>
      <w:marTop w:val="0"/>
      <w:marBottom w:val="0"/>
      <w:divBdr>
        <w:top w:val="none" w:sz="0" w:space="0" w:color="auto"/>
        <w:left w:val="none" w:sz="0" w:space="0" w:color="auto"/>
        <w:bottom w:val="none" w:sz="0" w:space="0" w:color="auto"/>
        <w:right w:val="none" w:sz="0" w:space="0" w:color="auto"/>
      </w:divBdr>
    </w:div>
    <w:div w:id="1825201275">
      <w:bodyDiv w:val="1"/>
      <w:marLeft w:val="0"/>
      <w:marRight w:val="0"/>
      <w:marTop w:val="0"/>
      <w:marBottom w:val="0"/>
      <w:divBdr>
        <w:top w:val="none" w:sz="0" w:space="0" w:color="auto"/>
        <w:left w:val="none" w:sz="0" w:space="0" w:color="auto"/>
        <w:bottom w:val="none" w:sz="0" w:space="0" w:color="auto"/>
        <w:right w:val="none" w:sz="0" w:space="0" w:color="auto"/>
      </w:divBdr>
    </w:div>
    <w:div w:id="1827087218">
      <w:bodyDiv w:val="1"/>
      <w:marLeft w:val="0"/>
      <w:marRight w:val="0"/>
      <w:marTop w:val="0"/>
      <w:marBottom w:val="0"/>
      <w:divBdr>
        <w:top w:val="none" w:sz="0" w:space="0" w:color="auto"/>
        <w:left w:val="none" w:sz="0" w:space="0" w:color="auto"/>
        <w:bottom w:val="none" w:sz="0" w:space="0" w:color="auto"/>
        <w:right w:val="none" w:sz="0" w:space="0" w:color="auto"/>
      </w:divBdr>
    </w:div>
    <w:div w:id="1884251547">
      <w:bodyDiv w:val="1"/>
      <w:marLeft w:val="0"/>
      <w:marRight w:val="0"/>
      <w:marTop w:val="0"/>
      <w:marBottom w:val="0"/>
      <w:divBdr>
        <w:top w:val="none" w:sz="0" w:space="0" w:color="auto"/>
        <w:left w:val="none" w:sz="0" w:space="0" w:color="auto"/>
        <w:bottom w:val="none" w:sz="0" w:space="0" w:color="auto"/>
        <w:right w:val="none" w:sz="0" w:space="0" w:color="auto"/>
      </w:divBdr>
    </w:div>
    <w:div w:id="1945571509">
      <w:bodyDiv w:val="1"/>
      <w:marLeft w:val="0"/>
      <w:marRight w:val="0"/>
      <w:marTop w:val="0"/>
      <w:marBottom w:val="0"/>
      <w:divBdr>
        <w:top w:val="none" w:sz="0" w:space="0" w:color="auto"/>
        <w:left w:val="none" w:sz="0" w:space="0" w:color="auto"/>
        <w:bottom w:val="none" w:sz="0" w:space="0" w:color="auto"/>
        <w:right w:val="none" w:sz="0" w:space="0" w:color="auto"/>
      </w:divBdr>
    </w:div>
    <w:div w:id="1984235421">
      <w:bodyDiv w:val="1"/>
      <w:marLeft w:val="0"/>
      <w:marRight w:val="0"/>
      <w:marTop w:val="0"/>
      <w:marBottom w:val="0"/>
      <w:divBdr>
        <w:top w:val="none" w:sz="0" w:space="0" w:color="auto"/>
        <w:left w:val="none" w:sz="0" w:space="0" w:color="auto"/>
        <w:bottom w:val="none" w:sz="0" w:space="0" w:color="auto"/>
        <w:right w:val="none" w:sz="0" w:space="0" w:color="auto"/>
      </w:divBdr>
    </w:div>
    <w:div w:id="1990204653">
      <w:bodyDiv w:val="1"/>
      <w:marLeft w:val="0"/>
      <w:marRight w:val="0"/>
      <w:marTop w:val="0"/>
      <w:marBottom w:val="0"/>
      <w:divBdr>
        <w:top w:val="none" w:sz="0" w:space="0" w:color="auto"/>
        <w:left w:val="none" w:sz="0" w:space="0" w:color="auto"/>
        <w:bottom w:val="none" w:sz="0" w:space="0" w:color="auto"/>
        <w:right w:val="none" w:sz="0" w:space="0" w:color="auto"/>
      </w:divBdr>
      <w:divsChild>
        <w:div w:id="1617982323">
          <w:marLeft w:val="0"/>
          <w:marRight w:val="0"/>
          <w:marTop w:val="0"/>
          <w:marBottom w:val="0"/>
          <w:divBdr>
            <w:top w:val="none" w:sz="0" w:space="0" w:color="auto"/>
            <w:left w:val="none" w:sz="0" w:space="0" w:color="auto"/>
            <w:bottom w:val="none" w:sz="0" w:space="0" w:color="auto"/>
            <w:right w:val="none" w:sz="0" w:space="0" w:color="auto"/>
          </w:divBdr>
        </w:div>
        <w:div w:id="1064987021">
          <w:marLeft w:val="0"/>
          <w:marRight w:val="0"/>
          <w:marTop w:val="0"/>
          <w:marBottom w:val="0"/>
          <w:divBdr>
            <w:top w:val="none" w:sz="0" w:space="0" w:color="auto"/>
            <w:left w:val="none" w:sz="0" w:space="0" w:color="auto"/>
            <w:bottom w:val="none" w:sz="0" w:space="0" w:color="auto"/>
            <w:right w:val="none" w:sz="0" w:space="0" w:color="auto"/>
          </w:divBdr>
        </w:div>
      </w:divsChild>
    </w:div>
    <w:div w:id="2013486909">
      <w:bodyDiv w:val="1"/>
      <w:marLeft w:val="0"/>
      <w:marRight w:val="0"/>
      <w:marTop w:val="0"/>
      <w:marBottom w:val="0"/>
      <w:divBdr>
        <w:top w:val="none" w:sz="0" w:space="0" w:color="auto"/>
        <w:left w:val="none" w:sz="0" w:space="0" w:color="auto"/>
        <w:bottom w:val="none" w:sz="0" w:space="0" w:color="auto"/>
        <w:right w:val="none" w:sz="0" w:space="0" w:color="auto"/>
      </w:divBdr>
    </w:div>
    <w:div w:id="2040158602">
      <w:bodyDiv w:val="1"/>
      <w:marLeft w:val="0"/>
      <w:marRight w:val="0"/>
      <w:marTop w:val="0"/>
      <w:marBottom w:val="0"/>
      <w:divBdr>
        <w:top w:val="none" w:sz="0" w:space="0" w:color="auto"/>
        <w:left w:val="none" w:sz="0" w:space="0" w:color="auto"/>
        <w:bottom w:val="none" w:sz="0" w:space="0" w:color="auto"/>
        <w:right w:val="none" w:sz="0" w:space="0" w:color="auto"/>
      </w:divBdr>
      <w:divsChild>
        <w:div w:id="1726030495">
          <w:marLeft w:val="0"/>
          <w:marRight w:val="0"/>
          <w:marTop w:val="0"/>
          <w:marBottom w:val="0"/>
          <w:divBdr>
            <w:top w:val="none" w:sz="0" w:space="0" w:color="auto"/>
            <w:left w:val="none" w:sz="0" w:space="0" w:color="auto"/>
            <w:bottom w:val="none" w:sz="0" w:space="0" w:color="auto"/>
            <w:right w:val="none" w:sz="0" w:space="0" w:color="auto"/>
          </w:divBdr>
        </w:div>
        <w:div w:id="1339847894">
          <w:marLeft w:val="0"/>
          <w:marRight w:val="0"/>
          <w:marTop w:val="0"/>
          <w:marBottom w:val="0"/>
          <w:divBdr>
            <w:top w:val="none" w:sz="0" w:space="0" w:color="auto"/>
            <w:left w:val="none" w:sz="0" w:space="0" w:color="auto"/>
            <w:bottom w:val="none" w:sz="0" w:space="0" w:color="auto"/>
            <w:right w:val="none" w:sz="0" w:space="0" w:color="auto"/>
          </w:divBdr>
        </w:div>
        <w:div w:id="1393314963">
          <w:marLeft w:val="0"/>
          <w:marRight w:val="0"/>
          <w:marTop w:val="0"/>
          <w:marBottom w:val="0"/>
          <w:divBdr>
            <w:top w:val="none" w:sz="0" w:space="0" w:color="auto"/>
            <w:left w:val="none" w:sz="0" w:space="0" w:color="auto"/>
            <w:bottom w:val="none" w:sz="0" w:space="0" w:color="auto"/>
            <w:right w:val="none" w:sz="0" w:space="0" w:color="auto"/>
          </w:divBdr>
        </w:div>
        <w:div w:id="994410118">
          <w:marLeft w:val="0"/>
          <w:marRight w:val="0"/>
          <w:marTop w:val="0"/>
          <w:marBottom w:val="0"/>
          <w:divBdr>
            <w:top w:val="none" w:sz="0" w:space="0" w:color="auto"/>
            <w:left w:val="none" w:sz="0" w:space="0" w:color="auto"/>
            <w:bottom w:val="none" w:sz="0" w:space="0" w:color="auto"/>
            <w:right w:val="none" w:sz="0" w:space="0" w:color="auto"/>
          </w:divBdr>
        </w:div>
      </w:divsChild>
    </w:div>
    <w:div w:id="2068723122">
      <w:bodyDiv w:val="1"/>
      <w:marLeft w:val="0"/>
      <w:marRight w:val="0"/>
      <w:marTop w:val="0"/>
      <w:marBottom w:val="0"/>
      <w:divBdr>
        <w:top w:val="none" w:sz="0" w:space="0" w:color="auto"/>
        <w:left w:val="none" w:sz="0" w:space="0" w:color="auto"/>
        <w:bottom w:val="none" w:sz="0" w:space="0" w:color="auto"/>
        <w:right w:val="none" w:sz="0" w:space="0" w:color="auto"/>
      </w:divBdr>
    </w:div>
    <w:div w:id="2078938425">
      <w:bodyDiv w:val="1"/>
      <w:marLeft w:val="0"/>
      <w:marRight w:val="0"/>
      <w:marTop w:val="0"/>
      <w:marBottom w:val="0"/>
      <w:divBdr>
        <w:top w:val="none" w:sz="0" w:space="0" w:color="auto"/>
        <w:left w:val="none" w:sz="0" w:space="0" w:color="auto"/>
        <w:bottom w:val="none" w:sz="0" w:space="0" w:color="auto"/>
        <w:right w:val="none" w:sz="0" w:space="0" w:color="auto"/>
      </w:divBdr>
    </w:div>
    <w:div w:id="2086490934">
      <w:bodyDiv w:val="1"/>
      <w:marLeft w:val="0"/>
      <w:marRight w:val="0"/>
      <w:marTop w:val="0"/>
      <w:marBottom w:val="0"/>
      <w:divBdr>
        <w:top w:val="none" w:sz="0" w:space="0" w:color="auto"/>
        <w:left w:val="none" w:sz="0" w:space="0" w:color="auto"/>
        <w:bottom w:val="none" w:sz="0" w:space="0" w:color="auto"/>
        <w:right w:val="none" w:sz="0" w:space="0" w:color="auto"/>
      </w:divBdr>
    </w:div>
    <w:div w:id="2111923690">
      <w:bodyDiv w:val="1"/>
      <w:marLeft w:val="0"/>
      <w:marRight w:val="0"/>
      <w:marTop w:val="0"/>
      <w:marBottom w:val="0"/>
      <w:divBdr>
        <w:top w:val="none" w:sz="0" w:space="0" w:color="auto"/>
        <w:left w:val="none" w:sz="0" w:space="0" w:color="auto"/>
        <w:bottom w:val="none" w:sz="0" w:space="0" w:color="auto"/>
        <w:right w:val="none" w:sz="0" w:space="0" w:color="auto"/>
      </w:divBdr>
      <w:divsChild>
        <w:div w:id="257376239">
          <w:marLeft w:val="0"/>
          <w:marRight w:val="0"/>
          <w:marTop w:val="0"/>
          <w:marBottom w:val="0"/>
          <w:divBdr>
            <w:top w:val="none" w:sz="0" w:space="0" w:color="auto"/>
            <w:left w:val="none" w:sz="0" w:space="0" w:color="auto"/>
            <w:bottom w:val="none" w:sz="0" w:space="0" w:color="auto"/>
            <w:right w:val="none" w:sz="0" w:space="0" w:color="auto"/>
          </w:divBdr>
        </w:div>
        <w:div w:id="665523230">
          <w:marLeft w:val="0"/>
          <w:marRight w:val="0"/>
          <w:marTop w:val="0"/>
          <w:marBottom w:val="0"/>
          <w:divBdr>
            <w:top w:val="none" w:sz="0" w:space="0" w:color="auto"/>
            <w:left w:val="none" w:sz="0" w:space="0" w:color="auto"/>
            <w:bottom w:val="none" w:sz="0" w:space="0" w:color="auto"/>
            <w:right w:val="none" w:sz="0" w:space="0" w:color="auto"/>
          </w:divBdr>
        </w:div>
        <w:div w:id="1221597861">
          <w:marLeft w:val="0"/>
          <w:marRight w:val="0"/>
          <w:marTop w:val="0"/>
          <w:marBottom w:val="0"/>
          <w:divBdr>
            <w:top w:val="none" w:sz="0" w:space="0" w:color="auto"/>
            <w:left w:val="none" w:sz="0" w:space="0" w:color="auto"/>
            <w:bottom w:val="none" w:sz="0" w:space="0" w:color="auto"/>
            <w:right w:val="none" w:sz="0" w:space="0" w:color="auto"/>
          </w:divBdr>
        </w:div>
        <w:div w:id="1325890622">
          <w:marLeft w:val="0"/>
          <w:marRight w:val="0"/>
          <w:marTop w:val="0"/>
          <w:marBottom w:val="0"/>
          <w:divBdr>
            <w:top w:val="none" w:sz="0" w:space="0" w:color="auto"/>
            <w:left w:val="none" w:sz="0" w:space="0" w:color="auto"/>
            <w:bottom w:val="none" w:sz="0" w:space="0" w:color="auto"/>
            <w:right w:val="none" w:sz="0" w:space="0" w:color="auto"/>
          </w:divBdr>
        </w:div>
        <w:div w:id="1523007924">
          <w:marLeft w:val="0"/>
          <w:marRight w:val="0"/>
          <w:marTop w:val="0"/>
          <w:marBottom w:val="0"/>
          <w:divBdr>
            <w:top w:val="none" w:sz="0" w:space="0" w:color="auto"/>
            <w:left w:val="none" w:sz="0" w:space="0" w:color="auto"/>
            <w:bottom w:val="none" w:sz="0" w:space="0" w:color="auto"/>
            <w:right w:val="none" w:sz="0" w:space="0" w:color="auto"/>
          </w:divBdr>
        </w:div>
      </w:divsChild>
    </w:div>
    <w:div w:id="2141459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ctrine.fr/d/CASS/2020/C24402907E034F746F3B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droitbelge.be/codes.asp" TargetMode="External"/><Relationship Id="rId3" Type="http://schemas.openxmlformats.org/officeDocument/2006/relationships/hyperlink" Target="https://www.legifrance.gouv.fr/juri/id/JURITEXT000042524875?dateDecision=04%2F11%2F2020&amp;init=true&amp;juridictionJudiciaire=Cour+de+cassation&amp;page=1&amp;query=Dahomey&amp;searchField=TEXTE&amp;tab_selection=juri" TargetMode="External"/><Relationship Id="rId7" Type="http://schemas.openxmlformats.org/officeDocument/2006/relationships/hyperlink" Target="https://www.ejustice.just.fgov.be/cgi_loi/change_lg.pl?language=fr&amp;la=F&amp;cn=2004071631&amp;table_name=loi" TargetMode="External"/><Relationship Id="rId2" Type="http://schemas.openxmlformats.org/officeDocument/2006/relationships/hyperlink" Target="https://www.rtbf.be/article/voici-le-rapport-sur-le-passe-colonial-belge-quand-l-histoire-continue-de-deranger-notre-monde-politique-11324605" TargetMode="External"/><Relationship Id="rId1" Type="http://schemas.openxmlformats.org/officeDocument/2006/relationships/hyperlink" Target="https://dissect.ugent.be/" TargetMode="External"/><Relationship Id="rId6" Type="http://schemas.openxmlformats.org/officeDocument/2006/relationships/hyperlink" Target="https://catalogue-bibliotheque.sciencespo.fr/discovery/fulldisplay?docid=cdi_abes_theses_2021AIXM0285&amp;context=PC&amp;vid=33USPC_SPO:SPO&amp;lang=fr&amp;search_scope=MyInst_and_CI&amp;adaptor=Primo%20Central&amp;tab=Everything&amp;query=any%2Ccontains%2Cdroit%20coutumier%20B%C3%A9nin&amp;offset=0" TargetMode="External"/><Relationship Id="rId5" Type="http://schemas.openxmlformats.org/officeDocument/2006/relationships/hyperlink" Target="https://www.nyulawglobal.org/globalex/BENIN.html" TargetMode="External"/><Relationship Id="rId4" Type="http://schemas.openxmlformats.org/officeDocument/2006/relationships/hyperlink" Target="https://www.legifrance.gouv.fr/codes/texte_lc/LEGITEXT00000607072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2A702-027C-4645-B0A4-F7F6BF8A1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25</Pages>
  <Words>10894</Words>
  <Characters>59918</Characters>
  <Application>Microsoft Office Word</Application>
  <DocSecurity>0</DocSecurity>
  <Lines>499</Lines>
  <Paragraphs>141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Brachotte</dc:creator>
  <cp:keywords/>
  <dc:description/>
  <cp:lastModifiedBy>Sandrine Brachotte</cp:lastModifiedBy>
  <cp:revision>6</cp:revision>
  <dcterms:created xsi:type="dcterms:W3CDTF">2025-01-02T21:01:00Z</dcterms:created>
  <dcterms:modified xsi:type="dcterms:W3CDTF">2025-01-11T13:05:00Z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a7ff5778-7ca0-47ce-af33-6e92ba8c7511</vt:lpwstr>
  </property>
</Properties>
</file>