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9D1CFC6" w14:textId="390956A3" w:rsidR="005A756E" w:rsidRDefault="005A756E" w:rsidP="00392098">
      <w:pPr>
        <w:pStyle w:val="Sansinterligne"/>
        <w:jc w:val="center"/>
        <w:rPr>
          <w:rFonts w:ascii="Arial" w:hAnsi="Arial" w:cs="Arial"/>
          <w:b/>
          <w:bCs/>
          <w:sz w:val="22"/>
          <w:szCs w:val="22"/>
          <w:lang w:val="fr-FR"/>
        </w:rPr>
      </w:pPr>
      <w:r w:rsidRPr="00392098">
        <w:rPr>
          <w:rFonts w:ascii="Arial" w:hAnsi="Arial" w:cs="Arial"/>
          <w:b/>
          <w:bCs/>
          <w:sz w:val="22"/>
          <w:szCs w:val="22"/>
          <w:lang w:val="fr-FR"/>
        </w:rPr>
        <w:t xml:space="preserve">Olivier </w:t>
      </w:r>
      <w:r w:rsidRPr="00392098">
        <w:rPr>
          <w:rFonts w:ascii="Arial" w:hAnsi="Arial" w:cs="Arial"/>
          <w:b/>
          <w:bCs/>
          <w:smallCaps/>
          <w:sz w:val="22"/>
          <w:szCs w:val="22"/>
          <w:lang w:val="fr-FR"/>
        </w:rPr>
        <w:t>Beaud</w:t>
      </w:r>
      <w:r w:rsidRPr="00392098">
        <w:rPr>
          <w:rFonts w:ascii="Arial" w:hAnsi="Arial" w:cs="Arial"/>
          <w:b/>
          <w:bCs/>
          <w:sz w:val="22"/>
          <w:szCs w:val="22"/>
          <w:lang w:val="fr-FR"/>
        </w:rPr>
        <w:t xml:space="preserve">, </w:t>
      </w:r>
      <w:r w:rsidRPr="00392098">
        <w:rPr>
          <w:rFonts w:ascii="Arial" w:hAnsi="Arial" w:cs="Arial"/>
          <w:b/>
          <w:bCs/>
          <w:i/>
          <w:iCs/>
          <w:sz w:val="22"/>
          <w:szCs w:val="22"/>
          <w:lang w:val="fr-FR"/>
        </w:rPr>
        <w:t>Le savoir en danger. Menaces sur la liberté académique</w:t>
      </w:r>
      <w:r w:rsidRPr="00392098">
        <w:rPr>
          <w:rFonts w:ascii="Arial" w:hAnsi="Arial" w:cs="Arial"/>
          <w:b/>
          <w:bCs/>
          <w:sz w:val="22"/>
          <w:szCs w:val="22"/>
          <w:lang w:val="fr-FR"/>
        </w:rPr>
        <w:t>, Paris, PUF, 2021</w:t>
      </w:r>
      <w:r w:rsidR="001D740A" w:rsidRPr="00392098">
        <w:rPr>
          <w:rFonts w:ascii="Arial" w:hAnsi="Arial" w:cs="Arial"/>
          <w:b/>
          <w:bCs/>
          <w:sz w:val="22"/>
          <w:szCs w:val="22"/>
          <w:lang w:val="fr-FR"/>
        </w:rPr>
        <w:t>, 330 p.</w:t>
      </w:r>
      <w:r w:rsidR="004374AC" w:rsidRPr="00392098">
        <w:rPr>
          <w:rStyle w:val="Appelnotedebasdep"/>
          <w:rFonts w:ascii="Arial" w:hAnsi="Arial" w:cs="Arial"/>
          <w:b/>
          <w:bCs/>
          <w:sz w:val="22"/>
          <w:szCs w:val="22"/>
          <w:lang w:val="fr-FR"/>
        </w:rPr>
        <w:footnoteReference w:id="1"/>
      </w:r>
    </w:p>
    <w:p w14:paraId="1E5356E2" w14:textId="77777777" w:rsidR="002425AC" w:rsidRPr="00392098" w:rsidRDefault="002425AC" w:rsidP="00392098">
      <w:pPr>
        <w:pStyle w:val="Sansinterligne"/>
        <w:jc w:val="center"/>
        <w:rPr>
          <w:rFonts w:ascii="Arial" w:hAnsi="Arial" w:cs="Arial"/>
          <w:b/>
          <w:bCs/>
          <w:sz w:val="22"/>
          <w:szCs w:val="22"/>
          <w:lang w:val="fr-FR"/>
        </w:rPr>
      </w:pPr>
    </w:p>
    <w:p w14:paraId="311CCB0D" w14:textId="4560A3AB" w:rsidR="005A756E" w:rsidRPr="002425AC" w:rsidRDefault="005A756E" w:rsidP="002425AC">
      <w:pPr>
        <w:pStyle w:val="Sansinterligne"/>
        <w:jc w:val="center"/>
        <w:rPr>
          <w:rFonts w:ascii="Arial" w:hAnsi="Arial" w:cs="Arial"/>
          <w:sz w:val="20"/>
          <w:szCs w:val="20"/>
          <w:lang w:val="fr-FR"/>
        </w:rPr>
      </w:pPr>
      <w:r w:rsidRPr="002425AC">
        <w:rPr>
          <w:rFonts w:ascii="Arial" w:hAnsi="Arial" w:cs="Arial"/>
          <w:sz w:val="20"/>
          <w:szCs w:val="20"/>
          <w:lang w:val="fr-FR"/>
        </w:rPr>
        <w:t xml:space="preserve">Quentin </w:t>
      </w:r>
      <w:r w:rsidRPr="002425AC">
        <w:rPr>
          <w:rFonts w:ascii="Arial" w:hAnsi="Arial" w:cs="Arial"/>
          <w:smallCaps/>
          <w:sz w:val="20"/>
          <w:szCs w:val="20"/>
          <w:lang w:val="fr-FR"/>
        </w:rPr>
        <w:t>Landenne</w:t>
      </w:r>
    </w:p>
    <w:p w14:paraId="0D8AB118" w14:textId="0A35EE2A" w:rsidR="001D740A" w:rsidRPr="00624E03" w:rsidRDefault="005A756E" w:rsidP="00624E03">
      <w:pPr>
        <w:pStyle w:val="Sansinterligne"/>
        <w:jc w:val="center"/>
        <w:rPr>
          <w:rFonts w:ascii="Arial" w:hAnsi="Arial" w:cs="Arial"/>
          <w:sz w:val="18"/>
          <w:szCs w:val="18"/>
          <w:lang w:val="fr-FR"/>
        </w:rPr>
      </w:pPr>
      <w:r w:rsidRPr="00624E03">
        <w:rPr>
          <w:rFonts w:ascii="Arial" w:hAnsi="Arial" w:cs="Arial"/>
          <w:sz w:val="18"/>
          <w:szCs w:val="18"/>
          <w:lang w:val="fr-FR"/>
        </w:rPr>
        <w:t>Professeur à l’</w:t>
      </w:r>
      <w:proofErr w:type="spellStart"/>
      <w:r w:rsidRPr="00624E03">
        <w:rPr>
          <w:rFonts w:ascii="Arial" w:hAnsi="Arial" w:cs="Arial"/>
          <w:sz w:val="18"/>
          <w:szCs w:val="18"/>
          <w:lang w:val="fr-FR"/>
        </w:rPr>
        <w:t>UCLouvain</w:t>
      </w:r>
      <w:proofErr w:type="spellEnd"/>
      <w:r w:rsidRPr="00624E03">
        <w:rPr>
          <w:rFonts w:ascii="Arial" w:hAnsi="Arial" w:cs="Arial"/>
          <w:sz w:val="18"/>
          <w:szCs w:val="18"/>
          <w:lang w:val="fr-FR"/>
        </w:rPr>
        <w:t xml:space="preserve"> Saint-Louis – Bruxelles</w:t>
      </w:r>
      <w:r w:rsidR="001D740A" w:rsidRPr="00624E03">
        <w:rPr>
          <w:rFonts w:ascii="Arial" w:hAnsi="Arial" w:cs="Arial"/>
          <w:sz w:val="18"/>
          <w:szCs w:val="18"/>
          <w:lang w:val="fr-FR"/>
        </w:rPr>
        <w:br/>
        <w:t xml:space="preserve">Chargé de recherches au Fonds National </w:t>
      </w:r>
      <w:r w:rsidR="001D740A" w:rsidRPr="00624E03">
        <w:rPr>
          <w:rFonts w:ascii="Arial" w:hAnsi="Arial" w:cs="Arial"/>
          <w:sz w:val="18"/>
          <w:szCs w:val="18"/>
          <w:lang w:val="fr-FR"/>
        </w:rPr>
        <w:br/>
        <w:t>de la Recherche Scientifique (F.R.S.-FNRS)</w:t>
      </w:r>
    </w:p>
    <w:p w14:paraId="5979B600" w14:textId="3D26E2D7" w:rsidR="00A41148" w:rsidRPr="005145BA" w:rsidRDefault="00A41148" w:rsidP="00A41148">
      <w:pPr>
        <w:spacing w:line="360" w:lineRule="auto"/>
        <w:contextualSpacing/>
        <w:jc w:val="both"/>
        <w:rPr>
          <w:rFonts w:ascii="Arial" w:hAnsi="Arial" w:cs="Arial"/>
          <w:b/>
          <w:bCs/>
          <w:sz w:val="20"/>
          <w:szCs w:val="20"/>
          <w:lang w:val="fr-FR"/>
        </w:rPr>
      </w:pPr>
    </w:p>
    <w:p w14:paraId="0B8BB091" w14:textId="77777777" w:rsidR="005A756E" w:rsidRPr="005145BA" w:rsidRDefault="005A756E" w:rsidP="00A41148">
      <w:pPr>
        <w:pStyle w:val="Corpsarticle"/>
      </w:pPr>
      <w:r w:rsidRPr="005145BA">
        <w:t xml:space="preserve">L’ouvrage d’Olivier Beaud, </w:t>
      </w:r>
      <w:r w:rsidRPr="005145BA">
        <w:rPr>
          <w:i/>
          <w:iCs/>
        </w:rPr>
        <w:t>Le savoir en danger</w:t>
      </w:r>
      <w:r w:rsidRPr="005145BA">
        <w:t>.</w:t>
      </w:r>
      <w:r w:rsidRPr="005145BA">
        <w:rPr>
          <w:i/>
          <w:iCs/>
        </w:rPr>
        <w:t xml:space="preserve"> Menaces sur la liberté académique</w:t>
      </w:r>
      <w:r w:rsidRPr="005145BA">
        <w:t xml:space="preserve">, est important à plusieurs égards et n’a sans doute pas encore reçu toute l’attention qu’il méritait depuis sa publication, notamment dans les champs de la philosophie du droit et de la philosophie politique. Il représente pourtant l’une des très rares monographies de synthèse consacrées en français ces dernières années aux questions théoriques, normatives et empiriques soulevées par le concept de liberté académique et aux nouvelles menaces qui pèsent sur elle – alors que ces questions font aujourd’hui l’objet d’une très abondante littérature en langue anglaise, et en particulier aux États-Unis. </w:t>
      </w:r>
    </w:p>
    <w:p w14:paraId="0901748F" w14:textId="5F2E98E8" w:rsidR="005A756E" w:rsidRPr="005145BA" w:rsidRDefault="005A756E" w:rsidP="00A41148">
      <w:pPr>
        <w:pStyle w:val="Corpsarticle"/>
      </w:pPr>
      <w:r w:rsidRPr="005145BA">
        <w:t xml:space="preserve">Une des originalités de l’ouvrage réside dans le fait que l’approche proposée par </w:t>
      </w:r>
      <w:r w:rsidR="001D740A">
        <w:t>l’auteur</w:t>
      </w:r>
      <w:r w:rsidRPr="005145BA">
        <w:t xml:space="preserve"> est celle d’un juriste (d’un juriste constitutionnaliste français), mais qui ne traite pourtant pas – ou pas primordialement – la liberté </w:t>
      </w:r>
      <w:proofErr w:type="gramStart"/>
      <w:r w:rsidRPr="005145BA">
        <w:t>académique</w:t>
      </w:r>
      <w:proofErr w:type="gramEnd"/>
      <w:r w:rsidRPr="005145BA">
        <w:t xml:space="preserve"> comme un principe juridique (</w:t>
      </w:r>
      <w:r w:rsidR="00282EDB">
        <w:t>p. </w:t>
      </w:r>
      <w:r w:rsidRPr="005145BA">
        <w:t xml:space="preserve">25, 241). Ce n’est pas que la notion de liberté académique n’impliquerait pas de nombreuses dimensions juridiques, qui sont effectivement étudiées par </w:t>
      </w:r>
      <w:r w:rsidR="001D740A">
        <w:t>l’auteur</w:t>
      </w:r>
      <w:r w:rsidRPr="005145BA">
        <w:t xml:space="preserve"> (elles l’ont été plus systématiquement dans un ouvrage antérieur, </w:t>
      </w:r>
      <w:r w:rsidRPr="005145BA">
        <w:rPr>
          <w:i/>
          <w:iCs/>
        </w:rPr>
        <w:t>Les libertés universitaires à l’abandon ?</w:t>
      </w:r>
      <w:r w:rsidRPr="005145BA">
        <w:t xml:space="preserve">) ; mais il s’agit ici de « défendre » la liberté académique comme un « principe régulateur de l’université » (un </w:t>
      </w:r>
      <w:proofErr w:type="spellStart"/>
      <w:r w:rsidRPr="005145BA">
        <w:rPr>
          <w:i/>
          <w:iCs/>
        </w:rPr>
        <w:t>core</w:t>
      </w:r>
      <w:proofErr w:type="spellEnd"/>
      <w:r w:rsidRPr="005145BA">
        <w:rPr>
          <w:i/>
          <w:iCs/>
        </w:rPr>
        <w:t xml:space="preserve"> </w:t>
      </w:r>
      <w:proofErr w:type="spellStart"/>
      <w:r w:rsidRPr="005145BA">
        <w:rPr>
          <w:i/>
          <w:iCs/>
        </w:rPr>
        <w:t>principle</w:t>
      </w:r>
      <w:proofErr w:type="spellEnd"/>
      <w:r w:rsidRPr="005145BA">
        <w:t>, selon J. Cole) et d’inviter les universitaires à promouvoir eux-mêmes ce principe. En cela, l’ouvrage est à la fois une étude scientifique et un essai d’intervention visant à stimuler l’</w:t>
      </w:r>
      <w:r w:rsidRPr="005145BA">
        <w:rPr>
          <w:i/>
          <w:iCs/>
        </w:rPr>
        <w:t>ethos</w:t>
      </w:r>
      <w:r w:rsidRPr="005145BA">
        <w:t xml:space="preserve"> académique. C’est peut-être parce qu’il n’adopte pas une méthode strictement juridique que </w:t>
      </w:r>
      <w:r w:rsidR="001D740A">
        <w:t>l’auteur</w:t>
      </w:r>
      <w:r w:rsidRPr="005145BA">
        <w:t xml:space="preserve"> se dispense de donner d’emblée une définition de la liberté académique, ce « concept de combat », proposant certes quelques définitions en partie congruentes, mais sans qu’on sache immédiatement s’il se les approprie complètement. La première partie isole </w:t>
      </w:r>
      <w:proofErr w:type="gramStart"/>
      <w:r w:rsidRPr="005145BA">
        <w:lastRenderedPageBreak/>
        <w:t>alors</w:t>
      </w:r>
      <w:proofErr w:type="gramEnd"/>
      <w:r w:rsidRPr="005145BA">
        <w:t xml:space="preserve"> une série d’éléments constitutifs permettant de faire émerger enfin, à partir de variations notionnelles, une forme de définition instrumentale : « la liberté académique est le moyen par lequel l’université peut atteindre sa mission principale qui est sa contribution au développement du savoir » (</w:t>
      </w:r>
      <w:r w:rsidR="00282EDB">
        <w:t>p. </w:t>
      </w:r>
      <w:r w:rsidRPr="005145BA">
        <w:t>67).</w:t>
      </w:r>
    </w:p>
    <w:p w14:paraId="17E1492D" w14:textId="1706BDD2" w:rsidR="005A756E" w:rsidRPr="005145BA" w:rsidRDefault="001D740A" w:rsidP="00A41148">
      <w:pPr>
        <w:pStyle w:val="Corpsarticle"/>
      </w:pPr>
      <w:r>
        <w:t>L’auteur</w:t>
      </w:r>
      <w:r w:rsidR="005A756E" w:rsidRPr="005145BA">
        <w:t xml:space="preserve"> commence cette analyse conceptuelle en présentant l’arrière-plan théorique et </w:t>
      </w:r>
      <w:r w:rsidR="005A756E" w:rsidRPr="00A41148">
        <w:t>historique</w:t>
      </w:r>
      <w:r w:rsidR="005A756E" w:rsidRPr="005145BA">
        <w:t xml:space="preserve"> de la notion de liberté académique. Parmi les textes canoniques qui peuvent être identifiés comme les sources intellectuelles principales du concept de liberté académique, sont citées d’une part, la célèbre note de Wilhelm von Humboldt de 1810, </w:t>
      </w:r>
      <w:r w:rsidR="005A756E" w:rsidRPr="005145BA">
        <w:rPr>
          <w:i/>
          <w:iCs/>
        </w:rPr>
        <w:t>Sur l’organisation interne et externe des établissements scientifiques supérieurs à fonder à Berlin</w:t>
      </w:r>
      <w:r w:rsidR="005A756E" w:rsidRPr="005145BA">
        <w:t>, où Humboldt reprend les éléments d’un débat plus vaste dans l’idéalisme allemand au début des années 1800, et en propose une synthèse fondée sur la mission formative (</w:t>
      </w:r>
      <w:r w:rsidR="005A756E" w:rsidRPr="005145BA">
        <w:rPr>
          <w:i/>
          <w:iCs/>
        </w:rPr>
        <w:t>Bildung</w:t>
      </w:r>
      <w:r w:rsidR="005A756E" w:rsidRPr="005145BA">
        <w:t xml:space="preserve">) du savoir, l’unité de la recherche et de l’enseignement, l’articulation des libertés d’apprendre et d’enseigner et l’autonomie organisationnelle des universités. L’autre source importante, côté états-unien, renvoie aux Déclarations de 1915 et 1940 de l’Association américaine des professeurs d’Université (AAUP), dont l’essai </w:t>
      </w:r>
      <w:r w:rsidR="005A756E" w:rsidRPr="005145BA">
        <w:rPr>
          <w:i/>
          <w:iCs/>
        </w:rPr>
        <w:t>On liberty</w:t>
      </w:r>
      <w:r w:rsidR="005A756E" w:rsidRPr="005145BA">
        <w:t xml:space="preserve"> de Mill (1859) serait « sans conteste la source philosophique » (</w:t>
      </w:r>
      <w:r w:rsidR="00282EDB">
        <w:t>p. </w:t>
      </w:r>
      <w:r w:rsidR="005A756E" w:rsidRPr="005145BA">
        <w:t>35). Outre la dimension libérale évidente de ces textes, les libertés de recherche (</w:t>
      </w:r>
      <w:proofErr w:type="spellStart"/>
      <w:r w:rsidR="005A756E" w:rsidRPr="005145BA">
        <w:rPr>
          <w:i/>
          <w:iCs/>
        </w:rPr>
        <w:t>freedom</w:t>
      </w:r>
      <w:proofErr w:type="spellEnd"/>
      <w:r w:rsidR="005A756E" w:rsidRPr="005145BA">
        <w:rPr>
          <w:i/>
          <w:iCs/>
        </w:rPr>
        <w:t xml:space="preserve"> of </w:t>
      </w:r>
      <w:proofErr w:type="spellStart"/>
      <w:r w:rsidR="005A756E" w:rsidRPr="005145BA">
        <w:rPr>
          <w:i/>
          <w:iCs/>
        </w:rPr>
        <w:t>inquiry</w:t>
      </w:r>
      <w:proofErr w:type="spellEnd"/>
      <w:r w:rsidR="005A756E" w:rsidRPr="005145BA">
        <w:t>), d’enseigner (</w:t>
      </w:r>
      <w:proofErr w:type="spellStart"/>
      <w:r w:rsidR="005A756E" w:rsidRPr="005145BA">
        <w:rPr>
          <w:i/>
          <w:iCs/>
        </w:rPr>
        <w:t>freedom</w:t>
      </w:r>
      <w:proofErr w:type="spellEnd"/>
      <w:r w:rsidR="005A756E" w:rsidRPr="005145BA">
        <w:rPr>
          <w:i/>
          <w:iCs/>
        </w:rPr>
        <w:t xml:space="preserve"> in </w:t>
      </w:r>
      <w:proofErr w:type="spellStart"/>
      <w:r w:rsidR="005A756E" w:rsidRPr="005145BA">
        <w:rPr>
          <w:i/>
          <w:iCs/>
        </w:rPr>
        <w:t>its</w:t>
      </w:r>
      <w:proofErr w:type="spellEnd"/>
      <w:r w:rsidR="005A756E" w:rsidRPr="005145BA">
        <w:rPr>
          <w:i/>
          <w:iCs/>
        </w:rPr>
        <w:t xml:space="preserve"> </w:t>
      </w:r>
      <w:proofErr w:type="spellStart"/>
      <w:r w:rsidR="005A756E" w:rsidRPr="005145BA">
        <w:rPr>
          <w:i/>
          <w:iCs/>
        </w:rPr>
        <w:t>teaching</w:t>
      </w:r>
      <w:proofErr w:type="spellEnd"/>
      <w:r w:rsidR="005A756E" w:rsidRPr="005145BA">
        <w:rPr>
          <w:i/>
          <w:iCs/>
        </w:rPr>
        <w:t xml:space="preserve"> aspects</w:t>
      </w:r>
      <w:r w:rsidR="005A756E" w:rsidRPr="005145BA">
        <w:t>) et d’expression (</w:t>
      </w:r>
      <w:proofErr w:type="spellStart"/>
      <w:r w:rsidR="005A756E" w:rsidRPr="005145BA">
        <w:rPr>
          <w:i/>
          <w:iCs/>
        </w:rPr>
        <w:t>freedom</w:t>
      </w:r>
      <w:proofErr w:type="spellEnd"/>
      <w:r w:rsidR="005A756E" w:rsidRPr="005145BA">
        <w:rPr>
          <w:i/>
          <w:iCs/>
        </w:rPr>
        <w:t xml:space="preserve"> of speech</w:t>
      </w:r>
      <w:r w:rsidR="005A756E" w:rsidRPr="005145BA">
        <w:t xml:space="preserve">), sont liées et limitées dans leur exercice par la poursuite d’une finalité positive, celle du </w:t>
      </w:r>
      <w:proofErr w:type="spellStart"/>
      <w:r w:rsidR="005A756E" w:rsidRPr="005145BA">
        <w:rPr>
          <w:i/>
          <w:iCs/>
        </w:rPr>
        <w:t>common</w:t>
      </w:r>
      <w:proofErr w:type="spellEnd"/>
      <w:r w:rsidR="005A756E" w:rsidRPr="005145BA">
        <w:rPr>
          <w:i/>
          <w:iCs/>
        </w:rPr>
        <w:t xml:space="preserve"> good</w:t>
      </w:r>
      <w:r w:rsidR="005A756E" w:rsidRPr="005145BA">
        <w:t xml:space="preserve"> (notion empruntée à Robert Post, traduite par « intérêt général » par </w:t>
      </w:r>
      <w:r>
        <w:t>l’auteur</w:t>
      </w:r>
      <w:r w:rsidR="005A756E" w:rsidRPr="005145BA">
        <w:t>) des activités universitaires, soit la libre recherche et la libre exposition de la vérité. « Ces deux sources – la note de Humboldt de 1810 et les Déclarations de 1915 et de 1940 de l’AAUP – constituent le socle intellectuel sur lequel repose l’essentiel de la littérature sur la liberté académique » (</w:t>
      </w:r>
      <w:r w:rsidR="00282EDB">
        <w:t>p. </w:t>
      </w:r>
      <w:r w:rsidR="005A756E" w:rsidRPr="005145BA">
        <w:t xml:space="preserve">37). </w:t>
      </w:r>
    </w:p>
    <w:p w14:paraId="38C0F1CE" w14:textId="77777777" w:rsidR="005A756E" w:rsidRPr="005145BA" w:rsidRDefault="005A756E" w:rsidP="00A41148">
      <w:pPr>
        <w:pStyle w:val="Corpsarticle"/>
      </w:pPr>
      <w:r w:rsidRPr="005145BA">
        <w:t xml:space="preserve">Pour pouvoir déterminer le contenu et les limites de la liberté académique (dorénavant LA), il convient d’abord d’en identifier les titulaires. Selon le modèle </w:t>
      </w:r>
      <w:proofErr w:type="spellStart"/>
      <w:r w:rsidRPr="005145BA">
        <w:t>humboldtien</w:t>
      </w:r>
      <w:proofErr w:type="spellEnd"/>
      <w:r w:rsidRPr="005145BA">
        <w:t xml:space="preserve">, les enseignants et les étudiants sont les titulaires directs de cette liberté de chercher, d’apprendre et d’enseigner. Il faut d’ailleurs rappeler que la Déclaration américaine de l’AAUP de 1915 se réclame explicitement de cet héritage </w:t>
      </w:r>
      <w:proofErr w:type="spellStart"/>
      <w:r w:rsidRPr="005145BA">
        <w:t>humboldtien</w:t>
      </w:r>
      <w:proofErr w:type="spellEnd"/>
      <w:r w:rsidRPr="005145BA">
        <w:t xml:space="preserve"> en citant les notions de </w:t>
      </w:r>
      <w:proofErr w:type="spellStart"/>
      <w:r w:rsidRPr="005145BA">
        <w:rPr>
          <w:i/>
          <w:iCs/>
        </w:rPr>
        <w:t>Lehrfreiheit</w:t>
      </w:r>
      <w:proofErr w:type="spellEnd"/>
      <w:r w:rsidRPr="005145BA">
        <w:rPr>
          <w:i/>
          <w:iCs/>
        </w:rPr>
        <w:t xml:space="preserve"> </w:t>
      </w:r>
      <w:r w:rsidRPr="005145BA">
        <w:t xml:space="preserve">et de </w:t>
      </w:r>
      <w:proofErr w:type="spellStart"/>
      <w:r w:rsidRPr="005145BA">
        <w:rPr>
          <w:i/>
          <w:iCs/>
        </w:rPr>
        <w:t>Lernfreiheit</w:t>
      </w:r>
      <w:proofErr w:type="spellEnd"/>
      <w:r w:rsidRPr="005145BA">
        <w:rPr>
          <w:i/>
          <w:iCs/>
        </w:rPr>
        <w:t xml:space="preserve"> </w:t>
      </w:r>
      <w:r w:rsidRPr="005145BA">
        <w:t xml:space="preserve">(en allemand dans le texte), pour identifier sur les deux « applications traditionnelles » de </w:t>
      </w:r>
      <w:proofErr w:type="spellStart"/>
      <w:r w:rsidRPr="005145BA">
        <w:t>la</w:t>
      </w:r>
      <w:proofErr w:type="spellEnd"/>
      <w:r w:rsidRPr="005145BA">
        <w:t xml:space="preserve"> </w:t>
      </w:r>
      <w:proofErr w:type="spellStart"/>
      <w:r w:rsidRPr="005145BA">
        <w:t>LA</w:t>
      </w:r>
      <w:proofErr w:type="spellEnd"/>
      <w:r w:rsidRPr="005145BA">
        <w:t xml:space="preserve"> : aux enseignants et aux étudiants, même si la Déclaration se concentre ensuite uniquement sur la liberté des enseignants. Faut-il alors reconnaître les étudiants comme titulaires de </w:t>
      </w:r>
      <w:proofErr w:type="spellStart"/>
      <w:r w:rsidRPr="005145BA">
        <w:t>la</w:t>
      </w:r>
      <w:proofErr w:type="spellEnd"/>
      <w:r w:rsidRPr="005145BA">
        <w:t xml:space="preserve"> </w:t>
      </w:r>
      <w:proofErr w:type="spellStart"/>
      <w:r w:rsidRPr="005145BA">
        <w:t>LA</w:t>
      </w:r>
      <w:proofErr w:type="spellEnd"/>
      <w:r w:rsidRPr="005145BA">
        <w:t xml:space="preserve"> ou doit-elle être limitée aux professeurs ? Plus généralement, faut-il se limiter à une conception étroitement individuelle de la </w:t>
      </w:r>
      <w:proofErr w:type="spellStart"/>
      <w:r w:rsidRPr="005145BA">
        <w:lastRenderedPageBreak/>
        <w:t>LA</w:t>
      </w:r>
      <w:proofErr w:type="spellEnd"/>
      <w:r w:rsidRPr="005145BA">
        <w:t xml:space="preserve">, ou peut-on s’ouvrir à une conception plus large impliquant la dimension collective et institutionnelle nécessaire à l’exercice de cette liberté ? </w:t>
      </w:r>
    </w:p>
    <w:p w14:paraId="5D0936FD" w14:textId="6BC8571E" w:rsidR="005A756E" w:rsidRPr="005145BA" w:rsidRDefault="005A756E" w:rsidP="00A41148">
      <w:pPr>
        <w:pStyle w:val="Corpsarticle"/>
      </w:pPr>
      <w:r w:rsidRPr="005145BA">
        <w:t xml:space="preserve">À ces deux questions, </w:t>
      </w:r>
      <w:r w:rsidR="001D740A">
        <w:t>l’auteur</w:t>
      </w:r>
      <w:r w:rsidRPr="005145BA">
        <w:t xml:space="preserve"> propose une réponse assez restrictive. Tout en reconnaissant que la liberté académique requiert dans son exercice des garanties institutionnelles et une dimension collective liée à l’autonomie organisationnelle de l’université, O. Beaud propose de distinguer analytiquement la </w:t>
      </w:r>
      <w:r w:rsidRPr="005145BA">
        <w:rPr>
          <w:i/>
          <w:iCs/>
        </w:rPr>
        <w:t>liberté</w:t>
      </w:r>
      <w:r w:rsidRPr="005145BA">
        <w:t xml:space="preserve"> elle-même de ses </w:t>
      </w:r>
      <w:r w:rsidRPr="005145BA">
        <w:rPr>
          <w:i/>
          <w:iCs/>
        </w:rPr>
        <w:t xml:space="preserve">garanties </w:t>
      </w:r>
      <w:r w:rsidRPr="005145BA">
        <w:t>essentielles, quoique l’une et les autres soient dans les faits le plus souvent indissociables, car si une telle distinction n’était pas faite, les instances collectives (laboratoires, centres de recherche, conseils d’administration, etc.) risqueraient de faire primer leur liberté sur celle des enseignants-chercheurs pris en tant qu’individus</w:t>
      </w:r>
      <w:r w:rsidR="00236008">
        <w:rPr>
          <w:rStyle w:val="Appelnotedebasdep"/>
        </w:rPr>
        <w:footnoteReference w:id="2"/>
      </w:r>
      <w:r w:rsidRPr="005145BA">
        <w:t>.</w:t>
      </w:r>
      <w:r w:rsidR="00236008">
        <w:t xml:space="preserve"> </w:t>
      </w:r>
      <w:r w:rsidRPr="005145BA">
        <w:t xml:space="preserve">Sans nécessairement adhérer à un parti pris individualiste, </w:t>
      </w:r>
      <w:r w:rsidR="001D740A">
        <w:t>l’auteur</w:t>
      </w:r>
      <w:r w:rsidRPr="005145BA">
        <w:t xml:space="preserve"> voit dans l’impératif de protéger avant tout la partie la plus faible une bonne raison pour donner le primat à une conception étroite, individuelle et statutaire de la liberté académique comme réservée aux professeurs d’université, tout en l’articulant aux garanties institutionnelles et collectives que lui donne l’autonomie de l’université comme « </w:t>
      </w:r>
      <w:r w:rsidRPr="005145BA">
        <w:rPr>
          <w:i/>
          <w:iCs/>
        </w:rPr>
        <w:t>self-government</w:t>
      </w:r>
      <w:r w:rsidRPr="005145BA">
        <w:t xml:space="preserve"> collégial » (</w:t>
      </w:r>
      <w:r w:rsidR="00282EDB">
        <w:t>p. </w:t>
      </w:r>
      <w:r w:rsidRPr="005145BA">
        <w:t xml:space="preserve">39-42). </w:t>
      </w:r>
    </w:p>
    <w:p w14:paraId="458F68DE" w14:textId="1DFB061C" w:rsidR="005A756E" w:rsidRPr="005145BA" w:rsidRDefault="005A756E" w:rsidP="00A41148">
      <w:pPr>
        <w:pStyle w:val="Corpsarticle"/>
      </w:pPr>
      <w:r w:rsidRPr="005145BA">
        <w:t xml:space="preserve">Dans son contenu, cette liberté académique au sens étroit contient à la fois la liberté négative comme indépendance, et les libertés positives de rechercher, d’enseigner et la liberté d’expression, libertés régulées et encadrées par « les standards scientifiques et non les croyances de l’opinion </w:t>
      </w:r>
      <w:proofErr w:type="gramStart"/>
      <w:r w:rsidRPr="005145BA">
        <w:t>publique</w:t>
      </w:r>
      <w:proofErr w:type="gramEnd"/>
      <w:r w:rsidRPr="005145BA">
        <w:t> » (</w:t>
      </w:r>
      <w:r w:rsidR="00282EDB">
        <w:t>p. </w:t>
      </w:r>
      <w:r w:rsidRPr="005145BA">
        <w:t xml:space="preserve">43). Mais cette conception à la fois individuelle et statutaire ne risque-t-elle pas de glisser dans une revendication de souveraineté académique ou de liberté illimitée ? C’est aussi pour contrer cette menace qu’il convient de concevoir la liberté académique comme une liberté </w:t>
      </w:r>
      <w:r w:rsidRPr="005145BA">
        <w:rPr>
          <w:i/>
          <w:iCs/>
        </w:rPr>
        <w:t>professionnelle</w:t>
      </w:r>
      <w:r w:rsidRPr="005145BA">
        <w:t xml:space="preserve">, dans le sillage de la définition donnée par Robert Post : « La liberté académique consiste en son essence dans la liberté de poursuivre la profession de savant selon les standards de cette profession » (cité </w:t>
      </w:r>
      <w:r w:rsidR="00282EDB">
        <w:t>p. </w:t>
      </w:r>
      <w:r w:rsidRPr="005145BA">
        <w:t>46). En tant que droit conditionné par l’accès à un statut professionnel, elle ne peut être considérée comme un droit humain, ou un droit général, même pas un « droit fondamental fonctionnel » (</w:t>
      </w:r>
      <w:proofErr w:type="spellStart"/>
      <w:r w:rsidRPr="005145BA">
        <w:rPr>
          <w:i/>
          <w:iCs/>
        </w:rPr>
        <w:t>Funktionsgrundrecht</w:t>
      </w:r>
      <w:proofErr w:type="spellEnd"/>
      <w:r w:rsidRPr="005145BA">
        <w:t xml:space="preserve">), comme le suggère D. Grimm, mais uniquement comme un droit spécial auquel correspondent des devoirs spéciaux. C’est une protection spéciale et renforcée, accordée aux universitaires en tant que tels, de même que les magistrats et les </w:t>
      </w:r>
      <w:r w:rsidRPr="005145BA">
        <w:lastRenderedPageBreak/>
        <w:t>journalistes jouissent d’une protection spéciale dans l’exercice de leur profession (indépendance du juge, protection des sources) (</w:t>
      </w:r>
      <w:r w:rsidR="00282EDB">
        <w:t>p. </w:t>
      </w:r>
      <w:r w:rsidRPr="005145BA">
        <w:t>48).</w:t>
      </w:r>
    </w:p>
    <w:p w14:paraId="29B6E823" w14:textId="34D93261" w:rsidR="005A756E" w:rsidRPr="005145BA" w:rsidRDefault="005A756E" w:rsidP="00A41148">
      <w:pPr>
        <w:pStyle w:val="Corpsarticle"/>
      </w:pPr>
      <w:r w:rsidRPr="005145BA">
        <w:t xml:space="preserve">Dans sa mise en œuvre, </w:t>
      </w:r>
      <w:proofErr w:type="spellStart"/>
      <w:r w:rsidRPr="005145BA">
        <w:t>la</w:t>
      </w:r>
      <w:proofErr w:type="spellEnd"/>
      <w:r w:rsidRPr="005145BA">
        <w:t xml:space="preserve"> </w:t>
      </w:r>
      <w:proofErr w:type="spellStart"/>
      <w:r w:rsidRPr="005145BA">
        <w:t>LA</w:t>
      </w:r>
      <w:proofErr w:type="spellEnd"/>
      <w:r w:rsidRPr="005145BA">
        <w:t xml:space="preserve"> opère une médiation entre deux dimensions de la recherche universitaire qui entrent inévitablement en tension : la production d’un savoir instrumentalisé et l’enquête ouverte qui n’est pas prédéterminée dans ses finalités (</w:t>
      </w:r>
      <w:r w:rsidR="00282EDB">
        <w:t>p. </w:t>
      </w:r>
      <w:r w:rsidRPr="005145BA">
        <w:t xml:space="preserve">49, 50). </w:t>
      </w:r>
      <w:proofErr w:type="spellStart"/>
      <w:r w:rsidRPr="005145BA">
        <w:t>La</w:t>
      </w:r>
      <w:proofErr w:type="spellEnd"/>
      <w:r w:rsidRPr="005145BA">
        <w:t xml:space="preserve"> </w:t>
      </w:r>
      <w:proofErr w:type="spellStart"/>
      <w:proofErr w:type="gramStart"/>
      <w:r w:rsidRPr="005145BA">
        <w:t>LA</w:t>
      </w:r>
      <w:proofErr w:type="spellEnd"/>
      <w:proofErr w:type="gramEnd"/>
      <w:r w:rsidRPr="005145BA">
        <w:t xml:space="preserve"> n’est ni soumise à des considérations de justice sociale (elle n’est pas une « justice académique »), ni identique à une « anarchie académique ». Contre les positions « radicales » de penseurs « déconstructivistes » comme Judith Butler – laquelle critiquerait dans le concept classique de LA son caractère formel et conditionné par le pouvoir économique et les injustices de genre et de race – </w:t>
      </w:r>
      <w:r w:rsidR="001D740A">
        <w:t>l’auteur</w:t>
      </w:r>
      <w:r w:rsidRPr="005145BA">
        <w:t xml:space="preserve"> considère que la </w:t>
      </w:r>
      <w:proofErr w:type="spellStart"/>
      <w:r w:rsidRPr="005145BA">
        <w:t>LA</w:t>
      </w:r>
      <w:proofErr w:type="spellEnd"/>
      <w:r w:rsidRPr="005145BA">
        <w:t xml:space="preserve"> au sens strict est </w:t>
      </w:r>
      <w:proofErr w:type="spellStart"/>
      <w:r w:rsidRPr="005145BA">
        <w:rPr>
          <w:i/>
          <w:iCs/>
        </w:rPr>
        <w:t>gender</w:t>
      </w:r>
      <w:proofErr w:type="spellEnd"/>
      <w:r w:rsidRPr="005145BA">
        <w:rPr>
          <w:i/>
          <w:iCs/>
        </w:rPr>
        <w:t xml:space="preserve"> neutral</w:t>
      </w:r>
      <w:r w:rsidRPr="005145BA">
        <w:t xml:space="preserve"> au sens où elle protège aussi bien – ou aussi mal – les hommes que les femmes, les groupes minoritaires et les groupes majoritaires, et qu’elle constitue bien une liberté formelle, qui doit pouvoir « s’accommoder de tout le reste et des injustices du monde » (</w:t>
      </w:r>
      <w:r w:rsidR="00282EDB">
        <w:t>p. </w:t>
      </w:r>
      <w:r w:rsidRPr="005145BA">
        <w:t xml:space="preserve">53). Il convient en effet de distinguer entre les limites externes (moyens financiers insuffisants, règlementations juridiques limitatives) et les autolimitations internes qui procèdent de « l’auto-régulation professionnelle » ou disciplinaire, d’une part, et des devoirs ou obligations qui sont corrélatifs du privilège professionnel que donne la </w:t>
      </w:r>
      <w:proofErr w:type="spellStart"/>
      <w:r w:rsidRPr="005145BA">
        <w:t>LA</w:t>
      </w:r>
      <w:proofErr w:type="spellEnd"/>
      <w:r w:rsidRPr="005145BA">
        <w:t>, d’autre part (</w:t>
      </w:r>
      <w:r w:rsidR="00282EDB">
        <w:t>p. </w:t>
      </w:r>
      <w:r w:rsidRPr="005145BA">
        <w:t>54-60).</w:t>
      </w:r>
    </w:p>
    <w:p w14:paraId="68F4583C" w14:textId="28E26410" w:rsidR="005A756E" w:rsidRPr="005145BA" w:rsidRDefault="005A756E" w:rsidP="00A41148">
      <w:pPr>
        <w:pStyle w:val="Corpsarticle"/>
      </w:pPr>
      <w:r w:rsidRPr="005145BA">
        <w:t xml:space="preserve">Puisque la </w:t>
      </w:r>
      <w:proofErr w:type="spellStart"/>
      <w:r w:rsidRPr="005145BA">
        <w:t>LA</w:t>
      </w:r>
      <w:proofErr w:type="spellEnd"/>
      <w:r w:rsidRPr="005145BA">
        <w:t xml:space="preserve"> est une liberté individuelle et professionnelle, la justification de la liberté académique peut reposer sur une conception élevée de la profession académique (vocation) ou </w:t>
      </w:r>
      <w:proofErr w:type="spellStart"/>
      <w:r w:rsidRPr="005145BA">
        <w:t>déflationnaire</w:t>
      </w:r>
      <w:proofErr w:type="spellEnd"/>
      <w:r w:rsidRPr="005145BA">
        <w:t xml:space="preserve"> (un job comme un autre). La première s’inscrit dans la lignée </w:t>
      </w:r>
      <w:proofErr w:type="spellStart"/>
      <w:r w:rsidRPr="005145BA">
        <w:t>humboldtienne</w:t>
      </w:r>
      <w:proofErr w:type="spellEnd"/>
      <w:r w:rsidRPr="005145BA">
        <w:t xml:space="preserve"> de l’aristocratie des savants et sa reprise sociologique chez Weber, sous l’idée de </w:t>
      </w:r>
      <w:proofErr w:type="spellStart"/>
      <w:r w:rsidRPr="005145BA">
        <w:rPr>
          <w:i/>
          <w:iCs/>
        </w:rPr>
        <w:t>Wissenschaft</w:t>
      </w:r>
      <w:proofErr w:type="spellEnd"/>
      <w:r w:rsidRPr="005145BA">
        <w:rPr>
          <w:i/>
          <w:iCs/>
        </w:rPr>
        <w:t xml:space="preserve"> </w:t>
      </w:r>
      <w:proofErr w:type="spellStart"/>
      <w:r w:rsidRPr="005145BA">
        <w:rPr>
          <w:i/>
          <w:iCs/>
        </w:rPr>
        <w:t>als</w:t>
      </w:r>
      <w:proofErr w:type="spellEnd"/>
      <w:r w:rsidRPr="005145BA">
        <w:rPr>
          <w:i/>
          <w:iCs/>
        </w:rPr>
        <w:t xml:space="preserve"> </w:t>
      </w:r>
      <w:proofErr w:type="spellStart"/>
      <w:r w:rsidRPr="005145BA">
        <w:rPr>
          <w:i/>
          <w:iCs/>
        </w:rPr>
        <w:t>Beruf</w:t>
      </w:r>
      <w:proofErr w:type="spellEnd"/>
      <w:r w:rsidRPr="005145BA">
        <w:t xml:space="preserve"> (à la fois </w:t>
      </w:r>
      <w:r w:rsidRPr="005145BA">
        <w:rPr>
          <w:i/>
          <w:iCs/>
        </w:rPr>
        <w:t>métier</w:t>
      </w:r>
      <w:r w:rsidRPr="005145BA">
        <w:t xml:space="preserve"> dans une entreprise spécialisée dans le système capitaliste de division du travail et </w:t>
      </w:r>
      <w:r w:rsidRPr="005145BA">
        <w:rPr>
          <w:i/>
          <w:iCs/>
        </w:rPr>
        <w:t>vocation</w:t>
      </w:r>
      <w:r w:rsidRPr="005145BA">
        <w:t xml:space="preserve"> morale et spirituelle supérieure). La seconde considère que cette vision aristocratique est caduque dans une société démocratique égalitariste. Contre cette vision égalitariste, John Searle considère que l’université n’est pas « une démocratie où tous ont des droits égaux », mais plutôt une « </w:t>
      </w:r>
      <w:proofErr w:type="spellStart"/>
      <w:r w:rsidRPr="005145BA">
        <w:rPr>
          <w:i/>
          <w:iCs/>
        </w:rPr>
        <w:t>aristocracy</w:t>
      </w:r>
      <w:proofErr w:type="spellEnd"/>
      <w:r w:rsidRPr="005145BA">
        <w:rPr>
          <w:i/>
          <w:iCs/>
        </w:rPr>
        <w:t xml:space="preserve"> of </w:t>
      </w:r>
      <w:proofErr w:type="spellStart"/>
      <w:r w:rsidRPr="005145BA">
        <w:rPr>
          <w:i/>
          <w:iCs/>
        </w:rPr>
        <w:t>trained</w:t>
      </w:r>
      <w:proofErr w:type="spellEnd"/>
      <w:r w:rsidRPr="005145BA">
        <w:rPr>
          <w:i/>
          <w:iCs/>
        </w:rPr>
        <w:t xml:space="preserve"> intellect</w:t>
      </w:r>
      <w:r w:rsidRPr="005145BA">
        <w:t xml:space="preserve"> ». Aussi, pour O. Beaud, </w:t>
      </w:r>
      <w:proofErr w:type="spellStart"/>
      <w:r w:rsidRPr="005145BA">
        <w:t>la</w:t>
      </w:r>
      <w:proofErr w:type="spellEnd"/>
      <w:r w:rsidRPr="005145BA">
        <w:t xml:space="preserve"> </w:t>
      </w:r>
      <w:proofErr w:type="spellStart"/>
      <w:r w:rsidRPr="005145BA">
        <w:t>LA</w:t>
      </w:r>
      <w:proofErr w:type="spellEnd"/>
      <w:r w:rsidRPr="005145BA">
        <w:t xml:space="preserve"> ne se justifierait-elle pas – ou du moins pas primordialement – par sa valeur démocratique ou son utilité pour éclairer l’opinion publique (</w:t>
      </w:r>
      <w:r w:rsidR="00282EDB">
        <w:t>p. </w:t>
      </w:r>
      <w:r w:rsidRPr="005145BA">
        <w:t xml:space="preserve">60). </w:t>
      </w:r>
    </w:p>
    <w:p w14:paraId="00E9E79E" w14:textId="0AD25409" w:rsidR="005A756E" w:rsidRPr="005145BA" w:rsidRDefault="005A756E" w:rsidP="00A41148">
      <w:pPr>
        <w:pStyle w:val="Corpsarticle"/>
      </w:pPr>
      <w:r w:rsidRPr="005145BA">
        <w:t xml:space="preserve">Autre point conceptuel important : la distinction entre LA et liberté d’expression. On observe dans la jurisprudence française et américaine, mais aussi dans une partie de la doctrine, une tendance à l’assimilation de </w:t>
      </w:r>
      <w:proofErr w:type="spellStart"/>
      <w:r w:rsidRPr="005145BA">
        <w:t>la</w:t>
      </w:r>
      <w:proofErr w:type="spellEnd"/>
      <w:r w:rsidRPr="005145BA">
        <w:t xml:space="preserve"> </w:t>
      </w:r>
      <w:proofErr w:type="spellStart"/>
      <w:r w:rsidRPr="005145BA">
        <w:t>LA</w:t>
      </w:r>
      <w:proofErr w:type="spellEnd"/>
      <w:r w:rsidRPr="005145BA">
        <w:t xml:space="preserve"> à une application particulière de liberté d’expression, le plus souvent faute de </w:t>
      </w:r>
      <w:r w:rsidRPr="005145BA">
        <w:lastRenderedPageBreak/>
        <w:t xml:space="preserve">pouvoir s’appuyer sur une source légale, constitutionnelle ou conventionnelle différente de celle du </w:t>
      </w:r>
      <w:r w:rsidRPr="005145BA">
        <w:rPr>
          <w:i/>
          <w:iCs/>
        </w:rPr>
        <w:t>free speech</w:t>
      </w:r>
      <w:r w:rsidRPr="005145BA">
        <w:t xml:space="preserve">. Il est pourtant nécessaire de faire une distinction claire entre liberté d’expression et liberté académique. D’abord, parce que celle-ci implique des libertés qui ne sont pas contenues dans celle-là, comme la liberté de recherche ou la liberté d’enseigner et d’apprendre. Ensuite parce que, comme on l’a vu, pour O. Beaud, </w:t>
      </w:r>
      <w:proofErr w:type="spellStart"/>
      <w:r w:rsidRPr="005145BA">
        <w:t>la</w:t>
      </w:r>
      <w:proofErr w:type="spellEnd"/>
      <w:r w:rsidRPr="005145BA">
        <w:t xml:space="preserve"> </w:t>
      </w:r>
      <w:proofErr w:type="spellStart"/>
      <w:proofErr w:type="gramStart"/>
      <w:r w:rsidRPr="005145BA">
        <w:t>LA</w:t>
      </w:r>
      <w:proofErr w:type="spellEnd"/>
      <w:proofErr w:type="gramEnd"/>
      <w:r w:rsidRPr="005145BA">
        <w:t xml:space="preserve"> n’est pas comme la liberté d’expression un droit fondamental, mais un « droit professionnel ». La protection et les garanties de ces deux libertés peuvent certes se recouper en partie, mais elles divergent aussi à bien des égards. Et c’est d’abord le principe sur lequel elles reposent respectivement qui diffère : </w:t>
      </w:r>
      <w:proofErr w:type="spellStart"/>
      <w:r w:rsidRPr="005145BA">
        <w:t>la</w:t>
      </w:r>
      <w:proofErr w:type="spellEnd"/>
      <w:r w:rsidRPr="005145BA">
        <w:t xml:space="preserve"> </w:t>
      </w:r>
      <w:proofErr w:type="spellStart"/>
      <w:proofErr w:type="gramStart"/>
      <w:r w:rsidRPr="005145BA">
        <w:t>LA</w:t>
      </w:r>
      <w:proofErr w:type="spellEnd"/>
      <w:proofErr w:type="gramEnd"/>
      <w:r w:rsidRPr="005145BA">
        <w:t xml:space="preserve"> n’est pas la liberté d’exprimer n’importe quelle « opinion », mais la liberté de chercher, enseigner et apprendre des « opinions vraies justifiées », selon la justification cognitiviste de </w:t>
      </w:r>
      <w:proofErr w:type="spellStart"/>
      <w:r w:rsidRPr="005145BA">
        <w:t>la</w:t>
      </w:r>
      <w:proofErr w:type="spellEnd"/>
      <w:r w:rsidRPr="005145BA">
        <w:t xml:space="preserve"> </w:t>
      </w:r>
      <w:proofErr w:type="spellStart"/>
      <w:r w:rsidRPr="005145BA">
        <w:t>LA</w:t>
      </w:r>
      <w:proofErr w:type="spellEnd"/>
      <w:r w:rsidRPr="005145BA">
        <w:t xml:space="preserve"> reprise à </w:t>
      </w:r>
      <w:r w:rsidR="00282EDB">
        <w:t>P. </w:t>
      </w:r>
      <w:r w:rsidRPr="005145BA">
        <w:t xml:space="preserve">Engel. Cette distinction entre opinions simples, protégées par la liberté d’expression, et savoirs scientifiques ou opinions vraies justifiées, garanties par </w:t>
      </w:r>
      <w:proofErr w:type="spellStart"/>
      <w:r w:rsidRPr="005145BA">
        <w:t>la</w:t>
      </w:r>
      <w:proofErr w:type="spellEnd"/>
      <w:r w:rsidRPr="005145BA">
        <w:t xml:space="preserve"> </w:t>
      </w:r>
      <w:proofErr w:type="spellStart"/>
      <w:r w:rsidRPr="005145BA">
        <w:t>LA</w:t>
      </w:r>
      <w:proofErr w:type="spellEnd"/>
      <w:r w:rsidRPr="005145BA">
        <w:t>, implique que les savoirs scientifiques soient leur propre règle (selon une auto-régulation disciplinaire des communautés scientifiques) ainsi que leur propre fin. Mais cela veut dire aussi que le droit de jouir de la liberté académique est conditionné par la recherche de ce savoir – de ces opinions vraies justifiées – selon les règles prescrites par les communautés scientifiques (</w:t>
      </w:r>
      <w:r w:rsidR="00282EDB">
        <w:t>p. </w:t>
      </w:r>
      <w:r w:rsidRPr="005145BA">
        <w:t xml:space="preserve">78). </w:t>
      </w:r>
    </w:p>
    <w:p w14:paraId="28674881" w14:textId="41EE977D" w:rsidR="005A756E" w:rsidRPr="005145BA" w:rsidRDefault="005A756E" w:rsidP="00A41148">
      <w:pPr>
        <w:pStyle w:val="Corpsarticle"/>
      </w:pPr>
      <w:r w:rsidRPr="005145BA">
        <w:t xml:space="preserve">Une conception plus dure de la distinction entre les deux libertés est défendue par le philosophe Robert Simpson, avec pour conséquence un rejet de la vision dite « standard » des campus comme forums démocratiques d’échange ouverts à une pluralité de conceptions, y compris à des thèses minoritaires, voire extravagantes d’un point de vue scientifique, comme des thèses conspirationnistes ou créationnistes (en vertu de la justification </w:t>
      </w:r>
      <w:proofErr w:type="spellStart"/>
      <w:r w:rsidRPr="005145BA">
        <w:t>millienne</w:t>
      </w:r>
      <w:proofErr w:type="spellEnd"/>
      <w:r w:rsidRPr="005145BA">
        <w:t xml:space="preserve"> de la liberté d’expression, selon laquelle la reconnaissance du faillibilisme des jugements de la majorité impose de laisser s’exprimer des thèses massivement rejetées par l’opinion dominante). Au contraire, pour cet auteur – et O. Beaud ne semble pas le contredire sur ce point –, il s’agirait de défendre une conception de la « tolérance bien plus limitée » dans l’enceinte de l’université que dans d’autres lieux de l’espace public, précisément parce que </w:t>
      </w:r>
      <w:proofErr w:type="spellStart"/>
      <w:r w:rsidRPr="005145BA">
        <w:t>la</w:t>
      </w:r>
      <w:proofErr w:type="spellEnd"/>
      <w:r w:rsidRPr="005145BA">
        <w:t xml:space="preserve"> </w:t>
      </w:r>
      <w:proofErr w:type="spellStart"/>
      <w:r w:rsidRPr="005145BA">
        <w:t>LA</w:t>
      </w:r>
      <w:proofErr w:type="spellEnd"/>
      <w:r w:rsidRPr="005145BA">
        <w:t xml:space="preserve"> est conditionnée dans son exercice par le contenu scientifiquement valide des opinions émises. La justification est ici téléologique : puisque la « mission de l’université n’est pas l’éducation à la démocratie, mais l’avancement et la promotion du savoir », elle ne doit pas, en tant que « cité intellectuelle », donner la parole à ceux qui manifestent dans leurs thèses une « hostilité » à l’égard des « standards scientifiques ». Cela veut dire aussi qu’un expert qui exprimerait dans l’enceinte académique des thèses sortant de son cadre d’expertise et rejetées massivement par la communauté </w:t>
      </w:r>
      <w:r w:rsidRPr="005145BA">
        <w:lastRenderedPageBreak/>
        <w:t>scientifique ne devrait pas se voir garantir, hors des limites de son domaine de compétence, la protection de la liberté académique (</w:t>
      </w:r>
      <w:r w:rsidR="00282EDB">
        <w:t>p. </w:t>
      </w:r>
      <w:r w:rsidRPr="005145BA">
        <w:t xml:space="preserve">75-84). </w:t>
      </w:r>
    </w:p>
    <w:p w14:paraId="1D5547DF" w14:textId="7936756B" w:rsidR="005A756E" w:rsidRPr="005145BA" w:rsidRDefault="005A756E" w:rsidP="00A41148">
      <w:pPr>
        <w:pStyle w:val="Corpsarticle"/>
      </w:pPr>
      <w:r w:rsidRPr="005145BA">
        <w:t xml:space="preserve">Cette distinction permet ensuite de comprendre comment ces deux libertés s’articulent, se croisent et se complètent. L’enseignant-chercheur jouit ainsi d’une grande liberté d’expression dans le cadre de ses activités, y compris pour critiquer l’institution dans laquelle il est employé. On peut parler à ce sujet d’une liberté d’expression </w:t>
      </w:r>
      <w:r w:rsidRPr="005145BA">
        <w:rPr>
          <w:i/>
          <w:iCs/>
        </w:rPr>
        <w:t>intra-muros</w:t>
      </w:r>
      <w:r w:rsidRPr="005145BA">
        <w:t xml:space="preserve">, à distinguer encore de la même liberté d’expression </w:t>
      </w:r>
      <w:r w:rsidRPr="005145BA">
        <w:rPr>
          <w:i/>
          <w:iCs/>
        </w:rPr>
        <w:t>extra-muros</w:t>
      </w:r>
      <w:r w:rsidRPr="005145BA">
        <w:t xml:space="preserve"> ou en dehors de l’enceinte universitaire. J. Searle voit un défaut à la conception classique restrictive de </w:t>
      </w:r>
      <w:proofErr w:type="spellStart"/>
      <w:r w:rsidRPr="005145BA">
        <w:t>la</w:t>
      </w:r>
      <w:proofErr w:type="spellEnd"/>
      <w:r w:rsidRPr="005145BA">
        <w:t xml:space="preserve"> </w:t>
      </w:r>
      <w:proofErr w:type="spellStart"/>
      <w:r w:rsidRPr="005145BA">
        <w:t>LA</w:t>
      </w:r>
      <w:proofErr w:type="spellEnd"/>
      <w:r w:rsidRPr="005145BA">
        <w:t xml:space="preserve"> dans la mesure où elle ne lui permettrait pas de faire usage de sa liberté d’expression sur des sujets sortant de son domaine de compétence, dans l’enceinte aussi bien qu’en dehors de l’enceinte universitaire. Il suggère alors d’intégrer cette liberté d’expression </w:t>
      </w:r>
      <w:r w:rsidRPr="005145BA">
        <w:rPr>
          <w:i/>
          <w:iCs/>
        </w:rPr>
        <w:t>extra-muros</w:t>
      </w:r>
      <w:r w:rsidRPr="005145BA">
        <w:t xml:space="preserve"> dans une théorie générale ou élargie de </w:t>
      </w:r>
      <w:proofErr w:type="spellStart"/>
      <w:r w:rsidRPr="005145BA">
        <w:t>la</w:t>
      </w:r>
      <w:proofErr w:type="spellEnd"/>
      <w:r w:rsidRPr="005145BA">
        <w:t xml:space="preserve"> </w:t>
      </w:r>
      <w:proofErr w:type="spellStart"/>
      <w:r w:rsidRPr="005145BA">
        <w:t>LA</w:t>
      </w:r>
      <w:proofErr w:type="spellEnd"/>
      <w:r w:rsidRPr="005145BA">
        <w:t>. Contre cette proposition, O. Beaud maintient sa conception restrictive sur la spécificité de la liberté académique par rapport à la liberté d’expression et considère que d’autres garanties institutionnelles permettent de protéger la liberté d’expression pour les enseignants-chercheurs s’exprimant dans ou hors de l’enceinte universitaire (</w:t>
      </w:r>
      <w:r w:rsidR="00282EDB">
        <w:t>p. </w:t>
      </w:r>
      <w:r w:rsidRPr="005145BA">
        <w:t>89-92).</w:t>
      </w:r>
    </w:p>
    <w:p w14:paraId="6BB2EE2B" w14:textId="2443EAB7" w:rsidR="005A756E" w:rsidRPr="005145BA" w:rsidRDefault="001D740A" w:rsidP="00A41148">
      <w:pPr>
        <w:pStyle w:val="Corpsarticle"/>
      </w:pPr>
      <w:r>
        <w:t>L’auteur</w:t>
      </w:r>
      <w:r w:rsidR="005A756E" w:rsidRPr="005145BA">
        <w:t xml:space="preserve"> illustre ensuite son propos général par le rapprochement de deux cas particuliers apparemment très contrastés, mais pour lui à bien des égards analogues, d’entraves graves à la </w:t>
      </w:r>
      <w:proofErr w:type="spellStart"/>
      <w:r w:rsidR="005A756E" w:rsidRPr="005145BA">
        <w:t>LA</w:t>
      </w:r>
      <w:proofErr w:type="spellEnd"/>
      <w:r w:rsidR="005A756E" w:rsidRPr="005145BA">
        <w:t xml:space="preserve"> : le maccarthysme au États-Unis et Mai 68 en France. L’objectif de cette comparaison est de suggérer que la menace pesant sur la </w:t>
      </w:r>
      <w:proofErr w:type="spellStart"/>
      <w:r w:rsidR="005A756E" w:rsidRPr="005145BA">
        <w:t>LA</w:t>
      </w:r>
      <w:proofErr w:type="spellEnd"/>
      <w:r w:rsidR="005A756E" w:rsidRPr="005145BA">
        <w:t xml:space="preserve"> peut venir de directions opposées : le gouvernement et les autorités académiques dans le premier cas, les étudiants eux-mêmes dans le deuxième. Alors que les universités américaines au début des années cinquante ont vu s’imposer à elles une série de mesures (aveux forcés, interrogatoires, serments) visant à identifier ou dénoncer les enseignants adhérents ou sympathisants du Parti communiste, au motif qu’un tel engagement serait par définition incompatible avec la fonction de professeur, quelques années plus tard, les universités françaises ont été bouleversées par la montée en puissance d’un mouvement étudiant qui, pour contester les abus d’autorités, ou l’autorité elle-même, et les collusions présumées entre puissances politiques, économiques et académiques, a pu avoir recours par moments à des formes d’intimidations, de dénonciations, de calomnies, mais aussi de violences verbales et physiques, qui ont contribué, d’après </w:t>
      </w:r>
      <w:r>
        <w:t>l’auteur</w:t>
      </w:r>
      <w:r w:rsidR="005A756E" w:rsidRPr="005145BA">
        <w:t xml:space="preserve">, à instaurer un climat de peur et de pression constante tendant à « réduire à néant » </w:t>
      </w:r>
      <w:proofErr w:type="spellStart"/>
      <w:r w:rsidR="005A756E" w:rsidRPr="005145BA">
        <w:t>la</w:t>
      </w:r>
      <w:proofErr w:type="spellEnd"/>
      <w:r w:rsidR="005A756E" w:rsidRPr="005145BA">
        <w:t xml:space="preserve"> </w:t>
      </w:r>
      <w:proofErr w:type="spellStart"/>
      <w:r w:rsidR="005A756E" w:rsidRPr="005145BA">
        <w:t>LA</w:t>
      </w:r>
      <w:proofErr w:type="spellEnd"/>
      <w:r w:rsidR="005A756E" w:rsidRPr="005145BA">
        <w:t xml:space="preserve"> (</w:t>
      </w:r>
      <w:r w:rsidR="00282EDB">
        <w:t>p. </w:t>
      </w:r>
      <w:r w:rsidR="005A756E" w:rsidRPr="005145BA">
        <w:t xml:space="preserve">103-140). </w:t>
      </w:r>
    </w:p>
    <w:p w14:paraId="4A67DA00" w14:textId="41D0A086" w:rsidR="005A756E" w:rsidRPr="005145BA" w:rsidRDefault="005A756E" w:rsidP="00A41148">
      <w:pPr>
        <w:pStyle w:val="Corpsarticle"/>
      </w:pPr>
      <w:r w:rsidRPr="005145BA">
        <w:t xml:space="preserve">Parmi les menaces moins souvent évoquées dans les débats, parce que plus discrètes et insidieuses, O. Beaud identifie une série d’autres </w:t>
      </w:r>
      <w:r w:rsidRPr="005145BA">
        <w:lastRenderedPageBreak/>
        <w:t xml:space="preserve">menaces internes à l’université, venant des présidents d’université et de leurs possibles tentations autoritaires, des chefs de laboratoires ou de centres de recherches, qui peuvent priver </w:t>
      </w:r>
      <w:r w:rsidRPr="005145BA">
        <w:rPr>
          <w:i/>
          <w:iCs/>
        </w:rPr>
        <w:t xml:space="preserve">de facto </w:t>
      </w:r>
      <w:r w:rsidRPr="005145BA">
        <w:t xml:space="preserve">certains de leurs membres d’une partie de leurs moyens d’action, des services administratifs imposant leurs logiques de fonctionnement aux enseignants-chercheurs, les empêchant </w:t>
      </w:r>
      <w:proofErr w:type="spellStart"/>
      <w:r w:rsidRPr="005145BA">
        <w:t>par là</w:t>
      </w:r>
      <w:proofErr w:type="spellEnd"/>
      <w:r w:rsidRPr="005145BA">
        <w:t xml:space="preserve"> de se concentrer sur le cœur de leur métier, et tout ce qui contribue à réduire à peau de chagrin l’un des éléments essentiels d’une bonne recherche et de bons enseignements : le temps de chercher, et même d’errer, le loisir (</w:t>
      </w:r>
      <w:r w:rsidRPr="005145BA">
        <w:rPr>
          <w:i/>
          <w:iCs/>
        </w:rPr>
        <w:t>otium</w:t>
      </w:r>
      <w:r w:rsidRPr="005145BA">
        <w:t>) comme condition d’une liberté intellectuelle de recherche et de pensée (</w:t>
      </w:r>
      <w:r w:rsidR="00282EDB">
        <w:t>p. </w:t>
      </w:r>
      <w:r w:rsidRPr="005145BA">
        <w:t xml:space="preserve">145-190). Examinant ensuite les diverses formes de menaces économiques à l’encontre de la </w:t>
      </w:r>
      <w:proofErr w:type="spellStart"/>
      <w:r w:rsidRPr="005145BA">
        <w:t>LA</w:t>
      </w:r>
      <w:proofErr w:type="spellEnd"/>
      <w:r w:rsidRPr="005145BA">
        <w:t xml:space="preserve">, </w:t>
      </w:r>
      <w:r w:rsidR="001D740A">
        <w:t>l’auteur</w:t>
      </w:r>
      <w:r w:rsidRPr="005145BA">
        <w:t xml:space="preserve"> commence par rappeler que les croisements entre recherche et industries ou monde économique ne sont ni nouveaux, ni nécessairement problématiques en soi, mais que les difficultés pour assurer l’indépendance des chercheurs viennent plutôt des modes de financement et d’organisation de la recherche, qu’ils soient d’origine privée ou publique. Si les pressions directes de bailleurs privés sur les résultats des recherches qu’ils financent peuvent effectivement entraver gravement la </w:t>
      </w:r>
      <w:proofErr w:type="spellStart"/>
      <w:r w:rsidRPr="005145BA">
        <w:t>LA</w:t>
      </w:r>
      <w:proofErr w:type="spellEnd"/>
      <w:r w:rsidRPr="005145BA">
        <w:t>, certaines formes publiques d’organisation bureaucratique (recherches par thèmes ou fléchées, appels à projets chronophages) constituent aussi des obstacles notables. Mais c’est surtout l’abus des voies de droit qui est fait par certaines grandes entreprises soucieuses de leur réputation, avec la multiplication de « poursuites-bâillon », qui fait peser sur des chercheuses et chercheurs courageux une menace et un coût financier particulièrement dissuasif, quand bien même le procès leur donnerait finalement raison, comme c’est souvent le cas (</w:t>
      </w:r>
      <w:r w:rsidR="00282EDB">
        <w:t>p. </w:t>
      </w:r>
      <w:r w:rsidRPr="005145BA">
        <w:t>191-221).</w:t>
      </w:r>
    </w:p>
    <w:p w14:paraId="0D23034D" w14:textId="6A5C0CE0" w:rsidR="005A756E" w:rsidRPr="005145BA" w:rsidRDefault="005A756E" w:rsidP="00A41148">
      <w:pPr>
        <w:pStyle w:val="Corpsarticle"/>
      </w:pPr>
      <w:r w:rsidRPr="005145BA">
        <w:t xml:space="preserve">Autre source d’entraves : l’adoption récente de règlements puis de lois restreignant beaucoup plus fortement qu’auparavant l’accès des historiens à des archives d’État sous des prétextes de sécurité nationale témoigne de la position de faiblesse des chercheurs en l’absence d’une reconnaissance légale de la liberté de recherche comme composante essentielle de la </w:t>
      </w:r>
      <w:proofErr w:type="spellStart"/>
      <w:r w:rsidRPr="005145BA">
        <w:t>LA</w:t>
      </w:r>
      <w:proofErr w:type="spellEnd"/>
      <w:r w:rsidRPr="005145BA">
        <w:t xml:space="preserve"> (</w:t>
      </w:r>
      <w:r w:rsidR="00282EDB">
        <w:t>p. </w:t>
      </w:r>
      <w:r w:rsidRPr="005145BA">
        <w:t>227-244).</w:t>
      </w:r>
    </w:p>
    <w:p w14:paraId="13425786" w14:textId="3A831CD5" w:rsidR="005A756E" w:rsidRPr="005145BA" w:rsidRDefault="005A756E" w:rsidP="00A41148">
      <w:pPr>
        <w:pStyle w:val="Corpsarticle"/>
      </w:pPr>
      <w:r w:rsidRPr="005145BA">
        <w:t xml:space="preserve">La dernière partie du livre est sans doute celle qui se confronte aux questions les plus polémiques. Elle examine la manière dont ce que </w:t>
      </w:r>
      <w:r w:rsidR="001D740A">
        <w:t>l’auteur</w:t>
      </w:r>
      <w:r w:rsidRPr="005145BA">
        <w:t xml:space="preserve"> qualifie de trois grandes « causes identitaires » (cause anti-raciste, cause féministe et cause LGBT) peut affecter la liberté académique, et même la menacer. Sans contester le bien-fondé de cette « triple lutte d’émancipation », </w:t>
      </w:r>
      <w:r w:rsidR="001D740A">
        <w:t>l’auteur</w:t>
      </w:r>
      <w:r w:rsidRPr="005145BA">
        <w:t xml:space="preserve"> considère que leurs effets sur les pratiques universitaires deviennent problématiques lorsque ce qui se présente d’abord comme une série d’incitations à avoir des « égards » pour la sensibilité des étudiants, en particulier ceux et celles appartenant à des minorités structurellement </w:t>
      </w:r>
      <w:r w:rsidRPr="005145BA">
        <w:lastRenderedPageBreak/>
        <w:t>discriminées, devient, d’après lui, une sorte de « droit » impliquant la contrainte pesant sur les enseignants de « déférer aux vœux des étudiants » (</w:t>
      </w:r>
      <w:r w:rsidR="00282EDB">
        <w:t>p. </w:t>
      </w:r>
      <w:r w:rsidRPr="005145BA">
        <w:t>248, 249). Cette pression serait particulièrement bien illustrée par la montée en puissance de dispositifs (</w:t>
      </w:r>
      <w:proofErr w:type="spellStart"/>
      <w:r w:rsidRPr="005145BA">
        <w:rPr>
          <w:i/>
          <w:iCs/>
        </w:rPr>
        <w:t>safe</w:t>
      </w:r>
      <w:proofErr w:type="spellEnd"/>
      <w:r w:rsidRPr="005145BA">
        <w:rPr>
          <w:i/>
          <w:iCs/>
        </w:rPr>
        <w:t xml:space="preserve"> </w:t>
      </w:r>
      <w:proofErr w:type="spellStart"/>
      <w:r w:rsidRPr="005145BA">
        <w:rPr>
          <w:i/>
          <w:iCs/>
        </w:rPr>
        <w:t>spaces</w:t>
      </w:r>
      <w:proofErr w:type="spellEnd"/>
      <w:r w:rsidRPr="005145BA">
        <w:rPr>
          <w:i/>
          <w:iCs/>
        </w:rPr>
        <w:t>, trigger warnings, speech codes</w:t>
      </w:r>
      <w:r w:rsidRPr="005145BA">
        <w:t xml:space="preserve">) par lesquels l’administration contrôle les enseignants au nom de la cause « sacrée » de la protection de la sensibilité des étudiants, dont les droits d’inscription, financièrement vitaux pour certaines universités, feraient d’eux des « clients exigeants », jouant progressivement un rôle analogue à celui des grands donateurs « capitalistes bostoniens du début du </w:t>
      </w:r>
      <w:proofErr w:type="spellStart"/>
      <w:r w:rsidRPr="005145BA">
        <w:t>xx</w:t>
      </w:r>
      <w:r w:rsidRPr="005145BA">
        <w:rPr>
          <w:vertAlign w:val="superscript"/>
        </w:rPr>
        <w:t>e</w:t>
      </w:r>
      <w:proofErr w:type="spellEnd"/>
      <w:r w:rsidRPr="005145BA">
        <w:t xml:space="preserve"> siècle » (</w:t>
      </w:r>
      <w:r w:rsidR="00282EDB">
        <w:t>p. </w:t>
      </w:r>
      <w:r w:rsidRPr="005145BA">
        <w:t>256). Ainsi, pour O. Beaud, non seulement les étudiants seraient par principe exclus de l’idée de liberté académique, mais ils constitueraient aujourd’hui surtout un « pouvoir de nuisance », pouvoir amplifié par la diffusion, sur internet, d’extraits de cours susceptibles de choquer le public (</w:t>
      </w:r>
      <w:r w:rsidR="00282EDB">
        <w:t>p. </w:t>
      </w:r>
      <w:r w:rsidRPr="005145BA">
        <w:t xml:space="preserve">288). </w:t>
      </w:r>
    </w:p>
    <w:p w14:paraId="73246C25" w14:textId="41D1B065" w:rsidR="005A756E" w:rsidRPr="005145BA" w:rsidRDefault="005A756E" w:rsidP="00A41148">
      <w:pPr>
        <w:pStyle w:val="Corpsarticle"/>
      </w:pPr>
      <w:r w:rsidRPr="005145BA">
        <w:t xml:space="preserve">En conclusion de son ouvrage, </w:t>
      </w:r>
      <w:r w:rsidR="001D740A">
        <w:t>l’auteur</w:t>
      </w:r>
      <w:r w:rsidRPr="005145BA">
        <w:t xml:space="preserve">, suivant les analyses de Xavier </w:t>
      </w:r>
      <w:proofErr w:type="spellStart"/>
      <w:r w:rsidRPr="005145BA">
        <w:t>Delgrange</w:t>
      </w:r>
      <w:proofErr w:type="spellEnd"/>
      <w:r w:rsidRPr="005145BA">
        <w:t xml:space="preserve">, se montre plutôt sceptique sur le bien-fondé et l’efficacité d’une juridicisation plus formelle (dans la loi, la Constitution ou les Conventions) de </w:t>
      </w:r>
      <w:proofErr w:type="spellStart"/>
      <w:r w:rsidRPr="005145BA">
        <w:t>la</w:t>
      </w:r>
      <w:proofErr w:type="spellEnd"/>
      <w:r w:rsidRPr="005145BA">
        <w:t xml:space="preserve"> </w:t>
      </w:r>
      <w:proofErr w:type="spellStart"/>
      <w:r w:rsidRPr="005145BA">
        <w:t>LA</w:t>
      </w:r>
      <w:proofErr w:type="spellEnd"/>
      <w:r w:rsidRPr="005145BA">
        <w:t xml:space="preserve"> pour lutter contre les différentes menaces identifiées, considérant qu’une consécration juridique (notamment judiciaire) risquerait au contraire de confisquer </w:t>
      </w:r>
      <w:r w:rsidRPr="005145BA">
        <w:rPr>
          <w:i/>
          <w:iCs/>
        </w:rPr>
        <w:t>de facto</w:t>
      </w:r>
      <w:r w:rsidRPr="005145BA">
        <w:t xml:space="preserve"> aux universitaires eux-mêmes le pouvoir et la responsabilité de défendre le principe fondamental de leur profession – laquelle suppose d’abord un renforcement individuel et collectif de l’</w:t>
      </w:r>
      <w:r w:rsidRPr="005145BA">
        <w:rPr>
          <w:i/>
          <w:iCs/>
        </w:rPr>
        <w:t>ethos</w:t>
      </w:r>
      <w:r w:rsidRPr="005145BA">
        <w:t xml:space="preserve"> académique (</w:t>
      </w:r>
      <w:r w:rsidR="00282EDB">
        <w:t>p. </w:t>
      </w:r>
      <w:r w:rsidRPr="005145BA">
        <w:t>318).</w:t>
      </w:r>
    </w:p>
    <w:p w14:paraId="5755B7AF" w14:textId="77777777" w:rsidR="005A756E" w:rsidRPr="005145BA" w:rsidRDefault="005A756E" w:rsidP="005A756E">
      <w:pPr>
        <w:spacing w:line="360" w:lineRule="auto"/>
        <w:ind w:firstLine="142"/>
        <w:jc w:val="both"/>
        <w:rPr>
          <w:rFonts w:ascii="Arial" w:hAnsi="Arial" w:cs="Arial"/>
          <w:sz w:val="20"/>
          <w:szCs w:val="20"/>
          <w:lang w:val="fr-FR"/>
        </w:rPr>
      </w:pPr>
    </w:p>
    <w:p w14:paraId="0E749250" w14:textId="77777777" w:rsidR="005A756E" w:rsidRPr="005145BA" w:rsidRDefault="005A756E" w:rsidP="00A41148">
      <w:pPr>
        <w:pStyle w:val="Corpsarticle"/>
      </w:pPr>
      <w:r w:rsidRPr="005145BA">
        <w:t xml:space="preserve">L’ouvrage d’O. Beaud a le grand mérite de livrer au public francophone une synthèse claire, informée (notamment par des archives et entretiens inédits) et engagée des enjeux et débats liés à la </w:t>
      </w:r>
      <w:proofErr w:type="spellStart"/>
      <w:r w:rsidRPr="005145BA">
        <w:t>LA</w:t>
      </w:r>
      <w:proofErr w:type="spellEnd"/>
      <w:r w:rsidRPr="005145BA">
        <w:t>, en proposant un cadre théorique et historique éclairants et des cas pratiques pertinents, propres à nourrir un débat nécessaire, dans et en dehors du monde universitaire. Il n’en présente pas moins quelques limites, qui ne sont pas nécessairement des défauts, mais qui appellent certainement à poursuivre l’investigation, y compris dans d’autres directions.</w:t>
      </w:r>
    </w:p>
    <w:p w14:paraId="291DC375" w14:textId="6583CEE4" w:rsidR="005A756E" w:rsidRPr="005145BA" w:rsidRDefault="005A756E" w:rsidP="00A41148">
      <w:pPr>
        <w:pStyle w:val="Corpsarticle"/>
      </w:pPr>
      <w:r w:rsidRPr="005145BA">
        <w:t xml:space="preserve">Une première limite de l’étude réside dans la focale mise sur le contexte culturel et institutionnel de l’université française, en particulier dans </w:t>
      </w:r>
      <w:proofErr w:type="gramStart"/>
      <w:r w:rsidRPr="005145BA">
        <w:t>les deuxième</w:t>
      </w:r>
      <w:proofErr w:type="gramEnd"/>
      <w:r w:rsidRPr="005145BA">
        <w:t xml:space="preserve"> et troisième parties consacrées aux cas d’études plus concrets. Cette limite, tout à fait assumée par </w:t>
      </w:r>
      <w:r w:rsidR="001D740A">
        <w:t>l’auteur</w:t>
      </w:r>
      <w:r w:rsidRPr="005145BA">
        <w:t xml:space="preserve"> et parfaitement justifiable sur le plan méthodologique, a certes des effets sur l’analyse, en ce qu’elle met entre parenthèses d’autres traditions nationales, qu’elle ne traite pas de front les </w:t>
      </w:r>
      <w:r w:rsidRPr="005145BA">
        <w:lastRenderedPageBreak/>
        <w:t xml:space="preserve">dimensions globales de la défense de la liberté académique (on pense à des projets comme </w:t>
      </w:r>
      <w:r w:rsidRPr="005145BA">
        <w:rPr>
          <w:i/>
          <w:iCs/>
        </w:rPr>
        <w:t xml:space="preserve">Scholars at </w:t>
      </w:r>
      <w:proofErr w:type="spellStart"/>
      <w:r w:rsidRPr="005145BA">
        <w:rPr>
          <w:i/>
          <w:iCs/>
        </w:rPr>
        <w:t>risk</w:t>
      </w:r>
      <w:proofErr w:type="spellEnd"/>
      <w:r w:rsidRPr="005145BA">
        <w:t xml:space="preserve">, cité par </w:t>
      </w:r>
      <w:r w:rsidR="001D740A">
        <w:t>l’auteur</w:t>
      </w:r>
      <w:r w:rsidRPr="005145BA">
        <w:t>), ni la question de savoir si, en tant que principe, elle peut se prévaloir d’une portée transnationale, voire universelle ou non ; mais cela n’invalide pas en soi la pertinence du propos général et des analyses empiriques et constitue plutôt un encouragement à proposer le même type d’enquêtes dans des contextes nationaux différents, où la liberté académique ne se base pas sur les mêmes textes juridiques et les mêmes conceptions politiques, et à une comparaison des régimes de protection (étude comparatiste qui était prévue dans le projet initial de l’ouvrage, mais a finalement été laissée de côté).</w:t>
      </w:r>
    </w:p>
    <w:p w14:paraId="75E02269" w14:textId="0CA4EA8E" w:rsidR="005A756E" w:rsidRPr="005145BA" w:rsidRDefault="005A756E" w:rsidP="00A41148">
      <w:pPr>
        <w:pStyle w:val="Corpsarticle"/>
      </w:pPr>
      <w:r w:rsidRPr="005145BA">
        <w:t xml:space="preserve">Une deuxième limite, tout aussi assumée, vient de la conception restrictive de </w:t>
      </w:r>
      <w:proofErr w:type="spellStart"/>
      <w:r w:rsidRPr="005145BA">
        <w:t>la</w:t>
      </w:r>
      <w:proofErr w:type="spellEnd"/>
      <w:r w:rsidRPr="005145BA">
        <w:t xml:space="preserve"> </w:t>
      </w:r>
      <w:proofErr w:type="spellStart"/>
      <w:r w:rsidRPr="005145BA">
        <w:t>LA</w:t>
      </w:r>
      <w:proofErr w:type="spellEnd"/>
      <w:r w:rsidRPr="005145BA">
        <w:t xml:space="preserve"> comme liberté individuelle, professionnelle et statutaire. Rejoignant les positions d’auteurs comme Robert Post (sans épouser celle, encore plus stricte, de Stanley Fish), O. Beaud n’entend pas étendre la </w:t>
      </w:r>
      <w:proofErr w:type="spellStart"/>
      <w:r w:rsidRPr="005145BA">
        <w:t>LA</w:t>
      </w:r>
      <w:proofErr w:type="spellEnd"/>
      <w:r w:rsidRPr="005145BA">
        <w:t xml:space="preserve"> à d’autres titulaires que les professeurs d’université. Et par « professeur », O. Beaud entend bien ceux et celles qui en ont le </w:t>
      </w:r>
      <w:r w:rsidRPr="005145BA">
        <w:rPr>
          <w:i/>
          <w:iCs/>
        </w:rPr>
        <w:t>statut</w:t>
      </w:r>
      <w:r w:rsidRPr="005145BA">
        <w:t xml:space="preserve"> au sens strict, et non ceux qui en exercent simplement les</w:t>
      </w:r>
      <w:r w:rsidRPr="005145BA">
        <w:rPr>
          <w:i/>
          <w:iCs/>
        </w:rPr>
        <w:t xml:space="preserve"> fonctions</w:t>
      </w:r>
      <w:r w:rsidRPr="005145BA">
        <w:t xml:space="preserve"> – comme par exemple, des chercheurs au CNRS ou des enseignants du secondaire, qui peuvent très bien donner régulièrement à l’université des enseignements liés à leurs recherches, mais qui, sans avoir le statut de professeur, ne jouiraient pas en droit de la </w:t>
      </w:r>
      <w:proofErr w:type="spellStart"/>
      <w:r w:rsidRPr="005145BA">
        <w:t>LA</w:t>
      </w:r>
      <w:proofErr w:type="spellEnd"/>
      <w:r w:rsidRPr="005145BA">
        <w:t xml:space="preserve">, d’après </w:t>
      </w:r>
      <w:r w:rsidR="001D740A">
        <w:t>l’auteur</w:t>
      </w:r>
      <w:r w:rsidRPr="005145BA">
        <w:t xml:space="preserve">. Il est pourtant possible, sur le plan conceptuel, de maintenir l’exigence d’une limitation de l’exercice plein et entier de </w:t>
      </w:r>
      <w:proofErr w:type="spellStart"/>
      <w:r w:rsidRPr="005145BA">
        <w:t>la</w:t>
      </w:r>
      <w:proofErr w:type="spellEnd"/>
      <w:r w:rsidRPr="005145BA">
        <w:t xml:space="preserve"> </w:t>
      </w:r>
      <w:proofErr w:type="spellStart"/>
      <w:r w:rsidRPr="005145BA">
        <w:t>LA</w:t>
      </w:r>
      <w:proofErr w:type="spellEnd"/>
      <w:r w:rsidRPr="005145BA">
        <w:t xml:space="preserve"> au groupe autorégulé disciplinairement et institutionnellement qu’est la communauté académique des enseignants-chercheurs, tout en reconnaissant la protection de la </w:t>
      </w:r>
      <w:proofErr w:type="spellStart"/>
      <w:r w:rsidRPr="005145BA">
        <w:t>LA</w:t>
      </w:r>
      <w:proofErr w:type="spellEnd"/>
      <w:r w:rsidRPr="005145BA">
        <w:t xml:space="preserve"> à d’autres acteurs académiques ou qui gravitent autour de l’université, sans jouir du statut formalisé de professeur. </w:t>
      </w:r>
    </w:p>
    <w:p w14:paraId="32951E37" w14:textId="2DC70861" w:rsidR="005A756E" w:rsidRPr="005145BA" w:rsidRDefault="005A756E" w:rsidP="00A41148">
      <w:pPr>
        <w:pStyle w:val="Corpsarticle"/>
      </w:pPr>
      <w:r w:rsidRPr="005145BA">
        <w:t xml:space="preserve">Mais cette restriction statutaire exclut également les étudiants et étudiantes. Ainsi, alors qu’il prend appui sur la philosophie </w:t>
      </w:r>
      <w:proofErr w:type="spellStart"/>
      <w:r w:rsidRPr="005145BA">
        <w:t>humboldtienne</w:t>
      </w:r>
      <w:proofErr w:type="spellEnd"/>
      <w:r w:rsidRPr="005145BA">
        <w:t xml:space="preserve"> comme source intellectuelle majeure de la </w:t>
      </w:r>
      <w:proofErr w:type="spellStart"/>
      <w:r w:rsidRPr="005145BA">
        <w:t>LA</w:t>
      </w:r>
      <w:proofErr w:type="spellEnd"/>
      <w:r w:rsidRPr="005145BA">
        <w:t xml:space="preserve">, </w:t>
      </w:r>
      <w:r w:rsidR="001D740A">
        <w:t>l’auteur</w:t>
      </w:r>
      <w:r w:rsidRPr="005145BA">
        <w:t xml:space="preserve"> ne semble pas en reprendre l’un des éléments essentiels, soit la communauté de recherche que forment les étudiants et les enseignants, laquelle constitue dans l’esprit du penseur allemand non seulement une forme, mais l’une des sources majeures du principe de l’unité entre recherche et enseignement. Sans vouloir accorder aux étudiants le même type de protection par </w:t>
      </w:r>
      <w:proofErr w:type="spellStart"/>
      <w:r w:rsidRPr="005145BA">
        <w:t>la</w:t>
      </w:r>
      <w:proofErr w:type="spellEnd"/>
      <w:r w:rsidRPr="005145BA">
        <w:t xml:space="preserve"> </w:t>
      </w:r>
      <w:proofErr w:type="spellStart"/>
      <w:r w:rsidRPr="005145BA">
        <w:t>LA</w:t>
      </w:r>
      <w:proofErr w:type="spellEnd"/>
      <w:r w:rsidRPr="005145BA">
        <w:t xml:space="preserve"> que celle réservée aux enseignants-chercheurs (on pense évidemment aux droits liés à la « </w:t>
      </w:r>
      <w:r w:rsidRPr="005145BA">
        <w:rPr>
          <w:i/>
          <w:iCs/>
        </w:rPr>
        <w:t>tenure</w:t>
      </w:r>
      <w:r w:rsidRPr="005145BA">
        <w:t xml:space="preserve"> »), il faut admettre, comme le faisait Humboldt, que les étudiants jouent un rôle non négligeable dans la construction collective du savoir scientifique, non seulement en tant que destinataires de sa transmission pédagogique, mais aussi parfois comme participants actifs à son élaboration, dans la mesure où certains de leurs travaux sont parfois déjà des premières </w:t>
      </w:r>
      <w:r w:rsidRPr="005145BA">
        <w:lastRenderedPageBreak/>
        <w:t xml:space="preserve">contributions à la recherche scientifique. À ce titre, les étudiants, et à plus forte raison d’autres membres de la communauté universitaire qui remplissent les mêmes </w:t>
      </w:r>
      <w:r w:rsidRPr="005145BA">
        <w:rPr>
          <w:i/>
          <w:iCs/>
        </w:rPr>
        <w:t>fonctions</w:t>
      </w:r>
      <w:r w:rsidRPr="005145BA">
        <w:t xml:space="preserve"> de recherche et d’enseignement que celles des « professeurs » au sens complet sans en avoir le statut protecteur, auraient pu se voir reconnaître un rôle plus positif et actif de cotitulaires de </w:t>
      </w:r>
      <w:proofErr w:type="spellStart"/>
      <w:r w:rsidRPr="005145BA">
        <w:t>la</w:t>
      </w:r>
      <w:proofErr w:type="spellEnd"/>
      <w:r w:rsidRPr="005145BA">
        <w:t xml:space="preserve"> </w:t>
      </w:r>
      <w:proofErr w:type="spellStart"/>
      <w:r w:rsidRPr="005145BA">
        <w:t>LA</w:t>
      </w:r>
      <w:proofErr w:type="spellEnd"/>
      <w:r w:rsidRPr="005145BA">
        <w:t>.</w:t>
      </w:r>
    </w:p>
    <w:p w14:paraId="1DB4F86D" w14:textId="6199DF1B" w:rsidR="005A756E" w:rsidRPr="005145BA" w:rsidRDefault="005A756E" w:rsidP="00A41148">
      <w:pPr>
        <w:pStyle w:val="Corpsarticle"/>
      </w:pPr>
      <w:r w:rsidRPr="005145BA">
        <w:t xml:space="preserve">Tout au contraire, on perçoit parfois dans les analyses </w:t>
      </w:r>
      <w:r w:rsidR="001D740A">
        <w:t>l’auteur</w:t>
      </w:r>
      <w:r w:rsidRPr="005145BA">
        <w:t xml:space="preserve"> une forte suspicion à l’endroit de la communauté étudiante, considérée comme potentiel « pouvoir de nuisance » pour la liberté académique (</w:t>
      </w:r>
      <w:r w:rsidR="00282EDB">
        <w:t>p. </w:t>
      </w:r>
      <w:r w:rsidRPr="005145BA">
        <w:t xml:space="preserve">288). Certes la hiérarchie des menaces les plus graves ou les plus imminentes est souvent difficile à établir, pouvant varier d’un contexte à l’autre ; et il est vrai que le pouvoir d’intimidation et de pression sur les enseignants que constituent certaines organisations étudiantes n’est pas à sous-estimer. Mais, comme </w:t>
      </w:r>
      <w:r w:rsidR="001D740A">
        <w:t>l’auteur</w:t>
      </w:r>
      <w:r w:rsidRPr="005145BA">
        <w:t xml:space="preserve"> le rappelle, ces formes d’activisme ont toujours existé à l’université et il n’est pas évident qu’elles s’aggravent massivement, au-delà de certaines situations ponctuelles. Il n’est pas sûr non plus que leur pouvoir de pression soit analogue à celui des grands donateurs pour les universités privées, surtout pour des universités publiques en Europe continentale (le cas du Royaume Uni est peut-être en partie différent sur ce point). De même, s’il est important de ne pas négliger les menaces venant de la société civile et des acteurs non-étatiques, l’analogie proposée entre maccarthysme aux États-Unis et Mai 68 en France, comme deux types de menaces pour ainsi dire symétriques, fait l’impasse sur le fait qu’une menace et une persécution venant de l’État et de son appareil de surveillance et de répression ne peuvent être mises sur le même plan, ni quantitativement ni qualitativement, que les violences et menaces venant de mouvements étudiants. Cette analogie est d’autant plus difficile à maintenir quand on se situe dans un paradigme philosophique libéral, comme c’est le cas de </w:t>
      </w:r>
      <w:r w:rsidR="001D740A">
        <w:t>l’auteur</w:t>
      </w:r>
      <w:r w:rsidRPr="005145BA">
        <w:t xml:space="preserve"> (</w:t>
      </w:r>
      <w:r w:rsidR="00282EDB">
        <w:t>p. </w:t>
      </w:r>
      <w:r w:rsidRPr="005145BA">
        <w:t>24). Il est vrai que la reprise sélective et parfois tronquée dans les médias de certains épisodes polémiques survenus sur les campus participe sans doute à l’amplification et aux effets de loupe et de déformation qui ne permettent pas toujours de bien faire la part entre une menace récurrente voire croissante et une « tempête dans un verre d’eau » qui se mue en « ouragan médiatique » (</w:t>
      </w:r>
      <w:r w:rsidR="00282EDB">
        <w:t>p. </w:t>
      </w:r>
      <w:r w:rsidRPr="005145BA">
        <w:t xml:space="preserve">22). À cet égard, le fort accent mis par </w:t>
      </w:r>
      <w:r w:rsidR="001D740A">
        <w:t>l’auteur</w:t>
      </w:r>
      <w:r w:rsidRPr="005145BA">
        <w:t xml:space="preserve"> sur des tendances certes observables, mais pas nécessairement majoritaires aujourd’hui dans la communauté étudiante vient sans doute du caractère engagé de l’ouvrage, qui ne s’interdit pas l’expression de certaines irritations face à certaines « minorités d’étudiants activistes », donnant peut-être lieu à des généralisations parfois excessives, à côté d’analyses plus équilibrées et nuancées.</w:t>
      </w:r>
    </w:p>
    <w:p w14:paraId="42AB3C46" w14:textId="6710F6F5" w:rsidR="005A756E" w:rsidRPr="005145BA" w:rsidRDefault="005A756E" w:rsidP="00A41148">
      <w:pPr>
        <w:pStyle w:val="Corpsarticle"/>
      </w:pPr>
      <w:r w:rsidRPr="005145BA">
        <w:t xml:space="preserve">Au-delà de la question des étudiants, le statut juridique de la </w:t>
      </w:r>
      <w:proofErr w:type="spellStart"/>
      <w:r w:rsidRPr="005145BA">
        <w:t>LA</w:t>
      </w:r>
      <w:proofErr w:type="spellEnd"/>
      <w:r w:rsidRPr="005145BA">
        <w:t xml:space="preserve"> en tant que possible droit humain ou liberté s’ancrant dans la logique des droits </w:t>
      </w:r>
      <w:r w:rsidRPr="005145BA">
        <w:lastRenderedPageBreak/>
        <w:t xml:space="preserve">humains aurait mérité, nous semble-t-il, un examen plus développé. </w:t>
      </w:r>
      <w:r w:rsidR="001D740A">
        <w:t>L’auteur</w:t>
      </w:r>
      <w:r w:rsidRPr="005145BA">
        <w:t xml:space="preserve"> évacue en effet rapidement la question d’un possible fondement de la </w:t>
      </w:r>
      <w:proofErr w:type="spellStart"/>
      <w:r w:rsidRPr="005145BA">
        <w:t>LA</w:t>
      </w:r>
      <w:proofErr w:type="spellEnd"/>
      <w:r w:rsidRPr="005145BA">
        <w:t xml:space="preserve"> dans la logique des droits humains, alors que cette question fait l’objet de nombreuses études et de riches débats. Certes, il n’est pas évident de considérer la </w:t>
      </w:r>
      <w:proofErr w:type="spellStart"/>
      <w:r w:rsidRPr="005145BA">
        <w:t>LA</w:t>
      </w:r>
      <w:proofErr w:type="spellEnd"/>
      <w:r w:rsidRPr="005145BA">
        <w:t xml:space="preserve"> en elle-même comme constitutive d’un droit humain fondamental. Mais un lien avec les droits humains est juridiquement avéré et il peut être conceptuellement éclairant de reconstruire la logique de ce lien. Le lien est en effet déjà attesté par le fait que </w:t>
      </w:r>
      <w:proofErr w:type="spellStart"/>
      <w:r w:rsidRPr="005145BA">
        <w:t>la</w:t>
      </w:r>
      <w:proofErr w:type="spellEnd"/>
      <w:r w:rsidRPr="005145BA">
        <w:t xml:space="preserve"> </w:t>
      </w:r>
      <w:proofErr w:type="spellStart"/>
      <w:r w:rsidRPr="005145BA">
        <w:t>LA</w:t>
      </w:r>
      <w:proofErr w:type="spellEnd"/>
      <w:r w:rsidRPr="005145BA">
        <w:t xml:space="preserve"> est constituée de toute une série de droits humains bien établis débordant le cadre de la liberté d’expression : le droit à l’éducation, la liberté d’enseigner, la liberté d’association, le droit à la culture, le droit à l’information. Mais on peut même défendre l’idée qu’un droit humain spécifique lui est </w:t>
      </w:r>
      <w:r w:rsidRPr="005145BA">
        <w:rPr>
          <w:i/>
          <w:iCs/>
        </w:rPr>
        <w:t>sous-jacent</w:t>
      </w:r>
      <w:r w:rsidRPr="005145BA">
        <w:t xml:space="preserve">, dont on trouve l’expression dans la DUDH, art. 27, al.1 : « Toute personne a le droit (…) de participer au </w:t>
      </w:r>
      <w:proofErr w:type="spellStart"/>
      <w:r w:rsidRPr="005145BA">
        <w:t>progrès</w:t>
      </w:r>
      <w:proofErr w:type="spellEnd"/>
      <w:r w:rsidRPr="005145BA">
        <w:t xml:space="preserve"> scientifique et aux bienfaits qui en </w:t>
      </w:r>
      <w:proofErr w:type="spellStart"/>
      <w:r w:rsidRPr="005145BA">
        <w:t>résultent</w:t>
      </w:r>
      <w:proofErr w:type="spellEnd"/>
      <w:r w:rsidRPr="005145BA">
        <w:t xml:space="preserve"> ». Les titulaires de ce droit fondamental ne sont donc pas seulement les universitaires statutaires, mais toute personne humaine, et même l’humanité, si l’on suit la définition que propose Paul Ricoeur, citée et reprise positivement par O. Beaud : « dans la conception libérale de l’université, dit-il, la liberté académique n’a pas d’autre origine que le droit de l’humanité à poursuivre quelque part la recherche de la vérité sans contrainte ». </w:t>
      </w:r>
    </w:p>
    <w:p w14:paraId="3E3418A1" w14:textId="77777777" w:rsidR="005A756E" w:rsidRPr="005145BA" w:rsidRDefault="005A756E" w:rsidP="00A41148">
      <w:pPr>
        <w:pStyle w:val="Corpsarticle"/>
      </w:pPr>
      <w:r w:rsidRPr="005145BA">
        <w:t xml:space="preserve">Sur la base de cette formulation, on peut esquisser un argument pour contribuer à justifier une fondation de la liberté académique dans la </w:t>
      </w:r>
      <w:r w:rsidRPr="005145BA">
        <w:rPr>
          <w:i/>
          <w:iCs/>
        </w:rPr>
        <w:t>logique</w:t>
      </w:r>
      <w:r w:rsidRPr="005145BA">
        <w:t xml:space="preserve"> des droits humains. Si l’activité scientifique est une activité communicationnelle (ce qu’on a de bonnes raisons de soutenir), elle suppose un émetteur </w:t>
      </w:r>
      <w:r w:rsidRPr="005145BA">
        <w:rPr>
          <w:i/>
          <w:iCs/>
        </w:rPr>
        <w:t>et</w:t>
      </w:r>
      <w:r w:rsidRPr="005145BA">
        <w:t xml:space="preserve"> un récepteur. La réalisation de la mission principale de l’université s’adresse alors nécessairement à différents destinataires de la communication scientifique : la production des connaissances s’adresse d’abord aux pairs qui éprouvent leur validité disciplinaire, leur transmission s’adresse aux étudiants qui éprouvent leur intelligibilité commune, leur dissémination s’adresse au public le plus large qui éprouve leur pertinence sociale. Or, le droit de donner (produire, transmettre, disséminer) suppose le droit de recevoir, c’est-à-dire au moins d’avoir accès aux connaissances, un accès matériel autant que cognitif, et le droit d’entrer en communication, pour donner pratiquement du sens à ce qu’on reçoit. Donc, à ce titre, on peut soutenir que la liberté académique est </w:t>
      </w:r>
      <w:r w:rsidRPr="005145BA">
        <w:rPr>
          <w:i/>
          <w:iCs/>
        </w:rPr>
        <w:t>fondée en principe</w:t>
      </w:r>
      <w:r w:rsidRPr="005145BA">
        <w:t xml:space="preserve"> sur un droit humain à prendre part librement, plus ou moins activement, à la recherche de la vérité scientifique, quoique ce droit ne </w:t>
      </w:r>
      <w:r w:rsidRPr="005145BA">
        <w:rPr>
          <w:i/>
          <w:iCs/>
        </w:rPr>
        <w:t>s’exerce en pratique</w:t>
      </w:r>
      <w:r w:rsidRPr="005145BA">
        <w:t xml:space="preserve"> pleinement que dans des conditions institutionnelles relativement fermées et est protégé dans des conditions professionnelles relativement strictes. D’où le « quelque part » de la définition de Ricoeur. « Quelque part » désigne la nécessité de construire </w:t>
      </w:r>
      <w:r w:rsidRPr="005145BA">
        <w:lastRenderedPageBreak/>
        <w:t xml:space="preserve">une communauté scientifique de recherche de la vérité, à la fois fermée par ses règles de sélection des énoncés par une autorégulation disciplinaire, et ouverte à la mise en question en principe de tous les énoncés, y compris ceux liés aux valeurs et normes fondamentales de l’environnement social de cette communauté de recherche. Sur le plan conceptuel, il y a donc de bonnes raisons de fonder </w:t>
      </w:r>
      <w:proofErr w:type="spellStart"/>
      <w:r w:rsidRPr="005145BA">
        <w:t>la</w:t>
      </w:r>
      <w:proofErr w:type="spellEnd"/>
      <w:r w:rsidRPr="005145BA">
        <w:t xml:space="preserve"> </w:t>
      </w:r>
      <w:proofErr w:type="spellStart"/>
      <w:r w:rsidRPr="005145BA">
        <w:t>LA</w:t>
      </w:r>
      <w:proofErr w:type="spellEnd"/>
      <w:r w:rsidRPr="005145BA">
        <w:t xml:space="preserve"> sur une logique de droits humains, quoiqu’elle ne constitue pas en elle-même un droit humain opposable, au même titre que la liberté d’expression, ou la liberté de religion, par exemple.</w:t>
      </w:r>
    </w:p>
    <w:p w14:paraId="6FA1B21A" w14:textId="0E054D93" w:rsidR="005A756E" w:rsidRPr="005145BA" w:rsidRDefault="005A756E" w:rsidP="00A41148">
      <w:pPr>
        <w:pStyle w:val="Corpsarticle"/>
      </w:pPr>
      <w:r w:rsidRPr="005145BA">
        <w:t xml:space="preserve">Enfin, la question du statut juridique de la </w:t>
      </w:r>
      <w:proofErr w:type="spellStart"/>
      <w:r w:rsidRPr="005145BA">
        <w:t>LA</w:t>
      </w:r>
      <w:proofErr w:type="spellEnd"/>
      <w:r w:rsidRPr="005145BA">
        <w:t xml:space="preserve"> et de sa différence avec la liberté d’expression, comme droit fondamental, fait apparaître certaines difficultés et tensions entre le cadre théorique et son application aux cas plus concrets. Ainsi, alors qu’il défend en principe une conception restrictive de la liberté académique, bien distincte de la liberté d’expression, et qu’il considère que d’autres garanties institutionnelles doivent permettre de protéger la liberté d’expression pour les enseignants-chercheurs s’exprimant, « en tant que citoyen », </w:t>
      </w:r>
      <w:r w:rsidRPr="005145BA">
        <w:rPr>
          <w:i/>
          <w:iCs/>
        </w:rPr>
        <w:t>dans ou en dehors</w:t>
      </w:r>
      <w:r w:rsidRPr="005145BA">
        <w:t xml:space="preserve"> de l’enceinte universitaire (</w:t>
      </w:r>
      <w:r w:rsidR="00282EDB">
        <w:t>p. </w:t>
      </w:r>
      <w:r w:rsidRPr="005145BA">
        <w:t xml:space="preserve">92), </w:t>
      </w:r>
      <w:r w:rsidR="001D740A">
        <w:t>l’auteur</w:t>
      </w:r>
      <w:r w:rsidRPr="005145BA">
        <w:t xml:space="preserve"> affirme également avec force que la liberté d’expression des professeurs est « une des composantes » de leur liberté académique, de sorte que, par exemple, des propos jugés homophobes tenus par un professeur de droit devraient pouvoir être protégés par la « liberté d’expression académique », dans la mesure où ces propos auraient été tenus « en cours et en vue d’un certain savoir » (</w:t>
      </w:r>
      <w:r w:rsidR="00282EDB">
        <w:t>p. </w:t>
      </w:r>
      <w:r w:rsidRPr="005145BA">
        <w:t xml:space="preserve">295). Mais si telle est la justification donnée, pourquoi ne pas parler simplement de liberté académique et non de liberté </w:t>
      </w:r>
      <w:r w:rsidRPr="005145BA">
        <w:rPr>
          <w:i/>
          <w:iCs/>
        </w:rPr>
        <w:t xml:space="preserve">d’expression </w:t>
      </w:r>
      <w:r w:rsidRPr="005145BA">
        <w:t xml:space="preserve">académique, sauf à considérer que, en l’occurrence, ces propos tenus en auditoire, quoique basés au départ sur un raisonnement juridique, ne satisfaisaient justement pas, par leur caractère trop vague et peu étayé, à la condition épistémique exigée par la protection propre à la liberté académique, par différence avec le régime général de la liberté d’expression ? Si l’on tient à une distinction nette entre les deux libertés, le concept de « liberté d’expression académique » ne devrait-il pas plutôt renvoyer à la </w:t>
      </w:r>
      <w:r w:rsidRPr="005145BA">
        <w:rPr>
          <w:i/>
          <w:iCs/>
        </w:rPr>
        <w:t>liberté d’expression intra-muros</w:t>
      </w:r>
      <w:r w:rsidRPr="005145BA">
        <w:t xml:space="preserve"> des enseignants-chercheurs, composante effectivement essentielle des libertés universitaires au sens large (selon Searle), et qui les protège quand ils s’expriment dans le cadre universitaire, mais sur des sujets ne relevant pas directement de leur domaine de compétence – avec des modes de protection, et éventuellement de sanction, différents ? La question reste toutefois délicate, car si la distinction entre intra- et extramuros semble relativement facile à établir, la frontière est en pratique très poreuse entre ce qui relève ou non du domaine de compétence d’une enseignant-chercheur, et donc entre le champ de la liberté académique au sens strict (liberté de savoir) et celui de la liberté d’expression intra-muros des </w:t>
      </w:r>
      <w:r w:rsidRPr="005145BA">
        <w:lastRenderedPageBreak/>
        <w:t>professeurs, tant il est ordinaire pour un ou une universitaire d’alterner, dans un cours ou une conférence entre des analyses qui relèvent de son domaine d’expertise et des considérations qui le dépassent de plus ou moins loin, et sont pourtant pertinentes pour le propos. Autant il convient de distinguer soigneusement le fondement conceptuel et normatif des deux libertés, pour ne pas réduire la liberté académique à une simple application de liberté d’expression, autant il est difficile de les réarticuler. Or, si le principe de la distinction entre les deux est cognitiviste – la recherche de connaissances vraies soumises au contrôle d’une communauté scientifique auto-disciplinée – son application est alors nécessairement discutable et délicate, dès lors qu’un enseignant-chercheur s’aventure au-delà des limites de son domaine, comme il peut et doit le faire, chaque fois que cela est requis par le problème qu’il pose (c’est particulièrement le cas dans les sciences humaines et sociales).</w:t>
      </w:r>
    </w:p>
    <w:p w14:paraId="293A7294" w14:textId="77777777" w:rsidR="005A756E" w:rsidRPr="005145BA" w:rsidRDefault="005A756E" w:rsidP="00A41148">
      <w:pPr>
        <w:pStyle w:val="Corpsarticle"/>
      </w:pPr>
      <w:r w:rsidRPr="005145BA">
        <w:t>Ces questions restent sans doute ouvertes après la lecture de l’ouvrage d’Olivier Beaud, qui a cependant le grand mérite non seulement de les poser et d’en éclaircir les termes et les enjeux, mais aussi de défendre des thèses bien argumentées qui sont de nature à stimuler un débat public tout à fait nécessaire parmi les universitaires, et en dehors du monde académique, sur une notion très souvent invoquée, sans être toujours bien connue ou comprise.</w:t>
      </w:r>
    </w:p>
    <w:p w14:paraId="23A36BAC" w14:textId="77777777" w:rsidR="00B646B1" w:rsidRDefault="00B646B1"/>
    <w:sectPr w:rsidR="00B646B1" w:rsidSect="005A756E">
      <w:pgSz w:w="11906" w:h="16838"/>
      <w:pgMar w:top="3459" w:right="2552" w:bottom="3459" w:left="2552"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6D6D429" w14:textId="77777777" w:rsidR="005269F0" w:rsidRDefault="005269F0" w:rsidP="005A756E">
      <w:r>
        <w:separator/>
      </w:r>
    </w:p>
  </w:endnote>
  <w:endnote w:type="continuationSeparator" w:id="0">
    <w:p w14:paraId="13FD05A0" w14:textId="77777777" w:rsidR="005269F0" w:rsidRDefault="005269F0" w:rsidP="005A75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42CAF1" w14:textId="77777777" w:rsidR="005269F0" w:rsidRDefault="005269F0" w:rsidP="005A756E">
      <w:r>
        <w:separator/>
      </w:r>
    </w:p>
  </w:footnote>
  <w:footnote w:type="continuationSeparator" w:id="0">
    <w:p w14:paraId="1335940F" w14:textId="77777777" w:rsidR="005269F0" w:rsidRDefault="005269F0" w:rsidP="005A756E">
      <w:r>
        <w:continuationSeparator/>
      </w:r>
    </w:p>
  </w:footnote>
  <w:footnote w:id="1">
    <w:p w14:paraId="1A0879AF" w14:textId="77777777" w:rsidR="004374AC" w:rsidRPr="00A41148" w:rsidRDefault="004374AC" w:rsidP="004374AC">
      <w:pPr>
        <w:pStyle w:val="Notedebasdepage"/>
        <w:jc w:val="both"/>
        <w:rPr>
          <w:rFonts w:cs="Arial"/>
        </w:rPr>
      </w:pPr>
      <w:r w:rsidRPr="00A41148">
        <w:rPr>
          <w:rStyle w:val="Appelnotedebasdep"/>
          <w:rFonts w:cs="Arial"/>
        </w:rPr>
        <w:footnoteRef/>
      </w:r>
      <w:r w:rsidRPr="00A41148">
        <w:rPr>
          <w:rFonts w:cs="Arial"/>
        </w:rPr>
        <w:t xml:space="preserve"> </w:t>
      </w:r>
      <w:r w:rsidRPr="00A41148">
        <w:rPr>
          <w:rFonts w:cs="Arial"/>
          <w:i/>
          <w:iCs/>
        </w:rPr>
        <w:t>La rédaction de cette publication a été</w:t>
      </w:r>
      <w:r w:rsidRPr="00A41148">
        <w:rPr>
          <w:rFonts w:cs="Arial"/>
        </w:rPr>
        <w:t xml:space="preserve"> </w:t>
      </w:r>
      <w:r w:rsidRPr="00A41148">
        <w:rPr>
          <w:rFonts w:cs="Arial"/>
          <w:i/>
          <w:iCs/>
        </w:rPr>
        <w:t>financée par l’Union européenne (</w:t>
      </w:r>
      <w:proofErr w:type="spellStart"/>
      <w:r w:rsidRPr="00A41148">
        <w:rPr>
          <w:rFonts w:cs="Arial"/>
        </w:rPr>
        <w:t>BildungLearning</w:t>
      </w:r>
      <w:proofErr w:type="spellEnd"/>
      <w:r w:rsidRPr="00A41148">
        <w:rPr>
          <w:rFonts w:cs="Arial"/>
          <w:i/>
          <w:iCs/>
        </w:rPr>
        <w:t xml:space="preserve">, projet ERC no 101043433). Les points de vue et opinions exprimés appartiennent à son/ses auteur(s)/autrice(s) et ne reflètent pas nécessairement ceux de l'Union européenne ni de la </w:t>
      </w:r>
      <w:proofErr w:type="spellStart"/>
      <w:r w:rsidRPr="00A41148">
        <w:rPr>
          <w:rFonts w:cs="Arial"/>
          <w:i/>
          <w:iCs/>
        </w:rPr>
        <w:t>European</w:t>
      </w:r>
      <w:proofErr w:type="spellEnd"/>
      <w:r w:rsidRPr="00A41148">
        <w:rPr>
          <w:rFonts w:cs="Arial"/>
          <w:i/>
          <w:iCs/>
        </w:rPr>
        <w:t xml:space="preserve"> </w:t>
      </w:r>
      <w:proofErr w:type="spellStart"/>
      <w:r w:rsidRPr="00A41148">
        <w:rPr>
          <w:rFonts w:cs="Arial"/>
          <w:i/>
          <w:iCs/>
        </w:rPr>
        <w:t>Research</w:t>
      </w:r>
      <w:proofErr w:type="spellEnd"/>
      <w:r w:rsidRPr="00A41148">
        <w:rPr>
          <w:rFonts w:cs="Arial"/>
          <w:i/>
          <w:iCs/>
        </w:rPr>
        <w:t xml:space="preserve"> Council </w:t>
      </w:r>
      <w:proofErr w:type="spellStart"/>
      <w:r w:rsidRPr="00A41148">
        <w:rPr>
          <w:rFonts w:cs="Arial"/>
          <w:i/>
          <w:iCs/>
        </w:rPr>
        <w:t>Executive</w:t>
      </w:r>
      <w:proofErr w:type="spellEnd"/>
      <w:r w:rsidRPr="00A41148">
        <w:rPr>
          <w:rFonts w:cs="Arial"/>
          <w:i/>
          <w:iCs/>
        </w:rPr>
        <w:t xml:space="preserve"> Agency. Ni l'Union européenne ni l’instance chargée de l'octroi des subventions ne peuvent en être tenues pour responsables.</w:t>
      </w:r>
      <w:r w:rsidRPr="00A41148">
        <w:rPr>
          <w:rFonts w:cs="Arial"/>
        </w:rPr>
        <w:t> </w:t>
      </w:r>
    </w:p>
  </w:footnote>
  <w:footnote w:id="2">
    <w:p w14:paraId="7FC2FE60" w14:textId="0B7B675D" w:rsidR="00236008" w:rsidRDefault="00236008">
      <w:pPr>
        <w:pStyle w:val="Notedebasdepage"/>
      </w:pPr>
      <w:r>
        <w:rPr>
          <w:rStyle w:val="Appelnotedebasdep"/>
        </w:rPr>
        <w:footnoteRef/>
      </w:r>
      <w:r>
        <w:t xml:space="preserve"> </w:t>
      </w:r>
      <w:r w:rsidRPr="00236008">
        <w:t>Notons que, « par convention », l’auteur parle toujours de « professeur » et jamais « d’enseignant-chercheur », considéré comme un « mot barbare à bannir », sans plus de justification (p. 25).</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1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756E"/>
    <w:rsid w:val="001D740A"/>
    <w:rsid w:val="00236008"/>
    <w:rsid w:val="002425AC"/>
    <w:rsid w:val="00282EDB"/>
    <w:rsid w:val="00365BC3"/>
    <w:rsid w:val="00392098"/>
    <w:rsid w:val="004374AC"/>
    <w:rsid w:val="00503F67"/>
    <w:rsid w:val="00520F92"/>
    <w:rsid w:val="005269F0"/>
    <w:rsid w:val="00537106"/>
    <w:rsid w:val="00547900"/>
    <w:rsid w:val="005A141D"/>
    <w:rsid w:val="005A756E"/>
    <w:rsid w:val="00624E03"/>
    <w:rsid w:val="008A4B88"/>
    <w:rsid w:val="00A41148"/>
    <w:rsid w:val="00A61C00"/>
    <w:rsid w:val="00B646B1"/>
    <w:rsid w:val="00DB2559"/>
    <w:rsid w:val="00E028BB"/>
    <w:rsid w:val="00E160E6"/>
    <w:rsid w:val="00E9265E"/>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C9B85B"/>
  <w15:chartTrackingRefBased/>
  <w15:docId w15:val="{7C704773-F31A-4585-996E-62157F785C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fr-BE" w:eastAsia="en-US" w:bidi="ar-SA"/>
        <w14:ligatures w14:val="standardContextual"/>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756E"/>
    <w:pPr>
      <w:spacing w:after="0" w:line="240" w:lineRule="auto"/>
      <w:jc w:val="left"/>
    </w:pPr>
    <w:rPr>
      <w:kern w:val="0"/>
      <w:sz w:val="24"/>
      <w:szCs w:val="24"/>
    </w:rPr>
  </w:style>
  <w:style w:type="paragraph" w:styleId="Titre1">
    <w:name w:val="heading 1"/>
    <w:basedOn w:val="Normal"/>
    <w:next w:val="Normal"/>
    <w:link w:val="Titre1Car"/>
    <w:uiPriority w:val="9"/>
    <w:qFormat/>
    <w:rsid w:val="005A75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5A75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5A756E"/>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5A756E"/>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5A756E"/>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5A756E"/>
    <w:pPr>
      <w:keepNext/>
      <w:keepLines/>
      <w:spacing w:before="4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5A756E"/>
    <w:pPr>
      <w:keepNext/>
      <w:keepLines/>
      <w:spacing w:before="4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5A756E"/>
    <w:pPr>
      <w:keepNext/>
      <w:keepLines/>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5A756E"/>
    <w:pPr>
      <w:keepNext/>
      <w:keepLines/>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Corpsarticle">
    <w:name w:val="Corps article"/>
    <w:basedOn w:val="Normal"/>
    <w:link w:val="CorpsarticleCar"/>
    <w:autoRedefine/>
    <w:qFormat/>
    <w:rsid w:val="00A41148"/>
    <w:pPr>
      <w:spacing w:before="120" w:after="120" w:line="252" w:lineRule="auto"/>
      <w:ind w:firstLine="567"/>
      <w:jc w:val="both"/>
    </w:pPr>
    <w:rPr>
      <w:rFonts w:ascii="Arial" w:eastAsia="Calibri" w:hAnsi="Arial"/>
      <w:sz w:val="20"/>
      <w:u w:color="000000"/>
      <w:bdr w:val="nil"/>
      <w:lang w:val="fr-FR"/>
    </w:rPr>
  </w:style>
  <w:style w:type="character" w:customStyle="1" w:styleId="CorpsarticleCar">
    <w:name w:val="Corps article Car"/>
    <w:basedOn w:val="Policepardfaut"/>
    <w:link w:val="Corpsarticle"/>
    <w:rsid w:val="00A41148"/>
    <w:rPr>
      <w:rFonts w:ascii="Arial" w:eastAsia="Calibri" w:hAnsi="Arial"/>
      <w:kern w:val="0"/>
      <w:sz w:val="20"/>
      <w:szCs w:val="24"/>
      <w:u w:color="000000"/>
      <w:bdr w:val="nil"/>
      <w:lang w:val="fr-FR"/>
    </w:rPr>
  </w:style>
  <w:style w:type="paragraph" w:styleId="Notedebasdepage">
    <w:name w:val="footnote text"/>
    <w:aliases w:val="Footnote Text Char1,Footnote Text Char Char,Car Char Char,Car Char1,Ftnote-texte,Footnote Text Char,Car,Footnotes,Note de bas de page2,fn,Fußnotentext RAXEN,Footnote2 Car,Footnote2 Car Car Car,Footnote,ftx,F"/>
    <w:basedOn w:val="Normal"/>
    <w:link w:val="NotedebasdepageCar"/>
    <w:uiPriority w:val="99"/>
    <w:unhideWhenUsed/>
    <w:qFormat/>
    <w:rsid w:val="00547900"/>
    <w:pPr>
      <w:tabs>
        <w:tab w:val="left" w:pos="737"/>
      </w:tabs>
    </w:pPr>
    <w:rPr>
      <w:rFonts w:ascii="Arial" w:eastAsia="Calibri" w:hAnsi="Arial"/>
      <w:color w:val="000000"/>
      <w:sz w:val="16"/>
      <w:szCs w:val="20"/>
      <w:lang w:val="fr-FR"/>
    </w:rPr>
  </w:style>
  <w:style w:type="character" w:customStyle="1" w:styleId="NotedebasdepageCar">
    <w:name w:val="Note de bas de page Car"/>
    <w:aliases w:val="Footnote Text Char1 Car,Footnote Text Char Char Car,Car Char Char Car,Car Char1 Car,Ftnote-texte Car,Footnote Text Char Car,Car Car,Footnotes Car,Note de bas de page2 Car,fn Car,Fußnotentext RAXEN Car,Footnote2 Car Car,ftx Car"/>
    <w:link w:val="Notedebasdepage"/>
    <w:uiPriority w:val="99"/>
    <w:qFormat/>
    <w:rsid w:val="00547900"/>
    <w:rPr>
      <w:rFonts w:ascii="Arial" w:eastAsia="Calibri" w:hAnsi="Arial"/>
      <w:color w:val="000000"/>
      <w:sz w:val="16"/>
      <w:szCs w:val="20"/>
      <w:lang w:val="fr-FR"/>
    </w:rPr>
  </w:style>
  <w:style w:type="character" w:customStyle="1" w:styleId="Titre1Car">
    <w:name w:val="Titre 1 Car"/>
    <w:basedOn w:val="Policepardfaut"/>
    <w:link w:val="Titre1"/>
    <w:uiPriority w:val="9"/>
    <w:rsid w:val="005A756E"/>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5A756E"/>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5A756E"/>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5A756E"/>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5A756E"/>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5A756E"/>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5A756E"/>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5A756E"/>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5A756E"/>
    <w:rPr>
      <w:rFonts w:eastAsiaTheme="majorEastAsia" w:cstheme="majorBidi"/>
      <w:color w:val="272727" w:themeColor="text1" w:themeTint="D8"/>
    </w:rPr>
  </w:style>
  <w:style w:type="paragraph" w:styleId="Titre">
    <w:name w:val="Title"/>
    <w:basedOn w:val="Normal"/>
    <w:next w:val="Normal"/>
    <w:link w:val="TitreCar"/>
    <w:uiPriority w:val="10"/>
    <w:qFormat/>
    <w:rsid w:val="005A756E"/>
    <w:pPr>
      <w:spacing w:after="80"/>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5A756E"/>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5A756E"/>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5A756E"/>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5A756E"/>
    <w:pPr>
      <w:spacing w:before="160"/>
      <w:jc w:val="center"/>
    </w:pPr>
    <w:rPr>
      <w:i/>
      <w:iCs/>
      <w:color w:val="404040" w:themeColor="text1" w:themeTint="BF"/>
    </w:rPr>
  </w:style>
  <w:style w:type="character" w:customStyle="1" w:styleId="CitationCar">
    <w:name w:val="Citation Car"/>
    <w:basedOn w:val="Policepardfaut"/>
    <w:link w:val="Citation"/>
    <w:uiPriority w:val="29"/>
    <w:rsid w:val="005A756E"/>
    <w:rPr>
      <w:i/>
      <w:iCs/>
      <w:color w:val="404040" w:themeColor="text1" w:themeTint="BF"/>
    </w:rPr>
  </w:style>
  <w:style w:type="paragraph" w:styleId="Paragraphedeliste">
    <w:name w:val="List Paragraph"/>
    <w:basedOn w:val="Normal"/>
    <w:uiPriority w:val="34"/>
    <w:qFormat/>
    <w:rsid w:val="005A756E"/>
    <w:pPr>
      <w:ind w:left="720"/>
      <w:contextualSpacing/>
    </w:pPr>
  </w:style>
  <w:style w:type="character" w:styleId="Accentuationintense">
    <w:name w:val="Intense Emphasis"/>
    <w:basedOn w:val="Policepardfaut"/>
    <w:uiPriority w:val="21"/>
    <w:qFormat/>
    <w:rsid w:val="005A756E"/>
    <w:rPr>
      <w:i/>
      <w:iCs/>
      <w:color w:val="0F4761" w:themeColor="accent1" w:themeShade="BF"/>
    </w:rPr>
  </w:style>
  <w:style w:type="paragraph" w:styleId="Citationintense">
    <w:name w:val="Intense Quote"/>
    <w:basedOn w:val="Normal"/>
    <w:next w:val="Normal"/>
    <w:link w:val="CitationintenseCar"/>
    <w:uiPriority w:val="30"/>
    <w:qFormat/>
    <w:rsid w:val="005A75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5A756E"/>
    <w:rPr>
      <w:i/>
      <w:iCs/>
      <w:color w:val="0F4761" w:themeColor="accent1" w:themeShade="BF"/>
    </w:rPr>
  </w:style>
  <w:style w:type="character" w:styleId="Rfrenceintense">
    <w:name w:val="Intense Reference"/>
    <w:basedOn w:val="Policepardfaut"/>
    <w:uiPriority w:val="32"/>
    <w:qFormat/>
    <w:rsid w:val="005A756E"/>
    <w:rPr>
      <w:b/>
      <w:bCs/>
      <w:smallCaps/>
      <w:color w:val="0F4761" w:themeColor="accent1" w:themeShade="BF"/>
      <w:spacing w:val="5"/>
    </w:rPr>
  </w:style>
  <w:style w:type="character" w:styleId="Appelnotedebasdep">
    <w:name w:val="footnote reference"/>
    <w:basedOn w:val="Policepardfaut"/>
    <w:uiPriority w:val="99"/>
    <w:semiHidden/>
    <w:unhideWhenUsed/>
    <w:rsid w:val="005A756E"/>
    <w:rPr>
      <w:vertAlign w:val="superscript"/>
    </w:rPr>
  </w:style>
  <w:style w:type="paragraph" w:styleId="Rvision">
    <w:name w:val="Revision"/>
    <w:hidden/>
    <w:uiPriority w:val="99"/>
    <w:semiHidden/>
    <w:rsid w:val="001D740A"/>
    <w:pPr>
      <w:spacing w:after="0" w:line="240" w:lineRule="auto"/>
      <w:jc w:val="left"/>
    </w:pPr>
    <w:rPr>
      <w:kern w:val="0"/>
      <w:sz w:val="24"/>
      <w:szCs w:val="24"/>
    </w:rPr>
  </w:style>
  <w:style w:type="paragraph" w:styleId="Sansinterligne">
    <w:name w:val="No Spacing"/>
    <w:uiPriority w:val="1"/>
    <w:qFormat/>
    <w:rsid w:val="001D740A"/>
    <w:pPr>
      <w:spacing w:after="0" w:line="240" w:lineRule="auto"/>
      <w:jc w:val="left"/>
    </w:pPr>
    <w:rPr>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13</Pages>
  <Words>5436</Words>
  <Characters>29898</Characters>
  <Application>Microsoft Office Word</Application>
  <DocSecurity>0</DocSecurity>
  <Lines>249</Lines>
  <Paragraphs>70</Paragraphs>
  <ScaleCrop>false</ScaleCrop>
  <Company/>
  <LinksUpToDate>false</LinksUpToDate>
  <CharactersWithSpaces>35264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Marie Frédérick</dc:creator>
  <cp:keywords/>
  <dc:description/>
  <cp:lastModifiedBy>Quentin Landenne</cp:lastModifiedBy>
  <cp:revision>4</cp:revision>
  <dcterms:created xsi:type="dcterms:W3CDTF">2024-12-02T11:47:00Z</dcterms:created>
  <dcterms:modified xsi:type="dcterms:W3CDTF">2024-12-02T11:48:00Z</dcterms:modified>
</cp:coreProperties>
</file>