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F78797" w14:textId="59951141" w:rsidR="00276F5F" w:rsidRDefault="0083640B" w:rsidP="00FA0729">
      <w:pPr>
        <w:pStyle w:val="Titre"/>
        <w:spacing w:after="240" w:line="480" w:lineRule="auto"/>
        <w:contextualSpacing w:val="0"/>
        <w:rPr>
          <w:spacing w:val="0"/>
          <w:sz w:val="28"/>
          <w:lang w:val="en-US"/>
        </w:rPr>
      </w:pPr>
      <w:r w:rsidRPr="00B0152D">
        <w:rPr>
          <w:spacing w:val="0"/>
          <w:sz w:val="28"/>
          <w:lang w:val="en-US"/>
        </w:rPr>
        <w:t xml:space="preserve">BIOMARKERS </w:t>
      </w:r>
      <w:r>
        <w:rPr>
          <w:spacing w:val="0"/>
          <w:sz w:val="28"/>
          <w:lang w:val="en-US"/>
        </w:rPr>
        <w:t>A</w:t>
      </w:r>
      <w:r w:rsidRPr="00B0152D">
        <w:rPr>
          <w:spacing w:val="0"/>
          <w:sz w:val="28"/>
          <w:lang w:val="en-US"/>
        </w:rPr>
        <w:t>ND CLINI</w:t>
      </w:r>
      <w:r>
        <w:rPr>
          <w:spacing w:val="0"/>
          <w:sz w:val="28"/>
          <w:lang w:val="en-US"/>
        </w:rPr>
        <w:t>CAL CHARACTERISTICS ASSOCIATED W</w:t>
      </w:r>
      <w:r w:rsidRPr="00B0152D">
        <w:rPr>
          <w:spacing w:val="0"/>
          <w:sz w:val="28"/>
          <w:lang w:val="en-US"/>
        </w:rPr>
        <w:t>ITH NONALCOHOLIC STEATO</w:t>
      </w:r>
      <w:r>
        <w:rPr>
          <w:spacing w:val="0"/>
          <w:sz w:val="28"/>
          <w:lang w:val="en-US"/>
        </w:rPr>
        <w:t>HEPATITIS FIBROSIS PROGRESSION IN T</w:t>
      </w:r>
      <w:r w:rsidRPr="00B0152D">
        <w:rPr>
          <w:spacing w:val="0"/>
          <w:sz w:val="28"/>
          <w:lang w:val="en-US"/>
        </w:rPr>
        <w:t>HE CENTAUR STUDY</w:t>
      </w:r>
    </w:p>
    <w:p w14:paraId="3B57F465" w14:textId="7D19A2B0" w:rsidR="00B0152D" w:rsidRPr="00CA0BAD" w:rsidRDefault="00B0152D" w:rsidP="00B0152D">
      <w:pPr>
        <w:autoSpaceDE w:val="0"/>
        <w:autoSpaceDN w:val="0"/>
        <w:adjustRightInd w:val="0"/>
        <w:rPr>
          <w:rFonts w:eastAsia="Calibri" w:cs="Times New Roman"/>
          <w:vertAlign w:val="superscript"/>
        </w:rPr>
      </w:pPr>
      <w:r w:rsidRPr="00CA0BAD">
        <w:rPr>
          <w:rFonts w:eastAsia="Calibri" w:cs="Times New Roman"/>
        </w:rPr>
        <w:t>Nicolas Lanthier,</w:t>
      </w:r>
      <w:r>
        <w:rPr>
          <w:rFonts w:eastAsia="Calibri" w:cs="Times New Roman"/>
          <w:vertAlign w:val="superscript"/>
        </w:rPr>
        <w:t>1</w:t>
      </w:r>
      <w:r w:rsidRPr="00CA0BAD">
        <w:rPr>
          <w:rFonts w:eastAsia="Calibri" w:cs="Times New Roman"/>
        </w:rPr>
        <w:t xml:space="preserve"> Johannes Kluwe,</w:t>
      </w:r>
      <w:r>
        <w:rPr>
          <w:rFonts w:eastAsia="Calibri" w:cs="Times New Roman"/>
          <w:vertAlign w:val="superscript"/>
        </w:rPr>
        <w:t>2</w:t>
      </w:r>
      <w:r w:rsidRPr="00CA0BAD">
        <w:rPr>
          <w:rFonts w:eastAsia="Calibri" w:cs="Times New Roman"/>
        </w:rPr>
        <w:t xml:space="preserve"> Andrew J. Fowell,</w:t>
      </w:r>
      <w:r>
        <w:rPr>
          <w:rFonts w:eastAsia="Calibri" w:cs="Times New Roman"/>
          <w:vertAlign w:val="superscript"/>
        </w:rPr>
        <w:t>3</w:t>
      </w:r>
      <w:r w:rsidRPr="00CA0BAD">
        <w:rPr>
          <w:rFonts w:eastAsia="Calibri" w:cs="Times New Roman"/>
        </w:rPr>
        <w:t xml:space="preserve"> </w:t>
      </w:r>
      <w:proofErr w:type="spellStart"/>
      <w:r>
        <w:rPr>
          <w:rFonts w:eastAsia="Calibri" w:cs="Times New Roman"/>
        </w:rPr>
        <w:t>Maciej</w:t>
      </w:r>
      <w:proofErr w:type="spellEnd"/>
      <w:r>
        <w:rPr>
          <w:rFonts w:eastAsia="Calibri" w:cs="Times New Roman"/>
        </w:rPr>
        <w:t xml:space="preserve"> Jablkowski,</w:t>
      </w:r>
      <w:r>
        <w:rPr>
          <w:rFonts w:eastAsia="Calibri" w:cs="Times New Roman"/>
          <w:vertAlign w:val="superscript"/>
        </w:rPr>
        <w:t>4</w:t>
      </w:r>
      <w:r>
        <w:rPr>
          <w:rFonts w:eastAsia="Calibri" w:cs="Times New Roman"/>
        </w:rPr>
        <w:t xml:space="preserve"> </w:t>
      </w:r>
      <w:r w:rsidRPr="005C662A">
        <w:rPr>
          <w:rFonts w:eastAsia="Calibri" w:cs="Times New Roman"/>
        </w:rPr>
        <w:t>Vincent Wai-Sun</w:t>
      </w:r>
      <w:r>
        <w:rPr>
          <w:rFonts w:eastAsia="Calibri" w:cs="Times New Roman"/>
        </w:rPr>
        <w:t xml:space="preserve"> Wong,</w:t>
      </w:r>
      <w:r>
        <w:rPr>
          <w:rFonts w:eastAsia="Calibri" w:cs="Times New Roman"/>
          <w:vertAlign w:val="superscript"/>
        </w:rPr>
        <w:t>5</w:t>
      </w:r>
      <w:r>
        <w:rPr>
          <w:rFonts w:eastAsia="Calibri" w:cs="Times New Roman"/>
        </w:rPr>
        <w:t xml:space="preserve"> </w:t>
      </w:r>
      <w:proofErr w:type="spellStart"/>
      <w:r w:rsidRPr="00CA0BAD">
        <w:rPr>
          <w:rFonts w:eastAsia="Calibri" w:cs="Times New Roman"/>
        </w:rPr>
        <w:t>Jiacheng</w:t>
      </w:r>
      <w:proofErr w:type="spellEnd"/>
      <w:r w:rsidRPr="00CA0BAD">
        <w:rPr>
          <w:rFonts w:eastAsia="Calibri" w:cs="Times New Roman"/>
        </w:rPr>
        <w:t xml:space="preserve"> Yuan,</w:t>
      </w:r>
      <w:r>
        <w:rPr>
          <w:rFonts w:eastAsia="Calibri" w:cs="Times New Roman"/>
          <w:vertAlign w:val="superscript"/>
        </w:rPr>
        <w:t>6</w:t>
      </w:r>
      <w:r w:rsidRPr="00CA0BAD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>Sean Muthian,</w:t>
      </w:r>
      <w:r>
        <w:rPr>
          <w:rFonts w:eastAsia="Calibri" w:cs="Times New Roman"/>
          <w:vertAlign w:val="superscript"/>
        </w:rPr>
        <w:t>7</w:t>
      </w:r>
      <w:r>
        <w:rPr>
          <w:rFonts w:eastAsia="Calibri" w:cs="Times New Roman"/>
        </w:rPr>
        <w:t xml:space="preserve"> </w:t>
      </w:r>
      <w:r w:rsidRPr="00CA0BAD">
        <w:rPr>
          <w:rFonts w:eastAsia="Calibri" w:cs="Times New Roman"/>
        </w:rPr>
        <w:t>Jean Paul Nicandro,</w:t>
      </w:r>
      <w:r>
        <w:rPr>
          <w:rFonts w:eastAsia="Calibri" w:cs="Times New Roman"/>
          <w:vertAlign w:val="superscript"/>
        </w:rPr>
        <w:t>8</w:t>
      </w:r>
      <w:r w:rsidRPr="00CA0BAD">
        <w:rPr>
          <w:rFonts w:eastAsia="Calibri" w:cs="Times New Roman"/>
        </w:rPr>
        <w:t xml:space="preserve"> Star Seyedkazemi,</w:t>
      </w:r>
      <w:r>
        <w:rPr>
          <w:rFonts w:eastAsia="Calibri" w:cs="Times New Roman"/>
          <w:vertAlign w:val="superscript"/>
        </w:rPr>
        <w:t>7</w:t>
      </w:r>
      <w:r w:rsidRPr="00CA0BAD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 xml:space="preserve">Eduardo </w:t>
      </w:r>
      <w:r w:rsidR="0086268B">
        <w:rPr>
          <w:rFonts w:eastAsia="Calibri" w:cs="Times New Roman"/>
        </w:rPr>
        <w:t xml:space="preserve">Bruno </w:t>
      </w:r>
      <w:r>
        <w:rPr>
          <w:rFonts w:eastAsia="Calibri" w:cs="Times New Roman"/>
        </w:rPr>
        <w:t>Martins,</w:t>
      </w:r>
      <w:r>
        <w:rPr>
          <w:rFonts w:eastAsia="Calibri" w:cs="Times New Roman"/>
          <w:vertAlign w:val="superscript"/>
        </w:rPr>
        <w:t>7</w:t>
      </w:r>
      <w:r>
        <w:rPr>
          <w:rFonts w:eastAsia="Calibri" w:cs="Times New Roman"/>
        </w:rPr>
        <w:t xml:space="preserve"> </w:t>
      </w:r>
      <w:r w:rsidRPr="00CA0BAD">
        <w:rPr>
          <w:rFonts w:eastAsia="Calibri" w:cs="Times New Roman"/>
        </w:rPr>
        <w:t>Laurent Fischer,</w:t>
      </w:r>
      <w:r>
        <w:rPr>
          <w:rFonts w:eastAsia="Calibri" w:cs="Times New Roman"/>
          <w:vertAlign w:val="superscript"/>
        </w:rPr>
        <w:t>7</w:t>
      </w:r>
      <w:r w:rsidRPr="00CA0BAD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>Rohit Loomba</w:t>
      </w:r>
      <w:r>
        <w:rPr>
          <w:rFonts w:eastAsia="Calibri" w:cs="Times New Roman"/>
          <w:vertAlign w:val="superscript"/>
        </w:rPr>
        <w:t>9</w:t>
      </w:r>
    </w:p>
    <w:p w14:paraId="3847A9F9" w14:textId="0CF00119" w:rsidR="00B0152D" w:rsidRDefault="00B0152D" w:rsidP="00B0152D">
      <w:pPr>
        <w:rPr>
          <w:rFonts w:cs="Times New Roman"/>
        </w:rPr>
      </w:pPr>
      <w:r w:rsidRPr="00CA0BAD">
        <w:rPr>
          <w:rFonts w:eastAsia="Calibri" w:cs="Times New Roman"/>
          <w:i/>
          <w:iCs/>
          <w:vertAlign w:val="superscript"/>
        </w:rPr>
        <w:t>1</w:t>
      </w:r>
      <w:r>
        <w:rPr>
          <w:rFonts w:eastAsia="Calibri" w:cs="Times New Roman"/>
          <w:i/>
          <w:iCs/>
        </w:rPr>
        <w:t xml:space="preserve">Cliniques </w:t>
      </w:r>
      <w:proofErr w:type="spellStart"/>
      <w:r>
        <w:rPr>
          <w:rFonts w:eastAsia="Calibri" w:cs="Times New Roman"/>
          <w:i/>
          <w:iCs/>
        </w:rPr>
        <w:t>U</w:t>
      </w:r>
      <w:r w:rsidRPr="00CA0BAD">
        <w:rPr>
          <w:rFonts w:eastAsia="Calibri" w:cs="Times New Roman"/>
          <w:i/>
          <w:iCs/>
        </w:rPr>
        <w:t>niversitaires</w:t>
      </w:r>
      <w:proofErr w:type="spellEnd"/>
      <w:r w:rsidRPr="00CA0BAD">
        <w:rPr>
          <w:rFonts w:eastAsia="Calibri" w:cs="Times New Roman"/>
          <w:i/>
          <w:iCs/>
        </w:rPr>
        <w:t xml:space="preserve"> Saint-Luc, Brussels, Belgium; </w:t>
      </w:r>
      <w:r>
        <w:rPr>
          <w:rFonts w:eastAsia="Calibri" w:cs="Times New Roman"/>
          <w:i/>
          <w:iCs/>
          <w:vertAlign w:val="superscript"/>
        </w:rPr>
        <w:t>2</w:t>
      </w:r>
      <w:r w:rsidRPr="00CA0BAD">
        <w:rPr>
          <w:rFonts w:eastAsia="Calibri" w:cs="Times New Roman"/>
          <w:i/>
          <w:iCs/>
        </w:rPr>
        <w:t xml:space="preserve">Hamburg University Medical Center, Hamburg, Germany; </w:t>
      </w:r>
      <w:r>
        <w:rPr>
          <w:rFonts w:eastAsia="Calibri" w:cs="Times New Roman"/>
          <w:i/>
          <w:iCs/>
          <w:vertAlign w:val="superscript"/>
        </w:rPr>
        <w:t>3</w:t>
      </w:r>
      <w:r w:rsidRPr="00CA0BAD">
        <w:rPr>
          <w:rFonts w:eastAsia="Calibri" w:cs="Times New Roman"/>
          <w:i/>
          <w:iCs/>
        </w:rPr>
        <w:t xml:space="preserve">Portsmouth Hospitals NHS Trust, Queen Alexandra Hospital, Portsmouth, UK; </w:t>
      </w:r>
      <w:r>
        <w:rPr>
          <w:rFonts w:eastAsia="Calibri" w:cs="Times New Roman"/>
          <w:i/>
          <w:iCs/>
          <w:vertAlign w:val="superscript"/>
        </w:rPr>
        <w:t>4</w:t>
      </w:r>
      <w:r w:rsidRPr="008F28D7">
        <w:rPr>
          <w:rFonts w:eastAsia="Calibri" w:cs="Times New Roman"/>
          <w:i/>
          <w:iCs/>
        </w:rPr>
        <w:t xml:space="preserve">Medical University of Lodz, </w:t>
      </w:r>
      <w:r>
        <w:rPr>
          <w:rFonts w:eastAsia="Calibri" w:cs="Times New Roman"/>
          <w:i/>
          <w:iCs/>
        </w:rPr>
        <w:t xml:space="preserve">Lodz, </w:t>
      </w:r>
      <w:r w:rsidRPr="008F28D7">
        <w:rPr>
          <w:rFonts w:eastAsia="Calibri" w:cs="Times New Roman"/>
          <w:i/>
          <w:iCs/>
        </w:rPr>
        <w:t>Poland</w:t>
      </w:r>
      <w:r>
        <w:rPr>
          <w:rFonts w:eastAsia="Calibri" w:cs="Times New Roman"/>
          <w:i/>
          <w:iCs/>
        </w:rPr>
        <w:t xml:space="preserve">; </w:t>
      </w:r>
      <w:r>
        <w:rPr>
          <w:rFonts w:eastAsia="Calibri" w:cs="Times New Roman"/>
          <w:i/>
          <w:iCs/>
          <w:vertAlign w:val="superscript"/>
        </w:rPr>
        <w:t>5</w:t>
      </w:r>
      <w:r>
        <w:rPr>
          <w:rFonts w:eastAsia="Calibri" w:cs="Times New Roman"/>
          <w:i/>
          <w:iCs/>
        </w:rPr>
        <w:t>T</w:t>
      </w:r>
      <w:r w:rsidRPr="008F28D7">
        <w:rPr>
          <w:rFonts w:eastAsia="Calibri" w:cs="Times New Roman"/>
          <w:i/>
          <w:iCs/>
        </w:rPr>
        <w:t>he Chinese Univ</w:t>
      </w:r>
      <w:r w:rsidR="00D47BDF">
        <w:rPr>
          <w:rFonts w:eastAsia="Calibri" w:cs="Times New Roman"/>
          <w:i/>
          <w:iCs/>
        </w:rPr>
        <w:t>ersity of Hong Kong, Hong Kong, the People’s Republic of China</w:t>
      </w:r>
      <w:r>
        <w:rPr>
          <w:rFonts w:eastAsia="Calibri" w:cs="Times New Roman"/>
          <w:i/>
          <w:iCs/>
        </w:rPr>
        <w:t xml:space="preserve">; </w:t>
      </w:r>
      <w:r>
        <w:rPr>
          <w:rFonts w:eastAsia="Calibri" w:cs="Times New Roman"/>
          <w:i/>
          <w:iCs/>
          <w:vertAlign w:val="superscript"/>
        </w:rPr>
        <w:t>6</w:t>
      </w:r>
      <w:r>
        <w:rPr>
          <w:rFonts w:eastAsia="Calibri" w:cs="Times New Roman"/>
          <w:i/>
          <w:iCs/>
        </w:rPr>
        <w:t xml:space="preserve">Allergan plc, Irvine, CA, </w:t>
      </w:r>
      <w:r w:rsidRPr="00CA0BAD">
        <w:rPr>
          <w:rFonts w:eastAsia="Calibri" w:cs="Times New Roman"/>
          <w:i/>
          <w:iCs/>
        </w:rPr>
        <w:t xml:space="preserve">USA; </w:t>
      </w:r>
      <w:r>
        <w:rPr>
          <w:rFonts w:eastAsia="Calibri" w:cs="Times New Roman"/>
          <w:i/>
          <w:iCs/>
          <w:vertAlign w:val="superscript"/>
        </w:rPr>
        <w:t>7</w:t>
      </w:r>
      <w:r w:rsidRPr="00CA0BAD">
        <w:rPr>
          <w:rFonts w:eastAsia="Calibri" w:cs="Times New Roman"/>
          <w:i/>
          <w:iCs/>
        </w:rPr>
        <w:t xml:space="preserve">Allergan plc, South San Francisco, </w:t>
      </w:r>
      <w:r>
        <w:rPr>
          <w:rFonts w:eastAsia="Calibri" w:cs="Times New Roman"/>
          <w:i/>
          <w:iCs/>
        </w:rPr>
        <w:t xml:space="preserve">CA, </w:t>
      </w:r>
      <w:r w:rsidRPr="00CA0BAD">
        <w:rPr>
          <w:rFonts w:eastAsia="Calibri" w:cs="Times New Roman"/>
          <w:i/>
          <w:iCs/>
        </w:rPr>
        <w:t xml:space="preserve">USA; </w:t>
      </w:r>
      <w:r w:rsidRPr="00123FB6">
        <w:rPr>
          <w:rFonts w:eastAsia="Calibri" w:cs="Times New Roman"/>
          <w:i/>
          <w:iCs/>
          <w:vertAlign w:val="superscript"/>
        </w:rPr>
        <w:t>8</w:t>
      </w:r>
      <w:r>
        <w:rPr>
          <w:rFonts w:eastAsia="Calibri" w:cs="Times New Roman"/>
          <w:i/>
          <w:iCs/>
        </w:rPr>
        <w:t xml:space="preserve">Former employee of Allergan plc, Irvine, CA, USA; </w:t>
      </w:r>
      <w:r>
        <w:rPr>
          <w:rFonts w:eastAsia="Calibri" w:cs="Times New Roman"/>
          <w:i/>
          <w:iCs/>
          <w:vertAlign w:val="superscript"/>
        </w:rPr>
        <w:t>9</w:t>
      </w:r>
      <w:r w:rsidRPr="00CA0BAD">
        <w:rPr>
          <w:rFonts w:eastAsia="Calibri" w:cs="Times New Roman"/>
          <w:i/>
          <w:iCs/>
        </w:rPr>
        <w:t>University of California,</w:t>
      </w:r>
      <w:r>
        <w:rPr>
          <w:rFonts w:eastAsia="Calibri" w:cs="Times New Roman"/>
          <w:i/>
          <w:iCs/>
        </w:rPr>
        <w:t xml:space="preserve"> San Diego, La Jolla, CA, USA</w:t>
      </w:r>
    </w:p>
    <w:p w14:paraId="19F7879B" w14:textId="208D61F5" w:rsidR="00C50F31" w:rsidRPr="00D47BDF" w:rsidRDefault="00F64274" w:rsidP="00FA0729">
      <w:pPr>
        <w:rPr>
          <w:b/>
          <w:lang w:val="en-US"/>
        </w:rPr>
      </w:pPr>
      <w:r w:rsidRPr="001A238D">
        <w:rPr>
          <w:b/>
          <w:lang w:val="en-US"/>
        </w:rPr>
        <w:t>Background</w:t>
      </w:r>
      <w:r w:rsidR="00F91C78" w:rsidRPr="001A238D">
        <w:rPr>
          <w:b/>
          <w:lang w:val="en-US"/>
        </w:rPr>
        <w:t>:</w:t>
      </w:r>
      <w:r w:rsidR="00F91C78" w:rsidRPr="001A238D">
        <w:rPr>
          <w:lang w:val="en-US"/>
        </w:rPr>
        <w:t xml:space="preserve"> </w:t>
      </w:r>
      <w:r w:rsidR="00B0152D" w:rsidRPr="00C80A5B">
        <w:rPr>
          <w:rFonts w:cs="Times New Roman"/>
        </w:rPr>
        <w:t>Cenicriviroc (CVC) is an oral C-C chem</w:t>
      </w:r>
      <w:r w:rsidR="00B0152D" w:rsidRPr="00D47BDF">
        <w:rPr>
          <w:rFonts w:cs="Times New Roman"/>
        </w:rPr>
        <w:t>okine receptor type 2/5 antagonist currently being evaluated for the treatment of liver fibrosis in adults with nonalcoholic steatohepatitis (NASH). In the Phase 2b CENTAUR study, CVC treatment resulted in a significant, durable antifibrotic benefit compared with placebo. The aims of this CENTAUR analysis were to characteri</w:t>
      </w:r>
      <w:r w:rsidR="00007A32" w:rsidRPr="00D47BDF">
        <w:rPr>
          <w:rFonts w:cs="Times New Roman"/>
        </w:rPr>
        <w:t>z</w:t>
      </w:r>
      <w:r w:rsidR="00B0152D" w:rsidRPr="00D47BDF">
        <w:rPr>
          <w:rFonts w:cs="Times New Roman"/>
        </w:rPr>
        <w:t xml:space="preserve">e the subpopulation of fibrosis progressors (FPs) initially treated with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 during Year 1 compared to fibrosis non-progressors (FNs), and to evaluate the effect of CVC in FPs on histology and biomarkers of fibrosis during Year 2.</w:t>
      </w:r>
    </w:p>
    <w:p w14:paraId="19F7879D" w14:textId="414832B9" w:rsidR="00D07B01" w:rsidRPr="00D47BDF" w:rsidRDefault="00F64274" w:rsidP="00FA0729">
      <w:pPr>
        <w:rPr>
          <w:b/>
          <w:lang w:val="en-US"/>
        </w:rPr>
      </w:pPr>
      <w:r w:rsidRPr="00D47BDF">
        <w:rPr>
          <w:b/>
          <w:lang w:val="en-US"/>
        </w:rPr>
        <w:t>Methods</w:t>
      </w:r>
      <w:r w:rsidR="00F91C78" w:rsidRPr="00D47BDF">
        <w:rPr>
          <w:b/>
          <w:lang w:val="en-US"/>
        </w:rPr>
        <w:t>:</w:t>
      </w:r>
      <w:r w:rsidR="00F91C78" w:rsidRPr="00D47BDF">
        <w:rPr>
          <w:lang w:val="en-US"/>
        </w:rPr>
        <w:t xml:space="preserve"> </w:t>
      </w:r>
      <w:r w:rsidR="00B0152D" w:rsidRPr="00D47BDF">
        <w:rPr>
          <w:rFonts w:cs="Times New Roman"/>
        </w:rPr>
        <w:t>Adults with histologically confirmed NASH, nonalcoholic fatty liver disease activity score (NAS) ≥4</w:t>
      </w:r>
      <w:r w:rsidR="00007A32" w:rsidRPr="00D47BDF">
        <w:rPr>
          <w:rFonts w:cs="Times New Roman"/>
        </w:rPr>
        <w:t>,</w:t>
      </w:r>
      <w:r w:rsidR="00B0152D" w:rsidRPr="00D47BDF">
        <w:rPr>
          <w:rFonts w:cs="Times New Roman"/>
        </w:rPr>
        <w:t xml:space="preserve"> and liver fibrosis Stages 1–3 (NASH Clinical Research Network) received CVC </w:t>
      </w:r>
      <w:r w:rsidR="00B0152D" w:rsidRPr="00D47BDF">
        <w:rPr>
          <w:rFonts w:cs="Times New Roman"/>
        </w:rPr>
        <w:lastRenderedPageBreak/>
        <w:t xml:space="preserve">150 mg once daily (Arm A) or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 (Arm C), respectively, for 2 years; Arm B received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 in </w:t>
      </w:r>
      <w:r w:rsidR="00861F7B" w:rsidRPr="00D47BDF">
        <w:rPr>
          <w:rFonts w:cs="Times New Roman"/>
        </w:rPr>
        <w:t>Year 1</w:t>
      </w:r>
      <w:r w:rsidR="00B0152D" w:rsidRPr="00D47BDF">
        <w:rPr>
          <w:rFonts w:cs="Times New Roman"/>
        </w:rPr>
        <w:t xml:space="preserve"> and crossed over to CVC in </w:t>
      </w:r>
      <w:r w:rsidR="00861F7B" w:rsidRPr="00D47BDF">
        <w:rPr>
          <w:rFonts w:cs="Times New Roman"/>
        </w:rPr>
        <w:t>Year 2</w:t>
      </w:r>
      <w:r w:rsidR="00B0152D" w:rsidRPr="00D47BDF">
        <w:rPr>
          <w:rFonts w:cs="Times New Roman"/>
        </w:rPr>
        <w:t xml:space="preserve">. FPs were defined as subjects who experienced worsening in fibrosis by ≥1 stage from baseline to </w:t>
      </w:r>
      <w:r w:rsidR="00861F7B" w:rsidRPr="00D47BDF">
        <w:rPr>
          <w:rFonts w:cs="Times New Roman"/>
        </w:rPr>
        <w:t>Year 1</w:t>
      </w:r>
      <w:r w:rsidR="00B0152D" w:rsidRPr="00D47BDF">
        <w:rPr>
          <w:rFonts w:cs="Times New Roman"/>
        </w:rPr>
        <w:t xml:space="preserve"> and were identified from the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-treated modified intent-to-treat population (N=126) in </w:t>
      </w:r>
      <w:r w:rsidR="00861F7B" w:rsidRPr="00D47BDF">
        <w:rPr>
          <w:rFonts w:cs="Times New Roman"/>
        </w:rPr>
        <w:t>Year 1</w:t>
      </w:r>
      <w:r w:rsidR="00B0152D" w:rsidRPr="00D47BDF">
        <w:rPr>
          <w:rFonts w:cs="Times New Roman"/>
        </w:rPr>
        <w:t xml:space="preserve"> (Arms B and C). Clinical characteristics and serum biomarkers were analy</w:t>
      </w:r>
      <w:r w:rsidR="00007A32" w:rsidRPr="00D47BDF">
        <w:rPr>
          <w:rFonts w:cs="Times New Roman"/>
        </w:rPr>
        <w:t>z</w:t>
      </w:r>
      <w:r w:rsidR="00B0152D" w:rsidRPr="00D47BDF">
        <w:rPr>
          <w:rFonts w:cs="Times New Roman"/>
        </w:rPr>
        <w:t xml:space="preserve">ed at </w:t>
      </w:r>
      <w:r w:rsidR="00007A32" w:rsidRPr="00D47BDF">
        <w:rPr>
          <w:rFonts w:cs="Times New Roman"/>
        </w:rPr>
        <w:t>baseline</w:t>
      </w:r>
      <w:r w:rsidR="00B0152D" w:rsidRPr="00D47BDF">
        <w:rPr>
          <w:rFonts w:cs="Times New Roman"/>
        </w:rPr>
        <w:t xml:space="preserve"> and over time. Histology was assessed by a central pathologist blinded to treatment assignment. The effect of CVC (Arm B)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 (Arm C) on FPs was assessed during </w:t>
      </w:r>
      <w:r w:rsidR="00861F7B" w:rsidRPr="00D47BDF">
        <w:rPr>
          <w:rFonts w:cs="Times New Roman"/>
        </w:rPr>
        <w:t>Year 2</w:t>
      </w:r>
      <w:r w:rsidR="00B0152D" w:rsidRPr="00D47BDF">
        <w:rPr>
          <w:rFonts w:cs="Times New Roman"/>
        </w:rPr>
        <w:t>.</w:t>
      </w:r>
    </w:p>
    <w:p w14:paraId="19F7879F" w14:textId="4F64EE0E" w:rsidR="00573F10" w:rsidRPr="00D47BDF" w:rsidRDefault="00F64274" w:rsidP="00FA0729">
      <w:pPr>
        <w:rPr>
          <w:b/>
          <w:lang w:val="en-US"/>
        </w:rPr>
      </w:pPr>
      <w:r w:rsidRPr="00D47BDF">
        <w:rPr>
          <w:b/>
          <w:lang w:val="en-US"/>
        </w:rPr>
        <w:t>Results</w:t>
      </w:r>
      <w:r w:rsidR="00F91C78" w:rsidRPr="00D47BDF">
        <w:rPr>
          <w:b/>
          <w:lang w:val="en-US"/>
        </w:rPr>
        <w:t>:</w:t>
      </w:r>
      <w:r w:rsidR="00F91C78" w:rsidRPr="00D47BDF">
        <w:rPr>
          <w:lang w:val="en-US"/>
        </w:rPr>
        <w:t xml:space="preserve"> </w:t>
      </w:r>
      <w:r w:rsidR="00B0152D" w:rsidRPr="00D47BDF">
        <w:rPr>
          <w:rFonts w:cs="Times New Roman"/>
        </w:rPr>
        <w:t xml:space="preserve">Of </w:t>
      </w:r>
      <w:r w:rsidR="00861F7B" w:rsidRPr="00D47BDF">
        <w:rPr>
          <w:rFonts w:cs="Times New Roman"/>
        </w:rPr>
        <w:t>Year 1</w:t>
      </w:r>
      <w:r w:rsidR="00B0152D" w:rsidRPr="00D47BDF">
        <w:rPr>
          <w:rFonts w:cs="Times New Roman"/>
        </w:rPr>
        <w:t xml:space="preserve">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>-treated subjects in Arms B and C (N=126), 29% (n=37) were identified as FPs (mean age: 52.1 years; mean body mass index: 34.1 kg/m</w:t>
      </w:r>
      <w:r w:rsidR="00B0152D" w:rsidRPr="00D47BDF">
        <w:rPr>
          <w:rFonts w:cs="Times New Roman"/>
          <w:vertAlign w:val="superscript"/>
        </w:rPr>
        <w:t>2</w:t>
      </w:r>
      <w:r w:rsidR="00B0152D" w:rsidRPr="00D47BDF">
        <w:rPr>
          <w:rFonts w:cs="Times New Roman"/>
        </w:rPr>
        <w:t xml:space="preserve">; NAS ≥5: 89%; type 2 diabetes mellitus: 46%). A greater proportion of FPs compared to FNs at </w:t>
      </w:r>
      <w:r w:rsidR="00007A32" w:rsidRPr="00D47BDF">
        <w:rPr>
          <w:rFonts w:cs="Times New Roman"/>
        </w:rPr>
        <w:t>baseline</w:t>
      </w:r>
      <w:r w:rsidR="00B0152D" w:rsidRPr="00D47BDF">
        <w:rPr>
          <w:rFonts w:cs="Times New Roman"/>
        </w:rPr>
        <w:t xml:space="preserve"> were female (62%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49%), Hispanic/Latino (89%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78%)</w:t>
      </w:r>
      <w:r w:rsidR="00007A32" w:rsidRPr="00D47BDF">
        <w:rPr>
          <w:rFonts w:cs="Times New Roman"/>
        </w:rPr>
        <w:t>,</w:t>
      </w:r>
      <w:r w:rsidR="00B0152D" w:rsidRPr="00D47BDF">
        <w:rPr>
          <w:rFonts w:cs="Times New Roman"/>
        </w:rPr>
        <w:t xml:space="preserve"> and had higher disease activity (NAS ≥5: 89%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71%; hepatocellular ballooning grade 2: 65%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51%). Considerably more FPs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FNs had fibrosis Stage 1 (65%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20%) and aspartate aminotransferase &gt;30 U/L (89% vs</w:t>
      </w:r>
      <w:r w:rsidR="00007A32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74%) at </w:t>
      </w:r>
      <w:r w:rsidR="00007A32" w:rsidRPr="00D47BDF">
        <w:rPr>
          <w:rFonts w:cs="Times New Roman"/>
        </w:rPr>
        <w:t>baseline</w:t>
      </w:r>
      <w:r w:rsidR="00B0152D" w:rsidRPr="00D47BDF">
        <w:rPr>
          <w:rFonts w:cs="Times New Roman"/>
        </w:rPr>
        <w:t xml:space="preserve">. During </w:t>
      </w:r>
      <w:r w:rsidR="00861F7B" w:rsidRPr="00D47BDF">
        <w:rPr>
          <w:rFonts w:cs="Times New Roman"/>
        </w:rPr>
        <w:t>Year 1</w:t>
      </w:r>
      <w:r w:rsidR="00B0152D" w:rsidRPr="00D47BDF">
        <w:rPr>
          <w:rFonts w:cs="Times New Roman"/>
        </w:rPr>
        <w:t>, increases in serum transforming growth factor</w:t>
      </w:r>
      <w:r w:rsidR="00B80A75" w:rsidRPr="00D47BDF">
        <w:rPr>
          <w:rFonts w:cs="Times New Roman"/>
        </w:rPr>
        <w:t>-beta (TGF</w:t>
      </w:r>
      <w:r w:rsidR="00B0152D" w:rsidRPr="00D47BDF">
        <w:rPr>
          <w:rFonts w:cs="Times New Roman"/>
        </w:rPr>
        <w:t>-</w:t>
      </w:r>
      <w:r w:rsidR="00007A32" w:rsidRPr="00D47BDF">
        <w:rPr>
          <w:rFonts w:cs="Times New Roman"/>
        </w:rPr>
        <w:t>β</w:t>
      </w:r>
      <w:r w:rsidR="00B80A75" w:rsidRPr="00D47BDF">
        <w:rPr>
          <w:rFonts w:cs="Times New Roman"/>
        </w:rPr>
        <w:t>)</w:t>
      </w:r>
      <w:r w:rsidR="00B0152D" w:rsidRPr="00D47BDF">
        <w:rPr>
          <w:rFonts w:cs="Times New Roman"/>
        </w:rPr>
        <w:t xml:space="preserve"> and tissue inhibitor of metalloproteinase-1 (TIMP-1), and liver biopsy alpha-smooth muscle actin (</w:t>
      </w:r>
      <w:r w:rsidR="00007A32" w:rsidRPr="00D47BDF">
        <w:rPr>
          <w:rFonts w:cs="Times New Roman"/>
        </w:rPr>
        <w:t>α</w:t>
      </w:r>
      <w:r w:rsidR="0086268B" w:rsidRPr="00D47BDF">
        <w:rPr>
          <w:rFonts w:cs="Times New Roman"/>
        </w:rPr>
        <w:t>-</w:t>
      </w:r>
      <w:r w:rsidR="00B0152D" w:rsidRPr="00D47BDF">
        <w:rPr>
          <w:rFonts w:cs="Times New Roman"/>
        </w:rPr>
        <w:t>SMA) staining and collagen proportionate area were observed for FPs vs</w:t>
      </w:r>
      <w:r w:rsidR="00B80A75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FNs. During </w:t>
      </w:r>
      <w:r w:rsidR="00861F7B" w:rsidRPr="00D47BDF">
        <w:rPr>
          <w:rFonts w:cs="Times New Roman"/>
        </w:rPr>
        <w:t>Year 2</w:t>
      </w:r>
      <w:r w:rsidR="00B0152D" w:rsidRPr="00D47BDF">
        <w:rPr>
          <w:rFonts w:cs="Times New Roman"/>
        </w:rPr>
        <w:t xml:space="preserve">, CVC treatment was associated with a lesser decrease in collagen area, increased TIMP-1, and reduced </w:t>
      </w:r>
      <w:r w:rsidR="00007A32" w:rsidRPr="00D47BDF">
        <w:rPr>
          <w:rFonts w:cs="Times New Roman"/>
        </w:rPr>
        <w:t>α</w:t>
      </w:r>
      <w:r w:rsidR="0086268B" w:rsidRPr="00D47BDF">
        <w:rPr>
          <w:rFonts w:cs="Times New Roman"/>
        </w:rPr>
        <w:t>-</w:t>
      </w:r>
      <w:r w:rsidR="00007A32" w:rsidRPr="00D47BDF">
        <w:rPr>
          <w:rFonts w:cs="Times New Roman"/>
        </w:rPr>
        <w:t>SMA</w:t>
      </w:r>
      <w:r w:rsidR="00B0152D" w:rsidRPr="00D47BDF">
        <w:rPr>
          <w:rFonts w:cs="Times New Roman"/>
        </w:rPr>
        <w:t xml:space="preserve"> staining and attenuated serum </w:t>
      </w:r>
      <w:r w:rsidR="00B80A75" w:rsidRPr="00D47BDF">
        <w:rPr>
          <w:rFonts w:cs="Times New Roman"/>
        </w:rPr>
        <w:t>TGF-β</w:t>
      </w:r>
      <w:r w:rsidR="00B0152D" w:rsidRPr="00D47BDF">
        <w:rPr>
          <w:rFonts w:cs="Times New Roman"/>
        </w:rPr>
        <w:t xml:space="preserve"> concentrations compared to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 (Figure).</w:t>
      </w:r>
    </w:p>
    <w:p w14:paraId="19F787A1" w14:textId="27CB4953" w:rsidR="00FA0729" w:rsidRPr="001A238D" w:rsidRDefault="00F64274">
      <w:pPr>
        <w:rPr>
          <w:b/>
          <w:lang w:val="en-US"/>
        </w:rPr>
      </w:pPr>
      <w:r w:rsidRPr="00D47BDF">
        <w:rPr>
          <w:b/>
          <w:lang w:val="en-US"/>
        </w:rPr>
        <w:t>Conclusion</w:t>
      </w:r>
      <w:r w:rsidR="00F91C78" w:rsidRPr="00D47BDF">
        <w:rPr>
          <w:b/>
          <w:lang w:val="en-US"/>
        </w:rPr>
        <w:t>:</w:t>
      </w:r>
      <w:r w:rsidR="00F91C78" w:rsidRPr="00D47BDF">
        <w:rPr>
          <w:lang w:val="en-US"/>
        </w:rPr>
        <w:t xml:space="preserve"> </w:t>
      </w:r>
      <w:r w:rsidR="00B0152D" w:rsidRPr="00D47BDF">
        <w:rPr>
          <w:rFonts w:cs="Times New Roman"/>
        </w:rPr>
        <w:t>The unique study design of CENTAUR enabled characteri</w:t>
      </w:r>
      <w:r w:rsidR="00B80A75" w:rsidRPr="00D47BDF">
        <w:rPr>
          <w:rFonts w:cs="Times New Roman"/>
        </w:rPr>
        <w:t>z</w:t>
      </w:r>
      <w:r w:rsidR="00B0152D" w:rsidRPr="00D47BDF">
        <w:rPr>
          <w:rFonts w:cs="Times New Roman"/>
        </w:rPr>
        <w:t xml:space="preserve">ation of NASH FPs during </w:t>
      </w:r>
      <w:r w:rsidR="00861F7B" w:rsidRPr="00D47BDF">
        <w:rPr>
          <w:rFonts w:cs="Times New Roman"/>
        </w:rPr>
        <w:t>Year 1</w:t>
      </w:r>
      <w:r w:rsidR="00B0152D" w:rsidRPr="00D47BDF">
        <w:rPr>
          <w:rFonts w:cs="Times New Roman"/>
        </w:rPr>
        <w:t xml:space="preserve"> and evaluation of the antifibrotic effect of CVC in </w:t>
      </w:r>
      <w:r w:rsidR="00861F7B" w:rsidRPr="00D47BDF">
        <w:rPr>
          <w:rFonts w:cs="Times New Roman"/>
        </w:rPr>
        <w:t>Year 2</w:t>
      </w:r>
      <w:r w:rsidR="00B0152D" w:rsidRPr="00D47BDF">
        <w:rPr>
          <w:rFonts w:cs="Times New Roman"/>
        </w:rPr>
        <w:t>. Female sex, ethnicity</w:t>
      </w:r>
      <w:r w:rsidR="00B80A75" w:rsidRPr="00D47BDF">
        <w:rPr>
          <w:rFonts w:cs="Times New Roman"/>
        </w:rPr>
        <w:t>,</w:t>
      </w:r>
      <w:r w:rsidR="00B0152D" w:rsidRPr="00D47BDF">
        <w:rPr>
          <w:rFonts w:cs="Times New Roman"/>
        </w:rPr>
        <w:t xml:space="preserve"> and inflammatory disease activity are key characteristics of FPs. In those FPs, CVC treatment was associated with a reduction of some biomarkers of fibrosis (</w:t>
      </w:r>
      <w:r w:rsidR="00B80A75" w:rsidRPr="00D47BDF">
        <w:rPr>
          <w:rFonts w:cs="Times New Roman"/>
        </w:rPr>
        <w:t>TGF-β</w:t>
      </w:r>
      <w:r w:rsidR="00B0152D" w:rsidRPr="00D47BDF">
        <w:rPr>
          <w:rFonts w:cs="Times New Roman"/>
        </w:rPr>
        <w:t xml:space="preserve"> and </w:t>
      </w:r>
      <w:r w:rsidR="00007A32" w:rsidRPr="00D47BDF">
        <w:rPr>
          <w:rFonts w:cs="Times New Roman"/>
        </w:rPr>
        <w:t>α</w:t>
      </w:r>
      <w:r w:rsidR="0086268B" w:rsidRPr="00D47BDF">
        <w:rPr>
          <w:rFonts w:cs="Times New Roman"/>
        </w:rPr>
        <w:t>-</w:t>
      </w:r>
      <w:r w:rsidR="00007A32" w:rsidRPr="00D47BDF">
        <w:rPr>
          <w:rFonts w:cs="Times New Roman"/>
        </w:rPr>
        <w:t>SMA</w:t>
      </w:r>
      <w:r w:rsidR="00B0152D" w:rsidRPr="00D47BDF">
        <w:rPr>
          <w:rFonts w:cs="Times New Roman"/>
        </w:rPr>
        <w:t>) vs</w:t>
      </w:r>
      <w:r w:rsidR="00B80A75" w:rsidRPr="00D47BDF">
        <w:rPr>
          <w:rFonts w:cs="Times New Roman"/>
        </w:rPr>
        <w:t>.</w:t>
      </w:r>
      <w:r w:rsidR="00B0152D" w:rsidRPr="00D47BDF">
        <w:rPr>
          <w:rFonts w:cs="Times New Roman"/>
        </w:rPr>
        <w:t xml:space="preserve"> </w:t>
      </w:r>
      <w:r w:rsidR="00861F7B" w:rsidRPr="00D47BDF">
        <w:rPr>
          <w:rFonts w:cs="Times New Roman"/>
        </w:rPr>
        <w:t>placebo</w:t>
      </w:r>
      <w:r w:rsidR="00B0152D" w:rsidRPr="00D47BDF">
        <w:rPr>
          <w:rFonts w:cs="Times New Roman"/>
        </w:rPr>
        <w:t xml:space="preserve"> in </w:t>
      </w:r>
      <w:r w:rsidR="00861F7B" w:rsidRPr="00D47BDF">
        <w:rPr>
          <w:rFonts w:cs="Times New Roman"/>
        </w:rPr>
        <w:t>Year 2</w:t>
      </w:r>
      <w:r w:rsidR="00B0152D" w:rsidRPr="00D47BDF">
        <w:rPr>
          <w:rFonts w:cs="Times New Roman"/>
        </w:rPr>
        <w:t>. These findings warrant further investigation.</w:t>
      </w:r>
    </w:p>
    <w:p w14:paraId="4D05CCAB" w14:textId="5026C71F" w:rsidR="001861BD" w:rsidRDefault="001861BD">
      <w:pPr>
        <w:rPr>
          <w:lang w:val="en-US"/>
        </w:rPr>
      </w:pPr>
      <w:r w:rsidRPr="001A238D">
        <w:rPr>
          <w:lang w:val="en-US"/>
        </w:rPr>
        <w:lastRenderedPageBreak/>
        <w:t>Writing assistance by Complete HealthVizion.</w:t>
      </w:r>
    </w:p>
    <w:p w14:paraId="759FDEC5" w14:textId="725F46BB" w:rsidR="00F66CC5" w:rsidRDefault="00F66CC5" w:rsidP="00F66CC5">
      <w:pPr>
        <w:rPr>
          <w:lang w:val="en-US"/>
        </w:rPr>
      </w:pPr>
      <w:r w:rsidRPr="001A238D">
        <w:rPr>
          <w:b/>
          <w:lang w:val="en-US"/>
        </w:rPr>
        <w:t>Character count (2900 max</w:t>
      </w:r>
      <w:r w:rsidRPr="00C62D28">
        <w:rPr>
          <w:b/>
          <w:lang w:val="en-US"/>
        </w:rPr>
        <w:t>):</w:t>
      </w:r>
      <w:r w:rsidRPr="00C62D28">
        <w:rPr>
          <w:lang w:val="en-US"/>
        </w:rPr>
        <w:t xml:space="preserve"> 28</w:t>
      </w:r>
      <w:r w:rsidR="008B5DC2" w:rsidRPr="00C62D28">
        <w:rPr>
          <w:lang w:val="en-US"/>
        </w:rPr>
        <w:t>76</w:t>
      </w:r>
      <w:r w:rsidRPr="00C62D28">
        <w:rPr>
          <w:lang w:val="en-US"/>
        </w:rPr>
        <w:t>/</w:t>
      </w:r>
      <w:r w:rsidRPr="001A238D">
        <w:rPr>
          <w:lang w:val="en-US"/>
        </w:rPr>
        <w:t>2900</w:t>
      </w:r>
    </w:p>
    <w:p w14:paraId="11321525" w14:textId="77777777" w:rsidR="00F66CC5" w:rsidRDefault="00F66CC5" w:rsidP="00F66CC5">
      <w:pPr>
        <w:rPr>
          <w:lang w:val="en-US"/>
        </w:rPr>
      </w:pPr>
      <w:r w:rsidRPr="001A238D">
        <w:rPr>
          <w:b/>
          <w:lang w:val="en-US"/>
        </w:rPr>
        <w:t xml:space="preserve">Clinical trials registry number: </w:t>
      </w:r>
      <w:r w:rsidRPr="00B0152D">
        <w:rPr>
          <w:lang w:val="en-US"/>
        </w:rPr>
        <w:t>NCT02217475</w:t>
      </w:r>
    </w:p>
    <w:p w14:paraId="4961DD5F" w14:textId="44D97BE6" w:rsidR="00F66CC5" w:rsidRPr="001A238D" w:rsidRDefault="00F66CC5" w:rsidP="00F66CC5">
      <w:pPr>
        <w:rPr>
          <w:b/>
          <w:lang w:val="en-US"/>
        </w:rPr>
      </w:pPr>
      <w:r w:rsidRPr="001A238D">
        <w:rPr>
          <w:b/>
          <w:lang w:val="en-US"/>
        </w:rPr>
        <w:t>Presentation type:</w:t>
      </w:r>
      <w:r>
        <w:rPr>
          <w:lang w:val="en-US"/>
        </w:rPr>
        <w:t xml:space="preserve"> AASLD </w:t>
      </w:r>
      <w:r w:rsidRPr="001021D7">
        <w:rPr>
          <w:lang w:val="en-US"/>
        </w:rPr>
        <w:t>Oral or Poster</w:t>
      </w:r>
    </w:p>
    <w:p w14:paraId="4A765071" w14:textId="77777777" w:rsidR="00F66CC5" w:rsidRDefault="00F66CC5" w:rsidP="00F66CC5">
      <w:pPr>
        <w:rPr>
          <w:lang w:val="en-US"/>
        </w:rPr>
      </w:pPr>
      <w:r w:rsidRPr="001A238D">
        <w:rPr>
          <w:b/>
          <w:lang w:val="en-US"/>
        </w:rPr>
        <w:t xml:space="preserve">Category: </w:t>
      </w:r>
      <w:r w:rsidRPr="001A238D">
        <w:rPr>
          <w:lang w:val="en-US"/>
        </w:rPr>
        <w:t xml:space="preserve">NAFLD and NASH; S02 Experimental </w:t>
      </w:r>
      <w:r>
        <w:rPr>
          <w:lang w:val="en-US"/>
        </w:rPr>
        <w:t>–</w:t>
      </w:r>
      <w:r w:rsidRPr="001A238D">
        <w:rPr>
          <w:lang w:val="en-US"/>
        </w:rPr>
        <w:t xml:space="preserve"> Clinical</w:t>
      </w:r>
    </w:p>
    <w:p w14:paraId="7AB1C47A" w14:textId="37F8CB1B" w:rsidR="00F66CC5" w:rsidRPr="001A238D" w:rsidRDefault="00F66CC5" w:rsidP="00F66CC5">
      <w:pPr>
        <w:rPr>
          <w:lang w:val="en-US"/>
        </w:rPr>
      </w:pPr>
      <w:r w:rsidRPr="001A238D">
        <w:rPr>
          <w:b/>
          <w:lang w:val="en-US"/>
        </w:rPr>
        <w:t>Science type:</w:t>
      </w:r>
      <w:r>
        <w:rPr>
          <w:lang w:val="en-US"/>
        </w:rPr>
        <w:t xml:space="preserve"> Clinical</w:t>
      </w:r>
    </w:p>
    <w:p w14:paraId="424138B8" w14:textId="79FD1439" w:rsidR="00B0152D" w:rsidRPr="00F66CC5" w:rsidRDefault="002D6FEB" w:rsidP="00A9355E">
      <w:pPr>
        <w:rPr>
          <w:b/>
          <w:lang w:val="en-US"/>
        </w:rPr>
      </w:pPr>
      <w:r w:rsidRPr="001A238D">
        <w:rPr>
          <w:b/>
          <w:lang w:val="en-US"/>
        </w:rPr>
        <w:t>Disclosures:</w:t>
      </w:r>
      <w:r w:rsidR="00F66CC5">
        <w:rPr>
          <w:b/>
          <w:lang w:val="en-US"/>
        </w:rPr>
        <w:t xml:space="preserve"> </w:t>
      </w:r>
      <w:r w:rsidR="00B0152D" w:rsidRPr="00A9355E">
        <w:rPr>
          <w:rFonts w:cs="Times New Roman"/>
        </w:rPr>
        <w:t xml:space="preserve">Nicolas Lanthier is a consultant for </w:t>
      </w:r>
      <w:proofErr w:type="spellStart"/>
      <w:r w:rsidR="00B0152D" w:rsidRPr="00A9355E">
        <w:rPr>
          <w:rFonts w:cs="Times New Roman"/>
        </w:rPr>
        <w:t>Promethera</w:t>
      </w:r>
      <w:proofErr w:type="spellEnd"/>
      <w:r w:rsidR="00B0152D" w:rsidRPr="00A9355E">
        <w:rPr>
          <w:rFonts w:cs="Times New Roman"/>
        </w:rPr>
        <w:t xml:space="preserve"> Biosciences and Gilead and has been a speaker for Fresenius </w:t>
      </w:r>
      <w:proofErr w:type="spellStart"/>
      <w:r w:rsidR="00B0152D" w:rsidRPr="00A9355E">
        <w:rPr>
          <w:rFonts w:cs="Times New Roman"/>
        </w:rPr>
        <w:t>Kabi</w:t>
      </w:r>
      <w:proofErr w:type="spellEnd"/>
      <w:r w:rsidR="00B0152D" w:rsidRPr="00A9355E">
        <w:rPr>
          <w:rFonts w:cs="Times New Roman"/>
        </w:rPr>
        <w:t xml:space="preserve"> and Dr Falk Pharma; he has received grant/research support from AbbVie, </w:t>
      </w:r>
      <w:proofErr w:type="spellStart"/>
      <w:r w:rsidR="00B0152D" w:rsidRPr="00A9355E">
        <w:rPr>
          <w:rFonts w:cs="Times New Roman"/>
        </w:rPr>
        <w:t>Norgine</w:t>
      </w:r>
      <w:proofErr w:type="spellEnd"/>
      <w:r w:rsidR="00B0152D" w:rsidRPr="00A9355E">
        <w:rPr>
          <w:rFonts w:cs="Times New Roman"/>
        </w:rPr>
        <w:t>, and MSD.</w:t>
      </w:r>
    </w:p>
    <w:p w14:paraId="4F9668E2" w14:textId="01931FDF" w:rsidR="00A553C2" w:rsidRPr="001A238D" w:rsidRDefault="001A238D" w:rsidP="00A9355E">
      <w:pPr>
        <w:keepNext/>
        <w:rPr>
          <w:lang w:val="en-US"/>
        </w:rPr>
      </w:pPr>
      <w:proofErr w:type="gramStart"/>
      <w:r w:rsidRPr="00861F7B">
        <w:rPr>
          <w:b/>
          <w:lang w:val="en-US"/>
        </w:rPr>
        <w:t>Figure.</w:t>
      </w:r>
      <w:proofErr w:type="gramEnd"/>
      <w:r>
        <w:rPr>
          <w:lang w:val="en-US"/>
        </w:rPr>
        <w:t xml:space="preserve"> </w:t>
      </w:r>
      <w:r w:rsidR="0083640B" w:rsidRPr="00C62D28">
        <w:rPr>
          <w:lang w:val="en-US"/>
        </w:rPr>
        <w:t xml:space="preserve">Changes in </w:t>
      </w:r>
      <w:r w:rsidR="00861F7B" w:rsidRPr="00C62D28">
        <w:rPr>
          <w:rFonts w:cs="Times New Roman"/>
        </w:rPr>
        <w:t>α</w:t>
      </w:r>
      <w:r w:rsidR="0086268B" w:rsidRPr="00C62D28">
        <w:rPr>
          <w:rFonts w:cs="Times New Roman"/>
        </w:rPr>
        <w:t>-</w:t>
      </w:r>
      <w:r w:rsidR="00861F7B" w:rsidRPr="00C62D28">
        <w:rPr>
          <w:rFonts w:cs="Times New Roman"/>
        </w:rPr>
        <w:t>SMA</w:t>
      </w:r>
      <w:r w:rsidR="0083640B" w:rsidRPr="00C62D28">
        <w:rPr>
          <w:lang w:val="en-US"/>
        </w:rPr>
        <w:t xml:space="preserve"> and </w:t>
      </w:r>
      <w:r w:rsidR="00861F7B" w:rsidRPr="00C62D28">
        <w:rPr>
          <w:rFonts w:cs="Times New Roman"/>
        </w:rPr>
        <w:t>TGF-β</w:t>
      </w:r>
      <w:r w:rsidR="0083640B" w:rsidRPr="00C62D28">
        <w:rPr>
          <w:lang w:val="en-US"/>
        </w:rPr>
        <w:t xml:space="preserve"> during </w:t>
      </w:r>
      <w:r w:rsidR="00861F7B" w:rsidRPr="00C62D28">
        <w:rPr>
          <w:rFonts w:cs="Times New Roman"/>
        </w:rPr>
        <w:t>Year 2</w:t>
      </w:r>
      <w:r w:rsidR="0083640B" w:rsidRPr="00C62D28">
        <w:rPr>
          <w:lang w:val="en-US"/>
        </w:rPr>
        <w:t xml:space="preserve"> for FPs</w:t>
      </w:r>
      <w:r w:rsidR="003A483E" w:rsidRPr="00C62D28">
        <w:rPr>
          <w:lang w:val="en-US"/>
        </w:rPr>
        <w:t xml:space="preserve"> with PBO and CVC treatment</w:t>
      </w:r>
    </w:p>
    <w:p w14:paraId="7D055C27" w14:textId="28BF5553" w:rsidR="00A553C2" w:rsidRDefault="0086268B" w:rsidP="0056045F">
      <w:pPr>
        <w:rPr>
          <w:lang w:val="en-US"/>
        </w:rPr>
      </w:pPr>
      <w:r>
        <w:rPr>
          <w:noProof/>
          <w:lang w:val="fr-BE" w:eastAsia="fr-BE"/>
        </w:rPr>
        <w:drawing>
          <wp:inline distT="0" distB="0" distL="0" distR="0" wp14:anchorId="4F390E4B" wp14:editId="126A63BE">
            <wp:extent cx="5943600" cy="33591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5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E4E03" w14:textId="4B97715E" w:rsidR="001A238D" w:rsidRPr="0083640B" w:rsidRDefault="00861F7B" w:rsidP="0056045F">
      <w:pPr>
        <w:rPr>
          <w:i/>
          <w:lang w:val="en-US"/>
        </w:rPr>
      </w:pPr>
      <w:bookmarkStart w:id="0" w:name="_GoBack"/>
      <w:bookmarkEnd w:id="0"/>
      <w:r w:rsidRPr="00C62D28">
        <w:rPr>
          <w:rFonts w:cs="Times New Roman"/>
        </w:rPr>
        <w:lastRenderedPageBreak/>
        <w:t>α</w:t>
      </w:r>
      <w:r w:rsidR="0086268B" w:rsidRPr="00C62D28">
        <w:rPr>
          <w:rFonts w:cs="Times New Roman"/>
        </w:rPr>
        <w:t>-</w:t>
      </w:r>
      <w:r w:rsidRPr="00C62D28">
        <w:rPr>
          <w:rFonts w:cs="Times New Roman"/>
        </w:rPr>
        <w:t>SMA</w:t>
      </w:r>
      <w:r w:rsidRPr="00C62D28">
        <w:rPr>
          <w:lang w:val="en-US"/>
        </w:rPr>
        <w:t xml:space="preserve">, alpha-smooth muscle actin; BL, baseline; </w:t>
      </w:r>
      <w:r w:rsidR="00F66CC5" w:rsidRPr="00C62D28">
        <w:rPr>
          <w:lang w:val="en-US"/>
        </w:rPr>
        <w:t xml:space="preserve">CVC, </w:t>
      </w:r>
      <w:proofErr w:type="spellStart"/>
      <w:r w:rsidR="00F66CC5" w:rsidRPr="00C62D28">
        <w:rPr>
          <w:lang w:val="en-US"/>
        </w:rPr>
        <w:t>cenicriviroc</w:t>
      </w:r>
      <w:proofErr w:type="spellEnd"/>
      <w:r w:rsidR="00F66CC5" w:rsidRPr="00C62D28">
        <w:rPr>
          <w:lang w:val="en-US"/>
        </w:rPr>
        <w:t xml:space="preserve">; FP, fibrosis </w:t>
      </w:r>
      <w:proofErr w:type="spellStart"/>
      <w:r w:rsidR="00F66CC5" w:rsidRPr="00C62D28">
        <w:rPr>
          <w:lang w:val="en-US"/>
        </w:rPr>
        <w:t>progressor</w:t>
      </w:r>
      <w:proofErr w:type="spellEnd"/>
      <w:r w:rsidR="00F66CC5" w:rsidRPr="00C62D28">
        <w:rPr>
          <w:lang w:val="en-US"/>
        </w:rPr>
        <w:t xml:space="preserve">; PBO, placebo; </w:t>
      </w:r>
      <w:r w:rsidRPr="00C62D28">
        <w:rPr>
          <w:rFonts w:cs="Times New Roman"/>
        </w:rPr>
        <w:t>TGF-β</w:t>
      </w:r>
      <w:r w:rsidR="00F66CC5" w:rsidRPr="00C62D28">
        <w:rPr>
          <w:lang w:val="en-US"/>
        </w:rPr>
        <w:t>, transforming growth factor</w:t>
      </w:r>
      <w:r w:rsidRPr="00C62D28">
        <w:rPr>
          <w:lang w:val="en-US"/>
        </w:rPr>
        <w:t>-beta</w:t>
      </w:r>
    </w:p>
    <w:sectPr w:rsidR="001A238D" w:rsidRPr="0083640B" w:rsidSect="002A4674">
      <w:footerReference w:type="default" r:id="rId12"/>
      <w:pgSz w:w="12240" w:h="15840" w:code="1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D22A2C" w14:textId="77777777" w:rsidR="00555C86" w:rsidRDefault="00555C86" w:rsidP="00CA5B58">
      <w:pPr>
        <w:spacing w:after="0" w:line="240" w:lineRule="auto"/>
      </w:pPr>
      <w:r>
        <w:separator/>
      </w:r>
    </w:p>
  </w:endnote>
  <w:endnote w:type="continuationSeparator" w:id="0">
    <w:p w14:paraId="04FF85C2" w14:textId="77777777" w:rsidR="00555C86" w:rsidRDefault="00555C86" w:rsidP="00CA5B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4430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01088C" w14:textId="11A8B228" w:rsidR="007C608D" w:rsidRDefault="007C608D">
        <w:pPr>
          <w:pStyle w:val="Pieddepag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62D2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F84EE8" w14:textId="77777777" w:rsidR="007C608D" w:rsidRDefault="007C608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9B2A91" w14:textId="77777777" w:rsidR="00555C86" w:rsidRDefault="00555C86" w:rsidP="00CA5B58">
      <w:pPr>
        <w:spacing w:after="0" w:line="240" w:lineRule="auto"/>
      </w:pPr>
      <w:r>
        <w:separator/>
      </w:r>
    </w:p>
  </w:footnote>
  <w:footnote w:type="continuationSeparator" w:id="0">
    <w:p w14:paraId="7E44AEB3" w14:textId="77777777" w:rsidR="00555C86" w:rsidRDefault="00555C86" w:rsidP="00CA5B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C96E5B"/>
    <w:multiLevelType w:val="hybridMultilevel"/>
    <w:tmpl w:val="D464B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312"/>
    <w:rsid w:val="00007A32"/>
    <w:rsid w:val="0001042C"/>
    <w:rsid w:val="00015F1C"/>
    <w:rsid w:val="00022781"/>
    <w:rsid w:val="00093CD7"/>
    <w:rsid w:val="0009787B"/>
    <w:rsid w:val="000A743A"/>
    <w:rsid w:val="000B39BC"/>
    <w:rsid w:val="000C45DF"/>
    <w:rsid w:val="000D7DCF"/>
    <w:rsid w:val="000F0163"/>
    <w:rsid w:val="000F43F1"/>
    <w:rsid w:val="00101CCD"/>
    <w:rsid w:val="001021D7"/>
    <w:rsid w:val="001029A4"/>
    <w:rsid w:val="00131E38"/>
    <w:rsid w:val="00153367"/>
    <w:rsid w:val="00164BF4"/>
    <w:rsid w:val="00167D99"/>
    <w:rsid w:val="001861BD"/>
    <w:rsid w:val="00191969"/>
    <w:rsid w:val="00194C5F"/>
    <w:rsid w:val="00197831"/>
    <w:rsid w:val="001A238D"/>
    <w:rsid w:val="001A778D"/>
    <w:rsid w:val="001B3ED8"/>
    <w:rsid w:val="001F587B"/>
    <w:rsid w:val="002022D4"/>
    <w:rsid w:val="00210312"/>
    <w:rsid w:val="00226824"/>
    <w:rsid w:val="00247D86"/>
    <w:rsid w:val="0026395E"/>
    <w:rsid w:val="002A2604"/>
    <w:rsid w:val="002A4674"/>
    <w:rsid w:val="002C4739"/>
    <w:rsid w:val="002D6FEB"/>
    <w:rsid w:val="00375F2C"/>
    <w:rsid w:val="003A0559"/>
    <w:rsid w:val="003A483E"/>
    <w:rsid w:val="003E6768"/>
    <w:rsid w:val="00493880"/>
    <w:rsid w:val="00493E68"/>
    <w:rsid w:val="004B1AE0"/>
    <w:rsid w:val="004B79A8"/>
    <w:rsid w:val="004D6466"/>
    <w:rsid w:val="004E2360"/>
    <w:rsid w:val="004F1E32"/>
    <w:rsid w:val="00546A6F"/>
    <w:rsid w:val="00555C86"/>
    <w:rsid w:val="0056045F"/>
    <w:rsid w:val="00573F10"/>
    <w:rsid w:val="005810F5"/>
    <w:rsid w:val="005F0467"/>
    <w:rsid w:val="0061073F"/>
    <w:rsid w:val="00634DA2"/>
    <w:rsid w:val="00673EFB"/>
    <w:rsid w:val="006839FA"/>
    <w:rsid w:val="006A0B32"/>
    <w:rsid w:val="006B3024"/>
    <w:rsid w:val="006C4EDA"/>
    <w:rsid w:val="006D00F5"/>
    <w:rsid w:val="00700EFA"/>
    <w:rsid w:val="00727BD4"/>
    <w:rsid w:val="007542AD"/>
    <w:rsid w:val="00780357"/>
    <w:rsid w:val="007A1522"/>
    <w:rsid w:val="007B6917"/>
    <w:rsid w:val="007C608D"/>
    <w:rsid w:val="007D4A26"/>
    <w:rsid w:val="0083640B"/>
    <w:rsid w:val="00843A2A"/>
    <w:rsid w:val="00861F7B"/>
    <w:rsid w:val="0086268B"/>
    <w:rsid w:val="008926DB"/>
    <w:rsid w:val="008B1143"/>
    <w:rsid w:val="008B5DC2"/>
    <w:rsid w:val="008E2D2F"/>
    <w:rsid w:val="00933399"/>
    <w:rsid w:val="00965044"/>
    <w:rsid w:val="00971EDE"/>
    <w:rsid w:val="00996D33"/>
    <w:rsid w:val="009B29A9"/>
    <w:rsid w:val="009C0202"/>
    <w:rsid w:val="009C31D5"/>
    <w:rsid w:val="009C73A1"/>
    <w:rsid w:val="00A14448"/>
    <w:rsid w:val="00A236E1"/>
    <w:rsid w:val="00A25562"/>
    <w:rsid w:val="00A32FCF"/>
    <w:rsid w:val="00A43647"/>
    <w:rsid w:val="00A45B20"/>
    <w:rsid w:val="00A553C2"/>
    <w:rsid w:val="00A908FE"/>
    <w:rsid w:val="00A9355E"/>
    <w:rsid w:val="00A97B7D"/>
    <w:rsid w:val="00AA4AA5"/>
    <w:rsid w:val="00AA4BA9"/>
    <w:rsid w:val="00AA6BF1"/>
    <w:rsid w:val="00AC03C3"/>
    <w:rsid w:val="00AC7D32"/>
    <w:rsid w:val="00AE02B5"/>
    <w:rsid w:val="00AE796A"/>
    <w:rsid w:val="00B0152D"/>
    <w:rsid w:val="00B03A12"/>
    <w:rsid w:val="00B27EEB"/>
    <w:rsid w:val="00B47675"/>
    <w:rsid w:val="00B53FAC"/>
    <w:rsid w:val="00B65520"/>
    <w:rsid w:val="00B80A75"/>
    <w:rsid w:val="00BB5FE8"/>
    <w:rsid w:val="00BC2977"/>
    <w:rsid w:val="00BC39B8"/>
    <w:rsid w:val="00BD52DB"/>
    <w:rsid w:val="00BD62AE"/>
    <w:rsid w:val="00BF0BFD"/>
    <w:rsid w:val="00C010B4"/>
    <w:rsid w:val="00C50F31"/>
    <w:rsid w:val="00C6065F"/>
    <w:rsid w:val="00C62D28"/>
    <w:rsid w:val="00C76591"/>
    <w:rsid w:val="00C81F00"/>
    <w:rsid w:val="00C97132"/>
    <w:rsid w:val="00CA5B58"/>
    <w:rsid w:val="00CA7B1C"/>
    <w:rsid w:val="00CC14B2"/>
    <w:rsid w:val="00CE643D"/>
    <w:rsid w:val="00D07B01"/>
    <w:rsid w:val="00D2264A"/>
    <w:rsid w:val="00D42BF1"/>
    <w:rsid w:val="00D47BDF"/>
    <w:rsid w:val="00D61171"/>
    <w:rsid w:val="00D65DA5"/>
    <w:rsid w:val="00D7144C"/>
    <w:rsid w:val="00DA2E23"/>
    <w:rsid w:val="00DB514E"/>
    <w:rsid w:val="00E03980"/>
    <w:rsid w:val="00E17017"/>
    <w:rsid w:val="00E62956"/>
    <w:rsid w:val="00E7126D"/>
    <w:rsid w:val="00F130D3"/>
    <w:rsid w:val="00F157D6"/>
    <w:rsid w:val="00F26CA0"/>
    <w:rsid w:val="00F3381E"/>
    <w:rsid w:val="00F36354"/>
    <w:rsid w:val="00F64274"/>
    <w:rsid w:val="00F66CC5"/>
    <w:rsid w:val="00F91C78"/>
    <w:rsid w:val="00FA0729"/>
    <w:rsid w:val="00FB6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7879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4"/>
        <w:lang w:val="en-GB" w:eastAsia="en-US" w:bidi="ar-SA"/>
      </w:rPr>
    </w:rPrDefault>
    <w:pPrDefault>
      <w:pPr>
        <w:spacing w:after="240" w:line="48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5520"/>
  </w:style>
  <w:style w:type="paragraph" w:styleId="Titre1">
    <w:name w:val="heading 1"/>
    <w:basedOn w:val="Normal"/>
    <w:next w:val="Normal"/>
    <w:link w:val="Titre1Car"/>
    <w:uiPriority w:val="9"/>
    <w:qFormat/>
    <w:rsid w:val="00B65520"/>
    <w:pPr>
      <w:keepNext/>
      <w:keepLines/>
      <w:spacing w:before="240" w:after="0"/>
      <w:outlineLvl w:val="0"/>
    </w:pPr>
    <w:rPr>
      <w:rFonts w:eastAsiaTheme="majorEastAsia" w:cstheme="majorBidi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65520"/>
    <w:pPr>
      <w:keepNext/>
      <w:keepLines/>
      <w:spacing w:before="40" w:after="0"/>
      <w:outlineLvl w:val="1"/>
    </w:pPr>
    <w:rPr>
      <w:rFonts w:eastAsiaTheme="majorEastAsia" w:cstheme="majorBidi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65520"/>
    <w:rPr>
      <w:rFonts w:ascii="Times New Roman" w:eastAsiaTheme="majorEastAsia" w:hAnsi="Times New Roman" w:cstheme="majorBidi"/>
      <w:sz w:val="24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B65520"/>
    <w:rPr>
      <w:rFonts w:ascii="Times New Roman" w:eastAsiaTheme="majorEastAsia" w:hAnsi="Times New Roman" w:cstheme="majorBidi"/>
      <w:sz w:val="24"/>
      <w:szCs w:val="26"/>
    </w:rPr>
  </w:style>
  <w:style w:type="paragraph" w:styleId="Titre">
    <w:name w:val="Title"/>
    <w:basedOn w:val="Normal"/>
    <w:next w:val="Normal"/>
    <w:link w:val="TitreCar"/>
    <w:uiPriority w:val="10"/>
    <w:qFormat/>
    <w:rsid w:val="00B65520"/>
    <w:pPr>
      <w:spacing w:after="0" w:line="240" w:lineRule="auto"/>
      <w:contextualSpacing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65520"/>
    <w:rPr>
      <w:rFonts w:eastAsiaTheme="majorEastAsia" w:cstheme="majorBidi"/>
      <w:b/>
      <w:spacing w:val="-10"/>
      <w:kern w:val="28"/>
      <w:szCs w:val="5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C02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0202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CA5B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A5B58"/>
  </w:style>
  <w:style w:type="paragraph" w:styleId="Pieddepage">
    <w:name w:val="footer"/>
    <w:basedOn w:val="Normal"/>
    <w:link w:val="PieddepageCar"/>
    <w:uiPriority w:val="99"/>
    <w:unhideWhenUsed/>
    <w:rsid w:val="00CA5B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A5B58"/>
  </w:style>
  <w:style w:type="character" w:styleId="Marquedecommentaire">
    <w:name w:val="annotation reference"/>
    <w:basedOn w:val="Policepardfaut"/>
    <w:uiPriority w:val="99"/>
    <w:semiHidden/>
    <w:unhideWhenUsed/>
    <w:rsid w:val="00BF0BF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F0BFD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F0BF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F0BF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F0BFD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5F0467"/>
    <w:pPr>
      <w:spacing w:after="0" w:line="240" w:lineRule="auto"/>
    </w:pPr>
  </w:style>
  <w:style w:type="character" w:styleId="Accentuation">
    <w:name w:val="Emphasis"/>
    <w:basedOn w:val="Policepardfaut"/>
    <w:uiPriority w:val="20"/>
    <w:qFormat/>
    <w:rsid w:val="001F587B"/>
    <w:rPr>
      <w:b/>
      <w:bCs/>
      <w:i w:val="0"/>
      <w:iCs w:val="0"/>
    </w:rPr>
  </w:style>
  <w:style w:type="paragraph" w:styleId="Paragraphedeliste">
    <w:name w:val="List Paragraph"/>
    <w:basedOn w:val="Normal"/>
    <w:uiPriority w:val="34"/>
    <w:qFormat/>
    <w:rsid w:val="00B0152D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4"/>
        <w:lang w:val="en-GB" w:eastAsia="en-US" w:bidi="ar-SA"/>
      </w:rPr>
    </w:rPrDefault>
    <w:pPrDefault>
      <w:pPr>
        <w:spacing w:after="240" w:line="48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5520"/>
  </w:style>
  <w:style w:type="paragraph" w:styleId="Titre1">
    <w:name w:val="heading 1"/>
    <w:basedOn w:val="Normal"/>
    <w:next w:val="Normal"/>
    <w:link w:val="Titre1Car"/>
    <w:uiPriority w:val="9"/>
    <w:qFormat/>
    <w:rsid w:val="00B65520"/>
    <w:pPr>
      <w:keepNext/>
      <w:keepLines/>
      <w:spacing w:before="240" w:after="0"/>
      <w:outlineLvl w:val="0"/>
    </w:pPr>
    <w:rPr>
      <w:rFonts w:eastAsiaTheme="majorEastAsia" w:cstheme="majorBidi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65520"/>
    <w:pPr>
      <w:keepNext/>
      <w:keepLines/>
      <w:spacing w:before="40" w:after="0"/>
      <w:outlineLvl w:val="1"/>
    </w:pPr>
    <w:rPr>
      <w:rFonts w:eastAsiaTheme="majorEastAsia" w:cstheme="majorBidi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65520"/>
    <w:rPr>
      <w:rFonts w:ascii="Times New Roman" w:eastAsiaTheme="majorEastAsia" w:hAnsi="Times New Roman" w:cstheme="majorBidi"/>
      <w:sz w:val="24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B65520"/>
    <w:rPr>
      <w:rFonts w:ascii="Times New Roman" w:eastAsiaTheme="majorEastAsia" w:hAnsi="Times New Roman" w:cstheme="majorBidi"/>
      <w:sz w:val="24"/>
      <w:szCs w:val="26"/>
    </w:rPr>
  </w:style>
  <w:style w:type="paragraph" w:styleId="Titre">
    <w:name w:val="Title"/>
    <w:basedOn w:val="Normal"/>
    <w:next w:val="Normal"/>
    <w:link w:val="TitreCar"/>
    <w:uiPriority w:val="10"/>
    <w:qFormat/>
    <w:rsid w:val="00B65520"/>
    <w:pPr>
      <w:spacing w:after="0" w:line="240" w:lineRule="auto"/>
      <w:contextualSpacing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65520"/>
    <w:rPr>
      <w:rFonts w:eastAsiaTheme="majorEastAsia" w:cstheme="majorBidi"/>
      <w:b/>
      <w:spacing w:val="-10"/>
      <w:kern w:val="28"/>
      <w:szCs w:val="5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C02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0202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CA5B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A5B58"/>
  </w:style>
  <w:style w:type="paragraph" w:styleId="Pieddepage">
    <w:name w:val="footer"/>
    <w:basedOn w:val="Normal"/>
    <w:link w:val="PieddepageCar"/>
    <w:uiPriority w:val="99"/>
    <w:unhideWhenUsed/>
    <w:rsid w:val="00CA5B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A5B58"/>
  </w:style>
  <w:style w:type="character" w:styleId="Marquedecommentaire">
    <w:name w:val="annotation reference"/>
    <w:basedOn w:val="Policepardfaut"/>
    <w:uiPriority w:val="99"/>
    <w:semiHidden/>
    <w:unhideWhenUsed/>
    <w:rsid w:val="00BF0BF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F0BFD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F0BF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F0BF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F0BFD"/>
    <w:rPr>
      <w:b/>
      <w:bCs/>
      <w:sz w:val="20"/>
      <w:szCs w:val="20"/>
    </w:rPr>
  </w:style>
  <w:style w:type="paragraph" w:styleId="Rvision">
    <w:name w:val="Revision"/>
    <w:hidden/>
    <w:uiPriority w:val="99"/>
    <w:semiHidden/>
    <w:rsid w:val="005F0467"/>
    <w:pPr>
      <w:spacing w:after="0" w:line="240" w:lineRule="auto"/>
    </w:pPr>
  </w:style>
  <w:style w:type="character" w:styleId="Accentuation">
    <w:name w:val="Emphasis"/>
    <w:basedOn w:val="Policepardfaut"/>
    <w:uiPriority w:val="20"/>
    <w:qFormat/>
    <w:rsid w:val="001F587B"/>
    <w:rPr>
      <w:b/>
      <w:bCs/>
      <w:i w:val="0"/>
      <w:iCs w:val="0"/>
    </w:rPr>
  </w:style>
  <w:style w:type="paragraph" w:styleId="Paragraphedeliste">
    <w:name w:val="List Paragraph"/>
    <w:basedOn w:val="Normal"/>
    <w:uiPriority w:val="34"/>
    <w:qFormat/>
    <w:rsid w:val="00B0152D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Word" ma:contentTypeID="0x010100FA0963FA69A646AA916D2E41284FC10000C124A628C4349B44A5C16909DE415A86" ma:contentTypeVersion="0" ma:contentTypeDescription="Create a new document." ma:contentTypeScope="" ma:versionID="7f5006bec1c76e3d06720695aa18bf1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6A1EB50-B781-4190-AC68-7CFF68D2F6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B62285-0A07-4B56-B010-25B5683286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55CEAF0-D123-40B3-837A-B767F242117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672</Words>
  <Characters>3701</Characters>
  <Application>Microsoft Office Word</Application>
  <DocSecurity>0</DocSecurity>
  <Lines>30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MCM</Company>
  <LinksUpToDate>false</LinksUpToDate>
  <CharactersWithSpaces>4365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Cant, Helena (MAN-CHV)</dc:creator>
  <cp:lastModifiedBy>Nicolas Lanthier</cp:lastModifiedBy>
  <cp:revision>2</cp:revision>
  <cp:lastPrinted>2018-11-21T11:40:00Z</cp:lastPrinted>
  <dcterms:created xsi:type="dcterms:W3CDTF">2020-01-21T09:26:00Z</dcterms:created>
  <dcterms:modified xsi:type="dcterms:W3CDTF">2020-01-21T09:26:00Z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0x010100FA0963FA69A646AA916D2E41284FC10000C124A628C4349B44A5C16909DE415A86</vt:lpwstr>
  </property>
</Properties>
</file>