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54AD" w14:textId="4EBFEB12" w:rsidR="00F138B7" w:rsidRDefault="003E5552" w:rsidP="00A86550">
      <w:pPr>
        <w:rPr>
          <w:lang w:val="nl-BE"/>
        </w:rPr>
      </w:pPr>
      <w:r w:rsidRPr="00A86550">
        <w:rPr>
          <w:lang w:val="nl-BE"/>
        </w:rPr>
        <w:t xml:space="preserve">Martin Stokhof, </w:t>
      </w:r>
      <w:r w:rsidRPr="00A86550">
        <w:rPr>
          <w:i/>
          <w:iCs/>
          <w:lang w:val="nl-BE"/>
        </w:rPr>
        <w:t>Wittgensteins betekenis: Hoe taal, handelen &amp; wereld betekenis bepalen</w:t>
      </w:r>
      <w:r w:rsidRPr="00A86550">
        <w:rPr>
          <w:lang w:val="nl-BE"/>
        </w:rPr>
        <w:t xml:space="preserve"> (Amsterdam: Athenaeum-Polak &amp; Van Gennep, 2025), </w:t>
      </w:r>
      <w:r w:rsidR="000E63AF" w:rsidRPr="00A86550">
        <w:rPr>
          <w:lang w:val="nl-BE"/>
        </w:rPr>
        <w:t xml:space="preserve">ISBN: 9789025318420, </w:t>
      </w:r>
      <w:r w:rsidR="00A86550" w:rsidRPr="00A86550">
        <w:rPr>
          <w:lang w:val="nl-BE"/>
        </w:rPr>
        <w:t xml:space="preserve">€ 22,99, </w:t>
      </w:r>
      <w:r w:rsidR="00A86550">
        <w:rPr>
          <w:lang w:val="nl-BE"/>
        </w:rPr>
        <w:t>blz</w:t>
      </w:r>
      <w:r w:rsidR="00A86550" w:rsidRPr="00A86550">
        <w:rPr>
          <w:lang w:val="nl-BE"/>
        </w:rPr>
        <w:t xml:space="preserve">. </w:t>
      </w:r>
      <w:r w:rsidR="00B134E4">
        <w:rPr>
          <w:lang w:val="nl-BE"/>
        </w:rPr>
        <w:t>253</w:t>
      </w:r>
      <w:r w:rsidRPr="00A86550">
        <w:rPr>
          <w:lang w:val="nl-BE"/>
        </w:rPr>
        <w:t>.</w:t>
      </w:r>
    </w:p>
    <w:p w14:paraId="0F864660" w14:textId="344E45F3" w:rsidR="00802844" w:rsidRDefault="00802844" w:rsidP="00A86550">
      <w:pPr>
        <w:rPr>
          <w:lang w:val="nl-BE"/>
        </w:rPr>
      </w:pPr>
      <w:r w:rsidRPr="00802844">
        <w:rPr>
          <w:lang w:val="nl-BE"/>
        </w:rPr>
        <w:t>Martin Stokhof, emeritus</w:t>
      </w:r>
      <w:r w:rsidRPr="00802844">
        <w:rPr>
          <w:rFonts w:ascii="Cambria Math" w:hAnsi="Cambria Math" w:cs="Cambria Math"/>
          <w:lang w:val="nl-BE"/>
        </w:rPr>
        <w:t>‑</w:t>
      </w:r>
      <w:r w:rsidRPr="00802844">
        <w:rPr>
          <w:lang w:val="nl-BE"/>
        </w:rPr>
        <w:t>hoogleraar taalfilosofie aan de Universiteit van Amsterdam, slaagt er in dit boek meer dan overtuigend in om oud</w:t>
      </w:r>
      <w:r w:rsidRPr="00802844">
        <w:rPr>
          <w:rFonts w:ascii="Cambria Math" w:hAnsi="Cambria Math" w:cs="Cambria Math"/>
          <w:lang w:val="nl-BE"/>
        </w:rPr>
        <w:t>‑</w:t>
      </w:r>
      <w:r w:rsidRPr="00802844">
        <w:rPr>
          <w:lang w:val="nl-BE"/>
        </w:rPr>
        <w:t>filosofiestudenten</w:t>
      </w:r>
      <w:r w:rsidR="004C4BE1">
        <w:rPr>
          <w:lang w:val="nl-BE"/>
        </w:rPr>
        <w:t>,</w:t>
      </w:r>
      <w:r w:rsidRPr="00802844">
        <w:rPr>
          <w:lang w:val="nl-BE"/>
        </w:rPr>
        <w:t xml:space="preserve"> mezelf incluis</w:t>
      </w:r>
      <w:r w:rsidR="004C4BE1">
        <w:rPr>
          <w:lang w:val="nl-BE"/>
        </w:rPr>
        <w:t>,</w:t>
      </w:r>
      <w:r w:rsidRPr="00802844">
        <w:rPr>
          <w:lang w:val="nl-BE"/>
        </w:rPr>
        <w:t xml:space="preserve"> opnieuw te doen verlangen naar hun studententijd. Op verfrissende wijze leidt hij de lezer binnen in het denken van Ludwig Wittgenstein</w:t>
      </w:r>
      <w:r w:rsidR="004C4BE1">
        <w:rPr>
          <w:lang w:val="nl-BE"/>
        </w:rPr>
        <w:t>. Dat doet hij</w:t>
      </w:r>
      <w:r w:rsidRPr="00802844">
        <w:rPr>
          <w:lang w:val="nl-BE"/>
        </w:rPr>
        <w:t xml:space="preserve"> door het oeuvre van deze soms toch wel hermetisch gebrachte filosoof te doorkruisen.</w:t>
      </w:r>
      <w:r w:rsidR="008D3273">
        <w:rPr>
          <w:lang w:val="nl-BE"/>
        </w:rPr>
        <w:t xml:space="preserve"> </w:t>
      </w:r>
      <w:r w:rsidR="00E9384B" w:rsidRPr="00E9384B">
        <w:rPr>
          <w:lang w:val="nl-BE"/>
        </w:rPr>
        <w:t>Ik heb dit boek dan ook met groot plezier gelezen, omdat het me toeliet me te verdiepen in het denken van een belangrijke filosoof zonder daarin te verdwalen, maar ook zonder ten prooi te vallen aan oppervlakkigheden.</w:t>
      </w:r>
    </w:p>
    <w:p w14:paraId="7FE99540" w14:textId="70DF8552" w:rsidR="00274CD8" w:rsidRDefault="005F20AC" w:rsidP="00A86550">
      <w:pPr>
        <w:rPr>
          <w:lang w:val="nl-BE"/>
        </w:rPr>
      </w:pPr>
      <w:r>
        <w:rPr>
          <w:lang w:val="nl-BE"/>
        </w:rPr>
        <w:t xml:space="preserve">Het boek valt uiteen in vijf grote hoofdstukken waarbij het eerste onmiddellijk de toon zet. Daarin kijkt Stokhof naar </w:t>
      </w:r>
      <w:r w:rsidR="007D70ED">
        <w:rPr>
          <w:lang w:val="nl-BE"/>
        </w:rPr>
        <w:t xml:space="preserve">betekenis en logica bij Wittgenstein, vooral door de lens van diens </w:t>
      </w:r>
      <w:r w:rsidR="007D70ED">
        <w:rPr>
          <w:i/>
          <w:iCs/>
          <w:lang w:val="nl-BE"/>
        </w:rPr>
        <w:t xml:space="preserve">Tractatus. </w:t>
      </w:r>
      <w:r w:rsidR="007D70ED">
        <w:rPr>
          <w:lang w:val="nl-BE"/>
        </w:rPr>
        <w:t xml:space="preserve">Het tweede hoofdstuk </w:t>
      </w:r>
      <w:r w:rsidR="00FC4D52">
        <w:rPr>
          <w:lang w:val="nl-BE"/>
        </w:rPr>
        <w:t xml:space="preserve">verschuift de aandacht naar hoe taal werk en </w:t>
      </w:r>
      <w:r w:rsidR="00513717">
        <w:rPr>
          <w:lang w:val="nl-BE"/>
        </w:rPr>
        <w:t xml:space="preserve">daarin </w:t>
      </w:r>
      <w:r w:rsidR="00FC4D52">
        <w:rPr>
          <w:lang w:val="nl-BE"/>
        </w:rPr>
        <w:t>buigt Stokhof zich over</w:t>
      </w:r>
      <w:r w:rsidR="00406BFB">
        <w:rPr>
          <w:lang w:val="nl-BE"/>
        </w:rPr>
        <w:t xml:space="preserve"> de </w:t>
      </w:r>
      <w:r w:rsidR="00406BFB">
        <w:rPr>
          <w:i/>
          <w:iCs/>
          <w:lang w:val="nl-BE"/>
        </w:rPr>
        <w:t xml:space="preserve">Filosofische onderzoekingen. </w:t>
      </w:r>
      <w:r w:rsidR="00406BFB">
        <w:rPr>
          <w:lang w:val="nl-BE"/>
        </w:rPr>
        <w:t xml:space="preserve">Hoofdstuk drie </w:t>
      </w:r>
      <w:r w:rsidR="0018260A">
        <w:rPr>
          <w:lang w:val="nl-BE"/>
        </w:rPr>
        <w:t xml:space="preserve">kijkt vervolgens naar zekerheid als randvoorwaarde voor betekenis en is daarbij vooral een discussie van </w:t>
      </w:r>
      <w:r w:rsidR="0018260A">
        <w:rPr>
          <w:i/>
          <w:iCs/>
          <w:lang w:val="nl-BE"/>
        </w:rPr>
        <w:t xml:space="preserve">Over zekerheid. </w:t>
      </w:r>
      <w:r w:rsidR="003674E0">
        <w:rPr>
          <w:lang w:val="nl-BE"/>
        </w:rPr>
        <w:t xml:space="preserve">In het vierde hoofdstuk kijkt de auteur dan naar wat Wittgenstein te zeggen heeft over, maar ook wat zijn filosofische inzichten betekenen voor, kunst, rituelen, ethiek en religie. Het vijfde en laatste hoofdstuk </w:t>
      </w:r>
      <w:r w:rsidR="00CC74B3">
        <w:rPr>
          <w:lang w:val="nl-BE"/>
        </w:rPr>
        <w:t>toont dan voornamelijk de invloed van Wittgenstein op de filosofie, wetenschap</w:t>
      </w:r>
      <w:r w:rsidR="00C83099">
        <w:rPr>
          <w:lang w:val="nl-BE"/>
        </w:rPr>
        <w:t xml:space="preserve"> en de </w:t>
      </w:r>
      <w:r w:rsidR="00CC74B3">
        <w:rPr>
          <w:lang w:val="nl-BE"/>
        </w:rPr>
        <w:t>kunst,</w:t>
      </w:r>
      <w:r w:rsidR="00C83099">
        <w:rPr>
          <w:lang w:val="nl-BE"/>
        </w:rPr>
        <w:t xml:space="preserve"> eerder dan wat hij als auteur te zeggen had over deze domeinen.</w:t>
      </w:r>
      <w:r w:rsidR="0016576E">
        <w:rPr>
          <w:lang w:val="nl-BE"/>
        </w:rPr>
        <w:t xml:space="preserve"> </w:t>
      </w:r>
      <w:r w:rsidR="00344094">
        <w:rPr>
          <w:lang w:val="nl-BE"/>
        </w:rPr>
        <w:t xml:space="preserve">Dit toont aan dat de relevantie van filosofen en hun werk </w:t>
      </w:r>
      <w:r w:rsidR="002D23AB">
        <w:rPr>
          <w:lang w:val="nl-BE"/>
        </w:rPr>
        <w:t xml:space="preserve">ook </w:t>
      </w:r>
      <w:r w:rsidR="00344094">
        <w:rPr>
          <w:lang w:val="nl-BE"/>
        </w:rPr>
        <w:t>vaak voorbij het strikt academische veld gaat.</w:t>
      </w:r>
    </w:p>
    <w:p w14:paraId="45D34CB0" w14:textId="3A412092" w:rsidR="004A1B9A" w:rsidRDefault="004A1B9A" w:rsidP="00EE314F">
      <w:pPr>
        <w:rPr>
          <w:lang w:val="nl-BE"/>
        </w:rPr>
      </w:pPr>
      <w:r w:rsidRPr="004A1B9A">
        <w:rPr>
          <w:lang w:val="nl-BE"/>
        </w:rPr>
        <w:t>Een van de meest opvallende elemente</w:t>
      </w:r>
      <w:r>
        <w:rPr>
          <w:lang w:val="nl-BE"/>
        </w:rPr>
        <w:t>n,</w:t>
      </w:r>
      <w:r w:rsidRPr="004A1B9A">
        <w:rPr>
          <w:lang w:val="nl-BE"/>
        </w:rPr>
        <w:t xml:space="preserve"> zeker voor iemand als ik, die zich nooit gespecialiseerd heeft in alle finesses van de taalfilosofie of in het denken van Wittgenstein</w:t>
      </w:r>
      <w:r>
        <w:rPr>
          <w:lang w:val="nl-BE"/>
        </w:rPr>
        <w:t>,</w:t>
      </w:r>
      <w:r w:rsidRPr="004A1B9A">
        <w:rPr>
          <w:lang w:val="nl-BE"/>
        </w:rPr>
        <w:t xml:space="preserve"> is de observatie dat zijn werk veel minder strikt hoeft te worden opgedeeld in een ‘vroege’ en een ‘late’ Wittgenstein. Stokhof maakt duidelijk dat er wel degelijk accentverschuivingen en een evolutie in Wittgensteins denken aanwezig zijn, maar het tegendeel zou eigenlijk verbazen.</w:t>
      </w:r>
      <w:r w:rsidR="002D23AB">
        <w:rPr>
          <w:lang w:val="nl-BE"/>
        </w:rPr>
        <w:t xml:space="preserve"> </w:t>
      </w:r>
      <w:r w:rsidR="00501F35" w:rsidRPr="00501F35">
        <w:rPr>
          <w:lang w:val="nl-BE"/>
        </w:rPr>
        <w:t>Bovendien toont Stokhof aan dat taal als fenomeen zowel zeer vertrouwd als tegelijk ongelooflijk ongrijpbaar is. Wie nog nooit heeft nagedacht over de finesses en de complexiteit van taal en betekenis, zal hier met grote ogen staan te kijken.</w:t>
      </w:r>
      <w:r w:rsidR="00735937">
        <w:rPr>
          <w:lang w:val="nl-BE"/>
        </w:rPr>
        <w:t xml:space="preserve"> </w:t>
      </w:r>
    </w:p>
    <w:p w14:paraId="679512CE" w14:textId="0E812DAE" w:rsidR="00984068" w:rsidRDefault="00EE314F" w:rsidP="00EE314F">
      <w:pPr>
        <w:rPr>
          <w:lang w:val="nl-BE"/>
        </w:rPr>
      </w:pPr>
      <w:r w:rsidRPr="00EE314F">
        <w:rPr>
          <w:lang w:val="nl-BE"/>
        </w:rPr>
        <w:t xml:space="preserve">Mijn heimwee naar mijn filosofiestudies zit </w:t>
      </w:r>
      <w:r w:rsidR="00501F35">
        <w:rPr>
          <w:lang w:val="nl-BE"/>
        </w:rPr>
        <w:t xml:space="preserve">uiteindelijk </w:t>
      </w:r>
      <w:r w:rsidRPr="00EE314F">
        <w:rPr>
          <w:lang w:val="nl-BE"/>
        </w:rPr>
        <w:t>vooral in de kunst van bepaalde auteurs en docenten om, zonder hun studenten of lezers te overladen met voetnoten en verwijzingen, toch helder in te leiden in het denken van een bekende denker die vaak wordt gesimplificeerd of verdraaid.</w:t>
      </w:r>
      <w:r w:rsidR="005227DF">
        <w:rPr>
          <w:lang w:val="nl-BE"/>
        </w:rPr>
        <w:t xml:space="preserve"> Het doet zin krijgen om verder te lezen.</w:t>
      </w:r>
      <w:r w:rsidR="00A70D27">
        <w:rPr>
          <w:lang w:val="nl-BE"/>
        </w:rPr>
        <w:t xml:space="preserve"> Bovendien kan ik het alleen maar toejuichen dat in het Nederlands nog gedegen filosofisch materiaal gepubliceerd wordt. </w:t>
      </w:r>
      <w:r w:rsidR="00FE5276">
        <w:rPr>
          <w:lang w:val="nl-BE"/>
        </w:rPr>
        <w:t xml:space="preserve">De </w:t>
      </w:r>
      <w:r w:rsidR="00562C95">
        <w:rPr>
          <w:lang w:val="nl-BE"/>
        </w:rPr>
        <w:t>eind</w:t>
      </w:r>
      <w:r w:rsidR="00FE5276">
        <w:rPr>
          <w:lang w:val="nl-BE"/>
        </w:rPr>
        <w:t xml:space="preserve">noten en de bibliografie laten </w:t>
      </w:r>
      <w:r w:rsidR="005227DF">
        <w:rPr>
          <w:lang w:val="nl-BE"/>
        </w:rPr>
        <w:t xml:space="preserve">tenslotte </w:t>
      </w:r>
      <w:r w:rsidR="00FE5276">
        <w:rPr>
          <w:lang w:val="nl-BE"/>
        </w:rPr>
        <w:t xml:space="preserve">ook toe verder te lezen waar nodig of gewenst zonder dat </w:t>
      </w:r>
      <w:r w:rsidR="00562C95">
        <w:rPr>
          <w:lang w:val="nl-BE"/>
        </w:rPr>
        <w:t>de lezer overbodig vaak door het hele boek moet bladeren.</w:t>
      </w:r>
    </w:p>
    <w:p w14:paraId="1C441C6D" w14:textId="7FB973C1" w:rsidR="008E2DB7" w:rsidRPr="00A86550" w:rsidRDefault="008E2DB7" w:rsidP="00EE314F">
      <w:pPr>
        <w:rPr>
          <w:lang w:val="nl-BE"/>
        </w:rPr>
      </w:pPr>
      <w:r w:rsidRPr="008E2DB7">
        <w:rPr>
          <w:lang w:val="nl-BE"/>
        </w:rPr>
        <w:t>Jens Van Rompaey</w:t>
      </w:r>
    </w:p>
    <w:sectPr w:rsidR="008E2DB7" w:rsidRPr="00A86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C79"/>
    <w:multiLevelType w:val="multilevel"/>
    <w:tmpl w:val="1CC069A2"/>
    <w:lvl w:ilvl="0">
      <w:start w:val="1"/>
      <w:numFmt w:val="decimal"/>
      <w:lvlText w:val="%1."/>
      <w:lvlJc w:val="left"/>
      <w:pPr>
        <w:ind w:left="360" w:hanging="360"/>
      </w:pPr>
      <w:rPr>
        <w:rFonts w:hint="default"/>
      </w:rPr>
    </w:lvl>
    <w:lvl w:ilvl="1">
      <w:start w:val="1"/>
      <w:numFmt w:val="decimal"/>
      <w:pStyle w:val="Kop2"/>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387094"/>
    <w:multiLevelType w:val="hybridMultilevel"/>
    <w:tmpl w:val="BD503182"/>
    <w:lvl w:ilvl="0" w:tplc="413C270A">
      <w:start w:val="1"/>
      <w:numFmt w:val="decimal"/>
      <w:pStyle w:val="Kop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22D0D59"/>
    <w:multiLevelType w:val="multilevel"/>
    <w:tmpl w:val="6C1CF80E"/>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62D452A"/>
    <w:multiLevelType w:val="multilevel"/>
    <w:tmpl w:val="5A8A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537A5B"/>
    <w:multiLevelType w:val="multilevel"/>
    <w:tmpl w:val="77B00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3628900">
    <w:abstractNumId w:val="1"/>
  </w:num>
  <w:num w:numId="2" w16cid:durableId="224924153">
    <w:abstractNumId w:val="2"/>
  </w:num>
  <w:num w:numId="3" w16cid:durableId="1402680711">
    <w:abstractNumId w:val="0"/>
  </w:num>
  <w:num w:numId="4" w16cid:durableId="1698004922">
    <w:abstractNumId w:val="1"/>
  </w:num>
  <w:num w:numId="5" w16cid:durableId="1434856208">
    <w:abstractNumId w:val="0"/>
  </w:num>
  <w:num w:numId="6" w16cid:durableId="1814252268">
    <w:abstractNumId w:val="2"/>
  </w:num>
  <w:num w:numId="7" w16cid:durableId="550923534">
    <w:abstractNumId w:val="0"/>
  </w:num>
  <w:num w:numId="8" w16cid:durableId="190999287">
    <w:abstractNumId w:val="4"/>
  </w:num>
  <w:num w:numId="9" w16cid:durableId="417947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77"/>
    <w:rsid w:val="000200E0"/>
    <w:rsid w:val="0003002C"/>
    <w:rsid w:val="000E63AF"/>
    <w:rsid w:val="00102FF4"/>
    <w:rsid w:val="0016576E"/>
    <w:rsid w:val="0018260A"/>
    <w:rsid w:val="00274CD8"/>
    <w:rsid w:val="002D23AB"/>
    <w:rsid w:val="002D7377"/>
    <w:rsid w:val="00344094"/>
    <w:rsid w:val="003674E0"/>
    <w:rsid w:val="003E5552"/>
    <w:rsid w:val="0040491B"/>
    <w:rsid w:val="00406BFB"/>
    <w:rsid w:val="004601D1"/>
    <w:rsid w:val="004A1B9A"/>
    <w:rsid w:val="004C4BE1"/>
    <w:rsid w:val="00501F35"/>
    <w:rsid w:val="00513717"/>
    <w:rsid w:val="005227DF"/>
    <w:rsid w:val="0053410B"/>
    <w:rsid w:val="00562C95"/>
    <w:rsid w:val="00581D9F"/>
    <w:rsid w:val="005B4FD6"/>
    <w:rsid w:val="005F20AC"/>
    <w:rsid w:val="00722641"/>
    <w:rsid w:val="00735937"/>
    <w:rsid w:val="007D70ED"/>
    <w:rsid w:val="00802844"/>
    <w:rsid w:val="008D0A11"/>
    <w:rsid w:val="008D3273"/>
    <w:rsid w:val="008E2DB7"/>
    <w:rsid w:val="008F2F76"/>
    <w:rsid w:val="00984068"/>
    <w:rsid w:val="00A70D27"/>
    <w:rsid w:val="00A86550"/>
    <w:rsid w:val="00B134E4"/>
    <w:rsid w:val="00B56DEE"/>
    <w:rsid w:val="00B8623B"/>
    <w:rsid w:val="00BF0E7B"/>
    <w:rsid w:val="00C83099"/>
    <w:rsid w:val="00CC74B3"/>
    <w:rsid w:val="00E47952"/>
    <w:rsid w:val="00E67863"/>
    <w:rsid w:val="00E9384B"/>
    <w:rsid w:val="00EE314F"/>
    <w:rsid w:val="00F138B7"/>
    <w:rsid w:val="00FC4D52"/>
    <w:rsid w:val="00FE5276"/>
    <w:rsid w:val="00FF459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61AF"/>
  <w15:chartTrackingRefBased/>
  <w15:docId w15:val="{2B437464-D57D-4E20-82D5-EA39FF98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A11"/>
    <w:pPr>
      <w:spacing w:after="120" w:line="276" w:lineRule="auto"/>
      <w:jc w:val="both"/>
    </w:pPr>
    <w:rPr>
      <w:rFonts w:ascii="Calibri" w:hAnsi="Calibri"/>
    </w:rPr>
  </w:style>
  <w:style w:type="paragraph" w:styleId="Kop1">
    <w:name w:val="heading 1"/>
    <w:basedOn w:val="Standaard"/>
    <w:next w:val="Standaard"/>
    <w:link w:val="Kop1Char"/>
    <w:uiPriority w:val="9"/>
    <w:qFormat/>
    <w:rsid w:val="008D0A11"/>
    <w:pPr>
      <w:keepNext/>
      <w:keepLines/>
      <w:numPr>
        <w:numId w:val="1"/>
      </w:numPr>
      <w:spacing w:before="120"/>
      <w:ind w:left="567" w:firstLine="0"/>
      <w:outlineLvl w:val="0"/>
    </w:pPr>
    <w:rPr>
      <w:rFonts w:eastAsiaTheme="majorEastAsia" w:cstheme="majorBidi"/>
      <w:b/>
      <w:color w:val="000000" w:themeColor="text1"/>
      <w:szCs w:val="40"/>
    </w:rPr>
  </w:style>
  <w:style w:type="paragraph" w:styleId="Kop2">
    <w:name w:val="heading 2"/>
    <w:basedOn w:val="Standaard"/>
    <w:next w:val="Standaard"/>
    <w:link w:val="Kop2Char"/>
    <w:uiPriority w:val="9"/>
    <w:unhideWhenUsed/>
    <w:qFormat/>
    <w:rsid w:val="008D0A11"/>
    <w:pPr>
      <w:keepNext/>
      <w:keepLines/>
      <w:numPr>
        <w:ilvl w:val="1"/>
        <w:numId w:val="7"/>
      </w:numPr>
      <w:spacing w:before="120"/>
      <w:ind w:left="567" w:firstLine="0"/>
      <w:contextualSpacing/>
      <w:outlineLvl w:val="1"/>
    </w:pPr>
    <w:rPr>
      <w:rFonts w:eastAsiaTheme="majorEastAsia" w:cstheme="majorBidi"/>
      <w:i/>
      <w:color w:val="000000" w:themeColor="text1"/>
      <w:szCs w:val="32"/>
      <w:lang w:val="en-US"/>
    </w:rPr>
  </w:style>
  <w:style w:type="paragraph" w:styleId="Kop3">
    <w:name w:val="heading 3"/>
    <w:basedOn w:val="Standaard"/>
    <w:next w:val="Standaard"/>
    <w:link w:val="Kop3Char"/>
    <w:uiPriority w:val="9"/>
    <w:unhideWhenUsed/>
    <w:qFormat/>
    <w:rsid w:val="008D0A11"/>
    <w:pPr>
      <w:keepNext/>
      <w:keepLines/>
      <w:numPr>
        <w:ilvl w:val="2"/>
        <w:numId w:val="8"/>
      </w:numPr>
      <w:spacing w:before="120"/>
      <w:ind w:left="567"/>
      <w:outlineLvl w:val="2"/>
    </w:pPr>
    <w:rPr>
      <w:rFonts w:eastAsiaTheme="majorEastAsia" w:cstheme="majorBidi"/>
      <w:color w:val="000000" w:themeColor="text1"/>
      <w:szCs w:val="28"/>
    </w:rPr>
  </w:style>
  <w:style w:type="paragraph" w:styleId="Kop4">
    <w:name w:val="heading 4"/>
    <w:basedOn w:val="Standaard"/>
    <w:next w:val="Standaard"/>
    <w:link w:val="Kop4Char"/>
    <w:uiPriority w:val="9"/>
    <w:semiHidden/>
    <w:unhideWhenUsed/>
    <w:qFormat/>
    <w:rsid w:val="002D73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D737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D73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D737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D737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D737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D0A11"/>
    <w:rPr>
      <w:rFonts w:ascii="Calibri" w:eastAsiaTheme="majorEastAsia" w:hAnsi="Calibri" w:cstheme="majorBidi"/>
      <w:i/>
      <w:color w:val="000000" w:themeColor="text1"/>
      <w:szCs w:val="32"/>
      <w:lang w:val="en-US"/>
    </w:rPr>
  </w:style>
  <w:style w:type="character" w:customStyle="1" w:styleId="Kop1Char">
    <w:name w:val="Kop 1 Char"/>
    <w:basedOn w:val="Standaardalinea-lettertype"/>
    <w:link w:val="Kop1"/>
    <w:uiPriority w:val="9"/>
    <w:rsid w:val="008D0A11"/>
    <w:rPr>
      <w:rFonts w:ascii="Calibri" w:eastAsiaTheme="majorEastAsia" w:hAnsi="Calibri" w:cstheme="majorBidi"/>
      <w:b/>
      <w:color w:val="000000" w:themeColor="text1"/>
      <w:szCs w:val="40"/>
    </w:rPr>
  </w:style>
  <w:style w:type="character" w:customStyle="1" w:styleId="Kop3Char">
    <w:name w:val="Kop 3 Char"/>
    <w:basedOn w:val="Standaardalinea-lettertype"/>
    <w:link w:val="Kop3"/>
    <w:uiPriority w:val="9"/>
    <w:rsid w:val="008D0A11"/>
    <w:rPr>
      <w:rFonts w:ascii="Calibri" w:eastAsiaTheme="majorEastAsia" w:hAnsi="Calibri" w:cstheme="majorBidi"/>
      <w:color w:val="000000" w:themeColor="text1"/>
      <w:szCs w:val="28"/>
    </w:rPr>
  </w:style>
  <w:style w:type="paragraph" w:styleId="Titel">
    <w:name w:val="Title"/>
    <w:basedOn w:val="Standaard"/>
    <w:next w:val="Standaard"/>
    <w:link w:val="TitelChar"/>
    <w:uiPriority w:val="10"/>
    <w:qFormat/>
    <w:rsid w:val="008D0A11"/>
    <w:pPr>
      <w:spacing w:before="120" w:after="240" w:line="240" w:lineRule="auto"/>
      <w:contextualSpacing/>
    </w:pPr>
    <w:rPr>
      <w:rFonts w:eastAsiaTheme="majorEastAsia" w:cs="Calibri"/>
      <w:b/>
      <w:bCs/>
      <w:spacing w:val="-10"/>
      <w:kern w:val="28"/>
      <w:sz w:val="28"/>
      <w:szCs w:val="28"/>
    </w:rPr>
  </w:style>
  <w:style w:type="character" w:customStyle="1" w:styleId="TitelChar">
    <w:name w:val="Titel Char"/>
    <w:basedOn w:val="Standaardalinea-lettertype"/>
    <w:link w:val="Titel"/>
    <w:uiPriority w:val="10"/>
    <w:rsid w:val="008D0A11"/>
    <w:rPr>
      <w:rFonts w:ascii="Calibri" w:eastAsiaTheme="majorEastAsia" w:hAnsi="Calibri" w:cs="Calibri"/>
      <w:b/>
      <w:bCs/>
      <w:spacing w:val="-10"/>
      <w:kern w:val="28"/>
      <w:sz w:val="28"/>
      <w:szCs w:val="28"/>
    </w:rPr>
  </w:style>
  <w:style w:type="paragraph" w:styleId="Bibliografie">
    <w:name w:val="Bibliography"/>
    <w:basedOn w:val="Standaard"/>
    <w:next w:val="Standaard"/>
    <w:uiPriority w:val="37"/>
    <w:unhideWhenUsed/>
    <w:qFormat/>
    <w:rsid w:val="00102FF4"/>
    <w:pPr>
      <w:spacing w:after="0" w:line="240" w:lineRule="auto"/>
      <w:ind w:left="720" w:hanging="720"/>
    </w:pPr>
  </w:style>
  <w:style w:type="character" w:customStyle="1" w:styleId="Kop4Char">
    <w:name w:val="Kop 4 Char"/>
    <w:basedOn w:val="Standaardalinea-lettertype"/>
    <w:link w:val="Kop4"/>
    <w:uiPriority w:val="9"/>
    <w:semiHidden/>
    <w:rsid w:val="002D73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3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3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3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3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377"/>
    <w:rPr>
      <w:rFonts w:eastAsiaTheme="majorEastAsia" w:cstheme="majorBidi"/>
      <w:color w:val="272727" w:themeColor="text1" w:themeTint="D8"/>
    </w:rPr>
  </w:style>
  <w:style w:type="paragraph" w:styleId="Ondertitel">
    <w:name w:val="Subtitle"/>
    <w:basedOn w:val="Standaard"/>
    <w:next w:val="Standaard"/>
    <w:link w:val="OndertitelChar"/>
    <w:uiPriority w:val="11"/>
    <w:qFormat/>
    <w:rsid w:val="002D73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3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37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D7377"/>
    <w:rPr>
      <w:rFonts w:ascii="Calibri" w:hAnsi="Calibri"/>
      <w:i/>
      <w:iCs/>
      <w:color w:val="404040" w:themeColor="text1" w:themeTint="BF"/>
    </w:rPr>
  </w:style>
  <w:style w:type="paragraph" w:styleId="Lijstalinea">
    <w:name w:val="List Paragraph"/>
    <w:basedOn w:val="Standaard"/>
    <w:uiPriority w:val="34"/>
    <w:qFormat/>
    <w:rsid w:val="002D7377"/>
    <w:pPr>
      <w:ind w:left="720"/>
      <w:contextualSpacing/>
    </w:pPr>
  </w:style>
  <w:style w:type="character" w:styleId="Intensievebenadrukking">
    <w:name w:val="Intense Emphasis"/>
    <w:basedOn w:val="Standaardalinea-lettertype"/>
    <w:uiPriority w:val="21"/>
    <w:qFormat/>
    <w:rsid w:val="002D7377"/>
    <w:rPr>
      <w:i/>
      <w:iCs/>
      <w:color w:val="0F4761" w:themeColor="accent1" w:themeShade="BF"/>
    </w:rPr>
  </w:style>
  <w:style w:type="paragraph" w:styleId="Duidelijkcitaat">
    <w:name w:val="Intense Quote"/>
    <w:basedOn w:val="Standaard"/>
    <w:next w:val="Standaard"/>
    <w:link w:val="DuidelijkcitaatChar"/>
    <w:uiPriority w:val="30"/>
    <w:qFormat/>
    <w:rsid w:val="002D7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7377"/>
    <w:rPr>
      <w:rFonts w:ascii="Calibri" w:hAnsi="Calibri"/>
      <w:i/>
      <w:iCs/>
      <w:color w:val="0F4761" w:themeColor="accent1" w:themeShade="BF"/>
    </w:rPr>
  </w:style>
  <w:style w:type="character" w:styleId="Intensieveverwijzing">
    <w:name w:val="Intense Reference"/>
    <w:basedOn w:val="Standaardalinea-lettertype"/>
    <w:uiPriority w:val="32"/>
    <w:qFormat/>
    <w:rsid w:val="002D73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Van Rompaey</dc:creator>
  <cp:keywords/>
  <dc:description/>
  <cp:lastModifiedBy>Jens Van Rompaey</cp:lastModifiedBy>
  <cp:revision>38</cp:revision>
  <dcterms:created xsi:type="dcterms:W3CDTF">2026-03-24T14:39:00Z</dcterms:created>
  <dcterms:modified xsi:type="dcterms:W3CDTF">2026-03-31T07:37:00Z</dcterms:modified>
</cp:coreProperties>
</file>