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C63" w:rsidRDefault="009F2559" w:rsidP="00E35C63">
      <w:pPr>
        <w:pStyle w:val="Texte"/>
        <w:spacing w:after="120"/>
        <w:rPr>
          <w:rFonts w:cs="Times New Roman"/>
        </w:rPr>
      </w:pPr>
      <w:r w:rsidRPr="009F2559">
        <w:rPr>
          <w:lang w:val="en-US"/>
        </w:rPr>
        <w:t xml:space="preserve">Cyril </w:t>
      </w:r>
      <w:proofErr w:type="spellStart"/>
      <w:r w:rsidRPr="009F2559">
        <w:rPr>
          <w:smallCaps/>
          <w:lang w:val="en-US"/>
        </w:rPr>
        <w:t>Courrier</w:t>
      </w:r>
      <w:proofErr w:type="spellEnd"/>
      <w:r w:rsidRPr="009F2559">
        <w:rPr>
          <w:lang w:val="en-US"/>
        </w:rPr>
        <w:t xml:space="preserve"> &amp; Julio Cesar </w:t>
      </w:r>
      <w:proofErr w:type="spellStart"/>
      <w:r w:rsidRPr="009F2559">
        <w:rPr>
          <w:smallCaps/>
          <w:lang w:val="en-US"/>
        </w:rPr>
        <w:t>Magalhães</w:t>
      </w:r>
      <w:proofErr w:type="spellEnd"/>
      <w:r w:rsidRPr="009F2559">
        <w:rPr>
          <w:smallCaps/>
          <w:lang w:val="en-US"/>
        </w:rPr>
        <w:t xml:space="preserve"> de Oliveira </w:t>
      </w:r>
      <w:r w:rsidRPr="009F2559">
        <w:rPr>
          <w:lang w:val="en-US"/>
        </w:rPr>
        <w:t xml:space="preserve">(Ed.), </w:t>
      </w:r>
      <w:r w:rsidRPr="009F2559">
        <w:rPr>
          <w:i/>
          <w:lang w:val="en-US"/>
        </w:rPr>
        <w:t>Ancient History from Below.</w:t>
      </w:r>
      <w:r>
        <w:rPr>
          <w:i/>
          <w:lang w:val="en-US"/>
        </w:rPr>
        <w:t xml:space="preserve"> Subaltern Experiences and Actions in Context</w:t>
      </w:r>
      <w:r>
        <w:rPr>
          <w:lang w:val="en-US"/>
        </w:rPr>
        <w:t xml:space="preserve">, </w:t>
      </w:r>
      <w:proofErr w:type="spellStart"/>
      <w:r>
        <w:rPr>
          <w:lang w:val="en-US"/>
        </w:rPr>
        <w:t>Londres</w:t>
      </w:r>
      <w:proofErr w:type="spellEnd"/>
      <w:r>
        <w:rPr>
          <w:lang w:val="en-US"/>
        </w:rPr>
        <w:t xml:space="preserve"> – New York, Routledge, 2022. </w:t>
      </w:r>
      <w:r w:rsidRPr="008D2C46">
        <w:t xml:space="preserve">1 vol., </w:t>
      </w:r>
      <w:r w:rsidRPr="008D2C46">
        <w:rPr>
          <w:smallCaps/>
        </w:rPr>
        <w:t>xxviii</w:t>
      </w:r>
      <w:r w:rsidRPr="008D2C46">
        <w:t>-292 p.</w:t>
      </w:r>
      <w:r w:rsidR="00E35C63" w:rsidRPr="008D2C46">
        <w:t xml:space="preserve"> Prix </w:t>
      </w:r>
      <w:r w:rsidR="00E35C63">
        <w:t>: 120</w:t>
      </w:r>
      <w:r w:rsidR="00E35C63">
        <w:rPr>
          <w:rFonts w:cs="Times New Roman"/>
        </w:rPr>
        <w:t>£. ISBN 978-0-367-42441-1</w:t>
      </w:r>
    </w:p>
    <w:p w:rsidR="00B4613A" w:rsidRPr="0050199C" w:rsidRDefault="009F2559" w:rsidP="00562010">
      <w:pPr>
        <w:pStyle w:val="Texte"/>
        <w:ind w:left="708" w:firstLine="1"/>
      </w:pPr>
      <w:r w:rsidRPr="008D2C46">
        <w:t xml:space="preserve"> </w:t>
      </w:r>
      <w:r w:rsidR="006B2395">
        <w:t xml:space="preserve">Dès 1932, L. Febvre souhaitait </w:t>
      </w:r>
      <w:r w:rsidR="00D22056">
        <w:t xml:space="preserve">écrire une </w:t>
      </w:r>
      <w:r w:rsidR="008D2C46">
        <w:t>« </w:t>
      </w:r>
      <w:r w:rsidR="00D22056">
        <w:t>histoire vue d’en bas et non d’en haut »</w:t>
      </w:r>
      <w:r w:rsidR="006B2395">
        <w:t xml:space="preserve">. </w:t>
      </w:r>
      <w:r w:rsidR="001B17A8">
        <w:t xml:space="preserve">Cette vision ne se cristallisera </w:t>
      </w:r>
      <w:r w:rsidR="004D436B">
        <w:t xml:space="preserve">finalement </w:t>
      </w:r>
      <w:r w:rsidR="001B17A8">
        <w:t>que dans les années 1950–1960 grâce aux</w:t>
      </w:r>
      <w:r w:rsidR="006B2395">
        <w:t xml:space="preserve"> travaux des historiens britanniques marxistes et </w:t>
      </w:r>
      <w:r w:rsidR="001B17A8">
        <w:t>au</w:t>
      </w:r>
      <w:r w:rsidR="006B2395">
        <w:t xml:space="preserve"> premier compte-rendu sur les nouvelles tendances de ce courant, </w:t>
      </w:r>
      <w:proofErr w:type="spellStart"/>
      <w:r w:rsidR="001B17A8">
        <w:rPr>
          <w:i/>
        </w:rPr>
        <w:t>History</w:t>
      </w:r>
      <w:proofErr w:type="spellEnd"/>
      <w:r w:rsidR="001B17A8">
        <w:rPr>
          <w:i/>
        </w:rPr>
        <w:t xml:space="preserve"> </w:t>
      </w:r>
      <w:proofErr w:type="spellStart"/>
      <w:r w:rsidR="001B17A8">
        <w:rPr>
          <w:i/>
        </w:rPr>
        <w:t>from</w:t>
      </w:r>
      <w:proofErr w:type="spellEnd"/>
      <w:r w:rsidR="001B17A8">
        <w:rPr>
          <w:i/>
        </w:rPr>
        <w:t xml:space="preserve"> </w:t>
      </w:r>
      <w:proofErr w:type="spellStart"/>
      <w:r w:rsidR="001B17A8">
        <w:rPr>
          <w:i/>
        </w:rPr>
        <w:t>Below</w:t>
      </w:r>
      <w:proofErr w:type="spellEnd"/>
      <w:r w:rsidR="001B17A8">
        <w:t xml:space="preserve"> publié en 1966 par E. P. Thompson. L’objectif était clair : sortir des perspectives macro-historiques des </w:t>
      </w:r>
      <w:r w:rsidR="001B17A8">
        <w:rPr>
          <w:i/>
        </w:rPr>
        <w:t>Annales</w:t>
      </w:r>
      <w:r w:rsidR="001B17A8">
        <w:t xml:space="preserve"> au profit d’une vraie attention sur les expériences des classes ouvrières et leur capacité à agir pour remodeler leurs conditions d’existence</w:t>
      </w:r>
      <w:r w:rsidR="00A97F4E">
        <w:t xml:space="preserve">. </w:t>
      </w:r>
      <w:r w:rsidR="00AF20D4">
        <w:t>Si l’historiographie s’est depuis montrée particulièrement florissante, l’histoire antique fait figure d’exception, malgré l</w:t>
      </w:r>
      <w:r w:rsidR="00AA7D02">
        <w:t xml:space="preserve">’apport de l’historiographie marxiste </w:t>
      </w:r>
      <w:r w:rsidR="00AF20D4">
        <w:t>et l’introduction des approches anthropologiques et sociologiques.</w:t>
      </w:r>
      <w:r w:rsidR="00AA7D02">
        <w:t xml:space="preserve"> </w:t>
      </w:r>
      <w:r w:rsidR="00E2644C">
        <w:t>L’ou</w:t>
      </w:r>
      <w:r w:rsidR="004E0F5D">
        <w:t xml:space="preserve">vrage </w:t>
      </w:r>
      <w:r w:rsidR="008A3F9A">
        <w:t>présenté souhaite</w:t>
      </w:r>
      <w:r w:rsidR="004E0F5D">
        <w:t xml:space="preserve"> offrir un cadre théorique et méthodologique à l’</w:t>
      </w:r>
      <w:r w:rsidR="008A3F9A" w:rsidRPr="008A3F9A">
        <w:rPr>
          <w:i/>
        </w:rPr>
        <w:t>Ancient</w:t>
      </w:r>
      <w:r w:rsidR="008A3F9A">
        <w:t xml:space="preserve"> </w:t>
      </w:r>
      <w:proofErr w:type="spellStart"/>
      <w:r w:rsidR="008A3F9A">
        <w:rPr>
          <w:i/>
        </w:rPr>
        <w:t>H</w:t>
      </w:r>
      <w:r w:rsidR="004E0F5D">
        <w:rPr>
          <w:i/>
        </w:rPr>
        <w:t>istory</w:t>
      </w:r>
      <w:proofErr w:type="spellEnd"/>
      <w:r w:rsidR="004E0F5D">
        <w:rPr>
          <w:i/>
        </w:rPr>
        <w:t xml:space="preserve"> </w:t>
      </w:r>
      <w:proofErr w:type="spellStart"/>
      <w:r w:rsidR="004E0F5D">
        <w:rPr>
          <w:i/>
        </w:rPr>
        <w:t>from</w:t>
      </w:r>
      <w:proofErr w:type="spellEnd"/>
      <w:r w:rsidR="004E0F5D">
        <w:rPr>
          <w:i/>
        </w:rPr>
        <w:t xml:space="preserve"> </w:t>
      </w:r>
      <w:proofErr w:type="spellStart"/>
      <w:r w:rsidR="008A3F9A">
        <w:rPr>
          <w:i/>
        </w:rPr>
        <w:t>B</w:t>
      </w:r>
      <w:r w:rsidR="004E0F5D">
        <w:rPr>
          <w:i/>
        </w:rPr>
        <w:t>elow</w:t>
      </w:r>
      <w:proofErr w:type="spellEnd"/>
      <w:r w:rsidR="008A3F9A">
        <w:t xml:space="preserve">. </w:t>
      </w:r>
      <w:r w:rsidR="00AA7D02">
        <w:t>Après la préface de B. D. Shaw qui dresse un premier bilan et expose les enjeux de ce courant historiographique, une introduction claire et complète</w:t>
      </w:r>
      <w:r w:rsidR="008A3F9A">
        <w:t xml:space="preserve"> </w:t>
      </w:r>
      <w:r w:rsidR="003E6079">
        <w:t xml:space="preserve">met en exergue l’objectif </w:t>
      </w:r>
      <w:r w:rsidR="00AA7D02">
        <w:t xml:space="preserve">du livre. Il s’agit de </w:t>
      </w:r>
      <w:r w:rsidR="006728B3">
        <w:t>dépasser la vision</w:t>
      </w:r>
      <w:r w:rsidR="003E6079">
        <w:t xml:space="preserve"> des « gens d’en bas » en tant que masse homogène reliée à un « en haut » pour se concentrer sur </w:t>
      </w:r>
      <w:r w:rsidR="004D436B">
        <w:t xml:space="preserve">les différentes formes de subordination, l’expérience de ceux qui la vivaient et </w:t>
      </w:r>
      <w:proofErr w:type="spellStart"/>
      <w:r w:rsidR="003658CC" w:rsidRPr="003658CC">
        <w:rPr>
          <w:i/>
        </w:rPr>
        <w:t>l’</w:t>
      </w:r>
      <w:r w:rsidR="003658CC">
        <w:rPr>
          <w:i/>
        </w:rPr>
        <w:t>agency</w:t>
      </w:r>
      <w:proofErr w:type="spellEnd"/>
      <w:r w:rsidR="003658CC">
        <w:t>,</w:t>
      </w:r>
      <w:r w:rsidR="003658CC">
        <w:rPr>
          <w:i/>
        </w:rPr>
        <w:t xml:space="preserve"> i.e. </w:t>
      </w:r>
      <w:r w:rsidR="004D436B" w:rsidRPr="003658CC">
        <w:t>leur</w:t>
      </w:r>
      <w:r w:rsidR="004D436B">
        <w:t xml:space="preserve"> capacité à « négocier les termes de leur propre subordination » (p. 15)</w:t>
      </w:r>
      <w:r w:rsidR="004E0F5D">
        <w:t xml:space="preserve">. </w:t>
      </w:r>
      <w:r w:rsidR="00C96793">
        <w:t>L’organisation du livre est thématique</w:t>
      </w:r>
      <w:r w:rsidR="00AA7D02">
        <w:t xml:space="preserve">. </w:t>
      </w:r>
      <w:r w:rsidR="00C96793">
        <w:t xml:space="preserve">La première partie propose un cadre théorique </w:t>
      </w:r>
      <w:r w:rsidR="004E4862">
        <w:t>à la définition des groupes subalternes et à la manière de les trouver</w:t>
      </w:r>
      <w:r w:rsidR="006728B3">
        <w:t xml:space="preserve">. K. </w:t>
      </w:r>
      <w:proofErr w:type="spellStart"/>
      <w:r w:rsidR="006728B3">
        <w:t>Vlassopoulos</w:t>
      </w:r>
      <w:proofErr w:type="spellEnd"/>
      <w:r w:rsidR="004E4862">
        <w:t xml:space="preserve"> inventorie ainsi les difficultés qu’une telle approche implique et quelques pistes de solution. </w:t>
      </w:r>
      <w:r w:rsidR="00413E3A">
        <w:t xml:space="preserve">C. Courrier et N. Tran mettent ensuite en exergue le manque de visibilité des groupes subalternes dans les sources antiques à travers l’épigraphie du sud de la Gaule. Certes, ils produisaient eux-mêmes ces inscriptions mais celles-ci </w:t>
      </w:r>
      <w:r w:rsidR="00AA7D02">
        <w:t>portent un caractère exceptionnel et sont régies</w:t>
      </w:r>
      <w:r w:rsidR="00413E3A">
        <w:t xml:space="preserve"> par des normes et des conventions, qui complexifient toute compréhension des relations </w:t>
      </w:r>
      <w:r w:rsidR="00D92F36">
        <w:t>sociales</w:t>
      </w:r>
      <w:r w:rsidR="00413E3A">
        <w:t xml:space="preserve">. </w:t>
      </w:r>
      <w:r w:rsidR="00D92F36">
        <w:t xml:space="preserve">La seconde partie s’intéresse aux différentes formes de subalternité dans l’économie. </w:t>
      </w:r>
      <w:r w:rsidR="005C216A">
        <w:t>C. Taylor montre</w:t>
      </w:r>
      <w:r w:rsidR="006C5045">
        <w:t>, à partir du monde grec,</w:t>
      </w:r>
      <w:r w:rsidR="005C216A">
        <w:t xml:space="preserve"> que la pauvreté n’est pas seulement une condition économique, mais constitue aussi une construction sociale qui prend la forme de la société dans laquelle elle se trouve. </w:t>
      </w:r>
      <w:r w:rsidR="006C5045">
        <w:t xml:space="preserve">À travers l’exemple de la servitude pour dette, </w:t>
      </w:r>
      <w:r w:rsidR="008D0A26">
        <w:t xml:space="preserve">qui structure les relations sociales et économiques, </w:t>
      </w:r>
      <w:r w:rsidR="006C5045">
        <w:t>elle expose l’importance d’envisager la subalternité dans toutes ses composantes (légale, économique et sociale)</w:t>
      </w:r>
      <w:r w:rsidR="001C776B">
        <w:t>, en plus</w:t>
      </w:r>
      <w:r w:rsidR="006C5045">
        <w:t xml:space="preserve"> </w:t>
      </w:r>
      <w:r w:rsidR="001C776B">
        <w:t>d</w:t>
      </w:r>
      <w:r w:rsidR="006C5045">
        <w:t xml:space="preserve">es possibilités </w:t>
      </w:r>
      <w:r w:rsidR="001C776B">
        <w:t xml:space="preserve">des gens qui la vivaient </w:t>
      </w:r>
      <w:r w:rsidR="006C5045">
        <w:t xml:space="preserve">de la compenser. </w:t>
      </w:r>
      <w:r w:rsidR="008D0A26">
        <w:t xml:space="preserve">C. </w:t>
      </w:r>
      <w:proofErr w:type="spellStart"/>
      <w:r w:rsidR="008D0A26">
        <w:t>Rosillo-López</w:t>
      </w:r>
      <w:proofErr w:type="spellEnd"/>
      <w:r w:rsidR="008D0A26">
        <w:t xml:space="preserve"> présente une manière d’étudier ceux qu’elle appelle les « presque invisibles », c’est-à-dire les dépourvus et </w:t>
      </w:r>
      <w:proofErr w:type="gramStart"/>
      <w:r w:rsidR="008D0A26">
        <w:t>les sans-abri</w:t>
      </w:r>
      <w:proofErr w:type="gramEnd"/>
      <w:r w:rsidR="00406D87">
        <w:t xml:space="preserve"> dans </w:t>
      </w:r>
      <w:r w:rsidR="00D31BAC">
        <w:t>le monde romain</w:t>
      </w:r>
      <w:r w:rsidR="008D0A26">
        <w:t xml:space="preserve">. Il s’agit ici de déconstruire les stéréotypes </w:t>
      </w:r>
      <w:r w:rsidR="00B96704">
        <w:t xml:space="preserve">des satyres de Martial et de Juvénal. </w:t>
      </w:r>
      <w:r w:rsidR="00D31BAC">
        <w:t xml:space="preserve">Ses recherches poussent à aborder le marché de la location dans son ensemble, en étudiant aussi ceux qui en avaient été expulsés. K. Bowes </w:t>
      </w:r>
      <w:r w:rsidR="00286E8E">
        <w:t xml:space="preserve">démontre l’importance des traités agronomiques pour saisir l’agriculture romaine </w:t>
      </w:r>
      <w:proofErr w:type="spellStart"/>
      <w:r w:rsidR="00286E8E">
        <w:rPr>
          <w:i/>
        </w:rPr>
        <w:t>from</w:t>
      </w:r>
      <w:proofErr w:type="spellEnd"/>
      <w:r w:rsidR="00286E8E">
        <w:rPr>
          <w:i/>
        </w:rPr>
        <w:t xml:space="preserve"> </w:t>
      </w:r>
      <w:proofErr w:type="spellStart"/>
      <w:r w:rsidR="00286E8E">
        <w:rPr>
          <w:i/>
        </w:rPr>
        <w:t>below</w:t>
      </w:r>
      <w:proofErr w:type="spellEnd"/>
      <w:r w:rsidR="00286E8E">
        <w:t xml:space="preserve">. Ils ne peuvent plus être considérés comme des écrits de l’élite pour l’élite. En réalité, l’archéologie montre que les grands et les petits propriétaires partageaient des pratiques communes. L’ouvrage sort ensuite des préoccupations purement matérielles pour se pencher sur le genre et l’ethnicité. </w:t>
      </w:r>
      <w:r w:rsidR="0078627E">
        <w:t xml:space="preserve">G. </w:t>
      </w:r>
      <w:proofErr w:type="spellStart"/>
      <w:r w:rsidR="0078627E">
        <w:t>Zuchtriegel</w:t>
      </w:r>
      <w:proofErr w:type="spellEnd"/>
      <w:r w:rsidR="0078627E">
        <w:t xml:space="preserve"> </w:t>
      </w:r>
      <w:r w:rsidR="001A2A3A">
        <w:t>s’intéresse aux colonies grecques de Sicile où, dès le VI</w:t>
      </w:r>
      <w:r w:rsidR="001A2A3A">
        <w:rPr>
          <w:vertAlign w:val="superscript"/>
        </w:rPr>
        <w:t>e</w:t>
      </w:r>
      <w:r w:rsidR="001A2A3A">
        <w:t xml:space="preserve"> siècle, certains groupes, tels que les femmes, les étrangers et les travailleurs subalternes, avaient peu ou pas de visibilité dans la représentation officielle masculine et urbaine </w:t>
      </w:r>
      <w:proofErr w:type="gramStart"/>
      <w:r w:rsidR="001A2A3A">
        <w:t xml:space="preserve">de la </w:t>
      </w:r>
      <w:r w:rsidR="001A2A3A">
        <w:rPr>
          <w:i/>
        </w:rPr>
        <w:t>polis</w:t>
      </w:r>
      <w:proofErr w:type="gramEnd"/>
      <w:r w:rsidR="002C4F2E">
        <w:t xml:space="preserve"> et ce, à partir de facteurs reliant le statut social, la culture, l’espace et l’ethnicité.</w:t>
      </w:r>
      <w:r w:rsidR="00286E8E">
        <w:t xml:space="preserve"> </w:t>
      </w:r>
      <w:r w:rsidR="002C4F2E">
        <w:t xml:space="preserve">À partir des </w:t>
      </w:r>
      <w:r w:rsidR="002C4F2E">
        <w:rPr>
          <w:i/>
        </w:rPr>
        <w:t xml:space="preserve">graffiti </w:t>
      </w:r>
      <w:r w:rsidR="002C4F2E">
        <w:t xml:space="preserve">pompéiens de la région du </w:t>
      </w:r>
      <w:r w:rsidR="002C4F2E">
        <w:rPr>
          <w:i/>
        </w:rPr>
        <w:t>lupanar</w:t>
      </w:r>
      <w:r w:rsidR="002C4F2E">
        <w:t xml:space="preserve"> (VII 12, 18–20), à un jet de pierre du </w:t>
      </w:r>
      <w:r w:rsidR="002C4F2E" w:rsidRPr="002C4F2E">
        <w:rPr>
          <w:i/>
        </w:rPr>
        <w:t>forum</w:t>
      </w:r>
      <w:r w:rsidR="002C4F2E">
        <w:t xml:space="preserve">, R. S. </w:t>
      </w:r>
      <w:proofErr w:type="spellStart"/>
      <w:r w:rsidR="002C4F2E">
        <w:t>Garraffoni</w:t>
      </w:r>
      <w:proofErr w:type="spellEnd"/>
      <w:r w:rsidR="002C4F2E">
        <w:t xml:space="preserve"> </w:t>
      </w:r>
      <w:r w:rsidR="005844D2">
        <w:t xml:space="preserve">montre une réelle diversité sociale et ethnique dans ce quartier. La sexualité, comprise ici en tant que « dimension interconnectée des systèmes social et </w:t>
      </w:r>
      <w:r w:rsidR="005844D2">
        <w:lastRenderedPageBreak/>
        <w:t xml:space="preserve">culturel » (p. 184), offre une perspective aussi bien sur les membres de l’élite que sur le langage, les expériences et la conception du monde des « gens d’en bas ». </w:t>
      </w:r>
      <w:r w:rsidR="003658CC">
        <w:t xml:space="preserve">La dernière partie s’ancre dans le domaine politique pour étudier </w:t>
      </w:r>
      <w:proofErr w:type="spellStart"/>
      <w:r w:rsidR="003658CC">
        <w:t>l’</w:t>
      </w:r>
      <w:r w:rsidR="003658CC">
        <w:rPr>
          <w:i/>
        </w:rPr>
        <w:t>agency</w:t>
      </w:r>
      <w:proofErr w:type="spellEnd"/>
      <w:r w:rsidR="003658CC">
        <w:t xml:space="preserve"> des subalternes et leurs actions collectives. </w:t>
      </w:r>
      <w:r w:rsidR="005C26F3">
        <w:t xml:space="preserve">F. A. Morales ouvre la voie en insistant sur l’importance jouée par les métèques et les esclaves dans la vie politique </w:t>
      </w:r>
      <w:r w:rsidR="00562010">
        <w:t xml:space="preserve">athénienne, malgré le processus d’exclusion induit par le concept de </w:t>
      </w:r>
      <w:r w:rsidR="00562010">
        <w:rPr>
          <w:i/>
        </w:rPr>
        <w:t>polis</w:t>
      </w:r>
      <w:r w:rsidR="00562010">
        <w:t xml:space="preserve">. A. </w:t>
      </w:r>
      <w:proofErr w:type="spellStart"/>
      <w:r w:rsidR="00562010">
        <w:t>Gottesman</w:t>
      </w:r>
      <w:proofErr w:type="spellEnd"/>
      <w:r w:rsidR="00562010">
        <w:t xml:space="preserve"> </w:t>
      </w:r>
      <w:r w:rsidR="003B2819">
        <w:t xml:space="preserve">démontre la frilosité des sources littéraires grecques à présenter la vie politique athénienne en termes de </w:t>
      </w:r>
      <w:proofErr w:type="spellStart"/>
      <w:r w:rsidR="003B2819" w:rsidRPr="003B2819">
        <w:rPr>
          <w:i/>
        </w:rPr>
        <w:t>stasis</w:t>
      </w:r>
      <w:proofErr w:type="spellEnd"/>
      <w:r w:rsidR="003B2819">
        <w:t xml:space="preserve"> à travers l’exemple</w:t>
      </w:r>
      <w:r w:rsidR="00562010">
        <w:t xml:space="preserve"> de </w:t>
      </w:r>
      <w:r w:rsidR="003B2819">
        <w:t xml:space="preserve">la révolte de </w:t>
      </w:r>
      <w:r w:rsidR="00562010">
        <w:t>508/507 av. n. è.</w:t>
      </w:r>
      <w:r w:rsidR="00CA2863">
        <w:t xml:space="preserve"> Ses recherches exposent l’importance de comprendre dans un premier temps comment les sources ont transmis un événement avant de l’analyser en détails. </w:t>
      </w:r>
      <w:r w:rsidR="00F863E9">
        <w:t xml:space="preserve">À partir </w:t>
      </w:r>
      <w:r w:rsidR="001C776B">
        <w:t xml:space="preserve">des </w:t>
      </w:r>
      <w:r w:rsidR="00F863E9">
        <w:t>exemples de contre-conspirations et de rébellions</w:t>
      </w:r>
      <w:r w:rsidR="001C776B">
        <w:t xml:space="preserve"> contenus dans l’œuvre de Tite-Live</w:t>
      </w:r>
      <w:r w:rsidR="00F863E9">
        <w:t xml:space="preserve">, </w:t>
      </w:r>
      <w:r w:rsidR="00CA2863">
        <w:t xml:space="preserve">F. D. Joly </w:t>
      </w:r>
      <w:r w:rsidR="00F863E9">
        <w:t>étudie</w:t>
      </w:r>
      <w:r w:rsidR="002C1FE9">
        <w:t xml:space="preserve"> la capacité des esclaves à profiter des structures mises en place par les politiques de répression et </w:t>
      </w:r>
      <w:r w:rsidR="00F863E9">
        <w:t xml:space="preserve">les guerres pour améliorer leur condition. </w:t>
      </w:r>
      <w:r w:rsidR="0050199C">
        <w:t xml:space="preserve">Dans le seul chapitre consacré à l’Antiquité tardive, </w:t>
      </w:r>
      <w:r w:rsidR="0050199C" w:rsidRPr="0050199C">
        <w:t>J</w:t>
      </w:r>
      <w:r w:rsidR="0050199C">
        <w:t>.</w:t>
      </w:r>
      <w:r w:rsidR="0050199C" w:rsidRPr="0050199C">
        <w:t xml:space="preserve"> C</w:t>
      </w:r>
      <w:r w:rsidR="0050199C">
        <w:t>.</w:t>
      </w:r>
      <w:r w:rsidR="0050199C" w:rsidRPr="0050199C">
        <w:t xml:space="preserve"> </w:t>
      </w:r>
      <w:proofErr w:type="spellStart"/>
      <w:r w:rsidR="0050199C" w:rsidRPr="0050199C">
        <w:t>Magalhães</w:t>
      </w:r>
      <w:proofErr w:type="spellEnd"/>
      <w:r w:rsidR="0050199C" w:rsidRPr="0050199C">
        <w:t xml:space="preserve"> de Oliveira</w:t>
      </w:r>
      <w:r w:rsidR="0050199C">
        <w:t xml:space="preserve"> analyse les foules, qui ne peuvent plus se concevoir comme un </w:t>
      </w:r>
      <w:r w:rsidR="001C776B">
        <w:t>agrégat</w:t>
      </w:r>
      <w:r w:rsidR="0050199C">
        <w:t xml:space="preserve"> éphémère d</w:t>
      </w:r>
      <w:r w:rsidR="008149DC">
        <w:t>e personnes entièrement contrôlées par des leaders politiques ou religieux</w:t>
      </w:r>
      <w:r w:rsidR="0050199C">
        <w:t xml:space="preserve">, mais </w:t>
      </w:r>
      <w:r w:rsidR="008149DC">
        <w:t>comme le résultat d’un partage de valeurs, d’une culture, d’expériences et de liens sociaux entre des individus.</w:t>
      </w:r>
      <w:r w:rsidR="00DE7E4A">
        <w:t xml:space="preserve"> Si les éditeurs </w:t>
      </w:r>
      <w:r w:rsidR="00070DB1">
        <w:t xml:space="preserve">regrettent dès les remerciements les manquements de l’ouvrage, tels que l’absence de chapitre sur l’histoire religieuse, et insistent dans l’introduction sur leur non-prétention à l’exhaustivité, on se retrouve </w:t>
      </w:r>
      <w:r w:rsidR="00310C86">
        <w:t xml:space="preserve">tout de même </w:t>
      </w:r>
      <w:r w:rsidR="00070DB1">
        <w:t xml:space="preserve">devant un ouvrage bien fourni et d’une cohérence appréciable. </w:t>
      </w:r>
      <w:r w:rsidR="00A87961">
        <w:t>Malgré les contextes divers et variés abordés,</w:t>
      </w:r>
      <w:r w:rsidR="00AA7D02">
        <w:t xml:space="preserve"> </w:t>
      </w:r>
      <w:r w:rsidR="00AA7D02">
        <w:rPr>
          <w:i/>
        </w:rPr>
        <w:t xml:space="preserve">i.e. </w:t>
      </w:r>
      <w:r w:rsidR="00AA7D02">
        <w:t>de la Sicile à la Syrie et de l’époque archaïque à l’Antiquité tardive,</w:t>
      </w:r>
      <w:r w:rsidR="00A87961">
        <w:t xml:space="preserve"> tous les auteurs se retrouvent confrontés aux mêmes questionnements qui sous-tendent le livre : qui sont ces gens d’en bas ? Comment saisir leurs expériences de subordination et leur capacité à les améliorer ? </w:t>
      </w:r>
      <w:r w:rsidR="006A2A58">
        <w:t>L</w:t>
      </w:r>
      <w:r w:rsidR="00375BFF">
        <w:t xml:space="preserve">’ouvrage nous rappelle que notre conception de la subalternité, voire de l’histoire en général, est la plupart du temps le reflet de nos préoccupations contemporaines. Dans un contexte d’après-guerre, le souvenir de la lutte contre le fascisme et le stalinisme étant encore frais, les historiens britanniques marxistes étudiaient </w:t>
      </w:r>
      <w:r w:rsidR="00942E08">
        <w:t xml:space="preserve">les expériences et </w:t>
      </w:r>
      <w:proofErr w:type="spellStart"/>
      <w:r w:rsidR="00942E08">
        <w:t>l</w:t>
      </w:r>
      <w:r w:rsidR="005A394D">
        <w:t>’</w:t>
      </w:r>
      <w:r w:rsidR="005A394D">
        <w:rPr>
          <w:i/>
        </w:rPr>
        <w:t>agency</w:t>
      </w:r>
      <w:proofErr w:type="spellEnd"/>
      <w:r w:rsidR="00942E08">
        <w:t xml:space="preserve"> des classes ouvrières. De la même manière, on ne sera pas étonné de trouver ici des articles sur la sexualité, l’ethnicité ou encore les mouvements de protestation à notre époque où ces enjeux sociétaux noircissent les pages des journaux et des réseaux sociaux. L’épilogue de P. P. A. </w:t>
      </w:r>
      <w:proofErr w:type="spellStart"/>
      <w:r w:rsidR="00942E08">
        <w:t>Funari</w:t>
      </w:r>
      <w:proofErr w:type="spellEnd"/>
      <w:r w:rsidR="00942E08">
        <w:t xml:space="preserve"> souligne ce jeu constant entre passé, présent et futur. Au final, </w:t>
      </w:r>
      <w:r w:rsidR="006A2A58">
        <w:t xml:space="preserve">le livre </w:t>
      </w:r>
      <w:r w:rsidR="006A2A58">
        <w:rPr>
          <w:i/>
        </w:rPr>
        <w:t xml:space="preserve">Ancient </w:t>
      </w:r>
      <w:proofErr w:type="spellStart"/>
      <w:r w:rsidR="006A2A58">
        <w:rPr>
          <w:i/>
        </w:rPr>
        <w:t>History</w:t>
      </w:r>
      <w:proofErr w:type="spellEnd"/>
      <w:r w:rsidR="006A2A58">
        <w:rPr>
          <w:i/>
        </w:rPr>
        <w:t xml:space="preserve"> </w:t>
      </w:r>
      <w:proofErr w:type="spellStart"/>
      <w:r w:rsidR="006A2A58">
        <w:rPr>
          <w:i/>
        </w:rPr>
        <w:t>from</w:t>
      </w:r>
      <w:proofErr w:type="spellEnd"/>
      <w:r w:rsidR="006A2A58">
        <w:rPr>
          <w:i/>
        </w:rPr>
        <w:t xml:space="preserve"> </w:t>
      </w:r>
      <w:proofErr w:type="spellStart"/>
      <w:r w:rsidR="006A2A58">
        <w:rPr>
          <w:i/>
        </w:rPr>
        <w:t>Below</w:t>
      </w:r>
      <w:proofErr w:type="spellEnd"/>
      <w:r w:rsidR="006A2A58">
        <w:t xml:space="preserve"> aura dépassé son objectif méthodologique et exploratoire. Il ouvre le champ des possibles de cette perspective historiographique et nous montre que l’approche dichotomique des sociétés antiques doit disparaître au profit d’une organisation plus fine et dynamique. </w:t>
      </w:r>
      <w:r w:rsidR="00942E08">
        <w:t xml:space="preserve"> </w:t>
      </w:r>
      <w:bookmarkStart w:id="0" w:name="_GoBack"/>
      <w:bookmarkEnd w:id="0"/>
      <w:r w:rsidR="00942E08">
        <w:t xml:space="preserve"> </w:t>
      </w:r>
      <w:r w:rsidR="00375BFF">
        <w:t xml:space="preserve"> </w:t>
      </w:r>
      <w:r w:rsidR="00310C86">
        <w:t xml:space="preserve">  </w:t>
      </w:r>
    </w:p>
    <w:sectPr w:rsidR="00B4613A" w:rsidRPr="00501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559"/>
    <w:rsid w:val="00051AEA"/>
    <w:rsid w:val="00070DB1"/>
    <w:rsid w:val="000B36B9"/>
    <w:rsid w:val="001447E8"/>
    <w:rsid w:val="00190F81"/>
    <w:rsid w:val="001A2A3A"/>
    <w:rsid w:val="001B17A8"/>
    <w:rsid w:val="001C776B"/>
    <w:rsid w:val="00286E8E"/>
    <w:rsid w:val="002C1FE9"/>
    <w:rsid w:val="002C4F2E"/>
    <w:rsid w:val="00310C86"/>
    <w:rsid w:val="003241BE"/>
    <w:rsid w:val="003658CC"/>
    <w:rsid w:val="00375BFF"/>
    <w:rsid w:val="003B2819"/>
    <w:rsid w:val="003E6079"/>
    <w:rsid w:val="00406D87"/>
    <w:rsid w:val="00413E3A"/>
    <w:rsid w:val="004D436B"/>
    <w:rsid w:val="004E0F5D"/>
    <w:rsid w:val="004E4862"/>
    <w:rsid w:val="0050199C"/>
    <w:rsid w:val="00557659"/>
    <w:rsid w:val="00562010"/>
    <w:rsid w:val="00570D8E"/>
    <w:rsid w:val="005844D2"/>
    <w:rsid w:val="005A394D"/>
    <w:rsid w:val="005B3767"/>
    <w:rsid w:val="005C216A"/>
    <w:rsid w:val="005C26F3"/>
    <w:rsid w:val="006728B3"/>
    <w:rsid w:val="006A2A58"/>
    <w:rsid w:val="006B2395"/>
    <w:rsid w:val="006C5045"/>
    <w:rsid w:val="0078627E"/>
    <w:rsid w:val="007D4AA2"/>
    <w:rsid w:val="008149DC"/>
    <w:rsid w:val="008A3F9A"/>
    <w:rsid w:val="008D0A26"/>
    <w:rsid w:val="008D2C46"/>
    <w:rsid w:val="00942E08"/>
    <w:rsid w:val="009E5325"/>
    <w:rsid w:val="009F2559"/>
    <w:rsid w:val="00A40811"/>
    <w:rsid w:val="00A87961"/>
    <w:rsid w:val="00A97F4E"/>
    <w:rsid w:val="00AA7D02"/>
    <w:rsid w:val="00AF20D4"/>
    <w:rsid w:val="00B27911"/>
    <w:rsid w:val="00B90C16"/>
    <w:rsid w:val="00B96704"/>
    <w:rsid w:val="00C422FE"/>
    <w:rsid w:val="00C96793"/>
    <w:rsid w:val="00CA2863"/>
    <w:rsid w:val="00D22056"/>
    <w:rsid w:val="00D31BAC"/>
    <w:rsid w:val="00D92F36"/>
    <w:rsid w:val="00DE7E4A"/>
    <w:rsid w:val="00E2644C"/>
    <w:rsid w:val="00E35C63"/>
    <w:rsid w:val="00E641B4"/>
    <w:rsid w:val="00EC0C5C"/>
    <w:rsid w:val="00F027C2"/>
    <w:rsid w:val="00F4537D"/>
    <w:rsid w:val="00F863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1148E"/>
  <w15:chartTrackingRefBased/>
  <w15:docId w15:val="{EFA026DF-8463-4126-A340-0AAC32FF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A40811"/>
    <w:pPr>
      <w:keepNext/>
      <w:keepLines/>
      <w:spacing w:before="160" w:line="240" w:lineRule="auto"/>
      <w:outlineLvl w:val="0"/>
    </w:pPr>
    <w:rPr>
      <w:rFonts w:ascii="Times New Roman" w:eastAsiaTheme="majorEastAsia" w:hAnsi="Times New Roman" w:cstheme="majorBidi"/>
      <w:b/>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0811"/>
    <w:rPr>
      <w:rFonts w:ascii="Times New Roman" w:eastAsiaTheme="majorEastAsia" w:hAnsi="Times New Roman" w:cstheme="majorBidi"/>
      <w:b/>
      <w:sz w:val="32"/>
      <w:szCs w:val="32"/>
    </w:rPr>
  </w:style>
  <w:style w:type="paragraph" w:customStyle="1" w:styleId="Texte">
    <w:name w:val="Texte"/>
    <w:basedOn w:val="Normal"/>
    <w:qFormat/>
    <w:rsid w:val="00E35C63"/>
    <w:pPr>
      <w:spacing w:after="0" w:line="240" w:lineRule="auto"/>
      <w:ind w:firstLine="709"/>
      <w:jc w:val="both"/>
    </w:pPr>
    <w:rPr>
      <w:rFonts w:ascii="Times New Roman" w:hAnsi="Times New Roman"/>
      <w:sz w:val="24"/>
    </w:rPr>
  </w:style>
  <w:style w:type="paragraph" w:styleId="Sous-titre">
    <w:name w:val="Subtitle"/>
    <w:basedOn w:val="Normal"/>
    <w:next w:val="Normal"/>
    <w:link w:val="Sous-titreCar"/>
    <w:uiPriority w:val="11"/>
    <w:qFormat/>
    <w:rsid w:val="007D4AA2"/>
    <w:pPr>
      <w:numPr>
        <w:ilvl w:val="1"/>
      </w:numPr>
      <w:spacing w:before="120" w:after="120" w:line="240" w:lineRule="auto"/>
    </w:pPr>
    <w:rPr>
      <w:rFonts w:ascii="Times New Roman" w:eastAsiaTheme="minorEastAsia" w:hAnsi="Times New Roman"/>
      <w:i/>
      <w:color w:val="5A5A5A" w:themeColor="text1" w:themeTint="A5"/>
      <w:spacing w:val="15"/>
      <w:sz w:val="24"/>
    </w:rPr>
  </w:style>
  <w:style w:type="character" w:customStyle="1" w:styleId="Sous-titreCar">
    <w:name w:val="Sous-titre Car"/>
    <w:basedOn w:val="Policepardfaut"/>
    <w:link w:val="Sous-titre"/>
    <w:uiPriority w:val="11"/>
    <w:rsid w:val="007D4AA2"/>
    <w:rPr>
      <w:rFonts w:ascii="Times New Roman" w:eastAsiaTheme="minorEastAsia" w:hAnsi="Times New Roman"/>
      <w:i/>
      <w:color w:val="5A5A5A" w:themeColor="text1" w:themeTint="A5"/>
      <w:spacing w:val="1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TotalTime>
  <Pages>2</Pages>
  <Words>1130</Words>
  <Characters>6215</Characters>
  <Application>Microsoft Office Word</Application>
  <DocSecurity>0</DocSecurity>
  <Lines>86</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Delvigne</dc:creator>
  <cp:keywords/>
  <dc:description/>
  <cp:lastModifiedBy>Damien Delvigne</cp:lastModifiedBy>
  <cp:revision>13</cp:revision>
  <dcterms:created xsi:type="dcterms:W3CDTF">2022-01-26T12:42:00Z</dcterms:created>
  <dcterms:modified xsi:type="dcterms:W3CDTF">2022-01-30T11:47:00Z</dcterms:modified>
</cp:coreProperties>
</file>