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33793" w14:textId="682DC5CB" w:rsidR="006454AE" w:rsidRDefault="003F28F6" w:rsidP="00A56C75">
      <w:pPr>
        <w:pStyle w:val="TitreFRArticle"/>
      </w:pPr>
      <w:r>
        <w:t>Constructions verbales en français : variation en fonction des genres discursifs</w:t>
      </w:r>
    </w:p>
    <w:p w14:paraId="33A7ECF4" w14:textId="342F2C22" w:rsidR="00A56C75" w:rsidRPr="00F9192F" w:rsidRDefault="003F28F6" w:rsidP="00BA79D8">
      <w:pPr>
        <w:pStyle w:val="TitreGBArticle"/>
      </w:pPr>
      <w:r w:rsidRPr="00F9192F">
        <w:t>Verbal constructions in French: variation across discourse genres</w:t>
      </w:r>
    </w:p>
    <w:p w14:paraId="4C3A0B5B" w14:textId="77777777" w:rsidR="00A56C75" w:rsidRDefault="006F5EA5" w:rsidP="00A56C75">
      <w:pPr>
        <w:pStyle w:val="Auteur"/>
      </w:pPr>
      <w:r>
        <w:t>Anne Catherine Simon</w:t>
      </w:r>
    </w:p>
    <w:p w14:paraId="69D27D2B" w14:textId="77777777" w:rsidR="00A56C75" w:rsidRDefault="006F5EA5" w:rsidP="00A56C75">
      <w:pPr>
        <w:pStyle w:val="AuteurRef"/>
      </w:pPr>
      <w:r>
        <w:t>UCLouvain, Institut Langage &amp; Communication</w:t>
      </w:r>
    </w:p>
    <w:p w14:paraId="4B18D607" w14:textId="77777777" w:rsidR="006F5EA5" w:rsidRDefault="006F5EA5" w:rsidP="006F5EA5">
      <w:pPr>
        <w:pStyle w:val="Auteur"/>
      </w:pPr>
      <w:r>
        <w:t>Liesbeth Degand</w:t>
      </w:r>
    </w:p>
    <w:p w14:paraId="12D7AA9B" w14:textId="77777777" w:rsidR="006F5EA5" w:rsidRDefault="006F5EA5" w:rsidP="006F5EA5">
      <w:pPr>
        <w:pStyle w:val="AuteurRef"/>
      </w:pPr>
      <w:r>
        <w:t>UCLouvain, Institut Langage &amp; Communication</w:t>
      </w:r>
    </w:p>
    <w:p w14:paraId="76B8AA89" w14:textId="77777777" w:rsidR="00A56C75" w:rsidRPr="00DA67B4" w:rsidRDefault="00A56C75" w:rsidP="00A56C75">
      <w:pPr>
        <w:pStyle w:val="AbstractFRTitre"/>
      </w:pPr>
      <w:r>
        <w:t>Résumé</w:t>
      </w:r>
    </w:p>
    <w:p w14:paraId="25734CBF" w14:textId="1A3F1027" w:rsidR="00A56C75" w:rsidRDefault="00AF0313" w:rsidP="00A56C75">
      <w:pPr>
        <w:pStyle w:val="AbstractFR"/>
      </w:pPr>
      <w:r>
        <w:t>Cette contribution vise à mettre au jour l’interaction entre situation de parole et construction ou dispositif syntaxique. Sans défendre le point de vue qu’il y aurait une « syntaxe de l’oral », nous montrons que la situation communicative a une influence sur les structures syntaxiques mises en œuvre par les locuteurs. En particulier, les résultats de notre étude quantitative (n=357</w:t>
      </w:r>
      <w:r w:rsidR="00415813">
        <w:t>6</w:t>
      </w:r>
      <w:r>
        <w:t>) sur un corpus multigenre (14 situations de parole) montre</w:t>
      </w:r>
      <w:r w:rsidR="00550991">
        <w:t>nt</w:t>
      </w:r>
      <w:r>
        <w:t xml:space="preserve"> que le dispositif direct est de loin le plus fréquent dans toutes les situations. Néanmoins, le genre discursif oral influence de manière statistiquement significative la proportion de dispositifs directs par rapport aux autres constructions syntaxiques. </w:t>
      </w:r>
      <w:r w:rsidR="00415813">
        <w:t>En particulier</w:t>
      </w:r>
      <w:r>
        <w:t>, c</w:t>
      </w:r>
      <w:r w:rsidR="00415813">
        <w:t>’</w:t>
      </w:r>
      <w:r>
        <w:t>e</w:t>
      </w:r>
      <w:r w:rsidR="00415813">
        <w:t xml:space="preserve">st la </w:t>
      </w:r>
      <w:r>
        <w:t xml:space="preserve">variable « degré de préparation » qui apparait comme le facteur le plus déterminant. </w:t>
      </w:r>
    </w:p>
    <w:p w14:paraId="53540258" w14:textId="77777777" w:rsidR="00393C25" w:rsidRPr="00393C25" w:rsidRDefault="00393C25" w:rsidP="00393C25">
      <w:pPr>
        <w:pStyle w:val="MotCleFRTitre"/>
      </w:pPr>
      <w:r>
        <w:t>Mots-clés</w:t>
      </w:r>
    </w:p>
    <w:p w14:paraId="58EAC455" w14:textId="72B4E4D9" w:rsidR="00393C25" w:rsidRPr="00964503" w:rsidRDefault="00333384" w:rsidP="00231372">
      <w:pPr>
        <w:pStyle w:val="MotCleFR"/>
      </w:pPr>
      <w:r>
        <w:t>Dispositif syntaxique</w:t>
      </w:r>
      <w:r w:rsidR="006B224F">
        <w:t xml:space="preserve">, </w:t>
      </w:r>
      <w:r>
        <w:t xml:space="preserve">construction </w:t>
      </w:r>
      <w:r w:rsidR="006031E6">
        <w:t>verbale</w:t>
      </w:r>
      <w:r w:rsidR="006B224F">
        <w:t xml:space="preserve">, </w:t>
      </w:r>
      <w:r>
        <w:t>genre discursif</w:t>
      </w:r>
      <w:r w:rsidR="006B224F">
        <w:t xml:space="preserve">, </w:t>
      </w:r>
      <w:r>
        <w:t>étude quantitative</w:t>
      </w:r>
    </w:p>
    <w:p w14:paraId="417ACCF7" w14:textId="77777777" w:rsidR="00A56C75" w:rsidRPr="00AF0313" w:rsidRDefault="00A56C75" w:rsidP="00A56C75">
      <w:pPr>
        <w:pStyle w:val="AbstractGBTitre"/>
      </w:pPr>
      <w:r w:rsidRPr="00AF0313">
        <w:t>Abstract</w:t>
      </w:r>
      <w:r w:rsidR="00DA67B4" w:rsidRPr="00AF0313">
        <w:t xml:space="preserve"> </w:t>
      </w:r>
    </w:p>
    <w:p w14:paraId="1F1602A3" w14:textId="3AA42B91" w:rsidR="00A56C75" w:rsidRPr="00AF0313" w:rsidRDefault="00AF0313" w:rsidP="00A032E5">
      <w:pPr>
        <w:pStyle w:val="AbstractGB"/>
        <w:rPr>
          <w:lang w:val="en-GB"/>
        </w:rPr>
      </w:pPr>
      <w:r w:rsidRPr="00AF0313">
        <w:rPr>
          <w:lang w:val="en-GB"/>
        </w:rPr>
        <w:t xml:space="preserve">The aim of this contribution is to shed light on the interaction between the speech situation and the syntactic construction or </w:t>
      </w:r>
      <w:r>
        <w:rPr>
          <w:lang w:val="en-GB"/>
        </w:rPr>
        <w:t>“dispositif”</w:t>
      </w:r>
      <w:r w:rsidRPr="00AF0313">
        <w:rPr>
          <w:lang w:val="en-GB"/>
        </w:rPr>
        <w:t>. Without defending the view that there is a "syntax of oral speech", we show that the communicative situation has an influence on the syntactic structures used by speakers. In particular, the results of our quantitative study (n=357</w:t>
      </w:r>
      <w:r w:rsidR="00415813">
        <w:rPr>
          <w:lang w:val="en-GB"/>
        </w:rPr>
        <w:t>6</w:t>
      </w:r>
      <w:r w:rsidRPr="00AF0313">
        <w:rPr>
          <w:lang w:val="en-GB"/>
        </w:rPr>
        <w:t xml:space="preserve">) of a multi-genre corpus (14 speech situations) show that the </w:t>
      </w:r>
      <w:r>
        <w:rPr>
          <w:lang w:val="en-GB"/>
        </w:rPr>
        <w:t>“dispositif direct”</w:t>
      </w:r>
      <w:r w:rsidRPr="00AF0313">
        <w:rPr>
          <w:lang w:val="en-GB"/>
        </w:rPr>
        <w:t xml:space="preserve"> is by far the most frequent in all situations. Nevertheless, the oral discourse genre has a statistically significant influence on the proportion of </w:t>
      </w:r>
      <w:r>
        <w:rPr>
          <w:lang w:val="en-GB"/>
        </w:rPr>
        <w:t>this structure</w:t>
      </w:r>
      <w:r w:rsidRPr="00AF0313">
        <w:rPr>
          <w:lang w:val="en-GB"/>
        </w:rPr>
        <w:t xml:space="preserve"> compared to other syntactic constructions. </w:t>
      </w:r>
      <w:r w:rsidR="00415813">
        <w:rPr>
          <w:lang w:val="en-GB"/>
        </w:rPr>
        <w:t>In particular</w:t>
      </w:r>
      <w:r w:rsidRPr="00AF0313">
        <w:rPr>
          <w:lang w:val="en-GB"/>
        </w:rPr>
        <w:t>, the variable "degree of preparation" appear</w:t>
      </w:r>
      <w:r w:rsidR="00415813">
        <w:rPr>
          <w:lang w:val="en-GB"/>
        </w:rPr>
        <w:t>s</w:t>
      </w:r>
      <w:r w:rsidRPr="00AF0313">
        <w:rPr>
          <w:lang w:val="en-GB"/>
        </w:rPr>
        <w:t xml:space="preserve"> to be the most decisive factor.</w:t>
      </w:r>
    </w:p>
    <w:p w14:paraId="2A6FF810" w14:textId="77777777" w:rsidR="00393C25" w:rsidRPr="006F5EA5" w:rsidRDefault="00393C25" w:rsidP="00393C25">
      <w:pPr>
        <w:pStyle w:val="MotCleGBTitre"/>
        <w:rPr>
          <w:lang w:val="fr-BE"/>
        </w:rPr>
      </w:pPr>
      <w:r w:rsidRPr="006F5EA5">
        <w:rPr>
          <w:lang w:val="fr-BE"/>
        </w:rPr>
        <w:t>Keywords</w:t>
      </w:r>
      <w:r w:rsidR="00DA67B4" w:rsidRPr="006F5EA5">
        <w:rPr>
          <w:lang w:val="fr-BE"/>
        </w:rPr>
        <w:t xml:space="preserve"> </w:t>
      </w:r>
    </w:p>
    <w:p w14:paraId="248C5747" w14:textId="5C759245" w:rsidR="00393C25" w:rsidRPr="006F5EA5" w:rsidRDefault="00333384" w:rsidP="00231372">
      <w:pPr>
        <w:pStyle w:val="MotCleGB"/>
        <w:rPr>
          <w:lang w:val="fr-BE"/>
        </w:rPr>
      </w:pPr>
      <w:r>
        <w:rPr>
          <w:lang w:val="fr-BE"/>
        </w:rPr>
        <w:t>Syntactic structure</w:t>
      </w:r>
      <w:r w:rsidR="006B224F" w:rsidRPr="006F5EA5">
        <w:rPr>
          <w:lang w:val="fr-BE"/>
        </w:rPr>
        <w:t xml:space="preserve">, </w:t>
      </w:r>
      <w:r w:rsidR="00BF1420">
        <w:rPr>
          <w:lang w:val="fr-BE"/>
        </w:rPr>
        <w:t>discursive</w:t>
      </w:r>
      <w:r>
        <w:rPr>
          <w:lang w:val="fr-BE"/>
        </w:rPr>
        <w:t xml:space="preserve"> genre, quantitative study </w:t>
      </w:r>
    </w:p>
    <w:p w14:paraId="338CD8D9" w14:textId="77777777" w:rsidR="00A56C75" w:rsidRDefault="00A8478A" w:rsidP="00A8478A">
      <w:pPr>
        <w:pStyle w:val="Titre10"/>
      </w:pPr>
      <w:r>
        <w:t xml:space="preserve">1. </w:t>
      </w:r>
      <w:r w:rsidR="0028756E">
        <w:t>Introduction</w:t>
      </w:r>
      <w:r>
        <w:t xml:space="preserve"> </w:t>
      </w:r>
    </w:p>
    <w:p w14:paraId="39422B5D" w14:textId="6EFF7118" w:rsidR="006E072C" w:rsidRDefault="00C01A34" w:rsidP="0028756E">
      <w:pPr>
        <w:pStyle w:val="Body"/>
      </w:pPr>
      <w:r>
        <w:t>Cette contribution s’inscrit dans le domaine de</w:t>
      </w:r>
      <w:r w:rsidR="003F28F6">
        <w:t xml:space="preserve"> l’analyse</w:t>
      </w:r>
      <w:r>
        <w:t xml:space="preserve"> syntaxique du français parlé</w:t>
      </w:r>
      <w:r w:rsidR="002A07C4">
        <w:t xml:space="preserve"> dont les premiers développements systématiques sont dus à</w:t>
      </w:r>
      <w:r w:rsidR="00C05360">
        <w:t xml:space="preserve"> la pionnière Claire</w:t>
      </w:r>
      <w:r w:rsidR="002A07C4">
        <w:t xml:space="preserve"> </w:t>
      </w:r>
      <w:r>
        <w:t>Blanche-Benveniste</w:t>
      </w:r>
      <w:r w:rsidR="002A07C4">
        <w:t xml:space="preserve"> et</w:t>
      </w:r>
      <w:r w:rsidR="00C05360">
        <w:t xml:space="preserve"> à ses</w:t>
      </w:r>
      <w:r w:rsidR="002A07C4">
        <w:t xml:space="preserve"> collègues</w:t>
      </w:r>
      <w:r w:rsidR="00C05360">
        <w:t xml:space="preserve"> du groupe aixois de recherche en syntaxe</w:t>
      </w:r>
      <w:r w:rsidR="002A07C4">
        <w:t xml:space="preserve"> (1984, 1</w:t>
      </w:r>
      <w:r>
        <w:t>990</w:t>
      </w:r>
      <w:r w:rsidR="002A07C4">
        <w:t>)</w:t>
      </w:r>
      <w:r>
        <w:t xml:space="preserve">. </w:t>
      </w:r>
      <w:r w:rsidR="002A07C4">
        <w:t>Il existe des différences importantes entre l’écrit et l’oral, mais elles concernent en particulier les modes de production (Blanche-Benveniste 20</w:t>
      </w:r>
      <w:r w:rsidR="00F54E81">
        <w:t>1</w:t>
      </w:r>
      <w:r w:rsidR="002A07C4">
        <w:t xml:space="preserve">0 : 16). </w:t>
      </w:r>
      <w:r w:rsidR="002A07C4">
        <w:lastRenderedPageBreak/>
        <w:t>En effet, de nombreuses études</w:t>
      </w:r>
      <w:r>
        <w:t xml:space="preserve"> s’accordent à montrer qu’il n’existe pas une syntaxe typique de l’oral</w:t>
      </w:r>
      <w:r w:rsidR="003F28F6">
        <w:t xml:space="preserve">. En réalité, </w:t>
      </w:r>
      <w:r>
        <w:t>la description de corpus oraux a permis de « mieux éclairer le système de la langue tout court, l’analyse de l’oral complétant en quelque sorte les zones d’ombre de l’écrit » (Willems 1997</w:t>
      </w:r>
      <w:r w:rsidR="00A032E5">
        <w:t xml:space="preserve"> : </w:t>
      </w:r>
      <w:r>
        <w:t xml:space="preserve">16). </w:t>
      </w:r>
      <w:r w:rsidR="006031E6">
        <w:t>À cela s’ajoute le fait</w:t>
      </w:r>
      <w:r w:rsidR="002A07C4">
        <w:t xml:space="preserve"> que « l’utilisation du terme ‘syntaxe de l’oral’ est du reste assez absurde, au regard de la grande diversité des genres et des situations de parole. On ne peut pas faire porter sur l’ensemble de la langue parlée les caractères d’incohérence typiques de certaines situations comme celle des conversations à bâtons rompus » (Blanche-Benveniste 1997 : 87). </w:t>
      </w:r>
    </w:p>
    <w:p w14:paraId="14B5AC71" w14:textId="354A75CE" w:rsidR="002A07C4" w:rsidRDefault="003F28F6" w:rsidP="0028756E">
      <w:pPr>
        <w:pStyle w:val="Body"/>
      </w:pPr>
      <w:r>
        <w:t>Dans l’état de l’art, nous rendons compte d’</w:t>
      </w:r>
      <w:r w:rsidR="0050174C">
        <w:t xml:space="preserve">une série d’études </w:t>
      </w:r>
      <w:r>
        <w:t>décrivant</w:t>
      </w:r>
      <w:r w:rsidR="0050174C">
        <w:t xml:space="preserve"> des particularités de la syntaxe du français parlé, qu’elles touchent l’emploi des pronoms, des temps verbaux, la complexité syntaxique, etc. </w:t>
      </w:r>
      <w:r>
        <w:t>N</w:t>
      </w:r>
      <w:r w:rsidR="0050174C">
        <w:t xml:space="preserve">ous présentons également de manière plus précise le domaine de notre étude, à savoir les constructions verbales. </w:t>
      </w:r>
    </w:p>
    <w:p w14:paraId="69F7C528" w14:textId="477759E5" w:rsidR="00C01A34" w:rsidRDefault="0050174C" w:rsidP="0028756E">
      <w:pPr>
        <w:pStyle w:val="Body"/>
      </w:pPr>
      <w:r>
        <w:t>Le corpus analysé (</w:t>
      </w:r>
      <w:r w:rsidRPr="0050174C">
        <w:t>Martin, Degand &amp; Simon</w:t>
      </w:r>
      <w:r>
        <w:t xml:space="preserve"> 2014, Grosman 2018) a été développé pour illustrer </w:t>
      </w:r>
      <w:r w:rsidR="003F28F6">
        <w:t>la diversité</w:t>
      </w:r>
      <w:r>
        <w:t xml:space="preserve"> des situations qui donnent lieu à des productions orales. L’objectif est </w:t>
      </w:r>
      <w:r w:rsidR="003F28F6">
        <w:t>de documenter</w:t>
      </w:r>
      <w:r>
        <w:t xml:space="preserve"> le continuum allant </w:t>
      </w:r>
      <w:r w:rsidR="009E313B">
        <w:t xml:space="preserve">des </w:t>
      </w:r>
      <w:r>
        <w:t>productions prototypiques d’un oral informel</w:t>
      </w:r>
      <w:r w:rsidR="009E313B">
        <w:t xml:space="preserve"> aux productions orales les plus formelles</w:t>
      </w:r>
      <w:r>
        <w:t xml:space="preserve">. Ce corpus est organisé en fonction de critères décrivant les situations de production. </w:t>
      </w:r>
      <w:r w:rsidR="00945149">
        <w:t>Ceux-ci</w:t>
      </w:r>
      <w:r>
        <w:t xml:space="preserve"> reposent sur une catégorisation des situations en fonction de la dimension conceptionnelle (le continu</w:t>
      </w:r>
      <w:r w:rsidR="004553F3">
        <w:t>u</w:t>
      </w:r>
      <w:r>
        <w:t xml:space="preserve">m associé au registre, au degré de formalité et de préparation) et de </w:t>
      </w:r>
      <w:r w:rsidR="006031E6">
        <w:t>celle</w:t>
      </w:r>
      <w:r>
        <w:t xml:space="preserve"> du comportement communicatif (mettant en jeu les paramètres de communication privée ou publique, dialogique ou monologique, etc.) (Koch &amp; Oesterreicher 2002</w:t>
      </w:r>
      <w:r w:rsidR="0035478B">
        <w:t xml:space="preserve"> ; voir aussi la réflexion de Gadet 1996 sur la notion de </w:t>
      </w:r>
      <w:r w:rsidR="0035478B" w:rsidRPr="009E313B">
        <w:rPr>
          <w:i/>
          <w:iCs/>
        </w:rPr>
        <w:t>registre</w:t>
      </w:r>
      <w:r>
        <w:t>)</w:t>
      </w:r>
      <w:r w:rsidR="0035478B">
        <w:t>.</w:t>
      </w:r>
    </w:p>
    <w:p w14:paraId="1EF4EE77" w14:textId="555D5C13" w:rsidR="00A77119" w:rsidRDefault="007F0317" w:rsidP="0028756E">
      <w:pPr>
        <w:pStyle w:val="Body"/>
      </w:pPr>
      <w:r>
        <w:t>Le corpus</w:t>
      </w:r>
      <w:r w:rsidR="00A77119">
        <w:t xml:space="preserve"> </w:t>
      </w:r>
      <w:r w:rsidR="009744B9">
        <w:t>est de taille modeste (approximativement 41000 tokens) mais richement annoté. Ainsi, outre les</w:t>
      </w:r>
      <w:r w:rsidR="00A77119">
        <w:t xml:space="preserve"> annotations syntaxiques</w:t>
      </w:r>
      <w:r w:rsidR="009744B9">
        <w:t xml:space="preserve"> sur lesquelles s’appuieront nos analyses</w:t>
      </w:r>
      <w:r w:rsidR="00A77119">
        <w:t>,</w:t>
      </w:r>
      <w:r w:rsidR="009744B9">
        <w:t xml:space="preserve"> </w:t>
      </w:r>
      <w:r w:rsidR="00600A73">
        <w:t>il</w:t>
      </w:r>
      <w:r w:rsidR="009744B9">
        <w:t xml:space="preserve"> est également annoté au niveau prosodique (unités, contours, frontières, pro</w:t>
      </w:r>
      <w:r w:rsidR="0035478B">
        <w:t>é</w:t>
      </w:r>
      <w:r w:rsidR="009744B9">
        <w:t xml:space="preserve">minences), des </w:t>
      </w:r>
      <w:r w:rsidR="0035478B">
        <w:t>marques de fluence et de disfluence</w:t>
      </w:r>
      <w:r w:rsidR="009744B9">
        <w:t xml:space="preserve"> (pauses remplies et silencieuses, répétitions, faux-départs, etc.) et des marqueurs discursifs (domaines et fonctions). </w:t>
      </w:r>
    </w:p>
    <w:p w14:paraId="356D13E9" w14:textId="020F51BE" w:rsidR="0028756E" w:rsidRDefault="0035478B" w:rsidP="0028756E">
      <w:pPr>
        <w:pStyle w:val="Body"/>
      </w:pPr>
      <w:r w:rsidRPr="0035478B">
        <w:t>Les principaux résultats</w:t>
      </w:r>
      <w:r>
        <w:t xml:space="preserve"> montrent que le degré de préparation est le paramètre qui explique le mieux la fréquence relative de </w:t>
      </w:r>
      <w:r w:rsidR="006031E6">
        <w:t xml:space="preserve">construction détachées ou de </w:t>
      </w:r>
      <w:r>
        <w:t xml:space="preserve">constructions verbales comme la </w:t>
      </w:r>
      <w:r w:rsidR="00106CEE">
        <w:t>pseudo</w:t>
      </w:r>
      <w:r w:rsidR="00013BC8">
        <w:t>-</w:t>
      </w:r>
      <w:r w:rsidR="00106CEE">
        <w:t>clivée</w:t>
      </w:r>
      <w:r>
        <w:t xml:space="preserve">. </w:t>
      </w:r>
    </w:p>
    <w:p w14:paraId="34A1B2D4" w14:textId="0F01454E" w:rsidR="0028756E" w:rsidRDefault="0028756E" w:rsidP="0028756E">
      <w:pPr>
        <w:pStyle w:val="Titre10"/>
      </w:pPr>
      <w:r>
        <w:t xml:space="preserve">2. </w:t>
      </w:r>
      <w:r w:rsidR="001B36AF">
        <w:t>Descriptions de la syntaxe dans les corpus oraux</w:t>
      </w:r>
    </w:p>
    <w:p w14:paraId="3025CC7B" w14:textId="7FBC1C15" w:rsidR="00106CEE" w:rsidRDefault="00106CEE" w:rsidP="00106CEE">
      <w:pPr>
        <w:pStyle w:val="Titre20"/>
      </w:pPr>
      <w:r>
        <w:t>2.1. Microsyntaxe et macrosyntaxe</w:t>
      </w:r>
    </w:p>
    <w:p w14:paraId="11058EA6" w14:textId="15381AFE" w:rsidR="0035478B" w:rsidRDefault="00AD1BD3" w:rsidP="00AD1BD3">
      <w:pPr>
        <w:pStyle w:val="Body"/>
      </w:pPr>
      <w:r>
        <w:t xml:space="preserve">Une des premières difficultés que pose l’analyse syntaxique à l’oral est la segmentation des données orales transcrites. Les unités traditionnellement retenues pour l’analyse de l’écrit, comme la phrase, ne sont pas aisément identifiables dans des données orales non ponctuées. C’est pourquoi, les approches dominantes en français reposent sur une analyse à deux niveaux. Le niveau microsyntaxique « vise à décrire les constructions syntaxiques conçues comme des ensembles rectionnels » (Benzitoun &amp; Sabio 2010, § 4). Les constructions microsyntaxiques sont des unités régies par un élément recteur (un verbe, un nom, etc.) qui définit des relations de dépendance avec les éléments qu’il régit. À un second niveau, macrosyntaxique, s’opèrent également des regroupements d’unités construites, mais </w:t>
      </w:r>
      <w:r w:rsidR="00B4734E">
        <w:t>ils</w:t>
      </w:r>
      <w:r>
        <w:t xml:space="preserve"> </w:t>
      </w:r>
      <w:r w:rsidR="006031E6">
        <w:t>ne reposent pas sur</w:t>
      </w:r>
      <w:r>
        <w:t xml:space="preserve"> des relations de dépendance du même type. </w:t>
      </w:r>
      <w:r w:rsidR="00106CEE">
        <w:t>« La macrosyntaxe peut se définir comme un niveau d’organisation qui se superpose au module microsyntaxique, et qui prend en charge l’organisation grammaticale des énoncés. […] C’est à ce niveau que l’on rendra compte de certains faits de rattachements entre constructions (parallélismes, regroupements, dégroupements, effets de greffes) » (Sabio 2011 : 81).</w:t>
      </w:r>
    </w:p>
    <w:p w14:paraId="72D52671" w14:textId="21F6BBC1" w:rsidR="00106CEE" w:rsidRDefault="00106CEE" w:rsidP="000422A0">
      <w:pPr>
        <w:pStyle w:val="Body"/>
      </w:pPr>
      <w:r>
        <w:t xml:space="preserve">Le niveau microsyntaxique définit les unités du domaine de la rection. À ce niveau, « on a désigné par </w:t>
      </w:r>
      <w:r>
        <w:rPr>
          <w:i/>
        </w:rPr>
        <w:t>dispositif de la rection</w:t>
      </w:r>
      <w:r>
        <w:t xml:space="preserve"> la manière dont une construction verbale agence les éléments de sa rection de manière à singulariser l’un d’entre eux en lui donnant une valeur focale particulière » (Sabio 2011 : 35-36). On distingue les dispositifs à focalisation initiale, </w:t>
      </w:r>
      <w:r w:rsidR="000422A0">
        <w:t>qui antéposent un élément de la rection du verbe comme le clivage (</w:t>
      </w:r>
      <w:r w:rsidR="000422A0" w:rsidRPr="000422A0">
        <w:rPr>
          <w:i/>
        </w:rPr>
        <w:t>ce sont les quartiers sunnites de la ville qui sont visés par l’armée</w:t>
      </w:r>
      <w:r w:rsidR="000422A0">
        <w:t xml:space="preserve">, LOCAS-F, jpa-4), des dispositifs à focalisation finale, qui retardent la réalisation d’un </w:t>
      </w:r>
      <w:r w:rsidR="000422A0" w:rsidRPr="00DB73AD">
        <w:t>élément</w:t>
      </w:r>
      <w:r w:rsidR="000422A0">
        <w:t xml:space="preserve"> de la rection comme le pseudo-clivage (</w:t>
      </w:r>
      <w:r w:rsidR="000422A0" w:rsidRPr="000422A0">
        <w:rPr>
          <w:i/>
        </w:rPr>
        <w:t>tout ce que la neige a de sympathique ce sont les cœurs qu’on dessine sur les pare- brises</w:t>
      </w:r>
      <w:r w:rsidR="000422A0">
        <w:t xml:space="preserve">, LOCAS-F, lec-3). </w:t>
      </w:r>
    </w:p>
    <w:p w14:paraId="352A3812" w14:textId="4A5D070B" w:rsidR="000422A0" w:rsidRDefault="000422A0" w:rsidP="000422A0">
      <w:pPr>
        <w:pStyle w:val="Body"/>
      </w:pPr>
      <w:r>
        <w:t>Les regroupements macrosyntaxiques opèrent sur des éléments qui n’</w:t>
      </w:r>
      <w:r w:rsidRPr="006031E6">
        <w:t>entretiennent</w:t>
      </w:r>
      <w:r>
        <w:t xml:space="preserve"> pas de relation directe de dépendance syntaxique</w:t>
      </w:r>
      <w:r w:rsidR="00C23A67">
        <w:t xml:space="preserve">, mais qui </w:t>
      </w:r>
      <w:r w:rsidR="006031E6">
        <w:t>se caractérisent</w:t>
      </w:r>
      <w:r w:rsidR="00C23A67">
        <w:t xml:space="preserve"> néanmoins </w:t>
      </w:r>
      <w:r w:rsidR="006031E6">
        <w:t xml:space="preserve">par </w:t>
      </w:r>
      <w:r w:rsidR="00C23A67">
        <w:t>une relation d’implication</w:t>
      </w:r>
      <w:r>
        <w:t xml:space="preserve">. </w:t>
      </w:r>
      <w:r w:rsidR="00145EBD">
        <w:t xml:space="preserve">Les éléments </w:t>
      </w:r>
      <w:r w:rsidR="00C23A67">
        <w:t>associés par une relation macrosyntaxique</w:t>
      </w:r>
      <w:r w:rsidR="00145EBD">
        <w:t xml:space="preserve"> sont hors de la portée du verbe de la construction noyau, comme les adverbes modalisants : </w:t>
      </w:r>
      <w:r w:rsidR="00145EBD">
        <w:rPr>
          <w:i/>
        </w:rPr>
        <w:t xml:space="preserve">apparemment / elle juge qu’elle en sait assez sur moi </w:t>
      </w:r>
      <w:r w:rsidR="00145EBD">
        <w:t>(Blanche-Benveniste 2003</w:t>
      </w:r>
      <w:r w:rsidR="00B4734E">
        <w:t xml:space="preserve"> : </w:t>
      </w:r>
      <w:r w:rsidR="00145EBD">
        <w:t>62)</w:t>
      </w:r>
      <w:r w:rsidR="00C23A67">
        <w:t>. La relation d’implication signifie que l’élément associé n’est pas autonome, sa présence est impliquée par celle d’une unité de rection (verbale) (Benzitoun &amp; Sabio 2010</w:t>
      </w:r>
      <w:r w:rsidR="006031E6">
        <w:t xml:space="preserve"> : </w:t>
      </w:r>
      <w:r w:rsidR="00C23A67">
        <w:t>§ 20).</w:t>
      </w:r>
    </w:p>
    <w:p w14:paraId="666478D9" w14:textId="46D36422" w:rsidR="00106CEE" w:rsidRDefault="00C23A67" w:rsidP="00C23A67">
      <w:pPr>
        <w:pStyle w:val="Body"/>
      </w:pPr>
      <w:r>
        <w:t xml:space="preserve">Ces éléments théoriques définissent le cadre dans lequel les constructions syntaxiques des corpus oraux </w:t>
      </w:r>
      <w:r w:rsidR="0020703C">
        <w:t>sont</w:t>
      </w:r>
      <w:r>
        <w:t xml:space="preserve"> annotées et analysées</w:t>
      </w:r>
      <w:r w:rsidR="0020703C">
        <w:t xml:space="preserve"> </w:t>
      </w:r>
      <w:r w:rsidR="0020703C" w:rsidRPr="004553F3">
        <w:t>(voir 3.3)</w:t>
      </w:r>
      <w:r w:rsidRPr="004553F3">
        <w:t>.</w:t>
      </w:r>
      <w:r>
        <w:t xml:space="preserve"> </w:t>
      </w:r>
    </w:p>
    <w:p w14:paraId="541AC799" w14:textId="6CCE65FC" w:rsidR="00106CEE" w:rsidRPr="0020703C" w:rsidRDefault="00106CEE" w:rsidP="00106CEE">
      <w:pPr>
        <w:pStyle w:val="Titre20"/>
      </w:pPr>
      <w:r w:rsidRPr="0020703C">
        <w:t xml:space="preserve">2.2. Traits </w:t>
      </w:r>
      <w:r w:rsidR="006031E6">
        <w:t>syntaxiques</w:t>
      </w:r>
      <w:r w:rsidRPr="0020703C">
        <w:t xml:space="preserve"> du français parlé</w:t>
      </w:r>
    </w:p>
    <w:p w14:paraId="63277969" w14:textId="7D65C93D" w:rsidR="0020703C" w:rsidRPr="0020703C" w:rsidRDefault="0020703C" w:rsidP="0020703C">
      <w:pPr>
        <w:pStyle w:val="Body"/>
      </w:pPr>
      <w:r>
        <w:t xml:space="preserve">Les </w:t>
      </w:r>
      <w:r w:rsidR="006031E6">
        <w:t>analyses</w:t>
      </w:r>
      <w:r>
        <w:t xml:space="preserve"> </w:t>
      </w:r>
      <w:r w:rsidR="006031E6">
        <w:t xml:space="preserve">syntaxiques du </w:t>
      </w:r>
      <w:r w:rsidR="00032D0A">
        <w:t xml:space="preserve">français parlé </w:t>
      </w:r>
      <w:r>
        <w:t>se concentrent la plupart du temps sur des phénomènes identifiés comme caractéristiques</w:t>
      </w:r>
      <w:r w:rsidR="00B43E57">
        <w:t xml:space="preserve"> </w:t>
      </w:r>
      <w:r w:rsidR="00032D0A">
        <w:t>de l’oral</w:t>
      </w:r>
      <w:r>
        <w:t xml:space="preserve">, </w:t>
      </w:r>
      <w:r w:rsidR="006031E6">
        <w:t>tels que</w:t>
      </w:r>
      <w:r>
        <w:t xml:space="preserve"> le recul des relatifs complexes </w:t>
      </w:r>
      <w:r>
        <w:rPr>
          <w:i/>
        </w:rPr>
        <w:t>dont</w:t>
      </w:r>
      <w:r>
        <w:t xml:space="preserve"> et </w:t>
      </w:r>
      <w:r>
        <w:rPr>
          <w:i/>
        </w:rPr>
        <w:t xml:space="preserve">lequel </w:t>
      </w:r>
      <w:r w:rsidR="006031E6">
        <w:t>ou</w:t>
      </w:r>
      <w:r>
        <w:t xml:space="preserve"> la progression de </w:t>
      </w:r>
      <w:r>
        <w:rPr>
          <w:i/>
        </w:rPr>
        <w:t xml:space="preserve">que </w:t>
      </w:r>
      <w:r w:rsidR="006031E6">
        <w:t>passepartout</w:t>
      </w:r>
      <w:r>
        <w:t xml:space="preserve"> ; </w:t>
      </w:r>
      <w:r w:rsidR="006031E6">
        <w:t>le recul</w:t>
      </w:r>
      <w:r>
        <w:t xml:space="preserve"> d</w:t>
      </w:r>
      <w:r w:rsidR="006031E6">
        <w:t xml:space="preserve">u </w:t>
      </w:r>
      <w:r>
        <w:rPr>
          <w:i/>
        </w:rPr>
        <w:t xml:space="preserve">ne </w:t>
      </w:r>
      <w:r>
        <w:t xml:space="preserve">de négation ; </w:t>
      </w:r>
      <w:r w:rsidR="006031E6">
        <w:t>le recul</w:t>
      </w:r>
      <w:r>
        <w:t xml:space="preserve"> de certains temps verbaux (subjonctif, futur simple, passé simple) et le développement du futur périphrastique ; la simplification de la morphologie du verbe ou du marquage du nombre du nom ; le suremploi de </w:t>
      </w:r>
      <w:r>
        <w:rPr>
          <w:i/>
        </w:rPr>
        <w:t xml:space="preserve">ça </w:t>
      </w:r>
      <w:r>
        <w:t xml:space="preserve">et de </w:t>
      </w:r>
      <w:r>
        <w:rPr>
          <w:i/>
        </w:rPr>
        <w:t>on </w:t>
      </w:r>
      <w:r>
        <w:t>; certaines tournures syntaxiques comme les détachées (</w:t>
      </w:r>
      <w:r>
        <w:rPr>
          <w:i/>
        </w:rPr>
        <w:t>mon frère il l’a dit</w:t>
      </w:r>
      <w:r>
        <w:t>), les compléments d’objet antéposés ou l</w:t>
      </w:r>
      <w:r w:rsidR="00032D0A">
        <w:t>es</w:t>
      </w:r>
      <w:r>
        <w:t xml:space="preserve"> pseudo</w:t>
      </w:r>
      <w:r w:rsidR="00297516">
        <w:t>-</w:t>
      </w:r>
      <w:r>
        <w:t>clivée</w:t>
      </w:r>
      <w:r w:rsidR="00032D0A">
        <w:t>s</w:t>
      </w:r>
      <w:r>
        <w:t xml:space="preserve"> (Blanche-Benveniste et Jeanjean 1987, 31-32 ; </w:t>
      </w:r>
      <w:r w:rsidR="00B43E57">
        <w:t>Aryez-Bennette 2020 : 1467).</w:t>
      </w:r>
    </w:p>
    <w:p w14:paraId="7B782F83" w14:textId="4FFE3C39" w:rsidR="0020703C" w:rsidRDefault="00B43E57" w:rsidP="00B43E57">
      <w:pPr>
        <w:pStyle w:val="Body"/>
      </w:pPr>
      <w:r>
        <w:t>Dans une étude empirique comparant la syntaxe du français parlé à celle du français écrit, Poire</w:t>
      </w:r>
      <w:r w:rsidR="00032D0A">
        <w:t>t</w:t>
      </w:r>
      <w:r>
        <w:t xml:space="preserve"> et Liu (2020) montrent que le français parlé se caractérise par une proportion significativement plus élevée de pronoms et de verbes que le français écrit ; que les sujets nominaux sont six fois moins fréquent</w:t>
      </w:r>
      <w:r w:rsidR="00AD3C7F">
        <w:t>s</w:t>
      </w:r>
      <w:r>
        <w:t xml:space="preserve"> en français parlé (6,91%</w:t>
      </w:r>
      <w:r w:rsidR="004553F3">
        <w:t>)</w:t>
      </w:r>
      <w:r>
        <w:t xml:space="preserve"> qu’en français écrit (42,81%), ce qui est compensé par une fréquence élevée de sujets pronominaux (91,22% à l’oral et 45,91% à l’écrit). Les relations microsyntaxiques et macrosyntaxiques varient également en fréquence. </w:t>
      </w:r>
      <w:r w:rsidR="00032D0A">
        <w:t xml:space="preserve">La construction avec un verbe copule </w:t>
      </w:r>
      <w:r w:rsidR="00032D0A">
        <w:rPr>
          <w:i/>
        </w:rPr>
        <w:t xml:space="preserve">c’est </w:t>
      </w:r>
      <w:r w:rsidR="00032D0A">
        <w:t xml:space="preserve">est plus de deux fois plus fréquente à l’oral qu’à l’écrit. Enfin, comme on peut s’y attendre, les dislocations du sujet (mais aussi de l’objet et du complément régi) sont significativement plus fréquentes dans le corpus oral. </w:t>
      </w:r>
    </w:p>
    <w:p w14:paraId="623713AA" w14:textId="51718234" w:rsidR="00032D0A" w:rsidRDefault="00032D0A" w:rsidP="00B43E57">
      <w:pPr>
        <w:pStyle w:val="Body"/>
      </w:pPr>
      <w:r>
        <w:t xml:space="preserve">L’intérêt de notre étude par rapport à la description très complète de Poiret et Liu (2020) est de montrer que l’oral lui-même varie et que certains genres de l’oral sont proches des valeurs typiques que l’on retrouve dans les corpus écrit. À côté d’une opposition oral </w:t>
      </w:r>
      <w:r w:rsidRPr="009E313B">
        <w:rPr>
          <w:i/>
        </w:rPr>
        <w:t>vs</w:t>
      </w:r>
      <w:r w:rsidRPr="009A5B24">
        <w:rPr>
          <w:i/>
          <w:iCs/>
        </w:rPr>
        <w:t xml:space="preserve"> </w:t>
      </w:r>
      <w:r>
        <w:t xml:space="preserve">écrit liée au médium, on peut concevoir un continuum à l’intérieur de chaque code (Koch &amp; Oesterreicher </w:t>
      </w:r>
      <w:r w:rsidR="002972C8">
        <w:t>(</w:t>
      </w:r>
      <w:r>
        <w:t>2002</w:t>
      </w:r>
      <w:r w:rsidR="002972C8">
        <w:t>)</w:t>
      </w:r>
      <w:r>
        <w:t xml:space="preserve">), le « style écrit » et le « style parlé » pouvant se retrouver dans des données orale ou écrites. </w:t>
      </w:r>
    </w:p>
    <w:p w14:paraId="430460DB" w14:textId="0B4ECBE8" w:rsidR="00032D0A" w:rsidRDefault="00032D0A" w:rsidP="00B43E57">
      <w:pPr>
        <w:pStyle w:val="Body"/>
      </w:pPr>
      <w:r>
        <w:t xml:space="preserve">Ce continuum entre </w:t>
      </w:r>
      <w:r w:rsidR="002C145F">
        <w:t>écrit et oral</w:t>
      </w:r>
      <w:r>
        <w:t xml:space="preserve"> a été mis en avant par Cappeau</w:t>
      </w:r>
      <w:r w:rsidR="002C145F">
        <w:t xml:space="preserve"> (2018)</w:t>
      </w:r>
      <w:r>
        <w:t xml:space="preserve"> </w:t>
      </w:r>
      <w:r w:rsidR="002C145F">
        <w:t xml:space="preserve">dans l’étude des pronoms à référent humain. La description des usages oraux permet de compléter la description du système des pronoms à l’écrit, en faisant apparaitre des formes émergentes, comme </w:t>
      </w:r>
      <w:r w:rsidR="002C145F">
        <w:rPr>
          <w:i/>
        </w:rPr>
        <w:t xml:space="preserve">des gens </w:t>
      </w:r>
      <w:r w:rsidR="002C145F">
        <w:t xml:space="preserve">ou </w:t>
      </w:r>
      <w:r w:rsidR="002C145F">
        <w:rPr>
          <w:i/>
        </w:rPr>
        <w:t>il y en a qui</w:t>
      </w:r>
      <w:r w:rsidR="002C145F">
        <w:t xml:space="preserve"> qui fonctionnent comme des pronoms. </w:t>
      </w:r>
    </w:p>
    <w:p w14:paraId="19414CAC" w14:textId="5D48C607" w:rsidR="002C145F" w:rsidRPr="00032D0A" w:rsidRDefault="002C145F" w:rsidP="00B43E57">
      <w:pPr>
        <w:pStyle w:val="Body"/>
      </w:pPr>
      <w:r>
        <w:t>Enfin, de nombreuses études analyse</w:t>
      </w:r>
      <w:r w:rsidR="004553F3">
        <w:t>nt</w:t>
      </w:r>
      <w:r>
        <w:t xml:space="preserve"> l’interaction entre la grammaire et la prosodie (</w:t>
      </w:r>
      <w:r w:rsidR="006C543B">
        <w:t xml:space="preserve">Lacheret-Dujour 2003, </w:t>
      </w:r>
      <w:r w:rsidR="00C157EA">
        <w:t xml:space="preserve">Avanzi </w:t>
      </w:r>
      <w:r>
        <w:t>2011)</w:t>
      </w:r>
      <w:r w:rsidR="006C543B">
        <w:t xml:space="preserve"> ou les marques du travail de formulation à l’oral, comme le placement des pauses ou leur combinaison avec des disfluences (Grosma</w:t>
      </w:r>
      <w:r w:rsidR="004553F3">
        <w:t>n</w:t>
      </w:r>
      <w:r w:rsidR="006C543B">
        <w:t>, Simon &amp; Degand 2018).</w:t>
      </w:r>
    </w:p>
    <w:p w14:paraId="7576DDB0" w14:textId="77777777" w:rsidR="002B35DB" w:rsidRDefault="002B35DB" w:rsidP="002B35DB">
      <w:pPr>
        <w:pStyle w:val="Titre10"/>
      </w:pPr>
      <w:r>
        <w:t>3. Méthode</w:t>
      </w:r>
    </w:p>
    <w:p w14:paraId="6C238EB0" w14:textId="6594EEED" w:rsidR="00A90136" w:rsidRDefault="00CE3006" w:rsidP="00A90136">
      <w:pPr>
        <w:pStyle w:val="Body"/>
      </w:pPr>
      <w:r>
        <w:t>Dans cette section, on présente le corpus d’étude et les annotations</w:t>
      </w:r>
      <w:r w:rsidR="002972C8">
        <w:t>,</w:t>
      </w:r>
      <w:r>
        <w:t xml:space="preserve"> automatiques et manuelles</w:t>
      </w:r>
      <w:r w:rsidR="002972C8">
        <w:t>,</w:t>
      </w:r>
      <w:r>
        <w:t xml:space="preserve"> dont il a fait l’objet.</w:t>
      </w:r>
    </w:p>
    <w:p w14:paraId="2B25E98E" w14:textId="77777777" w:rsidR="00755C72" w:rsidRPr="009B7211" w:rsidRDefault="002B35DB" w:rsidP="002B35DB">
      <w:pPr>
        <w:pStyle w:val="Titre20"/>
        <w:rPr>
          <w:lang w:val="fr-BE"/>
        </w:rPr>
      </w:pPr>
      <w:r w:rsidRPr="009B7211">
        <w:rPr>
          <w:lang w:val="fr-BE"/>
        </w:rPr>
        <w:t xml:space="preserve">3.1. </w:t>
      </w:r>
      <w:r w:rsidR="00755C72" w:rsidRPr="009B7211">
        <w:rPr>
          <w:lang w:val="fr-BE"/>
        </w:rPr>
        <w:t>Louvain Corpus of Annotated French</w:t>
      </w:r>
    </w:p>
    <w:p w14:paraId="687DAA8D" w14:textId="0FB1D71D" w:rsidR="002B35DB" w:rsidRDefault="00755C72" w:rsidP="00755C72">
      <w:pPr>
        <w:pStyle w:val="Body"/>
        <w:rPr>
          <w:lang w:val="fr-BE"/>
        </w:rPr>
      </w:pPr>
      <w:r w:rsidRPr="00755C72">
        <w:rPr>
          <w:lang w:val="fr-BE"/>
        </w:rPr>
        <w:t xml:space="preserve">Le Louvain Corpus of Annotated French (LOCAS-F) a été constitué afin de représenter la </w:t>
      </w:r>
      <w:r w:rsidR="002972C8">
        <w:rPr>
          <w:lang w:val="fr-BE"/>
        </w:rPr>
        <w:t>diversité</w:t>
      </w:r>
      <w:r>
        <w:rPr>
          <w:lang w:val="fr-BE"/>
        </w:rPr>
        <w:t xml:space="preserve"> des situations communicatives à l’oral. Il contient 48 échantillons qui illustrent des situations</w:t>
      </w:r>
      <w:r w:rsidR="00464859">
        <w:rPr>
          <w:lang w:val="fr-BE"/>
        </w:rPr>
        <w:t xml:space="preserve"> </w:t>
      </w:r>
      <w:r>
        <w:rPr>
          <w:lang w:val="fr-BE"/>
        </w:rPr>
        <w:t>allant des plus formelles</w:t>
      </w:r>
      <w:r w:rsidR="00464859">
        <w:rPr>
          <w:lang w:val="fr-BE"/>
        </w:rPr>
        <w:t xml:space="preserve"> (</w:t>
      </w:r>
      <w:r>
        <w:rPr>
          <w:lang w:val="fr-BE"/>
        </w:rPr>
        <w:t>discours politique</w:t>
      </w:r>
      <w:r w:rsidR="00464859">
        <w:rPr>
          <w:lang w:val="fr-BE"/>
        </w:rPr>
        <w:t xml:space="preserve">, </w:t>
      </w:r>
      <w:r>
        <w:rPr>
          <w:lang w:val="fr-BE"/>
        </w:rPr>
        <w:t>homélie</w:t>
      </w:r>
      <w:r w:rsidR="00464859">
        <w:rPr>
          <w:lang w:val="fr-BE"/>
        </w:rPr>
        <w:t>)</w:t>
      </w:r>
      <w:r>
        <w:rPr>
          <w:lang w:val="fr-BE"/>
        </w:rPr>
        <w:t xml:space="preserve"> aux plus informelles</w:t>
      </w:r>
      <w:r w:rsidR="00464859">
        <w:rPr>
          <w:lang w:val="fr-BE"/>
        </w:rPr>
        <w:t xml:space="preserve"> (</w:t>
      </w:r>
      <w:r>
        <w:rPr>
          <w:lang w:val="fr-BE"/>
        </w:rPr>
        <w:t>conversation entre amis</w:t>
      </w:r>
      <w:r w:rsidR="00464859">
        <w:rPr>
          <w:lang w:val="fr-BE"/>
        </w:rPr>
        <w:t>)</w:t>
      </w:r>
      <w:r>
        <w:rPr>
          <w:lang w:val="fr-BE"/>
        </w:rPr>
        <w:t xml:space="preserve">. </w:t>
      </w:r>
      <w:r w:rsidR="00464859">
        <w:rPr>
          <w:lang w:val="fr-BE"/>
        </w:rPr>
        <w:t>Ces échantillons se répartissent en 17 monologues, 27 dialogues et 5 multilogues. La durée totale du corpus s’élève à 3h59 minutes</w:t>
      </w:r>
      <w:r w:rsidR="001E69A8">
        <w:rPr>
          <w:lang w:val="fr-BE"/>
        </w:rPr>
        <w:t xml:space="preserve"> correspondant à 41322 tokens (transcriptions)</w:t>
      </w:r>
      <w:r w:rsidR="00464859">
        <w:rPr>
          <w:lang w:val="fr-BE"/>
        </w:rPr>
        <w:t xml:space="preserve">. Le nombre total de locuteurs différents s’élève à 63 </w:t>
      </w:r>
      <w:r w:rsidR="00D02833">
        <w:rPr>
          <w:lang w:val="fr-BE"/>
        </w:rPr>
        <w:t xml:space="preserve">personnes </w:t>
      </w:r>
      <w:r w:rsidR="00464859">
        <w:rPr>
          <w:lang w:val="fr-BE"/>
        </w:rPr>
        <w:t>(dont 43% de femmes), dont certain</w:t>
      </w:r>
      <w:r w:rsidR="00D02833">
        <w:rPr>
          <w:lang w:val="fr-BE"/>
        </w:rPr>
        <w:t>e</w:t>
      </w:r>
      <w:r w:rsidR="00464859">
        <w:rPr>
          <w:lang w:val="fr-BE"/>
        </w:rPr>
        <w:t xml:space="preserve">s interviennent dans différentes situations de parole. </w:t>
      </w:r>
    </w:p>
    <w:p w14:paraId="3804C561" w14:textId="77777777" w:rsidR="00464859" w:rsidRDefault="00464859" w:rsidP="002B35DB">
      <w:pPr>
        <w:pStyle w:val="Titre20"/>
      </w:pPr>
      <w:r>
        <w:t>3.2. Catégorisation en genres et métadonnées situationnelles</w:t>
      </w:r>
    </w:p>
    <w:p w14:paraId="0099B84E" w14:textId="7CE48328" w:rsidR="00D02833" w:rsidRDefault="00D02833" w:rsidP="00D02833">
      <w:pPr>
        <w:pStyle w:val="Body"/>
      </w:pPr>
      <w:r>
        <w:t>Les 48 enregistrements sonores du corpus se répartissent en 14 activités de parole, ou « genres », chacun étant illustré par 3 à 5 échantillons</w:t>
      </w:r>
      <w:r w:rsidR="001A14BF">
        <w:t xml:space="preserve"> (Tableau (1))</w:t>
      </w:r>
      <w:r>
        <w:t xml:space="preserve">. </w:t>
      </w:r>
    </w:p>
    <w:p w14:paraId="6389F2AB" w14:textId="77777777" w:rsidR="004553F3" w:rsidRDefault="004553F3" w:rsidP="00D02833">
      <w:pPr>
        <w:pStyle w:val="Body"/>
      </w:pPr>
    </w:p>
    <w:p w14:paraId="2440336C" w14:textId="77777777" w:rsidR="00D02833" w:rsidRDefault="00D02833" w:rsidP="00D02833">
      <w:pPr>
        <w:pStyle w:val="TabFRTitre"/>
      </w:pPr>
      <w:r>
        <w:t xml:space="preserve">Tableau 1. Répartition des échantillons </w:t>
      </w:r>
      <w:r w:rsidR="00467D2C">
        <w:t>par genres et nombre de tokens</w:t>
      </w:r>
    </w:p>
    <w:p w14:paraId="4E017AB8" w14:textId="77777777" w:rsidR="00D02833" w:rsidRDefault="00D02833" w:rsidP="00D02833">
      <w:pPr>
        <w:pStyle w:val="Body"/>
      </w:pPr>
    </w:p>
    <w:tbl>
      <w:tblPr>
        <w:tblW w:w="7054" w:type="dxa"/>
        <w:tblBorders>
          <w:top w:val="single" w:sz="4" w:space="0" w:color="9CC2E5"/>
          <w:bottom w:val="single" w:sz="4" w:space="0" w:color="9CC2E5"/>
          <w:insideH w:val="single" w:sz="4" w:space="0" w:color="9CC2E5"/>
        </w:tblBorders>
        <w:tblLook w:val="0600" w:firstRow="0" w:lastRow="0" w:firstColumn="0" w:lastColumn="0" w:noHBand="1" w:noVBand="1"/>
      </w:tblPr>
      <w:tblGrid>
        <w:gridCol w:w="3652"/>
        <w:gridCol w:w="958"/>
        <w:gridCol w:w="1476"/>
        <w:gridCol w:w="968"/>
      </w:tblGrid>
      <w:tr w:rsidR="00D02833" w:rsidRPr="0067131D" w14:paraId="1BC51981" w14:textId="77777777" w:rsidTr="00DE2E95">
        <w:trPr>
          <w:trHeight w:val="300"/>
        </w:trPr>
        <w:tc>
          <w:tcPr>
            <w:tcW w:w="3652" w:type="dxa"/>
            <w:shd w:val="clear" w:color="auto" w:fill="auto"/>
            <w:hideMark/>
          </w:tcPr>
          <w:p w14:paraId="29CDCAEF"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Genre</w:t>
            </w:r>
          </w:p>
        </w:tc>
        <w:tc>
          <w:tcPr>
            <w:tcW w:w="958" w:type="dxa"/>
            <w:shd w:val="clear" w:color="auto" w:fill="auto"/>
            <w:hideMark/>
          </w:tcPr>
          <w:p w14:paraId="56EF0C23"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Code</w:t>
            </w:r>
          </w:p>
        </w:tc>
        <w:tc>
          <w:tcPr>
            <w:tcW w:w="1476" w:type="dxa"/>
            <w:shd w:val="clear" w:color="auto" w:fill="auto"/>
          </w:tcPr>
          <w:p w14:paraId="2BB18856"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Nb échantillons</w:t>
            </w:r>
          </w:p>
        </w:tc>
        <w:tc>
          <w:tcPr>
            <w:tcW w:w="968" w:type="dxa"/>
            <w:shd w:val="clear" w:color="auto" w:fill="auto"/>
            <w:hideMark/>
          </w:tcPr>
          <w:p w14:paraId="54C81B1D"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Nb tokens</w:t>
            </w:r>
          </w:p>
        </w:tc>
      </w:tr>
      <w:tr w:rsidR="00D02833" w:rsidRPr="0067131D" w14:paraId="0DE74CA6" w14:textId="77777777" w:rsidTr="00DE2E95">
        <w:trPr>
          <w:trHeight w:val="300"/>
        </w:trPr>
        <w:tc>
          <w:tcPr>
            <w:tcW w:w="3652" w:type="dxa"/>
            <w:shd w:val="clear" w:color="auto" w:fill="auto"/>
            <w:hideMark/>
          </w:tcPr>
          <w:p w14:paraId="737027E7"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Discours académique (de rentrée universitaire)</w:t>
            </w:r>
          </w:p>
        </w:tc>
        <w:tc>
          <w:tcPr>
            <w:tcW w:w="958" w:type="dxa"/>
            <w:shd w:val="clear" w:color="auto" w:fill="auto"/>
          </w:tcPr>
          <w:p w14:paraId="30B7B20B"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aca</w:t>
            </w:r>
          </w:p>
        </w:tc>
        <w:tc>
          <w:tcPr>
            <w:tcW w:w="1476" w:type="dxa"/>
            <w:shd w:val="clear" w:color="auto" w:fill="auto"/>
          </w:tcPr>
          <w:p w14:paraId="123623D8"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3</w:t>
            </w:r>
          </w:p>
        </w:tc>
        <w:tc>
          <w:tcPr>
            <w:tcW w:w="968" w:type="dxa"/>
            <w:shd w:val="clear" w:color="auto" w:fill="auto"/>
            <w:hideMark/>
          </w:tcPr>
          <w:p w14:paraId="4209D2C3"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2331</w:t>
            </w:r>
          </w:p>
        </w:tc>
      </w:tr>
      <w:tr w:rsidR="00D02833" w:rsidRPr="0067131D" w14:paraId="39ADE5E0" w14:textId="77777777" w:rsidTr="00DE2E95">
        <w:trPr>
          <w:trHeight w:val="300"/>
        </w:trPr>
        <w:tc>
          <w:tcPr>
            <w:tcW w:w="3652" w:type="dxa"/>
            <w:shd w:val="clear" w:color="auto" w:fill="auto"/>
            <w:hideMark/>
          </w:tcPr>
          <w:p w14:paraId="7D742C8E"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Conférence scientifique (en linguistique)</w:t>
            </w:r>
          </w:p>
        </w:tc>
        <w:tc>
          <w:tcPr>
            <w:tcW w:w="958" w:type="dxa"/>
            <w:shd w:val="clear" w:color="auto" w:fill="auto"/>
          </w:tcPr>
          <w:p w14:paraId="6CDE42E3"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cnf</w:t>
            </w:r>
          </w:p>
        </w:tc>
        <w:tc>
          <w:tcPr>
            <w:tcW w:w="1476" w:type="dxa"/>
            <w:shd w:val="clear" w:color="auto" w:fill="auto"/>
          </w:tcPr>
          <w:p w14:paraId="25B8EFAF"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4</w:t>
            </w:r>
          </w:p>
        </w:tc>
        <w:tc>
          <w:tcPr>
            <w:tcW w:w="968" w:type="dxa"/>
            <w:shd w:val="clear" w:color="auto" w:fill="auto"/>
            <w:hideMark/>
          </w:tcPr>
          <w:p w14:paraId="42CFD1BC"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2850</w:t>
            </w:r>
          </w:p>
        </w:tc>
      </w:tr>
      <w:tr w:rsidR="00D02833" w:rsidRPr="0067131D" w14:paraId="18097DF8" w14:textId="77777777" w:rsidTr="00DE2E95">
        <w:trPr>
          <w:trHeight w:val="300"/>
        </w:trPr>
        <w:tc>
          <w:tcPr>
            <w:tcW w:w="3652" w:type="dxa"/>
            <w:shd w:val="clear" w:color="auto" w:fill="auto"/>
            <w:hideMark/>
          </w:tcPr>
          <w:p w14:paraId="5F588E47"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Conversation formelle (professionnelle)</w:t>
            </w:r>
          </w:p>
        </w:tc>
        <w:tc>
          <w:tcPr>
            <w:tcW w:w="958" w:type="dxa"/>
            <w:shd w:val="clear" w:color="auto" w:fill="auto"/>
          </w:tcPr>
          <w:p w14:paraId="635713B5"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conv-f</w:t>
            </w:r>
          </w:p>
        </w:tc>
        <w:tc>
          <w:tcPr>
            <w:tcW w:w="1476" w:type="dxa"/>
            <w:shd w:val="clear" w:color="auto" w:fill="auto"/>
          </w:tcPr>
          <w:p w14:paraId="1E9BDF65"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3</w:t>
            </w:r>
          </w:p>
        </w:tc>
        <w:tc>
          <w:tcPr>
            <w:tcW w:w="968" w:type="dxa"/>
            <w:shd w:val="clear" w:color="auto" w:fill="auto"/>
            <w:hideMark/>
          </w:tcPr>
          <w:p w14:paraId="5CD5FAF5"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2360</w:t>
            </w:r>
          </w:p>
        </w:tc>
      </w:tr>
      <w:tr w:rsidR="00D02833" w:rsidRPr="0067131D" w14:paraId="6A0DB31A" w14:textId="77777777" w:rsidTr="00DE2E95">
        <w:trPr>
          <w:trHeight w:val="300"/>
        </w:trPr>
        <w:tc>
          <w:tcPr>
            <w:tcW w:w="3652" w:type="dxa"/>
            <w:shd w:val="clear" w:color="auto" w:fill="auto"/>
            <w:hideMark/>
          </w:tcPr>
          <w:p w14:paraId="3F325B53"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Conversation informelle (entre amis)</w:t>
            </w:r>
          </w:p>
        </w:tc>
        <w:tc>
          <w:tcPr>
            <w:tcW w:w="958" w:type="dxa"/>
            <w:shd w:val="clear" w:color="auto" w:fill="auto"/>
          </w:tcPr>
          <w:p w14:paraId="09E65CE4"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conv-i</w:t>
            </w:r>
          </w:p>
        </w:tc>
        <w:tc>
          <w:tcPr>
            <w:tcW w:w="1476" w:type="dxa"/>
            <w:shd w:val="clear" w:color="auto" w:fill="auto"/>
          </w:tcPr>
          <w:p w14:paraId="65865338"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3</w:t>
            </w:r>
          </w:p>
        </w:tc>
        <w:tc>
          <w:tcPr>
            <w:tcW w:w="968" w:type="dxa"/>
            <w:shd w:val="clear" w:color="auto" w:fill="auto"/>
            <w:hideMark/>
          </w:tcPr>
          <w:p w14:paraId="6D33749E"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2648</w:t>
            </w:r>
          </w:p>
        </w:tc>
      </w:tr>
      <w:tr w:rsidR="00D02833" w:rsidRPr="0067131D" w14:paraId="282BB9A8" w14:textId="77777777" w:rsidTr="00DE2E95">
        <w:trPr>
          <w:trHeight w:val="300"/>
        </w:trPr>
        <w:tc>
          <w:tcPr>
            <w:tcW w:w="3652" w:type="dxa"/>
            <w:shd w:val="clear" w:color="auto" w:fill="auto"/>
            <w:hideMark/>
          </w:tcPr>
          <w:p w14:paraId="2A9CE741"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Débat politique (diffusé à la radio)</w:t>
            </w:r>
          </w:p>
        </w:tc>
        <w:tc>
          <w:tcPr>
            <w:tcW w:w="958" w:type="dxa"/>
            <w:shd w:val="clear" w:color="auto" w:fill="auto"/>
          </w:tcPr>
          <w:p w14:paraId="60607749"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deb</w:t>
            </w:r>
          </w:p>
        </w:tc>
        <w:tc>
          <w:tcPr>
            <w:tcW w:w="1476" w:type="dxa"/>
            <w:shd w:val="clear" w:color="auto" w:fill="auto"/>
          </w:tcPr>
          <w:p w14:paraId="6FCD2114"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4</w:t>
            </w:r>
          </w:p>
        </w:tc>
        <w:tc>
          <w:tcPr>
            <w:tcW w:w="968" w:type="dxa"/>
            <w:shd w:val="clear" w:color="auto" w:fill="auto"/>
            <w:hideMark/>
          </w:tcPr>
          <w:p w14:paraId="2B7AFC3F"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5110</w:t>
            </w:r>
          </w:p>
        </w:tc>
      </w:tr>
      <w:tr w:rsidR="00D02833" w:rsidRPr="0067131D" w14:paraId="3110EF81" w14:textId="77777777" w:rsidTr="00DE2E95">
        <w:trPr>
          <w:trHeight w:val="300"/>
        </w:trPr>
        <w:tc>
          <w:tcPr>
            <w:tcW w:w="3652" w:type="dxa"/>
            <w:shd w:val="clear" w:color="auto" w:fill="auto"/>
            <w:hideMark/>
          </w:tcPr>
          <w:p w14:paraId="307E216C"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Homélie</w:t>
            </w:r>
          </w:p>
        </w:tc>
        <w:tc>
          <w:tcPr>
            <w:tcW w:w="958" w:type="dxa"/>
            <w:shd w:val="clear" w:color="auto" w:fill="auto"/>
          </w:tcPr>
          <w:p w14:paraId="71D4F955"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hom</w:t>
            </w:r>
          </w:p>
        </w:tc>
        <w:tc>
          <w:tcPr>
            <w:tcW w:w="1476" w:type="dxa"/>
            <w:shd w:val="clear" w:color="auto" w:fill="auto"/>
          </w:tcPr>
          <w:p w14:paraId="126E2E90"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3</w:t>
            </w:r>
          </w:p>
        </w:tc>
        <w:tc>
          <w:tcPr>
            <w:tcW w:w="968" w:type="dxa"/>
            <w:shd w:val="clear" w:color="auto" w:fill="auto"/>
            <w:hideMark/>
          </w:tcPr>
          <w:p w14:paraId="27FD0761"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1673</w:t>
            </w:r>
          </w:p>
        </w:tc>
      </w:tr>
      <w:tr w:rsidR="00D02833" w:rsidRPr="0067131D" w14:paraId="7E0E04E4" w14:textId="77777777" w:rsidTr="00DE2E95">
        <w:trPr>
          <w:trHeight w:val="300"/>
        </w:trPr>
        <w:tc>
          <w:tcPr>
            <w:tcW w:w="3652" w:type="dxa"/>
            <w:shd w:val="clear" w:color="auto" w:fill="auto"/>
            <w:hideMark/>
          </w:tcPr>
          <w:p w14:paraId="71C0E47A"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Interview sociolinguistique (formelle)</w:t>
            </w:r>
          </w:p>
        </w:tc>
        <w:tc>
          <w:tcPr>
            <w:tcW w:w="958" w:type="dxa"/>
            <w:shd w:val="clear" w:color="auto" w:fill="auto"/>
          </w:tcPr>
          <w:p w14:paraId="100A1A81"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intfor</w:t>
            </w:r>
          </w:p>
        </w:tc>
        <w:tc>
          <w:tcPr>
            <w:tcW w:w="1476" w:type="dxa"/>
            <w:shd w:val="clear" w:color="auto" w:fill="auto"/>
          </w:tcPr>
          <w:p w14:paraId="6EA775D7"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3</w:t>
            </w:r>
          </w:p>
        </w:tc>
        <w:tc>
          <w:tcPr>
            <w:tcW w:w="968" w:type="dxa"/>
            <w:shd w:val="clear" w:color="auto" w:fill="auto"/>
            <w:hideMark/>
          </w:tcPr>
          <w:p w14:paraId="2960B50A"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2817</w:t>
            </w:r>
          </w:p>
        </w:tc>
      </w:tr>
      <w:tr w:rsidR="00D02833" w:rsidRPr="0067131D" w14:paraId="24ED1844" w14:textId="77777777" w:rsidTr="00DE2E95">
        <w:trPr>
          <w:trHeight w:val="300"/>
        </w:trPr>
        <w:tc>
          <w:tcPr>
            <w:tcW w:w="3652" w:type="dxa"/>
            <w:shd w:val="clear" w:color="auto" w:fill="auto"/>
            <w:hideMark/>
          </w:tcPr>
          <w:p w14:paraId="7ADE8ADF"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Interview télévisée (libre)</w:t>
            </w:r>
          </w:p>
        </w:tc>
        <w:tc>
          <w:tcPr>
            <w:tcW w:w="958" w:type="dxa"/>
            <w:shd w:val="clear" w:color="auto" w:fill="auto"/>
          </w:tcPr>
          <w:p w14:paraId="46828A84"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intlib</w:t>
            </w:r>
          </w:p>
        </w:tc>
        <w:tc>
          <w:tcPr>
            <w:tcW w:w="1476" w:type="dxa"/>
            <w:shd w:val="clear" w:color="auto" w:fill="auto"/>
          </w:tcPr>
          <w:p w14:paraId="1908CD63"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3</w:t>
            </w:r>
          </w:p>
        </w:tc>
        <w:tc>
          <w:tcPr>
            <w:tcW w:w="968" w:type="dxa"/>
            <w:shd w:val="clear" w:color="auto" w:fill="auto"/>
            <w:hideMark/>
          </w:tcPr>
          <w:p w14:paraId="01BC03DE"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3861</w:t>
            </w:r>
          </w:p>
        </w:tc>
      </w:tr>
      <w:tr w:rsidR="00D02833" w:rsidRPr="0067131D" w14:paraId="00EE8678" w14:textId="77777777" w:rsidTr="00DE2E95">
        <w:trPr>
          <w:trHeight w:val="300"/>
        </w:trPr>
        <w:tc>
          <w:tcPr>
            <w:tcW w:w="3652" w:type="dxa"/>
            <w:shd w:val="clear" w:color="auto" w:fill="auto"/>
            <w:hideMark/>
          </w:tcPr>
          <w:p w14:paraId="36C8C086"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Interview radio (d’écrivains)</w:t>
            </w:r>
          </w:p>
        </w:tc>
        <w:tc>
          <w:tcPr>
            <w:tcW w:w="958" w:type="dxa"/>
            <w:shd w:val="clear" w:color="auto" w:fill="auto"/>
          </w:tcPr>
          <w:p w14:paraId="4E8E9AAA"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intrad</w:t>
            </w:r>
          </w:p>
        </w:tc>
        <w:tc>
          <w:tcPr>
            <w:tcW w:w="1476" w:type="dxa"/>
            <w:shd w:val="clear" w:color="auto" w:fill="auto"/>
          </w:tcPr>
          <w:p w14:paraId="4FD03842"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4</w:t>
            </w:r>
          </w:p>
        </w:tc>
        <w:tc>
          <w:tcPr>
            <w:tcW w:w="968" w:type="dxa"/>
            <w:shd w:val="clear" w:color="auto" w:fill="auto"/>
            <w:hideMark/>
          </w:tcPr>
          <w:p w14:paraId="020B2747"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4142</w:t>
            </w:r>
          </w:p>
        </w:tc>
      </w:tr>
      <w:tr w:rsidR="00D02833" w:rsidRPr="0067131D" w14:paraId="57A6C9C1" w14:textId="77777777" w:rsidTr="00DE2E95">
        <w:trPr>
          <w:trHeight w:val="300"/>
        </w:trPr>
        <w:tc>
          <w:tcPr>
            <w:tcW w:w="3652" w:type="dxa"/>
            <w:shd w:val="clear" w:color="auto" w:fill="auto"/>
            <w:hideMark/>
          </w:tcPr>
          <w:p w14:paraId="59A95B7F"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Journal parlé radiophonique</w:t>
            </w:r>
          </w:p>
        </w:tc>
        <w:tc>
          <w:tcPr>
            <w:tcW w:w="958" w:type="dxa"/>
            <w:shd w:val="clear" w:color="auto" w:fill="auto"/>
          </w:tcPr>
          <w:p w14:paraId="512806EC"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jpa</w:t>
            </w:r>
          </w:p>
        </w:tc>
        <w:tc>
          <w:tcPr>
            <w:tcW w:w="1476" w:type="dxa"/>
            <w:shd w:val="clear" w:color="auto" w:fill="auto"/>
          </w:tcPr>
          <w:p w14:paraId="079E7922"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4</w:t>
            </w:r>
          </w:p>
        </w:tc>
        <w:tc>
          <w:tcPr>
            <w:tcW w:w="968" w:type="dxa"/>
            <w:shd w:val="clear" w:color="auto" w:fill="auto"/>
            <w:hideMark/>
          </w:tcPr>
          <w:p w14:paraId="6599C851"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2817</w:t>
            </w:r>
          </w:p>
        </w:tc>
      </w:tr>
      <w:tr w:rsidR="00D02833" w:rsidRPr="0067131D" w14:paraId="36C22C65" w14:textId="77777777" w:rsidTr="00DE2E95">
        <w:trPr>
          <w:trHeight w:val="300"/>
        </w:trPr>
        <w:tc>
          <w:tcPr>
            <w:tcW w:w="3652" w:type="dxa"/>
            <w:shd w:val="clear" w:color="auto" w:fill="auto"/>
            <w:hideMark/>
          </w:tcPr>
          <w:p w14:paraId="3496D465"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Lecture (d’un texte littéraire)</w:t>
            </w:r>
          </w:p>
        </w:tc>
        <w:tc>
          <w:tcPr>
            <w:tcW w:w="958" w:type="dxa"/>
            <w:shd w:val="clear" w:color="auto" w:fill="auto"/>
          </w:tcPr>
          <w:p w14:paraId="195EF405"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lec</w:t>
            </w:r>
          </w:p>
        </w:tc>
        <w:tc>
          <w:tcPr>
            <w:tcW w:w="1476" w:type="dxa"/>
            <w:shd w:val="clear" w:color="auto" w:fill="auto"/>
          </w:tcPr>
          <w:p w14:paraId="6AC428AC"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3</w:t>
            </w:r>
          </w:p>
        </w:tc>
        <w:tc>
          <w:tcPr>
            <w:tcW w:w="968" w:type="dxa"/>
            <w:shd w:val="clear" w:color="auto" w:fill="auto"/>
            <w:hideMark/>
          </w:tcPr>
          <w:p w14:paraId="02594BEB"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2890</w:t>
            </w:r>
          </w:p>
        </w:tc>
      </w:tr>
      <w:tr w:rsidR="00D02833" w:rsidRPr="0067131D" w14:paraId="426F1FF8" w14:textId="77777777" w:rsidTr="00DE2E95">
        <w:trPr>
          <w:trHeight w:val="300"/>
        </w:trPr>
        <w:tc>
          <w:tcPr>
            <w:tcW w:w="3652" w:type="dxa"/>
            <w:shd w:val="clear" w:color="auto" w:fill="auto"/>
            <w:hideMark/>
          </w:tcPr>
          <w:p w14:paraId="522DF71C"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Discours politique (en public)</w:t>
            </w:r>
          </w:p>
        </w:tc>
        <w:tc>
          <w:tcPr>
            <w:tcW w:w="958" w:type="dxa"/>
            <w:shd w:val="clear" w:color="auto" w:fill="auto"/>
          </w:tcPr>
          <w:p w14:paraId="486DC48A"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pol</w:t>
            </w:r>
          </w:p>
        </w:tc>
        <w:tc>
          <w:tcPr>
            <w:tcW w:w="1476" w:type="dxa"/>
            <w:shd w:val="clear" w:color="auto" w:fill="auto"/>
          </w:tcPr>
          <w:p w14:paraId="3619B408"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5</w:t>
            </w:r>
          </w:p>
        </w:tc>
        <w:tc>
          <w:tcPr>
            <w:tcW w:w="968" w:type="dxa"/>
            <w:shd w:val="clear" w:color="auto" w:fill="auto"/>
            <w:hideMark/>
          </w:tcPr>
          <w:p w14:paraId="131C5ED7"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3144</w:t>
            </w:r>
          </w:p>
        </w:tc>
      </w:tr>
      <w:tr w:rsidR="00D02833" w:rsidRPr="0067131D" w14:paraId="0410D5FD" w14:textId="77777777" w:rsidTr="00DE2E95">
        <w:trPr>
          <w:trHeight w:val="300"/>
        </w:trPr>
        <w:tc>
          <w:tcPr>
            <w:tcW w:w="3652" w:type="dxa"/>
            <w:shd w:val="clear" w:color="auto" w:fill="auto"/>
            <w:hideMark/>
          </w:tcPr>
          <w:p w14:paraId="3C2A39F9"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Séquence narrative (en conversation)</w:t>
            </w:r>
          </w:p>
        </w:tc>
        <w:tc>
          <w:tcPr>
            <w:tcW w:w="958" w:type="dxa"/>
            <w:shd w:val="clear" w:color="auto" w:fill="auto"/>
          </w:tcPr>
          <w:p w14:paraId="3AFEC6DF"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rcv</w:t>
            </w:r>
          </w:p>
        </w:tc>
        <w:tc>
          <w:tcPr>
            <w:tcW w:w="1476" w:type="dxa"/>
            <w:shd w:val="clear" w:color="auto" w:fill="auto"/>
          </w:tcPr>
          <w:p w14:paraId="5B202271"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3</w:t>
            </w:r>
          </w:p>
        </w:tc>
        <w:tc>
          <w:tcPr>
            <w:tcW w:w="968" w:type="dxa"/>
            <w:shd w:val="clear" w:color="auto" w:fill="auto"/>
            <w:hideMark/>
          </w:tcPr>
          <w:p w14:paraId="7AD62330"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2233</w:t>
            </w:r>
          </w:p>
        </w:tc>
      </w:tr>
      <w:tr w:rsidR="00D02833" w:rsidRPr="0067131D" w14:paraId="711E5FDD" w14:textId="77777777" w:rsidTr="00DE2E95">
        <w:trPr>
          <w:trHeight w:val="300"/>
        </w:trPr>
        <w:tc>
          <w:tcPr>
            <w:tcW w:w="3652" w:type="dxa"/>
            <w:shd w:val="clear" w:color="auto" w:fill="auto"/>
            <w:hideMark/>
          </w:tcPr>
          <w:p w14:paraId="14EDED9B"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Performance radiophonique (monologue)</w:t>
            </w:r>
          </w:p>
        </w:tc>
        <w:tc>
          <w:tcPr>
            <w:tcW w:w="958" w:type="dxa"/>
            <w:shd w:val="clear" w:color="auto" w:fill="auto"/>
          </w:tcPr>
          <w:p w14:paraId="06C10A9C"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single</w:t>
            </w:r>
          </w:p>
        </w:tc>
        <w:tc>
          <w:tcPr>
            <w:tcW w:w="1476" w:type="dxa"/>
            <w:shd w:val="clear" w:color="auto" w:fill="auto"/>
          </w:tcPr>
          <w:p w14:paraId="36C0B819"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3</w:t>
            </w:r>
          </w:p>
        </w:tc>
        <w:tc>
          <w:tcPr>
            <w:tcW w:w="968" w:type="dxa"/>
            <w:shd w:val="clear" w:color="auto" w:fill="auto"/>
            <w:hideMark/>
          </w:tcPr>
          <w:p w14:paraId="1A635E1E"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2446</w:t>
            </w:r>
          </w:p>
        </w:tc>
      </w:tr>
      <w:tr w:rsidR="00D02833" w:rsidRPr="0067131D" w14:paraId="1F2AC8AC" w14:textId="77777777" w:rsidTr="00DE2E95">
        <w:trPr>
          <w:trHeight w:val="300"/>
        </w:trPr>
        <w:tc>
          <w:tcPr>
            <w:tcW w:w="3652" w:type="dxa"/>
            <w:shd w:val="clear" w:color="auto" w:fill="auto"/>
          </w:tcPr>
          <w:p w14:paraId="35509F9E"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Total</w:t>
            </w:r>
          </w:p>
        </w:tc>
        <w:tc>
          <w:tcPr>
            <w:tcW w:w="958" w:type="dxa"/>
            <w:shd w:val="clear" w:color="auto" w:fill="auto"/>
          </w:tcPr>
          <w:p w14:paraId="71082D76" w14:textId="77777777" w:rsidR="00D02833" w:rsidRPr="0067131D" w:rsidRDefault="00D02833" w:rsidP="00D02833">
            <w:pPr>
              <w:pStyle w:val="TabBody"/>
              <w:rPr>
                <w:rFonts w:eastAsia="Calibri" w:cs="Arial"/>
                <w:szCs w:val="16"/>
                <w:lang w:eastAsia="fr-BE"/>
              </w:rPr>
            </w:pPr>
            <w:r w:rsidRPr="0067131D">
              <w:rPr>
                <w:rFonts w:eastAsia="Calibri" w:cs="Arial"/>
                <w:szCs w:val="16"/>
                <w:lang w:eastAsia="fr-BE"/>
              </w:rPr>
              <w:t>(14)</w:t>
            </w:r>
          </w:p>
        </w:tc>
        <w:tc>
          <w:tcPr>
            <w:tcW w:w="1476" w:type="dxa"/>
            <w:shd w:val="clear" w:color="auto" w:fill="auto"/>
          </w:tcPr>
          <w:p w14:paraId="61C5097E" w14:textId="77777777" w:rsidR="00D02833" w:rsidRPr="0067131D" w:rsidRDefault="00D02833" w:rsidP="00DE2E95">
            <w:pPr>
              <w:pStyle w:val="TabBody"/>
              <w:jc w:val="center"/>
              <w:rPr>
                <w:rFonts w:eastAsia="Calibri" w:cs="Arial"/>
                <w:szCs w:val="16"/>
                <w:lang w:eastAsia="fr-BE"/>
              </w:rPr>
            </w:pPr>
            <w:r w:rsidRPr="0067131D">
              <w:rPr>
                <w:rFonts w:eastAsia="Calibri" w:cs="Arial"/>
                <w:szCs w:val="16"/>
                <w:lang w:eastAsia="fr-BE"/>
              </w:rPr>
              <w:t>48</w:t>
            </w:r>
          </w:p>
        </w:tc>
        <w:tc>
          <w:tcPr>
            <w:tcW w:w="968" w:type="dxa"/>
            <w:shd w:val="clear" w:color="auto" w:fill="auto"/>
          </w:tcPr>
          <w:p w14:paraId="5F0A09E7" w14:textId="77777777" w:rsidR="00D02833" w:rsidRPr="0067131D" w:rsidRDefault="00D02833" w:rsidP="00DE2E95">
            <w:pPr>
              <w:pStyle w:val="TabBody"/>
              <w:jc w:val="right"/>
              <w:rPr>
                <w:rFonts w:eastAsia="Calibri" w:cs="Arial"/>
                <w:szCs w:val="16"/>
                <w:lang w:eastAsia="fr-BE"/>
              </w:rPr>
            </w:pPr>
            <w:r w:rsidRPr="0067131D">
              <w:rPr>
                <w:rFonts w:eastAsia="Calibri" w:cs="Arial"/>
                <w:szCs w:val="16"/>
                <w:lang w:eastAsia="fr-BE"/>
              </w:rPr>
              <w:t xml:space="preserve">41 322 </w:t>
            </w:r>
          </w:p>
        </w:tc>
      </w:tr>
    </w:tbl>
    <w:p w14:paraId="47613B96" w14:textId="77777777" w:rsidR="00D02833" w:rsidRDefault="00D02833" w:rsidP="00D02833">
      <w:pPr>
        <w:pStyle w:val="Body"/>
      </w:pPr>
    </w:p>
    <w:p w14:paraId="7837BFCE" w14:textId="3D0C1725" w:rsidR="001E69A8" w:rsidRDefault="001E69A8" w:rsidP="00D02833">
      <w:pPr>
        <w:pStyle w:val="Body"/>
      </w:pPr>
      <w:r>
        <w:t>La catégorisation en genres vise une finalité pratique : elle permet de saisir de manière intuitive les activités de parole représentées. Cependant, cette catégorisation est insuffisante, car elle masque des similitudes ou des différences entre genres. C’est la raison pour laquelle chaque échantillon a été décrit à l’aide de métadonnées situationnelles qui précisent différents paramètres pertinents pour l’influence qu’ils peuvent exercer sur les formes linguistiques produites</w:t>
      </w:r>
      <w:r w:rsidR="002972C8">
        <w:t xml:space="preserve"> (Tableau (2))</w:t>
      </w:r>
      <w:r>
        <w:t xml:space="preserve">. </w:t>
      </w:r>
    </w:p>
    <w:p w14:paraId="0DC64BA2" w14:textId="4213E146" w:rsidR="001E69A8" w:rsidRDefault="00533E61" w:rsidP="00D02833">
      <w:pPr>
        <w:pStyle w:val="Body"/>
      </w:pPr>
      <w:r>
        <w:t xml:space="preserve">La sélection des paramètres permettant de coder les métadonnées situationnelles repose sur un travail de convergence entrepris depuis plus d’une décennie pour harmoniser la description des échantillons et des textes dans les grands corpus de français, qu’il s’agisse du corpus CIEL-F (Dister </w:t>
      </w:r>
      <w:r w:rsidRPr="009E313B">
        <w:rPr>
          <w:i/>
          <w:iCs/>
        </w:rPr>
        <w:t>et al</w:t>
      </w:r>
      <w:r>
        <w:t>.</w:t>
      </w:r>
      <w:r w:rsidR="004553F3">
        <w:t xml:space="preserve"> 2008</w:t>
      </w:r>
      <w:r>
        <w:t>), Orféo (Benzitoun</w:t>
      </w:r>
      <w:r w:rsidR="004553F3">
        <w:t>, Debaisieux &amp; Deulofeu 2018</w:t>
      </w:r>
      <w:r w:rsidR="00C157EA">
        <w:t>) ou</w:t>
      </w:r>
      <w:r>
        <w:t xml:space="preserve"> Rhap</w:t>
      </w:r>
      <w:r w:rsidR="004553F3">
        <w:t>s</w:t>
      </w:r>
      <w:r>
        <w:t>odie (Lacheret</w:t>
      </w:r>
      <w:r w:rsidR="004553F3">
        <w:t>-Dujour, Kahane &amp; Pietrandrea 2019</w:t>
      </w:r>
      <w:r>
        <w:t xml:space="preserve">) pour citer trois exemples. </w:t>
      </w:r>
    </w:p>
    <w:p w14:paraId="0B503AD4" w14:textId="77777777" w:rsidR="00533E61" w:rsidRDefault="00533E61" w:rsidP="00D02833">
      <w:pPr>
        <w:pStyle w:val="Body"/>
      </w:pPr>
    </w:p>
    <w:p w14:paraId="1FED9A9A" w14:textId="5391792D" w:rsidR="00533E61" w:rsidRDefault="00533E61" w:rsidP="00533E61">
      <w:pPr>
        <w:pStyle w:val="TabFRTitre"/>
      </w:pPr>
      <w:r>
        <w:t xml:space="preserve">Tableau 2. Définition des traits situationnels utilisés pour décrire </w:t>
      </w:r>
      <w:r w:rsidR="00AC050F">
        <w:t>les échantillons des 14 genres représentés</w:t>
      </w:r>
      <w:r>
        <w:t xml:space="preserve"> dans le corpus LOCA</w:t>
      </w:r>
      <w:r w:rsidR="00AC050F">
        <w:t>S</w:t>
      </w:r>
      <w:r w:rsidR="00467D2C">
        <w:t>-F</w:t>
      </w:r>
    </w:p>
    <w:p w14:paraId="7950D9A3" w14:textId="77777777" w:rsidR="00533E61" w:rsidRDefault="00533E61" w:rsidP="00D02833">
      <w:pPr>
        <w:pStyle w:val="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5199"/>
      </w:tblGrid>
      <w:tr w:rsidR="00533E61" w:rsidRPr="0067131D" w14:paraId="33CFF1E6" w14:textId="77777777" w:rsidTr="00DE2E95">
        <w:tc>
          <w:tcPr>
            <w:tcW w:w="0" w:type="auto"/>
            <w:shd w:val="clear" w:color="auto" w:fill="auto"/>
            <w:vAlign w:val="center"/>
          </w:tcPr>
          <w:p w14:paraId="2DBA3E4C" w14:textId="77777777" w:rsidR="00533E61" w:rsidRPr="0067131D" w:rsidRDefault="00533E61" w:rsidP="00DE2E95">
            <w:pPr>
              <w:pStyle w:val="TabBody"/>
              <w:jc w:val="both"/>
              <w:rPr>
                <w:rFonts w:eastAsia="Garamond" w:cs="Arial"/>
                <w:szCs w:val="16"/>
              </w:rPr>
            </w:pPr>
            <w:r w:rsidRPr="0067131D">
              <w:rPr>
                <w:rFonts w:eastAsia="Garamond" w:cs="Arial"/>
                <w:szCs w:val="16"/>
              </w:rPr>
              <w:t>SIT.FEATURE</w:t>
            </w:r>
          </w:p>
        </w:tc>
        <w:tc>
          <w:tcPr>
            <w:tcW w:w="0" w:type="auto"/>
            <w:shd w:val="clear" w:color="auto" w:fill="auto"/>
            <w:vAlign w:val="center"/>
          </w:tcPr>
          <w:p w14:paraId="5CF4BBA8" w14:textId="77777777" w:rsidR="00533E61" w:rsidRPr="0067131D" w:rsidRDefault="00533E61" w:rsidP="00DE2E95">
            <w:pPr>
              <w:pStyle w:val="TabBody"/>
              <w:jc w:val="both"/>
              <w:rPr>
                <w:rFonts w:eastAsia="Garamond" w:cs="Arial"/>
                <w:szCs w:val="16"/>
              </w:rPr>
            </w:pPr>
            <w:r w:rsidRPr="0067131D">
              <w:rPr>
                <w:rFonts w:eastAsia="Garamond" w:cs="Arial"/>
                <w:szCs w:val="16"/>
              </w:rPr>
              <w:t>(Traits situationnels)</w:t>
            </w:r>
          </w:p>
        </w:tc>
      </w:tr>
      <w:tr w:rsidR="00533E61" w:rsidRPr="0067131D" w14:paraId="3D53A636" w14:textId="77777777" w:rsidTr="00DE2E95">
        <w:tc>
          <w:tcPr>
            <w:tcW w:w="0" w:type="auto"/>
            <w:vMerge w:val="restart"/>
            <w:shd w:val="clear" w:color="auto" w:fill="BFBFBF"/>
            <w:vAlign w:val="center"/>
          </w:tcPr>
          <w:p w14:paraId="4B7FE48A" w14:textId="77777777" w:rsidR="00533E61" w:rsidRPr="0067131D" w:rsidRDefault="00533E61" w:rsidP="00DE2E95">
            <w:pPr>
              <w:pStyle w:val="TabBody"/>
              <w:jc w:val="both"/>
              <w:rPr>
                <w:rFonts w:eastAsia="Garamond" w:cs="Arial"/>
                <w:szCs w:val="16"/>
              </w:rPr>
            </w:pPr>
            <w:r w:rsidRPr="0067131D">
              <w:rPr>
                <w:rFonts w:eastAsia="Garamond" w:cs="Arial"/>
                <w:szCs w:val="16"/>
              </w:rPr>
              <w:t>D.ELICIT</w:t>
            </w:r>
          </w:p>
        </w:tc>
        <w:tc>
          <w:tcPr>
            <w:tcW w:w="0" w:type="auto"/>
            <w:shd w:val="clear" w:color="auto" w:fill="BFBFBF"/>
            <w:vAlign w:val="center"/>
          </w:tcPr>
          <w:p w14:paraId="046F4FC3" w14:textId="77777777" w:rsidR="00533E61" w:rsidRPr="0067131D" w:rsidRDefault="00533E61" w:rsidP="00DE2E95">
            <w:pPr>
              <w:pStyle w:val="TabBody"/>
              <w:jc w:val="both"/>
              <w:rPr>
                <w:rFonts w:eastAsia="Garamond" w:cs="Arial"/>
                <w:szCs w:val="16"/>
              </w:rPr>
            </w:pPr>
            <w:r w:rsidRPr="0067131D">
              <w:rPr>
                <w:rFonts w:eastAsia="Garamond" w:cs="Arial"/>
                <w:szCs w:val="16"/>
              </w:rPr>
              <w:t>Degré d’élicitation</w:t>
            </w:r>
          </w:p>
        </w:tc>
      </w:tr>
      <w:tr w:rsidR="00533E61" w:rsidRPr="0067131D" w14:paraId="63205CC6" w14:textId="77777777" w:rsidTr="00DE2E95">
        <w:trPr>
          <w:trHeight w:val="526"/>
        </w:trPr>
        <w:tc>
          <w:tcPr>
            <w:tcW w:w="0" w:type="auto"/>
            <w:vMerge/>
            <w:tcBorders>
              <w:bottom w:val="single" w:sz="4" w:space="0" w:color="auto"/>
            </w:tcBorders>
            <w:shd w:val="clear" w:color="auto" w:fill="BFBFBF"/>
            <w:vAlign w:val="center"/>
          </w:tcPr>
          <w:p w14:paraId="4D1C2C33" w14:textId="77777777" w:rsidR="00533E61" w:rsidRPr="0067131D" w:rsidRDefault="00533E61" w:rsidP="00DE2E95">
            <w:pPr>
              <w:pStyle w:val="TabBody"/>
              <w:jc w:val="both"/>
              <w:rPr>
                <w:rFonts w:eastAsia="Garamond" w:cs="Arial"/>
                <w:szCs w:val="16"/>
              </w:rPr>
            </w:pPr>
          </w:p>
        </w:tc>
        <w:tc>
          <w:tcPr>
            <w:tcW w:w="0" w:type="auto"/>
            <w:tcBorders>
              <w:bottom w:val="single" w:sz="4" w:space="0" w:color="auto"/>
            </w:tcBorders>
            <w:shd w:val="clear" w:color="auto" w:fill="BFBFBF"/>
            <w:vAlign w:val="center"/>
          </w:tcPr>
          <w:p w14:paraId="4CD87E69" w14:textId="77777777" w:rsidR="00533E61" w:rsidRPr="0067131D" w:rsidRDefault="00533E61" w:rsidP="00DE2E95">
            <w:pPr>
              <w:pStyle w:val="TabBody"/>
              <w:jc w:val="both"/>
              <w:rPr>
                <w:rFonts w:eastAsia="Garamond" w:cs="Arial"/>
                <w:szCs w:val="16"/>
              </w:rPr>
            </w:pPr>
            <w:r w:rsidRPr="0067131D">
              <w:rPr>
                <w:rFonts w:eastAsia="Garamond" w:cs="Arial"/>
                <w:szCs w:val="16"/>
              </w:rPr>
              <w:t>La présence et le poids du protocole expérimental agissant</w:t>
            </w:r>
          </w:p>
          <w:p w14:paraId="287672D7" w14:textId="77777777" w:rsidR="00533E61" w:rsidRPr="0067131D" w:rsidRDefault="00533E61" w:rsidP="00DE2E95">
            <w:pPr>
              <w:pStyle w:val="TabBody"/>
              <w:jc w:val="both"/>
              <w:rPr>
                <w:rFonts w:eastAsia="Garamond" w:cs="Arial"/>
                <w:szCs w:val="16"/>
              </w:rPr>
            </w:pPr>
            <w:r w:rsidRPr="0067131D">
              <w:rPr>
                <w:rFonts w:eastAsia="Garamond" w:cs="Arial"/>
                <w:szCs w:val="16"/>
              </w:rPr>
              <w:t>comme une contrainte sur l'interaction</w:t>
            </w:r>
          </w:p>
        </w:tc>
      </w:tr>
      <w:tr w:rsidR="00533E61" w:rsidRPr="0067131D" w14:paraId="4B18630D" w14:textId="77777777" w:rsidTr="00DE2E95">
        <w:trPr>
          <w:trHeight w:val="402"/>
        </w:trPr>
        <w:tc>
          <w:tcPr>
            <w:tcW w:w="0" w:type="auto"/>
            <w:shd w:val="clear" w:color="auto" w:fill="auto"/>
            <w:vAlign w:val="center"/>
          </w:tcPr>
          <w:p w14:paraId="6B93FA62" w14:textId="77777777" w:rsidR="00533E61" w:rsidRPr="0067131D" w:rsidRDefault="00533E61" w:rsidP="00DE2E95">
            <w:pPr>
              <w:pStyle w:val="TabBody"/>
              <w:jc w:val="both"/>
              <w:rPr>
                <w:rFonts w:eastAsia="Garamond" w:cs="Arial"/>
                <w:szCs w:val="16"/>
              </w:rPr>
            </w:pPr>
            <w:r w:rsidRPr="0067131D">
              <w:rPr>
                <w:rFonts w:eastAsia="Garamond" w:cs="Arial"/>
                <w:szCs w:val="16"/>
              </w:rPr>
              <w:t>DIRIGE</w:t>
            </w:r>
          </w:p>
        </w:tc>
        <w:tc>
          <w:tcPr>
            <w:tcW w:w="0" w:type="auto"/>
            <w:shd w:val="clear" w:color="auto" w:fill="auto"/>
            <w:vAlign w:val="center"/>
          </w:tcPr>
          <w:p w14:paraId="26F9755E" w14:textId="77777777" w:rsidR="00533E61" w:rsidRPr="0067131D" w:rsidRDefault="00533E61" w:rsidP="00DE2E95">
            <w:pPr>
              <w:pStyle w:val="TabBody"/>
              <w:jc w:val="both"/>
              <w:rPr>
                <w:rFonts w:eastAsia="Garamond" w:cs="Arial"/>
                <w:szCs w:val="16"/>
              </w:rPr>
            </w:pPr>
            <w:r w:rsidRPr="0067131D">
              <w:rPr>
                <w:rFonts w:eastAsia="Garamond" w:cs="Arial"/>
                <w:szCs w:val="16"/>
              </w:rPr>
              <w:t xml:space="preserve">Production artificielle due à un protocole expérimental rigide dans le cadre d'une recherche scientifique exerçant un contrôle fort sur la production du locuteur et sur des variables linguistiques </w:t>
            </w:r>
          </w:p>
        </w:tc>
      </w:tr>
      <w:tr w:rsidR="00533E61" w:rsidRPr="0067131D" w14:paraId="7D01D2D3" w14:textId="77777777" w:rsidTr="00DE2E95">
        <w:trPr>
          <w:trHeight w:val="438"/>
        </w:trPr>
        <w:tc>
          <w:tcPr>
            <w:tcW w:w="0" w:type="auto"/>
            <w:shd w:val="clear" w:color="auto" w:fill="auto"/>
            <w:vAlign w:val="center"/>
          </w:tcPr>
          <w:p w14:paraId="019CC3A4" w14:textId="77777777" w:rsidR="00533E61" w:rsidRPr="0067131D" w:rsidRDefault="00533E61" w:rsidP="00DE2E95">
            <w:pPr>
              <w:pStyle w:val="TabBody"/>
              <w:jc w:val="both"/>
              <w:rPr>
                <w:rFonts w:eastAsia="Garamond" w:cs="Arial"/>
                <w:szCs w:val="16"/>
              </w:rPr>
            </w:pPr>
            <w:r w:rsidRPr="0067131D">
              <w:rPr>
                <w:rFonts w:eastAsia="Garamond" w:cs="Arial"/>
                <w:szCs w:val="16"/>
              </w:rPr>
              <w:t>SEMI.DIRIGE</w:t>
            </w:r>
          </w:p>
        </w:tc>
        <w:tc>
          <w:tcPr>
            <w:tcW w:w="0" w:type="auto"/>
            <w:shd w:val="clear" w:color="auto" w:fill="auto"/>
            <w:vAlign w:val="center"/>
          </w:tcPr>
          <w:p w14:paraId="760A1CDA" w14:textId="77777777" w:rsidR="00533E61" w:rsidRPr="0067131D" w:rsidRDefault="00533E61" w:rsidP="00DE2E95">
            <w:pPr>
              <w:pStyle w:val="TabBody"/>
              <w:jc w:val="both"/>
              <w:rPr>
                <w:rFonts w:eastAsia="Garamond" w:cs="Arial"/>
                <w:szCs w:val="16"/>
              </w:rPr>
            </w:pPr>
            <w:r w:rsidRPr="0067131D">
              <w:rPr>
                <w:rFonts w:eastAsia="Garamond" w:cs="Arial"/>
                <w:szCs w:val="16"/>
              </w:rPr>
              <w:t>Production naturelle supervisée par un protocole expérimental souple dans le cadre d'une recherche scientifique guidant le choix du topique mais ne contraignant pas le locuteur à choisir une formulation préétablie. Le locuteur est libre du choix de ses mots</w:t>
            </w:r>
          </w:p>
        </w:tc>
      </w:tr>
      <w:tr w:rsidR="00533E61" w:rsidRPr="0067131D" w14:paraId="15BF9742" w14:textId="77777777" w:rsidTr="00DE2E95">
        <w:trPr>
          <w:trHeight w:val="70"/>
        </w:trPr>
        <w:tc>
          <w:tcPr>
            <w:tcW w:w="0" w:type="auto"/>
            <w:tcBorders>
              <w:bottom w:val="single" w:sz="4" w:space="0" w:color="auto"/>
            </w:tcBorders>
            <w:shd w:val="clear" w:color="auto" w:fill="auto"/>
            <w:vAlign w:val="center"/>
          </w:tcPr>
          <w:p w14:paraId="4A01E927" w14:textId="77777777" w:rsidR="00533E61" w:rsidRPr="0067131D" w:rsidRDefault="00533E61" w:rsidP="00DE2E95">
            <w:pPr>
              <w:pStyle w:val="TabBody"/>
              <w:jc w:val="both"/>
              <w:rPr>
                <w:rFonts w:eastAsia="Garamond" w:cs="Arial"/>
                <w:szCs w:val="16"/>
              </w:rPr>
            </w:pPr>
            <w:r w:rsidRPr="0067131D">
              <w:rPr>
                <w:rFonts w:eastAsia="Garamond" w:cs="Arial"/>
                <w:szCs w:val="16"/>
              </w:rPr>
              <w:t>NATUREL</w:t>
            </w:r>
          </w:p>
        </w:tc>
        <w:tc>
          <w:tcPr>
            <w:tcW w:w="0" w:type="auto"/>
            <w:shd w:val="clear" w:color="auto" w:fill="auto"/>
            <w:vAlign w:val="center"/>
          </w:tcPr>
          <w:p w14:paraId="465A6ACA" w14:textId="77777777" w:rsidR="00533E61" w:rsidRPr="0067131D" w:rsidRDefault="00533E61" w:rsidP="00DE2E95">
            <w:pPr>
              <w:pStyle w:val="TabBody"/>
              <w:jc w:val="both"/>
              <w:rPr>
                <w:rFonts w:eastAsia="Garamond" w:cs="Arial"/>
                <w:szCs w:val="16"/>
              </w:rPr>
            </w:pPr>
            <w:r w:rsidRPr="0067131D">
              <w:rPr>
                <w:rFonts w:eastAsia="Garamond" w:cs="Arial"/>
                <w:szCs w:val="16"/>
              </w:rPr>
              <w:t>Production authentique du locuteur dénuée de tout protocole expérimental, non-suscitée par une action de recherche scientifique</w:t>
            </w:r>
          </w:p>
        </w:tc>
      </w:tr>
      <w:tr w:rsidR="00533E61" w:rsidRPr="0067131D" w14:paraId="50353EBF" w14:textId="77777777" w:rsidTr="00DE2E95">
        <w:trPr>
          <w:trHeight w:val="300"/>
        </w:trPr>
        <w:tc>
          <w:tcPr>
            <w:tcW w:w="0" w:type="auto"/>
            <w:vMerge w:val="restart"/>
            <w:shd w:val="clear" w:color="auto" w:fill="BFBFBF"/>
            <w:vAlign w:val="center"/>
          </w:tcPr>
          <w:p w14:paraId="721A8A94" w14:textId="77777777" w:rsidR="00533E61" w:rsidRPr="0067131D" w:rsidRDefault="00533E61" w:rsidP="00DE2E95">
            <w:pPr>
              <w:pStyle w:val="TabBody"/>
              <w:jc w:val="both"/>
              <w:rPr>
                <w:rFonts w:eastAsia="Garamond" w:cs="Arial"/>
                <w:szCs w:val="16"/>
              </w:rPr>
            </w:pPr>
            <w:r w:rsidRPr="0067131D">
              <w:rPr>
                <w:rFonts w:eastAsia="Garamond" w:cs="Arial"/>
                <w:szCs w:val="16"/>
              </w:rPr>
              <w:t>NB.SPK</w:t>
            </w:r>
          </w:p>
        </w:tc>
        <w:tc>
          <w:tcPr>
            <w:tcW w:w="0" w:type="auto"/>
            <w:shd w:val="clear" w:color="auto" w:fill="BFBFBF"/>
            <w:vAlign w:val="center"/>
          </w:tcPr>
          <w:p w14:paraId="7F43342A" w14:textId="77777777" w:rsidR="00533E61" w:rsidRPr="0067131D" w:rsidRDefault="00533E61" w:rsidP="00DE2E95">
            <w:pPr>
              <w:pStyle w:val="TabBody"/>
              <w:jc w:val="both"/>
              <w:rPr>
                <w:rFonts w:eastAsia="Garamond" w:cs="Arial"/>
                <w:szCs w:val="16"/>
              </w:rPr>
            </w:pPr>
            <w:r w:rsidRPr="0067131D">
              <w:rPr>
                <w:rFonts w:eastAsia="Garamond" w:cs="Arial"/>
                <w:szCs w:val="16"/>
              </w:rPr>
              <w:t>Catégorisation du nombre de locuteurs</w:t>
            </w:r>
          </w:p>
        </w:tc>
      </w:tr>
      <w:tr w:rsidR="00533E61" w:rsidRPr="0067131D" w14:paraId="29A3AC29" w14:textId="77777777" w:rsidTr="00DE2E95">
        <w:trPr>
          <w:trHeight w:val="300"/>
        </w:trPr>
        <w:tc>
          <w:tcPr>
            <w:tcW w:w="0" w:type="auto"/>
            <w:vMerge/>
            <w:shd w:val="clear" w:color="auto" w:fill="BFBFBF"/>
            <w:vAlign w:val="center"/>
          </w:tcPr>
          <w:p w14:paraId="25B4F93C" w14:textId="77777777" w:rsidR="00533E61" w:rsidRPr="0067131D" w:rsidRDefault="00533E61" w:rsidP="00DE2E95">
            <w:pPr>
              <w:pStyle w:val="TabBody"/>
              <w:jc w:val="both"/>
              <w:rPr>
                <w:rFonts w:eastAsia="Garamond" w:cs="Arial"/>
                <w:szCs w:val="16"/>
              </w:rPr>
            </w:pPr>
          </w:p>
        </w:tc>
        <w:tc>
          <w:tcPr>
            <w:tcW w:w="0" w:type="auto"/>
            <w:shd w:val="clear" w:color="auto" w:fill="BFBFBF"/>
            <w:vAlign w:val="center"/>
          </w:tcPr>
          <w:p w14:paraId="2ACA3017" w14:textId="77777777" w:rsidR="00533E61" w:rsidRPr="0067131D" w:rsidRDefault="00533E61" w:rsidP="00DE2E95">
            <w:pPr>
              <w:pStyle w:val="TabBody"/>
              <w:jc w:val="both"/>
              <w:rPr>
                <w:rFonts w:eastAsia="Garamond" w:cs="Arial"/>
                <w:szCs w:val="16"/>
              </w:rPr>
            </w:pPr>
            <w:r w:rsidRPr="0067131D">
              <w:rPr>
                <w:rFonts w:eastAsia="Garamond" w:cs="Arial"/>
                <w:szCs w:val="16"/>
              </w:rPr>
              <w:t>Le nombre de locuteurs prenant une part active dans l'interaction</w:t>
            </w:r>
          </w:p>
        </w:tc>
      </w:tr>
      <w:tr w:rsidR="00533E61" w:rsidRPr="0067131D" w14:paraId="44D1ED2F" w14:textId="77777777" w:rsidTr="00DE2E95">
        <w:tc>
          <w:tcPr>
            <w:tcW w:w="0" w:type="auto"/>
            <w:shd w:val="clear" w:color="auto" w:fill="auto"/>
            <w:vAlign w:val="center"/>
          </w:tcPr>
          <w:p w14:paraId="07107784" w14:textId="77777777" w:rsidR="00533E61" w:rsidRPr="0067131D" w:rsidRDefault="00533E61" w:rsidP="00DE2E95">
            <w:pPr>
              <w:pStyle w:val="TabBody"/>
              <w:jc w:val="both"/>
              <w:rPr>
                <w:rFonts w:eastAsia="Garamond" w:cs="Arial"/>
                <w:szCs w:val="16"/>
              </w:rPr>
            </w:pPr>
            <w:r w:rsidRPr="0067131D">
              <w:rPr>
                <w:rFonts w:eastAsia="Garamond" w:cs="Arial"/>
                <w:szCs w:val="16"/>
              </w:rPr>
              <w:t>MONOLOGUE</w:t>
            </w:r>
          </w:p>
        </w:tc>
        <w:tc>
          <w:tcPr>
            <w:tcW w:w="0" w:type="auto"/>
            <w:shd w:val="clear" w:color="auto" w:fill="auto"/>
            <w:vAlign w:val="center"/>
          </w:tcPr>
          <w:p w14:paraId="1DC5B588" w14:textId="421D5846" w:rsidR="00533E61" w:rsidRPr="0067131D" w:rsidRDefault="00533E61" w:rsidP="00DE2E95">
            <w:pPr>
              <w:pStyle w:val="TabBody"/>
              <w:jc w:val="both"/>
              <w:rPr>
                <w:rFonts w:eastAsia="Garamond" w:cs="Arial"/>
                <w:szCs w:val="16"/>
              </w:rPr>
            </w:pPr>
            <w:r w:rsidRPr="0067131D">
              <w:rPr>
                <w:rFonts w:eastAsia="Garamond" w:cs="Arial"/>
                <w:szCs w:val="16"/>
              </w:rPr>
              <w:t>Une seule personne est le locuteur principal désigné.</w:t>
            </w:r>
          </w:p>
        </w:tc>
      </w:tr>
      <w:tr w:rsidR="00533E61" w:rsidRPr="0067131D" w14:paraId="005A6814" w14:textId="77777777" w:rsidTr="00DE2E95">
        <w:tc>
          <w:tcPr>
            <w:tcW w:w="0" w:type="auto"/>
            <w:shd w:val="clear" w:color="auto" w:fill="auto"/>
            <w:vAlign w:val="center"/>
          </w:tcPr>
          <w:p w14:paraId="4485088E" w14:textId="77777777" w:rsidR="00533E61" w:rsidRPr="0067131D" w:rsidRDefault="00533E61" w:rsidP="00DE2E95">
            <w:pPr>
              <w:pStyle w:val="TabBody"/>
              <w:jc w:val="both"/>
              <w:rPr>
                <w:rFonts w:eastAsia="Garamond" w:cs="Arial"/>
                <w:szCs w:val="16"/>
              </w:rPr>
            </w:pPr>
            <w:r w:rsidRPr="0067131D">
              <w:rPr>
                <w:rFonts w:eastAsia="Garamond" w:cs="Arial"/>
                <w:szCs w:val="16"/>
              </w:rPr>
              <w:t>DIALOGUE</w:t>
            </w:r>
          </w:p>
        </w:tc>
        <w:tc>
          <w:tcPr>
            <w:tcW w:w="0" w:type="auto"/>
            <w:shd w:val="clear" w:color="auto" w:fill="auto"/>
            <w:vAlign w:val="center"/>
          </w:tcPr>
          <w:p w14:paraId="3EA5F951" w14:textId="0223A8D1" w:rsidR="00533E61" w:rsidRPr="0067131D" w:rsidRDefault="00533E61" w:rsidP="00DE2E95">
            <w:pPr>
              <w:pStyle w:val="TabBody"/>
              <w:jc w:val="both"/>
              <w:rPr>
                <w:rFonts w:eastAsia="Garamond" w:cs="Arial"/>
                <w:szCs w:val="16"/>
              </w:rPr>
            </w:pPr>
            <w:r w:rsidRPr="0067131D">
              <w:rPr>
                <w:rFonts w:eastAsia="Garamond" w:cs="Arial"/>
                <w:szCs w:val="16"/>
              </w:rPr>
              <w:t>Deux personnes sont les locuteurs principaux désignés</w:t>
            </w:r>
          </w:p>
        </w:tc>
      </w:tr>
      <w:tr w:rsidR="00533E61" w:rsidRPr="0067131D" w14:paraId="1EB809BE" w14:textId="77777777" w:rsidTr="00DE2E95">
        <w:trPr>
          <w:trHeight w:val="70"/>
        </w:trPr>
        <w:tc>
          <w:tcPr>
            <w:tcW w:w="0" w:type="auto"/>
            <w:shd w:val="clear" w:color="auto" w:fill="auto"/>
            <w:vAlign w:val="center"/>
          </w:tcPr>
          <w:p w14:paraId="27577DF7" w14:textId="77777777" w:rsidR="00533E61" w:rsidRPr="0067131D" w:rsidRDefault="00533E61" w:rsidP="00DE2E95">
            <w:pPr>
              <w:pStyle w:val="TabBody"/>
              <w:jc w:val="both"/>
              <w:rPr>
                <w:rFonts w:eastAsia="Garamond" w:cs="Arial"/>
                <w:szCs w:val="16"/>
              </w:rPr>
            </w:pPr>
            <w:r w:rsidRPr="0067131D">
              <w:rPr>
                <w:rFonts w:eastAsia="Garamond" w:cs="Arial"/>
                <w:szCs w:val="16"/>
              </w:rPr>
              <w:t>MULTILOGUE</w:t>
            </w:r>
          </w:p>
        </w:tc>
        <w:tc>
          <w:tcPr>
            <w:tcW w:w="0" w:type="auto"/>
            <w:shd w:val="clear" w:color="auto" w:fill="auto"/>
            <w:vAlign w:val="center"/>
          </w:tcPr>
          <w:p w14:paraId="62883722" w14:textId="7BA253DE" w:rsidR="00533E61" w:rsidRPr="0067131D" w:rsidRDefault="00533E61" w:rsidP="00DE2E95">
            <w:pPr>
              <w:pStyle w:val="TabBody"/>
              <w:jc w:val="both"/>
              <w:rPr>
                <w:rFonts w:eastAsia="Garamond" w:cs="Arial"/>
                <w:szCs w:val="16"/>
              </w:rPr>
            </w:pPr>
            <w:r w:rsidRPr="0067131D">
              <w:rPr>
                <w:rFonts w:eastAsia="Garamond" w:cs="Arial"/>
                <w:szCs w:val="16"/>
              </w:rPr>
              <w:t>Plus de deux locuteurs principaux prennent part à l'interaction</w:t>
            </w:r>
          </w:p>
        </w:tc>
      </w:tr>
      <w:tr w:rsidR="00533E61" w:rsidRPr="0067131D" w14:paraId="550982CF" w14:textId="77777777" w:rsidTr="00DE2E95">
        <w:trPr>
          <w:trHeight w:val="266"/>
        </w:trPr>
        <w:tc>
          <w:tcPr>
            <w:tcW w:w="0" w:type="auto"/>
            <w:vMerge w:val="restart"/>
            <w:shd w:val="clear" w:color="auto" w:fill="BFBFBF"/>
            <w:vAlign w:val="center"/>
          </w:tcPr>
          <w:p w14:paraId="155A7134" w14:textId="77777777" w:rsidR="00533E61" w:rsidRPr="0067131D" w:rsidRDefault="00533E61" w:rsidP="00DE2E95">
            <w:pPr>
              <w:pStyle w:val="TabBody"/>
              <w:jc w:val="both"/>
              <w:rPr>
                <w:rFonts w:eastAsia="Garamond" w:cs="Arial"/>
                <w:szCs w:val="16"/>
              </w:rPr>
            </w:pPr>
            <w:r w:rsidRPr="0067131D">
              <w:rPr>
                <w:rFonts w:eastAsia="Garamond" w:cs="Arial"/>
                <w:szCs w:val="16"/>
              </w:rPr>
              <w:t>D.PREP</w:t>
            </w:r>
          </w:p>
        </w:tc>
        <w:tc>
          <w:tcPr>
            <w:tcW w:w="0" w:type="auto"/>
            <w:shd w:val="clear" w:color="auto" w:fill="BFBFBF"/>
            <w:vAlign w:val="center"/>
          </w:tcPr>
          <w:p w14:paraId="49B58DB0" w14:textId="77777777" w:rsidR="00533E61" w:rsidRPr="0067131D" w:rsidRDefault="00533E61" w:rsidP="00DE2E95">
            <w:pPr>
              <w:pStyle w:val="TabBody"/>
              <w:jc w:val="both"/>
              <w:rPr>
                <w:rFonts w:eastAsia="Garamond" w:cs="Arial"/>
                <w:szCs w:val="16"/>
              </w:rPr>
            </w:pPr>
            <w:r w:rsidRPr="0067131D">
              <w:rPr>
                <w:rFonts w:eastAsia="Garamond" w:cs="Arial"/>
                <w:szCs w:val="16"/>
              </w:rPr>
              <w:t>Degré de préparation</w:t>
            </w:r>
          </w:p>
        </w:tc>
      </w:tr>
      <w:tr w:rsidR="00533E61" w:rsidRPr="0067131D" w14:paraId="10D7FCE2" w14:textId="77777777" w:rsidTr="00DE2E95">
        <w:trPr>
          <w:trHeight w:val="81"/>
        </w:trPr>
        <w:tc>
          <w:tcPr>
            <w:tcW w:w="0" w:type="auto"/>
            <w:vMerge/>
            <w:shd w:val="clear" w:color="auto" w:fill="BFBFBF"/>
            <w:vAlign w:val="center"/>
          </w:tcPr>
          <w:p w14:paraId="68EC3249" w14:textId="77777777" w:rsidR="00533E61" w:rsidRPr="0067131D" w:rsidRDefault="00533E61" w:rsidP="00DE2E95">
            <w:pPr>
              <w:pStyle w:val="TabBody"/>
              <w:jc w:val="both"/>
              <w:rPr>
                <w:rFonts w:eastAsia="Garamond" w:cs="Arial"/>
                <w:szCs w:val="16"/>
              </w:rPr>
            </w:pPr>
          </w:p>
        </w:tc>
        <w:tc>
          <w:tcPr>
            <w:tcW w:w="0" w:type="auto"/>
            <w:shd w:val="clear" w:color="auto" w:fill="BFBFBF"/>
            <w:vAlign w:val="center"/>
          </w:tcPr>
          <w:p w14:paraId="48521AB9" w14:textId="77777777" w:rsidR="00533E61" w:rsidRPr="0067131D" w:rsidRDefault="00533E61" w:rsidP="00DE2E95">
            <w:pPr>
              <w:pStyle w:val="TabBody"/>
              <w:jc w:val="both"/>
              <w:rPr>
                <w:rFonts w:eastAsia="Garamond" w:cs="Arial"/>
                <w:szCs w:val="16"/>
              </w:rPr>
            </w:pPr>
            <w:r w:rsidRPr="0067131D">
              <w:rPr>
                <w:rFonts w:eastAsia="Garamond" w:cs="Arial"/>
                <w:szCs w:val="16"/>
              </w:rPr>
              <w:t>Le degré de la préparation orale et/ou écrite du discours du locuteur principal</w:t>
            </w:r>
          </w:p>
        </w:tc>
      </w:tr>
      <w:tr w:rsidR="00533E61" w:rsidRPr="0067131D" w14:paraId="3FBC8EBC" w14:textId="77777777" w:rsidTr="00DE2E95">
        <w:trPr>
          <w:trHeight w:val="70"/>
        </w:trPr>
        <w:tc>
          <w:tcPr>
            <w:tcW w:w="0" w:type="auto"/>
            <w:shd w:val="clear" w:color="auto" w:fill="auto"/>
            <w:vAlign w:val="center"/>
          </w:tcPr>
          <w:p w14:paraId="490D1D21" w14:textId="77777777" w:rsidR="00533E61" w:rsidRPr="0067131D" w:rsidRDefault="00533E61" w:rsidP="00DE2E95">
            <w:pPr>
              <w:pStyle w:val="TabBody"/>
              <w:jc w:val="both"/>
              <w:rPr>
                <w:rFonts w:eastAsia="Garamond" w:cs="Arial"/>
                <w:szCs w:val="16"/>
              </w:rPr>
            </w:pPr>
            <w:r w:rsidRPr="0067131D">
              <w:rPr>
                <w:rFonts w:eastAsia="Garamond" w:cs="Arial"/>
                <w:szCs w:val="16"/>
              </w:rPr>
              <w:t>PREPARE</w:t>
            </w:r>
          </w:p>
        </w:tc>
        <w:tc>
          <w:tcPr>
            <w:tcW w:w="0" w:type="auto"/>
            <w:shd w:val="clear" w:color="auto" w:fill="auto"/>
            <w:vAlign w:val="center"/>
          </w:tcPr>
          <w:p w14:paraId="17234937" w14:textId="77777777" w:rsidR="00533E61" w:rsidRPr="0067131D" w:rsidRDefault="00533E61" w:rsidP="00DE2E95">
            <w:pPr>
              <w:pStyle w:val="TabBody"/>
              <w:jc w:val="both"/>
              <w:rPr>
                <w:rFonts w:eastAsia="Garamond" w:cs="Arial"/>
                <w:szCs w:val="16"/>
              </w:rPr>
            </w:pPr>
            <w:r w:rsidRPr="0067131D">
              <w:rPr>
                <w:rFonts w:eastAsia="Garamond" w:cs="Arial"/>
                <w:szCs w:val="16"/>
              </w:rPr>
              <w:t xml:space="preserve">Le locuteur a entièrement préparé avant l'interaction le contenu et la forme de son discours. Le discours a été rédigé et est formulé avec ou sans support textuel </w:t>
            </w:r>
          </w:p>
        </w:tc>
      </w:tr>
      <w:tr w:rsidR="00533E61" w:rsidRPr="0067131D" w14:paraId="1C6B7596" w14:textId="77777777" w:rsidTr="00DE2E95">
        <w:trPr>
          <w:trHeight w:val="259"/>
        </w:trPr>
        <w:tc>
          <w:tcPr>
            <w:tcW w:w="0" w:type="auto"/>
            <w:shd w:val="clear" w:color="auto" w:fill="auto"/>
            <w:vAlign w:val="center"/>
          </w:tcPr>
          <w:p w14:paraId="3FBC8E46" w14:textId="77777777" w:rsidR="00533E61" w:rsidRPr="0067131D" w:rsidRDefault="00533E61" w:rsidP="00DE2E95">
            <w:pPr>
              <w:pStyle w:val="TabBody"/>
              <w:jc w:val="both"/>
              <w:rPr>
                <w:rFonts w:eastAsia="Garamond" w:cs="Arial"/>
                <w:szCs w:val="16"/>
              </w:rPr>
            </w:pPr>
            <w:r w:rsidRPr="0067131D">
              <w:rPr>
                <w:rFonts w:eastAsia="Garamond" w:cs="Arial"/>
                <w:szCs w:val="16"/>
              </w:rPr>
              <w:t>SEMI.PREPARE</w:t>
            </w:r>
          </w:p>
        </w:tc>
        <w:tc>
          <w:tcPr>
            <w:tcW w:w="0" w:type="auto"/>
            <w:shd w:val="clear" w:color="auto" w:fill="auto"/>
            <w:vAlign w:val="center"/>
          </w:tcPr>
          <w:p w14:paraId="3FAAF450" w14:textId="75ECE2A6" w:rsidR="00533E61" w:rsidRPr="0067131D" w:rsidRDefault="00533E61" w:rsidP="00DE2E95">
            <w:pPr>
              <w:pStyle w:val="TabBody"/>
              <w:jc w:val="both"/>
              <w:rPr>
                <w:rFonts w:eastAsia="Garamond" w:cs="Arial"/>
                <w:szCs w:val="16"/>
              </w:rPr>
            </w:pPr>
            <w:r w:rsidRPr="0067131D">
              <w:rPr>
                <w:rFonts w:eastAsia="Garamond" w:cs="Arial"/>
                <w:szCs w:val="16"/>
              </w:rPr>
              <w:t>Le locuteur a préparé la direction globale de son discours, mais le discours n'a pas été rédigé dans sa totalité. L'interaction peut inclure un support textuel partiel</w:t>
            </w:r>
          </w:p>
        </w:tc>
      </w:tr>
      <w:tr w:rsidR="00533E61" w:rsidRPr="0067131D" w14:paraId="1285DBB8" w14:textId="77777777" w:rsidTr="00DE2E95">
        <w:trPr>
          <w:trHeight w:val="302"/>
        </w:trPr>
        <w:tc>
          <w:tcPr>
            <w:tcW w:w="0" w:type="auto"/>
            <w:shd w:val="clear" w:color="auto" w:fill="auto"/>
            <w:vAlign w:val="center"/>
          </w:tcPr>
          <w:p w14:paraId="618AAAC5" w14:textId="77777777" w:rsidR="00533E61" w:rsidRPr="0067131D" w:rsidRDefault="00533E61" w:rsidP="00DE2E95">
            <w:pPr>
              <w:pStyle w:val="TabBody"/>
              <w:jc w:val="both"/>
              <w:rPr>
                <w:rFonts w:eastAsia="Garamond" w:cs="Arial"/>
                <w:szCs w:val="16"/>
              </w:rPr>
            </w:pPr>
            <w:r w:rsidRPr="0067131D">
              <w:rPr>
                <w:rFonts w:eastAsia="Garamond" w:cs="Arial"/>
                <w:szCs w:val="16"/>
              </w:rPr>
              <w:t>SPONTANE</w:t>
            </w:r>
          </w:p>
        </w:tc>
        <w:tc>
          <w:tcPr>
            <w:tcW w:w="0" w:type="auto"/>
            <w:shd w:val="clear" w:color="auto" w:fill="auto"/>
            <w:vAlign w:val="center"/>
          </w:tcPr>
          <w:p w14:paraId="1FC63903" w14:textId="77777777" w:rsidR="00533E61" w:rsidRPr="0067131D" w:rsidRDefault="00533E61" w:rsidP="00DE2E95">
            <w:pPr>
              <w:pStyle w:val="TabBody"/>
              <w:jc w:val="both"/>
              <w:rPr>
                <w:rFonts w:eastAsia="Garamond" w:cs="Arial"/>
                <w:szCs w:val="16"/>
              </w:rPr>
            </w:pPr>
            <w:r w:rsidRPr="0067131D">
              <w:rPr>
                <w:rFonts w:eastAsia="Garamond" w:cs="Arial"/>
                <w:szCs w:val="16"/>
              </w:rPr>
              <w:t xml:space="preserve"> Le locuteur improvise son discours au fur-et-à-mesure de l'interaction et n'en a préparé aucune partie </w:t>
            </w:r>
          </w:p>
        </w:tc>
      </w:tr>
      <w:tr w:rsidR="00533E61" w:rsidRPr="0067131D" w14:paraId="116F6DD7" w14:textId="77777777" w:rsidTr="00DE2E95">
        <w:tc>
          <w:tcPr>
            <w:tcW w:w="0" w:type="auto"/>
            <w:vMerge w:val="restart"/>
            <w:shd w:val="clear" w:color="auto" w:fill="BFBFBF"/>
            <w:vAlign w:val="center"/>
          </w:tcPr>
          <w:p w14:paraId="344ADB17" w14:textId="77777777" w:rsidR="00533E61" w:rsidRPr="0067131D" w:rsidRDefault="00533E61" w:rsidP="00DE2E95">
            <w:pPr>
              <w:pStyle w:val="TabBody"/>
              <w:jc w:val="both"/>
              <w:rPr>
                <w:rFonts w:eastAsia="Garamond" w:cs="Arial"/>
                <w:szCs w:val="16"/>
              </w:rPr>
            </w:pPr>
            <w:r w:rsidRPr="0067131D">
              <w:rPr>
                <w:rFonts w:eastAsia="Garamond" w:cs="Arial"/>
                <w:szCs w:val="16"/>
              </w:rPr>
              <w:t>D.INTERACT</w:t>
            </w:r>
          </w:p>
        </w:tc>
        <w:tc>
          <w:tcPr>
            <w:tcW w:w="0" w:type="auto"/>
            <w:shd w:val="clear" w:color="auto" w:fill="BFBFBF"/>
            <w:vAlign w:val="center"/>
          </w:tcPr>
          <w:p w14:paraId="36C3D281" w14:textId="77777777" w:rsidR="00533E61" w:rsidRPr="0067131D" w:rsidRDefault="00533E61" w:rsidP="00DE2E95">
            <w:pPr>
              <w:pStyle w:val="TabBody"/>
              <w:jc w:val="both"/>
              <w:rPr>
                <w:rFonts w:eastAsia="Garamond" w:cs="Arial"/>
                <w:szCs w:val="16"/>
              </w:rPr>
            </w:pPr>
            <w:r w:rsidRPr="0067131D">
              <w:rPr>
                <w:rFonts w:eastAsia="Garamond" w:cs="Arial"/>
                <w:szCs w:val="16"/>
              </w:rPr>
              <w:t>Degré d’interactivité</w:t>
            </w:r>
          </w:p>
        </w:tc>
      </w:tr>
      <w:tr w:rsidR="00533E61" w:rsidRPr="0067131D" w14:paraId="51C9C9B7" w14:textId="77777777" w:rsidTr="00DE2E95">
        <w:tc>
          <w:tcPr>
            <w:tcW w:w="0" w:type="auto"/>
            <w:vMerge/>
            <w:shd w:val="clear" w:color="auto" w:fill="BFBFBF"/>
            <w:vAlign w:val="center"/>
          </w:tcPr>
          <w:p w14:paraId="7AD595D0" w14:textId="77777777" w:rsidR="00533E61" w:rsidRPr="0067131D" w:rsidRDefault="00533E61" w:rsidP="00DE2E95">
            <w:pPr>
              <w:pStyle w:val="TabBody"/>
              <w:jc w:val="both"/>
              <w:rPr>
                <w:rFonts w:eastAsia="Garamond" w:cs="Arial"/>
                <w:szCs w:val="16"/>
              </w:rPr>
            </w:pPr>
          </w:p>
        </w:tc>
        <w:tc>
          <w:tcPr>
            <w:tcW w:w="0" w:type="auto"/>
            <w:shd w:val="clear" w:color="auto" w:fill="BFBFBF"/>
            <w:vAlign w:val="center"/>
          </w:tcPr>
          <w:p w14:paraId="6EE13C0E" w14:textId="77777777" w:rsidR="00533E61" w:rsidRPr="0067131D" w:rsidRDefault="00533E61" w:rsidP="00DE2E95">
            <w:pPr>
              <w:pStyle w:val="TabBody"/>
              <w:jc w:val="both"/>
              <w:rPr>
                <w:rFonts w:eastAsia="Garamond" w:cs="Arial"/>
                <w:szCs w:val="16"/>
              </w:rPr>
            </w:pPr>
            <w:r w:rsidRPr="0067131D">
              <w:rPr>
                <w:rFonts w:eastAsia="Garamond" w:cs="Arial"/>
                <w:szCs w:val="16"/>
              </w:rPr>
              <w:t>La capacité d'adaptation des interlocuteurs au regard des attentes sur le statut des locuteurs dans l'interaction</w:t>
            </w:r>
          </w:p>
        </w:tc>
      </w:tr>
      <w:tr w:rsidR="00533E61" w:rsidRPr="0067131D" w14:paraId="4ED1A551" w14:textId="77777777" w:rsidTr="00DE2E95">
        <w:trPr>
          <w:trHeight w:val="164"/>
        </w:trPr>
        <w:tc>
          <w:tcPr>
            <w:tcW w:w="0" w:type="auto"/>
            <w:shd w:val="clear" w:color="auto" w:fill="auto"/>
            <w:vAlign w:val="center"/>
          </w:tcPr>
          <w:p w14:paraId="454C4939" w14:textId="77777777" w:rsidR="00533E61" w:rsidRPr="0067131D" w:rsidRDefault="00533E61" w:rsidP="00DE2E95">
            <w:pPr>
              <w:pStyle w:val="TabBody"/>
              <w:jc w:val="both"/>
              <w:rPr>
                <w:rFonts w:eastAsia="Garamond" w:cs="Arial"/>
                <w:szCs w:val="16"/>
              </w:rPr>
            </w:pPr>
            <w:r w:rsidRPr="0067131D">
              <w:rPr>
                <w:rFonts w:eastAsia="Garamond" w:cs="Arial"/>
                <w:szCs w:val="16"/>
              </w:rPr>
              <w:t>INTERACTIF</w:t>
            </w:r>
          </w:p>
        </w:tc>
        <w:tc>
          <w:tcPr>
            <w:tcW w:w="0" w:type="auto"/>
            <w:shd w:val="clear" w:color="auto" w:fill="auto"/>
            <w:vAlign w:val="center"/>
          </w:tcPr>
          <w:p w14:paraId="1AA1DE16" w14:textId="62884D42" w:rsidR="00533E61" w:rsidRPr="0067131D" w:rsidRDefault="00533E61" w:rsidP="00DE2E95">
            <w:pPr>
              <w:pStyle w:val="TabBody"/>
              <w:jc w:val="both"/>
              <w:rPr>
                <w:rFonts w:eastAsia="Garamond" w:cs="Arial"/>
                <w:szCs w:val="16"/>
              </w:rPr>
            </w:pPr>
            <w:r w:rsidRPr="0067131D">
              <w:rPr>
                <w:rFonts w:eastAsia="Garamond" w:cs="Arial"/>
                <w:szCs w:val="16"/>
              </w:rPr>
              <w:t>Relation symétrique entre les locuteurs. La situation en cours permet aux interlocuteurs de prendre la parole</w:t>
            </w:r>
          </w:p>
        </w:tc>
      </w:tr>
      <w:tr w:rsidR="00533E61" w:rsidRPr="0067131D" w14:paraId="24DA968A" w14:textId="77777777" w:rsidTr="00DE2E95">
        <w:trPr>
          <w:trHeight w:val="86"/>
        </w:trPr>
        <w:tc>
          <w:tcPr>
            <w:tcW w:w="0" w:type="auto"/>
            <w:shd w:val="clear" w:color="auto" w:fill="auto"/>
            <w:vAlign w:val="center"/>
          </w:tcPr>
          <w:p w14:paraId="5BBFFE86" w14:textId="77777777" w:rsidR="00533E61" w:rsidRPr="0067131D" w:rsidRDefault="00533E61" w:rsidP="00DE2E95">
            <w:pPr>
              <w:pStyle w:val="TabBody"/>
              <w:jc w:val="both"/>
              <w:rPr>
                <w:rFonts w:eastAsia="Garamond" w:cs="Arial"/>
                <w:szCs w:val="16"/>
              </w:rPr>
            </w:pPr>
            <w:r w:rsidRPr="0067131D">
              <w:rPr>
                <w:rFonts w:eastAsia="Garamond" w:cs="Arial"/>
                <w:szCs w:val="16"/>
              </w:rPr>
              <w:t>SEMI.INTERACTIF</w:t>
            </w:r>
          </w:p>
        </w:tc>
        <w:tc>
          <w:tcPr>
            <w:tcW w:w="0" w:type="auto"/>
            <w:shd w:val="clear" w:color="auto" w:fill="auto"/>
            <w:vAlign w:val="center"/>
          </w:tcPr>
          <w:p w14:paraId="6F943C4F" w14:textId="77777777" w:rsidR="00533E61" w:rsidRPr="0067131D" w:rsidRDefault="00533E61" w:rsidP="00DE2E95">
            <w:pPr>
              <w:pStyle w:val="TabBody"/>
              <w:jc w:val="both"/>
              <w:rPr>
                <w:rFonts w:eastAsia="Garamond" w:cs="Arial"/>
                <w:szCs w:val="16"/>
              </w:rPr>
            </w:pPr>
            <w:r w:rsidRPr="0067131D">
              <w:rPr>
                <w:rFonts w:eastAsia="Garamond" w:cs="Arial"/>
                <w:szCs w:val="16"/>
              </w:rPr>
              <w:t xml:space="preserve">Relation asymétrique où un locuteur occupe plus la parole qu'un autre. La situation de parole n'exclut pas des interventions ponctuelles des locuteurs secondaires. </w:t>
            </w:r>
          </w:p>
        </w:tc>
      </w:tr>
      <w:tr w:rsidR="00533E61" w:rsidRPr="0067131D" w14:paraId="32790496" w14:textId="77777777" w:rsidTr="00DE2E95">
        <w:trPr>
          <w:trHeight w:val="71"/>
        </w:trPr>
        <w:tc>
          <w:tcPr>
            <w:tcW w:w="0" w:type="auto"/>
            <w:shd w:val="clear" w:color="auto" w:fill="auto"/>
            <w:vAlign w:val="center"/>
          </w:tcPr>
          <w:p w14:paraId="70CDFF13" w14:textId="77777777" w:rsidR="00533E61" w:rsidRPr="0067131D" w:rsidRDefault="00533E61" w:rsidP="00DE2E95">
            <w:pPr>
              <w:pStyle w:val="TabBody"/>
              <w:jc w:val="both"/>
              <w:rPr>
                <w:rFonts w:eastAsia="Garamond" w:cs="Arial"/>
                <w:szCs w:val="16"/>
              </w:rPr>
            </w:pPr>
            <w:r w:rsidRPr="0067131D">
              <w:rPr>
                <w:rFonts w:eastAsia="Garamond" w:cs="Arial"/>
                <w:szCs w:val="16"/>
              </w:rPr>
              <w:t>NON.INTERACTIF</w:t>
            </w:r>
          </w:p>
        </w:tc>
        <w:tc>
          <w:tcPr>
            <w:tcW w:w="0" w:type="auto"/>
            <w:shd w:val="clear" w:color="auto" w:fill="auto"/>
            <w:vAlign w:val="center"/>
          </w:tcPr>
          <w:p w14:paraId="29BF7F07" w14:textId="77777777" w:rsidR="00533E61" w:rsidRPr="0067131D" w:rsidRDefault="00533E61" w:rsidP="00DE2E95">
            <w:pPr>
              <w:pStyle w:val="TabBody"/>
              <w:jc w:val="both"/>
              <w:rPr>
                <w:rFonts w:eastAsia="Garamond" w:cs="Arial"/>
                <w:szCs w:val="16"/>
              </w:rPr>
            </w:pPr>
            <w:r w:rsidRPr="0067131D">
              <w:rPr>
                <w:rFonts w:eastAsia="Garamond" w:cs="Arial"/>
                <w:szCs w:val="16"/>
              </w:rPr>
              <w:t>Relation asymétrique où un des locuteurs prend et garde de manière quasi-continue la parole, sans possibilité d'intervention des interlocuteurs</w:t>
            </w:r>
          </w:p>
        </w:tc>
      </w:tr>
      <w:tr w:rsidR="00533E61" w:rsidRPr="0067131D" w14:paraId="6290ED89" w14:textId="77777777" w:rsidTr="00DE2E95">
        <w:tc>
          <w:tcPr>
            <w:tcW w:w="0" w:type="auto"/>
            <w:vMerge w:val="restart"/>
            <w:shd w:val="clear" w:color="auto" w:fill="BFBFBF"/>
            <w:vAlign w:val="center"/>
          </w:tcPr>
          <w:p w14:paraId="67B1CE8C" w14:textId="77777777" w:rsidR="00533E61" w:rsidRPr="0067131D" w:rsidRDefault="00533E61" w:rsidP="00DE2E95">
            <w:pPr>
              <w:pStyle w:val="TabBody"/>
              <w:jc w:val="both"/>
              <w:rPr>
                <w:rFonts w:eastAsia="Garamond" w:cs="Arial"/>
                <w:szCs w:val="16"/>
              </w:rPr>
            </w:pPr>
            <w:r w:rsidRPr="0067131D">
              <w:rPr>
                <w:rFonts w:eastAsia="Garamond" w:cs="Arial"/>
                <w:szCs w:val="16"/>
              </w:rPr>
              <w:t>D.MEDIA</w:t>
            </w:r>
          </w:p>
        </w:tc>
        <w:tc>
          <w:tcPr>
            <w:tcW w:w="0" w:type="auto"/>
            <w:shd w:val="clear" w:color="auto" w:fill="BFBFBF"/>
            <w:vAlign w:val="center"/>
          </w:tcPr>
          <w:p w14:paraId="2B4DCBD1" w14:textId="77777777" w:rsidR="00533E61" w:rsidRPr="0067131D" w:rsidRDefault="00533E61" w:rsidP="00DE2E95">
            <w:pPr>
              <w:pStyle w:val="TabBody"/>
              <w:jc w:val="both"/>
              <w:rPr>
                <w:rFonts w:eastAsia="Garamond" w:cs="Arial"/>
                <w:szCs w:val="16"/>
              </w:rPr>
            </w:pPr>
            <w:r w:rsidRPr="0067131D">
              <w:rPr>
                <w:rFonts w:eastAsia="Garamond" w:cs="Arial"/>
                <w:szCs w:val="16"/>
              </w:rPr>
              <w:t>Degré de médiatisation</w:t>
            </w:r>
          </w:p>
        </w:tc>
      </w:tr>
      <w:tr w:rsidR="00533E61" w:rsidRPr="0067131D" w14:paraId="23FE8915" w14:textId="77777777" w:rsidTr="00DE2E95">
        <w:tc>
          <w:tcPr>
            <w:tcW w:w="0" w:type="auto"/>
            <w:vMerge/>
            <w:shd w:val="clear" w:color="auto" w:fill="BFBFBF"/>
            <w:vAlign w:val="center"/>
          </w:tcPr>
          <w:p w14:paraId="6CF58E16" w14:textId="77777777" w:rsidR="00533E61" w:rsidRPr="0067131D" w:rsidRDefault="00533E61" w:rsidP="00DE2E95">
            <w:pPr>
              <w:pStyle w:val="TabBody"/>
              <w:jc w:val="both"/>
              <w:rPr>
                <w:rFonts w:eastAsia="Garamond" w:cs="Arial"/>
                <w:szCs w:val="16"/>
              </w:rPr>
            </w:pPr>
          </w:p>
        </w:tc>
        <w:tc>
          <w:tcPr>
            <w:tcW w:w="0" w:type="auto"/>
            <w:shd w:val="clear" w:color="auto" w:fill="BFBFBF"/>
            <w:vAlign w:val="center"/>
          </w:tcPr>
          <w:p w14:paraId="2358E2B9" w14:textId="7A90F536" w:rsidR="00533E61" w:rsidRPr="0067131D" w:rsidRDefault="00533E61" w:rsidP="00DE2E95">
            <w:pPr>
              <w:pStyle w:val="TabBody"/>
              <w:jc w:val="both"/>
              <w:rPr>
                <w:rFonts w:eastAsia="Garamond" w:cs="Arial"/>
                <w:szCs w:val="16"/>
              </w:rPr>
            </w:pPr>
            <w:r w:rsidRPr="0067131D">
              <w:rPr>
                <w:rFonts w:eastAsia="Garamond" w:cs="Arial"/>
                <w:szCs w:val="16"/>
              </w:rPr>
              <w:t>L'importance de la diffusion sur les grands média</w:t>
            </w:r>
            <w:r w:rsidR="0035478B" w:rsidRPr="0067131D">
              <w:rPr>
                <w:rFonts w:eastAsia="Garamond" w:cs="Arial"/>
                <w:szCs w:val="16"/>
              </w:rPr>
              <w:t>s</w:t>
            </w:r>
            <w:r w:rsidRPr="0067131D">
              <w:rPr>
                <w:rFonts w:eastAsia="Garamond" w:cs="Arial"/>
                <w:szCs w:val="16"/>
              </w:rPr>
              <w:t xml:space="preserve"> comme objectif principal de l'interaction</w:t>
            </w:r>
          </w:p>
        </w:tc>
      </w:tr>
      <w:tr w:rsidR="00533E61" w:rsidRPr="0067131D" w14:paraId="03259B96" w14:textId="77777777" w:rsidTr="00DE2E95">
        <w:tc>
          <w:tcPr>
            <w:tcW w:w="0" w:type="auto"/>
            <w:shd w:val="clear" w:color="auto" w:fill="auto"/>
            <w:vAlign w:val="center"/>
          </w:tcPr>
          <w:p w14:paraId="76DDB51B" w14:textId="77777777" w:rsidR="00533E61" w:rsidRPr="0067131D" w:rsidRDefault="00533E61" w:rsidP="00DE2E95">
            <w:pPr>
              <w:pStyle w:val="TabBody"/>
              <w:jc w:val="both"/>
              <w:rPr>
                <w:rFonts w:eastAsia="Garamond" w:cs="Arial"/>
                <w:szCs w:val="16"/>
              </w:rPr>
            </w:pPr>
            <w:r w:rsidRPr="0067131D">
              <w:rPr>
                <w:rFonts w:eastAsia="Garamond" w:cs="Arial"/>
                <w:szCs w:val="16"/>
              </w:rPr>
              <w:t>MEDIATISE</w:t>
            </w:r>
          </w:p>
        </w:tc>
        <w:tc>
          <w:tcPr>
            <w:tcW w:w="0" w:type="auto"/>
            <w:shd w:val="clear" w:color="auto" w:fill="auto"/>
            <w:vAlign w:val="center"/>
          </w:tcPr>
          <w:p w14:paraId="3279BBC7" w14:textId="77777777" w:rsidR="00533E61" w:rsidRPr="0067131D" w:rsidRDefault="00533E61" w:rsidP="00DE2E95">
            <w:pPr>
              <w:pStyle w:val="TabBody"/>
              <w:jc w:val="both"/>
              <w:rPr>
                <w:rFonts w:eastAsia="Garamond" w:cs="Arial"/>
                <w:szCs w:val="16"/>
              </w:rPr>
            </w:pPr>
            <w:r w:rsidRPr="0067131D">
              <w:rPr>
                <w:rFonts w:eastAsia="Garamond" w:cs="Arial"/>
                <w:szCs w:val="16"/>
              </w:rPr>
              <w:t>Le but principal de l'interaction est d'être diffusé par un média</w:t>
            </w:r>
          </w:p>
        </w:tc>
      </w:tr>
      <w:tr w:rsidR="00533E61" w:rsidRPr="0067131D" w14:paraId="4FEBCB7C" w14:textId="77777777" w:rsidTr="00DE2E95">
        <w:tc>
          <w:tcPr>
            <w:tcW w:w="0" w:type="auto"/>
            <w:shd w:val="clear" w:color="auto" w:fill="auto"/>
            <w:vAlign w:val="center"/>
          </w:tcPr>
          <w:p w14:paraId="54CE783F" w14:textId="77777777" w:rsidR="00533E61" w:rsidRPr="0067131D" w:rsidRDefault="00533E61" w:rsidP="00DE2E95">
            <w:pPr>
              <w:pStyle w:val="TabBody"/>
              <w:jc w:val="both"/>
              <w:rPr>
                <w:rFonts w:eastAsia="Garamond" w:cs="Arial"/>
                <w:szCs w:val="16"/>
              </w:rPr>
            </w:pPr>
            <w:r w:rsidRPr="0067131D">
              <w:rPr>
                <w:rFonts w:eastAsia="Garamond" w:cs="Arial"/>
                <w:szCs w:val="16"/>
              </w:rPr>
              <w:t>SEMI.MEDIATISE</w:t>
            </w:r>
          </w:p>
        </w:tc>
        <w:tc>
          <w:tcPr>
            <w:tcW w:w="0" w:type="auto"/>
            <w:shd w:val="clear" w:color="auto" w:fill="auto"/>
            <w:vAlign w:val="center"/>
          </w:tcPr>
          <w:p w14:paraId="0FE7EFEB" w14:textId="77777777" w:rsidR="00533E61" w:rsidRPr="0067131D" w:rsidRDefault="00533E61" w:rsidP="00DE2E95">
            <w:pPr>
              <w:pStyle w:val="TabBody"/>
              <w:jc w:val="both"/>
              <w:rPr>
                <w:rFonts w:eastAsia="Garamond" w:cs="Arial"/>
                <w:szCs w:val="16"/>
              </w:rPr>
            </w:pPr>
            <w:r w:rsidRPr="0067131D">
              <w:rPr>
                <w:rFonts w:eastAsia="Garamond" w:cs="Arial"/>
                <w:szCs w:val="16"/>
              </w:rPr>
              <w:t>L'interaction aurait lieu même si elle n'était pas diffusée par un média</w:t>
            </w:r>
          </w:p>
        </w:tc>
      </w:tr>
      <w:tr w:rsidR="00533E61" w:rsidRPr="0067131D" w14:paraId="10357DBF" w14:textId="77777777" w:rsidTr="00DE2E95">
        <w:trPr>
          <w:trHeight w:val="71"/>
        </w:trPr>
        <w:tc>
          <w:tcPr>
            <w:tcW w:w="0" w:type="auto"/>
            <w:shd w:val="clear" w:color="auto" w:fill="auto"/>
            <w:vAlign w:val="center"/>
          </w:tcPr>
          <w:p w14:paraId="23EA27F8" w14:textId="77777777" w:rsidR="00533E61" w:rsidRPr="0067131D" w:rsidRDefault="00533E61" w:rsidP="00DE2E95">
            <w:pPr>
              <w:pStyle w:val="TabBody"/>
              <w:jc w:val="both"/>
              <w:rPr>
                <w:rFonts w:eastAsia="Garamond" w:cs="Arial"/>
                <w:szCs w:val="16"/>
              </w:rPr>
            </w:pPr>
            <w:r w:rsidRPr="0067131D">
              <w:rPr>
                <w:rFonts w:eastAsia="Garamond" w:cs="Arial"/>
                <w:szCs w:val="16"/>
              </w:rPr>
              <w:t>NON.MEDIATISE</w:t>
            </w:r>
          </w:p>
        </w:tc>
        <w:tc>
          <w:tcPr>
            <w:tcW w:w="0" w:type="auto"/>
            <w:shd w:val="clear" w:color="auto" w:fill="auto"/>
            <w:vAlign w:val="center"/>
          </w:tcPr>
          <w:p w14:paraId="690C195A" w14:textId="77777777" w:rsidR="00533E61" w:rsidRPr="0067131D" w:rsidRDefault="00533E61" w:rsidP="00DE2E95">
            <w:pPr>
              <w:pStyle w:val="TabBody"/>
              <w:jc w:val="both"/>
              <w:rPr>
                <w:rFonts w:eastAsia="Garamond" w:cs="Arial"/>
                <w:szCs w:val="16"/>
              </w:rPr>
            </w:pPr>
            <w:r w:rsidRPr="0067131D">
              <w:rPr>
                <w:rFonts w:eastAsia="Garamond" w:cs="Arial"/>
                <w:szCs w:val="16"/>
              </w:rPr>
              <w:t>L'interaction n'est diffusée par aucun média</w:t>
            </w:r>
          </w:p>
        </w:tc>
      </w:tr>
      <w:tr w:rsidR="00533E61" w:rsidRPr="0067131D" w14:paraId="12967E8D" w14:textId="77777777" w:rsidTr="00DE2E95">
        <w:tc>
          <w:tcPr>
            <w:tcW w:w="0" w:type="auto"/>
            <w:vMerge w:val="restart"/>
            <w:shd w:val="clear" w:color="auto" w:fill="BFBFBF"/>
            <w:vAlign w:val="center"/>
          </w:tcPr>
          <w:p w14:paraId="6F25B903" w14:textId="77777777" w:rsidR="00533E61" w:rsidRPr="0067131D" w:rsidRDefault="00533E61" w:rsidP="00DE2E95">
            <w:pPr>
              <w:pStyle w:val="TabBody"/>
              <w:jc w:val="both"/>
              <w:rPr>
                <w:rFonts w:eastAsia="Garamond" w:cs="Arial"/>
                <w:szCs w:val="16"/>
              </w:rPr>
            </w:pPr>
            <w:r w:rsidRPr="0067131D">
              <w:rPr>
                <w:rFonts w:eastAsia="Garamond" w:cs="Arial"/>
                <w:szCs w:val="16"/>
              </w:rPr>
              <w:t>C.PRO</w:t>
            </w:r>
          </w:p>
        </w:tc>
        <w:tc>
          <w:tcPr>
            <w:tcW w:w="0" w:type="auto"/>
            <w:shd w:val="clear" w:color="auto" w:fill="BFBFBF"/>
            <w:vAlign w:val="center"/>
          </w:tcPr>
          <w:p w14:paraId="1537A3E0" w14:textId="77777777" w:rsidR="00533E61" w:rsidRPr="0067131D" w:rsidRDefault="00533E61" w:rsidP="00DE2E95">
            <w:pPr>
              <w:pStyle w:val="TabBody"/>
              <w:jc w:val="both"/>
              <w:rPr>
                <w:rFonts w:eastAsia="Garamond" w:cs="Arial"/>
                <w:szCs w:val="16"/>
              </w:rPr>
            </w:pPr>
            <w:r w:rsidRPr="0067131D">
              <w:rPr>
                <w:rFonts w:eastAsia="Garamond" w:cs="Arial"/>
                <w:szCs w:val="16"/>
              </w:rPr>
              <w:t>Catégorie de professionnalisation</w:t>
            </w:r>
          </w:p>
        </w:tc>
      </w:tr>
      <w:tr w:rsidR="00533E61" w:rsidRPr="0067131D" w14:paraId="07493E29" w14:textId="77777777" w:rsidTr="00DE2E95">
        <w:tc>
          <w:tcPr>
            <w:tcW w:w="0" w:type="auto"/>
            <w:vMerge/>
            <w:shd w:val="clear" w:color="auto" w:fill="BFBFBF"/>
            <w:vAlign w:val="center"/>
          </w:tcPr>
          <w:p w14:paraId="3281A736" w14:textId="77777777" w:rsidR="00533E61" w:rsidRPr="0067131D" w:rsidRDefault="00533E61" w:rsidP="00DE2E95">
            <w:pPr>
              <w:pStyle w:val="TabBody"/>
              <w:jc w:val="both"/>
              <w:rPr>
                <w:rFonts w:eastAsia="Garamond" w:cs="Arial"/>
                <w:szCs w:val="16"/>
              </w:rPr>
            </w:pPr>
          </w:p>
        </w:tc>
        <w:tc>
          <w:tcPr>
            <w:tcW w:w="0" w:type="auto"/>
            <w:shd w:val="clear" w:color="auto" w:fill="BFBFBF"/>
            <w:vAlign w:val="center"/>
          </w:tcPr>
          <w:p w14:paraId="32F8A11A" w14:textId="77777777" w:rsidR="00533E61" w:rsidRPr="0067131D" w:rsidRDefault="00533E61" w:rsidP="00DE2E95">
            <w:pPr>
              <w:pStyle w:val="TabBody"/>
              <w:jc w:val="both"/>
              <w:rPr>
                <w:rFonts w:eastAsia="Garamond" w:cs="Arial"/>
                <w:szCs w:val="16"/>
              </w:rPr>
            </w:pPr>
            <w:r w:rsidRPr="0067131D">
              <w:rPr>
                <w:rFonts w:eastAsia="Garamond" w:cs="Arial"/>
                <w:szCs w:val="16"/>
              </w:rPr>
              <w:t>La situation est ou n’est pas suscitée par la profession des interlocuteurs</w:t>
            </w:r>
          </w:p>
        </w:tc>
      </w:tr>
      <w:tr w:rsidR="00533E61" w:rsidRPr="0067131D" w14:paraId="20534619" w14:textId="77777777" w:rsidTr="00DE2E95">
        <w:tc>
          <w:tcPr>
            <w:tcW w:w="0" w:type="auto"/>
            <w:shd w:val="clear" w:color="auto" w:fill="auto"/>
            <w:vAlign w:val="center"/>
          </w:tcPr>
          <w:p w14:paraId="1FE26AF6" w14:textId="77777777" w:rsidR="00533E61" w:rsidRPr="0067131D" w:rsidRDefault="00533E61" w:rsidP="00DE2E95">
            <w:pPr>
              <w:pStyle w:val="TabBody"/>
              <w:jc w:val="both"/>
              <w:rPr>
                <w:rFonts w:eastAsia="Garamond" w:cs="Arial"/>
                <w:szCs w:val="16"/>
              </w:rPr>
            </w:pPr>
            <w:r w:rsidRPr="0067131D">
              <w:rPr>
                <w:rFonts w:eastAsia="Garamond" w:cs="Arial"/>
                <w:szCs w:val="16"/>
              </w:rPr>
              <w:t>PRO</w:t>
            </w:r>
          </w:p>
        </w:tc>
        <w:tc>
          <w:tcPr>
            <w:tcW w:w="0" w:type="auto"/>
            <w:shd w:val="clear" w:color="auto" w:fill="auto"/>
            <w:vAlign w:val="center"/>
          </w:tcPr>
          <w:p w14:paraId="4C2E1E75" w14:textId="49334AAC" w:rsidR="00533E61" w:rsidRPr="0067131D" w:rsidRDefault="00533E61" w:rsidP="00DE2E95">
            <w:pPr>
              <w:pStyle w:val="TabBody"/>
              <w:jc w:val="both"/>
              <w:rPr>
                <w:rFonts w:eastAsia="Garamond" w:cs="Arial"/>
                <w:szCs w:val="16"/>
              </w:rPr>
            </w:pPr>
            <w:r w:rsidRPr="0067131D">
              <w:rPr>
                <w:rFonts w:eastAsia="Garamond" w:cs="Arial"/>
                <w:szCs w:val="16"/>
              </w:rPr>
              <w:t>La situation est suscitée par la profession d’au moins un des interlocuteurs</w:t>
            </w:r>
          </w:p>
        </w:tc>
      </w:tr>
      <w:tr w:rsidR="00533E61" w:rsidRPr="0067131D" w14:paraId="65E8FF3C" w14:textId="77777777" w:rsidTr="00DE2E95">
        <w:tc>
          <w:tcPr>
            <w:tcW w:w="0" w:type="auto"/>
            <w:shd w:val="clear" w:color="auto" w:fill="auto"/>
            <w:vAlign w:val="center"/>
          </w:tcPr>
          <w:p w14:paraId="35B4ED85" w14:textId="77777777" w:rsidR="00533E61" w:rsidRPr="0067131D" w:rsidRDefault="00533E61" w:rsidP="00DE2E95">
            <w:pPr>
              <w:pStyle w:val="TabBody"/>
              <w:jc w:val="both"/>
              <w:rPr>
                <w:rFonts w:eastAsia="Garamond" w:cs="Arial"/>
                <w:szCs w:val="16"/>
              </w:rPr>
            </w:pPr>
            <w:r w:rsidRPr="0067131D">
              <w:rPr>
                <w:rFonts w:eastAsia="Garamond" w:cs="Arial"/>
                <w:szCs w:val="16"/>
              </w:rPr>
              <w:t>NON.PRO</w:t>
            </w:r>
          </w:p>
        </w:tc>
        <w:tc>
          <w:tcPr>
            <w:tcW w:w="0" w:type="auto"/>
            <w:shd w:val="clear" w:color="auto" w:fill="auto"/>
            <w:vAlign w:val="center"/>
          </w:tcPr>
          <w:p w14:paraId="7908E93F" w14:textId="77777777" w:rsidR="00533E61" w:rsidRPr="0067131D" w:rsidRDefault="00533E61" w:rsidP="00DE2E95">
            <w:pPr>
              <w:pStyle w:val="TabBody"/>
              <w:jc w:val="both"/>
              <w:rPr>
                <w:rFonts w:eastAsia="Garamond" w:cs="Arial"/>
                <w:szCs w:val="16"/>
              </w:rPr>
            </w:pPr>
            <w:r w:rsidRPr="0067131D">
              <w:rPr>
                <w:rFonts w:eastAsia="Garamond" w:cs="Arial"/>
                <w:szCs w:val="16"/>
              </w:rPr>
              <w:t>La situation n’est pas suscitée par la profession des interlocuteurs</w:t>
            </w:r>
          </w:p>
        </w:tc>
      </w:tr>
    </w:tbl>
    <w:p w14:paraId="20B72D9B" w14:textId="77777777" w:rsidR="00AC050F" w:rsidRDefault="00AC050F" w:rsidP="00D02833">
      <w:pPr>
        <w:pStyle w:val="Body"/>
      </w:pPr>
    </w:p>
    <w:p w14:paraId="7B707705" w14:textId="23BFA3DF" w:rsidR="00AC050F" w:rsidRDefault="00AC050F" w:rsidP="00467D2C">
      <w:pPr>
        <w:pStyle w:val="Body"/>
      </w:pPr>
      <w:r>
        <w:t xml:space="preserve">La description </w:t>
      </w:r>
      <w:r w:rsidR="006A0A04">
        <w:t>de chaque genre</w:t>
      </w:r>
      <w:r>
        <w:t xml:space="preserve"> en fonction des</w:t>
      </w:r>
      <w:r w:rsidR="006A0A04">
        <w:t xml:space="preserve"> six</w:t>
      </w:r>
      <w:r>
        <w:t xml:space="preserve"> traits situationnels est présentée en Annexe </w:t>
      </w:r>
      <w:r w:rsidR="004458EF">
        <w:t>(</w:t>
      </w:r>
      <w:r>
        <w:t>1</w:t>
      </w:r>
      <w:r w:rsidR="004458EF">
        <w:t>)</w:t>
      </w:r>
      <w:r>
        <w:t xml:space="preserve">. </w:t>
      </w:r>
      <w:r w:rsidR="006A0A04">
        <w:t xml:space="preserve">Ces paramètres </w:t>
      </w:r>
      <w:r w:rsidR="00467D2C">
        <w:t>sont</w:t>
      </w:r>
      <w:r w:rsidR="006A0A04">
        <w:t xml:space="preserve"> pris </w:t>
      </w:r>
      <w:r w:rsidR="006A0A04" w:rsidRPr="002972C8">
        <w:t>en compte</w:t>
      </w:r>
      <w:r w:rsidR="006A0A04">
        <w:t xml:space="preserve"> pour </w:t>
      </w:r>
      <w:r w:rsidR="002972C8">
        <w:t>analyser statistiquement</w:t>
      </w:r>
      <w:r w:rsidR="006A0A04">
        <w:t xml:space="preserve"> la distribution des constructions </w:t>
      </w:r>
      <w:r w:rsidR="00467D2C">
        <w:t>syntax</w:t>
      </w:r>
      <w:r w:rsidR="009744B9">
        <w:t>iques</w:t>
      </w:r>
      <w:r w:rsidR="00467D2C">
        <w:t xml:space="preserve"> à travers les échantillons du</w:t>
      </w:r>
      <w:r w:rsidR="006A0A04">
        <w:t xml:space="preserve"> corpus. </w:t>
      </w:r>
    </w:p>
    <w:p w14:paraId="2492E7FD" w14:textId="77777777" w:rsidR="002B35DB" w:rsidRDefault="002B35DB" w:rsidP="002B35DB">
      <w:pPr>
        <w:pStyle w:val="Titre20"/>
      </w:pPr>
      <w:r>
        <w:t>3.</w:t>
      </w:r>
      <w:r w:rsidR="00464859">
        <w:t>3</w:t>
      </w:r>
      <w:r>
        <w:t xml:space="preserve">. </w:t>
      </w:r>
      <w:r w:rsidR="00481348">
        <w:t>Segmentation et identification des unités</w:t>
      </w:r>
      <w:r>
        <w:t xml:space="preserve"> syntaxique</w:t>
      </w:r>
      <w:r w:rsidR="00464859">
        <w:t>s</w:t>
      </w:r>
    </w:p>
    <w:p w14:paraId="32DAA16A" w14:textId="6E24361E" w:rsidR="00A90136" w:rsidRDefault="006A0A04" w:rsidP="006A0A04">
      <w:pPr>
        <w:pStyle w:val="Body"/>
      </w:pPr>
      <w:r>
        <w:t xml:space="preserve">L’analyse syntaxique repose sur plusieurs couches d’annotation disponibles dans des fichiers TextGrid </w:t>
      </w:r>
      <w:r w:rsidR="004553F3">
        <w:t xml:space="preserve">(Boersma &amp; Weenink </w:t>
      </w:r>
      <w:r w:rsidR="00762F39">
        <w:t>2023</w:t>
      </w:r>
      <w:r>
        <w:t>)</w:t>
      </w:r>
      <w:r w:rsidR="0060145F">
        <w:t xml:space="preserve"> et décrites de manière détaillée dans un </w:t>
      </w:r>
      <w:r w:rsidR="0060145F" w:rsidRPr="002972C8">
        <w:t xml:space="preserve">guide </w:t>
      </w:r>
      <w:r w:rsidR="0060145F">
        <w:t>librement accessible (Tanguy, Van Damme, Degand et Simon</w:t>
      </w:r>
      <w:r w:rsidR="00C157EA">
        <w:t xml:space="preserve"> </w:t>
      </w:r>
      <w:r w:rsidR="0060145F">
        <w:t>2012)</w:t>
      </w:r>
      <w:r>
        <w:t xml:space="preserve">. </w:t>
      </w:r>
      <w:r w:rsidR="0057393D">
        <w:t>Le T</w:t>
      </w:r>
      <w:r w:rsidR="001A14BF">
        <w:t>ableau (3) permet d’illustrer qu’a</w:t>
      </w:r>
      <w:r w:rsidR="007721E5">
        <w:t>ux niveaux inférieurs (6-10), on identifie automatique</w:t>
      </w:r>
      <w:r w:rsidR="00467D2C">
        <w:t>ment</w:t>
      </w:r>
      <w:r w:rsidR="007721E5">
        <w:t xml:space="preserve"> des unités lexicales ou polylexicales ; </w:t>
      </w:r>
      <w:r w:rsidR="001A14BF">
        <w:t>et qu’</w:t>
      </w:r>
      <w:r w:rsidR="007721E5">
        <w:t xml:space="preserve">aux niveaux supérieurs (16-17), on regroupe </w:t>
      </w:r>
      <w:r w:rsidR="002972C8">
        <w:t xml:space="preserve">manuellement </w:t>
      </w:r>
      <w:r w:rsidR="007721E5">
        <w:t>ces unités lexicales en unités syntaxiques en distinguant deux niveaux de constituance</w:t>
      </w:r>
      <w:r w:rsidR="002972C8">
        <w:t>, des séquences elles-mêmes regroupées en unités maximales de rection</w:t>
      </w:r>
      <w:r w:rsidR="007721E5">
        <w:t xml:space="preserve">. </w:t>
      </w:r>
    </w:p>
    <w:p w14:paraId="086F2472" w14:textId="77777777" w:rsidR="007721E5" w:rsidRDefault="007721E5" w:rsidP="006A0A04">
      <w:pPr>
        <w:pStyle w:val="Body"/>
      </w:pPr>
    </w:p>
    <w:p w14:paraId="2AD5E116" w14:textId="77777777" w:rsidR="007721E5" w:rsidRDefault="007721E5" w:rsidP="007721E5">
      <w:pPr>
        <w:pStyle w:val="TabFRTitre"/>
      </w:pPr>
      <w:r>
        <w:t xml:space="preserve">Tableau 3. Description des couches d’annotation sur lesquelles repose l’analyse syntaxique. La numérotation des couches correspond au schéma complet d’annotation présenté dans Grosman (2018). </w:t>
      </w:r>
    </w:p>
    <w:p w14:paraId="6A28E141" w14:textId="77777777" w:rsidR="007721E5" w:rsidRDefault="007721E5" w:rsidP="006A0A04">
      <w:pPr>
        <w:pStyle w:val="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1379"/>
        <w:gridCol w:w="5020"/>
      </w:tblGrid>
      <w:tr w:rsidR="007721E5" w:rsidRPr="00DE2E95" w14:paraId="70E786D7" w14:textId="77777777" w:rsidTr="00DE2E95">
        <w:tc>
          <w:tcPr>
            <w:tcW w:w="0" w:type="auto"/>
            <w:shd w:val="clear" w:color="auto" w:fill="auto"/>
            <w:vAlign w:val="center"/>
          </w:tcPr>
          <w:p w14:paraId="3D5679C4" w14:textId="77777777" w:rsidR="007721E5" w:rsidRPr="00DE2E95" w:rsidRDefault="007721E5" w:rsidP="00DE2E95">
            <w:pPr>
              <w:pStyle w:val="TabBody"/>
              <w:jc w:val="both"/>
              <w:rPr>
                <w:rFonts w:eastAsia="Garamond" w:cs="Arial"/>
                <w:szCs w:val="16"/>
              </w:rPr>
            </w:pPr>
            <w:r w:rsidRPr="00DE2E95">
              <w:rPr>
                <w:rFonts w:eastAsia="Garamond" w:cs="Arial"/>
                <w:szCs w:val="16"/>
              </w:rPr>
              <w:t>6</w:t>
            </w:r>
          </w:p>
        </w:tc>
        <w:tc>
          <w:tcPr>
            <w:tcW w:w="1389" w:type="dxa"/>
            <w:shd w:val="clear" w:color="auto" w:fill="auto"/>
            <w:vAlign w:val="center"/>
          </w:tcPr>
          <w:p w14:paraId="398A3769" w14:textId="77777777" w:rsidR="007721E5" w:rsidRPr="00DE2E95" w:rsidRDefault="007721E5" w:rsidP="00DE2E95">
            <w:pPr>
              <w:pStyle w:val="TabBody"/>
              <w:jc w:val="both"/>
              <w:rPr>
                <w:rFonts w:eastAsia="Garamond" w:cs="Arial"/>
                <w:b/>
                <w:szCs w:val="16"/>
              </w:rPr>
            </w:pPr>
            <w:r w:rsidRPr="00DE2E95">
              <w:rPr>
                <w:rFonts w:eastAsia="Garamond" w:cs="Arial"/>
                <w:b/>
                <w:szCs w:val="16"/>
              </w:rPr>
              <w:t>tok-min</w:t>
            </w:r>
          </w:p>
        </w:tc>
        <w:tc>
          <w:tcPr>
            <w:tcW w:w="5129" w:type="dxa"/>
            <w:shd w:val="clear" w:color="auto" w:fill="auto"/>
            <w:vAlign w:val="center"/>
          </w:tcPr>
          <w:p w14:paraId="067C7D82" w14:textId="77777777" w:rsidR="007721E5" w:rsidRPr="00DE2E95" w:rsidRDefault="007721E5" w:rsidP="00DE2E95">
            <w:pPr>
              <w:pStyle w:val="TabBody"/>
              <w:jc w:val="both"/>
              <w:rPr>
                <w:rFonts w:eastAsia="Garamond" w:cs="Arial"/>
                <w:szCs w:val="16"/>
              </w:rPr>
            </w:pPr>
            <w:r w:rsidRPr="00DE2E95">
              <w:rPr>
                <w:rFonts w:eastAsia="Garamond" w:cs="Arial"/>
                <w:szCs w:val="16"/>
              </w:rPr>
              <w:t>Segmentation lexicale automatique à partir de la tire de transcription (DisMo)</w:t>
            </w:r>
          </w:p>
        </w:tc>
      </w:tr>
      <w:tr w:rsidR="007721E5" w:rsidRPr="00DE2E95" w14:paraId="46DC9463" w14:textId="77777777" w:rsidTr="00DE2E95">
        <w:tc>
          <w:tcPr>
            <w:tcW w:w="0" w:type="auto"/>
            <w:shd w:val="clear" w:color="auto" w:fill="auto"/>
            <w:vAlign w:val="center"/>
          </w:tcPr>
          <w:p w14:paraId="7D2CE328" w14:textId="77777777" w:rsidR="007721E5" w:rsidRPr="00DE2E95" w:rsidRDefault="007721E5" w:rsidP="00DE2E95">
            <w:pPr>
              <w:pStyle w:val="TabBody"/>
              <w:jc w:val="both"/>
              <w:rPr>
                <w:rFonts w:eastAsia="Garamond" w:cs="Arial"/>
                <w:szCs w:val="16"/>
              </w:rPr>
            </w:pPr>
            <w:r w:rsidRPr="00DE2E95">
              <w:rPr>
                <w:rFonts w:eastAsia="Garamond" w:cs="Arial"/>
                <w:szCs w:val="16"/>
              </w:rPr>
              <w:t>7</w:t>
            </w:r>
          </w:p>
        </w:tc>
        <w:tc>
          <w:tcPr>
            <w:tcW w:w="1389" w:type="dxa"/>
            <w:shd w:val="clear" w:color="auto" w:fill="auto"/>
            <w:vAlign w:val="center"/>
          </w:tcPr>
          <w:p w14:paraId="3E137BE1" w14:textId="77777777" w:rsidR="007721E5" w:rsidRPr="00DE2E95" w:rsidRDefault="007721E5" w:rsidP="00DE2E95">
            <w:pPr>
              <w:pStyle w:val="TabBody"/>
              <w:jc w:val="both"/>
              <w:rPr>
                <w:rFonts w:eastAsia="Garamond" w:cs="Arial"/>
                <w:b/>
                <w:szCs w:val="16"/>
              </w:rPr>
            </w:pPr>
            <w:r w:rsidRPr="00DE2E95">
              <w:rPr>
                <w:rFonts w:eastAsia="Garamond" w:cs="Arial"/>
                <w:b/>
                <w:szCs w:val="16"/>
              </w:rPr>
              <w:t>words</w:t>
            </w:r>
          </w:p>
        </w:tc>
        <w:tc>
          <w:tcPr>
            <w:tcW w:w="5129" w:type="dxa"/>
            <w:shd w:val="clear" w:color="auto" w:fill="auto"/>
            <w:vAlign w:val="center"/>
          </w:tcPr>
          <w:p w14:paraId="0C843471" w14:textId="77777777" w:rsidR="007721E5" w:rsidRPr="00DE2E95" w:rsidRDefault="007721E5" w:rsidP="00DE2E95">
            <w:pPr>
              <w:pStyle w:val="TabBody"/>
              <w:jc w:val="both"/>
              <w:rPr>
                <w:rFonts w:eastAsia="Garamond" w:cs="Arial"/>
                <w:szCs w:val="16"/>
              </w:rPr>
            </w:pPr>
            <w:r w:rsidRPr="00DE2E95">
              <w:rPr>
                <w:rFonts w:eastAsia="Garamond" w:cs="Arial"/>
                <w:szCs w:val="16"/>
              </w:rPr>
              <w:t>Segmentation lexicale automatique à partir de la tire de transcription (EasyAlign)</w:t>
            </w:r>
          </w:p>
        </w:tc>
      </w:tr>
      <w:tr w:rsidR="007721E5" w:rsidRPr="00DE2E95" w14:paraId="3B1A1741" w14:textId="77777777" w:rsidTr="00DE2E95">
        <w:tc>
          <w:tcPr>
            <w:tcW w:w="0" w:type="auto"/>
            <w:shd w:val="clear" w:color="auto" w:fill="auto"/>
            <w:vAlign w:val="center"/>
          </w:tcPr>
          <w:p w14:paraId="173582CB" w14:textId="77777777" w:rsidR="007721E5" w:rsidRPr="00DE2E95" w:rsidRDefault="007721E5" w:rsidP="00DE2E95">
            <w:pPr>
              <w:pStyle w:val="TabBody"/>
              <w:jc w:val="both"/>
              <w:rPr>
                <w:rFonts w:eastAsia="Garamond" w:cs="Arial"/>
                <w:szCs w:val="16"/>
              </w:rPr>
            </w:pPr>
            <w:r w:rsidRPr="00DE2E95">
              <w:rPr>
                <w:rFonts w:eastAsia="Garamond" w:cs="Arial"/>
                <w:szCs w:val="16"/>
              </w:rPr>
              <w:t>8</w:t>
            </w:r>
          </w:p>
        </w:tc>
        <w:tc>
          <w:tcPr>
            <w:tcW w:w="1389" w:type="dxa"/>
            <w:shd w:val="clear" w:color="auto" w:fill="auto"/>
            <w:vAlign w:val="center"/>
          </w:tcPr>
          <w:p w14:paraId="7AE75DA4" w14:textId="77777777" w:rsidR="007721E5" w:rsidRPr="00DE2E95" w:rsidRDefault="007721E5" w:rsidP="00DE2E95">
            <w:pPr>
              <w:pStyle w:val="TabBody"/>
              <w:jc w:val="both"/>
              <w:rPr>
                <w:rFonts w:eastAsia="Garamond" w:cs="Arial"/>
                <w:b/>
                <w:szCs w:val="16"/>
              </w:rPr>
            </w:pPr>
            <w:r w:rsidRPr="00DE2E95">
              <w:rPr>
                <w:rFonts w:eastAsia="Garamond" w:cs="Arial"/>
                <w:b/>
                <w:szCs w:val="16"/>
              </w:rPr>
              <w:t>pos-dismo</w:t>
            </w:r>
          </w:p>
        </w:tc>
        <w:tc>
          <w:tcPr>
            <w:tcW w:w="5129" w:type="dxa"/>
            <w:shd w:val="clear" w:color="auto" w:fill="auto"/>
            <w:vAlign w:val="center"/>
          </w:tcPr>
          <w:p w14:paraId="190049C0" w14:textId="36BDFA97" w:rsidR="007721E5" w:rsidRPr="00DE2E95" w:rsidRDefault="007721E5" w:rsidP="00DE2E95">
            <w:pPr>
              <w:pStyle w:val="TabBody"/>
              <w:jc w:val="both"/>
              <w:rPr>
                <w:rFonts w:eastAsia="Garamond" w:cs="Arial"/>
                <w:szCs w:val="16"/>
              </w:rPr>
            </w:pPr>
            <w:r w:rsidRPr="00DE2E95">
              <w:rPr>
                <w:rFonts w:eastAsia="Garamond" w:cs="Arial"/>
                <w:szCs w:val="16"/>
              </w:rPr>
              <w:t xml:space="preserve">Annotation lexicale automatique </w:t>
            </w:r>
            <w:r w:rsidRPr="00DE2E95">
              <w:rPr>
                <w:rFonts w:eastAsia="Garamond" w:cs="Arial"/>
                <w:szCs w:val="16"/>
                <w:lang w:bidi="en-US"/>
              </w:rPr>
              <w:t>des catégories grammaticales</w:t>
            </w:r>
            <w:r w:rsidRPr="00DE2E95">
              <w:rPr>
                <w:rFonts w:eastAsia="Garamond" w:cs="Arial"/>
                <w:szCs w:val="16"/>
              </w:rPr>
              <w:t xml:space="preserve"> (DisMo)</w:t>
            </w:r>
          </w:p>
        </w:tc>
      </w:tr>
      <w:tr w:rsidR="007721E5" w:rsidRPr="00DE2E95" w14:paraId="4FF20F2A" w14:textId="77777777" w:rsidTr="00DE2E95">
        <w:tc>
          <w:tcPr>
            <w:tcW w:w="0" w:type="auto"/>
            <w:shd w:val="clear" w:color="auto" w:fill="auto"/>
            <w:vAlign w:val="center"/>
          </w:tcPr>
          <w:p w14:paraId="72FADD8B" w14:textId="77777777" w:rsidR="007721E5" w:rsidRPr="00DE2E95" w:rsidRDefault="007721E5" w:rsidP="00DE2E95">
            <w:pPr>
              <w:pStyle w:val="TabBody"/>
              <w:jc w:val="both"/>
              <w:rPr>
                <w:rFonts w:eastAsia="Garamond" w:cs="Arial"/>
                <w:szCs w:val="16"/>
              </w:rPr>
            </w:pPr>
            <w:r w:rsidRPr="00DE2E95">
              <w:rPr>
                <w:rFonts w:eastAsia="Garamond" w:cs="Arial"/>
                <w:szCs w:val="16"/>
              </w:rPr>
              <w:t>9</w:t>
            </w:r>
          </w:p>
        </w:tc>
        <w:tc>
          <w:tcPr>
            <w:tcW w:w="1389" w:type="dxa"/>
            <w:shd w:val="clear" w:color="auto" w:fill="auto"/>
            <w:vAlign w:val="center"/>
          </w:tcPr>
          <w:p w14:paraId="1D1221E6" w14:textId="77777777" w:rsidR="007721E5" w:rsidRPr="00DE2E95" w:rsidRDefault="007721E5" w:rsidP="00DE2E95">
            <w:pPr>
              <w:pStyle w:val="TabBody"/>
              <w:jc w:val="both"/>
              <w:rPr>
                <w:rFonts w:eastAsia="Garamond" w:cs="Arial"/>
                <w:b/>
                <w:szCs w:val="16"/>
              </w:rPr>
            </w:pPr>
            <w:r w:rsidRPr="00DE2E95">
              <w:rPr>
                <w:rFonts w:eastAsia="Garamond" w:cs="Arial"/>
                <w:b/>
                <w:szCs w:val="16"/>
              </w:rPr>
              <w:t>pos-treetag</w:t>
            </w:r>
          </w:p>
        </w:tc>
        <w:tc>
          <w:tcPr>
            <w:tcW w:w="5129" w:type="dxa"/>
            <w:shd w:val="clear" w:color="auto" w:fill="auto"/>
            <w:vAlign w:val="center"/>
          </w:tcPr>
          <w:p w14:paraId="5BAB2688" w14:textId="77777777" w:rsidR="007721E5" w:rsidRPr="00DE2E95" w:rsidRDefault="007721E5" w:rsidP="00DE2E95">
            <w:pPr>
              <w:pStyle w:val="TabBody"/>
              <w:jc w:val="both"/>
              <w:rPr>
                <w:rFonts w:eastAsia="Garamond" w:cs="Arial"/>
                <w:szCs w:val="16"/>
              </w:rPr>
            </w:pPr>
            <w:r w:rsidRPr="00DE2E95">
              <w:rPr>
                <w:rFonts w:eastAsia="Garamond" w:cs="Arial"/>
                <w:szCs w:val="16"/>
              </w:rPr>
              <w:t xml:space="preserve">Annotation lexicale automatique </w:t>
            </w:r>
            <w:r w:rsidRPr="00DE2E95">
              <w:rPr>
                <w:rFonts w:eastAsia="Garamond" w:cs="Arial"/>
                <w:szCs w:val="16"/>
                <w:lang w:bidi="en-US"/>
              </w:rPr>
              <w:t>des catégories grammaticales</w:t>
            </w:r>
            <w:r w:rsidRPr="00DE2E95">
              <w:rPr>
                <w:rFonts w:eastAsia="Garamond" w:cs="Arial"/>
                <w:szCs w:val="16"/>
              </w:rPr>
              <w:t xml:space="preserve"> (TreeTagger)</w:t>
            </w:r>
          </w:p>
        </w:tc>
      </w:tr>
      <w:tr w:rsidR="007721E5" w:rsidRPr="00DE2E95" w14:paraId="01A8AA5C" w14:textId="77777777" w:rsidTr="00DE2E95">
        <w:trPr>
          <w:trHeight w:val="81"/>
        </w:trPr>
        <w:tc>
          <w:tcPr>
            <w:tcW w:w="0" w:type="auto"/>
            <w:shd w:val="clear" w:color="auto" w:fill="auto"/>
            <w:vAlign w:val="center"/>
          </w:tcPr>
          <w:p w14:paraId="143C9D58" w14:textId="77777777" w:rsidR="007721E5" w:rsidRPr="00DE2E95" w:rsidRDefault="007721E5" w:rsidP="00DE2E95">
            <w:pPr>
              <w:pStyle w:val="TabBody"/>
              <w:jc w:val="both"/>
              <w:rPr>
                <w:rFonts w:eastAsia="Garamond" w:cs="Arial"/>
                <w:szCs w:val="16"/>
              </w:rPr>
            </w:pPr>
            <w:r w:rsidRPr="00DE2E95">
              <w:rPr>
                <w:rFonts w:eastAsia="Garamond" w:cs="Arial"/>
                <w:szCs w:val="16"/>
              </w:rPr>
              <w:t>10</w:t>
            </w:r>
          </w:p>
        </w:tc>
        <w:tc>
          <w:tcPr>
            <w:tcW w:w="1389" w:type="dxa"/>
            <w:shd w:val="clear" w:color="auto" w:fill="auto"/>
            <w:vAlign w:val="center"/>
          </w:tcPr>
          <w:p w14:paraId="746CFFB3" w14:textId="77777777" w:rsidR="007721E5" w:rsidRPr="00DE2E95" w:rsidRDefault="007721E5" w:rsidP="00DE2E95">
            <w:pPr>
              <w:pStyle w:val="TabBody"/>
              <w:jc w:val="both"/>
              <w:rPr>
                <w:rFonts w:eastAsia="Garamond" w:cs="Arial"/>
                <w:b/>
                <w:szCs w:val="16"/>
              </w:rPr>
            </w:pPr>
            <w:r w:rsidRPr="00DE2E95">
              <w:rPr>
                <w:rFonts w:eastAsia="Garamond" w:cs="Arial"/>
                <w:b/>
                <w:szCs w:val="16"/>
              </w:rPr>
              <w:t>lex</w:t>
            </w:r>
          </w:p>
        </w:tc>
        <w:tc>
          <w:tcPr>
            <w:tcW w:w="5129" w:type="dxa"/>
            <w:shd w:val="clear" w:color="auto" w:fill="auto"/>
            <w:vAlign w:val="center"/>
          </w:tcPr>
          <w:p w14:paraId="149A61DA" w14:textId="7D2D5A22" w:rsidR="007721E5" w:rsidRPr="00DE2E95" w:rsidRDefault="007721E5" w:rsidP="00DE2E95">
            <w:pPr>
              <w:pStyle w:val="TabBody"/>
              <w:jc w:val="both"/>
              <w:rPr>
                <w:rFonts w:eastAsia="Garamond" w:cs="Arial"/>
                <w:szCs w:val="16"/>
                <w:lang w:bidi="en-US"/>
              </w:rPr>
            </w:pPr>
            <w:r w:rsidRPr="00DE2E95">
              <w:rPr>
                <w:rFonts w:eastAsia="Garamond" w:cs="Arial"/>
                <w:szCs w:val="16"/>
              </w:rPr>
              <w:t xml:space="preserve">Annotation lexicale automatique </w:t>
            </w:r>
            <w:r w:rsidRPr="00DE2E95">
              <w:rPr>
                <w:rFonts w:eastAsia="Garamond" w:cs="Arial"/>
                <w:szCs w:val="16"/>
                <w:lang w:bidi="en-US"/>
              </w:rPr>
              <w:t xml:space="preserve">en </w:t>
            </w:r>
            <w:r w:rsidRPr="00DE2E95">
              <w:rPr>
                <w:rFonts w:eastAsia="Garamond" w:cs="Arial"/>
                <w:szCs w:val="16"/>
              </w:rPr>
              <w:t xml:space="preserve">items lexicaux </w:t>
            </w:r>
            <w:r w:rsidRPr="009E313B">
              <w:rPr>
                <w:rFonts w:eastAsia="Garamond" w:cs="Arial"/>
                <w:i/>
                <w:iCs/>
                <w:szCs w:val="16"/>
              </w:rPr>
              <w:t>vs</w:t>
            </w:r>
            <w:r w:rsidRPr="00DE2E95">
              <w:rPr>
                <w:rFonts w:eastAsia="Garamond" w:cs="Arial"/>
                <w:szCs w:val="16"/>
              </w:rPr>
              <w:t xml:space="preserve"> grammaticaux à partir de l’annotation </w:t>
            </w:r>
            <w:r w:rsidRPr="00DE2E95">
              <w:rPr>
                <w:rFonts w:eastAsia="Garamond" w:cs="Arial"/>
                <w:szCs w:val="16"/>
                <w:lang w:bidi="en-US"/>
              </w:rPr>
              <w:t>grammaticale</w:t>
            </w:r>
            <w:r w:rsidRPr="00DE2E95">
              <w:rPr>
                <w:rFonts w:eastAsia="Garamond" w:cs="Arial"/>
                <w:szCs w:val="16"/>
              </w:rPr>
              <w:t xml:space="preserve"> (plugin ProsoBox)</w:t>
            </w:r>
          </w:p>
        </w:tc>
      </w:tr>
      <w:tr w:rsidR="007721E5" w:rsidRPr="00DE2E95" w14:paraId="51FA4AA8" w14:textId="77777777" w:rsidTr="00DE2E95">
        <w:trPr>
          <w:trHeight w:val="81"/>
        </w:trPr>
        <w:tc>
          <w:tcPr>
            <w:tcW w:w="0" w:type="auto"/>
            <w:shd w:val="clear" w:color="auto" w:fill="auto"/>
            <w:vAlign w:val="center"/>
          </w:tcPr>
          <w:p w14:paraId="3E9C4DCF" w14:textId="77777777" w:rsidR="007721E5" w:rsidRPr="00DE2E95" w:rsidRDefault="007721E5" w:rsidP="00DE2E95">
            <w:pPr>
              <w:pStyle w:val="TabBody"/>
              <w:jc w:val="both"/>
              <w:rPr>
                <w:rFonts w:eastAsia="Garamond" w:cs="Arial"/>
                <w:szCs w:val="16"/>
                <w:lang w:bidi="en-US"/>
              </w:rPr>
            </w:pPr>
            <w:r w:rsidRPr="00DE2E95">
              <w:rPr>
                <w:rFonts w:eastAsia="Garamond" w:cs="Arial"/>
                <w:szCs w:val="16"/>
                <w:lang w:bidi="en-US"/>
              </w:rPr>
              <w:t>16</w:t>
            </w:r>
          </w:p>
        </w:tc>
        <w:tc>
          <w:tcPr>
            <w:tcW w:w="1389" w:type="dxa"/>
            <w:shd w:val="clear" w:color="auto" w:fill="auto"/>
            <w:vAlign w:val="center"/>
          </w:tcPr>
          <w:p w14:paraId="0D61D57F" w14:textId="77777777" w:rsidR="007721E5" w:rsidRPr="00DE2E95" w:rsidRDefault="007721E5" w:rsidP="00DE2E95">
            <w:pPr>
              <w:pStyle w:val="TabBody"/>
              <w:jc w:val="both"/>
              <w:rPr>
                <w:rFonts w:eastAsia="Garamond" w:cs="Arial"/>
                <w:b/>
                <w:szCs w:val="16"/>
                <w:lang w:bidi="en-US"/>
              </w:rPr>
            </w:pPr>
            <w:r w:rsidRPr="00DE2E95">
              <w:rPr>
                <w:rFonts w:eastAsia="Garamond" w:cs="Arial"/>
                <w:b/>
                <w:szCs w:val="16"/>
                <w:lang w:bidi="en-US"/>
              </w:rPr>
              <w:t>rection</w:t>
            </w:r>
          </w:p>
        </w:tc>
        <w:tc>
          <w:tcPr>
            <w:tcW w:w="5129" w:type="dxa"/>
            <w:shd w:val="clear" w:color="auto" w:fill="auto"/>
            <w:vAlign w:val="center"/>
          </w:tcPr>
          <w:p w14:paraId="7D48192A" w14:textId="2D940EC8" w:rsidR="007721E5" w:rsidRPr="00DE2E95" w:rsidRDefault="007721E5" w:rsidP="00C157EA">
            <w:pPr>
              <w:pStyle w:val="TabBody"/>
              <w:jc w:val="both"/>
              <w:rPr>
                <w:rFonts w:eastAsia="Garamond" w:cs="Arial"/>
                <w:szCs w:val="16"/>
                <w:lang w:bidi="en-US"/>
              </w:rPr>
            </w:pPr>
            <w:r w:rsidRPr="00DE2E95">
              <w:rPr>
                <w:rFonts w:eastAsia="Garamond" w:cs="Arial"/>
                <w:szCs w:val="16"/>
                <w:lang w:bidi="en-US"/>
              </w:rPr>
              <w:t>Segmentation et annotation manuelles en unités syntaxique</w:t>
            </w:r>
            <w:r w:rsidR="009744B9">
              <w:rPr>
                <w:rFonts w:eastAsia="Garamond" w:cs="Arial"/>
                <w:szCs w:val="16"/>
                <w:lang w:bidi="en-US"/>
              </w:rPr>
              <w:t>s</w:t>
            </w:r>
            <w:r w:rsidRPr="00DE2E95">
              <w:rPr>
                <w:rFonts w:eastAsia="Garamond" w:cs="Arial"/>
                <w:szCs w:val="16"/>
                <w:lang w:bidi="en-US"/>
              </w:rPr>
              <w:t xml:space="preserve"> de rection (dépendance) (selon le protocole de Tanguy </w:t>
            </w:r>
            <w:r w:rsidRPr="009E313B">
              <w:rPr>
                <w:rFonts w:eastAsia="Garamond" w:cs="Arial"/>
                <w:i/>
                <w:iCs/>
                <w:szCs w:val="16"/>
                <w:lang w:bidi="en-US"/>
              </w:rPr>
              <w:t>et al</w:t>
            </w:r>
            <w:r w:rsidRPr="00DE2E95">
              <w:rPr>
                <w:rFonts w:eastAsia="Garamond" w:cs="Arial"/>
                <w:szCs w:val="16"/>
                <w:lang w:bidi="en-US"/>
              </w:rPr>
              <w:t xml:space="preserve">. </w:t>
            </w:r>
            <w:r w:rsidRPr="00DE2E95">
              <w:rPr>
                <w:rFonts w:eastAsia="Garamond" w:cs="Arial"/>
                <w:szCs w:val="16"/>
                <w:lang w:bidi="en-US"/>
              </w:rPr>
              <w:fldChar w:fldCharType="begin"/>
            </w:r>
            <w:r w:rsidRPr="00DE2E95">
              <w:rPr>
                <w:rFonts w:eastAsia="Garamond" w:cs="Arial"/>
                <w:szCs w:val="16"/>
                <w:lang w:bidi="en-US"/>
              </w:rPr>
              <w:instrText xml:space="preserve"> ADDIN ZOTERO_ITEM CSL_CITATION {"citationID":"biw9CQaQ","properties":{"formattedCitation":"(2012)","plainCitation":"(2012)"},"citationItems":[{"id":4855,"uris":["http://zotero.org/users/1251998/items/T7TTE2T6"],"uri":["http://zotero.org/users/1251998/items/T7TTE2T6"],"itemData":{"id":4855,"type":"article-journal","title":"Projet FRFC «Périphérie gauche des unités de discours» Protocole de codage syntaxique","source":"Google Scholar","author":[{"family":"Tanguy","given":"Noalig"},{"family":"Van Damme","given":"Thomas"},{"family":"Liesbeth","given":"Degand"},{"family":"Simon","given":"Anne Catherine"}],"issued":{"date-parts":[["2012"]]},"accessed":{"date-parts":[["2015",4,29]]}},"suppress-author":true}],"schema":"https://github.com/citation-style-language/schema/raw/master/csl-citation.json"} </w:instrText>
            </w:r>
            <w:r w:rsidRPr="00DE2E95">
              <w:rPr>
                <w:rFonts w:eastAsia="Garamond" w:cs="Arial"/>
                <w:szCs w:val="16"/>
                <w:lang w:bidi="en-US"/>
              </w:rPr>
              <w:fldChar w:fldCharType="separate"/>
            </w:r>
            <w:r w:rsidRPr="00DE2E95">
              <w:rPr>
                <w:rFonts w:eastAsia="Garamond" w:cs="Arial"/>
                <w:szCs w:val="16"/>
              </w:rPr>
              <w:t>2012</w:t>
            </w:r>
            <w:r w:rsidRPr="00DE2E95">
              <w:rPr>
                <w:rFonts w:eastAsia="Garamond" w:cs="Arial"/>
                <w:szCs w:val="16"/>
                <w:lang w:bidi="en-US"/>
              </w:rPr>
              <w:fldChar w:fldCharType="end"/>
            </w:r>
            <w:r w:rsidRPr="00DE2E95">
              <w:rPr>
                <w:rFonts w:eastAsia="Garamond" w:cs="Arial"/>
                <w:szCs w:val="16"/>
                <w:lang w:bidi="en-US"/>
              </w:rPr>
              <w:t>)</w:t>
            </w:r>
          </w:p>
        </w:tc>
      </w:tr>
      <w:tr w:rsidR="007721E5" w:rsidRPr="00DE2E95" w14:paraId="1B77B8BC" w14:textId="77777777" w:rsidTr="00DE2E95">
        <w:tc>
          <w:tcPr>
            <w:tcW w:w="0" w:type="auto"/>
            <w:shd w:val="clear" w:color="auto" w:fill="auto"/>
            <w:vAlign w:val="center"/>
          </w:tcPr>
          <w:p w14:paraId="0A0EE62D" w14:textId="77777777" w:rsidR="007721E5" w:rsidRPr="00DE2E95" w:rsidRDefault="007721E5" w:rsidP="00DE2E95">
            <w:pPr>
              <w:pStyle w:val="TabBody"/>
              <w:jc w:val="both"/>
              <w:rPr>
                <w:rFonts w:eastAsia="Garamond" w:cs="Arial"/>
                <w:szCs w:val="16"/>
                <w:lang w:bidi="en-US"/>
              </w:rPr>
            </w:pPr>
            <w:r w:rsidRPr="00DE2E95">
              <w:rPr>
                <w:rFonts w:eastAsia="Garamond" w:cs="Arial"/>
                <w:szCs w:val="16"/>
                <w:lang w:bidi="en-US"/>
              </w:rPr>
              <w:t>17</w:t>
            </w:r>
          </w:p>
        </w:tc>
        <w:tc>
          <w:tcPr>
            <w:tcW w:w="1389" w:type="dxa"/>
            <w:shd w:val="clear" w:color="auto" w:fill="auto"/>
            <w:vAlign w:val="center"/>
          </w:tcPr>
          <w:p w14:paraId="78A10956" w14:textId="77777777" w:rsidR="007721E5" w:rsidRPr="00DE2E95" w:rsidRDefault="007721E5" w:rsidP="00DE2E95">
            <w:pPr>
              <w:pStyle w:val="TabBody"/>
              <w:jc w:val="both"/>
              <w:rPr>
                <w:rFonts w:eastAsia="Garamond" w:cs="Arial"/>
                <w:b/>
                <w:szCs w:val="16"/>
                <w:lang w:bidi="en-US"/>
              </w:rPr>
            </w:pPr>
            <w:r w:rsidRPr="00DE2E95">
              <w:rPr>
                <w:rFonts w:eastAsia="Garamond" w:cs="Arial"/>
                <w:b/>
                <w:szCs w:val="16"/>
                <w:lang w:bidi="en-US"/>
              </w:rPr>
              <w:t>sequences</w:t>
            </w:r>
          </w:p>
        </w:tc>
        <w:tc>
          <w:tcPr>
            <w:tcW w:w="5129" w:type="dxa"/>
            <w:shd w:val="clear" w:color="auto" w:fill="auto"/>
            <w:vAlign w:val="center"/>
          </w:tcPr>
          <w:p w14:paraId="54F022E6" w14:textId="766E748B" w:rsidR="007721E5" w:rsidRPr="00DE2E95" w:rsidRDefault="007721E5" w:rsidP="00C157EA">
            <w:pPr>
              <w:pStyle w:val="TabBody"/>
              <w:jc w:val="both"/>
              <w:rPr>
                <w:rFonts w:eastAsia="Garamond" w:cs="Arial"/>
                <w:szCs w:val="16"/>
                <w:lang w:bidi="en-US"/>
              </w:rPr>
            </w:pPr>
            <w:r w:rsidRPr="00DE2E95">
              <w:rPr>
                <w:rFonts w:eastAsia="Garamond" w:cs="Arial"/>
                <w:szCs w:val="16"/>
                <w:lang w:bidi="en-US"/>
              </w:rPr>
              <w:t xml:space="preserve">Segmentation et annotation manuelles en séquences syntaxiques fonctionnelles (selon le protocole de Tanguy </w:t>
            </w:r>
            <w:r w:rsidRPr="009E313B">
              <w:rPr>
                <w:rFonts w:eastAsia="Garamond" w:cs="Arial"/>
                <w:i/>
                <w:iCs/>
                <w:szCs w:val="16"/>
                <w:lang w:bidi="en-US"/>
              </w:rPr>
              <w:t>et al</w:t>
            </w:r>
            <w:r w:rsidRPr="00DE2E95">
              <w:rPr>
                <w:rFonts w:eastAsia="Garamond" w:cs="Arial"/>
                <w:szCs w:val="16"/>
                <w:lang w:bidi="en-US"/>
              </w:rPr>
              <w:t xml:space="preserve">. </w:t>
            </w:r>
            <w:r w:rsidRPr="00DE2E95">
              <w:rPr>
                <w:rFonts w:eastAsia="Garamond" w:cs="Arial"/>
                <w:szCs w:val="16"/>
                <w:lang w:bidi="en-US"/>
              </w:rPr>
              <w:fldChar w:fldCharType="begin"/>
            </w:r>
            <w:r w:rsidRPr="00DE2E95">
              <w:rPr>
                <w:rFonts w:eastAsia="Garamond" w:cs="Arial"/>
                <w:szCs w:val="16"/>
                <w:lang w:bidi="en-US"/>
              </w:rPr>
              <w:instrText xml:space="preserve"> ADDIN ZOTERO_ITEM CSL_CITATION {"citationID":"WQdHCBsz","properties":{"formattedCitation":"(2012)","plainCitation":"(2012)"},"citationItems":[{"id":4855,"uris":["http://zotero.org/users/1251998/items/T7TTE2T6"],"uri":["http://zotero.org/users/1251998/items/T7TTE2T6"],"itemData":{"id":4855,"type":"article-journal","title":"Projet FRFC «Périphérie gauche des unités de discours» Protocole de codage syntaxique","source":"Google Scholar","author":[{"family":"Tanguy","given":"Noalig"},{"family":"Van Damme","given":"Thomas"},{"family":"Liesbeth","given":"Degand"},{"family":"Simon","given":"Anne Catherine"}],"issued":{"date-parts":[["2012"]]},"accessed":{"date-parts":[["2015",4,29]]}},"suppress-author":true}],"schema":"https://github.com/citation-style-language/schema/raw/master/csl-citation.json"} </w:instrText>
            </w:r>
            <w:r w:rsidRPr="00DE2E95">
              <w:rPr>
                <w:rFonts w:eastAsia="Garamond" w:cs="Arial"/>
                <w:szCs w:val="16"/>
                <w:lang w:bidi="en-US"/>
              </w:rPr>
              <w:fldChar w:fldCharType="separate"/>
            </w:r>
            <w:r w:rsidRPr="00DE2E95">
              <w:rPr>
                <w:rFonts w:eastAsia="Garamond" w:cs="Arial"/>
                <w:szCs w:val="16"/>
              </w:rPr>
              <w:t>2012</w:t>
            </w:r>
            <w:r w:rsidRPr="00DE2E95">
              <w:rPr>
                <w:rFonts w:eastAsia="Garamond" w:cs="Arial"/>
                <w:szCs w:val="16"/>
                <w:lang w:bidi="en-US"/>
              </w:rPr>
              <w:fldChar w:fldCharType="end"/>
            </w:r>
            <w:r w:rsidRPr="00DE2E95">
              <w:rPr>
                <w:rFonts w:eastAsia="Garamond" w:cs="Arial"/>
                <w:szCs w:val="16"/>
                <w:lang w:bidi="en-US"/>
              </w:rPr>
              <w:t>)</w:t>
            </w:r>
          </w:p>
        </w:tc>
      </w:tr>
    </w:tbl>
    <w:p w14:paraId="5AF6BC58" w14:textId="77777777" w:rsidR="007721E5" w:rsidRDefault="007721E5" w:rsidP="006A0A04">
      <w:pPr>
        <w:pStyle w:val="Body"/>
      </w:pPr>
    </w:p>
    <w:p w14:paraId="397FF232" w14:textId="5CCB6B72" w:rsidR="00C05360" w:rsidRDefault="00C157EA" w:rsidP="0087223C">
      <w:pPr>
        <w:pStyle w:val="Body"/>
      </w:pPr>
      <w:r>
        <w:t>En matière d’analyse syntaxique</w:t>
      </w:r>
      <w:r w:rsidR="00C05360" w:rsidRPr="00C157EA">
        <w:t xml:space="preserve"> du français parlé, même si le développement de corpus permet d’adopter des approches statistiques</w:t>
      </w:r>
      <w:r w:rsidR="00C05360">
        <w:t xml:space="preserve">, </w:t>
      </w:r>
      <w:r w:rsidR="00AD1BD3" w:rsidRPr="00C157EA">
        <w:t xml:space="preserve">le travail d’annotation repose préalablement sur </w:t>
      </w:r>
      <w:r>
        <w:t>une approche largement manuelle</w:t>
      </w:r>
      <w:r w:rsidR="00AD1BD3">
        <w:t xml:space="preserve"> au cours </w:t>
      </w:r>
      <w:r>
        <w:t>de laquelle</w:t>
      </w:r>
      <w:r w:rsidR="00AD1BD3">
        <w:t xml:space="preserve"> il faut résoudre des problèmes de segmentation et d’annotation (Apothéloz </w:t>
      </w:r>
      <w:r w:rsidR="00AD1BD3" w:rsidRPr="009E313B">
        <w:rPr>
          <w:i/>
        </w:rPr>
        <w:t>et al</w:t>
      </w:r>
      <w:r w:rsidR="00AD1BD3" w:rsidRPr="00DB73AD">
        <w:rPr>
          <w:iCs/>
        </w:rPr>
        <w:t>.</w:t>
      </w:r>
      <w:r w:rsidR="00AD1BD3">
        <w:t xml:space="preserve"> 2022).</w:t>
      </w:r>
    </w:p>
    <w:p w14:paraId="46A450B6" w14:textId="5C03C506" w:rsidR="007721E5" w:rsidRDefault="00C157EA" w:rsidP="0087223C">
      <w:pPr>
        <w:pStyle w:val="Body"/>
      </w:pPr>
      <w:r>
        <w:t>Notre niveau d’annotation le plus englobant, nommé « rection », repose sur l’identification d’unités syntaxiques maximales</w:t>
      </w:r>
      <w:r w:rsidR="007721E5">
        <w:t xml:space="preserve"> telles que définies par Blanche-Benveniste</w:t>
      </w:r>
      <w:r w:rsidR="00481348">
        <w:t xml:space="preserve"> (1990) dans le cadre de l’approche pronominale. </w:t>
      </w:r>
      <w:r w:rsidR="004553F3">
        <w:t xml:space="preserve">Plus précisément, </w:t>
      </w:r>
      <w:r w:rsidR="0087223C">
        <w:t>« </w:t>
      </w:r>
      <w:r w:rsidR="004553F3">
        <w:t>[t]</w:t>
      </w:r>
      <w:r w:rsidR="0087223C">
        <w:t xml:space="preserve">oute unité rectionnelle est organisée autour d’un noyau, c’est-à-dire un élément recteur. Il s’agit généralement </w:t>
      </w:r>
      <w:r w:rsidR="009744B9">
        <w:t>d’</w:t>
      </w:r>
      <w:r w:rsidR="0087223C">
        <w:t xml:space="preserve">un verbe tensé mais le noyau de l’unité peut également être un constituant averbal </w:t>
      </w:r>
      <w:r>
        <w:t>[</w:t>
      </w:r>
      <w:r w:rsidR="004553F3">
        <w:t>…</w:t>
      </w:r>
      <w:r>
        <w:t>]</w:t>
      </w:r>
      <w:r w:rsidR="0087223C">
        <w:t xml:space="preserve">. Ainsi, nous distinguons trois types d’unités de rection : (i) les unités de rection verbales (urv), (ii) les unités de rection averbales (ura) et (iii) les unités de rection elliptiques (ure). Ces trois types peuvent être précisés </w:t>
      </w:r>
      <w:r>
        <w:t xml:space="preserve">au moyen </w:t>
      </w:r>
      <w:r w:rsidR="0087223C">
        <w:t xml:space="preserve">des mentions « </w:t>
      </w:r>
      <w:r>
        <w:t xml:space="preserve">unité </w:t>
      </w:r>
      <w:r w:rsidR="0087223C">
        <w:t xml:space="preserve">inachevée » (urx-I) et « </w:t>
      </w:r>
      <w:r>
        <w:t xml:space="preserve">unité </w:t>
      </w:r>
      <w:r w:rsidR="0087223C">
        <w:t>plus</w:t>
      </w:r>
      <w:r>
        <w:t xml:space="preserve"> associé</w:t>
      </w:r>
      <w:r w:rsidR="0087223C">
        <w:t xml:space="preserve"> » (urx+) » </w:t>
      </w:r>
      <w:r w:rsidR="00467D2C">
        <w:t>(Tanguy</w:t>
      </w:r>
      <w:r w:rsidR="0087223C">
        <w:t xml:space="preserve">, Van Damme, Degand et Simon, </w:t>
      </w:r>
      <w:r w:rsidR="00467D2C">
        <w:t>2012</w:t>
      </w:r>
      <w:r w:rsidR="00DD557E">
        <w:t xml:space="preserve"> : </w:t>
      </w:r>
      <w:r w:rsidR="0087223C">
        <w:t>2</w:t>
      </w:r>
      <w:r w:rsidR="00467D2C">
        <w:t>).</w:t>
      </w:r>
      <w:r w:rsidR="0087223C">
        <w:t xml:space="preserve"> </w:t>
      </w:r>
      <w:r w:rsidR="0087223C" w:rsidRPr="00C157EA">
        <w:t xml:space="preserve">L’unité de rection </w:t>
      </w:r>
      <w:r w:rsidRPr="00C157EA">
        <w:t>assortie d’un élément associé</w:t>
      </w:r>
      <w:r w:rsidR="0087223C" w:rsidRPr="00C157EA">
        <w:t xml:space="preserve"> est celle à laquelle un élément non régi </w:t>
      </w:r>
      <w:r w:rsidRPr="00C157EA">
        <w:t>est</w:t>
      </w:r>
      <w:r w:rsidR="0087223C" w:rsidRPr="00C157EA">
        <w:t xml:space="preserve"> relié</w:t>
      </w:r>
      <w:r w:rsidRPr="00C157EA">
        <w:t>,</w:t>
      </w:r>
      <w:r w:rsidR="0087223C" w:rsidRPr="00C157EA">
        <w:t xml:space="preserve"> </w:t>
      </w:r>
      <w:r w:rsidRPr="00C157EA">
        <w:t>au moyen d’</w:t>
      </w:r>
      <w:r w:rsidR="0087223C" w:rsidRPr="00C157EA">
        <w:t>une relation sémantique</w:t>
      </w:r>
      <w:r w:rsidRPr="00C157EA">
        <w:t xml:space="preserve"> ou macro-syntaxique</w:t>
      </w:r>
      <w:r w:rsidR="0087223C" w:rsidRPr="00C157EA">
        <w:t>. C</w:t>
      </w:r>
      <w:r w:rsidR="0087223C">
        <w:t xml:space="preserve">es éléments </w:t>
      </w:r>
      <w:r>
        <w:t xml:space="preserve">associés </w:t>
      </w:r>
      <w:r w:rsidR="0087223C">
        <w:t xml:space="preserve">sont </w:t>
      </w:r>
      <w:r>
        <w:t xml:space="preserve">eux-mêmes </w:t>
      </w:r>
      <w:r w:rsidR="0087223C">
        <w:t xml:space="preserve">annotés comme des </w:t>
      </w:r>
      <w:r>
        <w:t>« </w:t>
      </w:r>
      <w:r w:rsidR="0087223C">
        <w:t>adjoints</w:t>
      </w:r>
      <w:r>
        <w:t> »</w:t>
      </w:r>
      <w:r w:rsidR="0087223C">
        <w:t xml:space="preserve"> (a)</w:t>
      </w:r>
      <w:r w:rsidR="0060145F">
        <w:t xml:space="preserve"> et on précise s’ils sont situés à gauche (ag) ou à droite (ad) de l’unité de rection à laquelle ils se rapportent</w:t>
      </w:r>
      <w:r w:rsidR="0087223C">
        <w:t xml:space="preserve">. Sont également </w:t>
      </w:r>
      <w:r>
        <w:t>identifiés au moyen</w:t>
      </w:r>
      <w:r w:rsidR="0087223C">
        <w:t xml:space="preserve"> d’annotations spécifiques les marqueurs de discours (md), les </w:t>
      </w:r>
      <w:r>
        <w:t>pauses silencieuses</w:t>
      </w:r>
      <w:r w:rsidR="0087223C">
        <w:t xml:space="preserve"> (sil) et certaines disfluences (</w:t>
      </w:r>
      <w:r w:rsidR="0087223C" w:rsidRPr="009E313B">
        <w:rPr>
          <w:i/>
          <w:iCs/>
        </w:rPr>
        <w:t>euh</w:t>
      </w:r>
      <w:r w:rsidR="0087223C">
        <w:t>).</w:t>
      </w:r>
    </w:p>
    <w:p w14:paraId="28B940AB" w14:textId="1CE7EA16" w:rsidR="0087223C" w:rsidRDefault="00481348" w:rsidP="00481348">
      <w:pPr>
        <w:pStyle w:val="Body"/>
      </w:pPr>
      <w:r>
        <w:t xml:space="preserve">Au niveau immédiatement inférieur, les unités de rection sont segmentées en </w:t>
      </w:r>
      <w:r w:rsidRPr="00C157EA">
        <w:t>séquences</w:t>
      </w:r>
      <w:r w:rsidR="00C157EA">
        <w:t xml:space="preserve"> syntaxiques (ou « séquences »)</w:t>
      </w:r>
      <w:r w:rsidR="0087223C">
        <w:t xml:space="preserve">, qui font l’objet d’une annotation fonctionnelle ou catégorielle selon le type. </w:t>
      </w:r>
      <w:r w:rsidR="00C157EA">
        <w:t>L’annotation fonctionnelle</w:t>
      </w:r>
      <w:r w:rsidR="0087223C">
        <w:t xml:space="preserve"> s’inspire de Bilger &amp; Campione (2002)</w:t>
      </w:r>
      <w:r w:rsidR="0060145F">
        <w:t xml:space="preserve"> et </w:t>
      </w:r>
      <w:r w:rsidR="00C157EA">
        <w:t>s’applique aux</w:t>
      </w:r>
      <w:r w:rsidR="0060145F">
        <w:t xml:space="preserve"> unités </w:t>
      </w:r>
      <w:r w:rsidR="00C157EA">
        <w:t>syntaxiques</w:t>
      </w:r>
      <w:r w:rsidR="0060145F">
        <w:t xml:space="preserve"> construites par un verbe. </w:t>
      </w:r>
      <w:r w:rsidR="00C157EA">
        <w:t>Q</w:t>
      </w:r>
      <w:r w:rsidR="0060145F">
        <w:t>uatre types de séquences</w:t>
      </w:r>
      <w:r w:rsidR="00C157EA">
        <w:t xml:space="preserve"> ont été annotés</w:t>
      </w:r>
      <w:r w:rsidR="0060145F">
        <w:t> : la séquence sujet (SS), la séquence verbale (SV), la séquence objet (SO) et la séquence régie (SR). Les unités rectionnelles averbales sont décrites en terme</w:t>
      </w:r>
      <w:r w:rsidR="0035478B">
        <w:t>s</w:t>
      </w:r>
      <w:r w:rsidR="0060145F">
        <w:t xml:space="preserve"> de catégorie</w:t>
      </w:r>
      <w:r w:rsidR="00C157EA">
        <w:t>s</w:t>
      </w:r>
      <w:r w:rsidR="0060145F">
        <w:t xml:space="preserve"> et non de fonction</w:t>
      </w:r>
      <w:r w:rsidR="00C157EA">
        <w:t>s</w:t>
      </w:r>
      <w:r w:rsidR="0060145F">
        <w:t> : séquence nominale (SN), séquence pronominale (SPron), séquence adjectivale (SAdj), etc.</w:t>
      </w:r>
    </w:p>
    <w:p w14:paraId="65F29ED6" w14:textId="2C23A118" w:rsidR="007F0317" w:rsidRDefault="007F0317" w:rsidP="00481348">
      <w:pPr>
        <w:pStyle w:val="Body"/>
      </w:pPr>
      <w:r>
        <w:t xml:space="preserve">Cette annotation </w:t>
      </w:r>
      <w:r w:rsidR="00C157EA">
        <w:t>permet de décrire</w:t>
      </w:r>
      <w:r>
        <w:t xml:space="preserve"> la structure interne de chaque unité </w:t>
      </w:r>
      <w:r w:rsidR="00C157EA">
        <w:t xml:space="preserve">maximale </w:t>
      </w:r>
      <w:r>
        <w:t xml:space="preserve">de rection et des éléments </w:t>
      </w:r>
      <w:r w:rsidR="00C157EA">
        <w:t xml:space="preserve">qui y sont </w:t>
      </w:r>
      <w:r>
        <w:t>associés (ex. 1-3)</w:t>
      </w:r>
      <w:r w:rsidR="001F345E">
        <w:t>. Elle</w:t>
      </w:r>
      <w:r>
        <w:t xml:space="preserve"> ne permet pas de décrire les niveaux de constituance inférieurs qui </w:t>
      </w:r>
      <w:r w:rsidR="00C157EA">
        <w:t>contiennent</w:t>
      </w:r>
      <w:r>
        <w:t xml:space="preserve"> parfois </w:t>
      </w:r>
      <w:r w:rsidR="00C157EA">
        <w:t>des</w:t>
      </w:r>
      <w:r>
        <w:t xml:space="preserve"> constructions verbales enchâssées</w:t>
      </w:r>
      <w:r w:rsidR="001F345E">
        <w:t>, voire segmentées</w:t>
      </w:r>
      <w:r>
        <w:t xml:space="preserve"> (ex. 4</w:t>
      </w:r>
      <w:r w:rsidR="00425932">
        <w:t xml:space="preserve">) : </w:t>
      </w:r>
    </w:p>
    <w:p w14:paraId="27C452DB" w14:textId="77777777" w:rsidR="007F0317" w:rsidRDefault="007F0317" w:rsidP="007F0317">
      <w:pPr>
        <w:pStyle w:val="ExempleNumero"/>
      </w:pPr>
      <w:r w:rsidRPr="007F0317">
        <w:t>[(j’ai dit)SV (tout à l’heure)SRd (une profession ou des choses comme ça)SO]urv</w:t>
      </w:r>
    </w:p>
    <w:p w14:paraId="31AB709A" w14:textId="77777777" w:rsidR="007F0317" w:rsidRDefault="007F0317" w:rsidP="00A75CFC">
      <w:pPr>
        <w:pStyle w:val="ExempleNumero"/>
      </w:pPr>
      <w:r>
        <w:t>&lt;mais&gt;md &lt;vous savez&gt;md [(quand on est écrivain et qu’on fait de la littérature)SRg (on est grossier)SV]urv &lt;contrairement à ce que souvent on pense&gt;ad</w:t>
      </w:r>
    </w:p>
    <w:p w14:paraId="190BA402" w14:textId="77777777" w:rsidR="007F0317" w:rsidRDefault="007F0317" w:rsidP="007F0317">
      <w:pPr>
        <w:pStyle w:val="ExempleNumero"/>
      </w:pPr>
      <w:r w:rsidRPr="007F0317">
        <w:t>&lt;et&gt;md &lt;encore&gt;md [(ça baisse)SV (un peu)SRd]urv &lt;la crédibilité&gt;ad</w:t>
      </w:r>
    </w:p>
    <w:p w14:paraId="6E9F8EF4" w14:textId="77777777" w:rsidR="007F0317" w:rsidRDefault="007F0317" w:rsidP="007F0317">
      <w:pPr>
        <w:pStyle w:val="ExempleNumero"/>
      </w:pPr>
      <w:r w:rsidRPr="007F0317">
        <w:t>[(je pense)SV (que votre éditeur il préfère vous avoir que pas vous avoir)SO]urv</w:t>
      </w:r>
    </w:p>
    <w:p w14:paraId="7115595A" w14:textId="17CE746C" w:rsidR="00481348" w:rsidRDefault="00481348" w:rsidP="0020703C">
      <w:pPr>
        <w:pStyle w:val="Titre20"/>
      </w:pPr>
      <w:r w:rsidRPr="00481348">
        <w:t xml:space="preserve">3.3. </w:t>
      </w:r>
      <w:r w:rsidR="00C157EA">
        <w:t>Identification</w:t>
      </w:r>
      <w:r w:rsidR="0020703C">
        <w:t xml:space="preserve"> </w:t>
      </w:r>
      <w:r>
        <w:t>des dispositifs</w:t>
      </w:r>
      <w:r w:rsidR="00C157EA">
        <w:t xml:space="preserve"> de la rection verbale</w:t>
      </w:r>
      <w:r>
        <w:t xml:space="preserve"> et des constructions segmentées</w:t>
      </w:r>
    </w:p>
    <w:p w14:paraId="5B11D27F" w14:textId="07E13C07" w:rsidR="001F345E" w:rsidRDefault="00481348" w:rsidP="00481348">
      <w:pPr>
        <w:pStyle w:val="Body"/>
      </w:pPr>
      <w:r>
        <w:t>Notre étude repose sur</w:t>
      </w:r>
      <w:r w:rsidR="001F345E">
        <w:t xml:space="preserve"> l’analyse d</w:t>
      </w:r>
      <w:r w:rsidR="007F0317">
        <w:t>es unités de rection construites autour d’un verbe tensé</w:t>
      </w:r>
      <w:r w:rsidR="001A14BF">
        <w:t xml:space="preserve"> et écarte donc les unités de rection dites « averbales »</w:t>
      </w:r>
      <w:r w:rsidR="007F0317">
        <w:t>.</w:t>
      </w:r>
      <w:r>
        <w:t xml:space="preserve"> </w:t>
      </w:r>
      <w:r w:rsidR="001B3EA2">
        <w:t xml:space="preserve">Sur un total de quelque 3900 unités annotées dans le corpus, 75% sont des unités de rection verbale. </w:t>
      </w:r>
      <w:r w:rsidR="007F0317">
        <w:t>Ces</w:t>
      </w:r>
      <w:r w:rsidR="001B3EA2">
        <w:t xml:space="preserve"> </w:t>
      </w:r>
      <w:r w:rsidR="001B3EA2" w:rsidRPr="004553F3">
        <w:t>3</w:t>
      </w:r>
      <w:r w:rsidR="008A4585">
        <w:t>4</w:t>
      </w:r>
      <w:r w:rsidR="001B3EA2" w:rsidRPr="004553F3">
        <w:t>55</w:t>
      </w:r>
      <w:r w:rsidR="001B3EA2">
        <w:t xml:space="preserve"> unités</w:t>
      </w:r>
      <w:r w:rsidR="001D5D3D">
        <w:t>, ainsi que les constructions verbales subordonnées,</w:t>
      </w:r>
      <w:r w:rsidR="001B3EA2">
        <w:t xml:space="preserve"> ont fait l’objet d’une </w:t>
      </w:r>
      <w:r w:rsidR="007F0317">
        <w:t>annotation</w:t>
      </w:r>
      <w:r w:rsidR="001B3EA2">
        <w:t xml:space="preserve"> complémentaire en termes de dispositifs de la rection verbale</w:t>
      </w:r>
      <w:r w:rsidR="001F345E">
        <w:t xml:space="preserve"> (</w:t>
      </w:r>
      <w:r w:rsidR="001B3EA2">
        <w:t>Carnol &amp; Simon 20</w:t>
      </w:r>
      <w:r w:rsidR="009B7211">
        <w:t>19</w:t>
      </w:r>
      <w:r w:rsidR="001B3EA2">
        <w:t>)</w:t>
      </w:r>
      <w:r w:rsidR="001D5D3D">
        <w:t xml:space="preserve">, ce qui </w:t>
      </w:r>
      <w:r w:rsidR="00ED4ADF">
        <w:t xml:space="preserve">aboutit </w:t>
      </w:r>
      <w:r w:rsidR="001D5D3D">
        <w:t xml:space="preserve">à un total de </w:t>
      </w:r>
      <w:r w:rsidR="001D5D3D" w:rsidRPr="004553F3">
        <w:t>3</w:t>
      </w:r>
      <w:r w:rsidR="00425932">
        <w:t xml:space="preserve"> </w:t>
      </w:r>
      <w:r w:rsidR="004553F3" w:rsidRPr="004553F3">
        <w:t>576</w:t>
      </w:r>
      <w:r w:rsidR="001D5D3D">
        <w:t xml:space="preserve"> constructions verbales analysées</w:t>
      </w:r>
      <w:r w:rsidR="001B3EA2">
        <w:t>.</w:t>
      </w:r>
      <w:r>
        <w:t xml:space="preserve"> </w:t>
      </w:r>
    </w:p>
    <w:p w14:paraId="55C53544" w14:textId="11D4C8CF" w:rsidR="00481348" w:rsidRDefault="001F345E" w:rsidP="00481348">
      <w:pPr>
        <w:pStyle w:val="Body"/>
      </w:pPr>
      <w:r>
        <w:t>P</w:t>
      </w:r>
      <w:r w:rsidR="001B3EA2">
        <w:t xml:space="preserve">our </w:t>
      </w:r>
      <w:r w:rsidR="00ED4ADF">
        <w:t>chacune</w:t>
      </w:r>
      <w:r w:rsidR="001B3EA2">
        <w:t xml:space="preserve">, </w:t>
      </w:r>
      <w:r>
        <w:t>on décrit</w:t>
      </w:r>
      <w:r w:rsidR="001B3EA2">
        <w:t xml:space="preserve"> si l’ordre canonique des éléments</w:t>
      </w:r>
      <w:r>
        <w:t xml:space="preserve"> sujet-verbe-objet</w:t>
      </w:r>
      <w:r w:rsidR="001B3EA2">
        <w:t xml:space="preserve"> est respecté </w:t>
      </w:r>
      <w:r>
        <w:t>dans une présentation dite</w:t>
      </w:r>
      <w:r w:rsidR="001B3EA2">
        <w:t xml:space="preserve"> directe (disposi</w:t>
      </w:r>
      <w:r>
        <w:t>tif direct) ou s</w:t>
      </w:r>
      <w:r w:rsidR="00ED4ADF">
        <w:t>’il</w:t>
      </w:r>
      <w:r w:rsidR="002A2A7D">
        <w:t xml:space="preserve"> est modifié</w:t>
      </w:r>
      <w:r w:rsidR="001B3EA2">
        <w:t xml:space="preserve"> avec ou sans l’aide d’auxiliaires de dispositifs (de type </w:t>
      </w:r>
      <w:r w:rsidR="001B3EA2" w:rsidRPr="2D7C0F23">
        <w:rPr>
          <w:i/>
          <w:iCs/>
        </w:rPr>
        <w:t>c’est…que…</w:t>
      </w:r>
      <w:r w:rsidR="001B3EA2">
        <w:t xml:space="preserve"> ou </w:t>
      </w:r>
      <w:r w:rsidR="001B3EA2" w:rsidRPr="2D7C0F23">
        <w:rPr>
          <w:i/>
          <w:iCs/>
        </w:rPr>
        <w:t>il y a … qui…</w:t>
      </w:r>
      <w:r w:rsidR="001B3EA2">
        <w:t xml:space="preserve">). </w:t>
      </w:r>
      <w:r>
        <w:t>Outre le dispositif direct, nous retenons à la suite de B</w:t>
      </w:r>
      <w:r w:rsidR="01963099">
        <w:t>l</w:t>
      </w:r>
      <w:r w:rsidR="009744B9">
        <w:t>a</w:t>
      </w:r>
      <w:r>
        <w:t xml:space="preserve">nche-Benveniste </w:t>
      </w:r>
      <w:r w:rsidR="004553F3">
        <w:t>(2002)</w:t>
      </w:r>
      <w:r>
        <w:t xml:space="preserve"> quatre dispositifs de la rection : clivé, pseudo-clivé, binarisé et présentatif (typiquement construit à l’aide de </w:t>
      </w:r>
      <w:r w:rsidRPr="2D7C0F23">
        <w:rPr>
          <w:i/>
          <w:iCs/>
        </w:rPr>
        <w:t>il y a</w:t>
      </w:r>
      <w:r>
        <w:t xml:space="preserve">). </w:t>
      </w:r>
      <w:r w:rsidR="001A14BF">
        <w:t>Chaque dispositif</w:t>
      </w:r>
      <w:r>
        <w:t xml:space="preserve"> peut</w:t>
      </w:r>
      <w:r w:rsidR="001A14BF">
        <w:t xml:space="preserve"> lui-même</w:t>
      </w:r>
      <w:r>
        <w:t xml:space="preserve"> faire l’objet de variantes qui sont décrites de manière détaillée dans Carnol &amp; Simon (</w:t>
      </w:r>
      <w:r w:rsidR="009B7211">
        <w:t>2019</w:t>
      </w:r>
      <w:r>
        <w:t>)</w:t>
      </w:r>
      <w:r w:rsidR="001A14BF">
        <w:t xml:space="preserve">. Ces dispositifs sont présentés dans </w:t>
      </w:r>
      <w:r w:rsidR="0057393D">
        <w:t>le T</w:t>
      </w:r>
      <w:r w:rsidR="001A14BF">
        <w:t xml:space="preserve">ableau (4). Pour chaque dispositif, on indique également la séquence syntaxique concernée. </w:t>
      </w:r>
      <w:r>
        <w:t>Par exemple, un dispositif clivé peut concerner le sujet (</w:t>
      </w:r>
      <w:r w:rsidRPr="2D7C0F23">
        <w:rPr>
          <w:i/>
          <w:iCs/>
        </w:rPr>
        <w:t>c’est la lune qui</w:t>
      </w:r>
      <w:r>
        <w:t xml:space="preserve"> éclaire le pré cette nuit), l’objet (</w:t>
      </w:r>
      <w:r w:rsidRPr="2D7C0F23">
        <w:rPr>
          <w:i/>
          <w:iCs/>
        </w:rPr>
        <w:t>c’est le pré que</w:t>
      </w:r>
      <w:r>
        <w:t xml:space="preserve"> la lune éclaire cette nuit) ou un élément simplement régi (</w:t>
      </w:r>
      <w:r w:rsidRPr="2D7C0F23">
        <w:rPr>
          <w:i/>
          <w:iCs/>
        </w:rPr>
        <w:t>c’est cette nuit que</w:t>
      </w:r>
      <w:r>
        <w:t xml:space="preserve"> la lune éclaire le pré). </w:t>
      </w:r>
    </w:p>
    <w:p w14:paraId="09995776" w14:textId="77777777" w:rsidR="00481348" w:rsidRDefault="00481348" w:rsidP="00481348">
      <w:pPr>
        <w:pStyle w:val="Body"/>
      </w:pPr>
    </w:p>
    <w:p w14:paraId="5ABCF09B" w14:textId="39EBA9D4" w:rsidR="001B3EA2" w:rsidRDefault="001A14BF" w:rsidP="001B3EA2">
      <w:pPr>
        <w:pStyle w:val="FigFRTitre"/>
      </w:pPr>
      <w:r>
        <w:t>Tableau 4. Types de d</w:t>
      </w:r>
      <w:r w:rsidR="001B3EA2">
        <w:t>ispositifs syntaxiques et exemples (Carnol &amp; Simon 20</w:t>
      </w:r>
      <w:r w:rsidR="009B7211">
        <w:t>19</w:t>
      </w:r>
      <w:r w:rsidR="001B3EA2">
        <w:t xml:space="preserve"> : </w:t>
      </w:r>
      <w:r w:rsidR="009B7211" w:rsidRPr="009B7211">
        <w:t>187</w:t>
      </w:r>
      <w:r w:rsidR="001B3EA2">
        <w:t>)</w:t>
      </w:r>
      <w:r>
        <w:t xml:space="preserve">. Les codes utilisés pour désigner les séquences concernées par chaque dispositif sont : SV (séquence verbale), SS (séquence sujet), SO (séquence objet), SRg/d (séquence régie, placée à gauche à ou droite du verbe). </w:t>
      </w:r>
    </w:p>
    <w:p w14:paraId="1D6740A1" w14:textId="77777777" w:rsidR="000F3BA6" w:rsidRDefault="000F3BA6" w:rsidP="001B3EA2">
      <w:pPr>
        <w:pStyle w:val="FigFRTitre"/>
      </w:pP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705"/>
        <w:gridCol w:w="5234"/>
      </w:tblGrid>
      <w:tr w:rsidR="000F3BA6" w:rsidRPr="00DE2E95" w14:paraId="1E46B162" w14:textId="77777777" w:rsidTr="00DE2E95">
        <w:trPr>
          <w:trHeight w:val="397"/>
        </w:trPr>
        <w:tc>
          <w:tcPr>
            <w:tcW w:w="1115" w:type="dxa"/>
            <w:shd w:val="clear" w:color="auto" w:fill="auto"/>
          </w:tcPr>
          <w:p w14:paraId="1D271D8F" w14:textId="77777777" w:rsidR="000F3BA6" w:rsidRPr="00DE2E95" w:rsidRDefault="000F3BA6" w:rsidP="000533A3">
            <w:pPr>
              <w:pStyle w:val="TabBody"/>
              <w:rPr>
                <w:rFonts w:eastAsia="Garamond"/>
                <w:b/>
              </w:rPr>
            </w:pPr>
            <w:r w:rsidRPr="00DE2E95">
              <w:rPr>
                <w:rFonts w:eastAsia="Garamond"/>
                <w:b/>
              </w:rPr>
              <w:t>Dispositif (et code)</w:t>
            </w:r>
          </w:p>
        </w:tc>
        <w:tc>
          <w:tcPr>
            <w:tcW w:w="616" w:type="dxa"/>
            <w:shd w:val="clear" w:color="auto" w:fill="auto"/>
          </w:tcPr>
          <w:p w14:paraId="00A5ABDA" w14:textId="6182C8FE" w:rsidR="000F3BA6" w:rsidRPr="00DE2E95" w:rsidRDefault="000F3BA6" w:rsidP="00DE2E95">
            <w:pPr>
              <w:pStyle w:val="TabBody"/>
              <w:jc w:val="both"/>
              <w:rPr>
                <w:rFonts w:eastAsia="Garamond"/>
                <w:b/>
              </w:rPr>
            </w:pPr>
            <w:r w:rsidRPr="00DE2E95">
              <w:rPr>
                <w:rFonts w:eastAsia="Garamond"/>
                <w:b/>
              </w:rPr>
              <w:t>Unité</w:t>
            </w:r>
            <w:r w:rsidR="001A14BF">
              <w:rPr>
                <w:rFonts w:eastAsia="Garamond"/>
                <w:b/>
              </w:rPr>
              <w:t>s</w:t>
            </w:r>
          </w:p>
        </w:tc>
        <w:tc>
          <w:tcPr>
            <w:tcW w:w="5323" w:type="dxa"/>
            <w:shd w:val="clear" w:color="auto" w:fill="auto"/>
          </w:tcPr>
          <w:p w14:paraId="6EBE86CF" w14:textId="77777777" w:rsidR="000F3BA6" w:rsidRPr="00DE2E95" w:rsidRDefault="000F3BA6" w:rsidP="001A14BF">
            <w:pPr>
              <w:pStyle w:val="TabBody"/>
              <w:rPr>
                <w:rFonts w:eastAsia="Garamond"/>
                <w:b/>
              </w:rPr>
            </w:pPr>
            <w:r w:rsidRPr="00DE2E95">
              <w:rPr>
                <w:rFonts w:eastAsia="Garamond"/>
                <w:b/>
              </w:rPr>
              <w:t>Exemple</w:t>
            </w:r>
          </w:p>
        </w:tc>
      </w:tr>
      <w:tr w:rsidR="000F3BA6" w:rsidRPr="004D0537" w14:paraId="418A2FB6" w14:textId="77777777" w:rsidTr="00DE2E95">
        <w:trPr>
          <w:trHeight w:val="397"/>
        </w:trPr>
        <w:tc>
          <w:tcPr>
            <w:tcW w:w="1115" w:type="dxa"/>
            <w:shd w:val="clear" w:color="auto" w:fill="auto"/>
          </w:tcPr>
          <w:p w14:paraId="190FB720" w14:textId="77777777" w:rsidR="000F3BA6" w:rsidRPr="00DE2E95" w:rsidRDefault="000F3BA6" w:rsidP="000533A3">
            <w:pPr>
              <w:pStyle w:val="TabBody"/>
              <w:rPr>
                <w:rFonts w:eastAsia="Garamond"/>
              </w:rPr>
            </w:pPr>
            <w:r w:rsidRPr="00DE2E95">
              <w:rPr>
                <w:rFonts w:eastAsia="Garamond"/>
              </w:rPr>
              <w:t>Direct (dir)</w:t>
            </w:r>
          </w:p>
        </w:tc>
        <w:tc>
          <w:tcPr>
            <w:tcW w:w="616" w:type="dxa"/>
            <w:shd w:val="clear" w:color="auto" w:fill="auto"/>
          </w:tcPr>
          <w:p w14:paraId="0AF0F4C9" w14:textId="77777777" w:rsidR="000F3BA6" w:rsidRPr="00DE2E95" w:rsidRDefault="000F3BA6" w:rsidP="00DE2E95">
            <w:pPr>
              <w:pStyle w:val="TabBody"/>
              <w:jc w:val="both"/>
              <w:rPr>
                <w:rFonts w:eastAsia="Garamond"/>
              </w:rPr>
            </w:pPr>
            <w:r w:rsidRPr="00DE2E95">
              <w:rPr>
                <w:rFonts w:eastAsia="Garamond"/>
              </w:rPr>
              <w:t>SV</w:t>
            </w:r>
          </w:p>
        </w:tc>
        <w:tc>
          <w:tcPr>
            <w:tcW w:w="5323" w:type="dxa"/>
            <w:shd w:val="clear" w:color="auto" w:fill="auto"/>
          </w:tcPr>
          <w:p w14:paraId="58EB724C" w14:textId="77777777" w:rsidR="000F3BA6" w:rsidRPr="00DE2E95" w:rsidRDefault="000F3BA6" w:rsidP="001A14BF">
            <w:pPr>
              <w:pStyle w:val="TabBody"/>
              <w:rPr>
                <w:rFonts w:eastAsia="Garamond"/>
              </w:rPr>
            </w:pPr>
            <w:r w:rsidRPr="00DE2E95">
              <w:rPr>
                <w:rFonts w:eastAsia="Garamond"/>
              </w:rPr>
              <w:t>des discussions récentes ont révélé une convergence de vue des trois recteurs de Bruxelles de Liège et de l’UCL (LOCAS-F, aca_1)</w:t>
            </w:r>
          </w:p>
          <w:p w14:paraId="5B8CBF0D" w14:textId="77777777" w:rsidR="000F3BA6" w:rsidRPr="00DE2E95" w:rsidRDefault="000F3BA6" w:rsidP="001A14BF">
            <w:pPr>
              <w:pStyle w:val="TabBody"/>
              <w:rPr>
                <w:rFonts w:eastAsia="Garamond"/>
              </w:rPr>
            </w:pPr>
            <w:r w:rsidRPr="00DE2E95">
              <w:rPr>
                <w:rFonts w:eastAsia="Garamond"/>
              </w:rPr>
              <w:t>je l’ai pas vue (LOCAS-F, conv-i_1)</w:t>
            </w:r>
          </w:p>
        </w:tc>
      </w:tr>
      <w:tr w:rsidR="000F3BA6" w:rsidRPr="004D0537" w14:paraId="028CA1F3" w14:textId="77777777" w:rsidTr="00DE2E95">
        <w:trPr>
          <w:trHeight w:val="397"/>
        </w:trPr>
        <w:tc>
          <w:tcPr>
            <w:tcW w:w="1115" w:type="dxa"/>
            <w:shd w:val="clear" w:color="auto" w:fill="auto"/>
          </w:tcPr>
          <w:p w14:paraId="6D5538B9" w14:textId="77777777" w:rsidR="000F3BA6" w:rsidRPr="00DE2E95" w:rsidRDefault="000F3BA6" w:rsidP="000533A3">
            <w:pPr>
              <w:pStyle w:val="TabBody"/>
              <w:rPr>
                <w:rFonts w:eastAsia="Garamond"/>
              </w:rPr>
            </w:pPr>
            <w:r w:rsidRPr="00DE2E95">
              <w:rPr>
                <w:rFonts w:eastAsia="Garamond"/>
              </w:rPr>
              <w:t>Clivé (cliv)</w:t>
            </w:r>
          </w:p>
        </w:tc>
        <w:tc>
          <w:tcPr>
            <w:tcW w:w="616" w:type="dxa"/>
            <w:shd w:val="clear" w:color="auto" w:fill="auto"/>
          </w:tcPr>
          <w:p w14:paraId="796E08B7" w14:textId="77777777" w:rsidR="000F3BA6" w:rsidRPr="00DE2E95" w:rsidRDefault="000F3BA6" w:rsidP="00DE2E95">
            <w:pPr>
              <w:pStyle w:val="TabBody"/>
              <w:jc w:val="both"/>
              <w:rPr>
                <w:rFonts w:eastAsia="Garamond"/>
              </w:rPr>
            </w:pPr>
            <w:r w:rsidRPr="00DE2E95">
              <w:rPr>
                <w:rFonts w:eastAsia="Garamond"/>
              </w:rPr>
              <w:t>SS, SRg, SRd, SO</w:t>
            </w:r>
          </w:p>
        </w:tc>
        <w:tc>
          <w:tcPr>
            <w:tcW w:w="5323" w:type="dxa"/>
            <w:shd w:val="clear" w:color="auto" w:fill="auto"/>
          </w:tcPr>
          <w:p w14:paraId="0D5149E6" w14:textId="77777777" w:rsidR="000F3BA6" w:rsidRPr="00DE2E95" w:rsidRDefault="000F3BA6" w:rsidP="001A14BF">
            <w:pPr>
              <w:pStyle w:val="TabBody"/>
              <w:rPr>
                <w:rFonts w:eastAsia="Garamond"/>
              </w:rPr>
            </w:pPr>
            <w:r w:rsidRPr="00DE2E95">
              <w:rPr>
                <w:rFonts w:eastAsia="Garamond"/>
              </w:rPr>
              <w:t>c’est sur le terrain que se gagne ou se perd le combat (LOCAS-F, pol_2)</w:t>
            </w:r>
          </w:p>
        </w:tc>
      </w:tr>
      <w:tr w:rsidR="000F3BA6" w:rsidRPr="004D0537" w14:paraId="3A578C28" w14:textId="77777777" w:rsidTr="00DE2E95">
        <w:trPr>
          <w:trHeight w:val="397"/>
        </w:trPr>
        <w:tc>
          <w:tcPr>
            <w:tcW w:w="1115" w:type="dxa"/>
            <w:shd w:val="clear" w:color="auto" w:fill="auto"/>
          </w:tcPr>
          <w:p w14:paraId="682D8CE4" w14:textId="77777777" w:rsidR="000F3BA6" w:rsidRPr="00DE2E95" w:rsidRDefault="000F3BA6" w:rsidP="000533A3">
            <w:pPr>
              <w:pStyle w:val="TabBody"/>
              <w:rPr>
                <w:rFonts w:eastAsia="Garamond"/>
              </w:rPr>
            </w:pPr>
            <w:r w:rsidRPr="00DE2E95">
              <w:rPr>
                <w:rFonts w:eastAsia="Garamond"/>
              </w:rPr>
              <w:t xml:space="preserve">Pseudoclivé (pseudo) </w:t>
            </w:r>
          </w:p>
        </w:tc>
        <w:tc>
          <w:tcPr>
            <w:tcW w:w="616" w:type="dxa"/>
            <w:shd w:val="clear" w:color="auto" w:fill="auto"/>
          </w:tcPr>
          <w:p w14:paraId="3682E7B7" w14:textId="77777777" w:rsidR="000F3BA6" w:rsidRPr="00DE2E95" w:rsidRDefault="000F3BA6" w:rsidP="00DE2E95">
            <w:pPr>
              <w:pStyle w:val="TabBody"/>
              <w:jc w:val="both"/>
              <w:rPr>
                <w:rFonts w:eastAsia="Garamond"/>
              </w:rPr>
            </w:pPr>
            <w:r w:rsidRPr="00DE2E95">
              <w:rPr>
                <w:rFonts w:eastAsia="Garamond"/>
              </w:rPr>
              <w:t>SV</w:t>
            </w:r>
          </w:p>
        </w:tc>
        <w:tc>
          <w:tcPr>
            <w:tcW w:w="5323" w:type="dxa"/>
            <w:shd w:val="clear" w:color="auto" w:fill="auto"/>
          </w:tcPr>
          <w:p w14:paraId="57001CA3" w14:textId="77777777" w:rsidR="000F3BA6" w:rsidRPr="00DE2E95" w:rsidRDefault="000F3BA6" w:rsidP="001A14BF">
            <w:pPr>
              <w:pStyle w:val="TabBody"/>
              <w:rPr>
                <w:rFonts w:eastAsia="Garamond"/>
              </w:rPr>
            </w:pPr>
            <w:r w:rsidRPr="00DE2E95">
              <w:rPr>
                <w:rFonts w:eastAsia="Garamond"/>
              </w:rPr>
              <w:t>ce qui m’intéresse c’est la guerre ag/ mondiale actuelle (LOCAS-F, intlib_3)</w:t>
            </w:r>
          </w:p>
        </w:tc>
      </w:tr>
      <w:tr w:rsidR="000F3BA6" w:rsidRPr="004D0537" w14:paraId="563DB3BD" w14:textId="77777777" w:rsidTr="00DE2E95">
        <w:trPr>
          <w:trHeight w:val="397"/>
        </w:trPr>
        <w:tc>
          <w:tcPr>
            <w:tcW w:w="1115" w:type="dxa"/>
            <w:shd w:val="clear" w:color="auto" w:fill="auto"/>
          </w:tcPr>
          <w:p w14:paraId="4BA8A66F" w14:textId="77777777" w:rsidR="000F3BA6" w:rsidRPr="00DE2E95" w:rsidRDefault="000F3BA6" w:rsidP="000533A3">
            <w:pPr>
              <w:pStyle w:val="TabBody"/>
              <w:rPr>
                <w:rFonts w:eastAsia="Garamond"/>
              </w:rPr>
            </w:pPr>
            <w:r w:rsidRPr="00DE2E95">
              <w:rPr>
                <w:rFonts w:eastAsia="Garamond"/>
              </w:rPr>
              <w:t>Binarisé (bin)</w:t>
            </w:r>
          </w:p>
        </w:tc>
        <w:tc>
          <w:tcPr>
            <w:tcW w:w="616" w:type="dxa"/>
            <w:shd w:val="clear" w:color="auto" w:fill="auto"/>
          </w:tcPr>
          <w:p w14:paraId="2005CA3E" w14:textId="77777777" w:rsidR="000F3BA6" w:rsidRPr="00DE2E95" w:rsidRDefault="000F3BA6" w:rsidP="00DE2E95">
            <w:pPr>
              <w:pStyle w:val="TabBody"/>
              <w:jc w:val="both"/>
              <w:rPr>
                <w:rFonts w:eastAsia="Garamond"/>
              </w:rPr>
            </w:pPr>
            <w:r w:rsidRPr="00DE2E95">
              <w:rPr>
                <w:rFonts w:eastAsia="Garamond"/>
              </w:rPr>
              <w:t>SO</w:t>
            </w:r>
          </w:p>
        </w:tc>
        <w:tc>
          <w:tcPr>
            <w:tcW w:w="5323" w:type="dxa"/>
            <w:shd w:val="clear" w:color="auto" w:fill="auto"/>
          </w:tcPr>
          <w:p w14:paraId="192C5ECE" w14:textId="77777777" w:rsidR="000F3BA6" w:rsidRPr="00DE2E95" w:rsidRDefault="000F3BA6" w:rsidP="001A14BF">
            <w:pPr>
              <w:pStyle w:val="TabBody"/>
              <w:rPr>
                <w:rFonts w:eastAsia="Garamond"/>
              </w:rPr>
            </w:pPr>
            <w:r w:rsidRPr="00DE2E95">
              <w:rPr>
                <w:rFonts w:eastAsia="Garamond"/>
              </w:rPr>
              <w:t>le mot sot elle ne corrige pas (LOCAS-F, intfor_2)</w:t>
            </w:r>
          </w:p>
        </w:tc>
      </w:tr>
      <w:tr w:rsidR="000F3BA6" w:rsidRPr="004D0537" w14:paraId="5DDC65C6" w14:textId="77777777" w:rsidTr="00DE2E95">
        <w:trPr>
          <w:trHeight w:val="397"/>
        </w:trPr>
        <w:tc>
          <w:tcPr>
            <w:tcW w:w="1115" w:type="dxa"/>
            <w:shd w:val="clear" w:color="auto" w:fill="auto"/>
          </w:tcPr>
          <w:p w14:paraId="18254EA0" w14:textId="77777777" w:rsidR="000F3BA6" w:rsidRPr="00DE2E95" w:rsidRDefault="000F3BA6" w:rsidP="000533A3">
            <w:pPr>
              <w:pStyle w:val="TabBody"/>
              <w:rPr>
                <w:rFonts w:eastAsia="Garamond"/>
              </w:rPr>
            </w:pPr>
            <w:r w:rsidRPr="00DE2E95">
              <w:rPr>
                <w:rFonts w:eastAsia="Garamond"/>
              </w:rPr>
              <w:t>Construction présentative (ilya_pres)</w:t>
            </w:r>
          </w:p>
        </w:tc>
        <w:tc>
          <w:tcPr>
            <w:tcW w:w="616" w:type="dxa"/>
            <w:shd w:val="clear" w:color="auto" w:fill="auto"/>
          </w:tcPr>
          <w:p w14:paraId="6A46185B" w14:textId="77777777" w:rsidR="000F3BA6" w:rsidRPr="00DE2E95" w:rsidRDefault="000F3BA6" w:rsidP="00DE2E95">
            <w:pPr>
              <w:pStyle w:val="TabBody"/>
              <w:jc w:val="both"/>
              <w:rPr>
                <w:rFonts w:eastAsia="Garamond"/>
              </w:rPr>
            </w:pPr>
            <w:r w:rsidRPr="00DE2E95">
              <w:rPr>
                <w:rFonts w:eastAsia="Garamond"/>
              </w:rPr>
              <w:t>SS, SO, SRg</w:t>
            </w:r>
          </w:p>
        </w:tc>
        <w:tc>
          <w:tcPr>
            <w:tcW w:w="5323" w:type="dxa"/>
            <w:shd w:val="clear" w:color="auto" w:fill="auto"/>
          </w:tcPr>
          <w:p w14:paraId="1E2138CC" w14:textId="77777777" w:rsidR="000F3BA6" w:rsidRPr="00DE2E95" w:rsidRDefault="000F3BA6" w:rsidP="001A14BF">
            <w:pPr>
              <w:pStyle w:val="TabBody"/>
              <w:rPr>
                <w:rFonts w:eastAsia="Garamond"/>
              </w:rPr>
            </w:pPr>
            <w:r w:rsidRPr="00DE2E95">
              <w:rPr>
                <w:rFonts w:eastAsia="Garamond"/>
              </w:rPr>
              <w:t>il y a des mots que je ne comprends pas (LOCAS-F, intfor_3)</w:t>
            </w:r>
          </w:p>
          <w:p w14:paraId="7B8CA680" w14:textId="77777777" w:rsidR="000F3BA6" w:rsidRPr="00DE2E95" w:rsidRDefault="000F3BA6" w:rsidP="001A14BF">
            <w:pPr>
              <w:pStyle w:val="TabBody"/>
              <w:rPr>
                <w:rFonts w:eastAsia="Garamond"/>
              </w:rPr>
            </w:pPr>
            <w:r w:rsidRPr="00DE2E95">
              <w:rPr>
                <w:rFonts w:eastAsia="Garamond"/>
              </w:rPr>
              <w:t>il n'y a pas un seul Français de France euh qui euh compulsera un manuel de diction pour connaitre la prononciation d'un mot (infor_3)</w:t>
            </w:r>
          </w:p>
        </w:tc>
      </w:tr>
    </w:tbl>
    <w:p w14:paraId="6B393EB5" w14:textId="77777777" w:rsidR="001B3EA2" w:rsidRDefault="001B3EA2" w:rsidP="001B3EA2"/>
    <w:p w14:paraId="0E27A788" w14:textId="67EE86F0" w:rsidR="002A2A7D" w:rsidRDefault="00C5234B" w:rsidP="002A2A7D">
      <w:pPr>
        <w:pStyle w:val="Body"/>
      </w:pPr>
      <w:r>
        <w:t>En outre</w:t>
      </w:r>
      <w:r w:rsidR="002A2A7D">
        <w:t xml:space="preserve">, l’annotation identifie le statut </w:t>
      </w:r>
      <w:r w:rsidR="001F345E">
        <w:t>des</w:t>
      </w:r>
      <w:r w:rsidR="002A2A7D">
        <w:t xml:space="preserve"> éléments non régis par le verbe noyau, mais associés à la construction verbale.</w:t>
      </w:r>
      <w:r w:rsidR="001F345E">
        <w:t xml:space="preserve"> C</w:t>
      </w:r>
      <w:r w:rsidR="001A14BF">
        <w:t xml:space="preserve">omme indiqué dans le </w:t>
      </w:r>
      <w:r w:rsidR="0057393D">
        <w:t>T</w:t>
      </w:r>
      <w:r w:rsidR="001A14BF">
        <w:t>ableau (5), c</w:t>
      </w:r>
      <w:r w:rsidR="001F345E">
        <w:t>es éléments adjoints sont répartis en quatre catégories : le double marquage (à gauche ou à droite) lorsqu’un élément rég</w:t>
      </w:r>
      <w:r w:rsidR="001A14BF">
        <w:t xml:space="preserve">i par le verbe est répété, </w:t>
      </w:r>
      <w:r w:rsidR="001F345E">
        <w:t>sous une forme nominale ou pronominale</w:t>
      </w:r>
      <w:r w:rsidR="001A14BF">
        <w:t>,</w:t>
      </w:r>
      <w:r w:rsidR="001F345E">
        <w:t xml:space="preserve"> avant ou après la construction verbale ; les cas particuliers où un élément associé qui précède ou suit la construction verbale est repris par le pronom </w:t>
      </w:r>
      <w:r w:rsidR="001F345E">
        <w:rPr>
          <w:i/>
        </w:rPr>
        <w:t>ce</w:t>
      </w:r>
      <w:r w:rsidR="001F345E">
        <w:t xml:space="preserve"> (dans l’expression </w:t>
      </w:r>
      <w:r w:rsidR="001F345E">
        <w:rPr>
          <w:i/>
        </w:rPr>
        <w:t>c’est</w:t>
      </w:r>
      <w:r w:rsidR="001F345E">
        <w:t>) et un associé lexical qui ne fait pas l’objet d’un</w:t>
      </w:r>
      <w:r w:rsidR="009B7211">
        <w:t>e</w:t>
      </w:r>
      <w:r w:rsidR="001F345E">
        <w:t xml:space="preserve"> reprise auprès du verbe.</w:t>
      </w:r>
    </w:p>
    <w:p w14:paraId="2252D6F6" w14:textId="77777777" w:rsidR="002A2A7D" w:rsidRDefault="002A2A7D" w:rsidP="001B3EA2"/>
    <w:p w14:paraId="5F0D6AF1" w14:textId="470892D8" w:rsidR="001B3EA2" w:rsidRDefault="001B3EA2" w:rsidP="001B3EA2">
      <w:pPr>
        <w:pStyle w:val="FigFRTitre"/>
      </w:pPr>
      <w:r>
        <w:t xml:space="preserve">Tableau </w:t>
      </w:r>
      <w:r>
        <w:rPr>
          <w:noProof/>
        </w:rPr>
        <w:t xml:space="preserve">5. </w:t>
      </w:r>
      <w:r>
        <w:t>Constructions segmentées et exemples (Carnol &amp; Simon 20</w:t>
      </w:r>
      <w:r w:rsidR="009B7211">
        <w:t>19</w:t>
      </w:r>
      <w:r>
        <w:t xml:space="preserve"> : </w:t>
      </w:r>
      <w:r w:rsidR="009B7211" w:rsidRPr="009B7211">
        <w:t>187</w:t>
      </w:r>
      <w:r>
        <w:t>)</w:t>
      </w:r>
      <w:r w:rsidR="001A14BF">
        <w:t>. Les éléments utilisés pour les constructions segmentées sont des associés (non régis) placés à gauche (ag) ou à droite (ad) de l’unité de rection.</w:t>
      </w: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616"/>
        <w:gridCol w:w="5226"/>
      </w:tblGrid>
      <w:tr w:rsidR="000F3BA6" w:rsidRPr="00DE2E95" w14:paraId="5186106A" w14:textId="77777777" w:rsidTr="00DE2E95">
        <w:trPr>
          <w:trHeight w:val="397"/>
        </w:trPr>
        <w:tc>
          <w:tcPr>
            <w:tcW w:w="1212" w:type="dxa"/>
            <w:shd w:val="clear" w:color="auto" w:fill="auto"/>
          </w:tcPr>
          <w:p w14:paraId="20CC75A5" w14:textId="77777777" w:rsidR="000F3BA6" w:rsidRPr="00DE2E95" w:rsidRDefault="000F3BA6" w:rsidP="000533A3">
            <w:pPr>
              <w:pStyle w:val="TabBody"/>
              <w:rPr>
                <w:rFonts w:eastAsia="Garamond"/>
                <w:b/>
              </w:rPr>
            </w:pPr>
            <w:r w:rsidRPr="00DE2E95">
              <w:rPr>
                <w:rFonts w:eastAsia="Garamond"/>
                <w:b/>
              </w:rPr>
              <w:t>Construction segmentée (et code)</w:t>
            </w:r>
          </w:p>
        </w:tc>
        <w:tc>
          <w:tcPr>
            <w:tcW w:w="616" w:type="dxa"/>
            <w:shd w:val="clear" w:color="auto" w:fill="auto"/>
          </w:tcPr>
          <w:p w14:paraId="5ECA0977" w14:textId="77777777" w:rsidR="000F3BA6" w:rsidRPr="00DE2E95" w:rsidRDefault="000F3BA6" w:rsidP="00DE2E95">
            <w:pPr>
              <w:pStyle w:val="TabBody"/>
              <w:jc w:val="both"/>
              <w:rPr>
                <w:rFonts w:eastAsia="Garamond"/>
                <w:b/>
              </w:rPr>
            </w:pPr>
            <w:r w:rsidRPr="00DE2E95">
              <w:rPr>
                <w:rFonts w:eastAsia="Garamond"/>
                <w:b/>
              </w:rPr>
              <w:t>Unité</w:t>
            </w:r>
          </w:p>
        </w:tc>
        <w:tc>
          <w:tcPr>
            <w:tcW w:w="5226" w:type="dxa"/>
            <w:shd w:val="clear" w:color="auto" w:fill="auto"/>
          </w:tcPr>
          <w:p w14:paraId="07DA01DC" w14:textId="77777777" w:rsidR="000F3BA6" w:rsidRPr="00DE2E95" w:rsidRDefault="000F3BA6" w:rsidP="001A14BF">
            <w:pPr>
              <w:pStyle w:val="TabBody"/>
              <w:rPr>
                <w:rFonts w:eastAsia="Garamond"/>
                <w:b/>
              </w:rPr>
            </w:pPr>
            <w:r w:rsidRPr="00DE2E95">
              <w:rPr>
                <w:rFonts w:eastAsia="Garamond"/>
                <w:b/>
              </w:rPr>
              <w:t>Exemple</w:t>
            </w:r>
          </w:p>
        </w:tc>
      </w:tr>
      <w:tr w:rsidR="000F3BA6" w:rsidRPr="004D0537" w14:paraId="22AE9A6D" w14:textId="77777777" w:rsidTr="0060145F">
        <w:trPr>
          <w:trHeight w:val="274"/>
        </w:trPr>
        <w:tc>
          <w:tcPr>
            <w:tcW w:w="1212" w:type="dxa"/>
            <w:shd w:val="clear" w:color="auto" w:fill="auto"/>
          </w:tcPr>
          <w:p w14:paraId="1F3094E4" w14:textId="77777777" w:rsidR="000F3BA6" w:rsidRPr="00DE2E95" w:rsidRDefault="000F3BA6" w:rsidP="000533A3">
            <w:pPr>
              <w:pStyle w:val="TabBody"/>
              <w:rPr>
                <w:rFonts w:eastAsia="Garamond"/>
              </w:rPr>
            </w:pPr>
            <w:r w:rsidRPr="00DE2E95">
              <w:rPr>
                <w:rFonts w:eastAsia="Garamond"/>
              </w:rPr>
              <w:t>Double marquage (2Mg, 2Mg)</w:t>
            </w:r>
          </w:p>
        </w:tc>
        <w:tc>
          <w:tcPr>
            <w:tcW w:w="616" w:type="dxa"/>
            <w:shd w:val="clear" w:color="auto" w:fill="auto"/>
          </w:tcPr>
          <w:p w14:paraId="25CCB543" w14:textId="77777777" w:rsidR="000F3BA6" w:rsidRPr="00DE2E95" w:rsidRDefault="000F3BA6" w:rsidP="00DE2E95">
            <w:pPr>
              <w:pStyle w:val="TabBody"/>
              <w:jc w:val="both"/>
              <w:rPr>
                <w:rFonts w:eastAsia="Garamond"/>
              </w:rPr>
            </w:pPr>
            <w:r w:rsidRPr="00DE2E95">
              <w:rPr>
                <w:rFonts w:eastAsia="Garamond"/>
              </w:rPr>
              <w:t>ag, ad</w:t>
            </w:r>
          </w:p>
        </w:tc>
        <w:tc>
          <w:tcPr>
            <w:tcW w:w="5226" w:type="dxa"/>
            <w:shd w:val="clear" w:color="auto" w:fill="auto"/>
          </w:tcPr>
          <w:p w14:paraId="39529B4A" w14:textId="41AAA61F" w:rsidR="000F3BA6" w:rsidRPr="00DE2E95" w:rsidRDefault="000F3BA6" w:rsidP="001A14BF">
            <w:pPr>
              <w:pStyle w:val="TabBody"/>
              <w:rPr>
                <w:rFonts w:eastAsia="Garamond"/>
              </w:rPr>
            </w:pPr>
            <w:r w:rsidRPr="000533A3">
              <w:rPr>
                <w:rFonts w:eastAsia="Garamond"/>
                <w:b/>
              </w:rPr>
              <w:t>Vigny</w:t>
            </w:r>
            <w:r w:rsidRPr="00DE2E95">
              <w:rPr>
                <w:rFonts w:eastAsia="Garamond"/>
              </w:rPr>
              <w:t xml:space="preserve"> bah il va se présenter aux élections (LOCAS-F, conv-f_2)</w:t>
            </w:r>
          </w:p>
          <w:p w14:paraId="311C3874" w14:textId="383F8598" w:rsidR="000F3BA6" w:rsidRPr="00DE2E95" w:rsidRDefault="000F3BA6" w:rsidP="000533A3">
            <w:pPr>
              <w:pStyle w:val="TabBody"/>
              <w:rPr>
                <w:rFonts w:eastAsia="Garamond"/>
              </w:rPr>
            </w:pPr>
            <w:r w:rsidRPr="00DE2E95">
              <w:rPr>
                <w:rFonts w:eastAsia="Garamond"/>
              </w:rPr>
              <w:t xml:space="preserve">on en reparlera un petit peu plus loin </w:t>
            </w:r>
            <w:r w:rsidRPr="000533A3">
              <w:rPr>
                <w:rFonts w:eastAsia="Garamond"/>
                <w:b/>
              </w:rPr>
              <w:t>du programme</w:t>
            </w:r>
            <w:r w:rsidRPr="00DE2E95">
              <w:rPr>
                <w:rFonts w:eastAsia="Garamond"/>
              </w:rPr>
              <w:t xml:space="preserve"> (LOCAS-F, intfor_2)</w:t>
            </w:r>
          </w:p>
        </w:tc>
      </w:tr>
      <w:tr w:rsidR="000F3BA6" w:rsidRPr="00D83BDD" w14:paraId="6D4D7559" w14:textId="77777777" w:rsidTr="00DE2E95">
        <w:trPr>
          <w:trHeight w:val="397"/>
        </w:trPr>
        <w:tc>
          <w:tcPr>
            <w:tcW w:w="1212" w:type="dxa"/>
            <w:shd w:val="clear" w:color="auto" w:fill="auto"/>
          </w:tcPr>
          <w:p w14:paraId="1F670ABC" w14:textId="77777777" w:rsidR="000F3BA6" w:rsidRPr="00DE2E95" w:rsidRDefault="000F3BA6" w:rsidP="000533A3">
            <w:pPr>
              <w:pStyle w:val="TabBody"/>
              <w:rPr>
                <w:rFonts w:eastAsia="Garamond"/>
              </w:rPr>
            </w:pPr>
            <w:r w:rsidRPr="00DE2E95">
              <w:rPr>
                <w:rFonts w:eastAsia="Garamond"/>
              </w:rPr>
              <w:t>Construction en A c’est B (ab)</w:t>
            </w:r>
          </w:p>
        </w:tc>
        <w:tc>
          <w:tcPr>
            <w:tcW w:w="616" w:type="dxa"/>
            <w:shd w:val="clear" w:color="auto" w:fill="auto"/>
          </w:tcPr>
          <w:p w14:paraId="4F139E8B" w14:textId="77777777" w:rsidR="000F3BA6" w:rsidRPr="00DE2E95" w:rsidRDefault="000F3BA6" w:rsidP="00DE2E95">
            <w:pPr>
              <w:pStyle w:val="TabBody"/>
              <w:jc w:val="both"/>
              <w:rPr>
                <w:rFonts w:eastAsia="Garamond"/>
              </w:rPr>
            </w:pPr>
            <w:r w:rsidRPr="00DE2E95">
              <w:rPr>
                <w:rFonts w:eastAsia="Garamond"/>
              </w:rPr>
              <w:t>ad</w:t>
            </w:r>
          </w:p>
        </w:tc>
        <w:tc>
          <w:tcPr>
            <w:tcW w:w="5226" w:type="dxa"/>
            <w:shd w:val="clear" w:color="auto" w:fill="auto"/>
          </w:tcPr>
          <w:p w14:paraId="3EB628F1" w14:textId="0B814EE0" w:rsidR="000F3BA6" w:rsidRPr="00DE2E95" w:rsidRDefault="000F3BA6" w:rsidP="000533A3">
            <w:pPr>
              <w:pStyle w:val="TabBody"/>
              <w:rPr>
                <w:rFonts w:eastAsia="Garamond"/>
              </w:rPr>
            </w:pPr>
            <w:r w:rsidRPr="000533A3">
              <w:rPr>
                <w:rFonts w:eastAsia="Garamond"/>
                <w:b/>
              </w:rPr>
              <w:t>le phonostyle</w:t>
            </w:r>
            <w:r w:rsidRPr="00DE2E95">
              <w:rPr>
                <w:rFonts w:eastAsia="Garamond"/>
              </w:rPr>
              <w:t xml:space="preserve"> c’est un un objet d’étude particulier (LOCAS-F, cnf_1)</w:t>
            </w:r>
          </w:p>
        </w:tc>
      </w:tr>
      <w:tr w:rsidR="000F3BA6" w:rsidRPr="004D0537" w14:paraId="1129CFE5" w14:textId="77777777" w:rsidTr="00DE2E95">
        <w:trPr>
          <w:trHeight w:val="397"/>
        </w:trPr>
        <w:tc>
          <w:tcPr>
            <w:tcW w:w="1212" w:type="dxa"/>
            <w:shd w:val="clear" w:color="auto" w:fill="auto"/>
          </w:tcPr>
          <w:p w14:paraId="4F9BC254" w14:textId="77777777" w:rsidR="000F3BA6" w:rsidRPr="00DE2E95" w:rsidRDefault="000F3BA6" w:rsidP="000533A3">
            <w:pPr>
              <w:pStyle w:val="TabBody"/>
              <w:rPr>
                <w:rFonts w:eastAsia="Garamond"/>
              </w:rPr>
            </w:pPr>
            <w:r w:rsidRPr="00DE2E95">
              <w:rPr>
                <w:rFonts w:eastAsia="Garamond"/>
              </w:rPr>
              <w:t>Construction en c’est B A (ba)</w:t>
            </w:r>
          </w:p>
        </w:tc>
        <w:tc>
          <w:tcPr>
            <w:tcW w:w="616" w:type="dxa"/>
            <w:shd w:val="clear" w:color="auto" w:fill="auto"/>
          </w:tcPr>
          <w:p w14:paraId="257AF90B" w14:textId="77777777" w:rsidR="000F3BA6" w:rsidRPr="00DE2E95" w:rsidRDefault="000F3BA6" w:rsidP="00DE2E95">
            <w:pPr>
              <w:pStyle w:val="TabBody"/>
              <w:jc w:val="both"/>
              <w:rPr>
                <w:rFonts w:eastAsia="Garamond"/>
              </w:rPr>
            </w:pPr>
            <w:r w:rsidRPr="00DE2E95">
              <w:rPr>
                <w:rFonts w:eastAsia="Garamond"/>
              </w:rPr>
              <w:t>ad</w:t>
            </w:r>
          </w:p>
        </w:tc>
        <w:tc>
          <w:tcPr>
            <w:tcW w:w="5226" w:type="dxa"/>
            <w:shd w:val="clear" w:color="auto" w:fill="auto"/>
          </w:tcPr>
          <w:p w14:paraId="79B0DD61" w14:textId="61180145" w:rsidR="000F3BA6" w:rsidRPr="00DE2E95" w:rsidRDefault="000F3BA6" w:rsidP="001A14BF">
            <w:pPr>
              <w:pStyle w:val="TabBody"/>
              <w:rPr>
                <w:rFonts w:eastAsia="Garamond"/>
              </w:rPr>
            </w:pPr>
            <w:r w:rsidRPr="00DE2E95">
              <w:rPr>
                <w:rFonts w:eastAsia="Garamond"/>
              </w:rPr>
              <w:t xml:space="preserve">c’est pas mes sauveurs </w:t>
            </w:r>
            <w:r w:rsidRPr="000533A3">
              <w:rPr>
                <w:rFonts w:eastAsia="Garamond"/>
                <w:b/>
              </w:rPr>
              <w:t>mes enfants</w:t>
            </w:r>
            <w:r w:rsidRPr="00DE2E95">
              <w:rPr>
                <w:rFonts w:eastAsia="Garamond"/>
              </w:rPr>
              <w:t xml:space="preserve"> (LOCAS-F, intlib_2)</w:t>
            </w:r>
          </w:p>
        </w:tc>
      </w:tr>
      <w:tr w:rsidR="000F3BA6" w:rsidRPr="00D145CA" w14:paraId="1A78B82C" w14:textId="77777777" w:rsidTr="00DE2E95">
        <w:trPr>
          <w:trHeight w:val="397"/>
        </w:trPr>
        <w:tc>
          <w:tcPr>
            <w:tcW w:w="1212" w:type="dxa"/>
            <w:shd w:val="clear" w:color="auto" w:fill="auto"/>
          </w:tcPr>
          <w:p w14:paraId="0C194F33" w14:textId="77777777" w:rsidR="000F3BA6" w:rsidRPr="00DE2E95" w:rsidRDefault="000F3BA6" w:rsidP="000533A3">
            <w:pPr>
              <w:pStyle w:val="TabBody"/>
              <w:rPr>
                <w:rFonts w:eastAsia="Garamond"/>
              </w:rPr>
            </w:pPr>
            <w:r w:rsidRPr="00DE2E95">
              <w:rPr>
                <w:rFonts w:eastAsia="Garamond"/>
              </w:rPr>
              <w:t>Associé lexical (ass_lex)</w:t>
            </w:r>
          </w:p>
        </w:tc>
        <w:tc>
          <w:tcPr>
            <w:tcW w:w="616" w:type="dxa"/>
            <w:shd w:val="clear" w:color="auto" w:fill="auto"/>
          </w:tcPr>
          <w:p w14:paraId="4200042F" w14:textId="77777777" w:rsidR="000F3BA6" w:rsidRPr="00DE2E95" w:rsidRDefault="000F3BA6" w:rsidP="00DE2E95">
            <w:pPr>
              <w:pStyle w:val="TabBody"/>
              <w:jc w:val="both"/>
              <w:rPr>
                <w:rFonts w:eastAsia="Garamond"/>
              </w:rPr>
            </w:pPr>
            <w:r w:rsidRPr="00DE2E95">
              <w:rPr>
                <w:rFonts w:eastAsia="Garamond"/>
              </w:rPr>
              <w:t>ag, ad</w:t>
            </w:r>
          </w:p>
        </w:tc>
        <w:tc>
          <w:tcPr>
            <w:tcW w:w="5226" w:type="dxa"/>
            <w:shd w:val="clear" w:color="auto" w:fill="auto"/>
          </w:tcPr>
          <w:p w14:paraId="15AD62CF" w14:textId="6A67E336" w:rsidR="000F3BA6" w:rsidRPr="00DE2E95" w:rsidRDefault="000F3BA6" w:rsidP="001A14BF">
            <w:pPr>
              <w:pStyle w:val="TabBody"/>
              <w:rPr>
                <w:rFonts w:eastAsia="Garamond"/>
              </w:rPr>
            </w:pPr>
            <w:r w:rsidRPr="000533A3">
              <w:rPr>
                <w:rFonts w:eastAsia="Garamond"/>
                <w:b/>
              </w:rPr>
              <w:t>le musicologue en question</w:t>
            </w:r>
            <w:r w:rsidRPr="00DE2E95">
              <w:rPr>
                <w:rFonts w:eastAsia="Garamond"/>
              </w:rPr>
              <w:t xml:space="preserve"> son nom m’échappe (LOCAS-F, conv-f)</w:t>
            </w:r>
          </w:p>
          <w:p w14:paraId="37B4499C" w14:textId="0A0BAAA7" w:rsidR="000F3BA6" w:rsidRPr="00DE2E95" w:rsidRDefault="000F3BA6" w:rsidP="001A14BF">
            <w:pPr>
              <w:pStyle w:val="TabBody"/>
              <w:rPr>
                <w:rFonts w:eastAsia="Garamond"/>
              </w:rPr>
            </w:pPr>
            <w:r w:rsidRPr="000533A3">
              <w:rPr>
                <w:rFonts w:eastAsia="Garamond"/>
                <w:b/>
              </w:rPr>
              <w:t>la globalisation</w:t>
            </w:r>
            <w:r w:rsidRPr="00DE2E95">
              <w:rPr>
                <w:rFonts w:eastAsia="Garamond"/>
              </w:rPr>
              <w:t xml:space="preserve"> tous et toutes n’en bénéficient pas de la même manière (LOCAS-F, pol_3)</w:t>
            </w:r>
          </w:p>
        </w:tc>
      </w:tr>
    </w:tbl>
    <w:p w14:paraId="243E22F0" w14:textId="77777777" w:rsidR="001B3EA2" w:rsidRDefault="001B3EA2" w:rsidP="00481348">
      <w:pPr>
        <w:pStyle w:val="Body"/>
      </w:pPr>
    </w:p>
    <w:p w14:paraId="7ECF1871" w14:textId="77777777" w:rsidR="002A2A7D" w:rsidRDefault="002A2A7D" w:rsidP="00481348">
      <w:pPr>
        <w:pStyle w:val="Body"/>
      </w:pPr>
      <w:r>
        <w:t xml:space="preserve">Ces annotations ont été réalisées manuellement à partir d’un export des unités de rection et des séquences fonctionnelles dans un fichier XLS. </w:t>
      </w:r>
    </w:p>
    <w:p w14:paraId="42B39831" w14:textId="77777777" w:rsidR="002B35DB" w:rsidRDefault="002B35DB" w:rsidP="002B35DB">
      <w:pPr>
        <w:pStyle w:val="Titre10"/>
      </w:pPr>
      <w:r>
        <w:t>4. Résultats</w:t>
      </w:r>
    </w:p>
    <w:p w14:paraId="7EE270AE" w14:textId="0C33EEDC" w:rsidR="00230BB5" w:rsidRDefault="00230BB5" w:rsidP="00230BB5">
      <w:pPr>
        <w:pStyle w:val="Body"/>
      </w:pPr>
      <w:r>
        <w:t>D’une manière générale, comme l’ont montré Carnol &amp; Simon (20</w:t>
      </w:r>
      <w:r w:rsidR="009B7211">
        <w:t>19</w:t>
      </w:r>
      <w:r>
        <w:t>), le dispositif direct est la forme</w:t>
      </w:r>
      <w:r w:rsidR="009B7211">
        <w:t xml:space="preserve"> de la construction verbale utilisée</w:t>
      </w:r>
      <w:r>
        <w:t xml:space="preserve"> </w:t>
      </w:r>
      <w:r w:rsidR="009744B9">
        <w:t>par défaut</w:t>
      </w:r>
      <w:r>
        <w:t xml:space="preserve">. En effet, </w:t>
      </w:r>
      <w:r w:rsidR="008A4585">
        <w:t>86,10</w:t>
      </w:r>
      <w:r>
        <w:t xml:space="preserve">% des constructions verbales exploitent l’ordre canonique sujet-verbe-objet/complément régi. </w:t>
      </w:r>
      <w:r w:rsidR="000533A3">
        <w:t xml:space="preserve">Comme indiqué </w:t>
      </w:r>
      <w:r w:rsidR="0057393D">
        <w:t>dans le T</w:t>
      </w:r>
      <w:r w:rsidR="000533A3">
        <w:t>ableau (6), l</w:t>
      </w:r>
      <w:r>
        <w:t>es autres dispositifs restent marginaux</w:t>
      </w:r>
      <w:r w:rsidR="00543A4F">
        <w:t xml:space="preserve"> (moins de 3%), </w:t>
      </w:r>
      <w:r w:rsidR="00762F39">
        <w:t>y</w:t>
      </w:r>
      <w:r w:rsidR="008A4585">
        <w:t xml:space="preserve"> compris les constructions segmentées (</w:t>
      </w:r>
      <w:r w:rsidR="008A4585" w:rsidRPr="008A4585">
        <w:t>unités de rection précédées ou suivies d’un élément associé)</w:t>
      </w:r>
      <w:r w:rsidR="000533A3">
        <w:t>,</w:t>
      </w:r>
      <w:r w:rsidR="008A4585">
        <w:t xml:space="preserve"> qui totalisent 8,95% des constructions verbales avec 5 sous-types. </w:t>
      </w:r>
    </w:p>
    <w:p w14:paraId="59F1CF6D" w14:textId="77777777" w:rsidR="008A4585" w:rsidRDefault="008A4585" w:rsidP="00230BB5">
      <w:pPr>
        <w:pStyle w:val="Body"/>
      </w:pPr>
    </w:p>
    <w:p w14:paraId="5009BE18" w14:textId="219B787E" w:rsidR="00543A4F" w:rsidRDefault="00543A4F" w:rsidP="000533A3">
      <w:pPr>
        <w:pStyle w:val="FigFRTitre"/>
        <w:jc w:val="left"/>
      </w:pPr>
      <w:r w:rsidRPr="008A4585">
        <w:t>Tableau 6. Fréquence brute et relative des dispositifs de la rection verbale </w:t>
      </w:r>
      <w:r w:rsidR="008A4585">
        <w:t xml:space="preserve">et des </w:t>
      </w:r>
      <w:r w:rsidRPr="008A4585">
        <w:t>constructions segmentées.</w:t>
      </w:r>
      <w:r>
        <w:t xml:space="preserve"> </w:t>
      </w:r>
    </w:p>
    <w:tbl>
      <w:tblPr>
        <w:tblW w:w="5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13"/>
        <w:gridCol w:w="1597"/>
        <w:gridCol w:w="1597"/>
      </w:tblGrid>
      <w:tr w:rsidR="00543A4F" w:rsidRPr="0067131D" w14:paraId="2190C30A" w14:textId="77777777" w:rsidTr="00543A4F">
        <w:trPr>
          <w:trHeight w:val="300"/>
          <w:jc w:val="center"/>
        </w:trPr>
        <w:tc>
          <w:tcPr>
            <w:tcW w:w="1913" w:type="dxa"/>
            <w:shd w:val="clear" w:color="auto" w:fill="auto"/>
            <w:tcMar>
              <w:top w:w="15" w:type="dxa"/>
              <w:left w:w="70" w:type="dxa"/>
              <w:bottom w:w="0" w:type="dxa"/>
              <w:right w:w="70" w:type="dxa"/>
            </w:tcMar>
            <w:vAlign w:val="center"/>
            <w:hideMark/>
          </w:tcPr>
          <w:p w14:paraId="20CE745D" w14:textId="77777777" w:rsidR="00543A4F" w:rsidRPr="0067131D" w:rsidRDefault="00543A4F" w:rsidP="00543A4F">
            <w:pPr>
              <w:pStyle w:val="TabBody"/>
              <w:rPr>
                <w:rFonts w:cs="Arial"/>
                <w:b/>
                <w:szCs w:val="16"/>
                <w:lang w:val="fr-BE" w:eastAsia="fr-BE"/>
              </w:rPr>
            </w:pPr>
            <w:r w:rsidRPr="0067131D">
              <w:rPr>
                <w:rFonts w:cs="Arial"/>
                <w:b/>
                <w:szCs w:val="16"/>
                <w:lang w:val="fr-BE" w:eastAsia="fr-BE"/>
              </w:rPr>
              <w:t>Dispositifs</w:t>
            </w:r>
          </w:p>
        </w:tc>
        <w:tc>
          <w:tcPr>
            <w:tcW w:w="1597" w:type="dxa"/>
            <w:shd w:val="clear" w:color="auto" w:fill="auto"/>
            <w:tcMar>
              <w:top w:w="15" w:type="dxa"/>
              <w:left w:w="70" w:type="dxa"/>
              <w:bottom w:w="0" w:type="dxa"/>
              <w:right w:w="70" w:type="dxa"/>
            </w:tcMar>
            <w:vAlign w:val="center"/>
            <w:hideMark/>
          </w:tcPr>
          <w:p w14:paraId="2B52DEDD" w14:textId="77777777" w:rsidR="00543A4F" w:rsidRPr="0067131D" w:rsidRDefault="00543A4F" w:rsidP="00543A4F">
            <w:pPr>
              <w:pStyle w:val="TabBody"/>
              <w:jc w:val="center"/>
              <w:rPr>
                <w:rFonts w:cs="Arial"/>
                <w:b/>
                <w:szCs w:val="16"/>
                <w:lang w:val="fr-BE" w:eastAsia="fr-BE"/>
              </w:rPr>
            </w:pPr>
            <w:r w:rsidRPr="0067131D">
              <w:rPr>
                <w:rFonts w:cs="Arial"/>
                <w:b/>
                <w:szCs w:val="16"/>
                <w:lang w:val="fr-BE" w:eastAsia="fr-BE"/>
              </w:rPr>
              <w:t>Nb occurrences</w:t>
            </w:r>
          </w:p>
        </w:tc>
        <w:tc>
          <w:tcPr>
            <w:tcW w:w="1597" w:type="dxa"/>
            <w:shd w:val="clear" w:color="auto" w:fill="auto"/>
            <w:tcMar>
              <w:top w:w="15" w:type="dxa"/>
              <w:left w:w="70" w:type="dxa"/>
              <w:bottom w:w="0" w:type="dxa"/>
              <w:right w:w="70" w:type="dxa"/>
            </w:tcMar>
            <w:vAlign w:val="center"/>
            <w:hideMark/>
          </w:tcPr>
          <w:p w14:paraId="253C9E47" w14:textId="77777777" w:rsidR="00543A4F" w:rsidRPr="0067131D" w:rsidRDefault="00543A4F" w:rsidP="00543A4F">
            <w:pPr>
              <w:pStyle w:val="TabBody"/>
              <w:jc w:val="center"/>
              <w:rPr>
                <w:rFonts w:cs="Arial"/>
                <w:b/>
                <w:szCs w:val="16"/>
                <w:lang w:val="fr-BE" w:eastAsia="fr-BE"/>
              </w:rPr>
            </w:pPr>
            <w:r w:rsidRPr="0067131D">
              <w:rPr>
                <w:rFonts w:cs="Arial"/>
                <w:b/>
                <w:szCs w:val="16"/>
                <w:lang w:val="fr-BE" w:eastAsia="fr-BE"/>
              </w:rPr>
              <w:t>Fréquence relative</w:t>
            </w:r>
          </w:p>
        </w:tc>
      </w:tr>
      <w:tr w:rsidR="00543A4F" w:rsidRPr="0067131D" w14:paraId="05265E72" w14:textId="77777777" w:rsidTr="00543A4F">
        <w:trPr>
          <w:trHeight w:val="300"/>
          <w:jc w:val="center"/>
        </w:trPr>
        <w:tc>
          <w:tcPr>
            <w:tcW w:w="1913" w:type="dxa"/>
            <w:shd w:val="clear" w:color="auto" w:fill="auto"/>
            <w:tcMar>
              <w:top w:w="15" w:type="dxa"/>
              <w:left w:w="70" w:type="dxa"/>
              <w:bottom w:w="0" w:type="dxa"/>
              <w:right w:w="70" w:type="dxa"/>
            </w:tcMar>
            <w:vAlign w:val="center"/>
            <w:hideMark/>
          </w:tcPr>
          <w:p w14:paraId="499727C8" w14:textId="77777777" w:rsidR="00543A4F" w:rsidRPr="0067131D" w:rsidRDefault="00543A4F" w:rsidP="00543A4F">
            <w:pPr>
              <w:pStyle w:val="TabBody"/>
              <w:rPr>
                <w:rFonts w:cs="Arial"/>
                <w:szCs w:val="16"/>
                <w:lang w:val="fr-BE" w:eastAsia="fr-BE"/>
              </w:rPr>
            </w:pPr>
            <w:r w:rsidRPr="0067131D">
              <w:rPr>
                <w:rFonts w:cs="Arial"/>
                <w:szCs w:val="16"/>
                <w:lang w:val="fr-BE" w:eastAsia="fr-BE"/>
              </w:rPr>
              <w:t>Direct</w:t>
            </w:r>
          </w:p>
        </w:tc>
        <w:tc>
          <w:tcPr>
            <w:tcW w:w="1597" w:type="dxa"/>
            <w:shd w:val="clear" w:color="auto" w:fill="auto"/>
            <w:tcMar>
              <w:top w:w="15" w:type="dxa"/>
              <w:left w:w="70" w:type="dxa"/>
              <w:bottom w:w="0" w:type="dxa"/>
              <w:right w:w="70" w:type="dxa"/>
            </w:tcMar>
            <w:vAlign w:val="center"/>
            <w:hideMark/>
          </w:tcPr>
          <w:p w14:paraId="46DDF2A1" w14:textId="00EF9C87" w:rsidR="00543A4F" w:rsidRPr="0067131D" w:rsidRDefault="00543A4F" w:rsidP="00543A4F">
            <w:pPr>
              <w:pStyle w:val="TabBody"/>
              <w:jc w:val="center"/>
              <w:rPr>
                <w:rFonts w:cs="Arial"/>
                <w:szCs w:val="16"/>
                <w:lang w:val="fr-BE" w:eastAsia="fr-BE"/>
              </w:rPr>
            </w:pPr>
            <w:r w:rsidRPr="0067131D">
              <w:rPr>
                <w:rFonts w:cs="Arial"/>
                <w:color w:val="000000"/>
                <w:szCs w:val="16"/>
                <w:lang w:val="fr-BE" w:eastAsia="fr-BE"/>
              </w:rPr>
              <w:t>30</w:t>
            </w:r>
            <w:r w:rsidR="008A4585" w:rsidRPr="0067131D">
              <w:rPr>
                <w:rFonts w:cs="Arial"/>
                <w:color w:val="000000"/>
                <w:szCs w:val="16"/>
                <w:lang w:val="fr-BE" w:eastAsia="fr-BE"/>
              </w:rPr>
              <w:t>79</w:t>
            </w:r>
          </w:p>
        </w:tc>
        <w:tc>
          <w:tcPr>
            <w:tcW w:w="1597" w:type="dxa"/>
            <w:shd w:val="clear" w:color="auto" w:fill="auto"/>
            <w:tcMar>
              <w:top w:w="15" w:type="dxa"/>
              <w:left w:w="70" w:type="dxa"/>
              <w:bottom w:w="0" w:type="dxa"/>
              <w:right w:w="70" w:type="dxa"/>
            </w:tcMar>
            <w:vAlign w:val="center"/>
            <w:hideMark/>
          </w:tcPr>
          <w:p w14:paraId="4BB1F58F" w14:textId="0B008EFD" w:rsidR="00543A4F" w:rsidRPr="0067131D" w:rsidRDefault="008A4585" w:rsidP="00543A4F">
            <w:pPr>
              <w:pStyle w:val="TabBody"/>
              <w:jc w:val="center"/>
              <w:rPr>
                <w:rFonts w:cs="Arial"/>
                <w:szCs w:val="16"/>
                <w:lang w:val="fr-BE" w:eastAsia="fr-BE"/>
              </w:rPr>
            </w:pPr>
            <w:r w:rsidRPr="0067131D">
              <w:rPr>
                <w:rFonts w:cs="Arial"/>
                <w:color w:val="000000"/>
                <w:szCs w:val="16"/>
                <w:lang w:val="fr-BE" w:eastAsia="fr-BE"/>
              </w:rPr>
              <w:t>86</w:t>
            </w:r>
            <w:r w:rsidR="00543A4F" w:rsidRPr="0067131D">
              <w:rPr>
                <w:rFonts w:cs="Arial"/>
                <w:color w:val="000000"/>
                <w:szCs w:val="16"/>
                <w:lang w:val="fr-BE" w:eastAsia="fr-BE"/>
              </w:rPr>
              <w:t>,1%</w:t>
            </w:r>
          </w:p>
        </w:tc>
      </w:tr>
      <w:tr w:rsidR="00543A4F" w:rsidRPr="0067131D" w14:paraId="3DA2670A" w14:textId="77777777" w:rsidTr="00543A4F">
        <w:trPr>
          <w:trHeight w:val="300"/>
          <w:jc w:val="center"/>
        </w:trPr>
        <w:tc>
          <w:tcPr>
            <w:tcW w:w="1913" w:type="dxa"/>
            <w:shd w:val="clear" w:color="auto" w:fill="auto"/>
            <w:tcMar>
              <w:top w:w="15" w:type="dxa"/>
              <w:left w:w="70" w:type="dxa"/>
              <w:bottom w:w="0" w:type="dxa"/>
              <w:right w:w="70" w:type="dxa"/>
            </w:tcMar>
            <w:vAlign w:val="center"/>
            <w:hideMark/>
          </w:tcPr>
          <w:p w14:paraId="3DFF37F9" w14:textId="77777777" w:rsidR="00543A4F" w:rsidRPr="0067131D" w:rsidRDefault="00543A4F" w:rsidP="00543A4F">
            <w:pPr>
              <w:pStyle w:val="TabBody"/>
              <w:rPr>
                <w:rFonts w:cs="Arial"/>
                <w:szCs w:val="16"/>
                <w:lang w:val="fr-BE" w:eastAsia="fr-BE"/>
              </w:rPr>
            </w:pPr>
            <w:r w:rsidRPr="0067131D">
              <w:rPr>
                <w:rFonts w:cs="Arial"/>
                <w:szCs w:val="16"/>
                <w:lang w:val="fr-BE" w:eastAsia="fr-BE"/>
              </w:rPr>
              <w:t>Clivée</w:t>
            </w:r>
          </w:p>
        </w:tc>
        <w:tc>
          <w:tcPr>
            <w:tcW w:w="1597" w:type="dxa"/>
            <w:shd w:val="clear" w:color="auto" w:fill="auto"/>
            <w:tcMar>
              <w:top w:w="15" w:type="dxa"/>
              <w:left w:w="70" w:type="dxa"/>
              <w:bottom w:w="0" w:type="dxa"/>
              <w:right w:w="70" w:type="dxa"/>
            </w:tcMar>
            <w:vAlign w:val="center"/>
            <w:hideMark/>
          </w:tcPr>
          <w:p w14:paraId="0313309D" w14:textId="0168BFAB" w:rsidR="00543A4F" w:rsidRPr="0067131D" w:rsidRDefault="008A4585" w:rsidP="00543A4F">
            <w:pPr>
              <w:pStyle w:val="TabBody"/>
              <w:jc w:val="center"/>
              <w:rPr>
                <w:rFonts w:cs="Arial"/>
                <w:szCs w:val="16"/>
                <w:lang w:val="fr-BE" w:eastAsia="fr-BE"/>
              </w:rPr>
            </w:pPr>
            <w:r w:rsidRPr="0067131D">
              <w:rPr>
                <w:rFonts w:cs="Arial"/>
                <w:szCs w:val="16"/>
                <w:lang w:val="fr-BE" w:eastAsia="fr-BE"/>
              </w:rPr>
              <w:t>91</w:t>
            </w:r>
          </w:p>
        </w:tc>
        <w:tc>
          <w:tcPr>
            <w:tcW w:w="1597" w:type="dxa"/>
            <w:shd w:val="clear" w:color="auto" w:fill="auto"/>
            <w:tcMar>
              <w:top w:w="15" w:type="dxa"/>
              <w:left w:w="70" w:type="dxa"/>
              <w:bottom w:w="0" w:type="dxa"/>
              <w:right w:w="70" w:type="dxa"/>
            </w:tcMar>
            <w:vAlign w:val="center"/>
            <w:hideMark/>
          </w:tcPr>
          <w:p w14:paraId="123CB2C2" w14:textId="61B62D24" w:rsidR="00543A4F" w:rsidRPr="0067131D" w:rsidRDefault="00543A4F" w:rsidP="00543A4F">
            <w:pPr>
              <w:pStyle w:val="TabBody"/>
              <w:jc w:val="center"/>
              <w:rPr>
                <w:rFonts w:cs="Arial"/>
                <w:szCs w:val="16"/>
                <w:lang w:val="fr-BE" w:eastAsia="fr-BE"/>
              </w:rPr>
            </w:pPr>
            <w:r w:rsidRPr="0067131D">
              <w:rPr>
                <w:rFonts w:cs="Arial"/>
                <w:color w:val="000000"/>
                <w:szCs w:val="16"/>
                <w:lang w:val="fr-BE" w:eastAsia="fr-BE"/>
              </w:rPr>
              <w:t>2,</w:t>
            </w:r>
            <w:r w:rsidR="008A4585" w:rsidRPr="0067131D">
              <w:rPr>
                <w:rFonts w:cs="Arial"/>
                <w:color w:val="000000"/>
                <w:szCs w:val="16"/>
                <w:lang w:val="fr-BE" w:eastAsia="fr-BE"/>
              </w:rPr>
              <w:t>54</w:t>
            </w:r>
            <w:r w:rsidRPr="0067131D">
              <w:rPr>
                <w:rFonts w:cs="Arial"/>
                <w:color w:val="000000"/>
                <w:szCs w:val="16"/>
                <w:lang w:val="fr-BE" w:eastAsia="fr-BE"/>
              </w:rPr>
              <w:t>%</w:t>
            </w:r>
          </w:p>
        </w:tc>
      </w:tr>
      <w:tr w:rsidR="00543A4F" w:rsidRPr="0067131D" w14:paraId="053CF23E" w14:textId="77777777" w:rsidTr="00543A4F">
        <w:trPr>
          <w:trHeight w:val="300"/>
          <w:jc w:val="center"/>
        </w:trPr>
        <w:tc>
          <w:tcPr>
            <w:tcW w:w="1913" w:type="dxa"/>
            <w:shd w:val="clear" w:color="auto" w:fill="auto"/>
            <w:tcMar>
              <w:top w:w="15" w:type="dxa"/>
              <w:left w:w="70" w:type="dxa"/>
              <w:bottom w:w="0" w:type="dxa"/>
              <w:right w:w="70" w:type="dxa"/>
            </w:tcMar>
            <w:vAlign w:val="center"/>
            <w:hideMark/>
          </w:tcPr>
          <w:p w14:paraId="1A57BBB5" w14:textId="77777777" w:rsidR="00543A4F" w:rsidRPr="0067131D" w:rsidRDefault="00543A4F" w:rsidP="00543A4F">
            <w:pPr>
              <w:pStyle w:val="TabBody"/>
              <w:rPr>
                <w:rFonts w:cs="Arial"/>
                <w:szCs w:val="16"/>
                <w:lang w:val="fr-BE" w:eastAsia="fr-BE"/>
              </w:rPr>
            </w:pPr>
            <w:r w:rsidRPr="0067131D">
              <w:rPr>
                <w:rFonts w:cs="Arial"/>
                <w:szCs w:val="16"/>
                <w:lang w:val="fr-BE" w:eastAsia="fr-BE"/>
              </w:rPr>
              <w:t>il y a (et apparenté)</w:t>
            </w:r>
          </w:p>
        </w:tc>
        <w:tc>
          <w:tcPr>
            <w:tcW w:w="1597" w:type="dxa"/>
            <w:shd w:val="clear" w:color="auto" w:fill="auto"/>
            <w:tcMar>
              <w:top w:w="15" w:type="dxa"/>
              <w:left w:w="70" w:type="dxa"/>
              <w:bottom w:w="0" w:type="dxa"/>
              <w:right w:w="70" w:type="dxa"/>
            </w:tcMar>
            <w:vAlign w:val="center"/>
            <w:hideMark/>
          </w:tcPr>
          <w:p w14:paraId="32C8D6C3" w14:textId="4515E3A2" w:rsidR="00543A4F" w:rsidRPr="0067131D" w:rsidRDefault="00543A4F" w:rsidP="00543A4F">
            <w:pPr>
              <w:pStyle w:val="TabBody"/>
              <w:jc w:val="center"/>
              <w:rPr>
                <w:rFonts w:cs="Arial"/>
                <w:szCs w:val="16"/>
                <w:lang w:val="fr-BE" w:eastAsia="fr-BE"/>
              </w:rPr>
            </w:pPr>
            <w:r w:rsidRPr="0067131D">
              <w:rPr>
                <w:rFonts w:cs="Arial"/>
                <w:color w:val="000000"/>
                <w:szCs w:val="16"/>
                <w:lang w:val="fr-BE" w:eastAsia="fr-BE"/>
              </w:rPr>
              <w:t>4</w:t>
            </w:r>
            <w:r w:rsidR="008A4585" w:rsidRPr="0067131D">
              <w:rPr>
                <w:rFonts w:cs="Arial"/>
                <w:color w:val="000000"/>
                <w:szCs w:val="16"/>
                <w:lang w:val="fr-BE" w:eastAsia="fr-BE"/>
              </w:rPr>
              <w:t>2</w:t>
            </w:r>
          </w:p>
        </w:tc>
        <w:tc>
          <w:tcPr>
            <w:tcW w:w="1597" w:type="dxa"/>
            <w:shd w:val="clear" w:color="auto" w:fill="auto"/>
            <w:tcMar>
              <w:top w:w="15" w:type="dxa"/>
              <w:left w:w="70" w:type="dxa"/>
              <w:bottom w:w="0" w:type="dxa"/>
              <w:right w:w="70" w:type="dxa"/>
            </w:tcMar>
            <w:vAlign w:val="center"/>
            <w:hideMark/>
          </w:tcPr>
          <w:p w14:paraId="5DE3BFAB" w14:textId="248DA88C" w:rsidR="00543A4F" w:rsidRPr="0067131D" w:rsidRDefault="00543A4F" w:rsidP="00543A4F">
            <w:pPr>
              <w:pStyle w:val="TabBody"/>
              <w:jc w:val="center"/>
              <w:rPr>
                <w:rFonts w:cs="Arial"/>
                <w:szCs w:val="16"/>
                <w:lang w:val="fr-BE" w:eastAsia="fr-BE"/>
              </w:rPr>
            </w:pPr>
            <w:r w:rsidRPr="0067131D">
              <w:rPr>
                <w:rFonts w:cs="Arial"/>
                <w:color w:val="000000"/>
                <w:szCs w:val="16"/>
                <w:lang w:val="fr-BE" w:eastAsia="fr-BE"/>
              </w:rPr>
              <w:t>1,</w:t>
            </w:r>
            <w:r w:rsidR="008A4585" w:rsidRPr="0067131D">
              <w:rPr>
                <w:rFonts w:cs="Arial"/>
                <w:color w:val="000000"/>
                <w:szCs w:val="16"/>
                <w:lang w:val="fr-BE" w:eastAsia="fr-BE"/>
              </w:rPr>
              <w:t>17</w:t>
            </w:r>
            <w:r w:rsidRPr="0067131D">
              <w:rPr>
                <w:rFonts w:cs="Arial"/>
                <w:color w:val="000000"/>
                <w:szCs w:val="16"/>
                <w:lang w:val="fr-BE" w:eastAsia="fr-BE"/>
              </w:rPr>
              <w:t>%</w:t>
            </w:r>
          </w:p>
        </w:tc>
      </w:tr>
      <w:tr w:rsidR="00543A4F" w:rsidRPr="0067131D" w14:paraId="365639B8" w14:textId="77777777" w:rsidTr="00543A4F">
        <w:trPr>
          <w:trHeight w:val="300"/>
          <w:jc w:val="center"/>
        </w:trPr>
        <w:tc>
          <w:tcPr>
            <w:tcW w:w="1913" w:type="dxa"/>
            <w:shd w:val="clear" w:color="auto" w:fill="auto"/>
            <w:tcMar>
              <w:top w:w="15" w:type="dxa"/>
              <w:left w:w="70" w:type="dxa"/>
              <w:bottom w:w="0" w:type="dxa"/>
              <w:right w:w="70" w:type="dxa"/>
            </w:tcMar>
            <w:vAlign w:val="center"/>
            <w:hideMark/>
          </w:tcPr>
          <w:p w14:paraId="5F9F662D" w14:textId="77777777" w:rsidR="00543A4F" w:rsidRPr="0067131D" w:rsidRDefault="00543A4F" w:rsidP="00543A4F">
            <w:pPr>
              <w:pStyle w:val="TabBody"/>
              <w:rPr>
                <w:rFonts w:cs="Arial"/>
                <w:szCs w:val="16"/>
                <w:lang w:val="fr-BE" w:eastAsia="fr-BE"/>
              </w:rPr>
            </w:pPr>
            <w:r w:rsidRPr="0067131D">
              <w:rPr>
                <w:rFonts w:cs="Arial"/>
                <w:szCs w:val="16"/>
                <w:lang w:val="fr-BE" w:eastAsia="fr-BE"/>
              </w:rPr>
              <w:t>Pseudoclivée</w:t>
            </w:r>
          </w:p>
        </w:tc>
        <w:tc>
          <w:tcPr>
            <w:tcW w:w="1597" w:type="dxa"/>
            <w:shd w:val="clear" w:color="auto" w:fill="auto"/>
            <w:tcMar>
              <w:top w:w="15" w:type="dxa"/>
              <w:left w:w="70" w:type="dxa"/>
              <w:bottom w:w="0" w:type="dxa"/>
              <w:right w:w="70" w:type="dxa"/>
            </w:tcMar>
            <w:vAlign w:val="center"/>
            <w:hideMark/>
          </w:tcPr>
          <w:p w14:paraId="011FA824" w14:textId="77777777" w:rsidR="00543A4F" w:rsidRPr="0067131D" w:rsidRDefault="00543A4F" w:rsidP="00543A4F">
            <w:pPr>
              <w:pStyle w:val="TabBody"/>
              <w:jc w:val="center"/>
              <w:rPr>
                <w:rFonts w:cs="Arial"/>
                <w:szCs w:val="16"/>
                <w:lang w:val="fr-BE" w:eastAsia="fr-BE"/>
              </w:rPr>
            </w:pPr>
            <w:r w:rsidRPr="0067131D">
              <w:rPr>
                <w:rFonts w:cs="Arial"/>
                <w:color w:val="000000"/>
                <w:szCs w:val="16"/>
                <w:lang w:val="fr-BE" w:eastAsia="fr-BE"/>
              </w:rPr>
              <w:t>26</w:t>
            </w:r>
          </w:p>
        </w:tc>
        <w:tc>
          <w:tcPr>
            <w:tcW w:w="1597" w:type="dxa"/>
            <w:shd w:val="clear" w:color="auto" w:fill="auto"/>
            <w:tcMar>
              <w:top w:w="15" w:type="dxa"/>
              <w:left w:w="70" w:type="dxa"/>
              <w:bottom w:w="0" w:type="dxa"/>
              <w:right w:w="70" w:type="dxa"/>
            </w:tcMar>
            <w:vAlign w:val="center"/>
            <w:hideMark/>
          </w:tcPr>
          <w:p w14:paraId="36820DBF" w14:textId="262BC6D0" w:rsidR="00543A4F" w:rsidRPr="0067131D" w:rsidRDefault="00543A4F" w:rsidP="00543A4F">
            <w:pPr>
              <w:pStyle w:val="TabBody"/>
              <w:jc w:val="center"/>
              <w:rPr>
                <w:rFonts w:cs="Arial"/>
                <w:szCs w:val="16"/>
                <w:lang w:val="fr-BE" w:eastAsia="fr-BE"/>
              </w:rPr>
            </w:pPr>
            <w:r w:rsidRPr="0067131D">
              <w:rPr>
                <w:rFonts w:cs="Arial"/>
                <w:color w:val="000000"/>
                <w:szCs w:val="16"/>
                <w:lang w:val="fr-BE" w:eastAsia="fr-BE"/>
              </w:rPr>
              <w:t>0,7</w:t>
            </w:r>
            <w:r w:rsidR="008A4585" w:rsidRPr="0067131D">
              <w:rPr>
                <w:rFonts w:cs="Arial"/>
                <w:color w:val="000000"/>
                <w:szCs w:val="16"/>
                <w:lang w:val="fr-BE" w:eastAsia="fr-BE"/>
              </w:rPr>
              <w:t>3</w:t>
            </w:r>
            <w:r w:rsidRPr="0067131D">
              <w:rPr>
                <w:rFonts w:cs="Arial"/>
                <w:color w:val="000000"/>
                <w:szCs w:val="16"/>
                <w:lang w:val="fr-BE" w:eastAsia="fr-BE"/>
              </w:rPr>
              <w:t>%</w:t>
            </w:r>
          </w:p>
        </w:tc>
      </w:tr>
      <w:tr w:rsidR="00543A4F" w:rsidRPr="0067131D" w14:paraId="0E98B5FA" w14:textId="77777777" w:rsidTr="00543A4F">
        <w:trPr>
          <w:trHeight w:val="300"/>
          <w:jc w:val="center"/>
        </w:trPr>
        <w:tc>
          <w:tcPr>
            <w:tcW w:w="1913" w:type="dxa"/>
            <w:shd w:val="clear" w:color="auto" w:fill="auto"/>
            <w:tcMar>
              <w:top w:w="15" w:type="dxa"/>
              <w:left w:w="70" w:type="dxa"/>
              <w:bottom w:w="0" w:type="dxa"/>
              <w:right w:w="70" w:type="dxa"/>
            </w:tcMar>
            <w:vAlign w:val="center"/>
            <w:hideMark/>
          </w:tcPr>
          <w:p w14:paraId="24F12B47" w14:textId="77777777" w:rsidR="00543A4F" w:rsidRPr="0067131D" w:rsidRDefault="00543A4F" w:rsidP="00543A4F">
            <w:pPr>
              <w:pStyle w:val="TabBody"/>
              <w:rPr>
                <w:rFonts w:cs="Arial"/>
                <w:szCs w:val="16"/>
                <w:lang w:val="fr-BE" w:eastAsia="fr-BE"/>
              </w:rPr>
            </w:pPr>
            <w:r w:rsidRPr="0067131D">
              <w:rPr>
                <w:rFonts w:cs="Arial"/>
                <w:szCs w:val="16"/>
                <w:lang w:val="fr-BE" w:eastAsia="fr-BE"/>
              </w:rPr>
              <w:t>Binarisation</w:t>
            </w:r>
          </w:p>
        </w:tc>
        <w:tc>
          <w:tcPr>
            <w:tcW w:w="1597" w:type="dxa"/>
            <w:shd w:val="clear" w:color="auto" w:fill="auto"/>
            <w:tcMar>
              <w:top w:w="15" w:type="dxa"/>
              <w:left w:w="70" w:type="dxa"/>
              <w:bottom w:w="0" w:type="dxa"/>
              <w:right w:w="70" w:type="dxa"/>
            </w:tcMar>
            <w:vAlign w:val="center"/>
            <w:hideMark/>
          </w:tcPr>
          <w:p w14:paraId="5315F7B1" w14:textId="77777777" w:rsidR="00543A4F" w:rsidRPr="0067131D" w:rsidRDefault="00543A4F" w:rsidP="00543A4F">
            <w:pPr>
              <w:pStyle w:val="TabBody"/>
              <w:jc w:val="center"/>
              <w:rPr>
                <w:rFonts w:cs="Arial"/>
                <w:szCs w:val="16"/>
                <w:lang w:val="fr-BE" w:eastAsia="fr-BE"/>
              </w:rPr>
            </w:pPr>
            <w:r w:rsidRPr="0067131D">
              <w:rPr>
                <w:rFonts w:cs="Arial"/>
                <w:color w:val="000000"/>
                <w:szCs w:val="16"/>
                <w:lang w:val="fr-BE" w:eastAsia="fr-BE"/>
              </w:rPr>
              <w:t>18</w:t>
            </w:r>
          </w:p>
        </w:tc>
        <w:tc>
          <w:tcPr>
            <w:tcW w:w="1597" w:type="dxa"/>
            <w:shd w:val="clear" w:color="auto" w:fill="auto"/>
            <w:tcMar>
              <w:top w:w="15" w:type="dxa"/>
              <w:left w:w="70" w:type="dxa"/>
              <w:bottom w:w="0" w:type="dxa"/>
              <w:right w:w="70" w:type="dxa"/>
            </w:tcMar>
            <w:vAlign w:val="center"/>
            <w:hideMark/>
          </w:tcPr>
          <w:p w14:paraId="0CCC2449" w14:textId="05285652" w:rsidR="00543A4F" w:rsidRPr="0067131D" w:rsidRDefault="00543A4F" w:rsidP="00543A4F">
            <w:pPr>
              <w:pStyle w:val="TabBody"/>
              <w:jc w:val="center"/>
              <w:rPr>
                <w:rFonts w:cs="Arial"/>
                <w:szCs w:val="16"/>
                <w:lang w:val="fr-BE" w:eastAsia="fr-BE"/>
              </w:rPr>
            </w:pPr>
            <w:r w:rsidRPr="0067131D">
              <w:rPr>
                <w:rFonts w:cs="Arial"/>
                <w:color w:val="000000"/>
                <w:szCs w:val="16"/>
                <w:lang w:val="fr-BE" w:eastAsia="fr-BE"/>
              </w:rPr>
              <w:t>0,5</w:t>
            </w:r>
            <w:r w:rsidR="008A4585" w:rsidRPr="0067131D">
              <w:rPr>
                <w:rFonts w:cs="Arial"/>
                <w:color w:val="000000"/>
                <w:szCs w:val="16"/>
                <w:lang w:val="fr-BE" w:eastAsia="fr-BE"/>
              </w:rPr>
              <w:t>0</w:t>
            </w:r>
            <w:r w:rsidRPr="0067131D">
              <w:rPr>
                <w:rFonts w:cs="Arial"/>
                <w:color w:val="000000"/>
                <w:szCs w:val="16"/>
                <w:lang w:val="fr-BE" w:eastAsia="fr-BE"/>
              </w:rPr>
              <w:t>%</w:t>
            </w:r>
          </w:p>
        </w:tc>
      </w:tr>
      <w:tr w:rsidR="00543A4F" w:rsidRPr="0067131D" w14:paraId="317367EB" w14:textId="77777777" w:rsidTr="00543A4F">
        <w:trPr>
          <w:trHeight w:val="300"/>
          <w:jc w:val="center"/>
        </w:trPr>
        <w:tc>
          <w:tcPr>
            <w:tcW w:w="1913" w:type="dxa"/>
            <w:shd w:val="clear" w:color="auto" w:fill="auto"/>
            <w:tcMar>
              <w:top w:w="15" w:type="dxa"/>
              <w:left w:w="70" w:type="dxa"/>
              <w:bottom w:w="0" w:type="dxa"/>
              <w:right w:w="70" w:type="dxa"/>
            </w:tcMar>
            <w:vAlign w:val="center"/>
            <w:hideMark/>
          </w:tcPr>
          <w:p w14:paraId="1389E6CE" w14:textId="4A2599D3" w:rsidR="00543A4F" w:rsidRPr="0067131D" w:rsidRDefault="00543A4F" w:rsidP="00543A4F">
            <w:pPr>
              <w:pStyle w:val="TabBody"/>
              <w:rPr>
                <w:rFonts w:cs="Arial"/>
                <w:b/>
                <w:szCs w:val="16"/>
                <w:lang w:val="fr-BE" w:eastAsia="fr-BE"/>
              </w:rPr>
            </w:pPr>
            <w:r w:rsidRPr="0067131D">
              <w:rPr>
                <w:rFonts w:cs="Arial"/>
                <w:b/>
                <w:szCs w:val="16"/>
                <w:lang w:val="fr-BE" w:eastAsia="fr-BE"/>
              </w:rPr>
              <w:t>Total dispositifs</w:t>
            </w:r>
            <w:r w:rsidR="008A4585" w:rsidRPr="0067131D">
              <w:rPr>
                <w:rFonts w:cs="Arial"/>
                <w:b/>
                <w:szCs w:val="16"/>
                <w:lang w:val="fr-BE" w:eastAsia="fr-BE"/>
              </w:rPr>
              <w:t xml:space="preserve"> de la rection</w:t>
            </w:r>
          </w:p>
        </w:tc>
        <w:tc>
          <w:tcPr>
            <w:tcW w:w="1597" w:type="dxa"/>
            <w:shd w:val="clear" w:color="auto" w:fill="auto"/>
            <w:tcMar>
              <w:top w:w="15" w:type="dxa"/>
              <w:left w:w="70" w:type="dxa"/>
              <w:bottom w:w="0" w:type="dxa"/>
              <w:right w:w="70" w:type="dxa"/>
            </w:tcMar>
            <w:vAlign w:val="center"/>
            <w:hideMark/>
          </w:tcPr>
          <w:p w14:paraId="2C681C0B" w14:textId="2A07F918" w:rsidR="00543A4F" w:rsidRPr="0067131D" w:rsidRDefault="008A4585" w:rsidP="00543A4F">
            <w:pPr>
              <w:pStyle w:val="TabBody"/>
              <w:jc w:val="center"/>
              <w:rPr>
                <w:rFonts w:cs="Arial"/>
                <w:b/>
                <w:szCs w:val="16"/>
                <w:lang w:val="fr-BE" w:eastAsia="fr-BE"/>
              </w:rPr>
            </w:pPr>
            <w:r w:rsidRPr="0067131D">
              <w:rPr>
                <w:rFonts w:cs="Arial"/>
                <w:b/>
                <w:color w:val="000000"/>
                <w:szCs w:val="16"/>
                <w:lang w:val="fr-BE" w:eastAsia="fr-BE"/>
              </w:rPr>
              <w:t>3256</w:t>
            </w:r>
          </w:p>
        </w:tc>
        <w:tc>
          <w:tcPr>
            <w:tcW w:w="1597" w:type="dxa"/>
            <w:shd w:val="clear" w:color="auto" w:fill="auto"/>
            <w:tcMar>
              <w:top w:w="15" w:type="dxa"/>
              <w:left w:w="70" w:type="dxa"/>
              <w:bottom w:w="0" w:type="dxa"/>
              <w:right w:w="70" w:type="dxa"/>
            </w:tcMar>
            <w:vAlign w:val="center"/>
            <w:hideMark/>
          </w:tcPr>
          <w:p w14:paraId="3108961B" w14:textId="452D4C89" w:rsidR="00543A4F" w:rsidRPr="0067131D" w:rsidRDefault="008A4585" w:rsidP="00543A4F">
            <w:pPr>
              <w:pStyle w:val="TabBody"/>
              <w:jc w:val="center"/>
              <w:rPr>
                <w:rFonts w:cs="Arial"/>
                <w:b/>
                <w:szCs w:val="16"/>
                <w:lang w:val="fr-BE" w:eastAsia="fr-BE"/>
              </w:rPr>
            </w:pPr>
            <w:r w:rsidRPr="0067131D">
              <w:rPr>
                <w:rFonts w:cs="Arial"/>
                <w:b/>
                <w:szCs w:val="16"/>
                <w:lang w:val="fr-BE" w:eastAsia="fr-BE"/>
              </w:rPr>
              <w:t>91,05</w:t>
            </w:r>
          </w:p>
        </w:tc>
      </w:tr>
      <w:tr w:rsidR="00543A4F" w:rsidRPr="0067131D" w14:paraId="3E306754" w14:textId="77777777" w:rsidTr="008A4585">
        <w:trPr>
          <w:trHeight w:val="300"/>
          <w:jc w:val="center"/>
        </w:trPr>
        <w:tc>
          <w:tcPr>
            <w:tcW w:w="1913" w:type="dxa"/>
            <w:shd w:val="clear" w:color="auto" w:fill="D9D9D9" w:themeFill="background1" w:themeFillShade="D9"/>
            <w:tcMar>
              <w:top w:w="15" w:type="dxa"/>
              <w:left w:w="70" w:type="dxa"/>
              <w:bottom w:w="0" w:type="dxa"/>
              <w:right w:w="70" w:type="dxa"/>
            </w:tcMar>
            <w:vAlign w:val="center"/>
          </w:tcPr>
          <w:p w14:paraId="3366819B" w14:textId="77777777" w:rsidR="00543A4F" w:rsidRPr="0067131D" w:rsidRDefault="00543A4F" w:rsidP="00543A4F">
            <w:pPr>
              <w:pStyle w:val="TabBody"/>
              <w:rPr>
                <w:rFonts w:cs="Arial"/>
                <w:b/>
                <w:szCs w:val="16"/>
                <w:lang w:val="fr-BE" w:eastAsia="fr-BE"/>
              </w:rPr>
            </w:pPr>
          </w:p>
        </w:tc>
        <w:tc>
          <w:tcPr>
            <w:tcW w:w="1597" w:type="dxa"/>
            <w:shd w:val="clear" w:color="auto" w:fill="D9D9D9" w:themeFill="background1" w:themeFillShade="D9"/>
            <w:tcMar>
              <w:top w:w="15" w:type="dxa"/>
              <w:left w:w="70" w:type="dxa"/>
              <w:bottom w:w="0" w:type="dxa"/>
              <w:right w:w="70" w:type="dxa"/>
            </w:tcMar>
            <w:vAlign w:val="center"/>
          </w:tcPr>
          <w:p w14:paraId="7E86EBF9" w14:textId="77777777" w:rsidR="00543A4F" w:rsidRPr="0067131D" w:rsidRDefault="00543A4F" w:rsidP="00543A4F">
            <w:pPr>
              <w:pStyle w:val="TabBody"/>
              <w:jc w:val="center"/>
              <w:rPr>
                <w:rFonts w:cs="Arial"/>
                <w:b/>
                <w:color w:val="000000"/>
                <w:szCs w:val="16"/>
                <w:lang w:val="fr-BE" w:eastAsia="fr-BE"/>
              </w:rPr>
            </w:pPr>
          </w:p>
        </w:tc>
        <w:tc>
          <w:tcPr>
            <w:tcW w:w="1597" w:type="dxa"/>
            <w:shd w:val="clear" w:color="auto" w:fill="D9D9D9" w:themeFill="background1" w:themeFillShade="D9"/>
            <w:tcMar>
              <w:top w:w="15" w:type="dxa"/>
              <w:left w:w="70" w:type="dxa"/>
              <w:bottom w:w="0" w:type="dxa"/>
              <w:right w:w="70" w:type="dxa"/>
            </w:tcMar>
            <w:vAlign w:val="center"/>
          </w:tcPr>
          <w:p w14:paraId="1917B967" w14:textId="77777777" w:rsidR="00543A4F" w:rsidRPr="0067131D" w:rsidRDefault="00543A4F" w:rsidP="00543A4F">
            <w:pPr>
              <w:pStyle w:val="TabBody"/>
              <w:jc w:val="center"/>
              <w:rPr>
                <w:rFonts w:cs="Arial"/>
                <w:b/>
                <w:color w:val="000000"/>
                <w:szCs w:val="16"/>
                <w:lang w:val="fr-BE" w:eastAsia="fr-BE"/>
              </w:rPr>
            </w:pPr>
          </w:p>
        </w:tc>
      </w:tr>
      <w:tr w:rsidR="00543A4F" w:rsidRPr="0067131D" w14:paraId="15B681AC" w14:textId="77777777" w:rsidTr="00543A4F">
        <w:trPr>
          <w:trHeight w:val="300"/>
          <w:jc w:val="center"/>
        </w:trPr>
        <w:tc>
          <w:tcPr>
            <w:tcW w:w="1913" w:type="dxa"/>
            <w:shd w:val="clear" w:color="auto" w:fill="auto"/>
            <w:tcMar>
              <w:top w:w="15" w:type="dxa"/>
              <w:left w:w="70" w:type="dxa"/>
              <w:bottom w:w="0" w:type="dxa"/>
              <w:right w:w="70" w:type="dxa"/>
            </w:tcMar>
            <w:vAlign w:val="center"/>
          </w:tcPr>
          <w:p w14:paraId="61F8E338" w14:textId="7A03C3F3" w:rsidR="00543A4F" w:rsidRPr="0067131D" w:rsidRDefault="00543A4F" w:rsidP="00543A4F">
            <w:pPr>
              <w:pStyle w:val="TabBody"/>
              <w:rPr>
                <w:rFonts w:cs="Arial"/>
                <w:b/>
                <w:szCs w:val="16"/>
                <w:lang w:val="fr-BE" w:eastAsia="fr-BE"/>
              </w:rPr>
            </w:pPr>
            <w:r w:rsidRPr="0067131D">
              <w:rPr>
                <w:rFonts w:cs="Arial"/>
                <w:b/>
                <w:szCs w:val="16"/>
                <w:lang w:val="fr-BE" w:eastAsia="fr-BE"/>
              </w:rPr>
              <w:t xml:space="preserve">Constructions </w:t>
            </w:r>
            <w:r w:rsidR="008A4585" w:rsidRPr="0067131D">
              <w:rPr>
                <w:rFonts w:cs="Arial"/>
                <w:b/>
                <w:szCs w:val="16"/>
                <w:lang w:val="fr-BE" w:eastAsia="fr-BE"/>
              </w:rPr>
              <w:t>segmentées</w:t>
            </w:r>
          </w:p>
        </w:tc>
        <w:tc>
          <w:tcPr>
            <w:tcW w:w="1597" w:type="dxa"/>
            <w:shd w:val="clear" w:color="auto" w:fill="auto"/>
            <w:tcMar>
              <w:top w:w="15" w:type="dxa"/>
              <w:left w:w="70" w:type="dxa"/>
              <w:bottom w:w="0" w:type="dxa"/>
              <w:right w:w="70" w:type="dxa"/>
            </w:tcMar>
            <w:vAlign w:val="center"/>
          </w:tcPr>
          <w:p w14:paraId="2431D627" w14:textId="18D13B21" w:rsidR="00543A4F" w:rsidRPr="0067131D" w:rsidRDefault="008A4585" w:rsidP="00543A4F">
            <w:pPr>
              <w:pStyle w:val="TabBody"/>
              <w:jc w:val="center"/>
              <w:rPr>
                <w:rFonts w:cs="Arial"/>
                <w:b/>
                <w:color w:val="000000"/>
                <w:szCs w:val="16"/>
                <w:lang w:val="fr-BE" w:eastAsia="fr-BE"/>
              </w:rPr>
            </w:pPr>
            <w:r w:rsidRPr="0067131D">
              <w:rPr>
                <w:rFonts w:cs="Arial"/>
                <w:b/>
                <w:color w:val="000000"/>
                <w:szCs w:val="16"/>
                <w:lang w:val="fr-BE" w:eastAsia="fr-BE"/>
              </w:rPr>
              <w:t>320</w:t>
            </w:r>
          </w:p>
        </w:tc>
        <w:tc>
          <w:tcPr>
            <w:tcW w:w="1597" w:type="dxa"/>
            <w:shd w:val="clear" w:color="auto" w:fill="auto"/>
            <w:tcMar>
              <w:top w:w="15" w:type="dxa"/>
              <w:left w:w="70" w:type="dxa"/>
              <w:bottom w:w="0" w:type="dxa"/>
              <w:right w:w="70" w:type="dxa"/>
            </w:tcMar>
            <w:vAlign w:val="center"/>
          </w:tcPr>
          <w:p w14:paraId="26F164D8" w14:textId="519D97D3" w:rsidR="00543A4F" w:rsidRPr="0067131D" w:rsidRDefault="008A4585" w:rsidP="00543A4F">
            <w:pPr>
              <w:pStyle w:val="TabBody"/>
              <w:jc w:val="center"/>
              <w:rPr>
                <w:rFonts w:cs="Arial"/>
                <w:b/>
                <w:color w:val="000000"/>
                <w:szCs w:val="16"/>
                <w:lang w:val="fr-BE" w:eastAsia="fr-BE"/>
              </w:rPr>
            </w:pPr>
            <w:r w:rsidRPr="0067131D">
              <w:rPr>
                <w:rFonts w:cs="Arial"/>
                <w:b/>
                <w:color w:val="000000"/>
                <w:szCs w:val="16"/>
                <w:lang w:val="fr-BE" w:eastAsia="fr-BE"/>
              </w:rPr>
              <w:t>8,95%</w:t>
            </w:r>
          </w:p>
        </w:tc>
      </w:tr>
      <w:tr w:rsidR="00543A4F" w:rsidRPr="0067131D" w14:paraId="38F92DCC" w14:textId="77777777" w:rsidTr="00543A4F">
        <w:trPr>
          <w:trHeight w:val="300"/>
          <w:jc w:val="center"/>
        </w:trPr>
        <w:tc>
          <w:tcPr>
            <w:tcW w:w="1913" w:type="dxa"/>
            <w:shd w:val="clear" w:color="auto" w:fill="auto"/>
            <w:tcMar>
              <w:top w:w="15" w:type="dxa"/>
              <w:left w:w="70" w:type="dxa"/>
              <w:bottom w:w="0" w:type="dxa"/>
              <w:right w:w="70" w:type="dxa"/>
            </w:tcMar>
            <w:vAlign w:val="center"/>
          </w:tcPr>
          <w:p w14:paraId="159956BD" w14:textId="77777777" w:rsidR="00543A4F" w:rsidRPr="0067131D" w:rsidRDefault="00543A4F" w:rsidP="00543A4F">
            <w:pPr>
              <w:pStyle w:val="TabBody"/>
              <w:rPr>
                <w:rFonts w:cs="Arial"/>
                <w:szCs w:val="16"/>
                <w:lang w:val="fr-BE" w:eastAsia="fr-BE"/>
              </w:rPr>
            </w:pPr>
            <w:r w:rsidRPr="0067131D">
              <w:rPr>
                <w:rFonts w:cs="Arial"/>
                <w:szCs w:val="16"/>
                <w:lang w:val="fr-BE" w:eastAsia="fr-BE"/>
              </w:rPr>
              <w:t>Double marquage à gauche</w:t>
            </w:r>
          </w:p>
        </w:tc>
        <w:tc>
          <w:tcPr>
            <w:tcW w:w="1597" w:type="dxa"/>
            <w:shd w:val="clear" w:color="auto" w:fill="auto"/>
            <w:tcMar>
              <w:top w:w="15" w:type="dxa"/>
              <w:left w:w="70" w:type="dxa"/>
              <w:bottom w:w="0" w:type="dxa"/>
              <w:right w:w="70" w:type="dxa"/>
            </w:tcMar>
            <w:vAlign w:val="center"/>
          </w:tcPr>
          <w:p w14:paraId="36A14D6E" w14:textId="634996F6" w:rsidR="00543A4F" w:rsidRPr="0067131D" w:rsidRDefault="00543A4F" w:rsidP="00543A4F">
            <w:pPr>
              <w:pStyle w:val="TabBody"/>
              <w:jc w:val="center"/>
              <w:rPr>
                <w:rFonts w:cs="Arial"/>
                <w:color w:val="000000"/>
                <w:szCs w:val="16"/>
                <w:lang w:val="fr-BE" w:eastAsia="fr-BE"/>
              </w:rPr>
            </w:pPr>
            <w:r w:rsidRPr="0067131D">
              <w:rPr>
                <w:rFonts w:cs="Arial"/>
                <w:color w:val="000000"/>
                <w:szCs w:val="16"/>
                <w:lang w:val="fr-BE" w:eastAsia="fr-BE"/>
              </w:rPr>
              <w:t>13</w:t>
            </w:r>
            <w:r w:rsidR="008A4585" w:rsidRPr="0067131D">
              <w:rPr>
                <w:rFonts w:cs="Arial"/>
                <w:color w:val="000000"/>
                <w:szCs w:val="16"/>
                <w:lang w:val="fr-BE" w:eastAsia="fr-BE"/>
              </w:rPr>
              <w:t>7</w:t>
            </w:r>
          </w:p>
        </w:tc>
        <w:tc>
          <w:tcPr>
            <w:tcW w:w="1597" w:type="dxa"/>
            <w:shd w:val="clear" w:color="auto" w:fill="auto"/>
            <w:tcMar>
              <w:top w:w="15" w:type="dxa"/>
              <w:left w:w="70" w:type="dxa"/>
              <w:bottom w:w="0" w:type="dxa"/>
              <w:right w:w="70" w:type="dxa"/>
            </w:tcMar>
            <w:vAlign w:val="center"/>
          </w:tcPr>
          <w:p w14:paraId="65243459" w14:textId="647DB408" w:rsidR="00543A4F" w:rsidRPr="0067131D" w:rsidRDefault="008A4585" w:rsidP="00543A4F">
            <w:pPr>
              <w:pStyle w:val="TabBody"/>
              <w:jc w:val="center"/>
              <w:rPr>
                <w:rFonts w:cs="Arial"/>
                <w:color w:val="000000"/>
                <w:szCs w:val="16"/>
                <w:lang w:val="fr-BE" w:eastAsia="fr-BE"/>
              </w:rPr>
            </w:pPr>
            <w:r w:rsidRPr="0067131D">
              <w:rPr>
                <w:rFonts w:cs="Arial"/>
                <w:color w:val="000000"/>
                <w:szCs w:val="16"/>
                <w:lang w:val="fr-BE" w:eastAsia="fr-BE"/>
              </w:rPr>
              <w:t>3,83</w:t>
            </w:r>
            <w:r w:rsidR="001D5D3D" w:rsidRPr="0067131D">
              <w:rPr>
                <w:rFonts w:cs="Arial"/>
                <w:color w:val="000000"/>
                <w:szCs w:val="16"/>
                <w:lang w:val="fr-BE" w:eastAsia="fr-BE"/>
              </w:rPr>
              <w:t>%</w:t>
            </w:r>
          </w:p>
        </w:tc>
      </w:tr>
      <w:tr w:rsidR="008A4585" w:rsidRPr="0067131D" w14:paraId="55418D30" w14:textId="77777777" w:rsidTr="00543A4F">
        <w:trPr>
          <w:trHeight w:val="300"/>
          <w:jc w:val="center"/>
        </w:trPr>
        <w:tc>
          <w:tcPr>
            <w:tcW w:w="1913" w:type="dxa"/>
            <w:shd w:val="clear" w:color="auto" w:fill="auto"/>
            <w:tcMar>
              <w:top w:w="15" w:type="dxa"/>
              <w:left w:w="70" w:type="dxa"/>
              <w:bottom w:w="0" w:type="dxa"/>
              <w:right w:w="70" w:type="dxa"/>
            </w:tcMar>
            <w:vAlign w:val="center"/>
          </w:tcPr>
          <w:p w14:paraId="12B1D969" w14:textId="57CB2BCE" w:rsidR="008A4585" w:rsidRPr="0067131D" w:rsidRDefault="008A4585" w:rsidP="008A4585">
            <w:pPr>
              <w:pStyle w:val="TabBody"/>
              <w:rPr>
                <w:rFonts w:cs="Arial"/>
                <w:szCs w:val="16"/>
                <w:lang w:val="fr-BE" w:eastAsia="fr-BE"/>
              </w:rPr>
            </w:pPr>
            <w:r w:rsidRPr="0067131D">
              <w:rPr>
                <w:rFonts w:cs="Arial"/>
                <w:szCs w:val="16"/>
                <w:lang w:val="fr-BE" w:eastAsia="fr-BE"/>
              </w:rPr>
              <w:t>A c’est B</w:t>
            </w:r>
          </w:p>
        </w:tc>
        <w:tc>
          <w:tcPr>
            <w:tcW w:w="1597" w:type="dxa"/>
            <w:shd w:val="clear" w:color="auto" w:fill="auto"/>
            <w:tcMar>
              <w:top w:w="15" w:type="dxa"/>
              <w:left w:w="70" w:type="dxa"/>
              <w:bottom w:w="0" w:type="dxa"/>
              <w:right w:w="70" w:type="dxa"/>
            </w:tcMar>
            <w:vAlign w:val="center"/>
          </w:tcPr>
          <w:p w14:paraId="4BEE4F42" w14:textId="285C7127" w:rsidR="008A4585" w:rsidRPr="0067131D" w:rsidRDefault="008A4585" w:rsidP="008A4585">
            <w:pPr>
              <w:pStyle w:val="TabBody"/>
              <w:jc w:val="center"/>
              <w:rPr>
                <w:rFonts w:cs="Arial"/>
                <w:color w:val="000000"/>
                <w:szCs w:val="16"/>
                <w:lang w:val="fr-BE" w:eastAsia="fr-BE"/>
              </w:rPr>
            </w:pPr>
            <w:r w:rsidRPr="0067131D">
              <w:rPr>
                <w:rFonts w:cs="Arial"/>
                <w:color w:val="000000"/>
                <w:szCs w:val="16"/>
                <w:lang w:val="fr-BE" w:eastAsia="fr-BE"/>
              </w:rPr>
              <w:t>99</w:t>
            </w:r>
          </w:p>
        </w:tc>
        <w:tc>
          <w:tcPr>
            <w:tcW w:w="1597" w:type="dxa"/>
            <w:shd w:val="clear" w:color="auto" w:fill="auto"/>
            <w:tcMar>
              <w:top w:w="15" w:type="dxa"/>
              <w:left w:w="70" w:type="dxa"/>
              <w:bottom w:w="0" w:type="dxa"/>
              <w:right w:w="70" w:type="dxa"/>
            </w:tcMar>
            <w:vAlign w:val="center"/>
          </w:tcPr>
          <w:p w14:paraId="10638713" w14:textId="7D6DAD8C" w:rsidR="008A4585" w:rsidRPr="0067131D" w:rsidRDefault="008A4585" w:rsidP="008A4585">
            <w:pPr>
              <w:pStyle w:val="TabBody"/>
              <w:jc w:val="center"/>
              <w:rPr>
                <w:rFonts w:cs="Arial"/>
                <w:color w:val="000000"/>
                <w:szCs w:val="16"/>
                <w:lang w:val="fr-BE" w:eastAsia="fr-BE"/>
              </w:rPr>
            </w:pPr>
            <w:r w:rsidRPr="0067131D">
              <w:rPr>
                <w:rFonts w:cs="Arial"/>
                <w:color w:val="000000"/>
                <w:szCs w:val="16"/>
                <w:lang w:val="fr-BE" w:eastAsia="fr-BE"/>
              </w:rPr>
              <w:t>2,77%</w:t>
            </w:r>
          </w:p>
        </w:tc>
      </w:tr>
      <w:tr w:rsidR="00543A4F" w:rsidRPr="0067131D" w14:paraId="712B32D0" w14:textId="77777777" w:rsidTr="00543A4F">
        <w:trPr>
          <w:trHeight w:val="300"/>
          <w:jc w:val="center"/>
        </w:trPr>
        <w:tc>
          <w:tcPr>
            <w:tcW w:w="1913" w:type="dxa"/>
            <w:shd w:val="clear" w:color="auto" w:fill="auto"/>
            <w:tcMar>
              <w:top w:w="15" w:type="dxa"/>
              <w:left w:w="70" w:type="dxa"/>
              <w:bottom w:w="0" w:type="dxa"/>
              <w:right w:w="70" w:type="dxa"/>
            </w:tcMar>
            <w:vAlign w:val="center"/>
          </w:tcPr>
          <w:p w14:paraId="4A5EC16D" w14:textId="77777777" w:rsidR="00543A4F" w:rsidRPr="0067131D" w:rsidRDefault="00543A4F" w:rsidP="00543A4F">
            <w:pPr>
              <w:pStyle w:val="TabBody"/>
              <w:rPr>
                <w:rFonts w:cs="Arial"/>
                <w:szCs w:val="16"/>
                <w:lang w:val="fr-BE" w:eastAsia="fr-BE"/>
              </w:rPr>
            </w:pPr>
            <w:r w:rsidRPr="0067131D">
              <w:rPr>
                <w:rFonts w:cs="Arial"/>
                <w:szCs w:val="16"/>
                <w:lang w:val="fr-BE" w:eastAsia="fr-BE"/>
              </w:rPr>
              <w:t>Double marquage à droite</w:t>
            </w:r>
          </w:p>
        </w:tc>
        <w:tc>
          <w:tcPr>
            <w:tcW w:w="1597" w:type="dxa"/>
            <w:shd w:val="clear" w:color="auto" w:fill="auto"/>
            <w:tcMar>
              <w:top w:w="15" w:type="dxa"/>
              <w:left w:w="70" w:type="dxa"/>
              <w:bottom w:w="0" w:type="dxa"/>
              <w:right w:w="70" w:type="dxa"/>
            </w:tcMar>
            <w:vAlign w:val="center"/>
          </w:tcPr>
          <w:p w14:paraId="302F5607" w14:textId="77777777" w:rsidR="00543A4F" w:rsidRPr="0067131D" w:rsidRDefault="00543A4F" w:rsidP="00543A4F">
            <w:pPr>
              <w:pStyle w:val="TabBody"/>
              <w:jc w:val="center"/>
              <w:rPr>
                <w:rFonts w:cs="Arial"/>
                <w:color w:val="000000"/>
                <w:szCs w:val="16"/>
                <w:lang w:val="fr-BE" w:eastAsia="fr-BE"/>
              </w:rPr>
            </w:pPr>
            <w:r w:rsidRPr="0067131D">
              <w:rPr>
                <w:rFonts w:cs="Arial"/>
                <w:color w:val="000000"/>
                <w:szCs w:val="16"/>
                <w:lang w:val="fr-BE" w:eastAsia="fr-BE"/>
              </w:rPr>
              <w:t>37</w:t>
            </w:r>
          </w:p>
        </w:tc>
        <w:tc>
          <w:tcPr>
            <w:tcW w:w="1597" w:type="dxa"/>
            <w:shd w:val="clear" w:color="auto" w:fill="auto"/>
            <w:tcMar>
              <w:top w:w="15" w:type="dxa"/>
              <w:left w:w="70" w:type="dxa"/>
              <w:bottom w:w="0" w:type="dxa"/>
              <w:right w:w="70" w:type="dxa"/>
            </w:tcMar>
            <w:vAlign w:val="center"/>
          </w:tcPr>
          <w:p w14:paraId="230425CF" w14:textId="0D9B3778" w:rsidR="00543A4F" w:rsidRPr="0067131D" w:rsidRDefault="001D5D3D" w:rsidP="00543A4F">
            <w:pPr>
              <w:pStyle w:val="TabBody"/>
              <w:jc w:val="center"/>
              <w:rPr>
                <w:rFonts w:cs="Arial"/>
                <w:color w:val="000000"/>
                <w:szCs w:val="16"/>
                <w:lang w:val="fr-BE" w:eastAsia="fr-BE"/>
              </w:rPr>
            </w:pPr>
            <w:r w:rsidRPr="0067131D">
              <w:rPr>
                <w:rFonts w:cs="Arial"/>
                <w:color w:val="000000"/>
                <w:szCs w:val="16"/>
                <w:lang w:val="fr-BE" w:eastAsia="fr-BE"/>
              </w:rPr>
              <w:t>1,</w:t>
            </w:r>
            <w:r w:rsidR="008A4585" w:rsidRPr="0067131D">
              <w:rPr>
                <w:rFonts w:cs="Arial"/>
                <w:color w:val="000000"/>
                <w:szCs w:val="16"/>
                <w:lang w:val="fr-BE" w:eastAsia="fr-BE"/>
              </w:rPr>
              <w:t>03</w:t>
            </w:r>
            <w:r w:rsidRPr="0067131D">
              <w:rPr>
                <w:rFonts w:cs="Arial"/>
                <w:color w:val="000000"/>
                <w:szCs w:val="16"/>
                <w:lang w:val="fr-BE" w:eastAsia="fr-BE"/>
              </w:rPr>
              <w:t>%</w:t>
            </w:r>
          </w:p>
        </w:tc>
      </w:tr>
      <w:tr w:rsidR="00543A4F" w:rsidRPr="0067131D" w14:paraId="4F1C92F4" w14:textId="77777777" w:rsidTr="00543A4F">
        <w:trPr>
          <w:trHeight w:val="300"/>
          <w:jc w:val="center"/>
        </w:trPr>
        <w:tc>
          <w:tcPr>
            <w:tcW w:w="1913" w:type="dxa"/>
            <w:shd w:val="clear" w:color="auto" w:fill="auto"/>
            <w:tcMar>
              <w:top w:w="15" w:type="dxa"/>
              <w:left w:w="70" w:type="dxa"/>
              <w:bottom w:w="0" w:type="dxa"/>
              <w:right w:w="70" w:type="dxa"/>
            </w:tcMar>
            <w:vAlign w:val="center"/>
          </w:tcPr>
          <w:p w14:paraId="214953BE" w14:textId="0723F54C" w:rsidR="00543A4F" w:rsidRPr="0067131D" w:rsidRDefault="008A4585" w:rsidP="00543A4F">
            <w:pPr>
              <w:pStyle w:val="TabBody"/>
              <w:rPr>
                <w:rFonts w:cs="Arial"/>
                <w:szCs w:val="16"/>
                <w:lang w:val="fr-BE" w:eastAsia="fr-BE"/>
              </w:rPr>
            </w:pPr>
            <w:r w:rsidRPr="0067131D">
              <w:rPr>
                <w:rFonts w:cs="Arial"/>
                <w:szCs w:val="16"/>
                <w:lang w:val="fr-BE" w:eastAsia="fr-BE"/>
              </w:rPr>
              <w:t>C’est BA</w:t>
            </w:r>
          </w:p>
        </w:tc>
        <w:tc>
          <w:tcPr>
            <w:tcW w:w="1597" w:type="dxa"/>
            <w:shd w:val="clear" w:color="auto" w:fill="auto"/>
            <w:tcMar>
              <w:top w:w="15" w:type="dxa"/>
              <w:left w:w="70" w:type="dxa"/>
              <w:bottom w:w="0" w:type="dxa"/>
              <w:right w:w="70" w:type="dxa"/>
            </w:tcMar>
            <w:vAlign w:val="center"/>
          </w:tcPr>
          <w:p w14:paraId="151E755F" w14:textId="75D2F2A1" w:rsidR="00543A4F" w:rsidRPr="0067131D" w:rsidRDefault="008A4585" w:rsidP="008A4585">
            <w:pPr>
              <w:pStyle w:val="TabBody"/>
              <w:jc w:val="center"/>
              <w:rPr>
                <w:rFonts w:cs="Arial"/>
                <w:color w:val="000000"/>
                <w:szCs w:val="16"/>
                <w:lang w:val="fr-BE" w:eastAsia="fr-BE"/>
              </w:rPr>
            </w:pPr>
            <w:r w:rsidRPr="0067131D">
              <w:rPr>
                <w:rFonts w:cs="Arial"/>
                <w:color w:val="000000"/>
                <w:szCs w:val="16"/>
                <w:lang w:val="fr-BE" w:eastAsia="fr-BE"/>
              </w:rPr>
              <w:t>28</w:t>
            </w:r>
          </w:p>
        </w:tc>
        <w:tc>
          <w:tcPr>
            <w:tcW w:w="1597" w:type="dxa"/>
            <w:shd w:val="clear" w:color="auto" w:fill="auto"/>
            <w:tcMar>
              <w:top w:w="15" w:type="dxa"/>
              <w:left w:w="70" w:type="dxa"/>
              <w:bottom w:w="0" w:type="dxa"/>
              <w:right w:w="70" w:type="dxa"/>
            </w:tcMar>
            <w:vAlign w:val="center"/>
          </w:tcPr>
          <w:p w14:paraId="4C896CB7" w14:textId="6A0F6FFF" w:rsidR="00543A4F" w:rsidRPr="0067131D" w:rsidRDefault="008A4585" w:rsidP="00543A4F">
            <w:pPr>
              <w:pStyle w:val="TabBody"/>
              <w:jc w:val="center"/>
              <w:rPr>
                <w:rFonts w:cs="Arial"/>
                <w:color w:val="000000"/>
                <w:szCs w:val="16"/>
                <w:lang w:val="fr-BE" w:eastAsia="fr-BE"/>
              </w:rPr>
            </w:pPr>
            <w:r w:rsidRPr="0067131D">
              <w:rPr>
                <w:rFonts w:cs="Arial"/>
                <w:color w:val="000000"/>
                <w:szCs w:val="16"/>
                <w:lang w:val="fr-BE" w:eastAsia="fr-BE"/>
              </w:rPr>
              <w:t>0,78%</w:t>
            </w:r>
          </w:p>
        </w:tc>
      </w:tr>
      <w:tr w:rsidR="008A4585" w:rsidRPr="0067131D" w14:paraId="5FAF61A8" w14:textId="77777777" w:rsidTr="00543A4F">
        <w:trPr>
          <w:trHeight w:val="300"/>
          <w:jc w:val="center"/>
        </w:trPr>
        <w:tc>
          <w:tcPr>
            <w:tcW w:w="1913" w:type="dxa"/>
            <w:shd w:val="clear" w:color="auto" w:fill="auto"/>
            <w:tcMar>
              <w:top w:w="15" w:type="dxa"/>
              <w:left w:w="70" w:type="dxa"/>
              <w:bottom w:w="0" w:type="dxa"/>
              <w:right w:w="70" w:type="dxa"/>
            </w:tcMar>
            <w:vAlign w:val="center"/>
          </w:tcPr>
          <w:p w14:paraId="6277C4E2" w14:textId="3A90D179" w:rsidR="008A4585" w:rsidRPr="0067131D" w:rsidRDefault="008A4585" w:rsidP="008A4585">
            <w:pPr>
              <w:pStyle w:val="TabBody"/>
              <w:rPr>
                <w:rFonts w:cs="Arial"/>
                <w:szCs w:val="16"/>
                <w:lang w:val="fr-BE" w:eastAsia="fr-BE"/>
              </w:rPr>
            </w:pPr>
            <w:r w:rsidRPr="0067131D">
              <w:rPr>
                <w:rFonts w:cs="Arial"/>
                <w:szCs w:val="16"/>
                <w:lang w:val="fr-BE" w:eastAsia="fr-BE"/>
              </w:rPr>
              <w:t>Associé lexical</w:t>
            </w:r>
          </w:p>
        </w:tc>
        <w:tc>
          <w:tcPr>
            <w:tcW w:w="1597" w:type="dxa"/>
            <w:shd w:val="clear" w:color="auto" w:fill="auto"/>
            <w:tcMar>
              <w:top w:w="15" w:type="dxa"/>
              <w:left w:w="70" w:type="dxa"/>
              <w:bottom w:w="0" w:type="dxa"/>
              <w:right w:w="70" w:type="dxa"/>
            </w:tcMar>
            <w:vAlign w:val="center"/>
          </w:tcPr>
          <w:p w14:paraId="27C8EC3E" w14:textId="60C0F1DC" w:rsidR="008A4585" w:rsidRPr="0067131D" w:rsidRDefault="008A4585" w:rsidP="008A4585">
            <w:pPr>
              <w:pStyle w:val="TabBody"/>
              <w:jc w:val="center"/>
              <w:rPr>
                <w:rFonts w:cs="Arial"/>
                <w:color w:val="000000"/>
                <w:szCs w:val="16"/>
                <w:lang w:val="fr-BE" w:eastAsia="fr-BE"/>
              </w:rPr>
            </w:pPr>
            <w:r w:rsidRPr="0067131D">
              <w:rPr>
                <w:rFonts w:cs="Arial"/>
                <w:color w:val="000000"/>
                <w:szCs w:val="16"/>
                <w:lang w:val="fr-BE" w:eastAsia="fr-BE"/>
              </w:rPr>
              <w:t>19</w:t>
            </w:r>
          </w:p>
        </w:tc>
        <w:tc>
          <w:tcPr>
            <w:tcW w:w="1597" w:type="dxa"/>
            <w:shd w:val="clear" w:color="auto" w:fill="auto"/>
            <w:tcMar>
              <w:top w:w="15" w:type="dxa"/>
              <w:left w:w="70" w:type="dxa"/>
              <w:bottom w:w="0" w:type="dxa"/>
              <w:right w:w="70" w:type="dxa"/>
            </w:tcMar>
            <w:vAlign w:val="center"/>
          </w:tcPr>
          <w:p w14:paraId="621BCDB4" w14:textId="7D023CE4" w:rsidR="008A4585" w:rsidRPr="0067131D" w:rsidRDefault="008A4585" w:rsidP="008A4585">
            <w:pPr>
              <w:pStyle w:val="TabBody"/>
              <w:jc w:val="center"/>
              <w:rPr>
                <w:rFonts w:cs="Arial"/>
                <w:color w:val="000000"/>
                <w:szCs w:val="16"/>
                <w:lang w:val="fr-BE" w:eastAsia="fr-BE"/>
              </w:rPr>
            </w:pPr>
            <w:r w:rsidRPr="0067131D">
              <w:rPr>
                <w:rFonts w:cs="Arial"/>
                <w:color w:val="000000"/>
                <w:szCs w:val="16"/>
                <w:lang w:val="fr-BE" w:eastAsia="fr-BE"/>
              </w:rPr>
              <w:t>0,53%</w:t>
            </w:r>
          </w:p>
        </w:tc>
      </w:tr>
    </w:tbl>
    <w:p w14:paraId="38E497E4" w14:textId="77777777" w:rsidR="00543A4F" w:rsidRDefault="00543A4F" w:rsidP="00230BB5">
      <w:pPr>
        <w:pStyle w:val="Body"/>
      </w:pPr>
    </w:p>
    <w:p w14:paraId="34A3D853" w14:textId="3354BEAF" w:rsidR="00A90136" w:rsidRDefault="000533A3" w:rsidP="003F208F">
      <w:pPr>
        <w:pStyle w:val="Body"/>
      </w:pPr>
      <w:r>
        <w:t>Sur la base de ces annotations syntaxiques, l</w:t>
      </w:r>
      <w:r w:rsidR="00543A4F">
        <w:t xml:space="preserve">’objectif de cette étude est </w:t>
      </w:r>
      <w:r w:rsidR="003F208F">
        <w:t>double. D’une part, il s’agit de décrire des « effets de genre », c’est-à-dire des genres</w:t>
      </w:r>
      <w:r>
        <w:t xml:space="preserve"> discursifs</w:t>
      </w:r>
      <w:r w:rsidR="003F208F">
        <w:t xml:space="preserve"> qui se distingueraient par un suremploi de certains dispositifs. D’autre part, de manière plus abstraite, il s’agit </w:t>
      </w:r>
      <w:r w:rsidR="00543A4F">
        <w:t>d’identifier les traits situationnels qui expliquent le mieux cette distribution, c’est-à-dire de comprendre quels paramètres de la situation de production de la parole</w:t>
      </w:r>
      <w:r w:rsidR="003F208F">
        <w:t>, qui sont partagés par plusieurs genres,</w:t>
      </w:r>
      <w:r w:rsidR="00543A4F">
        <w:t xml:space="preserve"> influencent le choix d’une construction syntaxique particulière</w:t>
      </w:r>
      <w:r w:rsidR="001D5D3D">
        <w:t xml:space="preserve"> au détriment du dispositif direct</w:t>
      </w:r>
      <w:r w:rsidR="00543A4F">
        <w:t>.</w:t>
      </w:r>
    </w:p>
    <w:p w14:paraId="0CAEC178" w14:textId="77777777" w:rsidR="003F208F" w:rsidRDefault="003F208F" w:rsidP="002B35DB">
      <w:pPr>
        <w:pStyle w:val="Titre20"/>
      </w:pPr>
      <w:r>
        <w:t>4.1. Effets de genres sur les constructions verbales</w:t>
      </w:r>
    </w:p>
    <w:p w14:paraId="2740DFDA" w14:textId="40664F05" w:rsidR="0037367C" w:rsidRDefault="0057393D" w:rsidP="001A3F0C">
      <w:pPr>
        <w:pStyle w:val="Body"/>
      </w:pPr>
      <w:r>
        <w:t>Le T</w:t>
      </w:r>
      <w:r w:rsidR="001A3F0C">
        <w:t xml:space="preserve">ableau </w:t>
      </w:r>
      <w:r w:rsidR="009A5506">
        <w:t>(</w:t>
      </w:r>
      <w:r w:rsidR="001A3F0C">
        <w:t>7</w:t>
      </w:r>
      <w:r w:rsidR="009A5506">
        <w:t>)</w:t>
      </w:r>
      <w:r w:rsidR="001A3F0C">
        <w:t xml:space="preserve"> présente la fréquence relative des différents dispositifs dans chaque genre </w:t>
      </w:r>
      <w:r w:rsidR="00360383">
        <w:t xml:space="preserve">représenté dans le </w:t>
      </w:r>
      <w:r w:rsidR="001A3F0C">
        <w:t>corpus. Les constructions segmentées (double marquage à gauche, double marquage à droite et associé lexical) ont été regroupé</w:t>
      </w:r>
      <w:r w:rsidR="00360383">
        <w:t>e</w:t>
      </w:r>
      <w:r w:rsidR="001A3F0C">
        <w:t xml:space="preserve">s avec </w:t>
      </w:r>
      <w:r w:rsidR="00360383">
        <w:t xml:space="preserve">les </w:t>
      </w:r>
      <w:r w:rsidR="001A3F0C">
        <w:t>construction</w:t>
      </w:r>
      <w:r w:rsidR="00360383">
        <w:t>s</w:t>
      </w:r>
      <w:r w:rsidR="001A3F0C">
        <w:t xml:space="preserve"> en </w:t>
      </w:r>
      <w:r w:rsidR="001A3F0C" w:rsidRPr="00DB73AD">
        <w:rPr>
          <w:i/>
        </w:rPr>
        <w:t>A c’est B</w:t>
      </w:r>
      <w:r w:rsidR="00575F72">
        <w:t xml:space="preserve"> ou </w:t>
      </w:r>
      <w:r w:rsidR="00360383">
        <w:t xml:space="preserve">en </w:t>
      </w:r>
      <w:r w:rsidR="00575F72" w:rsidRPr="00DB73AD">
        <w:rPr>
          <w:i/>
        </w:rPr>
        <w:t>c’est B A</w:t>
      </w:r>
      <w:r w:rsidR="001A3F0C">
        <w:t xml:space="preserve"> sous l’étiquette commune « constructions segmentée</w:t>
      </w:r>
      <w:r w:rsidR="008C5665">
        <w:t>s</w:t>
      </w:r>
      <w:r w:rsidR="001A3F0C">
        <w:t xml:space="preserve"> ». Ce recodage permet </w:t>
      </w:r>
      <w:r w:rsidR="00360383">
        <w:t>de mener les analyses statistiques sur des effectifs suffisants</w:t>
      </w:r>
      <w:r w:rsidR="001A3F0C">
        <w:t xml:space="preserve">. </w:t>
      </w:r>
      <w:r w:rsidR="0037367C">
        <w:t>On a ainsi regroupé en une</w:t>
      </w:r>
      <w:r w:rsidR="00762F39">
        <w:t xml:space="preserve"> seule catégorie</w:t>
      </w:r>
      <w:r w:rsidR="00360383">
        <w:t xml:space="preserve"> </w:t>
      </w:r>
      <w:r w:rsidR="00360383">
        <w:rPr>
          <w:i/>
        </w:rPr>
        <w:t>segmentée</w:t>
      </w:r>
      <w:r w:rsidR="00762F39">
        <w:t xml:space="preserve"> </w:t>
      </w:r>
      <w:r w:rsidR="0037367C">
        <w:t>les</w:t>
      </w:r>
      <w:r w:rsidR="00FA290A">
        <w:t xml:space="preserve"> cas correspondant aux</w:t>
      </w:r>
      <w:r w:rsidR="0037367C">
        <w:t xml:space="preserve"> exemples 5 à </w:t>
      </w:r>
      <w:r w:rsidR="00360383">
        <w:t xml:space="preserve">9 </w:t>
      </w:r>
      <w:r w:rsidR="0037367C">
        <w:t>ci-dessous</w:t>
      </w:r>
      <w:r w:rsidR="009A5506">
        <w:t> :</w:t>
      </w:r>
    </w:p>
    <w:p w14:paraId="7ED87E11" w14:textId="77777777" w:rsidR="001A3F0C" w:rsidRDefault="0037367C" w:rsidP="001A3F0C">
      <w:pPr>
        <w:pStyle w:val="Body"/>
      </w:pPr>
      <w:r>
        <w:t xml:space="preserve"> </w:t>
      </w:r>
    </w:p>
    <w:p w14:paraId="52694424" w14:textId="77777777" w:rsidR="0075786E" w:rsidRDefault="0075786E" w:rsidP="00687223">
      <w:pPr>
        <w:pStyle w:val="ExempleNumero"/>
      </w:pPr>
      <w:r w:rsidRPr="0075786E">
        <w:rPr>
          <w:b/>
        </w:rPr>
        <w:t xml:space="preserve">le but de ce pro/ colloque </w:t>
      </w:r>
      <w:r w:rsidRPr="00122CF4">
        <w:t>c’est</w:t>
      </w:r>
      <w:r w:rsidRPr="0037367C">
        <w:t xml:space="preserve"> de pouvoir euh ouvrir à certaines questions</w:t>
      </w:r>
      <w:r>
        <w:t xml:space="preserve"> (construction en </w:t>
      </w:r>
      <w:r w:rsidRPr="000533A3">
        <w:rPr>
          <w:i/>
        </w:rPr>
        <w:t>A c’est B</w:t>
      </w:r>
      <w:r>
        <w:t>, LOCAS-F, conf-2)</w:t>
      </w:r>
    </w:p>
    <w:p w14:paraId="2B67FD8F" w14:textId="77777777" w:rsidR="00D85BEF" w:rsidRDefault="00D85BEF" w:rsidP="00183764">
      <w:pPr>
        <w:pStyle w:val="ExempleNumero"/>
      </w:pPr>
      <w:r w:rsidRPr="00D85BEF">
        <w:rPr>
          <w:b/>
        </w:rPr>
        <w:t>nos monit/ euh euh nos monos</w:t>
      </w:r>
      <w:r>
        <w:t xml:space="preserve"> elles se b/ elles s’en vont (double marquage à gauche, LOCAS-F, rcv-3)</w:t>
      </w:r>
    </w:p>
    <w:p w14:paraId="4F7720AE" w14:textId="65DEAC5F" w:rsidR="0075786E" w:rsidRDefault="0075786E" w:rsidP="0075786E">
      <w:pPr>
        <w:pStyle w:val="ExempleNumero"/>
      </w:pPr>
      <w:r>
        <w:t xml:space="preserve">euh </w:t>
      </w:r>
      <w:r w:rsidRPr="00D85BEF">
        <w:rPr>
          <w:b/>
        </w:rPr>
        <w:t xml:space="preserve">le musicologue en question </w:t>
      </w:r>
      <w:r>
        <w:t>son nom m’</w:t>
      </w:r>
      <w:r w:rsidR="00360383">
        <w:t>é</w:t>
      </w:r>
      <w:r>
        <w:t>chappe (associé lexical, LOCAS-F, convf-3)</w:t>
      </w:r>
    </w:p>
    <w:p w14:paraId="282D82DD" w14:textId="77777777" w:rsidR="00122CF4" w:rsidRDefault="00122CF4" w:rsidP="0088607C">
      <w:pPr>
        <w:pStyle w:val="ExempleNumero"/>
      </w:pPr>
      <w:r>
        <w:t xml:space="preserve">et c’est dans treize mois hein </w:t>
      </w:r>
      <w:r w:rsidRPr="00122CF4">
        <w:rPr>
          <w:b/>
        </w:rPr>
        <w:t>les élections</w:t>
      </w:r>
      <w:r>
        <w:t xml:space="preserve"> (construction en </w:t>
      </w:r>
      <w:r w:rsidRPr="000533A3">
        <w:rPr>
          <w:i/>
        </w:rPr>
        <w:t>c’est B A</w:t>
      </w:r>
      <w:r>
        <w:t>, LOCAS-F, deb)</w:t>
      </w:r>
    </w:p>
    <w:p w14:paraId="75020EFB" w14:textId="77777777" w:rsidR="00D85BEF" w:rsidRDefault="00D85BEF" w:rsidP="00575F72">
      <w:pPr>
        <w:pStyle w:val="ExempleNumero"/>
      </w:pPr>
      <w:r>
        <w:t xml:space="preserve">et ce roman n’a pas été euh publié </w:t>
      </w:r>
      <w:r w:rsidRPr="00D85BEF">
        <w:rPr>
          <w:b/>
        </w:rPr>
        <w:t>lui</w:t>
      </w:r>
      <w:r>
        <w:t xml:space="preserve"> (double marquage à droite, LOCAS-F, single-3)</w:t>
      </w:r>
    </w:p>
    <w:p w14:paraId="6B05A3F3" w14:textId="77777777" w:rsidR="00575F72" w:rsidRDefault="00575F72" w:rsidP="00575F72">
      <w:pPr>
        <w:pStyle w:val="Body"/>
      </w:pPr>
    </w:p>
    <w:p w14:paraId="526F895A" w14:textId="69565987" w:rsidR="00575F72" w:rsidRDefault="00575F72" w:rsidP="00575F72">
      <w:pPr>
        <w:pStyle w:val="FigFRTitre"/>
      </w:pPr>
      <w:r>
        <w:t>Tableau 7. Fréquence relative des dispositifs et des constructions segmentées par genre dans le corpus LOCAS-F</w:t>
      </w:r>
      <w:r w:rsidR="00FD5199">
        <w:t xml:space="preserve"> </w:t>
      </w:r>
      <w:r w:rsidR="00FD5199" w:rsidRPr="008A4585">
        <w:t>(n = 3576)</w:t>
      </w:r>
      <w:r w:rsidRPr="008A4585">
        <w:t>.</w:t>
      </w:r>
    </w:p>
    <w:tbl>
      <w:tblPr>
        <w:tblW w:w="6736" w:type="dxa"/>
        <w:tblInd w:w="65" w:type="dxa"/>
        <w:tblLayout w:type="fixed"/>
        <w:tblCellMar>
          <w:left w:w="70" w:type="dxa"/>
          <w:right w:w="70" w:type="dxa"/>
        </w:tblCellMar>
        <w:tblLook w:val="04A0" w:firstRow="1" w:lastRow="0" w:firstColumn="1" w:lastColumn="0" w:noHBand="0" w:noVBand="1"/>
      </w:tblPr>
      <w:tblGrid>
        <w:gridCol w:w="763"/>
        <w:gridCol w:w="762"/>
        <w:gridCol w:w="815"/>
        <w:gridCol w:w="837"/>
        <w:gridCol w:w="1017"/>
        <w:gridCol w:w="889"/>
        <w:gridCol w:w="1017"/>
        <w:gridCol w:w="636"/>
      </w:tblGrid>
      <w:tr w:rsidR="00575F72" w:rsidRPr="0067131D" w14:paraId="1E164E63" w14:textId="77777777" w:rsidTr="007A1E39">
        <w:trPr>
          <w:trHeight w:val="277"/>
        </w:trPr>
        <w:tc>
          <w:tcPr>
            <w:tcW w:w="763" w:type="dxa"/>
            <w:tcBorders>
              <w:top w:val="single" w:sz="4" w:space="0" w:color="999999"/>
              <w:left w:val="single" w:sz="4" w:space="0" w:color="999999"/>
              <w:bottom w:val="nil"/>
              <w:right w:val="nil"/>
            </w:tcBorders>
            <w:shd w:val="clear" w:color="auto" w:fill="auto"/>
            <w:noWrap/>
            <w:vAlign w:val="bottom"/>
            <w:hideMark/>
          </w:tcPr>
          <w:p w14:paraId="4CA2F727" w14:textId="77777777" w:rsidR="00575F72" w:rsidRPr="0067131D" w:rsidRDefault="00575F72" w:rsidP="00575F72">
            <w:pPr>
              <w:pStyle w:val="TabBody"/>
              <w:jc w:val="center"/>
              <w:rPr>
                <w:rFonts w:cs="Arial"/>
                <w:color w:val="000000"/>
                <w:sz w:val="14"/>
                <w:szCs w:val="14"/>
                <w:lang w:val="fr-BE" w:eastAsia="fr-BE"/>
              </w:rPr>
            </w:pPr>
            <w:r w:rsidRPr="0067131D">
              <w:rPr>
                <w:rFonts w:cs="Arial"/>
                <w:color w:val="000000"/>
                <w:sz w:val="14"/>
                <w:szCs w:val="14"/>
                <w:lang w:val="fr-BE" w:eastAsia="fr-BE"/>
              </w:rPr>
              <w:t>Genre</w:t>
            </w:r>
          </w:p>
        </w:tc>
        <w:tc>
          <w:tcPr>
            <w:tcW w:w="762" w:type="dxa"/>
            <w:tcBorders>
              <w:top w:val="single" w:sz="4" w:space="0" w:color="999999"/>
              <w:left w:val="single" w:sz="4" w:space="0" w:color="999999"/>
              <w:bottom w:val="nil"/>
              <w:right w:val="nil"/>
            </w:tcBorders>
            <w:shd w:val="clear" w:color="auto" w:fill="auto"/>
            <w:noWrap/>
            <w:vAlign w:val="bottom"/>
            <w:hideMark/>
          </w:tcPr>
          <w:p w14:paraId="22F06EE2" w14:textId="5233771B" w:rsidR="00575F72" w:rsidRPr="0067131D" w:rsidRDefault="00360383" w:rsidP="00575F72">
            <w:pPr>
              <w:pStyle w:val="TabBody"/>
              <w:jc w:val="center"/>
              <w:rPr>
                <w:rFonts w:cs="Arial"/>
                <w:color w:val="000000"/>
                <w:sz w:val="14"/>
                <w:szCs w:val="14"/>
                <w:lang w:val="fr-BE" w:eastAsia="fr-BE"/>
              </w:rPr>
            </w:pPr>
            <w:r w:rsidRPr="0067131D">
              <w:rPr>
                <w:rFonts w:cs="Arial"/>
                <w:color w:val="000000"/>
                <w:sz w:val="14"/>
                <w:szCs w:val="14"/>
                <w:lang w:val="fr-BE" w:eastAsia="fr-BE"/>
              </w:rPr>
              <w:t xml:space="preserve">Dispositif </w:t>
            </w:r>
            <w:r w:rsidR="00575F72" w:rsidRPr="0067131D">
              <w:rPr>
                <w:rFonts w:cs="Arial"/>
                <w:color w:val="000000"/>
                <w:sz w:val="14"/>
                <w:szCs w:val="14"/>
                <w:lang w:val="fr-BE" w:eastAsia="fr-BE"/>
              </w:rPr>
              <w:t>direct</w:t>
            </w:r>
          </w:p>
        </w:tc>
        <w:tc>
          <w:tcPr>
            <w:tcW w:w="815" w:type="dxa"/>
            <w:tcBorders>
              <w:top w:val="single" w:sz="4" w:space="0" w:color="999999"/>
              <w:left w:val="nil"/>
              <w:bottom w:val="nil"/>
              <w:right w:val="nil"/>
            </w:tcBorders>
            <w:shd w:val="clear" w:color="auto" w:fill="auto"/>
            <w:noWrap/>
            <w:vAlign w:val="bottom"/>
            <w:hideMark/>
          </w:tcPr>
          <w:p w14:paraId="7CDA9429" w14:textId="52F9093C" w:rsidR="00575F72" w:rsidRPr="0067131D" w:rsidRDefault="00360383" w:rsidP="00575F72">
            <w:pPr>
              <w:pStyle w:val="TabBody"/>
              <w:jc w:val="center"/>
              <w:rPr>
                <w:rFonts w:cs="Arial"/>
                <w:color w:val="000000"/>
                <w:sz w:val="14"/>
                <w:szCs w:val="14"/>
                <w:lang w:val="fr-BE" w:eastAsia="fr-BE"/>
              </w:rPr>
            </w:pPr>
            <w:r w:rsidRPr="0067131D">
              <w:rPr>
                <w:rFonts w:cs="Arial"/>
                <w:color w:val="000000"/>
                <w:sz w:val="14"/>
                <w:szCs w:val="14"/>
                <w:lang w:val="fr-BE" w:eastAsia="fr-BE"/>
              </w:rPr>
              <w:t xml:space="preserve">Construct. </w:t>
            </w:r>
            <w:r w:rsidR="00575F72" w:rsidRPr="0067131D">
              <w:rPr>
                <w:rFonts w:cs="Arial"/>
                <w:color w:val="000000"/>
                <w:sz w:val="14"/>
                <w:szCs w:val="14"/>
                <w:lang w:val="fr-BE" w:eastAsia="fr-BE"/>
              </w:rPr>
              <w:t>segmentée</w:t>
            </w:r>
          </w:p>
        </w:tc>
        <w:tc>
          <w:tcPr>
            <w:tcW w:w="837" w:type="dxa"/>
            <w:tcBorders>
              <w:top w:val="single" w:sz="4" w:space="0" w:color="999999"/>
              <w:left w:val="nil"/>
              <w:bottom w:val="nil"/>
              <w:right w:val="nil"/>
            </w:tcBorders>
            <w:shd w:val="clear" w:color="auto" w:fill="auto"/>
            <w:noWrap/>
            <w:vAlign w:val="bottom"/>
            <w:hideMark/>
          </w:tcPr>
          <w:p w14:paraId="6872F4B5" w14:textId="1CA30839" w:rsidR="00575F72" w:rsidRPr="0067131D" w:rsidRDefault="00360383" w:rsidP="00575F72">
            <w:pPr>
              <w:pStyle w:val="TabBody"/>
              <w:jc w:val="center"/>
              <w:rPr>
                <w:rFonts w:cs="Arial"/>
                <w:color w:val="000000"/>
                <w:sz w:val="14"/>
                <w:szCs w:val="14"/>
                <w:lang w:val="fr-BE" w:eastAsia="fr-BE"/>
              </w:rPr>
            </w:pPr>
            <w:r w:rsidRPr="0067131D">
              <w:rPr>
                <w:rFonts w:cs="Arial"/>
                <w:color w:val="000000"/>
                <w:sz w:val="14"/>
                <w:szCs w:val="14"/>
                <w:lang w:val="fr-BE" w:eastAsia="fr-BE"/>
              </w:rPr>
              <w:t xml:space="preserve">Dispositif </w:t>
            </w:r>
            <w:r w:rsidR="00575F72" w:rsidRPr="0067131D">
              <w:rPr>
                <w:rFonts w:cs="Arial"/>
                <w:color w:val="000000"/>
                <w:sz w:val="14"/>
                <w:szCs w:val="14"/>
                <w:lang w:val="fr-BE" w:eastAsia="fr-BE"/>
              </w:rPr>
              <w:t>clivé</w:t>
            </w:r>
          </w:p>
        </w:tc>
        <w:tc>
          <w:tcPr>
            <w:tcW w:w="1017" w:type="dxa"/>
            <w:tcBorders>
              <w:top w:val="single" w:sz="4" w:space="0" w:color="999999"/>
              <w:left w:val="nil"/>
              <w:bottom w:val="nil"/>
              <w:right w:val="nil"/>
            </w:tcBorders>
            <w:shd w:val="clear" w:color="auto" w:fill="auto"/>
            <w:noWrap/>
            <w:vAlign w:val="bottom"/>
            <w:hideMark/>
          </w:tcPr>
          <w:p w14:paraId="1D22C1DC" w14:textId="377B6382" w:rsidR="00575F72" w:rsidRPr="0067131D" w:rsidRDefault="00360383" w:rsidP="00575F72">
            <w:pPr>
              <w:pStyle w:val="TabBody"/>
              <w:jc w:val="center"/>
              <w:rPr>
                <w:rFonts w:cs="Arial"/>
                <w:color w:val="000000"/>
                <w:sz w:val="14"/>
                <w:szCs w:val="14"/>
                <w:lang w:val="fr-BE" w:eastAsia="fr-BE"/>
              </w:rPr>
            </w:pPr>
            <w:r w:rsidRPr="0067131D">
              <w:rPr>
                <w:rFonts w:cs="Arial"/>
                <w:color w:val="000000"/>
                <w:sz w:val="14"/>
                <w:szCs w:val="14"/>
                <w:lang w:val="fr-BE" w:eastAsia="fr-BE"/>
              </w:rPr>
              <w:t xml:space="preserve">Dispositif en </w:t>
            </w:r>
            <w:r w:rsidR="00575F72" w:rsidRPr="0067131D">
              <w:rPr>
                <w:rFonts w:cs="Arial"/>
                <w:i/>
                <w:color w:val="000000"/>
                <w:sz w:val="14"/>
                <w:szCs w:val="14"/>
                <w:lang w:val="fr-BE" w:eastAsia="fr-BE"/>
              </w:rPr>
              <w:t>il y a</w:t>
            </w:r>
          </w:p>
        </w:tc>
        <w:tc>
          <w:tcPr>
            <w:tcW w:w="889" w:type="dxa"/>
            <w:tcBorders>
              <w:top w:val="single" w:sz="4" w:space="0" w:color="999999"/>
              <w:left w:val="nil"/>
              <w:bottom w:val="nil"/>
              <w:right w:val="nil"/>
            </w:tcBorders>
            <w:shd w:val="clear" w:color="auto" w:fill="auto"/>
            <w:noWrap/>
            <w:vAlign w:val="bottom"/>
            <w:hideMark/>
          </w:tcPr>
          <w:p w14:paraId="5973E34C" w14:textId="357F225D" w:rsidR="00575F72" w:rsidRPr="0067131D" w:rsidRDefault="00360383" w:rsidP="00575F72">
            <w:pPr>
              <w:pStyle w:val="TabBody"/>
              <w:jc w:val="center"/>
              <w:rPr>
                <w:rFonts w:cs="Arial"/>
                <w:color w:val="000000"/>
                <w:sz w:val="14"/>
                <w:szCs w:val="14"/>
                <w:lang w:val="fr-BE" w:eastAsia="fr-BE"/>
              </w:rPr>
            </w:pPr>
            <w:r w:rsidRPr="0067131D">
              <w:rPr>
                <w:rFonts w:cs="Arial"/>
                <w:color w:val="000000"/>
                <w:sz w:val="14"/>
                <w:szCs w:val="14"/>
                <w:lang w:val="fr-BE" w:eastAsia="fr-BE"/>
              </w:rPr>
              <w:t xml:space="preserve">Dispositif </w:t>
            </w:r>
            <w:r w:rsidR="00575F72" w:rsidRPr="0067131D">
              <w:rPr>
                <w:rFonts w:cs="Arial"/>
                <w:color w:val="000000"/>
                <w:sz w:val="14"/>
                <w:szCs w:val="14"/>
                <w:lang w:val="fr-BE" w:eastAsia="fr-BE"/>
              </w:rPr>
              <w:t>pseudo-clivé</w:t>
            </w:r>
          </w:p>
        </w:tc>
        <w:tc>
          <w:tcPr>
            <w:tcW w:w="1017" w:type="dxa"/>
            <w:tcBorders>
              <w:top w:val="single" w:sz="4" w:space="0" w:color="999999"/>
              <w:left w:val="nil"/>
              <w:bottom w:val="nil"/>
              <w:right w:val="nil"/>
            </w:tcBorders>
            <w:shd w:val="clear" w:color="auto" w:fill="auto"/>
            <w:noWrap/>
            <w:vAlign w:val="bottom"/>
            <w:hideMark/>
          </w:tcPr>
          <w:p w14:paraId="4DE3B44C" w14:textId="69561157" w:rsidR="00575F72" w:rsidRPr="0067131D" w:rsidRDefault="00360383" w:rsidP="00575F72">
            <w:pPr>
              <w:pStyle w:val="TabBody"/>
              <w:jc w:val="center"/>
              <w:rPr>
                <w:rFonts w:cs="Arial"/>
                <w:color w:val="000000"/>
                <w:sz w:val="14"/>
                <w:szCs w:val="14"/>
                <w:lang w:val="fr-BE" w:eastAsia="fr-BE"/>
              </w:rPr>
            </w:pPr>
            <w:r w:rsidRPr="0067131D">
              <w:rPr>
                <w:rFonts w:cs="Arial"/>
                <w:color w:val="000000"/>
                <w:sz w:val="14"/>
                <w:szCs w:val="14"/>
                <w:lang w:val="fr-BE" w:eastAsia="fr-BE"/>
              </w:rPr>
              <w:t>Dispsitif b</w:t>
            </w:r>
            <w:r w:rsidR="00575F72" w:rsidRPr="0067131D">
              <w:rPr>
                <w:rFonts w:cs="Arial"/>
                <w:color w:val="000000"/>
                <w:sz w:val="14"/>
                <w:szCs w:val="14"/>
                <w:lang w:val="fr-BE" w:eastAsia="fr-BE"/>
              </w:rPr>
              <w:t>inarisé</w:t>
            </w:r>
          </w:p>
        </w:tc>
        <w:tc>
          <w:tcPr>
            <w:tcW w:w="636" w:type="dxa"/>
            <w:tcBorders>
              <w:top w:val="single" w:sz="4" w:space="0" w:color="999999"/>
              <w:left w:val="single" w:sz="4" w:space="0" w:color="999999"/>
              <w:bottom w:val="nil"/>
              <w:right w:val="single" w:sz="4" w:space="0" w:color="999999"/>
            </w:tcBorders>
            <w:shd w:val="clear" w:color="auto" w:fill="auto"/>
            <w:noWrap/>
            <w:vAlign w:val="bottom"/>
            <w:hideMark/>
          </w:tcPr>
          <w:p w14:paraId="3388B1B5" w14:textId="77777777" w:rsidR="00575F72" w:rsidRPr="0067131D" w:rsidRDefault="00575F72" w:rsidP="00575F72">
            <w:pPr>
              <w:pStyle w:val="TabBody"/>
              <w:jc w:val="center"/>
              <w:rPr>
                <w:rFonts w:cs="Arial"/>
                <w:color w:val="000000"/>
                <w:sz w:val="14"/>
                <w:szCs w:val="14"/>
                <w:lang w:val="fr-BE" w:eastAsia="fr-BE"/>
              </w:rPr>
            </w:pPr>
            <w:r w:rsidRPr="0067131D">
              <w:rPr>
                <w:rFonts w:cs="Arial"/>
                <w:color w:val="000000"/>
                <w:sz w:val="14"/>
                <w:szCs w:val="14"/>
                <w:lang w:val="fr-BE" w:eastAsia="fr-BE"/>
              </w:rPr>
              <w:t>Total général</w:t>
            </w:r>
          </w:p>
        </w:tc>
      </w:tr>
      <w:tr w:rsidR="008A4585" w:rsidRPr="0067131D" w14:paraId="035D0CB7" w14:textId="77777777" w:rsidTr="007A1E39">
        <w:trPr>
          <w:trHeight w:val="277"/>
        </w:trPr>
        <w:tc>
          <w:tcPr>
            <w:tcW w:w="763" w:type="dxa"/>
            <w:tcBorders>
              <w:top w:val="single" w:sz="4" w:space="0" w:color="999999"/>
              <w:left w:val="single" w:sz="4" w:space="0" w:color="999999"/>
              <w:bottom w:val="nil"/>
              <w:right w:val="nil"/>
            </w:tcBorders>
            <w:shd w:val="clear" w:color="auto" w:fill="auto"/>
            <w:noWrap/>
            <w:vAlign w:val="bottom"/>
            <w:hideMark/>
          </w:tcPr>
          <w:p w14:paraId="58C9F971"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jpa</w:t>
            </w:r>
          </w:p>
        </w:tc>
        <w:tc>
          <w:tcPr>
            <w:tcW w:w="762" w:type="dxa"/>
            <w:tcBorders>
              <w:top w:val="single" w:sz="4" w:space="0" w:color="999999"/>
              <w:left w:val="single" w:sz="4" w:space="0" w:color="999999"/>
              <w:bottom w:val="nil"/>
              <w:right w:val="nil"/>
            </w:tcBorders>
            <w:shd w:val="clear" w:color="000000" w:fill="D9E1F2"/>
            <w:noWrap/>
            <w:vAlign w:val="bottom"/>
            <w:hideMark/>
          </w:tcPr>
          <w:p w14:paraId="577336D8" w14:textId="673C1686"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98,6%</w:t>
            </w:r>
          </w:p>
        </w:tc>
        <w:tc>
          <w:tcPr>
            <w:tcW w:w="815" w:type="dxa"/>
            <w:tcBorders>
              <w:top w:val="single" w:sz="4" w:space="0" w:color="999999"/>
              <w:left w:val="nil"/>
              <w:bottom w:val="nil"/>
              <w:right w:val="nil"/>
            </w:tcBorders>
            <w:shd w:val="clear" w:color="000000" w:fill="D9E1F2"/>
            <w:noWrap/>
            <w:vAlign w:val="bottom"/>
            <w:hideMark/>
          </w:tcPr>
          <w:p w14:paraId="7A0BF1A7" w14:textId="3171327A"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0,7%</w:t>
            </w:r>
          </w:p>
        </w:tc>
        <w:tc>
          <w:tcPr>
            <w:tcW w:w="837" w:type="dxa"/>
            <w:tcBorders>
              <w:top w:val="single" w:sz="4" w:space="0" w:color="999999"/>
              <w:left w:val="nil"/>
              <w:bottom w:val="nil"/>
              <w:right w:val="nil"/>
            </w:tcBorders>
            <w:shd w:val="clear" w:color="000000" w:fill="D9E1F2"/>
            <w:noWrap/>
            <w:vAlign w:val="bottom"/>
            <w:hideMark/>
          </w:tcPr>
          <w:p w14:paraId="3742972B" w14:textId="43615349"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0,7%</w:t>
            </w:r>
          </w:p>
        </w:tc>
        <w:tc>
          <w:tcPr>
            <w:tcW w:w="1017" w:type="dxa"/>
            <w:tcBorders>
              <w:top w:val="single" w:sz="4" w:space="0" w:color="999999"/>
              <w:left w:val="nil"/>
              <w:bottom w:val="nil"/>
              <w:right w:val="nil"/>
            </w:tcBorders>
            <w:shd w:val="clear" w:color="000000" w:fill="D9E1F2"/>
            <w:noWrap/>
            <w:vAlign w:val="bottom"/>
            <w:hideMark/>
          </w:tcPr>
          <w:p w14:paraId="10AE1E12" w14:textId="2A607D1A"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889" w:type="dxa"/>
            <w:tcBorders>
              <w:top w:val="single" w:sz="4" w:space="0" w:color="999999"/>
              <w:left w:val="nil"/>
              <w:bottom w:val="nil"/>
              <w:right w:val="nil"/>
            </w:tcBorders>
            <w:shd w:val="clear" w:color="000000" w:fill="D9E1F2"/>
            <w:noWrap/>
            <w:vAlign w:val="bottom"/>
            <w:hideMark/>
          </w:tcPr>
          <w:p w14:paraId="02C45D07" w14:textId="30C073A2"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1017" w:type="dxa"/>
            <w:tcBorders>
              <w:top w:val="single" w:sz="4" w:space="0" w:color="999999"/>
              <w:left w:val="nil"/>
              <w:bottom w:val="nil"/>
              <w:right w:val="nil"/>
            </w:tcBorders>
            <w:shd w:val="clear" w:color="000000" w:fill="D9E1F2"/>
            <w:noWrap/>
            <w:vAlign w:val="bottom"/>
            <w:hideMark/>
          </w:tcPr>
          <w:p w14:paraId="423189C5" w14:textId="226B2E3A"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636" w:type="dxa"/>
            <w:tcBorders>
              <w:top w:val="single" w:sz="4" w:space="0" w:color="999999"/>
              <w:left w:val="single" w:sz="4" w:space="0" w:color="999999"/>
              <w:bottom w:val="nil"/>
              <w:right w:val="single" w:sz="4" w:space="0" w:color="999999"/>
            </w:tcBorders>
            <w:shd w:val="clear" w:color="auto" w:fill="auto"/>
            <w:noWrap/>
            <w:vAlign w:val="bottom"/>
            <w:hideMark/>
          </w:tcPr>
          <w:p w14:paraId="017F1534" w14:textId="19C7C86B"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14C77860"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23BD6B07"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lec</w:t>
            </w:r>
          </w:p>
        </w:tc>
        <w:tc>
          <w:tcPr>
            <w:tcW w:w="762" w:type="dxa"/>
            <w:tcBorders>
              <w:top w:val="nil"/>
              <w:left w:val="single" w:sz="4" w:space="0" w:color="999999"/>
              <w:bottom w:val="nil"/>
              <w:right w:val="nil"/>
            </w:tcBorders>
            <w:shd w:val="clear" w:color="000000" w:fill="D9E1F2"/>
            <w:noWrap/>
            <w:vAlign w:val="bottom"/>
            <w:hideMark/>
          </w:tcPr>
          <w:p w14:paraId="34BFA067" w14:textId="3085B302"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94,0%</w:t>
            </w:r>
          </w:p>
        </w:tc>
        <w:tc>
          <w:tcPr>
            <w:tcW w:w="815" w:type="dxa"/>
            <w:tcBorders>
              <w:top w:val="nil"/>
              <w:left w:val="nil"/>
              <w:bottom w:val="nil"/>
              <w:right w:val="nil"/>
            </w:tcBorders>
            <w:shd w:val="clear" w:color="000000" w:fill="D9E1F2"/>
            <w:noWrap/>
            <w:vAlign w:val="bottom"/>
            <w:hideMark/>
          </w:tcPr>
          <w:p w14:paraId="36795417" w14:textId="3D4F099E"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3,7%</w:t>
            </w:r>
          </w:p>
        </w:tc>
        <w:tc>
          <w:tcPr>
            <w:tcW w:w="837" w:type="dxa"/>
            <w:tcBorders>
              <w:top w:val="nil"/>
              <w:left w:val="nil"/>
              <w:bottom w:val="nil"/>
              <w:right w:val="nil"/>
            </w:tcBorders>
            <w:shd w:val="clear" w:color="auto" w:fill="auto"/>
            <w:noWrap/>
            <w:vAlign w:val="bottom"/>
            <w:hideMark/>
          </w:tcPr>
          <w:p w14:paraId="679BCF2E" w14:textId="146910BE"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1,8%</w:t>
            </w:r>
          </w:p>
        </w:tc>
        <w:tc>
          <w:tcPr>
            <w:tcW w:w="1017" w:type="dxa"/>
            <w:tcBorders>
              <w:top w:val="nil"/>
              <w:left w:val="nil"/>
              <w:bottom w:val="nil"/>
              <w:right w:val="nil"/>
            </w:tcBorders>
            <w:shd w:val="clear" w:color="000000" w:fill="D9E1F2"/>
            <w:noWrap/>
            <w:vAlign w:val="bottom"/>
            <w:hideMark/>
          </w:tcPr>
          <w:p w14:paraId="5F68118B" w14:textId="20B90055"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889" w:type="dxa"/>
            <w:tcBorders>
              <w:top w:val="nil"/>
              <w:left w:val="nil"/>
              <w:bottom w:val="nil"/>
              <w:right w:val="nil"/>
            </w:tcBorders>
            <w:shd w:val="clear" w:color="auto" w:fill="auto"/>
            <w:noWrap/>
            <w:vAlign w:val="bottom"/>
            <w:hideMark/>
          </w:tcPr>
          <w:p w14:paraId="3675E8AC" w14:textId="03835ED8"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0,5%</w:t>
            </w:r>
          </w:p>
        </w:tc>
        <w:tc>
          <w:tcPr>
            <w:tcW w:w="1017" w:type="dxa"/>
            <w:tcBorders>
              <w:top w:val="nil"/>
              <w:left w:val="nil"/>
              <w:bottom w:val="nil"/>
              <w:right w:val="nil"/>
            </w:tcBorders>
            <w:shd w:val="clear" w:color="000000" w:fill="D9E1F2"/>
            <w:noWrap/>
            <w:vAlign w:val="bottom"/>
            <w:hideMark/>
          </w:tcPr>
          <w:p w14:paraId="646BECE4" w14:textId="08D830AA"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636" w:type="dxa"/>
            <w:tcBorders>
              <w:top w:val="nil"/>
              <w:left w:val="single" w:sz="4" w:space="0" w:color="999999"/>
              <w:bottom w:val="nil"/>
              <w:right w:val="single" w:sz="4" w:space="0" w:color="999999"/>
            </w:tcBorders>
            <w:shd w:val="clear" w:color="auto" w:fill="auto"/>
            <w:noWrap/>
            <w:vAlign w:val="bottom"/>
            <w:hideMark/>
          </w:tcPr>
          <w:p w14:paraId="1B6BE1F0" w14:textId="7DADB10A"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034E00B4"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4361B997"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aca</w:t>
            </w:r>
          </w:p>
        </w:tc>
        <w:tc>
          <w:tcPr>
            <w:tcW w:w="762" w:type="dxa"/>
            <w:tcBorders>
              <w:top w:val="nil"/>
              <w:left w:val="single" w:sz="4" w:space="0" w:color="999999"/>
              <w:bottom w:val="nil"/>
              <w:right w:val="nil"/>
            </w:tcBorders>
            <w:shd w:val="clear" w:color="000000" w:fill="D9E1F2"/>
            <w:noWrap/>
            <w:vAlign w:val="bottom"/>
            <w:hideMark/>
          </w:tcPr>
          <w:p w14:paraId="1719B0F9" w14:textId="0AE2A753"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94,2%</w:t>
            </w:r>
          </w:p>
        </w:tc>
        <w:tc>
          <w:tcPr>
            <w:tcW w:w="815" w:type="dxa"/>
            <w:tcBorders>
              <w:top w:val="nil"/>
              <w:left w:val="nil"/>
              <w:bottom w:val="nil"/>
              <w:right w:val="nil"/>
            </w:tcBorders>
            <w:shd w:val="clear" w:color="000000" w:fill="D9E1F2"/>
            <w:noWrap/>
            <w:vAlign w:val="bottom"/>
            <w:hideMark/>
          </w:tcPr>
          <w:p w14:paraId="4FA6EF23" w14:textId="2A315738"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2,2%</w:t>
            </w:r>
          </w:p>
        </w:tc>
        <w:tc>
          <w:tcPr>
            <w:tcW w:w="837" w:type="dxa"/>
            <w:tcBorders>
              <w:top w:val="nil"/>
              <w:left w:val="nil"/>
              <w:bottom w:val="nil"/>
              <w:right w:val="nil"/>
            </w:tcBorders>
            <w:shd w:val="clear" w:color="auto" w:fill="auto"/>
            <w:noWrap/>
            <w:vAlign w:val="bottom"/>
            <w:hideMark/>
          </w:tcPr>
          <w:p w14:paraId="5230F1C6" w14:textId="0F7C174F"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2,2%</w:t>
            </w:r>
          </w:p>
        </w:tc>
        <w:tc>
          <w:tcPr>
            <w:tcW w:w="1017" w:type="dxa"/>
            <w:tcBorders>
              <w:top w:val="nil"/>
              <w:left w:val="nil"/>
              <w:bottom w:val="nil"/>
              <w:right w:val="nil"/>
            </w:tcBorders>
            <w:shd w:val="clear" w:color="000000" w:fill="D9E1F2"/>
            <w:noWrap/>
            <w:vAlign w:val="bottom"/>
            <w:hideMark/>
          </w:tcPr>
          <w:p w14:paraId="3AB80D86" w14:textId="0960B8CE"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889" w:type="dxa"/>
            <w:tcBorders>
              <w:top w:val="nil"/>
              <w:left w:val="nil"/>
              <w:bottom w:val="nil"/>
              <w:right w:val="nil"/>
            </w:tcBorders>
            <w:shd w:val="clear" w:color="auto" w:fill="auto"/>
            <w:noWrap/>
            <w:vAlign w:val="bottom"/>
            <w:hideMark/>
          </w:tcPr>
          <w:p w14:paraId="41EBAA4B" w14:textId="7BF74C89"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0,7%</w:t>
            </w:r>
          </w:p>
        </w:tc>
        <w:tc>
          <w:tcPr>
            <w:tcW w:w="1017" w:type="dxa"/>
            <w:tcBorders>
              <w:top w:val="nil"/>
              <w:left w:val="nil"/>
              <w:bottom w:val="nil"/>
              <w:right w:val="nil"/>
            </w:tcBorders>
            <w:shd w:val="clear" w:color="auto" w:fill="auto"/>
            <w:noWrap/>
            <w:vAlign w:val="bottom"/>
            <w:hideMark/>
          </w:tcPr>
          <w:p w14:paraId="08F0C635" w14:textId="0D2C73B9"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0,7%</w:t>
            </w:r>
          </w:p>
        </w:tc>
        <w:tc>
          <w:tcPr>
            <w:tcW w:w="636" w:type="dxa"/>
            <w:tcBorders>
              <w:top w:val="nil"/>
              <w:left w:val="single" w:sz="4" w:space="0" w:color="999999"/>
              <w:bottom w:val="nil"/>
              <w:right w:val="single" w:sz="4" w:space="0" w:color="999999"/>
            </w:tcBorders>
            <w:shd w:val="clear" w:color="auto" w:fill="auto"/>
            <w:noWrap/>
            <w:vAlign w:val="bottom"/>
            <w:hideMark/>
          </w:tcPr>
          <w:p w14:paraId="17F09342" w14:textId="6D21C3F6"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01E8D900"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627DB5EE"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pol</w:t>
            </w:r>
          </w:p>
        </w:tc>
        <w:tc>
          <w:tcPr>
            <w:tcW w:w="762" w:type="dxa"/>
            <w:tcBorders>
              <w:top w:val="nil"/>
              <w:left w:val="single" w:sz="4" w:space="0" w:color="999999"/>
              <w:bottom w:val="nil"/>
              <w:right w:val="nil"/>
            </w:tcBorders>
            <w:shd w:val="clear" w:color="auto" w:fill="auto"/>
            <w:noWrap/>
            <w:vAlign w:val="bottom"/>
            <w:hideMark/>
          </w:tcPr>
          <w:p w14:paraId="0BB962AD" w14:textId="7AD7EA2E"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88,2%</w:t>
            </w:r>
          </w:p>
        </w:tc>
        <w:tc>
          <w:tcPr>
            <w:tcW w:w="815" w:type="dxa"/>
            <w:tcBorders>
              <w:top w:val="nil"/>
              <w:left w:val="nil"/>
              <w:bottom w:val="nil"/>
              <w:right w:val="nil"/>
            </w:tcBorders>
            <w:shd w:val="clear" w:color="auto" w:fill="auto"/>
            <w:noWrap/>
            <w:vAlign w:val="bottom"/>
            <w:hideMark/>
          </w:tcPr>
          <w:p w14:paraId="620B50F3" w14:textId="582B3DED"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6,1%</w:t>
            </w:r>
          </w:p>
        </w:tc>
        <w:tc>
          <w:tcPr>
            <w:tcW w:w="837" w:type="dxa"/>
            <w:tcBorders>
              <w:top w:val="nil"/>
              <w:left w:val="nil"/>
              <w:bottom w:val="nil"/>
              <w:right w:val="nil"/>
            </w:tcBorders>
            <w:shd w:val="clear" w:color="000000" w:fill="FFE699"/>
            <w:noWrap/>
            <w:vAlign w:val="bottom"/>
            <w:hideMark/>
          </w:tcPr>
          <w:p w14:paraId="672D6CC4" w14:textId="54EAFB92"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5,3%</w:t>
            </w:r>
          </w:p>
        </w:tc>
        <w:tc>
          <w:tcPr>
            <w:tcW w:w="1017" w:type="dxa"/>
            <w:tcBorders>
              <w:top w:val="nil"/>
              <w:left w:val="nil"/>
              <w:bottom w:val="nil"/>
              <w:right w:val="nil"/>
            </w:tcBorders>
            <w:shd w:val="clear" w:color="000000" w:fill="D9E1F2"/>
            <w:noWrap/>
            <w:vAlign w:val="bottom"/>
            <w:hideMark/>
          </w:tcPr>
          <w:p w14:paraId="54B28A05" w14:textId="0D107913"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889" w:type="dxa"/>
            <w:tcBorders>
              <w:top w:val="nil"/>
              <w:left w:val="nil"/>
              <w:bottom w:val="nil"/>
              <w:right w:val="nil"/>
            </w:tcBorders>
            <w:shd w:val="clear" w:color="000000" w:fill="D9E1F2"/>
            <w:noWrap/>
            <w:vAlign w:val="bottom"/>
            <w:hideMark/>
          </w:tcPr>
          <w:p w14:paraId="6065D474" w14:textId="72514673"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1017" w:type="dxa"/>
            <w:tcBorders>
              <w:top w:val="nil"/>
              <w:left w:val="nil"/>
              <w:bottom w:val="nil"/>
              <w:right w:val="nil"/>
            </w:tcBorders>
            <w:shd w:val="clear" w:color="auto" w:fill="auto"/>
            <w:noWrap/>
            <w:vAlign w:val="bottom"/>
            <w:hideMark/>
          </w:tcPr>
          <w:p w14:paraId="3D9462E6" w14:textId="6B79D5DE"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0,4%</w:t>
            </w:r>
          </w:p>
        </w:tc>
        <w:tc>
          <w:tcPr>
            <w:tcW w:w="636" w:type="dxa"/>
            <w:tcBorders>
              <w:top w:val="nil"/>
              <w:left w:val="single" w:sz="4" w:space="0" w:color="999999"/>
              <w:bottom w:val="nil"/>
              <w:right w:val="single" w:sz="4" w:space="0" w:color="999999"/>
            </w:tcBorders>
            <w:shd w:val="clear" w:color="auto" w:fill="auto"/>
            <w:noWrap/>
            <w:vAlign w:val="bottom"/>
            <w:hideMark/>
          </w:tcPr>
          <w:p w14:paraId="00A2D598" w14:textId="149F4054"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120EB556"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5CD991FE"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rcv</w:t>
            </w:r>
          </w:p>
        </w:tc>
        <w:tc>
          <w:tcPr>
            <w:tcW w:w="762" w:type="dxa"/>
            <w:tcBorders>
              <w:top w:val="nil"/>
              <w:left w:val="single" w:sz="4" w:space="0" w:color="999999"/>
              <w:bottom w:val="nil"/>
              <w:right w:val="nil"/>
            </w:tcBorders>
            <w:shd w:val="clear" w:color="auto" w:fill="auto"/>
            <w:noWrap/>
            <w:vAlign w:val="bottom"/>
            <w:hideMark/>
          </w:tcPr>
          <w:p w14:paraId="21C29D12" w14:textId="384DBDC4"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87,7%</w:t>
            </w:r>
          </w:p>
        </w:tc>
        <w:tc>
          <w:tcPr>
            <w:tcW w:w="815" w:type="dxa"/>
            <w:tcBorders>
              <w:top w:val="nil"/>
              <w:left w:val="nil"/>
              <w:bottom w:val="nil"/>
              <w:right w:val="nil"/>
            </w:tcBorders>
            <w:shd w:val="clear" w:color="auto" w:fill="auto"/>
            <w:noWrap/>
            <w:vAlign w:val="bottom"/>
            <w:hideMark/>
          </w:tcPr>
          <w:p w14:paraId="421073F6" w14:textId="56C19BF5"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8,5%</w:t>
            </w:r>
          </w:p>
        </w:tc>
        <w:tc>
          <w:tcPr>
            <w:tcW w:w="837" w:type="dxa"/>
            <w:tcBorders>
              <w:top w:val="nil"/>
              <w:left w:val="nil"/>
              <w:bottom w:val="nil"/>
              <w:right w:val="nil"/>
            </w:tcBorders>
            <w:shd w:val="clear" w:color="auto" w:fill="auto"/>
            <w:noWrap/>
            <w:vAlign w:val="bottom"/>
            <w:hideMark/>
          </w:tcPr>
          <w:p w14:paraId="0C3D7598" w14:textId="0AA9CB84"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1,5%</w:t>
            </w:r>
          </w:p>
        </w:tc>
        <w:tc>
          <w:tcPr>
            <w:tcW w:w="1017" w:type="dxa"/>
            <w:tcBorders>
              <w:top w:val="nil"/>
              <w:left w:val="nil"/>
              <w:bottom w:val="nil"/>
              <w:right w:val="nil"/>
            </w:tcBorders>
            <w:shd w:val="clear" w:color="000000" w:fill="FFE699"/>
            <w:noWrap/>
            <w:vAlign w:val="bottom"/>
            <w:hideMark/>
          </w:tcPr>
          <w:p w14:paraId="2CD4F7CD" w14:textId="7558D6C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1,9%</w:t>
            </w:r>
          </w:p>
        </w:tc>
        <w:tc>
          <w:tcPr>
            <w:tcW w:w="889" w:type="dxa"/>
            <w:tcBorders>
              <w:top w:val="nil"/>
              <w:left w:val="nil"/>
              <w:bottom w:val="nil"/>
              <w:right w:val="nil"/>
            </w:tcBorders>
            <w:shd w:val="clear" w:color="auto" w:fill="auto"/>
            <w:noWrap/>
            <w:vAlign w:val="bottom"/>
            <w:hideMark/>
          </w:tcPr>
          <w:p w14:paraId="01333411" w14:textId="38D73B9B"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0,4%</w:t>
            </w:r>
          </w:p>
        </w:tc>
        <w:tc>
          <w:tcPr>
            <w:tcW w:w="1017" w:type="dxa"/>
            <w:tcBorders>
              <w:top w:val="nil"/>
              <w:left w:val="nil"/>
              <w:bottom w:val="nil"/>
              <w:right w:val="nil"/>
            </w:tcBorders>
            <w:shd w:val="clear" w:color="auto" w:fill="auto"/>
            <w:noWrap/>
            <w:vAlign w:val="bottom"/>
            <w:hideMark/>
          </w:tcPr>
          <w:p w14:paraId="24611352" w14:textId="5B6AC03D"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636" w:type="dxa"/>
            <w:tcBorders>
              <w:top w:val="nil"/>
              <w:left w:val="single" w:sz="4" w:space="0" w:color="999999"/>
              <w:bottom w:val="nil"/>
              <w:right w:val="single" w:sz="4" w:space="0" w:color="999999"/>
            </w:tcBorders>
            <w:shd w:val="clear" w:color="auto" w:fill="auto"/>
            <w:noWrap/>
            <w:vAlign w:val="bottom"/>
            <w:hideMark/>
          </w:tcPr>
          <w:p w14:paraId="3B2EEB89" w14:textId="0E5A0023"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70D9BE32"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594F55D8"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intfor</w:t>
            </w:r>
          </w:p>
        </w:tc>
        <w:tc>
          <w:tcPr>
            <w:tcW w:w="762" w:type="dxa"/>
            <w:tcBorders>
              <w:top w:val="nil"/>
              <w:left w:val="single" w:sz="4" w:space="0" w:color="999999"/>
              <w:bottom w:val="nil"/>
              <w:right w:val="nil"/>
            </w:tcBorders>
            <w:shd w:val="clear" w:color="auto" w:fill="auto"/>
            <w:noWrap/>
            <w:vAlign w:val="bottom"/>
            <w:hideMark/>
          </w:tcPr>
          <w:p w14:paraId="539D22BF" w14:textId="53B2F681"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87,2%</w:t>
            </w:r>
          </w:p>
        </w:tc>
        <w:tc>
          <w:tcPr>
            <w:tcW w:w="815" w:type="dxa"/>
            <w:tcBorders>
              <w:top w:val="nil"/>
              <w:left w:val="nil"/>
              <w:bottom w:val="nil"/>
              <w:right w:val="nil"/>
            </w:tcBorders>
            <w:shd w:val="clear" w:color="auto" w:fill="auto"/>
            <w:noWrap/>
            <w:vAlign w:val="bottom"/>
            <w:hideMark/>
          </w:tcPr>
          <w:p w14:paraId="4E4AED13" w14:textId="1D606BFB"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7,0%</w:t>
            </w:r>
          </w:p>
        </w:tc>
        <w:tc>
          <w:tcPr>
            <w:tcW w:w="837" w:type="dxa"/>
            <w:tcBorders>
              <w:top w:val="nil"/>
              <w:left w:val="nil"/>
              <w:bottom w:val="nil"/>
              <w:right w:val="nil"/>
            </w:tcBorders>
            <w:shd w:val="clear" w:color="auto" w:fill="auto"/>
            <w:noWrap/>
            <w:vAlign w:val="bottom"/>
            <w:hideMark/>
          </w:tcPr>
          <w:p w14:paraId="2B75DD20" w14:textId="0967B36A"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1,7%</w:t>
            </w:r>
          </w:p>
        </w:tc>
        <w:tc>
          <w:tcPr>
            <w:tcW w:w="1017" w:type="dxa"/>
            <w:tcBorders>
              <w:top w:val="nil"/>
              <w:left w:val="nil"/>
              <w:bottom w:val="nil"/>
              <w:right w:val="nil"/>
            </w:tcBorders>
            <w:shd w:val="clear" w:color="auto" w:fill="auto"/>
            <w:noWrap/>
            <w:vAlign w:val="bottom"/>
            <w:hideMark/>
          </w:tcPr>
          <w:p w14:paraId="63B0EBB1" w14:textId="31F77934"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1,7%</w:t>
            </w:r>
          </w:p>
        </w:tc>
        <w:tc>
          <w:tcPr>
            <w:tcW w:w="889" w:type="dxa"/>
            <w:tcBorders>
              <w:top w:val="nil"/>
              <w:left w:val="nil"/>
              <w:bottom w:val="nil"/>
              <w:right w:val="nil"/>
            </w:tcBorders>
            <w:shd w:val="clear" w:color="000000" w:fill="FFE699"/>
            <w:noWrap/>
            <w:vAlign w:val="bottom"/>
            <w:hideMark/>
          </w:tcPr>
          <w:p w14:paraId="154EC1B1" w14:textId="34C69918"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1,2%</w:t>
            </w:r>
          </w:p>
        </w:tc>
        <w:tc>
          <w:tcPr>
            <w:tcW w:w="1017" w:type="dxa"/>
            <w:tcBorders>
              <w:top w:val="nil"/>
              <w:left w:val="nil"/>
              <w:bottom w:val="nil"/>
              <w:right w:val="nil"/>
            </w:tcBorders>
            <w:shd w:val="clear" w:color="auto" w:fill="auto"/>
            <w:noWrap/>
            <w:vAlign w:val="bottom"/>
            <w:hideMark/>
          </w:tcPr>
          <w:p w14:paraId="0969555B" w14:textId="169A4E3F"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1,2%</w:t>
            </w:r>
          </w:p>
        </w:tc>
        <w:tc>
          <w:tcPr>
            <w:tcW w:w="636" w:type="dxa"/>
            <w:tcBorders>
              <w:top w:val="nil"/>
              <w:left w:val="single" w:sz="4" w:space="0" w:color="999999"/>
              <w:bottom w:val="nil"/>
              <w:right w:val="single" w:sz="4" w:space="0" w:color="999999"/>
            </w:tcBorders>
            <w:shd w:val="clear" w:color="auto" w:fill="auto"/>
            <w:noWrap/>
            <w:vAlign w:val="bottom"/>
            <w:hideMark/>
          </w:tcPr>
          <w:p w14:paraId="28FC446C" w14:textId="183553B8"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19C9572A"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6C6271A2"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conv-f</w:t>
            </w:r>
          </w:p>
        </w:tc>
        <w:tc>
          <w:tcPr>
            <w:tcW w:w="762" w:type="dxa"/>
            <w:tcBorders>
              <w:top w:val="nil"/>
              <w:left w:val="single" w:sz="4" w:space="0" w:color="999999"/>
              <w:bottom w:val="nil"/>
              <w:right w:val="nil"/>
            </w:tcBorders>
            <w:shd w:val="clear" w:color="auto" w:fill="auto"/>
            <w:noWrap/>
            <w:vAlign w:val="bottom"/>
            <w:hideMark/>
          </w:tcPr>
          <w:p w14:paraId="17AE3C3B" w14:textId="416EA703"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85,3%</w:t>
            </w:r>
          </w:p>
        </w:tc>
        <w:tc>
          <w:tcPr>
            <w:tcW w:w="815" w:type="dxa"/>
            <w:tcBorders>
              <w:top w:val="nil"/>
              <w:left w:val="nil"/>
              <w:bottom w:val="nil"/>
              <w:right w:val="nil"/>
            </w:tcBorders>
            <w:shd w:val="clear" w:color="auto" w:fill="auto"/>
            <w:noWrap/>
            <w:vAlign w:val="bottom"/>
            <w:hideMark/>
          </w:tcPr>
          <w:p w14:paraId="124957F6" w14:textId="116B034B"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7,1%</w:t>
            </w:r>
          </w:p>
        </w:tc>
        <w:tc>
          <w:tcPr>
            <w:tcW w:w="837" w:type="dxa"/>
            <w:tcBorders>
              <w:top w:val="nil"/>
              <w:left w:val="nil"/>
              <w:bottom w:val="nil"/>
              <w:right w:val="nil"/>
            </w:tcBorders>
            <w:shd w:val="clear" w:color="000000" w:fill="FFE699"/>
            <w:noWrap/>
            <w:vAlign w:val="bottom"/>
            <w:hideMark/>
          </w:tcPr>
          <w:p w14:paraId="22C03882" w14:textId="6C359030"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7,6%</w:t>
            </w:r>
          </w:p>
        </w:tc>
        <w:tc>
          <w:tcPr>
            <w:tcW w:w="1017" w:type="dxa"/>
            <w:tcBorders>
              <w:top w:val="nil"/>
              <w:left w:val="nil"/>
              <w:bottom w:val="nil"/>
              <w:right w:val="nil"/>
            </w:tcBorders>
            <w:shd w:val="clear" w:color="000000" w:fill="D9E1F2"/>
            <w:noWrap/>
            <w:vAlign w:val="bottom"/>
            <w:hideMark/>
          </w:tcPr>
          <w:p w14:paraId="43449949" w14:textId="5DE0B335"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889" w:type="dxa"/>
            <w:tcBorders>
              <w:top w:val="nil"/>
              <w:left w:val="nil"/>
              <w:bottom w:val="nil"/>
              <w:right w:val="nil"/>
            </w:tcBorders>
            <w:shd w:val="clear" w:color="auto" w:fill="auto"/>
            <w:noWrap/>
            <w:vAlign w:val="bottom"/>
            <w:hideMark/>
          </w:tcPr>
          <w:p w14:paraId="39B958FE" w14:textId="32C8E10D"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1017" w:type="dxa"/>
            <w:tcBorders>
              <w:top w:val="nil"/>
              <w:left w:val="nil"/>
              <w:bottom w:val="nil"/>
              <w:right w:val="nil"/>
            </w:tcBorders>
            <w:shd w:val="clear" w:color="000000" w:fill="D9E1F2"/>
            <w:noWrap/>
            <w:vAlign w:val="bottom"/>
            <w:hideMark/>
          </w:tcPr>
          <w:p w14:paraId="1697C917" w14:textId="2AD77692"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636" w:type="dxa"/>
            <w:tcBorders>
              <w:top w:val="nil"/>
              <w:left w:val="single" w:sz="4" w:space="0" w:color="999999"/>
              <w:bottom w:val="nil"/>
              <w:right w:val="single" w:sz="4" w:space="0" w:color="999999"/>
            </w:tcBorders>
            <w:shd w:val="clear" w:color="auto" w:fill="auto"/>
            <w:noWrap/>
            <w:vAlign w:val="bottom"/>
            <w:hideMark/>
          </w:tcPr>
          <w:p w14:paraId="580A2F67" w14:textId="5908D714"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282B4094"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5C21AA71"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cnf</w:t>
            </w:r>
          </w:p>
        </w:tc>
        <w:tc>
          <w:tcPr>
            <w:tcW w:w="762" w:type="dxa"/>
            <w:tcBorders>
              <w:top w:val="nil"/>
              <w:left w:val="single" w:sz="4" w:space="0" w:color="999999"/>
              <w:bottom w:val="nil"/>
              <w:right w:val="nil"/>
            </w:tcBorders>
            <w:shd w:val="clear" w:color="auto" w:fill="auto"/>
            <w:noWrap/>
            <w:vAlign w:val="bottom"/>
            <w:hideMark/>
          </w:tcPr>
          <w:p w14:paraId="12949622" w14:textId="24F8FBD9"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85,1%</w:t>
            </w:r>
          </w:p>
        </w:tc>
        <w:tc>
          <w:tcPr>
            <w:tcW w:w="815" w:type="dxa"/>
            <w:tcBorders>
              <w:top w:val="nil"/>
              <w:left w:val="nil"/>
              <w:bottom w:val="nil"/>
              <w:right w:val="nil"/>
            </w:tcBorders>
            <w:shd w:val="clear" w:color="auto" w:fill="auto"/>
            <w:noWrap/>
            <w:vAlign w:val="bottom"/>
            <w:hideMark/>
          </w:tcPr>
          <w:p w14:paraId="69504B19" w14:textId="52D24322"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6,9%</w:t>
            </w:r>
          </w:p>
        </w:tc>
        <w:tc>
          <w:tcPr>
            <w:tcW w:w="837" w:type="dxa"/>
            <w:tcBorders>
              <w:top w:val="nil"/>
              <w:left w:val="nil"/>
              <w:bottom w:val="nil"/>
              <w:right w:val="nil"/>
            </w:tcBorders>
            <w:shd w:val="clear" w:color="000000" w:fill="FFE699"/>
            <w:noWrap/>
            <w:vAlign w:val="bottom"/>
            <w:hideMark/>
          </w:tcPr>
          <w:p w14:paraId="485DF97D" w14:textId="599FB3A5"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4,6%</w:t>
            </w:r>
          </w:p>
        </w:tc>
        <w:tc>
          <w:tcPr>
            <w:tcW w:w="1017" w:type="dxa"/>
            <w:tcBorders>
              <w:top w:val="nil"/>
              <w:left w:val="nil"/>
              <w:bottom w:val="nil"/>
              <w:right w:val="nil"/>
            </w:tcBorders>
            <w:shd w:val="clear" w:color="auto" w:fill="auto"/>
            <w:noWrap/>
            <w:vAlign w:val="bottom"/>
            <w:hideMark/>
          </w:tcPr>
          <w:p w14:paraId="58391078" w14:textId="5FD16972"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1,7%</w:t>
            </w:r>
          </w:p>
        </w:tc>
        <w:tc>
          <w:tcPr>
            <w:tcW w:w="889" w:type="dxa"/>
            <w:tcBorders>
              <w:top w:val="nil"/>
              <w:left w:val="nil"/>
              <w:bottom w:val="nil"/>
              <w:right w:val="nil"/>
            </w:tcBorders>
            <w:shd w:val="clear" w:color="000000" w:fill="FFE699"/>
            <w:noWrap/>
            <w:vAlign w:val="bottom"/>
            <w:hideMark/>
          </w:tcPr>
          <w:p w14:paraId="2039A031" w14:textId="15213F1D"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1,7%</w:t>
            </w:r>
          </w:p>
        </w:tc>
        <w:tc>
          <w:tcPr>
            <w:tcW w:w="1017" w:type="dxa"/>
            <w:tcBorders>
              <w:top w:val="nil"/>
              <w:left w:val="nil"/>
              <w:bottom w:val="nil"/>
              <w:right w:val="nil"/>
            </w:tcBorders>
            <w:shd w:val="clear" w:color="000000" w:fill="D9E1F2"/>
            <w:noWrap/>
            <w:vAlign w:val="bottom"/>
            <w:hideMark/>
          </w:tcPr>
          <w:p w14:paraId="5DC32E0C" w14:textId="1CFD083F"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636" w:type="dxa"/>
            <w:tcBorders>
              <w:top w:val="nil"/>
              <w:left w:val="single" w:sz="4" w:space="0" w:color="999999"/>
              <w:bottom w:val="nil"/>
              <w:right w:val="single" w:sz="4" w:space="0" w:color="999999"/>
            </w:tcBorders>
            <w:shd w:val="clear" w:color="auto" w:fill="auto"/>
            <w:noWrap/>
            <w:vAlign w:val="bottom"/>
            <w:hideMark/>
          </w:tcPr>
          <w:p w14:paraId="23CA6FAF" w14:textId="45A0D6FE"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2395EA5A"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1E59237E"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deb</w:t>
            </w:r>
          </w:p>
        </w:tc>
        <w:tc>
          <w:tcPr>
            <w:tcW w:w="762" w:type="dxa"/>
            <w:tcBorders>
              <w:top w:val="nil"/>
              <w:left w:val="single" w:sz="4" w:space="0" w:color="999999"/>
              <w:bottom w:val="nil"/>
              <w:right w:val="nil"/>
            </w:tcBorders>
            <w:shd w:val="clear" w:color="auto" w:fill="auto"/>
            <w:noWrap/>
            <w:vAlign w:val="bottom"/>
            <w:hideMark/>
          </w:tcPr>
          <w:p w14:paraId="5CB35550" w14:textId="1C5ECB8F"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84,7%</w:t>
            </w:r>
          </w:p>
        </w:tc>
        <w:tc>
          <w:tcPr>
            <w:tcW w:w="815" w:type="dxa"/>
            <w:tcBorders>
              <w:top w:val="nil"/>
              <w:left w:val="nil"/>
              <w:bottom w:val="nil"/>
              <w:right w:val="nil"/>
            </w:tcBorders>
            <w:shd w:val="clear" w:color="000000" w:fill="FFE699"/>
            <w:noWrap/>
            <w:vAlign w:val="bottom"/>
            <w:hideMark/>
          </w:tcPr>
          <w:p w14:paraId="66DCD545" w14:textId="3EF4C46D"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10,5%</w:t>
            </w:r>
          </w:p>
        </w:tc>
        <w:tc>
          <w:tcPr>
            <w:tcW w:w="837" w:type="dxa"/>
            <w:tcBorders>
              <w:top w:val="nil"/>
              <w:left w:val="nil"/>
              <w:bottom w:val="nil"/>
              <w:right w:val="nil"/>
            </w:tcBorders>
            <w:shd w:val="clear" w:color="auto" w:fill="auto"/>
            <w:noWrap/>
            <w:vAlign w:val="bottom"/>
            <w:hideMark/>
          </w:tcPr>
          <w:p w14:paraId="40EEB7E5" w14:textId="266BAA31"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2,3%</w:t>
            </w:r>
          </w:p>
        </w:tc>
        <w:tc>
          <w:tcPr>
            <w:tcW w:w="1017" w:type="dxa"/>
            <w:tcBorders>
              <w:top w:val="nil"/>
              <w:left w:val="nil"/>
              <w:bottom w:val="nil"/>
              <w:right w:val="nil"/>
            </w:tcBorders>
            <w:shd w:val="clear" w:color="auto" w:fill="auto"/>
            <w:noWrap/>
            <w:vAlign w:val="bottom"/>
            <w:hideMark/>
          </w:tcPr>
          <w:p w14:paraId="2111A163" w14:textId="6B9285DB"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1,3%</w:t>
            </w:r>
          </w:p>
        </w:tc>
        <w:tc>
          <w:tcPr>
            <w:tcW w:w="889" w:type="dxa"/>
            <w:tcBorders>
              <w:top w:val="nil"/>
              <w:left w:val="nil"/>
              <w:bottom w:val="nil"/>
              <w:right w:val="nil"/>
            </w:tcBorders>
            <w:shd w:val="clear" w:color="000000" w:fill="FFE699"/>
            <w:noWrap/>
            <w:vAlign w:val="bottom"/>
            <w:hideMark/>
          </w:tcPr>
          <w:p w14:paraId="3C691A99" w14:textId="20CC15BC"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w:t>
            </w:r>
          </w:p>
        </w:tc>
        <w:tc>
          <w:tcPr>
            <w:tcW w:w="1017" w:type="dxa"/>
            <w:tcBorders>
              <w:top w:val="nil"/>
              <w:left w:val="nil"/>
              <w:bottom w:val="nil"/>
              <w:right w:val="nil"/>
            </w:tcBorders>
            <w:shd w:val="clear" w:color="auto" w:fill="auto"/>
            <w:noWrap/>
            <w:vAlign w:val="bottom"/>
            <w:hideMark/>
          </w:tcPr>
          <w:p w14:paraId="272E2BF0" w14:textId="20CF7E1F"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0,2%</w:t>
            </w:r>
          </w:p>
        </w:tc>
        <w:tc>
          <w:tcPr>
            <w:tcW w:w="636" w:type="dxa"/>
            <w:tcBorders>
              <w:top w:val="nil"/>
              <w:left w:val="single" w:sz="4" w:space="0" w:color="999999"/>
              <w:bottom w:val="nil"/>
              <w:right w:val="single" w:sz="4" w:space="0" w:color="999999"/>
            </w:tcBorders>
            <w:shd w:val="clear" w:color="auto" w:fill="auto"/>
            <w:noWrap/>
            <w:vAlign w:val="bottom"/>
            <w:hideMark/>
          </w:tcPr>
          <w:p w14:paraId="31584D30" w14:textId="7ADD2EA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5D28F697"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494C5636"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hom</w:t>
            </w:r>
          </w:p>
        </w:tc>
        <w:tc>
          <w:tcPr>
            <w:tcW w:w="762" w:type="dxa"/>
            <w:tcBorders>
              <w:top w:val="nil"/>
              <w:left w:val="single" w:sz="4" w:space="0" w:color="999999"/>
              <w:bottom w:val="nil"/>
              <w:right w:val="nil"/>
            </w:tcBorders>
            <w:shd w:val="clear" w:color="auto" w:fill="auto"/>
            <w:noWrap/>
            <w:vAlign w:val="bottom"/>
            <w:hideMark/>
          </w:tcPr>
          <w:p w14:paraId="10943574" w14:textId="318188C2"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84,6%</w:t>
            </w:r>
          </w:p>
        </w:tc>
        <w:tc>
          <w:tcPr>
            <w:tcW w:w="815" w:type="dxa"/>
            <w:tcBorders>
              <w:top w:val="nil"/>
              <w:left w:val="nil"/>
              <w:bottom w:val="nil"/>
              <w:right w:val="nil"/>
            </w:tcBorders>
            <w:shd w:val="clear" w:color="auto" w:fill="auto"/>
            <w:noWrap/>
            <w:vAlign w:val="bottom"/>
            <w:hideMark/>
          </w:tcPr>
          <w:p w14:paraId="20D362D5" w14:textId="2B718DD9"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7,4%</w:t>
            </w:r>
          </w:p>
        </w:tc>
        <w:tc>
          <w:tcPr>
            <w:tcW w:w="837" w:type="dxa"/>
            <w:tcBorders>
              <w:top w:val="nil"/>
              <w:left w:val="nil"/>
              <w:bottom w:val="nil"/>
              <w:right w:val="nil"/>
            </w:tcBorders>
            <w:shd w:val="clear" w:color="000000" w:fill="FFE699"/>
            <w:noWrap/>
            <w:vAlign w:val="bottom"/>
            <w:hideMark/>
          </w:tcPr>
          <w:p w14:paraId="688347FD" w14:textId="58C86AD2"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4,7%</w:t>
            </w:r>
          </w:p>
        </w:tc>
        <w:tc>
          <w:tcPr>
            <w:tcW w:w="1017" w:type="dxa"/>
            <w:tcBorders>
              <w:top w:val="nil"/>
              <w:left w:val="nil"/>
              <w:bottom w:val="nil"/>
              <w:right w:val="nil"/>
            </w:tcBorders>
            <w:shd w:val="clear" w:color="000000" w:fill="FFE699"/>
            <w:noWrap/>
            <w:vAlign w:val="bottom"/>
            <w:hideMark/>
          </w:tcPr>
          <w:p w14:paraId="0F6DA11C" w14:textId="53AC3CDA"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2,0%</w:t>
            </w:r>
          </w:p>
        </w:tc>
        <w:tc>
          <w:tcPr>
            <w:tcW w:w="889" w:type="dxa"/>
            <w:tcBorders>
              <w:top w:val="nil"/>
              <w:left w:val="nil"/>
              <w:bottom w:val="nil"/>
              <w:right w:val="nil"/>
            </w:tcBorders>
            <w:shd w:val="clear" w:color="auto" w:fill="auto"/>
            <w:noWrap/>
            <w:vAlign w:val="bottom"/>
            <w:hideMark/>
          </w:tcPr>
          <w:p w14:paraId="7BCA6DBC" w14:textId="5D57DB5C"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0,7%</w:t>
            </w:r>
          </w:p>
        </w:tc>
        <w:tc>
          <w:tcPr>
            <w:tcW w:w="1017" w:type="dxa"/>
            <w:tcBorders>
              <w:top w:val="nil"/>
              <w:left w:val="nil"/>
              <w:bottom w:val="nil"/>
              <w:right w:val="nil"/>
            </w:tcBorders>
            <w:shd w:val="clear" w:color="auto" w:fill="auto"/>
            <w:noWrap/>
            <w:vAlign w:val="bottom"/>
            <w:hideMark/>
          </w:tcPr>
          <w:p w14:paraId="1FE0B8D7" w14:textId="750D1596"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0,7%</w:t>
            </w:r>
          </w:p>
        </w:tc>
        <w:tc>
          <w:tcPr>
            <w:tcW w:w="636" w:type="dxa"/>
            <w:tcBorders>
              <w:top w:val="nil"/>
              <w:left w:val="single" w:sz="4" w:space="0" w:color="999999"/>
              <w:bottom w:val="nil"/>
              <w:right w:val="single" w:sz="4" w:space="0" w:color="999999"/>
            </w:tcBorders>
            <w:shd w:val="clear" w:color="auto" w:fill="auto"/>
            <w:noWrap/>
            <w:vAlign w:val="bottom"/>
            <w:hideMark/>
          </w:tcPr>
          <w:p w14:paraId="0B1FC72E" w14:textId="722A58A8"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7A3824C3"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0788F89E"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single</w:t>
            </w:r>
          </w:p>
        </w:tc>
        <w:tc>
          <w:tcPr>
            <w:tcW w:w="762" w:type="dxa"/>
            <w:tcBorders>
              <w:top w:val="nil"/>
              <w:left w:val="single" w:sz="4" w:space="0" w:color="999999"/>
              <w:bottom w:val="nil"/>
              <w:right w:val="nil"/>
            </w:tcBorders>
            <w:shd w:val="clear" w:color="auto" w:fill="auto"/>
            <w:noWrap/>
            <w:vAlign w:val="bottom"/>
            <w:hideMark/>
          </w:tcPr>
          <w:p w14:paraId="2CB67F3F" w14:textId="30B3E24D"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84,5%</w:t>
            </w:r>
          </w:p>
        </w:tc>
        <w:tc>
          <w:tcPr>
            <w:tcW w:w="815" w:type="dxa"/>
            <w:tcBorders>
              <w:top w:val="nil"/>
              <w:left w:val="nil"/>
              <w:bottom w:val="nil"/>
              <w:right w:val="nil"/>
            </w:tcBorders>
            <w:shd w:val="clear" w:color="000000" w:fill="FFE699"/>
            <w:noWrap/>
            <w:vAlign w:val="bottom"/>
            <w:hideMark/>
          </w:tcPr>
          <w:p w14:paraId="703C500D" w14:textId="395D96EB"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13,2%</w:t>
            </w:r>
          </w:p>
        </w:tc>
        <w:tc>
          <w:tcPr>
            <w:tcW w:w="837" w:type="dxa"/>
            <w:tcBorders>
              <w:top w:val="nil"/>
              <w:left w:val="nil"/>
              <w:bottom w:val="nil"/>
              <w:right w:val="nil"/>
            </w:tcBorders>
            <w:shd w:val="clear" w:color="000000" w:fill="D9E1F2"/>
            <w:noWrap/>
            <w:vAlign w:val="bottom"/>
            <w:hideMark/>
          </w:tcPr>
          <w:p w14:paraId="54D7FD74" w14:textId="2969A661"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0,9%</w:t>
            </w:r>
          </w:p>
        </w:tc>
        <w:tc>
          <w:tcPr>
            <w:tcW w:w="1017" w:type="dxa"/>
            <w:tcBorders>
              <w:top w:val="nil"/>
              <w:left w:val="nil"/>
              <w:bottom w:val="nil"/>
              <w:right w:val="nil"/>
            </w:tcBorders>
            <w:shd w:val="clear" w:color="auto" w:fill="auto"/>
            <w:noWrap/>
            <w:vAlign w:val="bottom"/>
            <w:hideMark/>
          </w:tcPr>
          <w:p w14:paraId="7D23395B" w14:textId="5E92C7D6"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0,9%</w:t>
            </w:r>
          </w:p>
        </w:tc>
        <w:tc>
          <w:tcPr>
            <w:tcW w:w="889" w:type="dxa"/>
            <w:tcBorders>
              <w:top w:val="nil"/>
              <w:left w:val="nil"/>
              <w:bottom w:val="nil"/>
              <w:right w:val="nil"/>
            </w:tcBorders>
            <w:shd w:val="clear" w:color="auto" w:fill="auto"/>
            <w:noWrap/>
            <w:vAlign w:val="bottom"/>
            <w:hideMark/>
          </w:tcPr>
          <w:p w14:paraId="4B5C5FAE" w14:textId="410ECF4B"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0,5%</w:t>
            </w:r>
          </w:p>
        </w:tc>
        <w:tc>
          <w:tcPr>
            <w:tcW w:w="1017" w:type="dxa"/>
            <w:tcBorders>
              <w:top w:val="nil"/>
              <w:left w:val="nil"/>
              <w:bottom w:val="nil"/>
              <w:right w:val="nil"/>
            </w:tcBorders>
            <w:shd w:val="clear" w:color="000000" w:fill="D9E1F2"/>
            <w:noWrap/>
            <w:vAlign w:val="bottom"/>
            <w:hideMark/>
          </w:tcPr>
          <w:p w14:paraId="31CF675C" w14:textId="7CD5E6D5"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636" w:type="dxa"/>
            <w:tcBorders>
              <w:top w:val="nil"/>
              <w:left w:val="single" w:sz="4" w:space="0" w:color="999999"/>
              <w:bottom w:val="nil"/>
              <w:right w:val="single" w:sz="4" w:space="0" w:color="999999"/>
            </w:tcBorders>
            <w:shd w:val="clear" w:color="auto" w:fill="auto"/>
            <w:noWrap/>
            <w:vAlign w:val="bottom"/>
            <w:hideMark/>
          </w:tcPr>
          <w:p w14:paraId="7CBD0365" w14:textId="2A72C4C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51128969"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56E73C68"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intrad</w:t>
            </w:r>
          </w:p>
        </w:tc>
        <w:tc>
          <w:tcPr>
            <w:tcW w:w="762" w:type="dxa"/>
            <w:tcBorders>
              <w:top w:val="nil"/>
              <w:left w:val="single" w:sz="4" w:space="0" w:color="999999"/>
              <w:bottom w:val="nil"/>
              <w:right w:val="nil"/>
            </w:tcBorders>
            <w:shd w:val="clear" w:color="000000" w:fill="FFE699"/>
            <w:noWrap/>
            <w:vAlign w:val="bottom"/>
            <w:hideMark/>
          </w:tcPr>
          <w:p w14:paraId="00054D75" w14:textId="19C4EBB5"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84,1%</w:t>
            </w:r>
          </w:p>
        </w:tc>
        <w:tc>
          <w:tcPr>
            <w:tcW w:w="815" w:type="dxa"/>
            <w:tcBorders>
              <w:top w:val="nil"/>
              <w:left w:val="nil"/>
              <w:bottom w:val="nil"/>
              <w:right w:val="nil"/>
            </w:tcBorders>
            <w:shd w:val="clear" w:color="000000" w:fill="FFE699"/>
            <w:noWrap/>
            <w:vAlign w:val="bottom"/>
            <w:hideMark/>
          </w:tcPr>
          <w:p w14:paraId="667935A7" w14:textId="563119A1"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10,7%</w:t>
            </w:r>
          </w:p>
        </w:tc>
        <w:tc>
          <w:tcPr>
            <w:tcW w:w="837" w:type="dxa"/>
            <w:tcBorders>
              <w:top w:val="nil"/>
              <w:left w:val="nil"/>
              <w:bottom w:val="nil"/>
              <w:right w:val="nil"/>
            </w:tcBorders>
            <w:shd w:val="clear" w:color="auto" w:fill="auto"/>
            <w:noWrap/>
            <w:vAlign w:val="bottom"/>
            <w:hideMark/>
          </w:tcPr>
          <w:p w14:paraId="530C31B1" w14:textId="06A606B4"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1,1%</w:t>
            </w:r>
          </w:p>
        </w:tc>
        <w:tc>
          <w:tcPr>
            <w:tcW w:w="1017" w:type="dxa"/>
            <w:tcBorders>
              <w:top w:val="nil"/>
              <w:left w:val="nil"/>
              <w:bottom w:val="nil"/>
              <w:right w:val="nil"/>
            </w:tcBorders>
            <w:shd w:val="clear" w:color="000000" w:fill="FFE699"/>
            <w:noWrap/>
            <w:vAlign w:val="bottom"/>
            <w:hideMark/>
          </w:tcPr>
          <w:p w14:paraId="15DB3BD4" w14:textId="1E504632"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2,5%</w:t>
            </w:r>
          </w:p>
        </w:tc>
        <w:tc>
          <w:tcPr>
            <w:tcW w:w="889" w:type="dxa"/>
            <w:tcBorders>
              <w:top w:val="nil"/>
              <w:left w:val="nil"/>
              <w:bottom w:val="nil"/>
              <w:right w:val="nil"/>
            </w:tcBorders>
            <w:shd w:val="clear" w:color="000000" w:fill="FFE699"/>
            <w:noWrap/>
            <w:vAlign w:val="bottom"/>
            <w:hideMark/>
          </w:tcPr>
          <w:p w14:paraId="1692F668" w14:textId="40139319"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1,6%</w:t>
            </w:r>
          </w:p>
        </w:tc>
        <w:tc>
          <w:tcPr>
            <w:tcW w:w="1017" w:type="dxa"/>
            <w:tcBorders>
              <w:top w:val="nil"/>
              <w:left w:val="nil"/>
              <w:bottom w:val="nil"/>
              <w:right w:val="nil"/>
            </w:tcBorders>
            <w:shd w:val="clear" w:color="000000" w:fill="D9E1F2"/>
            <w:noWrap/>
            <w:vAlign w:val="bottom"/>
            <w:hideMark/>
          </w:tcPr>
          <w:p w14:paraId="1F03A4B6" w14:textId="55BE3D24"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0,0%</w:t>
            </w:r>
          </w:p>
        </w:tc>
        <w:tc>
          <w:tcPr>
            <w:tcW w:w="636" w:type="dxa"/>
            <w:tcBorders>
              <w:top w:val="nil"/>
              <w:left w:val="single" w:sz="4" w:space="0" w:color="999999"/>
              <w:bottom w:val="nil"/>
              <w:right w:val="single" w:sz="4" w:space="0" w:color="999999"/>
            </w:tcBorders>
            <w:shd w:val="clear" w:color="auto" w:fill="auto"/>
            <w:noWrap/>
            <w:vAlign w:val="bottom"/>
            <w:hideMark/>
          </w:tcPr>
          <w:p w14:paraId="69D2A50B" w14:textId="6DDE9A61"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486E791A"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4F2E68FF"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intlib</w:t>
            </w:r>
          </w:p>
        </w:tc>
        <w:tc>
          <w:tcPr>
            <w:tcW w:w="762" w:type="dxa"/>
            <w:tcBorders>
              <w:top w:val="nil"/>
              <w:left w:val="single" w:sz="4" w:space="0" w:color="999999"/>
              <w:bottom w:val="nil"/>
              <w:right w:val="nil"/>
            </w:tcBorders>
            <w:shd w:val="clear" w:color="000000" w:fill="FFE699"/>
            <w:noWrap/>
            <w:vAlign w:val="bottom"/>
            <w:hideMark/>
          </w:tcPr>
          <w:p w14:paraId="427ECF09" w14:textId="07A36134"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83,2%</w:t>
            </w:r>
          </w:p>
        </w:tc>
        <w:tc>
          <w:tcPr>
            <w:tcW w:w="815" w:type="dxa"/>
            <w:tcBorders>
              <w:top w:val="nil"/>
              <w:left w:val="nil"/>
              <w:bottom w:val="nil"/>
              <w:right w:val="nil"/>
            </w:tcBorders>
            <w:shd w:val="clear" w:color="000000" w:fill="FFE699"/>
            <w:noWrap/>
            <w:vAlign w:val="bottom"/>
            <w:hideMark/>
          </w:tcPr>
          <w:p w14:paraId="15D9624A" w14:textId="7A52A93D"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11,0%</w:t>
            </w:r>
          </w:p>
        </w:tc>
        <w:tc>
          <w:tcPr>
            <w:tcW w:w="837" w:type="dxa"/>
            <w:tcBorders>
              <w:top w:val="nil"/>
              <w:left w:val="nil"/>
              <w:bottom w:val="nil"/>
              <w:right w:val="nil"/>
            </w:tcBorders>
            <w:shd w:val="clear" w:color="auto" w:fill="auto"/>
            <w:noWrap/>
            <w:vAlign w:val="bottom"/>
            <w:hideMark/>
          </w:tcPr>
          <w:p w14:paraId="4F9C7870" w14:textId="627D39E0"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3,1%</w:t>
            </w:r>
          </w:p>
        </w:tc>
        <w:tc>
          <w:tcPr>
            <w:tcW w:w="1017" w:type="dxa"/>
            <w:tcBorders>
              <w:top w:val="nil"/>
              <w:left w:val="nil"/>
              <w:bottom w:val="nil"/>
              <w:right w:val="nil"/>
            </w:tcBorders>
            <w:shd w:val="clear" w:color="auto" w:fill="auto"/>
            <w:noWrap/>
            <w:vAlign w:val="bottom"/>
            <w:hideMark/>
          </w:tcPr>
          <w:p w14:paraId="40C54C6F" w14:textId="2F48B7FD"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1,5%</w:t>
            </w:r>
          </w:p>
        </w:tc>
        <w:tc>
          <w:tcPr>
            <w:tcW w:w="889" w:type="dxa"/>
            <w:tcBorders>
              <w:top w:val="nil"/>
              <w:left w:val="nil"/>
              <w:bottom w:val="nil"/>
              <w:right w:val="nil"/>
            </w:tcBorders>
            <w:shd w:val="clear" w:color="auto" w:fill="auto"/>
            <w:noWrap/>
            <w:vAlign w:val="bottom"/>
            <w:hideMark/>
          </w:tcPr>
          <w:p w14:paraId="6C121FCE" w14:textId="59E809A6"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0,8%</w:t>
            </w:r>
          </w:p>
        </w:tc>
        <w:tc>
          <w:tcPr>
            <w:tcW w:w="1017" w:type="dxa"/>
            <w:tcBorders>
              <w:top w:val="nil"/>
              <w:left w:val="nil"/>
              <w:bottom w:val="nil"/>
              <w:right w:val="nil"/>
            </w:tcBorders>
            <w:shd w:val="clear" w:color="auto" w:fill="auto"/>
            <w:noWrap/>
            <w:vAlign w:val="bottom"/>
            <w:hideMark/>
          </w:tcPr>
          <w:p w14:paraId="0E5B07BE" w14:textId="32645001"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0,5%</w:t>
            </w:r>
          </w:p>
        </w:tc>
        <w:tc>
          <w:tcPr>
            <w:tcW w:w="636" w:type="dxa"/>
            <w:tcBorders>
              <w:top w:val="nil"/>
              <w:left w:val="single" w:sz="4" w:space="0" w:color="999999"/>
              <w:bottom w:val="nil"/>
              <w:right w:val="single" w:sz="4" w:space="0" w:color="999999"/>
            </w:tcBorders>
            <w:shd w:val="clear" w:color="auto" w:fill="auto"/>
            <w:noWrap/>
            <w:vAlign w:val="bottom"/>
            <w:hideMark/>
          </w:tcPr>
          <w:p w14:paraId="5544B8B2" w14:textId="2CC8AAC1"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047B2D0C" w14:textId="77777777" w:rsidTr="007A1E39">
        <w:trPr>
          <w:trHeight w:val="277"/>
        </w:trPr>
        <w:tc>
          <w:tcPr>
            <w:tcW w:w="763" w:type="dxa"/>
            <w:tcBorders>
              <w:top w:val="nil"/>
              <w:left w:val="single" w:sz="4" w:space="0" w:color="999999"/>
              <w:bottom w:val="nil"/>
              <w:right w:val="nil"/>
            </w:tcBorders>
            <w:shd w:val="clear" w:color="auto" w:fill="auto"/>
            <w:noWrap/>
            <w:vAlign w:val="bottom"/>
            <w:hideMark/>
          </w:tcPr>
          <w:p w14:paraId="5128BEA0"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conv-i</w:t>
            </w:r>
          </w:p>
        </w:tc>
        <w:tc>
          <w:tcPr>
            <w:tcW w:w="762" w:type="dxa"/>
            <w:tcBorders>
              <w:top w:val="nil"/>
              <w:left w:val="single" w:sz="4" w:space="0" w:color="999999"/>
              <w:bottom w:val="nil"/>
              <w:right w:val="nil"/>
            </w:tcBorders>
            <w:shd w:val="clear" w:color="000000" w:fill="FFE699"/>
            <w:noWrap/>
            <w:vAlign w:val="bottom"/>
            <w:hideMark/>
          </w:tcPr>
          <w:p w14:paraId="2325D459" w14:textId="4EB48F74"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79,5%</w:t>
            </w:r>
          </w:p>
        </w:tc>
        <w:tc>
          <w:tcPr>
            <w:tcW w:w="815" w:type="dxa"/>
            <w:tcBorders>
              <w:top w:val="nil"/>
              <w:left w:val="nil"/>
              <w:bottom w:val="nil"/>
              <w:right w:val="nil"/>
            </w:tcBorders>
            <w:shd w:val="clear" w:color="000000" w:fill="FFE699"/>
            <w:noWrap/>
            <w:vAlign w:val="bottom"/>
            <w:hideMark/>
          </w:tcPr>
          <w:p w14:paraId="7D501419" w14:textId="3E46CDD6"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15,9%</w:t>
            </w:r>
          </w:p>
        </w:tc>
        <w:tc>
          <w:tcPr>
            <w:tcW w:w="837" w:type="dxa"/>
            <w:tcBorders>
              <w:top w:val="nil"/>
              <w:left w:val="nil"/>
              <w:bottom w:val="nil"/>
              <w:right w:val="nil"/>
            </w:tcBorders>
            <w:shd w:val="clear" w:color="000000" w:fill="D9E1F2"/>
            <w:noWrap/>
            <w:vAlign w:val="bottom"/>
            <w:hideMark/>
          </w:tcPr>
          <w:p w14:paraId="04200503" w14:textId="42830298"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0,6%</w:t>
            </w:r>
          </w:p>
        </w:tc>
        <w:tc>
          <w:tcPr>
            <w:tcW w:w="1017" w:type="dxa"/>
            <w:tcBorders>
              <w:top w:val="nil"/>
              <w:left w:val="nil"/>
              <w:bottom w:val="nil"/>
              <w:right w:val="nil"/>
            </w:tcBorders>
            <w:shd w:val="clear" w:color="auto" w:fill="auto"/>
            <w:noWrap/>
            <w:vAlign w:val="bottom"/>
            <w:hideMark/>
          </w:tcPr>
          <w:p w14:paraId="5B6CF65E" w14:textId="31EC4CB9"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1,2%</w:t>
            </w:r>
          </w:p>
        </w:tc>
        <w:tc>
          <w:tcPr>
            <w:tcW w:w="889" w:type="dxa"/>
            <w:tcBorders>
              <w:top w:val="nil"/>
              <w:left w:val="nil"/>
              <w:bottom w:val="nil"/>
              <w:right w:val="nil"/>
            </w:tcBorders>
            <w:shd w:val="clear" w:color="auto" w:fill="auto"/>
            <w:noWrap/>
            <w:vAlign w:val="bottom"/>
            <w:hideMark/>
          </w:tcPr>
          <w:p w14:paraId="7E34496A" w14:textId="5889B94F"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0,3%</w:t>
            </w:r>
          </w:p>
        </w:tc>
        <w:tc>
          <w:tcPr>
            <w:tcW w:w="1017" w:type="dxa"/>
            <w:tcBorders>
              <w:top w:val="nil"/>
              <w:left w:val="nil"/>
              <w:bottom w:val="nil"/>
              <w:right w:val="nil"/>
            </w:tcBorders>
            <w:shd w:val="clear" w:color="000000" w:fill="FFE699"/>
            <w:noWrap/>
            <w:vAlign w:val="bottom"/>
            <w:hideMark/>
          </w:tcPr>
          <w:p w14:paraId="36F15C79" w14:textId="552779DB"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2,6%</w:t>
            </w:r>
          </w:p>
        </w:tc>
        <w:tc>
          <w:tcPr>
            <w:tcW w:w="636" w:type="dxa"/>
            <w:tcBorders>
              <w:top w:val="nil"/>
              <w:left w:val="single" w:sz="4" w:space="0" w:color="999999"/>
              <w:bottom w:val="nil"/>
              <w:right w:val="single" w:sz="4" w:space="0" w:color="999999"/>
            </w:tcBorders>
            <w:shd w:val="clear" w:color="auto" w:fill="auto"/>
            <w:noWrap/>
            <w:vAlign w:val="bottom"/>
            <w:hideMark/>
          </w:tcPr>
          <w:p w14:paraId="64755643" w14:textId="0C53991B"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rPr>
              <w:t>100,0%</w:t>
            </w:r>
          </w:p>
        </w:tc>
      </w:tr>
      <w:tr w:rsidR="008A4585" w:rsidRPr="0067131D" w14:paraId="22822613" w14:textId="77777777" w:rsidTr="007A1E39">
        <w:trPr>
          <w:trHeight w:val="277"/>
        </w:trPr>
        <w:tc>
          <w:tcPr>
            <w:tcW w:w="763" w:type="dxa"/>
            <w:tcBorders>
              <w:top w:val="single" w:sz="4" w:space="0" w:color="999999"/>
              <w:left w:val="single" w:sz="4" w:space="0" w:color="999999"/>
              <w:bottom w:val="single" w:sz="4" w:space="0" w:color="999999"/>
              <w:right w:val="nil"/>
            </w:tcBorders>
            <w:shd w:val="clear" w:color="auto" w:fill="auto"/>
            <w:noWrap/>
            <w:vAlign w:val="bottom"/>
            <w:hideMark/>
          </w:tcPr>
          <w:p w14:paraId="047BDDA2" w14:textId="77777777" w:rsidR="008A4585" w:rsidRPr="0067131D" w:rsidRDefault="008A4585" w:rsidP="008A4585">
            <w:pPr>
              <w:pStyle w:val="TabBody"/>
              <w:jc w:val="center"/>
              <w:rPr>
                <w:rFonts w:cs="Arial"/>
                <w:color w:val="000000"/>
                <w:sz w:val="14"/>
                <w:szCs w:val="14"/>
                <w:lang w:val="fr-BE" w:eastAsia="fr-BE"/>
              </w:rPr>
            </w:pPr>
            <w:r w:rsidRPr="0067131D">
              <w:rPr>
                <w:rFonts w:cs="Arial"/>
                <w:color w:val="000000"/>
                <w:sz w:val="14"/>
                <w:szCs w:val="14"/>
                <w:lang w:val="fr-BE" w:eastAsia="fr-BE"/>
              </w:rPr>
              <w:t xml:space="preserve">Total </w:t>
            </w:r>
          </w:p>
        </w:tc>
        <w:tc>
          <w:tcPr>
            <w:tcW w:w="762" w:type="dxa"/>
            <w:tcBorders>
              <w:top w:val="single" w:sz="4" w:space="0" w:color="999999"/>
              <w:left w:val="single" w:sz="4" w:space="0" w:color="999999"/>
              <w:bottom w:val="single" w:sz="4" w:space="0" w:color="999999"/>
              <w:right w:val="nil"/>
            </w:tcBorders>
            <w:shd w:val="clear" w:color="auto" w:fill="auto"/>
            <w:noWrap/>
            <w:vAlign w:val="bottom"/>
            <w:hideMark/>
          </w:tcPr>
          <w:p w14:paraId="1EF25324" w14:textId="7975824F" w:rsidR="008A4585" w:rsidRPr="0067131D" w:rsidRDefault="008A4585" w:rsidP="008A4585">
            <w:pPr>
              <w:pStyle w:val="TabBody"/>
              <w:jc w:val="center"/>
              <w:rPr>
                <w:rFonts w:cs="Arial"/>
                <w:color w:val="000000"/>
                <w:sz w:val="14"/>
                <w:szCs w:val="14"/>
                <w:lang w:val="fr-BE" w:eastAsia="fr-BE"/>
              </w:rPr>
            </w:pPr>
            <w:r w:rsidRPr="0067131D">
              <w:rPr>
                <w:rFonts w:cs="Arial"/>
                <w:b/>
                <w:bCs/>
                <w:color w:val="000000"/>
                <w:sz w:val="14"/>
                <w:szCs w:val="14"/>
              </w:rPr>
              <w:t>86,1%</w:t>
            </w:r>
          </w:p>
        </w:tc>
        <w:tc>
          <w:tcPr>
            <w:tcW w:w="815" w:type="dxa"/>
            <w:tcBorders>
              <w:top w:val="single" w:sz="4" w:space="0" w:color="999999"/>
              <w:left w:val="nil"/>
              <w:bottom w:val="single" w:sz="4" w:space="0" w:color="999999"/>
              <w:right w:val="nil"/>
            </w:tcBorders>
            <w:shd w:val="clear" w:color="auto" w:fill="auto"/>
            <w:noWrap/>
            <w:vAlign w:val="bottom"/>
            <w:hideMark/>
          </w:tcPr>
          <w:p w14:paraId="516C43E6" w14:textId="3DDD4F2F" w:rsidR="008A4585" w:rsidRPr="0067131D" w:rsidRDefault="008A4585" w:rsidP="008A4585">
            <w:pPr>
              <w:pStyle w:val="TabBody"/>
              <w:jc w:val="center"/>
              <w:rPr>
                <w:rFonts w:cs="Arial"/>
                <w:color w:val="000000"/>
                <w:sz w:val="14"/>
                <w:szCs w:val="14"/>
                <w:lang w:val="fr-BE" w:eastAsia="fr-BE"/>
              </w:rPr>
            </w:pPr>
            <w:r w:rsidRPr="0067131D">
              <w:rPr>
                <w:rFonts w:cs="Arial"/>
                <w:b/>
                <w:bCs/>
                <w:color w:val="000000"/>
                <w:sz w:val="14"/>
                <w:szCs w:val="14"/>
              </w:rPr>
              <w:t>8,9%</w:t>
            </w:r>
          </w:p>
        </w:tc>
        <w:tc>
          <w:tcPr>
            <w:tcW w:w="837" w:type="dxa"/>
            <w:tcBorders>
              <w:top w:val="single" w:sz="4" w:space="0" w:color="999999"/>
              <w:left w:val="nil"/>
              <w:bottom w:val="single" w:sz="4" w:space="0" w:color="999999"/>
              <w:right w:val="nil"/>
            </w:tcBorders>
            <w:shd w:val="clear" w:color="auto" w:fill="auto"/>
            <w:noWrap/>
            <w:vAlign w:val="bottom"/>
            <w:hideMark/>
          </w:tcPr>
          <w:p w14:paraId="4175B4C2" w14:textId="4CB0D9AC" w:rsidR="008A4585" w:rsidRPr="0067131D" w:rsidRDefault="008A4585" w:rsidP="008A4585">
            <w:pPr>
              <w:pStyle w:val="TabBody"/>
              <w:jc w:val="center"/>
              <w:rPr>
                <w:rFonts w:cs="Arial"/>
                <w:color w:val="000000"/>
                <w:sz w:val="14"/>
                <w:szCs w:val="14"/>
                <w:lang w:val="fr-BE" w:eastAsia="fr-BE"/>
              </w:rPr>
            </w:pPr>
            <w:r w:rsidRPr="0067131D">
              <w:rPr>
                <w:rFonts w:cs="Arial"/>
                <w:b/>
                <w:bCs/>
                <w:color w:val="000000"/>
                <w:sz w:val="14"/>
                <w:szCs w:val="14"/>
              </w:rPr>
              <w:t>2,5%</w:t>
            </w:r>
          </w:p>
        </w:tc>
        <w:tc>
          <w:tcPr>
            <w:tcW w:w="1017" w:type="dxa"/>
            <w:tcBorders>
              <w:top w:val="single" w:sz="4" w:space="0" w:color="999999"/>
              <w:left w:val="nil"/>
              <w:bottom w:val="single" w:sz="4" w:space="0" w:color="999999"/>
              <w:right w:val="nil"/>
            </w:tcBorders>
            <w:shd w:val="clear" w:color="auto" w:fill="auto"/>
            <w:noWrap/>
            <w:vAlign w:val="bottom"/>
            <w:hideMark/>
          </w:tcPr>
          <w:p w14:paraId="5BA44706" w14:textId="5FFC9953" w:rsidR="008A4585" w:rsidRPr="0067131D" w:rsidRDefault="008A4585" w:rsidP="008A4585">
            <w:pPr>
              <w:pStyle w:val="TabBody"/>
              <w:jc w:val="center"/>
              <w:rPr>
                <w:rFonts w:cs="Arial"/>
                <w:color w:val="000000"/>
                <w:sz w:val="14"/>
                <w:szCs w:val="14"/>
                <w:lang w:val="fr-BE" w:eastAsia="fr-BE"/>
              </w:rPr>
            </w:pPr>
            <w:r w:rsidRPr="0067131D">
              <w:rPr>
                <w:rFonts w:cs="Arial"/>
                <w:b/>
                <w:bCs/>
                <w:color w:val="000000"/>
                <w:sz w:val="14"/>
                <w:szCs w:val="14"/>
              </w:rPr>
              <w:t>1,2%</w:t>
            </w:r>
          </w:p>
        </w:tc>
        <w:tc>
          <w:tcPr>
            <w:tcW w:w="889" w:type="dxa"/>
            <w:tcBorders>
              <w:top w:val="single" w:sz="4" w:space="0" w:color="999999"/>
              <w:left w:val="nil"/>
              <w:bottom w:val="single" w:sz="4" w:space="0" w:color="999999"/>
              <w:right w:val="nil"/>
            </w:tcBorders>
            <w:shd w:val="clear" w:color="auto" w:fill="auto"/>
            <w:noWrap/>
            <w:vAlign w:val="bottom"/>
            <w:hideMark/>
          </w:tcPr>
          <w:p w14:paraId="48459522" w14:textId="3969DAF1" w:rsidR="008A4585" w:rsidRPr="0067131D" w:rsidRDefault="008A4585" w:rsidP="008A4585">
            <w:pPr>
              <w:pStyle w:val="TabBody"/>
              <w:jc w:val="center"/>
              <w:rPr>
                <w:rFonts w:cs="Arial"/>
                <w:color w:val="000000"/>
                <w:sz w:val="14"/>
                <w:szCs w:val="14"/>
                <w:lang w:val="fr-BE" w:eastAsia="fr-BE"/>
              </w:rPr>
            </w:pPr>
            <w:r w:rsidRPr="0067131D">
              <w:rPr>
                <w:rFonts w:cs="Arial"/>
                <w:b/>
                <w:bCs/>
                <w:color w:val="000000"/>
                <w:sz w:val="14"/>
                <w:szCs w:val="14"/>
              </w:rPr>
              <w:t>0,7%</w:t>
            </w:r>
          </w:p>
        </w:tc>
        <w:tc>
          <w:tcPr>
            <w:tcW w:w="1017" w:type="dxa"/>
            <w:tcBorders>
              <w:top w:val="single" w:sz="4" w:space="0" w:color="999999"/>
              <w:left w:val="nil"/>
              <w:bottom w:val="single" w:sz="4" w:space="0" w:color="999999"/>
              <w:right w:val="nil"/>
            </w:tcBorders>
            <w:shd w:val="clear" w:color="auto" w:fill="auto"/>
            <w:noWrap/>
            <w:vAlign w:val="bottom"/>
            <w:hideMark/>
          </w:tcPr>
          <w:p w14:paraId="30771F08" w14:textId="1E5ECCDE" w:rsidR="008A4585" w:rsidRPr="0067131D" w:rsidRDefault="008A4585" w:rsidP="008A4585">
            <w:pPr>
              <w:pStyle w:val="TabBody"/>
              <w:jc w:val="center"/>
              <w:rPr>
                <w:rFonts w:cs="Arial"/>
                <w:color w:val="000000"/>
                <w:sz w:val="14"/>
                <w:szCs w:val="14"/>
                <w:lang w:val="fr-BE" w:eastAsia="fr-BE"/>
              </w:rPr>
            </w:pPr>
            <w:r w:rsidRPr="0067131D">
              <w:rPr>
                <w:rFonts w:cs="Arial"/>
                <w:b/>
                <w:bCs/>
                <w:color w:val="000000"/>
                <w:sz w:val="14"/>
                <w:szCs w:val="14"/>
              </w:rPr>
              <w:t>0,5%</w:t>
            </w:r>
          </w:p>
        </w:tc>
        <w:tc>
          <w:tcPr>
            <w:tcW w:w="636" w:type="dxa"/>
            <w:tcBorders>
              <w:top w:val="single" w:sz="4" w:space="0" w:color="999999"/>
              <w:left w:val="single" w:sz="4" w:space="0" w:color="999999"/>
              <w:bottom w:val="single" w:sz="4" w:space="0" w:color="999999"/>
              <w:right w:val="single" w:sz="4" w:space="0" w:color="999999"/>
            </w:tcBorders>
            <w:shd w:val="clear" w:color="auto" w:fill="auto"/>
            <w:noWrap/>
            <w:vAlign w:val="bottom"/>
            <w:hideMark/>
          </w:tcPr>
          <w:p w14:paraId="64EE3C0A" w14:textId="59568200" w:rsidR="008A4585" w:rsidRPr="0067131D" w:rsidRDefault="008A4585" w:rsidP="008A4585">
            <w:pPr>
              <w:pStyle w:val="TabBody"/>
              <w:jc w:val="center"/>
              <w:rPr>
                <w:rFonts w:cs="Arial"/>
                <w:color w:val="000000"/>
                <w:sz w:val="14"/>
                <w:szCs w:val="14"/>
                <w:lang w:val="fr-BE" w:eastAsia="fr-BE"/>
              </w:rPr>
            </w:pPr>
            <w:r w:rsidRPr="0067131D">
              <w:rPr>
                <w:rFonts w:cs="Arial"/>
                <w:b/>
                <w:bCs/>
                <w:color w:val="000000"/>
                <w:sz w:val="14"/>
                <w:szCs w:val="14"/>
              </w:rPr>
              <w:t>100,0%</w:t>
            </w:r>
          </w:p>
        </w:tc>
      </w:tr>
    </w:tbl>
    <w:p w14:paraId="75FB6397" w14:textId="77777777" w:rsidR="0075786E" w:rsidRDefault="0075786E" w:rsidP="00D85BEF">
      <w:pPr>
        <w:pStyle w:val="Body"/>
      </w:pPr>
    </w:p>
    <w:p w14:paraId="48289D01" w14:textId="0DE4D22C" w:rsidR="00D21A00" w:rsidRDefault="008C0CEC" w:rsidP="00811DD2">
      <w:pPr>
        <w:pStyle w:val="Body"/>
      </w:pPr>
      <w:r>
        <w:t>Les journaux parlés radiophoniques</w:t>
      </w:r>
      <w:r w:rsidR="008C5665">
        <w:t xml:space="preserve"> (jpa)</w:t>
      </w:r>
      <w:r>
        <w:t>, la lecture de roman à haute voix</w:t>
      </w:r>
      <w:r w:rsidR="008C5665">
        <w:t xml:space="preserve"> (lec)</w:t>
      </w:r>
      <w:r>
        <w:t xml:space="preserve"> et les discours académiques de rentrée universitaire </w:t>
      </w:r>
      <w:r w:rsidR="008C5665">
        <w:t xml:space="preserve">(aca) </w:t>
      </w:r>
      <w:r>
        <w:t>se singularisent par un quasi-monopole de constructions verbale</w:t>
      </w:r>
      <w:r w:rsidR="009744B9">
        <w:t>s</w:t>
      </w:r>
      <w:r>
        <w:t xml:space="preserve"> au dispositif direct (de 94,2 à 98</w:t>
      </w:r>
      <w:r w:rsidR="008A4585">
        <w:t>,6</w:t>
      </w:r>
      <w:r>
        <w:t xml:space="preserve">%). Il s’agit de discours oralisés, préparés par un texte écrit qui est lu. Le dispositif présentationnel en </w:t>
      </w:r>
      <w:r>
        <w:rPr>
          <w:i/>
        </w:rPr>
        <w:t xml:space="preserve">il y a </w:t>
      </w:r>
      <w:r>
        <w:t>est absent de ces genres</w:t>
      </w:r>
      <w:r w:rsidR="00360383">
        <w:t xml:space="preserve">, </w:t>
      </w:r>
      <w:r>
        <w:t xml:space="preserve">tout comme il l’est </w:t>
      </w:r>
      <w:r w:rsidR="00360383">
        <w:t>de</w:t>
      </w:r>
      <w:r w:rsidR="000533A3">
        <w:t>s</w:t>
      </w:r>
      <w:r>
        <w:t xml:space="preserve"> conversations formelles en milieu professionnel. </w:t>
      </w:r>
      <w:r w:rsidR="00D21A00">
        <w:t xml:space="preserve">Les constructions segmentées et les clivées sont les seuls dispositifs </w:t>
      </w:r>
      <w:r w:rsidR="000533A3">
        <w:t xml:space="preserve">non directs </w:t>
      </w:r>
      <w:r w:rsidR="00D21A00">
        <w:t>présents, mais à très faible fréquence (0,7 à 3,7%).</w:t>
      </w:r>
    </w:p>
    <w:p w14:paraId="591C00A9" w14:textId="6E7D0A60" w:rsidR="00575F72" w:rsidRDefault="008C0CEC" w:rsidP="00D85BEF">
      <w:pPr>
        <w:pStyle w:val="Body"/>
      </w:pPr>
      <w:r>
        <w:t xml:space="preserve">À l’inverse, le dispositif direct </w:t>
      </w:r>
      <w:r w:rsidR="00D21A00">
        <w:t>est le moins fréquent (</w:t>
      </w:r>
      <w:r>
        <w:t>79,5 à 84,1%</w:t>
      </w:r>
      <w:r w:rsidR="00D21A00">
        <w:t>)</w:t>
      </w:r>
      <w:r>
        <w:t xml:space="preserve"> dans les genres de la conversation informelle</w:t>
      </w:r>
      <w:r w:rsidR="008C5665">
        <w:t xml:space="preserve"> (conv-i)</w:t>
      </w:r>
      <w:r>
        <w:t>, de l’interview</w:t>
      </w:r>
      <w:r w:rsidR="00D21A00">
        <w:t xml:space="preserve"> télévisée de divertissement </w:t>
      </w:r>
      <w:r w:rsidR="008C5665">
        <w:t xml:space="preserve">(intlib) </w:t>
      </w:r>
      <w:r w:rsidR="00D21A00">
        <w:t>et de l’interview radio</w:t>
      </w:r>
      <w:r w:rsidR="008C5665">
        <w:t xml:space="preserve"> (intrad)</w:t>
      </w:r>
      <w:r w:rsidR="00D21A00">
        <w:t>. C’est dans ces trois genres, ainsi que dans la création radiophonique (single) et dans le débat politique</w:t>
      </w:r>
      <w:r w:rsidR="008C5665">
        <w:t xml:space="preserve"> (deb)</w:t>
      </w:r>
      <w:r w:rsidR="00D21A00">
        <w:t xml:space="preserve">, que les constructions segmentées sont aussi les plus fréquentes (10,7 à 15,9%). </w:t>
      </w:r>
    </w:p>
    <w:p w14:paraId="2252304F" w14:textId="7F8E03B0" w:rsidR="00AA163A" w:rsidRDefault="00AA163A" w:rsidP="00D85BEF">
      <w:pPr>
        <w:pStyle w:val="Body"/>
      </w:pPr>
      <w:r>
        <w:t>L’annotation des dispositifs de la construction verbale masque certaines différences au sein d’un même dispositif. Ainsi, les types</w:t>
      </w:r>
      <w:r w:rsidR="000533A3">
        <w:t xml:space="preserve"> fonctionnels</w:t>
      </w:r>
      <w:r>
        <w:t xml:space="preserve"> d’unités syntaxiques qu’on trouve au dispositif direct dans les discours préparés </w:t>
      </w:r>
      <w:r w:rsidR="00687223">
        <w:t>diffère</w:t>
      </w:r>
      <w:r w:rsidR="00781303">
        <w:t>nt-</w:t>
      </w:r>
      <w:r w:rsidR="000533A3">
        <w:t>i</w:t>
      </w:r>
      <w:r w:rsidR="00781303">
        <w:t>ls</w:t>
      </w:r>
      <w:r w:rsidR="00687223">
        <w:t xml:space="preserve"> sensiblement de </w:t>
      </w:r>
      <w:r w:rsidR="000533A3">
        <w:t>ceux</w:t>
      </w:r>
      <w:r w:rsidR="00687223">
        <w:t xml:space="preserve"> qu’on trouve en parole spontanée, en termes de longueur et de complexité (voir ex. </w:t>
      </w:r>
      <w:r w:rsidR="00781303">
        <w:t>(</w:t>
      </w:r>
      <w:r w:rsidR="00687223">
        <w:t>10-11</w:t>
      </w:r>
      <w:r w:rsidR="00781303">
        <w:t>)</w:t>
      </w:r>
      <w:r w:rsidR="00687223">
        <w:t xml:space="preserve"> </w:t>
      </w:r>
      <w:r w:rsidR="00687223" w:rsidRPr="009E313B">
        <w:rPr>
          <w:i/>
          <w:iCs/>
        </w:rPr>
        <w:t>vs</w:t>
      </w:r>
      <w:r w:rsidR="00687223">
        <w:t xml:space="preserve"> ex. </w:t>
      </w:r>
      <w:r w:rsidR="00781303">
        <w:t>(</w:t>
      </w:r>
      <w:r w:rsidR="00687223">
        <w:t>12</w:t>
      </w:r>
      <w:r w:rsidR="00781303">
        <w:t>)</w:t>
      </w:r>
      <w:r w:rsidR="00360383">
        <w:t xml:space="preserve"> ; </w:t>
      </w:r>
      <w:r w:rsidR="00687223">
        <w:t xml:space="preserve">chaque unité maximale de rection est présentée entre parenthèses). Cette dimension de la complexité syntaxique a été traitée </w:t>
      </w:r>
      <w:r w:rsidR="000533A3">
        <w:t>par</w:t>
      </w:r>
      <w:r w:rsidR="00687223">
        <w:t xml:space="preserve"> Poiret &amp; Liu (2020), qui mettent en avant une série de différences entre la syntaxe du français parlé et écrit, comme la prédominance des pronoms sujet à l’oral (spontané) ou la difficulté de traitement syntaxique</w:t>
      </w:r>
      <w:r w:rsidR="00580471">
        <w:t xml:space="preserve"> : </w:t>
      </w:r>
    </w:p>
    <w:p w14:paraId="4614032B" w14:textId="77777777" w:rsidR="00687223" w:rsidRPr="00687223" w:rsidRDefault="00687223" w:rsidP="00687223">
      <w:pPr>
        <w:pStyle w:val="ExempleNumero"/>
      </w:pPr>
      <w:r w:rsidRPr="00687223">
        <w:t>(et dix civils palestiniens ont également été blessés lors des violents échanges de tirs avec les soldats) (</w:t>
      </w:r>
      <w:r>
        <w:t xml:space="preserve">LOCAS-F, </w:t>
      </w:r>
      <w:r w:rsidRPr="00687223">
        <w:t>jpa-1)</w:t>
      </w:r>
    </w:p>
    <w:p w14:paraId="08CA5281" w14:textId="77777777" w:rsidR="00687223" w:rsidRDefault="00687223" w:rsidP="00687223">
      <w:pPr>
        <w:pStyle w:val="ExempleNumero"/>
      </w:pPr>
      <w:r w:rsidRPr="00687223">
        <w:t xml:space="preserve">(je ne lui vois </w:t>
      </w:r>
      <w:r>
        <w:t>d’é</w:t>
      </w:r>
      <w:r w:rsidRPr="00687223">
        <w:t>gal que celui des catholiques et des protestants) (lec-3)</w:t>
      </w:r>
    </w:p>
    <w:p w14:paraId="54CBD616" w14:textId="77777777" w:rsidR="00687223" w:rsidRDefault="00687223" w:rsidP="00687223">
      <w:pPr>
        <w:pStyle w:val="ExempleNumero"/>
      </w:pPr>
      <w:r w:rsidRPr="00687223">
        <w:t>(on a été d</w:t>
      </w:r>
      <w:r>
        <w:t>’</w:t>
      </w:r>
      <w:r w:rsidRPr="00687223">
        <w:t>abord euh) (on voulait aller à la séance de de vingt heures cinquante) mais euh (c</w:t>
      </w:r>
      <w:r>
        <w:t>’</w:t>
      </w:r>
      <w:r w:rsidRPr="00687223">
        <w:t>était bourré massacre) (</w:t>
      </w:r>
      <w:r>
        <w:t xml:space="preserve">LOCAS-F, </w:t>
      </w:r>
      <w:r w:rsidRPr="00687223">
        <w:t>conv-i-1)</w:t>
      </w:r>
    </w:p>
    <w:p w14:paraId="76D768BF" w14:textId="77777777" w:rsidR="00CB1FC2" w:rsidRDefault="00CB1FC2" w:rsidP="00CB1FC2">
      <w:pPr>
        <w:pStyle w:val="Body"/>
        <w:ind w:firstLine="0"/>
      </w:pPr>
    </w:p>
    <w:p w14:paraId="2AE0DED0" w14:textId="18C7B275" w:rsidR="00D21A00" w:rsidRDefault="00D21A00" w:rsidP="00811DD2">
      <w:pPr>
        <w:pStyle w:val="Body"/>
      </w:pPr>
      <w:r>
        <w:t>La construction clivée est intéressante, car elle est présente dans des genres plutôt formels</w:t>
      </w:r>
      <w:r w:rsidR="00301964">
        <w:t>, comme la réunion professionnelle</w:t>
      </w:r>
      <w:r w:rsidR="008C5665">
        <w:t xml:space="preserve"> (conv-f)</w:t>
      </w:r>
      <w:r w:rsidR="00301964">
        <w:t>, le discours politique</w:t>
      </w:r>
      <w:r w:rsidR="008C5665">
        <w:t xml:space="preserve"> (pol)</w:t>
      </w:r>
      <w:r w:rsidR="00301964">
        <w:t>, l’homélie</w:t>
      </w:r>
      <w:r w:rsidR="008C5665">
        <w:t xml:space="preserve"> (hom)</w:t>
      </w:r>
      <w:r w:rsidR="00301964">
        <w:t xml:space="preserve"> ou la conférence scientifique</w:t>
      </w:r>
      <w:r w:rsidR="008C5665">
        <w:t xml:space="preserve"> (cnf)</w:t>
      </w:r>
      <w:r w:rsidR="00301964">
        <w:t xml:space="preserve">. </w:t>
      </w:r>
    </w:p>
    <w:p w14:paraId="501B0AA6" w14:textId="77777777" w:rsidR="000533A3" w:rsidRDefault="00301964" w:rsidP="00D85BEF">
      <w:pPr>
        <w:pStyle w:val="Body"/>
      </w:pPr>
      <w:r>
        <w:t xml:space="preserve">Les genres plutôt informels sont les seuls à afficher des constructions verbales utilisant le dispositif en </w:t>
      </w:r>
      <w:r>
        <w:rPr>
          <w:i/>
        </w:rPr>
        <w:t>il y a</w:t>
      </w:r>
      <w:r>
        <w:t xml:space="preserve"> </w:t>
      </w:r>
      <w:r w:rsidR="00E57A89">
        <w:t xml:space="preserve">(Morel &amp; Danon-Boileau 1998) </w:t>
      </w:r>
      <w:r w:rsidR="000533A3">
        <w:t>ou</w:t>
      </w:r>
      <w:r>
        <w:t xml:space="preserve"> la binarisation. On peut donc dire que ces deux dispositifs, par leur rareté et </w:t>
      </w:r>
      <w:r w:rsidR="00360383">
        <w:t xml:space="preserve">par </w:t>
      </w:r>
      <w:r>
        <w:t xml:space="preserve">leur concentration, peuvent fonctionner comme des marqueurs des genres les plus spontanés. </w:t>
      </w:r>
    </w:p>
    <w:p w14:paraId="0FD09CB8" w14:textId="38B52E5A" w:rsidR="00301964" w:rsidRDefault="008A4585" w:rsidP="00D85BEF">
      <w:pPr>
        <w:pStyle w:val="Body"/>
      </w:pPr>
      <w:r>
        <w:t xml:space="preserve">Nous avons complété cette analyse </w:t>
      </w:r>
      <w:r w:rsidR="000533A3">
        <w:t xml:space="preserve">descriptive et </w:t>
      </w:r>
      <w:r w:rsidR="00E30C90">
        <w:t>interprétative</w:t>
      </w:r>
      <w:r>
        <w:t xml:space="preserve"> par une analyse statistique sous </w:t>
      </w:r>
      <w:r w:rsidR="00360383">
        <w:t xml:space="preserve">la </w:t>
      </w:r>
      <w:r>
        <w:t>forme d’arbre d’inférence conditionnelle calculée sous SPSS (méthode de croissance : CHAID, ou « Détection automatique d'interactions basée sur le chi-carré »), avec les 6 dispositifs comme variables dépendantes et les 14 genres comme variables indépendantes</w:t>
      </w:r>
      <w:r w:rsidR="00360383">
        <w:t xml:space="preserve"> (</w:t>
      </w:r>
      <w:r>
        <w:t xml:space="preserve">n= 3576). </w:t>
      </w:r>
      <w:r w:rsidR="000533A3">
        <w:t>L</w:t>
      </w:r>
      <w:r>
        <w:t xml:space="preserve">es interactions entre les variables dépendantes et indépendantes </w:t>
      </w:r>
      <w:r w:rsidRPr="00DB73AD">
        <w:t>explique</w:t>
      </w:r>
      <w:r w:rsidR="008313FF" w:rsidRPr="00DB73AD">
        <w:t>nt</w:t>
      </w:r>
      <w:r>
        <w:t xml:space="preserve"> la variance du modèle à 86,2</w:t>
      </w:r>
      <w:r w:rsidR="00580471">
        <w:t>%</w:t>
      </w:r>
      <w:r w:rsidR="000533A3">
        <w:t>, comme cela est illustré dans la figure (1)</w:t>
      </w:r>
      <w:r w:rsidR="00580471">
        <w:t xml:space="preserve"> : </w:t>
      </w:r>
    </w:p>
    <w:p w14:paraId="6CBED34D" w14:textId="6FBD306C" w:rsidR="008A4585" w:rsidRDefault="008A4585" w:rsidP="00D85BEF">
      <w:pPr>
        <w:pStyle w:val="Body"/>
      </w:pPr>
    </w:p>
    <w:p w14:paraId="47F79E63" w14:textId="63AD3C16" w:rsidR="008A4585" w:rsidRPr="008A4585" w:rsidRDefault="008A4585" w:rsidP="00BB19FB">
      <w:pPr>
        <w:rPr>
          <w:lang w:val="en-US"/>
        </w:rPr>
      </w:pPr>
      <w:r w:rsidRPr="00BB19FB">
        <w:rPr>
          <w:noProof/>
          <w:lang w:val="fr-BE" w:eastAsia="fr-BE"/>
        </w:rPr>
        <w:drawing>
          <wp:inline distT="0" distB="0" distL="0" distR="0" wp14:anchorId="00DD6571" wp14:editId="02313AD8">
            <wp:extent cx="4318953" cy="2136140"/>
            <wp:effectExtent l="0" t="0" r="571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6098" cy="2139674"/>
                    </a:xfrm>
                    <a:prstGeom prst="rect">
                      <a:avLst/>
                    </a:prstGeom>
                    <a:noFill/>
                    <a:ln>
                      <a:noFill/>
                    </a:ln>
                  </pic:spPr>
                </pic:pic>
              </a:graphicData>
            </a:graphic>
          </wp:inline>
        </w:drawing>
      </w:r>
    </w:p>
    <w:p w14:paraId="7FEF0883" w14:textId="0C72E636" w:rsidR="008A4585" w:rsidRPr="002205FF" w:rsidRDefault="008A4585" w:rsidP="002205FF">
      <w:pPr>
        <w:pStyle w:val="Body"/>
        <w:ind w:firstLine="0"/>
        <w:rPr>
          <w:rFonts w:ascii="Arial" w:hAnsi="Arial" w:cs="Arial"/>
          <w:sz w:val="16"/>
          <w:szCs w:val="16"/>
        </w:rPr>
      </w:pPr>
      <w:r w:rsidRPr="002205FF">
        <w:rPr>
          <w:rFonts w:ascii="Arial" w:hAnsi="Arial" w:cs="Arial"/>
          <w:sz w:val="16"/>
          <w:szCs w:val="16"/>
        </w:rPr>
        <w:t xml:space="preserve">Figure 1 : Arbre d’inférence conditionnelle (méthode CHAID, n=3576) </w:t>
      </w:r>
      <w:r w:rsidR="002205FF">
        <w:rPr>
          <w:rFonts w:ascii="Arial" w:hAnsi="Arial" w:cs="Arial"/>
          <w:sz w:val="16"/>
          <w:szCs w:val="16"/>
        </w:rPr>
        <w:t>de l’interaction entre</w:t>
      </w:r>
      <w:r w:rsidRPr="002205FF">
        <w:rPr>
          <w:rFonts w:ascii="Arial" w:hAnsi="Arial" w:cs="Arial"/>
          <w:sz w:val="16"/>
          <w:szCs w:val="16"/>
        </w:rPr>
        <w:t xml:space="preserve"> les genres </w:t>
      </w:r>
      <w:r w:rsidR="002205FF">
        <w:rPr>
          <w:rFonts w:ascii="Arial" w:hAnsi="Arial" w:cs="Arial"/>
          <w:sz w:val="16"/>
          <w:szCs w:val="16"/>
        </w:rPr>
        <w:t>(var. indép.) et les</w:t>
      </w:r>
      <w:r w:rsidRPr="002205FF">
        <w:rPr>
          <w:rFonts w:ascii="Arial" w:hAnsi="Arial" w:cs="Arial"/>
          <w:sz w:val="16"/>
          <w:szCs w:val="16"/>
        </w:rPr>
        <w:t xml:space="preserve"> dispositifs</w:t>
      </w:r>
      <w:r w:rsidR="002205FF">
        <w:rPr>
          <w:rFonts w:ascii="Arial" w:hAnsi="Arial" w:cs="Arial"/>
          <w:sz w:val="16"/>
          <w:szCs w:val="16"/>
        </w:rPr>
        <w:t xml:space="preserve"> (var. dép.)</w:t>
      </w:r>
    </w:p>
    <w:p w14:paraId="2FA3D7F6" w14:textId="77777777" w:rsidR="008A4585" w:rsidRDefault="008A4585" w:rsidP="008A4585">
      <w:pPr>
        <w:pStyle w:val="Body"/>
        <w:ind w:firstLine="0"/>
      </w:pPr>
    </w:p>
    <w:p w14:paraId="31D7B7C0" w14:textId="23B52582" w:rsidR="0072212A" w:rsidRDefault="008A4585" w:rsidP="00811DD2">
      <w:pPr>
        <w:pStyle w:val="Body"/>
      </w:pPr>
      <w:r>
        <w:t xml:space="preserve">L’analyse montre </w:t>
      </w:r>
      <w:r w:rsidR="00C37B0A">
        <w:t xml:space="preserve">qu’il </w:t>
      </w:r>
      <w:r w:rsidR="000533A3">
        <w:t>existe</w:t>
      </w:r>
      <w:r w:rsidR="00C37B0A">
        <w:t xml:space="preserve"> une interaction significative entre la distribution des constructions verbales et segmentées et les genres représentés dans le corpus. Plus précisément, </w:t>
      </w:r>
      <w:r w:rsidR="00580471">
        <w:t xml:space="preserve">elle </w:t>
      </w:r>
      <w:r w:rsidR="00C37B0A">
        <w:t xml:space="preserve">révèle </w:t>
      </w:r>
      <w:r>
        <w:t>5 nœuds statistiquement distincts</w:t>
      </w:r>
      <w:r w:rsidR="00C37B0A">
        <w:t xml:space="preserve">, </w:t>
      </w:r>
      <w:r w:rsidR="00360383">
        <w:t>correspondant à autant de</w:t>
      </w:r>
      <w:r w:rsidR="00C37B0A">
        <w:t xml:space="preserve"> regroupements de genres</w:t>
      </w:r>
      <w:r>
        <w:t>. Le premier (n=499) regroupe les trois genres marqués par un emploi quasi</w:t>
      </w:r>
      <w:r w:rsidR="003713A6">
        <w:t>ment</w:t>
      </w:r>
      <w:r>
        <w:t xml:space="preserve"> exclusif du dispositif direct, à savoir le discours académique, le journal parlé et la lecture à haute voix, qui se distinguaient également dans notre </w:t>
      </w:r>
      <w:r w:rsidR="005A198C">
        <w:t xml:space="preserve">première </w:t>
      </w:r>
      <w:r>
        <w:t xml:space="preserve">analyse comme les genres les plus proches de l’écrit formel. Le deuxième nœud (n=566) reprend l’homélie, la conférence scientifique et l’interview sociolinguistique, </w:t>
      </w:r>
      <w:r w:rsidR="0057393D">
        <w:t xml:space="preserve">trois genres </w:t>
      </w:r>
      <w:r w:rsidR="0072212A">
        <w:t xml:space="preserve">marqués par un profil </w:t>
      </w:r>
      <w:r w:rsidR="00E57A89">
        <w:t>intermédiaire</w:t>
      </w:r>
      <w:r w:rsidR="0072212A">
        <w:t xml:space="preserve"> en ce qui concerne les dispositifs mis en œuvre. En effet, chacun des dispositifs et </w:t>
      </w:r>
      <w:r w:rsidR="00E57A89">
        <w:t xml:space="preserve">des </w:t>
      </w:r>
      <w:r w:rsidR="0072212A">
        <w:t xml:space="preserve">constructions segmentées présente une fréquence proche de la moyenne de l’ensemble du corpus. </w:t>
      </w:r>
      <w:r>
        <w:t xml:space="preserve">Le troisième nœud (n= 449) reprenant la conversation formelle professionnelle et le discours politique se distingue </w:t>
      </w:r>
      <w:r w:rsidR="0072212A">
        <w:t xml:space="preserve">par l’absence de deux dispositifs : </w:t>
      </w:r>
      <w:r w:rsidR="00E57A89">
        <w:t>le dispositif présentationnel</w:t>
      </w:r>
      <w:r w:rsidR="0072212A">
        <w:t xml:space="preserve"> en </w:t>
      </w:r>
      <w:r w:rsidR="0072212A" w:rsidRPr="00DB73AD">
        <w:rPr>
          <w:i/>
        </w:rPr>
        <w:t>il y a</w:t>
      </w:r>
      <w:r w:rsidR="0072212A">
        <w:t xml:space="preserve"> et les pseudo-clivées.</w:t>
      </w:r>
      <w:r>
        <w:t xml:space="preserve"> Le quatrième (n=346) isole le genre de la conversation informelle spontanée, caractérisée par la proportion la plus faible de dispositif</w:t>
      </w:r>
      <w:r w:rsidR="00E30C90">
        <w:t>s</w:t>
      </w:r>
      <w:r>
        <w:t xml:space="preserve"> direct</w:t>
      </w:r>
      <w:r w:rsidR="00E30C90">
        <w:t>s</w:t>
      </w:r>
      <w:r w:rsidR="0072212A">
        <w:t>, la fréquence la plus élevée de constructions segmentées et la</w:t>
      </w:r>
      <w:r>
        <w:t xml:space="preserve"> présence de </w:t>
      </w:r>
      <w:r w:rsidR="00E30C90">
        <w:t xml:space="preserve">tous les </w:t>
      </w:r>
      <w:r w:rsidR="0072212A">
        <w:t xml:space="preserve">autres </w:t>
      </w:r>
      <w:r w:rsidR="00E30C90">
        <w:t xml:space="preserve">sous-types de </w:t>
      </w:r>
      <w:r>
        <w:t>dispositifs non</w:t>
      </w:r>
      <w:r w:rsidR="00E57A89">
        <w:t xml:space="preserve"> </w:t>
      </w:r>
      <w:r>
        <w:t>directs. Enfin, le cinquième nœud (n=1713) reprend le</w:t>
      </w:r>
      <w:r w:rsidR="0072212A">
        <w:t xml:space="preserve"> </w:t>
      </w:r>
      <w:r>
        <w:t xml:space="preserve">débat politique, </w:t>
      </w:r>
      <w:r w:rsidR="0072212A">
        <w:t>l’</w:t>
      </w:r>
      <w:r>
        <w:t xml:space="preserve">interview télévisée, </w:t>
      </w:r>
      <w:r w:rsidR="0072212A">
        <w:t>l’</w:t>
      </w:r>
      <w:r>
        <w:t xml:space="preserve">interview radiophonique, </w:t>
      </w:r>
      <w:r w:rsidR="0072212A">
        <w:t xml:space="preserve">le </w:t>
      </w:r>
      <w:r>
        <w:t xml:space="preserve">récit conversationnel et la performance radiophonique. Il s’agit de situations communicatives qui sont toutes assez spontanées, </w:t>
      </w:r>
      <w:r w:rsidR="0072212A">
        <w:t>ce qui semble se refléter dans le profil fréquentiel assez similaire à celui de la conversation informelle, si ce n’est que la proportion du dispositif direct est plus élevée et que les autres dispositifs (tous présents</w:t>
      </w:r>
      <w:r w:rsidR="00E57A89">
        <w:t>,</w:t>
      </w:r>
      <w:r w:rsidR="0072212A">
        <w:t xml:space="preserve"> comme dans la conversation informelle) se distribuent différemment. </w:t>
      </w:r>
    </w:p>
    <w:p w14:paraId="5B514EAF" w14:textId="076F12C7" w:rsidR="008A4585" w:rsidRDefault="008A4585" w:rsidP="00811DD2">
      <w:pPr>
        <w:pStyle w:val="Body"/>
      </w:pPr>
      <w:r>
        <w:t xml:space="preserve">Si l’analyse statistique a pu montrer quels genres appellent préférentiellement quels dispositifs, </w:t>
      </w:r>
      <w:r w:rsidR="00AA539E">
        <w:t xml:space="preserve">elle ne permet pas de déterminer si certains traits situationnels sont plus prédictifs que d’autres. La section </w:t>
      </w:r>
      <w:r w:rsidR="00AF0313">
        <w:t xml:space="preserve">suivante </w:t>
      </w:r>
      <w:r w:rsidR="00AA539E">
        <w:t>est consacrée à cette question.</w:t>
      </w:r>
    </w:p>
    <w:p w14:paraId="350205D7" w14:textId="77777777" w:rsidR="008A4585" w:rsidRPr="00301964" w:rsidRDefault="008A4585" w:rsidP="00D85BEF">
      <w:pPr>
        <w:pStyle w:val="Body"/>
      </w:pPr>
    </w:p>
    <w:p w14:paraId="5118F970" w14:textId="77777777" w:rsidR="002B35DB" w:rsidRDefault="002B35DB" w:rsidP="002B35DB">
      <w:pPr>
        <w:pStyle w:val="Titre20"/>
      </w:pPr>
      <w:r>
        <w:t>4.</w:t>
      </w:r>
      <w:r w:rsidR="003F208F">
        <w:t>2</w:t>
      </w:r>
      <w:r>
        <w:t xml:space="preserve">. </w:t>
      </w:r>
      <w:r w:rsidR="003F208F">
        <w:t xml:space="preserve">Effets des </w:t>
      </w:r>
      <w:r>
        <w:t>traits situationnels</w:t>
      </w:r>
      <w:r w:rsidR="001A3F0C">
        <w:t xml:space="preserve"> sur les constructions verbales</w:t>
      </w:r>
    </w:p>
    <w:p w14:paraId="4626192D" w14:textId="2ABFECBC" w:rsidR="003F208F" w:rsidRDefault="00301964" w:rsidP="00301964">
      <w:pPr>
        <w:pStyle w:val="Body"/>
      </w:pPr>
      <w:r>
        <w:t xml:space="preserve">Chaque genre représenté dans le corpus est décrit comme une matrice de traits situationnels (voir Tableau </w:t>
      </w:r>
      <w:r w:rsidR="00C04812">
        <w:t>(</w:t>
      </w:r>
      <w:r>
        <w:t>2</w:t>
      </w:r>
      <w:r w:rsidR="00C04812">
        <w:t>)</w:t>
      </w:r>
      <w:r>
        <w:t xml:space="preserve"> et Annexe </w:t>
      </w:r>
      <w:r w:rsidR="00C04812">
        <w:t>(</w:t>
      </w:r>
      <w:r>
        <w:t>1</w:t>
      </w:r>
      <w:r w:rsidR="00C04812">
        <w:t>)</w:t>
      </w:r>
      <w:r>
        <w:t xml:space="preserve">). </w:t>
      </w:r>
      <w:r w:rsidR="00CB1FC2">
        <w:t xml:space="preserve">Par conséquent, </w:t>
      </w:r>
      <w:r>
        <w:t xml:space="preserve">nous </w:t>
      </w:r>
      <w:r w:rsidR="00CB1FC2">
        <w:t>pouvons</w:t>
      </w:r>
      <w:r>
        <w:t xml:space="preserve"> test</w:t>
      </w:r>
      <w:r w:rsidR="00CB1FC2">
        <w:t>er</w:t>
      </w:r>
      <w:r>
        <w:t xml:space="preserve"> quel</w:t>
      </w:r>
      <w:r w:rsidR="00CB1FC2">
        <w:t>s</w:t>
      </w:r>
      <w:r>
        <w:t xml:space="preserve"> </w:t>
      </w:r>
      <w:r w:rsidR="00C04812">
        <w:t xml:space="preserve">sont ceux qui </w:t>
      </w:r>
      <w:r>
        <w:t>permett</w:t>
      </w:r>
      <w:r w:rsidR="00CB1FC2">
        <w:t>ent</w:t>
      </w:r>
      <w:r>
        <w:t xml:space="preserve"> le mieux d’expliquer la distribution des dispositifs et la fréquence des constructions segmentées à travers les échantillons du corpus. </w:t>
      </w:r>
      <w:r w:rsidR="00CB1FC2">
        <w:t xml:space="preserve">Une inspection du regroupement des genres résultant des analyses </w:t>
      </w:r>
      <w:r w:rsidR="005A198C">
        <w:t>interprétative</w:t>
      </w:r>
      <w:r w:rsidR="00CB1FC2">
        <w:t xml:space="preserve"> et statistique présentée</w:t>
      </w:r>
      <w:r w:rsidR="005A198C">
        <w:t>s</w:t>
      </w:r>
      <w:r w:rsidR="00CB1FC2">
        <w:t xml:space="preserve"> dans la section </w:t>
      </w:r>
      <w:r w:rsidR="0057393D">
        <w:t>(</w:t>
      </w:r>
      <w:r w:rsidR="00CB1FC2">
        <w:t>4.1</w:t>
      </w:r>
      <w:r w:rsidR="0057393D">
        <w:t>)</w:t>
      </w:r>
      <w:r w:rsidR="00CB1FC2">
        <w:t xml:space="preserve"> nous conduit à l’hypothèse que deux traits seront déterminants : </w:t>
      </w:r>
      <w:r w:rsidR="00CB1FC2" w:rsidRPr="0057393D">
        <w:t>le degré de préparation (préparé, semi-préparé, non-préparé) et le degré d’interactivité</w:t>
      </w:r>
      <w:r w:rsidR="00CB1FC2">
        <w:t xml:space="preserve"> (interactif, semi-interactif, non-interactif). </w:t>
      </w:r>
      <w:r w:rsidR="00CB1FC2" w:rsidRPr="00DB73AD">
        <w:t>Un</w:t>
      </w:r>
      <w:r w:rsidR="009E66DD" w:rsidRPr="00DB73AD">
        <w:t>e</w:t>
      </w:r>
      <w:r w:rsidR="00CB1FC2">
        <w:t xml:space="preserve"> nouvelle analyse en arbre d’inférence conditionnelle sous SPSS (n=357</w:t>
      </w:r>
      <w:r w:rsidR="00260C77">
        <w:t>6</w:t>
      </w:r>
      <w:r w:rsidR="00CB1FC2">
        <w:t>, méthode de croissance CHAID)</w:t>
      </w:r>
      <w:r w:rsidR="00E57A89">
        <w:t xml:space="preserve"> a été menée,</w:t>
      </w:r>
      <w:r w:rsidR="00CB1FC2">
        <w:t xml:space="preserve"> avec cette fois les deux traits </w:t>
      </w:r>
      <w:r w:rsidR="00AF0313">
        <w:t xml:space="preserve">« préparation » et « interactivité » </w:t>
      </w:r>
      <w:r w:rsidR="00CB1FC2">
        <w:t>comme variables indépendantes et les dispositifs comme variables dépendantes</w:t>
      </w:r>
      <w:r w:rsidR="00E57A89">
        <w:t>. Elle</w:t>
      </w:r>
      <w:r w:rsidR="00CB1FC2">
        <w:t xml:space="preserve"> </w:t>
      </w:r>
      <w:r w:rsidR="00E57A89" w:rsidRPr="00DB73AD">
        <w:t xml:space="preserve">fait </w:t>
      </w:r>
      <w:r w:rsidR="00D24393" w:rsidRPr="00DB73AD">
        <w:t>appara</w:t>
      </w:r>
      <w:r w:rsidR="009E313B">
        <w:t>i</w:t>
      </w:r>
      <w:r w:rsidR="00D24393" w:rsidRPr="00DB73AD">
        <w:t>tre</w:t>
      </w:r>
      <w:r w:rsidR="00D24393">
        <w:t xml:space="preserve"> </w:t>
      </w:r>
      <w:r w:rsidR="00CB1FC2">
        <w:t xml:space="preserve">un arbre </w:t>
      </w:r>
      <w:r w:rsidR="003D11D7">
        <w:t xml:space="preserve">à </w:t>
      </w:r>
      <w:r w:rsidR="009E313B">
        <w:t>trois</w:t>
      </w:r>
      <w:r w:rsidR="003D11D7">
        <w:t xml:space="preserve"> nœuds avec </w:t>
      </w:r>
      <w:r w:rsidR="003D11D7" w:rsidRPr="009E313B">
        <w:t>deux</w:t>
      </w:r>
      <w:r w:rsidR="003D11D7">
        <w:t xml:space="preserve"> nœuds terminaux, incluant uniquement le degré de préparation. En d’autres mots, l’ajout de la variable « interactivité » n’augmente pas la validité du modèle. </w:t>
      </w:r>
      <w:r w:rsidR="00CB1FC2">
        <w:t xml:space="preserve">La variance expliquée est de 86,1%, ce qui est similaire au premier modèle testé. </w:t>
      </w:r>
      <w:r w:rsidR="0057393D">
        <w:t>Par conséquent</w:t>
      </w:r>
      <w:r w:rsidR="00CB1FC2">
        <w:t xml:space="preserve">, le modèle avec </w:t>
      </w:r>
      <w:r w:rsidR="002D2402">
        <w:t>1</w:t>
      </w:r>
      <w:r w:rsidR="00CB1FC2">
        <w:t xml:space="preserve"> x 3 variables indépendantes situationnelles est aussi performant que </w:t>
      </w:r>
      <w:r w:rsidR="00D24393">
        <w:t>celui</w:t>
      </w:r>
      <w:r w:rsidR="00CB1FC2">
        <w:t xml:space="preserve"> avec les 14 genres comme variables indépendantes. </w:t>
      </w:r>
      <w:r w:rsidR="00E57A89">
        <w:t>Plus précisément</w:t>
      </w:r>
      <w:r w:rsidR="004D606B">
        <w:t>, les données se répartissent entre discours préparés</w:t>
      </w:r>
      <w:r w:rsidR="008C5665">
        <w:t>, d’une part,</w:t>
      </w:r>
      <w:r w:rsidR="004D606B">
        <w:t xml:space="preserve"> et </w:t>
      </w:r>
      <w:r w:rsidR="008C5665">
        <w:t>discours semi</w:t>
      </w:r>
      <w:r w:rsidR="005D7F52">
        <w:t>-</w:t>
      </w:r>
      <w:r w:rsidR="008C5665">
        <w:t xml:space="preserve"> ou non préparés, d’autre part</w:t>
      </w:r>
      <w:r w:rsidR="004D606B">
        <w:t xml:space="preserve">. </w:t>
      </w:r>
      <w:r w:rsidR="00CB1FC2">
        <w:t xml:space="preserve">L’arbre est repris dans la </w:t>
      </w:r>
      <w:r w:rsidR="00C37B0A">
        <w:t>F</w:t>
      </w:r>
      <w:r w:rsidR="00CB1FC2">
        <w:t xml:space="preserve">igure </w:t>
      </w:r>
      <w:r w:rsidR="00D24393">
        <w:t>(</w:t>
      </w:r>
      <w:r w:rsidR="00CB1FC2">
        <w:t>2</w:t>
      </w:r>
      <w:r w:rsidR="00D24393">
        <w:t>)</w:t>
      </w:r>
      <w:r w:rsidR="00CB1FC2">
        <w:t>.</w:t>
      </w:r>
    </w:p>
    <w:p w14:paraId="3585ED26" w14:textId="2BDB2F42" w:rsidR="002D2402" w:rsidRDefault="002D2402" w:rsidP="00301964">
      <w:pPr>
        <w:pStyle w:val="Body"/>
      </w:pPr>
      <w:r>
        <w:rPr>
          <w:noProof/>
          <w:lang w:val="fr-BE" w:eastAsia="fr-BE"/>
        </w:rPr>
        <w:drawing>
          <wp:inline distT="0" distB="0" distL="0" distR="0" wp14:anchorId="12B0B612" wp14:editId="2E24A2F5">
            <wp:extent cx="2714625" cy="3471862"/>
            <wp:effectExtent l="0" t="0" r="0" b="0"/>
            <wp:docPr id="809" name="Drawing 2" descr="img.eps"/>
            <wp:cNvGraphicFramePr/>
            <a:graphic xmlns:a="http://schemas.openxmlformats.org/drawingml/2006/main">
              <a:graphicData uri="http://schemas.openxmlformats.org/drawingml/2006/picture">
                <pic:pic xmlns:pic="http://schemas.openxmlformats.org/drawingml/2006/picture">
                  <pic:nvPicPr>
                    <pic:cNvPr id="0" name="Picture 2" descr="img.eps"/>
                    <pic:cNvPicPr>
                      <a:picLocks noChangeAspect="1"/>
                    </pic:cNvPicPr>
                  </pic:nvPicPr>
                  <pic:blipFill>
                    <a:blip r:embed="rId12"/>
                    <a:stretch>
                      <a:fillRect/>
                    </a:stretch>
                  </pic:blipFill>
                  <pic:spPr>
                    <a:xfrm>
                      <a:off x="0" y="0"/>
                      <a:ext cx="2724470" cy="3484453"/>
                    </a:xfrm>
                    <a:prstGeom prst="rect">
                      <a:avLst/>
                    </a:prstGeom>
                  </pic:spPr>
                </pic:pic>
              </a:graphicData>
            </a:graphic>
          </wp:inline>
        </w:drawing>
      </w:r>
    </w:p>
    <w:p w14:paraId="689EB6E4" w14:textId="02660515" w:rsidR="002D2402" w:rsidRDefault="002D2402" w:rsidP="00301964">
      <w:pPr>
        <w:pStyle w:val="Body"/>
        <w:rPr>
          <w:rFonts w:ascii="Arial" w:hAnsi="Arial" w:cs="Arial"/>
          <w:sz w:val="16"/>
          <w:szCs w:val="16"/>
        </w:rPr>
      </w:pPr>
      <w:bookmarkStart w:id="0" w:name="_Hlk149768451"/>
      <w:r w:rsidRPr="002205FF">
        <w:rPr>
          <w:rFonts w:ascii="Arial" w:hAnsi="Arial" w:cs="Arial"/>
          <w:sz w:val="16"/>
          <w:szCs w:val="16"/>
        </w:rPr>
        <w:t xml:space="preserve">Figure </w:t>
      </w:r>
      <w:r>
        <w:rPr>
          <w:rFonts w:ascii="Arial" w:hAnsi="Arial" w:cs="Arial"/>
          <w:sz w:val="16"/>
          <w:szCs w:val="16"/>
        </w:rPr>
        <w:t>2</w:t>
      </w:r>
      <w:r w:rsidRPr="002205FF">
        <w:rPr>
          <w:rFonts w:ascii="Arial" w:hAnsi="Arial" w:cs="Arial"/>
          <w:sz w:val="16"/>
          <w:szCs w:val="16"/>
        </w:rPr>
        <w:t xml:space="preserve"> : Arbre d’inférence conditionnelle (méthode CHAID, n=3576) </w:t>
      </w:r>
      <w:r>
        <w:rPr>
          <w:rFonts w:ascii="Arial" w:hAnsi="Arial" w:cs="Arial"/>
          <w:sz w:val="16"/>
          <w:szCs w:val="16"/>
        </w:rPr>
        <w:t>de l’interaction entre</w:t>
      </w:r>
      <w:r w:rsidRPr="002205FF">
        <w:rPr>
          <w:rFonts w:ascii="Arial" w:hAnsi="Arial" w:cs="Arial"/>
          <w:sz w:val="16"/>
          <w:szCs w:val="16"/>
        </w:rPr>
        <w:t xml:space="preserve"> les </w:t>
      </w:r>
      <w:r>
        <w:rPr>
          <w:rFonts w:ascii="Arial" w:hAnsi="Arial" w:cs="Arial"/>
          <w:sz w:val="16"/>
          <w:szCs w:val="16"/>
        </w:rPr>
        <w:t>traits situationnels préparation et interaction</w:t>
      </w:r>
      <w:r w:rsidRPr="002205FF">
        <w:rPr>
          <w:rFonts w:ascii="Arial" w:hAnsi="Arial" w:cs="Arial"/>
          <w:sz w:val="16"/>
          <w:szCs w:val="16"/>
        </w:rPr>
        <w:t xml:space="preserve"> </w:t>
      </w:r>
      <w:r>
        <w:rPr>
          <w:rFonts w:ascii="Arial" w:hAnsi="Arial" w:cs="Arial"/>
          <w:sz w:val="16"/>
          <w:szCs w:val="16"/>
        </w:rPr>
        <w:t>(var. indép.) et les</w:t>
      </w:r>
      <w:r w:rsidRPr="002205FF">
        <w:rPr>
          <w:rFonts w:ascii="Arial" w:hAnsi="Arial" w:cs="Arial"/>
          <w:sz w:val="16"/>
          <w:szCs w:val="16"/>
        </w:rPr>
        <w:t xml:space="preserve"> dispositifs</w:t>
      </w:r>
      <w:r>
        <w:rPr>
          <w:rFonts w:ascii="Arial" w:hAnsi="Arial" w:cs="Arial"/>
          <w:sz w:val="16"/>
          <w:szCs w:val="16"/>
        </w:rPr>
        <w:t xml:space="preserve"> (var. dép.).</w:t>
      </w:r>
      <w:bookmarkEnd w:id="0"/>
      <w:r>
        <w:rPr>
          <w:rFonts w:ascii="Arial" w:hAnsi="Arial" w:cs="Arial"/>
          <w:sz w:val="16"/>
          <w:szCs w:val="16"/>
        </w:rPr>
        <w:t xml:space="preserve"> Seule la variable « degré de préparation » est retenue par le modèle.</w:t>
      </w:r>
    </w:p>
    <w:p w14:paraId="36B1C4DF" w14:textId="77777777" w:rsidR="002D2402" w:rsidRDefault="002D2402" w:rsidP="00301964">
      <w:pPr>
        <w:pStyle w:val="Body"/>
      </w:pPr>
    </w:p>
    <w:p w14:paraId="34EF45CA" w14:textId="6FF375CD" w:rsidR="002D2402" w:rsidRDefault="00762F39" w:rsidP="00301964">
      <w:pPr>
        <w:pStyle w:val="Body"/>
      </w:pPr>
      <w:r w:rsidRPr="00360383">
        <w:t>La</w:t>
      </w:r>
      <w:r>
        <w:t xml:space="preserve"> </w:t>
      </w:r>
      <w:r w:rsidR="004D606B">
        <w:t>variable</w:t>
      </w:r>
      <w:r w:rsidR="002D2402">
        <w:t xml:space="preserve"> degré de préparation montre une </w:t>
      </w:r>
      <w:r w:rsidR="008C5665">
        <w:t>ré</w:t>
      </w:r>
      <w:r w:rsidR="002D2402">
        <w:t xml:space="preserve">partition </w:t>
      </w:r>
      <w:r w:rsidR="004D606B">
        <w:t xml:space="preserve">statistiquement significative </w:t>
      </w:r>
      <w:r w:rsidR="002D2402">
        <w:t>des données entre</w:t>
      </w:r>
      <w:r w:rsidR="00D83021">
        <w:t>, d’une part, les productions orales non</w:t>
      </w:r>
      <w:r w:rsidR="00E57A89">
        <w:t xml:space="preserve"> </w:t>
      </w:r>
      <w:r w:rsidR="00D83021">
        <w:t>préparées et semi-préparées (branche de gauche, n=2700) et, d’autre part, les discours</w:t>
      </w:r>
      <w:r w:rsidR="00E57A89">
        <w:t xml:space="preserve"> oraux</w:t>
      </w:r>
      <w:r w:rsidR="00D83021">
        <w:t xml:space="preserve"> préparés (branche de droite, n=876). Comparativement, </w:t>
      </w:r>
      <w:r w:rsidR="00E57A89">
        <w:t xml:space="preserve">ces </w:t>
      </w:r>
      <w:r w:rsidR="00D83021">
        <w:t xml:space="preserve">derniers attirent significativement les dispositifs directs (91,7%) délaissant les autres types de </w:t>
      </w:r>
      <w:r w:rsidR="00E57A89">
        <w:t xml:space="preserve">dispositifs de la rection </w:t>
      </w:r>
      <w:r w:rsidR="00D83021">
        <w:t xml:space="preserve">verbale, alors que les premiers montrent non seulement une proportion moindre de dispositifs directs, bien que toujours largement majoritaire (84,3%), </w:t>
      </w:r>
      <w:r w:rsidR="00D83021" w:rsidRPr="00DB73AD">
        <w:t>mais</w:t>
      </w:r>
      <w:r w:rsidR="00D83021">
        <w:t xml:space="preserve"> surtout une présence accrue des constructions segmentées (10,5%), ainsi que, dans une proportion nettement moindre, des constructions clivées (2,1%) et </w:t>
      </w:r>
      <w:r w:rsidR="00E57A89">
        <w:t xml:space="preserve">présentationnelles </w:t>
      </w:r>
      <w:r w:rsidR="00D83021">
        <w:t xml:space="preserve">en </w:t>
      </w:r>
      <w:r w:rsidR="00D83021" w:rsidRPr="00DB73AD">
        <w:rPr>
          <w:i/>
        </w:rPr>
        <w:t>il y a</w:t>
      </w:r>
      <w:r w:rsidR="00D83021">
        <w:t xml:space="preserve"> (1,4%). </w:t>
      </w:r>
    </w:p>
    <w:p w14:paraId="35BEA34D" w14:textId="09DDD088" w:rsidR="00260C77" w:rsidRDefault="002D2402" w:rsidP="00301964">
      <w:pPr>
        <w:pStyle w:val="Body"/>
      </w:pPr>
      <w:r>
        <w:t xml:space="preserve">Afin de comprendre pourquoi le degré d’interactivité n’a pas été retenu par </w:t>
      </w:r>
      <w:r w:rsidR="0057393D">
        <w:t>le modèle</w:t>
      </w:r>
      <w:r>
        <w:t xml:space="preserve">, nous avons procédé à une </w:t>
      </w:r>
      <w:r w:rsidRPr="0057393D">
        <w:t>analyse</w:t>
      </w:r>
      <w:r>
        <w:t xml:space="preserve"> de la corrélation entre le degré de préparation et le degré d’interaction dans nos données. En effet, s’il y a une corrélation importante entre les deux variables, </w:t>
      </w:r>
      <w:r w:rsidR="00BB19FB">
        <w:t xml:space="preserve">celles-ci ne sont pas indépendantes et risquent d’avoir un pouvoir explicatif similaire plutôt que cumulatif pour ce qui est de la distribution </w:t>
      </w:r>
      <w:r>
        <w:t xml:space="preserve">des </w:t>
      </w:r>
      <w:r w:rsidR="00BB19FB">
        <w:t>constructions verbales et segmentées</w:t>
      </w:r>
      <w:r w:rsidR="0057393D">
        <w:t>. Le T</w:t>
      </w:r>
      <w:r>
        <w:t xml:space="preserve">ableau </w:t>
      </w:r>
      <w:r w:rsidR="00281C75">
        <w:t>(</w:t>
      </w:r>
      <w:r>
        <w:t>8</w:t>
      </w:r>
      <w:r w:rsidR="00281C75">
        <w:t>)</w:t>
      </w:r>
      <w:r>
        <w:t xml:space="preserve"> montre que c’est en effet le cas. </w:t>
      </w:r>
      <w:r w:rsidR="00BB19FB">
        <w:t>Non seulement nos</w:t>
      </w:r>
      <w:r>
        <w:t xml:space="preserve"> données ne couvrent pas toutes les </w:t>
      </w:r>
      <w:r w:rsidR="00BB19FB">
        <w:t xml:space="preserve">interactions possibles entre les deux variables, comme en témoignent les cellules vides non-préparé/non-interactif, préparé/interactif, et préparé/semi-interactif, </w:t>
      </w:r>
      <w:r w:rsidR="0057393D">
        <w:t xml:space="preserve">mais </w:t>
      </w:r>
      <w:r w:rsidR="00BB19FB">
        <w:t xml:space="preserve">les valeurs fréquentielles elles-mêmes semblent au moins partiellement se superposer. </w:t>
      </w:r>
    </w:p>
    <w:p w14:paraId="4CD5946B" w14:textId="77777777" w:rsidR="00BB19FB" w:rsidRDefault="00BB19FB" w:rsidP="00301964">
      <w:pPr>
        <w:pStyle w:val="Body"/>
        <w:rPr>
          <w:rFonts w:ascii="Arial" w:hAnsi="Arial" w:cs="Arial"/>
          <w:sz w:val="16"/>
          <w:szCs w:val="16"/>
        </w:rPr>
      </w:pPr>
    </w:p>
    <w:p w14:paraId="77D28157" w14:textId="5AE92EA5" w:rsidR="00BB19FB" w:rsidRDefault="00BB19FB" w:rsidP="00301964">
      <w:pPr>
        <w:pStyle w:val="Body"/>
        <w:rPr>
          <w:rFonts w:ascii="Arial" w:hAnsi="Arial" w:cs="Arial"/>
          <w:sz w:val="16"/>
          <w:szCs w:val="16"/>
        </w:rPr>
      </w:pPr>
      <w:r w:rsidRPr="00BB19FB">
        <w:rPr>
          <w:rFonts w:ascii="Arial" w:hAnsi="Arial" w:cs="Arial"/>
          <w:sz w:val="16"/>
          <w:szCs w:val="16"/>
        </w:rPr>
        <w:t>Tableau 8. Distribution des dispositifs et des constructions segmentées par degré de préparation et d’interaction dans le corpus LOCAS-F (n = 3576).</w:t>
      </w:r>
    </w:p>
    <w:tbl>
      <w:tblPr>
        <w:tblW w:w="6803" w:type="dxa"/>
        <w:jc w:val="center"/>
        <w:tblLook w:val="04A0" w:firstRow="1" w:lastRow="0" w:firstColumn="1" w:lastColumn="0" w:noHBand="0" w:noVBand="1"/>
      </w:tblPr>
      <w:tblGrid>
        <w:gridCol w:w="1793"/>
        <w:gridCol w:w="1184"/>
        <w:gridCol w:w="992"/>
        <w:gridCol w:w="1276"/>
        <w:gridCol w:w="1558"/>
      </w:tblGrid>
      <w:tr w:rsidR="00BB19FB" w:rsidRPr="0067131D" w14:paraId="093D2EA7" w14:textId="77777777" w:rsidTr="00BB19FB">
        <w:trPr>
          <w:trHeight w:val="204"/>
          <w:jc w:val="center"/>
        </w:trPr>
        <w:tc>
          <w:tcPr>
            <w:tcW w:w="1793" w:type="dxa"/>
            <w:tcBorders>
              <w:top w:val="nil"/>
              <w:left w:val="nil"/>
              <w:bottom w:val="single" w:sz="4" w:space="0" w:color="8EA9DB"/>
              <w:right w:val="nil"/>
            </w:tcBorders>
            <w:shd w:val="clear" w:color="D9E1F2" w:fill="D9E1F2"/>
            <w:noWrap/>
            <w:vAlign w:val="bottom"/>
            <w:hideMark/>
          </w:tcPr>
          <w:p w14:paraId="64E523D8" w14:textId="77777777" w:rsidR="00BB19FB" w:rsidRPr="0067131D" w:rsidRDefault="00BB19FB" w:rsidP="0067131D">
            <w:pPr>
              <w:jc w:val="right"/>
              <w:rPr>
                <w:rFonts w:ascii="Arial" w:hAnsi="Arial" w:cs="Arial"/>
                <w:b/>
                <w:bCs/>
                <w:color w:val="000000"/>
                <w:sz w:val="16"/>
                <w:szCs w:val="16"/>
                <w:lang w:val="fr-BE" w:eastAsia="en-GB"/>
              </w:rPr>
            </w:pPr>
          </w:p>
        </w:tc>
        <w:tc>
          <w:tcPr>
            <w:tcW w:w="1184" w:type="dxa"/>
            <w:tcBorders>
              <w:top w:val="nil"/>
              <w:left w:val="nil"/>
              <w:bottom w:val="single" w:sz="4" w:space="0" w:color="8EA9DB"/>
              <w:right w:val="nil"/>
            </w:tcBorders>
            <w:shd w:val="clear" w:color="D9E1F2" w:fill="D9E1F2"/>
            <w:noWrap/>
            <w:vAlign w:val="bottom"/>
            <w:hideMark/>
          </w:tcPr>
          <w:p w14:paraId="459CFAC6" w14:textId="7AF8377C" w:rsidR="00BB19FB" w:rsidRPr="0067131D" w:rsidRDefault="00BB19FB" w:rsidP="0067131D">
            <w:pPr>
              <w:jc w:val="right"/>
              <w:rPr>
                <w:rFonts w:ascii="Arial" w:hAnsi="Arial" w:cs="Arial"/>
                <w:b/>
                <w:bCs/>
                <w:color w:val="000000"/>
                <w:sz w:val="16"/>
                <w:szCs w:val="16"/>
                <w:lang w:val="fr-BE" w:eastAsia="en-GB"/>
              </w:rPr>
            </w:pPr>
            <w:r w:rsidRPr="0067131D">
              <w:rPr>
                <w:rFonts w:ascii="Arial" w:hAnsi="Arial" w:cs="Arial"/>
                <w:b/>
                <w:bCs/>
                <w:color w:val="000000"/>
                <w:sz w:val="16"/>
                <w:szCs w:val="16"/>
                <w:lang w:val="fr-BE" w:eastAsia="en-GB"/>
              </w:rPr>
              <w:t>non</w:t>
            </w:r>
            <w:r w:rsidR="0067131D" w:rsidRPr="0067131D">
              <w:rPr>
                <w:rFonts w:ascii="Arial" w:hAnsi="Arial" w:cs="Arial"/>
                <w:b/>
                <w:bCs/>
                <w:color w:val="000000"/>
                <w:sz w:val="16"/>
                <w:szCs w:val="16"/>
                <w:lang w:val="fr-BE" w:eastAsia="en-GB"/>
              </w:rPr>
              <w:t xml:space="preserve"> </w:t>
            </w:r>
            <w:r w:rsidR="00281C75" w:rsidRPr="0067131D">
              <w:rPr>
                <w:rFonts w:ascii="Arial" w:hAnsi="Arial" w:cs="Arial"/>
                <w:b/>
                <w:bCs/>
                <w:color w:val="000000"/>
                <w:sz w:val="16"/>
                <w:szCs w:val="16"/>
                <w:lang w:val="fr-BE" w:eastAsia="en-GB"/>
              </w:rPr>
              <w:t>préparé</w:t>
            </w:r>
          </w:p>
        </w:tc>
        <w:tc>
          <w:tcPr>
            <w:tcW w:w="992" w:type="dxa"/>
            <w:tcBorders>
              <w:top w:val="nil"/>
              <w:left w:val="nil"/>
              <w:bottom w:val="single" w:sz="4" w:space="0" w:color="8EA9DB"/>
              <w:right w:val="nil"/>
            </w:tcBorders>
            <w:shd w:val="clear" w:color="D9E1F2" w:fill="D9E1F2"/>
            <w:noWrap/>
            <w:vAlign w:val="bottom"/>
            <w:hideMark/>
          </w:tcPr>
          <w:p w14:paraId="324D4796" w14:textId="746179F2" w:rsidR="00BB19FB" w:rsidRPr="0067131D" w:rsidRDefault="00936EE9" w:rsidP="0067131D">
            <w:pPr>
              <w:jc w:val="right"/>
              <w:rPr>
                <w:rFonts w:ascii="Arial" w:hAnsi="Arial" w:cs="Arial"/>
                <w:b/>
                <w:bCs/>
                <w:color w:val="000000"/>
                <w:sz w:val="16"/>
                <w:szCs w:val="16"/>
                <w:lang w:val="fr-BE" w:eastAsia="en-GB"/>
              </w:rPr>
            </w:pPr>
            <w:r w:rsidRPr="0067131D">
              <w:rPr>
                <w:rFonts w:ascii="Arial" w:hAnsi="Arial" w:cs="Arial"/>
                <w:b/>
                <w:bCs/>
                <w:color w:val="000000"/>
                <w:sz w:val="16"/>
                <w:szCs w:val="16"/>
                <w:lang w:val="fr-BE" w:eastAsia="en-GB"/>
              </w:rPr>
              <w:t>préparé</w:t>
            </w:r>
          </w:p>
        </w:tc>
        <w:tc>
          <w:tcPr>
            <w:tcW w:w="1276" w:type="dxa"/>
            <w:tcBorders>
              <w:top w:val="nil"/>
              <w:left w:val="nil"/>
              <w:bottom w:val="single" w:sz="4" w:space="0" w:color="8EA9DB"/>
              <w:right w:val="nil"/>
            </w:tcBorders>
            <w:shd w:val="clear" w:color="D9E1F2" w:fill="D9E1F2"/>
            <w:noWrap/>
            <w:vAlign w:val="bottom"/>
            <w:hideMark/>
          </w:tcPr>
          <w:p w14:paraId="59C00E2C" w14:textId="7EEE8605" w:rsidR="00BB19FB" w:rsidRPr="0067131D" w:rsidRDefault="00BB19FB" w:rsidP="0067131D">
            <w:pPr>
              <w:jc w:val="right"/>
              <w:rPr>
                <w:rFonts w:ascii="Arial" w:hAnsi="Arial" w:cs="Arial"/>
                <w:b/>
                <w:bCs/>
                <w:color w:val="000000"/>
                <w:sz w:val="16"/>
                <w:szCs w:val="16"/>
                <w:lang w:val="fr-BE" w:eastAsia="en-GB"/>
              </w:rPr>
            </w:pPr>
            <w:r w:rsidRPr="0067131D">
              <w:rPr>
                <w:rFonts w:ascii="Arial" w:hAnsi="Arial" w:cs="Arial"/>
                <w:b/>
                <w:bCs/>
                <w:color w:val="000000"/>
                <w:sz w:val="16"/>
                <w:szCs w:val="16"/>
                <w:lang w:val="fr-BE" w:eastAsia="en-GB"/>
              </w:rPr>
              <w:t>semi-</w:t>
            </w:r>
            <w:r w:rsidR="00936EE9" w:rsidRPr="0067131D">
              <w:rPr>
                <w:rFonts w:ascii="Arial" w:hAnsi="Arial" w:cs="Arial"/>
                <w:b/>
                <w:bCs/>
                <w:color w:val="000000"/>
                <w:sz w:val="16"/>
                <w:szCs w:val="16"/>
                <w:lang w:val="fr-BE" w:eastAsia="en-GB"/>
              </w:rPr>
              <w:t>préparé</w:t>
            </w:r>
          </w:p>
        </w:tc>
        <w:tc>
          <w:tcPr>
            <w:tcW w:w="1558" w:type="dxa"/>
            <w:tcBorders>
              <w:top w:val="nil"/>
              <w:left w:val="nil"/>
              <w:bottom w:val="single" w:sz="4" w:space="0" w:color="8EA9DB"/>
              <w:right w:val="nil"/>
            </w:tcBorders>
            <w:shd w:val="clear" w:color="D9E1F2" w:fill="D9E1F2"/>
            <w:noWrap/>
            <w:vAlign w:val="bottom"/>
            <w:hideMark/>
          </w:tcPr>
          <w:p w14:paraId="37EC8F2B" w14:textId="77777777" w:rsidR="00BB19FB" w:rsidRPr="0067131D" w:rsidRDefault="00BB19FB" w:rsidP="0067131D">
            <w:pPr>
              <w:jc w:val="right"/>
              <w:rPr>
                <w:rFonts w:ascii="Arial" w:hAnsi="Arial" w:cs="Arial"/>
                <w:b/>
                <w:bCs/>
                <w:color w:val="000000"/>
                <w:sz w:val="16"/>
                <w:szCs w:val="16"/>
                <w:lang w:val="fr-BE" w:eastAsia="en-GB"/>
              </w:rPr>
            </w:pPr>
            <w:r w:rsidRPr="0067131D">
              <w:rPr>
                <w:rFonts w:ascii="Arial" w:hAnsi="Arial" w:cs="Arial"/>
                <w:b/>
                <w:bCs/>
                <w:color w:val="000000"/>
                <w:sz w:val="16"/>
                <w:szCs w:val="16"/>
                <w:lang w:val="fr-BE" w:eastAsia="en-GB"/>
              </w:rPr>
              <w:t>Total général</w:t>
            </w:r>
          </w:p>
        </w:tc>
      </w:tr>
      <w:tr w:rsidR="00BB19FB" w:rsidRPr="0067131D" w14:paraId="5EC1A140" w14:textId="77777777" w:rsidTr="00BB19FB">
        <w:trPr>
          <w:trHeight w:val="204"/>
          <w:jc w:val="center"/>
        </w:trPr>
        <w:tc>
          <w:tcPr>
            <w:tcW w:w="1793" w:type="dxa"/>
            <w:tcBorders>
              <w:top w:val="nil"/>
              <w:left w:val="nil"/>
              <w:bottom w:val="nil"/>
              <w:right w:val="nil"/>
            </w:tcBorders>
            <w:shd w:val="clear" w:color="auto" w:fill="auto"/>
            <w:noWrap/>
            <w:vAlign w:val="bottom"/>
            <w:hideMark/>
          </w:tcPr>
          <w:p w14:paraId="0B3381D5" w14:textId="22E9AE32" w:rsidR="00BB19FB" w:rsidRPr="0067131D" w:rsidRDefault="0067131D" w:rsidP="00BB19FB">
            <w:pPr>
              <w:rPr>
                <w:rFonts w:ascii="Arial" w:hAnsi="Arial" w:cs="Arial"/>
                <w:color w:val="000000"/>
                <w:sz w:val="16"/>
                <w:szCs w:val="16"/>
                <w:lang w:val="fr-BE" w:eastAsia="en-GB"/>
              </w:rPr>
            </w:pPr>
            <w:r w:rsidRPr="0067131D">
              <w:rPr>
                <w:rFonts w:ascii="Arial" w:hAnsi="Arial" w:cs="Arial"/>
                <w:color w:val="000000"/>
                <w:sz w:val="16"/>
                <w:szCs w:val="16"/>
                <w:lang w:val="fr-BE" w:eastAsia="en-GB"/>
              </w:rPr>
              <w:t>i</w:t>
            </w:r>
            <w:r w:rsidR="00BB19FB" w:rsidRPr="0067131D">
              <w:rPr>
                <w:rFonts w:ascii="Arial" w:hAnsi="Arial" w:cs="Arial"/>
                <w:color w:val="000000"/>
                <w:sz w:val="16"/>
                <w:szCs w:val="16"/>
                <w:lang w:val="fr-BE" w:eastAsia="en-GB"/>
              </w:rPr>
              <w:t>nteractif</w:t>
            </w:r>
          </w:p>
        </w:tc>
        <w:tc>
          <w:tcPr>
            <w:tcW w:w="1184" w:type="dxa"/>
            <w:tcBorders>
              <w:top w:val="nil"/>
              <w:left w:val="nil"/>
              <w:bottom w:val="nil"/>
              <w:right w:val="nil"/>
            </w:tcBorders>
            <w:shd w:val="clear" w:color="auto" w:fill="auto"/>
            <w:noWrap/>
            <w:vAlign w:val="bottom"/>
            <w:hideMark/>
          </w:tcPr>
          <w:p w14:paraId="52086E97" w14:textId="77777777" w:rsidR="00BB19FB" w:rsidRPr="0067131D" w:rsidRDefault="00BB19FB" w:rsidP="00BB19FB">
            <w:pPr>
              <w:jc w:val="right"/>
              <w:rPr>
                <w:rFonts w:ascii="Arial" w:hAnsi="Arial" w:cs="Arial"/>
                <w:color w:val="000000"/>
                <w:sz w:val="16"/>
                <w:szCs w:val="16"/>
                <w:lang w:val="fr-BE" w:eastAsia="en-GB"/>
              </w:rPr>
            </w:pPr>
            <w:r w:rsidRPr="0067131D">
              <w:rPr>
                <w:rFonts w:ascii="Arial" w:hAnsi="Arial" w:cs="Arial"/>
                <w:color w:val="000000"/>
                <w:sz w:val="16"/>
                <w:szCs w:val="16"/>
                <w:lang w:val="fr-BE" w:eastAsia="en-GB"/>
              </w:rPr>
              <w:t>510</w:t>
            </w:r>
          </w:p>
        </w:tc>
        <w:tc>
          <w:tcPr>
            <w:tcW w:w="992" w:type="dxa"/>
            <w:tcBorders>
              <w:top w:val="nil"/>
              <w:left w:val="nil"/>
              <w:bottom w:val="nil"/>
              <w:right w:val="nil"/>
            </w:tcBorders>
            <w:shd w:val="clear" w:color="auto" w:fill="auto"/>
            <w:noWrap/>
            <w:vAlign w:val="bottom"/>
            <w:hideMark/>
          </w:tcPr>
          <w:p w14:paraId="2887891F" w14:textId="77777777" w:rsidR="00BB19FB" w:rsidRPr="0067131D" w:rsidRDefault="00BB19FB" w:rsidP="00BB19FB">
            <w:pPr>
              <w:jc w:val="right"/>
              <w:rPr>
                <w:rFonts w:ascii="Arial" w:hAnsi="Arial" w:cs="Arial"/>
                <w:color w:val="000000"/>
                <w:sz w:val="16"/>
                <w:szCs w:val="16"/>
                <w:lang w:val="fr-BE" w:eastAsia="en-GB"/>
              </w:rPr>
            </w:pPr>
          </w:p>
        </w:tc>
        <w:tc>
          <w:tcPr>
            <w:tcW w:w="1276" w:type="dxa"/>
            <w:tcBorders>
              <w:top w:val="nil"/>
              <w:left w:val="nil"/>
              <w:bottom w:val="nil"/>
              <w:right w:val="nil"/>
            </w:tcBorders>
            <w:shd w:val="clear" w:color="auto" w:fill="auto"/>
            <w:noWrap/>
            <w:vAlign w:val="bottom"/>
            <w:hideMark/>
          </w:tcPr>
          <w:p w14:paraId="72A4442C" w14:textId="77777777" w:rsidR="00BB19FB" w:rsidRPr="0067131D" w:rsidRDefault="00BB19FB" w:rsidP="00BB19FB">
            <w:pPr>
              <w:jc w:val="right"/>
              <w:rPr>
                <w:rFonts w:ascii="Arial" w:hAnsi="Arial" w:cs="Arial"/>
                <w:color w:val="000000"/>
                <w:sz w:val="16"/>
                <w:szCs w:val="16"/>
                <w:lang w:val="fr-BE" w:eastAsia="en-GB"/>
              </w:rPr>
            </w:pPr>
            <w:r w:rsidRPr="0067131D">
              <w:rPr>
                <w:rFonts w:ascii="Arial" w:hAnsi="Arial" w:cs="Arial"/>
                <w:color w:val="000000"/>
                <w:sz w:val="16"/>
                <w:szCs w:val="16"/>
                <w:lang w:val="fr-BE" w:eastAsia="en-GB"/>
              </w:rPr>
              <w:t>478</w:t>
            </w:r>
          </w:p>
        </w:tc>
        <w:tc>
          <w:tcPr>
            <w:tcW w:w="1558" w:type="dxa"/>
            <w:tcBorders>
              <w:top w:val="nil"/>
              <w:left w:val="nil"/>
              <w:bottom w:val="nil"/>
              <w:right w:val="nil"/>
            </w:tcBorders>
            <w:shd w:val="clear" w:color="auto" w:fill="auto"/>
            <w:noWrap/>
            <w:vAlign w:val="bottom"/>
            <w:hideMark/>
          </w:tcPr>
          <w:p w14:paraId="22D84AFD" w14:textId="77777777" w:rsidR="00BB19FB" w:rsidRPr="0067131D" w:rsidRDefault="00BB19FB" w:rsidP="00BB19FB">
            <w:pPr>
              <w:jc w:val="right"/>
              <w:rPr>
                <w:rFonts w:ascii="Arial" w:hAnsi="Arial" w:cs="Arial"/>
                <w:color w:val="000000"/>
                <w:sz w:val="16"/>
                <w:szCs w:val="16"/>
                <w:lang w:val="fr-BE" w:eastAsia="en-GB"/>
              </w:rPr>
            </w:pPr>
            <w:r w:rsidRPr="0067131D">
              <w:rPr>
                <w:rFonts w:ascii="Arial" w:hAnsi="Arial" w:cs="Arial"/>
                <w:color w:val="000000"/>
                <w:sz w:val="16"/>
                <w:szCs w:val="16"/>
                <w:lang w:val="fr-BE" w:eastAsia="en-GB"/>
              </w:rPr>
              <w:t>988</w:t>
            </w:r>
          </w:p>
        </w:tc>
      </w:tr>
      <w:tr w:rsidR="00BB19FB" w:rsidRPr="0067131D" w14:paraId="074B2EE2" w14:textId="77777777" w:rsidTr="00BB19FB">
        <w:trPr>
          <w:trHeight w:val="204"/>
          <w:jc w:val="center"/>
        </w:trPr>
        <w:tc>
          <w:tcPr>
            <w:tcW w:w="1793" w:type="dxa"/>
            <w:tcBorders>
              <w:top w:val="nil"/>
              <w:left w:val="nil"/>
              <w:bottom w:val="nil"/>
              <w:right w:val="nil"/>
            </w:tcBorders>
            <w:shd w:val="clear" w:color="auto" w:fill="auto"/>
            <w:noWrap/>
            <w:vAlign w:val="bottom"/>
            <w:hideMark/>
          </w:tcPr>
          <w:p w14:paraId="4554102E" w14:textId="09CBCFB8" w:rsidR="00BB19FB" w:rsidRPr="0067131D" w:rsidRDefault="00BB19FB" w:rsidP="0067131D">
            <w:pPr>
              <w:rPr>
                <w:rFonts w:ascii="Arial" w:hAnsi="Arial" w:cs="Arial"/>
                <w:color w:val="000000"/>
                <w:sz w:val="16"/>
                <w:szCs w:val="16"/>
                <w:lang w:val="fr-BE" w:eastAsia="en-GB"/>
              </w:rPr>
            </w:pPr>
            <w:r w:rsidRPr="0067131D">
              <w:rPr>
                <w:rFonts w:ascii="Arial" w:hAnsi="Arial" w:cs="Arial"/>
                <w:color w:val="000000"/>
                <w:sz w:val="16"/>
                <w:szCs w:val="16"/>
                <w:lang w:val="fr-BE" w:eastAsia="en-GB"/>
              </w:rPr>
              <w:t>non</w:t>
            </w:r>
            <w:r w:rsidR="0067131D" w:rsidRPr="0067131D">
              <w:rPr>
                <w:rFonts w:ascii="Arial" w:hAnsi="Arial" w:cs="Arial"/>
                <w:color w:val="000000"/>
                <w:sz w:val="16"/>
                <w:szCs w:val="16"/>
                <w:lang w:val="fr-BE" w:eastAsia="en-GB"/>
              </w:rPr>
              <w:t xml:space="preserve"> </w:t>
            </w:r>
            <w:r w:rsidRPr="0067131D">
              <w:rPr>
                <w:rFonts w:ascii="Arial" w:hAnsi="Arial" w:cs="Arial"/>
                <w:color w:val="000000"/>
                <w:sz w:val="16"/>
                <w:szCs w:val="16"/>
                <w:lang w:val="fr-BE" w:eastAsia="en-GB"/>
              </w:rPr>
              <w:t>interactif</w:t>
            </w:r>
          </w:p>
        </w:tc>
        <w:tc>
          <w:tcPr>
            <w:tcW w:w="1184" w:type="dxa"/>
            <w:tcBorders>
              <w:top w:val="nil"/>
              <w:left w:val="nil"/>
              <w:bottom w:val="nil"/>
              <w:right w:val="nil"/>
            </w:tcBorders>
            <w:shd w:val="clear" w:color="auto" w:fill="auto"/>
            <w:noWrap/>
            <w:vAlign w:val="bottom"/>
            <w:hideMark/>
          </w:tcPr>
          <w:p w14:paraId="44FD9F2F" w14:textId="77777777" w:rsidR="00BB19FB" w:rsidRPr="0067131D" w:rsidRDefault="00BB19FB" w:rsidP="00BB19FB">
            <w:pPr>
              <w:rPr>
                <w:rFonts w:ascii="Arial" w:hAnsi="Arial" w:cs="Arial"/>
                <w:color w:val="000000"/>
                <w:sz w:val="16"/>
                <w:szCs w:val="16"/>
                <w:lang w:val="fr-BE" w:eastAsia="en-GB"/>
              </w:rPr>
            </w:pPr>
          </w:p>
        </w:tc>
        <w:tc>
          <w:tcPr>
            <w:tcW w:w="992" w:type="dxa"/>
            <w:tcBorders>
              <w:top w:val="nil"/>
              <w:left w:val="nil"/>
              <w:bottom w:val="nil"/>
              <w:right w:val="nil"/>
            </w:tcBorders>
            <w:shd w:val="clear" w:color="auto" w:fill="auto"/>
            <w:noWrap/>
            <w:vAlign w:val="bottom"/>
            <w:hideMark/>
          </w:tcPr>
          <w:p w14:paraId="50D0AC2F" w14:textId="77777777" w:rsidR="00BB19FB" w:rsidRPr="0067131D" w:rsidRDefault="00BB19FB" w:rsidP="00BB19FB">
            <w:pPr>
              <w:jc w:val="right"/>
              <w:rPr>
                <w:rFonts w:ascii="Arial" w:hAnsi="Arial" w:cs="Arial"/>
                <w:color w:val="000000"/>
                <w:sz w:val="16"/>
                <w:szCs w:val="16"/>
                <w:lang w:val="fr-BE" w:eastAsia="en-GB"/>
              </w:rPr>
            </w:pPr>
            <w:r w:rsidRPr="0067131D">
              <w:rPr>
                <w:rFonts w:ascii="Arial" w:hAnsi="Arial" w:cs="Arial"/>
                <w:color w:val="000000"/>
                <w:sz w:val="16"/>
                <w:szCs w:val="16"/>
                <w:lang w:val="fr-BE" w:eastAsia="en-GB"/>
              </w:rPr>
              <w:t>876</w:t>
            </w:r>
          </w:p>
        </w:tc>
        <w:tc>
          <w:tcPr>
            <w:tcW w:w="1276" w:type="dxa"/>
            <w:tcBorders>
              <w:top w:val="nil"/>
              <w:left w:val="nil"/>
              <w:bottom w:val="nil"/>
              <w:right w:val="nil"/>
            </w:tcBorders>
            <w:shd w:val="clear" w:color="auto" w:fill="auto"/>
            <w:noWrap/>
            <w:vAlign w:val="bottom"/>
            <w:hideMark/>
          </w:tcPr>
          <w:p w14:paraId="706A664E" w14:textId="77777777" w:rsidR="00BB19FB" w:rsidRPr="0067131D" w:rsidRDefault="00BB19FB" w:rsidP="00BB19FB">
            <w:pPr>
              <w:jc w:val="right"/>
              <w:rPr>
                <w:rFonts w:ascii="Arial" w:hAnsi="Arial" w:cs="Arial"/>
                <w:color w:val="000000"/>
                <w:sz w:val="16"/>
                <w:szCs w:val="16"/>
                <w:lang w:val="fr-BE" w:eastAsia="en-GB"/>
              </w:rPr>
            </w:pPr>
            <w:r w:rsidRPr="0067131D">
              <w:rPr>
                <w:rFonts w:ascii="Arial" w:hAnsi="Arial" w:cs="Arial"/>
                <w:color w:val="000000"/>
                <w:sz w:val="16"/>
                <w:szCs w:val="16"/>
                <w:lang w:val="fr-BE" w:eastAsia="en-GB"/>
              </w:rPr>
              <w:t>394</w:t>
            </w:r>
          </w:p>
        </w:tc>
        <w:tc>
          <w:tcPr>
            <w:tcW w:w="1558" w:type="dxa"/>
            <w:tcBorders>
              <w:top w:val="nil"/>
              <w:left w:val="nil"/>
              <w:bottom w:val="nil"/>
              <w:right w:val="nil"/>
            </w:tcBorders>
            <w:shd w:val="clear" w:color="auto" w:fill="auto"/>
            <w:noWrap/>
            <w:vAlign w:val="bottom"/>
            <w:hideMark/>
          </w:tcPr>
          <w:p w14:paraId="3CE3B95E" w14:textId="77777777" w:rsidR="00BB19FB" w:rsidRPr="0067131D" w:rsidRDefault="00BB19FB" w:rsidP="00BB19FB">
            <w:pPr>
              <w:jc w:val="right"/>
              <w:rPr>
                <w:rFonts w:ascii="Arial" w:hAnsi="Arial" w:cs="Arial"/>
                <w:color w:val="000000"/>
                <w:sz w:val="16"/>
                <w:szCs w:val="16"/>
                <w:lang w:val="fr-BE" w:eastAsia="en-GB"/>
              </w:rPr>
            </w:pPr>
            <w:r w:rsidRPr="0067131D">
              <w:rPr>
                <w:rFonts w:ascii="Arial" w:hAnsi="Arial" w:cs="Arial"/>
                <w:color w:val="000000"/>
                <w:sz w:val="16"/>
                <w:szCs w:val="16"/>
                <w:lang w:val="fr-BE" w:eastAsia="en-GB"/>
              </w:rPr>
              <w:t>1270</w:t>
            </w:r>
          </w:p>
        </w:tc>
      </w:tr>
      <w:tr w:rsidR="00BB19FB" w:rsidRPr="0067131D" w14:paraId="3A5B4957" w14:textId="77777777" w:rsidTr="00BB19FB">
        <w:trPr>
          <w:trHeight w:val="204"/>
          <w:jc w:val="center"/>
        </w:trPr>
        <w:tc>
          <w:tcPr>
            <w:tcW w:w="1793" w:type="dxa"/>
            <w:tcBorders>
              <w:top w:val="nil"/>
              <w:left w:val="nil"/>
              <w:bottom w:val="nil"/>
              <w:right w:val="nil"/>
            </w:tcBorders>
            <w:shd w:val="clear" w:color="auto" w:fill="auto"/>
            <w:noWrap/>
            <w:vAlign w:val="bottom"/>
            <w:hideMark/>
          </w:tcPr>
          <w:p w14:paraId="6A523E82" w14:textId="77777777" w:rsidR="00BB19FB" w:rsidRPr="0067131D" w:rsidRDefault="00BB19FB" w:rsidP="00BB19FB">
            <w:pPr>
              <w:rPr>
                <w:rFonts w:ascii="Arial" w:hAnsi="Arial" w:cs="Arial"/>
                <w:color w:val="000000"/>
                <w:sz w:val="16"/>
                <w:szCs w:val="16"/>
                <w:lang w:val="fr-BE" w:eastAsia="en-GB"/>
              </w:rPr>
            </w:pPr>
            <w:r w:rsidRPr="0067131D">
              <w:rPr>
                <w:rFonts w:ascii="Arial" w:hAnsi="Arial" w:cs="Arial"/>
                <w:color w:val="000000"/>
                <w:sz w:val="16"/>
                <w:szCs w:val="16"/>
                <w:lang w:val="fr-BE" w:eastAsia="en-GB"/>
              </w:rPr>
              <w:t>semi-interactif</w:t>
            </w:r>
          </w:p>
        </w:tc>
        <w:tc>
          <w:tcPr>
            <w:tcW w:w="1184" w:type="dxa"/>
            <w:tcBorders>
              <w:top w:val="nil"/>
              <w:left w:val="nil"/>
              <w:bottom w:val="nil"/>
              <w:right w:val="nil"/>
            </w:tcBorders>
            <w:shd w:val="clear" w:color="auto" w:fill="auto"/>
            <w:noWrap/>
            <w:vAlign w:val="bottom"/>
            <w:hideMark/>
          </w:tcPr>
          <w:p w14:paraId="7034FA15" w14:textId="77777777" w:rsidR="00BB19FB" w:rsidRPr="0067131D" w:rsidRDefault="00BB19FB" w:rsidP="00BB19FB">
            <w:pPr>
              <w:jc w:val="right"/>
              <w:rPr>
                <w:rFonts w:ascii="Arial" w:hAnsi="Arial" w:cs="Arial"/>
                <w:color w:val="000000"/>
                <w:sz w:val="16"/>
                <w:szCs w:val="16"/>
                <w:lang w:val="fr-BE" w:eastAsia="en-GB"/>
              </w:rPr>
            </w:pPr>
            <w:r w:rsidRPr="0067131D">
              <w:rPr>
                <w:rFonts w:ascii="Arial" w:hAnsi="Arial" w:cs="Arial"/>
                <w:color w:val="000000"/>
                <w:sz w:val="16"/>
                <w:szCs w:val="16"/>
                <w:lang w:val="fr-BE" w:eastAsia="en-GB"/>
              </w:rPr>
              <w:t>1258</w:t>
            </w:r>
          </w:p>
        </w:tc>
        <w:tc>
          <w:tcPr>
            <w:tcW w:w="992" w:type="dxa"/>
            <w:tcBorders>
              <w:top w:val="nil"/>
              <w:left w:val="nil"/>
              <w:bottom w:val="nil"/>
              <w:right w:val="nil"/>
            </w:tcBorders>
            <w:shd w:val="clear" w:color="auto" w:fill="auto"/>
            <w:noWrap/>
            <w:vAlign w:val="bottom"/>
            <w:hideMark/>
          </w:tcPr>
          <w:p w14:paraId="3B6AF74F" w14:textId="77777777" w:rsidR="00BB19FB" w:rsidRPr="0067131D" w:rsidRDefault="00BB19FB" w:rsidP="00BB19FB">
            <w:pPr>
              <w:jc w:val="right"/>
              <w:rPr>
                <w:rFonts w:ascii="Arial" w:hAnsi="Arial" w:cs="Arial"/>
                <w:color w:val="000000"/>
                <w:sz w:val="16"/>
                <w:szCs w:val="16"/>
                <w:lang w:val="fr-BE" w:eastAsia="en-GB"/>
              </w:rPr>
            </w:pPr>
          </w:p>
        </w:tc>
        <w:tc>
          <w:tcPr>
            <w:tcW w:w="1276" w:type="dxa"/>
            <w:tcBorders>
              <w:top w:val="nil"/>
              <w:left w:val="nil"/>
              <w:bottom w:val="nil"/>
              <w:right w:val="nil"/>
            </w:tcBorders>
            <w:shd w:val="clear" w:color="auto" w:fill="auto"/>
            <w:noWrap/>
            <w:vAlign w:val="bottom"/>
            <w:hideMark/>
          </w:tcPr>
          <w:p w14:paraId="119E58F6" w14:textId="77777777" w:rsidR="00BB19FB" w:rsidRPr="0067131D" w:rsidRDefault="00BB19FB" w:rsidP="00BB19FB">
            <w:pPr>
              <w:jc w:val="right"/>
              <w:rPr>
                <w:rFonts w:ascii="Arial" w:hAnsi="Arial" w:cs="Arial"/>
                <w:color w:val="000000"/>
                <w:sz w:val="16"/>
                <w:szCs w:val="16"/>
                <w:lang w:val="fr-BE" w:eastAsia="en-GB"/>
              </w:rPr>
            </w:pPr>
            <w:r w:rsidRPr="0067131D">
              <w:rPr>
                <w:rFonts w:ascii="Arial" w:hAnsi="Arial" w:cs="Arial"/>
                <w:color w:val="000000"/>
                <w:sz w:val="16"/>
                <w:szCs w:val="16"/>
                <w:lang w:val="fr-BE" w:eastAsia="en-GB"/>
              </w:rPr>
              <w:t>60</w:t>
            </w:r>
          </w:p>
        </w:tc>
        <w:tc>
          <w:tcPr>
            <w:tcW w:w="1558" w:type="dxa"/>
            <w:tcBorders>
              <w:top w:val="nil"/>
              <w:left w:val="nil"/>
              <w:bottom w:val="nil"/>
              <w:right w:val="nil"/>
            </w:tcBorders>
            <w:shd w:val="clear" w:color="auto" w:fill="auto"/>
            <w:noWrap/>
            <w:vAlign w:val="bottom"/>
            <w:hideMark/>
          </w:tcPr>
          <w:p w14:paraId="02C77EE2" w14:textId="77777777" w:rsidR="00BB19FB" w:rsidRPr="0067131D" w:rsidRDefault="00BB19FB" w:rsidP="00BB19FB">
            <w:pPr>
              <w:jc w:val="right"/>
              <w:rPr>
                <w:rFonts w:ascii="Arial" w:hAnsi="Arial" w:cs="Arial"/>
                <w:color w:val="000000"/>
                <w:sz w:val="16"/>
                <w:szCs w:val="16"/>
                <w:lang w:val="fr-BE" w:eastAsia="en-GB"/>
              </w:rPr>
            </w:pPr>
            <w:r w:rsidRPr="0067131D">
              <w:rPr>
                <w:rFonts w:ascii="Arial" w:hAnsi="Arial" w:cs="Arial"/>
                <w:color w:val="000000"/>
                <w:sz w:val="16"/>
                <w:szCs w:val="16"/>
                <w:lang w:val="fr-BE" w:eastAsia="en-GB"/>
              </w:rPr>
              <w:t>1318</w:t>
            </w:r>
          </w:p>
        </w:tc>
      </w:tr>
      <w:tr w:rsidR="00BB19FB" w:rsidRPr="0067131D" w14:paraId="0D8CE887" w14:textId="77777777" w:rsidTr="00BB19FB">
        <w:trPr>
          <w:trHeight w:val="204"/>
          <w:jc w:val="center"/>
        </w:trPr>
        <w:tc>
          <w:tcPr>
            <w:tcW w:w="1793" w:type="dxa"/>
            <w:tcBorders>
              <w:top w:val="single" w:sz="4" w:space="0" w:color="8EA9DB"/>
              <w:left w:val="nil"/>
              <w:bottom w:val="nil"/>
              <w:right w:val="nil"/>
            </w:tcBorders>
            <w:shd w:val="clear" w:color="D9E1F2" w:fill="D9E1F2"/>
            <w:noWrap/>
            <w:vAlign w:val="bottom"/>
            <w:hideMark/>
          </w:tcPr>
          <w:p w14:paraId="5B197303" w14:textId="77777777" w:rsidR="00BB19FB" w:rsidRPr="0067131D" w:rsidRDefault="00BB19FB" w:rsidP="00BB19FB">
            <w:pPr>
              <w:rPr>
                <w:rFonts w:ascii="Arial" w:hAnsi="Arial" w:cs="Arial"/>
                <w:b/>
                <w:bCs/>
                <w:color w:val="000000"/>
                <w:sz w:val="16"/>
                <w:szCs w:val="16"/>
                <w:lang w:val="fr-BE" w:eastAsia="en-GB"/>
              </w:rPr>
            </w:pPr>
            <w:r w:rsidRPr="0067131D">
              <w:rPr>
                <w:rFonts w:ascii="Arial" w:hAnsi="Arial" w:cs="Arial"/>
                <w:b/>
                <w:bCs/>
                <w:color w:val="000000"/>
                <w:sz w:val="16"/>
                <w:szCs w:val="16"/>
                <w:lang w:val="fr-BE" w:eastAsia="en-GB"/>
              </w:rPr>
              <w:t>Total général</w:t>
            </w:r>
          </w:p>
        </w:tc>
        <w:tc>
          <w:tcPr>
            <w:tcW w:w="1184" w:type="dxa"/>
            <w:tcBorders>
              <w:top w:val="single" w:sz="4" w:space="0" w:color="8EA9DB"/>
              <w:left w:val="nil"/>
              <w:bottom w:val="nil"/>
              <w:right w:val="nil"/>
            </w:tcBorders>
            <w:shd w:val="clear" w:color="D9E1F2" w:fill="D9E1F2"/>
            <w:noWrap/>
            <w:vAlign w:val="bottom"/>
            <w:hideMark/>
          </w:tcPr>
          <w:p w14:paraId="7A5E13DA" w14:textId="77777777" w:rsidR="00BB19FB" w:rsidRPr="0067131D" w:rsidRDefault="00BB19FB" w:rsidP="00BB19FB">
            <w:pPr>
              <w:jc w:val="right"/>
              <w:rPr>
                <w:rFonts w:ascii="Arial" w:hAnsi="Arial" w:cs="Arial"/>
                <w:b/>
                <w:bCs/>
                <w:color w:val="000000"/>
                <w:sz w:val="16"/>
                <w:szCs w:val="16"/>
                <w:lang w:val="fr-BE" w:eastAsia="en-GB"/>
              </w:rPr>
            </w:pPr>
            <w:r w:rsidRPr="0067131D">
              <w:rPr>
                <w:rFonts w:ascii="Arial" w:hAnsi="Arial" w:cs="Arial"/>
                <w:b/>
                <w:bCs/>
                <w:color w:val="000000"/>
                <w:sz w:val="16"/>
                <w:szCs w:val="16"/>
                <w:lang w:val="fr-BE" w:eastAsia="en-GB"/>
              </w:rPr>
              <w:t>1768</w:t>
            </w:r>
          </w:p>
        </w:tc>
        <w:tc>
          <w:tcPr>
            <w:tcW w:w="992" w:type="dxa"/>
            <w:tcBorders>
              <w:top w:val="single" w:sz="4" w:space="0" w:color="8EA9DB"/>
              <w:left w:val="nil"/>
              <w:bottom w:val="nil"/>
              <w:right w:val="nil"/>
            </w:tcBorders>
            <w:shd w:val="clear" w:color="D9E1F2" w:fill="D9E1F2"/>
            <w:noWrap/>
            <w:vAlign w:val="bottom"/>
            <w:hideMark/>
          </w:tcPr>
          <w:p w14:paraId="062C8344" w14:textId="77777777" w:rsidR="00BB19FB" w:rsidRPr="0067131D" w:rsidRDefault="00BB19FB" w:rsidP="00BB19FB">
            <w:pPr>
              <w:jc w:val="right"/>
              <w:rPr>
                <w:rFonts w:ascii="Arial" w:hAnsi="Arial" w:cs="Arial"/>
                <w:b/>
                <w:bCs/>
                <w:color w:val="000000"/>
                <w:sz w:val="16"/>
                <w:szCs w:val="16"/>
                <w:lang w:val="fr-BE" w:eastAsia="en-GB"/>
              </w:rPr>
            </w:pPr>
            <w:r w:rsidRPr="0067131D">
              <w:rPr>
                <w:rFonts w:ascii="Arial" w:hAnsi="Arial" w:cs="Arial"/>
                <w:b/>
                <w:bCs/>
                <w:color w:val="000000"/>
                <w:sz w:val="16"/>
                <w:szCs w:val="16"/>
                <w:lang w:val="fr-BE" w:eastAsia="en-GB"/>
              </w:rPr>
              <w:t>876</w:t>
            </w:r>
          </w:p>
        </w:tc>
        <w:tc>
          <w:tcPr>
            <w:tcW w:w="1276" w:type="dxa"/>
            <w:tcBorders>
              <w:top w:val="single" w:sz="4" w:space="0" w:color="8EA9DB"/>
              <w:left w:val="nil"/>
              <w:bottom w:val="nil"/>
              <w:right w:val="nil"/>
            </w:tcBorders>
            <w:shd w:val="clear" w:color="D9E1F2" w:fill="D9E1F2"/>
            <w:noWrap/>
            <w:vAlign w:val="bottom"/>
            <w:hideMark/>
          </w:tcPr>
          <w:p w14:paraId="74B47EEC" w14:textId="77777777" w:rsidR="00BB19FB" w:rsidRPr="0067131D" w:rsidRDefault="00BB19FB" w:rsidP="00BB19FB">
            <w:pPr>
              <w:jc w:val="right"/>
              <w:rPr>
                <w:rFonts w:ascii="Arial" w:hAnsi="Arial" w:cs="Arial"/>
                <w:b/>
                <w:bCs/>
                <w:color w:val="000000"/>
                <w:sz w:val="16"/>
                <w:szCs w:val="16"/>
                <w:lang w:val="fr-BE" w:eastAsia="en-GB"/>
              </w:rPr>
            </w:pPr>
            <w:r w:rsidRPr="0067131D">
              <w:rPr>
                <w:rFonts w:ascii="Arial" w:hAnsi="Arial" w:cs="Arial"/>
                <w:b/>
                <w:bCs/>
                <w:color w:val="000000"/>
                <w:sz w:val="16"/>
                <w:szCs w:val="16"/>
                <w:lang w:val="fr-BE" w:eastAsia="en-GB"/>
              </w:rPr>
              <w:t>932</w:t>
            </w:r>
          </w:p>
        </w:tc>
        <w:tc>
          <w:tcPr>
            <w:tcW w:w="1558" w:type="dxa"/>
            <w:tcBorders>
              <w:top w:val="single" w:sz="4" w:space="0" w:color="8EA9DB"/>
              <w:left w:val="nil"/>
              <w:bottom w:val="nil"/>
              <w:right w:val="nil"/>
            </w:tcBorders>
            <w:shd w:val="clear" w:color="D9E1F2" w:fill="D9E1F2"/>
            <w:noWrap/>
            <w:vAlign w:val="bottom"/>
            <w:hideMark/>
          </w:tcPr>
          <w:p w14:paraId="4B761EEB" w14:textId="77777777" w:rsidR="00BB19FB" w:rsidRPr="0067131D" w:rsidRDefault="00BB19FB" w:rsidP="00BB19FB">
            <w:pPr>
              <w:jc w:val="right"/>
              <w:rPr>
                <w:rFonts w:ascii="Arial" w:hAnsi="Arial" w:cs="Arial"/>
                <w:b/>
                <w:bCs/>
                <w:color w:val="000000"/>
                <w:sz w:val="16"/>
                <w:szCs w:val="16"/>
                <w:lang w:val="fr-BE" w:eastAsia="en-GB"/>
              </w:rPr>
            </w:pPr>
            <w:r w:rsidRPr="0067131D">
              <w:rPr>
                <w:rFonts w:ascii="Arial" w:hAnsi="Arial" w:cs="Arial"/>
                <w:b/>
                <w:bCs/>
                <w:color w:val="000000"/>
                <w:sz w:val="16"/>
                <w:szCs w:val="16"/>
                <w:lang w:val="fr-BE" w:eastAsia="en-GB"/>
              </w:rPr>
              <w:t>3576</w:t>
            </w:r>
          </w:p>
        </w:tc>
      </w:tr>
    </w:tbl>
    <w:p w14:paraId="3EAF4489" w14:textId="77777777" w:rsidR="00BB19FB" w:rsidRPr="00BB19FB" w:rsidRDefault="00BB19FB" w:rsidP="00301964">
      <w:pPr>
        <w:pStyle w:val="Body"/>
        <w:rPr>
          <w:rFonts w:ascii="Arial" w:hAnsi="Arial" w:cs="Arial"/>
          <w:sz w:val="16"/>
          <w:szCs w:val="16"/>
        </w:rPr>
      </w:pPr>
    </w:p>
    <w:p w14:paraId="7DCEBB5E" w14:textId="172C2F65" w:rsidR="00260C77" w:rsidRDefault="00260C77" w:rsidP="00260C77">
      <w:pPr>
        <w:pStyle w:val="Body"/>
      </w:pPr>
      <w:r>
        <w:t>La dépendance entre les deux variables est confirmée par un coefficient phi de .949 (n=3576, p &lt; .001). En d’autres mots, les deux variables mesurent</w:t>
      </w:r>
      <w:r w:rsidR="003F12A6">
        <w:t xml:space="preserve"> quasiment</w:t>
      </w:r>
      <w:r w:rsidR="00936EE9">
        <w:t xml:space="preserve"> </w:t>
      </w:r>
      <w:r>
        <w:t xml:space="preserve">la même distribution. </w:t>
      </w:r>
      <w:r w:rsidR="00936EE9">
        <w:t xml:space="preserve">Cela </w:t>
      </w:r>
      <w:r>
        <w:t xml:space="preserve">se confirme dans la dernière analyse en arbre d’inférence conditionnelle (n=3572, méthode de croissance CHAID) avec cette fois seul le degré d’interactivité comme variable indépendante et les dispositifs comme variables dépendantes, qui </w:t>
      </w:r>
      <w:r w:rsidR="00936EE9">
        <w:t>aboutit à</w:t>
      </w:r>
      <w:r>
        <w:t xml:space="preserve"> un arbre à quatre nœuds de profondeur 2 avec trois nœuds terminaux</w:t>
      </w:r>
      <w:r w:rsidR="0067131D">
        <w:t>,</w:t>
      </w:r>
      <w:r>
        <w:t xml:space="preserve"> repris en Figure </w:t>
      </w:r>
      <w:r w:rsidR="00936EE9">
        <w:t>(</w:t>
      </w:r>
      <w:r>
        <w:t>3</w:t>
      </w:r>
      <w:r w:rsidR="00936EE9">
        <w:t>)</w:t>
      </w:r>
      <w:r>
        <w:t>.</w:t>
      </w:r>
    </w:p>
    <w:p w14:paraId="378CDB37" w14:textId="4703B191" w:rsidR="00260C77" w:rsidRDefault="00260C77" w:rsidP="00260C77">
      <w:pPr>
        <w:pStyle w:val="Body"/>
      </w:pPr>
    </w:p>
    <w:p w14:paraId="73BFE51C" w14:textId="23C5506B" w:rsidR="00260C77" w:rsidRDefault="00260C77" w:rsidP="00260C77">
      <w:pPr>
        <w:pStyle w:val="Body"/>
      </w:pPr>
      <w:r>
        <w:rPr>
          <w:noProof/>
          <w:lang w:val="fr-BE" w:eastAsia="fr-BE"/>
        </w:rPr>
        <w:drawing>
          <wp:inline distT="0" distB="0" distL="0" distR="0" wp14:anchorId="63AAEC6A" wp14:editId="01684AEC">
            <wp:extent cx="2733675" cy="3138487"/>
            <wp:effectExtent l="0" t="0" r="0" b="5080"/>
            <wp:docPr id="1" name="Drawing 1" descr="img.eps"/>
            <wp:cNvGraphicFramePr/>
            <a:graphic xmlns:a="http://schemas.openxmlformats.org/drawingml/2006/main">
              <a:graphicData uri="http://schemas.openxmlformats.org/drawingml/2006/picture">
                <pic:pic xmlns:pic="http://schemas.openxmlformats.org/drawingml/2006/picture">
                  <pic:nvPicPr>
                    <pic:cNvPr id="0" name="Picture 1" descr="img.eps"/>
                    <pic:cNvPicPr>
                      <a:picLocks noChangeAspect="1"/>
                    </pic:cNvPicPr>
                  </pic:nvPicPr>
                  <pic:blipFill>
                    <a:blip r:embed="rId13"/>
                    <a:stretch>
                      <a:fillRect/>
                    </a:stretch>
                  </pic:blipFill>
                  <pic:spPr>
                    <a:xfrm>
                      <a:off x="0" y="0"/>
                      <a:ext cx="2737064" cy="3142378"/>
                    </a:xfrm>
                    <a:prstGeom prst="rect">
                      <a:avLst/>
                    </a:prstGeom>
                  </pic:spPr>
                </pic:pic>
              </a:graphicData>
            </a:graphic>
          </wp:inline>
        </w:drawing>
      </w:r>
    </w:p>
    <w:p w14:paraId="110B548C" w14:textId="760809BA" w:rsidR="00260C77" w:rsidRDefault="00260C77" w:rsidP="00260C77">
      <w:pPr>
        <w:pStyle w:val="Body"/>
      </w:pPr>
      <w:r w:rsidRPr="002205FF">
        <w:rPr>
          <w:rFonts w:ascii="Arial" w:hAnsi="Arial" w:cs="Arial"/>
          <w:sz w:val="16"/>
          <w:szCs w:val="16"/>
        </w:rPr>
        <w:t xml:space="preserve">Figure </w:t>
      </w:r>
      <w:r>
        <w:rPr>
          <w:rFonts w:ascii="Arial" w:hAnsi="Arial" w:cs="Arial"/>
          <w:sz w:val="16"/>
          <w:szCs w:val="16"/>
        </w:rPr>
        <w:t>3</w:t>
      </w:r>
      <w:r w:rsidRPr="002205FF">
        <w:rPr>
          <w:rFonts w:ascii="Arial" w:hAnsi="Arial" w:cs="Arial"/>
          <w:sz w:val="16"/>
          <w:szCs w:val="16"/>
        </w:rPr>
        <w:t xml:space="preserve"> : Arbre d’inférence conditionnelle (méthode CHAID, n=3576) </w:t>
      </w:r>
      <w:r>
        <w:rPr>
          <w:rFonts w:ascii="Arial" w:hAnsi="Arial" w:cs="Arial"/>
          <w:sz w:val="16"/>
          <w:szCs w:val="16"/>
        </w:rPr>
        <w:t>de l’interaction entre</w:t>
      </w:r>
      <w:r w:rsidRPr="002205FF">
        <w:rPr>
          <w:rFonts w:ascii="Arial" w:hAnsi="Arial" w:cs="Arial"/>
          <w:sz w:val="16"/>
          <w:szCs w:val="16"/>
        </w:rPr>
        <w:t xml:space="preserve"> le </w:t>
      </w:r>
      <w:r>
        <w:rPr>
          <w:rFonts w:ascii="Arial" w:hAnsi="Arial" w:cs="Arial"/>
          <w:sz w:val="16"/>
          <w:szCs w:val="16"/>
        </w:rPr>
        <w:t>trait situationnel interaction</w:t>
      </w:r>
      <w:r w:rsidRPr="002205FF">
        <w:rPr>
          <w:rFonts w:ascii="Arial" w:hAnsi="Arial" w:cs="Arial"/>
          <w:sz w:val="16"/>
          <w:szCs w:val="16"/>
        </w:rPr>
        <w:t xml:space="preserve"> </w:t>
      </w:r>
      <w:r>
        <w:rPr>
          <w:rFonts w:ascii="Arial" w:hAnsi="Arial" w:cs="Arial"/>
          <w:sz w:val="16"/>
          <w:szCs w:val="16"/>
        </w:rPr>
        <w:t>(var. indép.) et les</w:t>
      </w:r>
      <w:r w:rsidRPr="002205FF">
        <w:rPr>
          <w:rFonts w:ascii="Arial" w:hAnsi="Arial" w:cs="Arial"/>
          <w:sz w:val="16"/>
          <w:szCs w:val="16"/>
        </w:rPr>
        <w:t xml:space="preserve"> dispositifs</w:t>
      </w:r>
      <w:r>
        <w:rPr>
          <w:rFonts w:ascii="Arial" w:hAnsi="Arial" w:cs="Arial"/>
          <w:sz w:val="16"/>
          <w:szCs w:val="16"/>
        </w:rPr>
        <w:t xml:space="preserve"> (var. dép.).</w:t>
      </w:r>
    </w:p>
    <w:p w14:paraId="7EF7044C" w14:textId="77777777" w:rsidR="00260C77" w:rsidRDefault="00260C77" w:rsidP="00260C77">
      <w:pPr>
        <w:pStyle w:val="Body"/>
      </w:pPr>
    </w:p>
    <w:p w14:paraId="656CE140" w14:textId="36B7AFAF" w:rsidR="00260C77" w:rsidRDefault="00260C77" w:rsidP="00260C77">
      <w:pPr>
        <w:pStyle w:val="Body"/>
      </w:pPr>
      <w:r>
        <w:t xml:space="preserve">Les échantillons de notre corpus se </w:t>
      </w:r>
      <w:r w:rsidR="003713A6">
        <w:t xml:space="preserve">répartissent </w:t>
      </w:r>
      <w:r>
        <w:t xml:space="preserve">en </w:t>
      </w:r>
      <w:r w:rsidR="00936EE9">
        <w:t xml:space="preserve">trois </w:t>
      </w:r>
      <w:r>
        <w:t>sous-ensembles</w:t>
      </w:r>
      <w:r w:rsidR="003713A6">
        <w:t xml:space="preserve"> de manière significative</w:t>
      </w:r>
      <w:r>
        <w:t xml:space="preserve"> : les productions interactives (nœud 1, n= 988) montrent une proportion plus faible de dispositifs directs (82,8%) et une fréquence remarquable de constructions segmentées (11,7%), les semi-interactives (nœud 2, n=1318) se caractérisent par une fréquence intermédiaire de dispositifs directs (85,3%), </w:t>
      </w:r>
      <w:r w:rsidR="003713A6">
        <w:t xml:space="preserve">de constructions </w:t>
      </w:r>
      <w:r w:rsidRPr="00DB73AD">
        <w:t>segmenté</w:t>
      </w:r>
      <w:r w:rsidR="003713A6" w:rsidRPr="00DB73AD">
        <w:t>e</w:t>
      </w:r>
      <w:r w:rsidRPr="00DB73AD">
        <w:t>s</w:t>
      </w:r>
      <w:r>
        <w:t xml:space="preserve"> (9,6%%) et </w:t>
      </w:r>
      <w:r w:rsidR="003713A6">
        <w:t xml:space="preserve">de </w:t>
      </w:r>
      <w:r w:rsidR="003713A6" w:rsidRPr="00DB73AD">
        <w:t xml:space="preserve">dispositifs </w:t>
      </w:r>
      <w:r w:rsidRPr="00DB73AD">
        <w:t>clivés (2%), alors que les productions non</w:t>
      </w:r>
      <w:r w:rsidR="0067131D">
        <w:t xml:space="preserve"> </w:t>
      </w:r>
      <w:r w:rsidRPr="00DB73AD">
        <w:t>interactives (nœud 3, n=1270) se caractérisent par la fréquence du dispositif direct (89,5%) et la très faible proportion des autres dispositifs (même si on peut noter une fréquence des</w:t>
      </w:r>
      <w:r w:rsidR="003713A6" w:rsidRPr="00DB73AD">
        <w:t xml:space="preserve"> dispositifs</w:t>
      </w:r>
      <w:r w:rsidRPr="00DB73AD">
        <w:t xml:space="preserve"> clivés </w:t>
      </w:r>
      <w:r w:rsidR="003713A6" w:rsidRPr="00DB73AD">
        <w:t xml:space="preserve">similaire </w:t>
      </w:r>
      <w:r w:rsidR="003713A6">
        <w:t>à celle dans les productions</w:t>
      </w:r>
      <w:r>
        <w:t xml:space="preserve"> interactives).</w:t>
      </w:r>
    </w:p>
    <w:p w14:paraId="20720AAE" w14:textId="3DF0AC00" w:rsidR="002B35DB" w:rsidRDefault="002B35DB" w:rsidP="002B35DB">
      <w:pPr>
        <w:pStyle w:val="Titre10"/>
      </w:pPr>
      <w:r>
        <w:t>5. Discussion et Conclusion</w:t>
      </w:r>
    </w:p>
    <w:p w14:paraId="3F4D14B5" w14:textId="2807166D" w:rsidR="007A1E39" w:rsidRDefault="0067131D" w:rsidP="003F208F">
      <w:pPr>
        <w:pStyle w:val="Body"/>
      </w:pPr>
      <w:r>
        <w:t>L’analyse</w:t>
      </w:r>
      <w:r w:rsidR="005A198C">
        <w:t xml:space="preserve"> quantitative de la distribution des constructions verbales dans notre corpus </w:t>
      </w:r>
      <w:r>
        <w:t>oral multigenre</w:t>
      </w:r>
      <w:r w:rsidR="005A198C">
        <w:t xml:space="preserve"> fait émerger une série d’observations soutenues statistiquement. Si</w:t>
      </w:r>
      <w:r w:rsidR="00E52A0C">
        <w:t>,</w:t>
      </w:r>
      <w:r w:rsidR="005A198C">
        <w:t xml:space="preserve"> de manière globale, les dispositifs directs sont de loin les plus fréquents, nous avons pu montrer que la situation de parole </w:t>
      </w:r>
      <w:r w:rsidR="007A1E39">
        <w:t>influence</w:t>
      </w:r>
      <w:r w:rsidR="005A198C">
        <w:t xml:space="preserve"> la fréquence, les types et la variété de</w:t>
      </w:r>
      <w:r w:rsidR="003713A6">
        <w:t>s</w:t>
      </w:r>
      <w:r w:rsidR="005A198C">
        <w:t xml:space="preserve"> constructions syntaxiques</w:t>
      </w:r>
      <w:r w:rsidR="003713A6">
        <w:t xml:space="preserve"> verbales</w:t>
      </w:r>
      <w:r w:rsidR="005A198C">
        <w:t xml:space="preserve"> utilisées par les locuteurs et locutrices dans leurs prises de parole.</w:t>
      </w:r>
      <w:r w:rsidR="007A1E39">
        <w:t xml:space="preserve"> </w:t>
      </w:r>
    </w:p>
    <w:p w14:paraId="23CCAEA0" w14:textId="6684CBB7" w:rsidR="0072212A" w:rsidRDefault="007A1E39" w:rsidP="009D36B2">
      <w:pPr>
        <w:pStyle w:val="Body"/>
      </w:pPr>
      <w:r>
        <w:t xml:space="preserve">Plus précisément, même si le dispositif direct est majoritaire dans tous les genres représentés dans notre corpus, sa proportion varie d’un </w:t>
      </w:r>
      <w:r w:rsidRPr="0067131D">
        <w:t>emploi</w:t>
      </w:r>
      <w:r>
        <w:t xml:space="preserve"> quasi</w:t>
      </w:r>
      <w:r w:rsidR="003713A6">
        <w:t>ment</w:t>
      </w:r>
      <w:r>
        <w:t xml:space="preserve"> exclusif dans les journaux parlés radiophoniques (98,6%)</w:t>
      </w:r>
      <w:r w:rsidR="0067131D">
        <w:t>, qui sont des écrits lus,</w:t>
      </w:r>
      <w:r>
        <w:t xml:space="preserve"> à </w:t>
      </w:r>
      <w:r w:rsidR="0067131D">
        <w:t>une fréquence</w:t>
      </w:r>
      <w:r>
        <w:t xml:space="preserve"> nettement moindre dans les conversations informelles entre personnes qui se connaissent bien (79,5%). Nous avons affaire ici aux deux extrêmes </w:t>
      </w:r>
      <w:r w:rsidR="003713A6">
        <w:t xml:space="preserve">d’un continuum </w:t>
      </w:r>
      <w:r>
        <w:t xml:space="preserve">en ce qui concerne </w:t>
      </w:r>
      <w:r w:rsidRPr="0067131D">
        <w:t>l’emploi</w:t>
      </w:r>
      <w:r>
        <w:t xml:space="preserve"> du dispositif direct. Ces deux mêmes genres s’opposent également aux deux extrêmes pour ce qui est de </w:t>
      </w:r>
      <w:r w:rsidR="0067131D">
        <w:t>l’usage</w:t>
      </w:r>
      <w:r>
        <w:t xml:space="preserve"> des constructions segmentées, la conversation informelle </w:t>
      </w:r>
      <w:r w:rsidR="009D36B2">
        <w:t xml:space="preserve">présentant la fréquence la plus élevée (15,9%) et les journaux parlés la plus faible (0,7%) des 14 genres </w:t>
      </w:r>
      <w:r w:rsidR="0067131D">
        <w:t>du</w:t>
      </w:r>
      <w:r w:rsidR="009D36B2">
        <w:t xml:space="preserve"> corpus. L’analyse statistique en arbre d’inférence conditionnelle </w:t>
      </w:r>
      <w:r w:rsidR="009D36B2" w:rsidRPr="0067131D">
        <w:t>permet</w:t>
      </w:r>
      <w:r w:rsidR="009D36B2">
        <w:t xml:space="preserve"> de mieux rendre compte des simila</w:t>
      </w:r>
      <w:r w:rsidR="0072212A">
        <w:t xml:space="preserve">rités et divergences entre genres. En effet, </w:t>
      </w:r>
      <w:r w:rsidR="00E52A0C">
        <w:t>elle</w:t>
      </w:r>
      <w:r w:rsidR="0067131D">
        <w:t xml:space="preserve"> aboutit à des</w:t>
      </w:r>
      <w:r w:rsidR="008F7EE9">
        <w:t xml:space="preserve"> </w:t>
      </w:r>
      <w:r w:rsidR="0072212A">
        <w:t>sous-</w:t>
      </w:r>
      <w:r w:rsidR="008F7EE9">
        <w:t>ensembles</w:t>
      </w:r>
      <w:r w:rsidR="0067131D">
        <w:t xml:space="preserve"> regroupant</w:t>
      </w:r>
      <w:r w:rsidR="0072212A">
        <w:t xml:space="preserve"> les genres qui présentent des profils similaires quant à </w:t>
      </w:r>
      <w:r w:rsidR="0067131D">
        <w:t xml:space="preserve">la fréquence </w:t>
      </w:r>
      <w:r w:rsidR="0072212A">
        <w:t xml:space="preserve">des constructions syntaxiques </w:t>
      </w:r>
      <w:r w:rsidR="0067131D">
        <w:t>employées</w:t>
      </w:r>
      <w:r w:rsidR="009D36B2">
        <w:t>. Ainsi cinq regroupements ont émergé de l’analyse</w:t>
      </w:r>
      <w:r w:rsidR="0072212A">
        <w:t> : (i) l</w:t>
      </w:r>
      <w:r w:rsidR="009D36B2">
        <w:t>es journaux parlés, les discours de la rentrée universitaire et la lecture à haute voix</w:t>
      </w:r>
      <w:r w:rsidR="0072212A">
        <w:t xml:space="preserve"> ; (ii) </w:t>
      </w:r>
      <w:r w:rsidR="008F7EE9">
        <w:t xml:space="preserve">la conférence scientifique, l’homélie et l’interview </w:t>
      </w:r>
      <w:r w:rsidR="00361C7D">
        <w:t>sociolinguistique </w:t>
      </w:r>
      <w:r w:rsidR="0072212A">
        <w:t xml:space="preserve">; (iii) </w:t>
      </w:r>
      <w:r w:rsidR="008F7EE9">
        <w:t>la conversation professionnelle et le discours politique</w:t>
      </w:r>
      <w:r w:rsidR="0072212A">
        <w:t> ; (iv)</w:t>
      </w:r>
      <w:r w:rsidR="005B7A7D">
        <w:t> </w:t>
      </w:r>
      <w:r w:rsidR="008F7EE9">
        <w:t>la conversation informelle,</w:t>
      </w:r>
      <w:r w:rsidR="0072212A">
        <w:t xml:space="preserve"> et (v) l</w:t>
      </w:r>
      <w:r w:rsidR="008F7EE9">
        <w:t>e débat politique, les interviews télévisée et radiophonique, le récit conversationnel et la performance radiophonique. Alors que ces regroupements émergent de la comparaison des profils fréquentiels des structures syntaxiques présentes, ils partagent également des traits de la situation de prise de parole. Le premier sous-groupe concerne des productions orales formelles prononcées devant un public passif et reposant sur un texte écrit préalable</w:t>
      </w:r>
      <w:r w:rsidR="005B7A7D">
        <w:t xml:space="preserve"> qui est lu</w:t>
      </w:r>
      <w:r w:rsidR="008F7EE9">
        <w:t>. Les deuxième et troisième sous-groupes concernent également des discours préparés, si ce n’est que le support</w:t>
      </w:r>
      <w:r w:rsidR="0067131D">
        <w:t xml:space="preserve"> écrit</w:t>
      </w:r>
      <w:r w:rsidR="008F7EE9">
        <w:t xml:space="preserve"> est (souvent) partiel et que le public peut être participatif ou pas, alors que la situation est plutôt formelle. Le quatrième groupe </w:t>
      </w:r>
      <w:r w:rsidR="0067131D">
        <w:t>correspond à</w:t>
      </w:r>
      <w:r w:rsidR="008F7EE9">
        <w:t xml:space="preserve"> un genre hautement spontané, interactif et informel</w:t>
      </w:r>
      <w:r w:rsidR="0067131D">
        <w:t xml:space="preserve"> (et prototypique de l’oral)</w:t>
      </w:r>
      <w:r w:rsidR="008F7EE9">
        <w:t>, alors que l</w:t>
      </w:r>
      <w:r w:rsidR="0067131D">
        <w:t>e</w:t>
      </w:r>
      <w:r w:rsidR="008F7EE9">
        <w:t xml:space="preserve"> cinquième groupe </w:t>
      </w:r>
      <w:r w:rsidR="0067131D">
        <w:t>rassemble</w:t>
      </w:r>
      <w:r w:rsidR="008F7EE9">
        <w:t xml:space="preserve"> des situations</w:t>
      </w:r>
      <w:r w:rsidR="0067131D">
        <w:t xml:space="preserve"> de parole</w:t>
      </w:r>
      <w:r w:rsidR="008F7EE9">
        <w:t xml:space="preserve"> plutôt spontanées, mais moins clairement démarquées sur le plan de la formalité et de l’interactivité.  </w:t>
      </w:r>
    </w:p>
    <w:p w14:paraId="5E1A9F82" w14:textId="0F9952EB" w:rsidR="0047381C" w:rsidRDefault="008F7EE9" w:rsidP="0047381C">
      <w:pPr>
        <w:pStyle w:val="Body"/>
      </w:pPr>
      <w:r>
        <w:t xml:space="preserve">La seconde analyse en arbre d’inférence conditionnelle visait à vérifier dans quelle mesure deux traits dominants dans les situations de parole, le degré de préparation et le degré d’interactivité, permettaient des regroupements significatifs. </w:t>
      </w:r>
      <w:r w:rsidR="003E36F2">
        <w:t xml:space="preserve">Les résultats montrent que c’est le degré de préparation qui est le premier facteur distinctif entre les échantillons de parole avec un regroupement autour des discours préparés et un </w:t>
      </w:r>
      <w:r w:rsidR="00361C7D">
        <w:t xml:space="preserve">autre </w:t>
      </w:r>
      <w:r w:rsidR="003E36F2">
        <w:t>autour des discours non</w:t>
      </w:r>
      <w:r w:rsidR="0067131D">
        <w:t xml:space="preserve"> </w:t>
      </w:r>
      <w:r w:rsidR="003E36F2">
        <w:t xml:space="preserve">préparés (spontanés) et semi-préparés. C’est à nouveau la proportion élevée des dispositifs directs dans les discours préparés qui est responsable de cette division, confirmant le </w:t>
      </w:r>
      <w:r w:rsidR="00E30C90">
        <w:t xml:space="preserve">constat de Mahrer (2014) que la </w:t>
      </w:r>
      <w:r w:rsidR="003E36F2">
        <w:t xml:space="preserve">prise de parole se basant sur un écrit peut se concevoir comme </w:t>
      </w:r>
      <w:r w:rsidR="00E30C90">
        <w:t>une approximation vers la syntaxe de l’écrit.</w:t>
      </w:r>
      <w:r w:rsidR="003E36F2">
        <w:t xml:space="preserve"> Il est, par ailleurs, intéressant de noter la proportion plus élevée de clivées dans ce groupe « préparé » en comparaison avec le « non</w:t>
      </w:r>
      <w:r w:rsidR="0067131D">
        <w:t xml:space="preserve"> </w:t>
      </w:r>
      <w:r w:rsidR="003E36F2">
        <w:t xml:space="preserve">préparé, semi-préparé ». En effet, </w:t>
      </w:r>
      <w:r w:rsidR="00E30C90" w:rsidRPr="00494DC0">
        <w:t>Simon</w:t>
      </w:r>
      <w:r w:rsidR="00E30C90" w:rsidRPr="00C43194">
        <w:t xml:space="preserve"> (2021)</w:t>
      </w:r>
      <w:r w:rsidR="00E30C90">
        <w:t xml:space="preserve"> a montré qu’un orateur ou une oratrice qui lit son texte en public peut être amené à le modifier en direct. Lorsqu’elles sont syntaxiques, ces modifications, quoique peu fréquentes, peuvent entre autres toucher l’ordre des mots ou l’insertion de clivées. </w:t>
      </w:r>
      <w:r w:rsidR="00825780">
        <w:t>L’analyse a par ailleurs montré que les deux variables « degré de préparation » et « degré d’interactivité » sont étroitement corrélées donnant des résultats fréquentiels similaires (dispositif direct très fréquent dans le discours non</w:t>
      </w:r>
      <w:r w:rsidR="0067131D">
        <w:t xml:space="preserve"> </w:t>
      </w:r>
      <w:r w:rsidR="00825780">
        <w:t xml:space="preserve">interactif et moins fréquent dans le discours interactif). </w:t>
      </w:r>
    </w:p>
    <w:p w14:paraId="7F72C3A6" w14:textId="36668CDC" w:rsidR="0047381C" w:rsidRDefault="00825780" w:rsidP="0047381C">
      <w:pPr>
        <w:pStyle w:val="Body"/>
      </w:pPr>
      <w:r>
        <w:t>Si l</w:t>
      </w:r>
      <w:r w:rsidR="00C940A0">
        <w:t>’analyse de l’interaction entre les dispositifs syntaxiques et les genres permet de confirmer que certains privilégient ou, au contraire, défavorisent certaines structures syntaxiques</w:t>
      </w:r>
      <w:r>
        <w:t>, l’analyse en facteurs situationnels a montré l’interdépendance entre le degré de préparation d’un discours et son degré d’interactivité. Une collecte de données spécifiques comblant les « trous » dans nos données devrait confirmer ou infirmer que ces deux variables sont en effet interdépendantes.</w:t>
      </w:r>
    </w:p>
    <w:p w14:paraId="516BE899" w14:textId="2453CCB6" w:rsidR="007C16A8" w:rsidRDefault="00FA008B" w:rsidP="005D7F52">
      <w:pPr>
        <w:pStyle w:val="Body"/>
      </w:pPr>
      <w:r>
        <w:t xml:space="preserve">En conclusion, notre </w:t>
      </w:r>
      <w:r w:rsidR="0047381C">
        <w:t xml:space="preserve">analyse </w:t>
      </w:r>
      <w:r>
        <w:t xml:space="preserve">quantitative </w:t>
      </w:r>
      <w:r w:rsidR="0047381C">
        <w:t xml:space="preserve">de l’interaction entre les dispositifs syntaxiques et les situations </w:t>
      </w:r>
      <w:r>
        <w:t xml:space="preserve">de parole a pu montrer qu’il n’y a pas « une » </w:t>
      </w:r>
      <w:r w:rsidR="0047381C">
        <w:t>syntaxe de l’oral</w:t>
      </w:r>
      <w:r>
        <w:t xml:space="preserve">. Au contraire, la </w:t>
      </w:r>
      <w:r w:rsidR="0047381C">
        <w:t xml:space="preserve">mise en forme syntaxique </w:t>
      </w:r>
      <w:r>
        <w:t xml:space="preserve">des productions orales est </w:t>
      </w:r>
      <w:r w:rsidR="0047381C">
        <w:t>influencée en premier lieu par le</w:t>
      </w:r>
      <w:r w:rsidR="00825780">
        <w:t>s « modes de production », comme le soulignait déjà Bla</w:t>
      </w:r>
      <w:r w:rsidR="00405326">
        <w:t>n</w:t>
      </w:r>
      <w:r w:rsidR="00825780">
        <w:t xml:space="preserve">che-Benveniste (2010). Il s’avère que c’est le </w:t>
      </w:r>
      <w:r w:rsidR="0047381C">
        <w:t xml:space="preserve">degré de préparation </w:t>
      </w:r>
      <w:r w:rsidR="00825780">
        <w:t xml:space="preserve">qui est le plus déterminant pour la sélection des dispositifs et constructions verbales. </w:t>
      </w:r>
    </w:p>
    <w:p w14:paraId="1808DB26" w14:textId="783F99D0" w:rsidR="0088431E" w:rsidRDefault="0088431E" w:rsidP="0088431E">
      <w:pPr>
        <w:pStyle w:val="Titre2"/>
        <w:rPr>
          <w:sz w:val="20"/>
          <w:szCs w:val="20"/>
        </w:rPr>
      </w:pPr>
      <w:r>
        <w:rPr>
          <w:sz w:val="20"/>
          <w:szCs w:val="20"/>
        </w:rPr>
        <w:t>Remerciements</w:t>
      </w:r>
    </w:p>
    <w:p w14:paraId="3AFCC902" w14:textId="0349FD84" w:rsidR="0088431E" w:rsidRPr="0088431E" w:rsidRDefault="0088431E" w:rsidP="0088431E">
      <w:pPr>
        <w:rPr>
          <w:sz w:val="20"/>
        </w:rPr>
      </w:pPr>
      <w:r>
        <w:rPr>
          <w:sz w:val="20"/>
        </w:rPr>
        <w:t>Nous remercions sincèrement Junfei Hu (Université catholique de Louvain) pour l’aide apportée aux analyses statistiques.</w:t>
      </w:r>
    </w:p>
    <w:p w14:paraId="76095B04" w14:textId="014F4218" w:rsidR="007C16A8" w:rsidRDefault="007C16A8" w:rsidP="007C16A8">
      <w:pPr>
        <w:pStyle w:val="Titre2"/>
        <w:rPr>
          <w:sz w:val="20"/>
          <w:szCs w:val="20"/>
        </w:rPr>
      </w:pPr>
      <w:r>
        <w:rPr>
          <w:sz w:val="20"/>
          <w:szCs w:val="20"/>
        </w:rPr>
        <w:t>Références</w:t>
      </w:r>
    </w:p>
    <w:p w14:paraId="51BC48F4" w14:textId="0973659C" w:rsidR="007C16A8" w:rsidRPr="007C16A8" w:rsidRDefault="00405326" w:rsidP="007C16A8">
      <w:pPr>
        <w:pStyle w:val="BiblioBody"/>
      </w:pPr>
      <w:r>
        <w:rPr>
          <w:smallCaps/>
        </w:rPr>
        <w:t xml:space="preserve">Apothéloz </w:t>
      </w:r>
      <w:r w:rsidR="007C16A8" w:rsidRPr="007C16A8">
        <w:rPr>
          <w:smallCaps/>
        </w:rPr>
        <w:t>D., Benzitoun C., Béguelin M.-J., Corminboeuf G., Deulofeu</w:t>
      </w:r>
      <w:r>
        <w:rPr>
          <w:smallCaps/>
        </w:rPr>
        <w:t xml:space="preserve"> J.</w:t>
      </w:r>
      <w:r w:rsidR="007C16A8" w:rsidRPr="007C16A8">
        <w:rPr>
          <w:smallCaps/>
        </w:rPr>
        <w:t xml:space="preserve"> &amp; Willems D</w:t>
      </w:r>
      <w:r w:rsidR="007C16A8" w:rsidRPr="007C16A8">
        <w:t>. (2022</w:t>
      </w:r>
      <w:r w:rsidR="004F35F7" w:rsidRPr="007C16A8">
        <w:t>)</w:t>
      </w:r>
      <w:r w:rsidR="004F35F7">
        <w:t>,</w:t>
      </w:r>
      <w:r w:rsidR="004F35F7" w:rsidRPr="007C16A8">
        <w:t xml:space="preserve"> </w:t>
      </w:r>
      <w:r w:rsidR="007C16A8">
        <w:t>« </w:t>
      </w:r>
      <w:r w:rsidR="007C16A8" w:rsidRPr="007C16A8">
        <w:t>Descriptions du français parlé. Présentation.</w:t>
      </w:r>
      <w:r w:rsidR="007C16A8">
        <w:t> »</w:t>
      </w:r>
      <w:r w:rsidR="007C16A8" w:rsidRPr="007C16A8">
        <w:t xml:space="preserve"> </w:t>
      </w:r>
      <w:r w:rsidR="007C16A8" w:rsidRPr="007C16A8">
        <w:rPr>
          <w:i/>
        </w:rPr>
        <w:t>Langue française</w:t>
      </w:r>
      <w:r w:rsidR="007C16A8">
        <w:t xml:space="preserve"> </w:t>
      </w:r>
      <w:r w:rsidR="007C16A8" w:rsidRPr="007C16A8">
        <w:t>216(4), 7‑12. https://doi.org/10.3917/lf.216.0007</w:t>
      </w:r>
    </w:p>
    <w:p w14:paraId="3F478E5C" w14:textId="6F3E07F0" w:rsidR="007C16A8" w:rsidRPr="007C16A8" w:rsidRDefault="00405326" w:rsidP="007C16A8">
      <w:pPr>
        <w:pStyle w:val="BiblioBody"/>
      </w:pPr>
      <w:r>
        <w:rPr>
          <w:smallCaps/>
        </w:rPr>
        <w:t>Aryez-Bennett</w:t>
      </w:r>
      <w:r w:rsidR="007C16A8" w:rsidRPr="007C16A8">
        <w:rPr>
          <w:smallCaps/>
        </w:rPr>
        <w:t xml:space="preserve"> W.</w:t>
      </w:r>
      <w:r w:rsidR="007C16A8" w:rsidRPr="007C16A8">
        <w:t xml:space="preserve"> </w:t>
      </w:r>
      <w:r w:rsidR="001F420B">
        <w:t>(</w:t>
      </w:r>
      <w:r w:rsidR="007C16A8" w:rsidRPr="007C16A8">
        <w:t>2020</w:t>
      </w:r>
      <w:r w:rsidR="004F35F7">
        <w:t>),</w:t>
      </w:r>
      <w:r w:rsidR="004F35F7" w:rsidRPr="007C16A8">
        <w:t xml:space="preserve"> </w:t>
      </w:r>
      <w:r w:rsidR="007C16A8" w:rsidRPr="007C16A8">
        <w:t>« Syntaxe de l’oral (chapitre 37)</w:t>
      </w:r>
      <w:r w:rsidR="007C16A8">
        <w:t> »</w:t>
      </w:r>
      <w:r w:rsidR="007C16A8" w:rsidRPr="007C16A8">
        <w:t xml:space="preserve">, dans </w:t>
      </w:r>
      <w:r w:rsidR="007C16A8" w:rsidRPr="006F427E">
        <w:rPr>
          <w:smallCaps/>
        </w:rPr>
        <w:t>Marcello-Nizia</w:t>
      </w:r>
      <w:r>
        <w:rPr>
          <w:smallCaps/>
        </w:rPr>
        <w:t xml:space="preserve"> </w:t>
      </w:r>
      <w:r w:rsidR="005D7F52">
        <w:t>C.</w:t>
      </w:r>
      <w:r w:rsidR="005D7F52">
        <w:t>,</w:t>
      </w:r>
      <w:r w:rsidR="005D7F52">
        <w:t xml:space="preserve"> </w:t>
      </w:r>
      <w:r>
        <w:rPr>
          <w:smallCaps/>
        </w:rPr>
        <w:t>Combettes</w:t>
      </w:r>
      <w:r w:rsidR="005D7F52">
        <w:rPr>
          <w:smallCaps/>
        </w:rPr>
        <w:t xml:space="preserve"> </w:t>
      </w:r>
      <w:r w:rsidR="005D7F52">
        <w:rPr>
          <w:smallCaps/>
        </w:rPr>
        <w:t>B.</w:t>
      </w:r>
      <w:r>
        <w:rPr>
          <w:smallCaps/>
        </w:rPr>
        <w:t>,</w:t>
      </w:r>
      <w:r w:rsidR="007C16A8" w:rsidRPr="006F427E">
        <w:rPr>
          <w:smallCaps/>
        </w:rPr>
        <w:t xml:space="preserve"> Prévost </w:t>
      </w:r>
      <w:r>
        <w:rPr>
          <w:smallCaps/>
        </w:rPr>
        <w:t xml:space="preserve">S. &amp; </w:t>
      </w:r>
      <w:r w:rsidR="007C16A8" w:rsidRPr="006F427E">
        <w:rPr>
          <w:smallCaps/>
        </w:rPr>
        <w:t>Scheer</w:t>
      </w:r>
      <w:r w:rsidR="007C16A8" w:rsidRPr="007C16A8">
        <w:t xml:space="preserve"> </w:t>
      </w:r>
      <w:r>
        <w:t xml:space="preserve">T. </w:t>
      </w:r>
      <w:r w:rsidR="007C16A8" w:rsidRPr="007C16A8">
        <w:t>(éd.)</w:t>
      </w:r>
      <w:r>
        <w:t>,</w:t>
      </w:r>
      <w:r w:rsidR="007C16A8">
        <w:t xml:space="preserve"> </w:t>
      </w:r>
      <w:r w:rsidR="007C16A8">
        <w:rPr>
          <w:i/>
        </w:rPr>
        <w:t xml:space="preserve">Grande </w:t>
      </w:r>
      <w:r>
        <w:rPr>
          <w:i/>
        </w:rPr>
        <w:t>g</w:t>
      </w:r>
      <w:r w:rsidR="007C16A8">
        <w:rPr>
          <w:i/>
        </w:rPr>
        <w:t xml:space="preserve">rammaire </w:t>
      </w:r>
      <w:r>
        <w:rPr>
          <w:i/>
        </w:rPr>
        <w:t>historique</w:t>
      </w:r>
      <w:r w:rsidR="007C16A8">
        <w:rPr>
          <w:i/>
        </w:rPr>
        <w:t xml:space="preserve"> du </w:t>
      </w:r>
      <w:r>
        <w:rPr>
          <w:i/>
        </w:rPr>
        <w:t>f</w:t>
      </w:r>
      <w:r w:rsidR="007C16A8">
        <w:rPr>
          <w:i/>
        </w:rPr>
        <w:t xml:space="preserve">rançais, </w:t>
      </w:r>
      <w:r w:rsidR="007C16A8">
        <w:t xml:space="preserve">Berlin, Mouton De Gruyter, </w:t>
      </w:r>
      <w:r w:rsidR="007C16A8" w:rsidRPr="00405326">
        <w:rPr>
          <w:iCs/>
        </w:rPr>
        <w:t>1466-1480</w:t>
      </w:r>
      <w:r w:rsidR="007C16A8">
        <w:rPr>
          <w:i/>
        </w:rPr>
        <w:t xml:space="preserve">. </w:t>
      </w:r>
    </w:p>
    <w:p w14:paraId="58A74E23" w14:textId="1C71E5C4" w:rsidR="007C16A8" w:rsidRDefault="00405326" w:rsidP="007C16A8">
      <w:pPr>
        <w:pStyle w:val="BiblioBody"/>
      </w:pPr>
      <w:r>
        <w:rPr>
          <w:smallCaps/>
        </w:rPr>
        <w:t>Avanzi</w:t>
      </w:r>
      <w:r w:rsidR="007C16A8" w:rsidRPr="007C16A8">
        <w:rPr>
          <w:smallCaps/>
        </w:rPr>
        <w:t xml:space="preserve"> M</w:t>
      </w:r>
      <w:r w:rsidR="007C16A8" w:rsidRPr="007C16A8">
        <w:t>. (2011</w:t>
      </w:r>
      <w:r w:rsidR="004F35F7" w:rsidRPr="007C16A8">
        <w:t>)</w:t>
      </w:r>
      <w:r w:rsidR="004F35F7">
        <w:t>,</w:t>
      </w:r>
      <w:r w:rsidR="004F35F7" w:rsidRPr="007C16A8">
        <w:t xml:space="preserve"> </w:t>
      </w:r>
      <w:r w:rsidR="007C16A8" w:rsidRPr="007C16A8">
        <w:rPr>
          <w:i/>
        </w:rPr>
        <w:t xml:space="preserve">L’interface prosodie/syntaxe en </w:t>
      </w:r>
      <w:r w:rsidRPr="007C16A8">
        <w:rPr>
          <w:i/>
        </w:rPr>
        <w:t>français</w:t>
      </w:r>
      <w:r>
        <w:rPr>
          <w:i/>
        </w:rPr>
        <w:t> </w:t>
      </w:r>
      <w:r w:rsidRPr="007C16A8">
        <w:rPr>
          <w:i/>
        </w:rPr>
        <w:t>:</w:t>
      </w:r>
      <w:r w:rsidR="007C16A8" w:rsidRPr="007C16A8">
        <w:rPr>
          <w:i/>
        </w:rPr>
        <w:t xml:space="preserve"> Dislocations, incises et asyndètes</w:t>
      </w:r>
      <w:r w:rsidR="007C16A8" w:rsidRPr="007C16A8">
        <w:t xml:space="preserve"> [</w:t>
      </w:r>
      <w:r w:rsidR="006F427E" w:rsidRPr="007C16A8">
        <w:t>Th</w:t>
      </w:r>
      <w:r w:rsidR="006F427E">
        <w:t>è</w:t>
      </w:r>
      <w:r w:rsidR="006F427E" w:rsidRPr="007C16A8">
        <w:t xml:space="preserve">se </w:t>
      </w:r>
      <w:r w:rsidR="007C16A8" w:rsidRPr="007C16A8">
        <w:t xml:space="preserve">de doctorat, Paris 10]. </w:t>
      </w:r>
      <w:hyperlink r:id="rId14" w:history="1">
        <w:r w:rsidR="007C16A8" w:rsidRPr="00926F06">
          <w:rPr>
            <w:rStyle w:val="Lienhypertexte"/>
          </w:rPr>
          <w:t>https://www.theses.fr/2011PA100065</w:t>
        </w:r>
      </w:hyperlink>
    </w:p>
    <w:p w14:paraId="41B8F58A" w14:textId="7C250688" w:rsidR="00132545" w:rsidRPr="00846700" w:rsidRDefault="00405326" w:rsidP="00132545">
      <w:pPr>
        <w:pStyle w:val="BiblioBody"/>
        <w:rPr>
          <w:lang w:eastAsia="en-GB"/>
        </w:rPr>
      </w:pPr>
      <w:r>
        <w:rPr>
          <w:smallCaps/>
          <w:lang w:eastAsia="en-GB"/>
        </w:rPr>
        <w:t>Benzitoun</w:t>
      </w:r>
      <w:r w:rsidR="00132545" w:rsidRPr="00846700">
        <w:rPr>
          <w:smallCaps/>
          <w:lang w:eastAsia="en-GB"/>
        </w:rPr>
        <w:t xml:space="preserve"> C., Debaisieux</w:t>
      </w:r>
      <w:r w:rsidRPr="00405326">
        <w:rPr>
          <w:smallCaps/>
          <w:lang w:eastAsia="en-GB"/>
        </w:rPr>
        <w:t xml:space="preserve"> </w:t>
      </w:r>
      <w:r w:rsidRPr="00846700">
        <w:rPr>
          <w:smallCaps/>
          <w:lang w:eastAsia="en-GB"/>
        </w:rPr>
        <w:t>J-M.</w:t>
      </w:r>
      <w:r w:rsidR="00132545" w:rsidRPr="00846700">
        <w:rPr>
          <w:smallCaps/>
          <w:lang w:eastAsia="en-GB"/>
        </w:rPr>
        <w:t xml:space="preserve"> </w:t>
      </w:r>
      <w:r w:rsidR="00846700" w:rsidRPr="00846700">
        <w:rPr>
          <w:smallCaps/>
          <w:lang w:eastAsia="en-GB"/>
        </w:rPr>
        <w:t>&amp;</w:t>
      </w:r>
      <w:r w:rsidR="00132545" w:rsidRPr="00846700">
        <w:rPr>
          <w:smallCaps/>
          <w:lang w:eastAsia="en-GB"/>
        </w:rPr>
        <w:t xml:space="preserve"> Deulofeu</w:t>
      </w:r>
      <w:r w:rsidRPr="00405326">
        <w:rPr>
          <w:smallCaps/>
          <w:lang w:eastAsia="en-GB"/>
        </w:rPr>
        <w:t xml:space="preserve"> </w:t>
      </w:r>
      <w:r w:rsidRPr="00846700">
        <w:rPr>
          <w:smallCaps/>
          <w:lang w:eastAsia="en-GB"/>
        </w:rPr>
        <w:t>H-J.</w:t>
      </w:r>
      <w:r w:rsidR="00132545" w:rsidRPr="00350473">
        <w:rPr>
          <w:lang w:eastAsia="en-GB"/>
        </w:rPr>
        <w:t xml:space="preserve"> </w:t>
      </w:r>
      <w:r w:rsidR="001F420B">
        <w:rPr>
          <w:lang w:eastAsia="en-GB"/>
        </w:rPr>
        <w:t>(</w:t>
      </w:r>
      <w:r w:rsidR="00132545" w:rsidRPr="00350473">
        <w:rPr>
          <w:lang w:eastAsia="en-GB"/>
        </w:rPr>
        <w:t>2018</w:t>
      </w:r>
      <w:r w:rsidR="001F420B">
        <w:rPr>
          <w:lang w:eastAsia="en-GB"/>
        </w:rPr>
        <w:t>)</w:t>
      </w:r>
      <w:r w:rsidR="004F35F7">
        <w:rPr>
          <w:lang w:eastAsia="en-GB"/>
        </w:rPr>
        <w:t>,</w:t>
      </w:r>
      <w:r w:rsidR="00132545" w:rsidRPr="00350473">
        <w:rPr>
          <w:lang w:eastAsia="en-GB"/>
        </w:rPr>
        <w:t xml:space="preserve"> </w:t>
      </w:r>
      <w:r w:rsidR="00846700">
        <w:rPr>
          <w:lang w:eastAsia="en-GB"/>
        </w:rPr>
        <w:t>« L</w:t>
      </w:r>
      <w:r w:rsidR="00132545" w:rsidRPr="00350473">
        <w:rPr>
          <w:lang w:eastAsia="en-GB"/>
        </w:rPr>
        <w:t>e projet ORFÉO : un corpus d’étude pour le français contemporain.</w:t>
      </w:r>
      <w:r w:rsidR="00846700">
        <w:rPr>
          <w:lang w:eastAsia="en-GB"/>
        </w:rPr>
        <w:t> »</w:t>
      </w:r>
      <w:r w:rsidR="00132545" w:rsidRPr="00350473">
        <w:rPr>
          <w:lang w:eastAsia="en-GB"/>
        </w:rPr>
        <w:t xml:space="preserve"> </w:t>
      </w:r>
      <w:r w:rsidR="00132545" w:rsidRPr="00846700">
        <w:rPr>
          <w:i/>
          <w:iCs/>
          <w:lang w:eastAsia="en-GB"/>
        </w:rPr>
        <w:t>Corpus</w:t>
      </w:r>
      <w:r w:rsidR="00132545" w:rsidRPr="00846700">
        <w:rPr>
          <w:lang w:eastAsia="en-GB"/>
        </w:rPr>
        <w:t>. https://doi.org/10.4000/corpus.2936.</w:t>
      </w:r>
    </w:p>
    <w:p w14:paraId="1869D6BE" w14:textId="19E41418" w:rsidR="00132545" w:rsidRDefault="00132545" w:rsidP="00132545">
      <w:pPr>
        <w:pStyle w:val="BiblioBody"/>
      </w:pPr>
      <w:r w:rsidRPr="00132545">
        <w:rPr>
          <w:smallCaps/>
        </w:rPr>
        <w:t>Benzitoun C. &amp; Sabio</w:t>
      </w:r>
      <w:r w:rsidR="00405326">
        <w:rPr>
          <w:smallCaps/>
        </w:rPr>
        <w:t xml:space="preserve"> F.</w:t>
      </w:r>
      <w:r w:rsidR="001F420B">
        <w:rPr>
          <w:smallCaps/>
        </w:rPr>
        <w:t xml:space="preserve"> </w:t>
      </w:r>
      <w:r w:rsidRPr="00132545">
        <w:t>(2010</w:t>
      </w:r>
      <w:r w:rsidR="004F35F7" w:rsidRPr="00132545">
        <w:t>)</w:t>
      </w:r>
      <w:r w:rsidR="004F35F7">
        <w:t>,</w:t>
      </w:r>
      <w:r w:rsidR="004F35F7" w:rsidRPr="00132545">
        <w:t xml:space="preserve"> </w:t>
      </w:r>
      <w:r>
        <w:t>« </w:t>
      </w:r>
      <w:r w:rsidRPr="00132545">
        <w:t>Où finit la phrase ? Où commence le texte ?</w:t>
      </w:r>
      <w:r>
        <w:t> »</w:t>
      </w:r>
      <w:r w:rsidRPr="00132545">
        <w:t xml:space="preserve"> </w:t>
      </w:r>
      <w:r w:rsidRPr="00132545">
        <w:rPr>
          <w:i/>
        </w:rPr>
        <w:t>Discours</w:t>
      </w:r>
      <w:r w:rsidRPr="00132545">
        <w:t xml:space="preserve">, 7. </w:t>
      </w:r>
      <w:hyperlink r:id="rId15" w:history="1">
        <w:r w:rsidRPr="00132545">
          <w:rPr>
            <w:rStyle w:val="Lienhypertexte"/>
          </w:rPr>
          <w:t>http://discours.revues.org/7966</w:t>
        </w:r>
      </w:hyperlink>
    </w:p>
    <w:p w14:paraId="392E8F8C" w14:textId="25452378" w:rsidR="00846700" w:rsidRPr="00DF0098" w:rsidRDefault="00846700" w:rsidP="00846700">
      <w:pPr>
        <w:pStyle w:val="BiblioBody"/>
      </w:pPr>
      <w:r w:rsidRPr="00846700">
        <w:rPr>
          <w:smallCaps/>
        </w:rPr>
        <w:t>Bilger M. &amp; Campione</w:t>
      </w:r>
      <w:r w:rsidR="00405326" w:rsidRPr="00405326">
        <w:rPr>
          <w:smallCaps/>
        </w:rPr>
        <w:t xml:space="preserve"> </w:t>
      </w:r>
      <w:r w:rsidR="00405326">
        <w:rPr>
          <w:smallCaps/>
        </w:rPr>
        <w:t>E.</w:t>
      </w:r>
      <w:r w:rsidRPr="00846700">
        <w:t xml:space="preserve"> (2002</w:t>
      </w:r>
      <w:r w:rsidR="004F35F7" w:rsidRPr="00846700">
        <w:t>)</w:t>
      </w:r>
      <w:r w:rsidR="004F35F7">
        <w:t>,</w:t>
      </w:r>
      <w:r w:rsidR="004F35F7" w:rsidRPr="00846700">
        <w:t xml:space="preserve"> </w:t>
      </w:r>
      <w:r>
        <w:t>« </w:t>
      </w:r>
      <w:r w:rsidRPr="00846700">
        <w:t>Propositions pour un étiquetage en séquences fonctionnelles</w:t>
      </w:r>
      <w:r>
        <w:t> »</w:t>
      </w:r>
      <w:r w:rsidRPr="00846700">
        <w:t xml:space="preserve">. </w:t>
      </w:r>
      <w:r w:rsidRPr="00846700">
        <w:rPr>
          <w:i/>
        </w:rPr>
        <w:t>Recherches sur le français parlé</w:t>
      </w:r>
      <w:r w:rsidRPr="00846700">
        <w:t xml:space="preserve"> 17</w:t>
      </w:r>
      <w:r>
        <w:t xml:space="preserve">, </w:t>
      </w:r>
      <w:r w:rsidRPr="00846700">
        <w:t>117-136.</w:t>
      </w:r>
    </w:p>
    <w:p w14:paraId="5F6ED595" w14:textId="16B1B9EA" w:rsidR="00132545" w:rsidRPr="001F420B" w:rsidRDefault="001F420B" w:rsidP="001F420B">
      <w:pPr>
        <w:pStyle w:val="BiblioBody"/>
        <w:rPr>
          <w:rStyle w:val="style11"/>
        </w:rPr>
      </w:pPr>
      <w:r w:rsidRPr="001F420B">
        <w:rPr>
          <w:rStyle w:val="style11"/>
          <w:smallCaps/>
        </w:rPr>
        <w:t>Blanche-Benveniste C.</w:t>
      </w:r>
      <w:r w:rsidRPr="001F420B">
        <w:rPr>
          <w:rStyle w:val="style11"/>
        </w:rPr>
        <w:t xml:space="preserve"> (1990)</w:t>
      </w:r>
      <w:r>
        <w:rPr>
          <w:rStyle w:val="style11"/>
        </w:rPr>
        <w:t>.</w:t>
      </w:r>
      <w:r w:rsidRPr="001F420B">
        <w:rPr>
          <w:rStyle w:val="style11"/>
        </w:rPr>
        <w:t xml:space="preserve"> </w:t>
      </w:r>
      <w:r w:rsidR="00DB74D0">
        <w:rPr>
          <w:rStyle w:val="style11"/>
        </w:rPr>
        <w:t> « </w:t>
      </w:r>
      <w:r w:rsidRPr="001F420B">
        <w:rPr>
          <w:rStyle w:val="style11"/>
        </w:rPr>
        <w:t>Présentation des travaux du G.A.R.S.</w:t>
      </w:r>
      <w:r w:rsidR="00DB74D0">
        <w:rPr>
          <w:rStyle w:val="style11"/>
        </w:rPr>
        <w:t> »</w:t>
      </w:r>
      <w:r w:rsidRPr="001F420B">
        <w:rPr>
          <w:rStyle w:val="style11"/>
        </w:rPr>
        <w:t>, </w:t>
      </w:r>
      <w:r w:rsidRPr="001F420B">
        <w:rPr>
          <w:rStyle w:val="style21"/>
          <w:i/>
        </w:rPr>
        <w:t xml:space="preserve">Travaux de Linguistique </w:t>
      </w:r>
      <w:r w:rsidRPr="00405326">
        <w:rPr>
          <w:rStyle w:val="style11"/>
          <w:iCs/>
        </w:rPr>
        <w:t>21</w:t>
      </w:r>
      <w:r w:rsidR="00405326">
        <w:rPr>
          <w:rStyle w:val="style11"/>
          <w:iCs/>
        </w:rPr>
        <w:t>,</w:t>
      </w:r>
      <w:r w:rsidRPr="001F420B">
        <w:rPr>
          <w:rStyle w:val="style11"/>
          <w:i/>
        </w:rPr>
        <w:t> </w:t>
      </w:r>
      <w:r w:rsidRPr="001F420B">
        <w:rPr>
          <w:rStyle w:val="style11"/>
        </w:rPr>
        <w:t>43-45</w:t>
      </w:r>
      <w:r w:rsidR="00405326">
        <w:rPr>
          <w:rStyle w:val="style11"/>
        </w:rPr>
        <w:t>.</w:t>
      </w:r>
    </w:p>
    <w:p w14:paraId="00DF154B" w14:textId="69E992AD" w:rsidR="007C16A8" w:rsidRDefault="007C16A8" w:rsidP="00F54E81">
      <w:pPr>
        <w:pStyle w:val="BiblioBody"/>
      </w:pPr>
      <w:r w:rsidRPr="007C16A8">
        <w:rPr>
          <w:rStyle w:val="style11"/>
          <w:smallCaps/>
        </w:rPr>
        <w:t xml:space="preserve">Blanche-Benveniste C. </w:t>
      </w:r>
      <w:r w:rsidRPr="007C16A8">
        <w:rPr>
          <w:rStyle w:val="style11"/>
        </w:rPr>
        <w:t>(1997)</w:t>
      </w:r>
      <w:r w:rsidR="004F35F7">
        <w:rPr>
          <w:rStyle w:val="style11"/>
        </w:rPr>
        <w:t>,</w:t>
      </w:r>
      <w:r w:rsidRPr="007C16A8">
        <w:rPr>
          <w:rStyle w:val="style11"/>
        </w:rPr>
        <w:t xml:space="preserve"> </w:t>
      </w:r>
      <w:r w:rsidRPr="007C16A8">
        <w:rPr>
          <w:rStyle w:val="style8"/>
          <w:i/>
        </w:rPr>
        <w:t>Approches de la langue parlée en français</w:t>
      </w:r>
      <w:r w:rsidRPr="007C16A8">
        <w:rPr>
          <w:rStyle w:val="style11"/>
        </w:rPr>
        <w:t>, Gap-Paris, Ophrys.</w:t>
      </w:r>
    </w:p>
    <w:p w14:paraId="258526B7" w14:textId="6001206F" w:rsidR="001F420B" w:rsidRPr="001F420B" w:rsidRDefault="001F420B" w:rsidP="001F420B">
      <w:pPr>
        <w:pStyle w:val="BiblioBody"/>
      </w:pPr>
      <w:r w:rsidRPr="001F420B">
        <w:rPr>
          <w:rStyle w:val="style11"/>
          <w:smallCaps/>
        </w:rPr>
        <w:t>Blanche-Benveniste C.</w:t>
      </w:r>
      <w:r w:rsidRPr="001F420B">
        <w:rPr>
          <w:rStyle w:val="style11"/>
        </w:rPr>
        <w:t xml:space="preserve"> (2002)</w:t>
      </w:r>
      <w:r w:rsidR="004F35F7">
        <w:rPr>
          <w:rStyle w:val="style11"/>
        </w:rPr>
        <w:t>,</w:t>
      </w:r>
      <w:r w:rsidRPr="001F420B">
        <w:rPr>
          <w:rStyle w:val="style11"/>
        </w:rPr>
        <w:t xml:space="preserve"> </w:t>
      </w:r>
      <w:r>
        <w:rPr>
          <w:rStyle w:val="style11"/>
        </w:rPr>
        <w:t>« </w:t>
      </w:r>
      <w:r w:rsidRPr="001F420B">
        <w:rPr>
          <w:rStyle w:val="style11"/>
        </w:rPr>
        <w:t>Macro-syntaxe et micro-syntaxe : les dispositifs de la rection verbale</w:t>
      </w:r>
      <w:r>
        <w:rPr>
          <w:rStyle w:val="style11"/>
        </w:rPr>
        <w:t> »</w:t>
      </w:r>
      <w:r w:rsidRPr="001F420B">
        <w:rPr>
          <w:rStyle w:val="style11"/>
        </w:rPr>
        <w:t xml:space="preserve">, </w:t>
      </w:r>
      <w:r>
        <w:rPr>
          <w:rStyle w:val="style11"/>
        </w:rPr>
        <w:t xml:space="preserve">dans </w:t>
      </w:r>
      <w:r w:rsidRPr="00405326">
        <w:rPr>
          <w:rStyle w:val="style11"/>
          <w:smallCaps/>
        </w:rPr>
        <w:t>Andersen</w:t>
      </w:r>
      <w:r w:rsidRPr="00405326">
        <w:rPr>
          <w:rStyle w:val="style11"/>
        </w:rPr>
        <w:t xml:space="preserve"> </w:t>
      </w:r>
      <w:r w:rsidR="00405326" w:rsidRPr="00405326">
        <w:rPr>
          <w:rStyle w:val="style11"/>
        </w:rPr>
        <w:t>H. L. </w:t>
      </w:r>
      <w:r w:rsidRPr="00405326">
        <w:rPr>
          <w:rStyle w:val="style11"/>
        </w:rPr>
        <w:t xml:space="preserve">&amp; </w:t>
      </w:r>
      <w:r w:rsidRPr="00405326">
        <w:rPr>
          <w:rStyle w:val="style11"/>
          <w:smallCaps/>
        </w:rPr>
        <w:t>Nølke</w:t>
      </w:r>
      <w:r w:rsidRPr="001F420B">
        <w:rPr>
          <w:rStyle w:val="style11"/>
          <w:smallCaps/>
        </w:rPr>
        <w:t xml:space="preserve"> </w:t>
      </w:r>
      <w:r w:rsidR="00405326" w:rsidRPr="00405326">
        <w:rPr>
          <w:rStyle w:val="style11"/>
        </w:rPr>
        <w:t>H. </w:t>
      </w:r>
      <w:r w:rsidR="00405326" w:rsidRPr="001F420B">
        <w:rPr>
          <w:rStyle w:val="style11"/>
        </w:rPr>
        <w:t xml:space="preserve"> </w:t>
      </w:r>
      <w:r w:rsidRPr="001F420B">
        <w:rPr>
          <w:rStyle w:val="style11"/>
        </w:rPr>
        <w:t>(éds),</w:t>
      </w:r>
      <w:r>
        <w:rPr>
          <w:rStyle w:val="style11"/>
        </w:rPr>
        <w:t xml:space="preserve"> </w:t>
      </w:r>
      <w:r w:rsidRPr="001F420B">
        <w:rPr>
          <w:rStyle w:val="style21"/>
          <w:i/>
        </w:rPr>
        <w:t>Macro-syntaxe et macro-sémantique. Actes du colloque international d’Århus</w:t>
      </w:r>
      <w:r w:rsidRPr="001F420B">
        <w:rPr>
          <w:rStyle w:val="style11"/>
        </w:rPr>
        <w:t>, Bern, Peter Lang, 95-118.</w:t>
      </w:r>
    </w:p>
    <w:p w14:paraId="719DFEA5" w14:textId="4E9A96BB" w:rsidR="001F420B" w:rsidRDefault="001F420B" w:rsidP="007C16A8">
      <w:pPr>
        <w:pStyle w:val="BiblioBody"/>
      </w:pPr>
      <w:r w:rsidRPr="001F420B">
        <w:rPr>
          <w:smallCaps/>
        </w:rPr>
        <w:t>Blanche-Benveniste C.</w:t>
      </w:r>
      <w:r w:rsidRPr="001F420B">
        <w:t xml:space="preserve"> (2003)</w:t>
      </w:r>
      <w:r w:rsidR="004F35F7">
        <w:t>,</w:t>
      </w:r>
      <w:r w:rsidRPr="001F420B">
        <w:t xml:space="preserve"> </w:t>
      </w:r>
      <w:r>
        <w:t>« </w:t>
      </w:r>
      <w:r w:rsidRPr="001F420B">
        <w:t>Le recouvrement de la syntaxe et de la macro-syntaxe</w:t>
      </w:r>
      <w:r>
        <w:t> »</w:t>
      </w:r>
      <w:r w:rsidRPr="001F420B">
        <w:t xml:space="preserve"> </w:t>
      </w:r>
      <w:r>
        <w:t>dans</w:t>
      </w:r>
      <w:r w:rsidRPr="001F420B">
        <w:t xml:space="preserve"> </w:t>
      </w:r>
      <w:r w:rsidRPr="004F35F7">
        <w:rPr>
          <w:smallCaps/>
        </w:rPr>
        <w:t>Scarano</w:t>
      </w:r>
      <w:r w:rsidRPr="001F420B">
        <w:t xml:space="preserve"> </w:t>
      </w:r>
      <w:r w:rsidR="00405326" w:rsidRPr="00405326">
        <w:rPr>
          <w:smallCaps/>
        </w:rPr>
        <w:t xml:space="preserve">A. </w:t>
      </w:r>
      <w:r w:rsidRPr="001F420B">
        <w:t>(</w:t>
      </w:r>
      <w:r w:rsidR="004F35F7">
        <w:t>é</w:t>
      </w:r>
      <w:r w:rsidR="004F35F7" w:rsidRPr="001F420B">
        <w:t>d</w:t>
      </w:r>
      <w:r w:rsidRPr="001F420B">
        <w:t xml:space="preserve">.), </w:t>
      </w:r>
      <w:r w:rsidRPr="001F420B">
        <w:rPr>
          <w:i/>
        </w:rPr>
        <w:t>Macro-syntaxe et pragmatique. L’analyse linguistique de l’oral</w:t>
      </w:r>
      <w:r>
        <w:t xml:space="preserve">, </w:t>
      </w:r>
      <w:r w:rsidRPr="001F420B">
        <w:t>Bulzoni Editore</w:t>
      </w:r>
      <w:r>
        <w:t xml:space="preserve">, </w:t>
      </w:r>
      <w:r w:rsidRPr="001F420B">
        <w:t>53‑75</w:t>
      </w:r>
      <w:r w:rsidR="00F54E81">
        <w:t>.</w:t>
      </w:r>
    </w:p>
    <w:p w14:paraId="2A20CECF" w14:textId="3FB261BE" w:rsidR="00F54E81" w:rsidRPr="001F420B" w:rsidRDefault="00405326" w:rsidP="007C16A8">
      <w:pPr>
        <w:pStyle w:val="BiblioBody"/>
        <w:rPr>
          <w:lang w:val="fr-BE"/>
        </w:rPr>
      </w:pPr>
      <w:r>
        <w:rPr>
          <w:smallCaps/>
        </w:rPr>
        <w:t>Blanche-Benveniste</w:t>
      </w:r>
      <w:r w:rsidR="00F54E81" w:rsidRPr="00F54E81">
        <w:rPr>
          <w:smallCaps/>
        </w:rPr>
        <w:t xml:space="preserve"> C.</w:t>
      </w:r>
      <w:r w:rsidR="00F54E81" w:rsidRPr="00F54E81">
        <w:t xml:space="preserve"> </w:t>
      </w:r>
      <w:r w:rsidR="00F54E81">
        <w:t>(2010)</w:t>
      </w:r>
      <w:r w:rsidR="004F35F7">
        <w:t>,</w:t>
      </w:r>
      <w:r w:rsidR="00F54E81">
        <w:t xml:space="preserve"> </w:t>
      </w:r>
      <w:r w:rsidR="00F54E81" w:rsidRPr="00F54E81">
        <w:rPr>
          <w:i/>
        </w:rPr>
        <w:t>Approches de la langue parlée en français</w:t>
      </w:r>
      <w:r w:rsidR="00F54E81" w:rsidRPr="00F54E81">
        <w:t>, Paris, Ophrys.</w:t>
      </w:r>
    </w:p>
    <w:p w14:paraId="46CDE5A3" w14:textId="40683BF8" w:rsidR="007C16A8" w:rsidRPr="007C16A8" w:rsidRDefault="007C16A8" w:rsidP="007C16A8">
      <w:pPr>
        <w:pStyle w:val="BiblioBody"/>
      </w:pPr>
      <w:r w:rsidRPr="007C16A8">
        <w:rPr>
          <w:smallCaps/>
        </w:rPr>
        <w:t xml:space="preserve">Blanche-Benveniste C., Deulofeu </w:t>
      </w:r>
      <w:r w:rsidR="005D7F52">
        <w:rPr>
          <w:smallCaps/>
        </w:rPr>
        <w:t>H.-</w:t>
      </w:r>
      <w:r w:rsidRPr="007C16A8">
        <w:rPr>
          <w:smallCaps/>
        </w:rPr>
        <w:t>J., Stéfanini J. &amp; Van den Eynde K.</w:t>
      </w:r>
      <w:r w:rsidRPr="007C16A8">
        <w:t xml:space="preserve"> (1984). </w:t>
      </w:r>
      <w:r w:rsidRPr="00405326">
        <w:rPr>
          <w:i/>
        </w:rPr>
        <w:t>Pronom et Syntaxe. L’approche pronominale et son application au français</w:t>
      </w:r>
      <w:r w:rsidR="006676FF">
        <w:t>,</w:t>
      </w:r>
      <w:r w:rsidR="006676FF" w:rsidRPr="007C16A8">
        <w:t xml:space="preserve"> </w:t>
      </w:r>
      <w:r w:rsidR="00405326">
        <w:t>Paris,</w:t>
      </w:r>
      <w:r w:rsidRPr="007C16A8">
        <w:t xml:space="preserve"> Selaf-Aelia.</w:t>
      </w:r>
    </w:p>
    <w:p w14:paraId="63EF8341" w14:textId="2C9FC8AB" w:rsidR="007C16A8" w:rsidRPr="003F28F6" w:rsidRDefault="007C16A8" w:rsidP="007C16A8">
      <w:pPr>
        <w:pStyle w:val="BiblioBody"/>
        <w:rPr>
          <w:lang w:val="fr-BE"/>
        </w:rPr>
      </w:pPr>
      <w:r w:rsidRPr="007C16A8">
        <w:rPr>
          <w:smallCaps/>
        </w:rPr>
        <w:t>Blanche-Benveniste C</w:t>
      </w:r>
      <w:r w:rsidRPr="007C16A8">
        <w:t xml:space="preserve">. et </w:t>
      </w:r>
      <w:r w:rsidRPr="007C16A8">
        <w:rPr>
          <w:smallCaps/>
        </w:rPr>
        <w:t>Jeanjean</w:t>
      </w:r>
      <w:r w:rsidR="00405326" w:rsidRPr="00405326">
        <w:rPr>
          <w:smallCaps/>
        </w:rPr>
        <w:t xml:space="preserve"> </w:t>
      </w:r>
      <w:r w:rsidR="00405326" w:rsidRPr="007C16A8">
        <w:rPr>
          <w:smallCaps/>
        </w:rPr>
        <w:t>C.</w:t>
      </w:r>
      <w:r w:rsidRPr="007C16A8">
        <w:t xml:space="preserve"> </w:t>
      </w:r>
      <w:r w:rsidR="004F35F7">
        <w:t>(</w:t>
      </w:r>
      <w:r w:rsidRPr="007C16A8">
        <w:t>1987</w:t>
      </w:r>
      <w:r w:rsidR="004F35F7">
        <w:t>),</w:t>
      </w:r>
      <w:r w:rsidR="004F35F7" w:rsidRPr="007C16A8">
        <w:t xml:space="preserve"> </w:t>
      </w:r>
      <w:r w:rsidRPr="00405326">
        <w:rPr>
          <w:i/>
          <w:iCs/>
        </w:rPr>
        <w:t>Le français parlé : transcription et édition</w:t>
      </w:r>
      <w:r w:rsidR="006676FF">
        <w:t>,</w:t>
      </w:r>
      <w:r w:rsidR="006676FF" w:rsidRPr="007C16A8">
        <w:t xml:space="preserve"> </w:t>
      </w:r>
      <w:r w:rsidRPr="003F28F6">
        <w:rPr>
          <w:lang w:val="fr-BE"/>
        </w:rPr>
        <w:t>Paris</w:t>
      </w:r>
      <w:r w:rsidR="00405326">
        <w:rPr>
          <w:lang w:val="fr-BE"/>
        </w:rPr>
        <w:t xml:space="preserve">, </w:t>
      </w:r>
      <w:r w:rsidRPr="003F28F6">
        <w:rPr>
          <w:lang w:val="fr-BE"/>
        </w:rPr>
        <w:t xml:space="preserve">Didier </w:t>
      </w:r>
      <w:r w:rsidR="00405326" w:rsidRPr="003F28F6">
        <w:rPr>
          <w:lang w:val="fr-BE"/>
        </w:rPr>
        <w:t>Érudition</w:t>
      </w:r>
      <w:r w:rsidRPr="003F28F6">
        <w:rPr>
          <w:lang w:val="fr-BE"/>
        </w:rPr>
        <w:t xml:space="preserve">. </w:t>
      </w:r>
    </w:p>
    <w:p w14:paraId="768B3F75" w14:textId="7EFD47BC" w:rsidR="007C16A8" w:rsidRPr="00C5234B" w:rsidRDefault="007C16A8" w:rsidP="007C16A8">
      <w:pPr>
        <w:pStyle w:val="BiblioBody"/>
        <w:rPr>
          <w:lang w:val="en-US"/>
        </w:rPr>
      </w:pPr>
      <w:r w:rsidRPr="003F28F6">
        <w:rPr>
          <w:smallCaps/>
          <w:lang w:val="fr-BE"/>
        </w:rPr>
        <w:t>Blanche-Benveniste C., Bilger M., Rouget C. &amp; Van den Eynde K.</w:t>
      </w:r>
      <w:r w:rsidRPr="003F28F6">
        <w:rPr>
          <w:lang w:val="fr-BE"/>
        </w:rPr>
        <w:t xml:space="preserve"> (1990</w:t>
      </w:r>
      <w:r w:rsidR="004F35F7" w:rsidRPr="003F28F6">
        <w:rPr>
          <w:lang w:val="fr-BE"/>
        </w:rPr>
        <w:t xml:space="preserve">), </w:t>
      </w:r>
      <w:r w:rsidRPr="00405326">
        <w:rPr>
          <w:i/>
          <w:iCs/>
        </w:rPr>
        <w:t xml:space="preserve">Le français </w:t>
      </w:r>
      <w:r w:rsidR="006676FF" w:rsidRPr="00405326">
        <w:rPr>
          <w:i/>
          <w:iCs/>
        </w:rPr>
        <w:t>parlé</w:t>
      </w:r>
      <w:r w:rsidR="006676FF">
        <w:rPr>
          <w:i/>
          <w:iCs/>
        </w:rPr>
        <w:t> </w:t>
      </w:r>
      <w:r w:rsidRPr="00405326">
        <w:rPr>
          <w:i/>
          <w:iCs/>
        </w:rPr>
        <w:t>: études grammaticales</w:t>
      </w:r>
      <w:r w:rsidRPr="007C16A8">
        <w:t xml:space="preserve">. </w:t>
      </w:r>
      <w:r w:rsidRPr="00C5234B">
        <w:rPr>
          <w:lang w:val="en-US"/>
        </w:rPr>
        <w:t>Paris</w:t>
      </w:r>
      <w:r w:rsidR="00405326" w:rsidRPr="00C5234B">
        <w:rPr>
          <w:lang w:val="en-US"/>
        </w:rPr>
        <w:t xml:space="preserve">, </w:t>
      </w:r>
      <w:r w:rsidRPr="00C5234B">
        <w:rPr>
          <w:lang w:val="en-US"/>
        </w:rPr>
        <w:t>Éditions du CNRS</w:t>
      </w:r>
      <w:r w:rsidR="00405326" w:rsidRPr="00C5234B">
        <w:rPr>
          <w:lang w:val="en-US"/>
        </w:rPr>
        <w:t>.</w:t>
      </w:r>
    </w:p>
    <w:p w14:paraId="239FA41D" w14:textId="73CB862A" w:rsidR="00BD4428" w:rsidRPr="00BD4428" w:rsidRDefault="00BD4428" w:rsidP="00BD4428">
      <w:pPr>
        <w:pStyle w:val="BiblioBody"/>
        <w:rPr>
          <w:smallCaps/>
          <w:lang w:val="en-US"/>
        </w:rPr>
      </w:pPr>
      <w:r w:rsidRPr="00DB73AD">
        <w:rPr>
          <w:smallCaps/>
          <w:lang w:val="en-US"/>
        </w:rPr>
        <w:t>Boersma</w:t>
      </w:r>
      <w:r w:rsidRPr="00DB73AD">
        <w:rPr>
          <w:lang w:val="en-US"/>
        </w:rPr>
        <w:t xml:space="preserve"> P</w:t>
      </w:r>
      <w:r>
        <w:rPr>
          <w:lang w:val="en-US"/>
        </w:rPr>
        <w:t>. &amp; Weenink</w:t>
      </w:r>
      <w:r w:rsidRPr="00DB73AD">
        <w:rPr>
          <w:lang w:val="en-US"/>
        </w:rPr>
        <w:t xml:space="preserve"> D</w:t>
      </w:r>
      <w:r>
        <w:rPr>
          <w:lang w:val="en-US"/>
        </w:rPr>
        <w:t>.</w:t>
      </w:r>
      <w:r w:rsidRPr="00DB73AD">
        <w:rPr>
          <w:lang w:val="en-US"/>
        </w:rPr>
        <w:t xml:space="preserve"> (2023)</w:t>
      </w:r>
      <w:r>
        <w:rPr>
          <w:lang w:val="en-US"/>
        </w:rPr>
        <w:t>,</w:t>
      </w:r>
      <w:r w:rsidRPr="00DB73AD">
        <w:rPr>
          <w:lang w:val="en-US"/>
        </w:rPr>
        <w:t xml:space="preserve"> </w:t>
      </w:r>
      <w:r>
        <w:rPr>
          <w:lang w:val="en-US"/>
        </w:rPr>
        <w:t>“</w:t>
      </w:r>
      <w:r w:rsidRPr="00DB73AD">
        <w:rPr>
          <w:lang w:val="en-US"/>
        </w:rPr>
        <w:t>Praat: doing phonetics by computer</w:t>
      </w:r>
      <w:r>
        <w:rPr>
          <w:lang w:val="en-US"/>
        </w:rPr>
        <w:t>”</w:t>
      </w:r>
      <w:r w:rsidRPr="00DB73AD">
        <w:rPr>
          <w:lang w:val="en-US"/>
        </w:rPr>
        <w:t xml:space="preserve"> [Computer program]. </w:t>
      </w:r>
      <w:r w:rsidRPr="00BD4428">
        <w:rPr>
          <w:lang w:val="en-US"/>
        </w:rPr>
        <w:t>Version 6.4, retrieved 15 November</w:t>
      </w:r>
      <w:r>
        <w:rPr>
          <w:lang w:val="en-US"/>
        </w:rPr>
        <w:t xml:space="preserve"> 2023 from </w:t>
      </w:r>
      <w:hyperlink r:id="rId16" w:history="1">
        <w:r w:rsidRPr="00F602B5">
          <w:rPr>
            <w:rStyle w:val="Lienhypertexte"/>
            <w:lang w:val="en-US"/>
          </w:rPr>
          <w:t>http://www.praat.org</w:t>
        </w:r>
      </w:hyperlink>
      <w:r>
        <w:rPr>
          <w:lang w:val="en-US"/>
        </w:rPr>
        <w:t xml:space="preserve"> </w:t>
      </w:r>
    </w:p>
    <w:p w14:paraId="4AB310F4" w14:textId="4BA70655" w:rsidR="000167DF" w:rsidRPr="000167DF" w:rsidRDefault="00405326" w:rsidP="000167DF">
      <w:pPr>
        <w:pStyle w:val="BiblioBody"/>
        <w:rPr>
          <w:lang w:val="fr-BE"/>
        </w:rPr>
      </w:pPr>
      <w:r w:rsidRPr="00BD4428">
        <w:rPr>
          <w:smallCaps/>
          <w:lang w:val="en-US"/>
        </w:rPr>
        <w:t>Cappeau</w:t>
      </w:r>
      <w:r w:rsidR="000167DF" w:rsidRPr="00BD4428">
        <w:rPr>
          <w:smallCaps/>
          <w:lang w:val="en-US"/>
        </w:rPr>
        <w:t xml:space="preserve"> P.</w:t>
      </w:r>
      <w:r w:rsidR="000167DF" w:rsidRPr="00BD4428">
        <w:rPr>
          <w:lang w:val="en-US"/>
        </w:rPr>
        <w:t xml:space="preserve"> (2018). </w:t>
      </w:r>
      <w:r w:rsidR="000167DF">
        <w:rPr>
          <w:lang w:val="fr-BE"/>
        </w:rPr>
        <w:t>« </w:t>
      </w:r>
      <w:r w:rsidR="000167DF" w:rsidRPr="000167DF">
        <w:rPr>
          <w:lang w:val="fr-BE"/>
        </w:rPr>
        <w:t>(Pro)Noms d’humains à l’oral.</w:t>
      </w:r>
      <w:r w:rsidR="000167DF">
        <w:rPr>
          <w:lang w:val="fr-BE"/>
        </w:rPr>
        <w:t> »</w:t>
      </w:r>
      <w:r w:rsidR="006676FF">
        <w:rPr>
          <w:lang w:val="fr-BE"/>
        </w:rPr>
        <w:t>,</w:t>
      </w:r>
      <w:r w:rsidR="000167DF" w:rsidRPr="000167DF">
        <w:rPr>
          <w:lang w:val="fr-BE"/>
        </w:rPr>
        <w:t xml:space="preserve"> </w:t>
      </w:r>
      <w:r w:rsidR="000167DF" w:rsidRPr="000167DF">
        <w:rPr>
          <w:i/>
          <w:lang w:val="fr-BE"/>
        </w:rPr>
        <w:t>Linx.</w:t>
      </w:r>
      <w:r w:rsidR="000167DF" w:rsidRPr="000167DF">
        <w:rPr>
          <w:lang w:val="fr-BE"/>
        </w:rPr>
        <w:t xml:space="preserve">, 76. </w:t>
      </w:r>
    </w:p>
    <w:p w14:paraId="529E2D84" w14:textId="20A5DC1A" w:rsidR="000167DF" w:rsidRPr="000167DF" w:rsidRDefault="000167DF" w:rsidP="000167DF">
      <w:pPr>
        <w:pStyle w:val="BiblioBody"/>
      </w:pPr>
      <w:r w:rsidRPr="00600A73">
        <w:rPr>
          <w:smallCaps/>
          <w:lang w:val="es-ES"/>
        </w:rPr>
        <w:t>Carnol</w:t>
      </w:r>
      <w:r w:rsidR="00407F9F">
        <w:rPr>
          <w:smallCaps/>
          <w:lang w:val="es-ES"/>
        </w:rPr>
        <w:t xml:space="preserve"> M.</w:t>
      </w:r>
      <w:r w:rsidRPr="00600A73">
        <w:rPr>
          <w:smallCaps/>
          <w:lang w:val="es-ES"/>
        </w:rPr>
        <w:t xml:space="preserve"> &amp; Simon</w:t>
      </w:r>
      <w:r w:rsidR="006676FF" w:rsidRPr="006676FF">
        <w:rPr>
          <w:smallCaps/>
          <w:lang w:val="es-ES"/>
        </w:rPr>
        <w:t xml:space="preserve"> </w:t>
      </w:r>
      <w:r w:rsidR="006676FF" w:rsidRPr="00600A73">
        <w:rPr>
          <w:smallCaps/>
          <w:lang w:val="es-ES"/>
        </w:rPr>
        <w:t>A.C.</w:t>
      </w:r>
      <w:r w:rsidRPr="00600A73">
        <w:rPr>
          <w:smallCaps/>
          <w:lang w:val="es-ES"/>
        </w:rPr>
        <w:t xml:space="preserve"> </w:t>
      </w:r>
      <w:r w:rsidRPr="00264BFE">
        <w:rPr>
          <w:lang w:val="fr-BE"/>
        </w:rPr>
        <w:t>(2019</w:t>
      </w:r>
      <w:r w:rsidR="006676FF" w:rsidRPr="00264BFE">
        <w:rPr>
          <w:lang w:val="fr-BE"/>
        </w:rPr>
        <w:t xml:space="preserve">), </w:t>
      </w:r>
      <w:r>
        <w:rPr>
          <w:lang w:val="fr-BE"/>
        </w:rPr>
        <w:t>« </w:t>
      </w:r>
      <w:r w:rsidRPr="000167DF">
        <w:rPr>
          <w:lang w:val="fr-BE"/>
        </w:rPr>
        <w:t>Forme et fréquence des constructions verbales en français parlé</w:t>
      </w:r>
      <w:r>
        <w:rPr>
          <w:lang w:val="fr-BE"/>
        </w:rPr>
        <w:t> </w:t>
      </w:r>
      <w:r w:rsidR="006676FF">
        <w:rPr>
          <w:lang w:val="fr-BE"/>
        </w:rPr>
        <w:t>»,</w:t>
      </w:r>
      <w:r w:rsidR="006676FF" w:rsidRPr="000167DF">
        <w:rPr>
          <w:lang w:val="fr-BE"/>
        </w:rPr>
        <w:t xml:space="preserve"> </w:t>
      </w:r>
      <w:r w:rsidR="006676FF">
        <w:rPr>
          <w:lang w:val="fr-BE"/>
        </w:rPr>
        <w:t>dans</w:t>
      </w:r>
      <w:r w:rsidR="006676FF" w:rsidRPr="000167DF">
        <w:rPr>
          <w:lang w:val="fr-BE"/>
        </w:rPr>
        <w:t xml:space="preserve"> </w:t>
      </w:r>
      <w:r w:rsidRPr="00407F9F">
        <w:rPr>
          <w:smallCaps/>
          <w:lang w:val="fr-BE"/>
        </w:rPr>
        <w:t>Béguelin</w:t>
      </w:r>
      <w:r w:rsidR="00407F9F" w:rsidRPr="00407F9F">
        <w:rPr>
          <w:lang w:val="fr-BE"/>
        </w:rPr>
        <w:t xml:space="preserve"> </w:t>
      </w:r>
      <w:r w:rsidR="00407F9F" w:rsidRPr="00405326">
        <w:rPr>
          <w:lang w:val="fr-BE"/>
        </w:rPr>
        <w:t>M.-J.</w:t>
      </w:r>
      <w:r w:rsidRPr="00405326">
        <w:rPr>
          <w:lang w:val="fr-BE"/>
        </w:rPr>
        <w:t xml:space="preserve">, </w:t>
      </w:r>
      <w:r w:rsidRPr="00407F9F">
        <w:rPr>
          <w:smallCaps/>
          <w:lang w:val="fr-BE"/>
        </w:rPr>
        <w:t>Corminboeuf</w:t>
      </w:r>
      <w:r w:rsidR="00407F9F" w:rsidRPr="00407F9F">
        <w:rPr>
          <w:lang w:val="fr-BE"/>
        </w:rPr>
        <w:t xml:space="preserve"> </w:t>
      </w:r>
      <w:r w:rsidR="00407F9F" w:rsidRPr="00405326">
        <w:rPr>
          <w:lang w:val="fr-BE"/>
        </w:rPr>
        <w:t>G.</w:t>
      </w:r>
      <w:r w:rsidRPr="00405326">
        <w:rPr>
          <w:lang w:val="fr-BE"/>
        </w:rPr>
        <w:t xml:space="preserve"> &amp; </w:t>
      </w:r>
      <w:r w:rsidRPr="00407F9F">
        <w:rPr>
          <w:smallCaps/>
          <w:lang w:val="fr-BE"/>
        </w:rPr>
        <w:t>Lefeuvre</w:t>
      </w:r>
      <w:r w:rsidRPr="000167DF">
        <w:rPr>
          <w:lang w:val="fr-BE"/>
        </w:rPr>
        <w:t xml:space="preserve"> </w:t>
      </w:r>
      <w:r w:rsidR="00407F9F" w:rsidRPr="00405326">
        <w:rPr>
          <w:lang w:val="fr-BE"/>
        </w:rPr>
        <w:t xml:space="preserve">F. </w:t>
      </w:r>
      <w:r w:rsidRPr="000167DF">
        <w:rPr>
          <w:lang w:val="fr-BE"/>
        </w:rPr>
        <w:t>(</w:t>
      </w:r>
      <w:r w:rsidR="006676FF">
        <w:rPr>
          <w:lang w:val="fr-BE"/>
        </w:rPr>
        <w:t>é</w:t>
      </w:r>
      <w:r w:rsidR="006676FF" w:rsidRPr="000167DF">
        <w:rPr>
          <w:lang w:val="fr-BE"/>
        </w:rPr>
        <w:t>ds</w:t>
      </w:r>
      <w:r w:rsidRPr="000167DF">
        <w:rPr>
          <w:lang w:val="fr-BE"/>
        </w:rPr>
        <w:t xml:space="preserve">), </w:t>
      </w:r>
      <w:r w:rsidRPr="000167DF">
        <w:rPr>
          <w:i/>
          <w:lang w:val="fr-BE"/>
        </w:rPr>
        <w:t>Types d’unités et procédures de segmentation</w:t>
      </w:r>
      <w:r>
        <w:rPr>
          <w:lang w:val="fr-BE"/>
        </w:rPr>
        <w:t>,</w:t>
      </w:r>
      <w:r w:rsidRPr="000167DF">
        <w:rPr>
          <w:lang w:val="fr-BE"/>
        </w:rPr>
        <w:t xml:space="preserve"> Lambert Lucas</w:t>
      </w:r>
      <w:r>
        <w:rPr>
          <w:lang w:val="fr-BE"/>
        </w:rPr>
        <w:t xml:space="preserve">, </w:t>
      </w:r>
      <w:r w:rsidRPr="000167DF">
        <w:rPr>
          <w:lang w:val="fr-BE"/>
        </w:rPr>
        <w:t>181‑201</w:t>
      </w:r>
      <w:r>
        <w:rPr>
          <w:lang w:val="fr-BE"/>
        </w:rPr>
        <w:t>.</w:t>
      </w:r>
    </w:p>
    <w:p w14:paraId="527AF0EC" w14:textId="05F13F35" w:rsidR="00C43194" w:rsidRPr="00C43194" w:rsidRDefault="00C43194" w:rsidP="00C43194">
      <w:pPr>
        <w:pStyle w:val="BiblioBody"/>
      </w:pPr>
      <w:r w:rsidRPr="00407F9F">
        <w:rPr>
          <w:smallCaps/>
        </w:rPr>
        <w:t>Dister</w:t>
      </w:r>
      <w:bookmarkStart w:id="1" w:name="_GoBack"/>
      <w:bookmarkEnd w:id="1"/>
      <w:r w:rsidRPr="00407F9F">
        <w:rPr>
          <w:smallCaps/>
        </w:rPr>
        <w:t xml:space="preserve"> A</w:t>
      </w:r>
      <w:r w:rsidR="00B24960" w:rsidRPr="00407F9F">
        <w:rPr>
          <w:smallCaps/>
        </w:rPr>
        <w:t xml:space="preserve">., </w:t>
      </w:r>
      <w:r w:rsidRPr="00407F9F">
        <w:rPr>
          <w:smallCaps/>
        </w:rPr>
        <w:t>Gadet</w:t>
      </w:r>
      <w:r w:rsidR="00407F9F" w:rsidRPr="00407F9F">
        <w:rPr>
          <w:smallCaps/>
        </w:rPr>
        <w:t xml:space="preserve"> F.</w:t>
      </w:r>
      <w:r w:rsidRPr="00407F9F">
        <w:rPr>
          <w:smallCaps/>
        </w:rPr>
        <w:t>, Ludwig</w:t>
      </w:r>
      <w:r w:rsidR="00407F9F" w:rsidRPr="00407F9F">
        <w:rPr>
          <w:smallCaps/>
        </w:rPr>
        <w:t xml:space="preserve"> R.</w:t>
      </w:r>
      <w:r w:rsidRPr="00407F9F">
        <w:rPr>
          <w:smallCaps/>
        </w:rPr>
        <w:t>, Lyche</w:t>
      </w:r>
      <w:r w:rsidR="00407F9F" w:rsidRPr="00407F9F">
        <w:rPr>
          <w:smallCaps/>
        </w:rPr>
        <w:t xml:space="preserve"> C.</w:t>
      </w:r>
      <w:r w:rsidRPr="00407F9F">
        <w:rPr>
          <w:smallCaps/>
        </w:rPr>
        <w:t>, Mondada</w:t>
      </w:r>
      <w:r w:rsidR="00407F9F" w:rsidRPr="00407F9F">
        <w:rPr>
          <w:smallCaps/>
        </w:rPr>
        <w:t xml:space="preserve"> L.</w:t>
      </w:r>
      <w:r w:rsidRPr="00407F9F">
        <w:rPr>
          <w:smallCaps/>
        </w:rPr>
        <w:t>, Pfänder</w:t>
      </w:r>
      <w:r w:rsidR="00407F9F" w:rsidRPr="00407F9F">
        <w:rPr>
          <w:smallCaps/>
        </w:rPr>
        <w:t xml:space="preserve"> S.</w:t>
      </w:r>
      <w:r w:rsidRPr="00407F9F">
        <w:rPr>
          <w:smallCaps/>
        </w:rPr>
        <w:t>, Simon</w:t>
      </w:r>
      <w:r w:rsidR="00407F9F" w:rsidRPr="00407F9F">
        <w:rPr>
          <w:smallCaps/>
        </w:rPr>
        <w:t xml:space="preserve"> A-C. &amp;</w:t>
      </w:r>
      <w:r w:rsidRPr="00407F9F">
        <w:rPr>
          <w:smallCaps/>
        </w:rPr>
        <w:t xml:space="preserve"> Skattum</w:t>
      </w:r>
      <w:r w:rsidR="00407F9F" w:rsidRPr="00407F9F">
        <w:rPr>
          <w:smallCaps/>
        </w:rPr>
        <w:t xml:space="preserve"> I.  </w:t>
      </w:r>
      <w:r w:rsidRPr="00407F9F">
        <w:t>(2008</w:t>
      </w:r>
      <w:r w:rsidR="005C0CB1" w:rsidRPr="00407F9F">
        <w:t xml:space="preserve">), </w:t>
      </w:r>
      <w:r w:rsidRPr="00407F9F">
        <w:t>« Deux nouveaux corpus internationaux du français: CIEL-F et C</w:t>
      </w:r>
      <w:r w:rsidR="00407F9F">
        <w:t>AF </w:t>
      </w:r>
      <w:r w:rsidRPr="00407F9F">
        <w:t xml:space="preserve">», </w:t>
      </w:r>
      <w:r w:rsidRPr="00407F9F">
        <w:rPr>
          <w:i/>
        </w:rPr>
        <w:t>Revue de Linguistique Romane</w:t>
      </w:r>
      <w:r w:rsidR="00B24960" w:rsidRPr="00407F9F">
        <w:t>,</w:t>
      </w:r>
      <w:r w:rsidRPr="00407F9F">
        <w:t xml:space="preserve"> 295-314.</w:t>
      </w:r>
    </w:p>
    <w:p w14:paraId="517968C6" w14:textId="433C4BC0" w:rsidR="00C43194" w:rsidRPr="00C43194" w:rsidRDefault="00C43194" w:rsidP="00C43194">
      <w:pPr>
        <w:pStyle w:val="BiblioBody"/>
        <w:rPr>
          <w:lang w:val="fr-BE"/>
        </w:rPr>
      </w:pPr>
      <w:r w:rsidRPr="00C43194">
        <w:rPr>
          <w:smallCaps/>
          <w:lang w:val="fr-BE"/>
        </w:rPr>
        <w:t>Gadet F.</w:t>
      </w:r>
      <w:r w:rsidRPr="00C43194">
        <w:rPr>
          <w:lang w:val="fr-BE"/>
        </w:rPr>
        <w:t xml:space="preserve"> (1996</w:t>
      </w:r>
      <w:r w:rsidR="005C0CB1" w:rsidRPr="00C43194">
        <w:rPr>
          <w:lang w:val="fr-BE"/>
        </w:rPr>
        <w:t>)</w:t>
      </w:r>
      <w:r w:rsidR="005C0CB1">
        <w:rPr>
          <w:lang w:val="fr-BE"/>
        </w:rPr>
        <w:t>,</w:t>
      </w:r>
      <w:r w:rsidR="005C0CB1" w:rsidRPr="00C43194">
        <w:rPr>
          <w:lang w:val="fr-BE"/>
        </w:rPr>
        <w:t xml:space="preserve"> </w:t>
      </w:r>
      <w:r w:rsidR="00B24960">
        <w:rPr>
          <w:lang w:val="fr-BE"/>
        </w:rPr>
        <w:t>« </w:t>
      </w:r>
      <w:r w:rsidRPr="00C43194">
        <w:rPr>
          <w:lang w:val="fr-BE"/>
        </w:rPr>
        <w:t>Niveaux de langue et variation intrinsèque</w:t>
      </w:r>
      <w:r w:rsidR="00B24960">
        <w:rPr>
          <w:lang w:val="fr-BE"/>
        </w:rPr>
        <w:t> »</w:t>
      </w:r>
      <w:r w:rsidR="00407F9F">
        <w:rPr>
          <w:lang w:val="fr-BE"/>
        </w:rPr>
        <w:t>,</w:t>
      </w:r>
      <w:r w:rsidRPr="00C43194">
        <w:rPr>
          <w:lang w:val="fr-BE"/>
        </w:rPr>
        <w:t xml:space="preserve"> </w:t>
      </w:r>
      <w:r w:rsidRPr="00C43194">
        <w:rPr>
          <w:i/>
          <w:iCs/>
          <w:lang w:val="fr-BE"/>
        </w:rPr>
        <w:t>Palimpsestes</w:t>
      </w:r>
      <w:r w:rsidRPr="00C43194">
        <w:rPr>
          <w:lang w:val="fr-BE"/>
        </w:rPr>
        <w:t xml:space="preserve"> </w:t>
      </w:r>
      <w:r w:rsidRPr="00405326">
        <w:rPr>
          <w:lang w:val="fr-BE"/>
        </w:rPr>
        <w:t>10</w:t>
      </w:r>
      <w:r w:rsidRPr="00C43194">
        <w:rPr>
          <w:lang w:val="fr-BE"/>
        </w:rPr>
        <w:t>, 17</w:t>
      </w:r>
      <w:r w:rsidRPr="00C43194">
        <w:rPr>
          <w:lang w:val="fr-BE"/>
        </w:rPr>
        <w:noBreakHyphen/>
        <w:t>40.</w:t>
      </w:r>
    </w:p>
    <w:p w14:paraId="39B54201" w14:textId="6B799019" w:rsidR="00C43194" w:rsidRPr="00C43194" w:rsidRDefault="00407F9F" w:rsidP="00C43194">
      <w:pPr>
        <w:pStyle w:val="BiblioBody"/>
      </w:pPr>
      <w:r>
        <w:rPr>
          <w:smallCaps/>
        </w:rPr>
        <w:t>Grosman</w:t>
      </w:r>
      <w:r w:rsidR="00C43194" w:rsidRPr="00C43194">
        <w:rPr>
          <w:smallCaps/>
        </w:rPr>
        <w:t xml:space="preserve"> I</w:t>
      </w:r>
      <w:r w:rsidR="00B24960">
        <w:rPr>
          <w:smallCaps/>
        </w:rPr>
        <w:t>.</w:t>
      </w:r>
      <w:r w:rsidR="00C43194" w:rsidRPr="00C43194">
        <w:t xml:space="preserve"> (2018</w:t>
      </w:r>
      <w:r w:rsidR="005C0CB1" w:rsidRPr="00C43194">
        <w:t>)</w:t>
      </w:r>
      <w:r w:rsidR="005C0CB1">
        <w:t>,</w:t>
      </w:r>
      <w:r w:rsidR="005C0CB1" w:rsidRPr="00C43194">
        <w:t xml:space="preserve"> </w:t>
      </w:r>
      <w:r w:rsidR="00C43194" w:rsidRPr="00B24960">
        <w:rPr>
          <w:i/>
        </w:rPr>
        <w:t>Évaluation contextuelle de la (dis)fluence en production et perception : pratiques communicatives et formes prosodico‐syntaxiques en français</w:t>
      </w:r>
      <w:r w:rsidR="00C43194" w:rsidRPr="00C43194">
        <w:t>.  Thèse de doctorat, Université catholique de Louvain. http://hdl.handle.net/2078.1/208866</w:t>
      </w:r>
    </w:p>
    <w:p w14:paraId="79B2048A" w14:textId="49433772" w:rsidR="00C43194" w:rsidRPr="00C43194" w:rsidRDefault="00407F9F" w:rsidP="00C43194">
      <w:pPr>
        <w:pStyle w:val="BiblioBody"/>
      </w:pPr>
      <w:r>
        <w:rPr>
          <w:smallCaps/>
          <w:lang w:val="fr-BE"/>
        </w:rPr>
        <w:t>Grosman I., Simon A.C.</w:t>
      </w:r>
      <w:r w:rsidR="00C43194" w:rsidRPr="00264BFE">
        <w:rPr>
          <w:smallCaps/>
          <w:lang w:val="fr-BE"/>
        </w:rPr>
        <w:t xml:space="preserve"> &amp; Degand</w:t>
      </w:r>
      <w:r w:rsidR="00C43194" w:rsidRPr="00264BFE">
        <w:rPr>
          <w:lang w:val="fr-BE"/>
        </w:rPr>
        <w:t xml:space="preserve"> L. (2018</w:t>
      </w:r>
      <w:r w:rsidR="00C27E1B" w:rsidRPr="00264BFE">
        <w:rPr>
          <w:lang w:val="fr-BE"/>
        </w:rPr>
        <w:t xml:space="preserve">), </w:t>
      </w:r>
      <w:r>
        <w:t>« </w:t>
      </w:r>
      <w:r w:rsidR="00C43194" w:rsidRPr="00C43194">
        <w:t>Variation de la durée des pauses silencieuses : Impact de la syntaxe, du style de parole et des disfluences</w:t>
      </w:r>
      <w:r w:rsidR="00B24960">
        <w:t> »</w:t>
      </w:r>
      <w:r w:rsidR="00C43194" w:rsidRPr="00C43194">
        <w:t xml:space="preserve">. </w:t>
      </w:r>
      <w:r w:rsidR="00C43194" w:rsidRPr="00B24960">
        <w:rPr>
          <w:i/>
        </w:rPr>
        <w:t>Langages</w:t>
      </w:r>
      <w:r w:rsidR="00B24960">
        <w:t xml:space="preserve"> </w:t>
      </w:r>
      <w:r w:rsidR="00C43194" w:rsidRPr="00C43194">
        <w:t>211(3), 13‑40.</w:t>
      </w:r>
    </w:p>
    <w:p w14:paraId="3D651CB7" w14:textId="4D2B3E6A" w:rsidR="00C43194" w:rsidRPr="00C5234B" w:rsidRDefault="00C43194" w:rsidP="00C43194">
      <w:pPr>
        <w:pStyle w:val="BiblioBody"/>
        <w:rPr>
          <w:lang w:val="nl-BE"/>
        </w:rPr>
      </w:pPr>
      <w:r w:rsidRPr="00C43194">
        <w:rPr>
          <w:smallCaps/>
        </w:rPr>
        <w:t>Lacheret-Dujour A.</w:t>
      </w:r>
      <w:r w:rsidRPr="00C43194">
        <w:t xml:space="preserve"> (2003</w:t>
      </w:r>
      <w:r w:rsidR="00C27E1B" w:rsidRPr="00C43194">
        <w:t>)</w:t>
      </w:r>
      <w:r w:rsidR="00C27E1B">
        <w:t>,</w:t>
      </w:r>
      <w:r w:rsidR="00C27E1B" w:rsidRPr="00C43194">
        <w:t xml:space="preserve"> </w:t>
      </w:r>
      <w:r w:rsidRPr="00C43194">
        <w:rPr>
          <w:i/>
        </w:rPr>
        <w:t>La prosodie des circonstants en français parlé</w:t>
      </w:r>
      <w:r w:rsidRPr="00C43194">
        <w:t xml:space="preserve">. </w:t>
      </w:r>
      <w:r w:rsidR="00407F9F" w:rsidRPr="00C5234B">
        <w:rPr>
          <w:lang w:val="nl-BE"/>
        </w:rPr>
        <w:t xml:space="preserve">Louvain, </w:t>
      </w:r>
      <w:r w:rsidRPr="00C5234B">
        <w:rPr>
          <w:lang w:val="nl-BE"/>
        </w:rPr>
        <w:t>Peeters.</w:t>
      </w:r>
    </w:p>
    <w:p w14:paraId="6B0B789C" w14:textId="07DF1B16" w:rsidR="00C43194" w:rsidRPr="008C5665" w:rsidRDefault="00407F9F" w:rsidP="00C43194">
      <w:pPr>
        <w:pStyle w:val="BiblioBody"/>
        <w:rPr>
          <w:lang w:val="en-GB"/>
        </w:rPr>
      </w:pPr>
      <w:r w:rsidRPr="00407F9F">
        <w:rPr>
          <w:smallCaps/>
          <w:lang w:val="nl-BE"/>
        </w:rPr>
        <w:t>Koch</w:t>
      </w:r>
      <w:r w:rsidR="00C43194" w:rsidRPr="00407F9F">
        <w:rPr>
          <w:smallCaps/>
          <w:lang w:val="nl-BE"/>
        </w:rPr>
        <w:t xml:space="preserve"> P. &amp; Oesterreicher</w:t>
      </w:r>
      <w:r w:rsidRPr="00407F9F">
        <w:rPr>
          <w:smallCaps/>
          <w:lang w:val="nl-BE"/>
        </w:rPr>
        <w:t xml:space="preserve"> W.</w:t>
      </w:r>
      <w:r w:rsidR="00C43194" w:rsidRPr="00407F9F">
        <w:rPr>
          <w:smallCaps/>
          <w:lang w:val="nl-BE"/>
        </w:rPr>
        <w:t xml:space="preserve"> </w:t>
      </w:r>
      <w:r w:rsidR="00C43194" w:rsidRPr="00407F9F">
        <w:rPr>
          <w:lang w:val="nl-BE"/>
        </w:rPr>
        <w:t>(2001</w:t>
      </w:r>
      <w:r w:rsidRPr="00407F9F">
        <w:rPr>
          <w:lang w:val="nl-BE"/>
        </w:rPr>
        <w:t>),</w:t>
      </w:r>
      <w:r w:rsidR="00C27E1B" w:rsidRPr="00407F9F">
        <w:rPr>
          <w:lang w:val="nl-BE"/>
        </w:rPr>
        <w:t> « </w:t>
      </w:r>
      <w:r w:rsidR="00C43194" w:rsidRPr="00407F9F">
        <w:rPr>
          <w:lang w:val="nl-BE"/>
        </w:rPr>
        <w:t>Langage parlé et langage écrit</w:t>
      </w:r>
      <w:r w:rsidR="00B24960" w:rsidRPr="00407F9F">
        <w:rPr>
          <w:lang w:val="nl-BE"/>
        </w:rPr>
        <w:t> </w:t>
      </w:r>
      <w:r w:rsidR="00C27E1B" w:rsidRPr="00407F9F">
        <w:rPr>
          <w:lang w:val="nl-BE"/>
        </w:rPr>
        <w:t xml:space="preserve">», in </w:t>
      </w:r>
      <w:r w:rsidR="00C43194" w:rsidRPr="00407F9F">
        <w:rPr>
          <w:smallCaps/>
          <w:lang w:val="nl-BE"/>
        </w:rPr>
        <w:t>Holtus</w:t>
      </w:r>
      <w:r w:rsidRPr="00407F9F">
        <w:rPr>
          <w:lang w:val="nl-BE"/>
        </w:rPr>
        <w:t xml:space="preserve"> G.</w:t>
      </w:r>
      <w:r w:rsidR="00C43194" w:rsidRPr="00407F9F">
        <w:rPr>
          <w:lang w:val="nl-BE"/>
        </w:rPr>
        <w:t xml:space="preserve">, </w:t>
      </w:r>
      <w:r w:rsidR="00C43194" w:rsidRPr="00407F9F">
        <w:rPr>
          <w:smallCaps/>
          <w:lang w:val="nl-BE"/>
        </w:rPr>
        <w:t>Metzeltin</w:t>
      </w:r>
      <w:r w:rsidRPr="00407F9F">
        <w:rPr>
          <w:lang w:val="nl-BE"/>
        </w:rPr>
        <w:t xml:space="preserve"> M.</w:t>
      </w:r>
      <w:r w:rsidR="00C43194" w:rsidRPr="00407F9F">
        <w:rPr>
          <w:lang w:val="nl-BE"/>
        </w:rPr>
        <w:t xml:space="preserve"> &amp; </w:t>
      </w:r>
      <w:r w:rsidR="00C43194" w:rsidRPr="00407F9F">
        <w:rPr>
          <w:smallCaps/>
          <w:lang w:val="nl-BE"/>
        </w:rPr>
        <w:t xml:space="preserve">Schmitt </w:t>
      </w:r>
      <w:r w:rsidRPr="00407F9F">
        <w:rPr>
          <w:lang w:val="nl-BE"/>
        </w:rPr>
        <w:t xml:space="preserve">C. </w:t>
      </w:r>
      <w:r w:rsidR="00C43194" w:rsidRPr="00407F9F">
        <w:rPr>
          <w:lang w:val="nl-BE"/>
        </w:rPr>
        <w:t>(</w:t>
      </w:r>
      <w:r w:rsidR="00C27E1B" w:rsidRPr="00407F9F">
        <w:rPr>
          <w:lang w:val="nl-BE"/>
        </w:rPr>
        <w:t>éds</w:t>
      </w:r>
      <w:r w:rsidR="00C43194" w:rsidRPr="00407F9F">
        <w:rPr>
          <w:lang w:val="nl-BE"/>
        </w:rPr>
        <w:t xml:space="preserve">), </w:t>
      </w:r>
      <w:r w:rsidR="00C43194" w:rsidRPr="00407F9F">
        <w:rPr>
          <w:i/>
          <w:lang w:val="nl-BE"/>
        </w:rPr>
        <w:t>Lexikon der romanistischen Linguistik</w:t>
      </w:r>
      <w:r w:rsidRPr="00407F9F">
        <w:rPr>
          <w:lang w:val="nl-BE"/>
        </w:rPr>
        <w:t>,</w:t>
      </w:r>
      <w:r w:rsidR="00C43194" w:rsidRPr="00407F9F">
        <w:rPr>
          <w:lang w:val="nl-BE"/>
        </w:rPr>
        <w:t xml:space="preserve"> </w:t>
      </w:r>
      <w:r w:rsidRPr="00407F9F">
        <w:rPr>
          <w:lang w:val="nl-BE"/>
        </w:rPr>
        <w:t>Tübingen, Niemeyer, v</w:t>
      </w:r>
      <w:r w:rsidR="00C43194" w:rsidRPr="00407F9F">
        <w:rPr>
          <w:lang w:val="nl-BE"/>
        </w:rPr>
        <w:t xml:space="preserve">ol. </w:t>
      </w:r>
      <w:r w:rsidR="00C43194" w:rsidRPr="008C5665">
        <w:rPr>
          <w:lang w:val="en-GB"/>
        </w:rPr>
        <w:t>I/2</w:t>
      </w:r>
      <w:r w:rsidRPr="008C5665">
        <w:rPr>
          <w:lang w:val="en-GB"/>
        </w:rPr>
        <w:t>,</w:t>
      </w:r>
      <w:r w:rsidR="00C43194" w:rsidRPr="008C5665">
        <w:rPr>
          <w:lang w:val="en-GB"/>
        </w:rPr>
        <w:t xml:space="preserve"> 584‑627.</w:t>
      </w:r>
    </w:p>
    <w:p w14:paraId="321EFA99" w14:textId="4B4A3C08" w:rsidR="00C43194" w:rsidRPr="00407F9F" w:rsidRDefault="00C43194" w:rsidP="00407F9F">
      <w:pPr>
        <w:pStyle w:val="BiblioBody"/>
        <w:rPr>
          <w:smallCaps/>
          <w:lang w:val="en-GB"/>
        </w:rPr>
      </w:pPr>
      <w:r w:rsidRPr="00407F9F">
        <w:rPr>
          <w:smallCaps/>
          <w:lang w:val="en-GB"/>
        </w:rPr>
        <w:t>Lacheret-Dujour A</w:t>
      </w:r>
      <w:r w:rsidR="00B24960" w:rsidRPr="00407F9F">
        <w:rPr>
          <w:smallCaps/>
          <w:lang w:val="en-GB"/>
        </w:rPr>
        <w:t>.</w:t>
      </w:r>
      <w:r w:rsidRPr="00407F9F">
        <w:rPr>
          <w:smallCaps/>
          <w:lang w:val="en-GB"/>
        </w:rPr>
        <w:t>, Kahane</w:t>
      </w:r>
      <w:r w:rsidR="00407F9F" w:rsidRPr="00407F9F">
        <w:rPr>
          <w:smallCaps/>
          <w:lang w:val="en-GB"/>
        </w:rPr>
        <w:t xml:space="preserve"> S.</w:t>
      </w:r>
      <w:r w:rsidR="00B24960" w:rsidRPr="00407F9F">
        <w:rPr>
          <w:smallCaps/>
          <w:lang w:val="en-GB"/>
        </w:rPr>
        <w:t xml:space="preserve"> &amp;</w:t>
      </w:r>
      <w:r w:rsidRPr="00407F9F">
        <w:rPr>
          <w:smallCaps/>
          <w:lang w:val="en-GB"/>
        </w:rPr>
        <w:t xml:space="preserve"> Pietrandrea</w:t>
      </w:r>
      <w:r w:rsidRPr="00407F9F">
        <w:rPr>
          <w:lang w:val="en-GB"/>
        </w:rPr>
        <w:t xml:space="preserve"> </w:t>
      </w:r>
      <w:r w:rsidR="00407F9F" w:rsidRPr="00407F9F">
        <w:rPr>
          <w:smallCaps/>
          <w:lang w:val="en-GB"/>
        </w:rPr>
        <w:t xml:space="preserve">P. </w:t>
      </w:r>
      <w:r w:rsidR="00B24960" w:rsidRPr="00407F9F">
        <w:rPr>
          <w:lang w:val="en-GB"/>
        </w:rPr>
        <w:t>(</w:t>
      </w:r>
      <w:r w:rsidRPr="00407F9F">
        <w:rPr>
          <w:lang w:val="en-GB"/>
        </w:rPr>
        <w:t>2019</w:t>
      </w:r>
      <w:r w:rsidR="00C27E1B" w:rsidRPr="00407F9F">
        <w:rPr>
          <w:lang w:val="en-GB"/>
        </w:rPr>
        <w:t xml:space="preserve">), </w:t>
      </w:r>
      <w:r w:rsidRPr="00407F9F">
        <w:rPr>
          <w:i/>
          <w:iCs/>
          <w:lang w:val="en-GB"/>
        </w:rPr>
        <w:t>Rhapsodie: A Prosodic and</w:t>
      </w:r>
      <w:r w:rsidRPr="00C43194">
        <w:rPr>
          <w:i/>
          <w:iCs/>
          <w:lang w:val="en-GB"/>
        </w:rPr>
        <w:t xml:space="preserve"> Syntactic Treebank for Spoken French</w:t>
      </w:r>
      <w:r w:rsidR="00BF12B9">
        <w:rPr>
          <w:lang w:val="en-GB"/>
        </w:rPr>
        <w:t>,</w:t>
      </w:r>
      <w:r w:rsidR="00BF12B9" w:rsidRPr="00C43194">
        <w:rPr>
          <w:lang w:val="en-GB"/>
        </w:rPr>
        <w:t xml:space="preserve"> </w:t>
      </w:r>
      <w:r w:rsidRPr="00C43194">
        <w:rPr>
          <w:lang w:val="en-GB"/>
        </w:rPr>
        <w:t>Amsterdam, Philadelphia</w:t>
      </w:r>
      <w:r w:rsidR="00B24960">
        <w:rPr>
          <w:lang w:val="en-GB"/>
        </w:rPr>
        <w:t xml:space="preserve">, </w:t>
      </w:r>
      <w:r w:rsidRPr="00C43194">
        <w:rPr>
          <w:lang w:val="en-GB"/>
        </w:rPr>
        <w:t>John Benjamins Publishing Company.</w:t>
      </w:r>
    </w:p>
    <w:p w14:paraId="69809838" w14:textId="4379934B" w:rsidR="00C43194" w:rsidRPr="00C43194" w:rsidRDefault="00C43194" w:rsidP="00C43194">
      <w:pPr>
        <w:pStyle w:val="BiblioBody"/>
      </w:pPr>
      <w:r w:rsidRPr="00264BFE">
        <w:rPr>
          <w:smallCaps/>
          <w:lang w:val="fr-BE"/>
        </w:rPr>
        <w:t>Mahrer, R</w:t>
      </w:r>
      <w:r w:rsidRPr="00264BFE">
        <w:rPr>
          <w:lang w:val="fr-BE"/>
        </w:rPr>
        <w:t>. (2014</w:t>
      </w:r>
      <w:r w:rsidR="00BF12B9" w:rsidRPr="00264BFE">
        <w:rPr>
          <w:lang w:val="fr-BE"/>
        </w:rPr>
        <w:t xml:space="preserve">), </w:t>
      </w:r>
      <w:r w:rsidR="00407F9F">
        <w:rPr>
          <w:lang w:val="fr-BE"/>
        </w:rPr>
        <w:t>« </w:t>
      </w:r>
      <w:r w:rsidRPr="00264BFE">
        <w:rPr>
          <w:lang w:val="fr-BE"/>
        </w:rPr>
        <w:t xml:space="preserve">Écrire et parler. </w:t>
      </w:r>
      <w:r w:rsidRPr="00C43194">
        <w:t>Quelques préalables théoriques</w:t>
      </w:r>
      <w:r w:rsidR="00B24960">
        <w:t> </w:t>
      </w:r>
      <w:r w:rsidR="00BF12B9">
        <w:t>»,</w:t>
      </w:r>
      <w:r w:rsidR="00BF12B9" w:rsidRPr="00C43194">
        <w:t xml:space="preserve"> </w:t>
      </w:r>
      <w:r w:rsidRPr="00B24960">
        <w:rPr>
          <w:i/>
        </w:rPr>
        <w:t>Genesis</w:t>
      </w:r>
      <w:r w:rsidRPr="00C43194">
        <w:t xml:space="preserve"> 39, 29‑49.</w:t>
      </w:r>
    </w:p>
    <w:p w14:paraId="055C97FB" w14:textId="0AB11AE8" w:rsidR="00C43194" w:rsidRPr="00C43194" w:rsidRDefault="00407F9F" w:rsidP="00C43194">
      <w:pPr>
        <w:pStyle w:val="BiblioBody"/>
      </w:pPr>
      <w:r w:rsidRPr="00C5234B">
        <w:rPr>
          <w:smallCaps/>
          <w:lang w:val="fr-BE"/>
        </w:rPr>
        <w:t>Martin L., Degand L. &amp; Simon</w:t>
      </w:r>
      <w:r w:rsidR="00C43194" w:rsidRPr="00C5234B">
        <w:rPr>
          <w:smallCaps/>
          <w:lang w:val="fr-BE"/>
        </w:rPr>
        <w:t xml:space="preserve"> A. C. </w:t>
      </w:r>
      <w:r w:rsidR="00C43194" w:rsidRPr="00C5234B">
        <w:rPr>
          <w:lang w:val="fr-BE"/>
        </w:rPr>
        <w:t xml:space="preserve">(2014). </w:t>
      </w:r>
      <w:r w:rsidR="00B24960">
        <w:rPr>
          <w:lang w:val="fr-BE"/>
        </w:rPr>
        <w:t>« </w:t>
      </w:r>
      <w:r w:rsidR="00C43194" w:rsidRPr="00C43194">
        <w:t>LOCAS-F : un corpus oral multigenres annoté</w:t>
      </w:r>
      <w:r w:rsidR="00B24960">
        <w:t> </w:t>
      </w:r>
      <w:r w:rsidR="00BF12B9">
        <w:t>»,</w:t>
      </w:r>
      <w:r w:rsidR="00BF12B9" w:rsidRPr="00C43194">
        <w:t xml:space="preserve"> </w:t>
      </w:r>
      <w:r w:rsidR="00C43194" w:rsidRPr="00407F9F">
        <w:rPr>
          <w:i/>
        </w:rPr>
        <w:t>CMLF 2014 – 4</w:t>
      </w:r>
      <w:r w:rsidR="00C43194" w:rsidRPr="00407F9F">
        <w:rPr>
          <w:i/>
          <w:vertAlign w:val="superscript"/>
        </w:rPr>
        <w:t>e</w:t>
      </w:r>
      <w:r w:rsidR="00C43194" w:rsidRPr="00407F9F">
        <w:rPr>
          <w:i/>
        </w:rPr>
        <w:t xml:space="preserve"> Congrès Mondial de Linguistique Française</w:t>
      </w:r>
      <w:r w:rsidR="00C43194" w:rsidRPr="00C43194">
        <w:t>, 2613‑2626.</w:t>
      </w:r>
    </w:p>
    <w:p w14:paraId="290DEF20" w14:textId="686A0132" w:rsidR="00E57A89" w:rsidRPr="00264BFE" w:rsidRDefault="00407F9F" w:rsidP="00C43194">
      <w:pPr>
        <w:pStyle w:val="BiblioBody"/>
        <w:rPr>
          <w:lang w:val="fr-BE"/>
        </w:rPr>
      </w:pPr>
      <w:r>
        <w:rPr>
          <w:smallCaps/>
        </w:rPr>
        <w:t>Morel</w:t>
      </w:r>
      <w:r w:rsidR="00E57A89">
        <w:rPr>
          <w:smallCaps/>
        </w:rPr>
        <w:t xml:space="preserve"> M.-A. &amp; Danon-Boileau</w:t>
      </w:r>
      <w:r w:rsidRPr="00407F9F">
        <w:rPr>
          <w:smallCaps/>
        </w:rPr>
        <w:t xml:space="preserve"> </w:t>
      </w:r>
      <w:r>
        <w:rPr>
          <w:smallCaps/>
        </w:rPr>
        <w:t>L.</w:t>
      </w:r>
      <w:r w:rsidR="003713A6">
        <w:rPr>
          <w:smallCaps/>
        </w:rPr>
        <w:t xml:space="preserve"> (1998), </w:t>
      </w:r>
      <w:r w:rsidR="003713A6">
        <w:rPr>
          <w:i/>
        </w:rPr>
        <w:t>Grammaire de l’intonation : l’exemple du français</w:t>
      </w:r>
      <w:r w:rsidR="00BF12B9">
        <w:t xml:space="preserve">, </w:t>
      </w:r>
      <w:r w:rsidR="003713A6" w:rsidRPr="00264BFE">
        <w:rPr>
          <w:lang w:val="fr-BE"/>
        </w:rPr>
        <w:t xml:space="preserve">Paris, Ophrys. </w:t>
      </w:r>
    </w:p>
    <w:p w14:paraId="4C3F206B" w14:textId="2D4C19AA" w:rsidR="00C43194" w:rsidRPr="00264BFE" w:rsidRDefault="00407F9F" w:rsidP="00C43194">
      <w:pPr>
        <w:pStyle w:val="BiblioBody"/>
        <w:rPr>
          <w:lang w:val="fr-BE"/>
        </w:rPr>
      </w:pPr>
      <w:r>
        <w:rPr>
          <w:smallCaps/>
          <w:lang w:val="en-US"/>
        </w:rPr>
        <w:t>Poiret R.</w:t>
      </w:r>
      <w:r w:rsidR="00C43194" w:rsidRPr="00DB73AD">
        <w:rPr>
          <w:smallCaps/>
          <w:lang w:val="en-US"/>
        </w:rPr>
        <w:t xml:space="preserve"> &amp; Liu</w:t>
      </w:r>
      <w:r w:rsidRPr="00407F9F">
        <w:rPr>
          <w:smallCaps/>
          <w:lang w:val="en-US"/>
        </w:rPr>
        <w:t xml:space="preserve"> </w:t>
      </w:r>
      <w:r w:rsidRPr="00DB73AD">
        <w:rPr>
          <w:smallCaps/>
          <w:lang w:val="en-US"/>
        </w:rPr>
        <w:t>H.</w:t>
      </w:r>
      <w:r w:rsidR="00C43194" w:rsidRPr="00DB73AD">
        <w:rPr>
          <w:lang w:val="en-US"/>
        </w:rPr>
        <w:t xml:space="preserve"> (2020). </w:t>
      </w:r>
      <w:r>
        <w:rPr>
          <w:lang w:val="en-GB"/>
        </w:rPr>
        <w:t>“</w:t>
      </w:r>
      <w:r w:rsidR="00C43194" w:rsidRPr="00C43194">
        <w:rPr>
          <w:lang w:val="en-US"/>
        </w:rPr>
        <w:t>Some quantitative aspects of written and spoken French based on syntactically annotated corpora.</w:t>
      </w:r>
      <w:r w:rsidR="00B24960">
        <w:rPr>
          <w:lang w:val="en-US"/>
        </w:rPr>
        <w:t>”</w:t>
      </w:r>
      <w:r w:rsidR="00C43194" w:rsidRPr="00C43194">
        <w:rPr>
          <w:lang w:val="en-US"/>
        </w:rPr>
        <w:t xml:space="preserve"> </w:t>
      </w:r>
      <w:r w:rsidR="00C43194" w:rsidRPr="00264BFE">
        <w:rPr>
          <w:i/>
          <w:lang w:val="fr-BE"/>
        </w:rPr>
        <w:t>Journal of French Language Studies</w:t>
      </w:r>
      <w:r w:rsidR="00C43194" w:rsidRPr="00264BFE">
        <w:rPr>
          <w:lang w:val="fr-BE"/>
        </w:rPr>
        <w:t xml:space="preserve"> 30(3), 355‑380. https://doi.org/10.1017/S0959269519000334</w:t>
      </w:r>
    </w:p>
    <w:p w14:paraId="2CCB9777" w14:textId="075C9974" w:rsidR="00C43194" w:rsidRPr="00C43194" w:rsidRDefault="00407F9F" w:rsidP="00C43194">
      <w:pPr>
        <w:pStyle w:val="BiblioBody"/>
        <w:rPr>
          <w:lang w:val="fr-BE"/>
        </w:rPr>
      </w:pPr>
      <w:r>
        <w:rPr>
          <w:smallCaps/>
          <w:lang w:val="fr-BE"/>
        </w:rPr>
        <w:t>Sabio</w:t>
      </w:r>
      <w:r w:rsidR="00C43194" w:rsidRPr="00264BFE">
        <w:rPr>
          <w:smallCaps/>
          <w:lang w:val="fr-BE"/>
        </w:rPr>
        <w:t xml:space="preserve"> F.</w:t>
      </w:r>
      <w:r w:rsidR="00C43194" w:rsidRPr="00264BFE">
        <w:rPr>
          <w:lang w:val="fr-BE"/>
        </w:rPr>
        <w:t xml:space="preserve"> </w:t>
      </w:r>
      <w:r w:rsidR="00B24960" w:rsidRPr="00264BFE">
        <w:rPr>
          <w:lang w:val="fr-BE"/>
        </w:rPr>
        <w:t>(</w:t>
      </w:r>
      <w:r w:rsidR="00C43194" w:rsidRPr="00264BFE">
        <w:rPr>
          <w:lang w:val="fr-BE"/>
        </w:rPr>
        <w:t>2011</w:t>
      </w:r>
      <w:r w:rsidR="00FA6FAE" w:rsidRPr="00264BFE">
        <w:rPr>
          <w:lang w:val="fr-BE"/>
        </w:rPr>
        <w:t xml:space="preserve">), </w:t>
      </w:r>
      <w:r w:rsidR="00C43194" w:rsidRPr="00B24960">
        <w:rPr>
          <w:i/>
          <w:lang w:val="fr-BE"/>
        </w:rPr>
        <w:t xml:space="preserve">Syntaxe et organisation des énoncés. Observations sur la grammaire du français parlé. </w:t>
      </w:r>
      <w:r w:rsidR="00C43194" w:rsidRPr="00C43194">
        <w:rPr>
          <w:lang w:val="fr-BE"/>
        </w:rPr>
        <w:t>Thèse d’Habilitation à diriger des recherches, Université de Provence.</w:t>
      </w:r>
    </w:p>
    <w:p w14:paraId="197E8DF8" w14:textId="4BD96275" w:rsidR="00C43194" w:rsidRPr="00C43194" w:rsidRDefault="00407F9F" w:rsidP="00C43194">
      <w:pPr>
        <w:pStyle w:val="BiblioBody"/>
        <w:rPr>
          <w:lang w:val="fr-BE"/>
        </w:rPr>
      </w:pPr>
      <w:r>
        <w:rPr>
          <w:smallCaps/>
          <w:lang w:val="fr-BE"/>
        </w:rPr>
        <w:t>Simon</w:t>
      </w:r>
      <w:r w:rsidR="00C43194" w:rsidRPr="00C43194">
        <w:rPr>
          <w:smallCaps/>
          <w:lang w:val="fr-BE"/>
        </w:rPr>
        <w:t xml:space="preserve"> A</w:t>
      </w:r>
      <w:r w:rsidR="00B24960">
        <w:rPr>
          <w:smallCaps/>
          <w:lang w:val="fr-BE"/>
        </w:rPr>
        <w:t>.C</w:t>
      </w:r>
      <w:r w:rsidR="00C43194" w:rsidRPr="00C43194">
        <w:rPr>
          <w:smallCaps/>
          <w:lang w:val="fr-BE"/>
        </w:rPr>
        <w:t>.</w:t>
      </w:r>
      <w:r w:rsidR="00C43194" w:rsidRPr="00C43194">
        <w:rPr>
          <w:lang w:val="fr-BE"/>
        </w:rPr>
        <w:t xml:space="preserve"> </w:t>
      </w:r>
      <w:r w:rsidR="00B24960">
        <w:rPr>
          <w:lang w:val="fr-BE"/>
        </w:rPr>
        <w:t>(</w:t>
      </w:r>
      <w:r w:rsidR="00C43194" w:rsidRPr="00C43194">
        <w:rPr>
          <w:lang w:val="fr-BE"/>
        </w:rPr>
        <w:t>2021</w:t>
      </w:r>
      <w:r w:rsidR="00FA6FAE">
        <w:rPr>
          <w:lang w:val="fr-BE"/>
        </w:rPr>
        <w:t>),</w:t>
      </w:r>
      <w:r w:rsidR="00FA6FAE" w:rsidRPr="00C43194">
        <w:rPr>
          <w:lang w:val="fr-BE"/>
        </w:rPr>
        <w:t xml:space="preserve"> </w:t>
      </w:r>
      <w:r w:rsidR="00B24960">
        <w:rPr>
          <w:lang w:val="fr-BE"/>
        </w:rPr>
        <w:t>« </w:t>
      </w:r>
      <w:r w:rsidR="00C43194" w:rsidRPr="00C43194">
        <w:rPr>
          <w:lang w:val="fr-BE"/>
        </w:rPr>
        <w:t>De l’écrit à l’oral dans les discours solennels</w:t>
      </w:r>
      <w:r w:rsidR="00FA6FAE">
        <w:rPr>
          <w:lang w:val="fr-BE"/>
        </w:rPr>
        <w:t> </w:t>
      </w:r>
      <w:r w:rsidR="00C43194" w:rsidRPr="00C43194">
        <w:rPr>
          <w:lang w:val="fr-BE"/>
        </w:rPr>
        <w:t>: le cas de l’Académie française</w:t>
      </w:r>
      <w:r w:rsidR="00B24960">
        <w:rPr>
          <w:lang w:val="fr-BE"/>
        </w:rPr>
        <w:t> </w:t>
      </w:r>
      <w:r w:rsidR="00FA6FAE">
        <w:rPr>
          <w:lang w:val="fr-BE"/>
        </w:rPr>
        <w:t>»,</w:t>
      </w:r>
      <w:r w:rsidR="00FA6FAE" w:rsidRPr="00C43194">
        <w:rPr>
          <w:lang w:val="fr-BE"/>
        </w:rPr>
        <w:t xml:space="preserve"> </w:t>
      </w:r>
      <w:r w:rsidR="00C43194" w:rsidRPr="00C43194">
        <w:rPr>
          <w:i/>
          <w:iCs/>
          <w:lang w:val="fr-BE"/>
        </w:rPr>
        <w:t>Linguistique de l’écrit</w:t>
      </w:r>
      <w:r w:rsidR="00C43194" w:rsidRPr="00C43194">
        <w:rPr>
          <w:lang w:val="fr-BE"/>
        </w:rPr>
        <w:t xml:space="preserve"> 2. </w:t>
      </w:r>
      <w:hyperlink r:id="rId17" w:history="1">
        <w:r w:rsidR="00C43194" w:rsidRPr="00C43194">
          <w:rPr>
            <w:rStyle w:val="Lienhypertexte"/>
            <w:lang w:val="fr-BE"/>
          </w:rPr>
          <w:t>https://linguistique-ecrit.org/pub-257957</w:t>
        </w:r>
      </w:hyperlink>
      <w:r w:rsidR="00C43194" w:rsidRPr="00C43194">
        <w:rPr>
          <w:lang w:val="fr-BE"/>
        </w:rPr>
        <w:t>.</w:t>
      </w:r>
    </w:p>
    <w:p w14:paraId="27191F7D" w14:textId="43E90F0B" w:rsidR="00C43194" w:rsidRPr="008C5665" w:rsidRDefault="00407F9F" w:rsidP="00C43194">
      <w:pPr>
        <w:pStyle w:val="BiblioBody"/>
      </w:pPr>
      <w:r w:rsidRPr="00407F9F">
        <w:rPr>
          <w:smallCaps/>
        </w:rPr>
        <w:t>Tanguy</w:t>
      </w:r>
      <w:r w:rsidR="00C43194" w:rsidRPr="00407F9F">
        <w:rPr>
          <w:smallCaps/>
        </w:rPr>
        <w:t xml:space="preserve"> N</w:t>
      </w:r>
      <w:r w:rsidR="00B24960" w:rsidRPr="00407F9F">
        <w:rPr>
          <w:smallCaps/>
        </w:rPr>
        <w:t xml:space="preserve">., </w:t>
      </w:r>
      <w:r w:rsidR="00C43194" w:rsidRPr="00407F9F">
        <w:rPr>
          <w:smallCaps/>
        </w:rPr>
        <w:t>Van Damme</w:t>
      </w:r>
      <w:r w:rsidRPr="00407F9F">
        <w:rPr>
          <w:smallCaps/>
        </w:rPr>
        <w:t xml:space="preserve"> T.</w:t>
      </w:r>
      <w:r w:rsidR="00C43194" w:rsidRPr="00407F9F">
        <w:rPr>
          <w:smallCaps/>
        </w:rPr>
        <w:t>, Degand</w:t>
      </w:r>
      <w:r w:rsidR="00EF5843" w:rsidRPr="00407F9F">
        <w:rPr>
          <w:smallCaps/>
        </w:rPr>
        <w:t xml:space="preserve"> </w:t>
      </w:r>
      <w:r w:rsidRPr="00407F9F">
        <w:rPr>
          <w:smallCaps/>
        </w:rPr>
        <w:t xml:space="preserve">L. </w:t>
      </w:r>
      <w:r w:rsidR="00EF5843" w:rsidRPr="00407F9F">
        <w:rPr>
          <w:smallCaps/>
        </w:rPr>
        <w:t>&amp;</w:t>
      </w:r>
      <w:r w:rsidR="00C43194" w:rsidRPr="00407F9F">
        <w:rPr>
          <w:smallCaps/>
        </w:rPr>
        <w:t xml:space="preserve"> Simon </w:t>
      </w:r>
      <w:r w:rsidRPr="00407F9F">
        <w:rPr>
          <w:smallCaps/>
        </w:rPr>
        <w:t xml:space="preserve">A.C. </w:t>
      </w:r>
      <w:r w:rsidR="00B24960" w:rsidRPr="00407F9F">
        <w:rPr>
          <w:smallCaps/>
        </w:rPr>
        <w:t>(2012</w:t>
      </w:r>
      <w:r w:rsidR="00FA6FAE" w:rsidRPr="00407F9F">
        <w:rPr>
          <w:smallCaps/>
        </w:rPr>
        <w:t>),</w:t>
      </w:r>
      <w:r w:rsidR="00FA6FAE" w:rsidRPr="00407F9F">
        <w:t xml:space="preserve"> </w:t>
      </w:r>
      <w:r w:rsidR="00C43194" w:rsidRPr="00407F9F">
        <w:rPr>
          <w:lang w:val="fr-BE"/>
        </w:rPr>
        <w:t xml:space="preserve">Projet FRFC </w:t>
      </w:r>
      <w:r w:rsidR="00EF5843" w:rsidRPr="00407F9F">
        <w:rPr>
          <w:lang w:val="fr-BE"/>
        </w:rPr>
        <w:t>« </w:t>
      </w:r>
      <w:r w:rsidR="00C43194" w:rsidRPr="00407F9F">
        <w:rPr>
          <w:lang w:val="fr-BE"/>
        </w:rPr>
        <w:t>Périphérie</w:t>
      </w:r>
      <w:r w:rsidR="00C43194" w:rsidRPr="00C43194">
        <w:rPr>
          <w:lang w:val="fr-BE"/>
        </w:rPr>
        <w:t xml:space="preserve"> gauche des unités de discours</w:t>
      </w:r>
      <w:r w:rsidR="00EF5843">
        <w:rPr>
          <w:lang w:val="fr-BE"/>
        </w:rPr>
        <w:t> »</w:t>
      </w:r>
      <w:r>
        <w:rPr>
          <w:lang w:val="fr-BE"/>
        </w:rPr>
        <w:t>,</w:t>
      </w:r>
      <w:r w:rsidR="00C43194" w:rsidRPr="00C43194">
        <w:rPr>
          <w:lang w:val="fr-BE"/>
        </w:rPr>
        <w:t xml:space="preserve"> Protocole de codage syntaxique</w:t>
      </w:r>
      <w:r>
        <w:rPr>
          <w:lang w:val="fr-BE"/>
        </w:rPr>
        <w:t>,</w:t>
      </w:r>
      <w:r w:rsidR="00C43194" w:rsidRPr="00407F9F">
        <w:rPr>
          <w:lang w:val="fr-BE"/>
        </w:rPr>
        <w:t xml:space="preserve"> 17 p. </w:t>
      </w:r>
      <w:hyperlink r:id="rId18" w:history="1">
        <w:r w:rsidR="00C43194" w:rsidRPr="008C5665">
          <w:rPr>
            <w:rStyle w:val="Lienhypertexte"/>
          </w:rPr>
          <w:t>http://hdl.handle.net/2078/119280</w:t>
        </w:r>
      </w:hyperlink>
      <w:r w:rsidR="00C43194" w:rsidRPr="008C5665">
        <w:t xml:space="preserve"> </w:t>
      </w:r>
    </w:p>
    <w:p w14:paraId="6257BD88" w14:textId="7BCE4F4D" w:rsidR="00CB1FC2" w:rsidRPr="00CB1FC2" w:rsidRDefault="00BD4428" w:rsidP="00DA67B4">
      <w:pPr>
        <w:pStyle w:val="BiblioBody"/>
        <w:rPr>
          <w:rFonts w:eastAsia="MS Mincho"/>
        </w:rPr>
      </w:pPr>
      <w:r>
        <w:rPr>
          <w:smallCaps/>
          <w:lang w:val="fr-BE"/>
        </w:rPr>
        <w:t>Willems</w:t>
      </w:r>
      <w:r w:rsidR="00C43194" w:rsidRPr="00264BFE">
        <w:rPr>
          <w:smallCaps/>
          <w:lang w:val="fr-BE"/>
        </w:rPr>
        <w:t xml:space="preserve"> D.</w:t>
      </w:r>
      <w:r w:rsidR="00C43194" w:rsidRPr="00264BFE">
        <w:rPr>
          <w:lang w:val="fr-BE"/>
        </w:rPr>
        <w:t xml:space="preserve"> (1997</w:t>
      </w:r>
      <w:r w:rsidR="00FA6FAE" w:rsidRPr="00264BFE">
        <w:rPr>
          <w:lang w:val="fr-BE"/>
        </w:rPr>
        <w:t xml:space="preserve">), </w:t>
      </w:r>
      <w:r w:rsidR="00B24960">
        <w:t>« </w:t>
      </w:r>
      <w:r w:rsidR="00C43194" w:rsidRPr="00C43194">
        <w:t>Histoire, linguistique et sources orales</w:t>
      </w:r>
      <w:r w:rsidR="00B24960">
        <w:t> </w:t>
      </w:r>
      <w:r w:rsidR="00FA6FAE">
        <w:t>»,</w:t>
      </w:r>
      <w:r w:rsidR="00FA6FAE" w:rsidRPr="00C43194">
        <w:t xml:space="preserve"> </w:t>
      </w:r>
      <w:r w:rsidR="00C43194" w:rsidRPr="00C43194">
        <w:rPr>
          <w:i/>
          <w:iCs/>
        </w:rPr>
        <w:t xml:space="preserve">Recherches </w:t>
      </w:r>
      <w:r>
        <w:rPr>
          <w:i/>
          <w:iCs/>
        </w:rPr>
        <w:t>s</w:t>
      </w:r>
      <w:r w:rsidR="00C43194" w:rsidRPr="00C43194">
        <w:rPr>
          <w:i/>
          <w:iCs/>
        </w:rPr>
        <w:t xml:space="preserve">ur </w:t>
      </w:r>
      <w:r>
        <w:rPr>
          <w:i/>
          <w:iCs/>
        </w:rPr>
        <w:t>l</w:t>
      </w:r>
      <w:r w:rsidR="00C43194" w:rsidRPr="00C43194">
        <w:rPr>
          <w:i/>
          <w:iCs/>
        </w:rPr>
        <w:t xml:space="preserve">e </w:t>
      </w:r>
      <w:r>
        <w:rPr>
          <w:i/>
          <w:iCs/>
        </w:rPr>
        <w:t>f</w:t>
      </w:r>
      <w:r w:rsidR="00C43194" w:rsidRPr="00C43194">
        <w:rPr>
          <w:i/>
          <w:iCs/>
        </w:rPr>
        <w:t xml:space="preserve">rançais </w:t>
      </w:r>
      <w:r>
        <w:rPr>
          <w:i/>
          <w:iCs/>
        </w:rPr>
        <w:t>p</w:t>
      </w:r>
      <w:r w:rsidR="00C43194" w:rsidRPr="00C43194">
        <w:rPr>
          <w:i/>
          <w:iCs/>
        </w:rPr>
        <w:t xml:space="preserve">arlé </w:t>
      </w:r>
      <w:r w:rsidR="00C43194" w:rsidRPr="00C43194">
        <w:rPr>
          <w:iCs/>
        </w:rPr>
        <w:t>14</w:t>
      </w:r>
      <w:r w:rsidR="00C43194" w:rsidRPr="00C43194">
        <w:rPr>
          <w:i/>
          <w:iCs/>
        </w:rPr>
        <w:t xml:space="preserve">, </w:t>
      </w:r>
      <w:r w:rsidR="00C43194" w:rsidRPr="00C43194">
        <w:rPr>
          <w:iCs/>
        </w:rPr>
        <w:t xml:space="preserve">11-20. </w:t>
      </w:r>
    </w:p>
    <w:p w14:paraId="6534981C" w14:textId="77777777" w:rsidR="00CB1FC2" w:rsidRPr="00CB1FC2" w:rsidRDefault="00CB1FC2" w:rsidP="00DA67B4">
      <w:pPr>
        <w:pStyle w:val="BiblioBody"/>
        <w:rPr>
          <w:rFonts w:eastAsia="MS Mincho"/>
        </w:rPr>
      </w:pPr>
    </w:p>
    <w:p w14:paraId="6A952D75" w14:textId="77777777" w:rsidR="00AC050F" w:rsidRPr="00467D2C" w:rsidRDefault="00AC050F" w:rsidP="0006097B">
      <w:pPr>
        <w:pStyle w:val="BiblioBody"/>
        <w:rPr>
          <w:rFonts w:eastAsia="MS Mincho"/>
          <w:lang w:val="fr-BE"/>
        </w:rPr>
        <w:sectPr w:rsidR="00AC050F" w:rsidRPr="00467D2C" w:rsidSect="006473B2">
          <w:headerReference w:type="even" r:id="rId19"/>
          <w:headerReference w:type="default" r:id="rId20"/>
          <w:footerReference w:type="even" r:id="rId21"/>
          <w:footerReference w:type="default" r:id="rId22"/>
          <w:pgSz w:w="9071" w:h="13606"/>
          <w:pgMar w:top="1417" w:right="1304" w:bottom="1417" w:left="964" w:header="720" w:footer="720" w:gutter="0"/>
          <w:cols w:space="720"/>
          <w:noEndnote/>
        </w:sectPr>
      </w:pPr>
    </w:p>
    <w:p w14:paraId="77FDDD82" w14:textId="77777777" w:rsidR="00AC050F" w:rsidRPr="00AC050F" w:rsidRDefault="00AC050F" w:rsidP="0006097B">
      <w:pPr>
        <w:pStyle w:val="BiblioBody"/>
        <w:rPr>
          <w:rFonts w:eastAsia="MS Mincho"/>
          <w:lang w:val="fr-BE"/>
        </w:rPr>
      </w:pPr>
      <w:r w:rsidRPr="00AC050F">
        <w:rPr>
          <w:rFonts w:eastAsia="MS Mincho"/>
          <w:lang w:val="fr-BE"/>
        </w:rPr>
        <w:t>Annexe 1. Description des 14 genres du corpus en f</w:t>
      </w:r>
      <w:r w:rsidR="006A0A04">
        <w:rPr>
          <w:rFonts w:eastAsia="MS Mincho"/>
          <w:lang w:val="fr-BE"/>
        </w:rPr>
        <w:t>o</w:t>
      </w:r>
      <w:r w:rsidRPr="00AC050F">
        <w:rPr>
          <w:rFonts w:eastAsia="MS Mincho"/>
          <w:lang w:val="fr-BE"/>
        </w:rPr>
        <w:t>nction des</w:t>
      </w:r>
      <w:r w:rsidR="006A0A04">
        <w:rPr>
          <w:rFonts w:eastAsia="MS Mincho"/>
          <w:lang w:val="fr-BE"/>
        </w:rPr>
        <w:t xml:space="preserve"> six</w:t>
      </w:r>
      <w:r w:rsidRPr="00AC050F">
        <w:rPr>
          <w:rFonts w:eastAsia="MS Mincho"/>
          <w:lang w:val="fr-BE"/>
        </w:rPr>
        <w:t xml:space="preserve"> traits situationnels</w:t>
      </w:r>
    </w:p>
    <w:p w14:paraId="6127B5AB" w14:textId="77777777" w:rsidR="00AC050F" w:rsidRDefault="00AC050F" w:rsidP="0006097B">
      <w:pPr>
        <w:pStyle w:val="BiblioBody"/>
        <w:rPr>
          <w:rFonts w:eastAsia="MS Mincho"/>
          <w:lang w:val="fr-BE"/>
        </w:rPr>
      </w:pPr>
    </w:p>
    <w:tbl>
      <w:tblPr>
        <w:tblW w:w="10547"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4"/>
        <w:gridCol w:w="1600"/>
        <w:gridCol w:w="1321"/>
        <w:gridCol w:w="1386"/>
        <w:gridCol w:w="1079"/>
        <w:gridCol w:w="1589"/>
        <w:gridCol w:w="1241"/>
        <w:gridCol w:w="1397"/>
      </w:tblGrid>
      <w:tr w:rsidR="00AC050F" w:rsidRPr="00BD4428" w14:paraId="18465088" w14:textId="77777777" w:rsidTr="00AC050F">
        <w:trPr>
          <w:trHeight w:val="300"/>
        </w:trPr>
        <w:tc>
          <w:tcPr>
            <w:tcW w:w="1134" w:type="dxa"/>
            <w:shd w:val="clear" w:color="000000" w:fill="EDEDED"/>
            <w:noWrap/>
            <w:vAlign w:val="center"/>
            <w:hideMark/>
          </w:tcPr>
          <w:p w14:paraId="4B713B42" w14:textId="77777777" w:rsidR="00AC050F" w:rsidRPr="00BD4428" w:rsidRDefault="00AC050F" w:rsidP="00AC050F">
            <w:pPr>
              <w:pStyle w:val="TabBody"/>
              <w:ind w:left="-57"/>
              <w:rPr>
                <w:rFonts w:cs="Arial"/>
                <w:b/>
                <w:bCs/>
                <w:sz w:val="14"/>
                <w:szCs w:val="14"/>
                <w:lang w:val="fr-BE" w:eastAsia="fr-BE"/>
              </w:rPr>
            </w:pPr>
            <w:r w:rsidRPr="00BD4428">
              <w:rPr>
                <w:rFonts w:cs="Arial"/>
                <w:b/>
                <w:bCs/>
                <w:sz w:val="14"/>
                <w:szCs w:val="14"/>
                <w:lang w:val="fr-BE" w:eastAsia="fr-BE"/>
              </w:rPr>
              <w:t>ID.FILE.GENRE</w:t>
            </w:r>
          </w:p>
        </w:tc>
        <w:tc>
          <w:tcPr>
            <w:tcW w:w="1696" w:type="dxa"/>
            <w:shd w:val="clear" w:color="000000" w:fill="EDEDED"/>
            <w:noWrap/>
            <w:vAlign w:val="center"/>
            <w:hideMark/>
          </w:tcPr>
          <w:p w14:paraId="51FB4085" w14:textId="77777777" w:rsidR="00AC050F" w:rsidRPr="00BD4428" w:rsidRDefault="00AC050F" w:rsidP="00AC050F">
            <w:pPr>
              <w:pStyle w:val="TabBody"/>
              <w:ind w:left="-57"/>
              <w:rPr>
                <w:rFonts w:cs="Arial"/>
                <w:b/>
                <w:bCs/>
                <w:sz w:val="14"/>
                <w:szCs w:val="14"/>
                <w:lang w:val="fr-BE" w:eastAsia="fr-BE"/>
              </w:rPr>
            </w:pPr>
            <w:r w:rsidRPr="00BD4428">
              <w:rPr>
                <w:rFonts w:cs="Arial"/>
                <w:b/>
                <w:bCs/>
                <w:sz w:val="14"/>
                <w:szCs w:val="14"/>
                <w:lang w:val="fr-BE" w:eastAsia="fr-BE"/>
              </w:rPr>
              <w:t>ID.GENRE.FR</w:t>
            </w:r>
          </w:p>
        </w:tc>
        <w:tc>
          <w:tcPr>
            <w:tcW w:w="1386" w:type="dxa"/>
            <w:shd w:val="clear" w:color="000000" w:fill="EDEDED"/>
            <w:noWrap/>
            <w:vAlign w:val="center"/>
            <w:hideMark/>
          </w:tcPr>
          <w:p w14:paraId="2EE71D96" w14:textId="77777777" w:rsidR="00AC050F" w:rsidRPr="00BD4428" w:rsidRDefault="00AC050F" w:rsidP="00AC050F">
            <w:pPr>
              <w:pStyle w:val="TabBody"/>
              <w:ind w:left="-57"/>
              <w:rPr>
                <w:rFonts w:cs="Arial"/>
                <w:b/>
                <w:bCs/>
                <w:sz w:val="14"/>
                <w:szCs w:val="14"/>
                <w:lang w:val="fr-BE" w:eastAsia="fr-BE"/>
              </w:rPr>
            </w:pPr>
            <w:r w:rsidRPr="00BD4428">
              <w:rPr>
                <w:rFonts w:cs="Arial"/>
                <w:b/>
                <w:bCs/>
                <w:sz w:val="14"/>
                <w:szCs w:val="14"/>
                <w:lang w:val="fr-BE" w:eastAsia="fr-BE"/>
              </w:rPr>
              <w:t>SIT.TYPE.GENRE</w:t>
            </w:r>
          </w:p>
        </w:tc>
        <w:tc>
          <w:tcPr>
            <w:tcW w:w="1261" w:type="dxa"/>
            <w:shd w:val="clear" w:color="000000" w:fill="EDEDED"/>
            <w:noWrap/>
            <w:vAlign w:val="center"/>
            <w:hideMark/>
          </w:tcPr>
          <w:p w14:paraId="7366D337" w14:textId="77777777" w:rsidR="00AC050F" w:rsidRPr="00BD4428" w:rsidRDefault="00AC050F" w:rsidP="00AC050F">
            <w:pPr>
              <w:pStyle w:val="TabBody"/>
              <w:ind w:left="-57"/>
              <w:rPr>
                <w:rFonts w:cs="Arial"/>
                <w:b/>
                <w:bCs/>
                <w:sz w:val="14"/>
                <w:szCs w:val="14"/>
                <w:lang w:val="fr-BE" w:eastAsia="fr-BE"/>
              </w:rPr>
            </w:pPr>
            <w:r w:rsidRPr="00BD4428">
              <w:rPr>
                <w:rFonts w:cs="Arial"/>
                <w:b/>
                <w:bCs/>
                <w:sz w:val="14"/>
                <w:szCs w:val="14"/>
                <w:lang w:val="fr-BE" w:eastAsia="fr-BE"/>
              </w:rPr>
              <w:t>D.INTERACT.GENRE</w:t>
            </w:r>
          </w:p>
        </w:tc>
        <w:tc>
          <w:tcPr>
            <w:tcW w:w="1039" w:type="dxa"/>
            <w:shd w:val="clear" w:color="000000" w:fill="EDEDED"/>
            <w:noWrap/>
            <w:vAlign w:val="center"/>
            <w:hideMark/>
          </w:tcPr>
          <w:p w14:paraId="4AC1C902" w14:textId="77777777" w:rsidR="00AC050F" w:rsidRPr="00BD4428" w:rsidRDefault="00AC050F" w:rsidP="00AC050F">
            <w:pPr>
              <w:pStyle w:val="TabBody"/>
              <w:ind w:left="-57"/>
              <w:rPr>
                <w:rFonts w:cs="Arial"/>
                <w:b/>
                <w:bCs/>
                <w:sz w:val="14"/>
                <w:szCs w:val="14"/>
                <w:lang w:val="fr-BE" w:eastAsia="fr-BE"/>
              </w:rPr>
            </w:pPr>
            <w:r w:rsidRPr="00BD4428">
              <w:rPr>
                <w:rFonts w:cs="Arial"/>
                <w:b/>
                <w:bCs/>
                <w:sz w:val="14"/>
                <w:szCs w:val="14"/>
                <w:lang w:val="fr-BE" w:eastAsia="fr-BE"/>
              </w:rPr>
              <w:t>D.PREP.GENRE</w:t>
            </w:r>
          </w:p>
        </w:tc>
        <w:tc>
          <w:tcPr>
            <w:tcW w:w="1684" w:type="dxa"/>
            <w:shd w:val="clear" w:color="000000" w:fill="EDEDED"/>
            <w:noWrap/>
            <w:vAlign w:val="center"/>
            <w:hideMark/>
          </w:tcPr>
          <w:p w14:paraId="07493E74" w14:textId="77777777" w:rsidR="00AC050F" w:rsidRPr="00BD4428" w:rsidRDefault="00AC050F" w:rsidP="00AC050F">
            <w:pPr>
              <w:pStyle w:val="TabBody"/>
              <w:ind w:left="-57"/>
              <w:rPr>
                <w:rFonts w:cs="Arial"/>
                <w:b/>
                <w:bCs/>
                <w:sz w:val="14"/>
                <w:szCs w:val="14"/>
                <w:lang w:val="fr-BE" w:eastAsia="fr-BE"/>
              </w:rPr>
            </w:pPr>
            <w:r w:rsidRPr="00BD4428">
              <w:rPr>
                <w:rFonts w:cs="Arial"/>
                <w:b/>
                <w:bCs/>
                <w:sz w:val="14"/>
                <w:szCs w:val="14"/>
                <w:lang w:val="fr-BE" w:eastAsia="fr-BE"/>
              </w:rPr>
              <w:t>D.MEDIA.GENRE</w:t>
            </w:r>
          </w:p>
        </w:tc>
        <w:tc>
          <w:tcPr>
            <w:tcW w:w="867" w:type="dxa"/>
            <w:shd w:val="clear" w:color="000000" w:fill="EDEDED"/>
            <w:noWrap/>
            <w:vAlign w:val="center"/>
            <w:hideMark/>
          </w:tcPr>
          <w:p w14:paraId="1FED8AC3" w14:textId="77777777" w:rsidR="00AC050F" w:rsidRPr="00BD4428" w:rsidRDefault="00AC050F" w:rsidP="00AC050F">
            <w:pPr>
              <w:pStyle w:val="TabBody"/>
              <w:ind w:left="-57"/>
              <w:rPr>
                <w:rFonts w:cs="Arial"/>
                <w:b/>
                <w:bCs/>
                <w:sz w:val="14"/>
                <w:szCs w:val="14"/>
                <w:lang w:val="fr-BE" w:eastAsia="fr-BE"/>
              </w:rPr>
            </w:pPr>
            <w:r w:rsidRPr="00BD4428">
              <w:rPr>
                <w:rFonts w:cs="Arial"/>
                <w:b/>
                <w:bCs/>
                <w:sz w:val="14"/>
                <w:szCs w:val="14"/>
                <w:lang w:val="fr-BE" w:eastAsia="fr-BE"/>
              </w:rPr>
              <w:t>D.PRO.GENRE</w:t>
            </w:r>
          </w:p>
        </w:tc>
        <w:tc>
          <w:tcPr>
            <w:tcW w:w="1480" w:type="dxa"/>
            <w:shd w:val="clear" w:color="000000" w:fill="EDEDED"/>
            <w:noWrap/>
            <w:vAlign w:val="center"/>
            <w:hideMark/>
          </w:tcPr>
          <w:p w14:paraId="76F10B2A" w14:textId="77777777" w:rsidR="00AC050F" w:rsidRPr="00BD4428" w:rsidRDefault="00AC050F" w:rsidP="00AC050F">
            <w:pPr>
              <w:pStyle w:val="TabBody"/>
              <w:ind w:left="-57"/>
              <w:rPr>
                <w:rFonts w:cs="Arial"/>
                <w:b/>
                <w:bCs/>
                <w:sz w:val="14"/>
                <w:szCs w:val="14"/>
                <w:lang w:val="fr-BE" w:eastAsia="fr-BE"/>
              </w:rPr>
            </w:pPr>
            <w:r w:rsidRPr="00BD4428">
              <w:rPr>
                <w:rFonts w:cs="Arial"/>
                <w:b/>
                <w:bCs/>
                <w:sz w:val="14"/>
                <w:szCs w:val="14"/>
                <w:lang w:val="fr-BE" w:eastAsia="fr-BE"/>
              </w:rPr>
              <w:t>D.ELICIT.GENRE</w:t>
            </w:r>
          </w:p>
        </w:tc>
      </w:tr>
      <w:tr w:rsidR="00AC050F" w:rsidRPr="00BD4428" w14:paraId="60572CE5" w14:textId="77777777" w:rsidTr="00AC050F">
        <w:trPr>
          <w:trHeight w:val="300"/>
        </w:trPr>
        <w:tc>
          <w:tcPr>
            <w:tcW w:w="1134" w:type="dxa"/>
            <w:shd w:val="clear" w:color="000000" w:fill="EDEDED"/>
            <w:noWrap/>
            <w:vAlign w:val="center"/>
            <w:hideMark/>
          </w:tcPr>
          <w:p w14:paraId="5C8C3810" w14:textId="23B62E79"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A</w:t>
            </w:r>
            <w:r w:rsidR="00AC050F" w:rsidRPr="00BD4428">
              <w:rPr>
                <w:rFonts w:cs="Arial"/>
                <w:b/>
                <w:bCs/>
                <w:sz w:val="14"/>
                <w:szCs w:val="14"/>
                <w:lang w:val="fr-BE" w:eastAsia="fr-BE"/>
              </w:rPr>
              <w:t>ca</w:t>
            </w:r>
          </w:p>
        </w:tc>
        <w:tc>
          <w:tcPr>
            <w:tcW w:w="1696" w:type="dxa"/>
            <w:shd w:val="clear" w:color="auto" w:fill="auto"/>
            <w:noWrap/>
            <w:vAlign w:val="center"/>
            <w:hideMark/>
          </w:tcPr>
          <w:p w14:paraId="0A4FA2A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Discours académique</w:t>
            </w:r>
          </w:p>
        </w:tc>
        <w:tc>
          <w:tcPr>
            <w:tcW w:w="1386" w:type="dxa"/>
            <w:shd w:val="clear" w:color="auto" w:fill="auto"/>
            <w:noWrap/>
            <w:vAlign w:val="center"/>
            <w:hideMark/>
          </w:tcPr>
          <w:p w14:paraId="2C204055"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monologue</w:t>
            </w:r>
          </w:p>
        </w:tc>
        <w:tc>
          <w:tcPr>
            <w:tcW w:w="1261" w:type="dxa"/>
            <w:shd w:val="clear" w:color="auto" w:fill="auto"/>
            <w:noWrap/>
            <w:vAlign w:val="center"/>
            <w:hideMark/>
          </w:tcPr>
          <w:p w14:paraId="6C50B7EC"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non-interactif</w:t>
            </w:r>
          </w:p>
        </w:tc>
        <w:tc>
          <w:tcPr>
            <w:tcW w:w="1039" w:type="dxa"/>
            <w:shd w:val="clear" w:color="auto" w:fill="auto"/>
            <w:noWrap/>
            <w:vAlign w:val="center"/>
            <w:hideMark/>
          </w:tcPr>
          <w:p w14:paraId="6FACB7AA"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préparé</w:t>
            </w:r>
          </w:p>
        </w:tc>
        <w:tc>
          <w:tcPr>
            <w:tcW w:w="1684" w:type="dxa"/>
            <w:shd w:val="clear" w:color="auto" w:fill="auto"/>
            <w:noWrap/>
            <w:vAlign w:val="center"/>
            <w:hideMark/>
          </w:tcPr>
          <w:p w14:paraId="500EFA5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semi-médiatique</w:t>
            </w:r>
          </w:p>
        </w:tc>
        <w:tc>
          <w:tcPr>
            <w:tcW w:w="867" w:type="dxa"/>
            <w:shd w:val="clear" w:color="auto" w:fill="auto"/>
            <w:noWrap/>
            <w:vAlign w:val="center"/>
            <w:hideMark/>
          </w:tcPr>
          <w:p w14:paraId="69A749CD"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51C72805"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54497012" w14:textId="77777777" w:rsidTr="00AC050F">
        <w:trPr>
          <w:trHeight w:val="300"/>
        </w:trPr>
        <w:tc>
          <w:tcPr>
            <w:tcW w:w="1134" w:type="dxa"/>
            <w:shd w:val="clear" w:color="000000" w:fill="EDEDED"/>
            <w:noWrap/>
            <w:vAlign w:val="center"/>
            <w:hideMark/>
          </w:tcPr>
          <w:p w14:paraId="0B62284F" w14:textId="68A38851"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C</w:t>
            </w:r>
            <w:r w:rsidR="00AC050F" w:rsidRPr="00BD4428">
              <w:rPr>
                <w:rFonts w:cs="Arial"/>
                <w:b/>
                <w:bCs/>
                <w:sz w:val="14"/>
                <w:szCs w:val="14"/>
                <w:lang w:val="fr-BE" w:eastAsia="fr-BE"/>
              </w:rPr>
              <w:t>nf</w:t>
            </w:r>
          </w:p>
        </w:tc>
        <w:tc>
          <w:tcPr>
            <w:tcW w:w="1696" w:type="dxa"/>
            <w:shd w:val="clear" w:color="auto" w:fill="auto"/>
            <w:noWrap/>
            <w:vAlign w:val="center"/>
            <w:hideMark/>
          </w:tcPr>
          <w:p w14:paraId="4FB10D61"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Conférence scientifique</w:t>
            </w:r>
          </w:p>
        </w:tc>
        <w:tc>
          <w:tcPr>
            <w:tcW w:w="1386" w:type="dxa"/>
            <w:shd w:val="clear" w:color="auto" w:fill="auto"/>
            <w:noWrap/>
            <w:vAlign w:val="center"/>
            <w:hideMark/>
          </w:tcPr>
          <w:p w14:paraId="565B224C"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monologue</w:t>
            </w:r>
          </w:p>
        </w:tc>
        <w:tc>
          <w:tcPr>
            <w:tcW w:w="1261" w:type="dxa"/>
            <w:shd w:val="clear" w:color="auto" w:fill="auto"/>
            <w:noWrap/>
            <w:vAlign w:val="center"/>
            <w:hideMark/>
          </w:tcPr>
          <w:p w14:paraId="013F9235"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non-interactif</w:t>
            </w:r>
          </w:p>
        </w:tc>
        <w:tc>
          <w:tcPr>
            <w:tcW w:w="1039" w:type="dxa"/>
            <w:shd w:val="clear" w:color="auto" w:fill="auto"/>
            <w:noWrap/>
            <w:vAlign w:val="center"/>
            <w:hideMark/>
          </w:tcPr>
          <w:p w14:paraId="7ED8B180"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semi-préparé</w:t>
            </w:r>
          </w:p>
        </w:tc>
        <w:tc>
          <w:tcPr>
            <w:tcW w:w="1684" w:type="dxa"/>
            <w:shd w:val="clear" w:color="auto" w:fill="auto"/>
            <w:noWrap/>
            <w:vAlign w:val="center"/>
            <w:hideMark/>
          </w:tcPr>
          <w:p w14:paraId="5A1E68D2"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non-médiatique</w:t>
            </w:r>
          </w:p>
        </w:tc>
        <w:tc>
          <w:tcPr>
            <w:tcW w:w="867" w:type="dxa"/>
            <w:shd w:val="clear" w:color="auto" w:fill="auto"/>
            <w:noWrap/>
            <w:vAlign w:val="center"/>
            <w:hideMark/>
          </w:tcPr>
          <w:p w14:paraId="5BA82644"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5CD0E0B5"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52D592EC" w14:textId="77777777" w:rsidTr="00AC050F">
        <w:trPr>
          <w:trHeight w:val="300"/>
        </w:trPr>
        <w:tc>
          <w:tcPr>
            <w:tcW w:w="1134" w:type="dxa"/>
            <w:shd w:val="clear" w:color="000000" w:fill="EDEDED"/>
            <w:noWrap/>
            <w:vAlign w:val="center"/>
            <w:hideMark/>
          </w:tcPr>
          <w:p w14:paraId="205D4718" w14:textId="77777777" w:rsidR="00AC050F" w:rsidRPr="00BD4428" w:rsidRDefault="00AC050F" w:rsidP="006A0A04">
            <w:pPr>
              <w:pStyle w:val="TabBody"/>
              <w:ind w:left="-57"/>
              <w:jc w:val="center"/>
              <w:rPr>
                <w:rFonts w:cs="Arial"/>
                <w:b/>
                <w:bCs/>
                <w:sz w:val="14"/>
                <w:szCs w:val="14"/>
                <w:lang w:val="fr-BE" w:eastAsia="fr-BE"/>
              </w:rPr>
            </w:pPr>
            <w:r w:rsidRPr="00BD4428">
              <w:rPr>
                <w:rFonts w:cs="Arial"/>
                <w:b/>
                <w:bCs/>
                <w:sz w:val="14"/>
                <w:szCs w:val="14"/>
                <w:lang w:val="fr-BE" w:eastAsia="fr-BE"/>
              </w:rPr>
              <w:t>conf-f</w:t>
            </w:r>
          </w:p>
        </w:tc>
        <w:tc>
          <w:tcPr>
            <w:tcW w:w="1696" w:type="dxa"/>
            <w:shd w:val="clear" w:color="auto" w:fill="auto"/>
            <w:noWrap/>
            <w:vAlign w:val="center"/>
            <w:hideMark/>
          </w:tcPr>
          <w:p w14:paraId="357D346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Dialogue conversationnel formel (professionnel)</w:t>
            </w:r>
          </w:p>
        </w:tc>
        <w:tc>
          <w:tcPr>
            <w:tcW w:w="1386" w:type="dxa"/>
            <w:shd w:val="clear" w:color="auto" w:fill="auto"/>
            <w:noWrap/>
            <w:vAlign w:val="center"/>
            <w:hideMark/>
          </w:tcPr>
          <w:p w14:paraId="1F50B867"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monologue&amp;dialogue</w:t>
            </w:r>
          </w:p>
        </w:tc>
        <w:tc>
          <w:tcPr>
            <w:tcW w:w="1261" w:type="dxa"/>
            <w:shd w:val="clear" w:color="auto" w:fill="auto"/>
            <w:noWrap/>
            <w:vAlign w:val="center"/>
            <w:hideMark/>
          </w:tcPr>
          <w:p w14:paraId="76BEFE7D"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interactif&amp;semi-interactif</w:t>
            </w:r>
          </w:p>
        </w:tc>
        <w:tc>
          <w:tcPr>
            <w:tcW w:w="1039" w:type="dxa"/>
            <w:shd w:val="clear" w:color="auto" w:fill="auto"/>
            <w:noWrap/>
            <w:vAlign w:val="center"/>
            <w:hideMark/>
          </w:tcPr>
          <w:p w14:paraId="1835EEA9"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semi-préparé&amp;non-préparé</w:t>
            </w:r>
          </w:p>
        </w:tc>
        <w:tc>
          <w:tcPr>
            <w:tcW w:w="1684" w:type="dxa"/>
            <w:shd w:val="clear" w:color="auto" w:fill="auto"/>
            <w:noWrap/>
            <w:vAlign w:val="center"/>
            <w:hideMark/>
          </w:tcPr>
          <w:p w14:paraId="68117693"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non-médiatique</w:t>
            </w:r>
          </w:p>
        </w:tc>
        <w:tc>
          <w:tcPr>
            <w:tcW w:w="867" w:type="dxa"/>
            <w:shd w:val="clear" w:color="auto" w:fill="auto"/>
            <w:noWrap/>
            <w:vAlign w:val="center"/>
            <w:hideMark/>
          </w:tcPr>
          <w:p w14:paraId="00FED38D"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4B067C26"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2BB85D5C" w14:textId="77777777" w:rsidTr="00AC050F">
        <w:trPr>
          <w:trHeight w:val="300"/>
        </w:trPr>
        <w:tc>
          <w:tcPr>
            <w:tcW w:w="1134" w:type="dxa"/>
            <w:shd w:val="clear" w:color="000000" w:fill="EDEDED"/>
            <w:noWrap/>
            <w:vAlign w:val="center"/>
            <w:hideMark/>
          </w:tcPr>
          <w:p w14:paraId="66725A39" w14:textId="77777777" w:rsidR="00AC050F" w:rsidRPr="00BD4428" w:rsidRDefault="00AC050F" w:rsidP="006A0A04">
            <w:pPr>
              <w:pStyle w:val="TabBody"/>
              <w:ind w:left="-57"/>
              <w:jc w:val="center"/>
              <w:rPr>
                <w:rFonts w:cs="Arial"/>
                <w:b/>
                <w:bCs/>
                <w:sz w:val="14"/>
                <w:szCs w:val="14"/>
                <w:lang w:val="fr-BE" w:eastAsia="fr-BE"/>
              </w:rPr>
            </w:pPr>
            <w:r w:rsidRPr="00BD4428">
              <w:rPr>
                <w:rFonts w:cs="Arial"/>
                <w:b/>
                <w:bCs/>
                <w:sz w:val="14"/>
                <w:szCs w:val="14"/>
                <w:lang w:val="fr-BE" w:eastAsia="fr-BE"/>
              </w:rPr>
              <w:t>conv-i</w:t>
            </w:r>
          </w:p>
        </w:tc>
        <w:tc>
          <w:tcPr>
            <w:tcW w:w="1696" w:type="dxa"/>
            <w:shd w:val="clear" w:color="auto" w:fill="auto"/>
            <w:noWrap/>
            <w:vAlign w:val="center"/>
            <w:hideMark/>
          </w:tcPr>
          <w:p w14:paraId="4BFC2B87"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Dialogue conversationnel informel</w:t>
            </w:r>
          </w:p>
        </w:tc>
        <w:tc>
          <w:tcPr>
            <w:tcW w:w="1386" w:type="dxa"/>
            <w:shd w:val="clear" w:color="auto" w:fill="auto"/>
            <w:noWrap/>
            <w:vAlign w:val="center"/>
            <w:hideMark/>
          </w:tcPr>
          <w:p w14:paraId="241EA652"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dialogue&amp;multilogue</w:t>
            </w:r>
          </w:p>
        </w:tc>
        <w:tc>
          <w:tcPr>
            <w:tcW w:w="1261" w:type="dxa"/>
            <w:shd w:val="clear" w:color="auto" w:fill="auto"/>
            <w:noWrap/>
            <w:vAlign w:val="center"/>
            <w:hideMark/>
          </w:tcPr>
          <w:p w14:paraId="46DF6E2E"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interactif</w:t>
            </w:r>
          </w:p>
        </w:tc>
        <w:tc>
          <w:tcPr>
            <w:tcW w:w="1039" w:type="dxa"/>
            <w:shd w:val="clear" w:color="auto" w:fill="auto"/>
            <w:noWrap/>
            <w:vAlign w:val="center"/>
            <w:hideMark/>
          </w:tcPr>
          <w:p w14:paraId="0492C51D"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non-préparé</w:t>
            </w:r>
          </w:p>
        </w:tc>
        <w:tc>
          <w:tcPr>
            <w:tcW w:w="1684" w:type="dxa"/>
            <w:shd w:val="clear" w:color="auto" w:fill="auto"/>
            <w:noWrap/>
            <w:vAlign w:val="center"/>
            <w:hideMark/>
          </w:tcPr>
          <w:p w14:paraId="0DA09A51"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non-médiatique</w:t>
            </w:r>
          </w:p>
        </w:tc>
        <w:tc>
          <w:tcPr>
            <w:tcW w:w="867" w:type="dxa"/>
            <w:shd w:val="clear" w:color="auto" w:fill="auto"/>
            <w:noWrap/>
            <w:vAlign w:val="center"/>
            <w:hideMark/>
          </w:tcPr>
          <w:p w14:paraId="654CD26A"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privé&amp;professionnel</w:t>
            </w:r>
          </w:p>
        </w:tc>
        <w:tc>
          <w:tcPr>
            <w:tcW w:w="1480" w:type="dxa"/>
            <w:shd w:val="clear" w:color="auto" w:fill="auto"/>
            <w:noWrap/>
            <w:vAlign w:val="center"/>
            <w:hideMark/>
          </w:tcPr>
          <w:p w14:paraId="4F31272A"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59C3F93B" w14:textId="77777777" w:rsidTr="00AC050F">
        <w:trPr>
          <w:trHeight w:val="300"/>
        </w:trPr>
        <w:tc>
          <w:tcPr>
            <w:tcW w:w="1134" w:type="dxa"/>
            <w:shd w:val="clear" w:color="000000" w:fill="EDEDED"/>
            <w:noWrap/>
            <w:vAlign w:val="center"/>
            <w:hideMark/>
          </w:tcPr>
          <w:p w14:paraId="5AE269DD" w14:textId="07A00FAF"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D</w:t>
            </w:r>
            <w:r w:rsidR="00AC050F" w:rsidRPr="00BD4428">
              <w:rPr>
                <w:rFonts w:cs="Arial"/>
                <w:b/>
                <w:bCs/>
                <w:sz w:val="14"/>
                <w:szCs w:val="14"/>
                <w:lang w:val="fr-BE" w:eastAsia="fr-BE"/>
              </w:rPr>
              <w:t>eb</w:t>
            </w:r>
          </w:p>
        </w:tc>
        <w:tc>
          <w:tcPr>
            <w:tcW w:w="1696" w:type="dxa"/>
            <w:shd w:val="clear" w:color="auto" w:fill="auto"/>
            <w:noWrap/>
            <w:vAlign w:val="center"/>
            <w:hideMark/>
          </w:tcPr>
          <w:p w14:paraId="3B041C27"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Débat politique</w:t>
            </w:r>
          </w:p>
        </w:tc>
        <w:tc>
          <w:tcPr>
            <w:tcW w:w="1386" w:type="dxa"/>
            <w:shd w:val="clear" w:color="auto" w:fill="auto"/>
            <w:noWrap/>
            <w:vAlign w:val="center"/>
            <w:hideMark/>
          </w:tcPr>
          <w:p w14:paraId="27B8C7F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multilogue</w:t>
            </w:r>
          </w:p>
        </w:tc>
        <w:tc>
          <w:tcPr>
            <w:tcW w:w="1261" w:type="dxa"/>
            <w:shd w:val="clear" w:color="auto" w:fill="auto"/>
            <w:noWrap/>
            <w:vAlign w:val="center"/>
            <w:hideMark/>
          </w:tcPr>
          <w:p w14:paraId="76DCAA6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interactif</w:t>
            </w:r>
          </w:p>
        </w:tc>
        <w:tc>
          <w:tcPr>
            <w:tcW w:w="1039" w:type="dxa"/>
            <w:shd w:val="clear" w:color="auto" w:fill="auto"/>
            <w:noWrap/>
            <w:vAlign w:val="center"/>
            <w:hideMark/>
          </w:tcPr>
          <w:p w14:paraId="0A82BA98"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semi-préparé</w:t>
            </w:r>
          </w:p>
        </w:tc>
        <w:tc>
          <w:tcPr>
            <w:tcW w:w="1684" w:type="dxa"/>
            <w:shd w:val="clear" w:color="auto" w:fill="auto"/>
            <w:noWrap/>
            <w:vAlign w:val="center"/>
            <w:hideMark/>
          </w:tcPr>
          <w:p w14:paraId="543D061A"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médiatique</w:t>
            </w:r>
          </w:p>
        </w:tc>
        <w:tc>
          <w:tcPr>
            <w:tcW w:w="867" w:type="dxa"/>
            <w:shd w:val="clear" w:color="auto" w:fill="auto"/>
            <w:noWrap/>
            <w:vAlign w:val="center"/>
            <w:hideMark/>
          </w:tcPr>
          <w:p w14:paraId="441FE5B7"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16BC8842"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2AAA1D28" w14:textId="77777777" w:rsidTr="00AC050F">
        <w:trPr>
          <w:trHeight w:val="300"/>
        </w:trPr>
        <w:tc>
          <w:tcPr>
            <w:tcW w:w="1134" w:type="dxa"/>
            <w:shd w:val="clear" w:color="000000" w:fill="EDEDED"/>
            <w:noWrap/>
            <w:vAlign w:val="center"/>
            <w:hideMark/>
          </w:tcPr>
          <w:p w14:paraId="4E3D418C" w14:textId="1A13CDE5"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H</w:t>
            </w:r>
            <w:r w:rsidR="00AC050F" w:rsidRPr="00BD4428">
              <w:rPr>
                <w:rFonts w:cs="Arial"/>
                <w:b/>
                <w:bCs/>
                <w:sz w:val="14"/>
                <w:szCs w:val="14"/>
                <w:lang w:val="fr-BE" w:eastAsia="fr-BE"/>
              </w:rPr>
              <w:t>om</w:t>
            </w:r>
          </w:p>
        </w:tc>
        <w:tc>
          <w:tcPr>
            <w:tcW w:w="1696" w:type="dxa"/>
            <w:shd w:val="clear" w:color="auto" w:fill="auto"/>
            <w:noWrap/>
            <w:vAlign w:val="center"/>
            <w:hideMark/>
          </w:tcPr>
          <w:p w14:paraId="1F086E07"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Homélie</w:t>
            </w:r>
          </w:p>
        </w:tc>
        <w:tc>
          <w:tcPr>
            <w:tcW w:w="1386" w:type="dxa"/>
            <w:shd w:val="clear" w:color="auto" w:fill="auto"/>
            <w:noWrap/>
            <w:vAlign w:val="center"/>
            <w:hideMark/>
          </w:tcPr>
          <w:p w14:paraId="2171D80A"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monologue</w:t>
            </w:r>
          </w:p>
        </w:tc>
        <w:tc>
          <w:tcPr>
            <w:tcW w:w="1261" w:type="dxa"/>
            <w:shd w:val="clear" w:color="auto" w:fill="auto"/>
            <w:noWrap/>
            <w:vAlign w:val="center"/>
            <w:hideMark/>
          </w:tcPr>
          <w:p w14:paraId="2779B4C7"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non-interactif</w:t>
            </w:r>
          </w:p>
        </w:tc>
        <w:tc>
          <w:tcPr>
            <w:tcW w:w="1039" w:type="dxa"/>
            <w:shd w:val="clear" w:color="auto" w:fill="auto"/>
            <w:noWrap/>
            <w:vAlign w:val="center"/>
            <w:hideMark/>
          </w:tcPr>
          <w:p w14:paraId="0318F22A"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préparé</w:t>
            </w:r>
          </w:p>
        </w:tc>
        <w:tc>
          <w:tcPr>
            <w:tcW w:w="1684" w:type="dxa"/>
            <w:shd w:val="clear" w:color="auto" w:fill="auto"/>
            <w:noWrap/>
            <w:vAlign w:val="center"/>
            <w:hideMark/>
          </w:tcPr>
          <w:p w14:paraId="6F0EEDC0"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semi-médiatique</w:t>
            </w:r>
          </w:p>
        </w:tc>
        <w:tc>
          <w:tcPr>
            <w:tcW w:w="867" w:type="dxa"/>
            <w:shd w:val="clear" w:color="auto" w:fill="auto"/>
            <w:noWrap/>
            <w:vAlign w:val="center"/>
            <w:hideMark/>
          </w:tcPr>
          <w:p w14:paraId="2AC3DD4F"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370DE229"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3E8B0FA3" w14:textId="77777777" w:rsidTr="00AC050F">
        <w:trPr>
          <w:trHeight w:val="300"/>
        </w:trPr>
        <w:tc>
          <w:tcPr>
            <w:tcW w:w="1134" w:type="dxa"/>
            <w:shd w:val="clear" w:color="000000" w:fill="EDEDED"/>
            <w:noWrap/>
            <w:vAlign w:val="center"/>
            <w:hideMark/>
          </w:tcPr>
          <w:p w14:paraId="5B2D4E56" w14:textId="026CC724"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I</w:t>
            </w:r>
            <w:r w:rsidR="00AC050F" w:rsidRPr="00BD4428">
              <w:rPr>
                <w:rFonts w:cs="Arial"/>
                <w:b/>
                <w:bCs/>
                <w:sz w:val="14"/>
                <w:szCs w:val="14"/>
                <w:lang w:val="fr-BE" w:eastAsia="fr-BE"/>
              </w:rPr>
              <w:t>ntfor</w:t>
            </w:r>
          </w:p>
        </w:tc>
        <w:tc>
          <w:tcPr>
            <w:tcW w:w="1696" w:type="dxa"/>
            <w:shd w:val="clear" w:color="auto" w:fill="auto"/>
            <w:noWrap/>
            <w:vAlign w:val="center"/>
            <w:hideMark/>
          </w:tcPr>
          <w:p w14:paraId="74232C08"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Interview sociolinguistique</w:t>
            </w:r>
          </w:p>
        </w:tc>
        <w:tc>
          <w:tcPr>
            <w:tcW w:w="1386" w:type="dxa"/>
            <w:shd w:val="clear" w:color="auto" w:fill="auto"/>
            <w:noWrap/>
            <w:vAlign w:val="center"/>
            <w:hideMark/>
          </w:tcPr>
          <w:p w14:paraId="045D133D"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dialogue</w:t>
            </w:r>
          </w:p>
        </w:tc>
        <w:tc>
          <w:tcPr>
            <w:tcW w:w="1261" w:type="dxa"/>
            <w:shd w:val="clear" w:color="auto" w:fill="auto"/>
            <w:noWrap/>
            <w:vAlign w:val="center"/>
            <w:hideMark/>
          </w:tcPr>
          <w:p w14:paraId="01B7C708"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semi-interactif</w:t>
            </w:r>
          </w:p>
        </w:tc>
        <w:tc>
          <w:tcPr>
            <w:tcW w:w="1039" w:type="dxa"/>
            <w:shd w:val="clear" w:color="auto" w:fill="auto"/>
            <w:noWrap/>
            <w:vAlign w:val="center"/>
            <w:hideMark/>
          </w:tcPr>
          <w:p w14:paraId="025B3668"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non-préparé</w:t>
            </w:r>
          </w:p>
        </w:tc>
        <w:tc>
          <w:tcPr>
            <w:tcW w:w="1684" w:type="dxa"/>
            <w:shd w:val="clear" w:color="auto" w:fill="auto"/>
            <w:noWrap/>
            <w:vAlign w:val="center"/>
            <w:hideMark/>
          </w:tcPr>
          <w:p w14:paraId="0042E59D"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non-médiatique</w:t>
            </w:r>
          </w:p>
        </w:tc>
        <w:tc>
          <w:tcPr>
            <w:tcW w:w="867" w:type="dxa"/>
            <w:shd w:val="clear" w:color="auto" w:fill="auto"/>
            <w:noWrap/>
            <w:vAlign w:val="center"/>
            <w:hideMark/>
          </w:tcPr>
          <w:p w14:paraId="216F7A7E"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4CBB0A68"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semi-élicité</w:t>
            </w:r>
          </w:p>
        </w:tc>
      </w:tr>
      <w:tr w:rsidR="00AC050F" w:rsidRPr="00BD4428" w14:paraId="03FFE27F" w14:textId="77777777" w:rsidTr="00AC050F">
        <w:trPr>
          <w:trHeight w:val="300"/>
        </w:trPr>
        <w:tc>
          <w:tcPr>
            <w:tcW w:w="1134" w:type="dxa"/>
            <w:shd w:val="clear" w:color="000000" w:fill="EDEDED"/>
            <w:noWrap/>
            <w:vAlign w:val="center"/>
            <w:hideMark/>
          </w:tcPr>
          <w:p w14:paraId="77E3A5E5" w14:textId="4DA3E6C3"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I</w:t>
            </w:r>
            <w:r w:rsidR="00AC050F" w:rsidRPr="00BD4428">
              <w:rPr>
                <w:rFonts w:cs="Arial"/>
                <w:b/>
                <w:bCs/>
                <w:sz w:val="14"/>
                <w:szCs w:val="14"/>
                <w:lang w:val="fr-BE" w:eastAsia="fr-BE"/>
              </w:rPr>
              <w:t>ntlib</w:t>
            </w:r>
          </w:p>
        </w:tc>
        <w:tc>
          <w:tcPr>
            <w:tcW w:w="1696" w:type="dxa"/>
            <w:shd w:val="clear" w:color="auto" w:fill="auto"/>
            <w:noWrap/>
            <w:vAlign w:val="center"/>
            <w:hideMark/>
          </w:tcPr>
          <w:p w14:paraId="73603F8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Interview télévisée</w:t>
            </w:r>
          </w:p>
        </w:tc>
        <w:tc>
          <w:tcPr>
            <w:tcW w:w="1386" w:type="dxa"/>
            <w:shd w:val="clear" w:color="auto" w:fill="auto"/>
            <w:noWrap/>
            <w:vAlign w:val="center"/>
            <w:hideMark/>
          </w:tcPr>
          <w:p w14:paraId="4E72B35A"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dialogue</w:t>
            </w:r>
          </w:p>
        </w:tc>
        <w:tc>
          <w:tcPr>
            <w:tcW w:w="1261" w:type="dxa"/>
            <w:shd w:val="clear" w:color="auto" w:fill="auto"/>
            <w:noWrap/>
            <w:vAlign w:val="center"/>
            <w:hideMark/>
          </w:tcPr>
          <w:p w14:paraId="21576747"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semi-interactif</w:t>
            </w:r>
          </w:p>
        </w:tc>
        <w:tc>
          <w:tcPr>
            <w:tcW w:w="1039" w:type="dxa"/>
            <w:shd w:val="clear" w:color="auto" w:fill="auto"/>
            <w:noWrap/>
            <w:vAlign w:val="center"/>
            <w:hideMark/>
          </w:tcPr>
          <w:p w14:paraId="3121D1A1"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non-préparé</w:t>
            </w:r>
          </w:p>
        </w:tc>
        <w:tc>
          <w:tcPr>
            <w:tcW w:w="1684" w:type="dxa"/>
            <w:shd w:val="clear" w:color="auto" w:fill="auto"/>
            <w:noWrap/>
            <w:vAlign w:val="center"/>
            <w:hideMark/>
          </w:tcPr>
          <w:p w14:paraId="7973E839"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médiatique</w:t>
            </w:r>
          </w:p>
        </w:tc>
        <w:tc>
          <w:tcPr>
            <w:tcW w:w="867" w:type="dxa"/>
            <w:shd w:val="clear" w:color="auto" w:fill="auto"/>
            <w:noWrap/>
            <w:vAlign w:val="center"/>
            <w:hideMark/>
          </w:tcPr>
          <w:p w14:paraId="6EA0D1A2"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2A9728AB"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22BFE21F" w14:textId="77777777" w:rsidTr="00AC050F">
        <w:trPr>
          <w:trHeight w:val="300"/>
        </w:trPr>
        <w:tc>
          <w:tcPr>
            <w:tcW w:w="1134" w:type="dxa"/>
            <w:shd w:val="clear" w:color="000000" w:fill="EDEDED"/>
            <w:noWrap/>
            <w:vAlign w:val="center"/>
            <w:hideMark/>
          </w:tcPr>
          <w:p w14:paraId="0AA0C25C" w14:textId="4A341264"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I</w:t>
            </w:r>
            <w:r w:rsidR="00AC050F" w:rsidRPr="00BD4428">
              <w:rPr>
                <w:rFonts w:cs="Arial"/>
                <w:b/>
                <w:bCs/>
                <w:sz w:val="14"/>
                <w:szCs w:val="14"/>
                <w:lang w:val="fr-BE" w:eastAsia="fr-BE"/>
              </w:rPr>
              <w:t>ntrad</w:t>
            </w:r>
          </w:p>
        </w:tc>
        <w:tc>
          <w:tcPr>
            <w:tcW w:w="1696" w:type="dxa"/>
            <w:shd w:val="clear" w:color="auto" w:fill="auto"/>
            <w:noWrap/>
            <w:vAlign w:val="center"/>
            <w:hideMark/>
          </w:tcPr>
          <w:p w14:paraId="544CFAF1"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Interview radio</w:t>
            </w:r>
          </w:p>
        </w:tc>
        <w:tc>
          <w:tcPr>
            <w:tcW w:w="1386" w:type="dxa"/>
            <w:shd w:val="clear" w:color="auto" w:fill="auto"/>
            <w:noWrap/>
            <w:vAlign w:val="center"/>
            <w:hideMark/>
          </w:tcPr>
          <w:p w14:paraId="2843E03F"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dialogue</w:t>
            </w:r>
          </w:p>
        </w:tc>
        <w:tc>
          <w:tcPr>
            <w:tcW w:w="1261" w:type="dxa"/>
            <w:shd w:val="clear" w:color="auto" w:fill="auto"/>
            <w:noWrap/>
            <w:vAlign w:val="center"/>
            <w:hideMark/>
          </w:tcPr>
          <w:p w14:paraId="4EFE8B8E"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semi-interactif</w:t>
            </w:r>
          </w:p>
        </w:tc>
        <w:tc>
          <w:tcPr>
            <w:tcW w:w="1039" w:type="dxa"/>
            <w:shd w:val="clear" w:color="auto" w:fill="auto"/>
            <w:noWrap/>
            <w:vAlign w:val="center"/>
            <w:hideMark/>
          </w:tcPr>
          <w:p w14:paraId="163CA90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non-préparé</w:t>
            </w:r>
          </w:p>
        </w:tc>
        <w:tc>
          <w:tcPr>
            <w:tcW w:w="1684" w:type="dxa"/>
            <w:shd w:val="clear" w:color="auto" w:fill="auto"/>
            <w:noWrap/>
            <w:vAlign w:val="center"/>
            <w:hideMark/>
          </w:tcPr>
          <w:p w14:paraId="302DD866"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médiatique</w:t>
            </w:r>
          </w:p>
        </w:tc>
        <w:tc>
          <w:tcPr>
            <w:tcW w:w="867" w:type="dxa"/>
            <w:shd w:val="clear" w:color="auto" w:fill="auto"/>
            <w:noWrap/>
            <w:vAlign w:val="center"/>
            <w:hideMark/>
          </w:tcPr>
          <w:p w14:paraId="69D38CE1"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73D08D0B"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506C8726" w14:textId="77777777" w:rsidTr="00AC050F">
        <w:trPr>
          <w:trHeight w:val="300"/>
        </w:trPr>
        <w:tc>
          <w:tcPr>
            <w:tcW w:w="1134" w:type="dxa"/>
            <w:shd w:val="clear" w:color="000000" w:fill="EDEDED"/>
            <w:noWrap/>
            <w:vAlign w:val="center"/>
            <w:hideMark/>
          </w:tcPr>
          <w:p w14:paraId="3652944E" w14:textId="35FB1BFF"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J</w:t>
            </w:r>
            <w:r w:rsidR="00AC050F" w:rsidRPr="00BD4428">
              <w:rPr>
                <w:rFonts w:cs="Arial"/>
                <w:b/>
                <w:bCs/>
                <w:sz w:val="14"/>
                <w:szCs w:val="14"/>
                <w:lang w:val="fr-BE" w:eastAsia="fr-BE"/>
              </w:rPr>
              <w:t>pa</w:t>
            </w:r>
          </w:p>
        </w:tc>
        <w:tc>
          <w:tcPr>
            <w:tcW w:w="1696" w:type="dxa"/>
            <w:shd w:val="clear" w:color="auto" w:fill="auto"/>
            <w:noWrap/>
            <w:vAlign w:val="center"/>
            <w:hideMark/>
          </w:tcPr>
          <w:p w14:paraId="19105466"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Journal parlé</w:t>
            </w:r>
          </w:p>
        </w:tc>
        <w:tc>
          <w:tcPr>
            <w:tcW w:w="1386" w:type="dxa"/>
            <w:shd w:val="clear" w:color="auto" w:fill="auto"/>
            <w:noWrap/>
            <w:vAlign w:val="center"/>
            <w:hideMark/>
          </w:tcPr>
          <w:p w14:paraId="22827B4A"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dialogue</w:t>
            </w:r>
          </w:p>
        </w:tc>
        <w:tc>
          <w:tcPr>
            <w:tcW w:w="1261" w:type="dxa"/>
            <w:shd w:val="clear" w:color="auto" w:fill="auto"/>
            <w:noWrap/>
            <w:vAlign w:val="center"/>
            <w:hideMark/>
          </w:tcPr>
          <w:p w14:paraId="02C07C23"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non-interactif</w:t>
            </w:r>
          </w:p>
        </w:tc>
        <w:tc>
          <w:tcPr>
            <w:tcW w:w="1039" w:type="dxa"/>
            <w:shd w:val="clear" w:color="auto" w:fill="auto"/>
            <w:noWrap/>
            <w:vAlign w:val="center"/>
            <w:hideMark/>
          </w:tcPr>
          <w:p w14:paraId="2D66EB4F"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préparé</w:t>
            </w:r>
          </w:p>
        </w:tc>
        <w:tc>
          <w:tcPr>
            <w:tcW w:w="1684" w:type="dxa"/>
            <w:shd w:val="clear" w:color="auto" w:fill="auto"/>
            <w:noWrap/>
            <w:vAlign w:val="center"/>
            <w:hideMark/>
          </w:tcPr>
          <w:p w14:paraId="605E1010"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médiatique</w:t>
            </w:r>
          </w:p>
        </w:tc>
        <w:tc>
          <w:tcPr>
            <w:tcW w:w="867" w:type="dxa"/>
            <w:shd w:val="clear" w:color="auto" w:fill="auto"/>
            <w:noWrap/>
            <w:vAlign w:val="center"/>
            <w:hideMark/>
          </w:tcPr>
          <w:p w14:paraId="139B28E8"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427CFFC2"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51DD5768" w14:textId="77777777" w:rsidTr="00AC050F">
        <w:trPr>
          <w:trHeight w:val="300"/>
        </w:trPr>
        <w:tc>
          <w:tcPr>
            <w:tcW w:w="1134" w:type="dxa"/>
            <w:shd w:val="clear" w:color="000000" w:fill="EDEDED"/>
            <w:noWrap/>
            <w:vAlign w:val="center"/>
            <w:hideMark/>
          </w:tcPr>
          <w:p w14:paraId="6E899631" w14:textId="784BDDB5"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L</w:t>
            </w:r>
            <w:r w:rsidR="00AC050F" w:rsidRPr="00BD4428">
              <w:rPr>
                <w:rFonts w:cs="Arial"/>
                <w:b/>
                <w:bCs/>
                <w:sz w:val="14"/>
                <w:szCs w:val="14"/>
                <w:lang w:val="fr-BE" w:eastAsia="fr-BE"/>
              </w:rPr>
              <w:t>ec</w:t>
            </w:r>
          </w:p>
        </w:tc>
        <w:tc>
          <w:tcPr>
            <w:tcW w:w="1696" w:type="dxa"/>
            <w:shd w:val="clear" w:color="auto" w:fill="auto"/>
            <w:noWrap/>
            <w:vAlign w:val="center"/>
            <w:hideMark/>
          </w:tcPr>
          <w:p w14:paraId="2F53CA64"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Lecture</w:t>
            </w:r>
          </w:p>
        </w:tc>
        <w:tc>
          <w:tcPr>
            <w:tcW w:w="1386" w:type="dxa"/>
            <w:shd w:val="clear" w:color="000000" w:fill="FFFFFF"/>
            <w:noWrap/>
            <w:vAlign w:val="center"/>
            <w:hideMark/>
          </w:tcPr>
          <w:p w14:paraId="3C882A15"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monologue</w:t>
            </w:r>
          </w:p>
        </w:tc>
        <w:tc>
          <w:tcPr>
            <w:tcW w:w="1261" w:type="dxa"/>
            <w:shd w:val="clear" w:color="auto" w:fill="auto"/>
            <w:noWrap/>
            <w:vAlign w:val="center"/>
            <w:hideMark/>
          </w:tcPr>
          <w:p w14:paraId="4EC3339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non-interactif</w:t>
            </w:r>
          </w:p>
        </w:tc>
        <w:tc>
          <w:tcPr>
            <w:tcW w:w="1039" w:type="dxa"/>
            <w:shd w:val="clear" w:color="auto" w:fill="auto"/>
            <w:noWrap/>
            <w:vAlign w:val="center"/>
            <w:hideMark/>
          </w:tcPr>
          <w:p w14:paraId="319FA231"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préparé</w:t>
            </w:r>
          </w:p>
        </w:tc>
        <w:tc>
          <w:tcPr>
            <w:tcW w:w="1684" w:type="dxa"/>
            <w:shd w:val="clear" w:color="auto" w:fill="auto"/>
            <w:noWrap/>
            <w:vAlign w:val="center"/>
            <w:hideMark/>
          </w:tcPr>
          <w:p w14:paraId="541E0652"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médiatique</w:t>
            </w:r>
          </w:p>
        </w:tc>
        <w:tc>
          <w:tcPr>
            <w:tcW w:w="867" w:type="dxa"/>
            <w:shd w:val="clear" w:color="auto" w:fill="auto"/>
            <w:noWrap/>
            <w:vAlign w:val="center"/>
            <w:hideMark/>
          </w:tcPr>
          <w:p w14:paraId="1EE54D6F"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5DD86667"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3E0EB8DB" w14:textId="77777777" w:rsidTr="00AC050F">
        <w:trPr>
          <w:trHeight w:val="300"/>
        </w:trPr>
        <w:tc>
          <w:tcPr>
            <w:tcW w:w="1134" w:type="dxa"/>
            <w:shd w:val="clear" w:color="000000" w:fill="EDEDED"/>
            <w:noWrap/>
            <w:vAlign w:val="center"/>
            <w:hideMark/>
          </w:tcPr>
          <w:p w14:paraId="336F1064" w14:textId="470F85A1"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P</w:t>
            </w:r>
            <w:r w:rsidR="00AC050F" w:rsidRPr="00BD4428">
              <w:rPr>
                <w:rFonts w:cs="Arial"/>
                <w:b/>
                <w:bCs/>
                <w:sz w:val="14"/>
                <w:szCs w:val="14"/>
                <w:lang w:val="fr-BE" w:eastAsia="fr-BE"/>
              </w:rPr>
              <w:t>ol</w:t>
            </w:r>
          </w:p>
        </w:tc>
        <w:tc>
          <w:tcPr>
            <w:tcW w:w="1696" w:type="dxa"/>
            <w:shd w:val="clear" w:color="auto" w:fill="auto"/>
            <w:noWrap/>
            <w:vAlign w:val="center"/>
            <w:hideMark/>
          </w:tcPr>
          <w:p w14:paraId="46D49D7A"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Discours politique</w:t>
            </w:r>
          </w:p>
        </w:tc>
        <w:tc>
          <w:tcPr>
            <w:tcW w:w="1386" w:type="dxa"/>
            <w:shd w:val="clear" w:color="000000" w:fill="FFFFFF"/>
            <w:noWrap/>
            <w:vAlign w:val="center"/>
            <w:hideMark/>
          </w:tcPr>
          <w:p w14:paraId="65AA204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dialogue</w:t>
            </w:r>
          </w:p>
        </w:tc>
        <w:tc>
          <w:tcPr>
            <w:tcW w:w="1261" w:type="dxa"/>
            <w:shd w:val="clear" w:color="auto" w:fill="auto"/>
            <w:noWrap/>
            <w:vAlign w:val="center"/>
            <w:hideMark/>
          </w:tcPr>
          <w:p w14:paraId="4AA5C851"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non-interactif</w:t>
            </w:r>
          </w:p>
        </w:tc>
        <w:tc>
          <w:tcPr>
            <w:tcW w:w="1039" w:type="dxa"/>
            <w:shd w:val="clear" w:color="auto" w:fill="auto"/>
            <w:noWrap/>
            <w:vAlign w:val="center"/>
            <w:hideMark/>
          </w:tcPr>
          <w:p w14:paraId="5502BAE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préparé</w:t>
            </w:r>
          </w:p>
        </w:tc>
        <w:tc>
          <w:tcPr>
            <w:tcW w:w="1684" w:type="dxa"/>
            <w:shd w:val="clear" w:color="auto" w:fill="auto"/>
            <w:noWrap/>
            <w:vAlign w:val="center"/>
            <w:hideMark/>
          </w:tcPr>
          <w:p w14:paraId="64C9ADFF"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semi-médiatique&amp;médiatique</w:t>
            </w:r>
          </w:p>
        </w:tc>
        <w:tc>
          <w:tcPr>
            <w:tcW w:w="867" w:type="dxa"/>
            <w:shd w:val="clear" w:color="auto" w:fill="auto"/>
            <w:noWrap/>
            <w:vAlign w:val="center"/>
            <w:hideMark/>
          </w:tcPr>
          <w:p w14:paraId="28250DAB"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308A2087"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r w:rsidR="00AC050F" w:rsidRPr="00BD4428" w14:paraId="40F70001" w14:textId="77777777" w:rsidTr="00AC050F">
        <w:trPr>
          <w:trHeight w:val="300"/>
        </w:trPr>
        <w:tc>
          <w:tcPr>
            <w:tcW w:w="1134" w:type="dxa"/>
            <w:shd w:val="clear" w:color="000000" w:fill="EDEDED"/>
            <w:noWrap/>
            <w:vAlign w:val="center"/>
            <w:hideMark/>
          </w:tcPr>
          <w:p w14:paraId="55D66CEB" w14:textId="6FA00BB6"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R</w:t>
            </w:r>
            <w:r w:rsidR="00AC050F" w:rsidRPr="00BD4428">
              <w:rPr>
                <w:rFonts w:cs="Arial"/>
                <w:b/>
                <w:bCs/>
                <w:sz w:val="14"/>
                <w:szCs w:val="14"/>
                <w:lang w:val="fr-BE" w:eastAsia="fr-BE"/>
              </w:rPr>
              <w:t>cv</w:t>
            </w:r>
          </w:p>
        </w:tc>
        <w:tc>
          <w:tcPr>
            <w:tcW w:w="1696" w:type="dxa"/>
            <w:shd w:val="clear" w:color="auto" w:fill="auto"/>
            <w:noWrap/>
            <w:vAlign w:val="center"/>
            <w:hideMark/>
          </w:tcPr>
          <w:p w14:paraId="1E1D5887"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Récit conversationnel</w:t>
            </w:r>
          </w:p>
        </w:tc>
        <w:tc>
          <w:tcPr>
            <w:tcW w:w="1386" w:type="dxa"/>
            <w:shd w:val="clear" w:color="000000" w:fill="FFFFFF"/>
            <w:noWrap/>
            <w:vAlign w:val="center"/>
            <w:hideMark/>
          </w:tcPr>
          <w:p w14:paraId="66D9EEC2"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monologue</w:t>
            </w:r>
          </w:p>
        </w:tc>
        <w:tc>
          <w:tcPr>
            <w:tcW w:w="1261" w:type="dxa"/>
            <w:shd w:val="clear" w:color="auto" w:fill="auto"/>
            <w:noWrap/>
            <w:vAlign w:val="center"/>
            <w:hideMark/>
          </w:tcPr>
          <w:p w14:paraId="51A97FC3"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semi-interactif</w:t>
            </w:r>
          </w:p>
        </w:tc>
        <w:tc>
          <w:tcPr>
            <w:tcW w:w="1039" w:type="dxa"/>
            <w:shd w:val="clear" w:color="auto" w:fill="auto"/>
            <w:noWrap/>
            <w:vAlign w:val="center"/>
            <w:hideMark/>
          </w:tcPr>
          <w:p w14:paraId="6E973C45"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non-préparé</w:t>
            </w:r>
          </w:p>
        </w:tc>
        <w:tc>
          <w:tcPr>
            <w:tcW w:w="1684" w:type="dxa"/>
            <w:shd w:val="clear" w:color="auto" w:fill="auto"/>
            <w:noWrap/>
            <w:vAlign w:val="center"/>
            <w:hideMark/>
          </w:tcPr>
          <w:p w14:paraId="3AF01A81"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non-médiatique</w:t>
            </w:r>
          </w:p>
        </w:tc>
        <w:tc>
          <w:tcPr>
            <w:tcW w:w="867" w:type="dxa"/>
            <w:shd w:val="clear" w:color="auto" w:fill="auto"/>
            <w:noWrap/>
            <w:vAlign w:val="center"/>
            <w:hideMark/>
          </w:tcPr>
          <w:p w14:paraId="28358F05"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privé</w:t>
            </w:r>
          </w:p>
        </w:tc>
        <w:tc>
          <w:tcPr>
            <w:tcW w:w="1480" w:type="dxa"/>
            <w:shd w:val="clear" w:color="auto" w:fill="auto"/>
            <w:noWrap/>
            <w:vAlign w:val="center"/>
            <w:hideMark/>
          </w:tcPr>
          <w:p w14:paraId="29BC8996"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semi-élicité</w:t>
            </w:r>
          </w:p>
        </w:tc>
      </w:tr>
      <w:tr w:rsidR="00AC050F" w:rsidRPr="00BD4428" w14:paraId="4903327E" w14:textId="77777777" w:rsidTr="00AC050F">
        <w:trPr>
          <w:trHeight w:val="300"/>
        </w:trPr>
        <w:tc>
          <w:tcPr>
            <w:tcW w:w="1134" w:type="dxa"/>
            <w:shd w:val="clear" w:color="000000" w:fill="EDEDED"/>
            <w:noWrap/>
            <w:vAlign w:val="center"/>
            <w:hideMark/>
          </w:tcPr>
          <w:p w14:paraId="5EC80F43" w14:textId="73735D4A" w:rsidR="00AC050F" w:rsidRPr="00BD4428" w:rsidRDefault="007C16A8" w:rsidP="006A0A04">
            <w:pPr>
              <w:pStyle w:val="TabBody"/>
              <w:ind w:left="-57"/>
              <w:jc w:val="center"/>
              <w:rPr>
                <w:rFonts w:cs="Arial"/>
                <w:b/>
                <w:bCs/>
                <w:sz w:val="14"/>
                <w:szCs w:val="14"/>
                <w:lang w:val="fr-BE" w:eastAsia="fr-BE"/>
              </w:rPr>
            </w:pPr>
            <w:r w:rsidRPr="00BD4428">
              <w:rPr>
                <w:rFonts w:cs="Arial"/>
                <w:b/>
                <w:bCs/>
                <w:sz w:val="14"/>
                <w:szCs w:val="14"/>
                <w:lang w:val="fr-BE" w:eastAsia="fr-BE"/>
              </w:rPr>
              <w:t>S</w:t>
            </w:r>
            <w:r w:rsidR="00AC050F" w:rsidRPr="00BD4428">
              <w:rPr>
                <w:rFonts w:cs="Arial"/>
                <w:b/>
                <w:bCs/>
                <w:sz w:val="14"/>
                <w:szCs w:val="14"/>
                <w:lang w:val="fr-BE" w:eastAsia="fr-BE"/>
              </w:rPr>
              <w:t>ingle</w:t>
            </w:r>
          </w:p>
        </w:tc>
        <w:tc>
          <w:tcPr>
            <w:tcW w:w="1696" w:type="dxa"/>
            <w:shd w:val="clear" w:color="auto" w:fill="auto"/>
            <w:noWrap/>
            <w:vAlign w:val="center"/>
            <w:hideMark/>
          </w:tcPr>
          <w:p w14:paraId="3BFE6292"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Performance radiophonique</w:t>
            </w:r>
          </w:p>
        </w:tc>
        <w:tc>
          <w:tcPr>
            <w:tcW w:w="1386" w:type="dxa"/>
            <w:shd w:val="clear" w:color="auto" w:fill="auto"/>
            <w:noWrap/>
            <w:vAlign w:val="center"/>
            <w:hideMark/>
          </w:tcPr>
          <w:p w14:paraId="29183DBA"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monologue</w:t>
            </w:r>
          </w:p>
        </w:tc>
        <w:tc>
          <w:tcPr>
            <w:tcW w:w="1261" w:type="dxa"/>
            <w:shd w:val="clear" w:color="auto" w:fill="auto"/>
            <w:noWrap/>
            <w:vAlign w:val="center"/>
            <w:hideMark/>
          </w:tcPr>
          <w:p w14:paraId="2204D560"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non-interactif</w:t>
            </w:r>
          </w:p>
        </w:tc>
        <w:tc>
          <w:tcPr>
            <w:tcW w:w="1039" w:type="dxa"/>
            <w:shd w:val="clear" w:color="auto" w:fill="auto"/>
            <w:noWrap/>
            <w:vAlign w:val="center"/>
            <w:hideMark/>
          </w:tcPr>
          <w:p w14:paraId="2E7A7E52"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semi-préparé</w:t>
            </w:r>
          </w:p>
        </w:tc>
        <w:tc>
          <w:tcPr>
            <w:tcW w:w="1684" w:type="dxa"/>
            <w:shd w:val="clear" w:color="auto" w:fill="auto"/>
            <w:noWrap/>
            <w:vAlign w:val="center"/>
            <w:hideMark/>
          </w:tcPr>
          <w:p w14:paraId="2C4CDD57"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médiatique</w:t>
            </w:r>
          </w:p>
        </w:tc>
        <w:tc>
          <w:tcPr>
            <w:tcW w:w="867" w:type="dxa"/>
            <w:shd w:val="clear" w:color="auto" w:fill="auto"/>
            <w:noWrap/>
            <w:vAlign w:val="center"/>
            <w:hideMark/>
          </w:tcPr>
          <w:p w14:paraId="1BD42C5F" w14:textId="77777777" w:rsidR="00AC050F" w:rsidRPr="00BD4428" w:rsidRDefault="00AC050F" w:rsidP="00AC050F">
            <w:pPr>
              <w:pStyle w:val="TabBody"/>
              <w:ind w:left="-57"/>
              <w:rPr>
                <w:rFonts w:cs="Arial"/>
                <w:sz w:val="14"/>
                <w:szCs w:val="14"/>
                <w:lang w:val="fr-BE" w:eastAsia="fr-BE"/>
              </w:rPr>
            </w:pPr>
            <w:r w:rsidRPr="00BD4428">
              <w:rPr>
                <w:rFonts w:cs="Arial"/>
                <w:sz w:val="14"/>
                <w:szCs w:val="14"/>
                <w:lang w:val="fr-BE" w:eastAsia="fr-BE"/>
              </w:rPr>
              <w:t>professionnel</w:t>
            </w:r>
          </w:p>
        </w:tc>
        <w:tc>
          <w:tcPr>
            <w:tcW w:w="1480" w:type="dxa"/>
            <w:shd w:val="clear" w:color="auto" w:fill="auto"/>
            <w:noWrap/>
            <w:vAlign w:val="center"/>
            <w:hideMark/>
          </w:tcPr>
          <w:p w14:paraId="35B70337" w14:textId="77777777" w:rsidR="00AC050F" w:rsidRPr="00BD4428" w:rsidRDefault="006A0A04" w:rsidP="00AC050F">
            <w:pPr>
              <w:pStyle w:val="TabBody"/>
              <w:ind w:left="-57"/>
              <w:rPr>
                <w:rFonts w:cs="Arial"/>
                <w:sz w:val="14"/>
                <w:szCs w:val="14"/>
                <w:lang w:val="fr-BE" w:eastAsia="fr-BE"/>
              </w:rPr>
            </w:pPr>
            <w:r w:rsidRPr="00BD4428">
              <w:rPr>
                <w:rFonts w:cs="Arial"/>
                <w:sz w:val="14"/>
                <w:szCs w:val="14"/>
                <w:lang w:val="fr-BE" w:eastAsia="fr-BE"/>
              </w:rPr>
              <w:t>naturel</w:t>
            </w:r>
          </w:p>
        </w:tc>
      </w:tr>
    </w:tbl>
    <w:p w14:paraId="1AB4D9A0" w14:textId="77777777" w:rsidR="00AC050F" w:rsidRPr="00AC050F" w:rsidRDefault="00AC050F" w:rsidP="0006097B">
      <w:pPr>
        <w:pStyle w:val="BiblioBody"/>
        <w:rPr>
          <w:rFonts w:eastAsia="MS Mincho"/>
          <w:lang w:val="fr-BE"/>
        </w:rPr>
      </w:pPr>
    </w:p>
    <w:sectPr w:rsidR="00AC050F" w:rsidRPr="00AC050F" w:rsidSect="00AC050F">
      <w:pgSz w:w="13606" w:h="9071" w:orient="landscape"/>
      <w:pgMar w:top="964" w:right="1417" w:bottom="1304" w:left="1417" w:header="720" w:footer="720" w:gutter="0"/>
      <w:cols w:space="720"/>
      <w:noEndnote/>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DB2E07C" w16cex:dateUtc="2024-12-04T16:58:00Z"/>
  <w16cex:commentExtensible w16cex:durableId="23B45B91" w16cex:dateUtc="2024-12-04T17:01:00Z"/>
  <w16cex:commentExtensible w16cex:durableId="65F9DCE7" w16cex:dateUtc="2024-12-04T17:02:00Z"/>
  <w16cex:commentExtensible w16cex:durableId="3A1BE7AE" w16cex:dateUtc="2024-12-04T17:05:00Z"/>
  <w16cex:commentExtensible w16cex:durableId="6B46AF0F" w16cex:dateUtc="2024-12-04T17:05:00Z"/>
  <w16cex:commentExtensible w16cex:durableId="5FAC9323" w16cex:dateUtc="2024-12-04T17:09:00Z"/>
  <w16cex:commentExtensible w16cex:durableId="75CEC63D" w16cex:dateUtc="2024-12-04T1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447946" w16cid:durableId="2B29286C"/>
  <w16cid:commentId w16cid:paraId="224FE96D" w16cid:durableId="2B2A2904"/>
  <w16cid:commentId w16cid:paraId="2D1E9122" w16cid:durableId="2B29286D"/>
  <w16cid:commentId w16cid:paraId="69FB3AF2" w16cid:durableId="2B2A29D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BE6EB" w14:textId="77777777" w:rsidR="00C157EA" w:rsidRDefault="00C157EA">
      <w:r>
        <w:separator/>
      </w:r>
    </w:p>
  </w:endnote>
  <w:endnote w:type="continuationSeparator" w:id="0">
    <w:p w14:paraId="5870B262" w14:textId="77777777" w:rsidR="00C157EA" w:rsidRDefault="00C15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Optima">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Roman">
    <w:altName w:val="Times New Roman"/>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12B0C" w14:textId="77777777" w:rsidR="00C157EA" w:rsidRDefault="00C157EA">
    <w:pPr>
      <w:framePr w:wrap="around" w:vAnchor="text" w:hAnchor="margin" w:xAlign="outside" w:y="1"/>
    </w:pPr>
    <w:r>
      <w:fldChar w:fldCharType="begin"/>
    </w:r>
    <w:r>
      <w:instrText xml:space="preserve">PAGE  </w:instrText>
    </w:r>
    <w:r>
      <w:fldChar w:fldCharType="separate"/>
    </w:r>
    <w:r>
      <w:rPr>
        <w:noProof/>
      </w:rPr>
      <w:t>14</w:t>
    </w:r>
    <w:r>
      <w:fldChar w:fldCharType="end"/>
    </w:r>
  </w:p>
  <w:p w14:paraId="1B8D12B3" w14:textId="77777777" w:rsidR="00C157EA" w:rsidRDefault="00C157EA">
    <w:pPr>
      <w:ind w:right="360" w:firstLine="360"/>
      <w:rPr>
        <w:rFonts w:ascii="Roman" w:hAnsi="Roman"/>
      </w:rPr>
    </w:pPr>
  </w:p>
  <w:p w14:paraId="706C66A6" w14:textId="77777777" w:rsidR="00C157EA" w:rsidRDefault="00C157E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0BE9D" w14:textId="5C8FF93C" w:rsidR="00C157EA" w:rsidRDefault="00C157EA">
    <w:pPr>
      <w:framePr w:wrap="around" w:vAnchor="text" w:hAnchor="margin" w:xAlign="outside" w:y="1"/>
    </w:pPr>
    <w:r>
      <w:fldChar w:fldCharType="begin"/>
    </w:r>
    <w:r>
      <w:instrText xml:space="preserve">PAGE  </w:instrText>
    </w:r>
    <w:r>
      <w:fldChar w:fldCharType="separate"/>
    </w:r>
    <w:r w:rsidR="005D7F52">
      <w:rPr>
        <w:noProof/>
      </w:rPr>
      <w:t>19</w:t>
    </w:r>
    <w:r>
      <w:fldChar w:fldCharType="end"/>
    </w:r>
  </w:p>
  <w:p w14:paraId="7C1D44EE" w14:textId="77777777" w:rsidR="00C157EA" w:rsidRDefault="00C157EA">
    <w:pPr>
      <w:ind w:right="360" w:firstLine="360"/>
      <w:rPr>
        <w:rFonts w:ascii="Roman" w:hAnsi="Roman"/>
      </w:rPr>
    </w:pPr>
  </w:p>
  <w:p w14:paraId="2C1BD7D7" w14:textId="77777777" w:rsidR="00C157EA" w:rsidRDefault="00C157E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58D6C" w14:textId="77777777" w:rsidR="00C157EA" w:rsidRDefault="00C157EA">
      <w:r>
        <w:separator/>
      </w:r>
    </w:p>
  </w:footnote>
  <w:footnote w:type="continuationSeparator" w:id="0">
    <w:p w14:paraId="02B834AC" w14:textId="77777777" w:rsidR="00C157EA" w:rsidRDefault="00C15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1AAFE" w14:textId="77777777" w:rsidR="00C157EA" w:rsidRDefault="00C157EA">
    <w:pPr>
      <w:pStyle w:val="FigLegende"/>
      <w:tabs>
        <w:tab w:val="right" w:pos="0"/>
        <w:tab w:val="right" w:pos="6800"/>
      </w:tabs>
      <w:spacing w:line="240" w:lineRule="atLeast"/>
      <w:ind w:left="0"/>
      <w:rPr>
        <w:b/>
        <w:smallCaps/>
        <w:sz w:val="14"/>
      </w:rPr>
    </w:pPr>
  </w:p>
  <w:p w14:paraId="5EED9248" w14:textId="77777777" w:rsidR="00C157EA" w:rsidRDefault="00C157E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B8818" w14:textId="77777777" w:rsidR="00C157EA" w:rsidRDefault="00C157EA">
    <w:pPr>
      <w:pStyle w:val="FigLegende"/>
      <w:tabs>
        <w:tab w:val="center" w:pos="0"/>
        <w:tab w:val="right" w:pos="6800"/>
      </w:tabs>
      <w:spacing w:line="240" w:lineRule="atLeast"/>
      <w:ind w:left="0"/>
      <w:rPr>
        <w:b/>
        <w:sz w:val="18"/>
      </w:rPr>
    </w:pPr>
  </w:p>
  <w:p w14:paraId="6AA60B73" w14:textId="77777777" w:rsidR="00C157EA" w:rsidRDefault="00C157E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2CE4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1A70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5A35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4EE01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BE77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A6E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E297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B46A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DAA3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B003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484A6E8"/>
    <w:lvl w:ilvl="0">
      <w:numFmt w:val="bullet"/>
      <w:lvlText w:val="*"/>
      <w:lvlJc w:val="left"/>
    </w:lvl>
  </w:abstractNum>
  <w:abstractNum w:abstractNumId="11" w15:restartNumberingAfterBreak="0">
    <w:nsid w:val="066340F0"/>
    <w:multiLevelType w:val="hybridMultilevel"/>
    <w:tmpl w:val="132E4D36"/>
    <w:lvl w:ilvl="0" w:tplc="21C267A8">
      <w:start w:val="2"/>
      <w:numFmt w:val="bullet"/>
      <w:lvlText w:val="-"/>
      <w:lvlJc w:val="left"/>
      <w:pPr>
        <w:ind w:left="644" w:hanging="360"/>
      </w:pPr>
      <w:rPr>
        <w:rFonts w:ascii="Times New Roman" w:eastAsia="Times New Roman" w:hAnsi="Times New Roman" w:cs="Times New Roman"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111B6593"/>
    <w:multiLevelType w:val="hybridMultilevel"/>
    <w:tmpl w:val="18F02B04"/>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3" w15:restartNumberingAfterBreak="0">
    <w:nsid w:val="174E43DC"/>
    <w:multiLevelType w:val="multilevel"/>
    <w:tmpl w:val="46ACAF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CBB3C7D"/>
    <w:multiLevelType w:val="hybridMultilevel"/>
    <w:tmpl w:val="9E14F6E0"/>
    <w:lvl w:ilvl="0" w:tplc="5560B2A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37C83B05"/>
    <w:multiLevelType w:val="hybridMultilevel"/>
    <w:tmpl w:val="3D065EEE"/>
    <w:lvl w:ilvl="0" w:tplc="BB926678">
      <w:start w:val="1"/>
      <w:numFmt w:val="decimal"/>
      <w:pStyle w:val="ExempleNumero"/>
      <w:lvlText w:val="%1."/>
      <w:lvlJc w:val="left"/>
      <w:pPr>
        <w:ind w:left="1928" w:hanging="360"/>
      </w:pPr>
      <w:rPr>
        <w:rFonts w:cs="Times New Roman"/>
        <w:lang w:val="fr-FR"/>
      </w:rPr>
    </w:lvl>
    <w:lvl w:ilvl="1" w:tplc="040C0019" w:tentative="1">
      <w:start w:val="1"/>
      <w:numFmt w:val="lowerLetter"/>
      <w:lvlText w:val="%2."/>
      <w:lvlJc w:val="left"/>
      <w:pPr>
        <w:ind w:left="2648" w:hanging="360"/>
      </w:pPr>
      <w:rPr>
        <w:rFonts w:cs="Times New Roman"/>
      </w:rPr>
    </w:lvl>
    <w:lvl w:ilvl="2" w:tplc="040C001B" w:tentative="1">
      <w:start w:val="1"/>
      <w:numFmt w:val="lowerRoman"/>
      <w:lvlText w:val="%3."/>
      <w:lvlJc w:val="right"/>
      <w:pPr>
        <w:ind w:left="3368" w:hanging="180"/>
      </w:pPr>
      <w:rPr>
        <w:rFonts w:cs="Times New Roman"/>
      </w:rPr>
    </w:lvl>
    <w:lvl w:ilvl="3" w:tplc="040C000F" w:tentative="1">
      <w:start w:val="1"/>
      <w:numFmt w:val="decimal"/>
      <w:lvlText w:val="%4."/>
      <w:lvlJc w:val="left"/>
      <w:pPr>
        <w:ind w:left="4088" w:hanging="360"/>
      </w:pPr>
      <w:rPr>
        <w:rFonts w:cs="Times New Roman"/>
      </w:rPr>
    </w:lvl>
    <w:lvl w:ilvl="4" w:tplc="040C0019" w:tentative="1">
      <w:start w:val="1"/>
      <w:numFmt w:val="lowerLetter"/>
      <w:lvlText w:val="%5."/>
      <w:lvlJc w:val="left"/>
      <w:pPr>
        <w:ind w:left="4808" w:hanging="360"/>
      </w:pPr>
      <w:rPr>
        <w:rFonts w:cs="Times New Roman"/>
      </w:rPr>
    </w:lvl>
    <w:lvl w:ilvl="5" w:tplc="040C001B" w:tentative="1">
      <w:start w:val="1"/>
      <w:numFmt w:val="lowerRoman"/>
      <w:lvlText w:val="%6."/>
      <w:lvlJc w:val="right"/>
      <w:pPr>
        <w:ind w:left="5528" w:hanging="180"/>
      </w:pPr>
      <w:rPr>
        <w:rFonts w:cs="Times New Roman"/>
      </w:rPr>
    </w:lvl>
    <w:lvl w:ilvl="6" w:tplc="040C000F" w:tentative="1">
      <w:start w:val="1"/>
      <w:numFmt w:val="decimal"/>
      <w:lvlText w:val="%7."/>
      <w:lvlJc w:val="left"/>
      <w:pPr>
        <w:ind w:left="6248" w:hanging="360"/>
      </w:pPr>
      <w:rPr>
        <w:rFonts w:cs="Times New Roman"/>
      </w:rPr>
    </w:lvl>
    <w:lvl w:ilvl="7" w:tplc="040C0019" w:tentative="1">
      <w:start w:val="1"/>
      <w:numFmt w:val="lowerLetter"/>
      <w:lvlText w:val="%8."/>
      <w:lvlJc w:val="left"/>
      <w:pPr>
        <w:ind w:left="6968" w:hanging="360"/>
      </w:pPr>
      <w:rPr>
        <w:rFonts w:cs="Times New Roman"/>
      </w:rPr>
    </w:lvl>
    <w:lvl w:ilvl="8" w:tplc="040C001B" w:tentative="1">
      <w:start w:val="1"/>
      <w:numFmt w:val="lowerRoman"/>
      <w:lvlText w:val="%9."/>
      <w:lvlJc w:val="right"/>
      <w:pPr>
        <w:ind w:left="7688" w:hanging="180"/>
      </w:pPr>
      <w:rPr>
        <w:rFonts w:cs="Times New Roman"/>
      </w:rPr>
    </w:lvl>
  </w:abstractNum>
  <w:abstractNum w:abstractNumId="16" w15:restartNumberingAfterBreak="0">
    <w:nsid w:val="49016C81"/>
    <w:multiLevelType w:val="hybridMultilevel"/>
    <w:tmpl w:val="9CF6EF96"/>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7" w15:restartNumberingAfterBreak="0">
    <w:nsid w:val="4DF5646B"/>
    <w:multiLevelType w:val="hybridMultilevel"/>
    <w:tmpl w:val="71EE3E56"/>
    <w:lvl w:ilvl="0" w:tplc="040C0011">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8" w15:restartNumberingAfterBreak="0">
    <w:nsid w:val="500B7A59"/>
    <w:multiLevelType w:val="hybridMultilevel"/>
    <w:tmpl w:val="3962BF7A"/>
    <w:lvl w:ilvl="0" w:tplc="12188D1E">
      <w:start w:val="2"/>
      <w:numFmt w:val="bullet"/>
      <w:lvlText w:val="-"/>
      <w:lvlJc w:val="left"/>
      <w:pPr>
        <w:ind w:left="644" w:hanging="360"/>
      </w:pPr>
      <w:rPr>
        <w:rFonts w:ascii="Times New Roman" w:eastAsia="Times New Roman" w:hAnsi="Times New Roman" w:cs="Times New Roman"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9" w15:restartNumberingAfterBreak="0">
    <w:nsid w:val="58E350FB"/>
    <w:multiLevelType w:val="singleLevel"/>
    <w:tmpl w:val="DCA66ED2"/>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B6F75A6"/>
    <w:multiLevelType w:val="hybridMultilevel"/>
    <w:tmpl w:val="590EDA30"/>
    <w:lvl w:ilvl="0" w:tplc="040C0001">
      <w:start w:val="1"/>
      <w:numFmt w:val="bullet"/>
      <w:lvlText w:val=""/>
      <w:lvlJc w:val="left"/>
      <w:pPr>
        <w:tabs>
          <w:tab w:val="num" w:pos="1571"/>
        </w:tabs>
        <w:ind w:left="1571" w:hanging="360"/>
      </w:pPr>
      <w:rPr>
        <w:rFonts w:ascii="Symbol" w:hAnsi="Symbol" w:hint="default"/>
      </w:rPr>
    </w:lvl>
    <w:lvl w:ilvl="1" w:tplc="040C0003" w:tentative="1">
      <w:start w:val="1"/>
      <w:numFmt w:val="bullet"/>
      <w:lvlText w:val="o"/>
      <w:lvlJc w:val="left"/>
      <w:pPr>
        <w:tabs>
          <w:tab w:val="num" w:pos="2291"/>
        </w:tabs>
        <w:ind w:left="2291" w:hanging="360"/>
      </w:pPr>
      <w:rPr>
        <w:rFonts w:ascii="Courier New" w:hAnsi="Courier New"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21" w15:restartNumberingAfterBreak="0">
    <w:nsid w:val="66E93E74"/>
    <w:multiLevelType w:val="hybridMultilevel"/>
    <w:tmpl w:val="31FE6104"/>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22" w15:restartNumberingAfterBreak="0">
    <w:nsid w:val="672831FB"/>
    <w:multiLevelType w:val="hybridMultilevel"/>
    <w:tmpl w:val="80909C6C"/>
    <w:lvl w:ilvl="0" w:tplc="7C508A5C">
      <w:start w:val="56"/>
      <w:numFmt w:val="bullet"/>
      <w:pStyle w:val="BodyEnum1"/>
      <w:lvlText w:val="–"/>
      <w:lvlJc w:val="left"/>
      <w:pPr>
        <w:tabs>
          <w:tab w:val="num" w:pos="720"/>
        </w:tabs>
        <w:ind w:left="720" w:hanging="360"/>
      </w:pPr>
      <w:rPr>
        <w:rFonts w:ascii="Times New Roman" w:eastAsia="Times New Roman" w:hAnsi="Times New Roman" w:hint="default"/>
      </w:rPr>
    </w:lvl>
    <w:lvl w:ilvl="1" w:tplc="7EE6C4C4">
      <w:start w:val="56"/>
      <w:numFmt w:val="bullet"/>
      <w:pStyle w:val="BodyEnum2"/>
      <w:lvlText w:val=""/>
      <w:lvlJc w:val="left"/>
      <w:pPr>
        <w:tabs>
          <w:tab w:val="num" w:pos="1440"/>
        </w:tabs>
        <w:ind w:left="1440" w:hanging="360"/>
      </w:pPr>
      <w:rPr>
        <w:rFonts w:ascii="Symbol" w:eastAsia="Times New Roman" w:hAnsi="Symbol" w:hint="default"/>
      </w:rPr>
    </w:lvl>
    <w:lvl w:ilvl="2" w:tplc="41886472" w:tentative="1">
      <w:start w:val="1"/>
      <w:numFmt w:val="bullet"/>
      <w:lvlText w:val=""/>
      <w:lvlJc w:val="left"/>
      <w:pPr>
        <w:tabs>
          <w:tab w:val="num" w:pos="2160"/>
        </w:tabs>
        <w:ind w:left="2160" w:hanging="360"/>
      </w:pPr>
      <w:rPr>
        <w:rFonts w:ascii="Wingdings" w:hAnsi="Wingdings" w:hint="default"/>
      </w:rPr>
    </w:lvl>
    <w:lvl w:ilvl="3" w:tplc="DE3AECAA" w:tentative="1">
      <w:start w:val="1"/>
      <w:numFmt w:val="bullet"/>
      <w:lvlText w:val=""/>
      <w:lvlJc w:val="left"/>
      <w:pPr>
        <w:tabs>
          <w:tab w:val="num" w:pos="2880"/>
        </w:tabs>
        <w:ind w:left="2880" w:hanging="360"/>
      </w:pPr>
      <w:rPr>
        <w:rFonts w:ascii="Symbol" w:hAnsi="Symbol" w:hint="default"/>
      </w:rPr>
    </w:lvl>
    <w:lvl w:ilvl="4" w:tplc="CDB06140" w:tentative="1">
      <w:start w:val="1"/>
      <w:numFmt w:val="bullet"/>
      <w:lvlText w:val="o"/>
      <w:lvlJc w:val="left"/>
      <w:pPr>
        <w:tabs>
          <w:tab w:val="num" w:pos="3600"/>
        </w:tabs>
        <w:ind w:left="3600" w:hanging="360"/>
      </w:pPr>
      <w:rPr>
        <w:rFonts w:ascii="Courier" w:hAnsi="Courier" w:hint="default"/>
      </w:rPr>
    </w:lvl>
    <w:lvl w:ilvl="5" w:tplc="4B963C0C" w:tentative="1">
      <w:start w:val="1"/>
      <w:numFmt w:val="bullet"/>
      <w:lvlText w:val=""/>
      <w:lvlJc w:val="left"/>
      <w:pPr>
        <w:tabs>
          <w:tab w:val="num" w:pos="4320"/>
        </w:tabs>
        <w:ind w:left="4320" w:hanging="360"/>
      </w:pPr>
      <w:rPr>
        <w:rFonts w:ascii="Wingdings" w:hAnsi="Wingdings" w:hint="default"/>
      </w:rPr>
    </w:lvl>
    <w:lvl w:ilvl="6" w:tplc="17E29ED6" w:tentative="1">
      <w:start w:val="1"/>
      <w:numFmt w:val="bullet"/>
      <w:lvlText w:val=""/>
      <w:lvlJc w:val="left"/>
      <w:pPr>
        <w:tabs>
          <w:tab w:val="num" w:pos="5040"/>
        </w:tabs>
        <w:ind w:left="5040" w:hanging="360"/>
      </w:pPr>
      <w:rPr>
        <w:rFonts w:ascii="Symbol" w:hAnsi="Symbol" w:hint="default"/>
      </w:rPr>
    </w:lvl>
    <w:lvl w:ilvl="7" w:tplc="21DC59C8" w:tentative="1">
      <w:start w:val="1"/>
      <w:numFmt w:val="bullet"/>
      <w:lvlText w:val="o"/>
      <w:lvlJc w:val="left"/>
      <w:pPr>
        <w:tabs>
          <w:tab w:val="num" w:pos="5760"/>
        </w:tabs>
        <w:ind w:left="5760" w:hanging="360"/>
      </w:pPr>
      <w:rPr>
        <w:rFonts w:ascii="Courier" w:hAnsi="Courier" w:hint="default"/>
      </w:rPr>
    </w:lvl>
    <w:lvl w:ilvl="8" w:tplc="DC66CDD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3F54C5"/>
    <w:multiLevelType w:val="hybridMultilevel"/>
    <w:tmpl w:val="88F0FD9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4" w15:restartNumberingAfterBreak="0">
    <w:nsid w:val="756B65AB"/>
    <w:multiLevelType w:val="hybridMultilevel"/>
    <w:tmpl w:val="4832F820"/>
    <w:lvl w:ilvl="0" w:tplc="7BEEDD1E">
      <w:numFmt w:val="bullet"/>
      <w:lvlText w:val="-"/>
      <w:lvlJc w:val="left"/>
      <w:pPr>
        <w:tabs>
          <w:tab w:val="num" w:pos="1556"/>
        </w:tabs>
        <w:ind w:left="1556" w:hanging="705"/>
      </w:pPr>
      <w:rPr>
        <w:rFonts w:ascii="Times New Roman" w:eastAsia="Times New Roman" w:hAnsi="Times New Roman" w:cs="Times New Roman" w:hint="default"/>
      </w:rPr>
    </w:lvl>
    <w:lvl w:ilvl="1" w:tplc="040C0003" w:tentative="1">
      <w:start w:val="1"/>
      <w:numFmt w:val="bullet"/>
      <w:lvlText w:val="o"/>
      <w:lvlJc w:val="left"/>
      <w:pPr>
        <w:tabs>
          <w:tab w:val="num" w:pos="1931"/>
        </w:tabs>
        <w:ind w:left="1931" w:hanging="360"/>
      </w:pPr>
      <w:rPr>
        <w:rFonts w:ascii="Courier New" w:hAnsi="Courier New" w:hint="default"/>
      </w:rPr>
    </w:lvl>
    <w:lvl w:ilvl="2" w:tplc="040C0005" w:tentative="1">
      <w:start w:val="1"/>
      <w:numFmt w:val="bullet"/>
      <w:lvlText w:val=""/>
      <w:lvlJc w:val="left"/>
      <w:pPr>
        <w:tabs>
          <w:tab w:val="num" w:pos="2651"/>
        </w:tabs>
        <w:ind w:left="2651" w:hanging="360"/>
      </w:pPr>
      <w:rPr>
        <w:rFonts w:ascii="Wingdings" w:hAnsi="Wingdings" w:hint="default"/>
      </w:rPr>
    </w:lvl>
    <w:lvl w:ilvl="3" w:tplc="040C0001" w:tentative="1">
      <w:start w:val="1"/>
      <w:numFmt w:val="bullet"/>
      <w:lvlText w:val=""/>
      <w:lvlJc w:val="left"/>
      <w:pPr>
        <w:tabs>
          <w:tab w:val="num" w:pos="3371"/>
        </w:tabs>
        <w:ind w:left="3371" w:hanging="360"/>
      </w:pPr>
      <w:rPr>
        <w:rFonts w:ascii="Symbol" w:hAnsi="Symbol" w:hint="default"/>
      </w:rPr>
    </w:lvl>
    <w:lvl w:ilvl="4" w:tplc="040C0003" w:tentative="1">
      <w:start w:val="1"/>
      <w:numFmt w:val="bullet"/>
      <w:lvlText w:val="o"/>
      <w:lvlJc w:val="left"/>
      <w:pPr>
        <w:tabs>
          <w:tab w:val="num" w:pos="4091"/>
        </w:tabs>
        <w:ind w:left="4091" w:hanging="360"/>
      </w:pPr>
      <w:rPr>
        <w:rFonts w:ascii="Courier New" w:hAnsi="Courier New" w:hint="default"/>
      </w:rPr>
    </w:lvl>
    <w:lvl w:ilvl="5" w:tplc="040C0005" w:tentative="1">
      <w:start w:val="1"/>
      <w:numFmt w:val="bullet"/>
      <w:lvlText w:val=""/>
      <w:lvlJc w:val="left"/>
      <w:pPr>
        <w:tabs>
          <w:tab w:val="num" w:pos="4811"/>
        </w:tabs>
        <w:ind w:left="4811" w:hanging="360"/>
      </w:pPr>
      <w:rPr>
        <w:rFonts w:ascii="Wingdings" w:hAnsi="Wingdings" w:hint="default"/>
      </w:rPr>
    </w:lvl>
    <w:lvl w:ilvl="6" w:tplc="040C0001" w:tentative="1">
      <w:start w:val="1"/>
      <w:numFmt w:val="bullet"/>
      <w:lvlText w:val=""/>
      <w:lvlJc w:val="left"/>
      <w:pPr>
        <w:tabs>
          <w:tab w:val="num" w:pos="5531"/>
        </w:tabs>
        <w:ind w:left="5531" w:hanging="360"/>
      </w:pPr>
      <w:rPr>
        <w:rFonts w:ascii="Symbol" w:hAnsi="Symbol" w:hint="default"/>
      </w:rPr>
    </w:lvl>
    <w:lvl w:ilvl="7" w:tplc="040C0003" w:tentative="1">
      <w:start w:val="1"/>
      <w:numFmt w:val="bullet"/>
      <w:lvlText w:val="o"/>
      <w:lvlJc w:val="left"/>
      <w:pPr>
        <w:tabs>
          <w:tab w:val="num" w:pos="6251"/>
        </w:tabs>
        <w:ind w:left="6251" w:hanging="360"/>
      </w:pPr>
      <w:rPr>
        <w:rFonts w:ascii="Courier New" w:hAnsi="Courier New" w:hint="default"/>
      </w:rPr>
    </w:lvl>
    <w:lvl w:ilvl="8" w:tplc="040C0005" w:tentative="1">
      <w:start w:val="1"/>
      <w:numFmt w:val="bullet"/>
      <w:lvlText w:val=""/>
      <w:lvlJc w:val="left"/>
      <w:pPr>
        <w:tabs>
          <w:tab w:val="num" w:pos="6971"/>
        </w:tabs>
        <w:ind w:left="6971" w:hanging="360"/>
      </w:pPr>
      <w:rPr>
        <w:rFonts w:ascii="Wingdings" w:hAnsi="Wingdings" w:hint="default"/>
      </w:rPr>
    </w:lvl>
  </w:abstractNum>
  <w:abstractNum w:abstractNumId="25" w15:restartNumberingAfterBreak="0">
    <w:nsid w:val="75F74E94"/>
    <w:multiLevelType w:val="multilevel"/>
    <w:tmpl w:val="B2CAA64A"/>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7CF198F"/>
    <w:multiLevelType w:val="hybridMultilevel"/>
    <w:tmpl w:val="66B4A3AE"/>
    <w:lvl w:ilvl="0" w:tplc="040C0005">
      <w:start w:val="1"/>
      <w:numFmt w:val="bullet"/>
      <w:lvlText w:val=""/>
      <w:lvlJc w:val="left"/>
      <w:pPr>
        <w:ind w:left="1335" w:hanging="360"/>
      </w:pPr>
      <w:rPr>
        <w:rFonts w:ascii="Wingdings" w:hAnsi="Wingdings" w:hint="default"/>
      </w:rPr>
    </w:lvl>
    <w:lvl w:ilvl="1" w:tplc="040C0003" w:tentative="1">
      <w:start w:val="1"/>
      <w:numFmt w:val="bullet"/>
      <w:lvlText w:val="o"/>
      <w:lvlJc w:val="left"/>
      <w:pPr>
        <w:ind w:left="2055" w:hanging="360"/>
      </w:pPr>
      <w:rPr>
        <w:rFonts w:ascii="Courier New" w:hAnsi="Courier New" w:cs="Courier New" w:hint="default"/>
      </w:rPr>
    </w:lvl>
    <w:lvl w:ilvl="2" w:tplc="040C0005" w:tentative="1">
      <w:start w:val="1"/>
      <w:numFmt w:val="bullet"/>
      <w:lvlText w:val=""/>
      <w:lvlJc w:val="left"/>
      <w:pPr>
        <w:ind w:left="2775" w:hanging="360"/>
      </w:pPr>
      <w:rPr>
        <w:rFonts w:ascii="Wingdings" w:hAnsi="Wingdings" w:hint="default"/>
      </w:rPr>
    </w:lvl>
    <w:lvl w:ilvl="3" w:tplc="040C0001" w:tentative="1">
      <w:start w:val="1"/>
      <w:numFmt w:val="bullet"/>
      <w:lvlText w:val=""/>
      <w:lvlJc w:val="left"/>
      <w:pPr>
        <w:ind w:left="3495" w:hanging="360"/>
      </w:pPr>
      <w:rPr>
        <w:rFonts w:ascii="Symbol" w:hAnsi="Symbol" w:hint="default"/>
      </w:rPr>
    </w:lvl>
    <w:lvl w:ilvl="4" w:tplc="040C0003" w:tentative="1">
      <w:start w:val="1"/>
      <w:numFmt w:val="bullet"/>
      <w:lvlText w:val="o"/>
      <w:lvlJc w:val="left"/>
      <w:pPr>
        <w:ind w:left="4215" w:hanging="360"/>
      </w:pPr>
      <w:rPr>
        <w:rFonts w:ascii="Courier New" w:hAnsi="Courier New" w:cs="Courier New" w:hint="default"/>
      </w:rPr>
    </w:lvl>
    <w:lvl w:ilvl="5" w:tplc="040C0005" w:tentative="1">
      <w:start w:val="1"/>
      <w:numFmt w:val="bullet"/>
      <w:lvlText w:val=""/>
      <w:lvlJc w:val="left"/>
      <w:pPr>
        <w:ind w:left="4935" w:hanging="360"/>
      </w:pPr>
      <w:rPr>
        <w:rFonts w:ascii="Wingdings" w:hAnsi="Wingdings" w:hint="default"/>
      </w:rPr>
    </w:lvl>
    <w:lvl w:ilvl="6" w:tplc="040C0001" w:tentative="1">
      <w:start w:val="1"/>
      <w:numFmt w:val="bullet"/>
      <w:lvlText w:val=""/>
      <w:lvlJc w:val="left"/>
      <w:pPr>
        <w:ind w:left="5655" w:hanging="360"/>
      </w:pPr>
      <w:rPr>
        <w:rFonts w:ascii="Symbol" w:hAnsi="Symbol" w:hint="default"/>
      </w:rPr>
    </w:lvl>
    <w:lvl w:ilvl="7" w:tplc="040C0003" w:tentative="1">
      <w:start w:val="1"/>
      <w:numFmt w:val="bullet"/>
      <w:lvlText w:val="o"/>
      <w:lvlJc w:val="left"/>
      <w:pPr>
        <w:ind w:left="6375" w:hanging="360"/>
      </w:pPr>
      <w:rPr>
        <w:rFonts w:ascii="Courier New" w:hAnsi="Courier New" w:cs="Courier New" w:hint="default"/>
      </w:rPr>
    </w:lvl>
    <w:lvl w:ilvl="8" w:tplc="040C0005" w:tentative="1">
      <w:start w:val="1"/>
      <w:numFmt w:val="bullet"/>
      <w:lvlText w:val=""/>
      <w:lvlJc w:val="left"/>
      <w:pPr>
        <w:ind w:left="7095" w:hanging="360"/>
      </w:pPr>
      <w:rPr>
        <w:rFonts w:ascii="Wingdings" w:hAnsi="Wingdings" w:hint="default"/>
      </w:rPr>
    </w:lvl>
  </w:abstractNum>
  <w:num w:numId="1">
    <w:abstractNumId w:val="10"/>
    <w:lvlOverride w:ilvl="0">
      <w:lvl w:ilvl="0">
        <w:start w:val="1"/>
        <w:numFmt w:val="bullet"/>
        <w:lvlText w:val="1 "/>
        <w:legacy w:legacy="1" w:legacySpace="0" w:legacyIndent="0"/>
        <w:lvlJc w:val="left"/>
        <w:pPr>
          <w:ind w:left="0" w:firstLine="0"/>
        </w:pPr>
        <w:rPr>
          <w:rFonts w:ascii="Optima" w:hAnsi="Optima" w:hint="default"/>
          <w:b/>
          <w:i w:val="0"/>
          <w:strike w:val="0"/>
          <w:color w:val="000000"/>
          <w:sz w:val="24"/>
          <w:u w:val="none"/>
        </w:rPr>
      </w:lvl>
    </w:lvlOverride>
  </w:num>
  <w:num w:numId="2">
    <w:abstractNumId w:val="10"/>
    <w:lvlOverride w:ilvl="0">
      <w:lvl w:ilvl="0">
        <w:start w:val="1"/>
        <w:numFmt w:val="bullet"/>
        <w:lvlText w:val="1.1 "/>
        <w:legacy w:legacy="1" w:legacySpace="0" w:legacyIndent="0"/>
        <w:lvlJc w:val="left"/>
        <w:pPr>
          <w:ind w:left="0" w:firstLine="0"/>
        </w:pPr>
        <w:rPr>
          <w:rFonts w:ascii="Optima" w:hAnsi="Optima" w:hint="default"/>
          <w:b/>
          <w:i w:val="0"/>
          <w:strike w:val="0"/>
          <w:color w:val="000000"/>
          <w:sz w:val="20"/>
          <w:u w:val="none"/>
        </w:rPr>
      </w:lvl>
    </w:lvlOverride>
  </w:num>
  <w:num w:numId="3">
    <w:abstractNumId w:val="10"/>
    <w:lvlOverride w:ilvl="0">
      <w:lvl w:ilvl="0">
        <w:start w:val="1"/>
        <w:numFmt w:val="bullet"/>
        <w:lvlText w:val="1.1.1 "/>
        <w:legacy w:legacy="1" w:legacySpace="0" w:legacyIndent="0"/>
        <w:lvlJc w:val="left"/>
        <w:pPr>
          <w:ind w:left="0" w:firstLine="0"/>
        </w:pPr>
        <w:rPr>
          <w:rFonts w:ascii="Optima" w:hAnsi="Optima" w:hint="default"/>
          <w:b/>
          <w:i w:val="0"/>
          <w:strike w:val="0"/>
          <w:color w:val="000000"/>
          <w:sz w:val="18"/>
          <w:u w:val="none"/>
        </w:rPr>
      </w:lvl>
    </w:lvlOverride>
  </w:num>
  <w:num w:numId="4">
    <w:abstractNumId w:val="10"/>
    <w:lvlOverride w:ilvl="0">
      <w:lvl w:ilvl="0">
        <w:start w:val="1"/>
        <w:numFmt w:val="bullet"/>
        <w:lvlText w:val="1.1.2 "/>
        <w:legacy w:legacy="1" w:legacySpace="0" w:legacyIndent="0"/>
        <w:lvlJc w:val="left"/>
        <w:pPr>
          <w:ind w:left="0" w:firstLine="0"/>
        </w:pPr>
        <w:rPr>
          <w:rFonts w:ascii="Optima" w:hAnsi="Optima" w:hint="default"/>
          <w:b/>
          <w:i w:val="0"/>
          <w:strike w:val="0"/>
          <w:color w:val="000000"/>
          <w:sz w:val="18"/>
          <w:u w:val="none"/>
        </w:rPr>
      </w:lvl>
    </w:lvlOverride>
  </w:num>
  <w:num w:numId="5">
    <w:abstractNumId w:val="10"/>
    <w:lvlOverride w:ilvl="0">
      <w:lvl w:ilvl="0">
        <w:start w:val="1"/>
        <w:numFmt w:val="bullet"/>
        <w:lvlText w:val="Fig. 1"/>
        <w:legacy w:legacy="1" w:legacySpace="0" w:legacyIndent="0"/>
        <w:lvlJc w:val="left"/>
        <w:pPr>
          <w:ind w:left="0" w:firstLine="0"/>
        </w:pPr>
        <w:rPr>
          <w:rFonts w:ascii="Optima" w:hAnsi="Optima" w:hint="default"/>
          <w:b/>
          <w:i w:val="0"/>
          <w:strike w:val="0"/>
          <w:color w:val="000000"/>
          <w:sz w:val="16"/>
          <w:u w:val="none"/>
        </w:rPr>
      </w:lvl>
    </w:lvlOverride>
  </w:num>
  <w:num w:numId="6">
    <w:abstractNumId w:val="10"/>
    <w:lvlOverride w:ilvl="0">
      <w:lvl w:ilvl="0">
        <w:start w:val="1"/>
        <w:numFmt w:val="bullet"/>
        <w:lvlText w:val="Photo 1"/>
        <w:legacy w:legacy="1" w:legacySpace="0" w:legacyIndent="0"/>
        <w:lvlJc w:val="left"/>
        <w:pPr>
          <w:ind w:left="0" w:firstLine="0"/>
        </w:pPr>
        <w:rPr>
          <w:rFonts w:ascii="Optima" w:hAnsi="Optima" w:hint="default"/>
          <w:b/>
          <w:i w:val="0"/>
          <w:strike w:val="0"/>
          <w:color w:val="000000"/>
          <w:sz w:val="16"/>
          <w:u w:val="none"/>
        </w:rPr>
      </w:lvl>
    </w:lvlOverride>
  </w:num>
  <w:num w:numId="7">
    <w:abstractNumId w:val="10"/>
    <w:lvlOverride w:ilvl="0">
      <w:lvl w:ilvl="0">
        <w:start w:val="1"/>
        <w:numFmt w:val="bullet"/>
        <w:lvlText w:val="Tab. 1"/>
        <w:legacy w:legacy="1" w:legacySpace="0" w:legacyIndent="0"/>
        <w:lvlJc w:val="left"/>
        <w:pPr>
          <w:ind w:left="0" w:firstLine="0"/>
        </w:pPr>
        <w:rPr>
          <w:rFonts w:ascii="Optima" w:hAnsi="Optima" w:hint="default"/>
          <w:b/>
          <w:i w:val="0"/>
          <w:strike w:val="0"/>
          <w:color w:val="000000"/>
          <w:sz w:val="16"/>
          <w:u w:val="none"/>
        </w:rPr>
      </w:lvl>
    </w:lvlOverride>
  </w:num>
  <w:num w:numId="8">
    <w:abstractNumId w:val="10"/>
    <w:lvlOverride w:ilvl="0">
      <w:lvl w:ilvl="0">
        <w:start w:val="1"/>
        <w:numFmt w:val="bullet"/>
        <w:lvlText w:val="Source : "/>
        <w:legacy w:legacy="1" w:legacySpace="0" w:legacyIndent="0"/>
        <w:lvlJc w:val="left"/>
        <w:pPr>
          <w:ind w:left="0" w:firstLine="0"/>
        </w:pPr>
        <w:rPr>
          <w:rFonts w:ascii="Times New Roman" w:hAnsi="Times New Roman" w:cs="Times New Roman" w:hint="default"/>
          <w:b w:val="0"/>
          <w:i/>
        </w:rPr>
      </w:lvl>
    </w:lvlOverride>
  </w:num>
  <w:num w:numId="9">
    <w:abstractNumId w:val="25"/>
  </w:num>
  <w:num w:numId="10">
    <w:abstractNumId w:val="13"/>
  </w:num>
  <w:num w:numId="11">
    <w:abstractNumId w:val="22"/>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9"/>
  </w:num>
  <w:num w:numId="23">
    <w:abstractNumId w:val="10"/>
  </w:num>
  <w:num w:numId="24">
    <w:abstractNumId w:val="24"/>
  </w:num>
  <w:num w:numId="25">
    <w:abstractNumId w:val="20"/>
  </w:num>
  <w:num w:numId="2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4"/>
  </w:num>
  <w:num w:numId="30">
    <w:abstractNumId w:val="17"/>
  </w:num>
  <w:num w:numId="31">
    <w:abstractNumId w:val="23"/>
  </w:num>
  <w:num w:numId="32">
    <w:abstractNumId w:val="12"/>
  </w:num>
  <w:num w:numId="33">
    <w:abstractNumId w:val="26"/>
  </w:num>
  <w:num w:numId="34">
    <w:abstractNumId w:val="16"/>
  </w:num>
  <w:num w:numId="35">
    <w:abstractNumId w:val="15"/>
    <w:lvlOverride w:ilvl="0">
      <w:startOverride w:val="1"/>
    </w:lvlOverride>
  </w:num>
  <w:num w:numId="36">
    <w:abstractNumId w:val="18"/>
  </w:num>
  <w:num w:numId="37">
    <w:abstractNumId w:val="21"/>
  </w:num>
  <w:num w:numId="38">
    <w:abstractNumId w:val="11"/>
  </w:num>
  <w:num w:numId="39">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2B3"/>
    <w:rsid w:val="000119A6"/>
    <w:rsid w:val="00013BC8"/>
    <w:rsid w:val="000167DF"/>
    <w:rsid w:val="00032D0A"/>
    <w:rsid w:val="000362B3"/>
    <w:rsid w:val="000422A0"/>
    <w:rsid w:val="000533A3"/>
    <w:rsid w:val="0006097B"/>
    <w:rsid w:val="00093146"/>
    <w:rsid w:val="000967E3"/>
    <w:rsid w:val="000F3BA6"/>
    <w:rsid w:val="001063B4"/>
    <w:rsid w:val="00106CEE"/>
    <w:rsid w:val="001122D1"/>
    <w:rsid w:val="00114271"/>
    <w:rsid w:val="00117AF6"/>
    <w:rsid w:val="00122CF4"/>
    <w:rsid w:val="00126B13"/>
    <w:rsid w:val="00132545"/>
    <w:rsid w:val="00145EBD"/>
    <w:rsid w:val="00183764"/>
    <w:rsid w:val="00193D57"/>
    <w:rsid w:val="001960EB"/>
    <w:rsid w:val="00196D4E"/>
    <w:rsid w:val="001A14BF"/>
    <w:rsid w:val="001A3F0C"/>
    <w:rsid w:val="001B36AF"/>
    <w:rsid w:val="001B3EA2"/>
    <w:rsid w:val="001D5D3D"/>
    <w:rsid w:val="001E04C8"/>
    <w:rsid w:val="001E69A8"/>
    <w:rsid w:val="001F345E"/>
    <w:rsid w:val="001F420B"/>
    <w:rsid w:val="0020703C"/>
    <w:rsid w:val="002137E2"/>
    <w:rsid w:val="002205FF"/>
    <w:rsid w:val="00230BB5"/>
    <w:rsid w:val="00231372"/>
    <w:rsid w:val="00231DBC"/>
    <w:rsid w:val="002411A2"/>
    <w:rsid w:val="0024252A"/>
    <w:rsid w:val="002448B7"/>
    <w:rsid w:val="002563A7"/>
    <w:rsid w:val="00256CC7"/>
    <w:rsid w:val="00260C77"/>
    <w:rsid w:val="00264BFE"/>
    <w:rsid w:val="00281C75"/>
    <w:rsid w:val="0028756E"/>
    <w:rsid w:val="00292494"/>
    <w:rsid w:val="002972C8"/>
    <w:rsid w:val="00297516"/>
    <w:rsid w:val="002A07C4"/>
    <w:rsid w:val="002A2A7D"/>
    <w:rsid w:val="002B35DB"/>
    <w:rsid w:val="002C145F"/>
    <w:rsid w:val="002D0B0B"/>
    <w:rsid w:val="002D2402"/>
    <w:rsid w:val="002E6B11"/>
    <w:rsid w:val="00301964"/>
    <w:rsid w:val="00306D9C"/>
    <w:rsid w:val="00326070"/>
    <w:rsid w:val="00333384"/>
    <w:rsid w:val="0034271A"/>
    <w:rsid w:val="00350563"/>
    <w:rsid w:val="0035478B"/>
    <w:rsid w:val="00360383"/>
    <w:rsid w:val="00361C7D"/>
    <w:rsid w:val="003713A6"/>
    <w:rsid w:val="0037367C"/>
    <w:rsid w:val="00393C25"/>
    <w:rsid w:val="003D11D7"/>
    <w:rsid w:val="003E36F2"/>
    <w:rsid w:val="003F12A6"/>
    <w:rsid w:val="003F208F"/>
    <w:rsid w:val="003F28F6"/>
    <w:rsid w:val="003F29B1"/>
    <w:rsid w:val="00405326"/>
    <w:rsid w:val="00407F9F"/>
    <w:rsid w:val="00415813"/>
    <w:rsid w:val="00425932"/>
    <w:rsid w:val="00436B53"/>
    <w:rsid w:val="004458EF"/>
    <w:rsid w:val="004468B3"/>
    <w:rsid w:val="004504F3"/>
    <w:rsid w:val="00453F0F"/>
    <w:rsid w:val="004553F3"/>
    <w:rsid w:val="00464859"/>
    <w:rsid w:val="00467D2C"/>
    <w:rsid w:val="00472F16"/>
    <w:rsid w:val="0047381C"/>
    <w:rsid w:val="00473F34"/>
    <w:rsid w:val="00481348"/>
    <w:rsid w:val="00487918"/>
    <w:rsid w:val="00487E7E"/>
    <w:rsid w:val="00494DC0"/>
    <w:rsid w:val="004C1455"/>
    <w:rsid w:val="004D1CD9"/>
    <w:rsid w:val="004D606B"/>
    <w:rsid w:val="004E618A"/>
    <w:rsid w:val="004F35F7"/>
    <w:rsid w:val="004F593F"/>
    <w:rsid w:val="0050174C"/>
    <w:rsid w:val="00515CC9"/>
    <w:rsid w:val="0052469E"/>
    <w:rsid w:val="00533E61"/>
    <w:rsid w:val="00543A4F"/>
    <w:rsid w:val="00550991"/>
    <w:rsid w:val="00557652"/>
    <w:rsid w:val="0057393D"/>
    <w:rsid w:val="00575F72"/>
    <w:rsid w:val="005761CF"/>
    <w:rsid w:val="00580471"/>
    <w:rsid w:val="00592824"/>
    <w:rsid w:val="00593B90"/>
    <w:rsid w:val="005A198C"/>
    <w:rsid w:val="005A730C"/>
    <w:rsid w:val="005B7A7D"/>
    <w:rsid w:val="005C0CB1"/>
    <w:rsid w:val="005C27D6"/>
    <w:rsid w:val="005D43CF"/>
    <w:rsid w:val="005D7F52"/>
    <w:rsid w:val="005E5269"/>
    <w:rsid w:val="005F5FFB"/>
    <w:rsid w:val="00600A73"/>
    <w:rsid w:val="0060145F"/>
    <w:rsid w:val="006031E6"/>
    <w:rsid w:val="00625E9F"/>
    <w:rsid w:val="00630EE0"/>
    <w:rsid w:val="00633EC0"/>
    <w:rsid w:val="006454AE"/>
    <w:rsid w:val="006473B2"/>
    <w:rsid w:val="006676FF"/>
    <w:rsid w:val="0067131D"/>
    <w:rsid w:val="00687223"/>
    <w:rsid w:val="006918A5"/>
    <w:rsid w:val="006A0A04"/>
    <w:rsid w:val="006B224F"/>
    <w:rsid w:val="006C543B"/>
    <w:rsid w:val="006D1F8B"/>
    <w:rsid w:val="006E072C"/>
    <w:rsid w:val="006F427E"/>
    <w:rsid w:val="006F5EA5"/>
    <w:rsid w:val="0070580B"/>
    <w:rsid w:val="0072212A"/>
    <w:rsid w:val="00724BB0"/>
    <w:rsid w:val="007268DD"/>
    <w:rsid w:val="00754A08"/>
    <w:rsid w:val="00755C72"/>
    <w:rsid w:val="0075786E"/>
    <w:rsid w:val="00762F39"/>
    <w:rsid w:val="007721E5"/>
    <w:rsid w:val="00781303"/>
    <w:rsid w:val="007A1E39"/>
    <w:rsid w:val="007A243B"/>
    <w:rsid w:val="007B0F96"/>
    <w:rsid w:val="007B62D4"/>
    <w:rsid w:val="007C0964"/>
    <w:rsid w:val="007C1654"/>
    <w:rsid w:val="007C16A8"/>
    <w:rsid w:val="007C278E"/>
    <w:rsid w:val="007F0317"/>
    <w:rsid w:val="00811DD2"/>
    <w:rsid w:val="00825780"/>
    <w:rsid w:val="008313FF"/>
    <w:rsid w:val="008416CA"/>
    <w:rsid w:val="00846700"/>
    <w:rsid w:val="008666D5"/>
    <w:rsid w:val="0087223C"/>
    <w:rsid w:val="0087789B"/>
    <w:rsid w:val="00882240"/>
    <w:rsid w:val="0088431E"/>
    <w:rsid w:val="0088607C"/>
    <w:rsid w:val="008A4585"/>
    <w:rsid w:val="008C0CEC"/>
    <w:rsid w:val="008C5665"/>
    <w:rsid w:val="008C66DF"/>
    <w:rsid w:val="008F60FE"/>
    <w:rsid w:val="008F7EE9"/>
    <w:rsid w:val="009003AB"/>
    <w:rsid w:val="00924DEF"/>
    <w:rsid w:val="009308DB"/>
    <w:rsid w:val="009338AD"/>
    <w:rsid w:val="00936EE9"/>
    <w:rsid w:val="00945149"/>
    <w:rsid w:val="00964503"/>
    <w:rsid w:val="00964C66"/>
    <w:rsid w:val="00967033"/>
    <w:rsid w:val="009744B9"/>
    <w:rsid w:val="00974BCA"/>
    <w:rsid w:val="00983865"/>
    <w:rsid w:val="00995432"/>
    <w:rsid w:val="009A5506"/>
    <w:rsid w:val="009A5B24"/>
    <w:rsid w:val="009B7211"/>
    <w:rsid w:val="009D36B2"/>
    <w:rsid w:val="009E313B"/>
    <w:rsid w:val="009E66DD"/>
    <w:rsid w:val="009F392D"/>
    <w:rsid w:val="009F5914"/>
    <w:rsid w:val="00A032E5"/>
    <w:rsid w:val="00A06EAD"/>
    <w:rsid w:val="00A33AF6"/>
    <w:rsid w:val="00A43A14"/>
    <w:rsid w:val="00A4408B"/>
    <w:rsid w:val="00A56C75"/>
    <w:rsid w:val="00A62594"/>
    <w:rsid w:val="00A75CFC"/>
    <w:rsid w:val="00A77119"/>
    <w:rsid w:val="00A8478A"/>
    <w:rsid w:val="00A87299"/>
    <w:rsid w:val="00A90136"/>
    <w:rsid w:val="00A95D31"/>
    <w:rsid w:val="00A964F9"/>
    <w:rsid w:val="00AA163A"/>
    <w:rsid w:val="00AA4E52"/>
    <w:rsid w:val="00AA539E"/>
    <w:rsid w:val="00AC050F"/>
    <w:rsid w:val="00AD1BD3"/>
    <w:rsid w:val="00AD20D9"/>
    <w:rsid w:val="00AD3C7F"/>
    <w:rsid w:val="00AE32B1"/>
    <w:rsid w:val="00AF0313"/>
    <w:rsid w:val="00B24960"/>
    <w:rsid w:val="00B27A40"/>
    <w:rsid w:val="00B32D5E"/>
    <w:rsid w:val="00B36A77"/>
    <w:rsid w:val="00B43E57"/>
    <w:rsid w:val="00B4734E"/>
    <w:rsid w:val="00B5498A"/>
    <w:rsid w:val="00BA79D8"/>
    <w:rsid w:val="00BB19FB"/>
    <w:rsid w:val="00BD4428"/>
    <w:rsid w:val="00BF12B9"/>
    <w:rsid w:val="00BF1420"/>
    <w:rsid w:val="00C01A34"/>
    <w:rsid w:val="00C04812"/>
    <w:rsid w:val="00C05360"/>
    <w:rsid w:val="00C12BC4"/>
    <w:rsid w:val="00C157EA"/>
    <w:rsid w:val="00C1702C"/>
    <w:rsid w:val="00C23A67"/>
    <w:rsid w:val="00C246BF"/>
    <w:rsid w:val="00C25B8B"/>
    <w:rsid w:val="00C2652C"/>
    <w:rsid w:val="00C27E1B"/>
    <w:rsid w:val="00C31FF7"/>
    <w:rsid w:val="00C37B0A"/>
    <w:rsid w:val="00C43194"/>
    <w:rsid w:val="00C515C9"/>
    <w:rsid w:val="00C5234B"/>
    <w:rsid w:val="00C60DDF"/>
    <w:rsid w:val="00C633C0"/>
    <w:rsid w:val="00C64AFE"/>
    <w:rsid w:val="00C74466"/>
    <w:rsid w:val="00C940A0"/>
    <w:rsid w:val="00CA05D2"/>
    <w:rsid w:val="00CA3C2D"/>
    <w:rsid w:val="00CB1FC2"/>
    <w:rsid w:val="00CE3006"/>
    <w:rsid w:val="00CF55CD"/>
    <w:rsid w:val="00CF7787"/>
    <w:rsid w:val="00D02833"/>
    <w:rsid w:val="00D06F75"/>
    <w:rsid w:val="00D21A00"/>
    <w:rsid w:val="00D23C17"/>
    <w:rsid w:val="00D24393"/>
    <w:rsid w:val="00D41B22"/>
    <w:rsid w:val="00D4705E"/>
    <w:rsid w:val="00D504E0"/>
    <w:rsid w:val="00D66636"/>
    <w:rsid w:val="00D74DB5"/>
    <w:rsid w:val="00D83021"/>
    <w:rsid w:val="00D85BEF"/>
    <w:rsid w:val="00D86D85"/>
    <w:rsid w:val="00DA67B4"/>
    <w:rsid w:val="00DB73AD"/>
    <w:rsid w:val="00DB74D0"/>
    <w:rsid w:val="00DD557E"/>
    <w:rsid w:val="00DD6E46"/>
    <w:rsid w:val="00DE2E95"/>
    <w:rsid w:val="00E05DA0"/>
    <w:rsid w:val="00E13606"/>
    <w:rsid w:val="00E14B34"/>
    <w:rsid w:val="00E30C90"/>
    <w:rsid w:val="00E52A0C"/>
    <w:rsid w:val="00E57A89"/>
    <w:rsid w:val="00E75067"/>
    <w:rsid w:val="00E925CE"/>
    <w:rsid w:val="00EA19EA"/>
    <w:rsid w:val="00EC0B4F"/>
    <w:rsid w:val="00ED4ADF"/>
    <w:rsid w:val="00EF5843"/>
    <w:rsid w:val="00F262E4"/>
    <w:rsid w:val="00F31C16"/>
    <w:rsid w:val="00F42781"/>
    <w:rsid w:val="00F5023F"/>
    <w:rsid w:val="00F54E81"/>
    <w:rsid w:val="00F633A6"/>
    <w:rsid w:val="00F81E83"/>
    <w:rsid w:val="00F9192F"/>
    <w:rsid w:val="00F933AE"/>
    <w:rsid w:val="00FA008B"/>
    <w:rsid w:val="00FA290A"/>
    <w:rsid w:val="00FA6FAE"/>
    <w:rsid w:val="00FB4101"/>
    <w:rsid w:val="00FB485B"/>
    <w:rsid w:val="00FC3DDC"/>
    <w:rsid w:val="00FC64E2"/>
    <w:rsid w:val="00FD5199"/>
    <w:rsid w:val="00FF3F76"/>
    <w:rsid w:val="01963099"/>
    <w:rsid w:val="2D7C0F2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0E585"/>
  <w15:chartTrackingRefBased/>
  <w15:docId w15:val="{0944450A-1EDE-402A-BC9A-E8D98DA7B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uiPriority="35"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3B2"/>
    <w:rPr>
      <w:sz w:val="24"/>
      <w:lang w:eastAsia="fr-FR"/>
    </w:rPr>
  </w:style>
  <w:style w:type="paragraph" w:styleId="Titre1">
    <w:name w:val="heading 1"/>
    <w:basedOn w:val="Normal"/>
    <w:next w:val="Normal"/>
    <w:qFormat/>
    <w:rsid w:val="006473B2"/>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473B2"/>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6473B2"/>
    <w:pPr>
      <w:keepNext/>
      <w:spacing w:before="240" w:after="60"/>
      <w:outlineLvl w:val="2"/>
    </w:pPr>
    <w:rPr>
      <w:rFonts w:ascii="Arial" w:hAnsi="Arial" w:cs="Arial"/>
      <w:b/>
      <w:bCs/>
      <w:sz w:val="26"/>
      <w:szCs w:val="26"/>
    </w:rPr>
  </w:style>
  <w:style w:type="paragraph" w:styleId="Titre4">
    <w:name w:val="heading 4"/>
    <w:basedOn w:val="Body"/>
    <w:next w:val="Normal"/>
    <w:qFormat/>
    <w:rsid w:val="00453F0F"/>
    <w:pPr>
      <w:outlineLvl w:val="3"/>
    </w:pPr>
  </w:style>
  <w:style w:type="paragraph" w:styleId="Titre5">
    <w:name w:val="heading 5"/>
    <w:basedOn w:val="Normal"/>
    <w:next w:val="Normal"/>
    <w:qFormat/>
    <w:rsid w:val="006473B2"/>
    <w:pPr>
      <w:spacing w:before="240" w:after="60"/>
      <w:outlineLvl w:val="4"/>
    </w:pPr>
    <w:rPr>
      <w:b/>
      <w:bCs/>
      <w:i/>
      <w:iCs/>
      <w:sz w:val="26"/>
      <w:szCs w:val="26"/>
    </w:rPr>
  </w:style>
  <w:style w:type="paragraph" w:styleId="Titre6">
    <w:name w:val="heading 6"/>
    <w:basedOn w:val="Normal"/>
    <w:next w:val="Normal"/>
    <w:qFormat/>
    <w:rsid w:val="006473B2"/>
    <w:pPr>
      <w:spacing w:before="240" w:after="60"/>
      <w:outlineLvl w:val="5"/>
    </w:pPr>
    <w:rPr>
      <w:b/>
      <w:bCs/>
      <w:sz w:val="22"/>
      <w:szCs w:val="22"/>
    </w:rPr>
  </w:style>
  <w:style w:type="paragraph" w:styleId="Titre7">
    <w:name w:val="heading 7"/>
    <w:basedOn w:val="Normal"/>
    <w:next w:val="Normal"/>
    <w:qFormat/>
    <w:rsid w:val="006473B2"/>
    <w:pPr>
      <w:spacing w:before="240" w:after="60"/>
      <w:outlineLvl w:val="6"/>
    </w:pPr>
    <w:rPr>
      <w:szCs w:val="24"/>
    </w:rPr>
  </w:style>
  <w:style w:type="paragraph" w:styleId="Titre8">
    <w:name w:val="heading 8"/>
    <w:basedOn w:val="Normal"/>
    <w:next w:val="Normal"/>
    <w:qFormat/>
    <w:rsid w:val="006473B2"/>
    <w:pPr>
      <w:spacing w:before="240" w:after="60"/>
      <w:outlineLvl w:val="7"/>
    </w:pPr>
    <w:rPr>
      <w:i/>
      <w:iCs/>
      <w:szCs w:val="24"/>
    </w:rPr>
  </w:style>
  <w:style w:type="paragraph" w:styleId="Titre9">
    <w:name w:val="heading 9"/>
    <w:basedOn w:val="Normal"/>
    <w:next w:val="Normal"/>
    <w:qFormat/>
    <w:rsid w:val="006473B2"/>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dy">
    <w:name w:val="Body"/>
    <w:link w:val="BodyCar"/>
    <w:qFormat/>
    <w:rsid w:val="00487918"/>
    <w:pPr>
      <w:spacing w:line="170" w:lineRule="atLeast"/>
      <w:ind w:firstLine="284"/>
      <w:jc w:val="both"/>
    </w:pPr>
    <w:rPr>
      <w:lang w:eastAsia="fr-FR"/>
    </w:rPr>
  </w:style>
  <w:style w:type="character" w:customStyle="1" w:styleId="BodyCar">
    <w:name w:val="Body Car"/>
    <w:link w:val="Body"/>
    <w:rsid w:val="007B62D4"/>
    <w:rPr>
      <w:lang w:val="fr-FR" w:eastAsia="fr-FR" w:bidi="ar-SA"/>
    </w:rPr>
  </w:style>
  <w:style w:type="paragraph" w:customStyle="1" w:styleId="AbstractFR">
    <w:name w:val="AbstractFR"/>
    <w:rsid w:val="006473B2"/>
    <w:pPr>
      <w:spacing w:line="160" w:lineRule="atLeast"/>
      <w:jc w:val="both"/>
    </w:pPr>
    <w:rPr>
      <w:rFonts w:ascii="Arial" w:hAnsi="Arial"/>
      <w:sz w:val="16"/>
      <w:lang w:eastAsia="fr-FR"/>
    </w:rPr>
  </w:style>
  <w:style w:type="paragraph" w:customStyle="1" w:styleId="AbstractFRTitre">
    <w:name w:val="AbstractFRTitre"/>
    <w:rsid w:val="006473B2"/>
    <w:pPr>
      <w:spacing w:before="260" w:after="60"/>
    </w:pPr>
    <w:rPr>
      <w:rFonts w:ascii="Arial" w:hAnsi="Arial"/>
      <w:lang w:eastAsia="fr-FR"/>
    </w:rPr>
  </w:style>
  <w:style w:type="paragraph" w:customStyle="1" w:styleId="AbstractGB">
    <w:name w:val="AbstractGB"/>
    <w:autoRedefine/>
    <w:rsid w:val="00A032E5"/>
    <w:pPr>
      <w:spacing w:line="180" w:lineRule="atLeast"/>
      <w:jc w:val="both"/>
    </w:pPr>
    <w:rPr>
      <w:rFonts w:ascii="Arial" w:hAnsi="Arial"/>
      <w:sz w:val="16"/>
      <w:lang w:eastAsia="fr-FR"/>
    </w:rPr>
  </w:style>
  <w:style w:type="paragraph" w:customStyle="1" w:styleId="AbstractGBTitre">
    <w:name w:val="AbstractGBTitre"/>
    <w:rsid w:val="006473B2"/>
    <w:pPr>
      <w:spacing w:before="240" w:after="60" w:line="200" w:lineRule="atLeast"/>
    </w:pPr>
    <w:rPr>
      <w:lang w:val="en-GB" w:eastAsia="fr-FR"/>
    </w:rPr>
  </w:style>
  <w:style w:type="paragraph" w:customStyle="1" w:styleId="AnnexeBody">
    <w:name w:val="AnnexeBody"/>
    <w:rsid w:val="006473B2"/>
    <w:pPr>
      <w:tabs>
        <w:tab w:val="left" w:pos="170"/>
      </w:tabs>
      <w:spacing w:before="180" w:line="200" w:lineRule="atLeast"/>
      <w:jc w:val="both"/>
    </w:pPr>
    <w:rPr>
      <w:lang w:eastAsia="fr-FR"/>
    </w:rPr>
  </w:style>
  <w:style w:type="paragraph" w:customStyle="1" w:styleId="AnnexeSousTitre">
    <w:name w:val="AnnexeSousTitre"/>
    <w:rsid w:val="006473B2"/>
    <w:pPr>
      <w:spacing w:after="120" w:line="240" w:lineRule="atLeast"/>
      <w:jc w:val="center"/>
    </w:pPr>
    <w:rPr>
      <w:sz w:val="24"/>
      <w:lang w:eastAsia="fr-FR"/>
    </w:rPr>
  </w:style>
  <w:style w:type="paragraph" w:customStyle="1" w:styleId="AnnexeTitre">
    <w:name w:val="AnnexeTitre"/>
    <w:rsid w:val="006473B2"/>
    <w:pPr>
      <w:spacing w:before="360" w:after="120" w:line="280" w:lineRule="atLeast"/>
      <w:jc w:val="center"/>
    </w:pPr>
    <w:rPr>
      <w:sz w:val="28"/>
      <w:lang w:eastAsia="fr-FR"/>
    </w:rPr>
  </w:style>
  <w:style w:type="paragraph" w:customStyle="1" w:styleId="Auteur">
    <w:name w:val="Auteur"/>
    <w:rsid w:val="006473B2"/>
    <w:pPr>
      <w:spacing w:before="160"/>
    </w:pPr>
    <w:rPr>
      <w:lang w:eastAsia="fr-FR"/>
    </w:rPr>
  </w:style>
  <w:style w:type="paragraph" w:customStyle="1" w:styleId="AuteurRef">
    <w:name w:val="AuteurRef"/>
    <w:rsid w:val="006473B2"/>
    <w:pPr>
      <w:spacing w:before="60" w:line="200" w:lineRule="atLeast"/>
      <w:jc w:val="both"/>
    </w:pPr>
    <w:rPr>
      <w:lang w:eastAsia="fr-FR"/>
    </w:rPr>
  </w:style>
  <w:style w:type="paragraph" w:customStyle="1" w:styleId="BiblioBody">
    <w:name w:val="BiblioBody"/>
    <w:qFormat/>
    <w:rsid w:val="006473B2"/>
    <w:pPr>
      <w:spacing w:before="40" w:line="200" w:lineRule="atLeast"/>
      <w:ind w:left="284" w:hanging="284"/>
      <w:jc w:val="both"/>
    </w:pPr>
    <w:rPr>
      <w:sz w:val="18"/>
      <w:lang w:eastAsia="fr-FR"/>
    </w:rPr>
  </w:style>
  <w:style w:type="paragraph" w:customStyle="1" w:styleId="BiblioSousTitre">
    <w:name w:val="BiblioSousTitre"/>
    <w:rsid w:val="006473B2"/>
    <w:pPr>
      <w:spacing w:after="120" w:line="220" w:lineRule="atLeast"/>
    </w:pPr>
    <w:rPr>
      <w:i/>
      <w:sz w:val="22"/>
      <w:lang w:eastAsia="fr-FR"/>
    </w:rPr>
  </w:style>
  <w:style w:type="paragraph" w:customStyle="1" w:styleId="BiblioTitre">
    <w:name w:val="BiblioTitre"/>
    <w:autoRedefine/>
    <w:rsid w:val="001960EB"/>
    <w:pPr>
      <w:pageBreakBefore/>
      <w:spacing w:after="120" w:line="240" w:lineRule="atLeast"/>
    </w:pPr>
    <w:rPr>
      <w:rFonts w:ascii="Arial" w:hAnsi="Arial"/>
      <w:b/>
      <w:i/>
      <w:lang w:eastAsia="fr-FR"/>
    </w:rPr>
  </w:style>
  <w:style w:type="paragraph" w:customStyle="1" w:styleId="BodyEnum1">
    <w:name w:val="BodyEnum1"/>
    <w:rsid w:val="00487918"/>
    <w:pPr>
      <w:numPr>
        <w:numId w:val="11"/>
      </w:numPr>
      <w:tabs>
        <w:tab w:val="left" w:pos="218"/>
      </w:tabs>
      <w:jc w:val="both"/>
    </w:pPr>
    <w:rPr>
      <w:sz w:val="18"/>
      <w:lang w:eastAsia="fr-FR"/>
    </w:rPr>
  </w:style>
  <w:style w:type="paragraph" w:customStyle="1" w:styleId="BodyEnum2">
    <w:name w:val="BodyEnum2"/>
    <w:rsid w:val="00487918"/>
    <w:pPr>
      <w:numPr>
        <w:ilvl w:val="1"/>
        <w:numId w:val="11"/>
      </w:numPr>
      <w:jc w:val="both"/>
    </w:pPr>
    <w:rPr>
      <w:sz w:val="16"/>
      <w:lang w:eastAsia="fr-FR"/>
    </w:rPr>
  </w:style>
  <w:style w:type="paragraph" w:customStyle="1" w:styleId="BodyInitial">
    <w:name w:val="BodyInitial"/>
    <w:rsid w:val="006473B2"/>
    <w:pPr>
      <w:tabs>
        <w:tab w:val="left" w:pos="218"/>
      </w:tabs>
      <w:spacing w:line="170" w:lineRule="atLeast"/>
      <w:jc w:val="both"/>
    </w:pPr>
    <w:rPr>
      <w:sz w:val="17"/>
      <w:lang w:eastAsia="fr-FR"/>
    </w:rPr>
  </w:style>
  <w:style w:type="paragraph" w:styleId="Citation">
    <w:name w:val="Quote"/>
    <w:qFormat/>
    <w:rsid w:val="007A243B"/>
    <w:pPr>
      <w:tabs>
        <w:tab w:val="left" w:pos="1588"/>
      </w:tabs>
      <w:spacing w:line="180" w:lineRule="atLeast"/>
      <w:ind w:left="567"/>
      <w:jc w:val="both"/>
    </w:pPr>
    <w:rPr>
      <w:sz w:val="18"/>
      <w:lang w:eastAsia="fr-FR"/>
    </w:rPr>
  </w:style>
  <w:style w:type="paragraph" w:styleId="Textedebulles">
    <w:name w:val="Balloon Text"/>
    <w:basedOn w:val="Normal"/>
    <w:link w:val="TextedebullesCar"/>
    <w:rsid w:val="00DA67B4"/>
    <w:rPr>
      <w:rFonts w:ascii="Tahoma" w:hAnsi="Tahoma" w:cs="Tahoma"/>
      <w:sz w:val="16"/>
      <w:szCs w:val="16"/>
    </w:rPr>
  </w:style>
  <w:style w:type="character" w:customStyle="1" w:styleId="TextedebullesCar">
    <w:name w:val="Texte de bulles Car"/>
    <w:link w:val="Textedebulles"/>
    <w:rsid w:val="00DA67B4"/>
    <w:rPr>
      <w:rFonts w:ascii="Tahoma" w:hAnsi="Tahoma" w:cs="Tahoma"/>
      <w:sz w:val="16"/>
      <w:szCs w:val="16"/>
      <w:lang w:bidi="ar-SA"/>
    </w:rPr>
  </w:style>
  <w:style w:type="paragraph" w:customStyle="1" w:styleId="EnumLibre">
    <w:name w:val="Enum Libre"/>
    <w:basedOn w:val="BodyEnum1"/>
    <w:qFormat/>
    <w:rsid w:val="007C0964"/>
    <w:pPr>
      <w:numPr>
        <w:numId w:val="0"/>
      </w:numPr>
      <w:ind w:left="357"/>
    </w:pPr>
  </w:style>
  <w:style w:type="paragraph" w:customStyle="1" w:styleId="Exemple">
    <w:name w:val="Exemple"/>
    <w:basedOn w:val="Body"/>
    <w:qFormat/>
    <w:rsid w:val="007A243B"/>
    <w:pPr>
      <w:ind w:left="1208" w:firstLine="0"/>
    </w:pPr>
    <w:rPr>
      <w:iCs/>
    </w:rPr>
  </w:style>
  <w:style w:type="paragraph" w:customStyle="1" w:styleId="ExempleNumero">
    <w:name w:val="ExempleNumero"/>
    <w:basedOn w:val="Exemple"/>
    <w:qFormat/>
    <w:rsid w:val="00487918"/>
    <w:pPr>
      <w:numPr>
        <w:numId w:val="28"/>
      </w:numPr>
    </w:pPr>
  </w:style>
  <w:style w:type="character" w:customStyle="1" w:styleId="ExempleSousNumero">
    <w:name w:val="ExempleSousNumero"/>
    <w:uiPriority w:val="1"/>
    <w:qFormat/>
    <w:rsid w:val="007C0964"/>
    <w:rPr>
      <w:rFonts w:cs="Times New Roman"/>
      <w:color w:val="FF0000"/>
      <w:lang w:val="fr-FR"/>
    </w:rPr>
  </w:style>
  <w:style w:type="paragraph" w:customStyle="1" w:styleId="Exergue">
    <w:name w:val="Exergue"/>
    <w:rsid w:val="00487918"/>
    <w:pPr>
      <w:spacing w:before="220" w:line="190" w:lineRule="atLeast"/>
      <w:jc w:val="right"/>
    </w:pPr>
    <w:rPr>
      <w:rFonts w:ascii="Arial" w:hAnsi="Arial"/>
      <w:sz w:val="16"/>
      <w:lang w:eastAsia="fr-FR"/>
    </w:rPr>
  </w:style>
  <w:style w:type="paragraph" w:customStyle="1" w:styleId="ExergueSource">
    <w:name w:val="ExergueSource"/>
    <w:rsid w:val="006473B2"/>
    <w:pPr>
      <w:spacing w:before="120" w:after="220" w:line="190" w:lineRule="atLeast"/>
      <w:jc w:val="right"/>
    </w:pPr>
    <w:rPr>
      <w:i/>
      <w:sz w:val="18"/>
      <w:lang w:eastAsia="fr-FR"/>
    </w:rPr>
  </w:style>
  <w:style w:type="paragraph" w:customStyle="1" w:styleId="FigFRTitre">
    <w:name w:val="FigFRTitre"/>
    <w:rsid w:val="00487918"/>
    <w:pPr>
      <w:spacing w:before="40"/>
      <w:ind w:left="624"/>
      <w:jc w:val="both"/>
    </w:pPr>
    <w:rPr>
      <w:rFonts w:ascii="Arial" w:hAnsi="Arial"/>
      <w:sz w:val="16"/>
      <w:lang w:eastAsia="fr-FR"/>
    </w:rPr>
  </w:style>
  <w:style w:type="paragraph" w:customStyle="1" w:styleId="FigGBTitre">
    <w:name w:val="FigGBTitre"/>
    <w:rsid w:val="006473B2"/>
    <w:pPr>
      <w:spacing w:before="40"/>
      <w:ind w:left="624"/>
      <w:jc w:val="both"/>
    </w:pPr>
    <w:rPr>
      <w:rFonts w:ascii="Arial" w:hAnsi="Arial"/>
      <w:i/>
      <w:sz w:val="17"/>
      <w:lang w:eastAsia="fr-FR"/>
    </w:rPr>
  </w:style>
  <w:style w:type="paragraph" w:customStyle="1" w:styleId="FigLegende">
    <w:name w:val="FigLegende"/>
    <w:rsid w:val="006473B2"/>
    <w:pPr>
      <w:ind w:left="624"/>
    </w:pPr>
    <w:rPr>
      <w:rFonts w:ascii="Arial" w:hAnsi="Arial"/>
      <w:sz w:val="16"/>
      <w:lang w:eastAsia="fr-FR"/>
    </w:rPr>
  </w:style>
  <w:style w:type="paragraph" w:customStyle="1" w:styleId="FigNum">
    <w:name w:val="FigNum"/>
    <w:rsid w:val="006473B2"/>
    <w:pPr>
      <w:spacing w:before="60"/>
    </w:pPr>
    <w:rPr>
      <w:rFonts w:ascii="Arial" w:hAnsi="Arial"/>
      <w:b/>
      <w:sz w:val="17"/>
      <w:lang w:eastAsia="fr-FR"/>
    </w:rPr>
  </w:style>
  <w:style w:type="paragraph" w:styleId="Notedebasdepage">
    <w:name w:val="footnote text"/>
    <w:basedOn w:val="Normal"/>
    <w:link w:val="NotedebasdepageCar"/>
    <w:rsid w:val="00DA67B4"/>
    <w:rPr>
      <w:sz w:val="20"/>
    </w:rPr>
  </w:style>
  <w:style w:type="paragraph" w:customStyle="1" w:styleId="Figure">
    <w:name w:val="Figure"/>
    <w:rsid w:val="006473B2"/>
    <w:pPr>
      <w:shd w:val="clear" w:color="auto" w:fill="FFCC00"/>
      <w:spacing w:before="240" w:after="240"/>
      <w:jc w:val="center"/>
    </w:pPr>
    <w:rPr>
      <w:sz w:val="36"/>
      <w:lang w:eastAsia="fr-FR"/>
    </w:rPr>
  </w:style>
  <w:style w:type="paragraph" w:customStyle="1" w:styleId="NoteBody">
    <w:name w:val="NoteBody"/>
    <w:basedOn w:val="Normal"/>
    <w:autoRedefine/>
    <w:rsid w:val="00C2652C"/>
    <w:pPr>
      <w:jc w:val="both"/>
    </w:pPr>
    <w:rPr>
      <w:rFonts w:ascii="Times" w:hAnsi="Times"/>
      <w:sz w:val="16"/>
      <w:szCs w:val="24"/>
      <w:lang w:eastAsia="en-US" w:bidi="fr-FR"/>
    </w:rPr>
  </w:style>
  <w:style w:type="paragraph" w:customStyle="1" w:styleId="SousTitreArticle">
    <w:name w:val="SousTitreArticle"/>
    <w:rsid w:val="006473B2"/>
    <w:pPr>
      <w:spacing w:after="120" w:line="320" w:lineRule="atLeast"/>
      <w:ind w:left="567"/>
    </w:pPr>
    <w:rPr>
      <w:sz w:val="32"/>
      <w:lang w:eastAsia="fr-FR"/>
    </w:rPr>
  </w:style>
  <w:style w:type="paragraph" w:customStyle="1" w:styleId="TabBody">
    <w:name w:val="TabBody"/>
    <w:rsid w:val="006473B2"/>
    <w:pPr>
      <w:spacing w:before="40" w:after="40" w:line="160" w:lineRule="atLeast"/>
    </w:pPr>
    <w:rPr>
      <w:rFonts w:ascii="Arial" w:hAnsi="Arial"/>
      <w:sz w:val="16"/>
      <w:lang w:eastAsia="fr-FR"/>
    </w:rPr>
  </w:style>
  <w:style w:type="paragraph" w:customStyle="1" w:styleId="TabFRTitre">
    <w:name w:val="TabFRTitre"/>
    <w:rsid w:val="007A243B"/>
    <w:pPr>
      <w:spacing w:before="40" w:line="170" w:lineRule="atLeast"/>
      <w:ind w:left="624"/>
      <w:jc w:val="both"/>
    </w:pPr>
    <w:rPr>
      <w:rFonts w:ascii="Arial" w:hAnsi="Arial"/>
      <w:sz w:val="16"/>
      <w:lang w:eastAsia="fr-FR"/>
    </w:rPr>
  </w:style>
  <w:style w:type="character" w:customStyle="1" w:styleId="Mentionnonrsolue1">
    <w:name w:val="Mention non résolue1"/>
    <w:uiPriority w:val="99"/>
    <w:semiHidden/>
    <w:unhideWhenUsed/>
    <w:rsid w:val="002B35DB"/>
    <w:rPr>
      <w:color w:val="605E5C"/>
      <w:shd w:val="clear" w:color="auto" w:fill="E1DFDD"/>
    </w:rPr>
  </w:style>
  <w:style w:type="paragraph" w:customStyle="1" w:styleId="Titre10">
    <w:name w:val="Titre1"/>
    <w:rsid w:val="006473B2"/>
    <w:pPr>
      <w:spacing w:before="240" w:after="120" w:line="200" w:lineRule="atLeast"/>
    </w:pPr>
    <w:rPr>
      <w:rFonts w:ascii="Arial" w:hAnsi="Arial"/>
      <w:b/>
      <w:smallCaps/>
      <w:lang w:eastAsia="fr-FR"/>
    </w:rPr>
  </w:style>
  <w:style w:type="paragraph" w:customStyle="1" w:styleId="Titre20">
    <w:name w:val="Titre2"/>
    <w:rsid w:val="006473B2"/>
    <w:pPr>
      <w:spacing w:before="160" w:after="80" w:line="200" w:lineRule="atLeast"/>
    </w:pPr>
    <w:rPr>
      <w:rFonts w:ascii="Arial" w:hAnsi="Arial"/>
      <w:lang w:eastAsia="fr-FR"/>
    </w:rPr>
  </w:style>
  <w:style w:type="paragraph" w:customStyle="1" w:styleId="Titre30">
    <w:name w:val="Titre3"/>
    <w:autoRedefine/>
    <w:rsid w:val="007A243B"/>
    <w:pPr>
      <w:spacing w:before="120" w:after="40" w:line="200" w:lineRule="atLeast"/>
    </w:pPr>
    <w:rPr>
      <w:rFonts w:ascii="Arial" w:hAnsi="Arial"/>
      <w:b/>
      <w:i/>
      <w:lang w:eastAsia="fr-FR"/>
    </w:rPr>
  </w:style>
  <w:style w:type="paragraph" w:customStyle="1" w:styleId="TitreFRArticle">
    <w:name w:val="TitreFRArticle"/>
    <w:rsid w:val="006473B2"/>
    <w:pPr>
      <w:pageBreakBefore/>
      <w:spacing w:after="240" w:line="400" w:lineRule="atLeast"/>
    </w:pPr>
    <w:rPr>
      <w:sz w:val="40"/>
      <w:lang w:eastAsia="fr-FR"/>
    </w:rPr>
  </w:style>
  <w:style w:type="paragraph" w:customStyle="1" w:styleId="TitreGBArticle">
    <w:name w:val="TitreGBArticle"/>
    <w:autoRedefine/>
    <w:rsid w:val="00BA79D8"/>
    <w:pPr>
      <w:spacing w:after="240" w:line="400" w:lineRule="atLeast"/>
    </w:pPr>
    <w:rPr>
      <w:sz w:val="40"/>
      <w:lang w:eastAsia="fr-FR"/>
    </w:rPr>
  </w:style>
  <w:style w:type="character" w:styleId="Appelnotedebasdep">
    <w:name w:val="footnote reference"/>
    <w:semiHidden/>
    <w:rsid w:val="006473B2"/>
    <w:rPr>
      <w:vertAlign w:val="superscript"/>
    </w:rPr>
  </w:style>
  <w:style w:type="character" w:styleId="Appeldenotedefin">
    <w:name w:val="endnote reference"/>
    <w:semiHidden/>
    <w:rsid w:val="006473B2"/>
    <w:rPr>
      <w:vertAlign w:val="superscript"/>
    </w:rPr>
  </w:style>
  <w:style w:type="character" w:customStyle="1" w:styleId="StyleAppelnotedebasdep">
    <w:name w:val="Style Appel note de bas de p. +"/>
    <w:basedOn w:val="Appelnotedebasdep"/>
    <w:rsid w:val="006473B2"/>
    <w:rPr>
      <w:vertAlign w:val="superscript"/>
    </w:rPr>
  </w:style>
  <w:style w:type="character" w:styleId="CodeHTML">
    <w:name w:val="HTML Code"/>
    <w:rsid w:val="006473B2"/>
    <w:rPr>
      <w:rFonts w:ascii="Courier New" w:hAnsi="Courier New" w:cs="Courier New"/>
      <w:sz w:val="20"/>
      <w:szCs w:val="20"/>
    </w:rPr>
  </w:style>
  <w:style w:type="character" w:styleId="Marquedecommentaire">
    <w:name w:val="annotation reference"/>
    <w:semiHidden/>
    <w:rsid w:val="006473B2"/>
    <w:rPr>
      <w:sz w:val="16"/>
      <w:szCs w:val="16"/>
    </w:rPr>
  </w:style>
  <w:style w:type="paragraph" w:styleId="Commentaire">
    <w:name w:val="annotation text"/>
    <w:basedOn w:val="Normal"/>
    <w:link w:val="CommentaireCar"/>
    <w:uiPriority w:val="99"/>
    <w:semiHidden/>
    <w:rsid w:val="006473B2"/>
    <w:rPr>
      <w:sz w:val="20"/>
    </w:rPr>
  </w:style>
  <w:style w:type="character" w:customStyle="1" w:styleId="CommentaireCar">
    <w:name w:val="Commentaire Car"/>
    <w:basedOn w:val="Policepardfaut"/>
    <w:link w:val="Commentaire"/>
    <w:uiPriority w:val="99"/>
    <w:semiHidden/>
    <w:rsid w:val="001960EB"/>
  </w:style>
  <w:style w:type="paragraph" w:customStyle="1" w:styleId="MotCleFR">
    <w:name w:val="MotCleFR"/>
    <w:uiPriority w:val="99"/>
    <w:rsid w:val="00393C25"/>
    <w:pPr>
      <w:spacing w:after="170" w:line="180" w:lineRule="atLeast"/>
      <w:ind w:left="1021"/>
      <w:jc w:val="both"/>
    </w:pPr>
    <w:rPr>
      <w:rFonts w:ascii="Arial" w:eastAsia="Calibri" w:hAnsi="Arial"/>
      <w:sz w:val="17"/>
      <w:lang w:eastAsia="fr-FR"/>
    </w:rPr>
  </w:style>
  <w:style w:type="paragraph" w:customStyle="1" w:styleId="MotCleFRTitre">
    <w:name w:val="MotCleFRTitre"/>
    <w:autoRedefine/>
    <w:uiPriority w:val="99"/>
    <w:rsid w:val="00393C25"/>
    <w:pPr>
      <w:spacing w:before="170" w:line="180" w:lineRule="atLeast"/>
    </w:pPr>
    <w:rPr>
      <w:rFonts w:ascii="Arial" w:eastAsia="Calibri" w:hAnsi="Arial"/>
      <w:lang w:eastAsia="fr-FR"/>
    </w:rPr>
  </w:style>
  <w:style w:type="paragraph" w:customStyle="1" w:styleId="MotCleGB">
    <w:name w:val="MotCleGB"/>
    <w:uiPriority w:val="99"/>
    <w:rsid w:val="00393C25"/>
    <w:pPr>
      <w:spacing w:after="170" w:line="180" w:lineRule="atLeast"/>
      <w:ind w:left="1021"/>
      <w:jc w:val="both"/>
    </w:pPr>
    <w:rPr>
      <w:rFonts w:eastAsia="Calibri"/>
      <w:sz w:val="18"/>
      <w:lang w:val="en-GB" w:eastAsia="fr-FR"/>
    </w:rPr>
  </w:style>
  <w:style w:type="paragraph" w:customStyle="1" w:styleId="MotCleGBTitre">
    <w:name w:val="MotCleGBTitre"/>
    <w:uiPriority w:val="99"/>
    <w:rsid w:val="00393C25"/>
    <w:pPr>
      <w:spacing w:before="170" w:line="180" w:lineRule="atLeast"/>
    </w:pPr>
    <w:rPr>
      <w:rFonts w:ascii="Arial" w:eastAsia="Calibri" w:hAnsi="Arial"/>
      <w:lang w:val="en-GB" w:eastAsia="fr-FR"/>
    </w:rPr>
  </w:style>
  <w:style w:type="character" w:styleId="Lienhypertexte">
    <w:name w:val="Hyperlink"/>
    <w:uiPriority w:val="99"/>
    <w:rsid w:val="00CF55CD"/>
    <w:rPr>
      <w:color w:val="0000FF"/>
      <w:u w:val="single"/>
    </w:rPr>
  </w:style>
  <w:style w:type="character" w:customStyle="1" w:styleId="NotedebasdepageCar">
    <w:name w:val="Note de bas de page Car"/>
    <w:link w:val="Notedebasdepage"/>
    <w:rsid w:val="00DA67B4"/>
    <w:rPr>
      <w:lang w:bidi="ar-SA"/>
    </w:rPr>
  </w:style>
  <w:style w:type="table" w:styleId="TableauListe2-Accentuation1">
    <w:name w:val="List Table 2 Accent 1"/>
    <w:basedOn w:val="TableauNormal"/>
    <w:uiPriority w:val="47"/>
    <w:rsid w:val="00D02833"/>
    <w:rPr>
      <w:rFonts w:ascii="Calibri" w:eastAsia="Calibri" w:hAnsi="Calibri"/>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Accentuation">
    <w:name w:val="Emphasis"/>
    <w:uiPriority w:val="20"/>
    <w:qFormat/>
    <w:rsid w:val="0006097B"/>
    <w:rPr>
      <w:i/>
      <w:iCs/>
    </w:rPr>
  </w:style>
  <w:style w:type="table" w:styleId="Grilledutableau">
    <w:name w:val="Table Grid"/>
    <w:basedOn w:val="TableauNormal"/>
    <w:uiPriority w:val="59"/>
    <w:rsid w:val="00533E61"/>
    <w:pPr>
      <w:jc w:val="both"/>
    </w:pPr>
    <w:rPr>
      <w:rFonts w:ascii="Garamond" w:eastAsia="Garamond" w:hAnsi="Garamond"/>
      <w:lang w:val="en-US" w:eastAsia="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rsid w:val="001B3EA2"/>
    <w:rPr>
      <w:rFonts w:ascii="Calibri" w:eastAsia="Calibri" w:hAnsi="Calibri"/>
      <w:sz w:val="22"/>
      <w:szCs w:val="22"/>
      <w:lang w:val="fr-BE" w:eastAsia="en-US"/>
    </w:rPr>
  </w:style>
  <w:style w:type="paragraph" w:styleId="Lgende">
    <w:name w:val="caption"/>
    <w:basedOn w:val="Normal"/>
    <w:next w:val="Normal"/>
    <w:uiPriority w:val="35"/>
    <w:unhideWhenUsed/>
    <w:qFormat/>
    <w:rsid w:val="001B3EA2"/>
    <w:pPr>
      <w:spacing w:after="200"/>
      <w:jc w:val="both"/>
    </w:pPr>
    <w:rPr>
      <w:rFonts w:eastAsia="Calibri"/>
      <w:i/>
      <w:iCs/>
      <w:color w:val="44546A"/>
      <w:sz w:val="18"/>
      <w:szCs w:val="18"/>
      <w:lang w:val="fr-BE" w:eastAsia="en-US"/>
    </w:rPr>
  </w:style>
  <w:style w:type="paragraph" w:styleId="NormalWeb">
    <w:name w:val="Normal (Web)"/>
    <w:basedOn w:val="Normal"/>
    <w:uiPriority w:val="99"/>
    <w:unhideWhenUsed/>
    <w:rsid w:val="00543A4F"/>
    <w:pPr>
      <w:spacing w:before="100" w:beforeAutospacing="1" w:after="100" w:afterAutospacing="1"/>
    </w:pPr>
    <w:rPr>
      <w:szCs w:val="24"/>
      <w:lang w:val="fr-BE" w:eastAsia="fr-BE"/>
    </w:rPr>
  </w:style>
  <w:style w:type="paragraph" w:styleId="Objetducommentaire">
    <w:name w:val="annotation subject"/>
    <w:basedOn w:val="Commentaire"/>
    <w:next w:val="Commentaire"/>
    <w:link w:val="ObjetducommentaireCar"/>
    <w:rsid w:val="004F593F"/>
    <w:rPr>
      <w:b/>
      <w:bCs/>
    </w:rPr>
  </w:style>
  <w:style w:type="character" w:customStyle="1" w:styleId="ObjetducommentaireCar">
    <w:name w:val="Objet du commentaire Car"/>
    <w:link w:val="Objetducommentaire"/>
    <w:rsid w:val="004F593F"/>
    <w:rPr>
      <w:b/>
      <w:bCs/>
      <w:lang w:val="fr-FR" w:eastAsia="fr-FR"/>
    </w:rPr>
  </w:style>
  <w:style w:type="paragraph" w:styleId="Titre">
    <w:name w:val="Title"/>
    <w:basedOn w:val="Normal"/>
    <w:next w:val="Normal"/>
    <w:link w:val="TitreCar"/>
    <w:qFormat/>
    <w:rsid w:val="009744B9"/>
    <w:pPr>
      <w:spacing w:before="720" w:after="240"/>
      <w:jc w:val="center"/>
      <w:outlineLvl w:val="0"/>
    </w:pPr>
    <w:rPr>
      <w:rFonts w:eastAsia="SimSun" w:cs="Arial"/>
      <w:b/>
      <w:bCs/>
      <w:kern w:val="28"/>
      <w:sz w:val="28"/>
      <w:szCs w:val="32"/>
      <w:lang w:val="en-US" w:eastAsia="en-US"/>
    </w:rPr>
  </w:style>
  <w:style w:type="character" w:customStyle="1" w:styleId="TitreCar">
    <w:name w:val="Titre Car"/>
    <w:link w:val="Titre"/>
    <w:rsid w:val="009744B9"/>
    <w:rPr>
      <w:rFonts w:eastAsia="SimSun" w:cs="Arial"/>
      <w:b/>
      <w:bCs/>
      <w:kern w:val="28"/>
      <w:sz w:val="28"/>
      <w:szCs w:val="32"/>
      <w:lang w:val="en-US" w:eastAsia="en-US"/>
    </w:rPr>
  </w:style>
  <w:style w:type="paragraph" w:customStyle="1" w:styleId="References">
    <w:name w:val="References"/>
    <w:basedOn w:val="Normal"/>
    <w:qFormat/>
    <w:rsid w:val="009744B9"/>
    <w:pPr>
      <w:spacing w:before="120" w:line="360" w:lineRule="auto"/>
      <w:ind w:left="720" w:hanging="720"/>
      <w:contextualSpacing/>
    </w:pPr>
    <w:rPr>
      <w:szCs w:val="24"/>
      <w:lang w:val="en-GB" w:eastAsia="en-GB"/>
    </w:rPr>
  </w:style>
  <w:style w:type="paragraph" w:styleId="Rvision">
    <w:name w:val="Revision"/>
    <w:hidden/>
    <w:uiPriority w:val="99"/>
    <w:semiHidden/>
    <w:rsid w:val="009744B9"/>
    <w:rPr>
      <w:sz w:val="24"/>
      <w:lang w:eastAsia="fr-FR"/>
    </w:rPr>
  </w:style>
  <w:style w:type="paragraph" w:customStyle="1" w:styleId="xmsonormal">
    <w:name w:val="x_msonormal"/>
    <w:basedOn w:val="Normal"/>
    <w:rsid w:val="007C16A8"/>
    <w:pPr>
      <w:spacing w:before="100" w:beforeAutospacing="1" w:after="100" w:afterAutospacing="1"/>
    </w:pPr>
    <w:rPr>
      <w:szCs w:val="24"/>
      <w:lang w:val="fr-BE" w:eastAsia="fr-BE"/>
    </w:rPr>
  </w:style>
  <w:style w:type="character" w:customStyle="1" w:styleId="Mentionnonrsolue2">
    <w:name w:val="Mention non résolue2"/>
    <w:basedOn w:val="Policepardfaut"/>
    <w:uiPriority w:val="99"/>
    <w:semiHidden/>
    <w:unhideWhenUsed/>
    <w:rsid w:val="007C16A8"/>
    <w:rPr>
      <w:color w:val="605E5C"/>
      <w:shd w:val="clear" w:color="auto" w:fill="E1DFDD"/>
    </w:rPr>
  </w:style>
  <w:style w:type="character" w:customStyle="1" w:styleId="style11">
    <w:name w:val="style11"/>
    <w:basedOn w:val="Policepardfaut"/>
    <w:rsid w:val="007C16A8"/>
  </w:style>
  <w:style w:type="character" w:customStyle="1" w:styleId="style8">
    <w:name w:val="style8"/>
    <w:basedOn w:val="Policepardfaut"/>
    <w:rsid w:val="007C16A8"/>
  </w:style>
  <w:style w:type="character" w:customStyle="1" w:styleId="style21">
    <w:name w:val="style21"/>
    <w:basedOn w:val="Policepardfaut"/>
    <w:rsid w:val="001F4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02793">
      <w:bodyDiv w:val="1"/>
      <w:marLeft w:val="0"/>
      <w:marRight w:val="0"/>
      <w:marTop w:val="0"/>
      <w:marBottom w:val="0"/>
      <w:divBdr>
        <w:top w:val="none" w:sz="0" w:space="0" w:color="auto"/>
        <w:left w:val="none" w:sz="0" w:space="0" w:color="auto"/>
        <w:bottom w:val="none" w:sz="0" w:space="0" w:color="auto"/>
        <w:right w:val="none" w:sz="0" w:space="0" w:color="auto"/>
      </w:divBdr>
    </w:div>
    <w:div w:id="163400933">
      <w:bodyDiv w:val="1"/>
      <w:marLeft w:val="0"/>
      <w:marRight w:val="0"/>
      <w:marTop w:val="0"/>
      <w:marBottom w:val="0"/>
      <w:divBdr>
        <w:top w:val="none" w:sz="0" w:space="0" w:color="auto"/>
        <w:left w:val="none" w:sz="0" w:space="0" w:color="auto"/>
        <w:bottom w:val="none" w:sz="0" w:space="0" w:color="auto"/>
        <w:right w:val="none" w:sz="0" w:space="0" w:color="auto"/>
      </w:divBdr>
      <w:divsChild>
        <w:div w:id="1636831817">
          <w:marLeft w:val="480"/>
          <w:marRight w:val="0"/>
          <w:marTop w:val="0"/>
          <w:marBottom w:val="0"/>
          <w:divBdr>
            <w:top w:val="none" w:sz="0" w:space="0" w:color="auto"/>
            <w:left w:val="none" w:sz="0" w:space="0" w:color="auto"/>
            <w:bottom w:val="none" w:sz="0" w:space="0" w:color="auto"/>
            <w:right w:val="none" w:sz="0" w:space="0" w:color="auto"/>
          </w:divBdr>
          <w:divsChild>
            <w:div w:id="261449793">
              <w:marLeft w:val="0"/>
              <w:marRight w:val="0"/>
              <w:marTop w:val="0"/>
              <w:marBottom w:val="0"/>
              <w:divBdr>
                <w:top w:val="none" w:sz="0" w:space="0" w:color="auto"/>
                <w:left w:val="none" w:sz="0" w:space="0" w:color="auto"/>
                <w:bottom w:val="none" w:sz="0" w:space="0" w:color="auto"/>
                <w:right w:val="none" w:sz="0" w:space="0" w:color="auto"/>
              </w:divBdr>
            </w:div>
            <w:div w:id="80512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7452">
      <w:bodyDiv w:val="1"/>
      <w:marLeft w:val="0"/>
      <w:marRight w:val="0"/>
      <w:marTop w:val="0"/>
      <w:marBottom w:val="0"/>
      <w:divBdr>
        <w:top w:val="none" w:sz="0" w:space="0" w:color="auto"/>
        <w:left w:val="none" w:sz="0" w:space="0" w:color="auto"/>
        <w:bottom w:val="none" w:sz="0" w:space="0" w:color="auto"/>
        <w:right w:val="none" w:sz="0" w:space="0" w:color="auto"/>
      </w:divBdr>
    </w:div>
    <w:div w:id="302658575">
      <w:bodyDiv w:val="1"/>
      <w:marLeft w:val="0"/>
      <w:marRight w:val="0"/>
      <w:marTop w:val="0"/>
      <w:marBottom w:val="0"/>
      <w:divBdr>
        <w:top w:val="none" w:sz="0" w:space="0" w:color="auto"/>
        <w:left w:val="none" w:sz="0" w:space="0" w:color="auto"/>
        <w:bottom w:val="none" w:sz="0" w:space="0" w:color="auto"/>
        <w:right w:val="none" w:sz="0" w:space="0" w:color="auto"/>
      </w:divBdr>
      <w:divsChild>
        <w:div w:id="524096981">
          <w:marLeft w:val="480"/>
          <w:marRight w:val="0"/>
          <w:marTop w:val="0"/>
          <w:marBottom w:val="0"/>
          <w:divBdr>
            <w:top w:val="none" w:sz="0" w:space="0" w:color="auto"/>
            <w:left w:val="none" w:sz="0" w:space="0" w:color="auto"/>
            <w:bottom w:val="none" w:sz="0" w:space="0" w:color="auto"/>
            <w:right w:val="none" w:sz="0" w:space="0" w:color="auto"/>
          </w:divBdr>
          <w:divsChild>
            <w:div w:id="69411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7056">
      <w:bodyDiv w:val="1"/>
      <w:marLeft w:val="0"/>
      <w:marRight w:val="0"/>
      <w:marTop w:val="0"/>
      <w:marBottom w:val="0"/>
      <w:divBdr>
        <w:top w:val="none" w:sz="0" w:space="0" w:color="auto"/>
        <w:left w:val="none" w:sz="0" w:space="0" w:color="auto"/>
        <w:bottom w:val="none" w:sz="0" w:space="0" w:color="auto"/>
        <w:right w:val="none" w:sz="0" w:space="0" w:color="auto"/>
      </w:divBdr>
    </w:div>
    <w:div w:id="428429968">
      <w:bodyDiv w:val="1"/>
      <w:marLeft w:val="0"/>
      <w:marRight w:val="0"/>
      <w:marTop w:val="0"/>
      <w:marBottom w:val="0"/>
      <w:divBdr>
        <w:top w:val="none" w:sz="0" w:space="0" w:color="auto"/>
        <w:left w:val="none" w:sz="0" w:space="0" w:color="auto"/>
        <w:bottom w:val="none" w:sz="0" w:space="0" w:color="auto"/>
        <w:right w:val="none" w:sz="0" w:space="0" w:color="auto"/>
      </w:divBdr>
      <w:divsChild>
        <w:div w:id="763108445">
          <w:marLeft w:val="480"/>
          <w:marRight w:val="0"/>
          <w:marTop w:val="0"/>
          <w:marBottom w:val="0"/>
          <w:divBdr>
            <w:top w:val="none" w:sz="0" w:space="0" w:color="auto"/>
            <w:left w:val="none" w:sz="0" w:space="0" w:color="auto"/>
            <w:bottom w:val="none" w:sz="0" w:space="0" w:color="auto"/>
            <w:right w:val="none" w:sz="0" w:space="0" w:color="auto"/>
          </w:divBdr>
          <w:divsChild>
            <w:div w:id="89177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572907">
      <w:bodyDiv w:val="1"/>
      <w:marLeft w:val="0"/>
      <w:marRight w:val="0"/>
      <w:marTop w:val="0"/>
      <w:marBottom w:val="0"/>
      <w:divBdr>
        <w:top w:val="none" w:sz="0" w:space="0" w:color="auto"/>
        <w:left w:val="none" w:sz="0" w:space="0" w:color="auto"/>
        <w:bottom w:val="none" w:sz="0" w:space="0" w:color="auto"/>
        <w:right w:val="none" w:sz="0" w:space="0" w:color="auto"/>
      </w:divBdr>
      <w:divsChild>
        <w:div w:id="1745299583">
          <w:marLeft w:val="480"/>
          <w:marRight w:val="0"/>
          <w:marTop w:val="0"/>
          <w:marBottom w:val="0"/>
          <w:divBdr>
            <w:top w:val="none" w:sz="0" w:space="0" w:color="auto"/>
            <w:left w:val="none" w:sz="0" w:space="0" w:color="auto"/>
            <w:bottom w:val="none" w:sz="0" w:space="0" w:color="auto"/>
            <w:right w:val="none" w:sz="0" w:space="0" w:color="auto"/>
          </w:divBdr>
          <w:divsChild>
            <w:div w:id="110076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0865">
      <w:bodyDiv w:val="1"/>
      <w:marLeft w:val="0"/>
      <w:marRight w:val="0"/>
      <w:marTop w:val="0"/>
      <w:marBottom w:val="0"/>
      <w:divBdr>
        <w:top w:val="none" w:sz="0" w:space="0" w:color="auto"/>
        <w:left w:val="none" w:sz="0" w:space="0" w:color="auto"/>
        <w:bottom w:val="none" w:sz="0" w:space="0" w:color="auto"/>
        <w:right w:val="none" w:sz="0" w:space="0" w:color="auto"/>
      </w:divBdr>
    </w:div>
    <w:div w:id="966664701">
      <w:bodyDiv w:val="1"/>
      <w:marLeft w:val="0"/>
      <w:marRight w:val="0"/>
      <w:marTop w:val="0"/>
      <w:marBottom w:val="0"/>
      <w:divBdr>
        <w:top w:val="none" w:sz="0" w:space="0" w:color="auto"/>
        <w:left w:val="none" w:sz="0" w:space="0" w:color="auto"/>
        <w:bottom w:val="none" w:sz="0" w:space="0" w:color="auto"/>
        <w:right w:val="none" w:sz="0" w:space="0" w:color="auto"/>
      </w:divBdr>
      <w:divsChild>
        <w:div w:id="513035267">
          <w:marLeft w:val="0"/>
          <w:marRight w:val="0"/>
          <w:marTop w:val="0"/>
          <w:marBottom w:val="0"/>
          <w:divBdr>
            <w:top w:val="none" w:sz="0" w:space="0" w:color="auto"/>
            <w:left w:val="none" w:sz="0" w:space="0" w:color="auto"/>
            <w:bottom w:val="none" w:sz="0" w:space="0" w:color="auto"/>
            <w:right w:val="none" w:sz="0" w:space="0" w:color="auto"/>
          </w:divBdr>
        </w:div>
        <w:div w:id="2021084149">
          <w:marLeft w:val="0"/>
          <w:marRight w:val="0"/>
          <w:marTop w:val="0"/>
          <w:marBottom w:val="0"/>
          <w:divBdr>
            <w:top w:val="none" w:sz="0" w:space="0" w:color="auto"/>
            <w:left w:val="none" w:sz="0" w:space="0" w:color="auto"/>
            <w:bottom w:val="none" w:sz="0" w:space="0" w:color="auto"/>
            <w:right w:val="none" w:sz="0" w:space="0" w:color="auto"/>
          </w:divBdr>
        </w:div>
      </w:divsChild>
    </w:div>
    <w:div w:id="971638885">
      <w:bodyDiv w:val="1"/>
      <w:marLeft w:val="0"/>
      <w:marRight w:val="0"/>
      <w:marTop w:val="0"/>
      <w:marBottom w:val="0"/>
      <w:divBdr>
        <w:top w:val="none" w:sz="0" w:space="0" w:color="auto"/>
        <w:left w:val="none" w:sz="0" w:space="0" w:color="auto"/>
        <w:bottom w:val="none" w:sz="0" w:space="0" w:color="auto"/>
        <w:right w:val="none" w:sz="0" w:space="0" w:color="auto"/>
      </w:divBdr>
    </w:div>
    <w:div w:id="1105491805">
      <w:bodyDiv w:val="1"/>
      <w:marLeft w:val="0"/>
      <w:marRight w:val="0"/>
      <w:marTop w:val="0"/>
      <w:marBottom w:val="0"/>
      <w:divBdr>
        <w:top w:val="none" w:sz="0" w:space="0" w:color="auto"/>
        <w:left w:val="none" w:sz="0" w:space="0" w:color="auto"/>
        <w:bottom w:val="none" w:sz="0" w:space="0" w:color="auto"/>
        <w:right w:val="none" w:sz="0" w:space="0" w:color="auto"/>
      </w:divBdr>
      <w:divsChild>
        <w:div w:id="598827867">
          <w:marLeft w:val="480"/>
          <w:marRight w:val="0"/>
          <w:marTop w:val="0"/>
          <w:marBottom w:val="0"/>
          <w:divBdr>
            <w:top w:val="none" w:sz="0" w:space="0" w:color="auto"/>
            <w:left w:val="none" w:sz="0" w:space="0" w:color="auto"/>
            <w:bottom w:val="none" w:sz="0" w:space="0" w:color="auto"/>
            <w:right w:val="none" w:sz="0" w:space="0" w:color="auto"/>
          </w:divBdr>
          <w:divsChild>
            <w:div w:id="153788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38537">
      <w:bodyDiv w:val="1"/>
      <w:marLeft w:val="0"/>
      <w:marRight w:val="0"/>
      <w:marTop w:val="0"/>
      <w:marBottom w:val="0"/>
      <w:divBdr>
        <w:top w:val="none" w:sz="0" w:space="0" w:color="auto"/>
        <w:left w:val="none" w:sz="0" w:space="0" w:color="auto"/>
        <w:bottom w:val="none" w:sz="0" w:space="0" w:color="auto"/>
        <w:right w:val="none" w:sz="0" w:space="0" w:color="auto"/>
      </w:divBdr>
    </w:div>
    <w:div w:id="204127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hdl.handle.net/2078/11928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linguistique-ecrit.org/pub-257957" TargetMode="External"/><Relationship Id="rId2" Type="http://schemas.openxmlformats.org/officeDocument/2006/relationships/customXml" Target="../customXml/item2.xml"/><Relationship Id="rId16" Type="http://schemas.openxmlformats.org/officeDocument/2006/relationships/hyperlink" Target="http://www.praat.org" TargetMode="External"/><Relationship Id="rId20" Type="http://schemas.openxmlformats.org/officeDocument/2006/relationships/header" Target="header2.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discours.revues.org/796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eses.fr/2011PA100065" TargetMode="External"/><Relationship Id="rId22" Type="http://schemas.openxmlformats.org/officeDocument/2006/relationships/footer" Target="footer2.xml"/><Relationship Id="rId30"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G:\Doc%20Perso\LAROUSSE\LANGUE%20FRANCAISE\LF175%20(Septembre)\LG-LF_Feuille-style_2012-0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7EE6C4507CB54D87C395D00590E081" ma:contentTypeVersion="18" ma:contentTypeDescription="Crée un document." ma:contentTypeScope="" ma:versionID="2f9d06beeca97911ff9cdd4c91912e41">
  <xsd:schema xmlns:xsd="http://www.w3.org/2001/XMLSchema" xmlns:xs="http://www.w3.org/2001/XMLSchema" xmlns:p="http://schemas.microsoft.com/office/2006/metadata/properties" xmlns:ns3="4eea2d4b-2d2a-487a-90c9-7d267d1ea9c2" xmlns:ns4="e3f03f4a-dd38-4311-a323-c9bd4c404158" targetNamespace="http://schemas.microsoft.com/office/2006/metadata/properties" ma:root="true" ma:fieldsID="05578196196de1c23c0ba1db29499ce6" ns3:_="" ns4:_="">
    <xsd:import namespace="4eea2d4b-2d2a-487a-90c9-7d267d1ea9c2"/>
    <xsd:import namespace="e3f03f4a-dd38-4311-a323-c9bd4c40415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a2d4b-2d2a-487a-90c9-7d267d1ea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03f4a-dd38-4311-a323-c9bd4c404158"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eea2d4b-2d2a-487a-90c9-7d267d1ea9c2"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3229CC-3174-47E3-8B94-1A16D2DE1C70}">
  <ds:schemaRefs>
    <ds:schemaRef ds:uri="http://schemas.microsoft.com/sharepoint/v3/contenttype/forms"/>
  </ds:schemaRefs>
</ds:datastoreItem>
</file>

<file path=customXml/itemProps2.xml><?xml version="1.0" encoding="utf-8"?>
<ds:datastoreItem xmlns:ds="http://schemas.openxmlformats.org/officeDocument/2006/customXml" ds:itemID="{BC23728F-9FC9-45B8-9393-C6A517B7A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a2d4b-2d2a-487a-90c9-7d267d1ea9c2"/>
    <ds:schemaRef ds:uri="e3f03f4a-dd38-4311-a323-c9bd4c404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936499-90E2-4E77-A820-5CA776F9EA97}">
  <ds:schemaRefs>
    <ds:schemaRef ds:uri="e3f03f4a-dd38-4311-a323-c9bd4c404158"/>
    <ds:schemaRef ds:uri="http://schemas.microsoft.com/office/2006/documentManagement/types"/>
    <ds:schemaRef ds:uri="http://purl.org/dc/terms/"/>
    <ds:schemaRef ds:uri="4eea2d4b-2d2a-487a-90c9-7d267d1ea9c2"/>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9CEAFFB-BE92-47E0-A013-129AE9638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LG-LF_Feuille-style_2012-09.dot</Template>
  <TotalTime>4</TotalTime>
  <Pages>20</Pages>
  <Words>8235</Words>
  <Characters>45294</Characters>
  <Application>Microsoft Office Word</Application>
  <DocSecurity>0</DocSecurity>
  <Lines>377</Lines>
  <Paragraphs>106</Paragraphs>
  <ScaleCrop>false</ScaleCrop>
  <HeadingPairs>
    <vt:vector size="2" baseType="variant">
      <vt:variant>
        <vt:lpstr>Titre</vt:lpstr>
      </vt:variant>
      <vt:variant>
        <vt:i4>1</vt:i4>
      </vt:variant>
    </vt:vector>
  </HeadingPairs>
  <TitlesOfParts>
    <vt:vector size="1" baseType="lpstr">
      <vt:lpstr>Entre aménagement et environnement, la naissance avortée d’un projet aléatoire : le barrage de Chambonchard</vt:lpstr>
    </vt:vector>
  </TitlesOfParts>
  <Company>NC</Company>
  <LinksUpToDate>false</LinksUpToDate>
  <CharactersWithSpaces>53423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 aménagement et environnement, la naissance avortée d’un projet aléatoire : le barrage de Chambonchard</dc:title>
  <dc:subject/>
  <dc:creator>Celine VAGUER</dc:creator>
  <cp:keywords/>
  <cp:lastModifiedBy>Anne Catherine Simon</cp:lastModifiedBy>
  <cp:revision>3</cp:revision>
  <cp:lastPrinted>2007-07-16T23:15:00Z</cp:lastPrinted>
  <dcterms:created xsi:type="dcterms:W3CDTF">2025-01-09T10:03:00Z</dcterms:created>
  <dcterms:modified xsi:type="dcterms:W3CDTF">2025-01-09T14:29:00Z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0x010100E37EE6C4507CB54D87C395D00590E081</vt:lpwstr>
  </property>
  <property fmtid="{D5CDD505-2E9C-101B-9397-08002B2CF9AE}" pid="3" name="_activity">
    <vt:lpwstr/>
  </property>
</Properties>
</file>