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C4DB40" w14:textId="5B081EF1" w:rsidR="001978FC" w:rsidRPr="005118EC" w:rsidRDefault="00C325D1" w:rsidP="007B4B04">
      <w:pPr>
        <w:spacing w:line="240" w:lineRule="auto"/>
      </w:pPr>
      <w:r w:rsidRPr="005118EC">
        <w:t>Richard S</w:t>
      </w:r>
      <w:r w:rsidRPr="005118EC">
        <w:rPr>
          <w:rFonts w:cs="Times New Roman (Corps CS)"/>
          <w:smallCaps/>
        </w:rPr>
        <w:t>eaford</w:t>
      </w:r>
      <w:r w:rsidRPr="005118EC">
        <w:t xml:space="preserve">, </w:t>
      </w:r>
      <w:r w:rsidRPr="005118EC">
        <w:rPr>
          <w:i/>
          <w:iCs w:val="0"/>
        </w:rPr>
        <w:t>Aggregation and Antithesis in Ancient Greece</w:t>
      </w:r>
      <w:r w:rsidR="00054811" w:rsidRPr="005118EC">
        <w:t>.</w:t>
      </w:r>
      <w:r w:rsidRPr="005118EC">
        <w:t xml:space="preserve"> Cambridge</w:t>
      </w:r>
      <w:r w:rsidR="00054811" w:rsidRPr="005118EC">
        <w:t xml:space="preserve">, </w:t>
      </w:r>
      <w:r w:rsidRPr="005118EC">
        <w:t xml:space="preserve">Cambridge University Press, 2025. </w:t>
      </w:r>
      <w:r w:rsidR="00054811" w:rsidRPr="005118EC">
        <w:t xml:space="preserve">1 vol., </w:t>
      </w:r>
      <w:r w:rsidR="003224D2" w:rsidRPr="005118EC">
        <w:t xml:space="preserve">x-204p. </w:t>
      </w:r>
      <w:r w:rsidR="006F28F8" w:rsidRPr="005118EC">
        <w:t xml:space="preserve">Prix : </w:t>
      </w:r>
      <w:r w:rsidR="005118EC" w:rsidRPr="005118EC">
        <w:t xml:space="preserve">105,04€ </w:t>
      </w:r>
      <w:r w:rsidR="006F28F8" w:rsidRPr="005118EC">
        <w:t xml:space="preserve">(relié). ISBN </w:t>
      </w:r>
      <w:r w:rsidR="002178A0" w:rsidRPr="005118EC">
        <w:t xml:space="preserve">978-1-009-51757-7. </w:t>
      </w:r>
    </w:p>
    <w:p w14:paraId="3692BF06" w14:textId="48C19F63" w:rsidR="00925777" w:rsidRDefault="007B2F1D" w:rsidP="007B4B04">
      <w:pPr>
        <w:spacing w:line="240" w:lineRule="auto"/>
      </w:pPr>
      <w:r>
        <w:t xml:space="preserve">Une question </w:t>
      </w:r>
      <w:r w:rsidR="0037459D">
        <w:t xml:space="preserve">essentielle </w:t>
      </w:r>
      <w:r>
        <w:t xml:space="preserve">a occupé la carrière de Richard Seaford, professeur </w:t>
      </w:r>
      <w:r w:rsidR="00A70F2B">
        <w:t xml:space="preserve">regretté </w:t>
      </w:r>
      <w:r>
        <w:t xml:space="preserve">de littérature grecque : </w:t>
      </w:r>
      <w:r w:rsidR="00EE2AFD">
        <w:t xml:space="preserve">comment lire la littérature et la </w:t>
      </w:r>
      <w:r w:rsidR="00980280">
        <w:t>cosmologie</w:t>
      </w:r>
      <w:r w:rsidR="00EE2AFD">
        <w:t xml:space="preserve"> </w:t>
      </w:r>
      <w:r w:rsidR="0076746D">
        <w:t xml:space="preserve">grecques </w:t>
      </w:r>
      <w:r w:rsidR="00EE2AFD">
        <w:t xml:space="preserve">à la lumière des développements </w:t>
      </w:r>
      <w:r w:rsidR="00456372">
        <w:t>sociopolitiques</w:t>
      </w:r>
      <w:r w:rsidR="00DD46DF">
        <w:t>, religieux</w:t>
      </w:r>
      <w:r w:rsidR="00EE2AFD">
        <w:t xml:space="preserve"> et économiques </w:t>
      </w:r>
      <w:r w:rsidR="004E67F4">
        <w:t xml:space="preserve">contemporains ? </w:t>
      </w:r>
      <w:r w:rsidR="007B4B04">
        <w:t>Ses précédentes monographies</w:t>
      </w:r>
      <w:r w:rsidR="00345155">
        <w:t xml:space="preserve">, telles que </w:t>
      </w:r>
      <w:r w:rsidR="0028524C" w:rsidRPr="0028524C">
        <w:rPr>
          <w:i/>
          <w:iCs w:val="0"/>
        </w:rPr>
        <w:t>Money and the Early Greek Mind</w:t>
      </w:r>
      <w:r w:rsidR="0028524C">
        <w:t xml:space="preserve"> (CUP, 2004) ou </w:t>
      </w:r>
      <w:r w:rsidR="0028524C" w:rsidRPr="001A6569">
        <w:rPr>
          <w:i/>
          <w:iCs w:val="0"/>
        </w:rPr>
        <w:t>Cosmology and the Polis</w:t>
      </w:r>
      <w:r w:rsidR="0028524C">
        <w:t xml:space="preserve"> (CUP, 2012) </w:t>
      </w:r>
      <w:r w:rsidR="001A6569">
        <w:t>ont</w:t>
      </w:r>
      <w:r w:rsidR="00377955">
        <w:t xml:space="preserve"> </w:t>
      </w:r>
      <w:r w:rsidR="00003375">
        <w:t xml:space="preserve">érigé </w:t>
      </w:r>
      <w:r w:rsidR="00CF353D">
        <w:t xml:space="preserve">Richard Seaford </w:t>
      </w:r>
      <w:r w:rsidR="00003375">
        <w:t xml:space="preserve">au rang d’incontournable </w:t>
      </w:r>
      <w:r w:rsidR="00723817">
        <w:t xml:space="preserve">à propos des relations entre forme de pensées et </w:t>
      </w:r>
      <w:r w:rsidR="00705F03">
        <w:t>société</w:t>
      </w:r>
      <w:r w:rsidR="00003375">
        <w:t xml:space="preserve">. Cet ouvrage </w:t>
      </w:r>
      <w:r w:rsidR="006A687B">
        <w:t>poursuit dans la même voie</w:t>
      </w:r>
      <w:r w:rsidR="00755C36">
        <w:t xml:space="preserve"> et élargit son champ d’investigation non seulement à la littérature</w:t>
      </w:r>
      <w:r w:rsidR="00904262">
        <w:t xml:space="preserve"> et </w:t>
      </w:r>
      <w:r w:rsidR="00C634C7">
        <w:t xml:space="preserve">la </w:t>
      </w:r>
      <w:r w:rsidR="00904262">
        <w:t>philosophie</w:t>
      </w:r>
      <w:r w:rsidR="00755C36">
        <w:t>, mais également aux arts visuels</w:t>
      </w:r>
      <w:r w:rsidR="00904262">
        <w:t xml:space="preserve">. L’auteur part du constat que, tant </w:t>
      </w:r>
      <w:r w:rsidR="00904262" w:rsidRPr="00904262">
        <w:t xml:space="preserve">dans les formes visuelles </w:t>
      </w:r>
      <w:r w:rsidR="00904262">
        <w:t>que</w:t>
      </w:r>
      <w:r w:rsidR="00904262" w:rsidRPr="00904262">
        <w:t xml:space="preserve"> textuelles, l’agrégation semble laisser progressivement place à l’antithèse</w:t>
      </w:r>
      <w:r w:rsidR="00904262">
        <w:t xml:space="preserve">. L’argument filé à travers les chapitres soutient que les formes agrégatives </w:t>
      </w:r>
      <w:r w:rsidR="00710C15">
        <w:t xml:space="preserve">sont une démonstration de pouvoir centralisé dans une société pré-monétaire, et que </w:t>
      </w:r>
      <w:r w:rsidR="00904262">
        <w:t xml:space="preserve"> </w:t>
      </w:r>
      <w:r w:rsidR="00710C15">
        <w:t xml:space="preserve">l’émergence progressive d’antithèses est corrélée à la formation socioéconomique de la </w:t>
      </w:r>
      <w:r w:rsidR="00710C15" w:rsidRPr="00710C15">
        <w:rPr>
          <w:i/>
          <w:iCs w:val="0"/>
        </w:rPr>
        <w:t>polis</w:t>
      </w:r>
      <w:r w:rsidR="00710C15">
        <w:t xml:space="preserve"> monétisée et des cultes à mystères.</w:t>
      </w:r>
      <w:r w:rsidR="00925777">
        <w:t xml:space="preserve"> </w:t>
      </w:r>
      <w:r w:rsidR="003F542C">
        <w:t xml:space="preserve">Cette perspective résolument comparative et historiciste </w:t>
      </w:r>
      <w:r w:rsidR="003F542C">
        <w:t>s’inscrit</w:t>
      </w:r>
      <w:r w:rsidR="003F542C">
        <w:t xml:space="preserve"> en contre-point des thèses de David Schaps sur la monétisation de la Grèce (</w:t>
      </w:r>
      <w:r w:rsidR="003F542C" w:rsidRPr="002E6076">
        <w:rPr>
          <w:i/>
          <w:iCs w:val="0"/>
        </w:rPr>
        <w:t>The Invention of Coinage and the Monetization of Ancient Greece</w:t>
      </w:r>
      <w:r w:rsidR="003F542C">
        <w:t>, 2003)</w:t>
      </w:r>
      <w:r w:rsidR="00502B66">
        <w:t xml:space="preserve">. Elle s’ancre plutôt </w:t>
      </w:r>
      <w:r w:rsidR="008D5504">
        <w:t>dans la lignée de monographies telles que celle de Leslie Kurke sur le sens des représentations de la monnaie dans la littérature grecque archaïque (</w:t>
      </w:r>
      <w:r w:rsidR="008D5504" w:rsidRPr="00A7539C">
        <w:rPr>
          <w:i/>
          <w:iCs w:val="0"/>
        </w:rPr>
        <w:t>Coins, Bodies and Games</w:t>
      </w:r>
      <w:r w:rsidR="008D5504">
        <w:t xml:space="preserve">, 1999) que de Geoffrey E. G. Lloyd sur les formes </w:t>
      </w:r>
      <w:r w:rsidR="002D188B">
        <w:t>d’argument chez les philosophes présocratiques (</w:t>
      </w:r>
      <w:r w:rsidR="00A7539C" w:rsidRPr="00A7539C">
        <w:rPr>
          <w:i/>
          <w:iCs w:val="0"/>
        </w:rPr>
        <w:t>Polarity and Analogy</w:t>
      </w:r>
      <w:r w:rsidR="00A7539C">
        <w:t>, 1966</w:t>
      </w:r>
      <w:r w:rsidR="002D188B">
        <w:t>)</w:t>
      </w:r>
      <w:r w:rsidR="002E6076">
        <w:t xml:space="preserve">. </w:t>
      </w:r>
    </w:p>
    <w:p w14:paraId="37996484" w14:textId="593AEC9C" w:rsidR="00904262" w:rsidRDefault="002D188B" w:rsidP="007B4B04">
      <w:pPr>
        <w:spacing w:line="240" w:lineRule="auto"/>
      </w:pPr>
      <w:r>
        <w:t>L</w:t>
      </w:r>
      <w:r w:rsidR="0085018E">
        <w:t xml:space="preserve">e présent </w:t>
      </w:r>
      <w:r>
        <w:t>ouvrage se présente de façon</w:t>
      </w:r>
      <w:r w:rsidR="00565A86">
        <w:t xml:space="preserve"> globalement chronologique, </w:t>
      </w:r>
      <w:r>
        <w:t xml:space="preserve">et l’auteur suit un chemin de pensée </w:t>
      </w:r>
      <w:r w:rsidR="00176614">
        <w:t>depuis les</w:t>
      </w:r>
      <w:r w:rsidR="00565A86">
        <w:t xml:space="preserve"> épopées homériques et vases géométriques jusqu’à Platon.</w:t>
      </w:r>
      <w:r w:rsidR="00DB3676">
        <w:t xml:space="preserve"> </w:t>
      </w:r>
    </w:p>
    <w:p w14:paraId="7FC74371" w14:textId="1FABBDD6" w:rsidR="00AB4D65" w:rsidRDefault="00B61914" w:rsidP="007B4B04">
      <w:pPr>
        <w:spacing w:line="240" w:lineRule="auto"/>
      </w:pPr>
      <w:r>
        <w:t xml:space="preserve">Le sujet </w:t>
      </w:r>
      <w:r w:rsidR="000F07A3">
        <w:t xml:space="preserve">est particulièrement </w:t>
      </w:r>
      <w:r w:rsidR="008255FC">
        <w:t>vaste</w:t>
      </w:r>
      <w:r w:rsidR="000F07A3">
        <w:t xml:space="preserve"> : agrégation et antithèse formelles </w:t>
      </w:r>
      <w:r w:rsidR="008255FC">
        <w:t>pourraient s’étendre à l’infini</w:t>
      </w:r>
      <w:r w:rsidR="0076492D">
        <w:t>. Il est donc bienvenu que</w:t>
      </w:r>
      <w:r w:rsidR="00FF4D45">
        <w:t xml:space="preserve"> </w:t>
      </w:r>
      <w:r w:rsidR="0076492D">
        <w:t>l</w:t>
      </w:r>
      <w:r w:rsidR="00D613BB">
        <w:t>a</w:t>
      </w:r>
      <w:r w:rsidR="008808C8">
        <w:t xml:space="preserve"> monographie </w:t>
      </w:r>
      <w:r w:rsidR="003D0009">
        <w:t>s’ouvre sur un chapitre liminaire précisant le cadre méthodologique</w:t>
      </w:r>
      <w:r w:rsidR="001670EB">
        <w:t>, les définitions des concepts employés</w:t>
      </w:r>
      <w:r w:rsidR="00AB4D65">
        <w:t>,</w:t>
      </w:r>
      <w:r w:rsidR="001670EB">
        <w:t xml:space="preserve"> et établisse une </w:t>
      </w:r>
      <w:r w:rsidR="003422C3">
        <w:t xml:space="preserve">typologie précise </w:t>
      </w:r>
      <w:r w:rsidR="00CA57E0">
        <w:t>des diverses antithèses et agrégations qui auront préoccupé Richard Seaford dans cet ouvrage</w:t>
      </w:r>
      <w:r w:rsidR="00B94F27">
        <w:t xml:space="preserve">. </w:t>
      </w:r>
      <w:r w:rsidR="000D7C64">
        <w:t>L’agrégat est défini comme une séquence paratactique</w:t>
      </w:r>
      <w:r w:rsidR="004A2CE7">
        <w:t xml:space="preserve">, et l’antithèse, comme une </w:t>
      </w:r>
      <w:r w:rsidR="00F931E4">
        <w:t>représentation symétrique d’opposés, avec plusieurs paramètres de variation selon la nature antagoniste</w:t>
      </w:r>
      <w:r w:rsidR="00705C58">
        <w:t xml:space="preserve">, </w:t>
      </w:r>
      <w:r w:rsidR="00F931E4">
        <w:t xml:space="preserve">équilibrée </w:t>
      </w:r>
      <w:r w:rsidR="00705C58">
        <w:t xml:space="preserve">et </w:t>
      </w:r>
      <w:r w:rsidR="00805C3D">
        <w:t xml:space="preserve">concentrée sur un objet central ou non </w:t>
      </w:r>
      <w:r w:rsidR="00F931E4">
        <w:t>de l’o</w:t>
      </w:r>
      <w:r w:rsidR="00705C58">
        <w:t>p</w:t>
      </w:r>
      <w:r w:rsidR="00F931E4">
        <w:t xml:space="preserve">position en question. </w:t>
      </w:r>
      <w:r w:rsidR="004E6956">
        <w:t xml:space="preserve">L’auteur fait preuve de la rigueur théorique nécessaire afin d’aborder ce sujet ambitieux.  </w:t>
      </w:r>
    </w:p>
    <w:p w14:paraId="0EB1B06E" w14:textId="2A169204" w:rsidR="00A70F2B" w:rsidRDefault="00755C36" w:rsidP="007B4B04">
      <w:pPr>
        <w:spacing w:line="240" w:lineRule="auto"/>
      </w:pPr>
      <w:r>
        <w:t xml:space="preserve">Le deuxième chapitre </w:t>
      </w:r>
      <w:r w:rsidR="004B6DFD">
        <w:t>s’intéresse aux</w:t>
      </w:r>
      <w:r w:rsidR="009A5DFA">
        <w:t xml:space="preserve"> épopées homériques et à la peinture géométrique archaïque</w:t>
      </w:r>
      <w:r w:rsidR="004E6DB8">
        <w:t xml:space="preserve">. </w:t>
      </w:r>
      <w:r w:rsidR="004E6DB8" w:rsidRPr="003C623B">
        <w:rPr>
          <w:color w:val="000000" w:themeColor="text1"/>
        </w:rPr>
        <w:t>L’épopée apparait principalement agrégative</w:t>
      </w:r>
      <w:r w:rsidR="00DC7D8D" w:rsidRPr="003C623B">
        <w:rPr>
          <w:color w:val="000000" w:themeColor="text1"/>
        </w:rPr>
        <w:t xml:space="preserve">, </w:t>
      </w:r>
      <w:r w:rsidR="001174EC" w:rsidRPr="003C623B">
        <w:rPr>
          <w:color w:val="000000" w:themeColor="text1"/>
        </w:rPr>
        <w:t xml:space="preserve">dans son privilège accordé aux listes qui, </w:t>
      </w:r>
      <w:r w:rsidR="0022617E" w:rsidRPr="003C623B">
        <w:rPr>
          <w:color w:val="000000" w:themeColor="text1"/>
        </w:rPr>
        <w:t xml:space="preserve">comme les </w:t>
      </w:r>
      <w:r w:rsidR="00F322E5" w:rsidRPr="003C623B">
        <w:rPr>
          <w:color w:val="000000" w:themeColor="text1"/>
        </w:rPr>
        <w:t xml:space="preserve">listes d’inventaires aux sources de l’écriture en </w:t>
      </w:r>
      <w:r w:rsidR="001174EC" w:rsidRPr="003C623B">
        <w:rPr>
          <w:color w:val="000000" w:themeColor="text1"/>
        </w:rPr>
        <w:t>cunéiforme</w:t>
      </w:r>
      <w:r w:rsidR="00F322E5" w:rsidRPr="003C623B">
        <w:rPr>
          <w:color w:val="000000" w:themeColor="text1"/>
        </w:rPr>
        <w:t xml:space="preserve"> et en linéaire B</w:t>
      </w:r>
      <w:r w:rsidR="001174EC" w:rsidRPr="003C623B">
        <w:rPr>
          <w:color w:val="000000" w:themeColor="text1"/>
        </w:rPr>
        <w:t xml:space="preserve">, </w:t>
      </w:r>
      <w:r w:rsidR="003C623B" w:rsidRPr="003C623B">
        <w:rPr>
          <w:color w:val="000000" w:themeColor="text1"/>
        </w:rPr>
        <w:t>seraient le reflet d’une société pré-monétaire centralisée</w:t>
      </w:r>
      <w:r w:rsidR="00F8159C" w:rsidRPr="003C623B">
        <w:rPr>
          <w:color w:val="000000" w:themeColor="text1"/>
        </w:rPr>
        <w:t>.</w:t>
      </w:r>
      <w:r w:rsidR="007223C5" w:rsidRPr="003C623B">
        <w:rPr>
          <w:color w:val="000000" w:themeColor="text1"/>
        </w:rPr>
        <w:t xml:space="preserve"> </w:t>
      </w:r>
      <w:r w:rsidR="003C623B">
        <w:t>D</w:t>
      </w:r>
      <w:r w:rsidR="007223C5">
        <w:t xml:space="preserve">eux exceptions occupent le plus longuement l’auteur lors de </w:t>
      </w:r>
      <w:r w:rsidR="00BE33F5">
        <w:t>ce chapitre</w:t>
      </w:r>
      <w:r w:rsidR="00CC4625">
        <w:t> : l</w:t>
      </w:r>
      <w:r w:rsidR="00BE33F5">
        <w:t>’agrégation d’antithèses caractéristique du Bouclier d’Achille est interprété</w:t>
      </w:r>
      <w:r w:rsidR="004B3A94">
        <w:t>e</w:t>
      </w:r>
      <w:r w:rsidR="00BE33F5">
        <w:t xml:space="preserve"> </w:t>
      </w:r>
      <w:r w:rsidR="00F95F25">
        <w:t>comme touchant à la totalité et l’unité de la polis grecque</w:t>
      </w:r>
      <w:r w:rsidR="000964B6">
        <w:t xml:space="preserve"> en développement</w:t>
      </w:r>
      <w:r w:rsidR="00F95F25">
        <w:t xml:space="preserve"> (p. 14)</w:t>
      </w:r>
      <w:r w:rsidR="00CC4625">
        <w:t> ; et l</w:t>
      </w:r>
      <w:r w:rsidR="00CE1433">
        <w:t xml:space="preserve">a forme </w:t>
      </w:r>
      <w:r w:rsidR="00FE6EF1">
        <w:t>de dyade antithétique</w:t>
      </w:r>
      <w:r w:rsidR="00CE1433">
        <w:t xml:space="preserve"> du</w:t>
      </w:r>
      <w:r w:rsidR="00CC4625">
        <w:t xml:space="preserve"> jugement de valeur de l’échange entre Diomède et Glaukos est </w:t>
      </w:r>
      <w:r w:rsidR="00CE1433">
        <w:t>reliée à l’avancée des échanges commerciaux</w:t>
      </w:r>
      <w:r w:rsidR="001E0224">
        <w:t>, parallèle à celle de la cité</w:t>
      </w:r>
      <w:r w:rsidR="00525A93">
        <w:t xml:space="preserve">. </w:t>
      </w:r>
      <w:r w:rsidR="008A1A58">
        <w:t>Les chapitres suivants se concentrent sur les formes antithétiques</w:t>
      </w:r>
      <w:r w:rsidR="00CF23AF">
        <w:t xml:space="preserve"> dans la cosmologie présocratique, l</w:t>
      </w:r>
      <w:r w:rsidR="002226DB">
        <w:t xml:space="preserve">es arts visuels et la tragédie. </w:t>
      </w:r>
      <w:r w:rsidR="00547B7F">
        <w:t xml:space="preserve">Les </w:t>
      </w:r>
      <w:r w:rsidR="006B2552">
        <w:t xml:space="preserve">antithèses </w:t>
      </w:r>
      <w:r w:rsidR="001B50C0">
        <w:t>inhérentes aux</w:t>
      </w:r>
      <w:r w:rsidR="00547B7F">
        <w:t xml:space="preserve"> cosmologies </w:t>
      </w:r>
      <w:r w:rsidR="004E6956">
        <w:t>d’Ionie</w:t>
      </w:r>
      <w:r w:rsidR="00547B7F">
        <w:t xml:space="preserve"> </w:t>
      </w:r>
      <w:r w:rsidR="00CE7574">
        <w:t xml:space="preserve">(chapitre 3) </w:t>
      </w:r>
      <w:r w:rsidR="00547B7F">
        <w:t xml:space="preserve">et de Grande Grèce </w:t>
      </w:r>
      <w:r w:rsidR="00CE7574">
        <w:t>(chapitre 4)</w:t>
      </w:r>
      <w:r w:rsidR="00CD0BA2">
        <w:t xml:space="preserve">, ainsi que leurs expressions formelles, </w:t>
      </w:r>
      <w:r w:rsidR="00547B7F">
        <w:t xml:space="preserve">sont lues </w:t>
      </w:r>
      <w:r w:rsidR="006B2552">
        <w:t>comme des cosmisations</w:t>
      </w:r>
      <w:r w:rsidR="00CD0BA2">
        <w:t xml:space="preserve"> – </w:t>
      </w:r>
      <w:r w:rsidR="006B2552">
        <w:t>des projections à l’échelle cosmiques de réalités quotidiennes</w:t>
      </w:r>
      <w:r w:rsidR="00CD0BA2">
        <w:t xml:space="preserve"> – </w:t>
      </w:r>
      <w:r w:rsidR="006B2552">
        <w:t>de</w:t>
      </w:r>
      <w:r w:rsidR="00B134A3">
        <w:t>s développements de la monnaie et des cultes à mystères</w:t>
      </w:r>
      <w:r w:rsidR="00A84F3F">
        <w:t xml:space="preserve">, unis dans les cycles d’échanges </w:t>
      </w:r>
      <w:r w:rsidR="00CD421C">
        <w:t>du commerce et de la psychè.</w:t>
      </w:r>
      <w:r w:rsidR="005B6F75">
        <w:t xml:space="preserve"> </w:t>
      </w:r>
      <w:r w:rsidR="00D5763F">
        <w:t>La monnaie</w:t>
      </w:r>
      <w:r w:rsidR="00BB2571">
        <w:t xml:space="preserve"> </w:t>
      </w:r>
      <w:r w:rsidR="00E31633">
        <w:t xml:space="preserve">se voit dotée de </w:t>
      </w:r>
      <w:r w:rsidR="00D444A9">
        <w:t xml:space="preserve">différents systèmes de valuation, qu’elle trouve sa valeur </w:t>
      </w:r>
      <w:r w:rsidR="000C7DDB">
        <w:t>dans son accumulation (</w:t>
      </w:r>
      <w:r w:rsidR="00750860">
        <w:t>Parménide</w:t>
      </w:r>
      <w:r w:rsidR="000C7DDB">
        <w:t>) ou dans sa circulation (Héraclite), d’un point de vue individuel (</w:t>
      </w:r>
      <w:r w:rsidR="00936C73">
        <w:t>pythagorisme)</w:t>
      </w:r>
      <w:r w:rsidR="000C7DDB">
        <w:t xml:space="preserve"> ou collectif (</w:t>
      </w:r>
      <w:r w:rsidR="009D4C99">
        <w:t>Archytas de Tarente)</w:t>
      </w:r>
      <w:r w:rsidR="000C7DDB">
        <w:t>.</w:t>
      </w:r>
      <w:r w:rsidR="00445890">
        <w:t xml:space="preserve"> </w:t>
      </w:r>
      <w:r w:rsidR="004547F5">
        <w:t xml:space="preserve">Ces chapitres sont prompts à la comparaison afin de souligner les similitudes et différences entre formes de </w:t>
      </w:r>
      <w:r w:rsidR="004547F5">
        <w:lastRenderedPageBreak/>
        <w:t xml:space="preserve">pensées. </w:t>
      </w:r>
      <w:r w:rsidR="001803D2">
        <w:t>Le chapitre 5</w:t>
      </w:r>
      <w:r w:rsidR="00821188">
        <w:t xml:space="preserve"> </w:t>
      </w:r>
      <w:r w:rsidR="004547F5">
        <w:t>se penche</w:t>
      </w:r>
      <w:r w:rsidR="00AC2FFB">
        <w:t xml:space="preserve"> </w:t>
      </w:r>
      <w:r w:rsidR="004547F5">
        <w:t>sur</w:t>
      </w:r>
      <w:r w:rsidR="00226F6B">
        <w:t xml:space="preserve"> l’art visuel du Proche Orient et de la Grèce. </w:t>
      </w:r>
      <w:r w:rsidR="00D21B1C">
        <w:t xml:space="preserve">Ce chapitre met le plus assidument à contribution la typologie d’antithèses </w:t>
      </w:r>
      <w:r w:rsidR="00F96D70">
        <w:t xml:space="preserve">et agrégations établie au début de la réflexion. </w:t>
      </w:r>
      <w:r w:rsidR="005E1204">
        <w:t xml:space="preserve">De nouveau, il </w:t>
      </w:r>
      <w:r w:rsidR="0066568D">
        <w:t>associe</w:t>
      </w:r>
      <w:r w:rsidR="005E1204">
        <w:t xml:space="preserve"> agrégation visuelle et pouvoir </w:t>
      </w:r>
      <w:r w:rsidR="0066568D">
        <w:t xml:space="preserve">central, </w:t>
      </w:r>
      <w:r w:rsidR="004547F5">
        <w:t xml:space="preserve">comme </w:t>
      </w:r>
      <w:r w:rsidR="0066568D">
        <w:t xml:space="preserve">dans le cas exemplaire du </w:t>
      </w:r>
      <w:r w:rsidR="00DC2A9F">
        <w:t xml:space="preserve">grand </w:t>
      </w:r>
      <w:r w:rsidR="0066568D">
        <w:t>vase de Warka</w:t>
      </w:r>
      <w:r w:rsidR="00DC2A9F">
        <w:t xml:space="preserve"> </w:t>
      </w:r>
      <w:r w:rsidR="002B3F3A">
        <w:t xml:space="preserve">au Proche Orient </w:t>
      </w:r>
      <w:r w:rsidR="00DC2A9F">
        <w:t xml:space="preserve">(p. 122). </w:t>
      </w:r>
      <w:r w:rsidR="00385AF3">
        <w:t>Comme transition vers la Grèce,</w:t>
      </w:r>
      <w:r w:rsidR="00F6783E">
        <w:t xml:space="preserve"> Richard Seaford choisit de se concentrer sur la comparaison d</w:t>
      </w:r>
      <w:r w:rsidR="003D4B60">
        <w:t>’un</w:t>
      </w:r>
      <w:r w:rsidR="00F6783E">
        <w:t xml:space="preserve"> motif</w:t>
      </w:r>
      <w:r w:rsidR="003D4B60">
        <w:t xml:space="preserve"> spécifique</w:t>
      </w:r>
      <w:r w:rsidR="00F6783E">
        <w:t xml:space="preserve">, à savoir, </w:t>
      </w:r>
      <w:r w:rsidR="003D4B60">
        <w:t>celui du lion.</w:t>
      </w:r>
      <w:r w:rsidR="00014512">
        <w:t xml:space="preserve"> Tandis qu’en Mésopotamie, l</w:t>
      </w:r>
      <w:r w:rsidR="008819DF">
        <w:t>a suprématie naturelle du</w:t>
      </w:r>
      <w:r w:rsidR="00014512">
        <w:t xml:space="preserve"> lion </w:t>
      </w:r>
      <w:r w:rsidR="0070447B">
        <w:t>semble incarner</w:t>
      </w:r>
      <w:r w:rsidR="00014512">
        <w:t xml:space="preserve"> le pouvoir royal</w:t>
      </w:r>
      <w:r w:rsidR="008819DF">
        <w:t xml:space="preserve">, en Grèce, </w:t>
      </w:r>
      <w:r w:rsidR="001568B6">
        <w:t xml:space="preserve">la férocité léonine </w:t>
      </w:r>
      <w:r w:rsidR="00A65B31">
        <w:t xml:space="preserve">décrite dans les épopées homériques </w:t>
      </w:r>
      <w:r w:rsidR="001568B6">
        <w:t>apparaitrait davantage mettre en danger l’ordre social</w:t>
      </w:r>
      <w:r w:rsidR="00400136">
        <w:t xml:space="preserve"> (p. 140)</w:t>
      </w:r>
      <w:r w:rsidR="0032485B">
        <w:t xml:space="preserve">. </w:t>
      </w:r>
      <w:r w:rsidR="00A65B31">
        <w:t>S’ensuit une étude de l’agrégation et de l’antithèse dans les peintures sur vase de l’Âge de Fer en Grèce</w:t>
      </w:r>
      <w:r w:rsidR="002B3F3A">
        <w:t xml:space="preserve">, où est analysée </w:t>
      </w:r>
      <w:r w:rsidR="005920B0">
        <w:t>une sélection de six vases peints de compositions antithétiques dans un contexte dominé par l’agrégation</w:t>
      </w:r>
      <w:r w:rsidR="002B3F3A">
        <w:t xml:space="preserve">. </w:t>
      </w:r>
      <w:r w:rsidR="002872EC" w:rsidRPr="0040189F">
        <w:rPr>
          <w:color w:val="000000" w:themeColor="text1"/>
        </w:rPr>
        <w:t xml:space="preserve">De même, les peintures sur vase classiques et le développement de la tragédie (chapitre </w:t>
      </w:r>
      <w:r w:rsidR="00332BA1" w:rsidRPr="0040189F">
        <w:rPr>
          <w:color w:val="000000" w:themeColor="text1"/>
        </w:rPr>
        <w:t>6) sont comparés pour</w:t>
      </w:r>
      <w:r w:rsidR="002872EC" w:rsidRPr="0040189F">
        <w:rPr>
          <w:color w:val="000000" w:themeColor="text1"/>
        </w:rPr>
        <w:t xml:space="preserve"> </w:t>
      </w:r>
      <w:r w:rsidR="00332BA1" w:rsidRPr="0040189F">
        <w:rPr>
          <w:color w:val="000000" w:themeColor="text1"/>
        </w:rPr>
        <w:t>l</w:t>
      </w:r>
      <w:r w:rsidR="002872EC" w:rsidRPr="0040189F">
        <w:rPr>
          <w:color w:val="000000" w:themeColor="text1"/>
        </w:rPr>
        <w:t xml:space="preserve">es caractéristiques formelles de présenter une unification </w:t>
      </w:r>
      <w:r w:rsidR="00332BA1" w:rsidRPr="0040189F">
        <w:rPr>
          <w:color w:val="000000" w:themeColor="text1"/>
        </w:rPr>
        <w:t>d’antithèses</w:t>
      </w:r>
      <w:r w:rsidR="0040189F">
        <w:rPr>
          <w:color w:val="000000" w:themeColor="text1"/>
        </w:rPr>
        <w:t xml:space="preserve"> individuelles</w:t>
      </w:r>
      <w:r w:rsidR="00332BA1" w:rsidRPr="0040189F">
        <w:rPr>
          <w:color w:val="000000" w:themeColor="text1"/>
        </w:rPr>
        <w:t xml:space="preserve"> </w:t>
      </w:r>
      <w:r w:rsidR="00BA704F" w:rsidRPr="0040189F">
        <w:rPr>
          <w:color w:val="000000" w:themeColor="text1"/>
        </w:rPr>
        <w:t xml:space="preserve">à travers le chœur. </w:t>
      </w:r>
      <w:r w:rsidR="00B57A2B" w:rsidRPr="00CC30CA">
        <w:rPr>
          <w:color w:val="000000" w:themeColor="text1"/>
        </w:rPr>
        <w:t>Enfin, le dernier chapitre est consacré à Platon</w:t>
      </w:r>
      <w:r w:rsidR="00CE4B37" w:rsidRPr="00CC30CA">
        <w:rPr>
          <w:color w:val="000000" w:themeColor="text1"/>
        </w:rPr>
        <w:t xml:space="preserve"> </w:t>
      </w:r>
      <w:r w:rsidR="005744D6" w:rsidRPr="00CC30CA">
        <w:rPr>
          <w:color w:val="000000" w:themeColor="text1"/>
        </w:rPr>
        <w:t>et</w:t>
      </w:r>
      <w:r w:rsidR="00CC30CA" w:rsidRPr="00CC30CA">
        <w:rPr>
          <w:color w:val="000000" w:themeColor="text1"/>
        </w:rPr>
        <w:t>, plus prompt ici à souligner les différences avec les philosophes présocratiques,</w:t>
      </w:r>
      <w:r w:rsidR="005744D6" w:rsidRPr="00CC30CA">
        <w:rPr>
          <w:color w:val="000000" w:themeColor="text1"/>
        </w:rPr>
        <w:t xml:space="preserve"> défend l’idée que </w:t>
      </w:r>
      <w:r w:rsidR="00781157" w:rsidRPr="00CC30CA">
        <w:rPr>
          <w:color w:val="000000" w:themeColor="text1"/>
        </w:rPr>
        <w:t>l’exclusion totale d’opposition</w:t>
      </w:r>
      <w:r w:rsidR="0095640A" w:rsidRPr="00CC30CA">
        <w:rPr>
          <w:color w:val="000000" w:themeColor="text1"/>
        </w:rPr>
        <w:t xml:space="preserve">, et donc d’échange, de sa cosmogonie a entrainé une révolution de pensée. </w:t>
      </w:r>
    </w:p>
    <w:p w14:paraId="546CE375" w14:textId="28026D3E" w:rsidR="007601E6" w:rsidRDefault="00415EC0" w:rsidP="007B4B04">
      <w:pPr>
        <w:spacing w:line="240" w:lineRule="auto"/>
      </w:pPr>
      <w:r>
        <w:t xml:space="preserve">Dans l’ensemble, </w:t>
      </w:r>
      <w:r w:rsidR="00566CE6">
        <w:t xml:space="preserve">Richard Seaford parvient </w:t>
      </w:r>
      <w:r w:rsidR="00750860">
        <w:t xml:space="preserve">remarquablement </w:t>
      </w:r>
      <w:r w:rsidR="00566CE6">
        <w:t>à lire de façon historique des développements proprement formels</w:t>
      </w:r>
      <w:r w:rsidR="00311CBE">
        <w:t>.</w:t>
      </w:r>
      <w:r w:rsidR="00C621D2">
        <w:t xml:space="preserve"> </w:t>
      </w:r>
      <w:r w:rsidR="00311CBE">
        <w:t>Les</w:t>
      </w:r>
      <w:r w:rsidR="003E0896">
        <w:t xml:space="preserve"> sources textuelles et visuelles</w:t>
      </w:r>
      <w:r w:rsidR="00311CBE">
        <w:t xml:space="preserve">, trop souvent analysées </w:t>
      </w:r>
      <w:r w:rsidR="00A26B95">
        <w:t xml:space="preserve">séparément alors que </w:t>
      </w:r>
      <w:r w:rsidR="00750860">
        <w:t>l</w:t>
      </w:r>
      <w:r w:rsidR="00A26B95">
        <w:t>es mêmes sociétés leur ont donné naissance, sont ici mises en conversation</w:t>
      </w:r>
      <w:r w:rsidR="00311CBE">
        <w:t xml:space="preserve">. </w:t>
      </w:r>
      <w:r w:rsidR="002A3F1C">
        <w:t xml:space="preserve">Cependant, la portée </w:t>
      </w:r>
      <w:r w:rsidR="00652C16">
        <w:t xml:space="preserve">de l’argument </w:t>
      </w:r>
      <w:r w:rsidR="000B627D">
        <w:t>est également sa faiblesse</w:t>
      </w:r>
      <w:r w:rsidR="005526A1">
        <w:t>, car l’auteur laisse peu de place dans ses discussions aux particularismes</w:t>
      </w:r>
      <w:r w:rsidR="00155584">
        <w:t>,</w:t>
      </w:r>
      <w:r w:rsidR="005526A1">
        <w:t xml:space="preserve"> en faveur d’un argument global </w:t>
      </w:r>
      <w:r w:rsidR="00155584">
        <w:t xml:space="preserve">sur l’émergence des cités et de la monétisation </w:t>
      </w:r>
      <w:r w:rsidR="005526A1">
        <w:t xml:space="preserve">pour l’ensemble </w:t>
      </w:r>
      <w:r w:rsidR="00155584">
        <w:t xml:space="preserve">du monde grec, des épopées homériques à Platon. Par ailleurs, </w:t>
      </w:r>
      <w:r w:rsidR="005073A4">
        <w:t xml:space="preserve">cet ouvrage est construit, de l’aveu de l’auteur lui-même (p. </w:t>
      </w:r>
      <w:r w:rsidR="002C3E44">
        <w:t>ix)</w:t>
      </w:r>
      <w:r w:rsidR="005073A4">
        <w:t>, comme une continuité de ses précédentes publications</w:t>
      </w:r>
      <w:r w:rsidR="00D2233E">
        <w:t xml:space="preserve"> : il est vivement conseillé de les avoir consultées afin </w:t>
      </w:r>
      <w:r w:rsidR="00C32A9A">
        <w:t>de posséder</w:t>
      </w:r>
      <w:r w:rsidR="00D2233E">
        <w:t xml:space="preserve"> </w:t>
      </w:r>
      <w:r w:rsidR="00871CCA">
        <w:t>l’ensemble des clés pour comprendre les démonstrations du présent ouvrage</w:t>
      </w:r>
      <w:r w:rsidR="00D02893">
        <w:t>, en particulier pour les chapitres sur les cosmologies (</w:t>
      </w:r>
      <w:r w:rsidR="00B91D42">
        <w:t xml:space="preserve">3 </w:t>
      </w:r>
      <w:r w:rsidR="00D02893">
        <w:t xml:space="preserve">et </w:t>
      </w:r>
      <w:r w:rsidR="00B91D42">
        <w:t>4</w:t>
      </w:r>
      <w:r w:rsidR="00D02893">
        <w:t>)</w:t>
      </w:r>
      <w:r w:rsidR="00826248">
        <w:t>.</w:t>
      </w:r>
      <w:r w:rsidR="00871CCA">
        <w:t xml:space="preserve"> </w:t>
      </w:r>
      <w:r w:rsidR="003A4FFC">
        <w:t>En outre, il convient de souligner la clôture abrupte du chapitre final, ainsi que la brièveté du chapitre sur la tragédie</w:t>
      </w:r>
      <w:r w:rsidR="00F53B62">
        <w:t xml:space="preserve"> (p. </w:t>
      </w:r>
      <w:r w:rsidR="00B374DE">
        <w:t>164-172)</w:t>
      </w:r>
      <w:r w:rsidR="00F53B62">
        <w:t>,</w:t>
      </w:r>
      <w:r w:rsidR="003A4FFC">
        <w:t xml:space="preserve"> </w:t>
      </w:r>
      <w:r w:rsidR="00F53B62">
        <w:t xml:space="preserve">auxquelles </w:t>
      </w:r>
      <w:r w:rsidR="003A4FFC">
        <w:t>l’auteur n’aurait manqué de remédier si ce n’était pour les tristes circonstances qui ont vu la publication.</w:t>
      </w:r>
      <w:r w:rsidR="00282F87">
        <w:t xml:space="preserve"> Globalement, le présent ouvrage offre un argument </w:t>
      </w:r>
      <w:r w:rsidR="00426E9E">
        <w:t xml:space="preserve">novateur et </w:t>
      </w:r>
      <w:r w:rsidR="00282F87">
        <w:t>captivant</w:t>
      </w:r>
      <w:r>
        <w:t xml:space="preserve">, </w:t>
      </w:r>
      <w:r w:rsidR="00FA0F2A">
        <w:t>défendu avec une rigueur critique et des analyses subtiles</w:t>
      </w:r>
      <w:r w:rsidR="00282F87">
        <w:t>.</w:t>
      </w:r>
    </w:p>
    <w:p w14:paraId="4BAF0224" w14:textId="1057455B" w:rsidR="00D56BB4" w:rsidRDefault="00D56BB4" w:rsidP="00D56BB4">
      <w:pPr>
        <w:spacing w:after="0"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Lucie C</w:t>
      </w:r>
      <w:r w:rsidRPr="00D56BB4">
        <w:rPr>
          <w:rFonts w:cs="Times New Roman (Corps CS)"/>
          <w:smallCaps/>
        </w:rPr>
        <w:t>orriat</w:t>
      </w:r>
    </w:p>
    <w:p w14:paraId="401220A3" w14:textId="7F0C5F70" w:rsidR="00D56BB4" w:rsidRDefault="00D56BB4" w:rsidP="007B4B0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(UCLouvain)</w:t>
      </w:r>
    </w:p>
    <w:sectPr w:rsidR="00D56B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 (Corps CS)">
    <w:panose1 w:val="020B0604020202020204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25D1"/>
    <w:rsid w:val="000002E6"/>
    <w:rsid w:val="00001793"/>
    <w:rsid w:val="00003375"/>
    <w:rsid w:val="00003FAD"/>
    <w:rsid w:val="00005024"/>
    <w:rsid w:val="000059B0"/>
    <w:rsid w:val="0001280E"/>
    <w:rsid w:val="00012C1F"/>
    <w:rsid w:val="00014512"/>
    <w:rsid w:val="000176C7"/>
    <w:rsid w:val="00020964"/>
    <w:rsid w:val="00031CB5"/>
    <w:rsid w:val="00032DCF"/>
    <w:rsid w:val="0003565A"/>
    <w:rsid w:val="00046C32"/>
    <w:rsid w:val="00050DE1"/>
    <w:rsid w:val="00051EA4"/>
    <w:rsid w:val="00051EFD"/>
    <w:rsid w:val="0005290C"/>
    <w:rsid w:val="0005339A"/>
    <w:rsid w:val="00054811"/>
    <w:rsid w:val="00060E24"/>
    <w:rsid w:val="00064ECB"/>
    <w:rsid w:val="00071221"/>
    <w:rsid w:val="00080316"/>
    <w:rsid w:val="00081B5F"/>
    <w:rsid w:val="000964B6"/>
    <w:rsid w:val="000B0F52"/>
    <w:rsid w:val="000B1104"/>
    <w:rsid w:val="000B276B"/>
    <w:rsid w:val="000B627D"/>
    <w:rsid w:val="000C298E"/>
    <w:rsid w:val="000C3916"/>
    <w:rsid w:val="000C7A73"/>
    <w:rsid w:val="000C7DDB"/>
    <w:rsid w:val="000D02A2"/>
    <w:rsid w:val="000D7C64"/>
    <w:rsid w:val="000E31AF"/>
    <w:rsid w:val="000E3E71"/>
    <w:rsid w:val="000F07A3"/>
    <w:rsid w:val="000F15A3"/>
    <w:rsid w:val="000F3B56"/>
    <w:rsid w:val="000F734F"/>
    <w:rsid w:val="00104689"/>
    <w:rsid w:val="00113172"/>
    <w:rsid w:val="00116FD7"/>
    <w:rsid w:val="001174EC"/>
    <w:rsid w:val="00117795"/>
    <w:rsid w:val="00123B8F"/>
    <w:rsid w:val="00124B9F"/>
    <w:rsid w:val="00126EE9"/>
    <w:rsid w:val="00137DF9"/>
    <w:rsid w:val="001401A6"/>
    <w:rsid w:val="00143FEF"/>
    <w:rsid w:val="001443E4"/>
    <w:rsid w:val="00154C21"/>
    <w:rsid w:val="00155584"/>
    <w:rsid w:val="001568B6"/>
    <w:rsid w:val="00157961"/>
    <w:rsid w:val="00161F6F"/>
    <w:rsid w:val="001670EB"/>
    <w:rsid w:val="0016724B"/>
    <w:rsid w:val="00171817"/>
    <w:rsid w:val="00176614"/>
    <w:rsid w:val="001803D2"/>
    <w:rsid w:val="001978FC"/>
    <w:rsid w:val="00197C10"/>
    <w:rsid w:val="001A62C3"/>
    <w:rsid w:val="001A6569"/>
    <w:rsid w:val="001B0526"/>
    <w:rsid w:val="001B0DF8"/>
    <w:rsid w:val="001B1C10"/>
    <w:rsid w:val="001B50C0"/>
    <w:rsid w:val="001B731C"/>
    <w:rsid w:val="001C1BD8"/>
    <w:rsid w:val="001C3A7A"/>
    <w:rsid w:val="001D3272"/>
    <w:rsid w:val="001D34F5"/>
    <w:rsid w:val="001D5783"/>
    <w:rsid w:val="001E0224"/>
    <w:rsid w:val="001E4455"/>
    <w:rsid w:val="001E4C3D"/>
    <w:rsid w:val="001E5F9E"/>
    <w:rsid w:val="001E7078"/>
    <w:rsid w:val="001E7FAB"/>
    <w:rsid w:val="0020129E"/>
    <w:rsid w:val="00202D6B"/>
    <w:rsid w:val="00203D8C"/>
    <w:rsid w:val="00204BEF"/>
    <w:rsid w:val="002178A0"/>
    <w:rsid w:val="00221228"/>
    <w:rsid w:val="002226DB"/>
    <w:rsid w:val="00223D03"/>
    <w:rsid w:val="002242CC"/>
    <w:rsid w:val="0022617E"/>
    <w:rsid w:val="00226F6B"/>
    <w:rsid w:val="00227D25"/>
    <w:rsid w:val="00231885"/>
    <w:rsid w:val="00256664"/>
    <w:rsid w:val="00256AFF"/>
    <w:rsid w:val="00263091"/>
    <w:rsid w:val="00264989"/>
    <w:rsid w:val="00271089"/>
    <w:rsid w:val="00282F87"/>
    <w:rsid w:val="0028524C"/>
    <w:rsid w:val="002872EC"/>
    <w:rsid w:val="00292308"/>
    <w:rsid w:val="002975E2"/>
    <w:rsid w:val="002A3F1C"/>
    <w:rsid w:val="002A5ABB"/>
    <w:rsid w:val="002B08DD"/>
    <w:rsid w:val="002B3F3A"/>
    <w:rsid w:val="002B606E"/>
    <w:rsid w:val="002C3E44"/>
    <w:rsid w:val="002C4ACC"/>
    <w:rsid w:val="002C4EA3"/>
    <w:rsid w:val="002C729A"/>
    <w:rsid w:val="002D188B"/>
    <w:rsid w:val="002D20D9"/>
    <w:rsid w:val="002D5A4C"/>
    <w:rsid w:val="002D5E54"/>
    <w:rsid w:val="002E084D"/>
    <w:rsid w:val="002E47BD"/>
    <w:rsid w:val="002E6076"/>
    <w:rsid w:val="002F1982"/>
    <w:rsid w:val="002F5DD2"/>
    <w:rsid w:val="002F6ED3"/>
    <w:rsid w:val="003010D0"/>
    <w:rsid w:val="00311CBE"/>
    <w:rsid w:val="00313D06"/>
    <w:rsid w:val="00313E63"/>
    <w:rsid w:val="00314381"/>
    <w:rsid w:val="00314AA4"/>
    <w:rsid w:val="00320F1A"/>
    <w:rsid w:val="003224D2"/>
    <w:rsid w:val="003229EF"/>
    <w:rsid w:val="0032485B"/>
    <w:rsid w:val="00332784"/>
    <w:rsid w:val="00332BA1"/>
    <w:rsid w:val="003422C3"/>
    <w:rsid w:val="00345155"/>
    <w:rsid w:val="00347E2E"/>
    <w:rsid w:val="00350787"/>
    <w:rsid w:val="00352635"/>
    <w:rsid w:val="00355DF3"/>
    <w:rsid w:val="00364635"/>
    <w:rsid w:val="00365535"/>
    <w:rsid w:val="00367393"/>
    <w:rsid w:val="00367B76"/>
    <w:rsid w:val="0037459D"/>
    <w:rsid w:val="00377955"/>
    <w:rsid w:val="00385AF3"/>
    <w:rsid w:val="00390163"/>
    <w:rsid w:val="0039166C"/>
    <w:rsid w:val="003929BA"/>
    <w:rsid w:val="003A17E2"/>
    <w:rsid w:val="003A2921"/>
    <w:rsid w:val="003A4FFC"/>
    <w:rsid w:val="003A6713"/>
    <w:rsid w:val="003A6D88"/>
    <w:rsid w:val="003B3817"/>
    <w:rsid w:val="003B503A"/>
    <w:rsid w:val="003C2711"/>
    <w:rsid w:val="003C623B"/>
    <w:rsid w:val="003D0009"/>
    <w:rsid w:val="003D256D"/>
    <w:rsid w:val="003D4B60"/>
    <w:rsid w:val="003D547C"/>
    <w:rsid w:val="003E0896"/>
    <w:rsid w:val="003E39E6"/>
    <w:rsid w:val="003E56DF"/>
    <w:rsid w:val="003F3C7B"/>
    <w:rsid w:val="003F542C"/>
    <w:rsid w:val="00400136"/>
    <w:rsid w:val="0040189F"/>
    <w:rsid w:val="004044E9"/>
    <w:rsid w:val="00405603"/>
    <w:rsid w:val="0040587A"/>
    <w:rsid w:val="00406CBC"/>
    <w:rsid w:val="004107DF"/>
    <w:rsid w:val="0041192E"/>
    <w:rsid w:val="0041222B"/>
    <w:rsid w:val="00415EC0"/>
    <w:rsid w:val="004233DE"/>
    <w:rsid w:val="00426D25"/>
    <w:rsid w:val="00426E9E"/>
    <w:rsid w:val="004277AD"/>
    <w:rsid w:val="0043525A"/>
    <w:rsid w:val="0043561C"/>
    <w:rsid w:val="00443AC4"/>
    <w:rsid w:val="00445890"/>
    <w:rsid w:val="004547F5"/>
    <w:rsid w:val="00456372"/>
    <w:rsid w:val="00467B30"/>
    <w:rsid w:val="004715DE"/>
    <w:rsid w:val="00473EB8"/>
    <w:rsid w:val="0047563E"/>
    <w:rsid w:val="00476D94"/>
    <w:rsid w:val="004900BF"/>
    <w:rsid w:val="00492766"/>
    <w:rsid w:val="00492F16"/>
    <w:rsid w:val="00494C54"/>
    <w:rsid w:val="004A2CE7"/>
    <w:rsid w:val="004B12D7"/>
    <w:rsid w:val="004B3A94"/>
    <w:rsid w:val="004B4147"/>
    <w:rsid w:val="004B5B98"/>
    <w:rsid w:val="004B67DF"/>
    <w:rsid w:val="004B6DFD"/>
    <w:rsid w:val="004C0AE0"/>
    <w:rsid w:val="004C3B07"/>
    <w:rsid w:val="004C4E86"/>
    <w:rsid w:val="004C7799"/>
    <w:rsid w:val="004E048C"/>
    <w:rsid w:val="004E3B0A"/>
    <w:rsid w:val="004E67F4"/>
    <w:rsid w:val="004E6956"/>
    <w:rsid w:val="004E6DB8"/>
    <w:rsid w:val="004F63A5"/>
    <w:rsid w:val="00502B66"/>
    <w:rsid w:val="0050686B"/>
    <w:rsid w:val="005073A4"/>
    <w:rsid w:val="00511556"/>
    <w:rsid w:val="005118EC"/>
    <w:rsid w:val="005134AD"/>
    <w:rsid w:val="00513AB6"/>
    <w:rsid w:val="00514993"/>
    <w:rsid w:val="00516190"/>
    <w:rsid w:val="0052031E"/>
    <w:rsid w:val="00525A93"/>
    <w:rsid w:val="00526819"/>
    <w:rsid w:val="00526E23"/>
    <w:rsid w:val="005304EB"/>
    <w:rsid w:val="00532AC1"/>
    <w:rsid w:val="00535D7F"/>
    <w:rsid w:val="005418E2"/>
    <w:rsid w:val="00547B7F"/>
    <w:rsid w:val="00550A13"/>
    <w:rsid w:val="005526A1"/>
    <w:rsid w:val="00555C74"/>
    <w:rsid w:val="00557EC2"/>
    <w:rsid w:val="00560CA1"/>
    <w:rsid w:val="0056315D"/>
    <w:rsid w:val="00565A86"/>
    <w:rsid w:val="00566CE6"/>
    <w:rsid w:val="005678FA"/>
    <w:rsid w:val="0057211A"/>
    <w:rsid w:val="005744D3"/>
    <w:rsid w:val="005744D6"/>
    <w:rsid w:val="005770F5"/>
    <w:rsid w:val="005920B0"/>
    <w:rsid w:val="00592503"/>
    <w:rsid w:val="00592C7D"/>
    <w:rsid w:val="00594DB2"/>
    <w:rsid w:val="00597985"/>
    <w:rsid w:val="005A0D74"/>
    <w:rsid w:val="005A157C"/>
    <w:rsid w:val="005A314D"/>
    <w:rsid w:val="005A4C82"/>
    <w:rsid w:val="005A6FC7"/>
    <w:rsid w:val="005B0DFC"/>
    <w:rsid w:val="005B16EE"/>
    <w:rsid w:val="005B53B8"/>
    <w:rsid w:val="005B65FE"/>
    <w:rsid w:val="005B6F75"/>
    <w:rsid w:val="005D16CC"/>
    <w:rsid w:val="005D6124"/>
    <w:rsid w:val="005D6AA1"/>
    <w:rsid w:val="005E1204"/>
    <w:rsid w:val="006039E4"/>
    <w:rsid w:val="00605C27"/>
    <w:rsid w:val="00606C8D"/>
    <w:rsid w:val="00615B3E"/>
    <w:rsid w:val="00621F10"/>
    <w:rsid w:val="0062212D"/>
    <w:rsid w:val="00626649"/>
    <w:rsid w:val="006266C4"/>
    <w:rsid w:val="006325A7"/>
    <w:rsid w:val="00632E0D"/>
    <w:rsid w:val="00634475"/>
    <w:rsid w:val="00635D5A"/>
    <w:rsid w:val="00640251"/>
    <w:rsid w:val="00640BE9"/>
    <w:rsid w:val="0064343B"/>
    <w:rsid w:val="00646912"/>
    <w:rsid w:val="0065004D"/>
    <w:rsid w:val="00650F37"/>
    <w:rsid w:val="00652C16"/>
    <w:rsid w:val="006554AB"/>
    <w:rsid w:val="00661CD5"/>
    <w:rsid w:val="00662D74"/>
    <w:rsid w:val="0066568D"/>
    <w:rsid w:val="00665AC1"/>
    <w:rsid w:val="0066699D"/>
    <w:rsid w:val="00666FA0"/>
    <w:rsid w:val="00670A13"/>
    <w:rsid w:val="00676052"/>
    <w:rsid w:val="00680882"/>
    <w:rsid w:val="006815E6"/>
    <w:rsid w:val="00682228"/>
    <w:rsid w:val="00692F17"/>
    <w:rsid w:val="00693BF3"/>
    <w:rsid w:val="00697E63"/>
    <w:rsid w:val="006A43AB"/>
    <w:rsid w:val="006A687B"/>
    <w:rsid w:val="006B088F"/>
    <w:rsid w:val="006B11BB"/>
    <w:rsid w:val="006B2552"/>
    <w:rsid w:val="006C0C34"/>
    <w:rsid w:val="006C686A"/>
    <w:rsid w:val="006C7005"/>
    <w:rsid w:val="006D00A9"/>
    <w:rsid w:val="006D0ECA"/>
    <w:rsid w:val="006D4836"/>
    <w:rsid w:val="006E20B3"/>
    <w:rsid w:val="006E20C0"/>
    <w:rsid w:val="006E4DF5"/>
    <w:rsid w:val="006E5783"/>
    <w:rsid w:val="006E5BD3"/>
    <w:rsid w:val="006F1D0F"/>
    <w:rsid w:val="006F28F8"/>
    <w:rsid w:val="006F322B"/>
    <w:rsid w:val="006F4C4B"/>
    <w:rsid w:val="006F6F7B"/>
    <w:rsid w:val="0070447B"/>
    <w:rsid w:val="00704EA5"/>
    <w:rsid w:val="00705C58"/>
    <w:rsid w:val="00705F03"/>
    <w:rsid w:val="00706DEC"/>
    <w:rsid w:val="00710C15"/>
    <w:rsid w:val="00712768"/>
    <w:rsid w:val="007128CE"/>
    <w:rsid w:val="0071345A"/>
    <w:rsid w:val="007163DA"/>
    <w:rsid w:val="0072142B"/>
    <w:rsid w:val="007223C5"/>
    <w:rsid w:val="00723817"/>
    <w:rsid w:val="00726914"/>
    <w:rsid w:val="00733BF2"/>
    <w:rsid w:val="00735B61"/>
    <w:rsid w:val="007363CC"/>
    <w:rsid w:val="00737649"/>
    <w:rsid w:val="007506AA"/>
    <w:rsid w:val="00750860"/>
    <w:rsid w:val="007509EC"/>
    <w:rsid w:val="00753CE2"/>
    <w:rsid w:val="00755C36"/>
    <w:rsid w:val="00756F4E"/>
    <w:rsid w:val="007601E6"/>
    <w:rsid w:val="007616B0"/>
    <w:rsid w:val="007617B6"/>
    <w:rsid w:val="007637C5"/>
    <w:rsid w:val="0076492D"/>
    <w:rsid w:val="00766EE4"/>
    <w:rsid w:val="0076746D"/>
    <w:rsid w:val="007757DA"/>
    <w:rsid w:val="00776594"/>
    <w:rsid w:val="00776AF4"/>
    <w:rsid w:val="00781157"/>
    <w:rsid w:val="007922CF"/>
    <w:rsid w:val="0079278B"/>
    <w:rsid w:val="0079387A"/>
    <w:rsid w:val="007A3842"/>
    <w:rsid w:val="007A53F7"/>
    <w:rsid w:val="007A6D60"/>
    <w:rsid w:val="007B2F1D"/>
    <w:rsid w:val="007B4B04"/>
    <w:rsid w:val="007B60F8"/>
    <w:rsid w:val="007C31C2"/>
    <w:rsid w:val="007D5EC0"/>
    <w:rsid w:val="007E26D6"/>
    <w:rsid w:val="007E34F0"/>
    <w:rsid w:val="007F17EB"/>
    <w:rsid w:val="007F42B8"/>
    <w:rsid w:val="00801F23"/>
    <w:rsid w:val="00802CEB"/>
    <w:rsid w:val="00803831"/>
    <w:rsid w:val="008043AD"/>
    <w:rsid w:val="00805C3D"/>
    <w:rsid w:val="0081254B"/>
    <w:rsid w:val="00821188"/>
    <w:rsid w:val="00821476"/>
    <w:rsid w:val="00822E2C"/>
    <w:rsid w:val="008255FC"/>
    <w:rsid w:val="00825FDC"/>
    <w:rsid w:val="00826248"/>
    <w:rsid w:val="008339C7"/>
    <w:rsid w:val="00844548"/>
    <w:rsid w:val="0084526B"/>
    <w:rsid w:val="00847481"/>
    <w:rsid w:val="0085018E"/>
    <w:rsid w:val="008529E8"/>
    <w:rsid w:val="008551F2"/>
    <w:rsid w:val="00855A19"/>
    <w:rsid w:val="00866712"/>
    <w:rsid w:val="008717DC"/>
    <w:rsid w:val="00871CCA"/>
    <w:rsid w:val="008808C8"/>
    <w:rsid w:val="008819DF"/>
    <w:rsid w:val="00883BF2"/>
    <w:rsid w:val="00885168"/>
    <w:rsid w:val="0089041E"/>
    <w:rsid w:val="00891B94"/>
    <w:rsid w:val="008A1A58"/>
    <w:rsid w:val="008A5159"/>
    <w:rsid w:val="008B2303"/>
    <w:rsid w:val="008B49F3"/>
    <w:rsid w:val="008B4BB1"/>
    <w:rsid w:val="008B51D6"/>
    <w:rsid w:val="008C13F8"/>
    <w:rsid w:val="008C2A84"/>
    <w:rsid w:val="008C788F"/>
    <w:rsid w:val="008D1894"/>
    <w:rsid w:val="008D5504"/>
    <w:rsid w:val="008E2CD5"/>
    <w:rsid w:val="008F1E8D"/>
    <w:rsid w:val="008F56A7"/>
    <w:rsid w:val="00903834"/>
    <w:rsid w:val="00904262"/>
    <w:rsid w:val="009043F9"/>
    <w:rsid w:val="00905DCD"/>
    <w:rsid w:val="009116DC"/>
    <w:rsid w:val="00916273"/>
    <w:rsid w:val="00916409"/>
    <w:rsid w:val="009173EF"/>
    <w:rsid w:val="0092219A"/>
    <w:rsid w:val="00924A3B"/>
    <w:rsid w:val="00925777"/>
    <w:rsid w:val="009258FB"/>
    <w:rsid w:val="00930FFC"/>
    <w:rsid w:val="00935570"/>
    <w:rsid w:val="00936C73"/>
    <w:rsid w:val="00946882"/>
    <w:rsid w:val="0095640A"/>
    <w:rsid w:val="00964736"/>
    <w:rsid w:val="00966578"/>
    <w:rsid w:val="00974255"/>
    <w:rsid w:val="00980280"/>
    <w:rsid w:val="00981B5D"/>
    <w:rsid w:val="00982572"/>
    <w:rsid w:val="0099469F"/>
    <w:rsid w:val="0099519A"/>
    <w:rsid w:val="009A05ED"/>
    <w:rsid w:val="009A1671"/>
    <w:rsid w:val="009A1EC7"/>
    <w:rsid w:val="009A522B"/>
    <w:rsid w:val="009A5DFA"/>
    <w:rsid w:val="009A6BBF"/>
    <w:rsid w:val="009B0252"/>
    <w:rsid w:val="009B518F"/>
    <w:rsid w:val="009D0D7C"/>
    <w:rsid w:val="009D4C99"/>
    <w:rsid w:val="009E06BF"/>
    <w:rsid w:val="009E20EE"/>
    <w:rsid w:val="009E2D1D"/>
    <w:rsid w:val="009F165B"/>
    <w:rsid w:val="009F6CB0"/>
    <w:rsid w:val="00A01DE2"/>
    <w:rsid w:val="00A047CF"/>
    <w:rsid w:val="00A1299E"/>
    <w:rsid w:val="00A20777"/>
    <w:rsid w:val="00A26B95"/>
    <w:rsid w:val="00A3629F"/>
    <w:rsid w:val="00A416D2"/>
    <w:rsid w:val="00A4275A"/>
    <w:rsid w:val="00A4417A"/>
    <w:rsid w:val="00A55E40"/>
    <w:rsid w:val="00A6131D"/>
    <w:rsid w:val="00A624AD"/>
    <w:rsid w:val="00A641C6"/>
    <w:rsid w:val="00A65B31"/>
    <w:rsid w:val="00A67F87"/>
    <w:rsid w:val="00A70BF0"/>
    <w:rsid w:val="00A70F2B"/>
    <w:rsid w:val="00A7105D"/>
    <w:rsid w:val="00A71260"/>
    <w:rsid w:val="00A71AC8"/>
    <w:rsid w:val="00A7539C"/>
    <w:rsid w:val="00A83D01"/>
    <w:rsid w:val="00A84F3F"/>
    <w:rsid w:val="00A92D37"/>
    <w:rsid w:val="00A949F5"/>
    <w:rsid w:val="00AA13AE"/>
    <w:rsid w:val="00AB01B7"/>
    <w:rsid w:val="00AB4002"/>
    <w:rsid w:val="00AB4422"/>
    <w:rsid w:val="00AB4D65"/>
    <w:rsid w:val="00AC2FFB"/>
    <w:rsid w:val="00AC5628"/>
    <w:rsid w:val="00AE1A8D"/>
    <w:rsid w:val="00AE4C90"/>
    <w:rsid w:val="00AE5122"/>
    <w:rsid w:val="00AF3DFA"/>
    <w:rsid w:val="00AF3E14"/>
    <w:rsid w:val="00AF569E"/>
    <w:rsid w:val="00AF5A24"/>
    <w:rsid w:val="00B12C42"/>
    <w:rsid w:val="00B134A3"/>
    <w:rsid w:val="00B3190C"/>
    <w:rsid w:val="00B374DE"/>
    <w:rsid w:val="00B37C99"/>
    <w:rsid w:val="00B410EE"/>
    <w:rsid w:val="00B42AB9"/>
    <w:rsid w:val="00B53584"/>
    <w:rsid w:val="00B57A2B"/>
    <w:rsid w:val="00B61914"/>
    <w:rsid w:val="00B6647E"/>
    <w:rsid w:val="00B77D2E"/>
    <w:rsid w:val="00B80C67"/>
    <w:rsid w:val="00B812F3"/>
    <w:rsid w:val="00B815BB"/>
    <w:rsid w:val="00B83625"/>
    <w:rsid w:val="00B85FBE"/>
    <w:rsid w:val="00B91D42"/>
    <w:rsid w:val="00B94F27"/>
    <w:rsid w:val="00BA13A6"/>
    <w:rsid w:val="00BA30B3"/>
    <w:rsid w:val="00BA44FE"/>
    <w:rsid w:val="00BA568A"/>
    <w:rsid w:val="00BA704F"/>
    <w:rsid w:val="00BB2571"/>
    <w:rsid w:val="00BB701D"/>
    <w:rsid w:val="00BC682B"/>
    <w:rsid w:val="00BD617D"/>
    <w:rsid w:val="00BD7C37"/>
    <w:rsid w:val="00BE1864"/>
    <w:rsid w:val="00BE33F5"/>
    <w:rsid w:val="00BE6084"/>
    <w:rsid w:val="00BE754C"/>
    <w:rsid w:val="00BF4D0F"/>
    <w:rsid w:val="00C010EB"/>
    <w:rsid w:val="00C011D2"/>
    <w:rsid w:val="00C015C8"/>
    <w:rsid w:val="00C024EA"/>
    <w:rsid w:val="00C1097A"/>
    <w:rsid w:val="00C14802"/>
    <w:rsid w:val="00C21391"/>
    <w:rsid w:val="00C21FF1"/>
    <w:rsid w:val="00C239FD"/>
    <w:rsid w:val="00C24911"/>
    <w:rsid w:val="00C2621B"/>
    <w:rsid w:val="00C325D1"/>
    <w:rsid w:val="00C32A9A"/>
    <w:rsid w:val="00C348DB"/>
    <w:rsid w:val="00C35E27"/>
    <w:rsid w:val="00C3611C"/>
    <w:rsid w:val="00C40E54"/>
    <w:rsid w:val="00C43CB2"/>
    <w:rsid w:val="00C5455E"/>
    <w:rsid w:val="00C54EF7"/>
    <w:rsid w:val="00C57B0C"/>
    <w:rsid w:val="00C57BEC"/>
    <w:rsid w:val="00C6027D"/>
    <w:rsid w:val="00C616B4"/>
    <w:rsid w:val="00C621D2"/>
    <w:rsid w:val="00C62E48"/>
    <w:rsid w:val="00C634C7"/>
    <w:rsid w:val="00C65B78"/>
    <w:rsid w:val="00C679E8"/>
    <w:rsid w:val="00C80DE6"/>
    <w:rsid w:val="00C860EF"/>
    <w:rsid w:val="00C90A8D"/>
    <w:rsid w:val="00C93EB0"/>
    <w:rsid w:val="00C94180"/>
    <w:rsid w:val="00CA39C4"/>
    <w:rsid w:val="00CA57E0"/>
    <w:rsid w:val="00CB120F"/>
    <w:rsid w:val="00CB31AA"/>
    <w:rsid w:val="00CB36FA"/>
    <w:rsid w:val="00CB6FD7"/>
    <w:rsid w:val="00CC30CA"/>
    <w:rsid w:val="00CC4625"/>
    <w:rsid w:val="00CC7A8D"/>
    <w:rsid w:val="00CD0BA2"/>
    <w:rsid w:val="00CD260F"/>
    <w:rsid w:val="00CD421C"/>
    <w:rsid w:val="00CD65D4"/>
    <w:rsid w:val="00CD7EF4"/>
    <w:rsid w:val="00CE1433"/>
    <w:rsid w:val="00CE15EA"/>
    <w:rsid w:val="00CE3C13"/>
    <w:rsid w:val="00CE3F58"/>
    <w:rsid w:val="00CE4B37"/>
    <w:rsid w:val="00CE7574"/>
    <w:rsid w:val="00CE7A0D"/>
    <w:rsid w:val="00CF23AF"/>
    <w:rsid w:val="00CF353D"/>
    <w:rsid w:val="00D002B1"/>
    <w:rsid w:val="00D01599"/>
    <w:rsid w:val="00D02893"/>
    <w:rsid w:val="00D12238"/>
    <w:rsid w:val="00D21B1C"/>
    <w:rsid w:val="00D2233E"/>
    <w:rsid w:val="00D2360E"/>
    <w:rsid w:val="00D3020E"/>
    <w:rsid w:val="00D37478"/>
    <w:rsid w:val="00D42A12"/>
    <w:rsid w:val="00D444A9"/>
    <w:rsid w:val="00D56BB4"/>
    <w:rsid w:val="00D5763F"/>
    <w:rsid w:val="00D613BB"/>
    <w:rsid w:val="00D73FDF"/>
    <w:rsid w:val="00D9405E"/>
    <w:rsid w:val="00D9787E"/>
    <w:rsid w:val="00DA7CC0"/>
    <w:rsid w:val="00DB1E19"/>
    <w:rsid w:val="00DB3676"/>
    <w:rsid w:val="00DC16F3"/>
    <w:rsid w:val="00DC2A9F"/>
    <w:rsid w:val="00DC6D0F"/>
    <w:rsid w:val="00DC7D8D"/>
    <w:rsid w:val="00DD014D"/>
    <w:rsid w:val="00DD46DF"/>
    <w:rsid w:val="00DD4B07"/>
    <w:rsid w:val="00DE0C1C"/>
    <w:rsid w:val="00DE6823"/>
    <w:rsid w:val="00DF0167"/>
    <w:rsid w:val="00E06051"/>
    <w:rsid w:val="00E10786"/>
    <w:rsid w:val="00E1710B"/>
    <w:rsid w:val="00E17145"/>
    <w:rsid w:val="00E207FC"/>
    <w:rsid w:val="00E26D27"/>
    <w:rsid w:val="00E31633"/>
    <w:rsid w:val="00E33AEC"/>
    <w:rsid w:val="00E340F5"/>
    <w:rsid w:val="00E35FCF"/>
    <w:rsid w:val="00E426AD"/>
    <w:rsid w:val="00E4418C"/>
    <w:rsid w:val="00E46BDE"/>
    <w:rsid w:val="00E514A8"/>
    <w:rsid w:val="00E55202"/>
    <w:rsid w:val="00E56100"/>
    <w:rsid w:val="00E61BAA"/>
    <w:rsid w:val="00E70A0A"/>
    <w:rsid w:val="00E72367"/>
    <w:rsid w:val="00E74644"/>
    <w:rsid w:val="00E75317"/>
    <w:rsid w:val="00E75689"/>
    <w:rsid w:val="00E77245"/>
    <w:rsid w:val="00E97054"/>
    <w:rsid w:val="00EA029E"/>
    <w:rsid w:val="00EA0500"/>
    <w:rsid w:val="00EA0ED4"/>
    <w:rsid w:val="00EA4403"/>
    <w:rsid w:val="00EA6F1D"/>
    <w:rsid w:val="00EB0EA9"/>
    <w:rsid w:val="00EB2A5D"/>
    <w:rsid w:val="00EB479A"/>
    <w:rsid w:val="00EB47C4"/>
    <w:rsid w:val="00EC1034"/>
    <w:rsid w:val="00EC1E6B"/>
    <w:rsid w:val="00EC211E"/>
    <w:rsid w:val="00ED321F"/>
    <w:rsid w:val="00ED3804"/>
    <w:rsid w:val="00ED459B"/>
    <w:rsid w:val="00ED6757"/>
    <w:rsid w:val="00ED6E5D"/>
    <w:rsid w:val="00EE22E8"/>
    <w:rsid w:val="00EE2AFD"/>
    <w:rsid w:val="00EE3520"/>
    <w:rsid w:val="00EE5B0C"/>
    <w:rsid w:val="00EF4939"/>
    <w:rsid w:val="00F0056F"/>
    <w:rsid w:val="00F02412"/>
    <w:rsid w:val="00F13230"/>
    <w:rsid w:val="00F14697"/>
    <w:rsid w:val="00F164FD"/>
    <w:rsid w:val="00F22E12"/>
    <w:rsid w:val="00F23FDF"/>
    <w:rsid w:val="00F322E5"/>
    <w:rsid w:val="00F3799D"/>
    <w:rsid w:val="00F37CA3"/>
    <w:rsid w:val="00F454D9"/>
    <w:rsid w:val="00F45FB2"/>
    <w:rsid w:val="00F47413"/>
    <w:rsid w:val="00F50747"/>
    <w:rsid w:val="00F53B62"/>
    <w:rsid w:val="00F53FFE"/>
    <w:rsid w:val="00F54FDF"/>
    <w:rsid w:val="00F63A81"/>
    <w:rsid w:val="00F63A99"/>
    <w:rsid w:val="00F6783E"/>
    <w:rsid w:val="00F7332F"/>
    <w:rsid w:val="00F76875"/>
    <w:rsid w:val="00F8159C"/>
    <w:rsid w:val="00F931E4"/>
    <w:rsid w:val="00F95F25"/>
    <w:rsid w:val="00F96D70"/>
    <w:rsid w:val="00F9771C"/>
    <w:rsid w:val="00FA0D60"/>
    <w:rsid w:val="00FA0F2A"/>
    <w:rsid w:val="00FA17EF"/>
    <w:rsid w:val="00FA6A68"/>
    <w:rsid w:val="00FB0616"/>
    <w:rsid w:val="00FD0309"/>
    <w:rsid w:val="00FE2B0E"/>
    <w:rsid w:val="00FE2DAA"/>
    <w:rsid w:val="00FE6EF1"/>
    <w:rsid w:val="00FF2AC1"/>
    <w:rsid w:val="00FF4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153914F"/>
  <w15:chartTrackingRefBased/>
  <w15:docId w15:val="{39E58972-4F87-8F41-AE03-F2EA76BD94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B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29E8"/>
    <w:pPr>
      <w:spacing w:after="200" w:line="288" w:lineRule="auto"/>
      <w:jc w:val="both"/>
    </w:pPr>
    <w:rPr>
      <w:rFonts w:ascii="Times New Roman" w:eastAsiaTheme="minorEastAsia" w:hAnsi="Times New Roman"/>
      <w:iCs/>
      <w:szCs w:val="20"/>
      <w:lang w:val="fr-FR"/>
    </w:rPr>
  </w:style>
  <w:style w:type="paragraph" w:styleId="Titre1">
    <w:name w:val="heading 1"/>
    <w:basedOn w:val="Normal"/>
    <w:next w:val="Normal"/>
    <w:link w:val="Titre1Car"/>
    <w:uiPriority w:val="9"/>
    <w:qFormat/>
    <w:rsid w:val="00C325D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325D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C325D1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C325D1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 w:val="0"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C325D1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C325D1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 w:val="0"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C325D1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C325D1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 w:val="0"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C325D1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C325D1"/>
    <w:rPr>
      <w:rFonts w:asciiTheme="majorHAnsi" w:eastAsiaTheme="majorEastAsia" w:hAnsiTheme="majorHAnsi" w:cstheme="majorBidi"/>
      <w:iCs/>
      <w:color w:val="0F4761" w:themeColor="accent1" w:themeShade="BF"/>
      <w:sz w:val="40"/>
      <w:szCs w:val="40"/>
      <w:lang w:val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325D1"/>
    <w:rPr>
      <w:rFonts w:asciiTheme="majorHAnsi" w:eastAsiaTheme="majorEastAsia" w:hAnsiTheme="majorHAnsi" w:cstheme="majorBidi"/>
      <w:iCs/>
      <w:color w:val="0F4761" w:themeColor="accent1" w:themeShade="BF"/>
      <w:sz w:val="32"/>
      <w:szCs w:val="32"/>
      <w:lang w:val="fr-FR"/>
    </w:rPr>
  </w:style>
  <w:style w:type="character" w:customStyle="1" w:styleId="Titre3Car">
    <w:name w:val="Titre 3 Car"/>
    <w:basedOn w:val="Policepardfaut"/>
    <w:link w:val="Titre3"/>
    <w:uiPriority w:val="9"/>
    <w:semiHidden/>
    <w:rsid w:val="00C325D1"/>
    <w:rPr>
      <w:rFonts w:eastAsiaTheme="majorEastAsia" w:cstheme="majorBidi"/>
      <w:iCs/>
      <w:color w:val="0F4761" w:themeColor="accent1" w:themeShade="BF"/>
      <w:sz w:val="28"/>
      <w:szCs w:val="28"/>
      <w:lang w:val="fr-FR"/>
    </w:rPr>
  </w:style>
  <w:style w:type="character" w:customStyle="1" w:styleId="Titre4Car">
    <w:name w:val="Titre 4 Car"/>
    <w:basedOn w:val="Policepardfaut"/>
    <w:link w:val="Titre4"/>
    <w:uiPriority w:val="9"/>
    <w:semiHidden/>
    <w:rsid w:val="00C325D1"/>
    <w:rPr>
      <w:rFonts w:eastAsiaTheme="majorEastAsia" w:cstheme="majorBidi"/>
      <w:i/>
      <w:color w:val="0F4761" w:themeColor="accent1" w:themeShade="BF"/>
      <w:szCs w:val="20"/>
      <w:lang w:val="fr-FR"/>
    </w:rPr>
  </w:style>
  <w:style w:type="character" w:customStyle="1" w:styleId="Titre5Car">
    <w:name w:val="Titre 5 Car"/>
    <w:basedOn w:val="Policepardfaut"/>
    <w:link w:val="Titre5"/>
    <w:uiPriority w:val="9"/>
    <w:semiHidden/>
    <w:rsid w:val="00C325D1"/>
    <w:rPr>
      <w:rFonts w:eastAsiaTheme="majorEastAsia" w:cstheme="majorBidi"/>
      <w:iCs/>
      <w:color w:val="0F4761" w:themeColor="accent1" w:themeShade="BF"/>
      <w:szCs w:val="20"/>
      <w:lang w:val="fr-FR"/>
    </w:rPr>
  </w:style>
  <w:style w:type="character" w:customStyle="1" w:styleId="Titre6Car">
    <w:name w:val="Titre 6 Car"/>
    <w:basedOn w:val="Policepardfaut"/>
    <w:link w:val="Titre6"/>
    <w:uiPriority w:val="9"/>
    <w:semiHidden/>
    <w:rsid w:val="00C325D1"/>
    <w:rPr>
      <w:rFonts w:eastAsiaTheme="majorEastAsia" w:cstheme="majorBidi"/>
      <w:i/>
      <w:color w:val="595959" w:themeColor="text1" w:themeTint="A6"/>
      <w:szCs w:val="20"/>
      <w:lang w:val="fr-FR"/>
    </w:rPr>
  </w:style>
  <w:style w:type="character" w:customStyle="1" w:styleId="Titre7Car">
    <w:name w:val="Titre 7 Car"/>
    <w:basedOn w:val="Policepardfaut"/>
    <w:link w:val="Titre7"/>
    <w:uiPriority w:val="9"/>
    <w:semiHidden/>
    <w:rsid w:val="00C325D1"/>
    <w:rPr>
      <w:rFonts w:eastAsiaTheme="majorEastAsia" w:cstheme="majorBidi"/>
      <w:iCs/>
      <w:color w:val="595959" w:themeColor="text1" w:themeTint="A6"/>
      <w:szCs w:val="20"/>
      <w:lang w:val="fr-FR"/>
    </w:rPr>
  </w:style>
  <w:style w:type="character" w:customStyle="1" w:styleId="Titre8Car">
    <w:name w:val="Titre 8 Car"/>
    <w:basedOn w:val="Policepardfaut"/>
    <w:link w:val="Titre8"/>
    <w:uiPriority w:val="9"/>
    <w:semiHidden/>
    <w:rsid w:val="00C325D1"/>
    <w:rPr>
      <w:rFonts w:eastAsiaTheme="majorEastAsia" w:cstheme="majorBidi"/>
      <w:i/>
      <w:color w:val="272727" w:themeColor="text1" w:themeTint="D8"/>
      <w:szCs w:val="20"/>
      <w:lang w:val="fr-FR"/>
    </w:rPr>
  </w:style>
  <w:style w:type="character" w:customStyle="1" w:styleId="Titre9Car">
    <w:name w:val="Titre 9 Car"/>
    <w:basedOn w:val="Policepardfaut"/>
    <w:link w:val="Titre9"/>
    <w:uiPriority w:val="9"/>
    <w:semiHidden/>
    <w:rsid w:val="00C325D1"/>
    <w:rPr>
      <w:rFonts w:eastAsiaTheme="majorEastAsia" w:cstheme="majorBidi"/>
      <w:iCs/>
      <w:color w:val="272727" w:themeColor="text1" w:themeTint="D8"/>
      <w:szCs w:val="20"/>
      <w:lang w:val="fr-FR"/>
    </w:rPr>
  </w:style>
  <w:style w:type="paragraph" w:styleId="Titre">
    <w:name w:val="Title"/>
    <w:basedOn w:val="Normal"/>
    <w:next w:val="Normal"/>
    <w:link w:val="TitreCar"/>
    <w:uiPriority w:val="10"/>
    <w:qFormat/>
    <w:rsid w:val="00C325D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C325D1"/>
    <w:rPr>
      <w:rFonts w:asciiTheme="majorHAnsi" w:eastAsiaTheme="majorEastAsia" w:hAnsiTheme="majorHAnsi" w:cstheme="majorBidi"/>
      <w:iCs/>
      <w:spacing w:val="-10"/>
      <w:kern w:val="28"/>
      <w:sz w:val="56"/>
      <w:szCs w:val="56"/>
      <w:lang w:val="fr-FR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C325D1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C325D1"/>
    <w:rPr>
      <w:rFonts w:eastAsiaTheme="majorEastAsia" w:cstheme="majorBidi"/>
      <w:iCs/>
      <w:color w:val="595959" w:themeColor="text1" w:themeTint="A6"/>
      <w:spacing w:val="15"/>
      <w:sz w:val="28"/>
      <w:szCs w:val="28"/>
      <w:lang w:val="fr-FR"/>
    </w:rPr>
  </w:style>
  <w:style w:type="paragraph" w:styleId="Citation">
    <w:name w:val="Quote"/>
    <w:basedOn w:val="Normal"/>
    <w:next w:val="Normal"/>
    <w:link w:val="CitationCar"/>
    <w:uiPriority w:val="29"/>
    <w:qFormat/>
    <w:rsid w:val="00C325D1"/>
    <w:pPr>
      <w:spacing w:before="160" w:after="160"/>
      <w:jc w:val="center"/>
    </w:pPr>
    <w:rPr>
      <w:i/>
      <w:iCs w:val="0"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C325D1"/>
    <w:rPr>
      <w:rFonts w:ascii="Times New Roman" w:eastAsiaTheme="minorEastAsia" w:hAnsi="Times New Roman"/>
      <w:i/>
      <w:color w:val="404040" w:themeColor="text1" w:themeTint="BF"/>
      <w:szCs w:val="20"/>
      <w:lang w:val="fr-FR"/>
    </w:rPr>
  </w:style>
  <w:style w:type="paragraph" w:styleId="Paragraphedeliste">
    <w:name w:val="List Paragraph"/>
    <w:basedOn w:val="Normal"/>
    <w:uiPriority w:val="34"/>
    <w:qFormat/>
    <w:rsid w:val="00C325D1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C325D1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C325D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 w:val="0"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C325D1"/>
    <w:rPr>
      <w:rFonts w:ascii="Times New Roman" w:eastAsiaTheme="minorEastAsia" w:hAnsi="Times New Roman"/>
      <w:i/>
      <w:color w:val="0F4761" w:themeColor="accent1" w:themeShade="BF"/>
      <w:szCs w:val="20"/>
      <w:lang w:val="fr-FR"/>
    </w:rPr>
  </w:style>
  <w:style w:type="character" w:styleId="Rfrenceintense">
    <w:name w:val="Intense Reference"/>
    <w:basedOn w:val="Policepardfaut"/>
    <w:uiPriority w:val="32"/>
    <w:qFormat/>
    <w:rsid w:val="00C325D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216</TotalTime>
  <Pages>2</Pages>
  <Words>1083</Words>
  <Characters>5961</Characters>
  <Application>Microsoft Office Word</Application>
  <DocSecurity>0</DocSecurity>
  <Lines>49</Lines>
  <Paragraphs>14</Paragraphs>
  <ScaleCrop>false</ScaleCrop>
  <Company/>
  <LinksUpToDate>false</LinksUpToDate>
  <CharactersWithSpaces>7030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Lucie Corriat</dc:creator>
  <cp:keywords/>
  <dc:description/>
  <cp:lastModifiedBy>Lucie Corriat</cp:lastModifiedBy>
  <cp:revision>252</cp:revision>
  <dcterms:created xsi:type="dcterms:W3CDTF">2026-01-08T14:23:00Z</dcterms:created>
  <dcterms:modified xsi:type="dcterms:W3CDTF">2026-04-21T09:32:00Z</dcterms:modified>
</cp:coreProperties>
</file>