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A559E" w14:textId="041E4A44" w:rsidR="00987226" w:rsidRPr="00D46540" w:rsidRDefault="00987226" w:rsidP="00E9736B">
      <w:pPr>
        <w:spacing w:line="360" w:lineRule="auto"/>
        <w:jc w:val="both"/>
        <w:rPr>
          <w:rFonts w:ascii="Calibri" w:hAnsi="Calibri" w:cs="Calibri"/>
          <w:b/>
          <w:lang w:val="en-GB"/>
        </w:rPr>
      </w:pPr>
      <w:bookmarkStart w:id="0" w:name="_GoBack"/>
      <w:bookmarkEnd w:id="0"/>
      <w:r w:rsidRPr="00D46540">
        <w:rPr>
          <w:rFonts w:ascii="Calibri" w:hAnsi="Calibri" w:cs="Calibri"/>
          <w:b/>
          <w:lang w:val="en-GB"/>
        </w:rPr>
        <w:t>TITLE</w:t>
      </w:r>
    </w:p>
    <w:p w14:paraId="185349AB" w14:textId="63374095" w:rsidR="00987226" w:rsidRPr="00D46540" w:rsidRDefault="00A447F3" w:rsidP="00E9736B">
      <w:pPr>
        <w:spacing w:line="360" w:lineRule="auto"/>
        <w:jc w:val="both"/>
        <w:rPr>
          <w:rFonts w:ascii="Calibri" w:hAnsi="Calibri" w:cs="Calibri"/>
          <w:b/>
          <w:lang w:val="en-GB"/>
        </w:rPr>
      </w:pPr>
      <w:r w:rsidRPr="00D46540">
        <w:rPr>
          <w:rFonts w:ascii="Calibri" w:hAnsi="Calibri" w:cs="Calibri"/>
          <w:b/>
          <w:lang w:val="en-GB"/>
        </w:rPr>
        <w:t>Immune checkpoint blockade for organ transplant</w:t>
      </w:r>
      <w:r w:rsidR="00C57D22" w:rsidRPr="00D46540">
        <w:rPr>
          <w:rFonts w:ascii="Calibri" w:hAnsi="Calibri" w:cs="Calibri"/>
          <w:b/>
          <w:lang w:val="en-GB"/>
        </w:rPr>
        <w:t xml:space="preserve"> </w:t>
      </w:r>
      <w:r w:rsidRPr="00D46540">
        <w:rPr>
          <w:rFonts w:ascii="Calibri" w:hAnsi="Calibri" w:cs="Calibri"/>
          <w:b/>
          <w:lang w:val="en-GB"/>
        </w:rPr>
        <w:t xml:space="preserve">patients with advanced cancer: </w:t>
      </w:r>
      <w:r w:rsidR="00C57D22" w:rsidRPr="00D46540">
        <w:rPr>
          <w:rFonts w:ascii="Calibri" w:hAnsi="Calibri" w:cs="Calibri"/>
          <w:b/>
          <w:lang w:val="en-GB"/>
        </w:rPr>
        <w:t>how far can we go?</w:t>
      </w:r>
    </w:p>
    <w:p w14:paraId="4E3DF299" w14:textId="77777777" w:rsidR="00987226" w:rsidRPr="00D46540" w:rsidRDefault="00987226" w:rsidP="00C660D9">
      <w:pPr>
        <w:spacing w:line="360" w:lineRule="auto"/>
        <w:jc w:val="both"/>
        <w:rPr>
          <w:rFonts w:ascii="Calibri" w:hAnsi="Calibri" w:cs="Calibri"/>
          <w:b/>
          <w:lang w:val="en-GB"/>
        </w:rPr>
      </w:pPr>
    </w:p>
    <w:p w14:paraId="7DE51A0F" w14:textId="43A6AF5D" w:rsidR="00987226" w:rsidRPr="00D46540" w:rsidRDefault="00DE75BD" w:rsidP="00C660D9">
      <w:pPr>
        <w:spacing w:line="360" w:lineRule="auto"/>
        <w:jc w:val="both"/>
        <w:rPr>
          <w:rFonts w:ascii="Calibri" w:hAnsi="Calibri" w:cs="Calibri"/>
          <w:b/>
          <w:lang w:val="en-GB"/>
        </w:rPr>
      </w:pPr>
      <w:r w:rsidRPr="00D46540">
        <w:rPr>
          <w:rFonts w:ascii="Calibri" w:hAnsi="Calibri" w:cs="Calibri"/>
          <w:b/>
          <w:lang w:val="en-GB"/>
        </w:rPr>
        <w:t>Article type</w:t>
      </w:r>
    </w:p>
    <w:p w14:paraId="60E9211F" w14:textId="434A1A68" w:rsidR="00DE75BD" w:rsidRPr="00D46540" w:rsidRDefault="00DE75BD" w:rsidP="00270AB2">
      <w:pPr>
        <w:spacing w:line="360" w:lineRule="auto"/>
        <w:jc w:val="both"/>
        <w:rPr>
          <w:rFonts w:ascii="Calibri" w:hAnsi="Calibri" w:cs="Calibri"/>
          <w:lang w:val="en-GB"/>
        </w:rPr>
      </w:pPr>
      <w:r w:rsidRPr="00D46540">
        <w:rPr>
          <w:rFonts w:ascii="Calibri" w:hAnsi="Calibri" w:cs="Calibri"/>
          <w:lang w:val="en-GB"/>
        </w:rPr>
        <w:t>Review</w:t>
      </w:r>
    </w:p>
    <w:p w14:paraId="5925B4F2" w14:textId="77777777" w:rsidR="00987226" w:rsidRPr="00D46540" w:rsidRDefault="00987226">
      <w:pPr>
        <w:spacing w:line="360" w:lineRule="auto"/>
        <w:jc w:val="both"/>
        <w:rPr>
          <w:rFonts w:ascii="Calibri" w:hAnsi="Calibri" w:cs="Calibri"/>
          <w:b/>
          <w:lang w:val="en-GB"/>
        </w:rPr>
      </w:pPr>
    </w:p>
    <w:p w14:paraId="169B9FBA" w14:textId="77777777" w:rsidR="00987226" w:rsidRPr="00D46540" w:rsidRDefault="00987226">
      <w:pPr>
        <w:spacing w:line="360" w:lineRule="auto"/>
        <w:jc w:val="both"/>
        <w:rPr>
          <w:rFonts w:ascii="Calibri" w:hAnsi="Calibri" w:cs="Calibri"/>
          <w:b/>
          <w:lang w:val="en-GB"/>
        </w:rPr>
      </w:pPr>
      <w:r w:rsidRPr="00D46540">
        <w:rPr>
          <w:rFonts w:ascii="Calibri" w:hAnsi="Calibri" w:cs="Calibri"/>
          <w:b/>
          <w:lang w:val="en-GB"/>
        </w:rPr>
        <w:t>Authors</w:t>
      </w:r>
    </w:p>
    <w:p w14:paraId="3207422D" w14:textId="2697480C" w:rsidR="00A23E63" w:rsidRPr="00D46540" w:rsidRDefault="00A23E63" w:rsidP="00A23E63">
      <w:pPr>
        <w:spacing w:line="360" w:lineRule="auto"/>
        <w:jc w:val="both"/>
        <w:rPr>
          <w:rFonts w:ascii="Calibri" w:hAnsi="Calibri" w:cs="Calibri"/>
          <w:lang w:val="en-GB"/>
        </w:rPr>
      </w:pPr>
      <w:r w:rsidRPr="00D46540">
        <w:rPr>
          <w:rFonts w:ascii="Calibri" w:hAnsi="Calibri" w:cs="Calibri"/>
          <w:lang w:val="en-GB"/>
        </w:rPr>
        <w:t>Pauline De Bruyn</w:t>
      </w:r>
      <w:r w:rsidRPr="00D46540">
        <w:rPr>
          <w:rFonts w:ascii="Calibri" w:hAnsi="Calibri" w:cs="Calibri"/>
          <w:vertAlign w:val="superscript"/>
          <w:lang w:val="en-GB"/>
        </w:rPr>
        <w:t>1</w:t>
      </w:r>
      <w:r w:rsidRPr="00D46540">
        <w:rPr>
          <w:rFonts w:ascii="Calibri" w:hAnsi="Calibri" w:cs="Calibri"/>
          <w:lang w:val="en-GB"/>
        </w:rPr>
        <w:t>, Dirk Van Gestel</w:t>
      </w:r>
      <w:r w:rsidRPr="00D46540">
        <w:rPr>
          <w:rFonts w:ascii="Calibri" w:hAnsi="Calibri" w:cs="Calibri"/>
          <w:vertAlign w:val="superscript"/>
          <w:lang w:val="en-GB"/>
        </w:rPr>
        <w:t>1</w:t>
      </w:r>
      <w:r w:rsidR="00F15C05" w:rsidRPr="00D46540">
        <w:rPr>
          <w:rFonts w:ascii="Calibri" w:hAnsi="Calibri" w:cs="Calibri"/>
          <w:lang w:val="en-GB"/>
        </w:rPr>
        <w:t>, Piet Ost</w:t>
      </w:r>
      <w:r w:rsidR="00F15C05" w:rsidRPr="00D46540">
        <w:rPr>
          <w:rFonts w:ascii="Calibri" w:hAnsi="Calibri" w:cs="Calibri"/>
          <w:vertAlign w:val="superscript"/>
          <w:lang w:val="en-GB"/>
        </w:rPr>
        <w:t>2</w:t>
      </w:r>
      <w:r w:rsidR="00F15C05" w:rsidRPr="00D46540">
        <w:rPr>
          <w:rFonts w:ascii="Calibri" w:hAnsi="Calibri" w:cs="Calibri"/>
          <w:lang w:val="en-GB"/>
        </w:rPr>
        <w:t>,</w:t>
      </w:r>
      <w:r w:rsidR="00F15C05" w:rsidRPr="00D46540">
        <w:rPr>
          <w:rFonts w:ascii="Calibri" w:hAnsi="Calibri" w:cs="Calibri"/>
          <w:vertAlign w:val="superscript"/>
          <w:lang w:val="en-GB"/>
        </w:rPr>
        <w:t xml:space="preserve"> </w:t>
      </w:r>
      <w:r w:rsidRPr="00D46540">
        <w:rPr>
          <w:rFonts w:ascii="Calibri" w:hAnsi="Calibri" w:cs="Calibri"/>
          <w:lang w:val="en-GB"/>
        </w:rPr>
        <w:t>Vibeke Kruse</w:t>
      </w:r>
      <w:r w:rsidR="00F15C05" w:rsidRPr="00D46540">
        <w:rPr>
          <w:rFonts w:ascii="Calibri" w:hAnsi="Calibri" w:cs="Calibri"/>
          <w:vertAlign w:val="superscript"/>
          <w:lang w:val="en-GB"/>
        </w:rPr>
        <w:t>3</w:t>
      </w:r>
      <w:r w:rsidRPr="00D46540">
        <w:rPr>
          <w:rFonts w:ascii="Calibri" w:hAnsi="Calibri" w:cs="Calibri"/>
          <w:lang w:val="en-GB"/>
        </w:rPr>
        <w:t xml:space="preserve">, </w:t>
      </w:r>
      <w:r w:rsidR="00A241A9" w:rsidRPr="00D46540">
        <w:rPr>
          <w:rFonts w:ascii="Calibri" w:hAnsi="Calibri" w:cs="Calibri"/>
          <w:lang w:val="en-GB"/>
        </w:rPr>
        <w:t>Lieve Brochez</w:t>
      </w:r>
      <w:r w:rsidR="00A241A9" w:rsidRPr="00D46540">
        <w:rPr>
          <w:rFonts w:ascii="Calibri" w:hAnsi="Calibri" w:cs="Calibri"/>
          <w:vertAlign w:val="superscript"/>
          <w:lang w:val="en-GB"/>
        </w:rPr>
        <w:t>4</w:t>
      </w:r>
      <w:r w:rsidR="00A241A9" w:rsidRPr="00D46540">
        <w:rPr>
          <w:rFonts w:ascii="Calibri" w:hAnsi="Calibri" w:cs="Calibri"/>
          <w:lang w:val="en-GB"/>
        </w:rPr>
        <w:t>, Hans Van Vlierberghe</w:t>
      </w:r>
      <w:r w:rsidR="00A241A9" w:rsidRPr="00D46540">
        <w:rPr>
          <w:rFonts w:ascii="Calibri" w:hAnsi="Calibri" w:cs="Calibri"/>
          <w:vertAlign w:val="superscript"/>
          <w:lang w:val="en-GB"/>
        </w:rPr>
        <w:t>5</w:t>
      </w:r>
      <w:r w:rsidR="00A241A9" w:rsidRPr="00D46540">
        <w:rPr>
          <w:rFonts w:ascii="Calibri" w:hAnsi="Calibri" w:cs="Calibri"/>
          <w:lang w:val="en-GB"/>
        </w:rPr>
        <w:t xml:space="preserve">, </w:t>
      </w:r>
      <w:r w:rsidR="00FD3DA6" w:rsidRPr="00D46540">
        <w:rPr>
          <w:rFonts w:ascii="Calibri" w:hAnsi="Calibri" w:cs="Calibri"/>
          <w:lang w:val="en-GB"/>
        </w:rPr>
        <w:t>Arnaud Devresse</w:t>
      </w:r>
      <w:r w:rsidR="00FD3DA6" w:rsidRPr="00D46540">
        <w:rPr>
          <w:rFonts w:ascii="Calibri" w:hAnsi="Calibri" w:cs="Calibri"/>
          <w:vertAlign w:val="superscript"/>
          <w:lang w:val="en-GB"/>
        </w:rPr>
        <w:t>6</w:t>
      </w:r>
      <w:r w:rsidR="00FD3DA6" w:rsidRPr="00D46540">
        <w:rPr>
          <w:rFonts w:ascii="Calibri" w:hAnsi="Calibri" w:cs="Calibri"/>
          <w:lang w:val="en-GB"/>
        </w:rPr>
        <w:t xml:space="preserve">, </w:t>
      </w:r>
      <w:r w:rsidRPr="00D46540">
        <w:rPr>
          <w:rFonts w:ascii="Calibri" w:hAnsi="Calibri" w:cs="Calibri"/>
          <w:lang w:val="en-GB"/>
        </w:rPr>
        <w:t>Véronique Del Marmol</w:t>
      </w:r>
      <w:r w:rsidR="00FD3DA6" w:rsidRPr="00D46540">
        <w:rPr>
          <w:rFonts w:ascii="Calibri" w:hAnsi="Calibri" w:cs="Calibri"/>
          <w:vertAlign w:val="superscript"/>
          <w:lang w:val="en-GB"/>
        </w:rPr>
        <w:t>7</w:t>
      </w:r>
      <w:r w:rsidRPr="00D46540">
        <w:rPr>
          <w:rFonts w:ascii="Calibri" w:hAnsi="Calibri" w:cs="Calibri"/>
          <w:lang w:val="en-GB"/>
        </w:rPr>
        <w:t>, Alain Le</w:t>
      </w:r>
      <w:r w:rsidR="007456D0" w:rsidRPr="00D46540">
        <w:rPr>
          <w:rFonts w:ascii="Calibri" w:hAnsi="Calibri" w:cs="Calibri"/>
          <w:lang w:val="en-GB"/>
        </w:rPr>
        <w:t xml:space="preserve"> M</w:t>
      </w:r>
      <w:r w:rsidRPr="00D46540">
        <w:rPr>
          <w:rFonts w:ascii="Calibri" w:hAnsi="Calibri" w:cs="Calibri"/>
          <w:lang w:val="en-GB"/>
        </w:rPr>
        <w:t>oine</w:t>
      </w:r>
      <w:r w:rsidR="00FD3DA6" w:rsidRPr="00D46540">
        <w:rPr>
          <w:rFonts w:ascii="Calibri" w:hAnsi="Calibri" w:cs="Calibri"/>
          <w:vertAlign w:val="superscript"/>
          <w:lang w:val="en-GB"/>
        </w:rPr>
        <w:t>8</w:t>
      </w:r>
      <w:r w:rsidRPr="00D46540">
        <w:rPr>
          <w:rFonts w:ascii="Calibri" w:hAnsi="Calibri" w:cs="Calibri"/>
          <w:lang w:val="en-GB"/>
        </w:rPr>
        <w:t>, Sandrine Aspeslagh</w:t>
      </w:r>
      <w:r w:rsidR="00525C77" w:rsidRPr="00D46540">
        <w:rPr>
          <w:rFonts w:ascii="Calibri" w:hAnsi="Calibri" w:cs="Calibri"/>
          <w:vertAlign w:val="superscript"/>
          <w:lang w:val="en-GB"/>
        </w:rPr>
        <w:t>7,</w:t>
      </w:r>
      <w:r w:rsidR="00FD3DA6" w:rsidRPr="00D46540">
        <w:rPr>
          <w:rFonts w:ascii="Calibri" w:hAnsi="Calibri" w:cs="Calibri"/>
          <w:vertAlign w:val="superscript"/>
          <w:lang w:val="en-GB"/>
        </w:rPr>
        <w:t>9,10</w:t>
      </w:r>
      <w:r w:rsidR="00525C77" w:rsidRPr="00D46540">
        <w:rPr>
          <w:rFonts w:ascii="Calibri" w:hAnsi="Calibri" w:cs="Calibri"/>
          <w:vertAlign w:val="superscript"/>
          <w:lang w:val="en-GB"/>
        </w:rPr>
        <w:t>,11</w:t>
      </w:r>
    </w:p>
    <w:p w14:paraId="1328A72E" w14:textId="77777777" w:rsidR="00BC5B4E" w:rsidRPr="00D46540" w:rsidRDefault="00BC5B4E">
      <w:pPr>
        <w:spacing w:line="360" w:lineRule="auto"/>
        <w:jc w:val="both"/>
        <w:rPr>
          <w:rFonts w:ascii="Calibri" w:hAnsi="Calibri" w:cs="Calibri"/>
          <w:b/>
          <w:lang w:val="en-GB"/>
        </w:rPr>
      </w:pPr>
    </w:p>
    <w:p w14:paraId="270C9205" w14:textId="50BEA107" w:rsidR="00BC5B4E" w:rsidRPr="008D56CA" w:rsidRDefault="00987226" w:rsidP="008D56CA">
      <w:pPr>
        <w:spacing w:line="360" w:lineRule="auto"/>
        <w:jc w:val="both"/>
        <w:rPr>
          <w:rFonts w:ascii="Calibri" w:hAnsi="Calibri" w:cs="Calibri"/>
          <w:b/>
          <w:lang w:val="en-GB"/>
        </w:rPr>
      </w:pPr>
      <w:r w:rsidRPr="00D46540">
        <w:rPr>
          <w:rFonts w:ascii="Calibri" w:hAnsi="Calibri" w:cs="Calibri"/>
          <w:b/>
          <w:lang w:val="en-GB"/>
        </w:rPr>
        <w:t>Affiliations</w:t>
      </w:r>
    </w:p>
    <w:p w14:paraId="18EE476E" w14:textId="14B3BFD1" w:rsidR="00A23E63" w:rsidRPr="00D46540" w:rsidRDefault="00A23E63" w:rsidP="00A23E63">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1</w:t>
      </w:r>
      <w:r w:rsidRPr="00D46540">
        <w:rPr>
          <w:rFonts w:ascii="Calibri" w:hAnsi="Calibri" w:cs="Calibri"/>
          <w:lang w:val="en-GB"/>
        </w:rPr>
        <w:t xml:space="preserve">Department of </w:t>
      </w:r>
      <w:r w:rsidR="00CF3920" w:rsidRPr="00D46540">
        <w:rPr>
          <w:rFonts w:ascii="Calibri" w:hAnsi="Calibri" w:cs="Calibri"/>
          <w:lang w:val="en-GB"/>
        </w:rPr>
        <w:t>Radiation Oncology</w:t>
      </w:r>
      <w:r w:rsidRPr="00D46540">
        <w:rPr>
          <w:rFonts w:ascii="Calibri" w:hAnsi="Calibri" w:cs="Calibri"/>
          <w:lang w:val="en-GB"/>
        </w:rPr>
        <w:t>, Institut Jules Bordet – ULB, Brussels, Belgium</w:t>
      </w:r>
    </w:p>
    <w:p w14:paraId="1707B3D0" w14:textId="4ED26507" w:rsidR="00F15C05" w:rsidRPr="00D46540" w:rsidRDefault="00F15C05" w:rsidP="00A23E63">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2</w:t>
      </w:r>
      <w:r w:rsidRPr="00D46540">
        <w:rPr>
          <w:rFonts w:ascii="Calibri" w:hAnsi="Calibri" w:cs="Calibri"/>
          <w:lang w:val="en-GB"/>
        </w:rPr>
        <w:t xml:space="preserve">Department of </w:t>
      </w:r>
      <w:r w:rsidR="00CF3920" w:rsidRPr="00D46540">
        <w:rPr>
          <w:rFonts w:ascii="Calibri" w:hAnsi="Calibri" w:cs="Calibri"/>
          <w:lang w:val="en-GB"/>
        </w:rPr>
        <w:t>Radiation Oncology</w:t>
      </w:r>
      <w:r w:rsidRPr="00D46540">
        <w:rPr>
          <w:rFonts w:ascii="Calibri" w:hAnsi="Calibri" w:cs="Calibri"/>
          <w:lang w:val="en-GB"/>
        </w:rPr>
        <w:t>,</w:t>
      </w:r>
      <w:r w:rsidR="00353AC2" w:rsidRPr="00D46540">
        <w:rPr>
          <w:rFonts w:ascii="Calibri" w:hAnsi="Calibri" w:cs="Calibri"/>
          <w:lang w:val="en-GB"/>
        </w:rPr>
        <w:t xml:space="preserve"> Ghent University Hospital, Ghent</w:t>
      </w:r>
      <w:r w:rsidR="00FD3DA6" w:rsidRPr="00D46540">
        <w:rPr>
          <w:rFonts w:ascii="Calibri" w:hAnsi="Calibri" w:cs="Calibri"/>
          <w:lang w:val="en-GB"/>
        </w:rPr>
        <w:t>,</w:t>
      </w:r>
      <w:r w:rsidRPr="00D46540">
        <w:rPr>
          <w:rFonts w:ascii="Calibri" w:hAnsi="Calibri" w:cs="Calibri"/>
          <w:lang w:val="en-GB"/>
        </w:rPr>
        <w:t xml:space="preserve"> Belgium</w:t>
      </w:r>
    </w:p>
    <w:p w14:paraId="614B9119" w14:textId="1E0FDC4B" w:rsidR="00A241A9" w:rsidRPr="00D46540" w:rsidRDefault="00F15C05" w:rsidP="00A23E63">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3</w:t>
      </w:r>
      <w:r w:rsidR="00A23E63" w:rsidRPr="00D46540">
        <w:rPr>
          <w:rFonts w:ascii="Calibri" w:hAnsi="Calibri" w:cs="Calibri"/>
          <w:lang w:val="en-GB"/>
        </w:rPr>
        <w:t xml:space="preserve">Department of Medical Oncology, </w:t>
      </w:r>
      <w:r w:rsidR="00353AC2" w:rsidRPr="00D46540">
        <w:rPr>
          <w:rFonts w:ascii="Calibri" w:hAnsi="Calibri" w:cs="Calibri"/>
          <w:lang w:val="en-GB"/>
        </w:rPr>
        <w:t xml:space="preserve">Ghent University Hospital, Ghent </w:t>
      </w:r>
      <w:r w:rsidR="00A23E63" w:rsidRPr="00D46540">
        <w:rPr>
          <w:rFonts w:ascii="Calibri" w:hAnsi="Calibri" w:cs="Calibri"/>
          <w:lang w:val="en-GB"/>
        </w:rPr>
        <w:t>, Belgium</w:t>
      </w:r>
      <w:r w:rsidR="00A241A9" w:rsidRPr="00D46540">
        <w:rPr>
          <w:rFonts w:ascii="Calibri" w:hAnsi="Calibri" w:cs="Calibri"/>
          <w:lang w:val="en-GB"/>
        </w:rPr>
        <w:t xml:space="preserve"> </w:t>
      </w:r>
    </w:p>
    <w:p w14:paraId="08370C93" w14:textId="0ECD9FCF" w:rsidR="00A23E63" w:rsidRPr="00D46540" w:rsidRDefault="00A241A9" w:rsidP="00A23E63">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4</w:t>
      </w:r>
      <w:r w:rsidRPr="00D46540">
        <w:rPr>
          <w:rFonts w:ascii="Calibri" w:hAnsi="Calibri" w:cs="Calibri"/>
          <w:lang w:val="en-GB"/>
        </w:rPr>
        <w:t xml:space="preserve">Department of Dermatology, </w:t>
      </w:r>
      <w:r w:rsidR="00353AC2" w:rsidRPr="00D46540">
        <w:rPr>
          <w:rFonts w:ascii="Calibri" w:hAnsi="Calibri" w:cs="Calibri"/>
          <w:lang w:val="en-GB"/>
        </w:rPr>
        <w:t>Ghent University Hospital, Ghent</w:t>
      </w:r>
      <w:r w:rsidRPr="00D46540">
        <w:rPr>
          <w:rFonts w:ascii="Calibri" w:hAnsi="Calibri" w:cs="Calibri"/>
          <w:lang w:val="en-GB"/>
        </w:rPr>
        <w:t>, Belgium</w:t>
      </w:r>
    </w:p>
    <w:p w14:paraId="614B4C31" w14:textId="7B32BB0D" w:rsidR="00A241A9" w:rsidRPr="00D46540" w:rsidRDefault="00A241A9" w:rsidP="00A23E63">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5</w:t>
      </w:r>
      <w:r w:rsidRPr="00D46540">
        <w:rPr>
          <w:rFonts w:ascii="Calibri" w:hAnsi="Calibri" w:cs="Calibri"/>
          <w:lang w:val="en-GB"/>
        </w:rPr>
        <w:t>Department of Gastroenterology</w:t>
      </w:r>
      <w:r w:rsidR="00E17B68" w:rsidRPr="00D46540">
        <w:rPr>
          <w:rFonts w:ascii="Calibri" w:hAnsi="Calibri" w:cs="Calibri"/>
          <w:lang w:val="en-GB"/>
        </w:rPr>
        <w:t xml:space="preserve"> and Hepatology</w:t>
      </w:r>
      <w:r w:rsidRPr="00D46540">
        <w:rPr>
          <w:rFonts w:ascii="Calibri" w:hAnsi="Calibri" w:cs="Calibri"/>
          <w:lang w:val="en-GB"/>
        </w:rPr>
        <w:t xml:space="preserve">, </w:t>
      </w:r>
      <w:r w:rsidR="00E17B68" w:rsidRPr="00D46540">
        <w:rPr>
          <w:rFonts w:ascii="Calibri" w:hAnsi="Calibri" w:cs="Calibri"/>
          <w:lang w:val="en-GB"/>
        </w:rPr>
        <w:t>Ghent university Hopital,</w:t>
      </w:r>
      <w:r w:rsidRPr="00D46540">
        <w:rPr>
          <w:rFonts w:ascii="Calibri" w:hAnsi="Calibri" w:cs="Calibri"/>
          <w:lang w:val="en-GB"/>
        </w:rPr>
        <w:t>G</w:t>
      </w:r>
      <w:r w:rsidR="00353AC2" w:rsidRPr="00D46540">
        <w:rPr>
          <w:rFonts w:ascii="Calibri" w:hAnsi="Calibri" w:cs="Calibri"/>
          <w:lang w:val="en-GB"/>
        </w:rPr>
        <w:t>h</w:t>
      </w:r>
      <w:r w:rsidRPr="00D46540">
        <w:rPr>
          <w:rFonts w:ascii="Calibri" w:hAnsi="Calibri" w:cs="Calibri"/>
          <w:lang w:val="en-GB"/>
        </w:rPr>
        <w:t>ent, Belgium</w:t>
      </w:r>
    </w:p>
    <w:p w14:paraId="32F3B309" w14:textId="2AFF9826" w:rsidR="00FD3DA6" w:rsidRPr="00D46540" w:rsidRDefault="00FD3DA6" w:rsidP="00A23E63">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6</w:t>
      </w:r>
      <w:r w:rsidRPr="00D46540">
        <w:rPr>
          <w:rFonts w:ascii="Calibri" w:hAnsi="Calibri" w:cs="Calibri"/>
          <w:lang w:val="en-GB"/>
        </w:rPr>
        <w:t>Department of Nephrology, University Hospital St-Luc – UCL, Brussels, Belgium</w:t>
      </w:r>
    </w:p>
    <w:p w14:paraId="42EA0D10" w14:textId="0F66B0B3" w:rsidR="00A23E63" w:rsidRPr="00D46540" w:rsidRDefault="00FD3DA6" w:rsidP="00A23E63">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7</w:t>
      </w:r>
      <w:r w:rsidR="00A23E63" w:rsidRPr="00D46540">
        <w:rPr>
          <w:rFonts w:ascii="Calibri" w:hAnsi="Calibri" w:cs="Calibri"/>
          <w:lang w:val="en-GB"/>
        </w:rPr>
        <w:t>Department of Dermatology, Erasme Hospital – ULB, Brussels, Belgium</w:t>
      </w:r>
    </w:p>
    <w:p w14:paraId="2803F85B" w14:textId="48161ADB" w:rsidR="00A23E63" w:rsidRPr="00D46540" w:rsidRDefault="00FD3DA6" w:rsidP="00A23E63">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8</w:t>
      </w:r>
      <w:r w:rsidR="00A23E63" w:rsidRPr="00D46540">
        <w:rPr>
          <w:rFonts w:ascii="Calibri" w:hAnsi="Calibri" w:cs="Calibri"/>
          <w:lang w:val="en-GB"/>
        </w:rPr>
        <w:t>Department of Nephrology, Erasme Hospital – ULB, Brussels, Belgium</w:t>
      </w:r>
    </w:p>
    <w:p w14:paraId="5F141FB9" w14:textId="64AC6D43" w:rsidR="00987226" w:rsidRPr="00D46540" w:rsidRDefault="00FD3DA6">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9</w:t>
      </w:r>
      <w:r w:rsidR="00A23E63" w:rsidRPr="00D46540">
        <w:rPr>
          <w:rFonts w:ascii="Calibri" w:hAnsi="Calibri" w:cs="Calibri"/>
          <w:lang w:val="en-GB"/>
        </w:rPr>
        <w:t>Department of Medical Oncology, Institut Jules Bordet – ULB, Brussels, Belgium</w:t>
      </w:r>
    </w:p>
    <w:p w14:paraId="1B906638" w14:textId="6737ED0F" w:rsidR="00FD3DA6" w:rsidRPr="00D46540" w:rsidRDefault="00FD3DA6" w:rsidP="00FD3DA6">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10</w:t>
      </w:r>
      <w:r w:rsidRPr="00D46540">
        <w:rPr>
          <w:rFonts w:ascii="Calibri" w:hAnsi="Calibri" w:cs="Calibri"/>
          <w:lang w:val="en-GB"/>
        </w:rPr>
        <w:t>Department of Medical Oncology, UZBrussel – VUB, Brussels, Belgium</w:t>
      </w:r>
    </w:p>
    <w:p w14:paraId="7DC7EEC6" w14:textId="349DC7E0" w:rsidR="00525C77" w:rsidRPr="00D46540" w:rsidRDefault="00525C77" w:rsidP="00525C77">
      <w:pPr>
        <w:autoSpaceDE w:val="0"/>
        <w:autoSpaceDN w:val="0"/>
        <w:adjustRightInd w:val="0"/>
        <w:spacing w:line="360" w:lineRule="auto"/>
        <w:jc w:val="both"/>
        <w:rPr>
          <w:rFonts w:ascii="Calibri" w:hAnsi="Calibri" w:cs="Calibri"/>
          <w:lang w:val="en-GB"/>
        </w:rPr>
      </w:pPr>
      <w:r w:rsidRPr="00D46540">
        <w:rPr>
          <w:rFonts w:ascii="Calibri" w:hAnsi="Calibri" w:cs="Calibri"/>
          <w:vertAlign w:val="superscript"/>
          <w:lang w:val="en-GB"/>
        </w:rPr>
        <w:t>11</w:t>
      </w:r>
      <w:r w:rsidRPr="00D46540">
        <w:rPr>
          <w:rFonts w:ascii="Calibri" w:hAnsi="Calibri" w:cs="Calibri"/>
          <w:lang w:val="en-GB"/>
        </w:rPr>
        <w:t>Department of Medical Oncology, Erasme Hospital-ULB, Brussels, Belgium</w:t>
      </w:r>
    </w:p>
    <w:p w14:paraId="678E380E" w14:textId="37BA421D" w:rsidR="00525C77" w:rsidRPr="00D46540" w:rsidRDefault="00525C77" w:rsidP="00FD3DA6">
      <w:pPr>
        <w:autoSpaceDE w:val="0"/>
        <w:autoSpaceDN w:val="0"/>
        <w:adjustRightInd w:val="0"/>
        <w:spacing w:line="360" w:lineRule="auto"/>
        <w:jc w:val="both"/>
        <w:rPr>
          <w:rFonts w:ascii="Calibri" w:hAnsi="Calibri" w:cs="Calibri"/>
          <w:lang w:val="en-GB"/>
        </w:rPr>
      </w:pPr>
    </w:p>
    <w:p w14:paraId="0CA9BE19" w14:textId="21350923" w:rsidR="00FD3DA6" w:rsidRPr="00D46540" w:rsidRDefault="00FD3DA6">
      <w:pPr>
        <w:autoSpaceDE w:val="0"/>
        <w:autoSpaceDN w:val="0"/>
        <w:adjustRightInd w:val="0"/>
        <w:spacing w:line="360" w:lineRule="auto"/>
        <w:jc w:val="both"/>
        <w:rPr>
          <w:rFonts w:ascii="Calibri" w:hAnsi="Calibri" w:cs="Calibri"/>
          <w:lang w:val="en-GB"/>
        </w:rPr>
      </w:pPr>
    </w:p>
    <w:p w14:paraId="4A5B69D9" w14:textId="77777777" w:rsidR="00987226" w:rsidRPr="00D46540" w:rsidRDefault="00987226" w:rsidP="00FF032C">
      <w:pPr>
        <w:autoSpaceDE w:val="0"/>
        <w:autoSpaceDN w:val="0"/>
        <w:adjustRightInd w:val="0"/>
        <w:spacing w:line="360" w:lineRule="auto"/>
        <w:jc w:val="both"/>
        <w:rPr>
          <w:rFonts w:ascii="Calibri" w:hAnsi="Calibri" w:cs="Calibri"/>
          <w:lang w:val="en-GB"/>
        </w:rPr>
      </w:pPr>
    </w:p>
    <w:p w14:paraId="4B787560" w14:textId="2E0F9A8B" w:rsidR="00987226" w:rsidRPr="00D46540" w:rsidRDefault="00987226">
      <w:pPr>
        <w:pStyle w:val="Coverpagetitle"/>
        <w:spacing w:before="60" w:line="360" w:lineRule="auto"/>
        <w:jc w:val="both"/>
        <w:rPr>
          <w:rFonts w:ascii="Calibri" w:hAnsi="Calibri" w:cs="Calibri"/>
          <w:i w:val="0"/>
          <w:szCs w:val="24"/>
          <w:lang w:val="en-GB"/>
        </w:rPr>
      </w:pPr>
      <w:r w:rsidRPr="00D46540">
        <w:rPr>
          <w:rFonts w:ascii="Calibri" w:hAnsi="Calibri" w:cs="Calibri"/>
          <w:i w:val="0"/>
          <w:szCs w:val="24"/>
          <w:lang w:val="en-GB"/>
        </w:rPr>
        <w:lastRenderedPageBreak/>
        <w:t>Corresponding author contact details</w:t>
      </w:r>
    </w:p>
    <w:p w14:paraId="125D710F" w14:textId="77777777" w:rsidR="00A23E63" w:rsidRPr="00D46540" w:rsidRDefault="00A23E63" w:rsidP="00A23E63">
      <w:pPr>
        <w:pStyle w:val="Coverpagetitle"/>
        <w:spacing w:before="60" w:line="360" w:lineRule="auto"/>
        <w:jc w:val="both"/>
        <w:rPr>
          <w:rFonts w:ascii="Calibri" w:hAnsi="Calibri" w:cs="Calibri"/>
          <w:b w:val="0"/>
          <w:i w:val="0"/>
          <w:szCs w:val="24"/>
        </w:rPr>
      </w:pPr>
      <w:r w:rsidRPr="00D46540">
        <w:rPr>
          <w:rFonts w:ascii="Calibri" w:hAnsi="Calibri" w:cs="Calibri"/>
          <w:b w:val="0"/>
          <w:i w:val="0"/>
          <w:szCs w:val="24"/>
        </w:rPr>
        <w:t>Sandrine Aspeslagh</w:t>
      </w:r>
    </w:p>
    <w:p w14:paraId="156A2EA7" w14:textId="2EE17852" w:rsidR="00E20716" w:rsidRPr="00E20716" w:rsidRDefault="007D57DE" w:rsidP="00A23E63">
      <w:pPr>
        <w:pStyle w:val="Coverpagetitle"/>
        <w:spacing w:before="60" w:line="360" w:lineRule="auto"/>
        <w:jc w:val="both"/>
        <w:rPr>
          <w:rStyle w:val="Lienhypertexte"/>
          <w:rFonts w:ascii="Calibri" w:hAnsi="Calibri" w:cs="Calibri"/>
          <w:b w:val="0"/>
          <w:i w:val="0"/>
          <w:color w:val="000000" w:themeColor="text1"/>
          <w:szCs w:val="24"/>
        </w:rPr>
      </w:pPr>
      <w:hyperlink r:id="rId8" w:history="1">
        <w:r w:rsidR="00A23E63" w:rsidRPr="00D46540">
          <w:rPr>
            <w:rStyle w:val="Lienhypertexte"/>
            <w:rFonts w:ascii="Calibri" w:hAnsi="Calibri" w:cs="Calibri"/>
            <w:b w:val="0"/>
            <w:i w:val="0"/>
            <w:szCs w:val="24"/>
          </w:rPr>
          <w:t>sandrine.aspeslagh@bordet.be</w:t>
        </w:r>
      </w:hyperlink>
      <w:r w:rsidR="00FD3DA6" w:rsidRPr="00D46540">
        <w:rPr>
          <w:rStyle w:val="Lienhypertexte"/>
          <w:rFonts w:ascii="Calibri" w:hAnsi="Calibri" w:cs="Calibri"/>
          <w:b w:val="0"/>
          <w:i w:val="0"/>
          <w:szCs w:val="24"/>
        </w:rPr>
        <w:t xml:space="preserve"> </w:t>
      </w:r>
      <w:r w:rsidR="00E20716" w:rsidRPr="00E20716">
        <w:rPr>
          <w:rStyle w:val="Lienhypertexte"/>
          <w:rFonts w:ascii="Calibri" w:hAnsi="Calibri" w:cs="Calibri"/>
          <w:b w:val="0"/>
          <w:i w:val="0"/>
          <w:color w:val="000000" w:themeColor="text1"/>
          <w:szCs w:val="24"/>
        </w:rPr>
        <w:t>(until 19</w:t>
      </w:r>
      <w:r w:rsidR="00E20716" w:rsidRPr="00E20716">
        <w:rPr>
          <w:rStyle w:val="Lienhypertexte"/>
          <w:rFonts w:ascii="Calibri" w:hAnsi="Calibri" w:cs="Calibri"/>
          <w:b w:val="0"/>
          <w:i w:val="0"/>
          <w:color w:val="000000" w:themeColor="text1"/>
          <w:szCs w:val="24"/>
          <w:vertAlign w:val="superscript"/>
        </w:rPr>
        <w:t>th</w:t>
      </w:r>
      <w:r w:rsidR="00E20716" w:rsidRPr="00E20716">
        <w:rPr>
          <w:rStyle w:val="Lienhypertexte"/>
          <w:rFonts w:ascii="Calibri" w:hAnsi="Calibri" w:cs="Calibri"/>
          <w:b w:val="0"/>
          <w:i w:val="0"/>
          <w:color w:val="000000" w:themeColor="text1"/>
          <w:szCs w:val="24"/>
        </w:rPr>
        <w:t xml:space="preserve"> of Decembre)</w:t>
      </w:r>
    </w:p>
    <w:p w14:paraId="25C70E2A" w14:textId="79A935F5" w:rsidR="00A23E63" w:rsidRPr="00D46540" w:rsidRDefault="007D57DE" w:rsidP="00A23E63">
      <w:pPr>
        <w:pStyle w:val="Coverpagetitle"/>
        <w:spacing w:before="60" w:line="360" w:lineRule="auto"/>
        <w:jc w:val="both"/>
        <w:rPr>
          <w:rFonts w:ascii="Calibri" w:hAnsi="Calibri" w:cs="Calibri"/>
          <w:b w:val="0"/>
          <w:i w:val="0"/>
          <w:szCs w:val="24"/>
        </w:rPr>
      </w:pPr>
      <w:hyperlink r:id="rId9" w:history="1">
        <w:r w:rsidR="00E20716" w:rsidRPr="00B2733A">
          <w:rPr>
            <w:rStyle w:val="Lienhypertexte"/>
            <w:rFonts w:ascii="Calibri" w:hAnsi="Calibri" w:cs="Calibri"/>
            <w:b w:val="0"/>
            <w:i w:val="0"/>
            <w:szCs w:val="24"/>
          </w:rPr>
          <w:t>Sandrine.aspeslagh@uzbrussel.be</w:t>
        </w:r>
      </w:hyperlink>
      <w:r w:rsidR="00FD3DA6" w:rsidRPr="00D46540">
        <w:rPr>
          <w:rStyle w:val="Lienhypertexte"/>
          <w:rFonts w:ascii="Calibri" w:hAnsi="Calibri" w:cs="Calibri"/>
          <w:b w:val="0"/>
          <w:i w:val="0"/>
          <w:szCs w:val="24"/>
        </w:rPr>
        <w:t xml:space="preserve"> </w:t>
      </w:r>
      <w:r w:rsidR="00E20716">
        <w:rPr>
          <w:rStyle w:val="Lienhypertexte"/>
          <w:rFonts w:ascii="Calibri" w:hAnsi="Calibri" w:cs="Calibri"/>
          <w:b w:val="0"/>
          <w:i w:val="0"/>
          <w:szCs w:val="24"/>
        </w:rPr>
        <w:t>(</w:t>
      </w:r>
      <w:r w:rsidR="00FD3DA6" w:rsidRPr="00E20716">
        <w:rPr>
          <w:rStyle w:val="Lienhypertexte"/>
          <w:rFonts w:ascii="Calibri" w:hAnsi="Calibri" w:cs="Calibri"/>
          <w:b w:val="0"/>
          <w:i w:val="0"/>
          <w:color w:val="000000" w:themeColor="text1"/>
          <w:szCs w:val="24"/>
          <w:u w:val="none"/>
        </w:rPr>
        <w:t>from first of February 2019 on)</w:t>
      </w:r>
    </w:p>
    <w:p w14:paraId="7CE126C4" w14:textId="2F122BED" w:rsidR="00A23E63" w:rsidRPr="00D46540" w:rsidRDefault="00A23E63">
      <w:pPr>
        <w:pStyle w:val="Coverpagetitle"/>
        <w:spacing w:before="60" w:line="360" w:lineRule="auto"/>
        <w:jc w:val="both"/>
        <w:rPr>
          <w:rFonts w:ascii="Calibri" w:hAnsi="Calibri" w:cs="Calibri"/>
          <w:b w:val="0"/>
          <w:i w:val="0"/>
          <w:szCs w:val="24"/>
          <w:lang w:val="en-GB"/>
        </w:rPr>
      </w:pPr>
      <w:r w:rsidRPr="00D46540">
        <w:rPr>
          <w:rFonts w:ascii="Calibri" w:hAnsi="Calibri" w:cs="Calibri"/>
          <w:b w:val="0"/>
          <w:i w:val="0"/>
          <w:szCs w:val="24"/>
          <w:lang w:val="en-GB"/>
        </w:rPr>
        <w:t>Institut Jules Bordet, Rue Heger 1, 1000 Brussels, Belgium</w:t>
      </w:r>
    </w:p>
    <w:p w14:paraId="673BCC19" w14:textId="28F2C730" w:rsidR="00987226" w:rsidRPr="00D46540" w:rsidRDefault="003F2DFE" w:rsidP="00FF032C">
      <w:pPr>
        <w:spacing w:line="360" w:lineRule="auto"/>
        <w:jc w:val="both"/>
        <w:rPr>
          <w:rFonts w:ascii="Calibri" w:hAnsi="Calibri" w:cs="Calibri"/>
          <w:lang w:val="en-GB"/>
        </w:rPr>
      </w:pPr>
      <w:r w:rsidRPr="00D46540">
        <w:rPr>
          <w:rFonts w:ascii="Calibri" w:hAnsi="Calibri" w:cs="Calibri"/>
          <w:b/>
          <w:lang w:val="en-GB"/>
        </w:rPr>
        <w:t>Abstract word count:</w:t>
      </w:r>
      <w:r w:rsidR="00794439" w:rsidRPr="00D46540">
        <w:rPr>
          <w:rFonts w:ascii="Calibri" w:hAnsi="Calibri" w:cs="Calibri"/>
          <w:lang w:val="en-GB"/>
        </w:rPr>
        <w:t xml:space="preserve"> </w:t>
      </w:r>
      <w:r w:rsidR="00F04991">
        <w:rPr>
          <w:rFonts w:ascii="Calibri" w:hAnsi="Calibri" w:cs="Calibri"/>
          <w:lang w:val="en-GB"/>
        </w:rPr>
        <w:t>200</w:t>
      </w:r>
      <w:r w:rsidR="00216AAE" w:rsidRPr="00D46540">
        <w:rPr>
          <w:rFonts w:ascii="Calibri" w:hAnsi="Calibri" w:cs="Calibri"/>
          <w:lang w:val="en-GB"/>
        </w:rPr>
        <w:t>/200</w:t>
      </w:r>
      <w:r w:rsidR="003D16C0" w:rsidRPr="00D46540">
        <w:rPr>
          <w:rFonts w:ascii="Calibri" w:hAnsi="Calibri" w:cs="Calibri"/>
          <w:lang w:val="en-GB"/>
        </w:rPr>
        <w:t xml:space="preserve"> words</w:t>
      </w:r>
    </w:p>
    <w:p w14:paraId="7C11CE52" w14:textId="2848709F" w:rsidR="00987226" w:rsidRPr="00D46540" w:rsidRDefault="003F2DFE" w:rsidP="00FF032C">
      <w:pPr>
        <w:spacing w:line="360" w:lineRule="auto"/>
        <w:jc w:val="both"/>
        <w:rPr>
          <w:rFonts w:ascii="Calibri" w:hAnsi="Calibri" w:cs="Calibri"/>
          <w:lang w:val="en-GB"/>
        </w:rPr>
      </w:pPr>
      <w:r w:rsidRPr="00D46540">
        <w:rPr>
          <w:rFonts w:ascii="Calibri" w:hAnsi="Calibri" w:cs="Calibri"/>
          <w:b/>
          <w:lang w:val="en-GB"/>
        </w:rPr>
        <w:t>Main text w</w:t>
      </w:r>
      <w:r w:rsidR="00987226" w:rsidRPr="00D46540">
        <w:rPr>
          <w:rFonts w:ascii="Calibri" w:hAnsi="Calibri" w:cs="Calibri"/>
          <w:b/>
          <w:lang w:val="en-GB"/>
        </w:rPr>
        <w:t>ord count</w:t>
      </w:r>
      <w:r w:rsidR="00987226" w:rsidRPr="00D46540">
        <w:rPr>
          <w:rFonts w:ascii="Calibri" w:hAnsi="Calibri" w:cs="Calibri"/>
          <w:lang w:val="en-GB"/>
        </w:rPr>
        <w:t xml:space="preserve">: </w:t>
      </w:r>
      <w:r w:rsidR="00E623BB" w:rsidRPr="00E21E0A">
        <w:rPr>
          <w:rFonts w:ascii="Calibri" w:hAnsi="Calibri" w:cs="Calibri"/>
          <w:lang w:val="en-GB"/>
        </w:rPr>
        <w:t>2</w:t>
      </w:r>
      <w:r w:rsidR="00E21E0A" w:rsidRPr="00E21E0A">
        <w:rPr>
          <w:rFonts w:ascii="Calibri" w:hAnsi="Calibri" w:cs="Calibri"/>
          <w:lang w:val="en-GB"/>
        </w:rPr>
        <w:t>497</w:t>
      </w:r>
      <w:r w:rsidR="005B2A9B" w:rsidRPr="00E21E0A">
        <w:rPr>
          <w:rFonts w:ascii="Calibri" w:hAnsi="Calibri" w:cs="Calibri"/>
          <w:lang w:val="en-GB"/>
        </w:rPr>
        <w:t xml:space="preserve"> </w:t>
      </w:r>
      <w:r w:rsidR="00216AAE" w:rsidRPr="00E21E0A">
        <w:rPr>
          <w:rFonts w:ascii="Calibri" w:hAnsi="Calibri" w:cs="Calibri"/>
          <w:lang w:val="en-GB"/>
        </w:rPr>
        <w:t xml:space="preserve">/2500 </w:t>
      </w:r>
      <w:r w:rsidR="005B2A9B" w:rsidRPr="00E21E0A">
        <w:rPr>
          <w:rFonts w:ascii="Calibri" w:hAnsi="Calibri" w:cs="Calibri"/>
          <w:lang w:val="en-GB"/>
        </w:rPr>
        <w:t>words</w:t>
      </w:r>
      <w:r w:rsidR="005B2A9B" w:rsidRPr="00D46540">
        <w:rPr>
          <w:rFonts w:ascii="Calibri" w:hAnsi="Calibri" w:cs="Calibri"/>
          <w:lang w:val="en-GB"/>
        </w:rPr>
        <w:t xml:space="preserve"> </w:t>
      </w:r>
    </w:p>
    <w:p w14:paraId="66CD19D9" w14:textId="64196840" w:rsidR="005E5DD9" w:rsidRPr="00D46540" w:rsidRDefault="005E5DD9" w:rsidP="00FF032C">
      <w:pPr>
        <w:spacing w:line="360" w:lineRule="auto"/>
        <w:jc w:val="both"/>
        <w:rPr>
          <w:rFonts w:ascii="Calibri" w:hAnsi="Calibri" w:cs="Calibri"/>
          <w:b/>
          <w:lang w:val="en-GB"/>
        </w:rPr>
      </w:pPr>
      <w:r w:rsidRPr="00D46540">
        <w:rPr>
          <w:rFonts w:ascii="Calibri" w:hAnsi="Calibri" w:cs="Calibri"/>
          <w:b/>
          <w:lang w:val="en-GB"/>
        </w:rPr>
        <w:t>Figures</w:t>
      </w:r>
      <w:r w:rsidR="001567A4" w:rsidRPr="00D46540">
        <w:rPr>
          <w:rFonts w:ascii="Calibri" w:hAnsi="Calibri" w:cs="Calibri"/>
          <w:lang w:val="en-GB"/>
        </w:rPr>
        <w:t>: 1</w:t>
      </w:r>
    </w:p>
    <w:p w14:paraId="4CC4B9EF" w14:textId="3B08D003" w:rsidR="00FF032C" w:rsidRPr="00D46540" w:rsidRDefault="00453BC3" w:rsidP="00453BC3">
      <w:pPr>
        <w:spacing w:line="360" w:lineRule="auto"/>
        <w:jc w:val="both"/>
        <w:rPr>
          <w:rFonts w:ascii="Calibri" w:hAnsi="Calibri" w:cs="Calibri"/>
          <w:lang w:val="en-GB"/>
        </w:rPr>
      </w:pPr>
      <w:r w:rsidRPr="00D46540">
        <w:rPr>
          <w:rFonts w:ascii="Calibri" w:hAnsi="Calibri" w:cs="Calibri"/>
          <w:b/>
          <w:lang w:val="en-GB"/>
        </w:rPr>
        <w:t>Tables</w:t>
      </w:r>
      <w:r w:rsidR="00521D97" w:rsidRPr="00D46540">
        <w:rPr>
          <w:rFonts w:ascii="Calibri" w:hAnsi="Calibri" w:cs="Calibri"/>
          <w:lang w:val="en-GB"/>
        </w:rPr>
        <w:t>: 4</w:t>
      </w:r>
    </w:p>
    <w:p w14:paraId="73860150" w14:textId="77777777" w:rsidR="000C52D7" w:rsidRPr="00D46540" w:rsidRDefault="000C52D7">
      <w:pPr>
        <w:rPr>
          <w:rFonts w:ascii="Calibri" w:hAnsi="Calibri" w:cs="Calibri"/>
          <w:b/>
          <w:lang w:val="en-GB"/>
        </w:rPr>
      </w:pPr>
      <w:r w:rsidRPr="00D46540">
        <w:rPr>
          <w:rFonts w:ascii="Calibri" w:hAnsi="Calibri" w:cs="Calibri"/>
          <w:b/>
          <w:lang w:val="en-GB"/>
        </w:rPr>
        <w:br w:type="page"/>
      </w:r>
    </w:p>
    <w:p w14:paraId="6796FC3C" w14:textId="6392189E" w:rsidR="00216AAE" w:rsidRPr="00D46540" w:rsidRDefault="00987226" w:rsidP="00C660D9">
      <w:pPr>
        <w:spacing w:line="360" w:lineRule="auto"/>
        <w:jc w:val="both"/>
        <w:rPr>
          <w:rFonts w:ascii="Calibri" w:hAnsi="Calibri" w:cs="Calibri"/>
          <w:b/>
          <w:lang w:val="en-GB"/>
        </w:rPr>
      </w:pPr>
      <w:r w:rsidRPr="00D46540">
        <w:rPr>
          <w:rFonts w:ascii="Calibri" w:hAnsi="Calibri" w:cs="Calibri"/>
          <w:b/>
          <w:lang w:val="en-GB"/>
        </w:rPr>
        <w:t>ABSTRACT</w:t>
      </w:r>
    </w:p>
    <w:p w14:paraId="24B87AC0" w14:textId="68B22A0F" w:rsidR="00F04991" w:rsidRDefault="00F04991" w:rsidP="00CA16FC">
      <w:pPr>
        <w:spacing w:line="360" w:lineRule="auto"/>
        <w:jc w:val="both"/>
        <w:rPr>
          <w:rFonts w:ascii="Calibri" w:hAnsi="Calibri" w:cs="Calibri"/>
          <w:lang w:val="en-GB"/>
        </w:rPr>
      </w:pPr>
      <w:r>
        <w:rPr>
          <w:rFonts w:ascii="Calibri" w:hAnsi="Calibri" w:cs="Calibri"/>
          <w:lang w:val="en-GB"/>
        </w:rPr>
        <w:t xml:space="preserve">Purpose of review: </w:t>
      </w:r>
      <w:r w:rsidR="00774F54" w:rsidRPr="00D46540">
        <w:rPr>
          <w:rFonts w:ascii="Calibri" w:hAnsi="Calibri" w:cs="Calibri"/>
          <w:lang w:val="en-GB"/>
        </w:rPr>
        <w:t>Check</w:t>
      </w:r>
      <w:r w:rsidR="007F248F" w:rsidRPr="00D46540">
        <w:rPr>
          <w:rFonts w:ascii="Calibri" w:hAnsi="Calibri" w:cs="Calibri"/>
          <w:lang w:val="en-GB"/>
        </w:rPr>
        <w:t xml:space="preserve">point inhibitors (CPIs) provide impressive response rates among immunocompetent patients with various solid tumors. </w:t>
      </w:r>
      <w:r w:rsidR="00BC5893" w:rsidRPr="00D46540">
        <w:rPr>
          <w:rFonts w:ascii="Calibri" w:hAnsi="Calibri" w:cs="Calibri"/>
          <w:lang w:val="en-GB"/>
        </w:rPr>
        <w:t>So far,</w:t>
      </w:r>
      <w:r w:rsidR="00290D3F" w:rsidRPr="00D46540">
        <w:rPr>
          <w:rFonts w:ascii="Calibri" w:hAnsi="Calibri" w:cs="Calibri"/>
          <w:lang w:val="en-GB"/>
        </w:rPr>
        <w:t xml:space="preserve"> organ transplant recipients have been excluded from clinical studies </w:t>
      </w:r>
      <w:r w:rsidR="007F248F" w:rsidRPr="00D46540">
        <w:rPr>
          <w:rFonts w:ascii="Calibri" w:hAnsi="Calibri" w:cs="Calibri"/>
          <w:lang w:val="en-GB"/>
        </w:rPr>
        <w:t xml:space="preserve">due to </w:t>
      </w:r>
      <w:r w:rsidR="00290D3F" w:rsidRPr="00D46540">
        <w:rPr>
          <w:rFonts w:ascii="Calibri" w:hAnsi="Calibri" w:cs="Calibri"/>
          <w:lang w:val="en-GB"/>
        </w:rPr>
        <w:t xml:space="preserve">the </w:t>
      </w:r>
      <w:r w:rsidR="007456D0" w:rsidRPr="00D46540">
        <w:rPr>
          <w:rFonts w:ascii="Calibri" w:hAnsi="Calibri" w:cs="Calibri"/>
          <w:lang w:val="en-GB"/>
        </w:rPr>
        <w:t xml:space="preserve">putative </w:t>
      </w:r>
      <w:r w:rsidR="00290D3F" w:rsidRPr="00D46540">
        <w:rPr>
          <w:rFonts w:ascii="Calibri" w:hAnsi="Calibri" w:cs="Calibri"/>
          <w:lang w:val="en-GB"/>
        </w:rPr>
        <w:t>risk of allograft rejection</w:t>
      </w:r>
      <w:r>
        <w:rPr>
          <w:rFonts w:ascii="Calibri" w:hAnsi="Calibri" w:cs="Calibri"/>
          <w:lang w:val="en-GB"/>
        </w:rPr>
        <w:t xml:space="preserve"> however 48 cases </w:t>
      </w:r>
      <w:r w:rsidRPr="00D46540">
        <w:rPr>
          <w:rFonts w:ascii="Calibri" w:hAnsi="Calibri" w:cs="Calibri"/>
          <w:lang w:val="en-GB"/>
        </w:rPr>
        <w:t xml:space="preserve">of liver </w:t>
      </w:r>
      <w:r>
        <w:rPr>
          <w:rFonts w:ascii="Calibri" w:hAnsi="Calibri" w:cs="Calibri"/>
          <w:lang w:val="en-GB"/>
        </w:rPr>
        <w:t xml:space="preserve">and renal </w:t>
      </w:r>
      <w:r w:rsidRPr="00D46540">
        <w:rPr>
          <w:rFonts w:ascii="Calibri" w:hAnsi="Calibri" w:cs="Calibri"/>
          <w:lang w:val="en-GB"/>
        </w:rPr>
        <w:t xml:space="preserve">transplant </w:t>
      </w:r>
      <w:r>
        <w:rPr>
          <w:rFonts w:ascii="Calibri" w:hAnsi="Calibri" w:cs="Calibri"/>
          <w:lang w:val="en-GB"/>
        </w:rPr>
        <w:t>patients treated with CPI</w:t>
      </w:r>
      <w:r w:rsidRPr="00D46540">
        <w:rPr>
          <w:rFonts w:ascii="Calibri" w:hAnsi="Calibri" w:cs="Calibri"/>
          <w:lang w:val="en-GB"/>
        </w:rPr>
        <w:t xml:space="preserve"> </w:t>
      </w:r>
      <w:r>
        <w:rPr>
          <w:rFonts w:ascii="Calibri" w:hAnsi="Calibri" w:cs="Calibri"/>
          <w:lang w:val="en-GB"/>
        </w:rPr>
        <w:t>were already described in literature</w:t>
      </w:r>
      <w:r w:rsidR="00290D3F" w:rsidRPr="00D46540">
        <w:rPr>
          <w:rFonts w:ascii="Calibri" w:hAnsi="Calibri" w:cs="Calibri"/>
          <w:lang w:val="en-GB"/>
        </w:rPr>
        <w:t>.</w:t>
      </w:r>
      <w:r w:rsidR="006D2604" w:rsidRPr="00D46540">
        <w:rPr>
          <w:rFonts w:ascii="Calibri" w:hAnsi="Calibri" w:cs="Calibri"/>
          <w:lang w:val="en-GB"/>
        </w:rPr>
        <w:t xml:space="preserve"> </w:t>
      </w:r>
    </w:p>
    <w:p w14:paraId="69ADE403" w14:textId="348A8886" w:rsidR="00F04991" w:rsidRDefault="00F04991" w:rsidP="00CA16FC">
      <w:pPr>
        <w:spacing w:line="360" w:lineRule="auto"/>
        <w:jc w:val="both"/>
        <w:rPr>
          <w:rFonts w:ascii="Calibri" w:hAnsi="Calibri" w:cs="Calibri"/>
          <w:lang w:val="en-GB"/>
        </w:rPr>
      </w:pPr>
      <w:r>
        <w:rPr>
          <w:rFonts w:ascii="Calibri" w:hAnsi="Calibri" w:cs="Calibri"/>
          <w:lang w:val="en-GB"/>
        </w:rPr>
        <w:t xml:space="preserve">Recent findings: </w:t>
      </w:r>
      <w:r w:rsidR="00CA16FC" w:rsidRPr="00D46540">
        <w:rPr>
          <w:rFonts w:ascii="Calibri" w:hAnsi="Calibri" w:cs="Calibri"/>
          <w:lang w:val="en-GB"/>
        </w:rPr>
        <w:t xml:space="preserve">Here we </w:t>
      </w:r>
      <w:r>
        <w:rPr>
          <w:rFonts w:ascii="Calibri" w:hAnsi="Calibri" w:cs="Calibri"/>
          <w:lang w:val="en-GB"/>
        </w:rPr>
        <w:t>discuss</w:t>
      </w:r>
      <w:r w:rsidR="00CA16FC" w:rsidRPr="00D46540">
        <w:rPr>
          <w:rFonts w:ascii="Calibri" w:hAnsi="Calibri" w:cs="Calibri"/>
          <w:lang w:val="en-GB"/>
        </w:rPr>
        <w:t xml:space="preserve"> </w:t>
      </w:r>
      <w:r>
        <w:rPr>
          <w:rFonts w:ascii="Calibri" w:hAnsi="Calibri" w:cs="Calibri"/>
          <w:lang w:val="en-GB"/>
        </w:rPr>
        <w:t xml:space="preserve">19 cases of liver and 29 cases of renal transplant patients who received </w:t>
      </w:r>
      <w:r w:rsidR="00CA16FC" w:rsidRPr="00D46540">
        <w:rPr>
          <w:rFonts w:ascii="Calibri" w:hAnsi="Calibri" w:cs="Calibri"/>
          <w:lang w:val="en-GB"/>
        </w:rPr>
        <w:t>CPI</w:t>
      </w:r>
      <w:r>
        <w:rPr>
          <w:rFonts w:ascii="Calibri" w:hAnsi="Calibri" w:cs="Calibri"/>
          <w:lang w:val="en-GB"/>
        </w:rPr>
        <w:t xml:space="preserve"> for advanced cancer</w:t>
      </w:r>
      <w:r w:rsidR="00CA78BA" w:rsidRPr="00D46540">
        <w:rPr>
          <w:rFonts w:ascii="Calibri" w:hAnsi="Calibri" w:cs="Calibri"/>
          <w:lang w:val="en-GB"/>
        </w:rPr>
        <w:t>.</w:t>
      </w:r>
      <w:r>
        <w:rPr>
          <w:rFonts w:ascii="Calibri" w:hAnsi="Calibri" w:cs="Calibri"/>
          <w:lang w:val="en-GB"/>
        </w:rPr>
        <w:t xml:space="preserve">  D</w:t>
      </w:r>
      <w:r w:rsidR="00F15E7F" w:rsidRPr="00D46540">
        <w:rPr>
          <w:rFonts w:ascii="Calibri" w:hAnsi="Calibri" w:cs="Calibri"/>
          <w:lang w:val="en-GB"/>
        </w:rPr>
        <w:t xml:space="preserve">isease control rate </w:t>
      </w:r>
      <w:r w:rsidR="00CA16FC" w:rsidRPr="00D46540">
        <w:rPr>
          <w:rFonts w:ascii="Calibri" w:hAnsi="Calibri" w:cs="Calibri"/>
          <w:lang w:val="en-GB"/>
        </w:rPr>
        <w:t xml:space="preserve">(stable disease, complete response and partial response together) </w:t>
      </w:r>
      <w:r w:rsidR="00F15E7F" w:rsidRPr="00D46540">
        <w:rPr>
          <w:rFonts w:ascii="Calibri" w:hAnsi="Calibri" w:cs="Calibri"/>
          <w:lang w:val="en-GB"/>
        </w:rPr>
        <w:t xml:space="preserve">was </w:t>
      </w:r>
      <w:r w:rsidR="00211880" w:rsidRPr="00D46540">
        <w:rPr>
          <w:rFonts w:ascii="Calibri" w:hAnsi="Calibri" w:cs="Calibri"/>
          <w:lang w:val="en-GB"/>
        </w:rPr>
        <w:t>35</w:t>
      </w:r>
      <w:r w:rsidR="00C42962" w:rsidRPr="00D46540">
        <w:rPr>
          <w:rFonts w:ascii="Calibri" w:hAnsi="Calibri" w:cs="Calibri"/>
          <w:lang w:val="en-GB"/>
        </w:rPr>
        <w:t>% (21</w:t>
      </w:r>
      <w:r w:rsidR="00F15E7F" w:rsidRPr="00D46540">
        <w:rPr>
          <w:rFonts w:ascii="Calibri" w:hAnsi="Calibri" w:cs="Calibri"/>
          <w:lang w:val="en-GB"/>
        </w:rPr>
        <w:t>% for liver</w:t>
      </w:r>
      <w:r>
        <w:rPr>
          <w:rFonts w:ascii="Calibri" w:hAnsi="Calibri" w:cs="Calibri"/>
          <w:lang w:val="en-GB"/>
        </w:rPr>
        <w:t xml:space="preserve"> and </w:t>
      </w:r>
      <w:r w:rsidR="00C42962" w:rsidRPr="00D46540">
        <w:rPr>
          <w:rFonts w:ascii="Calibri" w:hAnsi="Calibri" w:cs="Calibri"/>
          <w:lang w:val="en-GB"/>
        </w:rPr>
        <w:t>45</w:t>
      </w:r>
      <w:r w:rsidR="00F15E7F" w:rsidRPr="00D46540">
        <w:rPr>
          <w:rFonts w:ascii="Calibri" w:hAnsi="Calibri" w:cs="Calibri"/>
          <w:lang w:val="en-GB"/>
        </w:rPr>
        <w:t xml:space="preserve">% for kidney transplant patients). Graft rejection was seen in </w:t>
      </w:r>
      <w:r w:rsidR="00211880" w:rsidRPr="00D46540">
        <w:rPr>
          <w:rFonts w:ascii="Calibri" w:hAnsi="Calibri" w:cs="Calibri"/>
          <w:lang w:val="en-GB"/>
        </w:rPr>
        <w:t>37</w:t>
      </w:r>
      <w:r w:rsidR="00F15E7F" w:rsidRPr="00D46540">
        <w:rPr>
          <w:rFonts w:ascii="Calibri" w:hAnsi="Calibri" w:cs="Calibri"/>
          <w:lang w:val="en-GB"/>
        </w:rPr>
        <w:t xml:space="preserve">% </w:t>
      </w:r>
      <w:r w:rsidR="00E20716" w:rsidRPr="00D46540">
        <w:rPr>
          <w:rFonts w:ascii="Calibri" w:hAnsi="Calibri" w:cs="Calibri"/>
          <w:lang w:val="en-GB"/>
        </w:rPr>
        <w:t xml:space="preserve">of liver </w:t>
      </w:r>
      <w:r w:rsidR="00F15E7F" w:rsidRPr="00D46540">
        <w:rPr>
          <w:rFonts w:ascii="Calibri" w:hAnsi="Calibri" w:cs="Calibri"/>
          <w:lang w:val="en-GB"/>
        </w:rPr>
        <w:t xml:space="preserve">and </w:t>
      </w:r>
      <w:r w:rsidR="00211880" w:rsidRPr="00D46540">
        <w:rPr>
          <w:rFonts w:ascii="Calibri" w:hAnsi="Calibri" w:cs="Calibri"/>
          <w:lang w:val="en-GB"/>
        </w:rPr>
        <w:t>45</w:t>
      </w:r>
      <w:r w:rsidR="00F15E7F" w:rsidRPr="00D46540">
        <w:rPr>
          <w:rFonts w:ascii="Calibri" w:hAnsi="Calibri" w:cs="Calibri"/>
          <w:lang w:val="en-GB"/>
        </w:rPr>
        <w:t>% and kidney transplant patients</w:t>
      </w:r>
      <w:r w:rsidR="00A23E63" w:rsidRPr="00D46540">
        <w:rPr>
          <w:rFonts w:ascii="Calibri" w:hAnsi="Calibri" w:cs="Calibri"/>
          <w:lang w:val="en-GB"/>
        </w:rPr>
        <w:t xml:space="preserve">. </w:t>
      </w:r>
      <w:r w:rsidR="00785B83" w:rsidRPr="00D46540">
        <w:rPr>
          <w:rFonts w:ascii="Calibri" w:hAnsi="Calibri" w:cs="Calibri"/>
          <w:lang w:val="en-GB"/>
        </w:rPr>
        <w:t>Interestingly</w:t>
      </w:r>
      <w:r w:rsidR="00CF3920" w:rsidRPr="00D46540">
        <w:rPr>
          <w:rFonts w:ascii="Calibri" w:hAnsi="Calibri" w:cs="Calibri"/>
          <w:lang w:val="en-GB"/>
        </w:rPr>
        <w:t>,</w:t>
      </w:r>
      <w:r w:rsidR="001567A4" w:rsidRPr="00D46540">
        <w:rPr>
          <w:rFonts w:ascii="Calibri" w:hAnsi="Calibri" w:cs="Calibri"/>
          <w:lang w:val="en-GB"/>
        </w:rPr>
        <w:t xml:space="preserve"> our analysis shows that</w:t>
      </w:r>
      <w:r w:rsidR="00785B83" w:rsidRPr="00D46540">
        <w:rPr>
          <w:rFonts w:ascii="Calibri" w:hAnsi="Calibri" w:cs="Calibri"/>
          <w:lang w:val="en-GB"/>
        </w:rPr>
        <w:t xml:space="preserve"> a</w:t>
      </w:r>
      <w:r w:rsidR="00A06EE8" w:rsidRPr="00D46540">
        <w:rPr>
          <w:rFonts w:ascii="Calibri" w:hAnsi="Calibri" w:cs="Calibri"/>
          <w:lang w:val="en-GB"/>
        </w:rPr>
        <w:t>n</w:t>
      </w:r>
      <w:r w:rsidR="00E20716">
        <w:rPr>
          <w:rFonts w:ascii="Calibri" w:hAnsi="Calibri" w:cs="Calibri"/>
          <w:lang w:val="en-GB"/>
        </w:rPr>
        <w:t xml:space="preserve"> ‘ideal’ response occurs in </w:t>
      </w:r>
      <w:r w:rsidR="00E20716" w:rsidRPr="00D46540">
        <w:rPr>
          <w:rFonts w:ascii="Calibri" w:hAnsi="Calibri" w:cs="Calibri"/>
          <w:lang w:val="en-GB"/>
        </w:rPr>
        <w:t>21% of all patients</w:t>
      </w:r>
      <w:r w:rsidR="00E20716">
        <w:rPr>
          <w:rFonts w:ascii="Calibri" w:hAnsi="Calibri" w:cs="Calibri"/>
          <w:lang w:val="en-GB"/>
        </w:rPr>
        <w:t xml:space="preserve"> (</w:t>
      </w:r>
      <w:r w:rsidR="00A06EE8" w:rsidRPr="00D46540">
        <w:rPr>
          <w:rFonts w:ascii="Calibri" w:hAnsi="Calibri" w:cs="Calibri"/>
          <w:lang w:val="en-GB"/>
        </w:rPr>
        <w:t>anti-</w:t>
      </w:r>
      <w:r w:rsidR="00211880" w:rsidRPr="00D46540">
        <w:rPr>
          <w:rFonts w:ascii="Calibri" w:hAnsi="Calibri" w:cs="Calibri"/>
          <w:lang w:val="en-GB"/>
        </w:rPr>
        <w:t>tumor response accompanied with durable graft tolerance</w:t>
      </w:r>
      <w:r w:rsidR="00E20716">
        <w:rPr>
          <w:rFonts w:ascii="Calibri" w:hAnsi="Calibri" w:cs="Calibri"/>
          <w:lang w:val="en-GB"/>
        </w:rPr>
        <w:t>)</w:t>
      </w:r>
      <w:r>
        <w:rPr>
          <w:rFonts w:ascii="Calibri" w:hAnsi="Calibri" w:cs="Calibri"/>
          <w:lang w:val="en-GB"/>
        </w:rPr>
        <w:t xml:space="preserve">. </w:t>
      </w:r>
    </w:p>
    <w:p w14:paraId="1439E9FD" w14:textId="312FA10E" w:rsidR="00987226" w:rsidRDefault="00F04991" w:rsidP="00CA16FC">
      <w:pPr>
        <w:spacing w:line="360" w:lineRule="auto"/>
        <w:jc w:val="both"/>
        <w:rPr>
          <w:rFonts w:ascii="Calibri" w:hAnsi="Calibri" w:cs="Calibri"/>
          <w:lang w:val="en-GB"/>
        </w:rPr>
      </w:pPr>
      <w:r>
        <w:rPr>
          <w:rFonts w:ascii="Calibri" w:hAnsi="Calibri" w:cs="Calibri"/>
          <w:lang w:val="en-GB"/>
        </w:rPr>
        <w:t>Summary: We</w:t>
      </w:r>
      <w:r w:rsidR="00785B83" w:rsidRPr="00D46540">
        <w:rPr>
          <w:rFonts w:ascii="Calibri" w:hAnsi="Calibri" w:cs="Calibri"/>
          <w:lang w:val="en-GB"/>
        </w:rPr>
        <w:t xml:space="preserve"> believe that</w:t>
      </w:r>
      <w:r w:rsidR="00E17E19" w:rsidRPr="00D46540">
        <w:rPr>
          <w:rFonts w:ascii="Calibri" w:hAnsi="Calibri" w:cs="Calibri"/>
          <w:lang w:val="en-GB"/>
        </w:rPr>
        <w:t xml:space="preserve"> </w:t>
      </w:r>
      <w:r w:rsidR="00785B83" w:rsidRPr="00D46540">
        <w:rPr>
          <w:rFonts w:ascii="Calibri" w:hAnsi="Calibri" w:cs="Calibri"/>
          <w:lang w:val="en-GB"/>
        </w:rPr>
        <w:t>transplant patients can be treated with CPI in a controlled setting</w:t>
      </w:r>
      <w:r w:rsidR="00E20716">
        <w:rPr>
          <w:rFonts w:ascii="Calibri" w:hAnsi="Calibri" w:cs="Calibri"/>
          <w:lang w:val="en-GB"/>
        </w:rPr>
        <w:t xml:space="preserve"> and for well informed patients</w:t>
      </w:r>
      <w:r w:rsidR="00785B83" w:rsidRPr="00D46540">
        <w:rPr>
          <w:rFonts w:ascii="Calibri" w:hAnsi="Calibri" w:cs="Calibri"/>
          <w:lang w:val="en-GB"/>
        </w:rPr>
        <w:t>.</w:t>
      </w:r>
      <w:r w:rsidR="006D2604" w:rsidRPr="00D46540">
        <w:rPr>
          <w:rFonts w:ascii="Calibri" w:hAnsi="Calibri" w:cs="Calibri"/>
          <w:lang w:val="en-GB"/>
        </w:rPr>
        <w:t xml:space="preserve"> </w:t>
      </w:r>
      <w:r w:rsidR="00785B83" w:rsidRPr="00D46540">
        <w:rPr>
          <w:rFonts w:ascii="Calibri" w:hAnsi="Calibri" w:cs="Calibri"/>
          <w:lang w:val="en-GB"/>
        </w:rPr>
        <w:t>In order to obtain a durable</w:t>
      </w:r>
      <w:r>
        <w:rPr>
          <w:rFonts w:ascii="Calibri" w:hAnsi="Calibri" w:cs="Calibri"/>
          <w:lang w:val="en-GB"/>
        </w:rPr>
        <w:t xml:space="preserve"> anti-tumor</w:t>
      </w:r>
      <w:r w:rsidR="00785B83" w:rsidRPr="00D46540">
        <w:rPr>
          <w:rFonts w:ascii="Calibri" w:hAnsi="Calibri" w:cs="Calibri"/>
          <w:lang w:val="en-GB"/>
        </w:rPr>
        <w:t xml:space="preserve"> immune response</w:t>
      </w:r>
      <w:r w:rsidR="00E17E19" w:rsidRPr="00D46540">
        <w:rPr>
          <w:rFonts w:ascii="Calibri" w:hAnsi="Calibri" w:cs="Calibri"/>
          <w:lang w:val="en-GB"/>
        </w:rPr>
        <w:t xml:space="preserve"> while avoiding rejection</w:t>
      </w:r>
      <w:r w:rsidR="001567A4" w:rsidRPr="00D46540">
        <w:rPr>
          <w:rFonts w:ascii="Calibri" w:hAnsi="Calibri" w:cs="Calibri"/>
          <w:lang w:val="en-GB"/>
        </w:rPr>
        <w:t xml:space="preserve">, to be able to adjust immunosuppression and </w:t>
      </w:r>
      <w:r w:rsidR="00CA16FC" w:rsidRPr="00D46540">
        <w:rPr>
          <w:rFonts w:ascii="Calibri" w:hAnsi="Calibri" w:cs="Calibri"/>
          <w:lang w:val="en-GB"/>
        </w:rPr>
        <w:t xml:space="preserve">to have the opportunity to develop biomarkers for </w:t>
      </w:r>
      <w:r w:rsidR="001567A4" w:rsidRPr="00D46540">
        <w:rPr>
          <w:rFonts w:ascii="Calibri" w:hAnsi="Calibri" w:cs="Calibri"/>
          <w:lang w:val="en-GB"/>
        </w:rPr>
        <w:t xml:space="preserve">tumor </w:t>
      </w:r>
      <w:r w:rsidR="00CA16FC" w:rsidRPr="00D46540">
        <w:rPr>
          <w:rFonts w:ascii="Calibri" w:hAnsi="Calibri" w:cs="Calibri"/>
          <w:lang w:val="en-GB"/>
        </w:rPr>
        <w:t xml:space="preserve">response and transplant rejection, </w:t>
      </w:r>
      <w:r>
        <w:rPr>
          <w:rFonts w:ascii="Calibri" w:hAnsi="Calibri" w:cs="Calibri"/>
          <w:lang w:val="en-GB"/>
        </w:rPr>
        <w:t xml:space="preserve">these patients should be treated </w:t>
      </w:r>
      <w:r w:rsidR="00CA16FC" w:rsidRPr="00D46540">
        <w:rPr>
          <w:rFonts w:ascii="Calibri" w:hAnsi="Calibri" w:cs="Calibri"/>
          <w:lang w:val="en-GB"/>
        </w:rPr>
        <w:t xml:space="preserve">according to a clinical care path or a </w:t>
      </w:r>
      <w:r w:rsidR="001567A4" w:rsidRPr="00D46540">
        <w:rPr>
          <w:rFonts w:ascii="Calibri" w:hAnsi="Calibri" w:cs="Calibri"/>
          <w:lang w:val="en-GB"/>
        </w:rPr>
        <w:t xml:space="preserve">prospective </w:t>
      </w:r>
      <w:r w:rsidR="00CA16FC" w:rsidRPr="00D46540">
        <w:rPr>
          <w:rFonts w:ascii="Calibri" w:hAnsi="Calibri" w:cs="Calibri"/>
          <w:lang w:val="en-GB"/>
        </w:rPr>
        <w:t>clinical trial.</w:t>
      </w:r>
    </w:p>
    <w:p w14:paraId="12215115" w14:textId="77777777" w:rsidR="008D56CA" w:rsidRPr="00D46540" w:rsidRDefault="008D56CA" w:rsidP="00CA16FC">
      <w:pPr>
        <w:spacing w:line="360" w:lineRule="auto"/>
        <w:jc w:val="both"/>
        <w:rPr>
          <w:rFonts w:ascii="Calibri" w:hAnsi="Calibri" w:cs="Calibri"/>
          <w:lang w:val="en-GB"/>
        </w:rPr>
      </w:pPr>
    </w:p>
    <w:p w14:paraId="18A9C718" w14:textId="77777777" w:rsidR="00CA16FC" w:rsidRPr="00D46540" w:rsidRDefault="00CA16FC" w:rsidP="00CA16FC">
      <w:pPr>
        <w:spacing w:line="360" w:lineRule="auto"/>
        <w:jc w:val="both"/>
        <w:rPr>
          <w:rFonts w:ascii="Calibri" w:hAnsi="Calibri" w:cs="Calibri"/>
          <w:lang w:val="en-GB"/>
        </w:rPr>
      </w:pPr>
    </w:p>
    <w:p w14:paraId="7D3A943D" w14:textId="0B25C09A" w:rsidR="00987226" w:rsidRPr="00D46540" w:rsidRDefault="00864018">
      <w:pPr>
        <w:spacing w:line="360" w:lineRule="auto"/>
        <w:jc w:val="both"/>
        <w:rPr>
          <w:rFonts w:ascii="Calibri" w:hAnsi="Calibri" w:cs="Calibri"/>
          <w:b/>
          <w:lang w:val="en-GB"/>
        </w:rPr>
      </w:pPr>
      <w:r w:rsidRPr="00D46540">
        <w:rPr>
          <w:rFonts w:ascii="Calibri" w:hAnsi="Calibri" w:cs="Calibri"/>
          <w:b/>
          <w:lang w:val="en-GB"/>
        </w:rPr>
        <w:t xml:space="preserve">Keywords: </w:t>
      </w:r>
      <w:r w:rsidR="007F248F" w:rsidRPr="00D46540">
        <w:rPr>
          <w:rFonts w:ascii="Calibri" w:hAnsi="Calibri" w:cs="Calibri"/>
          <w:b/>
          <w:lang w:val="en-GB"/>
        </w:rPr>
        <w:t>checkpoint inhibitors, organ transplant r</w:t>
      </w:r>
      <w:r w:rsidR="00737122" w:rsidRPr="00D46540">
        <w:rPr>
          <w:rFonts w:ascii="Calibri" w:hAnsi="Calibri" w:cs="Calibri"/>
          <w:b/>
          <w:lang w:val="en-GB"/>
        </w:rPr>
        <w:t>ecipients, liver transplant</w:t>
      </w:r>
      <w:r w:rsidR="007F248F" w:rsidRPr="00D46540">
        <w:rPr>
          <w:rFonts w:ascii="Calibri" w:hAnsi="Calibri" w:cs="Calibri"/>
          <w:b/>
          <w:lang w:val="en-GB"/>
        </w:rPr>
        <w:t>, kidney transplant, allograft rejection, melanoma, hepatocellular carcinoma, nivolumab, pembrolizumab, ipilimumab</w:t>
      </w:r>
    </w:p>
    <w:p w14:paraId="572F8C9A" w14:textId="05A69AFA" w:rsidR="00864018" w:rsidRPr="00D46540" w:rsidRDefault="00453BC3" w:rsidP="00FD3DA6">
      <w:pPr>
        <w:spacing w:line="360" w:lineRule="auto"/>
        <w:jc w:val="both"/>
        <w:rPr>
          <w:rFonts w:ascii="Calibri" w:hAnsi="Calibri" w:cs="Calibri"/>
          <w:b/>
          <w:lang w:val="en-GB"/>
        </w:rPr>
      </w:pPr>
      <w:r w:rsidRPr="00D46540">
        <w:rPr>
          <w:rFonts w:ascii="Calibri" w:hAnsi="Calibri" w:cs="Calibri"/>
          <w:b/>
          <w:lang w:val="en-GB"/>
        </w:rPr>
        <w:br w:type="page"/>
      </w:r>
    </w:p>
    <w:p w14:paraId="30C6DBBD" w14:textId="260044CE" w:rsidR="00794439" w:rsidRPr="00D46540" w:rsidRDefault="00794439" w:rsidP="00794439">
      <w:pPr>
        <w:spacing w:line="360" w:lineRule="auto"/>
        <w:jc w:val="both"/>
        <w:rPr>
          <w:rFonts w:ascii="Calibri" w:hAnsi="Calibri" w:cs="Calibri"/>
          <w:b/>
          <w:lang w:val="en-GB"/>
        </w:rPr>
      </w:pPr>
      <w:r w:rsidRPr="00D46540">
        <w:rPr>
          <w:rFonts w:ascii="Calibri" w:hAnsi="Calibri" w:cs="Calibri"/>
          <w:b/>
          <w:lang w:val="en-GB"/>
        </w:rPr>
        <w:t>Introduction</w:t>
      </w:r>
    </w:p>
    <w:p w14:paraId="60769855" w14:textId="05543487" w:rsidR="00216AAE" w:rsidRPr="00D46540" w:rsidRDefault="00B26967" w:rsidP="00474140">
      <w:pPr>
        <w:spacing w:line="360" w:lineRule="auto"/>
        <w:jc w:val="both"/>
        <w:rPr>
          <w:rFonts w:ascii="Calibri" w:hAnsi="Calibri" w:cs="Calibri"/>
          <w:lang w:val="en-GB"/>
        </w:rPr>
      </w:pPr>
      <w:r w:rsidRPr="00D46540">
        <w:rPr>
          <w:rFonts w:ascii="Calibri" w:hAnsi="Calibri" w:cs="Calibri"/>
          <w:lang w:val="en-GB"/>
        </w:rPr>
        <w:t xml:space="preserve">Although the numbers of clinical trials are </w:t>
      </w:r>
      <w:r w:rsidR="00412355" w:rsidRPr="00D46540">
        <w:rPr>
          <w:rFonts w:ascii="Calibri" w:hAnsi="Calibri" w:cs="Calibri"/>
          <w:lang w:val="en-GB"/>
        </w:rPr>
        <w:t>exploding</w:t>
      </w:r>
      <w:r w:rsidRPr="00D46540">
        <w:rPr>
          <w:rFonts w:ascii="Calibri" w:hAnsi="Calibri" w:cs="Calibri"/>
          <w:lang w:val="en-GB"/>
        </w:rPr>
        <w:t xml:space="preserve"> </w:t>
      </w:r>
      <w:r w:rsidRPr="00D46540">
        <w:rPr>
          <w:rFonts w:ascii="Calibri" w:hAnsi="Calibri" w:cs="Calibri"/>
          <w:lang w:val="en-GB"/>
        </w:rPr>
        <w:fldChar w:fldCharType="begin" w:fldLock="1"/>
      </w:r>
      <w:r w:rsidR="00525C77" w:rsidRPr="00D46540">
        <w:rPr>
          <w:rFonts w:ascii="Calibri" w:hAnsi="Calibri" w:cs="Calibri"/>
          <w:lang w:val="en-GB"/>
        </w:rPr>
        <w:instrText>ADDIN CSL_CITATION {"citationItems":[{"id":"ITEM-1","itemData":{"DOI":"10.1093/annonc/mdx755","ISSN":"0923-7534","PMID":"29228097","abstract":"Advances from immuno-oncology (IO) are changing the standard of care of many types of cancer, and the paradigm of cancer treatments and drug development is being rewritten on a regular basis. Moreover, an unprecedented number of new investigational agents and companies are entering the field of IO. As such, it has become challenging for oncology physicians conducting clinical trials, industry veterans developing IO drugs, and even regulators reviewing novel IO agents to keep track of the rapidly evolving landscape. To help the key stake holders in the field understand the latest IO landscape, we sought to present an unbiased, neutral, scientifically curated, and timely updated analysis of all the current IO agents in clinical development and the clinical trials testing these agents. We based our analyses on information collected from numerous trusted and publicly available sources. We have developed two databases. One database tracks 2004 IO agents (940 in clinical stage and 1064 in preclinical stage) against 303 targets, from 864 companies; the other tracks 3042 active clinical trials of these agents with a target enrollment of 577 076 patients. This report provides key analyses of these data. Furthermore, we will discuss a number of important and actionable trends in the current IO landscape: a large number of companies developing agents against the same IO targets; a rapid increase in the number of anti-PD-1/L1 combination studies, many of which are testing the same combinations and following inefficient patterns; and a significant increase in the number of small, investigator-initiated studies. For each of the findings, we speculate the causes and discuss a few initiatives that aim to address some of these challenges. Finally, by making these landscape analyses available, we aspire to inform the cancer community as they seek to strive for efficiencies and innovation while avoiding duplication.","author":[{"dropping-particle":"","family":"Tang","given":"J","non-dropping-particle":"","parse-names":false,"suffix":""},{"dropping-particle":"","family":"Shalabi","given":"A","non-dropping-particle":"","parse-names":false,"suffix":""},{"dropping-particle":"","family":"Hubbard-Lucey","given":"V M","non-dropping-particle":"","parse-names":false,"suffix":""}],"container-title":"Annals of Oncology","id":"ITEM-1","issue":"1","issued":{"date-parts":[["2018","1","1"]]},"page":"84-91","title":"Comprehensive analysis of the clinical immuno-oncology landscape","type":"article-journal","volume":"29"},"uris":["http://www.mendeley.com/documents/?uuid=4a66323d-71c9-30ee-9b31-b4b8c0f3e81d","http://www.mendeley.com/documents/?uuid=e0be00bd-624b-4882-b77e-24f2bd771f70"]}],"mendeley":{"formattedCitation":"[1]","plainTextFormattedCitation":"[1]","previouslyFormattedCitation":"[1]"},"properties":{"noteIndex":0},"schema":"https://github.com/citation-style-language/schema/raw/master/csl-citation.json"}</w:instrText>
      </w:r>
      <w:r w:rsidRPr="00D46540">
        <w:rPr>
          <w:rFonts w:ascii="Calibri" w:hAnsi="Calibri" w:cs="Calibri"/>
          <w:lang w:val="en-GB"/>
        </w:rPr>
        <w:fldChar w:fldCharType="separate"/>
      </w:r>
      <w:r w:rsidR="00FA6BA0" w:rsidRPr="00D46540">
        <w:rPr>
          <w:rFonts w:ascii="Calibri" w:hAnsi="Calibri" w:cs="Calibri"/>
          <w:noProof/>
          <w:lang w:val="en-GB"/>
        </w:rPr>
        <w:t>[1]</w:t>
      </w:r>
      <w:r w:rsidRPr="00D46540">
        <w:rPr>
          <w:rFonts w:ascii="Calibri" w:hAnsi="Calibri" w:cs="Calibri"/>
          <w:lang w:val="en-GB"/>
        </w:rPr>
        <w:fldChar w:fldCharType="end"/>
      </w:r>
      <w:r w:rsidRPr="00D46540">
        <w:rPr>
          <w:rFonts w:ascii="Calibri" w:hAnsi="Calibri" w:cs="Calibri"/>
          <w:lang w:val="en-GB"/>
        </w:rPr>
        <w:t xml:space="preserve"> and </w:t>
      </w:r>
      <w:r w:rsidR="008742FE" w:rsidRPr="00D46540">
        <w:rPr>
          <w:rFonts w:ascii="Calibri" w:hAnsi="Calibri" w:cs="Calibri"/>
          <w:lang w:val="en-GB"/>
        </w:rPr>
        <w:t xml:space="preserve">the </w:t>
      </w:r>
      <w:r w:rsidR="00785B83" w:rsidRPr="00D46540">
        <w:rPr>
          <w:rFonts w:ascii="Calibri" w:hAnsi="Calibri" w:cs="Calibri"/>
          <w:lang w:val="en-GB"/>
        </w:rPr>
        <w:t>efficacy of check</w:t>
      </w:r>
      <w:r w:rsidRPr="00D46540">
        <w:rPr>
          <w:rFonts w:ascii="Calibri" w:hAnsi="Calibri" w:cs="Calibri"/>
          <w:lang w:val="en-GB"/>
        </w:rPr>
        <w:t xml:space="preserve">point inhibitors (CPIs) has been demonstrated </w:t>
      </w:r>
      <w:r w:rsidR="00173B8A" w:rsidRPr="00D46540">
        <w:rPr>
          <w:rFonts w:ascii="Calibri" w:hAnsi="Calibri" w:cs="Calibri"/>
          <w:lang w:val="en-GB"/>
        </w:rPr>
        <w:t xml:space="preserve">in </w:t>
      </w:r>
      <w:r w:rsidRPr="00D46540">
        <w:rPr>
          <w:rFonts w:ascii="Calibri" w:hAnsi="Calibri" w:cs="Calibri"/>
          <w:lang w:val="en-GB"/>
        </w:rPr>
        <w:t>more than 20 different types of cancer</w:t>
      </w:r>
      <w:r w:rsidR="007B2573" w:rsidRPr="00D46540">
        <w:rPr>
          <w:rFonts w:ascii="Calibri" w:hAnsi="Calibri" w:cs="Calibri"/>
          <w:lang w:val="en-GB"/>
        </w:rPr>
        <w:t xml:space="preserve"> </w:t>
      </w:r>
      <w:r w:rsidR="00525C77"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{"citationItems":[{"id":"ITEM-1","itemData":{"DOI":"10.21037/atm.2016.07.14","ISSN":"23055839","PMID":"27563660","abstract":"The advent of immunotherapy has transformed the treatment paradigm of several solid tumors and is expected to influence the therapeutic algorithm even more in the future following the results of numerous ongoing clinical trials in a wide range of malignancies. Exploiting the anti-cancer effect of the immune system with the use of vaccines, viral vectors, and more lately with immune check-point inhibitors and chimeric antigen receptor modification, has been proven a successful therapeutic strategy in a broad spectrum of tumors. In particular, immune check-point inhibition in melanoma, non-small-cell lung cancer and renal cancer, peptide vaccination in prostate cancer and glioblastoma, and oncolytic immunotherapy in melanoma are well-established therapeutic modalities that have obtained approval by regulatory authorities and are already in clinical use. A large number of ongoing clinical trials involving thousands of patients are currently seeking to define the appropriate tumor type, therapeutic setting, treatment combination and patient populations in order to maximize clinical benefit from immunotherapeutic agents. In this context, identification of the patients whose tumors are most likely to respond to immunotherapy by the use of appropriate biomarkers will be crucial for the optimal implementation of immunotherapy into the therapeutic armamentarium.","author":[{"dropping-particle":"","family":"Tsiatas","given":"Marinos","non-dropping-particle":"","parse-names":false,"suffix":""},{"dropping-particle":"","family":"Mountzios","given":"Giannis","non-dropping-particle":"","parse-names":false,"suffix":""},{"dropping-particle":"","family":"Curigliano","given":"Giuseppe","non-dropping-particle":"","parse-names":false,"suffix":""}],"container-title":"Annals of Translational Medicine","id":"ITEM-1","issue":"14","issued":{"date-parts":[["2016"]]},"page":"273-273","title":"Future perspectives in cancer immunotherapy","type":"article-journal","volume":"4"},"uris":["http://www.mendeley.com/documents/?uuid=e3a70bc3-6531-4114-885d-852a91e5daa6"]}],"mendeley":{"formattedCitation":"[2]","plainTextFormattedCitation":"[2]","previouslyFormattedCitation":"[2]"},"properties":{"noteIndex":0},"schema":"https://github.com/citation-style-language/schema/raw/master/csl-citation.json"}</w:instrText>
      </w:r>
      <w:r w:rsidR="00525C77" w:rsidRPr="00D46540">
        <w:rPr>
          <w:rFonts w:ascii="Calibri" w:hAnsi="Calibri" w:cs="Calibri"/>
          <w:lang w:val="en-GB"/>
        </w:rPr>
        <w:fldChar w:fldCharType="separate"/>
      </w:r>
      <w:r w:rsidR="00525C77" w:rsidRPr="00D46540">
        <w:rPr>
          <w:rFonts w:ascii="Calibri" w:hAnsi="Calibri" w:cs="Calibri"/>
          <w:noProof/>
          <w:lang w:val="en-GB"/>
        </w:rPr>
        <w:t>[2]</w:t>
      </w:r>
      <w:r w:rsidR="00525C77" w:rsidRPr="00D46540">
        <w:rPr>
          <w:rFonts w:ascii="Calibri" w:hAnsi="Calibri" w:cs="Calibri"/>
          <w:lang w:val="en-GB"/>
        </w:rPr>
        <w:fldChar w:fldCharType="end"/>
      </w:r>
      <w:r w:rsidRPr="00D46540">
        <w:rPr>
          <w:rFonts w:ascii="Calibri" w:hAnsi="Calibri" w:cs="Calibri"/>
          <w:lang w:val="fr-FR"/>
        </w:rPr>
        <w:t xml:space="preserve"> </w:t>
      </w:r>
      <w:r w:rsidR="007F6CAA" w:rsidRPr="00D46540">
        <w:rPr>
          <w:rFonts w:ascii="Calibri" w:hAnsi="Calibri" w:cs="Calibri"/>
          <w:lang w:val="en-GB"/>
        </w:rPr>
        <w:t>organ transplant recipients (</w:t>
      </w:r>
      <w:r w:rsidRPr="00D46540">
        <w:rPr>
          <w:rFonts w:ascii="Calibri" w:hAnsi="Calibri" w:cs="Calibri"/>
          <w:lang w:val="en-GB"/>
        </w:rPr>
        <w:t>OTRs</w:t>
      </w:r>
      <w:r w:rsidR="007F6CAA" w:rsidRPr="00D46540">
        <w:rPr>
          <w:rFonts w:ascii="Calibri" w:hAnsi="Calibri" w:cs="Calibri"/>
          <w:lang w:val="en-GB"/>
        </w:rPr>
        <w:t>)</w:t>
      </w:r>
      <w:r w:rsidRPr="00D46540">
        <w:rPr>
          <w:rFonts w:ascii="Calibri" w:hAnsi="Calibri" w:cs="Calibri"/>
          <w:lang w:val="en-GB"/>
        </w:rPr>
        <w:t xml:space="preserve"> have systematically been excluded from those trials</w:t>
      </w:r>
      <w:r w:rsidR="00D71270" w:rsidRPr="00D46540">
        <w:rPr>
          <w:rFonts w:ascii="Calibri" w:hAnsi="Calibri" w:cs="Calibri"/>
          <w:lang w:val="en-GB"/>
        </w:rPr>
        <w:t xml:space="preserve"> </w:t>
      </w:r>
      <w:r w:rsidR="00D71270"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10.1177/2050640618774631","ISBN":"2050640618774","author":[{"dropping-particle":"","family":"Munker","given":"Stefan","non-dropping-particle":"","parse-names":false,"suffix":""},{"dropping-particle":"De","family":"Toni","given":"Enrico N","non-dropping-particle":"","parse-names":false,"suffix":""}],"id":"ITEM-1","issued":{"date-parts":[["2018"]]},"page":"15-18","title":"Use of checkpoint inhibitors in liver transplant recipients","type":"article-journal"},"uris":["http://www.mendeley.com/documents/?uuid=3d36972d-68a4-4fd0-b2d7-d9691f75a3c3"]}],"mendeley":{"formattedCitation":"[3]","plainTextFormattedCitation":"[3]","previouslyFormattedCitation":"[3]"},"properties":{"noteIndex":0},"schema":"https://github.com/citation-style-language/schema/raw/master/csl-citation.json"}</w:instrText>
      </w:r>
      <w:r w:rsidR="00D71270" w:rsidRPr="00D46540">
        <w:rPr>
          <w:rFonts w:ascii="Calibri" w:hAnsi="Calibri" w:cs="Calibri"/>
          <w:lang w:val="en-GB"/>
        </w:rPr>
        <w:fldChar w:fldCharType="separate"/>
      </w:r>
      <w:r w:rsidR="00525C77" w:rsidRPr="00D46540">
        <w:rPr>
          <w:rFonts w:ascii="Calibri" w:hAnsi="Calibri" w:cs="Calibri"/>
          <w:noProof/>
          <w:lang w:val="en-GB"/>
        </w:rPr>
        <w:t>[3]</w:t>
      </w:r>
      <w:r w:rsidR="00D71270" w:rsidRPr="00D46540">
        <w:rPr>
          <w:rFonts w:ascii="Calibri" w:hAnsi="Calibri" w:cs="Calibri"/>
          <w:lang w:val="en-GB"/>
        </w:rPr>
        <w:fldChar w:fldCharType="end"/>
      </w:r>
      <w:r w:rsidRPr="00D46540">
        <w:rPr>
          <w:rFonts w:ascii="Calibri" w:hAnsi="Calibri" w:cs="Calibri"/>
          <w:lang w:val="en-GB"/>
        </w:rPr>
        <w:t>.</w:t>
      </w:r>
      <w:r w:rsidR="006D2604" w:rsidRPr="00D46540">
        <w:rPr>
          <w:rFonts w:ascii="Calibri" w:hAnsi="Calibri" w:cs="Calibri"/>
          <w:lang w:val="en-GB"/>
        </w:rPr>
        <w:t xml:space="preserve"> </w:t>
      </w:r>
      <w:r w:rsidR="007F6CAA" w:rsidRPr="00D46540">
        <w:rPr>
          <w:rFonts w:ascii="Calibri" w:hAnsi="Calibri" w:cs="Calibri"/>
          <w:lang w:val="en-GB"/>
        </w:rPr>
        <w:t xml:space="preserve">In these patients </w:t>
      </w:r>
      <w:r w:rsidR="00861180" w:rsidRPr="00D46540">
        <w:rPr>
          <w:rFonts w:ascii="Calibri" w:hAnsi="Calibri" w:cs="Calibri"/>
          <w:lang w:val="en-GB"/>
        </w:rPr>
        <w:t>l</w:t>
      </w:r>
      <w:r w:rsidR="00A92432" w:rsidRPr="00D46540">
        <w:rPr>
          <w:rFonts w:ascii="Calibri" w:hAnsi="Calibri" w:cs="Calibri"/>
          <w:lang w:val="en-GB"/>
        </w:rPr>
        <w:t xml:space="preserve">onger survival, prolonged immunosuppression and aging </w:t>
      </w:r>
      <w:r w:rsidR="00785B83" w:rsidRPr="00D46540">
        <w:rPr>
          <w:rFonts w:ascii="Calibri" w:hAnsi="Calibri" w:cs="Calibri"/>
          <w:lang w:val="en-GB"/>
        </w:rPr>
        <w:t>lead to even more immunosuppression and to an increased</w:t>
      </w:r>
      <w:r w:rsidR="00A92432" w:rsidRPr="00D46540">
        <w:rPr>
          <w:rFonts w:ascii="Calibri" w:hAnsi="Calibri" w:cs="Calibri"/>
          <w:lang w:val="en-GB"/>
        </w:rPr>
        <w:t xml:space="preserve"> risk </w:t>
      </w:r>
      <w:r w:rsidR="00785B83" w:rsidRPr="00D46540">
        <w:rPr>
          <w:rFonts w:ascii="Calibri" w:hAnsi="Calibri" w:cs="Calibri"/>
          <w:lang w:val="en-GB"/>
        </w:rPr>
        <w:t>of</w:t>
      </w:r>
      <w:r w:rsidR="00A92432" w:rsidRPr="00D46540">
        <w:rPr>
          <w:rFonts w:ascii="Calibri" w:hAnsi="Calibri" w:cs="Calibri"/>
          <w:lang w:val="en-GB"/>
        </w:rPr>
        <w:t xml:space="preserve"> developing metastatic cancer</w:t>
      </w:r>
      <w:r w:rsidR="00785B83" w:rsidRPr="00D46540">
        <w:rPr>
          <w:rFonts w:ascii="Calibri" w:hAnsi="Calibri" w:cs="Calibri"/>
          <w:lang w:val="en-GB"/>
        </w:rPr>
        <w:t xml:space="preserve"> </w:t>
      </w:r>
      <w:r w:rsidR="00801FC2"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{"citationItems":[{"id":"ITEM-1","itemData":{"DOI":"10.1111/ajt.14557","ISSN":"16006135","abstract":"Data from 2016 show ongoing positive trends in short- and long-term allograft survival, and a decrease in the number of active listed candidates for the first time in more than a decade, with a concomitant increase in deceased donor kidney transplants. Transplant rates that had changed dramatically for some groups after implementation of the new kidney allocation system in 2014 are stabilizing, allowing for evaluation of new steady states and trends. Many challenges remain in adult kidney transplantation, including stagnant rates of living donor transplant, geographic disparities in access to transplant, racial disparities in living donor transplant, and overall a continuing demand for kidneys that far outpaces the supply. For pediatric recipients, a decline in the proportion of living donor transplants is of concern. In 2016, only 34.2% of pediatric transplants were from living donors, compared with 47.2% in 2005. The number of related donors decreased dramatically over the past decade, and the number of unrelated directed transplants performed in pediatric candidates remained low (50).","author":[{"dropping-particle":"","family":"Hart","given":"A","non-dropping-particle":"","parse-names":false,"suffix":""},{"dropping-particle":"","family":"Smith","given":"J M","non-dropping-particle":"","parse-names":false,"suffix":""},{"dropping-particle":"","family":"Skeans","given":"M A","non-dropping-particle":"","parse-names":false,"suffix":""},{"dropping-particle":"","family":"Gustafson","given":"S K","non-dropping-particle":"","parse-names":false,"suffix":""},{"dropping-particle":"","family":"Wilk","given":"A R","non-dropping-particle":"","parse-names":false,"suffix":""},{"dropping-particle":"","family":"Robinson","given":"A","non-dropping-particle":"","parse-names":false,"suffix":""},{"dropping-particle":"","family":"Wainright","given":"J L","non-dropping-particle":"","parse-names":false,"suffix":""},{"dropping-particle":"","family":"Haynes","given":"C R","non-dropping-particle":"","parse-names":false,"suffix":""},{"dropping-particle":"","family":"Snyder","given":"J J","non-dropping-particle":"","parse-names":false,"suffix":""},{"dropping-particle":"","family":"Kasiske","given":"B L","non-dropping-particle":"","parse-names":false,"suffix":""},{"dropping-particle":"","family":"Israni","given":"A K","non-dropping-particle":"","parse-names":false,"suffix":""}],"container-title":"American Journal of Transplantation","id":"ITEM-1","issue":"Suppl 1","issued":{"date-parts":[["2018","1"]]},"page":"18-113","title":"OPTN/SRTR 2016 Annual Data Report: Kidney","type":"article-journal","volume":"18"},"uris":["http://www.mendeley.com/documents/?uuid=40998b68-14f9-493b-9cdb-899dd87d20d7","http://www.mendeley.com/documents/?uuid=c5cfb016-e037-4c4d-86c6-c769d1e564d9"]},{"id":"ITEM-2","itemData":{"DOI":"10.1111/ajt.14559","ISSN":"16006135","abstract":"Data on adult liver transplants performed in the US in 2016 are no-table for (1) the largest total number of transplants performed (7841); (2) the shortest median waiting time in recent history (11.3 months); (3) continued reduction in waitlist registrations and transplants for hepatitis C-related indications; (4) increasing numbers of patients whose clinical profiles are consistent with non-alcoholic fatty liver disease; and (5) equilibration of transplant rates in patients with and without hepatocellular carcinoma. Despite the increase in the number of available organs, waitlist mortality remained an important concern. Graft survival rates continued to improve. In 2016, 723 new active candidates were added to the pediatric liver transplant waiting list, down from a peak of 826 in 2005. The number of prevalent candidates (on the list on December 31 of the given year) was stable, 408 active and 169 inactive. The number of pediatric living donor liver transplants decreased from a peak of 79 in 2015 to 62 in 2016, with most from donors closely related to the recipients. Graft survival continued to improve over the past decade among recipients of deceased donor and living donor livers.","author":[{"dropping-particle":"","family":"Kim","given":"W R","non-dropping-particle":"","parse-names":false,"suffix":""},{"dropping-particle":"","family":"Lake","given":"J R","non-dropping-particle":"","parse-names":false,"suffix":""},{"dropping-particle":"","family":"Smith","given":"J M","non-dropping-particle":"","parse-names":false,"suffix":""},{"dropping-particle":"","family":"Schladt","given":"D P","non-dropping-particle":"","parse-names":false,"suffix":""},{"dropping-particle":"","family":"Skeans","given":"M A","non-dropping-particle":"","parse-names":false,"suffix":""},{"dropping-particle":"","family":"Harper","given":"A M","non-dropping-particle":"","parse-names":false,"suffix":""},{"dropping-particle":"","family":"Wainright","given":"J L","non-dropping-particle":"","parse-names":false,"suffix":""},{"dropping-particle":"","family":"Snyder","given":"J J","non-dropping-particle":"","parse-names":false,"suffix":""},{"dropping-particle":"","family":"Israni","given":"A K","non-dropping-particle":"","parse-names":false,"suffix":""},{"dropping-particle":"","family":"Kasiske","given":"B L","non-dropping-particle":"","parse-names":false,"suffix":""}],"container-title":"American Journal of Transplantation","id":"ITEM-2","issue":"S1","issued":{"date-parts":[["2018","1"]]},"page":"172-253","publisher":"Wiley Online Library","title":"OPTN/SRTR 2016 Annual Data Report: Liver","type":"article-journal","volume":"18"},"uris":["http://www.mendeley.com/documents/?uuid=53243259-eb01-46be-8b11-d9330f0910cc","http://www.mendeley.com/documents/?uuid=03d45054-07f3-4d0c-9abc-b043e42bd51e"]}],"mendeley":{"formattedCitation":"[4,5]","plainTextFormattedCitation":"[4,5]","previouslyFormattedCitation":"[4,5]"},"properties":{"noteIndex":0},"schema":"https://github.com/citation-style-language/schema/raw/master/csl-citation.json"}</w:instrText>
      </w:r>
      <w:r w:rsidR="00801FC2" w:rsidRPr="00D46540">
        <w:rPr>
          <w:rFonts w:ascii="Calibri" w:hAnsi="Calibri" w:cs="Calibri"/>
          <w:lang w:val="en-GB"/>
        </w:rPr>
        <w:fldChar w:fldCharType="separate"/>
      </w:r>
      <w:r w:rsidR="00525C77" w:rsidRPr="00D46540">
        <w:rPr>
          <w:rFonts w:ascii="Calibri" w:hAnsi="Calibri" w:cs="Calibri"/>
          <w:noProof/>
          <w:lang w:val="en-GB"/>
        </w:rPr>
        <w:t>[4,5]</w:t>
      </w:r>
      <w:r w:rsidR="00801FC2" w:rsidRPr="00D46540">
        <w:rPr>
          <w:rFonts w:ascii="Calibri" w:hAnsi="Calibri" w:cs="Calibri"/>
          <w:lang w:val="en-GB"/>
        </w:rPr>
        <w:fldChar w:fldCharType="end"/>
      </w:r>
      <w:r w:rsidR="00A92432" w:rsidRPr="00D46540">
        <w:rPr>
          <w:rFonts w:ascii="Calibri" w:hAnsi="Calibri" w:cs="Calibri"/>
          <w:lang w:val="en-GB"/>
        </w:rPr>
        <w:t>.</w:t>
      </w:r>
      <w:r w:rsidR="006D2604" w:rsidRPr="00D46540">
        <w:rPr>
          <w:rFonts w:ascii="Calibri" w:hAnsi="Calibri" w:cs="Calibri"/>
          <w:lang w:val="en-GB"/>
        </w:rPr>
        <w:t xml:space="preserve"> </w:t>
      </w:r>
      <w:r w:rsidR="00F161AC" w:rsidRPr="00D46540">
        <w:rPr>
          <w:rFonts w:ascii="Calibri" w:hAnsi="Calibri" w:cs="Calibri"/>
          <w:lang w:val="en-GB"/>
        </w:rPr>
        <w:t xml:space="preserve">For example, in </w:t>
      </w:r>
      <w:r w:rsidR="00801FC2" w:rsidRPr="00D46540">
        <w:rPr>
          <w:rFonts w:ascii="Calibri" w:hAnsi="Calibri" w:cs="Calibri"/>
          <w:lang w:val="en-GB"/>
        </w:rPr>
        <w:t>patients that were liver-transplanted due to recurrent HCC</w:t>
      </w:r>
      <w:r w:rsidR="00F161AC" w:rsidRPr="00D46540">
        <w:rPr>
          <w:rFonts w:ascii="Calibri" w:hAnsi="Calibri" w:cs="Calibri"/>
          <w:lang w:val="en-GB"/>
        </w:rPr>
        <w:t>,</w:t>
      </w:r>
      <w:r w:rsidR="00785B83" w:rsidRPr="00D46540">
        <w:rPr>
          <w:rFonts w:ascii="Calibri" w:hAnsi="Calibri" w:cs="Calibri"/>
          <w:lang w:val="en-GB"/>
        </w:rPr>
        <w:t xml:space="preserve"> after excluding early </w:t>
      </w:r>
      <w:r w:rsidR="00AF230B">
        <w:rPr>
          <w:rFonts w:ascii="Calibri" w:hAnsi="Calibri" w:cs="Calibri"/>
          <w:lang w:val="en-GB"/>
        </w:rPr>
        <w:t xml:space="preserve">HCC </w:t>
      </w:r>
      <w:r w:rsidR="00785B83" w:rsidRPr="00D46540">
        <w:rPr>
          <w:rFonts w:ascii="Calibri" w:hAnsi="Calibri" w:cs="Calibri"/>
          <w:lang w:val="en-GB"/>
        </w:rPr>
        <w:t>relapse</w:t>
      </w:r>
      <w:r w:rsidR="00F161AC" w:rsidRPr="00D46540">
        <w:rPr>
          <w:rFonts w:ascii="Calibri" w:hAnsi="Calibri" w:cs="Calibri"/>
          <w:lang w:val="en-GB"/>
        </w:rPr>
        <w:t xml:space="preserve">, a 2-fold increase in liver cancer has been observed </w:t>
      </w:r>
      <w:r w:rsidR="00F161AC"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{"citationItems":[{"id":"ITEM-1","itemData":{"DOI":"10.1001/jama.2011.1592","ISBN":"1538-3598","ISSN":"0098-7484","PMID":"22045767","abstract":"CONTEXT: Solid organ transplant recipients have elevated cancer risk due to immunosuppression and oncogenic viral infections. Because most prior research has concerned kidney recipients, large studies that include recipients of differing organs can inform cancer etiology.\\n\\nOBJECTIVE: To describe the overall pattern of cancer following solid organ transplantation.\\n\\nDESIGN, SETTING, AND PARTICIPANTS: Cohort study using linked data on solid organ transplant recipients from the US Scientific Registry of Transplant Recipients (1987-2008) and 13 state and regional cancer registries.\\n\\nMAIN OUTCOME MEASURES: Standardized incidence ratios (SIRs) and excess absolute risks (EARs) assessing relative and absolute cancer risk in transplant recipients compared with the general population.\\n\\nRESULTS: The registry linkages yielded data on 175,732 solid organ transplants (58.4% for kidney, 21.6% for liver, 10.0% for heart, and 4.0% for lung). The overall cancer risk was elevated with 10,656 cases and an incidence of 1375 per 100,000 person-years (SIR, 2.10 [95% CI, 2.06-2.14]; EAR, 719.3 [95% CI, 693.3-745.6] per 100,000 person-years). Risk was increased for 32 different malignancies, some related to known infections (eg, anal cancer, Kaposi sarcoma) and others unrelated (eg, melanoma, thyroid and lip cancers). The most common malignancies with elevated risk were non-Hodgkin lymphoma (n = 1504; incidence: 194.0 per 100,000 person-years; SIR, 7.54 [95% CI, 7.17-7.93]; EAR, 168.3 [95% CI, 158.6-178.4] per 100,000 person-years) and cancers of the lung (n = 1344; incidence: 173.4 per 100,000 person-years; SIR, 1.97 [95% CI, 1.86-2.08]; EAR, 85.3 [95% CI, 76.2-94.8] per 100,000 person-years), liver (n = 930; incidence: 120.0 per 100,000 person-years; SIR, 11.56 [95% CI, 10.83-12.33]; EAR, 109.6 [95% CI, 102.0-117.6] per 100,000 person-years), and kidney (n = 752; incidence: 97.0 per 100,000 person-years; SIR, 4.65 [95% CI, 4.32-4.99]; EAR, 76.1 [95% CI, 69.3-83.3] per 100,000 person-years). Lung cancer risk was most elevated in lung recipients (SIR, 6.13 [95% CI, 5.18-7.21]) but also increased among other recipients (kidney: SIR, 1.46 [95% CI, 1.34-1.59]; liver: SIR, 1.95 [95% CI, 1.74-2.19]; and heart: SIR, 2.67 [95% CI, 2.40-2.95]). Liver cancer risk was elevated only among liver recipients (SIR, 43.83 [95% CI, 40.90-46.91]), who manifested exceptional risk in the first 6 months (SIR, 508.97 [95% CI, 474.16-545.66]) and a 2-fold excess risk for 10 to 15 years thereaf…","author":[{"dropping-particle":"","family":"Engels","given":"Eric A","non-dropping-particle":"","parse-names":false,"suffix":""},{"dropping-particle":"","family":"Pfeiffer","given":"Ruth M","non-dropping-particle":"","parse-names":false,"suffix":""},{"dropping-particle":"","family":"Fraumeni","given":"Joseph F","non-dropping-particle":"","parse-names":false,"suffix":""},{"dropping-particle":"","family":"Kasiske","given":"Bertram L","non-dropping-particle":"","parse-names":false,"suffix":""},{"dropping-particle":"","family":"Israni","given":"Ajay K","non-dropping-particle":"","parse-names":false,"suffix":""},{"dropping-particle":"","family":"Snyder","given":"Jon J","non-dropping-particle":"","parse-names":false,"suffix":""},{"dropping-particle":"","family":"Wolfe","given":"Robert A","non-dropping-particle":"","parse-names":false,"suffix":""},{"dropping-particle":"","family":"Goodrich","given":"Nathan P","non-dropping-particle":"","parse-names":false,"suffix":""},{"dropping-particle":"","family":"Bayakly","given":"a Rana","non-dropping-particle":"","parse-names":false,"suffix":""},{"dropping-particle":"","family":"Clarke","given":"Christina a","non-dropping-particle":"","parse-names":false,"suffix":""},{"dropping-particle":"","family":"Copeland","given":"Glenn","non-dropping-particle":"","parse-names":false,"suffix":""},{"dropping-particle":"","family":"Finch","given":"Jack L","non-dropping-particle":"","parse-names":false,"suffix":""},{"dropping-particle":"Lou","family":"Fleissner","given":"Mary","non-dropping-particle":"","parse-names":false,"suffix":""},{"dropping-particle":"","family":"Goodman","given":"Marc T","non-dropping-particle":"","parse-names":false,"suffix":""},{"dropping-particle":"","family":"Kahn","given":"Amy","non-dropping-particle":"","parse-names":false,"suffix":""},{"dropping-particle":"","family":"Koch","given":"Lori","non-dropping-particle":"","parse-names":false,"suffix":""},{"dropping-particle":"","family":"Lynch","given":"Charles F","non-dropping-particle":"","parse-names":false,"suffix":""},{"dropping-particle":"","family":"Madeleine","given":"Margaret M","non-dropping-particle":"","parse-names":false,"suffix":""},{"dropping-particle":"","family":"Pawlish","given":"Karen","non-dropping-particle":"","parse-names":false,"suffix":""},{"dropping-particle":"","family":"Rao","given":"Chandrika","non-dropping-particle":"","parse-names":false,"suffix":""},{"dropping-particle":"","family":"Williams","given":"Melanie A","non-dropping-particle":"","parse-names":false,"suffix":""},{"dropping-particle":"","family":"Castenson","given":"David","non-dropping-particle":"","parse-names":false,"suffix":""},{"dropping-particle":"","family":"Curry","given":"Michael","non-dropping-particle":"","parse-names":false,"suffix":""},{"dropping-particle":"","family":"Parsons","given":"Ruth","non-dropping-particle":"","parse-names":false,"suffix":""},{"dropping-particle":"","family":"Fant","given":"Gregory","non-dropping-particle":"","parse-names":false,"suffix":""},{"dropping-particle":"","family":"Lin","given":"Monica","non-dropping-particle":"","parse-names":false,"suffix":""}],"container-title":"JAMA","id":"ITEM-1","issue":"17","issued":{"date-parts":[["2011"]]},"page":"1891","title":"Spectrum of Cancer Risk Among US Solid Organ Transplant Recipients","type":"article-journal","volume":"306"},"uris":["http://www.mendeley.com/documents/?uuid=c6e09f3b-eedb-43fc-a78a-7a87e165b81c"]}],"mendeley":{"formattedCitation":"[6]","plainTextFormattedCitation":"[6]","previouslyFormattedCitation":"[6]"},"properties":{"noteIndex":0},"schema":"https://github.com/citation-style-language/schema/raw/master/csl-citation.json"}</w:instrText>
      </w:r>
      <w:r w:rsidR="00F161AC" w:rsidRPr="00D46540">
        <w:rPr>
          <w:rFonts w:ascii="Calibri" w:hAnsi="Calibri" w:cs="Calibri"/>
          <w:lang w:val="en-GB"/>
        </w:rPr>
        <w:fldChar w:fldCharType="separate"/>
      </w:r>
      <w:r w:rsidR="00525C77" w:rsidRPr="00D46540">
        <w:rPr>
          <w:rFonts w:ascii="Calibri" w:hAnsi="Calibri" w:cs="Calibri"/>
          <w:noProof/>
          <w:lang w:val="en-GB"/>
        </w:rPr>
        <w:t>[6]</w:t>
      </w:r>
      <w:r w:rsidR="00F161AC" w:rsidRPr="00D46540">
        <w:rPr>
          <w:rFonts w:ascii="Calibri" w:hAnsi="Calibri" w:cs="Calibri"/>
          <w:lang w:val="en-GB"/>
        </w:rPr>
        <w:fldChar w:fldCharType="end"/>
      </w:r>
      <w:r w:rsidR="00F161AC" w:rsidRPr="00D46540">
        <w:rPr>
          <w:rFonts w:ascii="Calibri" w:hAnsi="Calibri" w:cs="Calibri"/>
          <w:lang w:val="en-GB"/>
        </w:rPr>
        <w:t>.</w:t>
      </w:r>
      <w:r w:rsidR="006D2604" w:rsidRPr="00D46540">
        <w:rPr>
          <w:rFonts w:ascii="Calibri" w:hAnsi="Calibri" w:cs="Calibri"/>
          <w:lang w:val="en-GB"/>
        </w:rPr>
        <w:t xml:space="preserve"> </w:t>
      </w:r>
      <w:r w:rsidR="00785B83" w:rsidRPr="00D46540">
        <w:rPr>
          <w:rFonts w:ascii="Calibri" w:hAnsi="Calibri" w:cs="Calibri"/>
          <w:lang w:val="en-GB"/>
        </w:rPr>
        <w:t>Additionally, the transplant</w:t>
      </w:r>
      <w:r w:rsidR="00544654" w:rsidRPr="00D46540">
        <w:rPr>
          <w:rFonts w:ascii="Calibri" w:hAnsi="Calibri" w:cs="Calibri"/>
          <w:lang w:val="en-GB"/>
        </w:rPr>
        <w:t xml:space="preserve"> population is expanding as surgical techniques have improved, management of immunosuppression has been refined and</w:t>
      </w:r>
      <w:r w:rsidR="00EE3712" w:rsidRPr="00D46540">
        <w:rPr>
          <w:rFonts w:ascii="Calibri" w:hAnsi="Calibri" w:cs="Calibri"/>
          <w:lang w:val="en-GB"/>
        </w:rPr>
        <w:t xml:space="preserve"> </w:t>
      </w:r>
      <w:r w:rsidR="00544654" w:rsidRPr="00D46540">
        <w:rPr>
          <w:rFonts w:ascii="Calibri" w:hAnsi="Calibri" w:cs="Calibri"/>
          <w:lang w:val="en-GB"/>
        </w:rPr>
        <w:t xml:space="preserve">indications for transplantation have progressively </w:t>
      </w:r>
      <w:r w:rsidR="00785B83" w:rsidRPr="00D46540">
        <w:rPr>
          <w:rFonts w:ascii="Calibri" w:hAnsi="Calibri" w:cs="Calibri"/>
          <w:lang w:val="en-GB"/>
        </w:rPr>
        <w:t>widened</w:t>
      </w:r>
      <w:r w:rsidR="00544654" w:rsidRPr="00D46540">
        <w:rPr>
          <w:rFonts w:ascii="Calibri" w:hAnsi="Calibri" w:cs="Calibri"/>
          <w:lang w:val="en-GB"/>
        </w:rPr>
        <w:t>.</w:t>
      </w:r>
      <w:r w:rsidR="006D2604" w:rsidRPr="00D46540">
        <w:rPr>
          <w:rFonts w:ascii="Calibri" w:hAnsi="Calibri" w:cs="Calibri"/>
          <w:lang w:val="en-GB"/>
        </w:rPr>
        <w:t xml:space="preserve"> </w:t>
      </w:r>
      <w:r w:rsidR="00DF713C" w:rsidRPr="00D46540">
        <w:rPr>
          <w:rFonts w:ascii="Calibri" w:hAnsi="Calibri" w:cs="Calibri"/>
          <w:lang w:val="en-GB"/>
        </w:rPr>
        <w:t>I</w:t>
      </w:r>
      <w:r w:rsidR="002141F1" w:rsidRPr="00D46540">
        <w:rPr>
          <w:rFonts w:ascii="Calibri" w:hAnsi="Calibri" w:cs="Calibri"/>
          <w:lang w:val="en-GB"/>
        </w:rPr>
        <w:t>ndeed,</w:t>
      </w:r>
      <w:r w:rsidR="00DF713C" w:rsidRPr="00D46540">
        <w:rPr>
          <w:rFonts w:ascii="Calibri" w:hAnsi="Calibri" w:cs="Calibri"/>
          <w:lang w:val="en-GB"/>
        </w:rPr>
        <w:t xml:space="preserve"> </w:t>
      </w:r>
      <w:r w:rsidR="00C03FCA" w:rsidRPr="00D46540">
        <w:rPr>
          <w:rFonts w:ascii="Calibri" w:hAnsi="Calibri" w:cs="Calibri"/>
          <w:lang w:val="en-GB"/>
        </w:rPr>
        <w:t xml:space="preserve">the total organ transplant </w:t>
      </w:r>
      <w:r w:rsidR="000F2471" w:rsidRPr="00D46540">
        <w:rPr>
          <w:rFonts w:ascii="Calibri" w:hAnsi="Calibri" w:cs="Calibri"/>
          <w:lang w:val="en-GB"/>
        </w:rPr>
        <w:t xml:space="preserve">number </w:t>
      </w:r>
      <w:r w:rsidR="00C03FCA" w:rsidRPr="00D46540">
        <w:rPr>
          <w:rFonts w:ascii="Calibri" w:hAnsi="Calibri" w:cs="Calibri"/>
          <w:lang w:val="en-GB"/>
        </w:rPr>
        <w:t xml:space="preserve">worldwide </w:t>
      </w:r>
      <w:r w:rsidR="002141F1" w:rsidRPr="00D46540">
        <w:rPr>
          <w:rFonts w:ascii="Calibri" w:hAnsi="Calibri" w:cs="Calibri"/>
          <w:lang w:val="en-GB"/>
        </w:rPr>
        <w:t xml:space="preserve">has </w:t>
      </w:r>
      <w:r w:rsidR="00C03FCA" w:rsidRPr="00D46540">
        <w:rPr>
          <w:rFonts w:ascii="Calibri" w:hAnsi="Calibri" w:cs="Calibri"/>
          <w:lang w:val="en-GB"/>
        </w:rPr>
        <w:t>almost doubled</w:t>
      </w:r>
      <w:r w:rsidR="000F2471" w:rsidRPr="00D46540">
        <w:rPr>
          <w:rFonts w:ascii="Calibri" w:hAnsi="Calibri" w:cs="Calibri"/>
          <w:lang w:val="en-GB"/>
        </w:rPr>
        <w:t xml:space="preserve"> </w:t>
      </w:r>
      <w:r w:rsidR="00EE3712" w:rsidRPr="00D46540">
        <w:rPr>
          <w:rFonts w:ascii="Calibri" w:hAnsi="Calibri" w:cs="Calibri"/>
          <w:lang w:val="en-GB"/>
        </w:rPr>
        <w:t xml:space="preserve">between 2003 and 2017 </w:t>
      </w:r>
      <w:r w:rsidR="000F2471" w:rsidRPr="00D46540">
        <w:rPr>
          <w:rFonts w:ascii="Calibri" w:hAnsi="Calibri" w:cs="Calibri"/>
          <w:lang w:val="en-GB"/>
        </w:rPr>
        <w:t>from 56.263 to</w:t>
      </w:r>
      <w:r w:rsidR="002141F1" w:rsidRPr="00D46540">
        <w:rPr>
          <w:rFonts w:ascii="Calibri" w:hAnsi="Calibri" w:cs="Calibri"/>
          <w:lang w:val="en-GB"/>
        </w:rPr>
        <w:t xml:space="preserve"> 102.664 </w:t>
      </w:r>
      <w:r w:rsidR="00785B83" w:rsidRPr="00D46540">
        <w:rPr>
          <w:rFonts w:ascii="Calibri" w:hAnsi="Calibri" w:cs="Calibri"/>
          <w:lang w:val="en-GB"/>
        </w:rPr>
        <w:t xml:space="preserve">(data based </w:t>
      </w:r>
      <w:r w:rsidR="00C81394" w:rsidRPr="00D46540">
        <w:rPr>
          <w:rFonts w:ascii="Calibri" w:hAnsi="Calibri" w:cs="Calibri"/>
          <w:lang w:val="en-GB"/>
        </w:rPr>
        <w:t>on the Global Observatory on Donation and Transplantation (GODT) data, WHO-ONT collaboration</w:t>
      </w:r>
      <w:r w:rsidR="00785B83" w:rsidRPr="00D46540">
        <w:rPr>
          <w:rFonts w:ascii="Calibri" w:hAnsi="Calibri" w:cs="Calibri"/>
          <w:lang w:val="en-GB"/>
        </w:rPr>
        <w:t>)</w:t>
      </w:r>
      <w:r w:rsidR="00C81394" w:rsidRPr="00D46540">
        <w:rPr>
          <w:rFonts w:ascii="Calibri" w:hAnsi="Calibri" w:cs="Calibri"/>
          <w:lang w:val="en-GB"/>
        </w:rPr>
        <w:t>.</w:t>
      </w:r>
      <w:r w:rsidR="006D2604" w:rsidRPr="00D46540">
        <w:rPr>
          <w:rFonts w:ascii="Calibri" w:hAnsi="Calibri" w:cs="Calibri"/>
          <w:lang w:val="en-GB"/>
        </w:rPr>
        <w:t xml:space="preserve"> </w:t>
      </w:r>
      <w:r w:rsidR="00A92432" w:rsidRPr="00D46540">
        <w:rPr>
          <w:rFonts w:ascii="Calibri" w:hAnsi="Calibri" w:cs="Calibri"/>
          <w:lang w:val="en-GB"/>
        </w:rPr>
        <w:t xml:space="preserve">As response rates of CPIs </w:t>
      </w:r>
      <w:r w:rsidR="00801FC2" w:rsidRPr="00D46540">
        <w:rPr>
          <w:rFonts w:ascii="Calibri" w:hAnsi="Calibri" w:cs="Calibri"/>
          <w:lang w:val="en-GB"/>
        </w:rPr>
        <w:t xml:space="preserve">can be up to </w:t>
      </w:r>
      <w:r w:rsidR="00A92432" w:rsidRPr="00D46540">
        <w:rPr>
          <w:rFonts w:ascii="Calibri" w:hAnsi="Calibri" w:cs="Calibri"/>
          <w:lang w:val="en-GB"/>
        </w:rPr>
        <w:t>50% for some tumor types and as other treatment options are often limited, the discussion of using CPI in transplant patients with metastatic cancer becomes more urgent.</w:t>
      </w:r>
      <w:r w:rsidR="006D2604" w:rsidRPr="00D46540">
        <w:rPr>
          <w:rFonts w:ascii="Calibri" w:hAnsi="Calibri" w:cs="Calibri"/>
          <w:lang w:val="en-GB"/>
        </w:rPr>
        <w:t xml:space="preserve"> </w:t>
      </w:r>
      <w:r w:rsidR="00801FC2" w:rsidRPr="00D46540">
        <w:rPr>
          <w:rFonts w:ascii="Calibri" w:hAnsi="Calibri" w:cs="Calibri"/>
          <w:lang w:val="en-GB"/>
        </w:rPr>
        <w:t>Transplanted patients</w:t>
      </w:r>
      <w:r w:rsidR="00EE3712" w:rsidRPr="00D46540">
        <w:rPr>
          <w:rFonts w:ascii="Calibri" w:hAnsi="Calibri" w:cs="Calibri"/>
          <w:lang w:val="en-GB"/>
        </w:rPr>
        <w:t xml:space="preserve"> </w:t>
      </w:r>
      <w:r w:rsidR="00A92432" w:rsidRPr="00D46540">
        <w:rPr>
          <w:rFonts w:ascii="Calibri" w:hAnsi="Calibri" w:cs="Calibri"/>
          <w:lang w:val="en-GB"/>
        </w:rPr>
        <w:t xml:space="preserve">represent a large part of </w:t>
      </w:r>
      <w:r w:rsidR="00EE3712" w:rsidRPr="00D46540">
        <w:rPr>
          <w:rFonts w:ascii="Calibri" w:hAnsi="Calibri" w:cs="Calibri"/>
          <w:lang w:val="en-GB"/>
        </w:rPr>
        <w:t xml:space="preserve">the </w:t>
      </w:r>
      <w:r w:rsidR="00A92432" w:rsidRPr="00D46540">
        <w:rPr>
          <w:rFonts w:ascii="Calibri" w:hAnsi="Calibri" w:cs="Calibri"/>
          <w:lang w:val="en-GB"/>
        </w:rPr>
        <w:t>metastatic non-melanoma s</w:t>
      </w:r>
      <w:r w:rsidR="00801FC2" w:rsidRPr="00D46540">
        <w:rPr>
          <w:rFonts w:ascii="Calibri" w:hAnsi="Calibri" w:cs="Calibri"/>
          <w:lang w:val="en-GB"/>
        </w:rPr>
        <w:t>kin cancer population.</w:t>
      </w:r>
      <w:r w:rsidR="006D2604" w:rsidRPr="00D46540">
        <w:rPr>
          <w:rFonts w:ascii="Calibri" w:hAnsi="Calibri" w:cs="Calibri"/>
          <w:lang w:val="en-GB"/>
        </w:rPr>
        <w:t xml:space="preserve"> </w:t>
      </w:r>
      <w:r w:rsidR="00801FC2" w:rsidRPr="00D46540">
        <w:rPr>
          <w:rFonts w:ascii="Calibri" w:hAnsi="Calibri" w:cs="Calibri"/>
          <w:lang w:val="en-GB"/>
        </w:rPr>
        <w:t>M</w:t>
      </w:r>
      <w:r w:rsidR="00A92432" w:rsidRPr="00D46540">
        <w:rPr>
          <w:rFonts w:ascii="Calibri" w:hAnsi="Calibri" w:cs="Calibri"/>
          <w:lang w:val="en-GB"/>
        </w:rPr>
        <w:t xml:space="preserve">ore than 90% of all skin cancer in </w:t>
      </w:r>
      <w:r w:rsidR="00814E18" w:rsidRPr="00D46540">
        <w:rPr>
          <w:rFonts w:ascii="Calibri" w:hAnsi="Calibri" w:cs="Calibri"/>
          <w:lang w:val="en-GB"/>
        </w:rPr>
        <w:t>OTRs</w:t>
      </w:r>
      <w:r w:rsidR="00801FC2" w:rsidRPr="00D46540">
        <w:rPr>
          <w:rFonts w:ascii="Calibri" w:hAnsi="Calibri" w:cs="Calibri"/>
          <w:lang w:val="en-GB"/>
        </w:rPr>
        <w:t xml:space="preserve"> are cutaneous squamous cel carcinoma (cSCC) </w:t>
      </w:r>
      <w:r w:rsidR="00A92432"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10.1056/NEJMra022137","ISSN":"0028-4793","author":[{"dropping-particle":"","family":"Euvrard","given":"Sylvie","non-dropping-particle":"","parse-names":false,"suffix":""},{"dropping-particle":"","family":"Kanitakis","given":"Jean","non-dropping-particle":"","parse-names":false,"suffix":""},{"dropping-particle":"","family":"Claudy","given":"Alain","non-dropping-particle":"","parse-names":false,"suffix":""}],"container-title":"New England Journal of Medicine","id":"ITEM-1","issue":"17","issued":{"date-parts":[["2003","4"]]},"page":"1681-1691","publisher":"Massachusetts Medical Society","title":"Skin Cancers after Organ Transplantation","type":"article-journal","volume":"348"},"uris":["http://www.mendeley.com/documents/?uuid=42fec8ee-7f7e-4831-8db5-6b1d4f80e96f"]}],"mendeley":{"formattedCitation":"[7]","plainTextFormattedCitation":"[7]","previouslyFormattedCitation":"[7]"},"properties":{"noteIndex":0},"schema":"https://github.com/citation-style-language/schema/raw/master/csl-citation.json"}</w:instrText>
      </w:r>
      <w:r w:rsidR="00A92432" w:rsidRPr="00D46540">
        <w:rPr>
          <w:rFonts w:ascii="Calibri" w:hAnsi="Calibri" w:cs="Calibri"/>
          <w:lang w:val="en-GB"/>
        </w:rPr>
        <w:fldChar w:fldCharType="separate"/>
      </w:r>
      <w:r w:rsidR="00525C77" w:rsidRPr="00D46540">
        <w:rPr>
          <w:rFonts w:ascii="Calibri" w:hAnsi="Calibri" w:cs="Calibri"/>
          <w:noProof/>
          <w:lang w:val="en-GB"/>
        </w:rPr>
        <w:t>[7]</w:t>
      </w:r>
      <w:r w:rsidR="00A92432" w:rsidRPr="00D46540">
        <w:rPr>
          <w:rFonts w:ascii="Calibri" w:hAnsi="Calibri" w:cs="Calibri"/>
          <w:lang w:val="en-GB"/>
        </w:rPr>
        <w:fldChar w:fldCharType="end"/>
      </w:r>
      <w:r w:rsidR="00211880" w:rsidRPr="00D46540">
        <w:rPr>
          <w:rFonts w:ascii="Calibri" w:hAnsi="Calibri" w:cs="Calibri"/>
          <w:lang w:val="en-GB"/>
        </w:rPr>
        <w:t xml:space="preserve"> which have</w:t>
      </w:r>
      <w:r w:rsidR="00A92432" w:rsidRPr="00D46540">
        <w:rPr>
          <w:rFonts w:ascii="Calibri" w:hAnsi="Calibri" w:cs="Calibri"/>
          <w:lang w:val="en-GB"/>
        </w:rPr>
        <w:t xml:space="preserve"> higher morbidity ratio compared</w:t>
      </w:r>
      <w:r w:rsidR="00801FC2" w:rsidRPr="00D46540">
        <w:rPr>
          <w:rFonts w:ascii="Calibri" w:hAnsi="Calibri" w:cs="Calibri"/>
          <w:lang w:val="en-GB"/>
        </w:rPr>
        <w:t xml:space="preserve"> to non-immuno</w:t>
      </w:r>
      <w:r w:rsidR="00A92432" w:rsidRPr="00D46540">
        <w:rPr>
          <w:rFonts w:ascii="Calibri" w:hAnsi="Calibri" w:cs="Calibri"/>
          <w:lang w:val="en-GB"/>
        </w:rPr>
        <w:t xml:space="preserve">suppressed </w:t>
      </w:r>
      <w:r w:rsidR="00801FC2" w:rsidRPr="00D46540">
        <w:rPr>
          <w:rFonts w:ascii="Calibri" w:hAnsi="Calibri" w:cs="Calibri"/>
          <w:lang w:val="en-GB"/>
        </w:rPr>
        <w:t>cSC</w:t>
      </w:r>
      <w:r w:rsidR="00814E18" w:rsidRPr="00D46540">
        <w:rPr>
          <w:rFonts w:ascii="Calibri" w:hAnsi="Calibri" w:cs="Calibri"/>
          <w:lang w:val="en-GB"/>
        </w:rPr>
        <w:t>C</w:t>
      </w:r>
      <w:r w:rsidR="00801FC2" w:rsidRPr="00D46540">
        <w:rPr>
          <w:rFonts w:ascii="Calibri" w:hAnsi="Calibri" w:cs="Calibri"/>
          <w:lang w:val="en-GB"/>
        </w:rPr>
        <w:t xml:space="preserve"> patients</w:t>
      </w:r>
      <w:r w:rsidR="00814E18" w:rsidRPr="00D46540">
        <w:rPr>
          <w:rFonts w:ascii="Calibri" w:hAnsi="Calibri" w:cs="Calibri"/>
          <w:lang w:val="en-GB"/>
        </w:rPr>
        <w:t xml:space="preserve"> </w:t>
      </w:r>
      <w:r w:rsidR="00A92432"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{"citationItems":[{"id":"ITEM-1","itemData":{"DOI":"10.1111/j.1524-4725.2012.02520.x","ISSN":"10760512","PMID":"22805312","abstract":"Background Nonmelanoma skin cancers (NMSC) are the most frequently\\nobserved cancers in solid organ transplant recipients (SOTR) and may\\nhave a significant disease burden. Objective To provide an update\\nregarding the epidemiology and management of NMSC in SOTR. Results\\nTen-year incidence rates range from 10% in Italy to 20% in Northern\\nEurope to 70% in Australia. More than 50% of NMSC are located on\\nsun-exposed areas (head, dorsum of hands). Many risk factors have been\\nidentified, including age at transplantation, fair skin, type of\\nimmunosuppressive drugs, cumulative sun exposure, viral infections, and\\nvarious genetic markers. Patients with a first NMSC have a 49 times\\nhigher risk of developing a subsequent NMSC. Skin self-examination and\\nphotoprotection should be encouraged in all transplanted patients.\\nLong-term skin surveillance, early diagnosis and aggressive treatment of\\nany suspicious lesion, reduction of immunosuppressive therapy, and\\nconversion to m-TOR inhibitors can be also effective measures for\\nreduction of NMSC incidence. Conclusions NMSC is the most frequent\\ncancer observed in SOTR. Early diagnosis, patient education, and\\nmodification of immunosuppression are effective measures for reduction\\nof NMSC incidence.","author":[{"dropping-particle":"","family":"Tessari","given":"Gianpaolo","non-dropping-particle":"","parse-names":false,"suffix":""},{"dropping-particle":"","family":"Girolomoni","given":"Giampiero","non-dropping-particle":"","parse-names":false,"suffix":""}],"container-title":"Dermatologic Surgery","id":"ITEM-1","issue":"10","issued":{"date-parts":[["2012"]]},"page":"1622-1630","title":"Nonmelanoma skin cancer in solid organ transplant recipients: Update on epidemiology, risk factors, and management","type":"article-journal","volume":"38"},"uris":["http://www.mendeley.com/documents/?uuid=3db143ed-8944-4642-8d50-fbe9d6a7bd22"]}],"mendeley":{"formattedCitation":"[8]","plainTextFormattedCitation":"[8]","previouslyFormattedCitation":"[8]"},"properties":{"noteIndex":0},"schema":"https://github.com/citation-style-language/schema/raw/master/csl-citation.json"}</w:instrText>
      </w:r>
      <w:r w:rsidR="00A92432" w:rsidRPr="00D46540">
        <w:rPr>
          <w:rFonts w:ascii="Calibri" w:hAnsi="Calibri" w:cs="Calibri"/>
          <w:lang w:val="en-GB"/>
        </w:rPr>
        <w:fldChar w:fldCharType="separate"/>
      </w:r>
      <w:r w:rsidR="00525C77" w:rsidRPr="00D46540">
        <w:rPr>
          <w:rFonts w:ascii="Calibri" w:hAnsi="Calibri" w:cs="Calibri"/>
          <w:noProof/>
          <w:lang w:val="en-GB"/>
        </w:rPr>
        <w:t>[8]</w:t>
      </w:r>
      <w:r w:rsidR="00A92432" w:rsidRPr="00D46540">
        <w:rPr>
          <w:rFonts w:ascii="Calibri" w:hAnsi="Calibri" w:cs="Calibri"/>
          <w:lang w:val="en-GB"/>
        </w:rPr>
        <w:fldChar w:fldCharType="end"/>
      </w:r>
      <w:r w:rsidR="00A92432" w:rsidRPr="00D46540">
        <w:rPr>
          <w:rFonts w:ascii="Calibri" w:hAnsi="Calibri" w:cs="Calibri"/>
          <w:lang w:val="en-GB"/>
        </w:rPr>
        <w:t>.</w:t>
      </w:r>
      <w:r w:rsidR="006D2604" w:rsidRPr="00D46540">
        <w:rPr>
          <w:rFonts w:ascii="Calibri" w:hAnsi="Calibri" w:cs="Calibri"/>
          <w:lang w:val="en-GB"/>
        </w:rPr>
        <w:t xml:space="preserve"> </w:t>
      </w:r>
      <w:r w:rsidR="00A92432" w:rsidRPr="00D46540">
        <w:rPr>
          <w:rFonts w:ascii="Calibri" w:hAnsi="Calibri" w:cs="Calibri"/>
          <w:lang w:val="en-GB"/>
        </w:rPr>
        <w:t xml:space="preserve">Recently, a novel anti-PD1 molecule, cemiplimab, showed </w:t>
      </w:r>
      <w:r w:rsidR="00FA6BA0" w:rsidRPr="00D46540">
        <w:rPr>
          <w:rFonts w:ascii="Calibri" w:hAnsi="Calibri" w:cs="Calibri"/>
          <w:lang w:val="en-GB"/>
        </w:rPr>
        <w:t xml:space="preserve">response rates of about 50% </w:t>
      </w:r>
      <w:r w:rsidR="002D2298" w:rsidRPr="00D46540">
        <w:rPr>
          <w:rFonts w:ascii="Calibri" w:hAnsi="Calibri" w:cs="Calibri"/>
          <w:lang w:val="en-GB"/>
        </w:rPr>
        <w:t xml:space="preserve">in </w:t>
      </w:r>
      <w:r w:rsidR="00A92432" w:rsidRPr="00D46540">
        <w:rPr>
          <w:rFonts w:ascii="Calibri" w:hAnsi="Calibri" w:cs="Calibri"/>
          <w:lang w:val="en-GB"/>
        </w:rPr>
        <w:t xml:space="preserve">advanced cSCC patients </w:t>
      </w:r>
      <w:r w:rsidR="00A92432"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{"citationItems":[{"id":"ITEM-1","itemData":{"DOI":"10.1056/NEJMoa1805131","ISSN":"0028-4793","PMID":"29863979","abstract":"Background No systemic therapies have been approved for the treatment of advanced cutaneous squamous-cell carcinoma. This cancer may be responsive to immune therapy, because the mutation burden of the tumor is high and the disease risk is strongly associated with immunosuppression. In the dose-escalation portion of the phase 1 study of cemiplimab, a deep and durable response was observed in a patient with metastatic cutaneous squamous-cell carcinoma. Methods We report the results of the phase 1 study of cemiplimab for expansion cohorts of patients with locally advanced or metastatic cutaneous squamous-cell carcinoma, as well as the results of the pivotal phase 2 study for a cohort of patients with metastatic disease (metastatic-disease cohort). In both studies, the patients received an intravenous dose of cemiplimab (3 mg per kilogram of body weight) every 2 weeks and were assessed for a response every 8 weeks. In the phase 2 study, the primary end point was the response rate, as assessed by independent central review. Results In the expansion cohorts of the phase 1 study, a response to cemiplimab was observed in 13 of 26 patients (50%; 95% confidence interval [CI], 30 to 70). In the metastatic-disease cohort of the phase 2 study, a response was observed in 28 of 59 patients (47%; 95% CI, 34 to 61). The median follow-up was 7.9 months in the metastatic-disease cohort of the phase 2 study. Among the 28 patients who had a response, the duration of response exceeded 6 months in 57%, and 82% continued to have a response and to receive cemiplimab at the time of data cutoff. Adverse events that occurred in at least 15% of the patients in the metastatic-disease cohort of the phase 2 study were diarrhea, fatigue, nausea, constipation, and rash; 7% of the patients discontinued treatment because of an adverse event. Conclusions Among patients with advanced cutaneous squamous-cell carcinoma, cemiplimab induced a response in approximately half the patients and was associated with adverse events that usually occur with immune checkpoint inhibitors. (Funded by Regeneron Pharmaceuticals and Sanofi; ClinicalTrials.gov numbers, NCT02383212 and NCT02760498 .).","author":[{"dropping-particle":"","family":"Migden","given":"Michael R.","non-dropping-particle":"","parse-names":false,"suffix":""},{"dropping-particle":"","family":"Rischin","given":"Danny","non-dropping-particle":"","parse-names":false,"suffix":""},{"dropping-particle":"","family":"Schmults","given":"Chrysalyne D.","non-dropping-particle":"","parse-names":false,"suffix":""},{"dropping-particle":"","family":"Guminski","given":"Alexander","non-dropping-particle":"","parse-names":false,"suffix":""},{"dropping-particle":"","family":"Hauschild","given":"Axel","non-dropping-particle":"","parse-names":false,"suffix":""},{"dropping-particle":"","family":"Lewis","given":"Karl D.","non-dropping-particle":"","parse-names":false,"suffix":""},{"dropping-particle":"","family":"Chung","given":"Christine H.","non-dropping-particle":"","parse-names":false,"suffix":""},{"dropping-particle":"","family":"Hernandez-Aya","given":"Leonel","non-dropping-particle":"","parse-names":false,"suffix":""},{"dropping-particle":"","family":"Lim","given":"Annette M.","non-dropping-particle":"","parse-names":false,"suffix":""},{"dropping-particle":"","family":"Chang","given":"Anne Lynn S.","non-dropping-particle":"","parse-names":false,"suffix":""},{"dropping-particle":"","family":"Rabinowits","given":"Guilherme","non-dropping-particle":"","parse-names":false,"suffix":""},{"dropping-particle":"","family":"Thai","given":"Alesha A.","non-dropping-particle":"","parse-names":false,"suffix":""},{"dropping-particle":"","family":"Dunn","given":"Lara A.","non-dropping-particle":"","parse-names":false,"suffix":""},{"dropping-particle":"","family":"Hughes","given":"Brett G.M.","non-dropping-particle":"","parse-names":false,"suffix":""},{"dropping-particle":"","family":"Khushalani","given":"Nikhil I.","non-dropping-particle":"","parse-names":false,"suffix":""},{"dropping-particle":"","family":"Modi","given":"Badri","non-dropping-particle":"","parse-names":false,"suffix":""},{"dropping-particle":"","family":"Schadendorf","given":"Dirk","non-dropping-particle":"","parse-names":false,"suffix":""},{"dropping-particle":"","family":"Gao","given":"Bo","non-dropping-particle":"","parse-names":false,"suffix":""},{"dropping-particle":"","family":"Seebach","given":"Frank","non-dropping-particle":"","parse-names":false,"suffix":""},{"dropping-particle":"","family":"Li","given":"Siyu","non-dropping-particle":"","parse-names":false,"suffix":""},{"dropping-particle":"","family":"Li","given":"Jingjin","non-dropping-particle":"","parse-names":false,"suffix":""},{"dropping-particle":"","family":"Mathias","given":"Melissa","non-dropping-particle":"","parse-names":false,"suffix":""},{"dropping-particle":"","family":"Booth","given":"Jocelyn","non-dropping-particle":"","parse-names":false,"suffix":""},{"dropping-particle":"","family":"Mohan","given":"Kosalai","non-dropping-particle":"","parse-names":false,"suffix":""},{"dropping-particle":"","family":"Stankevich","given":"Elizabeth","non-dropping-particle":"","parse-names":false,"suffix":""},{"dropping-particle":"","family":"Babiker","given":"Hani M.","non-dropping-particle":"","parse-names":false,"suffix":""},{"dropping-particle":"","family":"Brana","given":"Irene","non-dropping-particle":"","parse-names":false,"suffix":""},{"dropping-particle":"","family":"Gil-Martin","given":"Marta","non-dropping-particle":"","parse-names":false,"suffix":""},{"dropping-particle":"","family":"Homsi","given":"Jade","non-dropping-particle":"","parse-names":false,"suffix":""},{"dropping-particle":"","family":"Johnson","given":"Melissa L.","non-dropping-particle":"","parse-names":false,"suffix":""},{"dropping-particle":"","family":"Moreno","given":"Victor","non-dropping-particle":"","parse-names":false,"suffix":""},{"dropping-particle":"","family":"Niu","given":"Jiaxin","non-dropping-particle":"","parse-names":false,"suffix":""},{"dropping-particle":"","family":"Owonikoko","given":"Taofeek K.","non-dropping-particle":"","parse-names":false,"suffix":""},{"dropping-particle":"","family":"Papadopoulos","given":"Kyriakos P.","non-dropping-particle":"","parse-names":false,"suffix":""},{"dropping-particle":"","family":"Yancopoulos","given":"George D.","non-dropping-particle":"","parse-names":false,"suffix":""},{"dropping-particle":"","family":"Lowy","given":"Israel","non-dropping-particle":"","parse-names":false,"suffix":""},{"dropping-particle":"","family":"Fury","given":"Matthew G.","non-dropping-particle":"","parse-names":false,"suffix":""}],"container-title":"New England Journal of Medicine","id":"ITEM-1","issue":"4","issued":{"date-parts":[["2018"]]},"page":"341-351","title":"PD-1 Blockade with Cemiplimab in Advanced Cutaneous Squamous-Cell Carcinoma","type":"article-journal","volume":"379"},"uris":["http://www.mendeley.com/documents/?uuid=9e73dde4-6390-4090-8d51-92701d79e06e"]}],"mendeley":{"formattedCitation":"[9]","plainTextFormattedCitation":"[9]","previouslyFormattedCitation":"[9]"},"properties":{"noteIndex":0},"schema":"https://github.com/citation-style-language/schema/raw/master/csl-citation.json"}</w:instrText>
      </w:r>
      <w:r w:rsidR="00A92432" w:rsidRPr="00D46540">
        <w:rPr>
          <w:rFonts w:ascii="Calibri" w:hAnsi="Calibri" w:cs="Calibri"/>
          <w:lang w:val="en-GB"/>
        </w:rPr>
        <w:fldChar w:fldCharType="separate"/>
      </w:r>
      <w:r w:rsidR="00525C77" w:rsidRPr="00D46540">
        <w:rPr>
          <w:rFonts w:ascii="Calibri" w:hAnsi="Calibri" w:cs="Calibri"/>
          <w:noProof/>
          <w:lang w:val="en-GB"/>
        </w:rPr>
        <w:t>[9]</w:t>
      </w:r>
      <w:r w:rsidR="00A92432" w:rsidRPr="00D46540">
        <w:rPr>
          <w:rFonts w:ascii="Calibri" w:hAnsi="Calibri" w:cs="Calibri"/>
          <w:lang w:val="en-GB"/>
        </w:rPr>
        <w:fldChar w:fldCharType="end"/>
      </w:r>
      <w:r w:rsidR="00801FC2" w:rsidRPr="00D46540">
        <w:rPr>
          <w:rFonts w:ascii="Calibri" w:hAnsi="Calibri" w:cs="Calibri"/>
          <w:lang w:val="en-GB"/>
        </w:rPr>
        <w:t>,</w:t>
      </w:r>
      <w:r w:rsidR="00216AAE" w:rsidRPr="00D46540">
        <w:rPr>
          <w:rFonts w:ascii="Calibri" w:hAnsi="Calibri" w:cs="Calibri"/>
          <w:lang w:val="en-GB"/>
        </w:rPr>
        <w:t xml:space="preserve"> however as no </w:t>
      </w:r>
      <w:r w:rsidR="00801FC2" w:rsidRPr="00D46540">
        <w:rPr>
          <w:rFonts w:ascii="Calibri" w:hAnsi="Calibri" w:cs="Calibri"/>
          <w:lang w:val="en-GB"/>
        </w:rPr>
        <w:t>transplant patients</w:t>
      </w:r>
      <w:r w:rsidR="00216AAE" w:rsidRPr="00D46540">
        <w:rPr>
          <w:rFonts w:ascii="Calibri" w:hAnsi="Calibri" w:cs="Calibri"/>
          <w:lang w:val="en-GB"/>
        </w:rPr>
        <w:t xml:space="preserve"> were included, </w:t>
      </w:r>
      <w:r w:rsidR="00801FC2" w:rsidRPr="00D46540">
        <w:rPr>
          <w:rFonts w:ascii="Calibri" w:hAnsi="Calibri" w:cs="Calibri"/>
          <w:lang w:val="en-GB"/>
        </w:rPr>
        <w:t xml:space="preserve">the </w:t>
      </w:r>
      <w:r w:rsidR="00216AAE" w:rsidRPr="00D46540">
        <w:rPr>
          <w:rFonts w:ascii="Calibri" w:hAnsi="Calibri" w:cs="Calibri"/>
          <w:lang w:val="en-GB"/>
        </w:rPr>
        <w:t>outcome in this population is unknown.</w:t>
      </w:r>
      <w:r w:rsidR="006D2604" w:rsidRPr="00D46540">
        <w:rPr>
          <w:rFonts w:ascii="Calibri" w:hAnsi="Calibri" w:cs="Calibri"/>
          <w:lang w:val="en-GB"/>
        </w:rPr>
        <w:t xml:space="preserve"> </w:t>
      </w:r>
      <w:r w:rsidR="00463DC1" w:rsidRPr="00D46540">
        <w:rPr>
          <w:rFonts w:ascii="Calibri" w:hAnsi="Calibri" w:cs="Calibri"/>
          <w:lang w:val="en-GB"/>
        </w:rPr>
        <w:t>For obvious reasons, t</w:t>
      </w:r>
      <w:r w:rsidR="00785B83" w:rsidRPr="00D46540">
        <w:rPr>
          <w:rFonts w:ascii="Calibri" w:hAnsi="Calibri" w:cs="Calibri"/>
          <w:lang w:val="en-GB"/>
        </w:rPr>
        <w:t>he fear of organ rejection has excluded transplant patien</w:t>
      </w:r>
      <w:r w:rsidR="00F869C7" w:rsidRPr="00D46540">
        <w:rPr>
          <w:rFonts w:ascii="Calibri" w:hAnsi="Calibri" w:cs="Calibri"/>
          <w:lang w:val="en-GB"/>
        </w:rPr>
        <w:t>ts from clinical trials with anti-CTLA4 and anti-PD(L)1</w:t>
      </w:r>
      <w:r w:rsidR="00785B83" w:rsidRPr="00D46540">
        <w:rPr>
          <w:rFonts w:ascii="Calibri" w:hAnsi="Calibri" w:cs="Calibri"/>
          <w:lang w:val="en-GB"/>
        </w:rPr>
        <w:t>.</w:t>
      </w:r>
      <w:r w:rsidR="006D2604" w:rsidRPr="00D46540">
        <w:rPr>
          <w:rFonts w:ascii="Calibri" w:hAnsi="Calibri" w:cs="Calibri"/>
          <w:lang w:val="en-GB"/>
        </w:rPr>
        <w:t xml:space="preserve"> </w:t>
      </w:r>
      <w:r w:rsidR="00216AAE" w:rsidRPr="00D46540">
        <w:rPr>
          <w:rFonts w:ascii="Calibri" w:hAnsi="Calibri" w:cs="Calibri"/>
          <w:lang w:val="en-GB"/>
        </w:rPr>
        <w:t xml:space="preserve">The role of CTLA4 in organ tolerance is somewhat controversial in preclinical models, as CTLA4-Ig can both enhance rejection and tolerance depending on the preclinical model used </w:t>
      </w:r>
      <w:r w:rsidR="00216AAE"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{"citationItems":[{"id":"ITEM-1","itemData":{"DOI":"10.1111/j.1600-6143.2005.00823.x","ISSN":"16006135","PMID":"15816877","abstract":"Liver transplantation in mice is accepted spontaneously in all strain combinations. The mechanisms remain largely undefined. We hypothesize that signaling via the B7-CTLA4 receptor pathway is required for induction of liver transplant tolerance. Liver transplantation was performed from B10 (H2(b)) to C3H (H2(k)) mice. The recipients received anti-mouse CTLA4 mAb 0.25 mg i.p. every other day post-operatively. Liver grafts in anti-CTLA4 mAb treated recipients were acutely rejected. The allo-specific proliferative responses, anti-donor CTL and NK cell activities of GIC and SC and the serum levels of IFN-gamma and IL-2 from anti-CTLA4 mAb treated recipients were elevated significantly in comparison to the control mice. The frequency of IFN-gamma and IL-2 producing cells were markedly increased also in the anti-CTLA4 treated recipients. The immunohistology of liver grafts from anti-CTLA4 mAb treated mice showed extensively increased lymphocyte infiltration in the portal and general parenchymal areas, and expanded T-cell area in the spleen, with a reduction in the frequency of apoptotic cells observed by TUNEL staining compared with control mice. Thus CTLA4 signaling is critical for murine liver transplant tolerance induction. CTLA4 blockade promotes donor specific T-cell activation, cytotoxicity and Th1 polarization; protects alloreactive T cells from apoptotic death and induces liver allograft acute rejection.","author":[{"dropping-particle":"","family":"Li","given":"Wei","non-dropping-particle":"","parse-names":false,"suffix":""},{"dropping-particle":"","family":"Zheng","given":"Xin Xiao","non-dropping-particle":"","parse-names":false,"suffix":""},{"dropping-particle":"","family":"Kuhr","given":"Christian S.","non-dropping-particle":"","parse-names":false,"suffix":""},{"dropping-particle":"","family":"Perkins","given":"James D.","non-dropping-particle":"","parse-names":false,"suffix":""}],"container-title":"American Journal of Transplantation","id":"ITEM-1","issue":"5","issued":{"date-parts":[["2005"]]},"page":"978-986","title":"CTLA4 engagement is required for induction of murine liver transplant spontaneous tolerance","type":"article-journal","volume":"5"},"uris":["http://www.mendeley.com/documents/?uuid=07d40b3f-9a73-473a-8a2f-4a8c25aef543"]},{"id":"ITEM-2","itemData":{"DOI":"10.1111/j.1600-6143.2012.04184.x","ISSN":"16006135","PMID":"22759373","abstract":"Allograft acceptance and tolerance can be achieved by different approaches including inhibition of effector T cell responses through CD28-dependent costimulatory blockade and induction of peripheral regulatory T cells (Tregs). The observation that Tregs rely upon CD28-dependent signals for development and peripheral expansion, raises the intriguing possibility of a counterproductive consequence of CTLA4-Ig administration on tolerance induction. We have investigated the possible negative effect of CTLA4-Ig on Treg-mediated tolerance induction using a mouse model of single MHC class II-mismatched skin grafts in which long-term acceptance was achieved by short-term administration of IL-2/anti-IL-2 complex. CTLA4-Ig treatment was found to abolish Treg-dependent acceptance in this model, restoring skin allograft rejection and Th1 alloreactivity. CTLA4-Ig inhibited IL-2-driven Treg expansion, and prevented in particular the occurrence of ICOS(+) Tregs endowed with potent suppressive capacities. Restoring CD28 signaling was sufficient to counteract the deleterious effect of CTLA4-Ig on Treg expansion and functionality, in keeping with the hypothesis that costimulatory blockade inhibits Treg expansion and function by limiting the delivery of essential CD28-dependent signals. Inhibition of regulatory T cell function should therefore be taken into account when designing tolerance protocols based on costimulatory blockade.","author":[{"dropping-particle":"","family":"Charbonnier","given":"L.-M.","non-dropping-particle":"","parse-names":false,"suffix":""},{"dropping-particle":"","family":"Vokaer","given":"B.","non-dropping-particle":"","parse-names":false,"suffix":""},{"dropping-particle":"","family":"Lemaître","given":"P. H.","non-dropping-particle":"","parse-names":false,"suffix":""},{"dropping-particle":"","family":"Field","given":"K. A.","non-dropping-particle":"","parse-names":false,"suffix":""},{"dropping-particle":"","family":"Leo","given":"O.","non-dropping-particle":"","parse-names":false,"suffix":""},{"dropping-particle":"","family":"Moine","given":"A.","non-dropping-particle":"Le","parse-names":false,"suffix":""}],"container-title":"American Journal of Transplantation","id":"ITEM-2","issue":"9","issued":{"date-parts":[["2012","9"]]},"page":"2313-2321","title":"CTLA4-Ig Restores Rejection of MHC Class-II Mismatched Allografts by Disabling IL-2-Expanded Regulatory T Cells","type":"article-journal","volume":"12"},"uris":["http://www.mendeley.com/documents/?uuid=199f50e9-7c14-3a71-9092-b30a2ef1a927"]}],"mendeley":{"formattedCitation":"[10,11]","plainTextFormattedCitation":"[10,11]","previouslyFormattedCitation":"[10,11]"},"properties":{"noteIndex":0},"schema":"https://github.com/citation-style-language/schema/raw/master/csl-citation.json"}</w:instrText>
      </w:r>
      <w:r w:rsidR="00216AAE" w:rsidRPr="00D46540">
        <w:rPr>
          <w:rFonts w:ascii="Calibri" w:hAnsi="Calibri" w:cs="Calibri"/>
          <w:lang w:val="en-GB"/>
        </w:rPr>
        <w:fldChar w:fldCharType="separate"/>
      </w:r>
      <w:r w:rsidR="00525C77" w:rsidRPr="00D46540">
        <w:rPr>
          <w:rFonts w:ascii="Calibri" w:hAnsi="Calibri" w:cs="Calibri"/>
          <w:noProof/>
          <w:lang w:val="en-GB"/>
        </w:rPr>
        <w:t>[10,11]</w:t>
      </w:r>
      <w:r w:rsidR="00216AAE" w:rsidRPr="00D46540">
        <w:rPr>
          <w:rFonts w:ascii="Calibri" w:hAnsi="Calibri" w:cs="Calibri"/>
          <w:lang w:val="en-GB"/>
        </w:rPr>
        <w:fldChar w:fldCharType="end"/>
      </w:r>
      <w:r w:rsidR="00216AAE" w:rsidRPr="00D46540">
        <w:rPr>
          <w:rFonts w:ascii="Calibri" w:hAnsi="Calibri" w:cs="Calibri"/>
          <w:lang w:val="en-GB"/>
        </w:rPr>
        <w:t>.</w:t>
      </w:r>
      <w:r w:rsidR="006D2604" w:rsidRPr="00D46540">
        <w:rPr>
          <w:rFonts w:ascii="Calibri" w:hAnsi="Calibri" w:cs="Calibri"/>
          <w:lang w:val="en-GB"/>
        </w:rPr>
        <w:t xml:space="preserve"> </w:t>
      </w:r>
      <w:r w:rsidR="00216AAE" w:rsidRPr="00D46540">
        <w:rPr>
          <w:rFonts w:ascii="Calibri" w:hAnsi="Calibri" w:cs="Calibri"/>
          <w:lang w:val="en-GB"/>
        </w:rPr>
        <w:t>Nevertheless CTLA4-Ig (belatacept) is being developed for prevention of organ rejection</w:t>
      </w:r>
      <w:r w:rsidR="005D4857" w:rsidRPr="00D46540">
        <w:rPr>
          <w:rFonts w:ascii="Calibri" w:hAnsi="Calibri" w:cs="Calibri"/>
          <w:lang w:val="en-GB"/>
        </w:rPr>
        <w:t xml:space="preserve"> </w:t>
      </w:r>
      <w:r w:rsidR="00396D81"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{"citationItems":[{"id":"ITEM-1","itemData":{"DOI":"10.1053/j.ajkd.2016.09.021","ISSN":"02726386","abstract":"Background In a phase 2 study, kidney transplant recipients of low immunologic risk who switched from a calcineurin inhibitor (CNI) to belatacept had improved kidney function at 12 months postconversion versus those continuing CNI therapy, with a low rate of acute rejection and no transplant loss. Study Design 36-month follow-up of the intention-to-treat population. Setting &amp; Participants CNI-treated adult kidney transplant recipients with stable transplant function (estimated glomerular filtration rate [eGFR], 35-75 mL/min/1.73 m2). Interventions At 6 to 36 months posttransplantation, patients were randomly assigned to switch to belatacept-based immunosuppression (n = 84) or continue CNI-based therapy (n = 89). Outcomes Safety was the primary outcome. eGFR, acute rejection, transplant loss, and death were also assessed. Measurements Treatment exposure−adjusted incidence rates for safety, repeated-measures modeling for eGFR, Kaplan-Meier analyses for efficacy. Results Serious adverse events occurred in 33 (39%) belatacept-treated patients and 36 (40%) patients in the CNI group. Treatment exposure−adjusted incidence rates for serious infections (belatacept vs CNI, 10.21 vs 9.31 per 100 person-years) and malignancies (3.01 vs 3.41 per 100 person-years) were similar. More patients in the belatacept versus CNI group had any-grade viral infections (14.60 vs 11.00 per 100 person-years). No posttransplantation lymphoproliferative disorder was reported. Belatacept-treated patients had a significantly greater estimated gain in mean eGFR (1.90 vs 0.07 mL/min/1.73 m2 per year; P for time-by-treatment interaction effect = 0.01). The probability of acute rejection was not significantly different for belatacept (8.38% vs 3.60%; HR, 2.50 [95% CI, 0.65-9.65; P = 0.2). HR for the comparison of belatacept to the CNI group for time to death or transplant loss was 1.00 (95% CI, 0.14-7.07; P = 0.9). Limitations Exploratory post hoc analysis with a small sample size. Conclusions Switching patients from a CNI to belatacept may represent a safe approach to immunosuppression and is being further explored in an ongoing phase 3b trial.","author":[{"dropping-particle":"","family":"Grinyó","given":"Josep M.","non-dropping-particle":"","parse-names":false,"suffix":""},{"dropping-particle":"","family":"Carmen Rial","given":"Maria","non-dropping-particle":"del","parse-names":false,"suffix":""},{"dropping-particle":"","family":"Alberu","given":"Josefina","non-dropping-particle":"","parse-names":false,"suffix":""},{"dropping-particle":"","family":"Steinberg","given":"Steven M.","non-dropping-particle":"","parse-names":false,"suffix":""},{"dropping-particle":"","family":"Manfro","given":"Roberto C.","non-dropping-particle":"","parse-names":false,"suffix":""},{"dropping-particle":"","family":"Nainan","given":"Georgy","non-dropping-particle":"","parse-names":false,"suffix":""},{"dropping-particle":"","family":"Vincenti","given":"Flavio","non-dropping-particle":"","parse-names":false,"suffix":""},{"dropping-particle":"","family":"Jones-Burton","given":"Charlotte","non-dropping-particle":"","parse-names":false,"suffix":""},{"dropping-particle":"","family":"Kamar","given":"Nassim","non-dropping-particle":"","parse-names":false,"suffix":""}],"container-title":"American Journal of Kidney Diseases","id":"ITEM-1","issue":"5","issued":{"date-parts":[["2017","5"]]},"page":"587-594","title":"Safety and Efficacy Outcomes 3 Years After Switching to Belatacept From a Calcineurin Inhibitor in Kidney Transplant Recipients: Results From a Phase 2 Randomized Trial","type":"article-journal","volume":"69"},"uris":["http://www.mendeley.com/documents/?uuid=386a85c4-47de-48eb-84ca-e734c1721ab0","http://www.mendeley.com/documents/?uuid=a8a7f0df-cd9c-4c58-a0b4-db5272b2b6b7"]}],"mendeley":{"formattedCitation":"[12]","plainTextFormattedCitation":"[12]","previouslyFormattedCitation":"[12]"},"properties":{"noteIndex":0},"schema":"https://github.com/citation-style-language/schema/raw/master/csl-citation.json"}</w:instrText>
      </w:r>
      <w:r w:rsidR="00396D81" w:rsidRPr="00D46540">
        <w:rPr>
          <w:rFonts w:ascii="Calibri" w:hAnsi="Calibri" w:cs="Calibri"/>
          <w:lang w:val="en-GB"/>
        </w:rPr>
        <w:fldChar w:fldCharType="separate"/>
      </w:r>
      <w:r w:rsidR="00525C77" w:rsidRPr="00D46540">
        <w:rPr>
          <w:rFonts w:ascii="Calibri" w:hAnsi="Calibri" w:cs="Calibri"/>
          <w:noProof/>
          <w:lang w:val="en-GB"/>
        </w:rPr>
        <w:t>[12]</w:t>
      </w:r>
      <w:r w:rsidR="00396D81" w:rsidRPr="00D46540">
        <w:rPr>
          <w:rFonts w:ascii="Calibri" w:hAnsi="Calibri" w:cs="Calibri"/>
          <w:lang w:val="en-GB"/>
        </w:rPr>
        <w:fldChar w:fldCharType="end"/>
      </w:r>
      <w:r w:rsidRPr="00D46540">
        <w:rPr>
          <w:rFonts w:ascii="Calibri" w:hAnsi="Calibri" w:cs="Calibri"/>
          <w:lang w:val="en-GB"/>
        </w:rPr>
        <w:t>.</w:t>
      </w:r>
      <w:r w:rsidR="006D2604" w:rsidRPr="00D46540">
        <w:rPr>
          <w:rFonts w:ascii="Calibri" w:hAnsi="Calibri" w:cs="Calibri"/>
          <w:lang w:val="en-GB"/>
        </w:rPr>
        <w:t xml:space="preserve"> </w:t>
      </w:r>
      <w:r w:rsidRPr="00D46540">
        <w:rPr>
          <w:rFonts w:ascii="Calibri" w:hAnsi="Calibri" w:cs="Calibri"/>
          <w:lang w:val="en-GB"/>
        </w:rPr>
        <w:t xml:space="preserve">Additionally, the PD-1/PD-L1 interaction within peripheral tissues has a critical role for maintaining allograft tolerance </w:t>
      </w:r>
      <w:r w:rsidR="00921F98" w:rsidRPr="00D46540">
        <w:rPr>
          <w:rFonts w:ascii="Calibri" w:hAnsi="Calibri" w:cs="Calibri"/>
          <w:lang w:val="en-GB"/>
        </w:rPr>
        <w:fldChar w:fldCharType="begin" w:fldLock="1"/>
      </w:r>
      <w:r w:rsidR="000105D8" w:rsidRPr="00D46540">
        <w:rPr>
          <w:rFonts w:ascii="Calibri" w:hAnsi="Calibri" w:cs="Calibri"/>
          <w:lang w:val="en-GB"/>
        </w:rPr>
        <w:instrText>ADDIN CSL_CITATION {"citationItems":[{"id":"ITEM-1","itemData":{"DOI":"10.4049/JIMMUNOL.179.8.5204","ISBN":"0022-1767 (Print)\\n0022-1767 (Linking)","ISSN":"0022-1767","PMID":"17911605","abstract":"The PD-1:PDL pathway plays an important role in regulating alloimmune responses but its role in transplantation tolerance is unknown. We investigated the role of PD-1:PDL costimulatory pathway in peripheral and a well established model of central transplantation tolerance. Early as well as delayed blockade of PDL1 but not PDL2 abrogated tolerance induced by CTLA4Ig in a fully MHC-mismatched cardiac allograft model. Accelerated rejection was associated with a significant increase in the frequency of IFN-gamma-producing alloreactive T cells and expansion of effector CD8(+) T cells in the periphery, and a decline in the percentage of Foxp3(+) graft infiltrating cells. Similarly, studies using PDL1/L2-deficient recipients confirmed the results with Ab blockade. Interestingly, while PDL1-deficient donor allografts were accepted by wild-type recipients treated with CTLA4Ig, the grafts developed severe chronic rejection and vasculopathy when compared with wild-type grafts. Finally, in a model of central tolerance induced by mixed allogeneic chimerism, engraftment was not abrogated by PDL1/L2 blockade. These novel data demonstrate the critical role of PDL1 for induction and maintenance of peripheral transplantation tolerance by its ability to alter the balance between pathogenic and regulatory T cells. Expression of PDL1 in donor tissue is critical for prevention of in situ graft pathology and chronic rejection.","author":[{"dropping-particle":"","family":"Tanaka","given":"Katsunori","non-dropping-particle":"","parse-names":false,"suffix":""},{"dropping-particle":"","family":"Albin","given":"Monica J","non-dropping-particle":"","parse-names":false,"suffix":""},{"dropping-particle":"","family":"Yuan","given":"Xueli","non-dropping-particle":"","parse-names":false,"suffix":""},{"dropping-particle":"","family":"Yamaura","given":"Kazuhiro","non-dropping-particle":"","parse-names":false,"suffix":""},{"dropping-particle":"","family":"Habicht","given":"Antje","non-dropping-particle":"","parse-names":false,"suffix":""},{"dropping-particle":"","family":"Murayama","given":"Takaya","non-dropping-particle":"","parse-names":false,"suffix":""},{"dropping-particle":"","family":"Grimm","given":"Martin","non-dropping-particle":"","parse-names":false,"suffix":""},{"dropping-particle":"","family":"Waaga","given":"Ana Maria","non-dropping-particle":"","parse-names":false,"suffix":""},{"dropping-particle":"","family":"Ueno","given":"Takuya","non-dropping-particle":"","parse-names":false,"suffix":""},{"dropping-particle":"","family":"Padera","given":"Robert F","non-dropping-particle":"","parse-names":false,"suffix":""},{"dropping-particle":"","family":"Yagita","given":"Hideo","non-dropping-particle":"","parse-names":false,"suffix":""},{"dropping-particle":"","family":"Azuma","given":"Miyuki","non-dropping-particle":"","parse-names":false,"suffix":""},{"dropping-particle":"","family":"Shin","given":"Tahiro","non-dropping-particle":"","parse-names":false,"suffix":""},{"dropping-particle":"","family":"Blazar","given":"Bruce R","non-dropping-particle":"","parse-names":false,"suffix":""},{"dropping-particle":"","family":"Rothstein","given":"David M","non-dropping-particle":"","parse-names":false,"suffix":""},{"dropping-particle":"","family":"Sayegh","given":"Mohamed H","non-dropping-particle":"","parse-names":false,"suffix":""},{"dropping-particle":"","family":"Najafian","given":"Nader","non-dropping-particle":"","parse-names":false,"suffix":""}],"container-title":"Journal of immunology (Baltimore, Md. : 1950)","id":"ITEM-1","issue":"8","issued":{"date-parts":[["2007"]]},"page":"5204-10","title":"PDL1 is required for peripheral transplantation tolerance and protection from chronic allograft rejection.","type":"article-journal","volume":"179"},"uris":["http://www.mendeley.com/documents/?uuid=f829557c-069d-4700-a0cc-d1d3f1405faf"]},{"id":"ITEM-2","itemData":{"DOI":"10.1111/j.1600-6143.2011.03451.x","ISBN":"1600-6143 (Electronic)\\r1600-6135 (Linking)","ISSN":"16006135","PMID":"21401869","abstract":"The PD1:PDL1 pathway is an essential negative costimulatory pathway that plays a key role in regulating the alloimune response. PDL1 is expressed not only on antigen-presenting cells (APCs) but also cardiac endothelium. In this study, we investigated the importance of PDL1 expression on donor cardiac allograft in acquired transplantation tolerance in a fully MHC-mismatched model. We generated PDL1 chimeric mice on B6 background that expressed PDL1 on either hematopoietic cells or nonhematopoietic cells of the heart. Sham animals were used as controls. These hearts were then transplanted into BALB/c recipients and treated with CTLA4-Ig to induce tolerance. Cardiac endothelium showed significant expression of PDL1, which was upregulated upon transplantation. While the absence of PDL1 on hematopoietic cells of the heart resulted in delayed rejection and prevented long-term tolerance in most but not all recipients, we observed an accelerated and early graft rejection of all donor allografts that lacked PDL1 on the endothelium. Moreover, PDL1-deficient endothelium hearts had significant higher frequency of IFN-γ-producing alloreactive cells as well as higher frequency of CD8(+) effector T cells. These findings demonstrate that PDL1 expression mainly on donor endothelium is functionally important in a fully allogeneic mismatched model for the induction of cardiac allograft tolerance.","author":[{"dropping-particle":"V.","family":"Riella","given":"L.","non-dropping-particle":"","parse-names":false,"suffix":""},{"dropping-particle":"","family":"Watanabe","given":"T.","non-dropping-particle":"","parse-names":false,"suffix":""},{"dropping-particle":"","family":"Sage","given":"P. T.","non-dropping-particle":"","parse-names":false,"suffix":""},{"dropping-particle":"","family":"Yang","given":"J.","non-dropping-particle":"","parse-names":false,"suffix":""},{"dropping-particle":"","family":"Yeung","given":"M.","non-dropping-particle":"","parse-names":false,"suffix":""},{"dropping-particle":"","family":"Azzi","given":"J.","non-dropping-particle":"","parse-names":false,"suffix":""},{"dropping-particle":"","family":"Vanguri","given":"V.","non-dropping-particle":"","parse-names":false,"suffix":""},{"dropping-particle":"","family":"Chandraker","given":"A.","non-dropping-particle":"","parse-names":false,"suffix":""},{"dropping-particle":"","family":"Sharpe","given":"A. H.","non-dropping-particle":"","parse-names":false,"suffix":""},{"dropping-particle":"","family":"Sayegh","given":"M. H.","non-dropping-particle":"","parse-names":false,"suffix":""},{"dropping-particle":"","family":"Najafian","given":"N.","non-dropping-particle":"","parse-names":false,"suffix":""}],"container-title":"American Journal of Transplantation","id":"ITEM-2","issue":"4","issued":{"date-parts":[["2011"]]},"page":"832-840","title":"Essential role of PDL1 expression on nonhematopoietic donor cells in acquired tolerance to vascularized cardiac allografts","type":"article-journal","volume":"11"},"uris":["http://www.mendeley.com/documents/?uuid=b0fab06a-c178-4e7f-9d34-78d6c130b668"]}],"mendeley":{"formattedCitation":"[13,14]","plainTextFormattedCitation":"[13,14]","previouslyFormattedCitation":"[13,14]"},"properties":{"noteIndex":0},"schema":"https://github.com/citation-style-language/schema/raw/master/csl-citation.json"}</w:instrText>
      </w:r>
      <w:r w:rsidR="00921F98" w:rsidRPr="00D46540">
        <w:rPr>
          <w:rFonts w:ascii="Calibri" w:hAnsi="Calibri" w:cs="Calibri"/>
          <w:lang w:val="en-GB"/>
        </w:rPr>
        <w:fldChar w:fldCharType="separate"/>
      </w:r>
      <w:r w:rsidR="00921F98" w:rsidRPr="00D46540">
        <w:rPr>
          <w:rFonts w:ascii="Calibri" w:hAnsi="Calibri" w:cs="Calibri"/>
          <w:noProof/>
          <w:lang w:val="en-GB"/>
        </w:rPr>
        <w:t>[13,14]</w:t>
      </w:r>
      <w:r w:rsidR="00921F98" w:rsidRPr="00D46540">
        <w:rPr>
          <w:rFonts w:ascii="Calibri" w:hAnsi="Calibri" w:cs="Calibri"/>
          <w:lang w:val="en-GB"/>
        </w:rPr>
        <w:fldChar w:fldCharType="end"/>
      </w:r>
      <w:r w:rsidRPr="00D46540">
        <w:rPr>
          <w:rFonts w:ascii="Calibri" w:hAnsi="Calibri" w:cs="Calibri"/>
          <w:lang w:val="en-GB"/>
        </w:rPr>
        <w:t>.</w:t>
      </w:r>
      <w:r w:rsidR="006D2604" w:rsidRPr="00D46540">
        <w:rPr>
          <w:rFonts w:ascii="Calibri" w:hAnsi="Calibri" w:cs="Calibri"/>
          <w:lang w:val="en-GB"/>
        </w:rPr>
        <w:t xml:space="preserve"> </w:t>
      </w:r>
      <w:r w:rsidRPr="00D46540">
        <w:rPr>
          <w:rFonts w:ascii="Calibri" w:hAnsi="Calibri" w:cs="Calibri"/>
          <w:lang w:val="en-GB"/>
        </w:rPr>
        <w:t>Hence, inhibition by CPIs may stimulate T-cell activation against cells from the graft expressing allo-antigens</w:t>
      </w:r>
      <w:r w:rsidR="006F177A" w:rsidRPr="00D46540">
        <w:rPr>
          <w:rFonts w:ascii="Calibri" w:hAnsi="Calibri" w:cs="Calibri"/>
          <w:lang w:val="en-GB"/>
        </w:rPr>
        <w:t xml:space="preserve"> </w:t>
      </w:r>
      <w:r w:rsidR="006F177A"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{"citationItems":[{"id":"ITEM-1","itemData":{"DOI":"10.1016/j.ctrv.2017.12.004","ISBN":"3129264248","ISSN":"15321967","PMID":"29276997","abstract":"Although the indications for immune checkpoint inhibitors continue to grow, organ transplant recipients with advanced malignancies have been largely excluded from clinical trials testing the safety and efficacy of these therapies given their need for chronic immunosuppression and the risk of allograft rejection. With the rapid growth of transplant medicine and the increased risk of malignancy associated with chronic immunosuppression, it is critical that we systematically analyze the available data describing immune checkpoint blockade in the organ transplant population. Herein we provide a current and comprehensive review of cases in which immune checkpoint blockade was used on organ transplant recipients. Furthermore, we discuss the differences in efficacy and risk of allograft rejection between CTLA-4 and PD-1 inhibitors and make recommendations based on the limited available clinical data. We also discuss the future of immune checkpoint blockade in this subpopulation and explore the emerging data of promising combination therapies with mTOR, BRAF/MEK, and BTK/ITK inhibitors. Further clinical experience and larger clinical trials involving immune checkpoint inhibitors, whether as monotherapies or combinatorial therapies, will help develop regimens that optimize anti-tumor response and minimize the risk of allograft rejection in organ transplant patients.","author":[{"dropping-particle":"","family":"Chae","given":"Young Kwang","non-dropping-particle":"","parse-names":false,"suffix":""},{"dropping-particle":"","family":"Galvez","given":"Carlos","non-dropping-particle":"","parse-names":false,"suffix":""},{"dropping-particle":"","family":"Anker","given":"Jonathan F.","non-dropping-particle":"","parse-names":false,"suffix":""},{"dropping-particle":"","family":"Iams","given":"Wade T.","non-dropping-particle":"","parse-names":false,"suffix":""},{"dropping-particle":"","family":"Bhave","given":"Manali","non-dropping-particle":"","parse-names":false,"suffix":""}],"container-title":"Cancer Treatment Reviews","id":"ITEM-1","issued":{"date-parts":[["2018"]]},"page":"116-121","title":"Cancer immunotherapy in a neglected population: The current use and future of T-cell-mediated checkpoint inhibitors in organ transplant patients","type":"article-journal","volume":"63"},"uris":["http://www.mendeley.com/documents/?uuid=590ffc85-9b75-4a61-a342-0ad55e543214"]}],"mendeley":{"formattedCitation":"[15]","plainTextFormattedCitation":"[15]","previouslyFormattedCitation":"[15]"},"properties":{"noteIndex":0},"schema":"https://github.com/citation-style-language/schema/raw/master/csl-citation.json"}</w:instrText>
      </w:r>
      <w:r w:rsidR="006F177A" w:rsidRPr="00D46540">
        <w:rPr>
          <w:rFonts w:ascii="Calibri" w:hAnsi="Calibri" w:cs="Calibri"/>
          <w:lang w:val="en-GB"/>
        </w:rPr>
        <w:fldChar w:fldCharType="separate"/>
      </w:r>
      <w:r w:rsidR="00525C77" w:rsidRPr="00D46540">
        <w:rPr>
          <w:rFonts w:ascii="Calibri" w:hAnsi="Calibri" w:cs="Calibri"/>
          <w:noProof/>
          <w:lang w:val="en-GB"/>
        </w:rPr>
        <w:t>[15]</w:t>
      </w:r>
      <w:r w:rsidR="006F177A" w:rsidRPr="00D46540">
        <w:rPr>
          <w:rFonts w:ascii="Calibri" w:hAnsi="Calibri" w:cs="Calibri"/>
          <w:lang w:val="en-GB"/>
        </w:rPr>
        <w:fldChar w:fldCharType="end"/>
      </w:r>
      <w:r w:rsidR="00396D81" w:rsidRPr="00D46540">
        <w:rPr>
          <w:rFonts w:ascii="Calibri" w:hAnsi="Calibri" w:cs="Calibri"/>
          <w:lang w:val="en-GB"/>
        </w:rPr>
        <w:t xml:space="preserve"> </w:t>
      </w:r>
      <w:r w:rsidR="00521D97" w:rsidRPr="00D46540">
        <w:rPr>
          <w:rFonts w:ascii="Calibri" w:hAnsi="Calibri" w:cs="Calibri"/>
          <w:color w:val="FF0000"/>
          <w:lang w:val="en-GB"/>
        </w:rPr>
        <w:t>(Figure 1</w:t>
      </w:r>
      <w:r w:rsidR="00396D81" w:rsidRPr="00D46540">
        <w:rPr>
          <w:rFonts w:ascii="Calibri" w:hAnsi="Calibri" w:cs="Calibri"/>
          <w:color w:val="FF0000"/>
          <w:lang w:val="en-GB"/>
        </w:rPr>
        <w:t>)</w:t>
      </w:r>
      <w:r w:rsidRPr="00D46540">
        <w:rPr>
          <w:rFonts w:ascii="Calibri" w:hAnsi="Calibri" w:cs="Calibri"/>
          <w:lang w:val="en-GB"/>
        </w:rPr>
        <w:t xml:space="preserve">. </w:t>
      </w:r>
    </w:p>
    <w:p w14:paraId="42DB9714" w14:textId="41F0C03D" w:rsidR="00B26967" w:rsidRPr="00D46540" w:rsidRDefault="00B26967" w:rsidP="00474140">
      <w:pPr>
        <w:spacing w:line="360" w:lineRule="auto"/>
        <w:jc w:val="both"/>
        <w:rPr>
          <w:rFonts w:ascii="Calibri" w:hAnsi="Calibri" w:cs="Calibri"/>
          <w:lang w:val="en-GB"/>
        </w:rPr>
      </w:pPr>
      <w:r w:rsidRPr="00D46540">
        <w:rPr>
          <w:rFonts w:ascii="Calibri" w:hAnsi="Calibri" w:cs="Calibri"/>
          <w:lang w:val="en-GB"/>
        </w:rPr>
        <w:t>Nevertheless,</w:t>
      </w:r>
      <w:r w:rsidR="00216AAE" w:rsidRPr="00D46540">
        <w:rPr>
          <w:rFonts w:ascii="Calibri" w:hAnsi="Calibri" w:cs="Calibri"/>
          <w:lang w:val="en-GB"/>
        </w:rPr>
        <w:t xml:space="preserve"> because</w:t>
      </w:r>
      <w:r w:rsidRPr="00D46540">
        <w:rPr>
          <w:rFonts w:ascii="Calibri" w:hAnsi="Calibri" w:cs="Calibri"/>
          <w:lang w:val="en-GB"/>
        </w:rPr>
        <w:t xml:space="preserve"> </w:t>
      </w:r>
      <w:r w:rsidR="00396D81" w:rsidRPr="00D46540">
        <w:rPr>
          <w:rFonts w:ascii="Calibri" w:hAnsi="Calibri" w:cs="Calibri"/>
          <w:lang w:val="en-GB"/>
        </w:rPr>
        <w:t>the</w:t>
      </w:r>
      <w:r w:rsidRPr="00D46540">
        <w:rPr>
          <w:rFonts w:ascii="Calibri" w:hAnsi="Calibri" w:cs="Calibri"/>
          <w:lang w:val="en-GB"/>
        </w:rPr>
        <w:t xml:space="preserve"> lack of other treatment alternatives</w:t>
      </w:r>
      <w:r w:rsidR="00216AAE" w:rsidRPr="00D46540">
        <w:rPr>
          <w:rFonts w:ascii="Calibri" w:hAnsi="Calibri" w:cs="Calibri"/>
          <w:lang w:val="en-GB"/>
        </w:rPr>
        <w:t xml:space="preserve"> for advanced cancer</w:t>
      </w:r>
      <w:r w:rsidRPr="00D46540">
        <w:rPr>
          <w:rFonts w:ascii="Calibri" w:hAnsi="Calibri" w:cs="Calibri"/>
          <w:lang w:val="en-GB"/>
        </w:rPr>
        <w:t>,</w:t>
      </w:r>
      <w:r w:rsidR="00216AAE" w:rsidRPr="00D46540">
        <w:rPr>
          <w:rFonts w:ascii="Calibri" w:hAnsi="Calibri" w:cs="Calibri"/>
          <w:lang w:val="en-GB"/>
        </w:rPr>
        <w:t xml:space="preserve"> </w:t>
      </w:r>
      <w:r w:rsidRPr="00D46540">
        <w:rPr>
          <w:rFonts w:ascii="Calibri" w:hAnsi="Calibri" w:cs="Calibri"/>
          <w:lang w:val="en-GB"/>
        </w:rPr>
        <w:t xml:space="preserve">some </w:t>
      </w:r>
      <w:r w:rsidR="00F869C7" w:rsidRPr="00D46540">
        <w:rPr>
          <w:rFonts w:ascii="Calibri" w:hAnsi="Calibri" w:cs="Calibri"/>
          <w:lang w:val="en-GB"/>
        </w:rPr>
        <w:t xml:space="preserve">OTRs </w:t>
      </w:r>
      <w:r w:rsidR="00216AAE" w:rsidRPr="00D46540">
        <w:rPr>
          <w:rFonts w:ascii="Calibri" w:hAnsi="Calibri" w:cs="Calibri"/>
          <w:lang w:val="en-GB"/>
        </w:rPr>
        <w:t>were treated with</w:t>
      </w:r>
      <w:r w:rsidRPr="00D46540">
        <w:rPr>
          <w:rFonts w:ascii="Calibri" w:hAnsi="Calibri" w:cs="Calibri"/>
          <w:lang w:val="en-GB"/>
        </w:rPr>
        <w:t xml:space="preserve"> CPI.</w:t>
      </w:r>
      <w:r w:rsidR="006D2604" w:rsidRPr="00D46540">
        <w:rPr>
          <w:rFonts w:ascii="Calibri" w:hAnsi="Calibri" w:cs="Calibri"/>
          <w:lang w:val="en-GB"/>
        </w:rPr>
        <w:t xml:space="preserve"> </w:t>
      </w:r>
      <w:r w:rsidRPr="00D46540">
        <w:rPr>
          <w:rFonts w:ascii="Calibri" w:hAnsi="Calibri" w:cs="Calibri"/>
          <w:lang w:val="en-GB"/>
        </w:rPr>
        <w:t xml:space="preserve">In order to </w:t>
      </w:r>
      <w:r w:rsidR="00396D81" w:rsidRPr="00D46540">
        <w:rPr>
          <w:rFonts w:ascii="Calibri" w:hAnsi="Calibri" w:cs="Calibri"/>
          <w:lang w:val="en-GB"/>
        </w:rPr>
        <w:t xml:space="preserve">better </w:t>
      </w:r>
      <w:r w:rsidR="00412355" w:rsidRPr="00D46540">
        <w:rPr>
          <w:rFonts w:ascii="Calibri" w:hAnsi="Calibri" w:cs="Calibri"/>
          <w:lang w:val="en-GB"/>
        </w:rPr>
        <w:t>analyse</w:t>
      </w:r>
      <w:r w:rsidRPr="00D46540">
        <w:rPr>
          <w:rFonts w:ascii="Calibri" w:hAnsi="Calibri" w:cs="Calibri"/>
          <w:lang w:val="en-GB"/>
        </w:rPr>
        <w:t xml:space="preserve"> risk factors</w:t>
      </w:r>
      <w:r w:rsidR="00173B8A" w:rsidRPr="00D46540">
        <w:rPr>
          <w:rFonts w:ascii="Calibri" w:hAnsi="Calibri" w:cs="Calibri"/>
          <w:lang w:val="en-GB"/>
        </w:rPr>
        <w:t>,</w:t>
      </w:r>
      <w:r w:rsidRPr="00D46540">
        <w:rPr>
          <w:rFonts w:ascii="Calibri" w:hAnsi="Calibri" w:cs="Calibri"/>
          <w:lang w:val="en-GB"/>
        </w:rPr>
        <w:t xml:space="preserve"> cancer </w:t>
      </w:r>
      <w:r w:rsidR="00173B8A" w:rsidRPr="00D46540">
        <w:rPr>
          <w:rFonts w:ascii="Calibri" w:hAnsi="Calibri" w:cs="Calibri"/>
          <w:lang w:val="en-GB"/>
        </w:rPr>
        <w:t xml:space="preserve">outcome </w:t>
      </w:r>
      <w:r w:rsidRPr="00D46540">
        <w:rPr>
          <w:rFonts w:ascii="Calibri" w:hAnsi="Calibri" w:cs="Calibri"/>
          <w:lang w:val="en-GB"/>
        </w:rPr>
        <w:t xml:space="preserve">and graft </w:t>
      </w:r>
      <w:r w:rsidR="00173B8A" w:rsidRPr="00D46540">
        <w:rPr>
          <w:rFonts w:ascii="Calibri" w:hAnsi="Calibri" w:cs="Calibri"/>
          <w:lang w:val="en-GB"/>
        </w:rPr>
        <w:t>rejection</w:t>
      </w:r>
      <w:r w:rsidRPr="00D46540">
        <w:rPr>
          <w:rFonts w:ascii="Calibri" w:hAnsi="Calibri" w:cs="Calibri"/>
          <w:lang w:val="en-GB"/>
        </w:rPr>
        <w:t xml:space="preserve">, we have summarized </w:t>
      </w:r>
      <w:r w:rsidR="00AF230B">
        <w:rPr>
          <w:rFonts w:ascii="Calibri" w:hAnsi="Calibri" w:cs="Calibri"/>
          <w:lang w:val="en-GB"/>
        </w:rPr>
        <w:t xml:space="preserve">all </w:t>
      </w:r>
      <w:r w:rsidRPr="00D46540">
        <w:rPr>
          <w:rFonts w:ascii="Calibri" w:hAnsi="Calibri" w:cs="Calibri"/>
          <w:lang w:val="en-GB"/>
        </w:rPr>
        <w:t xml:space="preserve">available clinical case reports of liver and kidney </w:t>
      </w:r>
      <w:r w:rsidR="00CF64FB" w:rsidRPr="00D46540">
        <w:rPr>
          <w:rFonts w:ascii="Calibri" w:hAnsi="Calibri" w:cs="Calibri"/>
          <w:lang w:val="en-GB"/>
        </w:rPr>
        <w:t xml:space="preserve">OTRs </w:t>
      </w:r>
      <w:r w:rsidRPr="00D46540">
        <w:rPr>
          <w:rFonts w:ascii="Calibri" w:hAnsi="Calibri" w:cs="Calibri"/>
          <w:lang w:val="en-GB"/>
        </w:rPr>
        <w:t xml:space="preserve">treated with CPIs for </w:t>
      </w:r>
      <w:r w:rsidR="00FE25C7" w:rsidRPr="00D46540">
        <w:rPr>
          <w:rFonts w:ascii="Calibri" w:hAnsi="Calibri" w:cs="Calibri"/>
          <w:lang w:val="en-GB"/>
        </w:rPr>
        <w:t>metastasized</w:t>
      </w:r>
      <w:r w:rsidRPr="00D46540">
        <w:rPr>
          <w:rFonts w:ascii="Calibri" w:hAnsi="Calibri" w:cs="Calibri"/>
          <w:lang w:val="en-GB"/>
        </w:rPr>
        <w:t xml:space="preserve"> malignancies. We did not include heart and lung transplant recipients because of their rarity and high risk of lethality upon graft rejection.</w:t>
      </w:r>
      <w:r w:rsidR="006D2604" w:rsidRPr="00D46540">
        <w:rPr>
          <w:rFonts w:ascii="Calibri" w:hAnsi="Calibri" w:cs="Calibri"/>
          <w:lang w:val="en-GB"/>
        </w:rPr>
        <w:t xml:space="preserve"> </w:t>
      </w:r>
      <w:r w:rsidRPr="00D46540">
        <w:rPr>
          <w:rFonts w:ascii="Calibri" w:hAnsi="Calibri" w:cs="Calibri"/>
          <w:lang w:val="en-GB"/>
        </w:rPr>
        <w:t>Bone marrow transplantation will not be dis</w:t>
      </w:r>
      <w:r w:rsidR="00396D81" w:rsidRPr="00D46540">
        <w:rPr>
          <w:rFonts w:ascii="Calibri" w:hAnsi="Calibri" w:cs="Calibri"/>
          <w:lang w:val="en-GB"/>
        </w:rPr>
        <w:t>cussed either as this</w:t>
      </w:r>
      <w:r w:rsidRPr="00D46540">
        <w:rPr>
          <w:rFonts w:ascii="Calibri" w:hAnsi="Calibri" w:cs="Calibri"/>
          <w:lang w:val="en-GB"/>
        </w:rPr>
        <w:t xml:space="preserve"> is </w:t>
      </w:r>
      <w:r w:rsidR="00AF230B">
        <w:rPr>
          <w:rFonts w:ascii="Calibri" w:hAnsi="Calibri" w:cs="Calibri"/>
          <w:lang w:val="en-GB"/>
        </w:rPr>
        <w:t>mostly</w:t>
      </w:r>
      <w:r w:rsidRPr="00D46540">
        <w:rPr>
          <w:rFonts w:ascii="Calibri" w:hAnsi="Calibri" w:cs="Calibri"/>
          <w:lang w:val="en-GB"/>
        </w:rPr>
        <w:t xml:space="preserve"> a consequence of a </w:t>
      </w:r>
      <w:r w:rsidR="00FE25C7" w:rsidRPr="00D46540">
        <w:rPr>
          <w:rFonts w:ascii="Calibri" w:hAnsi="Calibri" w:cs="Calibri"/>
          <w:lang w:val="en-GB"/>
        </w:rPr>
        <w:t>haematological</w:t>
      </w:r>
      <w:r w:rsidRPr="00D46540">
        <w:rPr>
          <w:rFonts w:ascii="Calibri" w:hAnsi="Calibri" w:cs="Calibri"/>
          <w:lang w:val="en-GB"/>
        </w:rPr>
        <w:t xml:space="preserve"> malignancy and </w:t>
      </w:r>
      <w:r w:rsidR="00CA32EE" w:rsidRPr="00D46540">
        <w:rPr>
          <w:rFonts w:ascii="Calibri" w:hAnsi="Calibri" w:cs="Calibri"/>
          <w:lang w:val="en-GB"/>
        </w:rPr>
        <w:t xml:space="preserve">as </w:t>
      </w:r>
      <w:r w:rsidRPr="00D46540">
        <w:rPr>
          <w:rFonts w:ascii="Calibri" w:hAnsi="Calibri" w:cs="Calibri"/>
          <w:lang w:val="en-GB"/>
        </w:rPr>
        <w:t>the subsequent solid tumor dev</w:t>
      </w:r>
      <w:r w:rsidR="00CC0B46" w:rsidRPr="00D46540">
        <w:rPr>
          <w:rFonts w:ascii="Calibri" w:hAnsi="Calibri" w:cs="Calibri"/>
          <w:lang w:val="en-GB"/>
        </w:rPr>
        <w:t>elopment is</w:t>
      </w:r>
      <w:r w:rsidRPr="00D46540">
        <w:rPr>
          <w:rFonts w:ascii="Calibri" w:hAnsi="Calibri" w:cs="Calibri"/>
          <w:lang w:val="en-GB"/>
        </w:rPr>
        <w:t xml:space="preserve"> less</w:t>
      </w:r>
      <w:r w:rsidR="00370D63" w:rsidRPr="00D46540">
        <w:rPr>
          <w:rFonts w:ascii="Calibri" w:hAnsi="Calibri" w:cs="Calibri"/>
          <w:lang w:val="en-GB"/>
        </w:rPr>
        <w:t xml:space="preserve"> </w:t>
      </w:r>
      <w:r w:rsidR="002C0CD7" w:rsidRPr="00D46540">
        <w:rPr>
          <w:rFonts w:ascii="Calibri" w:hAnsi="Calibri" w:cs="Calibri"/>
          <w:lang w:val="en-GB"/>
        </w:rPr>
        <w:t>frequent</w:t>
      </w:r>
      <w:r w:rsidR="008742FE" w:rsidRPr="00D46540">
        <w:rPr>
          <w:rFonts w:ascii="Calibri" w:hAnsi="Calibri" w:cs="Calibri"/>
          <w:lang w:val="en-GB"/>
        </w:rPr>
        <w:t xml:space="preserve"> than </w:t>
      </w:r>
      <w:r w:rsidR="00CA32EE" w:rsidRPr="00D46540">
        <w:rPr>
          <w:rFonts w:ascii="Calibri" w:hAnsi="Calibri" w:cs="Calibri"/>
          <w:lang w:val="en-GB"/>
        </w:rPr>
        <w:t xml:space="preserve">a </w:t>
      </w:r>
      <w:r w:rsidR="008742FE" w:rsidRPr="00D46540">
        <w:rPr>
          <w:rFonts w:ascii="Calibri" w:hAnsi="Calibri" w:cs="Calibri"/>
          <w:lang w:val="en-GB"/>
        </w:rPr>
        <w:t>relapse of the primary tumor</w:t>
      </w:r>
      <w:r w:rsidR="002C0CD7" w:rsidRPr="00D46540">
        <w:rPr>
          <w:rFonts w:ascii="Calibri" w:hAnsi="Calibri" w:cs="Calibri"/>
          <w:lang w:val="en-GB"/>
        </w:rPr>
        <w:t xml:space="preserve"> </w:t>
      </w:r>
      <w:r w:rsidR="006F177A"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{"citationItems":[{"id":"ITEM-1","itemData":{"DOI":"10.1200/JCO.2010.33.7212","ISBN":"1527-7755 (Electronic)\\r0732-183X (Linking)","ISSN":"0732-183X","PMID":"21464398","abstract":"PURPOSE: Allogeneic hematopoietic cell transplantation (HCT) is curative but is associated with life-threatening complications. Most deaths occur within the first 2 years after transplantation. In this report, we examine long-term survival in 2-year survivors in the largest cohort ever studied. PATIENTS AND METHODS: Records of 10,632 patients worldwide reported to the Center for International Blood and Marrow Transplant Research who were alive and disease free 2 years after receiving a myeloablative allogeneic HCT before 2004 for acute myelogenous or lymphoblastic leukemia, myelodysplastic syndrome, lymphoma, or severe aplastic anemia were reviewed. RESULTS: Median follow-up was 9 years, and 3,788 patients had been observed for 10 or more years. The probability of being alive 10 years after HCT was 85%. The chief risk factors for late death included older age and chronic graft-versus-host disease (GVHD). For patients who underwent transplantation for malignancy, relapse was the most common cause of death. The greatest risk factor for late relapse was advanced disease at transplantation. Principal risk factors for nonrelapse deaths were older age and GVHD. When compared with age, sex, and nationality-matched general population, late deaths remained higher than expected for each disease, with the possible exception of lymphoma, although the relative risk generally receded over time. CONCLUSION: The prospect for long-term survival is excellent for 2-year survivors of allogeneic HCT. However, life expectancy remains lower than expected. Performance of HCT earlier in the course of disease, control of GVHD, enhancement of immune reconstitution, less toxic regimens, and prevention and early treatment of late complications are needed","author":[{"dropping-particle":"","family":"Wingard","given":"John R.","non-dropping-particle":"","parse-names":false,"suffix":""},{"dropping-particle":"","family":"Majhail","given":"Navneet S.","non-dropping-particle":"","parse-names":false,"suffix":""},{"dropping-particle":"","family":"Brazauskas","given":"Ruta","non-dropping-particle":"","parse-names":false,"suffix":""},{"dropping-particle":"","family":"Wang","given":"Zhiwei","non-dropping-particle":"","parse-names":false,"suffix":""},{"dropping-particle":"","family":"Sobocinski","given":"Kathleen A.","non-dropping-particle":"","parse-names":false,"suffix":""},{"dropping-particle":"","family":"Jacobsohn","given":"David","non-dropping-particle":"","parse-names":false,"suffix":""},{"dropping-particle":"","family":"Sorror","given":"Mohamed L.","non-dropping-particle":"","parse-names":false,"suffix":""},{"dropping-particle":"","family":"Horowitz","given":"Mary M.","non-dropping-particle":"","parse-names":false,"suffix":""},{"dropping-particle":"","family":"Bolwell","given":"Brian","non-dropping-particle":"","parse-names":false,"suffix":""},{"dropping-particle":"","family":"Rizzo","given":"J. Douglas","non-dropping-particle":"","parse-names":false,"suffix":""},{"dropping-particle":"","family":"Socié","given":"Gérard","non-dropping-particle":"","parse-names":false,"suffix":""}],"container-title":"Journal of Clinical Oncology","id":"ITEM-1","issue":"16","issued":{"date-parts":[["2011","6"]]},"page":"2230-2239","title":"Long-Term Survival and Late Deaths After Allogeneic Hematopoietic Cell Transplantation","type":"article-journal","volume":"29"},"uris":["http://www.mendeley.com/documents/?uuid=9a97ceba-f4f9-4443-88d9-cba726082ae3"]}],"mendeley":{"formattedCitation":"[16]","plainTextFormattedCitation":"[16]","previouslyFormattedCitation":"[16]"},"properties":{"noteIndex":0},"schema":"https://github.com/citation-style-language/schema/raw/master/csl-citation.json"}</w:instrText>
      </w:r>
      <w:r w:rsidR="006F177A" w:rsidRPr="00D46540">
        <w:rPr>
          <w:rFonts w:ascii="Calibri" w:hAnsi="Calibri" w:cs="Calibri"/>
          <w:lang w:val="en-GB"/>
        </w:rPr>
        <w:fldChar w:fldCharType="separate"/>
      </w:r>
      <w:r w:rsidR="00525C77" w:rsidRPr="00D46540">
        <w:rPr>
          <w:rFonts w:ascii="Calibri" w:hAnsi="Calibri" w:cs="Calibri"/>
          <w:noProof/>
          <w:lang w:val="en-GB"/>
        </w:rPr>
        <w:t>[16]</w:t>
      </w:r>
      <w:r w:rsidR="006F177A" w:rsidRPr="00D46540">
        <w:rPr>
          <w:rFonts w:ascii="Calibri" w:hAnsi="Calibri" w:cs="Calibri"/>
          <w:lang w:val="en-GB"/>
        </w:rPr>
        <w:fldChar w:fldCharType="end"/>
      </w:r>
      <w:r w:rsidRPr="00D46540">
        <w:rPr>
          <w:rFonts w:ascii="Calibri" w:hAnsi="Calibri" w:cs="Calibri"/>
          <w:lang w:val="en-GB"/>
        </w:rPr>
        <w:t>.</w:t>
      </w:r>
      <w:r w:rsidR="006D2604" w:rsidRPr="00D46540">
        <w:rPr>
          <w:rFonts w:ascii="Calibri" w:hAnsi="Calibri" w:cs="Calibri"/>
          <w:lang w:val="en-GB"/>
        </w:rPr>
        <w:t xml:space="preserve"> </w:t>
      </w:r>
      <w:r w:rsidR="00FA6BA0" w:rsidRPr="00D46540">
        <w:rPr>
          <w:rFonts w:ascii="Calibri" w:hAnsi="Calibri" w:cs="Calibri"/>
          <w:lang w:val="en-GB"/>
        </w:rPr>
        <w:t>Nevertheless the lack of biomarkers measuring the activity of the immune system against cancer, (opportunistic) infections</w:t>
      </w:r>
      <w:r w:rsidR="00CA32EE" w:rsidRPr="00D46540">
        <w:rPr>
          <w:rFonts w:ascii="Calibri" w:hAnsi="Calibri" w:cs="Calibri"/>
          <w:lang w:val="en-GB"/>
        </w:rPr>
        <w:t>,</w:t>
      </w:r>
      <w:r w:rsidR="00FA6BA0" w:rsidRPr="00D46540">
        <w:rPr>
          <w:rFonts w:ascii="Calibri" w:hAnsi="Calibri" w:cs="Calibri"/>
          <w:lang w:val="en-GB"/>
        </w:rPr>
        <w:t xml:space="preserve"> etc</w:t>
      </w:r>
      <w:r w:rsidR="00CA32EE" w:rsidRPr="00D46540">
        <w:rPr>
          <w:rFonts w:ascii="Calibri" w:hAnsi="Calibri" w:cs="Calibri"/>
          <w:lang w:val="en-GB"/>
        </w:rPr>
        <w:t>…,</w:t>
      </w:r>
      <w:r w:rsidR="00FA6BA0" w:rsidRPr="00D46540">
        <w:rPr>
          <w:rFonts w:ascii="Calibri" w:hAnsi="Calibri" w:cs="Calibri"/>
          <w:lang w:val="en-GB"/>
        </w:rPr>
        <w:t xml:space="preserve"> block personalized adaptations of immunosuppression before and during treatment with CPI</w:t>
      </w:r>
      <w:r w:rsidR="00CA32EE" w:rsidRPr="00D46540">
        <w:rPr>
          <w:rFonts w:ascii="Calibri" w:hAnsi="Calibri" w:cs="Calibri"/>
          <w:lang w:val="en-GB"/>
        </w:rPr>
        <w:t xml:space="preserve"> in OTRs</w:t>
      </w:r>
      <w:r w:rsidR="00FA6BA0" w:rsidRPr="00D46540">
        <w:rPr>
          <w:rFonts w:ascii="Calibri" w:hAnsi="Calibri" w:cs="Calibri"/>
          <w:lang w:val="en-GB"/>
        </w:rPr>
        <w:t>.</w:t>
      </w:r>
    </w:p>
    <w:p w14:paraId="16DB2A43" w14:textId="77777777" w:rsidR="00794439" w:rsidRPr="00D46540" w:rsidRDefault="00794439" w:rsidP="00B26967">
      <w:pPr>
        <w:spacing w:line="360" w:lineRule="auto"/>
        <w:jc w:val="both"/>
        <w:rPr>
          <w:rFonts w:ascii="Calibri" w:hAnsi="Calibri" w:cs="Calibri"/>
          <w:lang w:val="en-GB"/>
        </w:rPr>
      </w:pPr>
    </w:p>
    <w:p w14:paraId="6808CCCE" w14:textId="30C5BA54" w:rsidR="00794439" w:rsidRPr="00D46540" w:rsidRDefault="00794439" w:rsidP="00794439">
      <w:pPr>
        <w:spacing w:line="360" w:lineRule="auto"/>
        <w:jc w:val="both"/>
        <w:rPr>
          <w:rFonts w:ascii="Calibri" w:hAnsi="Calibri" w:cs="Calibri"/>
          <w:b/>
          <w:lang w:val="en-GB"/>
        </w:rPr>
      </w:pPr>
      <w:r w:rsidRPr="00D46540">
        <w:rPr>
          <w:rFonts w:ascii="Calibri" w:hAnsi="Calibri" w:cs="Calibri"/>
          <w:b/>
          <w:lang w:val="en-GB"/>
        </w:rPr>
        <w:t>Methods</w:t>
      </w:r>
    </w:p>
    <w:p w14:paraId="56520B92" w14:textId="7B588488" w:rsidR="00F24071" w:rsidRPr="00D46540" w:rsidRDefault="008742FE" w:rsidP="00794439">
      <w:pPr>
        <w:spacing w:line="360" w:lineRule="auto"/>
        <w:jc w:val="both"/>
        <w:rPr>
          <w:rFonts w:ascii="Calibri" w:hAnsi="Calibri" w:cs="Calibri"/>
          <w:lang w:val="en-GB"/>
        </w:rPr>
      </w:pPr>
      <w:r w:rsidRPr="00D46540">
        <w:rPr>
          <w:rFonts w:ascii="Calibri" w:hAnsi="Calibri" w:cs="Calibri"/>
          <w:lang w:val="en-GB"/>
        </w:rPr>
        <w:t>C</w:t>
      </w:r>
      <w:r w:rsidR="00B26967" w:rsidRPr="00D46540">
        <w:rPr>
          <w:rFonts w:ascii="Calibri" w:hAnsi="Calibri" w:cs="Calibri"/>
          <w:lang w:val="en-GB"/>
        </w:rPr>
        <w:t>ase report</w:t>
      </w:r>
      <w:r w:rsidR="00173B8A" w:rsidRPr="00D46540">
        <w:rPr>
          <w:rFonts w:ascii="Calibri" w:hAnsi="Calibri" w:cs="Calibri"/>
          <w:lang w:val="en-GB"/>
        </w:rPr>
        <w:t>s</w:t>
      </w:r>
      <w:r w:rsidR="00794439" w:rsidRPr="00D46540">
        <w:rPr>
          <w:rFonts w:ascii="Calibri" w:hAnsi="Calibri" w:cs="Calibri"/>
          <w:lang w:val="en-GB"/>
        </w:rPr>
        <w:t xml:space="preserve"> </w:t>
      </w:r>
      <w:r w:rsidR="00615235" w:rsidRPr="00D46540">
        <w:rPr>
          <w:rFonts w:ascii="Calibri" w:hAnsi="Calibri" w:cs="Calibri"/>
          <w:lang w:val="en-GB"/>
        </w:rPr>
        <w:t>have been</w:t>
      </w:r>
      <w:r w:rsidRPr="00D46540">
        <w:rPr>
          <w:rFonts w:ascii="Calibri" w:hAnsi="Calibri" w:cs="Calibri"/>
          <w:lang w:val="en-GB"/>
        </w:rPr>
        <w:t xml:space="preserve"> found </w:t>
      </w:r>
      <w:r w:rsidR="00794439" w:rsidRPr="00D46540">
        <w:rPr>
          <w:rFonts w:ascii="Calibri" w:hAnsi="Calibri" w:cs="Calibri"/>
          <w:lang w:val="en-GB"/>
        </w:rPr>
        <w:t>through PubMed</w:t>
      </w:r>
      <w:r w:rsidR="004E186F" w:rsidRPr="00D46540">
        <w:rPr>
          <w:rFonts w:ascii="Calibri" w:hAnsi="Calibri" w:cs="Calibri"/>
          <w:lang w:val="en-GB"/>
        </w:rPr>
        <w:t>,</w:t>
      </w:r>
      <w:r w:rsidR="00794439" w:rsidRPr="00D46540">
        <w:rPr>
          <w:rFonts w:ascii="Calibri" w:hAnsi="Calibri" w:cs="Calibri"/>
          <w:lang w:val="en-GB"/>
        </w:rPr>
        <w:t xml:space="preserve"> </w:t>
      </w:r>
      <w:r w:rsidR="004E186F" w:rsidRPr="00D46540">
        <w:rPr>
          <w:rFonts w:ascii="Calibri" w:hAnsi="Calibri" w:cs="Calibri"/>
          <w:lang w:val="en-GB"/>
        </w:rPr>
        <w:t xml:space="preserve">Medscape Oncology, ResearchGate and Ascopubs </w:t>
      </w:r>
      <w:r w:rsidR="00794439" w:rsidRPr="00D46540">
        <w:rPr>
          <w:rFonts w:ascii="Calibri" w:hAnsi="Calibri" w:cs="Calibri"/>
          <w:lang w:val="en-GB"/>
        </w:rPr>
        <w:t xml:space="preserve">search and </w:t>
      </w:r>
      <w:r w:rsidRPr="00D46540">
        <w:rPr>
          <w:rFonts w:ascii="Calibri" w:hAnsi="Calibri" w:cs="Calibri"/>
          <w:lang w:val="en-GB"/>
        </w:rPr>
        <w:t>the keywords included</w:t>
      </w:r>
      <w:r w:rsidR="00794439" w:rsidRPr="00D46540">
        <w:rPr>
          <w:rFonts w:ascii="Calibri" w:hAnsi="Calibri" w:cs="Calibri"/>
          <w:lang w:val="en-GB"/>
        </w:rPr>
        <w:t xml:space="preserve"> checkpoint inhibitors, organ transplant recipients, liver transplantation, kidney transplant</w:t>
      </w:r>
      <w:r w:rsidR="00D27DF6" w:rsidRPr="00D46540">
        <w:rPr>
          <w:rFonts w:ascii="Calibri" w:hAnsi="Calibri" w:cs="Calibri"/>
          <w:lang w:val="en-GB"/>
        </w:rPr>
        <w:t>ation</w:t>
      </w:r>
      <w:r w:rsidR="00794439" w:rsidRPr="00D46540">
        <w:rPr>
          <w:rFonts w:ascii="Calibri" w:hAnsi="Calibri" w:cs="Calibri"/>
          <w:lang w:val="en-GB"/>
        </w:rPr>
        <w:t>, allograft</w:t>
      </w:r>
      <w:r w:rsidR="0098618C" w:rsidRPr="00D46540">
        <w:rPr>
          <w:rFonts w:ascii="Calibri" w:hAnsi="Calibri" w:cs="Calibri"/>
          <w:lang w:val="en-GB"/>
        </w:rPr>
        <w:t>,</w:t>
      </w:r>
      <w:r w:rsidR="00794439" w:rsidRPr="00D46540">
        <w:rPr>
          <w:rFonts w:ascii="Calibri" w:hAnsi="Calibri" w:cs="Calibri"/>
          <w:lang w:val="en-GB"/>
        </w:rPr>
        <w:t xml:space="preserve"> rejection, melanoma, hepatocellular carcinoma, nivolumab</w:t>
      </w:r>
      <w:r w:rsidR="00737122" w:rsidRPr="00D46540">
        <w:rPr>
          <w:rFonts w:ascii="Calibri" w:hAnsi="Calibri" w:cs="Calibri"/>
          <w:lang w:val="en-GB"/>
        </w:rPr>
        <w:t>, pembrolizumab, ipilimumab, atezolizu</w:t>
      </w:r>
      <w:r w:rsidR="00B26967" w:rsidRPr="00D46540">
        <w:rPr>
          <w:rFonts w:ascii="Calibri" w:hAnsi="Calibri" w:cs="Calibri"/>
          <w:lang w:val="en-GB"/>
        </w:rPr>
        <w:t>m</w:t>
      </w:r>
      <w:r w:rsidR="00737122" w:rsidRPr="00D46540">
        <w:rPr>
          <w:rFonts w:ascii="Calibri" w:hAnsi="Calibri" w:cs="Calibri"/>
          <w:lang w:val="en-GB"/>
        </w:rPr>
        <w:t>a</w:t>
      </w:r>
      <w:r w:rsidR="00B26967" w:rsidRPr="00D46540">
        <w:rPr>
          <w:rFonts w:ascii="Calibri" w:hAnsi="Calibri" w:cs="Calibri"/>
          <w:lang w:val="en-GB"/>
        </w:rPr>
        <w:t>b</w:t>
      </w:r>
      <w:r w:rsidR="00396D81" w:rsidRPr="00D46540">
        <w:rPr>
          <w:rFonts w:ascii="Calibri" w:hAnsi="Calibri" w:cs="Calibri"/>
          <w:lang w:val="en-GB"/>
        </w:rPr>
        <w:t xml:space="preserve">, durvalumab, avelumab. We also checked for available clinical trials on </w:t>
      </w:r>
      <w:r w:rsidR="00B26967" w:rsidRPr="00D46540">
        <w:rPr>
          <w:rFonts w:ascii="Calibri" w:hAnsi="Calibri" w:cs="Calibri"/>
          <w:lang w:val="en-GB"/>
        </w:rPr>
        <w:t>clinical trials.gov</w:t>
      </w:r>
      <w:r w:rsidR="00216AAE" w:rsidRPr="00D46540">
        <w:rPr>
          <w:rFonts w:ascii="Calibri" w:hAnsi="Calibri" w:cs="Calibri"/>
          <w:lang w:val="en-GB"/>
        </w:rPr>
        <w:t>.</w:t>
      </w:r>
      <w:r w:rsidR="00F24071" w:rsidRPr="00D46540">
        <w:rPr>
          <w:rFonts w:ascii="Calibri" w:hAnsi="Calibri" w:cs="Calibri"/>
          <w:lang w:val="en-GB"/>
        </w:rPr>
        <w:t xml:space="preserve"> </w:t>
      </w:r>
      <w:r w:rsidR="00857ED4" w:rsidRPr="00D46540">
        <w:rPr>
          <w:rFonts w:ascii="Calibri" w:hAnsi="Calibri" w:cs="Calibri"/>
          <w:lang w:val="en-GB"/>
        </w:rPr>
        <w:t>Dat</w:t>
      </w:r>
      <w:r w:rsidR="00CA32EE" w:rsidRPr="00D46540">
        <w:rPr>
          <w:rFonts w:ascii="Calibri" w:hAnsi="Calibri" w:cs="Calibri"/>
          <w:lang w:val="en-GB"/>
        </w:rPr>
        <w:t>e</w:t>
      </w:r>
      <w:r w:rsidR="00857ED4" w:rsidRPr="00D46540">
        <w:rPr>
          <w:rFonts w:ascii="Calibri" w:hAnsi="Calibri" w:cs="Calibri"/>
          <w:lang w:val="en-GB"/>
        </w:rPr>
        <w:t xml:space="preserve"> of last search was 11</w:t>
      </w:r>
      <w:r w:rsidR="00857ED4" w:rsidRPr="00D46540">
        <w:rPr>
          <w:rFonts w:ascii="Calibri" w:hAnsi="Calibri" w:cs="Calibri"/>
          <w:vertAlign w:val="superscript"/>
          <w:lang w:val="en-GB"/>
        </w:rPr>
        <w:t>th</w:t>
      </w:r>
      <w:r w:rsidR="00857ED4" w:rsidRPr="00D46540">
        <w:rPr>
          <w:rFonts w:ascii="Calibri" w:hAnsi="Calibri" w:cs="Calibri"/>
          <w:lang w:val="en-GB"/>
        </w:rPr>
        <w:t xml:space="preserve"> of novembre 2018.</w:t>
      </w:r>
    </w:p>
    <w:p w14:paraId="4CD05A64" w14:textId="77777777" w:rsidR="00794439" w:rsidRPr="00D46540" w:rsidRDefault="00794439" w:rsidP="00794439">
      <w:pPr>
        <w:spacing w:line="360" w:lineRule="auto"/>
        <w:jc w:val="both"/>
        <w:rPr>
          <w:rFonts w:ascii="Calibri" w:hAnsi="Calibri" w:cs="Calibri"/>
          <w:lang w:val="en-GB"/>
        </w:rPr>
      </w:pPr>
    </w:p>
    <w:p w14:paraId="5C02C20E" w14:textId="1B29FC57" w:rsidR="00794439" w:rsidRPr="00D46540" w:rsidRDefault="00794439" w:rsidP="00794439">
      <w:pPr>
        <w:pStyle w:val="Titre2"/>
        <w:spacing w:line="360" w:lineRule="auto"/>
        <w:jc w:val="both"/>
        <w:rPr>
          <w:rFonts w:ascii="Calibri" w:eastAsiaTheme="minorHAnsi" w:hAnsi="Calibri" w:cs="Calibri"/>
          <w:b/>
          <w:color w:val="auto"/>
          <w:sz w:val="24"/>
          <w:szCs w:val="24"/>
          <w:lang w:val="en-GB"/>
        </w:rPr>
      </w:pPr>
      <w:r w:rsidRPr="00D46540">
        <w:rPr>
          <w:rFonts w:ascii="Calibri" w:eastAsiaTheme="minorHAnsi" w:hAnsi="Calibri" w:cs="Calibri"/>
          <w:b/>
          <w:color w:val="auto"/>
          <w:sz w:val="24"/>
          <w:szCs w:val="24"/>
          <w:lang w:val="en-GB"/>
        </w:rPr>
        <w:t>Results</w:t>
      </w:r>
    </w:p>
    <w:p w14:paraId="0E29D224" w14:textId="4AE4A0E0" w:rsidR="00E70FA6" w:rsidRPr="00D46540" w:rsidRDefault="00FA6BA0" w:rsidP="00E70FA6">
      <w:pPr>
        <w:spacing w:line="360" w:lineRule="auto"/>
        <w:jc w:val="both"/>
        <w:rPr>
          <w:rFonts w:ascii="Calibri" w:hAnsi="Calibri" w:cs="Calibri"/>
          <w:lang w:val="en-GB"/>
        </w:rPr>
      </w:pPr>
      <w:r w:rsidRPr="00D46540">
        <w:rPr>
          <w:rFonts w:ascii="Calibri" w:hAnsi="Calibri" w:cs="Calibri"/>
          <w:lang w:val="en-GB"/>
        </w:rPr>
        <w:t>A total of 48</w:t>
      </w:r>
      <w:r w:rsidR="00857ED4" w:rsidRPr="00D46540">
        <w:rPr>
          <w:rFonts w:ascii="Calibri" w:hAnsi="Calibri" w:cs="Calibri"/>
          <w:lang w:val="en-GB"/>
        </w:rPr>
        <w:t xml:space="preserve"> </w:t>
      </w:r>
      <w:r w:rsidR="00794439" w:rsidRPr="00D46540">
        <w:rPr>
          <w:rFonts w:ascii="Calibri" w:hAnsi="Calibri" w:cs="Calibri"/>
          <w:lang w:val="en-GB"/>
        </w:rPr>
        <w:t>cases of OTR treated with CPIs for a metastasized malig</w:t>
      </w:r>
      <w:r w:rsidR="008742FE" w:rsidRPr="00D46540">
        <w:rPr>
          <w:rFonts w:ascii="Calibri" w:hAnsi="Calibri" w:cs="Calibri"/>
          <w:lang w:val="en-GB"/>
        </w:rPr>
        <w:t xml:space="preserve">nancy have been identified in </w:t>
      </w:r>
      <w:r w:rsidRPr="00D46540">
        <w:rPr>
          <w:rFonts w:ascii="Calibri" w:hAnsi="Calibri" w:cs="Calibri"/>
          <w:lang w:val="en-GB"/>
        </w:rPr>
        <w:t>29</w:t>
      </w:r>
      <w:r w:rsidR="00454B87" w:rsidRPr="00D46540">
        <w:rPr>
          <w:rFonts w:ascii="Calibri" w:hAnsi="Calibri" w:cs="Calibri"/>
          <w:lang w:val="en-GB"/>
        </w:rPr>
        <w:t xml:space="preserve"> </w:t>
      </w:r>
      <w:r w:rsidR="00794439" w:rsidRPr="00D46540">
        <w:rPr>
          <w:rFonts w:ascii="Calibri" w:hAnsi="Calibri" w:cs="Calibri"/>
          <w:lang w:val="en-GB"/>
        </w:rPr>
        <w:t xml:space="preserve">articles </w:t>
      </w:r>
      <w:r w:rsidR="008742FE" w:rsidRPr="00D46540">
        <w:rPr>
          <w:rFonts w:ascii="Calibri" w:hAnsi="Calibri" w:cs="Calibri"/>
          <w:lang w:val="en-GB"/>
        </w:rPr>
        <w:t xml:space="preserve">from the period </w:t>
      </w:r>
      <w:r w:rsidR="00794439" w:rsidRPr="00D46540">
        <w:rPr>
          <w:rFonts w:ascii="Calibri" w:hAnsi="Calibri" w:cs="Calibri"/>
          <w:lang w:val="en-GB"/>
        </w:rPr>
        <w:t>2014 to 2018</w:t>
      </w:r>
      <w:r w:rsidR="008742FE" w:rsidRPr="00D46540">
        <w:rPr>
          <w:rFonts w:ascii="Calibri" w:hAnsi="Calibri" w:cs="Calibri"/>
          <w:lang w:val="en-GB"/>
        </w:rPr>
        <w:t xml:space="preserve">. </w:t>
      </w:r>
      <w:r w:rsidR="00454B87" w:rsidRPr="00D46540">
        <w:rPr>
          <w:rFonts w:ascii="Calibri" w:hAnsi="Calibri" w:cs="Calibri"/>
          <w:lang w:val="en-GB"/>
        </w:rPr>
        <w:t>Main patient</w:t>
      </w:r>
      <w:r w:rsidR="00794439" w:rsidRPr="00D46540">
        <w:rPr>
          <w:rFonts w:ascii="Calibri" w:hAnsi="Calibri" w:cs="Calibri"/>
          <w:lang w:val="en-GB"/>
        </w:rPr>
        <w:t xml:space="preserve"> characteristics and outcome are summarized in </w:t>
      </w:r>
      <w:r w:rsidR="00794439" w:rsidRPr="00D46540">
        <w:rPr>
          <w:rFonts w:ascii="Calibri" w:hAnsi="Calibri" w:cs="Calibri"/>
          <w:color w:val="FF0000"/>
          <w:lang w:val="en-GB"/>
        </w:rPr>
        <w:t>Table 1</w:t>
      </w:r>
      <w:r w:rsidR="00794439" w:rsidRPr="00D46540">
        <w:rPr>
          <w:rFonts w:ascii="Calibri" w:hAnsi="Calibri" w:cs="Calibri"/>
          <w:lang w:val="en-GB"/>
        </w:rPr>
        <w:t xml:space="preserve">. A detailed overview of the individual cases of liver and kidney transplant recipients is presented in separate tables </w:t>
      </w:r>
      <w:r w:rsidR="00794439" w:rsidRPr="00D46540">
        <w:rPr>
          <w:rFonts w:ascii="Calibri" w:hAnsi="Calibri" w:cs="Calibri"/>
          <w:color w:val="000000" w:themeColor="text1"/>
          <w:lang w:val="en-GB"/>
        </w:rPr>
        <w:t>(</w:t>
      </w:r>
      <w:r w:rsidR="00794439" w:rsidRPr="00D46540">
        <w:rPr>
          <w:rFonts w:ascii="Calibri" w:hAnsi="Calibri" w:cs="Calibri"/>
          <w:color w:val="FF0000"/>
          <w:lang w:val="en-GB"/>
        </w:rPr>
        <w:t>Table 2</w:t>
      </w:r>
      <w:r w:rsidR="00454B87" w:rsidRPr="00D46540">
        <w:rPr>
          <w:rFonts w:ascii="Calibri" w:hAnsi="Calibri" w:cs="Calibri"/>
          <w:color w:val="FF0000"/>
          <w:lang w:val="en-GB"/>
        </w:rPr>
        <w:t>A+B</w:t>
      </w:r>
      <w:r w:rsidR="00794439" w:rsidRPr="00D46540">
        <w:rPr>
          <w:rFonts w:ascii="Calibri" w:hAnsi="Calibri" w:cs="Calibri"/>
          <w:color w:val="FF0000"/>
          <w:lang w:val="en-GB"/>
        </w:rPr>
        <w:t xml:space="preserve"> and Table 3</w:t>
      </w:r>
      <w:r w:rsidR="00857ED4" w:rsidRPr="00D46540">
        <w:rPr>
          <w:rFonts w:ascii="Calibri" w:hAnsi="Calibri" w:cs="Calibri"/>
          <w:color w:val="FF0000"/>
          <w:lang w:val="en-GB"/>
        </w:rPr>
        <w:t>A+B</w:t>
      </w:r>
      <w:r w:rsidR="007751DD" w:rsidRPr="00D46540">
        <w:rPr>
          <w:rFonts w:ascii="Calibri" w:hAnsi="Calibri" w:cs="Calibri"/>
          <w:color w:val="FF0000"/>
          <w:lang w:val="en-GB"/>
        </w:rPr>
        <w:t>,</w:t>
      </w:r>
      <w:r w:rsidR="00794439" w:rsidRPr="00D46540">
        <w:rPr>
          <w:rFonts w:ascii="Calibri" w:hAnsi="Calibri" w:cs="Calibri"/>
          <w:color w:val="FF0000"/>
          <w:lang w:val="en-GB"/>
        </w:rPr>
        <w:t xml:space="preserve"> </w:t>
      </w:r>
      <w:r w:rsidR="00794439" w:rsidRPr="00D46540">
        <w:rPr>
          <w:rFonts w:ascii="Calibri" w:hAnsi="Calibri" w:cs="Calibri"/>
          <w:color w:val="000000" w:themeColor="text1"/>
          <w:lang w:val="en-GB"/>
        </w:rPr>
        <w:t>respectively).</w:t>
      </w:r>
      <w:r w:rsidR="006D2604" w:rsidRPr="00D46540">
        <w:rPr>
          <w:rFonts w:ascii="Calibri" w:hAnsi="Calibri" w:cs="Calibri"/>
          <w:color w:val="000000" w:themeColor="text1"/>
          <w:lang w:val="en-GB"/>
        </w:rPr>
        <w:t xml:space="preserve"> </w:t>
      </w:r>
      <w:r w:rsidR="00E70FA6" w:rsidRPr="00D46540">
        <w:rPr>
          <w:rFonts w:ascii="Calibri" w:hAnsi="Calibri" w:cs="Calibri"/>
          <w:lang w:val="en-GB"/>
        </w:rPr>
        <w:t>Time to presentation of the malignancy varied from one to twenty-</w:t>
      </w:r>
      <w:r w:rsidR="00857ED4" w:rsidRPr="00D46540">
        <w:rPr>
          <w:rFonts w:ascii="Calibri" w:hAnsi="Calibri" w:cs="Calibri"/>
          <w:lang w:val="en-GB"/>
        </w:rPr>
        <w:t>three</w:t>
      </w:r>
      <w:r w:rsidR="00E70FA6" w:rsidRPr="00D46540">
        <w:rPr>
          <w:rFonts w:ascii="Calibri" w:hAnsi="Calibri" w:cs="Calibri"/>
          <w:lang w:val="en-GB"/>
        </w:rPr>
        <w:t xml:space="preserve"> years post-transplant and the age at the time of treatment with CPIs ranges from 14 to 77 years-old. </w:t>
      </w:r>
      <w:r w:rsidR="00857ED4" w:rsidRPr="00D46540">
        <w:rPr>
          <w:rFonts w:ascii="Calibri" w:hAnsi="Calibri" w:cs="Calibri"/>
          <w:lang w:val="en-GB"/>
        </w:rPr>
        <w:t>Thirthy</w:t>
      </w:r>
      <w:r w:rsidR="007751DD" w:rsidRPr="00D46540">
        <w:rPr>
          <w:rFonts w:ascii="Calibri" w:hAnsi="Calibri" w:cs="Calibri"/>
          <w:lang w:val="en-GB"/>
        </w:rPr>
        <w:t xml:space="preserve"> </w:t>
      </w:r>
      <w:r w:rsidR="00E70FA6" w:rsidRPr="00D46540">
        <w:rPr>
          <w:rFonts w:ascii="Calibri" w:hAnsi="Calibri" w:cs="Calibri"/>
          <w:lang w:val="en-GB"/>
        </w:rPr>
        <w:t xml:space="preserve">patients were treated </w:t>
      </w:r>
      <w:r w:rsidR="00857ED4" w:rsidRPr="00D46540">
        <w:rPr>
          <w:rFonts w:ascii="Calibri" w:hAnsi="Calibri" w:cs="Calibri"/>
          <w:lang w:val="en-GB"/>
        </w:rPr>
        <w:t>with monotherapy of anti-PD1 (18 nivolumab, 12 pembrolizumab), 11</w:t>
      </w:r>
      <w:r w:rsidR="00E70FA6" w:rsidRPr="00D46540">
        <w:rPr>
          <w:rFonts w:ascii="Calibri" w:hAnsi="Calibri" w:cs="Calibri"/>
          <w:lang w:val="en-GB"/>
        </w:rPr>
        <w:t xml:space="preserve"> w</w:t>
      </w:r>
      <w:r w:rsidR="00857ED4" w:rsidRPr="00D46540">
        <w:rPr>
          <w:rFonts w:ascii="Calibri" w:hAnsi="Calibri" w:cs="Calibri"/>
          <w:lang w:val="en-GB"/>
        </w:rPr>
        <w:t>ith monotherapy of anti-CTLA4, 7</w:t>
      </w:r>
      <w:r w:rsidR="00E70FA6" w:rsidRPr="00D46540">
        <w:rPr>
          <w:rFonts w:ascii="Calibri" w:hAnsi="Calibri" w:cs="Calibri"/>
          <w:lang w:val="en-GB"/>
        </w:rPr>
        <w:t xml:space="preserve"> with anti-CTLA4 followed by anti-PD1</w:t>
      </w:r>
      <w:r w:rsidR="007751DD" w:rsidRPr="00D46540">
        <w:rPr>
          <w:rFonts w:ascii="Calibri" w:hAnsi="Calibri" w:cs="Calibri"/>
          <w:lang w:val="en-GB"/>
        </w:rPr>
        <w:t>;</w:t>
      </w:r>
      <w:r w:rsidR="00E70FA6" w:rsidRPr="00D46540">
        <w:rPr>
          <w:rFonts w:ascii="Calibri" w:hAnsi="Calibri" w:cs="Calibri"/>
          <w:lang w:val="en-GB"/>
        </w:rPr>
        <w:t xml:space="preserve"> no reports were found for anti-PDL1.</w:t>
      </w:r>
      <w:r w:rsidR="006D2604" w:rsidRPr="00D46540">
        <w:rPr>
          <w:rFonts w:ascii="Calibri" w:hAnsi="Calibri" w:cs="Calibri"/>
          <w:lang w:val="en-GB"/>
        </w:rPr>
        <w:t xml:space="preserve"> </w:t>
      </w:r>
    </w:p>
    <w:p w14:paraId="1995BD8B" w14:textId="77777777" w:rsidR="00794439" w:rsidRPr="00D46540" w:rsidRDefault="00794439" w:rsidP="00794439">
      <w:pPr>
        <w:spacing w:line="360" w:lineRule="auto"/>
        <w:jc w:val="both"/>
        <w:rPr>
          <w:rFonts w:ascii="Calibri" w:hAnsi="Calibri" w:cs="Calibri"/>
          <w:lang w:val="en-GB"/>
        </w:rPr>
      </w:pPr>
    </w:p>
    <w:p w14:paraId="5C4CABEE" w14:textId="07840F2B" w:rsidR="00794439" w:rsidRPr="00D46540" w:rsidRDefault="00794439" w:rsidP="00794439">
      <w:pPr>
        <w:pStyle w:val="Titre2"/>
        <w:spacing w:line="360" w:lineRule="auto"/>
        <w:jc w:val="both"/>
        <w:rPr>
          <w:rFonts w:ascii="Calibri" w:eastAsiaTheme="minorHAnsi" w:hAnsi="Calibri" w:cs="Calibri"/>
          <w:b/>
          <w:color w:val="auto"/>
          <w:sz w:val="24"/>
          <w:szCs w:val="24"/>
          <w:lang w:val="en-GB"/>
        </w:rPr>
      </w:pPr>
      <w:r w:rsidRPr="00D46540">
        <w:rPr>
          <w:rFonts w:ascii="Calibri" w:eastAsiaTheme="minorHAnsi" w:hAnsi="Calibri" w:cs="Calibri"/>
          <w:b/>
          <w:color w:val="auto"/>
          <w:sz w:val="24"/>
          <w:szCs w:val="24"/>
          <w:lang w:val="en-GB"/>
        </w:rPr>
        <w:t>Liver transplant patients</w:t>
      </w:r>
    </w:p>
    <w:p w14:paraId="1A6CC384" w14:textId="2FD80DFA" w:rsidR="00454B87" w:rsidRPr="00D46540" w:rsidRDefault="00454B87" w:rsidP="00454B87">
      <w:pPr>
        <w:spacing w:line="360" w:lineRule="auto"/>
        <w:jc w:val="both"/>
        <w:rPr>
          <w:rFonts w:ascii="Calibri" w:hAnsi="Calibri" w:cs="Calibri"/>
          <w:lang w:val="en-GB"/>
        </w:rPr>
      </w:pPr>
      <w:r w:rsidRPr="00D46540">
        <w:rPr>
          <w:rFonts w:ascii="Calibri" w:hAnsi="Calibri" w:cs="Calibri"/>
          <w:lang w:val="en-GB"/>
        </w:rPr>
        <w:t>Outcome in liver transplant patients will be analyzed according to the reason for CPI and transplantation:</w:t>
      </w:r>
      <w:r w:rsidR="00921F98" w:rsidRPr="00D46540">
        <w:rPr>
          <w:rFonts w:ascii="Calibri" w:hAnsi="Calibri" w:cs="Calibri"/>
          <w:lang w:val="en-GB"/>
        </w:rPr>
        <w:t xml:space="preserve"> </w:t>
      </w:r>
      <w:r w:rsidR="00AF230B">
        <w:rPr>
          <w:rFonts w:ascii="Calibri" w:hAnsi="Calibri" w:cs="Calibri"/>
          <w:lang w:val="en-GB"/>
        </w:rPr>
        <w:t xml:space="preserve">a first group of patients that underwent </w:t>
      </w:r>
      <w:r w:rsidR="00921F98" w:rsidRPr="00D46540">
        <w:rPr>
          <w:rFonts w:ascii="Calibri" w:hAnsi="Calibri" w:cs="Calibri"/>
          <w:lang w:val="en-GB"/>
        </w:rPr>
        <w:t>transplantation</w:t>
      </w:r>
      <w:r w:rsidR="00CE3768" w:rsidRPr="00D46540">
        <w:rPr>
          <w:rFonts w:ascii="Calibri" w:hAnsi="Calibri" w:cs="Calibri"/>
          <w:lang w:val="en-GB"/>
        </w:rPr>
        <w:t xml:space="preserve"> for</w:t>
      </w:r>
      <w:r w:rsidR="006D2604" w:rsidRPr="00D46540">
        <w:rPr>
          <w:rFonts w:ascii="Calibri" w:hAnsi="Calibri" w:cs="Calibri"/>
          <w:lang w:val="en-GB"/>
        </w:rPr>
        <w:t xml:space="preserve"> </w:t>
      </w:r>
      <w:r w:rsidR="00785B83" w:rsidRPr="00D46540">
        <w:rPr>
          <w:rFonts w:ascii="Calibri" w:hAnsi="Calibri" w:cs="Calibri"/>
          <w:lang w:val="en-GB"/>
        </w:rPr>
        <w:t>recurrent hepatocellular carcinoma (HCC)</w:t>
      </w:r>
      <w:r w:rsidR="00921F98" w:rsidRPr="00D46540">
        <w:rPr>
          <w:rFonts w:ascii="Calibri" w:hAnsi="Calibri" w:cs="Calibri"/>
          <w:lang w:val="en-GB"/>
        </w:rPr>
        <w:t xml:space="preserve"> followed b</w:t>
      </w:r>
      <w:r w:rsidR="00AF230B">
        <w:rPr>
          <w:rFonts w:ascii="Calibri" w:hAnsi="Calibri" w:cs="Calibri"/>
          <w:lang w:val="en-GB"/>
        </w:rPr>
        <w:t>y</w:t>
      </w:r>
      <w:r w:rsidR="00921F98" w:rsidRPr="00D46540">
        <w:rPr>
          <w:rFonts w:ascii="Calibri" w:hAnsi="Calibri" w:cs="Calibri"/>
          <w:lang w:val="en-GB"/>
        </w:rPr>
        <w:t xml:space="preserve"> HCC recurrence</w:t>
      </w:r>
      <w:r w:rsidR="00315B3C" w:rsidRPr="00D46540">
        <w:rPr>
          <w:rFonts w:ascii="Calibri" w:hAnsi="Calibri" w:cs="Calibri"/>
          <w:lang w:val="en-GB"/>
        </w:rPr>
        <w:t xml:space="preserve"> </w:t>
      </w:r>
      <w:r w:rsidRPr="00D46540">
        <w:rPr>
          <w:rFonts w:ascii="Calibri" w:hAnsi="Calibri" w:cs="Calibri"/>
          <w:lang w:val="en-GB"/>
        </w:rPr>
        <w:t>(</w:t>
      </w:r>
      <w:r w:rsidRPr="00D46540">
        <w:rPr>
          <w:rFonts w:ascii="Calibri" w:hAnsi="Calibri" w:cs="Calibri"/>
          <w:color w:val="FF0000"/>
          <w:lang w:val="en-GB"/>
        </w:rPr>
        <w:t>Table 2B</w:t>
      </w:r>
      <w:r w:rsidRPr="00D46540">
        <w:rPr>
          <w:rFonts w:ascii="Calibri" w:hAnsi="Calibri" w:cs="Calibri"/>
          <w:lang w:val="en-GB"/>
        </w:rPr>
        <w:t>)</w:t>
      </w:r>
      <w:r w:rsidR="00785B83" w:rsidRPr="00D46540">
        <w:rPr>
          <w:rFonts w:ascii="Calibri" w:hAnsi="Calibri" w:cs="Calibri"/>
          <w:lang w:val="en-GB"/>
        </w:rPr>
        <w:t xml:space="preserve"> and a second </w:t>
      </w:r>
      <w:r w:rsidR="007751DD" w:rsidRPr="00D46540">
        <w:rPr>
          <w:rFonts w:ascii="Calibri" w:hAnsi="Calibri" w:cs="Calibri"/>
          <w:lang w:val="en-GB"/>
        </w:rPr>
        <w:t xml:space="preserve">group </w:t>
      </w:r>
      <w:r w:rsidR="00CE3768" w:rsidRPr="00D46540">
        <w:rPr>
          <w:rFonts w:ascii="Calibri" w:hAnsi="Calibri" w:cs="Calibri"/>
          <w:lang w:val="en-GB"/>
        </w:rPr>
        <w:t>who developed cancer</w:t>
      </w:r>
      <w:r w:rsidR="00921F98" w:rsidRPr="00D46540">
        <w:rPr>
          <w:rFonts w:ascii="Calibri" w:hAnsi="Calibri" w:cs="Calibri"/>
          <w:lang w:val="en-GB"/>
        </w:rPr>
        <w:t xml:space="preserve"> (mainly melanoma)</w:t>
      </w:r>
      <w:r w:rsidR="00CE3768" w:rsidRPr="00D46540">
        <w:rPr>
          <w:rFonts w:ascii="Calibri" w:hAnsi="Calibri" w:cs="Calibri"/>
          <w:lang w:val="en-GB"/>
        </w:rPr>
        <w:t xml:space="preserve"> after </w:t>
      </w:r>
      <w:r w:rsidR="00921F98" w:rsidRPr="00D46540">
        <w:rPr>
          <w:rFonts w:ascii="Calibri" w:hAnsi="Calibri" w:cs="Calibri"/>
          <w:lang w:val="en-GB"/>
        </w:rPr>
        <w:t xml:space="preserve">transplantation (among which 3 patients were transplanted for HCC, one for cholangiocarcinoma and one due to liver metastasis of ocular melanoma, others had a non malignant liver disease) </w:t>
      </w:r>
      <w:r w:rsidRPr="00D46540">
        <w:rPr>
          <w:rFonts w:ascii="Calibri" w:hAnsi="Calibri" w:cs="Calibri"/>
          <w:lang w:val="en-GB"/>
        </w:rPr>
        <w:t>(</w:t>
      </w:r>
      <w:r w:rsidRPr="00D46540">
        <w:rPr>
          <w:rFonts w:ascii="Calibri" w:hAnsi="Calibri" w:cs="Calibri"/>
          <w:color w:val="FF0000"/>
          <w:lang w:val="en-GB"/>
        </w:rPr>
        <w:t>Table 2A</w:t>
      </w:r>
      <w:r w:rsidRPr="00D46540">
        <w:rPr>
          <w:rFonts w:ascii="Calibri" w:hAnsi="Calibri" w:cs="Calibri"/>
          <w:lang w:val="en-GB"/>
        </w:rPr>
        <w:t>)</w:t>
      </w:r>
      <w:r w:rsidR="00785B83" w:rsidRPr="00D46540">
        <w:rPr>
          <w:rFonts w:ascii="Calibri" w:hAnsi="Calibri" w:cs="Calibri"/>
          <w:lang w:val="en-GB"/>
        </w:rPr>
        <w:t>.</w:t>
      </w:r>
      <w:r w:rsidR="006D2604" w:rsidRPr="00D46540">
        <w:rPr>
          <w:rFonts w:ascii="Calibri" w:hAnsi="Calibri" w:cs="Calibri"/>
          <w:lang w:val="en-GB"/>
        </w:rPr>
        <w:t xml:space="preserve"> </w:t>
      </w:r>
    </w:p>
    <w:p w14:paraId="4E6E6EC8" w14:textId="7D2D289F" w:rsidR="00454B87" w:rsidRPr="00D46540" w:rsidRDefault="00454B87" w:rsidP="00794439">
      <w:pPr>
        <w:spacing w:line="360" w:lineRule="auto"/>
        <w:jc w:val="both"/>
        <w:rPr>
          <w:rFonts w:ascii="Calibri" w:hAnsi="Calibri" w:cs="Calibri"/>
          <w:lang w:val="en-GB"/>
        </w:rPr>
      </w:pPr>
      <w:r w:rsidRPr="00D46540">
        <w:rPr>
          <w:rFonts w:ascii="Calibri" w:hAnsi="Calibri" w:cs="Calibri"/>
          <w:lang w:val="en-GB"/>
        </w:rPr>
        <w:t>None of the patients that underwent transplantation for recurrent HCC (n=11) benefited from CPI (</w:t>
      </w:r>
      <w:r w:rsidRPr="00D46540">
        <w:rPr>
          <w:rFonts w:ascii="Calibri" w:hAnsi="Calibri" w:cs="Calibri"/>
          <w:color w:val="FF0000"/>
          <w:lang w:val="en-GB"/>
        </w:rPr>
        <w:t>Table 2B</w:t>
      </w:r>
      <w:r w:rsidRPr="00D46540">
        <w:rPr>
          <w:rFonts w:ascii="Calibri" w:hAnsi="Calibri" w:cs="Calibri"/>
          <w:lang w:val="en-GB"/>
        </w:rPr>
        <w:t xml:space="preserve">), nevertheless one patient had a dissociated response with regression of a few metastatic lesions </w:t>
      </w:r>
      <w:r w:rsidR="00AF230B">
        <w:rPr>
          <w:rFonts w:ascii="Calibri" w:hAnsi="Calibri" w:cs="Calibri"/>
          <w:lang w:val="en-GB"/>
        </w:rPr>
        <w:t>lasting</w:t>
      </w:r>
      <w:r w:rsidRPr="00D46540">
        <w:rPr>
          <w:rFonts w:ascii="Calibri" w:hAnsi="Calibri" w:cs="Calibri"/>
          <w:lang w:val="en-GB"/>
        </w:rPr>
        <w:t xml:space="preserve"> a few months </w:t>
      </w:r>
      <w:r w:rsidR="00AF230B">
        <w:rPr>
          <w:rFonts w:ascii="Calibri" w:hAnsi="Calibri" w:cs="Calibri"/>
          <w:lang w:val="en-GB"/>
        </w:rPr>
        <w:t>followed by</w:t>
      </w:r>
      <w:r w:rsidRPr="00D46540">
        <w:rPr>
          <w:rFonts w:ascii="Calibri" w:hAnsi="Calibri" w:cs="Calibri"/>
          <w:lang w:val="en-GB"/>
        </w:rPr>
        <w:t xml:space="preserve"> disease progression </w:t>
      </w:r>
      <w:r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{"citationItems":[{"id":"ITEM-1","itemData":{"DOI":"10.1053/j.gastro.2017.01.063","ISSN":"15280012","PMID":"28384452","author":[{"dropping-particle":"","family":"Toni","given":"Enrico N.","non-dropping-particle":"De","parse-names":false,"suffix":""},{"dropping-particle":"","family":"Gerbes","given":"Alexander L.","non-dropping-particle":"","parse-names":false,"suffix":""}],"container-title":"Gastroenterology","id":"ITEM-1","issue":"6","issued":{"date-parts":[["2017"]]},"page":"1631-1633","title":"Tapering of Immunosuppression and Sustained Treatment With Nivolumab in a Liver Transplant Recipient","type":"article-journal","volume":"152"},"uris":["http://www.mendeley.com/documents/?uuid=c49ad334-ecaa-464c-bbaa-4f4585a1e5db"]}],"mendeley":{"formattedCitation":"[17]","plainTextFormattedCitation":"[17]","previouslyFormattedCitation":"[17]"},"properties":{"noteIndex":0},"schema":"https://github.com/citation-style-language/schema/raw/master/csl-citation.json"}</w:instrText>
      </w:r>
      <w:r w:rsidRPr="00D46540">
        <w:rPr>
          <w:rFonts w:ascii="Calibri" w:hAnsi="Calibri" w:cs="Calibri"/>
          <w:lang w:val="en-GB"/>
        </w:rPr>
        <w:fldChar w:fldCharType="separate"/>
      </w:r>
      <w:r w:rsidR="00525C77" w:rsidRPr="00D46540">
        <w:rPr>
          <w:rFonts w:ascii="Calibri" w:hAnsi="Calibri" w:cs="Calibri"/>
          <w:noProof/>
          <w:lang w:val="en-GB"/>
        </w:rPr>
        <w:t>[17]</w:t>
      </w:r>
      <w:r w:rsidRPr="00D46540">
        <w:rPr>
          <w:rFonts w:ascii="Calibri" w:hAnsi="Calibri" w:cs="Calibri"/>
          <w:lang w:val="en-GB"/>
        </w:rPr>
        <w:fldChar w:fldCharType="end"/>
      </w:r>
      <w:r w:rsidRPr="00D46540">
        <w:rPr>
          <w:rFonts w:ascii="Calibri" w:hAnsi="Calibri" w:cs="Calibri"/>
          <w:lang w:val="en-GB"/>
        </w:rPr>
        <w:t xml:space="preserve">. </w:t>
      </w:r>
      <w:r w:rsidR="00AF230B">
        <w:rPr>
          <w:rFonts w:ascii="Calibri" w:hAnsi="Calibri" w:cs="Calibri"/>
          <w:lang w:val="en-GB"/>
        </w:rPr>
        <w:t>Of the non-HCC group, t</w:t>
      </w:r>
      <w:r w:rsidRPr="00D46540">
        <w:rPr>
          <w:rFonts w:ascii="Calibri" w:hAnsi="Calibri" w:cs="Calibri"/>
          <w:lang w:val="en-GB"/>
        </w:rPr>
        <w:t xml:space="preserve">hree melanoma patients were treated with ipilimumab: 2 had a partial response (PR) and one progressive disease (PD). One patient with PR progressed </w:t>
      </w:r>
      <w:r w:rsidR="00AF230B">
        <w:rPr>
          <w:rFonts w:ascii="Calibri" w:hAnsi="Calibri" w:cs="Calibri"/>
          <w:lang w:val="en-GB"/>
        </w:rPr>
        <w:t>again</w:t>
      </w:r>
      <w:r w:rsidRPr="00D46540">
        <w:rPr>
          <w:rFonts w:ascii="Calibri" w:hAnsi="Calibri" w:cs="Calibri"/>
          <w:lang w:val="en-GB"/>
        </w:rPr>
        <w:t xml:space="preserve"> and was treated with pembrolizumab hereafter. Anti-PD1 induced 1PR, 2CR, 1 unknown</w:t>
      </w:r>
      <w:r w:rsidR="00AF230B">
        <w:rPr>
          <w:rFonts w:ascii="Calibri" w:hAnsi="Calibri" w:cs="Calibri"/>
          <w:lang w:val="en-GB"/>
        </w:rPr>
        <w:t xml:space="preserve"> (UK)</w:t>
      </w:r>
      <w:r w:rsidRPr="00D46540">
        <w:rPr>
          <w:rFonts w:ascii="Calibri" w:hAnsi="Calibri" w:cs="Calibri"/>
          <w:lang w:val="en-GB"/>
        </w:rPr>
        <w:t>, and 1 PD</w:t>
      </w:r>
      <w:r w:rsidR="00AF230B">
        <w:rPr>
          <w:rFonts w:ascii="Calibri" w:hAnsi="Calibri" w:cs="Calibri"/>
          <w:lang w:val="en-GB"/>
        </w:rPr>
        <w:t xml:space="preserve"> </w:t>
      </w:r>
      <w:r w:rsidR="00AF230B" w:rsidRPr="00D46540">
        <w:rPr>
          <w:rFonts w:ascii="Calibri" w:hAnsi="Calibri" w:cs="Calibri"/>
          <w:lang w:val="en-GB"/>
        </w:rPr>
        <w:t>(</w:t>
      </w:r>
      <w:r w:rsidR="00AF230B" w:rsidRPr="00D46540">
        <w:rPr>
          <w:rFonts w:ascii="Calibri" w:hAnsi="Calibri" w:cs="Calibri"/>
          <w:color w:val="FF0000"/>
          <w:lang w:val="en-GB"/>
        </w:rPr>
        <w:t>Table 2</w:t>
      </w:r>
      <w:r w:rsidR="00AF230B">
        <w:rPr>
          <w:rFonts w:ascii="Calibri" w:hAnsi="Calibri" w:cs="Calibri"/>
          <w:color w:val="FF0000"/>
          <w:lang w:val="en-GB"/>
        </w:rPr>
        <w:t>A</w:t>
      </w:r>
      <w:r w:rsidR="00AF230B" w:rsidRPr="00D46540">
        <w:rPr>
          <w:rFonts w:ascii="Calibri" w:hAnsi="Calibri" w:cs="Calibri"/>
          <w:lang w:val="en-GB"/>
        </w:rPr>
        <w:t>)</w:t>
      </w:r>
      <w:r w:rsidRPr="00D46540">
        <w:rPr>
          <w:rFonts w:ascii="Calibri" w:hAnsi="Calibri" w:cs="Calibri"/>
          <w:lang w:val="en-GB"/>
        </w:rPr>
        <w:t xml:space="preserve">. The clear difference in response rate in HCC vs melanoma patients might be explained by sensibility to </w:t>
      </w:r>
      <w:r w:rsidR="00921F98" w:rsidRPr="00D46540">
        <w:rPr>
          <w:rFonts w:ascii="Calibri" w:hAnsi="Calibri" w:cs="Calibri"/>
          <w:lang w:val="en-GB"/>
        </w:rPr>
        <w:t>CPI</w:t>
      </w:r>
      <w:r w:rsidRPr="00D46540">
        <w:rPr>
          <w:rFonts w:ascii="Calibri" w:hAnsi="Calibri" w:cs="Calibri"/>
          <w:lang w:val="en-GB"/>
        </w:rPr>
        <w:t xml:space="preserve"> of HCC vs melanoma.</w:t>
      </w:r>
      <w:r w:rsidR="006D2604" w:rsidRPr="00D46540">
        <w:rPr>
          <w:rFonts w:ascii="Calibri" w:hAnsi="Calibri" w:cs="Calibri"/>
          <w:lang w:val="en-GB"/>
        </w:rPr>
        <w:t xml:space="preserve"> </w:t>
      </w:r>
      <w:r w:rsidRPr="00D46540">
        <w:rPr>
          <w:rFonts w:ascii="Calibri" w:hAnsi="Calibri" w:cs="Calibri"/>
          <w:lang w:val="en-GB"/>
        </w:rPr>
        <w:t xml:space="preserve">Early data (phase I/II trial) of HCC patients treated with nivolumab show a response rate of 15% </w:t>
      </w:r>
      <w:r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{"citationItems":[{"id":"ITEM-1","itemData":{"DOI":"10.1016/S0140-6736(17)31046-2","ISBN":"0140-6736","ISSN":"01406736","PMID":"28434648","abstract":"Background For patients with advanced hepatocellular carcinoma, sorafenib is the only approved drug worldwide, and outcomes remain poor. We aimed to assess the safety and efficacy of nivolumab, a programmed cell death protein-1 (PD-1) immune checkpoint inhibitor, in patients with advanced hepatocellular carcinoma with or without chronic viral hepatitis. Methods We did a phase 1/2, open-label, non-comparative, dose escalation and expansion trial (CheckMate 040) of nivolumab in adults (≥18 years) with histologically confirmed advanced hepatocellular carcinoma with or without hepatitis C or B (HCV or HBV) infection. Previous sorafenib treatment was allowed. A dose-escalation phase was conducted at seven hospitals or academic centres in four countries or territories (USA, Spain, Hong Kong, and Singapore) and a dose-expansion phase was conducted at an additional 39 sites in 11 countries (Canada, UK, Germany, Italy, Japan, South Korea, Taiwan). At screening, eligible patients had Child-Pugh scores of 7 or less (Child-Pugh A or B7) for the dose-escalation phase and 6 or less (Child-Pugh A) for the dose-expansion phase, and an Eastern Cooperative Oncology Group performance status of 1 or less. Patients with HBV infection had to be receiving effective antiviral therapy (viral load &lt;100 IU/mL); antiviral therapy was not required for patients with HCV infection. We excluded patients previously treated with an agent targeting T-cell costimulation or checkpoint pathways. Patients received intravenous nivolumab 0·1–10 mg/kg every 2 weeks in the dose-escalation phase (3+3 design). Nivolumab 3 mg/kg was given every 2 weeks in the dose-expansion phase to patients in four cohorts: sorafenib untreated or intolerant without viral hepatitis, sorafenib progressor without viral hepatitis, HCV infected, and HBV infected. Primary endpoints were safety and tolerability for the escalation phase and objective response rate (Response Evaluation Criteria In Solid Tumors version 1.1) for the expansion phase. This study is registered with ClinicalTrials.gov, number NCT01658878. Findings Between Nov 26, 2012, and Aug 8, 2016, 262 eligible patients were treated (48 patients in the dose-escalation phase and 214 in the dose-expansion phase). 202 (77%) of 262 patients have completed treatment and follow-up is ongoing. During dose escalation, nivolumab showed a manageable safety profile, including acceptable tolerability. In this phase, 46 (96%) of 48 patients discontinued treatment, 42 (88…","author":[{"dropping-particle":"","family":"El-Khoueiry","given":"Anthony B.","non-dropping-particle":"","parse-names":false,"suffix":""},{"dropping-particle":"","family":"Sangro","given":"Bruno","non-dropping-particle":"","parse-names":false,"suffix":""},{"dropping-particle":"","family":"Yau","given":"Thomas","non-dropping-particle":"","parse-names":false,"suffix":""},{"dropping-particle":"","family":"Crocenzi","given":"Todd S.","non-dropping-particle":"","parse-names":false,"suffix":""},{"dropping-particle":"","family":"Kudo","given":"Masatoshi","non-dropping-particle":"","parse-names":false,"suffix":""},{"dropping-particle":"","family":"Hsu","given":"Chiun","non-dropping-particle":"","parse-names":false,"suffix":""},{"dropping-particle":"","family":"Kim","given":"Tae-You","non-dropping-particle":"","parse-names":false,"suffix":""},{"dropping-particle":"","family":"Choo","given":"Su-Pin","non-dropping-particle":"","parse-names":false,"suffix":""},{"dropping-particle":"","family":"Trojan","given":"Jörg","non-dropping-particle":"","parse-names":false,"suffix":""},{"dropping-particle":"","family":"Welling","given":"Theodore H.","non-dropping-particle":"","parse-names":false,"suffix":""},{"dropping-particle":"","family":"Meyer","given":"Tim","non-dropping-particle":"","parse-names":false,"suffix":""},{"dropping-particle":"","family":"Kang","given":"Yoon-Koo","non-dropping-particle":"","parse-names":false,"suffix":""},{"dropping-particle":"","family":"Yeo","given":"Winnie","non-dropping-particle":"","parse-names":false,"suffix":""},{"dropping-particle":"","family":"Chopra","given":"Akhil","non-dropping-particle":"","parse-names":false,"suffix":""},{"dropping-particle":"","family":"Anderson","given":"Jeffrey","non-dropping-particle":"","parse-names":false,"suffix":""},{"dropping-particle":"","family":"Cruz","given":"Christine","non-dropping-particle":"dela","parse-names":false,"suffix":""},{"dropping-particle":"","family":"Lang","given":"Lixin","non-dropping-particle":"","parse-names":false,"suffix":""},{"dropping-particle":"","family":"Neely","given":"Jaclyn","non-dropping-particle":"","parse-names":false,"suffix":""},{"dropping-particle":"","family":"Tang","given":"Hao","non-dropping-particle":"","parse-names":false,"suffix":""},{"dropping-particle":"","family":"Dastani","given":"Homa B.","non-dropping-particle":"","parse-names":false,"suffix":""},{"dropping-particle":"","family":"Melero","given":"Ignacio","non-dropping-particle":"","parse-names":false,"suffix":""}],"container-title":"The Lancet","id":"ITEM-1","issue":"10088","issued":{"date-parts":[["2017","6"]]},"page":"2492-2502","title":"Nivolumab in patients with advanced hepatocellular carcinoma (CheckMate 040): an open-label, non-comparative, phase 1/2 dose escalation and expansion trial","type":"article-journal","volume":"389"},"uris":["http://www.mendeley.com/documents/?uuid=40b2693b-7b25-4cd0-9e4c-83ade7a5d8c8","http://www.mendeley.com/documents/?uuid=bb27d8e3-aa3a-4597-8122-a3339c6a1b1c"]}],"mendeley":{"formattedCitation":"[18]","plainTextFormattedCitation":"[18]","previouslyFormattedCitation":"[18]"},"properties":{"noteIndex":0},"schema":"https://github.com/citation-style-language/schema/raw/master/csl-citation.json"}</w:instrText>
      </w:r>
      <w:r w:rsidRPr="00D46540">
        <w:rPr>
          <w:rFonts w:ascii="Calibri" w:hAnsi="Calibri" w:cs="Calibri"/>
          <w:lang w:val="en-GB"/>
        </w:rPr>
        <w:fldChar w:fldCharType="separate"/>
      </w:r>
      <w:r w:rsidR="00525C77" w:rsidRPr="00D46540">
        <w:rPr>
          <w:rFonts w:ascii="Calibri" w:hAnsi="Calibri" w:cs="Calibri"/>
          <w:noProof/>
          <w:lang w:val="en-GB"/>
        </w:rPr>
        <w:t>[18]</w:t>
      </w:r>
      <w:r w:rsidRPr="00D46540">
        <w:rPr>
          <w:rFonts w:ascii="Calibri" w:hAnsi="Calibri" w:cs="Calibri"/>
          <w:lang w:val="en-GB"/>
        </w:rPr>
        <w:fldChar w:fldCharType="end"/>
      </w:r>
      <w:r w:rsidRPr="00D46540">
        <w:rPr>
          <w:rFonts w:ascii="Calibri" w:hAnsi="Calibri" w:cs="Calibri"/>
          <w:lang w:val="en-GB"/>
        </w:rPr>
        <w:t xml:space="preserve"> while the response rate with anti-PD-1 for melanoma patients was around 40% in a phase III trial </w:t>
      </w:r>
      <w:r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{"citationItems":[{"id":"ITEM-1","itemData":{"DOI":"10.1056/NEJMoa1412082","ISBN":"1533-4406 (Electronic) 0028-4793 (Linking)","ISSN":"0028-4793","PMID":"25399552","abstract":"Background Nivolumab was associated with higher rates of objective response than chemotherapy in a phase 3 study involving patients with ipilimumab-refractory metastatic melanoma. The use of nivolumab in previously untreated patients with advanced melanoma has not been tested in a phase 3 controlled study. Methods We randomly assigned 418 previously untreated patients who had metastatic melanoma without a BRAF mutation to receive nivolumab (at a dose of 3 mg per kilogram of body weight every 2 weeks and dacarbazine-matched placebo every 3 weeks) or dacarbazine (at a dose of 1000 mg per square meter of body-surface area every 3 weeks and nivolumab-matched placebo every 2 weeks). The primary end point was overall survival. Results At 1 year, the overall rate of survival was 72.9% (95% confidence interval [CI], 65.5 to 78.9) in the nivolumab group, as compared with 42.1% (95% CI, 33.0 to 50.9) in the dacarbazine group (hazard ratio for death, 0.42; 99.79% CI, 0.25 to 0.73; P&lt;0.001). The median progression-fr...","author":[{"dropping-particle":"","family":"Robert","given":"Caroline","non-dropping-particle":"","parse-names":false,"suffix":""},{"dropping-particle":"V.","family":"Long","given":"Georgina","non-dropping-particle":"","parse-names":false,"suffix":""},{"dropping-particle":"","family":"Brady","given":"Benjamin","non-dropping-particle":"","parse-names":false,"suffix":""},{"dropping-particle":"","family":"Dutriaux","given":"Caroline","non-dropping-particle":"","parse-names":false,"suffix":""},{"dropping-particle":"","family":"Maio","given":"Michele","non-dropping-particle":"","parse-names":false,"suffix":""},{"dropping-particle":"","family":"Mortier","given":"Laurent","non-dropping-particle":"","parse-names":false,"suffix":""},{"dropping-particle":"","family":"Hassel","given":"Jessica C.","non-dropping-particle":"","parse-names":false,"suffix":""},{"dropping-particle":"","family":"Rutkowski","given":"Piotr","non-dropping-particle":"","parse-names":false,"suffix":""},{"dropping-particle":"","family":"McNeil","given":"Catriona","non-dropping-particle":"","parse-names":false,"suffix":""},{"dropping-particle":"","family":"Kalinka-Warzocha","given":"Ewa","non-dropping-particle":"","parse-names":false,"suffix":""},{"dropping-particle":"","family":"Savage","given":"Kerry J.","non-dropping-particle":"","parse-names":false,"suffix":""},{"dropping-particle":"","family":"Hernberg","given":"Micaela M.","non-dropping-particle":"","parse-names":false,"suffix":""},{"dropping-particle":"","family":"Lebbé","given":"Celeste","non-dropping-particle":"","parse-names":false,"suffix":""},{"dropping-particle":"","family":"Charles","given":"Julie","non-dropping-particle":"","parse-names":false,"suffix":""},{"dropping-particle":"","family":"Mihalcioiu","given":"Catalin","non-dropping-particle":"","parse-names":false,"suffix":""},{"dropping-particle":"","family":"Chiarion-Sileni","given":"Vanna","non-dropping-particle":"","parse-names":false,"suffix":""},{"dropping-particle":"","family":"Mauch","given":"Cornelia","non-dropping-particle":"","parse-names":false,"suffix":""},{"dropping-particle":"","family":"Cognetti","given":"Francesco","non-dropping-particle":"","parse-names":false,"suffix":""},{"dropping-particle":"","family":"Arance","given":"Ana","non-dropping-particle":"","parse-names":false,"suffix":""},{"dropping-particle":"","family":"Schmidt","given":"Henrik","non-dropping-particle":"","parse-names":false,"suffix":""},{"dropping-particle":"","family":"Schadendorf","given":"Dirk","non-dropping-particle":"","parse-names":false,"suffix":""},{"dropping-particle":"","family":"Gogas","given":"Helen","non-dropping-particle":"","parse-names":false,"suffix":""},{"dropping-particle":"","family":"Lundgren-Eriksson","given":"Lotta","non-dropping-particle":"","parse-names":false,"suffix":""},{"dropping-particle":"","family":"Horak","given":"Christine","non-dropping-particle":"","parse-names":false,"suffix":""},{"dropping-particle":"","family":"Sharkey","given":"Brian","non-dropping-particle":"","parse-names":false,"suffix":""},{"dropping-particle":"","family":"Waxman","given":"Ian M.","non-dropping-particle":"","parse-names":false,"suffix":""},{"dropping-particle":"","family":"Atkinson","given":"Victoria","non-dropping-particle":"","parse-names":false,"suffix":""},{"dropping-particle":"","family":"Ascierto","given":"Paolo A.","non-dropping-particle":"","parse-names":false,"suffix":""}],"container-title":"New England Journal of Medicine","id":"ITEM-1","issued":{"date-parts":[["2015"]]},"title":"Nivolumab in Previously Untreated Melanoma without &lt;i&gt;BRAF&lt;/i&gt; Mutation","type":"article-journal"},"uris":["http://www.mendeley.com/documents/?uuid=21d2036c-357f-4f43-8673-2dca884ef24f"]}],"mendeley":{"formattedCitation":"[19]","plainTextFormattedCitation":"[19]","previouslyFormattedCitation":"[19]"},"properties":{"noteIndex":0},"schema":"https://github.com/citation-style-language/schema/raw/master/csl-citation.json"}</w:instrText>
      </w:r>
      <w:r w:rsidRPr="00D46540">
        <w:rPr>
          <w:rFonts w:ascii="Calibri" w:hAnsi="Calibri" w:cs="Calibri"/>
          <w:lang w:val="en-GB"/>
        </w:rPr>
        <w:fldChar w:fldCharType="separate"/>
      </w:r>
      <w:r w:rsidR="00525C77" w:rsidRPr="00D46540">
        <w:rPr>
          <w:rFonts w:ascii="Calibri" w:hAnsi="Calibri" w:cs="Calibri"/>
          <w:noProof/>
          <w:lang w:val="en-GB"/>
        </w:rPr>
        <w:t>[19]</w:t>
      </w:r>
      <w:r w:rsidRPr="00D46540">
        <w:rPr>
          <w:rFonts w:ascii="Calibri" w:hAnsi="Calibri" w:cs="Calibri"/>
          <w:lang w:val="en-GB"/>
        </w:rPr>
        <w:fldChar w:fldCharType="end"/>
      </w:r>
      <w:r w:rsidRPr="00D46540">
        <w:rPr>
          <w:rFonts w:ascii="Calibri" w:hAnsi="Calibri" w:cs="Calibri"/>
          <w:lang w:val="en-GB"/>
        </w:rPr>
        <w:t>.</w:t>
      </w:r>
      <w:r w:rsidR="006D2604" w:rsidRPr="00D46540">
        <w:rPr>
          <w:rFonts w:ascii="Calibri" w:hAnsi="Calibri" w:cs="Calibri"/>
          <w:lang w:val="en-GB"/>
        </w:rPr>
        <w:t xml:space="preserve"> </w:t>
      </w:r>
    </w:p>
    <w:p w14:paraId="15485224" w14:textId="6426FD9C" w:rsidR="00454B87" w:rsidRPr="00D46540" w:rsidRDefault="00454B87" w:rsidP="00794439">
      <w:pPr>
        <w:spacing w:line="360" w:lineRule="auto"/>
        <w:jc w:val="both"/>
        <w:rPr>
          <w:rFonts w:ascii="Calibri" w:hAnsi="Calibri" w:cs="Calibri"/>
          <w:lang w:val="en-GB"/>
        </w:rPr>
      </w:pPr>
      <w:r w:rsidRPr="00D46540">
        <w:rPr>
          <w:rFonts w:ascii="Calibri" w:hAnsi="Calibri" w:cs="Calibri"/>
          <w:lang w:val="en-GB"/>
        </w:rPr>
        <w:t>For the HCC</w:t>
      </w:r>
      <w:r w:rsidR="009C4878" w:rsidRPr="00D46540">
        <w:rPr>
          <w:rFonts w:ascii="Calibri" w:hAnsi="Calibri" w:cs="Calibri"/>
          <w:lang w:val="en-GB"/>
        </w:rPr>
        <w:t>s</w:t>
      </w:r>
      <w:r w:rsidRPr="00D46540">
        <w:rPr>
          <w:rFonts w:ascii="Calibri" w:hAnsi="Calibri" w:cs="Calibri"/>
          <w:lang w:val="en-GB"/>
        </w:rPr>
        <w:t>, 4 out of 10 patients had biopsy proven organ rejection and 3 died of organ failure, the fate of the fourth patient was not described (</w:t>
      </w:r>
      <w:r w:rsidRPr="00D46540">
        <w:rPr>
          <w:rFonts w:ascii="Calibri" w:hAnsi="Calibri" w:cs="Calibri"/>
          <w:color w:val="FF0000"/>
          <w:lang w:val="en-GB"/>
        </w:rPr>
        <w:t>Table 2B</w:t>
      </w:r>
      <w:r w:rsidRPr="00D46540">
        <w:rPr>
          <w:rFonts w:ascii="Calibri" w:hAnsi="Calibri" w:cs="Calibri"/>
          <w:lang w:val="en-GB"/>
        </w:rPr>
        <w:t>). At least 3 out 4 organ rejections happened during the first month after start of CPI.</w:t>
      </w:r>
      <w:r w:rsidR="006D2604" w:rsidRPr="00D46540">
        <w:rPr>
          <w:rFonts w:ascii="Calibri" w:hAnsi="Calibri" w:cs="Calibri"/>
          <w:lang w:val="en-GB"/>
        </w:rPr>
        <w:t xml:space="preserve"> </w:t>
      </w:r>
      <w:r w:rsidRPr="00D46540">
        <w:rPr>
          <w:rFonts w:ascii="Calibri" w:hAnsi="Calibri" w:cs="Calibri"/>
          <w:lang w:val="en-GB"/>
        </w:rPr>
        <w:t>No other immune related adverse events (</w:t>
      </w:r>
      <w:r w:rsidR="00921F98" w:rsidRPr="00D46540">
        <w:rPr>
          <w:rFonts w:ascii="Calibri" w:hAnsi="Calibri" w:cs="Calibri"/>
          <w:lang w:val="en-GB"/>
        </w:rPr>
        <w:t>ir</w:t>
      </w:r>
      <w:r w:rsidR="00E605D0" w:rsidRPr="00D46540">
        <w:rPr>
          <w:rFonts w:ascii="Calibri" w:hAnsi="Calibri" w:cs="Calibri"/>
          <w:lang w:val="en-GB"/>
        </w:rPr>
        <w:t>AEs</w:t>
      </w:r>
      <w:r w:rsidRPr="00D46540">
        <w:rPr>
          <w:rFonts w:ascii="Calibri" w:hAnsi="Calibri" w:cs="Calibri"/>
          <w:lang w:val="en-GB"/>
        </w:rPr>
        <w:t>) were described.</w:t>
      </w:r>
      <w:r w:rsidR="006D2604" w:rsidRPr="00D46540">
        <w:rPr>
          <w:rFonts w:ascii="Calibri" w:hAnsi="Calibri" w:cs="Calibri"/>
          <w:lang w:val="en-GB"/>
        </w:rPr>
        <w:t xml:space="preserve"> </w:t>
      </w:r>
      <w:r w:rsidRPr="00D46540">
        <w:rPr>
          <w:rFonts w:ascii="Calibri" w:hAnsi="Calibri" w:cs="Calibri"/>
          <w:lang w:val="en-GB"/>
        </w:rPr>
        <w:t>In the non-HCC group, two melanoma patients receiving anti-PD1 (2/6) and one receiving anti-CTLA4 (1/4) experienced organ rejection.</w:t>
      </w:r>
      <w:r w:rsidR="006D2604" w:rsidRPr="00D46540">
        <w:rPr>
          <w:rFonts w:ascii="Calibri" w:hAnsi="Calibri" w:cs="Calibri"/>
          <w:lang w:val="en-GB"/>
        </w:rPr>
        <w:t xml:space="preserve"> </w:t>
      </w:r>
      <w:r w:rsidRPr="00D46540">
        <w:rPr>
          <w:rFonts w:ascii="Calibri" w:hAnsi="Calibri" w:cs="Calibri"/>
          <w:lang w:val="en-GB"/>
        </w:rPr>
        <w:t xml:space="preserve">Only one anti-PD1 patient died from organ failure, the </w:t>
      </w:r>
      <w:r w:rsidRPr="00E21E0A">
        <w:rPr>
          <w:rFonts w:ascii="Calibri" w:hAnsi="Calibri" w:cs="Calibri"/>
          <w:lang w:val="en-GB"/>
        </w:rPr>
        <w:t>other one died from PD and for one patient it was not described.</w:t>
      </w:r>
      <w:r w:rsidR="006D2604" w:rsidRPr="00E21E0A">
        <w:rPr>
          <w:rFonts w:ascii="Calibri" w:hAnsi="Calibri" w:cs="Calibri"/>
          <w:lang w:val="en-GB"/>
        </w:rPr>
        <w:t xml:space="preserve"> </w:t>
      </w:r>
      <w:r w:rsidR="00AF230B" w:rsidRPr="00E21E0A">
        <w:rPr>
          <w:rFonts w:ascii="Calibri" w:hAnsi="Calibri" w:cs="Calibri"/>
          <w:lang w:val="en-GB"/>
        </w:rPr>
        <w:t>For the total group o</w:t>
      </w:r>
      <w:r w:rsidRPr="00E21E0A">
        <w:rPr>
          <w:rFonts w:ascii="Calibri" w:hAnsi="Calibri" w:cs="Calibri"/>
          <w:lang w:val="en-GB"/>
        </w:rPr>
        <w:t>f 19 cases of liver transplant, at least 4 died of organ failure</w:t>
      </w:r>
      <w:r w:rsidR="00C42962" w:rsidRPr="00E21E0A">
        <w:rPr>
          <w:rFonts w:ascii="Calibri" w:hAnsi="Calibri" w:cs="Calibri"/>
          <w:lang w:val="en-GB"/>
        </w:rPr>
        <w:t xml:space="preserve"> which all happened during the first month of treatment</w:t>
      </w:r>
      <w:r w:rsidRPr="00E21E0A">
        <w:rPr>
          <w:rFonts w:ascii="Calibri" w:hAnsi="Calibri" w:cs="Calibri"/>
          <w:lang w:val="en-GB"/>
        </w:rPr>
        <w:t>.</w:t>
      </w:r>
      <w:r w:rsidR="006D2604" w:rsidRPr="00E21E0A">
        <w:rPr>
          <w:rFonts w:ascii="Calibri" w:hAnsi="Calibri" w:cs="Calibri"/>
          <w:lang w:val="en-GB"/>
        </w:rPr>
        <w:t xml:space="preserve"> </w:t>
      </w:r>
      <w:r w:rsidRPr="00E21E0A">
        <w:rPr>
          <w:rFonts w:ascii="Calibri" w:hAnsi="Calibri" w:cs="Calibri"/>
          <w:lang w:val="en-GB"/>
        </w:rPr>
        <w:t>There was no</w:t>
      </w:r>
      <w:r w:rsidRPr="00D46540">
        <w:rPr>
          <w:rFonts w:ascii="Calibri" w:hAnsi="Calibri" w:cs="Calibri"/>
          <w:lang w:val="en-GB"/>
        </w:rPr>
        <w:t xml:space="preserve"> history of donor specific antibodies or previous rejection, all patients were transplanted once. </w:t>
      </w:r>
    </w:p>
    <w:p w14:paraId="16434611" w14:textId="2D2EC45C" w:rsidR="00794439" w:rsidRPr="00D46540" w:rsidRDefault="00B877C2" w:rsidP="00794439">
      <w:pPr>
        <w:spacing w:line="360" w:lineRule="auto"/>
        <w:jc w:val="both"/>
        <w:rPr>
          <w:rFonts w:ascii="Calibri" w:hAnsi="Calibri" w:cs="Calibri"/>
          <w:b/>
          <w:lang w:val="en-GB"/>
        </w:rPr>
      </w:pPr>
      <w:r w:rsidRPr="00D46540">
        <w:rPr>
          <w:rFonts w:ascii="Calibri" w:hAnsi="Calibri" w:cs="Calibri"/>
          <w:lang w:val="en-GB"/>
        </w:rPr>
        <w:t xml:space="preserve">Interestingly, two </w:t>
      </w:r>
      <w:r w:rsidR="00E207D7" w:rsidRPr="00D46540">
        <w:rPr>
          <w:rFonts w:ascii="Calibri" w:hAnsi="Calibri" w:cs="Calibri"/>
          <w:lang w:val="en-GB"/>
        </w:rPr>
        <w:t xml:space="preserve">melanoma </w:t>
      </w:r>
      <w:r w:rsidRPr="00D46540">
        <w:rPr>
          <w:rFonts w:ascii="Calibri" w:hAnsi="Calibri" w:cs="Calibri"/>
          <w:lang w:val="en-GB"/>
        </w:rPr>
        <w:t>patients</w:t>
      </w:r>
      <w:r w:rsidR="00313F83" w:rsidRPr="00D46540">
        <w:rPr>
          <w:rFonts w:ascii="Calibri" w:hAnsi="Calibri" w:cs="Calibri"/>
          <w:lang w:val="en-GB"/>
        </w:rPr>
        <w:t>, both</w:t>
      </w:r>
      <w:r w:rsidR="00C878CE" w:rsidRPr="00D46540">
        <w:rPr>
          <w:rFonts w:ascii="Calibri" w:hAnsi="Calibri" w:cs="Calibri"/>
          <w:lang w:val="en-GB"/>
        </w:rPr>
        <w:t xml:space="preserve"> </w:t>
      </w:r>
      <w:r w:rsidR="00313F83" w:rsidRPr="00D46540">
        <w:rPr>
          <w:rFonts w:ascii="Calibri" w:hAnsi="Calibri" w:cs="Calibri"/>
          <w:lang w:val="en-GB"/>
        </w:rPr>
        <w:t>treated with pembrolizumab,</w:t>
      </w:r>
      <w:r w:rsidRPr="00D46540">
        <w:rPr>
          <w:rFonts w:ascii="Calibri" w:hAnsi="Calibri" w:cs="Calibri"/>
          <w:lang w:val="en-GB"/>
        </w:rPr>
        <w:t xml:space="preserve"> showed a </w:t>
      </w:r>
      <w:r w:rsidR="00760D94" w:rsidRPr="00D46540">
        <w:rPr>
          <w:rFonts w:ascii="Calibri" w:hAnsi="Calibri" w:cs="Calibri"/>
          <w:lang w:val="en-GB"/>
        </w:rPr>
        <w:t xml:space="preserve">CR </w:t>
      </w:r>
      <w:r w:rsidRPr="00D46540">
        <w:rPr>
          <w:rFonts w:ascii="Calibri" w:hAnsi="Calibri" w:cs="Calibri"/>
          <w:lang w:val="en-GB"/>
        </w:rPr>
        <w:t>without liver transplant rejection.</w:t>
      </w:r>
      <w:r w:rsidR="006D2604" w:rsidRPr="00D46540">
        <w:rPr>
          <w:rFonts w:ascii="Calibri" w:hAnsi="Calibri" w:cs="Calibri"/>
          <w:lang w:val="en-GB"/>
        </w:rPr>
        <w:t xml:space="preserve"> </w:t>
      </w:r>
      <w:r w:rsidRPr="00D46540">
        <w:rPr>
          <w:rFonts w:ascii="Calibri" w:hAnsi="Calibri" w:cs="Calibri"/>
          <w:lang w:val="en-GB"/>
        </w:rPr>
        <w:t xml:space="preserve">One of them started CPI treatment 18 years after liver transplantation </w:t>
      </w:r>
      <w:r w:rsidR="00785B83" w:rsidRPr="00D46540">
        <w:rPr>
          <w:rFonts w:ascii="Calibri" w:hAnsi="Calibri" w:cs="Calibri"/>
          <w:lang w:val="en-GB"/>
        </w:rPr>
        <w:t>(</w:t>
      </w:r>
      <w:r w:rsidR="00760D94" w:rsidRPr="00D46540">
        <w:rPr>
          <w:rFonts w:ascii="Calibri" w:hAnsi="Calibri" w:cs="Calibri"/>
          <w:lang w:val="en-GB"/>
        </w:rPr>
        <w:t>for</w:t>
      </w:r>
      <w:r w:rsidRPr="00D46540">
        <w:rPr>
          <w:rFonts w:ascii="Calibri" w:hAnsi="Calibri" w:cs="Calibri"/>
          <w:lang w:val="en-GB"/>
        </w:rPr>
        <w:t xml:space="preserve"> biliary atresia</w:t>
      </w:r>
      <w:r w:rsidR="00785B83" w:rsidRPr="00D46540">
        <w:rPr>
          <w:rFonts w:ascii="Calibri" w:hAnsi="Calibri" w:cs="Calibri"/>
          <w:lang w:val="en-GB"/>
        </w:rPr>
        <w:t>)</w:t>
      </w:r>
      <w:r w:rsidRPr="00D46540">
        <w:rPr>
          <w:rFonts w:ascii="Calibri" w:hAnsi="Calibri" w:cs="Calibri"/>
          <w:lang w:val="en-GB"/>
        </w:rPr>
        <w:t xml:space="preserve"> and his immunosuppression was continued (tacrolimus monotherapy) during CPI treatment</w:t>
      </w:r>
      <w:r w:rsidR="00216AAE" w:rsidRPr="00D46540">
        <w:rPr>
          <w:rFonts w:ascii="Calibri" w:hAnsi="Calibri" w:cs="Calibri"/>
          <w:lang w:val="en-GB"/>
        </w:rPr>
        <w:t xml:space="preserve"> </w:t>
      </w:r>
      <w:r w:rsidR="00785B83" w:rsidRPr="00D46540">
        <w:rPr>
          <w:rFonts w:ascii="Calibri" w:hAnsi="Calibri" w:cs="Calibri"/>
          <w:lang w:val="en-GB"/>
        </w:rPr>
        <w:t>.</w:t>
      </w:r>
      <w:r w:rsidR="00950D95" w:rsidRPr="00D46540">
        <w:rPr>
          <w:rFonts w:ascii="Calibri" w:hAnsi="Calibri" w:cs="Calibri"/>
          <w:lang w:val="en-GB"/>
        </w:rPr>
        <w:t xml:space="preserve"> This </w:t>
      </w:r>
      <w:r w:rsidRPr="00D46540">
        <w:rPr>
          <w:rFonts w:ascii="Calibri" w:hAnsi="Calibri" w:cs="Calibri"/>
          <w:lang w:val="en-GB"/>
        </w:rPr>
        <w:t xml:space="preserve">complete response </w:t>
      </w:r>
      <w:r w:rsidR="00703DE1" w:rsidRPr="00D46540">
        <w:rPr>
          <w:rFonts w:ascii="Calibri" w:hAnsi="Calibri" w:cs="Calibri"/>
          <w:lang w:val="en-GB"/>
        </w:rPr>
        <w:t xml:space="preserve">maintained </w:t>
      </w:r>
      <w:r w:rsidRPr="00D46540">
        <w:rPr>
          <w:rFonts w:ascii="Calibri" w:hAnsi="Calibri" w:cs="Calibri"/>
          <w:lang w:val="en-GB"/>
        </w:rPr>
        <w:t xml:space="preserve">at least 6 months after </w:t>
      </w:r>
      <w:r w:rsidR="00921F98" w:rsidRPr="00D46540">
        <w:rPr>
          <w:rFonts w:ascii="Calibri" w:hAnsi="Calibri" w:cs="Calibri"/>
          <w:lang w:val="en-GB"/>
        </w:rPr>
        <w:t xml:space="preserve">stop of </w:t>
      </w:r>
      <w:r w:rsidRPr="00D46540">
        <w:rPr>
          <w:rFonts w:ascii="Calibri" w:hAnsi="Calibri" w:cs="Calibri"/>
          <w:lang w:val="en-GB"/>
        </w:rPr>
        <w:t xml:space="preserve">pembrolizumab </w:t>
      </w:r>
      <w:r w:rsidR="00921F98" w:rsidRPr="00D46540">
        <w:rPr>
          <w:rFonts w:ascii="Calibri" w:hAnsi="Calibri" w:cs="Calibri"/>
          <w:lang w:val="en-GB"/>
        </w:rPr>
        <w:t xml:space="preserve">which </w:t>
      </w:r>
      <w:r w:rsidR="00E605D0" w:rsidRPr="00D46540">
        <w:rPr>
          <w:rFonts w:ascii="Calibri" w:hAnsi="Calibri" w:cs="Calibri"/>
          <w:lang w:val="en-GB"/>
        </w:rPr>
        <w:t xml:space="preserve">was </w:t>
      </w:r>
      <w:r w:rsidRPr="00D46540">
        <w:rPr>
          <w:rFonts w:ascii="Calibri" w:hAnsi="Calibri" w:cs="Calibri"/>
          <w:lang w:val="en-GB"/>
        </w:rPr>
        <w:t xml:space="preserve">discontinued </w:t>
      </w:r>
      <w:r w:rsidR="00E605D0" w:rsidRPr="00D46540">
        <w:rPr>
          <w:rFonts w:ascii="Calibri" w:hAnsi="Calibri" w:cs="Calibri"/>
          <w:lang w:val="en-GB"/>
        </w:rPr>
        <w:t xml:space="preserve">after two doses because of </w:t>
      </w:r>
      <w:r w:rsidR="00AD5AEF" w:rsidRPr="00D46540">
        <w:rPr>
          <w:rFonts w:ascii="Calibri" w:hAnsi="Calibri" w:cs="Calibri"/>
          <w:lang w:val="en-GB"/>
        </w:rPr>
        <w:t>biological hepatitis of uncertain cause</w:t>
      </w:r>
      <w:r w:rsidR="00D55324" w:rsidRPr="00D46540">
        <w:rPr>
          <w:rFonts w:ascii="Calibri" w:hAnsi="Calibri" w:cs="Calibri"/>
          <w:lang w:val="en-GB"/>
        </w:rPr>
        <w:t xml:space="preserve"> (Hepat</w:t>
      </w:r>
      <w:r w:rsidR="00CD3B76" w:rsidRPr="00D46540">
        <w:rPr>
          <w:rFonts w:ascii="Calibri" w:hAnsi="Calibri" w:cs="Calibri"/>
          <w:lang w:val="en-GB"/>
        </w:rPr>
        <w:t xml:space="preserve">itis C virus vs immune-mediated </w:t>
      </w:r>
      <w:r w:rsidR="00D55324" w:rsidRPr="00D46540">
        <w:rPr>
          <w:rFonts w:ascii="Calibri" w:hAnsi="Calibri" w:cs="Calibri"/>
          <w:lang w:val="en-GB"/>
        </w:rPr>
        <w:t>hepatitis</w:t>
      </w:r>
      <w:r w:rsidR="00454B87" w:rsidRPr="00D46540">
        <w:rPr>
          <w:rFonts w:ascii="Calibri" w:hAnsi="Calibri" w:cs="Calibri"/>
          <w:lang w:val="en-GB"/>
        </w:rPr>
        <w:t>, no biopsy reported</w:t>
      </w:r>
      <w:r w:rsidR="00D55324" w:rsidRPr="00D46540">
        <w:rPr>
          <w:rFonts w:ascii="Calibri" w:hAnsi="Calibri" w:cs="Calibri"/>
          <w:lang w:val="en-GB"/>
        </w:rPr>
        <w:t>)</w:t>
      </w:r>
      <w:r w:rsidR="00454B87" w:rsidRPr="00D46540">
        <w:rPr>
          <w:rFonts w:ascii="Calibri" w:hAnsi="Calibri" w:cs="Calibri"/>
          <w:lang w:val="en-GB"/>
        </w:rPr>
        <w:t xml:space="preserve"> </w:t>
      </w:r>
      <w:r w:rsidR="00454B87"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10.7326/L17-0187","ISBN":"0000000000000","ISSN":"0003-4819","author":[{"dropping-particle":"","family":"Schvartsman","given":"Gustavo","non-dropping-particle":"","parse-names":false,"suffix":""},{"dropping-particle":"","family":"Perez","given":"Kristen","non-dropping-particle":"","parse-names":false,"suffix":""},{"dropping-particle":"","family":"Sood","given":"Gagan","non-dropping-particle":"","parse-names":false,"suffix":""},{"dropping-particle":"","family":"Katkhuda","given":"Riham","non-dropping-particle":"","parse-names":false,"suffix":""},{"dropping-particle":"","family":"Tawbi","given":"Hussein","non-dropping-particle":"","parse-names":false,"suffix":""}],"container-title":"Annals of Internal Medicine","id":"ITEM-1","issue":"5","issued":{"date-parts":[["2017","9"]]},"page":"361","title":"Immune Checkpoint Inhibitor Therapy in a Liver Transplant Recipient With Melanoma","type":"article-journal","volume":"167"},"uris":["http://www.mendeley.com/documents/?uuid=7f2c256b-6785-4553-8574-ff579178a480"]}],"mendeley":{"formattedCitation":"[20]","plainTextFormattedCitation":"[20]","previouslyFormattedCitation":"[20]"},"properties":{"noteIndex":0},"schema":"https://github.com/citation-style-language/schema/raw/master/csl-citation.json"}</w:instrText>
      </w:r>
      <w:r w:rsidR="00454B87" w:rsidRPr="00D46540">
        <w:rPr>
          <w:rFonts w:ascii="Calibri" w:hAnsi="Calibri" w:cs="Calibri"/>
          <w:lang w:val="en-GB"/>
        </w:rPr>
        <w:fldChar w:fldCharType="separate"/>
      </w:r>
      <w:r w:rsidR="00525C77" w:rsidRPr="00D46540">
        <w:rPr>
          <w:rFonts w:ascii="Calibri" w:hAnsi="Calibri" w:cs="Calibri"/>
          <w:noProof/>
          <w:lang w:val="en-GB"/>
        </w:rPr>
        <w:t>[20]</w:t>
      </w:r>
      <w:r w:rsidR="00454B87" w:rsidRPr="00D46540">
        <w:rPr>
          <w:rFonts w:ascii="Calibri" w:hAnsi="Calibri" w:cs="Calibri"/>
          <w:lang w:val="en-GB"/>
        </w:rPr>
        <w:fldChar w:fldCharType="end"/>
      </w:r>
      <w:r w:rsidRPr="00D46540">
        <w:rPr>
          <w:rFonts w:ascii="Calibri" w:hAnsi="Calibri" w:cs="Calibri"/>
          <w:lang w:val="en-GB"/>
        </w:rPr>
        <w:t xml:space="preserve">. The other </w:t>
      </w:r>
      <w:r w:rsidR="0012453C" w:rsidRPr="00D46540">
        <w:rPr>
          <w:rFonts w:ascii="Calibri" w:hAnsi="Calibri" w:cs="Calibri"/>
          <w:lang w:val="en-GB"/>
        </w:rPr>
        <w:t xml:space="preserve">CR </w:t>
      </w:r>
      <w:r w:rsidR="00E207D7" w:rsidRPr="00D46540">
        <w:rPr>
          <w:rFonts w:ascii="Calibri" w:hAnsi="Calibri" w:cs="Calibri"/>
          <w:lang w:val="en-GB"/>
        </w:rPr>
        <w:t xml:space="preserve">melanoma </w:t>
      </w:r>
      <w:r w:rsidRPr="00D46540">
        <w:rPr>
          <w:rFonts w:ascii="Calibri" w:hAnsi="Calibri" w:cs="Calibri"/>
          <w:lang w:val="en-GB"/>
        </w:rPr>
        <w:t>patient was immunosuppressed with a bi</w:t>
      </w:r>
      <w:r w:rsidR="00066A40" w:rsidRPr="00D46540">
        <w:rPr>
          <w:rFonts w:ascii="Calibri" w:hAnsi="Calibri" w:cs="Calibri"/>
          <w:lang w:val="en-GB"/>
        </w:rPr>
        <w:t>-</w:t>
      </w:r>
      <w:r w:rsidRPr="00D46540">
        <w:rPr>
          <w:rFonts w:ascii="Calibri" w:hAnsi="Calibri" w:cs="Calibri"/>
          <w:lang w:val="en-GB"/>
        </w:rPr>
        <w:t xml:space="preserve">therapy comprising everolimus and mycophenolate mofetil </w:t>
      </w:r>
      <w:r w:rsidR="00703DE1" w:rsidRPr="00D46540">
        <w:rPr>
          <w:rFonts w:ascii="Calibri" w:hAnsi="Calibri" w:cs="Calibri"/>
          <w:lang w:val="en-GB"/>
        </w:rPr>
        <w:t xml:space="preserve">(MMF) </w:t>
      </w:r>
      <w:r w:rsidRPr="00D46540">
        <w:rPr>
          <w:rFonts w:ascii="Calibri" w:hAnsi="Calibri" w:cs="Calibri"/>
          <w:lang w:val="en-GB"/>
        </w:rPr>
        <w:t xml:space="preserve">during CPI and discontinued pembrolizumab after 9 month because of </w:t>
      </w:r>
      <w:r w:rsidR="0012453C" w:rsidRPr="00D46540">
        <w:rPr>
          <w:rFonts w:ascii="Calibri" w:hAnsi="Calibri" w:cs="Calibri"/>
          <w:lang w:val="en-GB"/>
        </w:rPr>
        <w:t>the CR</w:t>
      </w:r>
      <w:r w:rsidRPr="00D46540">
        <w:rPr>
          <w:rFonts w:ascii="Calibri" w:hAnsi="Calibri" w:cs="Calibri"/>
          <w:lang w:val="en-GB"/>
        </w:rPr>
        <w:t xml:space="preserve">. </w:t>
      </w:r>
      <w:r w:rsidR="00703DE1" w:rsidRPr="00D46540">
        <w:rPr>
          <w:rFonts w:ascii="Calibri" w:hAnsi="Calibri" w:cs="Calibri"/>
          <w:lang w:val="en-GB"/>
        </w:rPr>
        <w:t>A</w:t>
      </w:r>
      <w:r w:rsidRPr="00D46540">
        <w:rPr>
          <w:rFonts w:ascii="Calibri" w:hAnsi="Calibri" w:cs="Calibri"/>
          <w:lang w:val="en-GB"/>
        </w:rPr>
        <w:t>t the time of the publication</w:t>
      </w:r>
      <w:r w:rsidR="00703DE1" w:rsidRPr="00D46540">
        <w:rPr>
          <w:rFonts w:ascii="Calibri" w:hAnsi="Calibri" w:cs="Calibri"/>
          <w:lang w:val="en-GB"/>
        </w:rPr>
        <w:t xml:space="preserve"> of the report (21 m</w:t>
      </w:r>
      <w:r w:rsidR="00C878CE" w:rsidRPr="00D46540">
        <w:rPr>
          <w:rFonts w:ascii="Calibri" w:hAnsi="Calibri" w:cs="Calibri"/>
          <w:lang w:val="en-GB"/>
        </w:rPr>
        <w:t>onths later) he was still in re</w:t>
      </w:r>
      <w:r w:rsidR="00703DE1" w:rsidRPr="00D46540">
        <w:rPr>
          <w:rFonts w:ascii="Calibri" w:hAnsi="Calibri" w:cs="Calibri"/>
          <w:lang w:val="en-GB"/>
        </w:rPr>
        <w:t>mission</w:t>
      </w:r>
      <w:r w:rsidRPr="00D46540">
        <w:rPr>
          <w:rFonts w:ascii="Calibri" w:hAnsi="Calibri" w:cs="Calibri"/>
          <w:lang w:val="en-GB"/>
        </w:rPr>
        <w:t xml:space="preserve"> </w:t>
      </w:r>
      <w:r w:rsidR="00454B87" w:rsidRPr="00D46540">
        <w:rPr>
          <w:rFonts w:ascii="Calibri" w:hAnsi="Calibri" w:cs="Calibri"/>
          <w:lang w:val="en-GB"/>
        </w:rPr>
        <w:t xml:space="preserve">without further adaptation of immunosuppression </w:t>
      </w:r>
      <w:r w:rsidR="003E1071"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{"citationItems":[{"id":"ITEM-1","itemData":{"DOI":"10.1200/JCO.2018.36.4_suppl.328","ISSN":"0732-183X","abstract":"328Background: Patients with a history of solid organ transplants have been excluded from PD-1/PD-L1 inhibitor clinical trials due to concern for graft rejection. Only 2 case reports of PD-1 inhibitor use in patients with liver transplantation (LT) have been reported thus far. Here, we report our experience with using checkpoint inhibitors in metastatic cancer patients with LT. Methods: A single center pilot evaluation was conducted to evaluate the safety and efficacy of PD-1/PD-L1 inhibitors in patients with LT. PD-L1 staining on both the tumor and allograft were assessed if there was available tissue. The primary endpoint was evaluation of the risk for allograft rejection. Secondary endpoints included RECIST v1.1 and Immune-Related Response criteria (iRC) response rates, progression free survival (PFS) and overall survival (OS). Translational objectives included the relationship of PD-L1/PD-1 staining of tumor/allograft with response and rejection. Results: Six metastatic cancer patients with a history of LT received PD-1 inhibitor therapy (hepatocellular n=5, melanoma n=1). 3 patients were on mTOR inhibitor as immunosuppressive regimen and 3 on calcineurin inhibitor. Overall, allograft rejection was observed in 1/6 patients (on mTOR inhibitor). One patient achieved a CR (melanoma), 3 patients had PD and 2 patients discontinued therapy prior to restaging assessments. A single response (by both RECIST v1.1 and iRC) and rejection were reported in patients who received mTOR inhibitors (1 of 3). Three patients were tested for PD-L1 staining in the allograft tissue and all of them were negative (0% staining) with no graft rejections observed. Four patients had tumor PD-L1 evaluated (2 patients tested positive with 1 patient obtained a CR). The median OS, PFS and duration of therapy were 1.2, 1.8 and 1.2 months respectively. Conclusions: In this pilot evaluation of PD-1/PD-L1 inhibitors in LT patients both preliminary efficacy (1 of 4) and allograft rejection (1 of 6) was exhibited. Larger, prospective trials are needed to elucidate optimal patient and immunosuppressive regimen selection in these patients.","author":[{"dropping-particle":"","family":"DeLeon","given":"Thomas","non-dropping-particle":"","parse-names":false,"suffix":""},{"dropping-particle":"","family":"Salomao","given":"Marcela","non-dropping-particle":"","parse-names":false,"suffix":""},{"dropping-particle":"","family":"Aqel","given":"Bashar A","non-dropping-particle":"","parse-names":false,"suffix":""},{"dropping-particle":"","family":"Sonbol","given":"Mohamad B","non-dropping-particle":"","parse-names":false,"suffix":""},{"dropping-particle":"","family":"Bryce","given":"Alan Haruo","non-dropping-particle":"","parse-names":false,"suffix":""},{"dropping-particle":"","family":"Borad","given":"Mitesh J","non-dropping-particle":"","parse-names":false,"suffix":""}],"container-title":"Journal of Clinical Oncology","id":"ITEM-1","issue":"4_suppl","issued":{"date-parts":[["2018","2"]]},"page":"328","publisher":"American Society of Clinical Oncology","title":"Pilot evaluation of PD-1 inhibition in metastatic cancer patients with liver transplantations (LT): The Mayo Clinic experience.","type":"article-journal","volume":"36"},"uris":["http://www.mendeley.com/documents/?uuid=9707d6e2-310a-4d99-b162-23c5298b3600"]}],"mendeley":{"formattedCitation":"[21]","plainTextFormattedCitation":"[21]","previouslyFormattedCitation":"[21]"},"properties":{"noteIndex":0},"schema":"https://github.com/citation-style-language/schema/raw/master/csl-citation.json"}</w:instrText>
      </w:r>
      <w:r w:rsidR="003E1071" w:rsidRPr="00D46540">
        <w:rPr>
          <w:rFonts w:ascii="Calibri" w:hAnsi="Calibri" w:cs="Calibri"/>
          <w:lang w:val="en-GB"/>
        </w:rPr>
        <w:fldChar w:fldCharType="separate"/>
      </w:r>
      <w:r w:rsidR="00525C77" w:rsidRPr="00D46540">
        <w:rPr>
          <w:rFonts w:ascii="Calibri" w:hAnsi="Calibri" w:cs="Calibri"/>
          <w:noProof/>
          <w:lang w:val="en-GB"/>
        </w:rPr>
        <w:t>[21]</w:t>
      </w:r>
      <w:r w:rsidR="003E1071" w:rsidRPr="00D46540">
        <w:rPr>
          <w:rFonts w:ascii="Calibri" w:hAnsi="Calibri" w:cs="Calibri"/>
          <w:lang w:val="en-GB"/>
        </w:rPr>
        <w:fldChar w:fldCharType="end"/>
      </w:r>
      <w:r w:rsidRPr="00D46540">
        <w:rPr>
          <w:rFonts w:ascii="Calibri" w:hAnsi="Calibri" w:cs="Calibri"/>
          <w:lang w:val="en-GB"/>
        </w:rPr>
        <w:t>.</w:t>
      </w:r>
      <w:r w:rsidR="006D2604" w:rsidRPr="00D46540">
        <w:rPr>
          <w:rFonts w:ascii="Calibri" w:hAnsi="Calibri" w:cs="Calibri"/>
          <w:lang w:val="en-GB"/>
        </w:rPr>
        <w:t xml:space="preserve"> </w:t>
      </w:r>
    </w:p>
    <w:p w14:paraId="35EB61E8" w14:textId="77777777" w:rsidR="00E70FA6" w:rsidRPr="00D46540" w:rsidRDefault="00E70FA6" w:rsidP="00B877C2">
      <w:pPr>
        <w:spacing w:line="360" w:lineRule="auto"/>
        <w:jc w:val="both"/>
        <w:rPr>
          <w:rFonts w:ascii="Calibri" w:hAnsi="Calibri" w:cs="Calibri"/>
          <w:lang w:val="en-GB"/>
        </w:rPr>
      </w:pPr>
    </w:p>
    <w:p w14:paraId="17D8FEE8" w14:textId="63EAF68B" w:rsidR="00794439" w:rsidRPr="00D46540" w:rsidRDefault="00794439" w:rsidP="00794439">
      <w:pPr>
        <w:spacing w:line="360" w:lineRule="auto"/>
        <w:jc w:val="both"/>
        <w:rPr>
          <w:rFonts w:ascii="Calibri" w:hAnsi="Calibri" w:cs="Calibri"/>
          <w:b/>
          <w:lang w:val="en-GB"/>
        </w:rPr>
      </w:pPr>
      <w:r w:rsidRPr="00D46540">
        <w:rPr>
          <w:rFonts w:ascii="Calibri" w:hAnsi="Calibri" w:cs="Calibri"/>
          <w:b/>
          <w:lang w:val="en-GB"/>
        </w:rPr>
        <w:t>Kidney transplant patients</w:t>
      </w:r>
    </w:p>
    <w:p w14:paraId="78E8AB43" w14:textId="5F0F0C5D" w:rsidR="00794439" w:rsidRPr="00D46540" w:rsidRDefault="000D4181" w:rsidP="00794439">
      <w:pPr>
        <w:spacing w:line="360" w:lineRule="auto"/>
        <w:jc w:val="both"/>
        <w:rPr>
          <w:rFonts w:ascii="Calibri" w:hAnsi="Calibri" w:cs="Calibri"/>
          <w:lang w:val="en-GB"/>
        </w:rPr>
      </w:pPr>
      <w:r w:rsidRPr="00D46540">
        <w:rPr>
          <w:rFonts w:ascii="Calibri" w:hAnsi="Calibri" w:cs="Calibri"/>
          <w:lang w:val="en-GB"/>
        </w:rPr>
        <w:t xml:space="preserve">Among the </w:t>
      </w:r>
      <w:r w:rsidR="00836533" w:rsidRPr="00D46540">
        <w:rPr>
          <w:rFonts w:ascii="Calibri" w:hAnsi="Calibri" w:cs="Calibri"/>
          <w:lang w:val="en-GB"/>
        </w:rPr>
        <w:t>29</w:t>
      </w:r>
      <w:r w:rsidR="00794439" w:rsidRPr="00D46540">
        <w:rPr>
          <w:rFonts w:ascii="Calibri" w:hAnsi="Calibri" w:cs="Calibri"/>
          <w:lang w:val="en-GB"/>
        </w:rPr>
        <w:t xml:space="preserve"> k</w:t>
      </w:r>
      <w:r w:rsidR="00515556" w:rsidRPr="00D46540">
        <w:rPr>
          <w:rFonts w:ascii="Calibri" w:hAnsi="Calibri" w:cs="Calibri"/>
          <w:lang w:val="en-GB"/>
        </w:rPr>
        <w:t xml:space="preserve">idney-transplant recipients </w:t>
      </w:r>
      <w:r w:rsidR="00F869C7" w:rsidRPr="00D46540">
        <w:rPr>
          <w:rFonts w:ascii="Calibri" w:hAnsi="Calibri" w:cs="Calibri"/>
          <w:lang w:val="en-GB"/>
        </w:rPr>
        <w:t>2</w:t>
      </w:r>
      <w:r w:rsidR="00836533" w:rsidRPr="00D46540">
        <w:rPr>
          <w:rFonts w:ascii="Calibri" w:hAnsi="Calibri" w:cs="Calibri"/>
          <w:lang w:val="en-GB"/>
        </w:rPr>
        <w:t>2</w:t>
      </w:r>
      <w:r w:rsidR="00C24958" w:rsidRPr="00D46540">
        <w:rPr>
          <w:rFonts w:ascii="Calibri" w:hAnsi="Calibri" w:cs="Calibri"/>
          <w:lang w:val="en-GB"/>
        </w:rPr>
        <w:t xml:space="preserve"> </w:t>
      </w:r>
      <w:r w:rsidR="00BD716A" w:rsidRPr="00D46540">
        <w:rPr>
          <w:rFonts w:ascii="Calibri" w:hAnsi="Calibri" w:cs="Calibri"/>
          <w:lang w:val="en-GB"/>
        </w:rPr>
        <w:t xml:space="preserve">developed </w:t>
      </w:r>
      <w:r w:rsidR="00794439" w:rsidRPr="00D46540">
        <w:rPr>
          <w:rFonts w:ascii="Calibri" w:hAnsi="Calibri" w:cs="Calibri"/>
          <w:lang w:val="en-GB"/>
        </w:rPr>
        <w:t>melanoma</w:t>
      </w:r>
      <w:r w:rsidR="00836533" w:rsidRPr="00D46540">
        <w:rPr>
          <w:rFonts w:ascii="Calibri" w:hAnsi="Calibri" w:cs="Calibri"/>
          <w:lang w:val="en-GB"/>
        </w:rPr>
        <w:t xml:space="preserve"> (20 cutaneous and 2 uveal)</w:t>
      </w:r>
      <w:r w:rsidR="00BC5A41" w:rsidRPr="00D46540">
        <w:rPr>
          <w:rFonts w:ascii="Calibri" w:hAnsi="Calibri" w:cs="Calibri"/>
          <w:lang w:val="en-GB"/>
        </w:rPr>
        <w:t>,</w:t>
      </w:r>
      <w:r w:rsidR="00794439" w:rsidRPr="00D46540">
        <w:rPr>
          <w:rFonts w:ascii="Calibri" w:hAnsi="Calibri" w:cs="Calibri"/>
          <w:lang w:val="en-GB"/>
        </w:rPr>
        <w:t xml:space="preserve"> </w:t>
      </w:r>
      <w:r w:rsidR="00454B87" w:rsidRPr="00D46540">
        <w:rPr>
          <w:rFonts w:ascii="Calibri" w:hAnsi="Calibri" w:cs="Calibri"/>
          <w:lang w:val="en-GB"/>
        </w:rPr>
        <w:t xml:space="preserve">2 </w:t>
      </w:r>
      <w:r w:rsidR="00794439" w:rsidRPr="00D46540">
        <w:rPr>
          <w:rFonts w:ascii="Calibri" w:hAnsi="Calibri" w:cs="Calibri"/>
          <w:lang w:val="en-GB"/>
        </w:rPr>
        <w:t xml:space="preserve">NSCLC, </w:t>
      </w:r>
      <w:r w:rsidR="00454B87" w:rsidRPr="00D46540">
        <w:rPr>
          <w:rFonts w:ascii="Calibri" w:hAnsi="Calibri" w:cs="Calibri"/>
          <w:lang w:val="en-GB"/>
        </w:rPr>
        <w:t xml:space="preserve">3 </w:t>
      </w:r>
      <w:r w:rsidR="00794439" w:rsidRPr="00D46540">
        <w:rPr>
          <w:rFonts w:ascii="Calibri" w:hAnsi="Calibri" w:cs="Calibri"/>
          <w:lang w:val="en-GB"/>
        </w:rPr>
        <w:t>cutaneous squamous cell carcinoma (cSCC)</w:t>
      </w:r>
      <w:r w:rsidR="008F2FEF" w:rsidRPr="00D46540">
        <w:rPr>
          <w:rFonts w:ascii="Calibri" w:hAnsi="Calibri" w:cs="Calibri"/>
          <w:lang w:val="en-GB"/>
        </w:rPr>
        <w:t>,</w:t>
      </w:r>
      <w:r w:rsidR="00794439" w:rsidRPr="00D46540">
        <w:rPr>
          <w:rFonts w:ascii="Calibri" w:hAnsi="Calibri" w:cs="Calibri"/>
          <w:lang w:val="en-GB"/>
        </w:rPr>
        <w:t xml:space="preserve"> one </w:t>
      </w:r>
      <w:r w:rsidR="007401D4" w:rsidRPr="00D46540">
        <w:rPr>
          <w:rFonts w:ascii="Calibri" w:hAnsi="Calibri" w:cs="Calibri"/>
          <w:lang w:val="en-GB"/>
        </w:rPr>
        <w:t xml:space="preserve">patient had an </w:t>
      </w:r>
      <w:r w:rsidR="00794439" w:rsidRPr="00D46540">
        <w:rPr>
          <w:rFonts w:ascii="Calibri" w:hAnsi="Calibri" w:cs="Calibri"/>
          <w:lang w:val="en-GB"/>
        </w:rPr>
        <w:t>adenocarci</w:t>
      </w:r>
      <w:r w:rsidR="00845D8D" w:rsidRPr="00D46540">
        <w:rPr>
          <w:rFonts w:ascii="Calibri" w:hAnsi="Calibri" w:cs="Calibri"/>
          <w:lang w:val="en-GB"/>
        </w:rPr>
        <w:t xml:space="preserve">noma of the duodenum (ADCD) </w:t>
      </w:r>
      <w:r w:rsidR="008F2FEF" w:rsidRPr="00D46540">
        <w:rPr>
          <w:rFonts w:ascii="Calibri" w:hAnsi="Calibri" w:cs="Calibri"/>
        </w:rPr>
        <w:t>and one</w:t>
      </w:r>
      <w:r w:rsidR="007401D4" w:rsidRPr="00D46540">
        <w:rPr>
          <w:rFonts w:ascii="Calibri" w:hAnsi="Calibri" w:cs="Calibri"/>
        </w:rPr>
        <w:t xml:space="preserve"> patient had</w:t>
      </w:r>
      <w:r w:rsidR="008F2FEF" w:rsidRPr="00D46540">
        <w:rPr>
          <w:rFonts w:ascii="Calibri" w:hAnsi="Calibri" w:cs="Calibri"/>
        </w:rPr>
        <w:t xml:space="preserve"> urothelial carcinoma (UR)</w:t>
      </w:r>
      <w:r w:rsidR="00530B9A" w:rsidRPr="00D46540">
        <w:rPr>
          <w:rFonts w:ascii="Calibri" w:hAnsi="Calibri" w:cs="Calibri"/>
        </w:rPr>
        <w:t xml:space="preserve"> </w:t>
      </w:r>
      <w:r w:rsidR="006A6053" w:rsidRPr="00D46540">
        <w:rPr>
          <w:rFonts w:ascii="Calibri" w:hAnsi="Calibri" w:cs="Calibri"/>
        </w:rPr>
        <w:t>(</w:t>
      </w:r>
      <w:r w:rsidR="006A6053" w:rsidRPr="00D46540">
        <w:rPr>
          <w:rFonts w:ascii="Calibri" w:hAnsi="Calibri" w:cs="Calibri"/>
          <w:color w:val="FF0000"/>
        </w:rPr>
        <w:t>Table 1</w:t>
      </w:r>
      <w:r w:rsidR="006A6053" w:rsidRPr="00D46540">
        <w:rPr>
          <w:rFonts w:ascii="Calibri" w:hAnsi="Calibri" w:cs="Calibri"/>
        </w:rPr>
        <w:t>)</w:t>
      </w:r>
      <w:r w:rsidR="00845D8D" w:rsidRPr="00D46540">
        <w:rPr>
          <w:rFonts w:ascii="Calibri" w:hAnsi="Calibri" w:cs="Calibri"/>
        </w:rPr>
        <w:t xml:space="preserve">. </w:t>
      </w:r>
      <w:r w:rsidR="00454B87" w:rsidRPr="00D46540">
        <w:rPr>
          <w:rFonts w:ascii="Calibri" w:hAnsi="Calibri" w:cs="Calibri"/>
          <w:lang w:val="en-GB"/>
        </w:rPr>
        <w:t xml:space="preserve">For </w:t>
      </w:r>
      <w:r w:rsidR="00836533" w:rsidRPr="00D46540">
        <w:rPr>
          <w:rFonts w:ascii="Calibri" w:hAnsi="Calibri" w:cs="Calibri"/>
          <w:lang w:val="en-GB"/>
        </w:rPr>
        <w:t xml:space="preserve">cutaneous </w:t>
      </w:r>
      <w:r w:rsidR="00454B87" w:rsidRPr="00D46540">
        <w:rPr>
          <w:rFonts w:ascii="Calibri" w:hAnsi="Calibri" w:cs="Calibri"/>
          <w:lang w:val="en-GB"/>
        </w:rPr>
        <w:t>melanoma patients d</w:t>
      </w:r>
      <w:r w:rsidR="00794439" w:rsidRPr="00D46540">
        <w:rPr>
          <w:rFonts w:ascii="Calibri" w:hAnsi="Calibri" w:cs="Calibri"/>
          <w:lang w:val="en-GB"/>
        </w:rPr>
        <w:t xml:space="preserve">isease control rate </w:t>
      </w:r>
      <w:r w:rsidR="00836533" w:rsidRPr="00D46540">
        <w:rPr>
          <w:rFonts w:ascii="Calibri" w:hAnsi="Calibri" w:cs="Calibri"/>
          <w:lang w:val="en-GB"/>
        </w:rPr>
        <w:t xml:space="preserve">(including PR, CR and SD) </w:t>
      </w:r>
      <w:r w:rsidR="00454B87" w:rsidRPr="00D46540">
        <w:rPr>
          <w:rFonts w:ascii="Calibri" w:hAnsi="Calibri" w:cs="Calibri"/>
          <w:lang w:val="en-GB"/>
        </w:rPr>
        <w:t>with anti-PD1</w:t>
      </w:r>
      <w:r w:rsidR="00836533" w:rsidRPr="00D46540">
        <w:rPr>
          <w:rFonts w:ascii="Calibri" w:hAnsi="Calibri" w:cs="Calibri"/>
          <w:lang w:val="en-GB"/>
        </w:rPr>
        <w:t xml:space="preserve"> monotherapy</w:t>
      </w:r>
      <w:r w:rsidR="006D2604" w:rsidRPr="00D46540">
        <w:rPr>
          <w:rFonts w:ascii="Calibri" w:hAnsi="Calibri" w:cs="Calibri"/>
          <w:lang w:val="en-GB"/>
        </w:rPr>
        <w:t xml:space="preserve"> </w:t>
      </w:r>
      <w:r w:rsidR="00515556" w:rsidRPr="00D46540">
        <w:rPr>
          <w:rFonts w:ascii="Calibri" w:hAnsi="Calibri" w:cs="Calibri"/>
          <w:lang w:val="en-GB"/>
        </w:rPr>
        <w:t xml:space="preserve">was </w:t>
      </w:r>
      <w:r w:rsidR="00FB06A3" w:rsidRPr="00D46540">
        <w:rPr>
          <w:rFonts w:ascii="Calibri" w:hAnsi="Calibri" w:cs="Calibri"/>
          <w:lang w:val="en-GB"/>
        </w:rPr>
        <w:t>3</w:t>
      </w:r>
      <w:r w:rsidR="00836533" w:rsidRPr="00D46540">
        <w:rPr>
          <w:rFonts w:ascii="Calibri" w:hAnsi="Calibri" w:cs="Calibri"/>
          <w:lang w:val="en-GB"/>
        </w:rPr>
        <w:t>7</w:t>
      </w:r>
      <w:r w:rsidR="001C0C3D" w:rsidRPr="00D46540">
        <w:rPr>
          <w:rFonts w:ascii="Calibri" w:hAnsi="Calibri" w:cs="Calibri"/>
          <w:lang w:val="en-GB"/>
        </w:rPr>
        <w:t>%</w:t>
      </w:r>
      <w:r w:rsidR="00836533" w:rsidRPr="00D46540">
        <w:rPr>
          <w:rFonts w:ascii="Calibri" w:hAnsi="Calibri" w:cs="Calibri"/>
          <w:lang w:val="en-GB"/>
        </w:rPr>
        <w:t xml:space="preserve">, </w:t>
      </w:r>
      <w:r w:rsidR="00454B87" w:rsidRPr="00D46540">
        <w:rPr>
          <w:rFonts w:ascii="Calibri" w:hAnsi="Calibri" w:cs="Calibri"/>
          <w:lang w:val="en-GB"/>
        </w:rPr>
        <w:t xml:space="preserve">with anti-CTLA4 </w:t>
      </w:r>
      <w:r w:rsidR="00836533" w:rsidRPr="00D46540">
        <w:rPr>
          <w:rFonts w:ascii="Calibri" w:hAnsi="Calibri" w:cs="Calibri"/>
          <w:lang w:val="en-GB"/>
        </w:rPr>
        <w:t>monotherapy 57</w:t>
      </w:r>
      <w:r w:rsidR="00FB06A3" w:rsidRPr="00D46540">
        <w:rPr>
          <w:rFonts w:ascii="Calibri" w:hAnsi="Calibri" w:cs="Calibri"/>
          <w:lang w:val="en-GB"/>
        </w:rPr>
        <w:t>%</w:t>
      </w:r>
      <w:r w:rsidR="00836533" w:rsidRPr="00D46540">
        <w:rPr>
          <w:rFonts w:ascii="Calibri" w:hAnsi="Calibri" w:cs="Calibri"/>
          <w:lang w:val="en-GB"/>
        </w:rPr>
        <w:t xml:space="preserve"> and </w:t>
      </w:r>
      <w:r w:rsidR="009C4878" w:rsidRPr="00D46540">
        <w:rPr>
          <w:rFonts w:ascii="Calibri" w:hAnsi="Calibri" w:cs="Calibri"/>
          <w:lang w:val="en-GB"/>
        </w:rPr>
        <w:t xml:space="preserve">was </w:t>
      </w:r>
      <w:r w:rsidR="00836533" w:rsidRPr="00D46540">
        <w:rPr>
          <w:rFonts w:ascii="Calibri" w:hAnsi="Calibri" w:cs="Calibri"/>
          <w:lang w:val="en-GB"/>
        </w:rPr>
        <w:t>surpringly low (20%) with the combination treatment</w:t>
      </w:r>
      <w:r w:rsidR="008F2FEF" w:rsidRPr="00D46540">
        <w:rPr>
          <w:rFonts w:ascii="Calibri" w:hAnsi="Calibri" w:cs="Calibri"/>
          <w:lang w:val="en-GB"/>
        </w:rPr>
        <w:t>.</w:t>
      </w:r>
      <w:r w:rsidR="006D2604" w:rsidRPr="00D46540">
        <w:rPr>
          <w:rFonts w:ascii="Calibri" w:hAnsi="Calibri" w:cs="Calibri"/>
          <w:lang w:val="en-GB"/>
        </w:rPr>
        <w:t xml:space="preserve"> </w:t>
      </w:r>
      <w:r w:rsidR="00755022" w:rsidRPr="00D46540">
        <w:rPr>
          <w:rFonts w:ascii="Calibri" w:hAnsi="Calibri" w:cs="Calibri"/>
          <w:lang w:val="en-GB"/>
        </w:rPr>
        <w:t xml:space="preserve">No patient had a </w:t>
      </w:r>
      <w:r w:rsidR="009C4878" w:rsidRPr="00D46540">
        <w:rPr>
          <w:rFonts w:ascii="Calibri" w:hAnsi="Calibri" w:cs="Calibri"/>
          <w:lang w:val="en-GB"/>
        </w:rPr>
        <w:t>CR</w:t>
      </w:r>
      <w:r w:rsidR="00755022" w:rsidRPr="00D46540">
        <w:rPr>
          <w:rFonts w:ascii="Calibri" w:hAnsi="Calibri" w:cs="Calibri"/>
          <w:lang w:val="en-GB"/>
        </w:rPr>
        <w:t>,</w:t>
      </w:r>
      <w:r w:rsidR="00FB06A3" w:rsidRPr="00D46540">
        <w:rPr>
          <w:rFonts w:ascii="Calibri" w:hAnsi="Calibri" w:cs="Calibri"/>
          <w:lang w:val="en-GB"/>
        </w:rPr>
        <w:t xml:space="preserve"> 7</w:t>
      </w:r>
      <w:r w:rsidR="00C24958" w:rsidRPr="00D46540">
        <w:rPr>
          <w:rFonts w:ascii="Calibri" w:hAnsi="Calibri" w:cs="Calibri"/>
          <w:lang w:val="en-GB"/>
        </w:rPr>
        <w:t xml:space="preserve"> </w:t>
      </w:r>
      <w:r w:rsidR="001F5021" w:rsidRPr="00D46540">
        <w:rPr>
          <w:rFonts w:ascii="Calibri" w:hAnsi="Calibri" w:cs="Calibri"/>
          <w:lang w:val="en-GB"/>
        </w:rPr>
        <w:t>had</w:t>
      </w:r>
      <w:r w:rsidR="00C84A54" w:rsidRPr="00D46540">
        <w:rPr>
          <w:rFonts w:ascii="Calibri" w:hAnsi="Calibri" w:cs="Calibri"/>
          <w:lang w:val="en-GB"/>
        </w:rPr>
        <w:t xml:space="preserve"> a PR, </w:t>
      </w:r>
      <w:r w:rsidR="00FB06A3" w:rsidRPr="00D46540">
        <w:rPr>
          <w:rFonts w:ascii="Calibri" w:hAnsi="Calibri" w:cs="Calibri"/>
          <w:lang w:val="en-GB"/>
        </w:rPr>
        <w:t>1</w:t>
      </w:r>
      <w:r w:rsidR="00C24958" w:rsidRPr="00D46540">
        <w:rPr>
          <w:rFonts w:ascii="Calibri" w:hAnsi="Calibri" w:cs="Calibri"/>
          <w:lang w:val="en-GB"/>
        </w:rPr>
        <w:t xml:space="preserve"> </w:t>
      </w:r>
      <w:r w:rsidR="00C84A54" w:rsidRPr="00D46540">
        <w:rPr>
          <w:rFonts w:ascii="Calibri" w:hAnsi="Calibri" w:cs="Calibri"/>
          <w:lang w:val="en-GB"/>
        </w:rPr>
        <w:t>experienced</w:t>
      </w:r>
      <w:r w:rsidR="001F5021" w:rsidRPr="00D46540">
        <w:rPr>
          <w:rFonts w:ascii="Calibri" w:hAnsi="Calibri" w:cs="Calibri"/>
          <w:lang w:val="en-GB"/>
        </w:rPr>
        <w:t xml:space="preserve"> SD, </w:t>
      </w:r>
      <w:r w:rsidR="00FB06A3" w:rsidRPr="00D46540">
        <w:rPr>
          <w:rFonts w:ascii="Calibri" w:hAnsi="Calibri" w:cs="Calibri"/>
          <w:lang w:val="en-GB"/>
        </w:rPr>
        <w:t>1</w:t>
      </w:r>
      <w:r w:rsidR="00836533" w:rsidRPr="00D46540">
        <w:rPr>
          <w:rFonts w:ascii="Calibri" w:hAnsi="Calibri" w:cs="Calibri"/>
          <w:lang w:val="en-GB"/>
        </w:rPr>
        <w:t>1</w:t>
      </w:r>
      <w:r w:rsidR="00C24958" w:rsidRPr="00D46540">
        <w:rPr>
          <w:rFonts w:ascii="Calibri" w:hAnsi="Calibri" w:cs="Calibri"/>
          <w:lang w:val="en-GB"/>
        </w:rPr>
        <w:t xml:space="preserve"> </w:t>
      </w:r>
      <w:r w:rsidR="00794439" w:rsidRPr="00D46540">
        <w:rPr>
          <w:rFonts w:ascii="Calibri" w:hAnsi="Calibri" w:cs="Calibri"/>
          <w:lang w:val="en-GB"/>
        </w:rPr>
        <w:t xml:space="preserve">had </w:t>
      </w:r>
      <w:r w:rsidR="009C4878" w:rsidRPr="00D46540">
        <w:rPr>
          <w:rFonts w:ascii="Calibri" w:hAnsi="Calibri" w:cs="Calibri"/>
          <w:lang w:val="en-GB"/>
        </w:rPr>
        <w:t>PD</w:t>
      </w:r>
      <w:r w:rsidR="00530B9A" w:rsidRPr="00D46540">
        <w:rPr>
          <w:rFonts w:ascii="Calibri" w:hAnsi="Calibri" w:cs="Calibri"/>
          <w:lang w:val="en-GB"/>
        </w:rPr>
        <w:t xml:space="preserve">, </w:t>
      </w:r>
      <w:r w:rsidR="00794439" w:rsidRPr="00D46540">
        <w:rPr>
          <w:rFonts w:ascii="Calibri" w:hAnsi="Calibri" w:cs="Calibri"/>
          <w:lang w:val="en-GB"/>
        </w:rPr>
        <w:t xml:space="preserve">and </w:t>
      </w:r>
      <w:r w:rsidR="00FB06A3" w:rsidRPr="00D46540">
        <w:rPr>
          <w:rFonts w:ascii="Calibri" w:hAnsi="Calibri" w:cs="Calibri"/>
          <w:lang w:val="en-GB"/>
        </w:rPr>
        <w:t>1</w:t>
      </w:r>
      <w:r w:rsidR="00C24958" w:rsidRPr="00D46540">
        <w:rPr>
          <w:rFonts w:ascii="Calibri" w:hAnsi="Calibri" w:cs="Calibri"/>
          <w:lang w:val="en-GB"/>
        </w:rPr>
        <w:t xml:space="preserve"> </w:t>
      </w:r>
      <w:r w:rsidR="00794439" w:rsidRPr="00D46540">
        <w:rPr>
          <w:rFonts w:ascii="Calibri" w:hAnsi="Calibri" w:cs="Calibri"/>
          <w:lang w:val="en-GB"/>
        </w:rPr>
        <w:t>had unknown outcome</w:t>
      </w:r>
      <w:r w:rsidR="00FB06A3" w:rsidRPr="00D46540">
        <w:rPr>
          <w:rFonts w:ascii="Calibri" w:hAnsi="Calibri" w:cs="Calibri"/>
          <w:lang w:val="en-GB"/>
        </w:rPr>
        <w:t xml:space="preserve"> (</w:t>
      </w:r>
      <w:r w:rsidR="00FB06A3" w:rsidRPr="00D46540">
        <w:rPr>
          <w:rFonts w:ascii="Calibri" w:hAnsi="Calibri" w:cs="Calibri"/>
          <w:color w:val="FF0000"/>
          <w:lang w:val="en-GB"/>
        </w:rPr>
        <w:t>Table 3A</w:t>
      </w:r>
      <w:r w:rsidR="00FB06A3" w:rsidRPr="00D46540">
        <w:rPr>
          <w:rFonts w:ascii="Calibri" w:hAnsi="Calibri" w:cs="Calibri"/>
          <w:lang w:val="en-GB"/>
        </w:rPr>
        <w:t>)</w:t>
      </w:r>
      <w:r w:rsidR="00794439" w:rsidRPr="00D46540">
        <w:rPr>
          <w:rFonts w:ascii="Calibri" w:hAnsi="Calibri" w:cs="Calibri"/>
          <w:lang w:val="en-GB"/>
        </w:rPr>
        <w:t>.</w:t>
      </w:r>
      <w:r w:rsidR="006D2604" w:rsidRPr="00D46540">
        <w:rPr>
          <w:rFonts w:ascii="Calibri" w:hAnsi="Calibri" w:cs="Calibri"/>
          <w:lang w:val="en-GB"/>
        </w:rPr>
        <w:t xml:space="preserve"> </w:t>
      </w:r>
      <w:r w:rsidR="00454B87" w:rsidRPr="00D46540">
        <w:rPr>
          <w:rFonts w:ascii="Calibri" w:hAnsi="Calibri" w:cs="Calibri"/>
          <w:lang w:val="en-GB"/>
        </w:rPr>
        <w:t>Disease control rate in cSCC was 100%</w:t>
      </w:r>
      <w:r w:rsidR="00FB06A3" w:rsidRPr="00D46540">
        <w:rPr>
          <w:rFonts w:ascii="Calibri" w:hAnsi="Calibri" w:cs="Calibri"/>
          <w:lang w:val="en-GB"/>
        </w:rPr>
        <w:t xml:space="preserve"> and the urothelial carcinoma</w:t>
      </w:r>
      <w:r w:rsidR="005618B5" w:rsidRPr="00D46540">
        <w:rPr>
          <w:rFonts w:ascii="Calibri" w:hAnsi="Calibri" w:cs="Calibri"/>
          <w:lang w:val="en-GB"/>
        </w:rPr>
        <w:t xml:space="preserve"> patient had a PR (</w:t>
      </w:r>
      <w:r w:rsidR="005618B5" w:rsidRPr="00D46540">
        <w:rPr>
          <w:rFonts w:ascii="Calibri" w:hAnsi="Calibri" w:cs="Calibri"/>
          <w:color w:val="FF0000"/>
          <w:lang w:val="en-GB"/>
        </w:rPr>
        <w:t>Table 3</w:t>
      </w:r>
      <w:r w:rsidR="00FB06A3" w:rsidRPr="00D46540">
        <w:rPr>
          <w:rFonts w:ascii="Calibri" w:hAnsi="Calibri" w:cs="Calibri"/>
          <w:color w:val="FF0000"/>
          <w:lang w:val="en-GB"/>
        </w:rPr>
        <w:t>B</w:t>
      </w:r>
      <w:r w:rsidR="005618B5" w:rsidRPr="00D46540">
        <w:rPr>
          <w:rFonts w:ascii="Calibri" w:hAnsi="Calibri" w:cs="Calibri"/>
          <w:lang w:val="en-GB"/>
        </w:rPr>
        <w:t xml:space="preserve">). </w:t>
      </w:r>
    </w:p>
    <w:p w14:paraId="10FF238D" w14:textId="7AAA0FE8" w:rsidR="00794439" w:rsidRPr="00D46540" w:rsidRDefault="00DF401F" w:rsidP="00794439">
      <w:pPr>
        <w:spacing w:line="360" w:lineRule="auto"/>
        <w:jc w:val="both"/>
        <w:rPr>
          <w:rFonts w:ascii="Calibri" w:hAnsi="Calibri" w:cs="Calibri"/>
          <w:lang w:val="en-GB"/>
        </w:rPr>
      </w:pPr>
      <w:r w:rsidRPr="00D46540">
        <w:rPr>
          <w:rFonts w:ascii="Calibri" w:hAnsi="Calibri" w:cs="Calibri"/>
          <w:lang w:val="en-GB"/>
        </w:rPr>
        <w:t>Thirteen</w:t>
      </w:r>
      <w:r w:rsidR="00794439" w:rsidRPr="00D46540">
        <w:rPr>
          <w:rFonts w:ascii="Calibri" w:hAnsi="Calibri" w:cs="Calibri"/>
          <w:lang w:val="en-GB"/>
        </w:rPr>
        <w:t xml:space="preserve"> </w:t>
      </w:r>
      <w:r w:rsidR="00755022" w:rsidRPr="00D46540">
        <w:rPr>
          <w:rFonts w:ascii="Calibri" w:hAnsi="Calibri" w:cs="Calibri"/>
          <w:lang w:val="en-GB"/>
        </w:rPr>
        <w:t>out of</w:t>
      </w:r>
      <w:r w:rsidR="00D705D9" w:rsidRPr="00D46540">
        <w:rPr>
          <w:rFonts w:ascii="Calibri" w:hAnsi="Calibri" w:cs="Calibri"/>
          <w:lang w:val="en-GB"/>
        </w:rPr>
        <w:t xml:space="preserve"> </w:t>
      </w:r>
      <w:r w:rsidR="00C755ED">
        <w:rPr>
          <w:rFonts w:ascii="Calibri" w:hAnsi="Calibri" w:cs="Calibri"/>
          <w:lang w:val="en-GB"/>
        </w:rPr>
        <w:t>29</w:t>
      </w:r>
      <w:r w:rsidR="00C24958" w:rsidRPr="00D46540">
        <w:rPr>
          <w:rFonts w:ascii="Calibri" w:hAnsi="Calibri" w:cs="Calibri"/>
          <w:lang w:val="en-GB"/>
        </w:rPr>
        <w:t xml:space="preserve"> </w:t>
      </w:r>
      <w:r w:rsidR="00D705D9" w:rsidRPr="00D46540">
        <w:rPr>
          <w:rFonts w:ascii="Calibri" w:hAnsi="Calibri" w:cs="Calibri"/>
          <w:lang w:val="en-GB"/>
        </w:rPr>
        <w:t xml:space="preserve">kidney transplant recipients </w:t>
      </w:r>
      <w:r w:rsidRPr="00D46540">
        <w:rPr>
          <w:rFonts w:ascii="Calibri" w:hAnsi="Calibri" w:cs="Calibri"/>
          <w:lang w:val="en-GB"/>
        </w:rPr>
        <w:t>(</w:t>
      </w:r>
      <w:r w:rsidR="00C755ED">
        <w:rPr>
          <w:rFonts w:ascii="Calibri" w:hAnsi="Calibri" w:cs="Calibri"/>
          <w:lang w:val="en-GB"/>
        </w:rPr>
        <w:t>45</w:t>
      </w:r>
      <w:r w:rsidR="00D705D9" w:rsidRPr="00D46540">
        <w:rPr>
          <w:rFonts w:ascii="Calibri" w:hAnsi="Calibri" w:cs="Calibri"/>
          <w:lang w:val="en-GB"/>
        </w:rPr>
        <w:t>%</w:t>
      </w:r>
      <w:r w:rsidR="00794439" w:rsidRPr="00D46540">
        <w:rPr>
          <w:rFonts w:ascii="Calibri" w:hAnsi="Calibri" w:cs="Calibri"/>
          <w:lang w:val="en-GB"/>
        </w:rPr>
        <w:t xml:space="preserve">) </w:t>
      </w:r>
      <w:r w:rsidR="00042471" w:rsidRPr="00D46540">
        <w:rPr>
          <w:rFonts w:ascii="Calibri" w:hAnsi="Calibri" w:cs="Calibri"/>
          <w:lang w:val="en-GB"/>
        </w:rPr>
        <w:t xml:space="preserve">experienced </w:t>
      </w:r>
      <w:r w:rsidR="00794439" w:rsidRPr="00D46540">
        <w:rPr>
          <w:rFonts w:ascii="Calibri" w:hAnsi="Calibri" w:cs="Calibri"/>
          <w:lang w:val="en-GB"/>
        </w:rPr>
        <w:t>rejection.</w:t>
      </w:r>
      <w:r w:rsidR="006D2604" w:rsidRPr="00D46540">
        <w:rPr>
          <w:rFonts w:ascii="Calibri" w:hAnsi="Calibri" w:cs="Calibri"/>
          <w:lang w:val="en-GB"/>
        </w:rPr>
        <w:t xml:space="preserve"> </w:t>
      </w:r>
      <w:r w:rsidRPr="00D46540">
        <w:rPr>
          <w:rFonts w:ascii="Calibri" w:hAnsi="Calibri" w:cs="Calibri"/>
          <w:lang w:val="en-GB"/>
        </w:rPr>
        <w:t>Six</w:t>
      </w:r>
      <w:r w:rsidR="00794439" w:rsidRPr="00D46540">
        <w:rPr>
          <w:rFonts w:ascii="Calibri" w:hAnsi="Calibri" w:cs="Calibri"/>
          <w:lang w:val="en-GB"/>
        </w:rPr>
        <w:t xml:space="preserve"> of them had </w:t>
      </w:r>
      <w:r w:rsidRPr="00D46540">
        <w:rPr>
          <w:rFonts w:ascii="Calibri" w:hAnsi="Calibri" w:cs="Calibri"/>
          <w:lang w:val="en-GB"/>
        </w:rPr>
        <w:t xml:space="preserve">cutaneous </w:t>
      </w:r>
      <w:r w:rsidR="00794439" w:rsidRPr="00D46540">
        <w:rPr>
          <w:rFonts w:ascii="Calibri" w:hAnsi="Calibri" w:cs="Calibri"/>
          <w:lang w:val="en-GB"/>
        </w:rPr>
        <w:t>melanoma</w:t>
      </w:r>
      <w:r w:rsidR="00530B9A" w:rsidRPr="00D46540">
        <w:rPr>
          <w:rFonts w:ascii="Calibri" w:hAnsi="Calibri" w:cs="Calibri"/>
          <w:lang w:val="en-GB"/>
        </w:rPr>
        <w:t xml:space="preserve"> (one had anti-CTLA4, </w:t>
      </w:r>
      <w:r w:rsidR="00C24958" w:rsidRPr="00D46540">
        <w:rPr>
          <w:rFonts w:ascii="Calibri" w:hAnsi="Calibri" w:cs="Calibri"/>
          <w:lang w:val="en-GB"/>
        </w:rPr>
        <w:t xml:space="preserve">2 </w:t>
      </w:r>
      <w:r w:rsidR="00530B9A" w:rsidRPr="00D46540">
        <w:rPr>
          <w:rFonts w:ascii="Calibri" w:hAnsi="Calibri" w:cs="Calibri"/>
          <w:lang w:val="en-GB"/>
        </w:rPr>
        <w:t>had a combination of anti-CTLA4 with anti-PD1</w:t>
      </w:r>
      <w:r w:rsidRPr="00D46540">
        <w:rPr>
          <w:rFonts w:ascii="Calibri" w:hAnsi="Calibri" w:cs="Calibri"/>
          <w:lang w:val="en-GB"/>
        </w:rPr>
        <w:t xml:space="preserve"> and 4</w:t>
      </w:r>
      <w:r w:rsidR="00530B9A" w:rsidRPr="00D46540">
        <w:rPr>
          <w:rFonts w:ascii="Calibri" w:hAnsi="Calibri" w:cs="Calibri"/>
          <w:lang w:val="en-GB"/>
        </w:rPr>
        <w:t xml:space="preserve"> had anti-PD1)</w:t>
      </w:r>
      <w:r w:rsidR="00794439" w:rsidRPr="00D46540">
        <w:rPr>
          <w:rFonts w:ascii="Calibri" w:hAnsi="Calibri" w:cs="Calibri"/>
          <w:lang w:val="en-GB"/>
        </w:rPr>
        <w:t xml:space="preserve">, </w:t>
      </w:r>
      <w:r w:rsidRPr="00D46540">
        <w:rPr>
          <w:rFonts w:ascii="Calibri" w:hAnsi="Calibri" w:cs="Calibri"/>
          <w:lang w:val="en-GB"/>
        </w:rPr>
        <w:t>two</w:t>
      </w:r>
      <w:r w:rsidR="00794439" w:rsidRPr="00D46540">
        <w:rPr>
          <w:rFonts w:ascii="Calibri" w:hAnsi="Calibri" w:cs="Calibri"/>
          <w:lang w:val="en-GB"/>
        </w:rPr>
        <w:t xml:space="preserve"> had NSCLC, and </w:t>
      </w:r>
      <w:r w:rsidR="00924D1D" w:rsidRPr="00D46540">
        <w:rPr>
          <w:rFonts w:ascii="Calibri" w:hAnsi="Calibri" w:cs="Calibri"/>
          <w:lang w:val="en-GB"/>
        </w:rPr>
        <w:t xml:space="preserve">all </w:t>
      </w:r>
      <w:r w:rsidRPr="00D46540">
        <w:rPr>
          <w:rFonts w:ascii="Calibri" w:hAnsi="Calibri" w:cs="Calibri"/>
          <w:lang w:val="en-GB"/>
        </w:rPr>
        <w:t>three</w:t>
      </w:r>
      <w:r w:rsidR="00794439" w:rsidRPr="00D46540">
        <w:rPr>
          <w:rFonts w:ascii="Calibri" w:hAnsi="Calibri" w:cs="Calibri"/>
          <w:lang w:val="en-GB"/>
        </w:rPr>
        <w:t xml:space="preserve"> </w:t>
      </w:r>
      <w:r w:rsidR="00924D1D" w:rsidRPr="00D46540">
        <w:rPr>
          <w:rFonts w:ascii="Calibri" w:hAnsi="Calibri" w:cs="Calibri"/>
          <w:lang w:val="en-GB"/>
        </w:rPr>
        <w:t xml:space="preserve">cSCC </w:t>
      </w:r>
      <w:r w:rsidR="00C84A54" w:rsidRPr="00D46540">
        <w:rPr>
          <w:rFonts w:ascii="Calibri" w:hAnsi="Calibri" w:cs="Calibri"/>
          <w:lang w:val="en-GB"/>
        </w:rPr>
        <w:t>patient</w:t>
      </w:r>
      <w:r w:rsidRPr="00D46540">
        <w:rPr>
          <w:rFonts w:ascii="Calibri" w:hAnsi="Calibri" w:cs="Calibri"/>
          <w:lang w:val="en-GB"/>
        </w:rPr>
        <w:t>s</w:t>
      </w:r>
      <w:r w:rsidR="00C84A54" w:rsidRPr="00D46540">
        <w:rPr>
          <w:rFonts w:ascii="Calibri" w:hAnsi="Calibri" w:cs="Calibri"/>
          <w:lang w:val="en-GB"/>
        </w:rPr>
        <w:t xml:space="preserve"> </w:t>
      </w:r>
      <w:r w:rsidRPr="00D46540">
        <w:rPr>
          <w:rFonts w:ascii="Calibri" w:hAnsi="Calibri" w:cs="Calibri"/>
          <w:lang w:val="en-GB"/>
        </w:rPr>
        <w:t>experienced organ rejection</w:t>
      </w:r>
      <w:r w:rsidR="00794439" w:rsidRPr="00D46540">
        <w:rPr>
          <w:rFonts w:ascii="Calibri" w:hAnsi="Calibri" w:cs="Calibri"/>
          <w:lang w:val="en-GB"/>
        </w:rPr>
        <w:t>.</w:t>
      </w:r>
      <w:r w:rsidR="006D2604" w:rsidRPr="00D46540">
        <w:rPr>
          <w:rFonts w:ascii="Calibri" w:hAnsi="Calibri" w:cs="Calibri"/>
          <w:lang w:val="en-GB"/>
        </w:rPr>
        <w:t xml:space="preserve"> </w:t>
      </w:r>
      <w:r w:rsidR="00530B9A" w:rsidRPr="00D46540">
        <w:rPr>
          <w:rFonts w:ascii="Calibri" w:hAnsi="Calibri" w:cs="Calibri"/>
          <w:lang w:val="en-GB"/>
        </w:rPr>
        <w:t>I</w:t>
      </w:r>
      <w:r w:rsidR="00940268" w:rsidRPr="00D46540">
        <w:rPr>
          <w:rFonts w:ascii="Calibri" w:hAnsi="Calibri" w:cs="Calibri"/>
          <w:lang w:val="en-GB"/>
        </w:rPr>
        <w:t xml:space="preserve">nterestingly, </w:t>
      </w:r>
      <w:r w:rsidR="00794439" w:rsidRPr="00D46540">
        <w:rPr>
          <w:rFonts w:ascii="Calibri" w:hAnsi="Calibri" w:cs="Calibri"/>
          <w:lang w:val="en-GB"/>
        </w:rPr>
        <w:t>a</w:t>
      </w:r>
      <w:r w:rsidR="003B3CCC" w:rsidRPr="00D46540">
        <w:rPr>
          <w:rFonts w:ascii="Calibri" w:hAnsi="Calibri" w:cs="Calibri"/>
          <w:lang w:val="en-GB"/>
        </w:rPr>
        <w:t>lmost all of them received</w:t>
      </w:r>
      <w:r w:rsidR="00794439" w:rsidRPr="00D46540">
        <w:rPr>
          <w:rFonts w:ascii="Calibri" w:hAnsi="Calibri" w:cs="Calibri"/>
          <w:lang w:val="en-GB"/>
        </w:rPr>
        <w:t xml:space="preserve"> </w:t>
      </w:r>
      <w:r w:rsidR="00940268" w:rsidRPr="00D46540">
        <w:rPr>
          <w:rFonts w:ascii="Calibri" w:hAnsi="Calibri" w:cs="Calibri"/>
          <w:lang w:val="en-GB"/>
        </w:rPr>
        <w:t>only</w:t>
      </w:r>
      <w:r w:rsidR="003B3CCC" w:rsidRPr="00D46540">
        <w:rPr>
          <w:rFonts w:ascii="Calibri" w:hAnsi="Calibri" w:cs="Calibri"/>
          <w:lang w:val="en-GB"/>
        </w:rPr>
        <w:t xml:space="preserve"> </w:t>
      </w:r>
      <w:r w:rsidR="00794439" w:rsidRPr="00D46540">
        <w:rPr>
          <w:rFonts w:ascii="Calibri" w:hAnsi="Calibri" w:cs="Calibri"/>
          <w:lang w:val="en-GB"/>
        </w:rPr>
        <w:t xml:space="preserve">prednisolone </w:t>
      </w:r>
      <w:r w:rsidR="003B3CCC" w:rsidRPr="00D46540">
        <w:rPr>
          <w:rFonts w:ascii="Calibri" w:hAnsi="Calibri" w:cs="Calibri"/>
          <w:lang w:val="en-GB"/>
        </w:rPr>
        <w:t>monotherapy</w:t>
      </w:r>
      <w:r w:rsidR="00794439" w:rsidRPr="00D46540">
        <w:rPr>
          <w:rFonts w:ascii="Calibri" w:hAnsi="Calibri" w:cs="Calibri"/>
          <w:lang w:val="en-GB"/>
        </w:rPr>
        <w:t xml:space="preserve"> </w:t>
      </w:r>
      <w:r w:rsidR="00940268" w:rsidRPr="00D46540">
        <w:rPr>
          <w:rFonts w:ascii="Calibri" w:hAnsi="Calibri" w:cs="Calibri"/>
          <w:lang w:val="en-GB"/>
        </w:rPr>
        <w:t>as concomitant immunosuppression</w:t>
      </w:r>
      <w:r w:rsidRPr="00D46540">
        <w:rPr>
          <w:rFonts w:ascii="Calibri" w:hAnsi="Calibri" w:cs="Calibri"/>
          <w:lang w:val="en-GB"/>
        </w:rPr>
        <w:t>, nevertheless in most cases immunosuppression was also diminished just before starting CPI</w:t>
      </w:r>
      <w:r w:rsidR="00794439" w:rsidRPr="00D46540">
        <w:rPr>
          <w:rFonts w:ascii="Calibri" w:hAnsi="Calibri" w:cs="Calibri"/>
        </w:rPr>
        <w:t>.</w:t>
      </w:r>
      <w:r w:rsidR="006D2604" w:rsidRPr="00D46540">
        <w:rPr>
          <w:rFonts w:ascii="Calibri" w:hAnsi="Calibri" w:cs="Calibri"/>
        </w:rPr>
        <w:t xml:space="preserve"> </w:t>
      </w:r>
      <w:r w:rsidR="00924D1D" w:rsidRPr="00D46540">
        <w:rPr>
          <w:rFonts w:ascii="Calibri" w:hAnsi="Calibri" w:cs="Calibri"/>
        </w:rPr>
        <w:t xml:space="preserve">Despite </w:t>
      </w:r>
      <w:r w:rsidRPr="00D46540">
        <w:rPr>
          <w:rFonts w:ascii="Calibri" w:hAnsi="Calibri" w:cs="Calibri"/>
        </w:rPr>
        <w:t>organ rejectio</w:t>
      </w:r>
      <w:r w:rsidR="00EC55E1" w:rsidRPr="00D46540">
        <w:rPr>
          <w:rFonts w:ascii="Calibri" w:hAnsi="Calibri" w:cs="Calibri"/>
        </w:rPr>
        <w:t xml:space="preserve">n, the </w:t>
      </w:r>
      <w:r w:rsidR="00924D1D" w:rsidRPr="00D46540">
        <w:rPr>
          <w:rFonts w:ascii="Calibri" w:hAnsi="Calibri" w:cs="Calibri"/>
        </w:rPr>
        <w:t xml:space="preserve">cSCC </w:t>
      </w:r>
      <w:r w:rsidR="00EC55E1" w:rsidRPr="00D46540">
        <w:rPr>
          <w:rFonts w:ascii="Calibri" w:hAnsi="Calibri" w:cs="Calibri"/>
        </w:rPr>
        <w:t>responses were very interesting (1CR and 2PR).</w:t>
      </w:r>
      <w:r w:rsidR="006D2604" w:rsidRPr="00D46540">
        <w:rPr>
          <w:rFonts w:ascii="Calibri" w:hAnsi="Calibri" w:cs="Calibri"/>
        </w:rPr>
        <w:t xml:space="preserve"> </w:t>
      </w:r>
      <w:r w:rsidR="00EC55E1" w:rsidRPr="00D46540">
        <w:rPr>
          <w:rFonts w:ascii="Calibri" w:hAnsi="Calibri" w:cs="Calibri"/>
          <w:lang w:val="en-GB"/>
        </w:rPr>
        <w:t>Three cutaneous melanoma patients had PR, one had SD and only one had PD (one UK) bringing disease control rate for these 5 patients to 80%.</w:t>
      </w:r>
      <w:r w:rsidR="006D2604" w:rsidRPr="00D46540">
        <w:rPr>
          <w:rFonts w:ascii="Calibri" w:hAnsi="Calibri" w:cs="Calibri"/>
          <w:lang w:val="en-GB"/>
        </w:rPr>
        <w:t xml:space="preserve"> </w:t>
      </w:r>
      <w:r w:rsidR="00EC55E1" w:rsidRPr="00D46540">
        <w:rPr>
          <w:rFonts w:ascii="Calibri" w:hAnsi="Calibri" w:cs="Calibri"/>
          <w:lang w:val="en-GB"/>
        </w:rPr>
        <w:t>Still some patients obtained disease control (4</w:t>
      </w:r>
      <w:r w:rsidR="00924D1D" w:rsidRPr="00D46540">
        <w:rPr>
          <w:rFonts w:ascii="Calibri" w:hAnsi="Calibri" w:cs="Calibri"/>
          <w:lang w:val="en-GB"/>
        </w:rPr>
        <w:t>/</w:t>
      </w:r>
      <w:r w:rsidR="00EC55E1" w:rsidRPr="00D46540">
        <w:rPr>
          <w:rFonts w:ascii="Calibri" w:hAnsi="Calibri" w:cs="Calibri"/>
          <w:lang w:val="en-GB"/>
        </w:rPr>
        <w:t xml:space="preserve">13 cutaneous melanoma patients) without organ rejection </w:t>
      </w:r>
      <w:r w:rsidR="00924D1D" w:rsidRPr="00D46540">
        <w:rPr>
          <w:rFonts w:ascii="Calibri" w:hAnsi="Calibri" w:cs="Calibri"/>
          <w:lang w:val="en-GB"/>
        </w:rPr>
        <w:t xml:space="preserve">meaning </w:t>
      </w:r>
      <w:r w:rsidR="00EC55E1" w:rsidRPr="00D46540">
        <w:rPr>
          <w:rFonts w:ascii="Calibri" w:hAnsi="Calibri" w:cs="Calibri"/>
          <w:lang w:val="en-GB"/>
        </w:rPr>
        <w:t xml:space="preserve">that tumor response and allograft rejection can </w:t>
      </w:r>
      <w:r w:rsidR="00FA6BA0" w:rsidRPr="00D46540">
        <w:rPr>
          <w:rFonts w:ascii="Calibri" w:hAnsi="Calibri" w:cs="Calibri"/>
          <w:lang w:val="en-GB"/>
        </w:rPr>
        <w:t>coexist</w:t>
      </w:r>
      <w:r w:rsidR="000236EE" w:rsidRPr="00D46540">
        <w:rPr>
          <w:rFonts w:ascii="Calibri" w:hAnsi="Calibri" w:cs="Calibri"/>
          <w:lang w:val="en-GB"/>
        </w:rPr>
        <w:t xml:space="preserve">. </w:t>
      </w:r>
    </w:p>
    <w:p w14:paraId="27039597" w14:textId="77777777" w:rsidR="00794439" w:rsidRPr="00D46540" w:rsidRDefault="00794439" w:rsidP="00794439">
      <w:pPr>
        <w:spacing w:line="360" w:lineRule="auto"/>
        <w:jc w:val="both"/>
        <w:rPr>
          <w:rFonts w:ascii="Calibri" w:hAnsi="Calibri" w:cs="Calibri"/>
          <w:lang w:val="en-GB"/>
        </w:rPr>
      </w:pPr>
    </w:p>
    <w:p w14:paraId="687E55A9" w14:textId="4E062FF2" w:rsidR="008E3276" w:rsidRPr="00D46540" w:rsidRDefault="008E3276" w:rsidP="00794439">
      <w:pPr>
        <w:spacing w:line="360" w:lineRule="auto"/>
        <w:jc w:val="both"/>
        <w:rPr>
          <w:rFonts w:ascii="Calibri" w:hAnsi="Calibri" w:cs="Calibri"/>
          <w:b/>
          <w:lang w:val="en-GB"/>
        </w:rPr>
      </w:pPr>
      <w:r w:rsidRPr="00D46540">
        <w:rPr>
          <w:rFonts w:ascii="Calibri" w:hAnsi="Calibri" w:cs="Calibri"/>
          <w:b/>
          <w:lang w:val="en-GB"/>
        </w:rPr>
        <w:t xml:space="preserve">Combination of </w:t>
      </w:r>
      <w:r w:rsidR="00450EDE" w:rsidRPr="00D46540">
        <w:rPr>
          <w:rFonts w:ascii="Calibri" w:hAnsi="Calibri" w:cs="Calibri"/>
          <w:b/>
          <w:lang w:val="en-GB"/>
        </w:rPr>
        <w:t xml:space="preserve">CPI </w:t>
      </w:r>
      <w:r w:rsidRPr="00D46540">
        <w:rPr>
          <w:rFonts w:ascii="Calibri" w:hAnsi="Calibri" w:cs="Calibri"/>
          <w:b/>
          <w:lang w:val="en-GB"/>
        </w:rPr>
        <w:t>treatment</w:t>
      </w:r>
    </w:p>
    <w:p w14:paraId="618CA827" w14:textId="4F377A66" w:rsidR="008E3276" w:rsidRPr="00D46540" w:rsidRDefault="008B48F1" w:rsidP="008E3276">
      <w:pPr>
        <w:spacing w:line="360" w:lineRule="auto"/>
        <w:jc w:val="both"/>
        <w:rPr>
          <w:rFonts w:ascii="Calibri" w:hAnsi="Calibri" w:cs="Calibri"/>
          <w:lang w:val="en-GB"/>
        </w:rPr>
      </w:pPr>
      <w:r w:rsidRPr="00D46540">
        <w:rPr>
          <w:rFonts w:ascii="Calibri" w:hAnsi="Calibri" w:cs="Calibri"/>
          <w:lang w:val="en-GB"/>
        </w:rPr>
        <w:t>M</w:t>
      </w:r>
      <w:r w:rsidR="008E3276" w:rsidRPr="00D46540">
        <w:rPr>
          <w:rFonts w:ascii="Calibri" w:hAnsi="Calibri" w:cs="Calibri"/>
          <w:lang w:val="en-GB"/>
        </w:rPr>
        <w:t>elanoma patients may benefit from a combination (concomitantly or consecutively) of both anti-PD1 and anti-CTLA4</w:t>
      </w:r>
      <w:r w:rsidR="00BC5A41" w:rsidRPr="00D46540">
        <w:rPr>
          <w:rFonts w:ascii="Calibri" w:hAnsi="Calibri" w:cs="Calibri"/>
          <w:lang w:val="en-GB"/>
        </w:rPr>
        <w:t xml:space="preserve"> </w:t>
      </w:r>
      <w:r w:rsidR="00CF7C60"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{"citationItems":[{"id":"ITEM-1","itemData":{"DOI":"10.1056/NEJMoa1709684","ISSN":"0028-4793","PMID":"28889792","abstract":"BackgroundNivolumab combined with ipilimumab resulted in longer progression-free survival and a higher objective response rate than ipilimumab alone in a phase 3 trial involving patients with advanced melanoma. We now report 3-year overall survival outcomes in this trial. MethodsWe randomly assigned, in a 1:1:1 ratio, patients with previously untreated advanced melanoma to receive nivolumab at a dose of 1 mg per kilogram of body weight plus ipilimumab at a dose of 3 mg per kilogram every 3 weeks for four doses, followed by nivolumab at a dose of 3 mg per kilogram every 2 weeks; nivolumab at a dose of 3 mg per kilogram every 2 weeks plus placebo; or ipilimumab at a dose of 3 mg per kilogram every 3 weeks for four doses plus placebo, until progression, the occurrence of unacceptable toxic effects, or withdrawal of consent. Randomization was stratified according to programmed death ligand 1 (PD-L1) status, BRAF mutation status, and metastasis stage. The two primary end points were progression-free survival a...","author":[{"dropping-particle":"","family":"Wolchok","given":"Jedd D.","non-dropping-particle":"","parse-names":false,"suffix":""},{"dropping-particle":"","family":"Chiarion-Sileni","given":"Vanna","non-dropping-particle":"","parse-names":false,"suffix":""},{"dropping-particle":"","family":"Gonzalez","given":"Rene","non-dropping-particle":"","parse-names":false,"suffix":""},{"dropping-particle":"","family":"Rutkowski","given":"Piotr","non-dropping-particle":"","parse-names":false,"suffix":""},{"dropping-particle":"","family":"Grob","given":"Jean-Jacques","non-dropping-particle":"","parse-names":false,"suffix":""},{"dropping-particle":"","family":"Cowey","given":"C. Lance","non-dropping-particle":"","parse-names":false,"suffix":""},{"dropping-particle":"","family":"Lao","given":"Christopher D.","non-dropping-particle":"","parse-names":false,"suffix":""},{"dropping-particle":"","family":"Wagstaff","given":"John","non-dropping-particle":"","parse-names":false,"suffix":""},{"dropping-particle":"","family":"Schadendorf","given":"Dirk","non-dropping-particle":"","parse-names":false,"suffix":""},{"dropping-particle":"","family":"Ferrucci","given":"Pier F.","non-dropping-particle":"","parse-names":false,"suffix":""},{"dropping-particle":"","family":"Smylie","given":"Michael","non-dropping-particle":"","parse-names":false,"suffix":""},{"dropping-particle":"","family":"Dummer","given":"Reinhard","non-dropping-particle":"","parse-names":false,"suffix":""},{"dropping-particle":"","family":"Hill","given":"Andrew","non-dropping-particle":"","parse-names":false,"suffix":""},{"dropping-particle":"","family":"Hogg","given":"David","non-dropping-particle":"","parse-names":false,"suffix":""},{"dropping-particle":"","family":"Haanen","given":"John","non-dropping-particle":"","parse-names":false,"suffix":""},{"dropping-particle":"","family":"Carlino","given":"Matteo S.","non-dropping-particle":"","parse-names":false,"suffix":""},{"dropping-particle":"","family":"Bechter","given":"Oliver","non-dropping-particle":"","parse-names":false,"suffix":""},{"dropping-particle":"","family":"Maio","given":"Michele","non-dropping-particle":"","parse-names":false,"suffix":""},{"dropping-particle":"","family":"Marquez-Rodas","given":"Ivan","non-dropping-particle":"","parse-names":false,"suffix":""},{"dropping-particle":"","family":"Guidoboni","given":"Massimo","non-dropping-particle":"","parse-names":false,"suffix":""},{"dropping-particle":"","family":"McArthur","given":"Grant","non-dropping-particle":"","parse-names":false,"suffix":""},{"dropping-particle":"","family":"Lebbé","given":"Celeste","non-dropping-particle":"","parse-names":false,"suffix":""},{"dropping-particle":"","family":"Ascierto","given":"Paolo A.","non-dropping-particle":"","parse-names":false,"suffix":""},{"dropping-particle":"V.","family":"Long","given":"Georgina","non-dropping-particle":"","parse-names":false,"suffix":""},{"dropping-particle":"","family":"Cebon","given":"Jonathan","non-dropping-particle":"","parse-names":false,"suffix":""},{"dropping-particle":"","family":"Sosman","given":"Jeffrey","non-dropping-particle":"","parse-names":false,"suffix":""},{"dropping-particle":"","family":"Postow","given":"Michael A.","non-dropping-particle":"","parse-names":false,"suffix":""},{"dropping-particle":"","family":"Callahan","given":"Margaret K.","non-dropping-particle":"","parse-names":false,"suffix":""},{"dropping-particle":"","family":"Walker","given":"Dana","non-dropping-particle":"","parse-names":false,"suffix":""},{"dropping-particle":"","family":"Rollin","given":"Linda","non-dropping-particle":"","parse-names":false,"suffix":""},{"dropping-particle":"","family":"Bhore","given":"Rafia","non-dropping-particle":"","parse-names":false,"suffix":""},{"dropping-particle":"","family":"Hodi","given":"F. Stephen","non-dropping-particle":"","parse-names":false,"suffix":""},{"dropping-particle":"","family":"Larkin","given":"James","non-dropping-particle":"","parse-names":false,"suffix":""}],"container-title":"New England Journal of Medicine","id":"ITEM-1","issued":{"date-parts":[["2017"]]},"page":"NEJMoa1709684","title":"Overall Survival with Combined Nivolumab and Ipilimumab in Advanced Melanoma","type":"article-journal"},"uris":["http://www.mendeley.com/documents/?uuid=8ba1a1e9-a339-4162-a505-fa30d3ab307e"]}],"mendeley":{"formattedCitation":"[22]","plainTextFormattedCitation":"[22]","previouslyFormattedCitation":"[22]"},"properties":{"noteIndex":0},"schema":"https://github.com/citation-style-language/schema/raw/master/csl-citation.json"}</w:instrText>
      </w:r>
      <w:r w:rsidR="00CF7C60" w:rsidRPr="00D46540">
        <w:rPr>
          <w:rFonts w:ascii="Calibri" w:hAnsi="Calibri" w:cs="Calibri"/>
          <w:lang w:val="en-GB"/>
        </w:rPr>
        <w:fldChar w:fldCharType="separate"/>
      </w:r>
      <w:r w:rsidR="00525C77" w:rsidRPr="00D46540">
        <w:rPr>
          <w:rFonts w:ascii="Calibri" w:hAnsi="Calibri" w:cs="Calibri"/>
          <w:noProof/>
          <w:lang w:val="en-GB"/>
        </w:rPr>
        <w:t>[22]</w:t>
      </w:r>
      <w:r w:rsidR="00CF7C60" w:rsidRPr="00D46540">
        <w:rPr>
          <w:rFonts w:ascii="Calibri" w:hAnsi="Calibri" w:cs="Calibri"/>
          <w:lang w:val="en-GB"/>
        </w:rPr>
        <w:fldChar w:fldCharType="end"/>
      </w:r>
      <w:r w:rsidR="008E3276" w:rsidRPr="00D46540">
        <w:rPr>
          <w:rFonts w:ascii="Calibri" w:hAnsi="Calibri" w:cs="Calibri"/>
          <w:lang w:val="en-GB"/>
        </w:rPr>
        <w:t xml:space="preserve">. </w:t>
      </w:r>
      <w:r w:rsidR="00577F8C" w:rsidRPr="00D46540">
        <w:rPr>
          <w:rFonts w:ascii="Calibri" w:hAnsi="Calibri" w:cs="Calibri"/>
          <w:lang w:val="en-GB"/>
        </w:rPr>
        <w:t>However, s</w:t>
      </w:r>
      <w:r w:rsidR="008E3276" w:rsidRPr="00D46540">
        <w:rPr>
          <w:rFonts w:ascii="Calibri" w:hAnsi="Calibri" w:cs="Calibri"/>
          <w:lang w:val="en-GB"/>
        </w:rPr>
        <w:t xml:space="preserve">ince </w:t>
      </w:r>
      <w:r w:rsidRPr="00D46540">
        <w:rPr>
          <w:rFonts w:ascii="Calibri" w:hAnsi="Calibri" w:cs="Calibri"/>
          <w:lang w:val="en-GB"/>
        </w:rPr>
        <w:t xml:space="preserve">the </w:t>
      </w:r>
      <w:r w:rsidR="008E3276" w:rsidRPr="00D46540">
        <w:rPr>
          <w:rFonts w:ascii="Calibri" w:hAnsi="Calibri" w:cs="Calibri"/>
          <w:lang w:val="en-GB"/>
        </w:rPr>
        <w:t xml:space="preserve">PD-1 and </w:t>
      </w:r>
      <w:r w:rsidRPr="00D46540">
        <w:rPr>
          <w:rFonts w:ascii="Calibri" w:hAnsi="Calibri" w:cs="Calibri"/>
          <w:lang w:val="en-GB"/>
        </w:rPr>
        <w:t xml:space="preserve">the </w:t>
      </w:r>
      <w:r w:rsidR="008E3276" w:rsidRPr="00D46540">
        <w:rPr>
          <w:rFonts w:ascii="Calibri" w:hAnsi="Calibri" w:cs="Calibri"/>
          <w:lang w:val="en-GB"/>
        </w:rPr>
        <w:t xml:space="preserve">CTLA-4 pathway </w:t>
      </w:r>
      <w:r w:rsidRPr="00D46540">
        <w:rPr>
          <w:rFonts w:ascii="Calibri" w:hAnsi="Calibri" w:cs="Calibri"/>
          <w:lang w:val="en-GB"/>
        </w:rPr>
        <w:t xml:space="preserve">both </w:t>
      </w:r>
      <w:r w:rsidR="008E3276" w:rsidRPr="00D46540">
        <w:rPr>
          <w:rFonts w:ascii="Calibri" w:hAnsi="Calibri" w:cs="Calibri"/>
          <w:lang w:val="en-GB"/>
        </w:rPr>
        <w:t>play a significant role in allograft tolerance</w:t>
      </w:r>
      <w:r w:rsidR="000F06F8" w:rsidRPr="00D46540">
        <w:rPr>
          <w:rFonts w:ascii="Calibri" w:hAnsi="Calibri" w:cs="Calibri"/>
          <w:lang w:val="en-GB"/>
        </w:rPr>
        <w:t xml:space="preserve"> acceptance</w:t>
      </w:r>
      <w:r w:rsidR="000236EE" w:rsidRPr="00D46540">
        <w:rPr>
          <w:rFonts w:ascii="Calibri" w:hAnsi="Calibri" w:cs="Calibri"/>
          <w:lang w:val="en-GB"/>
        </w:rPr>
        <w:t xml:space="preserve"> </w:t>
      </w:r>
      <w:r w:rsidR="00521D97" w:rsidRPr="00D46540">
        <w:rPr>
          <w:rFonts w:ascii="Calibri" w:hAnsi="Calibri" w:cs="Calibri"/>
          <w:lang w:val="en-GB"/>
        </w:rPr>
        <w:t>(</w:t>
      </w:r>
      <w:r w:rsidR="00521D97" w:rsidRPr="00D46540">
        <w:rPr>
          <w:rFonts w:ascii="Calibri" w:hAnsi="Calibri" w:cs="Calibri"/>
          <w:color w:val="FF0000"/>
          <w:lang w:val="en-GB"/>
        </w:rPr>
        <w:t>Figure 1</w:t>
      </w:r>
      <w:r w:rsidR="000236EE" w:rsidRPr="00D46540">
        <w:rPr>
          <w:rFonts w:ascii="Calibri" w:hAnsi="Calibri" w:cs="Calibri"/>
          <w:lang w:val="en-GB"/>
        </w:rPr>
        <w:t>)</w:t>
      </w:r>
      <w:r w:rsidR="008E3276" w:rsidRPr="00D46540">
        <w:rPr>
          <w:rFonts w:ascii="Calibri" w:hAnsi="Calibri" w:cs="Calibri"/>
          <w:lang w:val="en-GB"/>
        </w:rPr>
        <w:t>, the risk of rejection might theoretically be higher.</w:t>
      </w:r>
      <w:r w:rsidR="006D2604" w:rsidRPr="00D46540">
        <w:rPr>
          <w:rFonts w:ascii="Calibri" w:hAnsi="Calibri" w:cs="Calibri"/>
          <w:lang w:val="en-GB"/>
        </w:rPr>
        <w:t xml:space="preserve"> </w:t>
      </w:r>
      <w:r w:rsidR="008E3276" w:rsidRPr="00D46540">
        <w:rPr>
          <w:rFonts w:ascii="Calibri" w:hAnsi="Calibri" w:cs="Calibri"/>
          <w:lang w:val="en-GB"/>
        </w:rPr>
        <w:t xml:space="preserve">In this review, </w:t>
      </w:r>
      <w:r w:rsidR="00EC55E1" w:rsidRPr="00D46540">
        <w:rPr>
          <w:rFonts w:ascii="Calibri" w:hAnsi="Calibri" w:cs="Calibri"/>
          <w:lang w:val="en-GB"/>
        </w:rPr>
        <w:t xml:space="preserve">seven </w:t>
      </w:r>
      <w:r w:rsidR="008E3276" w:rsidRPr="00D46540">
        <w:rPr>
          <w:rFonts w:ascii="Calibri" w:hAnsi="Calibri" w:cs="Calibri"/>
          <w:lang w:val="en-GB"/>
        </w:rPr>
        <w:t>patients (</w:t>
      </w:r>
      <w:r w:rsidR="00EC55E1" w:rsidRPr="00D46540">
        <w:rPr>
          <w:rFonts w:ascii="Calibri" w:hAnsi="Calibri" w:cs="Calibri"/>
          <w:lang w:val="en-GB"/>
        </w:rPr>
        <w:t>6</w:t>
      </w:r>
      <w:r w:rsidR="008E3276" w:rsidRPr="00D46540">
        <w:rPr>
          <w:rFonts w:ascii="Calibri" w:hAnsi="Calibri" w:cs="Calibri"/>
          <w:lang w:val="en-GB"/>
        </w:rPr>
        <w:t xml:space="preserve"> kidney – 1 liver) have been treated with ipilimumab </w:t>
      </w:r>
      <w:r w:rsidR="00F705F4" w:rsidRPr="00D46540">
        <w:rPr>
          <w:rFonts w:ascii="Calibri" w:hAnsi="Calibri" w:cs="Calibri"/>
          <w:lang w:val="en-GB"/>
        </w:rPr>
        <w:t>(anti-CTLA-4) combined or</w:t>
      </w:r>
      <w:r w:rsidR="000236EE" w:rsidRPr="00D46540">
        <w:rPr>
          <w:rFonts w:ascii="Calibri" w:hAnsi="Calibri" w:cs="Calibri"/>
          <w:lang w:val="en-GB"/>
        </w:rPr>
        <w:t xml:space="preserve"> followed by anti-</w:t>
      </w:r>
      <w:r w:rsidR="008E3276" w:rsidRPr="00D46540">
        <w:rPr>
          <w:rFonts w:ascii="Calibri" w:hAnsi="Calibri" w:cs="Calibri"/>
          <w:lang w:val="en-GB"/>
        </w:rPr>
        <w:t>PD-1.</w:t>
      </w:r>
      <w:r w:rsidR="006D2604" w:rsidRPr="00D46540">
        <w:rPr>
          <w:rFonts w:ascii="Calibri" w:hAnsi="Calibri" w:cs="Calibri"/>
          <w:lang w:val="en-GB"/>
        </w:rPr>
        <w:t xml:space="preserve"> </w:t>
      </w:r>
      <w:r w:rsidR="008E3276" w:rsidRPr="00D46540">
        <w:rPr>
          <w:rFonts w:ascii="Calibri" w:hAnsi="Calibri" w:cs="Calibri"/>
          <w:lang w:val="en-GB"/>
        </w:rPr>
        <w:t>T</w:t>
      </w:r>
      <w:r w:rsidR="00EC55E1" w:rsidRPr="00D46540">
        <w:rPr>
          <w:rFonts w:ascii="Calibri" w:hAnsi="Calibri" w:cs="Calibri"/>
          <w:lang w:val="en-GB"/>
        </w:rPr>
        <w:t>hree</w:t>
      </w:r>
      <w:r w:rsidR="008E3276" w:rsidRPr="00D46540">
        <w:rPr>
          <w:rFonts w:ascii="Calibri" w:hAnsi="Calibri" w:cs="Calibri"/>
          <w:lang w:val="en-GB"/>
        </w:rPr>
        <w:t xml:space="preserve"> of them experienced kidney rejection</w:t>
      </w:r>
      <w:r w:rsidR="00EC55E1" w:rsidRPr="00D46540">
        <w:rPr>
          <w:rFonts w:ascii="Calibri" w:hAnsi="Calibri" w:cs="Calibri"/>
          <w:lang w:val="en-GB"/>
        </w:rPr>
        <w:t xml:space="preserve"> during the anti-PD1 treatment</w:t>
      </w:r>
      <w:r w:rsidR="008E3276" w:rsidRPr="00D46540">
        <w:rPr>
          <w:rFonts w:ascii="Calibri" w:hAnsi="Calibri" w:cs="Calibri"/>
          <w:lang w:val="en-GB"/>
        </w:rPr>
        <w:t>: one received the first dose of pembrolizumab only 2 weeks after the last dose of ipilimumab and his outcome is unknown</w:t>
      </w:r>
      <w:r w:rsidR="00587084" w:rsidRPr="00D46540">
        <w:rPr>
          <w:rFonts w:ascii="Calibri" w:hAnsi="Calibri" w:cs="Calibri"/>
          <w:lang w:val="en-GB"/>
        </w:rPr>
        <w:t xml:space="preserve"> </w:t>
      </w:r>
      <w:r w:rsidR="00204487"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10.1111/ajt.13711","ISSN":"16006143","PMID":"26752406","author":[{"dropping-particle":"","family":"Alhamad","given":"T.","non-dropping-particle":"","parse-names":false,"suffix":""},{"dropping-particle":"","family":"Venkatachalam","given":"K.","non-dropping-particle":"","parse-names":false,"suffix":""},{"dropping-particle":"","family":"Linette","given":"G. P.","non-dropping-particle":"","parse-names":false,"suffix":""},{"dropping-particle":"","family":"Brennan","given":"D. C.","non-dropping-particle":"","parse-names":false,"suffix":""}],"container-title":"American Journal of Transplantation","id":"ITEM-1","issue":"4","issued":{"date-parts":[["2016"]]},"page":"1332-1333","title":"Checkpoint Inhibitors in Kidney Transplant Recipients and the Potential Risk of Rejection","type":"article-journal","volume":"16"},"uris":["http://www.mendeley.com/documents/?uuid=c93d2a39-ac9f-47aa-8456-9b7fd016d307"]}],"mendeley":{"formattedCitation":"[23]","plainTextFormattedCitation":"[23]","previouslyFormattedCitation":"[23]"},"properties":{"noteIndex":0},"schema":"https://github.com/citation-style-language/schema/raw/master/csl-citation.json"}</w:instrText>
      </w:r>
      <w:r w:rsidR="00204487" w:rsidRPr="00D46540">
        <w:rPr>
          <w:rFonts w:ascii="Calibri" w:hAnsi="Calibri" w:cs="Calibri"/>
          <w:lang w:val="en-GB"/>
        </w:rPr>
        <w:fldChar w:fldCharType="separate"/>
      </w:r>
      <w:r w:rsidR="00525C77" w:rsidRPr="00D46540">
        <w:rPr>
          <w:rFonts w:ascii="Calibri" w:hAnsi="Calibri" w:cs="Calibri"/>
          <w:noProof/>
          <w:lang w:val="en-GB"/>
        </w:rPr>
        <w:t>[23]</w:t>
      </w:r>
      <w:r w:rsidR="00204487" w:rsidRPr="00D46540">
        <w:rPr>
          <w:rFonts w:ascii="Calibri" w:hAnsi="Calibri" w:cs="Calibri"/>
          <w:lang w:val="en-GB"/>
        </w:rPr>
        <w:fldChar w:fldCharType="end"/>
      </w:r>
      <w:r w:rsidR="008E3276" w:rsidRPr="00D46540">
        <w:rPr>
          <w:rFonts w:ascii="Calibri" w:hAnsi="Calibri" w:cs="Calibri"/>
          <w:lang w:val="en-GB"/>
        </w:rPr>
        <w:t xml:space="preserve">, the other received a first dose of nivolumab 4 weeks after the last dose of ipilimumab and had </w:t>
      </w:r>
      <w:r w:rsidRPr="00D46540">
        <w:rPr>
          <w:rFonts w:ascii="Calibri" w:hAnsi="Calibri" w:cs="Calibri"/>
          <w:lang w:val="en-GB"/>
        </w:rPr>
        <w:t>tumor shrinkage</w:t>
      </w:r>
      <w:r w:rsidR="008E3276" w:rsidRPr="00D46540">
        <w:rPr>
          <w:rFonts w:ascii="Calibri" w:hAnsi="Calibri" w:cs="Calibri"/>
          <w:lang w:val="en-GB"/>
        </w:rPr>
        <w:t xml:space="preserve"> under nivolumab</w:t>
      </w:r>
      <w:r w:rsidR="00001D03" w:rsidRPr="00D46540">
        <w:rPr>
          <w:rFonts w:ascii="Calibri" w:hAnsi="Calibri" w:cs="Calibri"/>
          <w:lang w:val="en-GB"/>
        </w:rPr>
        <w:t xml:space="preserve"> </w:t>
      </w:r>
      <w:r w:rsidR="00587084"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10.1093/annonc/mdw130","ISSN":"0923-7534","author":[{"dropping-particle":"","family":"Spain","given":"L.","non-dropping-particle":"","parse-names":false,"suffix":""},{"dropping-particle":"","family":"Higgins","given":"R.","non-dropping-particle":"","parse-names":false,"suffix":""},{"dropping-particle":"","family":"Gopalakrishnan","given":"K.","non-dropping-particle":"","parse-names":false,"suffix":""},{"dropping-particle":"","family":"Turajlic","given":"S.","non-dropping-particle":"","parse-names":false,"suffix":""},{"dropping-particle":"","family":"Gore","given":"M.","non-dropping-particle":"","parse-names":false,"suffix":""},{"dropping-particle":"","family":"Larkin","given":"J.","non-dropping-particle":"","parse-names":false,"suffix":""}],"container-title":"Annals of Oncology","id":"ITEM-1","issue":"6","issued":{"date-parts":[["2016"]]},"page":"1135-1137","title":"Acute renal allograft rejection after immune checkpoint inhibitor therapy for metastatic melanoma","type":"article-journal","volume":"27"},"uris":["http://www.mendeley.com/documents/?uuid=90268052-0f1f-4f08-beae-f1838f06be1e"]}],"mendeley":{"formattedCitation":"[24]","plainTextFormattedCitation":"[24]","previouslyFormattedCitation":"[24]"},"properties":{"noteIndex":0},"schema":"https://github.com/citation-style-language/schema/raw/master/csl-citation.json"}</w:instrText>
      </w:r>
      <w:r w:rsidR="00587084" w:rsidRPr="00D46540">
        <w:rPr>
          <w:rFonts w:ascii="Calibri" w:hAnsi="Calibri" w:cs="Calibri"/>
          <w:lang w:val="en-GB"/>
        </w:rPr>
        <w:fldChar w:fldCharType="separate"/>
      </w:r>
      <w:r w:rsidR="00525C77" w:rsidRPr="00D46540">
        <w:rPr>
          <w:rFonts w:ascii="Calibri" w:hAnsi="Calibri" w:cs="Calibri"/>
          <w:noProof/>
          <w:lang w:val="en-GB"/>
        </w:rPr>
        <w:t>[24]</w:t>
      </w:r>
      <w:r w:rsidR="00587084" w:rsidRPr="00D46540">
        <w:rPr>
          <w:rFonts w:ascii="Calibri" w:hAnsi="Calibri" w:cs="Calibri"/>
          <w:lang w:val="en-GB"/>
        </w:rPr>
        <w:fldChar w:fldCharType="end"/>
      </w:r>
      <w:r w:rsidR="00F705F4" w:rsidRPr="00D46540">
        <w:rPr>
          <w:rFonts w:ascii="Calibri" w:hAnsi="Calibri" w:cs="Calibri"/>
          <w:lang w:val="en-GB"/>
        </w:rPr>
        <w:t>. Both of them had predniso</w:t>
      </w:r>
      <w:r w:rsidR="00C755ED">
        <w:rPr>
          <w:rFonts w:ascii="Calibri" w:hAnsi="Calibri" w:cs="Calibri"/>
          <w:lang w:val="en-GB"/>
        </w:rPr>
        <w:t>l</w:t>
      </w:r>
      <w:r w:rsidR="00F705F4" w:rsidRPr="00D46540">
        <w:rPr>
          <w:rFonts w:ascii="Calibri" w:hAnsi="Calibri" w:cs="Calibri"/>
          <w:lang w:val="en-GB"/>
        </w:rPr>
        <w:t>one monotherapy for immunosuppression.</w:t>
      </w:r>
      <w:r w:rsidR="006D2604" w:rsidRPr="00D46540">
        <w:rPr>
          <w:rFonts w:ascii="Calibri" w:hAnsi="Calibri" w:cs="Calibri"/>
          <w:lang w:val="en-GB"/>
        </w:rPr>
        <w:t xml:space="preserve"> </w:t>
      </w:r>
      <w:r w:rsidR="00F705F4" w:rsidRPr="00D46540">
        <w:rPr>
          <w:rFonts w:ascii="Calibri" w:hAnsi="Calibri" w:cs="Calibri"/>
          <w:lang w:val="en-GB"/>
        </w:rPr>
        <w:t>The third patient had stopped all immunosuppressive medication just before the start of nivolumab-ipilimumab combination treatment (and was the only one who received both CPI concomitantly)</w:t>
      </w:r>
      <w:r w:rsidR="008E3276" w:rsidRPr="00D46540">
        <w:rPr>
          <w:rFonts w:ascii="Calibri" w:hAnsi="Calibri" w:cs="Calibri"/>
          <w:lang w:val="en-GB"/>
        </w:rPr>
        <w:t>.</w:t>
      </w:r>
      <w:r w:rsidR="006D2604" w:rsidRPr="00D46540">
        <w:rPr>
          <w:rFonts w:ascii="Calibri" w:hAnsi="Calibri" w:cs="Calibri"/>
          <w:lang w:val="en-GB"/>
        </w:rPr>
        <w:t xml:space="preserve"> </w:t>
      </w:r>
      <w:r w:rsidR="008E3276" w:rsidRPr="00D46540">
        <w:rPr>
          <w:rFonts w:ascii="Calibri" w:hAnsi="Calibri" w:cs="Calibri"/>
          <w:lang w:val="en-GB"/>
        </w:rPr>
        <w:t xml:space="preserve">The liver transplant recipient experienced no allograft rejection and showed a </w:t>
      </w:r>
      <w:r w:rsidR="00755022" w:rsidRPr="00D46540">
        <w:rPr>
          <w:rFonts w:ascii="Calibri" w:hAnsi="Calibri" w:cs="Calibri"/>
          <w:lang w:val="en-GB"/>
        </w:rPr>
        <w:t>PR</w:t>
      </w:r>
      <w:r w:rsidR="008E3276" w:rsidRPr="00D46540">
        <w:rPr>
          <w:rFonts w:ascii="Calibri" w:hAnsi="Calibri" w:cs="Calibri"/>
          <w:lang w:val="en-GB"/>
        </w:rPr>
        <w:t xml:space="preserve"> </w:t>
      </w:r>
      <w:r w:rsidR="00613EE6" w:rsidRPr="00D46540">
        <w:rPr>
          <w:rFonts w:ascii="Calibri" w:hAnsi="Calibri" w:cs="Calibri"/>
          <w:lang w:val="en-GB"/>
        </w:rPr>
        <w:t>(</w:t>
      </w:r>
      <w:r w:rsidR="008E3276" w:rsidRPr="00D46540">
        <w:rPr>
          <w:rFonts w:ascii="Calibri" w:hAnsi="Calibri" w:cs="Calibri"/>
          <w:lang w:val="en-GB"/>
        </w:rPr>
        <w:t>after 4 cycles of pembrolizumab</w:t>
      </w:r>
      <w:r w:rsidR="00613EE6" w:rsidRPr="00D46540">
        <w:rPr>
          <w:rFonts w:ascii="Calibri" w:hAnsi="Calibri" w:cs="Calibri"/>
          <w:lang w:val="en-GB"/>
        </w:rPr>
        <w:t>)</w:t>
      </w:r>
      <w:r w:rsidR="008E3276" w:rsidRPr="00D46540">
        <w:rPr>
          <w:rFonts w:ascii="Calibri" w:hAnsi="Calibri" w:cs="Calibri"/>
          <w:lang w:val="en-GB"/>
        </w:rPr>
        <w:t xml:space="preserve"> which continued until 17 month</w:t>
      </w:r>
      <w:r w:rsidR="00613EE6" w:rsidRPr="00D46540">
        <w:rPr>
          <w:rFonts w:ascii="Calibri" w:hAnsi="Calibri" w:cs="Calibri"/>
          <w:lang w:val="en-GB"/>
        </w:rPr>
        <w:t>s a</w:t>
      </w:r>
      <w:r w:rsidR="008E3276" w:rsidRPr="00D46540">
        <w:rPr>
          <w:rFonts w:ascii="Calibri" w:hAnsi="Calibri" w:cs="Calibri"/>
          <w:lang w:val="en-GB"/>
        </w:rPr>
        <w:t>fter initiation of CPI</w:t>
      </w:r>
      <w:r w:rsidR="00F705F4" w:rsidRPr="00D46540">
        <w:rPr>
          <w:rFonts w:ascii="Calibri" w:hAnsi="Calibri" w:cs="Calibri"/>
          <w:lang w:val="en-GB"/>
        </w:rPr>
        <w:t xml:space="preserve"> (time of writing)</w:t>
      </w:r>
      <w:r w:rsidR="008E3276" w:rsidRPr="00D46540">
        <w:rPr>
          <w:rFonts w:ascii="Calibri" w:hAnsi="Calibri" w:cs="Calibri"/>
          <w:lang w:val="en-GB"/>
        </w:rPr>
        <w:t>.</w:t>
      </w:r>
      <w:r w:rsidR="006D2604" w:rsidRPr="00D46540">
        <w:rPr>
          <w:rFonts w:ascii="Calibri" w:hAnsi="Calibri" w:cs="Calibri"/>
          <w:lang w:val="en-GB"/>
        </w:rPr>
        <w:t xml:space="preserve"> </w:t>
      </w:r>
      <w:r w:rsidR="008E3276" w:rsidRPr="00D46540">
        <w:rPr>
          <w:rFonts w:ascii="Calibri" w:hAnsi="Calibri" w:cs="Calibri"/>
          <w:lang w:val="en-GB"/>
        </w:rPr>
        <w:t xml:space="preserve">There has been a </w:t>
      </w:r>
      <w:r w:rsidR="00581E5C" w:rsidRPr="00D46540">
        <w:rPr>
          <w:rFonts w:ascii="Calibri" w:hAnsi="Calibri" w:cs="Calibri"/>
          <w:lang w:val="en-GB"/>
        </w:rPr>
        <w:t xml:space="preserve">minimum </w:t>
      </w:r>
      <w:r w:rsidR="008E3276" w:rsidRPr="00D46540">
        <w:rPr>
          <w:rFonts w:ascii="Calibri" w:hAnsi="Calibri" w:cs="Calibri"/>
          <w:lang w:val="en-GB"/>
        </w:rPr>
        <w:t>3-months period between the administration of ipilimumab and pembrolizum</w:t>
      </w:r>
      <w:r w:rsidR="000236EE" w:rsidRPr="00D46540">
        <w:rPr>
          <w:rFonts w:ascii="Calibri" w:hAnsi="Calibri" w:cs="Calibri"/>
          <w:lang w:val="en-GB"/>
        </w:rPr>
        <w:t>ab in the latter patient and the</w:t>
      </w:r>
      <w:r w:rsidR="008E3276" w:rsidRPr="00D46540">
        <w:rPr>
          <w:rFonts w:ascii="Calibri" w:hAnsi="Calibri" w:cs="Calibri"/>
          <w:lang w:val="en-GB"/>
        </w:rPr>
        <w:t xml:space="preserve"> immunosuppression was maintained during treatment with low dose sirolimus combined with MMF</w:t>
      </w:r>
      <w:r w:rsidR="00587084" w:rsidRPr="00D46540">
        <w:rPr>
          <w:rFonts w:ascii="Calibri" w:hAnsi="Calibri" w:cs="Calibri"/>
          <w:lang w:val="en-GB"/>
        </w:rPr>
        <w:t xml:space="preserve"> </w:t>
      </w:r>
      <w:r w:rsidR="00587084"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{"citationItems":[{"id":"ITEM-1","itemData":{"DOI":"10.1097/CMR.0000000000000410","ISBN":"0000000000000","ISSN":"0960-8931","author":[{"dropping-particle":"","family":"Kuo","given":"James C.","non-dropping-particle":"","parse-names":false,"suffix":""},{"dropping-particle":"","family":"Lilly","given":"Leslie B.","non-dropping-particle":"","parse-names":false,"suffix":""},{"dropping-particle":"","family":"Hogg","given":"David","non-dropping-particle":"","parse-names":false,"suffix":""}],"container-title":"Melanoma Research","id":"ITEM-1","issue":"1","issued":{"date-parts":[["2018"]]},"page":"61-64","title":"Immune checkpoint inhibitor therapy in a liver transplant recipient with a rare subtype of melanoma","type":"article-journal","volume":"28"},"uris":["http://www.mendeley.com/documents/?uuid=38e48c75-201d-4db4-a8b7-9465275c3efc"]}],"mendeley":{"formattedCitation":"[25]","plainTextFormattedCitation":"[25]","previouslyFormattedCitation":"[25]"},"properties":{"noteIndex":0},"schema":"https://github.com/citation-style-language/schema/raw/master/csl-citation.json"}</w:instrText>
      </w:r>
      <w:r w:rsidR="00587084" w:rsidRPr="00D46540">
        <w:rPr>
          <w:rFonts w:ascii="Calibri" w:hAnsi="Calibri" w:cs="Calibri"/>
          <w:lang w:val="en-GB"/>
        </w:rPr>
        <w:fldChar w:fldCharType="separate"/>
      </w:r>
      <w:r w:rsidR="00525C77" w:rsidRPr="00D46540">
        <w:rPr>
          <w:rFonts w:ascii="Calibri" w:hAnsi="Calibri" w:cs="Calibri"/>
          <w:noProof/>
          <w:lang w:val="en-GB"/>
        </w:rPr>
        <w:t>[25]</w:t>
      </w:r>
      <w:r w:rsidR="00587084" w:rsidRPr="00D46540">
        <w:rPr>
          <w:rFonts w:ascii="Calibri" w:hAnsi="Calibri" w:cs="Calibri"/>
          <w:lang w:val="en-GB"/>
        </w:rPr>
        <w:fldChar w:fldCharType="end"/>
      </w:r>
      <w:r w:rsidR="008E3276" w:rsidRPr="00D46540">
        <w:rPr>
          <w:rFonts w:ascii="Calibri" w:hAnsi="Calibri" w:cs="Calibri"/>
          <w:lang w:val="en-GB"/>
        </w:rPr>
        <w:t>.</w:t>
      </w:r>
      <w:r w:rsidR="006D2604" w:rsidRPr="00D46540">
        <w:rPr>
          <w:rFonts w:ascii="Calibri" w:hAnsi="Calibri" w:cs="Calibri"/>
          <w:lang w:val="en-GB"/>
        </w:rPr>
        <w:t xml:space="preserve"> </w:t>
      </w:r>
      <w:r w:rsidR="008E3276" w:rsidRPr="00D46540">
        <w:rPr>
          <w:rFonts w:ascii="Calibri" w:hAnsi="Calibri" w:cs="Calibri"/>
          <w:lang w:val="en-GB"/>
        </w:rPr>
        <w:t>The th</w:t>
      </w:r>
      <w:r w:rsidR="00F705F4" w:rsidRPr="00D46540">
        <w:rPr>
          <w:rFonts w:ascii="Calibri" w:hAnsi="Calibri" w:cs="Calibri"/>
          <w:lang w:val="en-GB"/>
        </w:rPr>
        <w:t>ree</w:t>
      </w:r>
      <w:r w:rsidR="008E3276" w:rsidRPr="00D46540">
        <w:rPr>
          <w:rFonts w:ascii="Calibri" w:hAnsi="Calibri" w:cs="Calibri"/>
          <w:lang w:val="en-GB"/>
        </w:rPr>
        <w:t xml:space="preserve"> kidney transplant patient</w:t>
      </w:r>
      <w:r w:rsidR="00F705F4" w:rsidRPr="00D46540">
        <w:rPr>
          <w:rFonts w:ascii="Calibri" w:hAnsi="Calibri" w:cs="Calibri"/>
          <w:lang w:val="en-GB"/>
        </w:rPr>
        <w:t>s</w:t>
      </w:r>
      <w:r w:rsidR="008E3276" w:rsidRPr="00D46540">
        <w:rPr>
          <w:rFonts w:ascii="Calibri" w:hAnsi="Calibri" w:cs="Calibri"/>
          <w:lang w:val="en-GB"/>
        </w:rPr>
        <w:t xml:space="preserve"> who did not</w:t>
      </w:r>
      <w:r w:rsidR="00B34FA6" w:rsidRPr="00D46540">
        <w:rPr>
          <w:rFonts w:ascii="Calibri" w:hAnsi="Calibri" w:cs="Calibri"/>
          <w:lang w:val="en-GB"/>
        </w:rPr>
        <w:t xml:space="preserve"> </w:t>
      </w:r>
      <w:r w:rsidR="00C24958" w:rsidRPr="00D46540">
        <w:rPr>
          <w:rFonts w:ascii="Calibri" w:hAnsi="Calibri" w:cs="Calibri"/>
          <w:lang w:val="en-GB"/>
        </w:rPr>
        <w:t>have</w:t>
      </w:r>
      <w:r w:rsidR="00755022" w:rsidRPr="00D46540">
        <w:rPr>
          <w:rFonts w:ascii="Calibri" w:hAnsi="Calibri" w:cs="Calibri"/>
          <w:lang w:val="en-GB"/>
        </w:rPr>
        <w:t xml:space="preserve"> </w:t>
      </w:r>
      <w:r w:rsidR="008E3276" w:rsidRPr="00D46540">
        <w:rPr>
          <w:rFonts w:ascii="Calibri" w:hAnsi="Calibri" w:cs="Calibri"/>
          <w:lang w:val="en-GB"/>
        </w:rPr>
        <w:t xml:space="preserve">transplant rejection </w:t>
      </w:r>
      <w:r w:rsidR="00F705F4" w:rsidRPr="00D46540">
        <w:rPr>
          <w:rFonts w:ascii="Calibri" w:hAnsi="Calibri" w:cs="Calibri"/>
          <w:lang w:val="en-GB"/>
        </w:rPr>
        <w:t>all received more than 2 immu</w:t>
      </w:r>
      <w:r w:rsidR="00CB7742" w:rsidRPr="00D46540">
        <w:rPr>
          <w:rFonts w:ascii="Calibri" w:hAnsi="Calibri" w:cs="Calibri"/>
          <w:lang w:val="en-GB"/>
        </w:rPr>
        <w:t>no</w:t>
      </w:r>
      <w:r w:rsidR="00F705F4" w:rsidRPr="00D46540">
        <w:rPr>
          <w:rFonts w:ascii="Calibri" w:hAnsi="Calibri" w:cs="Calibri"/>
          <w:lang w:val="en-GB"/>
        </w:rPr>
        <w:t xml:space="preserve">suppressants and </w:t>
      </w:r>
      <w:r w:rsidR="008E3276" w:rsidRPr="00D46540">
        <w:rPr>
          <w:rFonts w:ascii="Calibri" w:hAnsi="Calibri" w:cs="Calibri"/>
          <w:lang w:val="en-GB"/>
        </w:rPr>
        <w:t>experienced disease progression</w:t>
      </w:r>
      <w:r w:rsidR="00B977C6" w:rsidRPr="00D46540">
        <w:rPr>
          <w:rFonts w:ascii="Calibri" w:hAnsi="Calibri" w:cs="Calibri"/>
          <w:lang w:val="en-GB"/>
        </w:rPr>
        <w:t xml:space="preserve"> </w:t>
      </w:r>
      <w:r w:rsidR="00F705F4"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10.1016/j.ejca.2016.07.026","ISSN":"09598049","author":[{"dropping-particle":"","family":"Herz","given":"Saskia","non-dropping-particle":"","parse-names":false,"suffix":""},{"dropping-particle":"","family":"Höfer","given":"Thomas","non-dropping-particle":"","parse-names":false,"suffix":""},{"dropping-particle":"","family":"Papapanagiotou","given":"Matina","non-dropping-particle":"","parse-names":false,"suffix":""},{"dropping-particle":"","family":"Leyh","given":"Julia Christina","non-dropping-particle":"","parse-names":false,"suffix":""},{"dropping-particle":"","family":"Meyenburg","given":"Sarah","non-dropping-particle":"","parse-names":false,"suffix":""},{"dropping-particle":"","family":"Schadendorf","given":"Dirk","non-dropping-particle":"","parse-names":false,"suffix":""},{"dropping-particle":"","family":"Ugurel","given":"Selma","non-dropping-particle":"","parse-names":false,"suffix":""},{"dropping-particle":"","family":"Roesch","given":"Alexander","non-dropping-particle":"","parse-names":false,"suffix":""},{"dropping-particle":"","family":"Livingstone","given":"Elisabeth","non-dropping-particle":"","parse-names":false,"suffix":""},{"dropping-particle":"","family":"Schilling","given":"Bastian","non-dropping-particle":"","parse-names":false,"suffix":""},{"dropping-particle":"","family":"Franklin","given":"Cindy","non-dropping-particle":"","parse-names":false,"suffix":""}],"container-title":"European Journal of Cancer","id":"ITEM-1","issued":{"date-parts":[["2016","11"]]},"page":"66-72","title":"Checkpoint inhibitors in chronic kidney failure and an organ transplant recipient","type":"article-journal","volume":"67"},"uris":["http://www.mendeley.com/documents/?uuid=728f271f-db07-3740-b061-2d5151ee751a"]},{"id":"ITEM-2","itemData":{"author":[{"dropping-particle":"","family":"Tio","given":"Martin","non-dropping-particle":"","parse-names":false,"suffix":""},{"dropping-particle":"","family":"Rai","given":"Rajat","non-dropping-particle":"","parse-names":false,"suffix":""},{"dropping-particle":"","family":"Ogochukwu","given":"Ezeoke","non-dropping-particle":"","parse-names":false,"suffix":""},{"dropping-particle":"","family":"Mcquade","given":"Jennifer L","non-dropping-particle":"","parse-names":false,"suffix":""},{"dropping-particle":"","family":"Khoo","given":"Chloe","non-dropping-particle":"","parse-names":false,"suffix":""},{"dropping-particle":"","family":"Park","given":"John J","non-dropping-particle":"","parse-names":false,"suffix":""},{"dropping-particle":"","family":"Ardolino","given":"Luke","non-dropping-particle":"","parse-names":false,"suffix":""},{"dropping-particle":"","family":"Yip","given":"Desmond","non-dropping-particle":"","parse-names":false,"suffix":""},{"dropping-particle":"","family":"Goldinger","given":"Simone M","non-dropping-particle":"","parse-names":false,"suffix":""},{"dropping-particle":"","family":"Justine","given":"V","non-dropping-particle":"","parse-names":false,"suffix":""},{"dropping-particle":"","family":"Millward","given":"Michael","non-dropping-particle":"","parse-names":false,"suffix":""},{"dropping-particle":"","family":"Atkinson","given":"Victoria","non-dropping-particle":"","parse-names":false,"suffix":""},{"dropping-particle":"","family":"Kane","given":"Alisa Y","non-dropping-particle":"","parse-names":false,"suffix":""},{"dropping-particle":"","family":"Paolo","given":"A","non-dropping-particle":"","parse-names":false,"suffix":""},{"dropping-particle":"","family":"Garbe","given":"Claus","non-dropping-particle":"","parse-names":false,"suffix":""},{"dropping-particle":"","family":"Gutzmer","given":"Ralf","non-dropping-particle":"","parse-names":false,"suffix":""},{"dropping-particle":"","family":"Johnson","given":"Douglas B","non-dropping-particle":"","parse-names":false,"suffix":""},{"dropping-particle":"","family":"Rizvi","given":"Hira A","non-dropping-particle":"","parse-names":false,"suffix":""},{"dropping-particle":"","family":"Joshua","given":"Anthony M","non-dropping-particle":"","parse-names":false,"suffix":""},{"dropping-particle":"","family":"Hellman","given":"Matthew D","non-dropping-particle":"","parse-names":false,"suffix":""},{"dropping-particle":"V","family":"Long","given":"Georgina","non-dropping-particle":"","parse-names":false,"suffix":""},{"dropping-particle":"","family":"Menzies","given":"Alexander M","non-dropping-particle":"","parse-names":false,"suffix":""}],"container-title":"EJC","id":"ITEM-2","issued":{"date-parts":[["2018"]]},"title":"Anti-PD-1/PD-L1 immunotherapy in patients with solid organ transplant, HIV, or hepatitis B/C infection.","type":"article-journal"},"uris":["http://www.mendeley.com/documents/?uuid=b8d10124-4d56-4a20-9054-0ba235bb8be3"]},{"id":"ITEM-3","itemData":{"DOI":"10.1111/ajt.15071","author":[{"dropping-particle":"","family":"Zehou","given":"Ouidad","non-dropping-particle":"","parse-names":false,"suffix":""},{"dropping-particle":"","family":"Leibler","given":"Claire","non-dropping-particle":"","parse-names":false,"suffix":""},{"dropping-particle":"","family":"Philippe","given":"Jean","non-dropping-particle":"","parse-names":false,"suffix":""},{"dropping-particle":"","family":"Johnny","given":"Arnault","non-dropping-particle":"","parse-names":false,"suffix":""},{"dropping-particle":"","family":"Montaudié","given":"Henri","non-dropping-particle":"","parse-names":false,"suffix":""},{"dropping-particle":"","family":"Rémy","given":"Philippe","non-dropping-particle":"","parse-names":false,"suffix":""},{"dropping-particle":"","family":"Glotz","given":"Denis","non-dropping-particle":"","parse-names":false,"suffix":""},{"dropping-particle":"","family":"Cordonnier","given":"Carole","non-dropping-particle":"","parse-names":false,"suffix":""},{"dropping-particle":"","family":"Martin","given":"Ludovic","non-dropping-particle":"","parse-names":false,"suffix":""},{"dropping-particle":"","family":"Lebbé","given":"Céleste","non-dropping-particle":"","parse-names":false,"suffix":""}],"container-title":"American Journal of Transplantation","id":"ITEM-3","issued":{"date-parts":[["2018"]]},"title":"Ipilimumab for the treatment of advanced melanoma in six kidney transplant patients","type":"article-journal"},"uris":["http://www.mendeley.com/documents/?uuid=31fbc978-9750-468b-834a-0410b46dc46f"]}],"mendeley":{"formattedCitation":"[26–28]","plainTextFormattedCitation":"[26–28]","previouslyFormattedCitation":"[26–28]"},"properties":{"noteIndex":0},"schema":"https://github.com/citation-style-language/schema/raw/master/csl-citation.json"}</w:instrText>
      </w:r>
      <w:r w:rsidR="00F705F4" w:rsidRPr="00D46540">
        <w:rPr>
          <w:rFonts w:ascii="Calibri" w:hAnsi="Calibri" w:cs="Calibri"/>
          <w:lang w:val="en-GB"/>
        </w:rPr>
        <w:fldChar w:fldCharType="separate"/>
      </w:r>
      <w:r w:rsidR="00525C77" w:rsidRPr="00D46540">
        <w:rPr>
          <w:rFonts w:ascii="Calibri" w:hAnsi="Calibri" w:cs="Calibri"/>
          <w:noProof/>
          <w:lang w:val="en-GB"/>
        </w:rPr>
        <w:t>[26–28]</w:t>
      </w:r>
      <w:r w:rsidR="00F705F4" w:rsidRPr="00D46540">
        <w:rPr>
          <w:rFonts w:ascii="Calibri" w:hAnsi="Calibri" w:cs="Calibri"/>
          <w:lang w:val="en-GB"/>
        </w:rPr>
        <w:fldChar w:fldCharType="end"/>
      </w:r>
      <w:r w:rsidR="00F705F4" w:rsidRPr="00D46540">
        <w:rPr>
          <w:rFonts w:ascii="Calibri" w:hAnsi="Calibri" w:cs="Calibri"/>
          <w:lang w:val="en-GB"/>
        </w:rPr>
        <w:t>.</w:t>
      </w:r>
    </w:p>
    <w:p w14:paraId="08FE86B1" w14:textId="77777777" w:rsidR="002B3A33" w:rsidRPr="00D46540" w:rsidRDefault="002B3A33" w:rsidP="008E3276">
      <w:pPr>
        <w:spacing w:line="360" w:lineRule="auto"/>
        <w:jc w:val="both"/>
        <w:rPr>
          <w:rFonts w:ascii="Calibri" w:hAnsi="Calibri" w:cs="Calibri"/>
          <w:lang w:val="en-GB"/>
        </w:rPr>
      </w:pPr>
    </w:p>
    <w:p w14:paraId="4957DD8A" w14:textId="3A97D4E2" w:rsidR="00D022FB" w:rsidRPr="00D46540" w:rsidRDefault="00033019" w:rsidP="008E3276">
      <w:pPr>
        <w:spacing w:line="360" w:lineRule="auto"/>
        <w:jc w:val="both"/>
        <w:rPr>
          <w:rFonts w:ascii="Calibri" w:hAnsi="Calibri" w:cs="Calibri"/>
          <w:b/>
          <w:lang w:val="en-GB"/>
        </w:rPr>
      </w:pPr>
      <w:r w:rsidRPr="00D46540">
        <w:rPr>
          <w:rFonts w:ascii="Calibri" w:hAnsi="Calibri" w:cs="Calibri"/>
          <w:b/>
          <w:lang w:val="en-GB"/>
        </w:rPr>
        <w:t>Discussion</w:t>
      </w:r>
    </w:p>
    <w:p w14:paraId="283981F7" w14:textId="06B92686" w:rsidR="00DC23E7" w:rsidRPr="00D46540" w:rsidRDefault="005036BF" w:rsidP="00AD6861">
      <w:pPr>
        <w:pStyle w:val="Commentaire"/>
        <w:spacing w:line="360" w:lineRule="auto"/>
        <w:jc w:val="both"/>
        <w:rPr>
          <w:rFonts w:ascii="Calibri" w:hAnsi="Calibri" w:cs="Calibri"/>
          <w:lang w:val="en-GB"/>
        </w:rPr>
      </w:pPr>
      <w:r w:rsidRPr="00D46540">
        <w:rPr>
          <w:rFonts w:ascii="Calibri" w:hAnsi="Calibri" w:cs="Calibri"/>
          <w:lang w:val="en-GB"/>
        </w:rPr>
        <w:t xml:space="preserve">Our analysis </w:t>
      </w:r>
      <w:r w:rsidR="00CB7742" w:rsidRPr="00D46540">
        <w:rPr>
          <w:rFonts w:ascii="Calibri" w:hAnsi="Calibri" w:cs="Calibri"/>
          <w:lang w:val="en-GB"/>
        </w:rPr>
        <w:t xml:space="preserve">reveals </w:t>
      </w:r>
      <w:r w:rsidRPr="00D46540">
        <w:rPr>
          <w:rFonts w:ascii="Calibri" w:hAnsi="Calibri" w:cs="Calibri"/>
          <w:lang w:val="en-GB"/>
        </w:rPr>
        <w:t xml:space="preserve">two </w:t>
      </w:r>
      <w:r w:rsidR="00C24958" w:rsidRPr="00D46540">
        <w:rPr>
          <w:rFonts w:ascii="Calibri" w:hAnsi="Calibri" w:cs="Calibri"/>
          <w:lang w:val="en-GB"/>
        </w:rPr>
        <w:t xml:space="preserve">melanoma </w:t>
      </w:r>
      <w:r w:rsidRPr="00D46540">
        <w:rPr>
          <w:rFonts w:ascii="Calibri" w:hAnsi="Calibri" w:cs="Calibri"/>
          <w:lang w:val="en-GB"/>
        </w:rPr>
        <w:t xml:space="preserve">patients with the most ideal response (complete and durable tumor response without </w:t>
      </w:r>
      <w:r w:rsidR="00DC23E7" w:rsidRPr="00D46540">
        <w:rPr>
          <w:rFonts w:ascii="Calibri" w:hAnsi="Calibri" w:cs="Calibri"/>
          <w:lang w:val="en-GB"/>
        </w:rPr>
        <w:t xml:space="preserve">organ </w:t>
      </w:r>
      <w:r w:rsidRPr="00D46540">
        <w:rPr>
          <w:rFonts w:ascii="Calibri" w:hAnsi="Calibri" w:cs="Calibri"/>
          <w:lang w:val="en-GB"/>
        </w:rPr>
        <w:t>rejection).</w:t>
      </w:r>
      <w:r w:rsidR="006D2604" w:rsidRPr="00D46540">
        <w:rPr>
          <w:rFonts w:ascii="Calibri" w:hAnsi="Calibri" w:cs="Calibri"/>
          <w:lang w:val="en-GB"/>
        </w:rPr>
        <w:t xml:space="preserve"> </w:t>
      </w:r>
      <w:r w:rsidRPr="00D46540">
        <w:rPr>
          <w:rFonts w:ascii="Calibri" w:hAnsi="Calibri" w:cs="Calibri"/>
          <w:lang w:val="en-GB"/>
        </w:rPr>
        <w:t xml:space="preserve">One patient had MMF and everolimus as immunosuppressive treatment </w:t>
      </w:r>
      <w:r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{"citationItems":[{"id":"ITEM-1","itemData":{"DOI":"10.1200/JCO.2018.36.4_suppl.328","ISSN":"0732-183X","abstract":"328Background: Patients with a history of solid organ transplants have been excluded from PD-1/PD-L1 inhibitor clinical trials due to concern for graft rejection. Only 2 case reports of PD-1 inhibitor use in patients with liver transplantation (LT) have been reported thus far. Here, we report our experience with using checkpoint inhibitors in metastatic cancer patients with LT. Methods: A single center pilot evaluation was conducted to evaluate the safety and efficacy of PD-1/PD-L1 inhibitors in patients with LT. PD-L1 staining on both the tumor and allograft were assessed if there was available tissue. The primary endpoint was evaluation of the risk for allograft rejection. Secondary endpoints included RECIST v1.1 and Immune-Related Response criteria (iRC) response rates, progression free survival (PFS) and overall survival (OS). Translational objectives included the relationship of PD-L1/PD-1 staining of tumor/allograft with response and rejection. Results: Six metastatic cancer patients with a history of LT received PD-1 inhibitor therapy (hepatocellular n=5, melanoma n=1). 3 patients were on mTOR inhibitor as immunosuppressive regimen and 3 on calcineurin inhibitor. Overall, allograft rejection was observed in 1/6 patients (on mTOR inhibitor). One patient achieved a CR (melanoma), 3 patients had PD and 2 patients discontinued therapy prior to restaging assessments. A single response (by both RECIST v1.1 and iRC) and rejection were reported in patients who received mTOR inhibitors (1 of 3). Three patients were tested for PD-L1 staining in the allograft tissue and all of them were negative (0% staining) with no graft rejections observed. Four patients had tumor PD-L1 evaluated (2 patients tested positive with 1 patient obtained a CR). The median OS, PFS and duration of therapy were 1.2, 1.8 and 1.2 months respectively. Conclusions: In this pilot evaluation of PD-1/PD-L1 inhibitors in LT patients both preliminary efficacy (1 of 4) and allograft rejection (1 of 6) was exhibited. Larger, prospective trials are needed to elucidate optimal patient and immunosuppressive regimen selection in these patients.","author":[{"dropping-particle":"","family":"DeLeon","given":"Thomas","non-dropping-particle":"","parse-names":false,"suffix":""},{"dropping-particle":"","family":"Salomao","given":"Marcela","non-dropping-particle":"","parse-names":false,"suffix":""},{"dropping-particle":"","family":"Aqel","given":"Bashar A","non-dropping-particle":"","parse-names":false,"suffix":""},{"dropping-particle":"","family":"Sonbol","given":"Mohamad B","non-dropping-particle":"","parse-names":false,"suffix":""},{"dropping-particle":"","family":"Bryce","given":"Alan Haruo","non-dropping-particle":"","parse-names":false,"suffix":""},{"dropping-particle":"","family":"Borad","given":"Mitesh J","non-dropping-particle":"","parse-names":false,"suffix":""}],"container-title":"Journal of Clinical Oncology","id":"ITEM-1","issue":"4_suppl","issued":{"date-parts":[["2018","2"]]},"page":"328","publisher":"American Society of Clinical Oncology","title":"Pilot evaluation of PD-1 inhibition in metastatic cancer patients with liver transplantations (LT): The Mayo Clinic experience.","type":"article-journal","volume":"36"},"uris":["http://www.mendeley.com/documents/?uuid=9707d6e2-310a-4d99-b162-23c5298b3600"]}],"mendeley":{"formattedCitation":"[21]","plainTextFormattedCitation":"[21]","previouslyFormattedCitation":"[21]"},"properties":{"noteIndex":0},"schema":"https://github.com/citation-style-language/schema/raw/master/csl-citation.json"}</w:instrText>
      </w:r>
      <w:r w:rsidRPr="00D46540">
        <w:rPr>
          <w:rFonts w:ascii="Calibri" w:hAnsi="Calibri" w:cs="Calibri"/>
          <w:lang w:val="en-GB"/>
        </w:rPr>
        <w:fldChar w:fldCharType="separate"/>
      </w:r>
      <w:r w:rsidR="00525C77" w:rsidRPr="00D46540">
        <w:rPr>
          <w:rFonts w:ascii="Calibri" w:hAnsi="Calibri" w:cs="Calibri"/>
          <w:noProof/>
          <w:lang w:val="en-GB"/>
        </w:rPr>
        <w:t>[21]</w:t>
      </w:r>
      <w:r w:rsidRPr="00D46540">
        <w:rPr>
          <w:rFonts w:ascii="Calibri" w:hAnsi="Calibri" w:cs="Calibri"/>
          <w:lang w:val="en-GB"/>
        </w:rPr>
        <w:fldChar w:fldCharType="end"/>
      </w:r>
      <w:r w:rsidRPr="00D46540">
        <w:rPr>
          <w:rFonts w:ascii="Calibri" w:hAnsi="Calibri" w:cs="Calibri"/>
          <w:lang w:val="en-GB"/>
        </w:rPr>
        <w:t xml:space="preserve"> </w:t>
      </w:r>
      <w:r w:rsidR="00DC23E7" w:rsidRPr="00D46540">
        <w:rPr>
          <w:rFonts w:ascii="Calibri" w:hAnsi="Calibri" w:cs="Calibri"/>
          <w:lang w:val="en-GB"/>
        </w:rPr>
        <w:t xml:space="preserve">and </w:t>
      </w:r>
      <w:r w:rsidRPr="00D46540">
        <w:rPr>
          <w:rFonts w:ascii="Calibri" w:hAnsi="Calibri" w:cs="Calibri"/>
          <w:lang w:val="en-GB"/>
        </w:rPr>
        <w:t xml:space="preserve">the other patient had tacrolimus monotherapy </w:t>
      </w:r>
      <w:r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10.7326/L17-0187","ISBN":"0000000000000","ISSN":"0003-4819","author":[{"dropping-particle":"","family":"Schvartsman","given":"Gustavo","non-dropping-particle":"","parse-names":false,"suffix":""},{"dropping-particle":"","family":"Perez","given":"Kristen","non-dropping-particle":"","parse-names":false,"suffix":""},{"dropping-particle":"","family":"Sood","given":"Gagan","non-dropping-particle":"","parse-names":false,"suffix":""},{"dropping-particle":"","family":"Katkhuda","given":"Riham","non-dropping-particle":"","parse-names":false,"suffix":""},{"dropping-particle":"","family":"Tawbi","given":"Hussein","non-dropping-particle":"","parse-names":false,"suffix":""}],"container-title":"Annals of Internal Medicine","id":"ITEM-1","issue":"5","issued":{"date-parts":[["2017","9"]]},"page":"361","title":"Immune Checkpoint Inhibitor Therapy in a Liver Transplant Recipient With Melanoma","type":"article-journal","volume":"167"},"uris":["http://www.mendeley.com/documents/?uuid=7f2c256b-6785-4553-8574-ff579178a480"]}],"mendeley":{"formattedCitation":"[20]","plainTextFormattedCitation":"[20]","previouslyFormattedCitation":"[20]"},"properties":{"noteIndex":0},"schema":"https://github.com/citation-style-language/schema/raw/master/csl-citation.json"}</w:instrText>
      </w:r>
      <w:r w:rsidRPr="00D46540">
        <w:rPr>
          <w:rFonts w:ascii="Calibri" w:hAnsi="Calibri" w:cs="Calibri"/>
          <w:lang w:val="en-GB"/>
        </w:rPr>
        <w:fldChar w:fldCharType="separate"/>
      </w:r>
      <w:r w:rsidR="00525C77" w:rsidRPr="00D46540">
        <w:rPr>
          <w:rFonts w:ascii="Calibri" w:hAnsi="Calibri" w:cs="Calibri"/>
          <w:noProof/>
          <w:lang w:val="en-GB"/>
        </w:rPr>
        <w:t>[20]</w:t>
      </w:r>
      <w:r w:rsidRPr="00D46540">
        <w:rPr>
          <w:rFonts w:ascii="Calibri" w:hAnsi="Calibri" w:cs="Calibri"/>
          <w:lang w:val="en-GB"/>
        </w:rPr>
        <w:fldChar w:fldCharType="end"/>
      </w:r>
      <w:r w:rsidRPr="00D46540">
        <w:rPr>
          <w:rFonts w:ascii="Calibri" w:hAnsi="Calibri" w:cs="Calibri"/>
          <w:lang w:val="en-GB"/>
        </w:rPr>
        <w:t>.</w:t>
      </w:r>
      <w:r w:rsidR="006D2604" w:rsidRPr="00D46540">
        <w:rPr>
          <w:rFonts w:ascii="Calibri" w:hAnsi="Calibri" w:cs="Calibri"/>
          <w:lang w:val="en-GB"/>
        </w:rPr>
        <w:t xml:space="preserve"> </w:t>
      </w:r>
      <w:r w:rsidRPr="00D46540">
        <w:rPr>
          <w:rFonts w:ascii="Calibri" w:hAnsi="Calibri" w:cs="Calibri"/>
          <w:lang w:val="en-GB"/>
        </w:rPr>
        <w:t xml:space="preserve">Another </w:t>
      </w:r>
      <w:r w:rsidR="00AD6861" w:rsidRPr="00D46540">
        <w:rPr>
          <w:rFonts w:ascii="Calibri" w:hAnsi="Calibri" w:cs="Calibri"/>
          <w:lang w:val="en-GB"/>
        </w:rPr>
        <w:t>8</w:t>
      </w:r>
      <w:r w:rsidRPr="00D46540">
        <w:rPr>
          <w:rFonts w:ascii="Calibri" w:hAnsi="Calibri" w:cs="Calibri"/>
          <w:lang w:val="en-GB"/>
        </w:rPr>
        <w:t xml:space="preserve"> patients had </w:t>
      </w:r>
      <w:r w:rsidR="00DC23E7" w:rsidRPr="00D46540">
        <w:rPr>
          <w:rFonts w:ascii="Calibri" w:hAnsi="Calibri" w:cs="Calibri"/>
          <w:lang w:val="en-GB"/>
        </w:rPr>
        <w:t xml:space="preserve">a anti-tumor </w:t>
      </w:r>
      <w:r w:rsidRPr="00D46540">
        <w:rPr>
          <w:rFonts w:ascii="Calibri" w:hAnsi="Calibri" w:cs="Calibri"/>
          <w:lang w:val="en-GB"/>
        </w:rPr>
        <w:t>response</w:t>
      </w:r>
      <w:r w:rsidR="00315B3C" w:rsidRPr="00D46540">
        <w:rPr>
          <w:rFonts w:ascii="Calibri" w:hAnsi="Calibri" w:cs="Calibri"/>
          <w:lang w:val="en-GB"/>
        </w:rPr>
        <w:t xml:space="preserve"> (PR and SD)</w:t>
      </w:r>
      <w:r w:rsidRPr="00D46540">
        <w:rPr>
          <w:rFonts w:ascii="Calibri" w:hAnsi="Calibri" w:cs="Calibri"/>
          <w:lang w:val="en-GB"/>
        </w:rPr>
        <w:t xml:space="preserve"> without rejection.</w:t>
      </w:r>
      <w:r w:rsidR="006D2604" w:rsidRPr="00D46540">
        <w:rPr>
          <w:rFonts w:ascii="Calibri" w:hAnsi="Calibri" w:cs="Calibri"/>
          <w:lang w:val="en-GB"/>
        </w:rPr>
        <w:t xml:space="preserve"> </w:t>
      </w:r>
      <w:r w:rsidRPr="00D46540">
        <w:rPr>
          <w:rFonts w:ascii="Calibri" w:hAnsi="Calibri" w:cs="Calibri"/>
          <w:lang w:val="en-GB"/>
        </w:rPr>
        <w:t>It</w:t>
      </w:r>
      <w:r w:rsidR="006058E4" w:rsidRPr="00D46540">
        <w:rPr>
          <w:rFonts w:ascii="Calibri" w:hAnsi="Calibri" w:cs="Calibri"/>
          <w:lang w:val="en-GB"/>
        </w:rPr>
        <w:t xml:space="preserve"> might be counterintuitive</w:t>
      </w:r>
      <w:r w:rsidR="00D022FB" w:rsidRPr="00D46540">
        <w:rPr>
          <w:rFonts w:ascii="Calibri" w:hAnsi="Calibri" w:cs="Calibri"/>
          <w:lang w:val="en-GB"/>
        </w:rPr>
        <w:t xml:space="preserve"> from an immunological point </w:t>
      </w:r>
      <w:r w:rsidR="00755022" w:rsidRPr="00D46540">
        <w:rPr>
          <w:rFonts w:ascii="Calibri" w:hAnsi="Calibri" w:cs="Calibri"/>
          <w:lang w:val="en-GB"/>
        </w:rPr>
        <w:t xml:space="preserve">of view </w:t>
      </w:r>
      <w:r w:rsidRPr="00D46540">
        <w:rPr>
          <w:rFonts w:ascii="Calibri" w:hAnsi="Calibri" w:cs="Calibri"/>
          <w:lang w:val="en-GB"/>
        </w:rPr>
        <w:t>to reject cancer</w:t>
      </w:r>
      <w:r w:rsidR="0023162E" w:rsidRPr="00D46540">
        <w:rPr>
          <w:rFonts w:ascii="Calibri" w:hAnsi="Calibri" w:cs="Calibri"/>
          <w:lang w:val="en-GB"/>
        </w:rPr>
        <w:t xml:space="preserve"> </w:t>
      </w:r>
      <w:r w:rsidR="00D229EB" w:rsidRPr="00D46540">
        <w:rPr>
          <w:rFonts w:ascii="Calibri" w:hAnsi="Calibri" w:cs="Calibri"/>
          <w:lang w:val="en-GB"/>
        </w:rPr>
        <w:t xml:space="preserve">cells </w:t>
      </w:r>
      <w:r w:rsidR="00DC23E7" w:rsidRPr="00D46540">
        <w:rPr>
          <w:rFonts w:ascii="Calibri" w:hAnsi="Calibri" w:cs="Calibri"/>
          <w:lang w:val="en-GB"/>
        </w:rPr>
        <w:t>and</w:t>
      </w:r>
      <w:r w:rsidRPr="00D46540">
        <w:rPr>
          <w:rFonts w:ascii="Calibri" w:hAnsi="Calibri" w:cs="Calibri"/>
          <w:lang w:val="en-GB"/>
        </w:rPr>
        <w:t xml:space="preserve"> not the graft</w:t>
      </w:r>
      <w:r w:rsidR="00AD6861" w:rsidRPr="00D46540">
        <w:rPr>
          <w:rFonts w:ascii="Calibri" w:hAnsi="Calibri" w:cs="Calibri"/>
          <w:lang w:val="en-GB"/>
        </w:rPr>
        <w:t xml:space="preserve"> but 2</w:t>
      </w:r>
      <w:r w:rsidR="000105D8" w:rsidRPr="00D46540">
        <w:rPr>
          <w:rFonts w:ascii="Calibri" w:hAnsi="Calibri" w:cs="Calibri"/>
          <w:lang w:val="en-GB"/>
        </w:rPr>
        <w:t>1</w:t>
      </w:r>
      <w:r w:rsidR="00AD6861" w:rsidRPr="00D46540">
        <w:rPr>
          <w:rFonts w:ascii="Calibri" w:hAnsi="Calibri" w:cs="Calibri"/>
          <w:lang w:val="en-GB"/>
        </w:rPr>
        <w:t xml:space="preserve">% </w:t>
      </w:r>
      <w:r w:rsidR="00CB7742" w:rsidRPr="00D46540">
        <w:rPr>
          <w:rFonts w:ascii="Calibri" w:hAnsi="Calibri" w:cs="Calibri"/>
          <w:lang w:val="en-GB"/>
        </w:rPr>
        <w:t xml:space="preserve">(10/48) </w:t>
      </w:r>
      <w:r w:rsidR="00AD6861" w:rsidRPr="00D46540">
        <w:rPr>
          <w:rFonts w:ascii="Calibri" w:hAnsi="Calibri" w:cs="Calibri"/>
          <w:lang w:val="en-GB"/>
        </w:rPr>
        <w:t>of the patients reported</w:t>
      </w:r>
      <w:r w:rsidR="00DC23E7" w:rsidRPr="00D46540">
        <w:rPr>
          <w:rFonts w:ascii="Calibri" w:hAnsi="Calibri" w:cs="Calibri"/>
          <w:lang w:val="en-GB"/>
        </w:rPr>
        <w:t xml:space="preserve"> </w:t>
      </w:r>
      <w:r w:rsidR="000105D8" w:rsidRPr="00D46540">
        <w:rPr>
          <w:rFonts w:ascii="Calibri" w:hAnsi="Calibri" w:cs="Calibri"/>
          <w:lang w:val="en-GB"/>
        </w:rPr>
        <w:t>here</w:t>
      </w:r>
      <w:r w:rsidR="00CB7742" w:rsidRPr="00D46540">
        <w:rPr>
          <w:rFonts w:ascii="Calibri" w:hAnsi="Calibri" w:cs="Calibri"/>
          <w:lang w:val="en-GB"/>
        </w:rPr>
        <w:t xml:space="preserve"> </w:t>
      </w:r>
      <w:r w:rsidR="00DC23E7" w:rsidRPr="00D46540">
        <w:rPr>
          <w:rFonts w:ascii="Calibri" w:hAnsi="Calibri" w:cs="Calibri"/>
          <w:lang w:val="en-GB"/>
        </w:rPr>
        <w:t>experienced it</w:t>
      </w:r>
      <w:r w:rsidR="00D229EB" w:rsidRPr="00D46540">
        <w:rPr>
          <w:rFonts w:ascii="Calibri" w:hAnsi="Calibri" w:cs="Calibri"/>
          <w:lang w:val="en-GB"/>
        </w:rPr>
        <w:t>.</w:t>
      </w:r>
      <w:r w:rsidR="006D2604" w:rsidRPr="00D46540">
        <w:rPr>
          <w:rFonts w:ascii="Calibri" w:hAnsi="Calibri" w:cs="Calibri"/>
          <w:lang w:val="en-GB"/>
        </w:rPr>
        <w:t xml:space="preserve"> </w:t>
      </w:r>
      <w:r w:rsidR="00D229EB" w:rsidRPr="00D46540">
        <w:rPr>
          <w:rFonts w:ascii="Calibri" w:hAnsi="Calibri" w:cs="Calibri"/>
          <w:lang w:val="en-GB"/>
        </w:rPr>
        <w:t>W</w:t>
      </w:r>
      <w:r w:rsidRPr="00D46540">
        <w:rPr>
          <w:rFonts w:ascii="Calibri" w:hAnsi="Calibri" w:cs="Calibri"/>
          <w:lang w:val="en-GB"/>
        </w:rPr>
        <w:t xml:space="preserve">e might thus speculate that </w:t>
      </w:r>
      <w:r w:rsidR="00AD6861" w:rsidRPr="00D46540">
        <w:rPr>
          <w:rFonts w:ascii="Calibri" w:hAnsi="Calibri" w:cs="Calibri"/>
          <w:lang w:val="en-GB"/>
        </w:rPr>
        <w:t>immune quiescence is PD1-dependent for the tumor and not for the transplant and vice versa for others.</w:t>
      </w:r>
      <w:r w:rsidR="006D2604" w:rsidRPr="00D46540">
        <w:rPr>
          <w:rFonts w:ascii="Calibri" w:hAnsi="Calibri" w:cs="Calibri"/>
          <w:lang w:val="en-GB"/>
        </w:rPr>
        <w:t xml:space="preserve"> </w:t>
      </w:r>
      <w:r w:rsidR="005610E9" w:rsidRPr="00D46540">
        <w:rPr>
          <w:rFonts w:ascii="Calibri" w:hAnsi="Calibri" w:cs="Calibri"/>
          <w:lang w:val="en-GB"/>
        </w:rPr>
        <w:t>Many preclinical cancer models are also (syngeneic) graft models which are</w:t>
      </w:r>
      <w:r w:rsidR="00785B83" w:rsidRPr="00D46540">
        <w:rPr>
          <w:rFonts w:ascii="Calibri" w:hAnsi="Calibri" w:cs="Calibri"/>
          <w:lang w:val="en-GB"/>
        </w:rPr>
        <w:t xml:space="preserve"> therefore</w:t>
      </w:r>
      <w:r w:rsidR="005610E9" w:rsidRPr="00D46540">
        <w:rPr>
          <w:rFonts w:ascii="Calibri" w:hAnsi="Calibri" w:cs="Calibri"/>
          <w:lang w:val="en-GB"/>
        </w:rPr>
        <w:t xml:space="preserve"> not suited to analyse this. </w:t>
      </w:r>
      <w:r w:rsidR="00785B83" w:rsidRPr="00D46540">
        <w:rPr>
          <w:rFonts w:ascii="Calibri" w:hAnsi="Calibri" w:cs="Calibri"/>
          <w:lang w:val="en-GB"/>
        </w:rPr>
        <w:t>To</w:t>
      </w:r>
      <w:r w:rsidRPr="00D46540">
        <w:rPr>
          <w:rFonts w:ascii="Calibri" w:hAnsi="Calibri" w:cs="Calibri"/>
          <w:lang w:val="en-GB"/>
        </w:rPr>
        <w:t xml:space="preserve"> </w:t>
      </w:r>
      <w:r w:rsidR="006058E4" w:rsidRPr="00D46540">
        <w:rPr>
          <w:rFonts w:ascii="Calibri" w:hAnsi="Calibri" w:cs="Calibri"/>
          <w:lang w:val="en-GB"/>
        </w:rPr>
        <w:t xml:space="preserve">better understand this </w:t>
      </w:r>
      <w:r w:rsidR="005610E9" w:rsidRPr="00D46540">
        <w:rPr>
          <w:rFonts w:ascii="Calibri" w:hAnsi="Calibri" w:cs="Calibri"/>
          <w:lang w:val="en-GB"/>
        </w:rPr>
        <w:t>‘</w:t>
      </w:r>
      <w:r w:rsidR="00D022FB" w:rsidRPr="00D46540">
        <w:rPr>
          <w:rFonts w:ascii="Calibri" w:hAnsi="Calibri" w:cs="Calibri"/>
          <w:lang w:val="en-GB"/>
        </w:rPr>
        <w:t>ideal</w:t>
      </w:r>
      <w:r w:rsidR="005610E9" w:rsidRPr="00D46540">
        <w:rPr>
          <w:rFonts w:ascii="Calibri" w:hAnsi="Calibri" w:cs="Calibri"/>
          <w:lang w:val="en-GB"/>
        </w:rPr>
        <w:t>’</w:t>
      </w:r>
      <w:r w:rsidR="00D022FB" w:rsidRPr="00D46540">
        <w:rPr>
          <w:rFonts w:ascii="Calibri" w:hAnsi="Calibri" w:cs="Calibri"/>
          <w:lang w:val="en-GB"/>
        </w:rPr>
        <w:t xml:space="preserve"> situation, </w:t>
      </w:r>
      <w:r w:rsidR="00A61A49" w:rsidRPr="00D46540">
        <w:rPr>
          <w:rFonts w:ascii="Calibri" w:hAnsi="Calibri" w:cs="Calibri"/>
          <w:lang w:val="en-GB"/>
        </w:rPr>
        <w:t xml:space="preserve">transplant patients with advanced cancer should be treated in clinical care paths or in </w:t>
      </w:r>
      <w:r w:rsidR="006058E4" w:rsidRPr="00D46540">
        <w:rPr>
          <w:rFonts w:ascii="Calibri" w:hAnsi="Calibri" w:cs="Calibri"/>
          <w:lang w:val="en-GB"/>
        </w:rPr>
        <w:t>study protocol</w:t>
      </w:r>
      <w:r w:rsidR="00D229EB" w:rsidRPr="00D46540">
        <w:rPr>
          <w:rFonts w:ascii="Calibri" w:hAnsi="Calibri" w:cs="Calibri"/>
          <w:lang w:val="en-GB"/>
        </w:rPr>
        <w:t>s</w:t>
      </w:r>
      <w:r w:rsidR="005610E9" w:rsidRPr="00D46540">
        <w:rPr>
          <w:rFonts w:ascii="Calibri" w:hAnsi="Calibri" w:cs="Calibri"/>
          <w:lang w:val="en-GB"/>
        </w:rPr>
        <w:t>.</w:t>
      </w:r>
      <w:r w:rsidR="006D2604" w:rsidRPr="00D46540">
        <w:rPr>
          <w:rFonts w:ascii="Calibri" w:hAnsi="Calibri" w:cs="Calibri"/>
          <w:lang w:val="en-GB"/>
        </w:rPr>
        <w:t xml:space="preserve"> </w:t>
      </w:r>
      <w:r w:rsidR="00D022FB" w:rsidRPr="00D46540">
        <w:rPr>
          <w:rFonts w:ascii="Calibri" w:hAnsi="Calibri" w:cs="Calibri"/>
          <w:lang w:val="en-GB"/>
        </w:rPr>
        <w:t xml:space="preserve">Ideally, we should </w:t>
      </w:r>
      <w:r w:rsidR="00DC23E7" w:rsidRPr="00D46540">
        <w:rPr>
          <w:rFonts w:ascii="Calibri" w:hAnsi="Calibri" w:cs="Calibri"/>
          <w:lang w:val="en-GB"/>
        </w:rPr>
        <w:t>find</w:t>
      </w:r>
      <w:r w:rsidR="005610E9" w:rsidRPr="00D46540">
        <w:rPr>
          <w:rFonts w:ascii="Calibri" w:hAnsi="Calibri" w:cs="Calibri"/>
          <w:lang w:val="en-GB"/>
        </w:rPr>
        <w:t xml:space="preserve"> biomarkers </w:t>
      </w:r>
      <w:r w:rsidR="00D022FB" w:rsidRPr="00D46540">
        <w:rPr>
          <w:rFonts w:ascii="Calibri" w:hAnsi="Calibri" w:cs="Calibri"/>
          <w:lang w:val="en-GB"/>
        </w:rPr>
        <w:t xml:space="preserve">to determine a </w:t>
      </w:r>
      <w:r w:rsidR="000105D8" w:rsidRPr="00D46540">
        <w:rPr>
          <w:rFonts w:ascii="Calibri" w:hAnsi="Calibri" w:cs="Calibri"/>
          <w:lang w:val="en-GB"/>
        </w:rPr>
        <w:t>‘</w:t>
      </w:r>
      <w:r w:rsidR="00D022FB" w:rsidRPr="00D46540">
        <w:rPr>
          <w:rFonts w:ascii="Calibri" w:hAnsi="Calibri" w:cs="Calibri"/>
          <w:lang w:val="en-GB"/>
        </w:rPr>
        <w:t>cancer immune set</w:t>
      </w:r>
      <w:r w:rsidR="0065457A" w:rsidRPr="00D46540">
        <w:rPr>
          <w:rFonts w:ascii="Calibri" w:hAnsi="Calibri" w:cs="Calibri"/>
          <w:lang w:val="en-GB"/>
        </w:rPr>
        <w:t>-</w:t>
      </w:r>
      <w:r w:rsidR="00D022FB" w:rsidRPr="00D46540">
        <w:rPr>
          <w:rFonts w:ascii="Calibri" w:hAnsi="Calibri" w:cs="Calibri"/>
          <w:lang w:val="en-GB"/>
        </w:rPr>
        <w:t>point</w:t>
      </w:r>
      <w:r w:rsidR="000105D8" w:rsidRPr="00D46540">
        <w:rPr>
          <w:rFonts w:ascii="Calibri" w:hAnsi="Calibri" w:cs="Calibri"/>
          <w:lang w:val="en-GB"/>
        </w:rPr>
        <w:t>’</w:t>
      </w:r>
      <w:r w:rsidR="00D022FB" w:rsidRPr="00D46540">
        <w:rPr>
          <w:rFonts w:ascii="Calibri" w:hAnsi="Calibri" w:cs="Calibri"/>
          <w:lang w:val="en-GB"/>
        </w:rPr>
        <w:t xml:space="preserve"> for every individual patient in order to </w:t>
      </w:r>
      <w:r w:rsidR="000105D8" w:rsidRPr="00D46540">
        <w:rPr>
          <w:rFonts w:ascii="Calibri" w:hAnsi="Calibri" w:cs="Calibri"/>
          <w:lang w:val="en-GB"/>
        </w:rPr>
        <w:t>personalize</w:t>
      </w:r>
      <w:r w:rsidR="00D022FB" w:rsidRPr="00D46540">
        <w:rPr>
          <w:rFonts w:ascii="Calibri" w:hAnsi="Calibri" w:cs="Calibri"/>
          <w:lang w:val="en-GB"/>
        </w:rPr>
        <w:t xml:space="preserve"> </w:t>
      </w:r>
      <w:r w:rsidR="000105D8" w:rsidRPr="00D46540">
        <w:rPr>
          <w:rFonts w:ascii="Calibri" w:hAnsi="Calibri" w:cs="Calibri"/>
          <w:lang w:val="en-GB"/>
        </w:rPr>
        <w:t xml:space="preserve">both </w:t>
      </w:r>
      <w:r w:rsidR="00D022FB" w:rsidRPr="00D46540">
        <w:rPr>
          <w:rFonts w:ascii="Calibri" w:hAnsi="Calibri" w:cs="Calibri"/>
          <w:lang w:val="en-GB"/>
        </w:rPr>
        <w:t xml:space="preserve">type and intensity of immunosuppression </w:t>
      </w:r>
      <w:r w:rsidR="000105D8" w:rsidRPr="00D46540">
        <w:rPr>
          <w:rFonts w:ascii="Calibri" w:hAnsi="Calibri" w:cs="Calibri"/>
          <w:lang w:val="en-GB"/>
        </w:rPr>
        <w:t>to preserve</w:t>
      </w:r>
      <w:r w:rsidR="005610E9" w:rsidRPr="00D46540">
        <w:rPr>
          <w:rFonts w:ascii="Calibri" w:hAnsi="Calibri" w:cs="Calibri"/>
          <w:lang w:val="en-GB"/>
        </w:rPr>
        <w:t xml:space="preserve"> the graft </w:t>
      </w:r>
      <w:r w:rsidR="00D022FB" w:rsidRPr="00D46540">
        <w:rPr>
          <w:rFonts w:ascii="Calibri" w:hAnsi="Calibri" w:cs="Calibri"/>
          <w:lang w:val="en-GB"/>
        </w:rPr>
        <w:t xml:space="preserve">and </w:t>
      </w:r>
      <w:r w:rsidR="000105D8" w:rsidRPr="00D46540">
        <w:rPr>
          <w:rFonts w:ascii="Calibri" w:hAnsi="Calibri" w:cs="Calibri"/>
          <w:lang w:val="en-GB"/>
        </w:rPr>
        <w:t>to adapt the immunotherapy to get rid of</w:t>
      </w:r>
      <w:r w:rsidR="005610E9" w:rsidRPr="00D46540">
        <w:rPr>
          <w:rFonts w:ascii="Calibri" w:hAnsi="Calibri" w:cs="Calibri"/>
          <w:lang w:val="en-GB"/>
        </w:rPr>
        <w:t xml:space="preserve"> the tumor</w:t>
      </w:r>
      <w:r w:rsidR="00CC5800" w:rsidRPr="00D46540">
        <w:rPr>
          <w:rFonts w:ascii="Calibri" w:hAnsi="Calibri" w:cs="Calibri"/>
          <w:lang w:val="en-GB"/>
        </w:rPr>
        <w:t xml:space="preserve"> </w:t>
      </w:r>
      <w:r w:rsidR="00CC5800"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{"citationItems":[{"id":"ITEM-1","itemData":{"DOI":"10.1038/nature21349","ISSN":"0028-0836","PMID":"28102259","author":[{"dropping-particle":"","family":"Chen","given":"Daniel S.","non-dropping-particle":"","parse-names":false,"suffix":""},{"dropping-particle":"","family":"Mellman","given":"Ira","non-dropping-particle":"","parse-names":false,"suffix":""}],"container-title":"Nature","id":"ITEM-1","issue":"7637","issued":{"date-parts":[["2017"]]},"page":"321-330","title":"Elements of cancer immunity and the cancer–immune set point","type":"article-journal","volume":"541"},"uris":["http://www.mendeley.com/documents/?uuid=07267a1d-f1ec-4a3d-95e4-59203ce963c8"]}],"mendeley":{"formattedCitation":"[29]","plainTextFormattedCitation":"[29]","previouslyFormattedCitation":"[29]"},"properties":{"noteIndex":0},"schema":"https://github.com/citation-style-language/schema/raw/master/csl-citation.json"}</w:instrText>
      </w:r>
      <w:r w:rsidR="00CC5800" w:rsidRPr="00D46540">
        <w:rPr>
          <w:rFonts w:ascii="Calibri" w:hAnsi="Calibri" w:cs="Calibri"/>
          <w:lang w:val="en-GB"/>
        </w:rPr>
        <w:fldChar w:fldCharType="separate"/>
      </w:r>
      <w:r w:rsidR="00525C77" w:rsidRPr="00D46540">
        <w:rPr>
          <w:rFonts w:ascii="Calibri" w:hAnsi="Calibri" w:cs="Calibri"/>
          <w:noProof/>
          <w:lang w:val="en-GB"/>
        </w:rPr>
        <w:t>[29]</w:t>
      </w:r>
      <w:r w:rsidR="00CC5800" w:rsidRPr="00D46540">
        <w:rPr>
          <w:rFonts w:ascii="Calibri" w:hAnsi="Calibri" w:cs="Calibri"/>
          <w:lang w:val="en-GB"/>
        </w:rPr>
        <w:fldChar w:fldCharType="end"/>
      </w:r>
      <w:r w:rsidR="00D022FB" w:rsidRPr="00D46540">
        <w:rPr>
          <w:rFonts w:ascii="Calibri" w:hAnsi="Calibri" w:cs="Calibri"/>
          <w:lang w:val="en-GB"/>
        </w:rPr>
        <w:t>.</w:t>
      </w:r>
      <w:r w:rsidR="006D2604" w:rsidRPr="00D46540">
        <w:rPr>
          <w:rFonts w:ascii="Calibri" w:hAnsi="Calibri" w:cs="Calibri"/>
          <w:lang w:val="en-GB"/>
        </w:rPr>
        <w:t xml:space="preserve"> </w:t>
      </w:r>
      <w:r w:rsidR="00785B83" w:rsidRPr="00D46540">
        <w:rPr>
          <w:rFonts w:ascii="Calibri" w:hAnsi="Calibri" w:cs="Calibri"/>
          <w:lang w:val="en-GB"/>
        </w:rPr>
        <w:t xml:space="preserve">Although this is out of the scope of this review, opportunistic infections are another sign of </w:t>
      </w:r>
      <w:r w:rsidR="009D6D9F" w:rsidRPr="00D46540">
        <w:rPr>
          <w:rFonts w:ascii="Calibri" w:hAnsi="Calibri" w:cs="Calibri"/>
          <w:lang w:val="en-GB"/>
        </w:rPr>
        <w:t>over-</w:t>
      </w:r>
      <w:r w:rsidR="00785B83" w:rsidRPr="00D46540">
        <w:rPr>
          <w:rFonts w:ascii="Calibri" w:hAnsi="Calibri" w:cs="Calibri"/>
          <w:lang w:val="en-GB"/>
        </w:rPr>
        <w:t>immunosuppression in this population, therefore ideally we should strive towards a cancer – opportunistic infection -immune setpoint</w:t>
      </w:r>
      <w:r w:rsidR="00AD6861" w:rsidRPr="00D46540">
        <w:rPr>
          <w:rFonts w:ascii="Calibri" w:hAnsi="Calibri" w:cs="Calibri"/>
          <w:lang w:val="en-GB"/>
        </w:rPr>
        <w:t>.</w:t>
      </w:r>
      <w:r w:rsidR="006D2604" w:rsidRPr="00D46540">
        <w:rPr>
          <w:rFonts w:ascii="Calibri" w:hAnsi="Calibri" w:cs="Calibri"/>
          <w:lang w:val="en-GB"/>
        </w:rPr>
        <w:t xml:space="preserve"> </w:t>
      </w:r>
      <w:r w:rsidR="00DC23E7" w:rsidRPr="00D46540">
        <w:rPr>
          <w:rFonts w:ascii="Calibri" w:hAnsi="Calibri" w:cs="Calibri"/>
          <w:lang w:val="en-GB"/>
        </w:rPr>
        <w:t>Immune monitoring of peripheral blood samples with e</w:t>
      </w:r>
      <w:r w:rsidR="00C755ED">
        <w:rPr>
          <w:rFonts w:ascii="Calibri" w:hAnsi="Calibri" w:cs="Calibri"/>
          <w:lang w:val="en-GB"/>
        </w:rPr>
        <w:t>.</w:t>
      </w:r>
      <w:r w:rsidR="00DC23E7" w:rsidRPr="00D46540">
        <w:rPr>
          <w:rFonts w:ascii="Calibri" w:hAnsi="Calibri" w:cs="Calibri"/>
          <w:lang w:val="en-GB"/>
        </w:rPr>
        <w:t>g</w:t>
      </w:r>
      <w:r w:rsidR="00C755ED">
        <w:rPr>
          <w:rFonts w:ascii="Calibri" w:hAnsi="Calibri" w:cs="Calibri"/>
          <w:lang w:val="en-GB"/>
        </w:rPr>
        <w:t>.</w:t>
      </w:r>
      <w:r w:rsidR="00DC23E7" w:rsidRPr="00D46540">
        <w:rPr>
          <w:rFonts w:ascii="Calibri" w:hAnsi="Calibri" w:cs="Calibri"/>
          <w:lang w:val="en-GB"/>
        </w:rPr>
        <w:t xml:space="preserve"> the help of CyTOF</w:t>
      </w:r>
      <w:r w:rsidR="00AD6861" w:rsidRPr="00D46540">
        <w:rPr>
          <w:rFonts w:ascii="Calibri" w:hAnsi="Calibri" w:cs="Calibri"/>
          <w:lang w:val="en-GB"/>
        </w:rPr>
        <w:t xml:space="preserve"> mass </w:t>
      </w:r>
      <w:r w:rsidR="00DC23E7" w:rsidRPr="00D46540">
        <w:rPr>
          <w:rFonts w:ascii="Calibri" w:hAnsi="Calibri" w:cs="Calibri"/>
          <w:lang w:val="en-GB"/>
        </w:rPr>
        <w:t>cytometer</w:t>
      </w:r>
      <w:r w:rsidR="00AD6861" w:rsidRPr="00D46540">
        <w:rPr>
          <w:rFonts w:ascii="Calibri" w:hAnsi="Calibri" w:cs="Calibri"/>
          <w:lang w:val="en-GB"/>
        </w:rPr>
        <w:t xml:space="preserve"> </w:t>
      </w:r>
      <w:r w:rsidR="00DC23E7" w:rsidRPr="00D46540">
        <w:rPr>
          <w:rFonts w:ascii="Calibri" w:hAnsi="Calibri" w:cs="Calibri"/>
          <w:lang w:val="en-GB"/>
        </w:rPr>
        <w:t xml:space="preserve">analysis might be of interest </w:t>
      </w:r>
      <w:r w:rsidR="000105D8" w:rsidRPr="00D46540">
        <w:rPr>
          <w:rFonts w:ascii="Calibri" w:hAnsi="Calibri" w:cs="Calibri"/>
          <w:lang w:val="en-GB"/>
        </w:rPr>
        <w:t>in this context</w:t>
      </w:r>
      <w:r w:rsidR="00DC23E7" w:rsidRPr="00D46540">
        <w:rPr>
          <w:rFonts w:ascii="Calibri" w:hAnsi="Calibri" w:cs="Calibri"/>
          <w:lang w:val="en-GB"/>
        </w:rPr>
        <w:t>.</w:t>
      </w:r>
      <w:r w:rsidR="006D2604" w:rsidRPr="00D46540">
        <w:rPr>
          <w:rFonts w:ascii="Calibri" w:hAnsi="Calibri" w:cs="Calibri"/>
          <w:lang w:val="en-GB"/>
        </w:rPr>
        <w:t xml:space="preserve"> </w:t>
      </w:r>
      <w:r w:rsidR="003E6C83" w:rsidRPr="00D46540">
        <w:rPr>
          <w:rFonts w:ascii="Calibri" w:hAnsi="Calibri" w:cs="Calibri"/>
          <w:lang w:val="en-GB"/>
        </w:rPr>
        <w:t>Nevertheless the immune microenvironment of the tumor or the organ transplant might not always be reflected in the peripheral blood.</w:t>
      </w:r>
      <w:r w:rsidR="006D2604" w:rsidRPr="00D46540">
        <w:rPr>
          <w:rFonts w:ascii="Calibri" w:hAnsi="Calibri" w:cs="Calibri"/>
          <w:lang w:val="en-GB"/>
        </w:rPr>
        <w:t xml:space="preserve"> </w:t>
      </w:r>
    </w:p>
    <w:p w14:paraId="04560B2E" w14:textId="796B57B1" w:rsidR="00794439" w:rsidRPr="00D46540" w:rsidRDefault="003E6C83" w:rsidP="00AD6861">
      <w:pPr>
        <w:pStyle w:val="Commentaire"/>
        <w:spacing w:line="360" w:lineRule="auto"/>
        <w:jc w:val="both"/>
        <w:rPr>
          <w:rFonts w:ascii="Calibri" w:hAnsi="Calibri" w:cs="Calibri"/>
        </w:rPr>
      </w:pPr>
      <w:r w:rsidRPr="00D46540">
        <w:rPr>
          <w:rFonts w:ascii="Calibri" w:hAnsi="Calibri" w:cs="Calibri"/>
          <w:lang w:val="en-GB"/>
        </w:rPr>
        <w:t xml:space="preserve">Our case report analysis shows that a wide variety of immunosuppressive medication is used in transplantpatients </w:t>
      </w:r>
      <w:r w:rsidR="000105D8" w:rsidRPr="00D46540">
        <w:rPr>
          <w:rFonts w:ascii="Calibri" w:hAnsi="Calibri" w:cs="Calibri"/>
          <w:lang w:val="en-GB"/>
        </w:rPr>
        <w:t>during CPI treatment. On top of this, for most patients immunosuppressive medication was diminished when metastatic disease occurred,</w:t>
      </w:r>
      <w:r w:rsidR="00C755ED">
        <w:rPr>
          <w:rFonts w:ascii="Calibri" w:hAnsi="Calibri" w:cs="Calibri"/>
          <w:lang w:val="en-GB"/>
        </w:rPr>
        <w:t xml:space="preserve"> which</w:t>
      </w:r>
      <w:r w:rsidR="000105D8" w:rsidRPr="00D46540">
        <w:rPr>
          <w:rFonts w:ascii="Calibri" w:hAnsi="Calibri" w:cs="Calibri"/>
          <w:lang w:val="en-GB"/>
        </w:rPr>
        <w:t xml:space="preserve"> </w:t>
      </w:r>
      <w:r w:rsidR="00C755ED" w:rsidRPr="00D46540">
        <w:rPr>
          <w:rFonts w:ascii="Calibri" w:hAnsi="Calibri" w:cs="Calibri"/>
          <w:lang w:val="en-GB"/>
        </w:rPr>
        <w:t xml:space="preserve">was impossible to summarize here </w:t>
      </w:r>
      <w:r w:rsidR="000105D8" w:rsidRPr="00D46540">
        <w:rPr>
          <w:rFonts w:ascii="Calibri" w:hAnsi="Calibri" w:cs="Calibri"/>
          <w:lang w:val="en-GB"/>
        </w:rPr>
        <w:t>due to the heterogeneity of these strategies. In general it</w:t>
      </w:r>
      <w:r w:rsidR="006058E4" w:rsidRPr="00D46540">
        <w:rPr>
          <w:rFonts w:ascii="Calibri" w:hAnsi="Calibri" w:cs="Calibri"/>
          <w:lang w:val="en-GB"/>
        </w:rPr>
        <w:t xml:space="preserve"> is</w:t>
      </w:r>
      <w:r w:rsidRPr="00D46540">
        <w:rPr>
          <w:rFonts w:ascii="Calibri" w:hAnsi="Calibri" w:cs="Calibri"/>
          <w:lang w:val="en-GB"/>
        </w:rPr>
        <w:t xml:space="preserve"> still</w:t>
      </w:r>
      <w:r w:rsidR="006058E4" w:rsidRPr="00D46540">
        <w:rPr>
          <w:rFonts w:ascii="Calibri" w:hAnsi="Calibri" w:cs="Calibri"/>
          <w:lang w:val="en-GB"/>
        </w:rPr>
        <w:t xml:space="preserve"> unclear if </w:t>
      </w:r>
      <w:r w:rsidR="005610E9" w:rsidRPr="00D46540">
        <w:rPr>
          <w:rFonts w:ascii="Calibri" w:hAnsi="Calibri" w:cs="Calibri"/>
          <w:lang w:val="en-GB"/>
        </w:rPr>
        <w:t>and which i</w:t>
      </w:r>
      <w:r w:rsidR="006058E4" w:rsidRPr="00D46540">
        <w:rPr>
          <w:rFonts w:ascii="Calibri" w:hAnsi="Calibri" w:cs="Calibri"/>
          <w:lang w:val="en-GB"/>
        </w:rPr>
        <w:t>mmunosuppressive medication is preventing CPI</w:t>
      </w:r>
      <w:r w:rsidR="00CC5800" w:rsidRPr="00D46540">
        <w:rPr>
          <w:rFonts w:ascii="Calibri" w:hAnsi="Calibri" w:cs="Calibri"/>
          <w:lang w:val="en-GB"/>
        </w:rPr>
        <w:t xml:space="preserve"> to induce a tumor response.</w:t>
      </w:r>
      <w:r w:rsidR="006D2604" w:rsidRPr="00D46540">
        <w:rPr>
          <w:rFonts w:ascii="Calibri" w:hAnsi="Calibri" w:cs="Calibri"/>
          <w:lang w:val="en-GB"/>
        </w:rPr>
        <w:t xml:space="preserve"> </w:t>
      </w:r>
      <w:r w:rsidR="000105D8" w:rsidRPr="00D46540">
        <w:rPr>
          <w:rFonts w:ascii="Calibri" w:hAnsi="Calibri" w:cs="Calibri"/>
          <w:lang w:val="en-GB"/>
        </w:rPr>
        <w:t>In the context of autoimmunity, p</w:t>
      </w:r>
      <w:r w:rsidR="006058E4" w:rsidRPr="00D46540">
        <w:rPr>
          <w:rFonts w:ascii="Calibri" w:hAnsi="Calibri" w:cs="Calibri"/>
          <w:lang w:val="en-GB"/>
        </w:rPr>
        <w:t xml:space="preserve">atients being treated with corticoids either for </w:t>
      </w:r>
      <w:r w:rsidR="00FE25C7" w:rsidRPr="00D46540">
        <w:rPr>
          <w:rFonts w:ascii="Calibri" w:hAnsi="Calibri" w:cs="Calibri"/>
          <w:lang w:val="en-GB"/>
        </w:rPr>
        <w:t>pre-existing</w:t>
      </w:r>
      <w:r w:rsidR="006058E4" w:rsidRPr="00D46540">
        <w:rPr>
          <w:rFonts w:ascii="Calibri" w:hAnsi="Calibri" w:cs="Calibri"/>
          <w:lang w:val="en-GB"/>
        </w:rPr>
        <w:t xml:space="preserve"> </w:t>
      </w:r>
      <w:r w:rsidR="000105D8" w:rsidRPr="00D46540">
        <w:rPr>
          <w:rFonts w:ascii="Calibri" w:hAnsi="Calibri" w:cs="Calibri"/>
          <w:lang w:val="en-GB"/>
        </w:rPr>
        <w:t xml:space="preserve">autoimmune syndrome </w:t>
      </w:r>
      <w:r w:rsidR="006600CD" w:rsidRPr="00D46540">
        <w:rPr>
          <w:rFonts w:ascii="Calibri" w:hAnsi="Calibri" w:cs="Calibri"/>
          <w:lang w:val="en-GB"/>
        </w:rPr>
        <w:fldChar w:fldCharType="begin" w:fldLock="1"/>
      </w:r>
      <w:r w:rsidR="00921F98" w:rsidRPr="00D46540">
        <w:rPr>
          <w:rFonts w:ascii="Calibri" w:hAnsi="Calibri" w:cs="Calibri"/>
          <w:lang w:val="en-GB"/>
        </w:rPr>
        <w:instrText>ADDIN CSL_CITATION {"citationItems":[{"id":"ITEM-1","itemData":{"DOI":"10.1200/JCO.2017.77.0305","ISSN":"0732-183X","abstract":"PurposeAlthough programmed death (PD)-1 pathway inhibitors are now used in nearly all patients with advanced non?small-cell lung cancer (NSCLC), the large number of patients with NSCLC and concurrent autoimmune disease (AID) have been universally excluded from immunotherapy clinical trials. Therefore, the safety of PD-1 and PD-ligand 1 (PD-L1) inhibitors in patients with NSCLC and underlying AID is currently unknown.MethodsAs part of a multi-institutional effort, we retrospectively collected clinicopathologic data from patients with NSCLC and a history of AID who received monotherapy with either a PD-1 or a PD-L1 (herein referred to as PD-[L]1) inhibitor. Qualifying AIDs included but were not limited to: rheumatologic, neurologic, endocrine, GI, and dermatologic conditions.ResultsWe identified 56 patients with NSCLC and an AID who received a PD-(L)1 inhibitor. At the time of treatment initiation, 18% of patients had active AID symptoms and 20% were receiving immunomodulatory agents for their AID. A total of 55% of patients developed an AID flare and/or an immune-related adverse event (irAE). Exacerbation of the AID occurred in 13 patients (23% of the whole cohort), four of whom required systemic corticosteroids. Immune-related adverse events occurred in 21 patients (38%). Among irAEs, 74% were grade 1 or 2 and 26% were grade 3 or 4; eight patients required corticosteroids for irAE management. PD-(L)1 therapy was permanently discontinued in eight patients (14%) because of irAEs. The overall response rate to immunotherapy in this population was 22%.ConclusionIn patients with NSCLC with AID treated with a PD-(L)1 inhibitor, exacerbation of AID occurred in a minority of patients. The incidence of irAEs was similar to reported rates in clinical trials where patients with AID were excluded. Adverse events were generally manageable and infrequently led to permanent discontinuation of immunotherapy.","author":[{"dropping-particle":"","family":"Leonardi","given":"Giulia C","non-dropping-particle":"","parse-names":false,"suffix":""},{"dropping-particle":"","family":"Gainor","given":"Justin F","non-dropping-particle":"","parse-names":false,"suffix":""},{"dropping-particle":"","family":"Altan","given":"Mehmet","non-dropping-particle":"","parse-names":false,"suffix":""},{"dropping-particle":"","family":"Kravets","given":"Sasha","non-dropping-particle":"","parse-names":false,"suffix":""},{"dropping-particle":"","family":"Dahlberg","given":"Suzanne E","non-dropping-particle":"","parse-names":false,"suffix":""},{"dropping-particle":"","family":"Gedmintas","given":"Lydia","non-dropping-particle":"","parse-names":false,"suffix":""},{"dropping-particle":"","family":"Azimi","given":"Roxana","non-dropping-particle":"","parse-names":false,"suffix":""},{"dropping-particle":"","family":"Rizvi","given":"Hira","non-dropping-particle":"","parse-names":false,"suffix":""},{"dropping-particle":"","family":"Riess","given":"Jonathan W","non-dropping-particle":"","parse-names":false,"suffix":""},{"dropping-particle":"","family":"Hellmann","given":"Matthew D","non-dropping-particle":"","parse-names":false,"suffix":""},{"dropping-particle":"","family":"Awad","given":"Mark M","non-dropping-particle":"","parse-names":false,"suffix":""}],"container-title":"Journal of Clinical Oncology","id":"ITEM-1","issue":"19","issued":{"date-parts":[["2018","5"]]},"page":"1905-1912","publisher":"American Society of Clinical Oncology","title":"Safety of Programmed Death–1 Pathway Inhibitors Among Patients With Non–Small-Cell Lung Cancer and Preexisting Autoimmune Disorders","type":"article-journal","volume":"36"},"uris":["http://www.mendeley.com/documents/?uuid=5193381f-7bd4-433d-9360-13591f6483f7"]}],"mendeley":{"formattedCitation":"[30]","plainTextFormattedCitation":"[30]","previouslyFormattedCitation":"[30]"},"properties":{"noteIndex":0},"schema":"https://github.com/citation-style-language/schema/raw/master/csl-citation.json"}</w:instrText>
      </w:r>
      <w:r w:rsidR="006600CD" w:rsidRPr="00D46540">
        <w:rPr>
          <w:rFonts w:ascii="Calibri" w:hAnsi="Calibri" w:cs="Calibri"/>
          <w:lang w:val="en-GB"/>
        </w:rPr>
        <w:fldChar w:fldCharType="separate"/>
      </w:r>
      <w:r w:rsidR="00525C77" w:rsidRPr="00D46540">
        <w:rPr>
          <w:rFonts w:ascii="Calibri" w:hAnsi="Calibri" w:cs="Calibri"/>
          <w:noProof/>
          <w:lang w:val="en-GB"/>
        </w:rPr>
        <w:t>[30]</w:t>
      </w:r>
      <w:r w:rsidR="006600CD" w:rsidRPr="00D46540">
        <w:rPr>
          <w:rFonts w:ascii="Calibri" w:hAnsi="Calibri" w:cs="Calibri"/>
          <w:lang w:val="en-GB"/>
        </w:rPr>
        <w:fldChar w:fldCharType="end"/>
      </w:r>
      <w:r w:rsidR="006058E4" w:rsidRPr="00D46540">
        <w:rPr>
          <w:rFonts w:ascii="Calibri" w:hAnsi="Calibri" w:cs="Calibri"/>
          <w:lang w:val="en-GB"/>
        </w:rPr>
        <w:t xml:space="preserve"> or for </w:t>
      </w:r>
      <w:r w:rsidR="000105D8" w:rsidRPr="00D46540">
        <w:rPr>
          <w:rFonts w:ascii="Calibri" w:hAnsi="Calibri" w:cs="Calibri"/>
          <w:lang w:val="en-GB"/>
        </w:rPr>
        <w:t>irAE</w:t>
      </w:r>
      <w:r w:rsidR="009D6D9F" w:rsidRPr="00D46540">
        <w:rPr>
          <w:rFonts w:ascii="Calibri" w:hAnsi="Calibri" w:cs="Calibri"/>
          <w:lang w:val="en-GB"/>
        </w:rPr>
        <w:t>,</w:t>
      </w:r>
      <w:r w:rsidR="006058E4" w:rsidRPr="00D46540">
        <w:rPr>
          <w:rFonts w:ascii="Calibri" w:hAnsi="Calibri" w:cs="Calibri"/>
          <w:lang w:val="en-GB"/>
        </w:rPr>
        <w:t xml:space="preserve"> tumor responses </w:t>
      </w:r>
      <w:r w:rsidR="000105D8" w:rsidRPr="00D46540">
        <w:rPr>
          <w:rFonts w:ascii="Calibri" w:hAnsi="Calibri" w:cs="Calibri"/>
          <w:lang w:val="en-GB"/>
        </w:rPr>
        <w:t>were</w:t>
      </w:r>
      <w:r w:rsidR="006058E4" w:rsidRPr="00D46540">
        <w:rPr>
          <w:rFonts w:ascii="Calibri" w:hAnsi="Calibri" w:cs="Calibri"/>
          <w:lang w:val="en-GB"/>
        </w:rPr>
        <w:t xml:space="preserve"> still possible</w:t>
      </w:r>
      <w:r w:rsidR="006600CD" w:rsidRPr="00D46540">
        <w:rPr>
          <w:rFonts w:ascii="Calibri" w:hAnsi="Calibri" w:cs="Calibri"/>
          <w:lang w:val="en-GB"/>
        </w:rPr>
        <w:t xml:space="preserve"> </w:t>
      </w:r>
      <w:r w:rsidR="000105D8" w:rsidRPr="00D46540">
        <w:rPr>
          <w:rFonts w:ascii="Calibri" w:hAnsi="Calibri" w:cs="Calibri"/>
          <w:lang w:val="en-GB"/>
        </w:rPr>
        <w:fldChar w:fldCharType="begin" w:fldLock="1"/>
      </w:r>
      <w:r w:rsidR="00374F10">
        <w:rPr>
          <w:rFonts w:ascii="Calibri" w:hAnsi="Calibri" w:cs="Calibri"/>
          <w:lang w:val="en-GB"/>
        </w:rPr>
        <w:instrText>ADDIN CSL_CITATION {"citationItems":[{"id":"ITEM-1","itemData":{"DOI":"10.1200/JCO.2017.77.0305","ISSN":"15277755","PMID":"29746230","abstract":"Purpose Although programmed death (PD)-1 pathway inhibitors are now used in nearly all patients with advanced non-small-cell lung cancer (NSCLC), the large number of patients with NSCLC and concurrent autoimmune disease (AID) have been universally excluded from immunotherapy clinical trials. Therefore, the safety of PD-1 and PD-ligand 1 (PD-L1) inhibitors in patients with NSCLC and underlying AID is currently unknown. Methods As part of a multi-institutional effort, we retrospectively collected clinicopathologic data from patients with NSCLC and a history of AID who received monotherapy with either a PD-1 or a PD-L1 (herein referred to as PD-[L]1) inhibitor. Qualifying AIDs included but were not limited to: rheumatologic, neurologic, endocrine, GI, and dermatologic conditions. Results We identified 56 patients with NSCLC and an AID who received a PD-(L)1 inhibitor. At the time of treatment initiation, 18% of patients had active AID symptoms and 20% were receiving immunomodulatory agents for their AID. A total of 55% of patients developed an AID flare and/or an immune-related adverse event (irAE). Exacerbation of the AID occurred in 13 patients (23% of the whole cohort), four of whom required systemic corticosteroids. Immune-related adverse events occurred in 21 patients (38%). Among irAEs, 74% were grade 1 or 2 and 26% were grade 3 or 4; eight patients required corticosteroids for irAE management. PD-(L)1 therapy was permanently discontinued in eight patients (14%) because of irAEs. The overall response rate to immunotherapy in this population was 22%. Conclusion In patients with NSCLC with AID treated with a PD-(L)1 inhibitor, exacerbation of AID occurred in a minority of patients. The incidence of irAEs was similar to reported rates in clinical trials where patients with AID were excluded. Adverse events were generally manageable and infrequently led to permanent discontinuation of immunotherapy.","author":[{"dropping-particle":"","family":"Leonardi","given":"Giulia C.","non-dropping-particle":"","parse-names":false,"suffix":""},{"dropping-particle":"","family":"Gainor","given":"Justin F.","non-dropping-particle":"","parse-names":false,"suffix":""},{"dropping-particle":"","family":"Altan","given":"Mehmet","non-dropping-particle":"","parse-names":false,"suffix":""},{"dropping-particle":"","family":"Kravets","given":"Sasha","non-dropping-particle":"","parse-names":false,"suffix":""},{"dropping-particle":"","family":"Dahlberg","given":"Suzanne E.","non-dropping-particle":"","parse-names":false,"suffix":""},{"dropping-particle":"","family":"Gedmintas","given":"Lydia","non-dropping-particle":"","parse-names":false,"suffix":""},{"dropping-particle":"","family":"Azimi","given":"Roxana","non-dropping-particle":"","parse-names":false,"suffix":""},{"dropping-particle":"","family":"Rizvi","given":"Hira","non-dropping-particle":"","parse-names":false,"suffix":""},{"dropping-particle":"","family":"Riess","given":"Jonathan W.","non-dropping-particle":"","parse-names":false,"suffix":""},{"dropping-particle":"","family":"Hellmann","given":"Matthew D.","non-dropping-particle":"","parse-names":false,"suffix":""},{"dropping-particle":"","family":"Awad","given":"Mark M.","non-dropping-particle":"","parse-names":false,"suffix":""}],"container-title":"Journal of Clinical Oncology","id":"ITEM-1","issue":"19","issued":{"date-parts":[["2018"]]},"page":"1905-1912","title":"Safety of programmed death-1 pathway inhibitors among patients with non-small-cell lung cancer and preexisting autoimmune disorders","type":"article-journal","volume":"36"},"uris":["http://www.mendeley.com/documents/?uuid=735710cd-7b6f-4ac2-aef3-23b687fb0416"]},{"id":"ITEM-2","itemData":{"DOI":"10.1200/JCO.2015.60.8448","ISBN":"0732183X (ISSN)","ISSN":"0732-183X","PMID":"26282644","abstract":"PURPOSE Ipilimumab is a standard treatment for metastatic melanoma, but immune-related adverse events (irAEs) are common and can be severe. We reviewed our large, contemporary experience with ipilimumab treatment outside of clinical trials to determine the frequency of use of systemic corticosteroid or anti-tumor necrosis factor α (anti-TNFα) therapy and the effect of these therapies on overall survival (OS) and time to treatment failure (TTF). PATIENTS AND METHODS We reviewed retrospectively the medical records of patients with melanoma who had received treatment between April 2011 and July 2013 with ipilimumab at the standard dose of 3 mg/kg. We collected data on patient demographics, previous and subsequent treatments, number of ipilimumab doses, irAEs and how they were treated, and overall survival. RESULTS Of the 298 patients, 254 (85%) experienced an irAE of any grade. Fifty-six patients (19%) discontinued therapy because of an irAE, most commonly diarrhea. Overall, 103 patients (35%) required systemic corticosteroid treatment for an irAE; 29 (10%) also required anti-TNFα therapy. Defining TTF as either starting a new treatment or death, estimated median TTF was 5.7 months. Twelve percent of patients experienced long-term disease control without receiving additional antimelanoma therapy. OS and TTF were not affected by the occurrence of irAEs or the need for systemic corticosteroids. CONCLUSION IrAEs are common in patients treated with ipilimumab. In our experience, approximately one-third of ipilimumab-treated patients required systemic corticosteroids, and almost one-third of those required further immune suppression with anti-TNFα therapy. Practitioners and patients should be prepared to treat irAEs and should understand that such treatment does not affect OS or TTF.","author":[{"dropping-particle":"","family":"Horvat","given":"Troy Z.","non-dropping-particle":"","parse-names":false,"suffix":""},{"dropping-particle":"","family":"Adel","given":"Nelly G.","non-dropping-particle":"","parse-names":false,"suffix":""},{"dropping-particle":"","family":"Dang","given":"Thu-Oanh","non-dropping-particle":"","parse-names":false,"suffix":""},{"dropping-particle":"","family":"Momtaz","given":"Parisa","non-dropping-particle":"","parse-names":false,"suffix":""},{"dropping-particle":"","family":"Postow","given":"Michael A.","non-dropping-particle":"","parse-names":false,"suffix":""},{"dropping-particle":"","family":"Callahan","given":"Margaret K.","non-dropping-particle":"","parse-names":false,"suffix":""},{"dropping-particle":"","family":"Carvajal","given":"Richard D.","non-dropping-particle":"","parse-names":false,"suffix":""},{"dropping-particle":"","family":"Dickson","given":"Mark A.","non-dropping-particle":"","parse-names":false,"suffix":""},{"dropping-particle":"","family":"D'Angelo","given":"Sandra P.","non-dropping-particle":"","parse-names":false,"suffix":""},{"dropping-particle":"","family":"Woo","given":"Kaitlin M.","non-dropping-particle":"","parse-names":false,"suffix":""},{"dropping-particle":"","family":"Panageas","given":"Katherine S.","non-dropping-particle":"","parse-names":false,"suffix":""},{"dropping-particle":"","family":"Wolchok","given":"Jedd D.","non-dropping-particle":"","parse-names":false,"suffix":""},{"dropping-particle":"","family":"Chapman","given":"Paul B.","non-dropping-particle":"","parse-names":false,"suffix":""}],"container-title":"Journal of Clinical Oncology","id":"ITEM-2","issue":"28","issued":{"date-parts":[["2015","10"]]},"page":"3193-3198","title":"Immune-Related Adverse Events, Need for Systemic Immunosuppression, and Effects on Survival and Time to Treatment Failure in Patients With Melanoma Treated With Ipilimumab at Memorial Sloan Kettering Cancer Center","type":"article-journal","volume":"33"},"uris":["http://www.mendeley.com/documents/?uuid=33c52035-5042-4e1a-992c-16eaa8dcf010"]},{"id":"ITEM-3","itemData":{"DOI":"10.1200/JCO.2017.73.2289","ISSN":"0732-183X","PMID":"28841387","author":[{"dropping-particle":"","family":"Schadendorf","given":"Dirk","non-dropping-particle":"","parse-names":false,"suffix":""},{"dropping-particle":"","family":"Wolchok","given":"Jedd D.","non-dropping-particle":"","parse-names":false,"suffix":""},{"dropping-particle":"","family":"Hodi","given":"F. Stephen","non-dropping-particle":"","parse-names":false,"suffix":""},{"dropping-particle":"","family":"Chiarion-Sileni","given":"Vanna","non-dropping-particle":"","parse-names":false,"suffix":""},{"dropping-particle":"","family":"Gonzalez","given":"Rene","non-dropping-particle":"","parse-names":false,"suffix":""},{"dropping-particle":"","family":"Rutkowski","given":"Piotr","non-dropping-particle":"","parse-names":false,"suffix":""},{"dropping-particle":"","family":"Grob","given":"Jean-Jacques","non-dropping-particle":"","parse-names":false,"suffix":""},{"dropping-particle":"","family":"Cowey","given":"C. Lance","non-dropping-particle":"","parse-names":false,"suffix":""},{"dropping-particle":"","family":"Lao","given":"Christopher D.","non-dropping-particle":"","parse-names":false,"suffix":""},{"dropping-particle":"","family":"Chesney","given":"Jason","non-dropping-particle":"","parse-names":false,"suffix":""},{"dropping-particle":"","family":"Robert","given":"Caroline","non-dropping-particle":"","parse-names":false,"suffix":""},{"dropping-particle":"","family":"Grossmann","given":"Kenneth","non-dropping-particle":"","parse-names":false,"suffix":""},{"dropping-particle":"","family":"McDermott","given":"David","non-dropping-particle":"","parse-names":false,"suffix":""},{"dropping-particle":"","family":"Walker","given":"Dana","non-dropping-particle":"","parse-names":false,"suffix":""},{"dropping-particle":"","family":"Bhore","given":"Rafia","non-dropping-particle":"","parse-names":false,"suffix":""},{"dropping-particle":"","family":"Larkin","given":"James","non-dropping-particle":"","parse-names":false,"suffix":""},{"dropping-particle":"","family":"Postow","given":"Michael A.","non-dropping-particle":"","parse-names":false,"suffix":""}],"container-title":"Journal of Clinical Oncology","id":"ITEM-3","issued":{"date-parts":[["2017"]]},"page":"JCO.2017.73.228","title":"Efficacy and Safety Outcomes in Patients With Advanced Melanoma Who Discontinued Treatment With Nivolumab and Ipilimumab Because of Adverse Events: A Pooled Analysis of Randomized Phase II and III Trials","type":"article-journal","volume":"067"},"uris":["http://www.mendeley.com/documents/?uuid=7e198446-c9a8-4db8-a35f-8d42013fb124"]}],"mendeley":{"formattedCitation":"[31–33]","plainTextFormattedCitation":"[31–33]","previouslyFormattedCitation":"[31–33]"},"properties":{"noteIndex":0},"schema":"https://github.com/citation-style-language/schema/raw/master/csl-citation.json"}</w:instrText>
      </w:r>
      <w:r w:rsidR="000105D8" w:rsidRPr="00D46540">
        <w:rPr>
          <w:rFonts w:ascii="Calibri" w:hAnsi="Calibri" w:cs="Calibri"/>
          <w:lang w:val="en-GB"/>
        </w:rPr>
        <w:fldChar w:fldCharType="separate"/>
      </w:r>
      <w:r w:rsidR="000105D8" w:rsidRPr="00D46540">
        <w:rPr>
          <w:rFonts w:ascii="Calibri" w:hAnsi="Calibri" w:cs="Calibri"/>
          <w:noProof/>
          <w:lang w:val="en-GB"/>
        </w:rPr>
        <w:t>[31–33]</w:t>
      </w:r>
      <w:r w:rsidR="000105D8" w:rsidRPr="00D46540">
        <w:rPr>
          <w:rFonts w:ascii="Calibri" w:hAnsi="Calibri" w:cs="Calibri"/>
          <w:lang w:val="en-GB"/>
        </w:rPr>
        <w:fldChar w:fldCharType="end"/>
      </w:r>
      <w:r w:rsidR="000306EA" w:rsidRPr="00D46540">
        <w:rPr>
          <w:rFonts w:ascii="Calibri" w:hAnsi="Calibri" w:cs="Calibri"/>
          <w:lang w:val="en-GB"/>
        </w:rPr>
        <w:t>.</w:t>
      </w:r>
      <w:r w:rsidR="006D2604" w:rsidRPr="00D46540">
        <w:rPr>
          <w:rFonts w:ascii="Calibri" w:hAnsi="Calibri" w:cs="Calibri"/>
          <w:lang w:val="en-GB"/>
        </w:rPr>
        <w:t xml:space="preserve"> </w:t>
      </w:r>
      <w:r w:rsidR="00E623BB" w:rsidRPr="00D46540">
        <w:rPr>
          <w:rFonts w:ascii="Calibri" w:hAnsi="Calibri" w:cs="Calibri"/>
          <w:lang w:val="en-GB"/>
        </w:rPr>
        <w:t>Interestingly</w:t>
      </w:r>
      <w:r w:rsidR="008E41CB" w:rsidRPr="00D46540">
        <w:rPr>
          <w:rFonts w:ascii="Calibri" w:hAnsi="Calibri" w:cs="Calibri"/>
          <w:lang w:val="en-GB"/>
        </w:rPr>
        <w:t>,</w:t>
      </w:r>
      <w:r w:rsidR="005610E9" w:rsidRPr="00D46540">
        <w:rPr>
          <w:rFonts w:ascii="Calibri" w:hAnsi="Calibri" w:cs="Calibri"/>
          <w:lang w:val="en-GB"/>
        </w:rPr>
        <w:t xml:space="preserve"> </w:t>
      </w:r>
      <w:r w:rsidR="009034F3" w:rsidRPr="00D46540">
        <w:rPr>
          <w:rFonts w:ascii="Calibri" w:hAnsi="Calibri" w:cs="Calibri"/>
          <w:lang w:val="en-GB"/>
        </w:rPr>
        <w:t xml:space="preserve">from the </w:t>
      </w:r>
      <w:r w:rsidR="005610E9" w:rsidRPr="00D46540">
        <w:rPr>
          <w:rFonts w:ascii="Calibri" w:hAnsi="Calibri" w:cs="Calibri"/>
          <w:lang w:val="en-GB"/>
        </w:rPr>
        <w:t>t</w:t>
      </w:r>
      <w:r w:rsidR="009034F3" w:rsidRPr="00D46540">
        <w:rPr>
          <w:rFonts w:ascii="Calibri" w:hAnsi="Calibri" w:cs="Calibri"/>
          <w:lang w:val="en-GB"/>
        </w:rPr>
        <w:t>en</w:t>
      </w:r>
      <w:r w:rsidR="005610E9" w:rsidRPr="00D46540">
        <w:rPr>
          <w:rFonts w:ascii="Calibri" w:hAnsi="Calibri" w:cs="Calibri"/>
          <w:lang w:val="en-GB"/>
        </w:rPr>
        <w:t xml:space="preserve"> patients with the ‘ideal’ </w:t>
      </w:r>
      <w:r w:rsidR="00423536" w:rsidRPr="00D46540">
        <w:rPr>
          <w:rFonts w:ascii="Calibri" w:hAnsi="Calibri" w:cs="Calibri"/>
          <w:lang w:val="en-GB"/>
        </w:rPr>
        <w:t xml:space="preserve">response (anti-tumor immunity without graft rejection) </w:t>
      </w:r>
      <w:r w:rsidR="009034F3" w:rsidRPr="00D46540">
        <w:rPr>
          <w:rFonts w:ascii="Calibri" w:hAnsi="Calibri" w:cs="Calibri"/>
          <w:lang w:val="en-GB"/>
        </w:rPr>
        <w:t>(</w:t>
      </w:r>
      <w:r w:rsidR="009034F3" w:rsidRPr="00D46540">
        <w:rPr>
          <w:rFonts w:ascii="Calibri" w:hAnsi="Calibri" w:cs="Calibri"/>
          <w:color w:val="FF0000"/>
          <w:lang w:val="en-GB"/>
        </w:rPr>
        <w:t>Table 4</w:t>
      </w:r>
      <w:r w:rsidR="009034F3" w:rsidRPr="00D46540">
        <w:rPr>
          <w:rFonts w:ascii="Calibri" w:hAnsi="Calibri" w:cs="Calibri"/>
          <w:lang w:val="en-GB"/>
        </w:rPr>
        <w:t xml:space="preserve">) 3 were treated with only </w:t>
      </w:r>
      <w:r w:rsidR="00E623BB" w:rsidRPr="00D46540">
        <w:rPr>
          <w:rFonts w:ascii="Calibri" w:hAnsi="Calibri" w:cs="Calibri"/>
          <w:lang w:val="en-GB"/>
        </w:rPr>
        <w:t xml:space="preserve">low dose </w:t>
      </w:r>
      <w:r w:rsidR="009034F3" w:rsidRPr="00D46540">
        <w:rPr>
          <w:rFonts w:ascii="Calibri" w:hAnsi="Calibri" w:cs="Calibri"/>
          <w:lang w:val="en-GB"/>
        </w:rPr>
        <w:t xml:space="preserve">prednisone, two </w:t>
      </w:r>
      <w:r w:rsidR="005610E9" w:rsidRPr="00D46540">
        <w:rPr>
          <w:rFonts w:ascii="Calibri" w:hAnsi="Calibri" w:cs="Calibri"/>
          <w:lang w:val="en-GB"/>
        </w:rPr>
        <w:t xml:space="preserve">were treated with </w:t>
      </w:r>
      <w:r w:rsidR="009034F3" w:rsidRPr="00D46540">
        <w:rPr>
          <w:rFonts w:ascii="Calibri" w:hAnsi="Calibri" w:cs="Calibri"/>
          <w:lang w:val="en-GB"/>
        </w:rPr>
        <w:t>mTOR inhibitor monotherapy</w:t>
      </w:r>
      <w:r w:rsidR="00D00CD0" w:rsidRPr="00D46540">
        <w:rPr>
          <w:rFonts w:ascii="Calibri" w:hAnsi="Calibri" w:cs="Calibri"/>
          <w:lang w:val="en-GB"/>
        </w:rPr>
        <w:t xml:space="preserve"> (everolimus</w:t>
      </w:r>
      <w:r w:rsidR="009034F3" w:rsidRPr="00D46540">
        <w:rPr>
          <w:rFonts w:ascii="Calibri" w:hAnsi="Calibri" w:cs="Calibri"/>
          <w:lang w:val="en-GB"/>
        </w:rPr>
        <w:t xml:space="preserve"> and sirolumus</w:t>
      </w:r>
      <w:r w:rsidR="00E96317" w:rsidRPr="00D46540">
        <w:rPr>
          <w:rFonts w:ascii="Calibri" w:hAnsi="Calibri" w:cs="Calibri"/>
          <w:lang w:val="en-GB"/>
        </w:rPr>
        <w:t>)</w:t>
      </w:r>
      <w:r w:rsidR="00EF1949" w:rsidRPr="00D46540">
        <w:rPr>
          <w:rFonts w:ascii="Calibri" w:hAnsi="Calibri" w:cs="Calibri"/>
          <w:lang w:val="en-GB"/>
        </w:rPr>
        <w:t xml:space="preserve"> and 3 with a combination therapy containing an mTOR inhibitor</w:t>
      </w:r>
      <w:r w:rsidR="009D6D9F" w:rsidRPr="00D46540">
        <w:rPr>
          <w:rFonts w:ascii="Calibri" w:hAnsi="Calibri" w:cs="Calibri"/>
          <w:lang w:val="en-GB"/>
        </w:rPr>
        <w:t xml:space="preserve"> </w:t>
      </w:r>
      <w:r w:rsidR="00E96317" w:rsidRPr="00D46540">
        <w:rPr>
          <w:rFonts w:ascii="Calibri" w:hAnsi="Calibri" w:cs="Calibri"/>
          <w:lang w:val="en-GB"/>
        </w:rPr>
        <w:t>and</w:t>
      </w:r>
      <w:r w:rsidR="009034F3" w:rsidRPr="00D46540">
        <w:rPr>
          <w:rFonts w:ascii="Calibri" w:hAnsi="Calibri" w:cs="Calibri"/>
          <w:lang w:val="en-GB"/>
        </w:rPr>
        <w:t xml:space="preserve"> </w:t>
      </w:r>
      <w:r w:rsidR="00EF1949" w:rsidRPr="00D46540">
        <w:rPr>
          <w:rFonts w:ascii="Calibri" w:hAnsi="Calibri" w:cs="Calibri"/>
          <w:lang w:val="en-GB"/>
        </w:rPr>
        <w:t xml:space="preserve">two with </w:t>
      </w:r>
      <w:r w:rsidR="00E96317" w:rsidRPr="00D46540">
        <w:rPr>
          <w:rFonts w:ascii="Calibri" w:hAnsi="Calibri" w:cs="Calibri"/>
          <w:lang w:val="en-GB"/>
        </w:rPr>
        <w:t>tacrolimus</w:t>
      </w:r>
      <w:r w:rsidR="009034F3" w:rsidRPr="00D46540">
        <w:rPr>
          <w:rFonts w:ascii="Calibri" w:hAnsi="Calibri" w:cs="Calibri"/>
          <w:lang w:val="en-GB"/>
        </w:rPr>
        <w:t xml:space="preserve"> </w:t>
      </w:r>
      <w:r w:rsidR="00EF1949" w:rsidRPr="00D46540">
        <w:rPr>
          <w:rFonts w:ascii="Calibri" w:hAnsi="Calibri" w:cs="Calibri"/>
          <w:lang w:val="en-GB"/>
        </w:rPr>
        <w:t xml:space="preserve">(one </w:t>
      </w:r>
      <w:r w:rsidR="009034F3" w:rsidRPr="00D46540">
        <w:rPr>
          <w:rFonts w:ascii="Calibri" w:hAnsi="Calibri" w:cs="Calibri"/>
          <w:lang w:val="en-GB"/>
        </w:rPr>
        <w:t>monotherapy</w:t>
      </w:r>
      <w:r w:rsidR="00EF1949" w:rsidRPr="00D46540">
        <w:rPr>
          <w:rFonts w:ascii="Calibri" w:hAnsi="Calibri" w:cs="Calibri"/>
          <w:lang w:val="en-GB"/>
        </w:rPr>
        <w:t xml:space="preserve"> and </w:t>
      </w:r>
      <w:r w:rsidR="008E41CB" w:rsidRPr="00D46540">
        <w:rPr>
          <w:rFonts w:ascii="Calibri" w:hAnsi="Calibri" w:cs="Calibri"/>
          <w:lang w:val="en-GB"/>
        </w:rPr>
        <w:t>an</w:t>
      </w:r>
      <w:r w:rsidR="00EF1949" w:rsidRPr="00D46540">
        <w:rPr>
          <w:rFonts w:ascii="Calibri" w:hAnsi="Calibri" w:cs="Calibri"/>
          <w:lang w:val="en-GB"/>
        </w:rPr>
        <w:t>other in combination with MMF)</w:t>
      </w:r>
      <w:r w:rsidR="00E96317" w:rsidRPr="00D46540">
        <w:rPr>
          <w:rFonts w:ascii="Calibri" w:hAnsi="Calibri" w:cs="Calibri"/>
          <w:lang w:val="en-GB"/>
        </w:rPr>
        <w:t>.</w:t>
      </w:r>
      <w:r w:rsidR="006D2604" w:rsidRPr="00D46540">
        <w:rPr>
          <w:rFonts w:ascii="Calibri" w:hAnsi="Calibri" w:cs="Calibri"/>
          <w:lang w:val="en-GB"/>
        </w:rPr>
        <w:t xml:space="preserve"> </w:t>
      </w:r>
      <w:r w:rsidR="00EF1949" w:rsidRPr="00D46540">
        <w:rPr>
          <w:rFonts w:ascii="Calibri" w:hAnsi="Calibri" w:cs="Calibri"/>
          <w:lang w:val="en-GB"/>
        </w:rPr>
        <w:t>No responses were seen in patients being treated with azathioprine and 3 of the responding patients had MMF in their combination regimen.</w:t>
      </w:r>
      <w:r w:rsidR="006D2604" w:rsidRPr="00D46540">
        <w:rPr>
          <w:rFonts w:ascii="Calibri" w:hAnsi="Calibri" w:cs="Calibri"/>
          <w:lang w:val="en-GB"/>
        </w:rPr>
        <w:t xml:space="preserve"> </w:t>
      </w:r>
      <w:r w:rsidR="00E623BB" w:rsidRPr="00D46540">
        <w:rPr>
          <w:rFonts w:ascii="Calibri" w:hAnsi="Calibri" w:cs="Calibri"/>
          <w:lang w:val="en-GB"/>
        </w:rPr>
        <w:t>Interestingly</w:t>
      </w:r>
      <w:r w:rsidR="008E41CB" w:rsidRPr="00D46540">
        <w:rPr>
          <w:rFonts w:ascii="Calibri" w:hAnsi="Calibri" w:cs="Calibri"/>
          <w:lang w:val="en-GB"/>
        </w:rPr>
        <w:t>,</w:t>
      </w:r>
      <w:r w:rsidR="00E623BB" w:rsidRPr="00D46540">
        <w:rPr>
          <w:rFonts w:ascii="Calibri" w:hAnsi="Calibri" w:cs="Calibri"/>
          <w:lang w:val="en-GB"/>
        </w:rPr>
        <w:t xml:space="preserve"> m</w:t>
      </w:r>
      <w:r w:rsidR="00EF1949" w:rsidRPr="00D46540">
        <w:rPr>
          <w:rFonts w:ascii="Calibri" w:hAnsi="Calibri" w:cs="Calibri"/>
          <w:lang w:val="en-GB"/>
        </w:rPr>
        <w:t>TOR inhibitors</w:t>
      </w:r>
      <w:r w:rsidR="00E623BB" w:rsidRPr="00D46540">
        <w:rPr>
          <w:rFonts w:ascii="Calibri" w:hAnsi="Calibri" w:cs="Calibri"/>
          <w:lang w:val="en-GB"/>
        </w:rPr>
        <w:t xml:space="preserve"> have anti-proliferative and anti-angiogenic effects and </w:t>
      </w:r>
      <w:r w:rsidR="006B6C90" w:rsidRPr="00D46540">
        <w:rPr>
          <w:rFonts w:ascii="Calibri" w:hAnsi="Calibri" w:cs="Calibri"/>
          <w:lang w:val="en-GB"/>
        </w:rPr>
        <w:t xml:space="preserve">have been associated with increased survival </w:t>
      </w:r>
      <w:r w:rsidR="005610E9" w:rsidRPr="00D46540">
        <w:rPr>
          <w:rFonts w:ascii="Calibri" w:hAnsi="Calibri" w:cs="Calibri"/>
          <w:lang w:val="en-GB"/>
        </w:rPr>
        <w:t xml:space="preserve">of patients that underwent </w:t>
      </w:r>
      <w:r w:rsidR="006B6C90" w:rsidRPr="00D46540">
        <w:rPr>
          <w:rFonts w:ascii="Calibri" w:hAnsi="Calibri" w:cs="Calibri"/>
          <w:lang w:val="en-GB"/>
        </w:rPr>
        <w:t>liver transplant</w:t>
      </w:r>
      <w:r w:rsidR="005610E9" w:rsidRPr="00D46540">
        <w:rPr>
          <w:rFonts w:ascii="Calibri" w:hAnsi="Calibri" w:cs="Calibri"/>
          <w:lang w:val="en-GB"/>
        </w:rPr>
        <w:t xml:space="preserve">ation for HCC </w:t>
      </w:r>
      <w:r w:rsidR="00E17D2D" w:rsidRPr="00D46540">
        <w:rPr>
          <w:rFonts w:ascii="Calibri" w:hAnsi="Calibri" w:cs="Calibri"/>
          <w:lang w:val="en-GB"/>
        </w:rPr>
        <w:fldChar w:fldCharType="begin" w:fldLock="1"/>
      </w:r>
      <w:r w:rsidR="000105D8" w:rsidRPr="00D46540">
        <w:rPr>
          <w:rFonts w:ascii="Calibri" w:hAnsi="Calibri" w:cs="Calibri"/>
          <w:lang w:val="en-GB"/>
        </w:rPr>
        <w:instrText>ADDIN CSL_CITATION {"citationItems":[{"id":"ITEM-1","itemData":{"DOI":"10.1002/hep.23437","ISBN":"1527-3350 (Electronic)\\r0270-9139 (Linking)","ISSN":"02709139","PMID":"20187107","abstract":"UNLABELLED: Liver transplantation is an important treatment option for selected patients with nonresectable hepatocellular carcinoma (HCC). Several reports have suggested a lower risk of posttransplant tumor recurrence with the use of sirolimus and a higher one with calcineurin inhibitors, but the selection of an ideal immunosuppression protocol is still a matter of debate. The aim of this study was to define the immunosuppression associated with the best survival after liver transplantation for HCC. It was based on the Scientific Registry of Transplant Recipients and included 2,491 adult recipients of isolated liver transplantation for HCC and 12,167 for non-HCC diagnoses between March 2002 and March 2009. All patients remained on stable maintenance immunosuppression protocols for at least 6 months posttransplant. In a multivariate analysis, only anti-CD25 antibody induction and sirolimus-based maintenance therapy were associated with improved survivals after transplantation for HCC (hazard ratio [HR] 0.64, 95% confidence interval [CI]: 0.45-0.9, P &lt; or = 0.01; HR 0.53, 95% CI: 0.31-0.92, P &lt; or = 0.05, respectively). The other studied drugs, including calcineurin inhibitors, did not demonstrate a significant impact. In an effort to understand whether the observed effects were due to a direct impact of the drug on tumor or more on liver transplant in general, we conducted a similar analysis on non-HCC patients. Although anti-CD25 induction was again associated with a trend toward improved survival, sirolimus showed a trend toward lower rates of survival in non-HCC recipients, confirming the specificity of its beneficial impact to cancer patients.\\n\\nCONCLUSION: According to these data, sirolimus-based immunosuppression has unique posttransplant effects on HCC patients that lead to improved survival.","author":[{"dropping-particle":"","family":"Toso","given":"Christian","non-dropping-particle":"","parse-names":false,"suffix":""},{"dropping-particle":"","family":"Merani","given":"Shaheed","non-dropping-particle":"","parse-names":false,"suffix":""},{"dropping-particle":"","family":"Bigam","given":"David L","non-dropping-particle":"","parse-names":false,"suffix":""},{"dropping-particle":"","family":"Shapiro","given":"A.M. James","non-dropping-particle":"","parse-names":false,"suffix":""},{"dropping-particle":"","family":"Kneteman","given":"Norman M","non-dropping-particle":"","parse-names":false,"suffix":""}],"container-title":"Hepatology","id":"ITEM-1","issue":"4","issued":{"date-parts":[["2010","4"]]},"page":"1237-1243","title":"Sirolimus-based immunosuppression is associated with increased survival after liver transplantation for hepatocellular carcinoma","type":"article-journal","volume":"51"},"uris":["http://www.mendeley.com/documents/?uuid=b152ee17-9f70-4dcd-b1fc-3569b647ee97","http://www.mendeley.com/documents/?uuid=fb5c330d-7702-43e5-9b85-73d11de02f05"]}],"mendeley":{"formattedCitation":"[34]","plainTextFormattedCitation":"[34]","previouslyFormattedCitation":"[34]"},"properties":{"noteIndex":0},"schema":"https://github.com/citation-style-language/schema/raw/master/csl-citation.json"}</w:instrText>
      </w:r>
      <w:r w:rsidR="00E17D2D" w:rsidRPr="00D46540">
        <w:rPr>
          <w:rFonts w:ascii="Calibri" w:hAnsi="Calibri" w:cs="Calibri"/>
          <w:lang w:val="en-GB"/>
        </w:rPr>
        <w:fldChar w:fldCharType="separate"/>
      </w:r>
      <w:r w:rsidR="000105D8" w:rsidRPr="00D46540">
        <w:rPr>
          <w:rFonts w:ascii="Calibri" w:hAnsi="Calibri" w:cs="Calibri"/>
          <w:noProof/>
          <w:lang w:val="en-GB"/>
        </w:rPr>
        <w:t>[34]</w:t>
      </w:r>
      <w:r w:rsidR="00E17D2D" w:rsidRPr="00D46540">
        <w:rPr>
          <w:rFonts w:ascii="Calibri" w:hAnsi="Calibri" w:cs="Calibri"/>
          <w:lang w:val="en-GB"/>
        </w:rPr>
        <w:fldChar w:fldCharType="end"/>
      </w:r>
      <w:r w:rsidR="001B66BF" w:rsidRPr="00D46540">
        <w:rPr>
          <w:rFonts w:ascii="Calibri" w:hAnsi="Calibri" w:cs="Calibri"/>
          <w:lang w:val="en-GB"/>
        </w:rPr>
        <w:t>.</w:t>
      </w:r>
      <w:r w:rsidR="006D2604" w:rsidRPr="00D46540">
        <w:rPr>
          <w:rFonts w:ascii="Calibri" w:hAnsi="Calibri" w:cs="Calibri"/>
          <w:lang w:val="en-GB"/>
        </w:rPr>
        <w:t xml:space="preserve"> </w:t>
      </w:r>
      <w:r w:rsidR="00E623BB" w:rsidRPr="00D46540">
        <w:rPr>
          <w:rFonts w:ascii="Calibri" w:hAnsi="Calibri" w:cs="Calibri"/>
          <w:lang w:val="en-GB"/>
        </w:rPr>
        <w:t>Because immunosuppressive treatments reported here are very diverse and immunosuppression was usually diminished before start of CPI treatment it is impossible to draw conclusions about the best immunosuppression</w:t>
      </w:r>
      <w:r w:rsidR="00423536" w:rsidRPr="00D46540">
        <w:rPr>
          <w:rFonts w:ascii="Calibri" w:hAnsi="Calibri" w:cs="Calibri"/>
          <w:lang w:val="en-GB"/>
        </w:rPr>
        <w:t xml:space="preserve"> strategy</w:t>
      </w:r>
      <w:r w:rsidR="00E623BB" w:rsidRPr="00D46540">
        <w:rPr>
          <w:rFonts w:ascii="Calibri" w:hAnsi="Calibri" w:cs="Calibri"/>
          <w:lang w:val="en-GB"/>
        </w:rPr>
        <w:t>.</w:t>
      </w:r>
      <w:r w:rsidR="006D2604" w:rsidRPr="00D46540">
        <w:rPr>
          <w:rFonts w:ascii="Calibri" w:hAnsi="Calibri" w:cs="Calibri"/>
          <w:lang w:val="en-GB"/>
        </w:rPr>
        <w:t xml:space="preserve"> </w:t>
      </w:r>
      <w:r w:rsidR="00C42962" w:rsidRPr="00D46540">
        <w:rPr>
          <w:rFonts w:ascii="Calibri" w:hAnsi="Calibri" w:cs="Calibri"/>
          <w:lang w:val="en-GB"/>
        </w:rPr>
        <w:t>Of course this might differ between liver and renal transplant patients as the latter have hemodialysis as an alternative.</w:t>
      </w:r>
    </w:p>
    <w:p w14:paraId="61693114" w14:textId="77777777" w:rsidR="005870CF" w:rsidRPr="00D46540" w:rsidRDefault="005870CF" w:rsidP="00A2015C">
      <w:pPr>
        <w:spacing w:line="360" w:lineRule="auto"/>
        <w:jc w:val="both"/>
        <w:rPr>
          <w:rFonts w:ascii="Calibri" w:hAnsi="Calibri" w:cs="Calibri"/>
          <w:lang w:val="en-GB"/>
        </w:rPr>
      </w:pPr>
    </w:p>
    <w:p w14:paraId="1A3E7992" w14:textId="21C6F93F" w:rsidR="003B1AFD" w:rsidRPr="00D46540" w:rsidRDefault="007E27D1" w:rsidP="00A2015C">
      <w:pPr>
        <w:spacing w:line="360" w:lineRule="auto"/>
        <w:jc w:val="both"/>
        <w:rPr>
          <w:rFonts w:ascii="Calibri" w:hAnsi="Calibri" w:cs="Calibri"/>
          <w:b/>
          <w:lang w:val="en-GB"/>
        </w:rPr>
      </w:pPr>
      <w:r w:rsidRPr="00D46540">
        <w:rPr>
          <w:rFonts w:ascii="Calibri" w:hAnsi="Calibri" w:cs="Calibri"/>
          <w:b/>
          <w:lang w:val="en-GB"/>
        </w:rPr>
        <w:t>Potential strategies to diminish CPI exposure</w:t>
      </w:r>
    </w:p>
    <w:p w14:paraId="0866F3D2" w14:textId="169A25DB" w:rsidR="003B1AFD" w:rsidRPr="00D46540" w:rsidRDefault="00A04F37" w:rsidP="007E27D1">
      <w:pPr>
        <w:spacing w:line="360" w:lineRule="auto"/>
        <w:jc w:val="both"/>
        <w:rPr>
          <w:rFonts w:ascii="Calibri" w:hAnsi="Calibri" w:cs="Calibri"/>
        </w:rPr>
      </w:pPr>
      <w:r w:rsidRPr="00D46540">
        <w:rPr>
          <w:rFonts w:ascii="Calibri" w:hAnsi="Calibri" w:cs="Calibri"/>
          <w:lang w:val="en-GB"/>
        </w:rPr>
        <w:t>Some</w:t>
      </w:r>
      <w:r w:rsidR="007E27D1" w:rsidRPr="00D46540">
        <w:rPr>
          <w:rFonts w:ascii="Calibri" w:hAnsi="Calibri" w:cs="Calibri"/>
          <w:lang w:val="en-GB"/>
        </w:rPr>
        <w:t xml:space="preserve"> patients reported </w:t>
      </w:r>
      <w:r w:rsidR="00785B83" w:rsidRPr="00D46540">
        <w:rPr>
          <w:rFonts w:ascii="Calibri" w:hAnsi="Calibri" w:cs="Calibri"/>
          <w:lang w:val="en-GB"/>
        </w:rPr>
        <w:t xml:space="preserve">here </w:t>
      </w:r>
      <w:r w:rsidR="007E27D1" w:rsidRPr="00D46540">
        <w:rPr>
          <w:rFonts w:ascii="Calibri" w:hAnsi="Calibri" w:cs="Calibri"/>
          <w:lang w:val="en-GB"/>
        </w:rPr>
        <w:t xml:space="preserve">were stopped early on with CPI and still experienced tumor response </w:t>
      </w:r>
      <w:r w:rsidR="009C25E4">
        <w:rPr>
          <w:rFonts w:ascii="Calibri" w:hAnsi="Calibri" w:cs="Calibri"/>
          <w:lang w:val="en-GB"/>
        </w:rPr>
        <w:fldChar w:fldCharType="begin" w:fldLock="1"/>
      </w:r>
      <w:r w:rsidR="009C25E4">
        <w:rPr>
          <w:rFonts w:ascii="Calibri" w:hAnsi="Calibri" w:cs="Calibri"/>
          <w:lang w:val="en-GB"/>
        </w:rPr>
        <w:instrText>ADDIN CSL_CITATION {"citationItems":[{"id":"ITEM-1","itemData":{"DOI":"10.7326/L17-0187","ISBN":"0000000000000","ISSN":"0003-4819","author":[{"dropping-particle":"","family":"Schvartsman","given":"Gustavo","non-dropping-particle":"","parse-names":false,"suffix":""},{"dropping-particle":"","family":"Perez","given":"Kristen","non-dropping-particle":"","parse-names":false,"suffix":""},{"dropping-particle":"","family":"Sood","given":"Gagan","non-dropping-particle":"","parse-names":false,"suffix":""},{"dropping-particle":"","family":"Katkhuda","given":"Riham","non-dropping-particle":"","parse-names":false,"suffix":""},{"dropping-particle":"","family":"Tawbi","given":"Hussein","non-dropping-particle":"","parse-names":false,"suffix":""}],"container-title":"Annals of Internal Medicine","id":"ITEM-1","issue":"5","issued":{"date-parts":[["2017","9"]]},"page":"361","title":"Immune Checkpoint Inhibitor Therapy in a Liver Transplant Recipient With Melanoma","type":"article-journal","volume":"167"},"uris":["http://www.mendeley.com/documents/?uuid=7f2c256b-6785-4553-8574-ff579178a480"]},{"id":"ITEM-2","itemData":{"DOI":"10.1186/s40425-016-0171-8","ISSN":"2051-1426","PMID":"27777773","abstract":"BACKGROUND Nivolumab (Opdivo™) is a novel IgG4 subclass programmed death-1 (PD-1) inhibiting antibody that has demonstrated breakthrough-designation anti-tumor activity. To date, clinical trials of nivolumab and other checkpoint inhibitors have generally excluded patients with solid organ transplantation and patients with concurrent immunosuppression. However, organ transplant recipients are at high-risk of development of malignancy as a result of suppressed immune surveillance of cancer. CASE PRESENTATION We illustrate the outcomes of a 63 year-old type I diabetic female patient who developed pulmonary metastatic, BRAF wild-type cutaneous melanoma 10 years after renal transplantation. After downward titration of the patient's immunosuppressive medications and extensive multidisciplinary review, she was treated with nivolumab in the first-line setting. Within 1 week of administration, the patient experienced acute renal allograft rejection, renal failure and concurrent diabetic ketoacidosis due to steroid therapy. Allograft function did not return, but patient made a full clinical recovery after being placed on hemodialysis. Subsequently, the patient had clinical disease progression off therapy and required re-challenge with nivolumab on hemodialysis, resulting in ongoing clinical and radiographic response. CONCLUSIONS This case illustrates multiple practical challenges and dangers of administering anti-PD1 immune checkpoint inhibitors to patients with solid-organ transplantation including need for titration of immunosuppressive medications, risks of allograft rejection, and treatment during hemodialysis.","author":[{"dropping-particle":"","family":"Ong","given":"Michael","non-dropping-particle":"","parse-names":false,"suffix":""},{"dropping-particle":"","family":"Ibrahim","given":"Andrea Marie","non-dropping-particle":"","parse-names":false,"suffix":""},{"dropping-particle":"","family":"Bourassa-Blanchette","given":"Samuel","non-dropping-particle":"","parse-names":false,"suffix":""},{"dropping-particle":"","family":"Canil","given":"Christina","non-dropping-particle":"","parse-names":false,"suffix":""},{"dropping-particle":"","family":"Fairhead","given":"Todd","non-dropping-particle":"","parse-names":false,"suffix":""},{"dropping-particle":"","family":"Knoll","given":"Greg","non-dropping-particle":"","parse-names":false,"suffix":""}],"container-title":"Journal for immunotherapy of cancer","id":"ITEM-2","issued":{"date-parts":[["2016"]]},"page":"64","publisher":"Journal for ImmunoTherapy of Cancer","title":"Antitumor activity of nivolumab on hemodialysis after renal allograft rejection.","type":"article-journal","volume":"4"},"uris":["http://www.mendeley.com/documents/?uuid=205be675-414f-4def-9978-249fdf4c08ea"]}],"mendeley":{"formattedCitation":"[20,35]","plainTextFormattedCitation":"[20,35]","previouslyFormattedCitation":"[20,35]"},"properties":{"noteIndex":0},"schema":"https://github.com/citation-style-language/schema/raw/master/csl-citation.json"}</w:instrText>
      </w:r>
      <w:r w:rsidR="009C25E4">
        <w:rPr>
          <w:rFonts w:ascii="Calibri" w:hAnsi="Calibri" w:cs="Calibri"/>
          <w:lang w:val="en-GB"/>
        </w:rPr>
        <w:fldChar w:fldCharType="separate"/>
      </w:r>
      <w:r w:rsidR="009C25E4" w:rsidRPr="009C25E4">
        <w:rPr>
          <w:rFonts w:ascii="Calibri" w:hAnsi="Calibri" w:cs="Calibri"/>
          <w:noProof/>
          <w:lang w:val="en-GB"/>
        </w:rPr>
        <w:t>[20,35]</w:t>
      </w:r>
      <w:r w:rsidR="009C25E4">
        <w:rPr>
          <w:rFonts w:ascii="Calibri" w:hAnsi="Calibri" w:cs="Calibri"/>
          <w:lang w:val="en-GB"/>
        </w:rPr>
        <w:fldChar w:fldCharType="end"/>
      </w:r>
      <w:r w:rsidR="0037486A" w:rsidRPr="00D46540">
        <w:rPr>
          <w:rFonts w:ascii="Calibri" w:hAnsi="Calibri" w:cs="Calibri"/>
          <w:lang w:val="en-GB"/>
        </w:rPr>
        <w:t xml:space="preserve"> </w:t>
      </w:r>
      <w:r w:rsidR="007E27D1" w:rsidRPr="00D46540">
        <w:rPr>
          <w:rFonts w:ascii="Calibri" w:hAnsi="Calibri" w:cs="Calibri"/>
          <w:lang w:val="en-GB"/>
        </w:rPr>
        <w:t xml:space="preserve">which indicates that a few CPI doses might be enough to induce an anti-cancer response without </w:t>
      </w:r>
      <w:r w:rsidR="007E27D1" w:rsidRPr="009C25E4">
        <w:rPr>
          <w:rFonts w:ascii="Calibri" w:hAnsi="Calibri" w:cs="Calibri"/>
          <w:lang w:val="en-GB"/>
        </w:rPr>
        <w:t>affecting graft tolerance</w:t>
      </w:r>
      <w:r w:rsidR="00785B83" w:rsidRPr="009C25E4">
        <w:rPr>
          <w:rFonts w:ascii="Calibri" w:hAnsi="Calibri" w:cs="Calibri"/>
          <w:lang w:val="en-GB"/>
        </w:rPr>
        <w:t xml:space="preserve"> (in analogy of ipilimumab where 4 doses have very durable effects</w:t>
      </w:r>
      <w:r w:rsidR="0069386B" w:rsidRPr="009C25E4">
        <w:rPr>
          <w:rFonts w:ascii="Calibri" w:hAnsi="Calibri" w:cs="Calibri"/>
          <w:lang w:val="en-GB"/>
        </w:rPr>
        <w:t xml:space="preserve"> </w:t>
      </w:r>
      <w:r w:rsidR="009C25E4" w:rsidRPr="009C25E4">
        <w:rPr>
          <w:rFonts w:ascii="Calibri" w:hAnsi="Calibri" w:cs="Calibri"/>
          <w:lang w:val="en-GB"/>
        </w:rPr>
        <w:fldChar w:fldCharType="begin" w:fldLock="1"/>
      </w:r>
      <w:r w:rsidR="00B54529">
        <w:rPr>
          <w:rFonts w:ascii="Calibri" w:hAnsi="Calibri" w:cs="Calibri"/>
          <w:lang w:val="en-GB"/>
        </w:rPr>
        <w:instrText>ADDIN CSL_CITATION {"citationItems":[{"id":"ITEM-1","itemData":{"DOI":"10.1186/s40425-015-0066-0","ISSN":"20511426","PMID":"26082835","abstract":"Ipilimumab is a first-in-class immunological checkpoint blockade agent and monoclonal antibody against Cytotoxic T-Lymphocyte Antigen 4 (CTLA-4) that has demonstrated survival benefit and durable responses in patients with metastatic melanoma. To date, solid organ transplant recipients have been excluded from clinical trials with cancer immunotherapies on the basis of their concurrent treatment with immunosuppressive agents. We present the first case to our knowledge of a patient with advanced cutaneous melanoma receiving ipilimumab status post orthotopic liver transplantation with a partial response. Transaminitis was observed 4 months after administration of ipilimumab that resolved with close observation. No evidence of graft rejection has been observed to date. This case advocates for further investigation of the safety and efficacy of cancer immunotherapies in solid organ transplant recipients.","author":[{"dropping-particle":"","family":"Morales","given":"Rita E.","non-dropping-particle":"","parse-names":false,"suffix":""},{"dropping-particle":"","family":"Shoushtari","given":"Alexander N.","non-dropping-particle":"","parse-names":false,"suffix":""},{"dropping-particle":"","family":"Walsh","given":"Michelle M.","non-dropping-particle":"","parse-names":false,"suffix":""},{"dropping-particle":"","family":"Grewal","given":"Priya","non-dropping-particle":"","parse-names":false,"suffix":""},{"dropping-particle":"","family":"Lipson","given":"Evan J.","non-dropping-particle":"","parse-names":false,"suffix":""},{"dropping-particle":"","family":"Carvajal","given":"Richard D.","non-dropping-particle":"","parse-names":false,"suffix":""}],"container-title":"Journal for ImmunoTherapy of Cancer","id":"ITEM-1","issue":"1","issued":{"date-parts":[["2015"]]},"page":"10-13","publisher":"???","title":"Safety and efficacy of ipilimumab to treat advanced melanoma in the setting of liver transplantation","type":"article-journal","volume":"3"},"uris":["http://www.mendeley.com/documents/?uuid=f8cbd03a-04f9-45af-b8c3-08f2c24470b4"]},{"id":"ITEM-2","itemData":{"DOI":"10.1200/JCO.2013.49.2314","ISBN":"0732-183X","ISSN":"1527-7755 (Electronic)","PMID":"24493726","author":[{"dropping-particle":"","family":"Lipson","given":"Evan J","non-dropping-particle":"","parse-names":false,"suffix":""},{"dropping-particle":"","family":"Bodell","given":"Mabel A","non-dropping-particle":"","parse-names":false,"suffix":""},{"dropping-particle":"","family":"Kraus","given":"Edward S","non-dropping-particle":"","parse-names":false,"suffix":""},{"dropping-particle":"","family":"Sharfman","given":"William H","non-dropping-particle":"","parse-names":false,"suffix":""}],"container-title":"Journal of clinical oncology : official journal of the American Society of Clinical Oncology","id":"ITEM-2","issue":"19","issued":{"date-parts":[["2014"]]},"page":"e69-71","title":"Successful administration of ipilimumab to two kidney transplantation patients with metastatic melanoma.","type":"article-journal","volume":"32"},"uris":["http://www.mendeley.com/documents/?uuid=66ce5cb7-d242-4288-bb04-b5f9c523d097"]},{"id":"ITEM-3","itemData":{"DOI":"10.1200/JCO.2014.56.2736","ISBN":"0732-183x","ISSN":"1527-7755","PMID":"25667295","abstract":"PURPOSE To provide a more precise estimate of long-term survival observed for ipilimumab-treated patients with advanced melanoma, we performed a pooled analysis of overall survival (OS) data from multiple studies. METHODS The primary analysis pooled OS data for 1,861 patients from 10 prospective and two retrospective studies of ipilimumab, including two phase III trials. Patients were previously treated (n = 1,257) or treatment naive (n = 604), and the majority of patients received ipilimumab 3 mg/kg (n = 965) or 10 mg/kg (n = 706). We also conducted a secondary analysis of OS data (n = 4,846) with an additional 2,985 patients from an expanded access program. OS rates were estimated using the Kaplan-Meier method. RESULTS Among 1,861 patients, median OS was 11.4 months (95% CI, 10.7 to 12.1 months), which included 254 patients with at least 3 years of survival follow-up. The survival curve began to plateau around year 3, with follow-up of up to 10 years. Three-year survival rates were 22%, 26%, and 20% for all patients, treatment-naive patients, and previously treated patients, respectively. Including data from the expanded access program, median OS was 9.5 months (95% CI, 9.0 to 10.0 months), with a plateau at 21% in the survival curve beginning around year 3. CONCLUSION To our knowledge, this is the largest analysis of OS to date for ipilimumab-treated patients with advanced melanoma. We observed a plateau in the survival curve, beginning at approximately 3 years, which was independent of prior therapy or ipilimumab dose. These data add to the evidence supporting the durability of long-term survival in ipilimumab-treated patients with advanced melanoma.","author":[{"dropping-particle":"","family":"Schadendorf","given":"Dirk","non-dropping-particle":"","parse-names":false,"suffix":""},{"dropping-particle":"","family":"Hodi","given":"F. Stephen","non-dropping-particle":"","parse-names":false,"suffix":""},{"dropping-particle":"","family":"Robert","given":"Caroline","non-dropping-particle":"","parse-names":false,"suffix":""},{"dropping-particle":"","family":"Weber","given":"Jeffrey S.","non-dropping-particle":"","parse-names":false,"suffix":""},{"dropping-particle":"","family":"Margolin","given":"Kim","non-dropping-particle":"","parse-names":false,"suffix":""},{"dropping-particle":"","family":"Hamid","given":"Omid","non-dropping-particle":"","parse-names":false,"suffix":""},{"dropping-particle":"","family":"Patt","given":"Debra","non-dropping-particle":"","parse-names":false,"suffix":""},{"dropping-particle":"","family":"Chen","given":"Tai-Tsang","non-dropping-particle":"","parse-names":false,"suffix":""},{"dropping-particle":"","family":"Berman","given":"David M.","non-dropping-particle":"","parse-names":false,"suffix":""},{"dropping-particle":"","family":"Wolchok","given":"Jedd D.","non-dropping-particle":"","parse-names":false,"suffix":""}],"container-title":"Journal of clinical oncology : official journal of the American Society of Clinical Oncology","id":"ITEM-3","issue":"17","issued":{"date-parts":[["2015"]]},"page":"1889-94","title":"Pooled Analysis of Long-Term Survival Data From Phase II and Phase III Trials of Ipilimumab in Unresectable or Metastatic Melanoma.","type":"article-journal","volume":"33"},"uris":["http://www.mendeley.com/documents/?uuid=c26cd52c-2034-4d27-bedc-19f2ddf9a706"]}],"mendeley":{"formattedCitation":"[36–38]","plainTextFormattedCitation":"[36–38]","previouslyFormattedCitation":"[36–38]"},"properties":{"noteIndex":0},"schema":"https://github.com/citation-style-language/schema/raw/master/csl-citation.json"}</w:instrText>
      </w:r>
      <w:r w:rsidR="009C25E4" w:rsidRPr="009C25E4">
        <w:rPr>
          <w:rFonts w:ascii="Calibri" w:hAnsi="Calibri" w:cs="Calibri"/>
          <w:lang w:val="en-GB"/>
        </w:rPr>
        <w:fldChar w:fldCharType="separate"/>
      </w:r>
      <w:r w:rsidR="009C25E4" w:rsidRPr="009C25E4">
        <w:rPr>
          <w:rFonts w:ascii="Calibri" w:hAnsi="Calibri" w:cs="Calibri"/>
          <w:noProof/>
          <w:lang w:val="en-GB"/>
        </w:rPr>
        <w:t>[36–38]</w:t>
      </w:r>
      <w:r w:rsidR="009C25E4" w:rsidRPr="009C25E4">
        <w:rPr>
          <w:rFonts w:ascii="Calibri" w:hAnsi="Calibri" w:cs="Calibri"/>
          <w:lang w:val="en-GB"/>
        </w:rPr>
        <w:fldChar w:fldCharType="end"/>
      </w:r>
      <w:r w:rsidR="00032E37" w:rsidRPr="009C25E4">
        <w:rPr>
          <w:rFonts w:ascii="Calibri" w:hAnsi="Calibri" w:cs="Calibri"/>
          <w:lang w:val="en-GB"/>
        </w:rPr>
        <w:t>)</w:t>
      </w:r>
      <w:r w:rsidR="007E27D1" w:rsidRPr="009C25E4">
        <w:rPr>
          <w:rFonts w:ascii="Calibri" w:hAnsi="Calibri" w:cs="Calibri"/>
          <w:lang w:val="en-GB"/>
        </w:rPr>
        <w:t>.</w:t>
      </w:r>
      <w:r w:rsidR="006D2604" w:rsidRPr="009C25E4">
        <w:rPr>
          <w:rFonts w:ascii="Calibri" w:hAnsi="Calibri" w:cs="Calibri"/>
          <w:lang w:val="en-GB"/>
        </w:rPr>
        <w:t xml:space="preserve"> </w:t>
      </w:r>
      <w:r w:rsidR="007E27D1" w:rsidRPr="009C25E4">
        <w:rPr>
          <w:rFonts w:ascii="Calibri" w:hAnsi="Calibri" w:cs="Calibri"/>
          <w:lang w:val="en-GB"/>
        </w:rPr>
        <w:t xml:space="preserve">Local immunomodulatory strategies might also </w:t>
      </w:r>
      <w:r w:rsidR="00785B83" w:rsidRPr="009C25E4">
        <w:rPr>
          <w:rFonts w:ascii="Calibri" w:hAnsi="Calibri" w:cs="Calibri"/>
          <w:lang w:val="en-GB"/>
        </w:rPr>
        <w:t>increase</w:t>
      </w:r>
      <w:r w:rsidR="007E27D1" w:rsidRPr="009C25E4">
        <w:rPr>
          <w:rFonts w:ascii="Calibri" w:hAnsi="Calibri" w:cs="Calibri"/>
          <w:lang w:val="en-GB"/>
        </w:rPr>
        <w:t xml:space="preserve"> the anti-cancer response</w:t>
      </w:r>
      <w:r w:rsidR="00785B83" w:rsidRPr="009C25E4">
        <w:rPr>
          <w:rFonts w:ascii="Calibri" w:hAnsi="Calibri" w:cs="Calibri"/>
          <w:lang w:val="en-GB"/>
        </w:rPr>
        <w:t xml:space="preserve"> without theoretically affecting the risk of rejection</w:t>
      </w:r>
      <w:r w:rsidR="007E27D1" w:rsidRPr="009C25E4">
        <w:rPr>
          <w:rFonts w:ascii="Calibri" w:hAnsi="Calibri" w:cs="Calibri"/>
          <w:lang w:val="en-GB"/>
        </w:rPr>
        <w:t>.</w:t>
      </w:r>
      <w:r w:rsidR="006D2604" w:rsidRPr="009C25E4">
        <w:rPr>
          <w:rFonts w:ascii="Calibri" w:hAnsi="Calibri" w:cs="Calibri"/>
          <w:lang w:val="en-GB"/>
        </w:rPr>
        <w:t xml:space="preserve"> </w:t>
      </w:r>
      <w:r w:rsidR="006C29AD" w:rsidRPr="009C25E4">
        <w:rPr>
          <w:rFonts w:ascii="Calibri" w:hAnsi="Calibri" w:cs="Calibri"/>
          <w:lang w:val="en-GB"/>
        </w:rPr>
        <w:t>The immune-modulating effect</w:t>
      </w:r>
      <w:r w:rsidR="00E61E10" w:rsidRPr="009C25E4">
        <w:rPr>
          <w:rFonts w:ascii="Calibri" w:hAnsi="Calibri" w:cs="Calibri"/>
          <w:lang w:val="en-GB"/>
        </w:rPr>
        <w:t xml:space="preserve"> of radiotherapy has been highlighted</w:t>
      </w:r>
      <w:r w:rsidR="00E61E10" w:rsidRPr="00D46540">
        <w:rPr>
          <w:rFonts w:ascii="Calibri" w:hAnsi="Calibri" w:cs="Calibri"/>
          <w:lang w:val="en-GB"/>
        </w:rPr>
        <w:t xml:space="preserve"> by multiple preclinical and clinical studies. Radiation can</w:t>
      </w:r>
      <w:r w:rsidR="00EA2534" w:rsidRPr="00D46540">
        <w:rPr>
          <w:rFonts w:ascii="Calibri" w:hAnsi="Calibri" w:cs="Calibri"/>
        </w:rPr>
        <w:t xml:space="preserve"> trigger the release of </w:t>
      </w:r>
      <w:r w:rsidR="00BE54ED" w:rsidRPr="00D46540">
        <w:rPr>
          <w:rFonts w:ascii="Calibri" w:hAnsi="Calibri" w:cs="Calibri"/>
        </w:rPr>
        <w:t>tumor-derived antigens, inducing an anti-tumor immune response even outside the radiation field called the “</w:t>
      </w:r>
      <w:r w:rsidR="00BE54ED" w:rsidRPr="00D46540">
        <w:rPr>
          <w:rFonts w:ascii="Calibri" w:hAnsi="Calibri" w:cs="Calibri"/>
          <w:lang w:val="en-GB"/>
        </w:rPr>
        <w:t>abscopal</w:t>
      </w:r>
      <w:r w:rsidR="00BE54ED" w:rsidRPr="00D46540">
        <w:rPr>
          <w:rFonts w:ascii="Calibri" w:hAnsi="Calibri" w:cs="Calibri"/>
        </w:rPr>
        <w:t xml:space="preserve"> effect”</w:t>
      </w:r>
      <w:r w:rsidR="00361D58" w:rsidRPr="00D46540">
        <w:rPr>
          <w:rFonts w:ascii="Calibri" w:hAnsi="Calibri" w:cs="Calibri"/>
        </w:rPr>
        <w:t xml:space="preserve"> </w:t>
      </w:r>
      <w:r w:rsidR="00361D58" w:rsidRPr="00D46540">
        <w:rPr>
          <w:rFonts w:ascii="Calibri" w:hAnsi="Calibri" w:cs="Calibri"/>
        </w:rPr>
        <w:fldChar w:fldCharType="begin" w:fldLock="1"/>
      </w:r>
      <w:r w:rsidR="00B54529">
        <w:rPr>
          <w:rFonts w:ascii="Calibri" w:hAnsi="Calibri" w:cs="Calibri"/>
        </w:rPr>
        <w:instrText>ADDIN CSL_CITATION {"citationItems":[{"id":"ITEM-1","itemData":{"DOI":"10.1186/s40425-016-0156-7","ISBN":"2051-1426 (Linking)","ISSN":"2051-1426","PMID":"27660705","abstract":"Increasing evidence demonstrates that radiation acts as an immune stimulus, recruiting immune mediators that enable anti-tumor responses within and outside the radiation field. There has been a rapid expansion in the number of clinical trials harnessing radiation to enhance antitumor immunity. If positive, results of these trials will lead to a paradigm shift in the use of radiotherapy. In this review, we discuss the rationale for trials combining radiation with various immunotherapies, provide an update of recent clinical trial results and highlight trials currently in progress. We also address issues pertaining to the optimal incorporation of immunotherapy with radiation, including sequencing of treatment, radiation dosing and evaluation of clinical trial endpoints.","author":[{"dropping-particle":"","family":"Kang","given":"Josephine","non-dropping-particle":"","parse-names":false,"suffix":""},{"dropping-particle":"","family":"Demaria","given":"Sandra","non-dropping-particle":"","parse-names":false,"suffix":""},{"dropping-particle":"","family":"Formenti","given":"Silvia","non-dropping-particle":"","parse-names":false,"suffix":""}],"container-title":"Journal for ImmunoTherapy of Cancer","id":"ITEM-1","issue":"1","issued":{"date-parts":[["2016","12"]]},"page":"51","title":"Current clinical trials testing the combination of immunotherapy with radiotherapy","type":"article-journal","volume":"4"},"uris":["http://www.mendeley.com/documents/?uuid=f80b3707-394b-4a46-b35c-3b7f93241732","http://www.mendeley.com/documents/?uuid=c010db71-dd8d-4678-9c81-16b82832a806"]}],"mendeley":{"formattedCitation":"[39]","plainTextFormattedCitation":"[39]","previouslyFormattedCitation":"[39]"},"properties":{"noteIndex":0},"schema":"https://github.com/citation-style-language/schema/raw/master/csl-citation.json"}</w:instrText>
      </w:r>
      <w:r w:rsidR="00361D58" w:rsidRPr="00D46540">
        <w:rPr>
          <w:rFonts w:ascii="Calibri" w:hAnsi="Calibri" w:cs="Calibri"/>
        </w:rPr>
        <w:fldChar w:fldCharType="separate"/>
      </w:r>
      <w:r w:rsidR="00B54529" w:rsidRPr="00B54529">
        <w:rPr>
          <w:rFonts w:ascii="Calibri" w:hAnsi="Calibri" w:cs="Calibri"/>
          <w:noProof/>
        </w:rPr>
        <w:t>[39]</w:t>
      </w:r>
      <w:r w:rsidR="00361D58" w:rsidRPr="00D46540">
        <w:rPr>
          <w:rFonts w:ascii="Calibri" w:hAnsi="Calibri" w:cs="Calibri"/>
        </w:rPr>
        <w:fldChar w:fldCharType="end"/>
      </w:r>
      <w:r w:rsidR="00BE54ED" w:rsidRPr="00D46540">
        <w:rPr>
          <w:rFonts w:ascii="Calibri" w:hAnsi="Calibri" w:cs="Calibri"/>
        </w:rPr>
        <w:t>.</w:t>
      </w:r>
      <w:r w:rsidR="006D2604" w:rsidRPr="00D46540">
        <w:rPr>
          <w:rFonts w:ascii="Calibri" w:hAnsi="Calibri" w:cs="Calibri"/>
        </w:rPr>
        <w:t xml:space="preserve"> </w:t>
      </w:r>
      <w:r w:rsidR="00E61E10" w:rsidRPr="00D46540">
        <w:rPr>
          <w:rFonts w:ascii="Calibri" w:hAnsi="Calibri" w:cs="Calibri"/>
        </w:rPr>
        <w:t>More recently, several studies have documented that immunotherapy might boost this effect</w:t>
      </w:r>
      <w:r w:rsidR="002A7E3F" w:rsidRPr="00D46540">
        <w:rPr>
          <w:rFonts w:ascii="Calibri" w:hAnsi="Calibri" w:cs="Calibri"/>
        </w:rPr>
        <w:t xml:space="preserve"> </w:t>
      </w:r>
      <w:r w:rsidR="00374F10">
        <w:rPr>
          <w:rFonts w:ascii="Calibri" w:hAnsi="Calibri" w:cs="Calibri"/>
        </w:rPr>
        <w:fldChar w:fldCharType="begin" w:fldLock="1"/>
      </w:r>
      <w:r w:rsidR="00B54529">
        <w:rPr>
          <w:rFonts w:ascii="Calibri" w:hAnsi="Calibri" w:cs="Calibri"/>
        </w:rPr>
        <w:instrText>ADDIN CSL_CITATION {"citationItems":[{"id":"ITEM-1","itemData":{"DOI":"10.1016/j.ijrobp.2016.07.005","ISSN":"03603016","PMID":"27681753","abstract":"Purpose\\r\\nLocal radiation therapy (RT) combined with systemic anti-cytotoxic T-lymphocyte–associated protein-4 immunotherapy may enhance induction of systemic antimelanoma immune responses. The primary objective of the present trial was to assess the safety and efficacy of combining ipilimumab with RT in patients with stage IV melanoma. The secondary objectives included laboratory assessment of induction of antimelanoma immune responses.\\r\\n\\r\\nMethods and Materials\\r\\nIn our prospective clinical trial, 22 patients with stage IV melanoma were treated with palliative RT and ipilimumab for 4 cycles. RT to 1 to 2 disease sites was initiated within 5 days after starting ipilimumab. Patients had ≥1 nonirradiated metastasis measuring ≥1.5 cm available for response assessment. Tumor imaging studies were obtained at baseline, 2 to 4 weeks after cycle 4 of ipilimumab, and every 3 months until progression. Laboratory immune response parameters were measured before and during treatment.\\r\\n\\r\\nResults\\r\\nCombination therapy was well-tolerated without unexpected toxicities. Eleven patients (50.0%) experienced clinical benefit from therapy, including complete and partial responses and stable disease at median follow-up of 55 weeks. Three patients (27.3%) achieved an ongoing systemic complete response at a median follow-up of 55 weeks (range 32-65), and 3 (27.3%) had an initial partial response for a median of 40 weeks. Analysis of immune response data suggested a relationship between elevated CD8-activated T-cells and response.\\r\\n\\r\\nConclusion\\r\\nThis is the second prospective clinical trial of treatment of metastatic melanoma using the combination of RT and systemic immunotherapy and the first using this sequence of therapy. The results from the present trial demonstrate that a subset of patients may benefit from combination therapy, arguing for continued clinical investigation of the use of RT combined with immunotherapy, including programmed cell death 1 inhibitors, which might have the potential to be even more effective in combination with RT.","author":[{"dropping-particle":"","family":"Hiniker","given":"Susan M.","non-dropping-particle":"","parse-names":false,"suffix":""},{"dropping-particle":"","family":"Reddy","given":"Sunil A.","non-dropping-particle":"","parse-names":false,"suffix":""},{"dropping-particle":"","family":"Maecker","given":"Holden T.","non-dropping-particle":"","parse-names":false,"suffix":""},{"dropping-particle":"","family":"Subrahmanyam","given":"Priyanka B.","non-dropping-particle":"","parse-names":false,"suffix":""},{"dropping-particle":"","family":"Rosenberg-Hasson","given":"Yael","non-dropping-particle":"","parse-names":false,"suffix":""},{"dropping-particle":"","family":"Swetter","given":"Susan M.","non-dropping-particle":"","parse-names":false,"suffix":""},{"dropping-particle":"","family":"Saha","given":"Saurabh","non-dropping-particle":"","parse-names":false,"suffix":""},{"dropping-particle":"","family":"Shura","given":"Lei","non-dropping-particle":"","parse-names":false,"suffix":""},{"dropping-particle":"","family":"Knox","given":"Susan J.","non-dropping-particle":"","parse-names":false,"suffix":""}],"container-title":"International Journal of Radiation Oncology*Biology*Physics","id":"ITEM-1","issue":"3","issued":{"date-parts":[["2016","11"]]},"page":"578-588","title":"A Prospective Clinical Trial Combining Radiation Therapy With Systemic Immunotherapy in Metastatic Melanoma","type":"article-journal","volume":"96"},"uris":["http://www.mendeley.com/documents/?uuid=e44fd5cc-e5fa-409c-932d-c3ea53584c81"]},{"id":"ITEM-2","itemData":{"DOI":"10.1038/nature14292","ISSN":"0028-0836","author":[{"dropping-particle":"","family":"Victor","given":"Christina Twyman-Saint","non-dropping-particle":"","parse-names":false,"suffix":""},{"dropping-particle":"","family":"Rech","given":"Andrew J.","non-dropping-particle":"","parse-names":false,"suffix":""},{"dropping-particle":"","family":"Maity","given":"Amit","non-dropping-particle":"","parse-names":false,"suffix":""},{"dropping-particle":"","family":"Rengan","given":"Ramesh","non-dropping-particle":"","parse-names":false,"suffix":""},{"dropping-particle":"","family":"Pauken","given":"Kristen E.","non-dropping-particle":"","parse-names":false,"suffix":""},{"dropping-particle":"","family":"Stelekati","given":"Erietta","non-dropping-particle":"","parse-names":false,"suffix":""},{"dropping-particle":"","family":"Benci","given":"Joseph L.","non-dropping-particle":"","parse-names":false,"suffix":""},{"dropping-particle":"","family":"Xu","given":"Bihui","non-dropping-particle":"","parse-names":false,"suffix":""},{"dropping-particle":"","family":"Dada","given":"Hannah","non-dropping-particle":"","parse-names":false,"suffix":""},{"dropping-particle":"","family":"Odorizzi","given":"Pamela M.","non-dropping-particle":"","parse-names":false,"suffix":""},{"dropping-particle":"","family":"Herati","given":"Ramin S.","non-dropping-particle":"","parse-names":false,"suffix":""},{"dropping-particle":"","family":"Mansfield","given":"Kathleen D.","non-dropping-particle":"","parse-names":false,"suffix":""},{"dropping-particle":"","family":"Patsch","given":"Dana","non-dropping-particle":"","parse-names":false,"suffix":""},{"dropping-particle":"","family":"Amaravadi","given":"Ravi K.","non-dropping-particle":"","parse-names":false,"suffix":""},{"dropping-particle":"","family":"Schuchter","given":"Lynn M.","non-dropping-particle":"","parse-names":false,"suffix":""},{"dropping-particle":"","family":"Ishwaran","given":"Hemant","non-dropping-particle":"","parse-names":false,"suffix":""},{"dropping-particle":"","family":"Mick","given":"Rosemarie","non-dropping-particle":"","parse-names":false,"suffix":""},{"dropping-particle":"","family":"Pryma","given":"Daniel a.","non-dropping-particle":"","parse-names":false,"suffix":""},{"dropping-particle":"","family":"Xu","given":"Xiaowei","non-dropping-particle":"","parse-names":false,"suffix":""},{"dropping-particle":"","family":"Feldman","given":"Michael D.","non-dropping-particle":"","parse-names":false,"suffix":""},{"dropping-particle":"","family":"Gangadhar","given":"Tara C.","non-dropping-particle":"","parse-names":false,"suffix":""},{"dropping-particle":"","family":"Hahn","given":"Stephen M.","non-dropping-particle":"","parse-names":false,"suffix":""},{"dropping-particle":"","family":"Wherry","given":"E. John","non-dropping-particle":"","parse-names":false,"suffix":""},{"dropping-particle":"","family":"Vonderheide","given":"Robert H.","non-dropping-particle":"","parse-names":false,"suffix":""},{"dropping-particle":"","family":"Minn","given":"Andy J.","non-dropping-particle":"","parse-names":false,"suffix":""}],"container-title":"Nature","id":"ITEM-2","issued":{"date-parts":[["2015","3","9"]]},"publisher":"Nature Publishing Group","title":"Radiation and dual checkpoint blockade activate non-redundant immune mechanisms in cancer","type":"article-journal"},"uris":["http://www.mendeley.com/documents/?uuid=017e8bf4-cb30-4bd7-876a-93bec53e4b3f"]},{"id":"ITEM-3","itemData":{"DOI":"10.1016/j.ctrv.2015.03.011","ISSN":"03057372","author":[{"dropping-particle":"","family":"Reynders","given":"Kobe","non-dropping-particle":"","parse-names":false,"suffix":""},{"dropping-particle":"","family":"Illidge","given":"Tim","non-dropping-particle":"","parse-names":false,"suffix":""},{"dropping-particle":"","family":"Siva","given":"Shankar","non-dropping-particle":"","parse-names":false,"suffix":""},{"dropping-particle":"","family":"Chang","given":"Joe Y.","non-dropping-particle":"","parse-names":false,"suffix":""},{"dropping-particle":"","family":"Ruysscher","given":"Dirk","non-dropping-particle":"De","parse-names":false,"suffix":""}],"container-title":"Cancer Treatment Reviews","id":"ITEM-3","issue":"6","issued":{"date-parts":[["2015","6"]]},"page":"503-510","title":"The abscopal effect of local radiotherapy: using immunotherapy to make a rare event clinically relevant","type":"article-journal","volume":"41"},"uris":["http://www.mendeley.com/documents/?uuid=86f42f6b-0597-48c5-93ff-9a64b126340e"]},{"id":"ITEM-4","itemData":{"DOI":"10.1016/j.it.2018.03.002","ISSN":"14714981","PMID":"29598848","abstract":"Tumors that elude infiltration by CD8+T lymphocytes are particularly resistant to multiple forms of treatment, including immune checkpoint blockade. Stromal transforming growth factor (TGF)-β appears to play a key role in this process, potentially constituting a target for novel combinatorial regimens tackling immune-excluded neoplasms.","author":[{"dropping-particle":"","family":"Vanpouille-Box","given":"Claire","non-dropping-particle":"","parse-names":false,"suffix":""},{"dropping-particle":"","family":"Formenti","given":"Silvia C.","non-dropping-particle":"","parse-names":false,"suffix":""}],"container-title":"Trends in Immunology","id":"ITEM-4","issue":"6","issued":{"date-parts":[["2018"]]},"page":"435-437","publisher":"Elsevier Ltd","title":"Dual Transforming Growth Factor-β and Programmed Death-1 Blockade: A Strategy for Immune-Excluded Tumors?","type":"article-journal","volume":"39"},"uris":["http://www.mendeley.com/documents/?uuid=7d5d89ca-a3d9-4607-9d3f-a037c9ea9cca"]}],"mendeley":{"formattedCitation":"[40–43]","plainTextFormattedCitation":"[40–43]","previouslyFormattedCitation":"[40–43]"},"properties":{"noteIndex":0},"schema":"https://github.com/citation-style-language/schema/raw/master/csl-citation.json"}</w:instrText>
      </w:r>
      <w:r w:rsidR="00374F10">
        <w:rPr>
          <w:rFonts w:ascii="Calibri" w:hAnsi="Calibri" w:cs="Calibri"/>
        </w:rPr>
        <w:fldChar w:fldCharType="separate"/>
      </w:r>
      <w:r w:rsidR="00B54529" w:rsidRPr="00B54529">
        <w:rPr>
          <w:rFonts w:ascii="Calibri" w:hAnsi="Calibri" w:cs="Calibri"/>
          <w:noProof/>
        </w:rPr>
        <w:t>[40–43]</w:t>
      </w:r>
      <w:r w:rsidR="00374F10">
        <w:rPr>
          <w:rFonts w:ascii="Calibri" w:hAnsi="Calibri" w:cs="Calibri"/>
        </w:rPr>
        <w:fldChar w:fldCharType="end"/>
      </w:r>
      <w:r w:rsidR="005F4CC2" w:rsidRPr="00D46540">
        <w:rPr>
          <w:rFonts w:ascii="Calibri" w:hAnsi="Calibri" w:cs="Calibri"/>
        </w:rPr>
        <w:t xml:space="preserve"> and recent phase </w:t>
      </w:r>
      <w:r w:rsidR="007E27D1" w:rsidRPr="00D46540">
        <w:rPr>
          <w:rFonts w:ascii="Calibri" w:hAnsi="Calibri" w:cs="Calibri"/>
        </w:rPr>
        <w:t xml:space="preserve">I </w:t>
      </w:r>
      <w:r w:rsidR="005F4CC2" w:rsidRPr="00D46540">
        <w:rPr>
          <w:rFonts w:ascii="Calibri" w:hAnsi="Calibri" w:cs="Calibri"/>
        </w:rPr>
        <w:t xml:space="preserve">studies confirm that this combination shows interesting clinical results without safety issues </w:t>
      </w:r>
      <w:r w:rsidR="005F4CC2" w:rsidRPr="00D46540">
        <w:rPr>
          <w:rFonts w:ascii="Calibri" w:hAnsi="Calibri" w:cs="Calibri"/>
        </w:rPr>
        <w:fldChar w:fldCharType="begin" w:fldLock="1"/>
      </w:r>
      <w:r w:rsidR="00B54529">
        <w:rPr>
          <w:rFonts w:ascii="Calibri" w:hAnsi="Calibri" w:cs="Calibri"/>
        </w:rPr>
        <w:instrText>ADDIN CSL_CITATION {"citationItems":[{"id":"ITEM-1","itemData":{"DOI":"10.1200/JCO.2017.76.2229","ISSN":"0732-183X","PMID":"29437535","abstract":"Alcohol drinking is an established risk factor for several malignancies, and it is a potentially modifiable risk factor for cancer. The Cancer Prevention Committee of the American Society of Clinical Oncology (ASCO) believes that a proactive stance by the Society to minimize excessive exposure to alcohol has important implications for cancer prevention. In addition, the role of alcohol drinking on outcomes in patients with cancer is in its formative stages, and ASCO can play a key role by generating a research agenda. Also, ASCO could provide needed leadership in the cancer community on this issue. In the issuance of this statement, ASCO joins a growing number of international organizations by establishing a platform to support effective public health strategies in this area. The goals of this statement are to: • Promote public education about the risks between alcohol abuse and certain types of cancer; • Support policy efforts to reduce the risk of cancer through evidence-based strategies that prevent excessive use of alcohol; • Provide education to oncology providers about the influence of excessive alcohol use and cancer risks and treatment complications, including clarification of conflicting evidence; and • Identify areas of needed research regarding the relationship between alcohol use and cancer risk and outcomes.","author":[{"dropping-particle":"","family":"Luke","given":"Jason J.","non-dropping-particle":"","parse-names":false,"suffix":""},{"dropping-particle":"","family":"Lemons","given":"Jeffrey M.","non-dropping-particle":"","parse-names":false,"suffix":""},{"dropping-particle":"","family":"Karrison","given":"Theodore G.","non-dropping-particle":"","parse-names":false,"suffix":""},{"dropping-particle":"","family":"Pitroda","given":"Sean P.","non-dropping-particle":"","parse-names":false,"suffix":""},{"dropping-particle":"","family":"Melotek","given":"James M.","non-dropping-particle":"","parse-names":false,"suffix":""},{"dropping-particle":"","family":"Zha","given":"Yuanyuan","non-dropping-particle":"","parse-names":false,"suffix":""},{"dropping-particle":"","family":"Al-Hallaq","given":"Hania A.","non-dropping-particle":"","parse-names":false,"suffix":""},{"dropping-particle":"","family":"Arina","given":"Ainhoa","non-dropping-particle":"","parse-names":false,"suffix":""},{"dropping-particle":"","family":"Khodarev","given":"Nikolai N.","non-dropping-particle":"","parse-names":false,"suffix":""},{"dropping-particle":"","family":"Janisch","given":"Linda","non-dropping-particle":"","parse-names":false,"suffix":""},{"dropping-particle":"","family":"Chang","given":"Paul","non-dropping-particle":"","parse-names":false,"suffix":""},{"dropping-particle":"","family":"Patel","given":"Jyoti D.","non-dropping-particle":"","parse-names":false,"suffix":""},{"dropping-particle":"","family":"Fleming","given":"Gini F.","non-dropping-particle":"","parse-names":false,"suffix":""},{"dropping-particle":"","family":"Moroney","given":"John","non-dropping-particle":"","parse-names":false,"suffix":""},{"dropping-particle":"","family":"Sharma","given":"Manish R.","non-dropping-particle":"","parse-names":false,"suffix":""},{"dropping-particle":"","family":"White","given":"Julia R.","non-dropping-particle":"","parse-names":false,"suffix":""},{"dropping-particle":"","family":"Ratain","given":"Mark J.","non-dropping-particle":"","parse-names":false,"suffix":""},{"dropping-particle":"","family":"Gajewski","given":"Thomas F.","non-dropping-particle":"","parse-names":false,"suffix":""},{"dropping-particle":"","family":"Weichselbaum","given":"Ralph R.","non-dropping-particle":"","parse-names":false,"suffix":""},{"dropping-particle":"","family":"Chmura","given":"Steven J.","non-dropping-particle":"","parse-names":false,"suffix":""}],"container-title":"Journal of Clinical Oncology","id":"ITEM-1","issued":{"date-parts":[["2018"]]},"page":"JCO.2017.76.222","title":"Safety and Clinical Activity of Pembrolizumab and Multisite Stereotactic Body Radiotherapy in Patients With Advanced Solid Tumors","type":"article-journal"},"uris":["http://www.mendeley.com/documents/?uuid=03cddb26-bf02-4d7d-b61b-9cb085de8f12"]}],"mendeley":{"formattedCitation":"[44]","plainTextFormattedCitation":"[44]","previouslyFormattedCitation":"[44]"},"properties":{"noteIndex":0},"schema":"https://github.com/citation-style-language/schema/raw/master/csl-citation.json"}</w:instrText>
      </w:r>
      <w:r w:rsidR="005F4CC2" w:rsidRPr="00D46540">
        <w:rPr>
          <w:rFonts w:ascii="Calibri" w:hAnsi="Calibri" w:cs="Calibri"/>
        </w:rPr>
        <w:fldChar w:fldCharType="separate"/>
      </w:r>
      <w:r w:rsidR="00B54529" w:rsidRPr="00B54529">
        <w:rPr>
          <w:rFonts w:ascii="Calibri" w:hAnsi="Calibri" w:cs="Calibri"/>
          <w:noProof/>
        </w:rPr>
        <w:t>[44]</w:t>
      </w:r>
      <w:r w:rsidR="005F4CC2" w:rsidRPr="00D46540">
        <w:rPr>
          <w:rFonts w:ascii="Calibri" w:hAnsi="Calibri" w:cs="Calibri"/>
        </w:rPr>
        <w:fldChar w:fldCharType="end"/>
      </w:r>
      <w:r w:rsidR="005F4CC2" w:rsidRPr="00D46540">
        <w:rPr>
          <w:rFonts w:ascii="Calibri" w:hAnsi="Calibri" w:cs="Calibri"/>
        </w:rPr>
        <w:t>.</w:t>
      </w:r>
      <w:r w:rsidR="00552C11" w:rsidRPr="00D46540">
        <w:rPr>
          <w:rFonts w:ascii="Calibri" w:hAnsi="Calibri" w:cs="Calibri"/>
        </w:rPr>
        <w:t xml:space="preserve"> </w:t>
      </w:r>
      <w:r w:rsidR="000D5BE8" w:rsidRPr="00D46540">
        <w:rPr>
          <w:rFonts w:ascii="Calibri" w:hAnsi="Calibri" w:cs="Calibri"/>
        </w:rPr>
        <w:t xml:space="preserve">If </w:t>
      </w:r>
      <w:r w:rsidR="00804829" w:rsidRPr="00D46540">
        <w:rPr>
          <w:rFonts w:ascii="Calibri" w:hAnsi="Calibri" w:cs="Calibri"/>
        </w:rPr>
        <w:t>this</w:t>
      </w:r>
      <w:r w:rsidR="000D5BE8" w:rsidRPr="00D46540">
        <w:rPr>
          <w:rFonts w:ascii="Calibri" w:hAnsi="Calibri" w:cs="Calibri"/>
        </w:rPr>
        <w:t xml:space="preserve"> synergy between </w:t>
      </w:r>
      <w:r w:rsidR="00CB63DF" w:rsidRPr="00D46540">
        <w:rPr>
          <w:rFonts w:ascii="Calibri" w:hAnsi="Calibri" w:cs="Calibri"/>
        </w:rPr>
        <w:t xml:space="preserve">radiotherapy </w:t>
      </w:r>
      <w:r w:rsidR="000D5BE8" w:rsidRPr="00D46540">
        <w:rPr>
          <w:rFonts w:ascii="Calibri" w:hAnsi="Calibri" w:cs="Calibri"/>
        </w:rPr>
        <w:t xml:space="preserve">and CPIs </w:t>
      </w:r>
      <w:r w:rsidR="007E27D1" w:rsidRPr="00D46540">
        <w:rPr>
          <w:rFonts w:ascii="Calibri" w:hAnsi="Calibri" w:cs="Calibri"/>
        </w:rPr>
        <w:t xml:space="preserve">is confirmed </w:t>
      </w:r>
      <w:r w:rsidR="00804829" w:rsidRPr="00D46540">
        <w:rPr>
          <w:rFonts w:ascii="Calibri" w:hAnsi="Calibri" w:cs="Calibri"/>
        </w:rPr>
        <w:t xml:space="preserve">for several malignancies, it </w:t>
      </w:r>
      <w:r w:rsidR="007E27D1" w:rsidRPr="00D46540">
        <w:rPr>
          <w:rFonts w:ascii="Calibri" w:hAnsi="Calibri" w:cs="Calibri"/>
        </w:rPr>
        <w:t xml:space="preserve">might offer </w:t>
      </w:r>
      <w:r w:rsidR="00804829" w:rsidRPr="00D46540">
        <w:rPr>
          <w:rFonts w:ascii="Calibri" w:hAnsi="Calibri" w:cs="Calibri"/>
        </w:rPr>
        <w:t>more durable response</w:t>
      </w:r>
      <w:r w:rsidR="007E27D1" w:rsidRPr="00D46540">
        <w:rPr>
          <w:rFonts w:ascii="Calibri" w:hAnsi="Calibri" w:cs="Calibri"/>
        </w:rPr>
        <w:t>s</w:t>
      </w:r>
      <w:r w:rsidR="00804829" w:rsidRPr="00D46540">
        <w:rPr>
          <w:rFonts w:ascii="Calibri" w:hAnsi="Calibri" w:cs="Calibri"/>
        </w:rPr>
        <w:t xml:space="preserve"> for </w:t>
      </w:r>
      <w:r w:rsidR="007E27D1" w:rsidRPr="00D46540">
        <w:rPr>
          <w:rFonts w:ascii="Calibri" w:hAnsi="Calibri" w:cs="Calibri"/>
        </w:rPr>
        <w:t>transplant patients with advanced cancer as well</w:t>
      </w:r>
      <w:r w:rsidR="00E406A8" w:rsidRPr="00D46540">
        <w:rPr>
          <w:rFonts w:ascii="Calibri" w:hAnsi="Calibri" w:cs="Calibri"/>
        </w:rPr>
        <w:t>. Moreover, this “</w:t>
      </w:r>
      <w:r w:rsidR="00D7008D" w:rsidRPr="00D46540">
        <w:rPr>
          <w:rFonts w:ascii="Calibri" w:hAnsi="Calibri" w:cs="Calibri"/>
        </w:rPr>
        <w:t>vaccine</w:t>
      </w:r>
      <w:r w:rsidR="00E406A8" w:rsidRPr="00D46540">
        <w:rPr>
          <w:rFonts w:ascii="Calibri" w:hAnsi="Calibri" w:cs="Calibri"/>
        </w:rPr>
        <w:t xml:space="preserve">-like” mechanism </w:t>
      </w:r>
      <w:r w:rsidR="007E27D1" w:rsidRPr="00D46540">
        <w:rPr>
          <w:rFonts w:ascii="Calibri" w:hAnsi="Calibri" w:cs="Calibri"/>
        </w:rPr>
        <w:t xml:space="preserve">might </w:t>
      </w:r>
      <w:r w:rsidR="00804829" w:rsidRPr="00D46540">
        <w:rPr>
          <w:rFonts w:ascii="Calibri" w:hAnsi="Calibri" w:cs="Calibri"/>
        </w:rPr>
        <w:t xml:space="preserve">allow a </w:t>
      </w:r>
      <w:r w:rsidR="007E27D1" w:rsidRPr="00D46540">
        <w:rPr>
          <w:rFonts w:ascii="Calibri" w:hAnsi="Calibri" w:cs="Calibri"/>
        </w:rPr>
        <w:t xml:space="preserve">shorter duration </w:t>
      </w:r>
      <w:r w:rsidR="00804829" w:rsidRPr="00D46540">
        <w:rPr>
          <w:rFonts w:ascii="Calibri" w:hAnsi="Calibri" w:cs="Calibri"/>
        </w:rPr>
        <w:t>of CPI</w:t>
      </w:r>
      <w:r w:rsidR="00C755ED">
        <w:rPr>
          <w:rFonts w:ascii="Calibri" w:hAnsi="Calibri" w:cs="Calibri"/>
        </w:rPr>
        <w:t>.</w:t>
      </w:r>
    </w:p>
    <w:p w14:paraId="153320BF" w14:textId="5F0B7BB3" w:rsidR="00785B83" w:rsidRPr="00D46540" w:rsidRDefault="006D5FE3" w:rsidP="00921F98">
      <w:pPr>
        <w:pStyle w:val="Commentaire"/>
        <w:spacing w:line="360" w:lineRule="auto"/>
        <w:jc w:val="both"/>
        <w:rPr>
          <w:rFonts w:ascii="Calibri" w:hAnsi="Calibri" w:cs="Calibri"/>
        </w:rPr>
      </w:pPr>
      <w:r w:rsidRPr="00D46540">
        <w:rPr>
          <w:rFonts w:ascii="Calibri" w:hAnsi="Calibri" w:cs="Calibri"/>
          <w:lang w:val="en-GB"/>
        </w:rPr>
        <w:t xml:space="preserve">In order to correctly treat transplant patients with CPI, a close collaboration between a multidisciplinary team including </w:t>
      </w:r>
      <w:r w:rsidR="00C33E36" w:rsidRPr="00D46540">
        <w:rPr>
          <w:rFonts w:ascii="Calibri" w:hAnsi="Calibri" w:cs="Calibri"/>
          <w:lang w:val="en-GB"/>
        </w:rPr>
        <w:t xml:space="preserve">medical </w:t>
      </w:r>
      <w:r w:rsidRPr="00D46540">
        <w:rPr>
          <w:rFonts w:ascii="Calibri" w:hAnsi="Calibri" w:cs="Calibri"/>
          <w:lang w:val="en-GB"/>
        </w:rPr>
        <w:t>oncologists</w:t>
      </w:r>
      <w:r w:rsidR="00C33E36" w:rsidRPr="00D46540">
        <w:rPr>
          <w:rFonts w:ascii="Calibri" w:hAnsi="Calibri" w:cs="Calibri"/>
          <w:lang w:val="en-GB"/>
        </w:rPr>
        <w:t>, dermatologists, surgeons, radiotherapists</w:t>
      </w:r>
      <w:r w:rsidR="00255B1E" w:rsidRPr="00D46540">
        <w:rPr>
          <w:rFonts w:ascii="Calibri" w:hAnsi="Calibri" w:cs="Calibri"/>
          <w:lang w:val="en-GB"/>
        </w:rPr>
        <w:t>,</w:t>
      </w:r>
      <w:r w:rsidRPr="00D46540">
        <w:rPr>
          <w:rFonts w:ascii="Calibri" w:hAnsi="Calibri" w:cs="Calibri"/>
          <w:lang w:val="en-GB"/>
        </w:rPr>
        <w:t xml:space="preserve"> transplant specialists</w:t>
      </w:r>
      <w:r w:rsidR="00255B1E" w:rsidRPr="00D46540">
        <w:rPr>
          <w:rFonts w:ascii="Calibri" w:hAnsi="Calibri" w:cs="Calibri"/>
          <w:lang w:val="en-GB"/>
        </w:rPr>
        <w:t xml:space="preserve"> but also scientists as biologists</w:t>
      </w:r>
      <w:r w:rsidR="00343D97" w:rsidRPr="00D46540">
        <w:rPr>
          <w:rFonts w:ascii="Calibri" w:hAnsi="Calibri" w:cs="Calibri"/>
          <w:lang w:val="en-GB"/>
        </w:rPr>
        <w:t xml:space="preserve">; </w:t>
      </w:r>
      <w:r w:rsidR="00A2015C" w:rsidRPr="00D46540">
        <w:rPr>
          <w:rFonts w:ascii="Calibri" w:hAnsi="Calibri" w:cs="Calibri"/>
          <w:lang w:val="en-GB"/>
        </w:rPr>
        <w:t xml:space="preserve">full discussion with the patient and </w:t>
      </w:r>
      <w:r w:rsidRPr="00D46540">
        <w:rPr>
          <w:rFonts w:ascii="Calibri" w:hAnsi="Calibri" w:cs="Calibri"/>
          <w:lang w:val="en-GB"/>
        </w:rPr>
        <w:t>his</w:t>
      </w:r>
      <w:r w:rsidR="00A2015C" w:rsidRPr="00D46540">
        <w:rPr>
          <w:rFonts w:ascii="Calibri" w:hAnsi="Calibri" w:cs="Calibri"/>
          <w:lang w:val="en-GB"/>
        </w:rPr>
        <w:t xml:space="preserve"> family regarding the risks </w:t>
      </w:r>
      <w:r w:rsidRPr="00D46540">
        <w:rPr>
          <w:rFonts w:ascii="Calibri" w:hAnsi="Calibri" w:cs="Calibri"/>
          <w:lang w:val="en-GB"/>
        </w:rPr>
        <w:t>and</w:t>
      </w:r>
      <w:r w:rsidR="00A2015C" w:rsidRPr="00D46540">
        <w:rPr>
          <w:rFonts w:ascii="Calibri" w:hAnsi="Calibri" w:cs="Calibri"/>
          <w:lang w:val="en-GB"/>
        </w:rPr>
        <w:t xml:space="preserve"> benefit</w:t>
      </w:r>
      <w:r w:rsidRPr="00D46540">
        <w:rPr>
          <w:rFonts w:ascii="Calibri" w:hAnsi="Calibri" w:cs="Calibri"/>
          <w:lang w:val="en-GB"/>
        </w:rPr>
        <w:t>s</w:t>
      </w:r>
      <w:r w:rsidR="00C755ED">
        <w:rPr>
          <w:rFonts w:ascii="Calibri" w:hAnsi="Calibri" w:cs="Calibri"/>
          <w:lang w:val="en-GB"/>
        </w:rPr>
        <w:t>,</w:t>
      </w:r>
      <w:r w:rsidRPr="00D46540">
        <w:rPr>
          <w:rFonts w:ascii="Calibri" w:hAnsi="Calibri" w:cs="Calibri"/>
          <w:lang w:val="en-GB"/>
        </w:rPr>
        <w:t xml:space="preserve"> </w:t>
      </w:r>
      <w:r w:rsidR="00A2015C" w:rsidRPr="00D46540">
        <w:rPr>
          <w:rFonts w:ascii="Calibri" w:hAnsi="Calibri" w:cs="Calibri"/>
          <w:lang w:val="en-GB"/>
        </w:rPr>
        <w:t>and a close</w:t>
      </w:r>
      <w:r w:rsidRPr="00D46540">
        <w:rPr>
          <w:rFonts w:ascii="Calibri" w:hAnsi="Calibri" w:cs="Calibri"/>
          <w:lang w:val="en-GB"/>
        </w:rPr>
        <w:t xml:space="preserve"> clinical and biochemical</w:t>
      </w:r>
      <w:r w:rsidR="00A2015C" w:rsidRPr="00D46540">
        <w:rPr>
          <w:rFonts w:ascii="Calibri" w:hAnsi="Calibri" w:cs="Calibri"/>
          <w:lang w:val="en-GB"/>
        </w:rPr>
        <w:t xml:space="preserve"> follow-up </w:t>
      </w:r>
      <w:r w:rsidRPr="00D46540">
        <w:rPr>
          <w:rFonts w:ascii="Calibri" w:hAnsi="Calibri" w:cs="Calibri"/>
          <w:lang w:val="en-GB"/>
        </w:rPr>
        <w:t>are necessary</w:t>
      </w:r>
      <w:r w:rsidR="007B3673" w:rsidRPr="00D46540">
        <w:rPr>
          <w:rFonts w:ascii="Calibri" w:hAnsi="Calibri" w:cs="Calibri"/>
          <w:lang w:val="en-GB"/>
        </w:rPr>
        <w:t>.</w:t>
      </w:r>
      <w:r w:rsidR="006D2604" w:rsidRPr="00D46540">
        <w:rPr>
          <w:rFonts w:ascii="Calibri" w:hAnsi="Calibri" w:cs="Calibri"/>
          <w:lang w:val="en-GB"/>
        </w:rPr>
        <w:t xml:space="preserve"> </w:t>
      </w:r>
      <w:r w:rsidRPr="00D46540">
        <w:rPr>
          <w:rFonts w:ascii="Calibri" w:hAnsi="Calibri" w:cs="Calibri"/>
          <w:lang w:val="en-GB"/>
        </w:rPr>
        <w:t xml:space="preserve">Ideally this would be part of a study protocol or a clinical care path in order to find biomarkers indicative of </w:t>
      </w:r>
      <w:r w:rsidR="003E6C83" w:rsidRPr="00D46540">
        <w:rPr>
          <w:rFonts w:ascii="Calibri" w:hAnsi="Calibri" w:cs="Calibri"/>
          <w:lang w:val="en-GB"/>
        </w:rPr>
        <w:t>rejection</w:t>
      </w:r>
      <w:r w:rsidR="00C755ED">
        <w:rPr>
          <w:rFonts w:ascii="Calibri" w:hAnsi="Calibri" w:cs="Calibri"/>
          <w:lang w:val="en-GB"/>
        </w:rPr>
        <w:t xml:space="preserve"> risk</w:t>
      </w:r>
      <w:r w:rsidR="003E6C83" w:rsidRPr="00D46540">
        <w:rPr>
          <w:rFonts w:ascii="Calibri" w:hAnsi="Calibri" w:cs="Calibri"/>
          <w:lang w:val="en-GB"/>
        </w:rPr>
        <w:t xml:space="preserve"> and cancer response and to better understand </w:t>
      </w:r>
      <w:r w:rsidR="003E6C83" w:rsidRPr="00D46540">
        <w:rPr>
          <w:rFonts w:ascii="Calibri" w:hAnsi="Calibri" w:cs="Calibri"/>
        </w:rPr>
        <w:t xml:space="preserve">the capacity to dissociate </w:t>
      </w:r>
      <w:r w:rsidR="00C755ED">
        <w:rPr>
          <w:rFonts w:ascii="Calibri" w:hAnsi="Calibri" w:cs="Calibri"/>
        </w:rPr>
        <w:t>anti-graft</w:t>
      </w:r>
      <w:r w:rsidR="003E6C83" w:rsidRPr="00D46540">
        <w:rPr>
          <w:rFonts w:ascii="Calibri" w:hAnsi="Calibri" w:cs="Calibri"/>
        </w:rPr>
        <w:t xml:space="preserve"> response</w:t>
      </w:r>
      <w:r w:rsidR="00C755ED">
        <w:rPr>
          <w:rFonts w:ascii="Calibri" w:hAnsi="Calibri" w:cs="Calibri"/>
        </w:rPr>
        <w:t>s from</w:t>
      </w:r>
      <w:r w:rsidR="003E6C83" w:rsidRPr="00D46540">
        <w:rPr>
          <w:rFonts w:ascii="Calibri" w:hAnsi="Calibri" w:cs="Calibri"/>
        </w:rPr>
        <w:t xml:space="preserve"> anti-tumor response</w:t>
      </w:r>
      <w:r w:rsidR="00C755ED">
        <w:rPr>
          <w:rFonts w:ascii="Calibri" w:hAnsi="Calibri" w:cs="Calibri"/>
        </w:rPr>
        <w:t>s</w:t>
      </w:r>
      <w:r w:rsidR="003E6C83" w:rsidRPr="00D46540">
        <w:rPr>
          <w:rFonts w:ascii="Calibri" w:hAnsi="Calibri" w:cs="Calibri"/>
        </w:rPr>
        <w:t xml:space="preserve"> which </w:t>
      </w:r>
      <w:r w:rsidR="00C755ED">
        <w:rPr>
          <w:rFonts w:ascii="Calibri" w:hAnsi="Calibri" w:cs="Calibri"/>
        </w:rPr>
        <w:t>is</w:t>
      </w:r>
      <w:r w:rsidR="003E6C83" w:rsidRPr="00D46540">
        <w:rPr>
          <w:rFonts w:ascii="Calibri" w:hAnsi="Calibri" w:cs="Calibri"/>
        </w:rPr>
        <w:t xml:space="preserve"> possible as attested by some patients here reported. </w:t>
      </w:r>
    </w:p>
    <w:p w14:paraId="6691545D" w14:textId="77777777" w:rsidR="003E6C83" w:rsidRPr="00D46540" w:rsidRDefault="003E6C83" w:rsidP="00921F98">
      <w:pPr>
        <w:pStyle w:val="Commentaire"/>
        <w:spacing w:line="360" w:lineRule="auto"/>
        <w:jc w:val="both"/>
        <w:rPr>
          <w:rFonts w:ascii="Calibri" w:hAnsi="Calibri" w:cs="Calibri"/>
        </w:rPr>
      </w:pPr>
    </w:p>
    <w:p w14:paraId="77E483DB" w14:textId="77777777" w:rsidR="00785B83" w:rsidRPr="00D46540" w:rsidRDefault="00785B83" w:rsidP="00921F98">
      <w:pPr>
        <w:spacing w:line="360" w:lineRule="auto"/>
        <w:jc w:val="both"/>
        <w:rPr>
          <w:rFonts w:ascii="Calibri" w:hAnsi="Calibri" w:cs="Calibri"/>
          <w:b/>
          <w:lang w:val="en-GB"/>
        </w:rPr>
      </w:pPr>
      <w:r w:rsidRPr="00D46540">
        <w:rPr>
          <w:rFonts w:ascii="Calibri" w:hAnsi="Calibri" w:cs="Calibri"/>
          <w:b/>
          <w:lang w:val="en-GB"/>
        </w:rPr>
        <w:t>Conclusion</w:t>
      </w:r>
    </w:p>
    <w:p w14:paraId="38BA3D69" w14:textId="35232545" w:rsidR="00B54529" w:rsidRDefault="00785B83" w:rsidP="00164A21">
      <w:pPr>
        <w:spacing w:line="360" w:lineRule="auto"/>
        <w:jc w:val="both"/>
        <w:rPr>
          <w:rFonts w:ascii="Calibri" w:hAnsi="Calibri" w:cs="Calibri"/>
          <w:b/>
          <w:lang w:val="en-GB"/>
        </w:rPr>
      </w:pPr>
      <w:r w:rsidRPr="00D46540">
        <w:rPr>
          <w:rFonts w:ascii="Calibri" w:hAnsi="Calibri" w:cs="Calibri"/>
          <w:lang w:val="en-GB"/>
        </w:rPr>
        <w:t xml:space="preserve">Very limited treatment options are available for OTRs who </w:t>
      </w:r>
      <w:r w:rsidR="001651CA" w:rsidRPr="00D46540">
        <w:rPr>
          <w:rFonts w:ascii="Calibri" w:hAnsi="Calibri" w:cs="Calibri"/>
          <w:lang w:val="en-GB"/>
        </w:rPr>
        <w:t>present with advanced</w:t>
      </w:r>
      <w:r w:rsidR="00B01B69" w:rsidRPr="00D46540">
        <w:rPr>
          <w:rFonts w:ascii="Calibri" w:hAnsi="Calibri" w:cs="Calibri"/>
          <w:lang w:val="en-GB"/>
        </w:rPr>
        <w:t xml:space="preserve"> or recurrent</w:t>
      </w:r>
      <w:r w:rsidR="001651CA" w:rsidRPr="00D46540">
        <w:rPr>
          <w:rFonts w:ascii="Calibri" w:hAnsi="Calibri" w:cs="Calibri"/>
          <w:lang w:val="en-GB"/>
        </w:rPr>
        <w:t xml:space="preserve"> </w:t>
      </w:r>
      <w:r w:rsidRPr="00D46540">
        <w:rPr>
          <w:rFonts w:ascii="Calibri" w:hAnsi="Calibri" w:cs="Calibri"/>
          <w:lang w:val="en-GB"/>
        </w:rPr>
        <w:t>cancers</w:t>
      </w:r>
      <w:r w:rsidR="001651CA" w:rsidRPr="00D46540">
        <w:rPr>
          <w:rFonts w:ascii="Calibri" w:hAnsi="Calibri" w:cs="Calibri"/>
          <w:lang w:val="en-GB"/>
        </w:rPr>
        <w:t xml:space="preserve"> under immun</w:t>
      </w:r>
      <w:r w:rsidR="00DE439C" w:rsidRPr="00D46540">
        <w:rPr>
          <w:rFonts w:ascii="Calibri" w:hAnsi="Calibri" w:cs="Calibri"/>
          <w:lang w:val="en-GB"/>
        </w:rPr>
        <w:t>o</w:t>
      </w:r>
      <w:r w:rsidR="001651CA" w:rsidRPr="00D46540">
        <w:rPr>
          <w:rFonts w:ascii="Calibri" w:hAnsi="Calibri" w:cs="Calibri"/>
          <w:lang w:val="en-GB"/>
        </w:rPr>
        <w:t>suppressive therapy</w:t>
      </w:r>
      <w:r w:rsidR="00423536" w:rsidRPr="00D46540">
        <w:rPr>
          <w:rFonts w:ascii="Calibri" w:hAnsi="Calibri" w:cs="Calibri"/>
          <w:lang w:val="en-GB"/>
        </w:rPr>
        <w:t xml:space="preserve">. </w:t>
      </w:r>
      <w:r w:rsidRPr="00D46540">
        <w:rPr>
          <w:rFonts w:ascii="Calibri" w:hAnsi="Calibri" w:cs="Calibri"/>
          <w:lang w:val="en-GB"/>
        </w:rPr>
        <w:t xml:space="preserve">In this review </w:t>
      </w:r>
      <w:r w:rsidR="00423536" w:rsidRPr="00D46540">
        <w:rPr>
          <w:rFonts w:ascii="Calibri" w:hAnsi="Calibri" w:cs="Calibri"/>
          <w:lang w:val="en-GB"/>
        </w:rPr>
        <w:t>CPI</w:t>
      </w:r>
      <w:r w:rsidRPr="00D46540">
        <w:rPr>
          <w:rFonts w:ascii="Calibri" w:hAnsi="Calibri" w:cs="Calibri"/>
          <w:lang w:val="en-GB"/>
        </w:rPr>
        <w:t xml:space="preserve"> showed an encouraging global </w:t>
      </w:r>
      <w:r w:rsidR="00C755ED">
        <w:rPr>
          <w:rFonts w:ascii="Calibri" w:hAnsi="Calibri" w:cs="Calibri"/>
          <w:lang w:val="en-GB"/>
        </w:rPr>
        <w:t xml:space="preserve">tumor </w:t>
      </w:r>
      <w:r w:rsidRPr="00D46540">
        <w:rPr>
          <w:rFonts w:ascii="Calibri" w:hAnsi="Calibri" w:cs="Calibri"/>
          <w:lang w:val="en-GB"/>
        </w:rPr>
        <w:t xml:space="preserve">control rate of </w:t>
      </w:r>
      <w:r w:rsidR="00FA6BA0" w:rsidRPr="00D46540">
        <w:rPr>
          <w:rFonts w:ascii="Calibri" w:hAnsi="Calibri" w:cs="Calibri"/>
          <w:lang w:val="en-GB"/>
        </w:rPr>
        <w:t>35% (</w:t>
      </w:r>
      <w:r w:rsidR="00E21E0A">
        <w:rPr>
          <w:rFonts w:ascii="Calibri" w:hAnsi="Calibri" w:cs="Calibri"/>
          <w:lang w:val="en-GB"/>
        </w:rPr>
        <w:t>0% for reccurent HCC patient and 44</w:t>
      </w:r>
      <w:r w:rsidRPr="00D46540">
        <w:rPr>
          <w:rFonts w:ascii="Calibri" w:hAnsi="Calibri" w:cs="Calibri"/>
          <w:lang w:val="en-GB"/>
        </w:rPr>
        <w:t xml:space="preserve">% for </w:t>
      </w:r>
      <w:r w:rsidR="00E21E0A">
        <w:rPr>
          <w:rFonts w:ascii="Calibri" w:hAnsi="Calibri" w:cs="Calibri"/>
          <w:lang w:val="en-GB"/>
        </w:rPr>
        <w:t xml:space="preserve">non recurrent HCC </w:t>
      </w:r>
      <w:r w:rsidRPr="00D46540">
        <w:rPr>
          <w:rFonts w:ascii="Calibri" w:hAnsi="Calibri" w:cs="Calibri"/>
          <w:lang w:val="en-GB"/>
        </w:rPr>
        <w:t>liver transplant patient</w:t>
      </w:r>
      <w:r w:rsidR="00FA6BA0" w:rsidRPr="00D46540">
        <w:rPr>
          <w:rFonts w:ascii="Calibri" w:hAnsi="Calibri" w:cs="Calibri"/>
          <w:lang w:val="en-GB"/>
        </w:rPr>
        <w:t>s</w:t>
      </w:r>
      <w:r w:rsidR="00E21E0A">
        <w:rPr>
          <w:rFonts w:ascii="Calibri" w:hAnsi="Calibri" w:cs="Calibri"/>
          <w:lang w:val="en-GB"/>
        </w:rPr>
        <w:t xml:space="preserve"> and</w:t>
      </w:r>
      <w:r w:rsidR="00FA6BA0" w:rsidRPr="00D46540">
        <w:rPr>
          <w:rFonts w:ascii="Calibri" w:hAnsi="Calibri" w:cs="Calibri"/>
          <w:lang w:val="en-GB"/>
        </w:rPr>
        <w:t xml:space="preserve"> 45</w:t>
      </w:r>
      <w:r w:rsidRPr="00D46540">
        <w:rPr>
          <w:rFonts w:ascii="Calibri" w:hAnsi="Calibri" w:cs="Calibri"/>
          <w:lang w:val="en-GB"/>
        </w:rPr>
        <w:t>% for kidney transplant p</w:t>
      </w:r>
      <w:r w:rsidR="003E6C83" w:rsidRPr="00D46540">
        <w:rPr>
          <w:rFonts w:ascii="Calibri" w:hAnsi="Calibri" w:cs="Calibri"/>
          <w:lang w:val="en-GB"/>
        </w:rPr>
        <w:t>atients</w:t>
      </w:r>
      <w:r w:rsidR="00423536" w:rsidRPr="00D46540">
        <w:rPr>
          <w:rFonts w:ascii="Calibri" w:hAnsi="Calibri" w:cs="Calibri"/>
          <w:lang w:val="en-GB"/>
        </w:rPr>
        <w:t>)</w:t>
      </w:r>
      <w:r w:rsidRPr="00D46540">
        <w:rPr>
          <w:rFonts w:ascii="Calibri" w:hAnsi="Calibri" w:cs="Calibri"/>
          <w:lang w:val="en-GB"/>
        </w:rPr>
        <w:t xml:space="preserve">. </w:t>
      </w:r>
      <w:r w:rsidR="00921F98" w:rsidRPr="00D46540">
        <w:rPr>
          <w:rFonts w:ascii="Calibri" w:hAnsi="Calibri" w:cs="Calibri"/>
          <w:lang w:val="en-GB"/>
        </w:rPr>
        <w:t xml:space="preserve">Interestingly almost two third of the patients </w:t>
      </w:r>
      <w:r w:rsidRPr="00D46540">
        <w:rPr>
          <w:rFonts w:ascii="Calibri" w:hAnsi="Calibri" w:cs="Calibri"/>
          <w:lang w:val="en-GB"/>
        </w:rPr>
        <w:t xml:space="preserve">experienced allograft </w:t>
      </w:r>
      <w:r w:rsidR="00921F98" w:rsidRPr="00D46540">
        <w:rPr>
          <w:rFonts w:ascii="Calibri" w:hAnsi="Calibri" w:cs="Calibri"/>
          <w:lang w:val="en-GB"/>
        </w:rPr>
        <w:t>preservation</w:t>
      </w:r>
      <w:r w:rsidRPr="00D46540">
        <w:rPr>
          <w:rFonts w:ascii="Calibri" w:hAnsi="Calibri" w:cs="Calibri"/>
          <w:lang w:val="en-GB"/>
        </w:rPr>
        <w:t>. At the moment, there are not enough cases to discuss the relation between graft rejection and tumor response, neither do we have predictive biomarkers</w:t>
      </w:r>
      <w:r w:rsidR="00423536" w:rsidRPr="00D46540">
        <w:rPr>
          <w:rFonts w:ascii="Calibri" w:hAnsi="Calibri" w:cs="Calibri"/>
          <w:lang w:val="en-GB"/>
        </w:rPr>
        <w:t xml:space="preserve"> to adapt immunosuppresion</w:t>
      </w:r>
      <w:r w:rsidRPr="00D46540">
        <w:rPr>
          <w:rFonts w:ascii="Calibri" w:hAnsi="Calibri" w:cs="Calibri"/>
          <w:lang w:val="en-GB"/>
        </w:rPr>
        <w:t xml:space="preserve">. Therefore, a thorough understanding </w:t>
      </w:r>
      <w:r w:rsidR="00423536" w:rsidRPr="00D46540">
        <w:rPr>
          <w:rFonts w:ascii="Calibri" w:hAnsi="Calibri" w:cs="Calibri"/>
          <w:lang w:val="en-GB"/>
        </w:rPr>
        <w:t xml:space="preserve">the activation level of the immune system </w:t>
      </w:r>
      <w:r w:rsidRPr="00D46540">
        <w:rPr>
          <w:rFonts w:ascii="Calibri" w:hAnsi="Calibri" w:cs="Calibri"/>
          <w:lang w:val="en-GB"/>
        </w:rPr>
        <w:t>in this patient population is required.</w:t>
      </w:r>
      <w:r w:rsidR="00B54529">
        <w:rPr>
          <w:rFonts w:ascii="Calibri" w:hAnsi="Calibri" w:cs="Calibri"/>
          <w:b/>
          <w:lang w:val="en-GB"/>
        </w:rPr>
        <w:br w:type="page"/>
      </w:r>
    </w:p>
    <w:p w14:paraId="57D557F4" w14:textId="5D7549E9" w:rsidR="00B54529" w:rsidRPr="00B54529" w:rsidRDefault="00B54529" w:rsidP="00B54529">
      <w:pPr>
        <w:spacing w:line="360" w:lineRule="auto"/>
        <w:jc w:val="both"/>
        <w:rPr>
          <w:rFonts w:ascii="Calibri" w:hAnsi="Calibri" w:cs="Calibri"/>
          <w:b/>
          <w:lang w:val="en-GB"/>
        </w:rPr>
      </w:pPr>
      <w:r>
        <w:rPr>
          <w:rFonts w:ascii="Calibri" w:hAnsi="Calibri" w:cs="Calibri"/>
          <w:b/>
          <w:lang w:val="en-GB"/>
        </w:rPr>
        <w:t>K</w:t>
      </w:r>
      <w:r w:rsidRPr="00B54529">
        <w:rPr>
          <w:rFonts w:ascii="Calibri" w:hAnsi="Calibri" w:cs="Calibri"/>
          <w:b/>
          <w:lang w:val="en-GB"/>
        </w:rPr>
        <w:t>ey bullet phrases</w:t>
      </w:r>
    </w:p>
    <w:p w14:paraId="373BB6AD" w14:textId="08A572AD" w:rsidR="00B54529" w:rsidRDefault="00B54529" w:rsidP="00B54529">
      <w:pPr>
        <w:pStyle w:val="Paragraphedeliste"/>
        <w:numPr>
          <w:ilvl w:val="0"/>
          <w:numId w:val="4"/>
        </w:numPr>
        <w:spacing w:line="360" w:lineRule="auto"/>
        <w:jc w:val="both"/>
        <w:rPr>
          <w:rFonts w:ascii="Calibri" w:hAnsi="Calibri" w:cs="Calibri"/>
          <w:lang w:val="en-GB"/>
        </w:rPr>
      </w:pPr>
      <w:r w:rsidRPr="00B54529">
        <w:rPr>
          <w:rFonts w:ascii="Calibri" w:hAnsi="Calibri" w:cs="Calibri"/>
          <w:lang w:val="en-GB"/>
        </w:rPr>
        <w:t>Disease control rate (stable disease, complete response and partial response together) for advanced cancer patients with renal or liver transplant is 35% (21% for liver and 45% for kidney transplant patients).</w:t>
      </w:r>
    </w:p>
    <w:p w14:paraId="4E2D1E41" w14:textId="251032C7" w:rsidR="00B54529" w:rsidRDefault="00B54529" w:rsidP="00B54529">
      <w:pPr>
        <w:pStyle w:val="Paragraphedeliste"/>
        <w:numPr>
          <w:ilvl w:val="0"/>
          <w:numId w:val="4"/>
        </w:numPr>
        <w:spacing w:line="360" w:lineRule="auto"/>
        <w:jc w:val="both"/>
        <w:rPr>
          <w:rFonts w:ascii="Calibri" w:hAnsi="Calibri" w:cs="Calibri"/>
          <w:lang w:val="en-GB"/>
        </w:rPr>
      </w:pPr>
      <w:r>
        <w:rPr>
          <w:rFonts w:ascii="Calibri" w:hAnsi="Calibri" w:cs="Calibri"/>
          <w:lang w:val="en-GB"/>
        </w:rPr>
        <w:t xml:space="preserve"> </w:t>
      </w:r>
      <w:r w:rsidR="00175420">
        <w:rPr>
          <w:rFonts w:ascii="Calibri" w:hAnsi="Calibri" w:cs="Calibri"/>
          <w:lang w:val="en-GB"/>
        </w:rPr>
        <w:t xml:space="preserve">The </w:t>
      </w:r>
      <w:r>
        <w:rPr>
          <w:rFonts w:ascii="Calibri" w:hAnsi="Calibri" w:cs="Calibri"/>
          <w:lang w:val="en-GB"/>
        </w:rPr>
        <w:t xml:space="preserve">ideal response </w:t>
      </w:r>
      <w:r w:rsidR="00175420">
        <w:rPr>
          <w:rFonts w:ascii="Calibri" w:hAnsi="Calibri" w:cs="Calibri"/>
          <w:lang w:val="en-GB"/>
        </w:rPr>
        <w:t>(</w:t>
      </w:r>
      <w:r w:rsidR="00175420" w:rsidRPr="00D46540">
        <w:rPr>
          <w:rFonts w:ascii="Calibri" w:hAnsi="Calibri" w:cs="Calibri"/>
          <w:lang w:val="en-GB"/>
        </w:rPr>
        <w:t>anti-tumor response accompanied with durable graft tolerance</w:t>
      </w:r>
      <w:r w:rsidR="00175420">
        <w:rPr>
          <w:rFonts w:ascii="Calibri" w:hAnsi="Calibri" w:cs="Calibri"/>
          <w:lang w:val="en-GB"/>
        </w:rPr>
        <w:t xml:space="preserve">) </w:t>
      </w:r>
      <w:r>
        <w:rPr>
          <w:rFonts w:ascii="Calibri" w:hAnsi="Calibri" w:cs="Calibri"/>
          <w:lang w:val="en-GB"/>
        </w:rPr>
        <w:t xml:space="preserve">occurs in </w:t>
      </w:r>
      <w:r w:rsidRPr="00D46540">
        <w:rPr>
          <w:rFonts w:ascii="Calibri" w:hAnsi="Calibri" w:cs="Calibri"/>
          <w:lang w:val="en-GB"/>
        </w:rPr>
        <w:t>21% of all patients</w:t>
      </w:r>
      <w:r>
        <w:rPr>
          <w:rFonts w:ascii="Calibri" w:hAnsi="Calibri" w:cs="Calibri"/>
          <w:lang w:val="en-GB"/>
        </w:rPr>
        <w:t>.</w:t>
      </w:r>
    </w:p>
    <w:p w14:paraId="31AE8662" w14:textId="315248AC" w:rsidR="00785B83" w:rsidRDefault="00175420" w:rsidP="00921F98">
      <w:pPr>
        <w:pStyle w:val="Paragraphedeliste"/>
        <w:numPr>
          <w:ilvl w:val="0"/>
          <w:numId w:val="4"/>
        </w:numPr>
        <w:spacing w:line="360" w:lineRule="auto"/>
        <w:jc w:val="both"/>
        <w:rPr>
          <w:rFonts w:ascii="Calibri" w:hAnsi="Calibri" w:cs="Calibri"/>
          <w:lang w:val="en-GB"/>
        </w:rPr>
      </w:pPr>
      <w:r>
        <w:rPr>
          <w:rFonts w:ascii="Calibri" w:hAnsi="Calibri" w:cs="Calibri"/>
          <w:lang w:val="en-GB"/>
        </w:rPr>
        <w:t>No tumor responses were seen in liver transplantpatients (n=10) that received anti-PD1 for recurrent hepatocellular carcinoma.</w:t>
      </w:r>
    </w:p>
    <w:p w14:paraId="21899E3A" w14:textId="4DC1EBF7" w:rsidR="00175420" w:rsidRPr="00175420" w:rsidRDefault="00BE6C88" w:rsidP="00921F98">
      <w:pPr>
        <w:pStyle w:val="Paragraphedeliste"/>
        <w:numPr>
          <w:ilvl w:val="0"/>
          <w:numId w:val="4"/>
        </w:numPr>
        <w:spacing w:line="360" w:lineRule="auto"/>
        <w:jc w:val="both"/>
        <w:rPr>
          <w:rFonts w:ascii="Calibri" w:hAnsi="Calibri" w:cs="Calibri"/>
          <w:lang w:val="en-GB"/>
        </w:rPr>
      </w:pPr>
      <w:r>
        <w:rPr>
          <w:rFonts w:ascii="Calibri" w:hAnsi="Calibri" w:cs="Calibri"/>
          <w:lang w:val="en-GB"/>
        </w:rPr>
        <w:t>Among the reported and evaluable cases, t</w:t>
      </w:r>
      <w:r w:rsidR="00175420">
        <w:rPr>
          <w:rFonts w:ascii="Calibri" w:hAnsi="Calibri" w:cs="Calibri"/>
          <w:lang w:val="en-GB"/>
        </w:rPr>
        <w:t xml:space="preserve">he response rate for cutaneous melanoma patients treated with either </w:t>
      </w:r>
      <w:r>
        <w:rPr>
          <w:rFonts w:ascii="Calibri" w:hAnsi="Calibri" w:cs="Calibri"/>
          <w:lang w:val="en-GB"/>
        </w:rPr>
        <w:t>anti-CTLA4</w:t>
      </w:r>
      <w:r w:rsidR="00175420">
        <w:rPr>
          <w:rFonts w:ascii="Calibri" w:hAnsi="Calibri" w:cs="Calibri"/>
          <w:lang w:val="en-GB"/>
        </w:rPr>
        <w:t xml:space="preserve"> (</w:t>
      </w:r>
      <w:r>
        <w:rPr>
          <w:rFonts w:ascii="Calibri" w:hAnsi="Calibri" w:cs="Calibri"/>
          <w:lang w:val="en-GB"/>
        </w:rPr>
        <w:t>4/</w:t>
      </w:r>
      <w:r w:rsidR="00175420">
        <w:rPr>
          <w:rFonts w:ascii="Calibri" w:hAnsi="Calibri" w:cs="Calibri"/>
          <w:lang w:val="en-GB"/>
        </w:rPr>
        <w:t>10</w:t>
      </w:r>
      <w:r>
        <w:rPr>
          <w:rFonts w:ascii="Calibri" w:hAnsi="Calibri" w:cs="Calibri"/>
          <w:lang w:val="en-GB"/>
        </w:rPr>
        <w:t xml:space="preserve"> had PR or CR</w:t>
      </w:r>
      <w:r w:rsidR="00175420">
        <w:rPr>
          <w:rFonts w:ascii="Calibri" w:hAnsi="Calibri" w:cs="Calibri"/>
          <w:lang w:val="en-GB"/>
        </w:rPr>
        <w:t xml:space="preserve">) or </w:t>
      </w:r>
      <w:r>
        <w:rPr>
          <w:rFonts w:ascii="Calibri" w:hAnsi="Calibri" w:cs="Calibri"/>
          <w:lang w:val="en-GB"/>
        </w:rPr>
        <w:t>anti-PD1</w:t>
      </w:r>
      <w:r w:rsidR="00175420">
        <w:rPr>
          <w:rFonts w:ascii="Calibri" w:hAnsi="Calibri" w:cs="Calibri"/>
          <w:lang w:val="en-GB"/>
        </w:rPr>
        <w:t xml:space="preserve"> (</w:t>
      </w:r>
      <w:r>
        <w:rPr>
          <w:rFonts w:ascii="Calibri" w:hAnsi="Calibri" w:cs="Calibri"/>
          <w:lang w:val="en-GB"/>
        </w:rPr>
        <w:t>5/</w:t>
      </w:r>
      <w:r w:rsidR="00175420">
        <w:rPr>
          <w:rFonts w:ascii="Calibri" w:hAnsi="Calibri" w:cs="Calibri"/>
          <w:lang w:val="en-GB"/>
        </w:rPr>
        <w:t>1</w:t>
      </w:r>
      <w:r>
        <w:rPr>
          <w:rFonts w:ascii="Calibri" w:hAnsi="Calibri" w:cs="Calibri"/>
          <w:lang w:val="en-GB"/>
        </w:rPr>
        <w:t>0 had PR or CR</w:t>
      </w:r>
      <w:r w:rsidR="00175420">
        <w:rPr>
          <w:rFonts w:ascii="Calibri" w:hAnsi="Calibri" w:cs="Calibri"/>
          <w:lang w:val="en-GB"/>
        </w:rPr>
        <w:t xml:space="preserve">) monotherapy is </w:t>
      </w:r>
      <w:r>
        <w:rPr>
          <w:rFonts w:ascii="Calibri" w:hAnsi="Calibri" w:cs="Calibri"/>
          <w:lang w:val="en-GB"/>
        </w:rPr>
        <w:t xml:space="preserve">at least as good compared </w:t>
      </w:r>
      <w:r w:rsidR="00175420">
        <w:rPr>
          <w:rFonts w:ascii="Calibri" w:hAnsi="Calibri" w:cs="Calibri"/>
          <w:lang w:val="en-GB"/>
        </w:rPr>
        <w:t>to the non transplant population</w:t>
      </w:r>
      <w:r>
        <w:rPr>
          <w:rFonts w:ascii="Calibri" w:hAnsi="Calibri" w:cs="Calibri"/>
          <w:lang w:val="en-GB"/>
        </w:rPr>
        <w:t>.</w:t>
      </w:r>
    </w:p>
    <w:p w14:paraId="749C7ADA" w14:textId="77777777" w:rsidR="00B54529" w:rsidRDefault="00B54529">
      <w:pPr>
        <w:rPr>
          <w:rFonts w:ascii="Calibri" w:hAnsi="Calibri" w:cs="Calibri"/>
          <w:b/>
          <w:lang w:val="en-GB"/>
        </w:rPr>
      </w:pPr>
      <w:r>
        <w:rPr>
          <w:rFonts w:ascii="Calibri" w:hAnsi="Calibri" w:cs="Calibri"/>
          <w:b/>
          <w:lang w:val="en-GB"/>
        </w:rPr>
        <w:br w:type="page"/>
      </w:r>
    </w:p>
    <w:p w14:paraId="3B4164E6" w14:textId="49F26F16" w:rsidR="00E9736B" w:rsidRPr="00D46540" w:rsidRDefault="00410B95" w:rsidP="00C660D9">
      <w:pPr>
        <w:spacing w:line="360" w:lineRule="auto"/>
        <w:jc w:val="both"/>
        <w:rPr>
          <w:rFonts w:ascii="Calibri" w:hAnsi="Calibri" w:cs="Calibri"/>
          <w:b/>
          <w:lang w:val="en-GB"/>
        </w:rPr>
      </w:pPr>
      <w:r w:rsidRPr="00D46540">
        <w:rPr>
          <w:rFonts w:ascii="Calibri" w:hAnsi="Calibri" w:cs="Calibri"/>
          <w:b/>
          <w:lang w:val="en-GB"/>
        </w:rPr>
        <w:t xml:space="preserve">Figures </w:t>
      </w:r>
    </w:p>
    <w:p w14:paraId="66FFED95" w14:textId="77777777" w:rsidR="00E9736B" w:rsidRPr="00D46540" w:rsidRDefault="00E9736B" w:rsidP="00270AB2">
      <w:pPr>
        <w:spacing w:line="360" w:lineRule="auto"/>
        <w:jc w:val="both"/>
        <w:rPr>
          <w:rFonts w:ascii="Calibri" w:hAnsi="Calibri" w:cs="Calibri"/>
          <w:b/>
          <w:lang w:val="en-GB"/>
        </w:rPr>
      </w:pPr>
    </w:p>
    <w:p w14:paraId="11E2EC4A" w14:textId="77777777" w:rsidR="00164A21" w:rsidRPr="00D46540" w:rsidRDefault="00164A21" w:rsidP="00164A21">
      <w:pPr>
        <w:spacing w:line="360" w:lineRule="auto"/>
        <w:jc w:val="both"/>
        <w:rPr>
          <w:rFonts w:ascii="Calibri" w:hAnsi="Calibri" w:cs="Calibri"/>
          <w:b/>
          <w:lang w:val="en-GB"/>
        </w:rPr>
      </w:pPr>
      <w:r w:rsidRPr="00D46540">
        <w:rPr>
          <w:rFonts w:ascii="Calibri" w:hAnsi="Calibri" w:cs="Calibri"/>
          <w:b/>
          <w:lang w:val="en-GB"/>
        </w:rPr>
        <w:t>Figure Legends</w:t>
      </w:r>
    </w:p>
    <w:p w14:paraId="5AE336FB" w14:textId="705733CA" w:rsidR="00ED4FFB" w:rsidRPr="00D46540" w:rsidRDefault="001C38A6" w:rsidP="005E0622">
      <w:pPr>
        <w:spacing w:line="360" w:lineRule="auto"/>
        <w:rPr>
          <w:rFonts w:ascii="Calibri" w:hAnsi="Calibri" w:cs="Calibri"/>
          <w:b/>
          <w:lang w:val="en-GB"/>
        </w:rPr>
      </w:pPr>
      <w:r w:rsidRPr="00D46540">
        <w:rPr>
          <w:rFonts w:ascii="Calibri" w:hAnsi="Calibri" w:cs="Calibri"/>
          <w:b/>
          <w:lang w:val="en-GB"/>
        </w:rPr>
        <w:t>Figure 1: Role of CTLA4 and PD(L)1 in tumor and organ rejection</w:t>
      </w:r>
    </w:p>
    <w:p w14:paraId="64A21C32" w14:textId="77777777" w:rsidR="00F80275" w:rsidRPr="00D46540" w:rsidRDefault="00F80275" w:rsidP="00F80275">
      <w:pPr>
        <w:spacing w:line="360" w:lineRule="auto"/>
        <w:jc w:val="both"/>
        <w:rPr>
          <w:rFonts w:ascii="Calibri" w:hAnsi="Calibri" w:cs="Calibri"/>
          <w:lang w:val="en-GB"/>
        </w:rPr>
      </w:pPr>
      <w:r w:rsidRPr="00D46540">
        <w:rPr>
          <w:rFonts w:ascii="Calibri" w:hAnsi="Calibri" w:cs="Calibri"/>
          <w:lang w:val="en-GB"/>
        </w:rPr>
        <w:t xml:space="preserve">Allograft tolerance and anticancer immunity is subject to a multitude of factors that contribute to the inhibition or activation of T-cell immunity. T cells are able to recognize both tumor cells and cells of the donor transplant. Tolerance of donor transplanted cells is achieved when T cells are inhibited due to (1) binding of its PD1 receptor with the ligand PD-L1/2 (expressed by donor cell), (2) targeting of CTLA4 with CTLA4-Ig prevents the costimulatory signal between  CD28 and CD80/86 and (3) other immunosuppressive therapies that dimish T cell activation (MMF, azathioprine, calcineurin inhibitors, mTOR inhibitors). In order for T cells to induce tumor cell killing, inhibitory receptors on T cell such as CTLA4 and PD1 need to be silenced which can be achieved by checkpoint-blocking therapies such as anti-PD1/PDL1 and anti-CLTA4. </w:t>
      </w:r>
    </w:p>
    <w:p w14:paraId="3A20A8F2" w14:textId="77777777" w:rsidR="00F80275" w:rsidRPr="00D46540" w:rsidRDefault="00F80275" w:rsidP="00F80275">
      <w:pPr>
        <w:spacing w:line="360" w:lineRule="auto"/>
        <w:jc w:val="both"/>
        <w:rPr>
          <w:rFonts w:ascii="Calibri" w:hAnsi="Calibri" w:cs="Calibri"/>
          <w:lang w:val="en-GB"/>
        </w:rPr>
      </w:pPr>
      <w:r w:rsidRPr="00D46540">
        <w:rPr>
          <w:rFonts w:ascii="Calibri" w:hAnsi="Calibri" w:cs="Calibri"/>
          <w:lang w:val="en-GB"/>
        </w:rPr>
        <w:t>Abbreviations: APC: antigen presenting cell; MHC I: major histocompatibility complex; TCR: T cell receptor; PDL ½: programmed death-ligand 1; PD1: programmed death 1; IL2: interleukine-2; IL2R: inteleukine-2 receptor; CTLA4: cytotoxic T-lymphocyte-associated protein 4; mTOR-I: mammalian target of rapamycin; MMF: mofetil mycophenolate.</w:t>
      </w:r>
    </w:p>
    <w:p w14:paraId="516416C6" w14:textId="5B450F05" w:rsidR="00F80275" w:rsidRPr="00D46540" w:rsidRDefault="00F80275" w:rsidP="00F80275">
      <w:pPr>
        <w:spacing w:line="360" w:lineRule="auto"/>
        <w:jc w:val="both"/>
        <w:rPr>
          <w:rFonts w:ascii="Calibri" w:hAnsi="Calibri" w:cs="Calibri"/>
          <w:b/>
          <w:lang w:val="en-GB"/>
        </w:rPr>
      </w:pPr>
      <w:r w:rsidRPr="00D46540">
        <w:rPr>
          <w:rFonts w:ascii="Calibri" w:hAnsi="Calibri" w:cs="Calibri"/>
          <w:b/>
          <w:lang w:val="en-GB"/>
        </w:rPr>
        <w:br w:type="page"/>
      </w:r>
    </w:p>
    <w:p w14:paraId="3BA9D999" w14:textId="77777777" w:rsidR="00F80275" w:rsidRPr="00D46540" w:rsidRDefault="00F80275" w:rsidP="00F80275">
      <w:pPr>
        <w:spacing w:line="360" w:lineRule="auto"/>
        <w:jc w:val="both"/>
        <w:rPr>
          <w:rFonts w:ascii="Calibri" w:hAnsi="Calibri" w:cs="Calibri"/>
          <w:b/>
          <w:lang w:val="en-GB"/>
        </w:rPr>
      </w:pPr>
      <w:r w:rsidRPr="00D46540">
        <w:rPr>
          <w:rFonts w:ascii="Calibri" w:hAnsi="Calibri" w:cs="Calibri"/>
          <w:b/>
          <w:lang w:val="en-GB"/>
        </w:rPr>
        <w:t>Table legends</w:t>
      </w:r>
    </w:p>
    <w:p w14:paraId="7E0D9DB1" w14:textId="77777777" w:rsidR="00F80275" w:rsidRPr="00D46540" w:rsidRDefault="00F80275" w:rsidP="00F80275">
      <w:pPr>
        <w:spacing w:line="360" w:lineRule="auto"/>
        <w:jc w:val="both"/>
        <w:rPr>
          <w:rFonts w:ascii="Calibri" w:hAnsi="Calibri" w:cs="Calibri"/>
          <w:lang w:val="en-GB"/>
        </w:rPr>
      </w:pPr>
    </w:p>
    <w:p w14:paraId="6B678AB5" w14:textId="77777777" w:rsidR="00F80275" w:rsidRPr="00D46540" w:rsidRDefault="00F80275" w:rsidP="00F80275">
      <w:pPr>
        <w:spacing w:line="360" w:lineRule="auto"/>
        <w:jc w:val="both"/>
        <w:rPr>
          <w:rFonts w:ascii="Calibri" w:hAnsi="Calibri" w:cs="Calibri"/>
          <w:b/>
          <w:lang w:val="en-GB"/>
        </w:rPr>
      </w:pPr>
      <w:r w:rsidRPr="00D46540">
        <w:rPr>
          <w:rFonts w:ascii="Calibri" w:hAnsi="Calibri" w:cs="Calibri"/>
          <w:b/>
          <w:lang w:val="en-GB"/>
        </w:rPr>
        <w:t>Table 1: Patient characteristics</w:t>
      </w:r>
    </w:p>
    <w:p w14:paraId="7E4121E2" w14:textId="77777777" w:rsidR="00F80275" w:rsidRPr="00D46540" w:rsidRDefault="00F80275" w:rsidP="00F80275">
      <w:pPr>
        <w:spacing w:line="360" w:lineRule="auto"/>
        <w:jc w:val="both"/>
        <w:rPr>
          <w:rFonts w:ascii="Calibri" w:hAnsi="Calibri" w:cs="Calibri"/>
          <w:bCs/>
          <w:lang w:val="en-GB"/>
        </w:rPr>
      </w:pPr>
      <w:r w:rsidRPr="00D46540">
        <w:rPr>
          <w:rFonts w:ascii="Calibri" w:hAnsi="Calibri" w:cs="Calibri"/>
          <w:bCs/>
          <w:lang w:val="en-GB"/>
        </w:rPr>
        <w:t xml:space="preserve">NSCLC: Non-Small Cell Lung Cancer; HCC: Hepatocellular carcinoma; cSCC: cutaneous squamous-cell carcinoma; ADCD: adenocarcinoma of the duodenum; UC: Urothelial carcinoma; CR: Complete response; PR: Partial response; SD: Stable disease; PD: Progressive disease; UK: unknown </w:t>
      </w:r>
    </w:p>
    <w:p w14:paraId="23BDDD1B" w14:textId="77777777" w:rsidR="00F80275" w:rsidRPr="00D46540" w:rsidRDefault="00F80275" w:rsidP="00F80275">
      <w:pPr>
        <w:spacing w:line="360" w:lineRule="auto"/>
        <w:jc w:val="both"/>
        <w:rPr>
          <w:rFonts w:ascii="Calibri" w:hAnsi="Calibri" w:cs="Calibri"/>
          <w:lang w:val="en-GB"/>
        </w:rPr>
      </w:pPr>
    </w:p>
    <w:p w14:paraId="45D80DFB" w14:textId="21A1107F" w:rsidR="00F80275" w:rsidRPr="00D46540" w:rsidRDefault="00F80275" w:rsidP="00F80275">
      <w:pPr>
        <w:spacing w:line="360" w:lineRule="auto"/>
        <w:jc w:val="both"/>
        <w:rPr>
          <w:rFonts w:ascii="Calibri" w:hAnsi="Calibri" w:cs="Calibri"/>
          <w:b/>
          <w:lang w:val="en-GB"/>
        </w:rPr>
      </w:pPr>
      <w:r w:rsidRPr="00D46540">
        <w:rPr>
          <w:rFonts w:ascii="Calibri" w:hAnsi="Calibri" w:cs="Calibri"/>
          <w:b/>
          <w:lang w:val="en-GB"/>
        </w:rPr>
        <w:t xml:space="preserve">Table 2: Immune checkpoint antibodies for treatment of solid tumor in liver transplant recipients </w:t>
      </w:r>
    </w:p>
    <w:p w14:paraId="0C9D205E" w14:textId="77777777" w:rsidR="00F80275" w:rsidRPr="00D46540" w:rsidRDefault="00F80275" w:rsidP="00F80275">
      <w:pPr>
        <w:spacing w:line="360" w:lineRule="auto"/>
        <w:jc w:val="both"/>
        <w:rPr>
          <w:rFonts w:ascii="Calibri" w:hAnsi="Calibri" w:cs="Calibri"/>
          <w:bCs/>
          <w:lang w:val="en-GB"/>
        </w:rPr>
      </w:pPr>
      <w:r w:rsidRPr="00D46540">
        <w:rPr>
          <w:rFonts w:ascii="Calibri" w:hAnsi="Calibri" w:cs="Calibri"/>
          <w:bCs/>
          <w:lang w:val="en-GB"/>
        </w:rPr>
        <w:t>CPI: Checkpoint Inhibitor; OT: Organ transplant; IST: Immunosuppressive therapy; TTR: Time to response; PFS: Progression free survival; NA: Non-available; UK: Unknown; MMF: Mycophenolate Mofetil; HCC: Hepatocellular carcinoma; NSCLC: Non-small cell lung cancer; CR: Complete response; PR: Partial response; SD: Stable disease; PD: Progressive disease; LE: liver enzymes; 0R: Organ rejection</w:t>
      </w:r>
    </w:p>
    <w:p w14:paraId="02EF62E2" w14:textId="77777777" w:rsidR="00F80275" w:rsidRPr="00D46540" w:rsidRDefault="00F80275" w:rsidP="00F80275">
      <w:pPr>
        <w:jc w:val="both"/>
        <w:rPr>
          <w:rFonts w:ascii="Calibri" w:hAnsi="Calibri" w:cs="Calibri"/>
          <w:color w:val="000000"/>
        </w:rPr>
      </w:pPr>
      <w:r w:rsidRPr="00D46540">
        <w:rPr>
          <w:rFonts w:ascii="Calibri" w:hAnsi="Calibri" w:cs="Calibri"/>
          <w:color w:val="000000"/>
        </w:rPr>
        <w:t>*ongoing at time of publication of case report ;**discontinuation before restaging</w:t>
      </w:r>
    </w:p>
    <w:p w14:paraId="34B13C70" w14:textId="77777777" w:rsidR="00F80275" w:rsidRPr="00D46540" w:rsidRDefault="00F80275" w:rsidP="00F80275">
      <w:pPr>
        <w:spacing w:line="360" w:lineRule="auto"/>
        <w:jc w:val="both"/>
        <w:rPr>
          <w:rFonts w:ascii="Calibri" w:hAnsi="Calibri" w:cs="Calibri"/>
          <w:lang w:val="en-GB"/>
        </w:rPr>
      </w:pPr>
    </w:p>
    <w:p w14:paraId="0E686158" w14:textId="517AF865" w:rsidR="00F80275" w:rsidRPr="00D46540" w:rsidRDefault="00F80275" w:rsidP="00F80275">
      <w:pPr>
        <w:spacing w:line="360" w:lineRule="auto"/>
        <w:jc w:val="both"/>
        <w:rPr>
          <w:rFonts w:ascii="Calibri" w:hAnsi="Calibri" w:cs="Calibri"/>
          <w:b/>
          <w:lang w:val="en-GB"/>
        </w:rPr>
      </w:pPr>
      <w:r w:rsidRPr="00D46540">
        <w:rPr>
          <w:rFonts w:ascii="Calibri" w:hAnsi="Calibri" w:cs="Calibri"/>
          <w:b/>
          <w:lang w:val="en-GB"/>
        </w:rPr>
        <w:t xml:space="preserve">Table 3: Immune checkpoint antibodies for treatment of solid tumor in kidney transplant recipients </w:t>
      </w:r>
    </w:p>
    <w:p w14:paraId="556B307A" w14:textId="77777777" w:rsidR="00F80275" w:rsidRPr="00D46540" w:rsidRDefault="00F80275" w:rsidP="00F80275">
      <w:pPr>
        <w:spacing w:line="360" w:lineRule="auto"/>
        <w:jc w:val="both"/>
        <w:rPr>
          <w:rFonts w:ascii="Calibri" w:hAnsi="Calibri" w:cs="Calibri"/>
          <w:bCs/>
          <w:lang w:val="en-GB"/>
        </w:rPr>
      </w:pPr>
      <w:r w:rsidRPr="00D46540">
        <w:rPr>
          <w:rFonts w:ascii="Calibri" w:hAnsi="Calibri" w:cs="Calibri"/>
          <w:bCs/>
          <w:lang w:val="en-GB"/>
        </w:rPr>
        <w:t>CPI: Checkpoint Inhibitor; OT: Organ transplant; IST: Immunosuppressive therapy; TTR: Time to response; PFS: Progression free survival; NA: Non-available; UK: Unknown; MMF: Mycophenolate Mofetil; ADC: adenocarcinoma; NSCLC: Non-Small Cell Lung Cancer; cSCC: cutaneous squamous-cell carcinoma; PD: Progressive disease; PR: Partial response; SD: Stable disease; KF: Kidney function; 0R: Organ rejection</w:t>
      </w:r>
    </w:p>
    <w:p w14:paraId="0C2FAB6A" w14:textId="77777777" w:rsidR="00F80275" w:rsidRDefault="00F80275" w:rsidP="00F80275">
      <w:pPr>
        <w:spacing w:line="360" w:lineRule="auto"/>
        <w:jc w:val="both"/>
        <w:rPr>
          <w:rFonts w:ascii="Calibri" w:hAnsi="Calibri" w:cs="Calibri"/>
          <w:lang w:val="en-GB"/>
        </w:rPr>
      </w:pPr>
      <w:r w:rsidRPr="00F80275">
        <w:rPr>
          <w:rFonts w:ascii="Calibri" w:hAnsi="Calibri" w:cs="Calibri"/>
          <w:lang w:val="en-GB"/>
        </w:rPr>
        <w:t xml:space="preserve">*OR happened after 1cycle, 3 months after treatment of OR, Nivolumab was restarted. 6 cycles were given and is ongoing at time of writing </w:t>
      </w:r>
      <w:r>
        <w:rPr>
          <w:rFonts w:ascii="Calibri" w:hAnsi="Calibri" w:cs="Calibri"/>
          <w:lang w:val="en-GB"/>
        </w:rPr>
        <w:t xml:space="preserve">manuscript; </w:t>
      </w:r>
      <w:r w:rsidRPr="00F80275">
        <w:rPr>
          <w:rFonts w:ascii="Calibri" w:hAnsi="Calibri" w:cs="Calibri"/>
          <w:lang w:val="en-GB"/>
        </w:rPr>
        <w:t>*</w:t>
      </w:r>
      <w:r>
        <w:rPr>
          <w:rFonts w:ascii="Calibri" w:hAnsi="Calibri" w:cs="Calibri"/>
          <w:lang w:val="en-GB"/>
        </w:rPr>
        <w:t>*</w:t>
      </w:r>
      <w:r w:rsidRPr="00F80275">
        <w:rPr>
          <w:rFonts w:ascii="Calibri" w:hAnsi="Calibri" w:cs="Calibri"/>
          <w:lang w:val="en-GB"/>
        </w:rPr>
        <w:t>ongoing at time of publication of case repor</w:t>
      </w:r>
      <w:r>
        <w:rPr>
          <w:rFonts w:ascii="Calibri" w:hAnsi="Calibri" w:cs="Calibri"/>
          <w:lang w:val="en-GB"/>
        </w:rPr>
        <w:t>t</w:t>
      </w:r>
    </w:p>
    <w:p w14:paraId="1BCFB4FC" w14:textId="77777777" w:rsidR="00F80275" w:rsidRPr="00D46540" w:rsidRDefault="00F80275" w:rsidP="00F80275">
      <w:pPr>
        <w:spacing w:line="360" w:lineRule="auto"/>
        <w:jc w:val="both"/>
        <w:rPr>
          <w:rFonts w:ascii="Calibri" w:hAnsi="Calibri" w:cs="Calibri"/>
          <w:lang w:val="en-GB"/>
        </w:rPr>
      </w:pPr>
    </w:p>
    <w:p w14:paraId="0A5EF939" w14:textId="0743305F" w:rsidR="00F80275" w:rsidRPr="00D46540" w:rsidRDefault="00F80275" w:rsidP="00F80275">
      <w:pPr>
        <w:spacing w:line="360" w:lineRule="auto"/>
        <w:jc w:val="both"/>
        <w:rPr>
          <w:rFonts w:ascii="Calibri" w:hAnsi="Calibri" w:cs="Calibri"/>
          <w:b/>
          <w:lang w:val="en-GB"/>
        </w:rPr>
      </w:pPr>
      <w:r w:rsidRPr="00D46540">
        <w:rPr>
          <w:rFonts w:ascii="Calibri" w:hAnsi="Calibri" w:cs="Calibri"/>
          <w:b/>
          <w:lang w:val="en-GB"/>
        </w:rPr>
        <w:t xml:space="preserve">Table 4: </w:t>
      </w:r>
      <w:r w:rsidR="00164A21" w:rsidRPr="00D46540">
        <w:rPr>
          <w:rFonts w:ascii="Calibri" w:hAnsi="Calibri" w:cs="Calibri"/>
          <w:b/>
          <w:lang w:val="en-GB"/>
        </w:rPr>
        <w:t>Immunosuppression and tumor response in patients with the ideal tumor respons (SD, PR, CR and no graft rejection)</w:t>
      </w:r>
    </w:p>
    <w:p w14:paraId="5B720780" w14:textId="00F816E0" w:rsidR="00D46540" w:rsidRPr="00D46540" w:rsidRDefault="00F80275" w:rsidP="00F80275">
      <w:pPr>
        <w:spacing w:line="360" w:lineRule="auto"/>
        <w:jc w:val="both"/>
        <w:rPr>
          <w:rFonts w:ascii="Calibri" w:hAnsi="Calibri" w:cs="Calibri"/>
          <w:b/>
          <w:lang w:val="en-GB"/>
        </w:rPr>
      </w:pPr>
      <w:r w:rsidRPr="00D46540">
        <w:rPr>
          <w:rFonts w:ascii="Calibri" w:hAnsi="Calibri" w:cs="Calibri"/>
          <w:lang w:val="en-GB"/>
        </w:rPr>
        <w:t xml:space="preserve">PFS: Progression free survival; OR: Organ rejection; MMF: </w:t>
      </w:r>
      <w:r w:rsidRPr="00D46540">
        <w:rPr>
          <w:rFonts w:ascii="Calibri" w:hAnsi="Calibri" w:cs="Calibri"/>
          <w:bCs/>
          <w:lang w:val="en-GB"/>
        </w:rPr>
        <w:t>Mycophenolate Mofetil; CR: Complete response; PR: Partial response; SD: Stable disease; PD: Progressive disease; UK: unknown; NSCLC: Non-Small Cell Lung Cancer; HCC: Hepatocellular carcinoma; cSCC: cutaneous squamous-cell carcinoma; ADCD: adenocarcinoma of the duodenum; UC: Urothelial carcinoma.</w:t>
      </w:r>
      <w:r w:rsidRPr="00D46540">
        <w:rPr>
          <w:rFonts w:ascii="Calibri" w:hAnsi="Calibri" w:cs="Calibri"/>
          <w:b/>
          <w:lang w:val="en-GB"/>
        </w:rPr>
        <w:t xml:space="preserve"> </w:t>
      </w:r>
    </w:p>
    <w:p w14:paraId="01B7FE26" w14:textId="2B6E8795" w:rsidR="007B3673" w:rsidRPr="00D46540" w:rsidRDefault="007B3673" w:rsidP="007B3673">
      <w:pPr>
        <w:spacing w:line="360" w:lineRule="auto"/>
        <w:rPr>
          <w:rFonts w:ascii="Calibri" w:hAnsi="Calibri" w:cs="Calibri"/>
          <w:b/>
          <w:lang w:val="en-GB"/>
        </w:rPr>
      </w:pPr>
      <w:r w:rsidRPr="00D46540">
        <w:rPr>
          <w:rFonts w:ascii="Calibri" w:hAnsi="Calibri" w:cs="Calibri"/>
          <w:b/>
          <w:lang w:val="en-GB"/>
        </w:rPr>
        <w:br w:type="page"/>
      </w:r>
    </w:p>
    <w:p w14:paraId="55A31C9B" w14:textId="44185426" w:rsidR="00F04991" w:rsidRPr="007F62F5" w:rsidRDefault="00F04991" w:rsidP="007F62F5">
      <w:pPr>
        <w:pStyle w:val="Coverpagetitle"/>
        <w:spacing w:before="60" w:line="360" w:lineRule="auto"/>
        <w:jc w:val="both"/>
        <w:rPr>
          <w:rFonts w:ascii="Calibri" w:hAnsi="Calibri" w:cs="Calibri"/>
          <w:i w:val="0"/>
          <w:szCs w:val="24"/>
          <w:lang w:val="en-GB"/>
        </w:rPr>
      </w:pPr>
      <w:r w:rsidRPr="007F62F5">
        <w:rPr>
          <w:rFonts w:ascii="Calibri" w:hAnsi="Calibri" w:cs="Calibri"/>
          <w:i w:val="0"/>
          <w:szCs w:val="24"/>
          <w:lang w:val="en-GB"/>
        </w:rPr>
        <w:t>Acknowledgements</w:t>
      </w:r>
    </w:p>
    <w:p w14:paraId="0811ECB8" w14:textId="2A7B1AF5" w:rsidR="00F04991" w:rsidRPr="00F04991" w:rsidRDefault="00F04991" w:rsidP="00F04991">
      <w:pPr>
        <w:rPr>
          <w:rFonts w:ascii="Calibri" w:hAnsi="Calibri"/>
          <w:color w:val="000000"/>
          <w:sz w:val="22"/>
          <w:szCs w:val="22"/>
        </w:rPr>
      </w:pPr>
      <w:r>
        <w:rPr>
          <w:rFonts w:ascii="Calibri" w:hAnsi="Calibri"/>
          <w:color w:val="000000"/>
          <w:sz w:val="22"/>
          <w:szCs w:val="22"/>
        </w:rPr>
        <w:t>none</w:t>
      </w:r>
    </w:p>
    <w:p w14:paraId="32B30E9C" w14:textId="77777777" w:rsidR="00F04991" w:rsidRPr="00F04991" w:rsidRDefault="00F04991" w:rsidP="00F04991">
      <w:pPr>
        <w:rPr>
          <w:rFonts w:ascii="Calibri" w:hAnsi="Calibri"/>
          <w:color w:val="000000"/>
          <w:sz w:val="22"/>
          <w:szCs w:val="22"/>
        </w:rPr>
      </w:pPr>
      <w:r w:rsidRPr="00F04991">
        <w:rPr>
          <w:rFonts w:ascii="Calibri" w:hAnsi="Calibri"/>
          <w:color w:val="000000"/>
          <w:sz w:val="22"/>
          <w:szCs w:val="22"/>
        </w:rPr>
        <w:t> </w:t>
      </w:r>
    </w:p>
    <w:p w14:paraId="1A444041" w14:textId="77777777" w:rsidR="00F04991" w:rsidRPr="00F04991" w:rsidRDefault="00F04991" w:rsidP="007F62F5">
      <w:pPr>
        <w:pStyle w:val="Coverpagetitle"/>
        <w:spacing w:before="60" w:line="360" w:lineRule="auto"/>
        <w:jc w:val="both"/>
        <w:rPr>
          <w:rFonts w:ascii="Calibri" w:hAnsi="Calibri" w:cs="Calibri"/>
          <w:i w:val="0"/>
          <w:szCs w:val="24"/>
          <w:lang w:val="en-GB"/>
        </w:rPr>
      </w:pPr>
      <w:r w:rsidRPr="00F04991">
        <w:rPr>
          <w:rFonts w:ascii="Calibri" w:hAnsi="Calibri" w:cs="Calibri"/>
          <w:i w:val="0"/>
          <w:szCs w:val="24"/>
          <w:lang w:val="en-GB"/>
        </w:rPr>
        <w:t>Financial support and sponsorship</w:t>
      </w:r>
    </w:p>
    <w:p w14:paraId="4761BF53" w14:textId="5EAFA65D" w:rsidR="00F04991" w:rsidRPr="00F04991" w:rsidRDefault="00F04991" w:rsidP="007F62F5">
      <w:pPr>
        <w:spacing w:line="360" w:lineRule="auto"/>
        <w:rPr>
          <w:rFonts w:ascii="Calibri" w:hAnsi="Calibri"/>
          <w:color w:val="000000"/>
          <w:sz w:val="22"/>
          <w:szCs w:val="22"/>
        </w:rPr>
      </w:pPr>
      <w:r w:rsidRPr="00F04991">
        <w:rPr>
          <w:rFonts w:ascii="Calibri" w:hAnsi="Calibri"/>
          <w:color w:val="000000"/>
          <w:sz w:val="22"/>
          <w:szCs w:val="22"/>
        </w:rPr>
        <w:t xml:space="preserve">This work was supported by the Department of </w:t>
      </w:r>
      <w:r>
        <w:rPr>
          <w:rFonts w:ascii="Calibri" w:hAnsi="Calibri"/>
          <w:color w:val="000000"/>
          <w:sz w:val="22"/>
          <w:szCs w:val="22"/>
        </w:rPr>
        <w:t xml:space="preserve">Medical Oncology, Radiotherapy of the Jules Bordet Institute, Brussels, Belgium and the </w:t>
      </w:r>
      <w:r w:rsidRPr="00F04991">
        <w:rPr>
          <w:rFonts w:ascii="Calibri" w:hAnsi="Calibri"/>
          <w:color w:val="000000"/>
          <w:sz w:val="22"/>
          <w:szCs w:val="22"/>
        </w:rPr>
        <w:t xml:space="preserve">Department of </w:t>
      </w:r>
      <w:r>
        <w:rPr>
          <w:rFonts w:ascii="Calibri" w:hAnsi="Calibri"/>
          <w:color w:val="000000"/>
          <w:sz w:val="22"/>
          <w:szCs w:val="22"/>
        </w:rPr>
        <w:t xml:space="preserve">Medical Oncology and Dermatology of the Erasmus Hospital, Brussels. </w:t>
      </w:r>
    </w:p>
    <w:p w14:paraId="746109A6" w14:textId="4780EE78" w:rsidR="00F04991" w:rsidRPr="007F62F5" w:rsidRDefault="00F04991" w:rsidP="007F62F5">
      <w:pPr>
        <w:spacing w:line="360" w:lineRule="auto"/>
        <w:rPr>
          <w:rFonts w:ascii="Calibri" w:hAnsi="Calibri"/>
          <w:color w:val="000000"/>
          <w:sz w:val="22"/>
          <w:szCs w:val="22"/>
        </w:rPr>
      </w:pPr>
      <w:r w:rsidRPr="00F04991">
        <w:rPr>
          <w:rFonts w:ascii="Calibri" w:hAnsi="Calibri"/>
          <w:color w:val="000000"/>
          <w:sz w:val="22"/>
          <w:szCs w:val="22"/>
        </w:rPr>
        <w:t> </w:t>
      </w:r>
    </w:p>
    <w:p w14:paraId="45A96A9A" w14:textId="77777777" w:rsidR="00F04991" w:rsidRPr="00D46540" w:rsidRDefault="00F04991" w:rsidP="00F04991">
      <w:pPr>
        <w:pStyle w:val="Coverpagetitle"/>
        <w:spacing w:before="60" w:line="360" w:lineRule="auto"/>
        <w:jc w:val="both"/>
        <w:rPr>
          <w:rFonts w:ascii="Calibri" w:hAnsi="Calibri" w:cs="Calibri"/>
          <w:i w:val="0"/>
          <w:szCs w:val="24"/>
          <w:lang w:val="en-GB"/>
        </w:rPr>
      </w:pPr>
      <w:r w:rsidRPr="00D46540">
        <w:rPr>
          <w:rFonts w:ascii="Calibri" w:hAnsi="Calibri" w:cs="Calibri"/>
          <w:i w:val="0"/>
          <w:szCs w:val="24"/>
          <w:lang w:val="en-GB"/>
        </w:rPr>
        <w:t>Conflicts of Interest and Source of Funding</w:t>
      </w:r>
    </w:p>
    <w:p w14:paraId="55263146" w14:textId="4244ACC3" w:rsidR="00F04991" w:rsidRPr="00164A21" w:rsidRDefault="00F04991" w:rsidP="00164A21">
      <w:pPr>
        <w:spacing w:line="360" w:lineRule="auto"/>
      </w:pPr>
      <w:r w:rsidRPr="00D46540">
        <w:rPr>
          <w:rFonts w:ascii="Calibri" w:hAnsi="Calibri" w:cs="Calibri"/>
        </w:rPr>
        <w:t>Dirk Van Geste</w:t>
      </w:r>
      <w:r w:rsidR="007F62F5">
        <w:rPr>
          <w:rFonts w:ascii="Calibri" w:hAnsi="Calibri" w:cs="Calibri"/>
        </w:rPr>
        <w:t>l</w:t>
      </w:r>
      <w:r w:rsidRPr="00D46540">
        <w:rPr>
          <w:rFonts w:ascii="Calibri" w:hAnsi="Calibri" w:cs="Calibri"/>
        </w:rPr>
        <w:t xml:space="preserve"> has received consultancy fees from Sanofi</w:t>
      </w:r>
      <w:r w:rsidR="007F62F5">
        <w:rPr>
          <w:rFonts w:ascii="Calibri" w:hAnsi="Calibri" w:cs="Calibri"/>
        </w:rPr>
        <w:t>.</w:t>
      </w:r>
      <w:r w:rsidR="007F62F5" w:rsidRPr="007F62F5">
        <w:rPr>
          <w:rFonts w:ascii="Calibri" w:hAnsi="Calibri" w:cs="Calibri"/>
        </w:rPr>
        <w:t xml:space="preserve"> </w:t>
      </w:r>
      <w:r w:rsidR="007F62F5">
        <w:rPr>
          <w:rFonts w:ascii="Calibri" w:hAnsi="Calibri" w:cs="Calibri"/>
        </w:rPr>
        <w:t xml:space="preserve"> </w:t>
      </w:r>
      <w:r w:rsidR="007F62F5" w:rsidRPr="00D46540">
        <w:rPr>
          <w:rFonts w:ascii="Calibri" w:hAnsi="Calibri" w:cs="Calibri"/>
        </w:rPr>
        <w:t>Vibeke Kruse: has received consultancy fees from Sanofi.</w:t>
      </w:r>
      <w:r w:rsidR="007F62F5" w:rsidRPr="007F62F5">
        <w:rPr>
          <w:rFonts w:ascii="Calibri" w:hAnsi="Calibri" w:cs="Calibri"/>
        </w:rPr>
        <w:t xml:space="preserve"> </w:t>
      </w:r>
      <w:r w:rsidR="007F62F5">
        <w:rPr>
          <w:rFonts w:ascii="Calibri" w:hAnsi="Calibri" w:cs="Calibri"/>
        </w:rPr>
        <w:t xml:space="preserve"> </w:t>
      </w:r>
      <w:r w:rsidR="007F62F5" w:rsidRPr="00D46540">
        <w:rPr>
          <w:rFonts w:ascii="Calibri" w:hAnsi="Calibri" w:cs="Calibri"/>
        </w:rPr>
        <w:t>Véronique Del Marmol: has received consultancy fees from Sanofi.</w:t>
      </w:r>
      <w:r w:rsidR="007F62F5" w:rsidRPr="007F62F5">
        <w:rPr>
          <w:rFonts w:ascii="Calibri" w:hAnsi="Calibri" w:cs="Calibri"/>
          <w:lang w:val="en-GB"/>
        </w:rPr>
        <w:t xml:space="preserve"> </w:t>
      </w:r>
      <w:r w:rsidR="007F62F5">
        <w:rPr>
          <w:rFonts w:ascii="Calibri" w:hAnsi="Calibri" w:cs="Calibri"/>
          <w:lang w:val="en-GB"/>
        </w:rPr>
        <w:t xml:space="preserve"> </w:t>
      </w:r>
      <w:r w:rsidR="007F62F5" w:rsidRPr="00D46540">
        <w:rPr>
          <w:rFonts w:ascii="Calibri" w:hAnsi="Calibri" w:cs="Calibri"/>
          <w:lang w:val="en-GB"/>
        </w:rPr>
        <w:t>Sandrine Aspeslagh: has received speakers fees from BMS, Roche, Astra Zeneca, Merck and Novartis.</w:t>
      </w:r>
      <w:r w:rsidR="007F62F5">
        <w:rPr>
          <w:rFonts w:ascii="Calibri" w:hAnsi="Calibri" w:cs="Calibri"/>
          <w:lang w:val="en-GB"/>
        </w:rPr>
        <w:t xml:space="preserve"> </w:t>
      </w:r>
      <w:r w:rsidR="007F62F5" w:rsidRPr="007F62F5">
        <w:rPr>
          <w:rFonts w:ascii="Calibri" w:hAnsi="Calibri"/>
          <w:color w:val="000000"/>
          <w:sz w:val="22"/>
          <w:szCs w:val="22"/>
        </w:rPr>
        <w:t>The remaining authors have no conflicts of interest</w:t>
      </w:r>
    </w:p>
    <w:p w14:paraId="62489D9F" w14:textId="77777777" w:rsidR="007F62F5" w:rsidRDefault="007F62F5">
      <w:pPr>
        <w:rPr>
          <w:rFonts w:ascii="Calibri" w:hAnsi="Calibri" w:cs="Calibri"/>
          <w:b/>
          <w:lang w:val="en-GB"/>
        </w:rPr>
      </w:pPr>
      <w:r>
        <w:rPr>
          <w:rFonts w:ascii="Calibri" w:hAnsi="Calibri" w:cs="Calibri"/>
          <w:b/>
          <w:lang w:val="en-GB"/>
        </w:rPr>
        <w:br w:type="page"/>
      </w:r>
    </w:p>
    <w:p w14:paraId="488F2DCA" w14:textId="056AB818" w:rsidR="00FA6BA0" w:rsidRPr="00D46540" w:rsidRDefault="00E14BF5" w:rsidP="00305E2A">
      <w:pPr>
        <w:spacing w:line="360" w:lineRule="auto"/>
        <w:jc w:val="both"/>
        <w:rPr>
          <w:rFonts w:ascii="Calibri" w:hAnsi="Calibri" w:cs="Calibri"/>
          <w:b/>
          <w:lang w:val="en-GB"/>
        </w:rPr>
      </w:pPr>
      <w:r w:rsidRPr="00D46540">
        <w:rPr>
          <w:rFonts w:ascii="Calibri" w:hAnsi="Calibri" w:cs="Calibri"/>
          <w:b/>
          <w:lang w:val="en-GB"/>
        </w:rPr>
        <w:t>R</w:t>
      </w:r>
      <w:r w:rsidR="00673D8E" w:rsidRPr="00D46540">
        <w:rPr>
          <w:rFonts w:ascii="Calibri" w:hAnsi="Calibri" w:cs="Calibri"/>
          <w:b/>
          <w:lang w:val="en-GB"/>
        </w:rPr>
        <w:t>eference</w:t>
      </w:r>
      <w:r w:rsidR="007F62F5">
        <w:rPr>
          <w:rFonts w:ascii="Calibri" w:hAnsi="Calibri" w:cs="Calibri"/>
          <w:b/>
          <w:lang w:val="en-GB"/>
        </w:rPr>
        <w:t>s</w:t>
      </w:r>
    </w:p>
    <w:p w14:paraId="7C875934" w14:textId="4EA619D1" w:rsidR="00B54529" w:rsidRPr="00B54529" w:rsidRDefault="000843CF" w:rsidP="00B54529">
      <w:pPr>
        <w:widowControl w:val="0"/>
        <w:autoSpaceDE w:val="0"/>
        <w:autoSpaceDN w:val="0"/>
        <w:adjustRightInd w:val="0"/>
        <w:spacing w:line="360" w:lineRule="auto"/>
        <w:ind w:left="640" w:hanging="640"/>
        <w:rPr>
          <w:rFonts w:ascii="Calibri" w:hAnsi="Calibri"/>
          <w:noProof/>
        </w:rPr>
      </w:pPr>
      <w:r w:rsidRPr="00D46540">
        <w:rPr>
          <w:rFonts w:ascii="Calibri" w:hAnsi="Calibri" w:cs="Calibri"/>
          <w:lang w:val="en-GB"/>
        </w:rPr>
        <w:fldChar w:fldCharType="begin" w:fldLock="1"/>
      </w:r>
      <w:r w:rsidRPr="00D46540">
        <w:rPr>
          <w:rFonts w:ascii="Calibri" w:hAnsi="Calibri" w:cs="Calibri"/>
          <w:lang w:val="en-GB"/>
        </w:rPr>
        <w:instrText xml:space="preserve">ADDIN Mendeley Bibliography CSL_BIBLIOGRAPHY </w:instrText>
      </w:r>
      <w:r w:rsidRPr="00D46540">
        <w:rPr>
          <w:rFonts w:ascii="Calibri" w:hAnsi="Calibri" w:cs="Calibri"/>
          <w:lang w:val="en-GB"/>
        </w:rPr>
        <w:fldChar w:fldCharType="separate"/>
      </w:r>
      <w:r w:rsidR="00B54529" w:rsidRPr="00B54529">
        <w:rPr>
          <w:rFonts w:ascii="Calibri" w:hAnsi="Calibri"/>
          <w:noProof/>
        </w:rPr>
        <w:t xml:space="preserve">1. </w:t>
      </w:r>
      <w:r w:rsidR="00B54529" w:rsidRPr="00B54529">
        <w:rPr>
          <w:rFonts w:ascii="Calibri" w:hAnsi="Calibri"/>
          <w:noProof/>
        </w:rPr>
        <w:tab/>
        <w:t xml:space="preserve">Tang J, Shalabi A, Hubbard-Lucey VM: </w:t>
      </w:r>
      <w:r w:rsidR="00B54529" w:rsidRPr="00B54529">
        <w:rPr>
          <w:rFonts w:ascii="Calibri" w:hAnsi="Calibri"/>
          <w:b/>
          <w:bCs/>
          <w:noProof/>
        </w:rPr>
        <w:t>Comprehensive analysis of the clinical immuno-oncology landscape</w:t>
      </w:r>
      <w:r w:rsidR="00B54529" w:rsidRPr="00B54529">
        <w:rPr>
          <w:rFonts w:ascii="Calibri" w:hAnsi="Calibri"/>
          <w:noProof/>
        </w:rPr>
        <w:t xml:space="preserve">. </w:t>
      </w:r>
      <w:r w:rsidR="00B54529" w:rsidRPr="00B54529">
        <w:rPr>
          <w:rFonts w:ascii="Calibri" w:hAnsi="Calibri"/>
          <w:i/>
          <w:iCs/>
          <w:noProof/>
        </w:rPr>
        <w:t>Ann Oncol</w:t>
      </w:r>
      <w:r w:rsidR="00B54529" w:rsidRPr="00B54529">
        <w:rPr>
          <w:rFonts w:ascii="Calibri" w:hAnsi="Calibri"/>
          <w:noProof/>
        </w:rPr>
        <w:t xml:space="preserve"> 2018, </w:t>
      </w:r>
      <w:r w:rsidR="00B54529" w:rsidRPr="00B54529">
        <w:rPr>
          <w:rFonts w:ascii="Calibri" w:hAnsi="Calibri"/>
          <w:b/>
          <w:bCs/>
          <w:noProof/>
        </w:rPr>
        <w:t>29</w:t>
      </w:r>
      <w:r w:rsidR="00B54529" w:rsidRPr="00B54529">
        <w:rPr>
          <w:rFonts w:ascii="Calibri" w:hAnsi="Calibri"/>
          <w:noProof/>
        </w:rPr>
        <w:t>:84–91.</w:t>
      </w:r>
    </w:p>
    <w:p w14:paraId="6F76117B"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 </w:t>
      </w:r>
      <w:r w:rsidRPr="00B54529">
        <w:rPr>
          <w:rFonts w:ascii="Calibri" w:hAnsi="Calibri"/>
          <w:noProof/>
        </w:rPr>
        <w:tab/>
        <w:t xml:space="preserve">Tsiatas M, Mountzios G, Curigliano G: </w:t>
      </w:r>
      <w:r w:rsidRPr="00B54529">
        <w:rPr>
          <w:rFonts w:ascii="Calibri" w:hAnsi="Calibri"/>
          <w:b/>
          <w:bCs/>
          <w:noProof/>
        </w:rPr>
        <w:t>Future perspectives in cancer immunotherapy</w:t>
      </w:r>
      <w:r w:rsidRPr="00B54529">
        <w:rPr>
          <w:rFonts w:ascii="Calibri" w:hAnsi="Calibri"/>
          <w:noProof/>
        </w:rPr>
        <w:t xml:space="preserve">. </w:t>
      </w:r>
      <w:r w:rsidRPr="00B54529">
        <w:rPr>
          <w:rFonts w:ascii="Calibri" w:hAnsi="Calibri"/>
          <w:i/>
          <w:iCs/>
          <w:noProof/>
        </w:rPr>
        <w:t>Ann Transl Med</w:t>
      </w:r>
      <w:r w:rsidRPr="00B54529">
        <w:rPr>
          <w:rFonts w:ascii="Calibri" w:hAnsi="Calibri"/>
          <w:noProof/>
        </w:rPr>
        <w:t xml:space="preserve"> 2016, </w:t>
      </w:r>
      <w:r w:rsidRPr="00B54529">
        <w:rPr>
          <w:rFonts w:ascii="Calibri" w:hAnsi="Calibri"/>
          <w:b/>
          <w:bCs/>
          <w:noProof/>
        </w:rPr>
        <w:t>4</w:t>
      </w:r>
      <w:r w:rsidRPr="00B54529">
        <w:rPr>
          <w:rFonts w:ascii="Calibri" w:hAnsi="Calibri"/>
          <w:noProof/>
        </w:rPr>
        <w:t>:273–273.</w:t>
      </w:r>
    </w:p>
    <w:p w14:paraId="1F89839D"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 </w:t>
      </w:r>
      <w:r w:rsidRPr="00B54529">
        <w:rPr>
          <w:rFonts w:ascii="Calibri" w:hAnsi="Calibri"/>
          <w:noProof/>
        </w:rPr>
        <w:tab/>
        <w:t xml:space="preserve">Munker S, Toni EN De: </w:t>
      </w:r>
      <w:r w:rsidRPr="00B54529">
        <w:rPr>
          <w:rFonts w:ascii="Calibri" w:hAnsi="Calibri"/>
          <w:b/>
          <w:bCs/>
          <w:noProof/>
        </w:rPr>
        <w:t>Use of checkpoint inhibitors in liver transplant recipients</w:t>
      </w:r>
      <w:r w:rsidRPr="00B54529">
        <w:rPr>
          <w:rFonts w:ascii="Calibri" w:hAnsi="Calibri"/>
          <w:noProof/>
        </w:rPr>
        <w:t>. 2018, doi:10.1177/2050640618774631.</w:t>
      </w:r>
    </w:p>
    <w:p w14:paraId="798ACF1C"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4. </w:t>
      </w:r>
      <w:r w:rsidRPr="00B54529">
        <w:rPr>
          <w:rFonts w:ascii="Calibri" w:hAnsi="Calibri"/>
          <w:noProof/>
        </w:rPr>
        <w:tab/>
        <w:t xml:space="preserve">Hart A, Smith JM, Skeans MA, Gustafson SK, Wilk AR, Robinson A, Wainright JL, Haynes CR, Snyder JJ, Kasiske BL, et al.: </w:t>
      </w:r>
      <w:r w:rsidRPr="00B54529">
        <w:rPr>
          <w:rFonts w:ascii="Calibri" w:hAnsi="Calibri"/>
          <w:b/>
          <w:bCs/>
          <w:noProof/>
        </w:rPr>
        <w:t>OPTN/SRTR 2016 Annual Data Report: Kidney</w:t>
      </w:r>
      <w:r w:rsidRPr="00B54529">
        <w:rPr>
          <w:rFonts w:ascii="Calibri" w:hAnsi="Calibri"/>
          <w:noProof/>
        </w:rPr>
        <w:t xml:space="preserve">. </w:t>
      </w:r>
      <w:r w:rsidRPr="00B54529">
        <w:rPr>
          <w:rFonts w:ascii="Calibri" w:hAnsi="Calibri"/>
          <w:i/>
          <w:iCs/>
          <w:noProof/>
        </w:rPr>
        <w:t>Am J Transplant</w:t>
      </w:r>
      <w:r w:rsidRPr="00B54529">
        <w:rPr>
          <w:rFonts w:ascii="Calibri" w:hAnsi="Calibri"/>
          <w:noProof/>
        </w:rPr>
        <w:t xml:space="preserve"> 2018, </w:t>
      </w:r>
      <w:r w:rsidRPr="00B54529">
        <w:rPr>
          <w:rFonts w:ascii="Calibri" w:hAnsi="Calibri"/>
          <w:b/>
          <w:bCs/>
          <w:noProof/>
        </w:rPr>
        <w:t>18</w:t>
      </w:r>
      <w:r w:rsidRPr="00B54529">
        <w:rPr>
          <w:rFonts w:ascii="Calibri" w:hAnsi="Calibri"/>
          <w:noProof/>
        </w:rPr>
        <w:t>:18–113.</w:t>
      </w:r>
    </w:p>
    <w:p w14:paraId="5D386466"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5. </w:t>
      </w:r>
      <w:r w:rsidRPr="00B54529">
        <w:rPr>
          <w:rFonts w:ascii="Calibri" w:hAnsi="Calibri"/>
          <w:noProof/>
        </w:rPr>
        <w:tab/>
        <w:t xml:space="preserve">Kim WR, Lake JR, Smith JM, Schladt DP, Skeans MA, Harper AM, Wainright JL, Snyder JJ, Israni AK, Kasiske BL: </w:t>
      </w:r>
      <w:r w:rsidRPr="00B54529">
        <w:rPr>
          <w:rFonts w:ascii="Calibri" w:hAnsi="Calibri"/>
          <w:b/>
          <w:bCs/>
          <w:noProof/>
        </w:rPr>
        <w:t>OPTN/SRTR 2016 Annual Data Report: Liver</w:t>
      </w:r>
      <w:r w:rsidRPr="00B54529">
        <w:rPr>
          <w:rFonts w:ascii="Calibri" w:hAnsi="Calibri"/>
          <w:noProof/>
        </w:rPr>
        <w:t xml:space="preserve">. </w:t>
      </w:r>
      <w:r w:rsidRPr="00B54529">
        <w:rPr>
          <w:rFonts w:ascii="Calibri" w:hAnsi="Calibri"/>
          <w:i/>
          <w:iCs/>
          <w:noProof/>
        </w:rPr>
        <w:t>Am J Transplant</w:t>
      </w:r>
      <w:r w:rsidRPr="00B54529">
        <w:rPr>
          <w:rFonts w:ascii="Calibri" w:hAnsi="Calibri"/>
          <w:noProof/>
        </w:rPr>
        <w:t xml:space="preserve"> 2018, </w:t>
      </w:r>
      <w:r w:rsidRPr="00B54529">
        <w:rPr>
          <w:rFonts w:ascii="Calibri" w:hAnsi="Calibri"/>
          <w:b/>
          <w:bCs/>
          <w:noProof/>
        </w:rPr>
        <w:t>18</w:t>
      </w:r>
      <w:r w:rsidRPr="00B54529">
        <w:rPr>
          <w:rFonts w:ascii="Calibri" w:hAnsi="Calibri"/>
          <w:noProof/>
        </w:rPr>
        <w:t>:172–253.</w:t>
      </w:r>
    </w:p>
    <w:p w14:paraId="57708760"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6. </w:t>
      </w:r>
      <w:r w:rsidRPr="00B54529">
        <w:rPr>
          <w:rFonts w:ascii="Calibri" w:hAnsi="Calibri"/>
          <w:noProof/>
        </w:rPr>
        <w:tab/>
        <w:t xml:space="preserve">Engels EA, Pfeiffer RM, Fraumeni JF, Kasiske BL, Israni AK, Snyder JJ, Wolfe RA, Goodrich NP, Bayakly  a R, Clarke C a, et al.: </w:t>
      </w:r>
      <w:r w:rsidRPr="00B54529">
        <w:rPr>
          <w:rFonts w:ascii="Calibri" w:hAnsi="Calibri"/>
          <w:b/>
          <w:bCs/>
          <w:noProof/>
        </w:rPr>
        <w:t>Spectrum of Cancer Risk Among US Solid Organ Transplant Recipients</w:t>
      </w:r>
      <w:r w:rsidRPr="00B54529">
        <w:rPr>
          <w:rFonts w:ascii="Calibri" w:hAnsi="Calibri"/>
          <w:noProof/>
        </w:rPr>
        <w:t xml:space="preserve">. </w:t>
      </w:r>
      <w:r w:rsidRPr="00B54529">
        <w:rPr>
          <w:rFonts w:ascii="Calibri" w:hAnsi="Calibri"/>
          <w:i/>
          <w:iCs/>
          <w:noProof/>
        </w:rPr>
        <w:t>JAMA</w:t>
      </w:r>
      <w:r w:rsidRPr="00B54529">
        <w:rPr>
          <w:rFonts w:ascii="Calibri" w:hAnsi="Calibri"/>
          <w:noProof/>
        </w:rPr>
        <w:t xml:space="preserve"> 2011, </w:t>
      </w:r>
      <w:r w:rsidRPr="00B54529">
        <w:rPr>
          <w:rFonts w:ascii="Calibri" w:hAnsi="Calibri"/>
          <w:b/>
          <w:bCs/>
          <w:noProof/>
        </w:rPr>
        <w:t>306</w:t>
      </w:r>
      <w:r w:rsidRPr="00B54529">
        <w:rPr>
          <w:rFonts w:ascii="Calibri" w:hAnsi="Calibri"/>
          <w:noProof/>
        </w:rPr>
        <w:t>:1891.</w:t>
      </w:r>
    </w:p>
    <w:p w14:paraId="1306646A"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7. </w:t>
      </w:r>
      <w:r w:rsidRPr="00B54529">
        <w:rPr>
          <w:rFonts w:ascii="Calibri" w:hAnsi="Calibri"/>
          <w:noProof/>
        </w:rPr>
        <w:tab/>
        <w:t xml:space="preserve">Euvrard S, Kanitakis J, Claudy A: </w:t>
      </w:r>
      <w:r w:rsidRPr="00B54529">
        <w:rPr>
          <w:rFonts w:ascii="Calibri" w:hAnsi="Calibri"/>
          <w:b/>
          <w:bCs/>
          <w:noProof/>
        </w:rPr>
        <w:t>Skin Cancers after Organ Transplantation</w:t>
      </w:r>
      <w:r w:rsidRPr="00B54529">
        <w:rPr>
          <w:rFonts w:ascii="Calibri" w:hAnsi="Calibri"/>
          <w:noProof/>
        </w:rPr>
        <w:t xml:space="preserve">. </w:t>
      </w:r>
      <w:r w:rsidRPr="00B54529">
        <w:rPr>
          <w:rFonts w:ascii="Calibri" w:hAnsi="Calibri"/>
          <w:i/>
          <w:iCs/>
          <w:noProof/>
        </w:rPr>
        <w:t>N Engl J Med</w:t>
      </w:r>
      <w:r w:rsidRPr="00B54529">
        <w:rPr>
          <w:rFonts w:ascii="Calibri" w:hAnsi="Calibri"/>
          <w:noProof/>
        </w:rPr>
        <w:t xml:space="preserve"> 2003, </w:t>
      </w:r>
      <w:r w:rsidRPr="00B54529">
        <w:rPr>
          <w:rFonts w:ascii="Calibri" w:hAnsi="Calibri"/>
          <w:b/>
          <w:bCs/>
          <w:noProof/>
        </w:rPr>
        <w:t>348</w:t>
      </w:r>
      <w:r w:rsidRPr="00B54529">
        <w:rPr>
          <w:rFonts w:ascii="Calibri" w:hAnsi="Calibri"/>
          <w:noProof/>
        </w:rPr>
        <w:t>:1681–1691.</w:t>
      </w:r>
    </w:p>
    <w:p w14:paraId="7746F79E"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8. </w:t>
      </w:r>
      <w:r w:rsidRPr="00B54529">
        <w:rPr>
          <w:rFonts w:ascii="Calibri" w:hAnsi="Calibri"/>
          <w:noProof/>
        </w:rPr>
        <w:tab/>
        <w:t xml:space="preserve">Tessari G, Girolomoni G: </w:t>
      </w:r>
      <w:r w:rsidRPr="00B54529">
        <w:rPr>
          <w:rFonts w:ascii="Calibri" w:hAnsi="Calibri"/>
          <w:b/>
          <w:bCs/>
          <w:noProof/>
        </w:rPr>
        <w:t>Nonmelanoma skin cancer in solid organ transplant recipients: Update on epidemiology, risk factors, and management</w:t>
      </w:r>
      <w:r w:rsidRPr="00B54529">
        <w:rPr>
          <w:rFonts w:ascii="Calibri" w:hAnsi="Calibri"/>
          <w:noProof/>
        </w:rPr>
        <w:t xml:space="preserve">. </w:t>
      </w:r>
      <w:r w:rsidRPr="00B54529">
        <w:rPr>
          <w:rFonts w:ascii="Calibri" w:hAnsi="Calibri"/>
          <w:i/>
          <w:iCs/>
          <w:noProof/>
        </w:rPr>
        <w:t>Dermatologic Surg</w:t>
      </w:r>
      <w:r w:rsidRPr="00B54529">
        <w:rPr>
          <w:rFonts w:ascii="Calibri" w:hAnsi="Calibri"/>
          <w:noProof/>
        </w:rPr>
        <w:t xml:space="preserve"> 2012, </w:t>
      </w:r>
      <w:r w:rsidRPr="00B54529">
        <w:rPr>
          <w:rFonts w:ascii="Calibri" w:hAnsi="Calibri"/>
          <w:b/>
          <w:bCs/>
          <w:noProof/>
        </w:rPr>
        <w:t>38</w:t>
      </w:r>
      <w:r w:rsidRPr="00B54529">
        <w:rPr>
          <w:rFonts w:ascii="Calibri" w:hAnsi="Calibri"/>
          <w:noProof/>
        </w:rPr>
        <w:t>:1622–1630.</w:t>
      </w:r>
    </w:p>
    <w:p w14:paraId="789662AE" w14:textId="30A924D6" w:rsid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9. </w:t>
      </w:r>
      <w:r w:rsidRPr="00B54529">
        <w:rPr>
          <w:rFonts w:ascii="Calibri" w:hAnsi="Calibri"/>
          <w:noProof/>
        </w:rPr>
        <w:tab/>
        <w:t xml:space="preserve">Migden MR, Rischin D, Schmults CD, Guminski A, Hauschild A, Lewis KD, Chung CH, Hernandez-Aya L, Lim AM, Chang ALS, et al.: </w:t>
      </w:r>
      <w:r w:rsidRPr="00B54529">
        <w:rPr>
          <w:rFonts w:ascii="Calibri" w:hAnsi="Calibri"/>
          <w:b/>
          <w:bCs/>
          <w:noProof/>
        </w:rPr>
        <w:t>PD-1 Blockade with Cemiplimab in Advanced Cutaneous Squamous-Cell Carcinoma</w:t>
      </w:r>
      <w:r w:rsidRPr="00B54529">
        <w:rPr>
          <w:rFonts w:ascii="Calibri" w:hAnsi="Calibri"/>
          <w:noProof/>
        </w:rPr>
        <w:t xml:space="preserve">. </w:t>
      </w:r>
      <w:r w:rsidRPr="00B54529">
        <w:rPr>
          <w:rFonts w:ascii="Calibri" w:hAnsi="Calibri"/>
          <w:i/>
          <w:iCs/>
          <w:noProof/>
        </w:rPr>
        <w:t>N Engl J Med</w:t>
      </w:r>
      <w:r w:rsidRPr="00B54529">
        <w:rPr>
          <w:rFonts w:ascii="Calibri" w:hAnsi="Calibri"/>
          <w:noProof/>
        </w:rPr>
        <w:t xml:space="preserve"> 2018, </w:t>
      </w:r>
      <w:r w:rsidRPr="00B54529">
        <w:rPr>
          <w:rFonts w:ascii="Calibri" w:hAnsi="Calibri"/>
          <w:b/>
          <w:bCs/>
          <w:noProof/>
        </w:rPr>
        <w:t>379</w:t>
      </w:r>
      <w:r w:rsidRPr="00B54529">
        <w:rPr>
          <w:rFonts w:ascii="Calibri" w:hAnsi="Calibri"/>
          <w:noProof/>
        </w:rPr>
        <w:t>:341–351.</w:t>
      </w:r>
    </w:p>
    <w:p w14:paraId="63F6F35E" w14:textId="3B794E50" w:rsidR="00B54529" w:rsidRPr="00B54529" w:rsidRDefault="00B54529" w:rsidP="00B54529">
      <w:pPr>
        <w:widowControl w:val="0"/>
        <w:autoSpaceDE w:val="0"/>
        <w:autoSpaceDN w:val="0"/>
        <w:adjustRightInd w:val="0"/>
        <w:spacing w:line="360" w:lineRule="auto"/>
        <w:ind w:left="640" w:hanging="640"/>
        <w:rPr>
          <w:rFonts w:ascii="Calibri" w:hAnsi="Calibri" w:cs="Calibri"/>
          <w:noProof/>
        </w:rPr>
      </w:pPr>
      <w:r>
        <w:rPr>
          <w:rFonts w:ascii="Calibri" w:hAnsi="Calibri" w:cs="Calibri"/>
          <w:noProof/>
        </w:rPr>
        <w:t>*first demonstration of interest of CPI in patients with advanced cutaneous squamous cell carcinoma of the skin</w:t>
      </w:r>
    </w:p>
    <w:p w14:paraId="3C5497D6"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10. </w:t>
      </w:r>
      <w:r w:rsidRPr="00B54529">
        <w:rPr>
          <w:rFonts w:ascii="Calibri" w:hAnsi="Calibri"/>
          <w:noProof/>
        </w:rPr>
        <w:tab/>
        <w:t xml:space="preserve">Li W, Zheng XX, Kuhr CS, Perkins JD: </w:t>
      </w:r>
      <w:r w:rsidRPr="00B54529">
        <w:rPr>
          <w:rFonts w:ascii="Calibri" w:hAnsi="Calibri"/>
          <w:b/>
          <w:bCs/>
          <w:noProof/>
        </w:rPr>
        <w:t>CTLA4 engagement is required for induction of murine liver transplant spontaneous tolerance</w:t>
      </w:r>
      <w:r w:rsidRPr="00B54529">
        <w:rPr>
          <w:rFonts w:ascii="Calibri" w:hAnsi="Calibri"/>
          <w:noProof/>
        </w:rPr>
        <w:t xml:space="preserve">. </w:t>
      </w:r>
      <w:r w:rsidRPr="00B54529">
        <w:rPr>
          <w:rFonts w:ascii="Calibri" w:hAnsi="Calibri"/>
          <w:i/>
          <w:iCs/>
          <w:noProof/>
        </w:rPr>
        <w:t>Am J Transplant</w:t>
      </w:r>
      <w:r w:rsidRPr="00B54529">
        <w:rPr>
          <w:rFonts w:ascii="Calibri" w:hAnsi="Calibri"/>
          <w:noProof/>
        </w:rPr>
        <w:t xml:space="preserve"> 2005, </w:t>
      </w:r>
      <w:r w:rsidRPr="00B54529">
        <w:rPr>
          <w:rFonts w:ascii="Calibri" w:hAnsi="Calibri"/>
          <w:b/>
          <w:bCs/>
          <w:noProof/>
        </w:rPr>
        <w:t>5</w:t>
      </w:r>
      <w:r w:rsidRPr="00B54529">
        <w:rPr>
          <w:rFonts w:ascii="Calibri" w:hAnsi="Calibri"/>
          <w:noProof/>
        </w:rPr>
        <w:t>:978–986.</w:t>
      </w:r>
    </w:p>
    <w:p w14:paraId="1451B281"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11. </w:t>
      </w:r>
      <w:r w:rsidRPr="00B54529">
        <w:rPr>
          <w:rFonts w:ascii="Calibri" w:hAnsi="Calibri"/>
          <w:noProof/>
        </w:rPr>
        <w:tab/>
        <w:t xml:space="preserve">Charbonnier L-M, Vokaer B, Lemaître PH, Field KA, Leo O, Le Moine A: </w:t>
      </w:r>
      <w:r w:rsidRPr="00B54529">
        <w:rPr>
          <w:rFonts w:ascii="Calibri" w:hAnsi="Calibri"/>
          <w:b/>
          <w:bCs/>
          <w:noProof/>
        </w:rPr>
        <w:t>CTLA4-Ig Restores Rejection of MHC Class-II Mismatched Allografts by Disabling IL-2-Expanded Regulatory T Cells</w:t>
      </w:r>
      <w:r w:rsidRPr="00B54529">
        <w:rPr>
          <w:rFonts w:ascii="Calibri" w:hAnsi="Calibri"/>
          <w:noProof/>
        </w:rPr>
        <w:t xml:space="preserve">. </w:t>
      </w:r>
      <w:r w:rsidRPr="00B54529">
        <w:rPr>
          <w:rFonts w:ascii="Calibri" w:hAnsi="Calibri"/>
          <w:i/>
          <w:iCs/>
          <w:noProof/>
        </w:rPr>
        <w:t>Am J Transplant</w:t>
      </w:r>
      <w:r w:rsidRPr="00B54529">
        <w:rPr>
          <w:rFonts w:ascii="Calibri" w:hAnsi="Calibri"/>
          <w:noProof/>
        </w:rPr>
        <w:t xml:space="preserve"> 2012, </w:t>
      </w:r>
      <w:r w:rsidRPr="00B54529">
        <w:rPr>
          <w:rFonts w:ascii="Calibri" w:hAnsi="Calibri"/>
          <w:b/>
          <w:bCs/>
          <w:noProof/>
        </w:rPr>
        <w:t>12</w:t>
      </w:r>
      <w:r w:rsidRPr="00B54529">
        <w:rPr>
          <w:rFonts w:ascii="Calibri" w:hAnsi="Calibri"/>
          <w:noProof/>
        </w:rPr>
        <w:t>:2313–2321.</w:t>
      </w:r>
    </w:p>
    <w:p w14:paraId="1D39B676"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12. </w:t>
      </w:r>
      <w:r w:rsidRPr="00B54529">
        <w:rPr>
          <w:rFonts w:ascii="Calibri" w:hAnsi="Calibri"/>
          <w:noProof/>
        </w:rPr>
        <w:tab/>
        <w:t xml:space="preserve">Grinyó JM, del Carmen Rial M, Alberu J, Steinberg SM, Manfro RC, Nainan G, Vincenti F, Jones-Burton C, Kamar N: </w:t>
      </w:r>
      <w:r w:rsidRPr="00B54529">
        <w:rPr>
          <w:rFonts w:ascii="Calibri" w:hAnsi="Calibri"/>
          <w:b/>
          <w:bCs/>
          <w:noProof/>
        </w:rPr>
        <w:t>Safety and Efficacy Outcomes 3 Years After Switching to Belatacept From a Calcineurin Inhibitor in Kidney Transplant Recipients: Results From a Phase 2 Randomized Trial</w:t>
      </w:r>
      <w:r w:rsidRPr="00B54529">
        <w:rPr>
          <w:rFonts w:ascii="Calibri" w:hAnsi="Calibri"/>
          <w:noProof/>
        </w:rPr>
        <w:t xml:space="preserve">. </w:t>
      </w:r>
      <w:r w:rsidRPr="00B54529">
        <w:rPr>
          <w:rFonts w:ascii="Calibri" w:hAnsi="Calibri"/>
          <w:i/>
          <w:iCs/>
          <w:noProof/>
        </w:rPr>
        <w:t>Am J Kidney Dis</w:t>
      </w:r>
      <w:r w:rsidRPr="00B54529">
        <w:rPr>
          <w:rFonts w:ascii="Calibri" w:hAnsi="Calibri"/>
          <w:noProof/>
        </w:rPr>
        <w:t xml:space="preserve"> 2017, </w:t>
      </w:r>
      <w:r w:rsidRPr="00B54529">
        <w:rPr>
          <w:rFonts w:ascii="Calibri" w:hAnsi="Calibri"/>
          <w:b/>
          <w:bCs/>
          <w:noProof/>
        </w:rPr>
        <w:t>69</w:t>
      </w:r>
      <w:r w:rsidRPr="00B54529">
        <w:rPr>
          <w:rFonts w:ascii="Calibri" w:hAnsi="Calibri"/>
          <w:noProof/>
        </w:rPr>
        <w:t>:587–594.</w:t>
      </w:r>
    </w:p>
    <w:p w14:paraId="4A199E2A"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13. </w:t>
      </w:r>
      <w:r w:rsidRPr="00B54529">
        <w:rPr>
          <w:rFonts w:ascii="Calibri" w:hAnsi="Calibri"/>
          <w:noProof/>
        </w:rPr>
        <w:tab/>
        <w:t xml:space="preserve">Tanaka K, Albin MJ, Yuan X, Yamaura K, Habicht A, Murayama T, Grimm M, Waaga AM, Ueno T, Padera RF, et al.: </w:t>
      </w:r>
      <w:r w:rsidRPr="00B54529">
        <w:rPr>
          <w:rFonts w:ascii="Calibri" w:hAnsi="Calibri"/>
          <w:b/>
          <w:bCs/>
          <w:noProof/>
        </w:rPr>
        <w:t>PDL1 is required for peripheral transplantation tolerance and protection from chronic allograft rejection.</w:t>
      </w:r>
      <w:r w:rsidRPr="00B54529">
        <w:rPr>
          <w:rFonts w:ascii="Calibri" w:hAnsi="Calibri"/>
          <w:noProof/>
        </w:rPr>
        <w:t xml:space="preserve"> </w:t>
      </w:r>
      <w:r w:rsidRPr="00B54529">
        <w:rPr>
          <w:rFonts w:ascii="Calibri" w:hAnsi="Calibri"/>
          <w:i/>
          <w:iCs/>
          <w:noProof/>
        </w:rPr>
        <w:t>J Immunol</w:t>
      </w:r>
      <w:r w:rsidRPr="00B54529">
        <w:rPr>
          <w:rFonts w:ascii="Calibri" w:hAnsi="Calibri"/>
          <w:noProof/>
        </w:rPr>
        <w:t xml:space="preserve"> 2007, </w:t>
      </w:r>
      <w:r w:rsidRPr="00B54529">
        <w:rPr>
          <w:rFonts w:ascii="Calibri" w:hAnsi="Calibri"/>
          <w:b/>
          <w:bCs/>
          <w:noProof/>
        </w:rPr>
        <w:t>179</w:t>
      </w:r>
      <w:r w:rsidRPr="00B54529">
        <w:rPr>
          <w:rFonts w:ascii="Calibri" w:hAnsi="Calibri"/>
          <w:noProof/>
        </w:rPr>
        <w:t>:5204–10.</w:t>
      </w:r>
    </w:p>
    <w:p w14:paraId="53D58E2B"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14. </w:t>
      </w:r>
      <w:r w:rsidRPr="00B54529">
        <w:rPr>
          <w:rFonts w:ascii="Calibri" w:hAnsi="Calibri"/>
          <w:noProof/>
        </w:rPr>
        <w:tab/>
        <w:t xml:space="preserve">Riella L V., Watanabe T, Sage PT, Yang J, Yeung M, Azzi J, Vanguri V, Chandraker A, Sharpe AH, Sayegh MH, et al.: </w:t>
      </w:r>
      <w:r w:rsidRPr="00B54529">
        <w:rPr>
          <w:rFonts w:ascii="Calibri" w:hAnsi="Calibri"/>
          <w:b/>
          <w:bCs/>
          <w:noProof/>
        </w:rPr>
        <w:t>Essential role of PDL1 expression on nonhematopoietic donor cells in acquired tolerance to vascularized cardiac allografts</w:t>
      </w:r>
      <w:r w:rsidRPr="00B54529">
        <w:rPr>
          <w:rFonts w:ascii="Calibri" w:hAnsi="Calibri"/>
          <w:noProof/>
        </w:rPr>
        <w:t xml:space="preserve">. </w:t>
      </w:r>
      <w:r w:rsidRPr="00B54529">
        <w:rPr>
          <w:rFonts w:ascii="Calibri" w:hAnsi="Calibri"/>
          <w:i/>
          <w:iCs/>
          <w:noProof/>
        </w:rPr>
        <w:t>Am J Transplant</w:t>
      </w:r>
      <w:r w:rsidRPr="00B54529">
        <w:rPr>
          <w:rFonts w:ascii="Calibri" w:hAnsi="Calibri"/>
          <w:noProof/>
        </w:rPr>
        <w:t xml:space="preserve"> 2011, </w:t>
      </w:r>
      <w:r w:rsidRPr="00B54529">
        <w:rPr>
          <w:rFonts w:ascii="Calibri" w:hAnsi="Calibri"/>
          <w:b/>
          <w:bCs/>
          <w:noProof/>
        </w:rPr>
        <w:t>11</w:t>
      </w:r>
      <w:r w:rsidRPr="00B54529">
        <w:rPr>
          <w:rFonts w:ascii="Calibri" w:hAnsi="Calibri"/>
          <w:noProof/>
        </w:rPr>
        <w:t>:832–840.</w:t>
      </w:r>
    </w:p>
    <w:p w14:paraId="42BBEA74"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15. </w:t>
      </w:r>
      <w:r w:rsidRPr="00B54529">
        <w:rPr>
          <w:rFonts w:ascii="Calibri" w:hAnsi="Calibri"/>
          <w:noProof/>
        </w:rPr>
        <w:tab/>
        <w:t xml:space="preserve">Chae YK, Galvez C, Anker JF, Iams WT, Bhave M: </w:t>
      </w:r>
      <w:r w:rsidRPr="00B54529">
        <w:rPr>
          <w:rFonts w:ascii="Calibri" w:hAnsi="Calibri"/>
          <w:b/>
          <w:bCs/>
          <w:noProof/>
        </w:rPr>
        <w:t>Cancer immunotherapy in a neglected population: The current use and future of T-cell-mediated checkpoint inhibitors in organ transplant patients</w:t>
      </w:r>
      <w:r w:rsidRPr="00B54529">
        <w:rPr>
          <w:rFonts w:ascii="Calibri" w:hAnsi="Calibri"/>
          <w:noProof/>
        </w:rPr>
        <w:t xml:space="preserve">. </w:t>
      </w:r>
      <w:r w:rsidRPr="00B54529">
        <w:rPr>
          <w:rFonts w:ascii="Calibri" w:hAnsi="Calibri"/>
          <w:i/>
          <w:iCs/>
          <w:noProof/>
        </w:rPr>
        <w:t>Cancer Treat Rev</w:t>
      </w:r>
      <w:r w:rsidRPr="00B54529">
        <w:rPr>
          <w:rFonts w:ascii="Calibri" w:hAnsi="Calibri"/>
          <w:noProof/>
        </w:rPr>
        <w:t xml:space="preserve"> 2018, </w:t>
      </w:r>
      <w:r w:rsidRPr="00B54529">
        <w:rPr>
          <w:rFonts w:ascii="Calibri" w:hAnsi="Calibri"/>
          <w:b/>
          <w:bCs/>
          <w:noProof/>
        </w:rPr>
        <w:t>63</w:t>
      </w:r>
      <w:r w:rsidRPr="00B54529">
        <w:rPr>
          <w:rFonts w:ascii="Calibri" w:hAnsi="Calibri"/>
          <w:noProof/>
        </w:rPr>
        <w:t>:116–121.</w:t>
      </w:r>
    </w:p>
    <w:p w14:paraId="3E1E2E05"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16. </w:t>
      </w:r>
      <w:r w:rsidRPr="00B54529">
        <w:rPr>
          <w:rFonts w:ascii="Calibri" w:hAnsi="Calibri"/>
          <w:noProof/>
        </w:rPr>
        <w:tab/>
        <w:t xml:space="preserve">Wingard JR, Majhail NS, Brazauskas R, Wang Z, Sobocinski KA, Jacobsohn D, Sorror ML, Horowitz MM, Bolwell B, Rizzo JD, et al.: </w:t>
      </w:r>
      <w:r w:rsidRPr="00B54529">
        <w:rPr>
          <w:rFonts w:ascii="Calibri" w:hAnsi="Calibri"/>
          <w:b/>
          <w:bCs/>
          <w:noProof/>
        </w:rPr>
        <w:t>Long-Term Survival and Late Deaths After Allogeneic Hematopoietic Cell Transplantation</w:t>
      </w:r>
      <w:r w:rsidRPr="00B54529">
        <w:rPr>
          <w:rFonts w:ascii="Calibri" w:hAnsi="Calibri"/>
          <w:noProof/>
        </w:rPr>
        <w:t xml:space="preserve">. </w:t>
      </w:r>
      <w:r w:rsidRPr="00B54529">
        <w:rPr>
          <w:rFonts w:ascii="Calibri" w:hAnsi="Calibri"/>
          <w:i/>
          <w:iCs/>
          <w:noProof/>
        </w:rPr>
        <w:t>J Clin Oncol</w:t>
      </w:r>
      <w:r w:rsidRPr="00B54529">
        <w:rPr>
          <w:rFonts w:ascii="Calibri" w:hAnsi="Calibri"/>
          <w:noProof/>
        </w:rPr>
        <w:t xml:space="preserve"> 2011, </w:t>
      </w:r>
      <w:r w:rsidRPr="00B54529">
        <w:rPr>
          <w:rFonts w:ascii="Calibri" w:hAnsi="Calibri"/>
          <w:b/>
          <w:bCs/>
          <w:noProof/>
        </w:rPr>
        <w:t>29</w:t>
      </w:r>
      <w:r w:rsidRPr="00B54529">
        <w:rPr>
          <w:rFonts w:ascii="Calibri" w:hAnsi="Calibri"/>
          <w:noProof/>
        </w:rPr>
        <w:t>:2230–2239.</w:t>
      </w:r>
    </w:p>
    <w:p w14:paraId="26D85367"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17. </w:t>
      </w:r>
      <w:r w:rsidRPr="00B54529">
        <w:rPr>
          <w:rFonts w:ascii="Calibri" w:hAnsi="Calibri"/>
          <w:noProof/>
        </w:rPr>
        <w:tab/>
        <w:t xml:space="preserve">De Toni EN, Gerbes AL: </w:t>
      </w:r>
      <w:r w:rsidRPr="00B54529">
        <w:rPr>
          <w:rFonts w:ascii="Calibri" w:hAnsi="Calibri"/>
          <w:b/>
          <w:bCs/>
          <w:noProof/>
        </w:rPr>
        <w:t>Tapering of Immunosuppression and Sustained Treatment With Nivolumab in a Liver Transplant Recipient</w:t>
      </w:r>
      <w:r w:rsidRPr="00B54529">
        <w:rPr>
          <w:rFonts w:ascii="Calibri" w:hAnsi="Calibri"/>
          <w:noProof/>
        </w:rPr>
        <w:t xml:space="preserve">. </w:t>
      </w:r>
      <w:r w:rsidRPr="00B54529">
        <w:rPr>
          <w:rFonts w:ascii="Calibri" w:hAnsi="Calibri"/>
          <w:i/>
          <w:iCs/>
          <w:noProof/>
        </w:rPr>
        <w:t>Gastroenterology</w:t>
      </w:r>
      <w:r w:rsidRPr="00B54529">
        <w:rPr>
          <w:rFonts w:ascii="Calibri" w:hAnsi="Calibri"/>
          <w:noProof/>
        </w:rPr>
        <w:t xml:space="preserve"> 2017, </w:t>
      </w:r>
      <w:r w:rsidRPr="00B54529">
        <w:rPr>
          <w:rFonts w:ascii="Calibri" w:hAnsi="Calibri"/>
          <w:b/>
          <w:bCs/>
          <w:noProof/>
        </w:rPr>
        <w:t>152</w:t>
      </w:r>
      <w:r w:rsidRPr="00B54529">
        <w:rPr>
          <w:rFonts w:ascii="Calibri" w:hAnsi="Calibri"/>
          <w:noProof/>
        </w:rPr>
        <w:t>:1631–1633.</w:t>
      </w:r>
    </w:p>
    <w:p w14:paraId="54046B3C"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18. </w:t>
      </w:r>
      <w:r w:rsidRPr="00B54529">
        <w:rPr>
          <w:rFonts w:ascii="Calibri" w:hAnsi="Calibri"/>
          <w:noProof/>
        </w:rPr>
        <w:tab/>
        <w:t xml:space="preserve">El-Khoueiry AB, Sangro B, Yau T, Crocenzi TS, Kudo M, Hsu C, Kim T-Y, Choo S-P, Trojan J, Welling TH, et al.: </w:t>
      </w:r>
      <w:r w:rsidRPr="00B54529">
        <w:rPr>
          <w:rFonts w:ascii="Calibri" w:hAnsi="Calibri"/>
          <w:b/>
          <w:bCs/>
          <w:noProof/>
        </w:rPr>
        <w:t>Nivolumab in patients with advanced hepatocellular carcinoma (CheckMate 040): an open-label, non-comparative, phase 1/2 dose escalation and expansion trial</w:t>
      </w:r>
      <w:r w:rsidRPr="00B54529">
        <w:rPr>
          <w:rFonts w:ascii="Calibri" w:hAnsi="Calibri"/>
          <w:noProof/>
        </w:rPr>
        <w:t xml:space="preserve">. </w:t>
      </w:r>
      <w:r w:rsidRPr="00B54529">
        <w:rPr>
          <w:rFonts w:ascii="Calibri" w:hAnsi="Calibri"/>
          <w:i/>
          <w:iCs/>
          <w:noProof/>
        </w:rPr>
        <w:t>Lancet</w:t>
      </w:r>
      <w:r w:rsidRPr="00B54529">
        <w:rPr>
          <w:rFonts w:ascii="Calibri" w:hAnsi="Calibri"/>
          <w:noProof/>
        </w:rPr>
        <w:t xml:space="preserve"> 2017, </w:t>
      </w:r>
      <w:r w:rsidRPr="00B54529">
        <w:rPr>
          <w:rFonts w:ascii="Calibri" w:hAnsi="Calibri"/>
          <w:b/>
          <w:bCs/>
          <w:noProof/>
        </w:rPr>
        <w:t>389</w:t>
      </w:r>
      <w:r w:rsidRPr="00B54529">
        <w:rPr>
          <w:rFonts w:ascii="Calibri" w:hAnsi="Calibri"/>
          <w:noProof/>
        </w:rPr>
        <w:t>:2492–2502.</w:t>
      </w:r>
    </w:p>
    <w:p w14:paraId="4892CE50"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19. </w:t>
      </w:r>
      <w:r w:rsidRPr="00B54529">
        <w:rPr>
          <w:rFonts w:ascii="Calibri" w:hAnsi="Calibri"/>
          <w:noProof/>
        </w:rPr>
        <w:tab/>
        <w:t xml:space="preserve">Robert C, Long G V., Brady B, Dutriaux C, Maio M, Mortier L, Hassel JC, Rutkowski P, McNeil C, Kalinka-Warzocha E, et al.: </w:t>
      </w:r>
      <w:r w:rsidRPr="00B54529">
        <w:rPr>
          <w:rFonts w:ascii="Calibri" w:hAnsi="Calibri"/>
          <w:b/>
          <w:bCs/>
          <w:noProof/>
        </w:rPr>
        <w:t xml:space="preserve">Nivolumab in Previously Untreated Melanoma without </w:t>
      </w:r>
      <w:r w:rsidRPr="00B54529">
        <w:rPr>
          <w:rFonts w:ascii="Calibri" w:hAnsi="Calibri"/>
          <w:b/>
          <w:bCs/>
          <w:i/>
          <w:iCs/>
          <w:noProof/>
        </w:rPr>
        <w:t>BRAF</w:t>
      </w:r>
      <w:r w:rsidRPr="00B54529">
        <w:rPr>
          <w:rFonts w:ascii="Calibri" w:hAnsi="Calibri"/>
          <w:b/>
          <w:bCs/>
          <w:noProof/>
        </w:rPr>
        <w:t xml:space="preserve"> Mutation</w:t>
      </w:r>
      <w:r w:rsidRPr="00B54529">
        <w:rPr>
          <w:rFonts w:ascii="Calibri" w:hAnsi="Calibri"/>
          <w:noProof/>
        </w:rPr>
        <w:t xml:space="preserve">. </w:t>
      </w:r>
      <w:r w:rsidRPr="00B54529">
        <w:rPr>
          <w:rFonts w:ascii="Calibri" w:hAnsi="Calibri"/>
          <w:i/>
          <w:iCs/>
          <w:noProof/>
        </w:rPr>
        <w:t>N Engl J Med</w:t>
      </w:r>
      <w:r w:rsidRPr="00B54529">
        <w:rPr>
          <w:rFonts w:ascii="Calibri" w:hAnsi="Calibri"/>
          <w:noProof/>
        </w:rPr>
        <w:t xml:space="preserve"> 2015, doi:10.1056/NEJMoa1412082.</w:t>
      </w:r>
    </w:p>
    <w:p w14:paraId="4301B405"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20. </w:t>
      </w:r>
      <w:r w:rsidRPr="00B54529">
        <w:rPr>
          <w:rFonts w:ascii="Calibri" w:hAnsi="Calibri"/>
          <w:noProof/>
        </w:rPr>
        <w:tab/>
        <w:t xml:space="preserve">Schvartsman G, Perez K, Sood G, Katkhuda R, Tawbi H: </w:t>
      </w:r>
      <w:r w:rsidRPr="00B54529">
        <w:rPr>
          <w:rFonts w:ascii="Calibri" w:hAnsi="Calibri"/>
          <w:b/>
          <w:bCs/>
          <w:noProof/>
        </w:rPr>
        <w:t>Immune Checkpoint Inhibitor Therapy in a Liver Transplant Recipient With Melanoma</w:t>
      </w:r>
      <w:r w:rsidRPr="00B54529">
        <w:rPr>
          <w:rFonts w:ascii="Calibri" w:hAnsi="Calibri"/>
          <w:noProof/>
        </w:rPr>
        <w:t xml:space="preserve">. </w:t>
      </w:r>
      <w:r w:rsidRPr="00B54529">
        <w:rPr>
          <w:rFonts w:ascii="Calibri" w:hAnsi="Calibri"/>
          <w:i/>
          <w:iCs/>
          <w:noProof/>
        </w:rPr>
        <w:t>Ann Intern Med</w:t>
      </w:r>
      <w:r w:rsidRPr="00B54529">
        <w:rPr>
          <w:rFonts w:ascii="Calibri" w:hAnsi="Calibri"/>
          <w:noProof/>
        </w:rPr>
        <w:t xml:space="preserve"> 2017, </w:t>
      </w:r>
      <w:r w:rsidRPr="00B54529">
        <w:rPr>
          <w:rFonts w:ascii="Calibri" w:hAnsi="Calibri"/>
          <w:b/>
          <w:bCs/>
          <w:noProof/>
        </w:rPr>
        <w:t>167</w:t>
      </w:r>
      <w:r w:rsidRPr="00B54529">
        <w:rPr>
          <w:rFonts w:ascii="Calibri" w:hAnsi="Calibri"/>
          <w:noProof/>
        </w:rPr>
        <w:t>:361.</w:t>
      </w:r>
    </w:p>
    <w:p w14:paraId="3363FF4E"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21. </w:t>
      </w:r>
      <w:r w:rsidRPr="00B54529">
        <w:rPr>
          <w:rFonts w:ascii="Calibri" w:hAnsi="Calibri"/>
          <w:noProof/>
        </w:rPr>
        <w:tab/>
        <w:t xml:space="preserve">DeLeon T, Salomao M, Aqel BA, Sonbol MB, Bryce AH, Borad MJ: </w:t>
      </w:r>
      <w:r w:rsidRPr="00B54529">
        <w:rPr>
          <w:rFonts w:ascii="Calibri" w:hAnsi="Calibri"/>
          <w:b/>
          <w:bCs/>
          <w:noProof/>
        </w:rPr>
        <w:t>Pilot evaluation of PD-1 inhibition in metastatic cancer patients with liver transplantations (LT): The Mayo Clinic experience.</w:t>
      </w:r>
      <w:r w:rsidRPr="00B54529">
        <w:rPr>
          <w:rFonts w:ascii="Calibri" w:hAnsi="Calibri"/>
          <w:noProof/>
        </w:rPr>
        <w:t xml:space="preserve"> </w:t>
      </w:r>
      <w:r w:rsidRPr="00B54529">
        <w:rPr>
          <w:rFonts w:ascii="Calibri" w:hAnsi="Calibri"/>
          <w:i/>
          <w:iCs/>
          <w:noProof/>
        </w:rPr>
        <w:t>J Clin Oncol</w:t>
      </w:r>
      <w:r w:rsidRPr="00B54529">
        <w:rPr>
          <w:rFonts w:ascii="Calibri" w:hAnsi="Calibri"/>
          <w:noProof/>
        </w:rPr>
        <w:t xml:space="preserve"> 2018, </w:t>
      </w:r>
      <w:r w:rsidRPr="00B54529">
        <w:rPr>
          <w:rFonts w:ascii="Calibri" w:hAnsi="Calibri"/>
          <w:b/>
          <w:bCs/>
          <w:noProof/>
        </w:rPr>
        <w:t>36</w:t>
      </w:r>
      <w:r w:rsidRPr="00B54529">
        <w:rPr>
          <w:rFonts w:ascii="Calibri" w:hAnsi="Calibri"/>
          <w:noProof/>
        </w:rPr>
        <w:t>:328.</w:t>
      </w:r>
    </w:p>
    <w:p w14:paraId="1E4624DC"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22. </w:t>
      </w:r>
      <w:r w:rsidRPr="00B54529">
        <w:rPr>
          <w:rFonts w:ascii="Calibri" w:hAnsi="Calibri"/>
          <w:noProof/>
        </w:rPr>
        <w:tab/>
        <w:t xml:space="preserve">Wolchok JD, Chiarion-Sileni V, Gonzalez R, Rutkowski P, Grob J-J, Cowey CL, Lao CD, Wagstaff J, Schadendorf D, Ferrucci PF, et al.: </w:t>
      </w:r>
      <w:r w:rsidRPr="00B54529">
        <w:rPr>
          <w:rFonts w:ascii="Calibri" w:hAnsi="Calibri"/>
          <w:b/>
          <w:bCs/>
          <w:noProof/>
        </w:rPr>
        <w:t>Overall Survival with Combined Nivolumab and Ipilimumab in Advanced Melanoma</w:t>
      </w:r>
      <w:r w:rsidRPr="00B54529">
        <w:rPr>
          <w:rFonts w:ascii="Calibri" w:hAnsi="Calibri"/>
          <w:noProof/>
        </w:rPr>
        <w:t xml:space="preserve">. </w:t>
      </w:r>
      <w:r w:rsidRPr="00B54529">
        <w:rPr>
          <w:rFonts w:ascii="Calibri" w:hAnsi="Calibri"/>
          <w:i/>
          <w:iCs/>
          <w:noProof/>
        </w:rPr>
        <w:t>N Engl J Med</w:t>
      </w:r>
      <w:r w:rsidRPr="00B54529">
        <w:rPr>
          <w:rFonts w:ascii="Calibri" w:hAnsi="Calibri"/>
          <w:noProof/>
        </w:rPr>
        <w:t xml:space="preserve"> 2017, doi:10.1056/NEJMoa1709684.</w:t>
      </w:r>
    </w:p>
    <w:p w14:paraId="0400D761"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23. </w:t>
      </w:r>
      <w:r w:rsidRPr="00B54529">
        <w:rPr>
          <w:rFonts w:ascii="Calibri" w:hAnsi="Calibri"/>
          <w:noProof/>
        </w:rPr>
        <w:tab/>
        <w:t xml:space="preserve">Alhamad T, Venkatachalam K, Linette GP, Brennan DC: </w:t>
      </w:r>
      <w:r w:rsidRPr="00B54529">
        <w:rPr>
          <w:rFonts w:ascii="Calibri" w:hAnsi="Calibri"/>
          <w:b/>
          <w:bCs/>
          <w:noProof/>
        </w:rPr>
        <w:t>Checkpoint Inhibitors in Kidney Transplant Recipients and the Potential Risk of Rejection</w:t>
      </w:r>
      <w:r w:rsidRPr="00B54529">
        <w:rPr>
          <w:rFonts w:ascii="Calibri" w:hAnsi="Calibri"/>
          <w:noProof/>
        </w:rPr>
        <w:t xml:space="preserve">. </w:t>
      </w:r>
      <w:r w:rsidRPr="00B54529">
        <w:rPr>
          <w:rFonts w:ascii="Calibri" w:hAnsi="Calibri"/>
          <w:i/>
          <w:iCs/>
          <w:noProof/>
        </w:rPr>
        <w:t>Am J Transplant</w:t>
      </w:r>
      <w:r w:rsidRPr="00B54529">
        <w:rPr>
          <w:rFonts w:ascii="Calibri" w:hAnsi="Calibri"/>
          <w:noProof/>
        </w:rPr>
        <w:t xml:space="preserve"> 2016, </w:t>
      </w:r>
      <w:r w:rsidRPr="00B54529">
        <w:rPr>
          <w:rFonts w:ascii="Calibri" w:hAnsi="Calibri"/>
          <w:b/>
          <w:bCs/>
          <w:noProof/>
        </w:rPr>
        <w:t>16</w:t>
      </w:r>
      <w:r w:rsidRPr="00B54529">
        <w:rPr>
          <w:rFonts w:ascii="Calibri" w:hAnsi="Calibri"/>
          <w:noProof/>
        </w:rPr>
        <w:t>:1332–1333.</w:t>
      </w:r>
    </w:p>
    <w:p w14:paraId="2F535458"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24. </w:t>
      </w:r>
      <w:r w:rsidRPr="00B54529">
        <w:rPr>
          <w:rFonts w:ascii="Calibri" w:hAnsi="Calibri"/>
          <w:noProof/>
        </w:rPr>
        <w:tab/>
        <w:t xml:space="preserve">Spain L, Higgins R, Gopalakrishnan K, Turajlic S, Gore M, Larkin J: </w:t>
      </w:r>
      <w:r w:rsidRPr="00B54529">
        <w:rPr>
          <w:rFonts w:ascii="Calibri" w:hAnsi="Calibri"/>
          <w:b/>
          <w:bCs/>
          <w:noProof/>
        </w:rPr>
        <w:t>Acute renal allograft rejection after immune checkpoint inhibitor therapy for metastatic melanoma</w:t>
      </w:r>
      <w:r w:rsidRPr="00B54529">
        <w:rPr>
          <w:rFonts w:ascii="Calibri" w:hAnsi="Calibri"/>
          <w:noProof/>
        </w:rPr>
        <w:t xml:space="preserve">. </w:t>
      </w:r>
      <w:r w:rsidRPr="00B54529">
        <w:rPr>
          <w:rFonts w:ascii="Calibri" w:hAnsi="Calibri"/>
          <w:i/>
          <w:iCs/>
          <w:noProof/>
        </w:rPr>
        <w:t>Ann Oncol</w:t>
      </w:r>
      <w:r w:rsidRPr="00B54529">
        <w:rPr>
          <w:rFonts w:ascii="Calibri" w:hAnsi="Calibri"/>
          <w:noProof/>
        </w:rPr>
        <w:t xml:space="preserve"> 2016, </w:t>
      </w:r>
      <w:r w:rsidRPr="00B54529">
        <w:rPr>
          <w:rFonts w:ascii="Calibri" w:hAnsi="Calibri"/>
          <w:b/>
          <w:bCs/>
          <w:noProof/>
        </w:rPr>
        <w:t>27</w:t>
      </w:r>
      <w:r w:rsidRPr="00B54529">
        <w:rPr>
          <w:rFonts w:ascii="Calibri" w:hAnsi="Calibri"/>
          <w:noProof/>
        </w:rPr>
        <w:t>:1135–1137.</w:t>
      </w:r>
    </w:p>
    <w:p w14:paraId="2AD77EF9"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25. </w:t>
      </w:r>
      <w:r w:rsidRPr="00B54529">
        <w:rPr>
          <w:rFonts w:ascii="Calibri" w:hAnsi="Calibri"/>
          <w:noProof/>
        </w:rPr>
        <w:tab/>
        <w:t xml:space="preserve">Kuo JC, Lilly LB, Hogg D: </w:t>
      </w:r>
      <w:r w:rsidRPr="00B54529">
        <w:rPr>
          <w:rFonts w:ascii="Calibri" w:hAnsi="Calibri"/>
          <w:b/>
          <w:bCs/>
          <w:noProof/>
        </w:rPr>
        <w:t>Immune checkpoint inhibitor therapy in a liver transplant recipient with a rare subtype of melanoma</w:t>
      </w:r>
      <w:r w:rsidRPr="00B54529">
        <w:rPr>
          <w:rFonts w:ascii="Calibri" w:hAnsi="Calibri"/>
          <w:noProof/>
        </w:rPr>
        <w:t xml:space="preserve">. </w:t>
      </w:r>
      <w:r w:rsidRPr="00B54529">
        <w:rPr>
          <w:rFonts w:ascii="Calibri" w:hAnsi="Calibri"/>
          <w:i/>
          <w:iCs/>
          <w:noProof/>
        </w:rPr>
        <w:t>Melanoma Res</w:t>
      </w:r>
      <w:r w:rsidRPr="00B54529">
        <w:rPr>
          <w:rFonts w:ascii="Calibri" w:hAnsi="Calibri"/>
          <w:noProof/>
        </w:rPr>
        <w:t xml:space="preserve"> 2018, </w:t>
      </w:r>
      <w:r w:rsidRPr="00B54529">
        <w:rPr>
          <w:rFonts w:ascii="Calibri" w:hAnsi="Calibri"/>
          <w:b/>
          <w:bCs/>
          <w:noProof/>
        </w:rPr>
        <w:t>28</w:t>
      </w:r>
      <w:r w:rsidRPr="00B54529">
        <w:rPr>
          <w:rFonts w:ascii="Calibri" w:hAnsi="Calibri"/>
          <w:noProof/>
        </w:rPr>
        <w:t>:61–64.</w:t>
      </w:r>
    </w:p>
    <w:p w14:paraId="282EE97B"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26. </w:t>
      </w:r>
      <w:r w:rsidRPr="00B54529">
        <w:rPr>
          <w:rFonts w:ascii="Calibri" w:hAnsi="Calibri"/>
          <w:noProof/>
        </w:rPr>
        <w:tab/>
        <w:t xml:space="preserve">Herz S, Höfer T, Papapanagiotou M, Leyh JC, Meyenburg S, Schadendorf D, Ugurel S, Roesch A, Livingstone E, Schilling B, et al.: </w:t>
      </w:r>
      <w:r w:rsidRPr="00B54529">
        <w:rPr>
          <w:rFonts w:ascii="Calibri" w:hAnsi="Calibri"/>
          <w:b/>
          <w:bCs/>
          <w:noProof/>
        </w:rPr>
        <w:t>Checkpoint inhibitors in chronic kidney failure and an organ transplant recipient</w:t>
      </w:r>
      <w:r w:rsidRPr="00B54529">
        <w:rPr>
          <w:rFonts w:ascii="Calibri" w:hAnsi="Calibri"/>
          <w:noProof/>
        </w:rPr>
        <w:t xml:space="preserve">. </w:t>
      </w:r>
      <w:r w:rsidRPr="00B54529">
        <w:rPr>
          <w:rFonts w:ascii="Calibri" w:hAnsi="Calibri"/>
          <w:i/>
          <w:iCs/>
          <w:noProof/>
        </w:rPr>
        <w:t>Eur J Cancer</w:t>
      </w:r>
      <w:r w:rsidRPr="00B54529">
        <w:rPr>
          <w:rFonts w:ascii="Calibri" w:hAnsi="Calibri"/>
          <w:noProof/>
        </w:rPr>
        <w:t xml:space="preserve"> 2016, </w:t>
      </w:r>
      <w:r w:rsidRPr="00B54529">
        <w:rPr>
          <w:rFonts w:ascii="Calibri" w:hAnsi="Calibri"/>
          <w:b/>
          <w:bCs/>
          <w:noProof/>
        </w:rPr>
        <w:t>67</w:t>
      </w:r>
      <w:r w:rsidRPr="00B54529">
        <w:rPr>
          <w:rFonts w:ascii="Calibri" w:hAnsi="Calibri"/>
          <w:noProof/>
        </w:rPr>
        <w:t>:66–72.</w:t>
      </w:r>
    </w:p>
    <w:p w14:paraId="2ABFD10D"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27. </w:t>
      </w:r>
      <w:r w:rsidRPr="00B54529">
        <w:rPr>
          <w:rFonts w:ascii="Calibri" w:hAnsi="Calibri"/>
          <w:noProof/>
        </w:rPr>
        <w:tab/>
        <w:t xml:space="preserve">Tio M, Rai R, Ogochukwu E, Mcquade JL, Khoo C, Park JJ, Ardolino L, Yip D, Goldinger SM, Justine V, et al.: </w:t>
      </w:r>
      <w:r w:rsidRPr="00B54529">
        <w:rPr>
          <w:rFonts w:ascii="Calibri" w:hAnsi="Calibri"/>
          <w:b/>
          <w:bCs/>
          <w:noProof/>
        </w:rPr>
        <w:t>Anti-PD-1/PD-L1 immunotherapy in patients with solid organ transplant, HIV, or hepatitis B/C infection.</w:t>
      </w:r>
      <w:r w:rsidRPr="00B54529">
        <w:rPr>
          <w:rFonts w:ascii="Calibri" w:hAnsi="Calibri"/>
          <w:noProof/>
        </w:rPr>
        <w:t xml:space="preserve"> </w:t>
      </w:r>
      <w:r w:rsidRPr="00B54529">
        <w:rPr>
          <w:rFonts w:ascii="Calibri" w:hAnsi="Calibri"/>
          <w:i/>
          <w:iCs/>
          <w:noProof/>
        </w:rPr>
        <w:t>EJC</w:t>
      </w:r>
      <w:r w:rsidRPr="00B54529">
        <w:rPr>
          <w:rFonts w:ascii="Calibri" w:hAnsi="Calibri"/>
          <w:noProof/>
        </w:rPr>
        <w:t xml:space="preserve"> 2018, </w:t>
      </w:r>
    </w:p>
    <w:p w14:paraId="1BC3B07F" w14:textId="34EDCDEC" w:rsid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28. </w:t>
      </w:r>
      <w:r w:rsidRPr="00B54529">
        <w:rPr>
          <w:rFonts w:ascii="Calibri" w:hAnsi="Calibri"/>
          <w:noProof/>
        </w:rPr>
        <w:tab/>
        <w:t xml:space="preserve">Zehou O, Leibler C, Philippe J, Johnny A, Montaudié H, Rémy P, Glotz D, Cordonnier C, Martin L, Lebbé C: </w:t>
      </w:r>
      <w:r w:rsidRPr="00B54529">
        <w:rPr>
          <w:rFonts w:ascii="Calibri" w:hAnsi="Calibri"/>
          <w:b/>
          <w:bCs/>
          <w:noProof/>
        </w:rPr>
        <w:t>Ipilimumab for the treatment of advanced melanoma in six kidney transplant patients</w:t>
      </w:r>
      <w:r w:rsidRPr="00B54529">
        <w:rPr>
          <w:rFonts w:ascii="Calibri" w:hAnsi="Calibri"/>
          <w:noProof/>
        </w:rPr>
        <w:t xml:space="preserve">. </w:t>
      </w:r>
      <w:r w:rsidRPr="00B54529">
        <w:rPr>
          <w:rFonts w:ascii="Calibri" w:hAnsi="Calibri"/>
          <w:i/>
          <w:iCs/>
          <w:noProof/>
        </w:rPr>
        <w:t>Am J Transplant</w:t>
      </w:r>
      <w:r w:rsidRPr="00B54529">
        <w:rPr>
          <w:rFonts w:ascii="Calibri" w:hAnsi="Calibri"/>
          <w:noProof/>
        </w:rPr>
        <w:t xml:space="preserve"> 2018, doi:10.1111/ajt.15071.</w:t>
      </w:r>
    </w:p>
    <w:p w14:paraId="2201B0A7" w14:textId="6B02E773" w:rsidR="00B54529" w:rsidRPr="00B54529" w:rsidRDefault="00B54529" w:rsidP="00B54529">
      <w:pPr>
        <w:widowControl w:val="0"/>
        <w:autoSpaceDE w:val="0"/>
        <w:autoSpaceDN w:val="0"/>
        <w:adjustRightInd w:val="0"/>
        <w:spacing w:line="360" w:lineRule="auto"/>
        <w:ind w:left="640" w:hanging="640"/>
        <w:rPr>
          <w:rFonts w:ascii="Calibri" w:hAnsi="Calibri" w:cs="Calibri"/>
          <w:noProof/>
        </w:rPr>
      </w:pPr>
      <w:r>
        <w:rPr>
          <w:rFonts w:ascii="Calibri" w:hAnsi="Calibri" w:cs="Calibri"/>
          <w:noProof/>
        </w:rPr>
        <w:t>*description of six cases of melanoma patients with a kidney transplant that were treated with ipilimumab. Some interesting anti-tumor responses were seen and only one patient experienced rejection which was attribuited to fast dimishment of immunesuppression.</w:t>
      </w:r>
    </w:p>
    <w:p w14:paraId="3D56CAA2" w14:textId="7C54656B" w:rsid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29. </w:t>
      </w:r>
      <w:r w:rsidRPr="00B54529">
        <w:rPr>
          <w:rFonts w:ascii="Calibri" w:hAnsi="Calibri"/>
          <w:noProof/>
        </w:rPr>
        <w:tab/>
        <w:t xml:space="preserve">Chen DS, Mellman I: </w:t>
      </w:r>
      <w:r w:rsidRPr="00B54529">
        <w:rPr>
          <w:rFonts w:ascii="Calibri" w:hAnsi="Calibri"/>
          <w:b/>
          <w:bCs/>
          <w:noProof/>
        </w:rPr>
        <w:t>Elements of cancer immunity and the cancer–immune set point</w:t>
      </w:r>
      <w:r w:rsidRPr="00B54529">
        <w:rPr>
          <w:rFonts w:ascii="Calibri" w:hAnsi="Calibri"/>
          <w:noProof/>
        </w:rPr>
        <w:t xml:space="preserve">. </w:t>
      </w:r>
      <w:r w:rsidRPr="00B54529">
        <w:rPr>
          <w:rFonts w:ascii="Calibri" w:hAnsi="Calibri"/>
          <w:i/>
          <w:iCs/>
          <w:noProof/>
        </w:rPr>
        <w:t>Nature</w:t>
      </w:r>
      <w:r w:rsidRPr="00B54529">
        <w:rPr>
          <w:rFonts w:ascii="Calibri" w:hAnsi="Calibri"/>
          <w:noProof/>
        </w:rPr>
        <w:t xml:space="preserve"> 2017, </w:t>
      </w:r>
      <w:r w:rsidRPr="00B54529">
        <w:rPr>
          <w:rFonts w:ascii="Calibri" w:hAnsi="Calibri"/>
          <w:b/>
          <w:bCs/>
          <w:noProof/>
        </w:rPr>
        <w:t>541</w:t>
      </w:r>
      <w:r w:rsidRPr="00B54529">
        <w:rPr>
          <w:rFonts w:ascii="Calibri" w:hAnsi="Calibri"/>
          <w:noProof/>
        </w:rPr>
        <w:t>:321–330.</w:t>
      </w:r>
    </w:p>
    <w:p w14:paraId="62A141A7" w14:textId="77777777" w:rsidR="00B54529" w:rsidRPr="009C25E4" w:rsidRDefault="00B54529" w:rsidP="00B54529">
      <w:pPr>
        <w:widowControl w:val="0"/>
        <w:autoSpaceDE w:val="0"/>
        <w:autoSpaceDN w:val="0"/>
        <w:adjustRightInd w:val="0"/>
        <w:spacing w:line="360" w:lineRule="auto"/>
        <w:ind w:left="640" w:hanging="640"/>
        <w:rPr>
          <w:rFonts w:ascii="Calibri" w:hAnsi="Calibri" w:cs="Calibri"/>
          <w:noProof/>
        </w:rPr>
      </w:pPr>
      <w:r>
        <w:rPr>
          <w:rFonts w:ascii="Calibri" w:hAnsi="Calibri" w:cs="Calibri"/>
          <w:noProof/>
        </w:rPr>
        <w:t>**this article proposes to personalize immunotherapy according to several charachteristics of the tumor microenvironment, host microbiota, tumor genetics etc</w:t>
      </w:r>
    </w:p>
    <w:p w14:paraId="45A8822B" w14:textId="2723107E" w:rsid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30. </w:t>
      </w:r>
      <w:r w:rsidRPr="00B54529">
        <w:rPr>
          <w:rFonts w:ascii="Calibri" w:hAnsi="Calibri"/>
          <w:noProof/>
        </w:rPr>
        <w:tab/>
        <w:t xml:space="preserve">Leonardi GC, Gainor JF, Altan M, Kravets S, Dahlberg SE, Gedmintas L, Azimi R, Rizvi H, Riess JW, Hellmann MD, et al.: </w:t>
      </w:r>
      <w:r w:rsidRPr="00B54529">
        <w:rPr>
          <w:rFonts w:ascii="Calibri" w:hAnsi="Calibri"/>
          <w:b/>
          <w:bCs/>
          <w:noProof/>
        </w:rPr>
        <w:t>Safety of Programmed Death–1 Pathway Inhibitors Among Patients With Non–Small-Cell Lung Cancer and Preexisting Autoimmune Disorders</w:t>
      </w:r>
      <w:r w:rsidRPr="00B54529">
        <w:rPr>
          <w:rFonts w:ascii="Calibri" w:hAnsi="Calibri"/>
          <w:noProof/>
        </w:rPr>
        <w:t xml:space="preserve">. </w:t>
      </w:r>
      <w:r w:rsidRPr="00B54529">
        <w:rPr>
          <w:rFonts w:ascii="Calibri" w:hAnsi="Calibri"/>
          <w:i/>
          <w:iCs/>
          <w:noProof/>
        </w:rPr>
        <w:t>J Clin Oncol</w:t>
      </w:r>
      <w:r w:rsidRPr="00B54529">
        <w:rPr>
          <w:rFonts w:ascii="Calibri" w:hAnsi="Calibri"/>
          <w:noProof/>
        </w:rPr>
        <w:t xml:space="preserve"> 2018, </w:t>
      </w:r>
      <w:r w:rsidRPr="00B54529">
        <w:rPr>
          <w:rFonts w:ascii="Calibri" w:hAnsi="Calibri"/>
          <w:b/>
          <w:bCs/>
          <w:noProof/>
        </w:rPr>
        <w:t>36</w:t>
      </w:r>
      <w:r w:rsidRPr="00B54529">
        <w:rPr>
          <w:rFonts w:ascii="Calibri" w:hAnsi="Calibri"/>
          <w:noProof/>
        </w:rPr>
        <w:t>:1905–1912.</w:t>
      </w:r>
    </w:p>
    <w:p w14:paraId="073C719E" w14:textId="0A8B4993" w:rsidR="00B54529" w:rsidRPr="00B54529" w:rsidRDefault="00B54529" w:rsidP="00B54529">
      <w:pPr>
        <w:widowControl w:val="0"/>
        <w:autoSpaceDE w:val="0"/>
        <w:autoSpaceDN w:val="0"/>
        <w:adjustRightInd w:val="0"/>
        <w:spacing w:line="360" w:lineRule="auto"/>
        <w:ind w:left="640" w:hanging="640"/>
        <w:rPr>
          <w:rFonts w:ascii="Calibri" w:hAnsi="Calibri" w:cs="Calibri"/>
          <w:noProof/>
        </w:rPr>
      </w:pPr>
      <w:r>
        <w:rPr>
          <w:rFonts w:ascii="Calibri" w:hAnsi="Calibri" w:cs="Calibri"/>
          <w:noProof/>
        </w:rPr>
        <w:t>**CPI are safe for patients with preexsiting autoimmune disorders, corticoidtherapy can be preserved in order to treat the autoimmune disorder and anti-tumor responses are seen which indicates that corticoid therapy is not preventing anti-tumor immunity in these cases</w:t>
      </w:r>
    </w:p>
    <w:p w14:paraId="6C9672E0"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31. </w:t>
      </w:r>
      <w:r w:rsidRPr="00B54529">
        <w:rPr>
          <w:rFonts w:ascii="Calibri" w:hAnsi="Calibri"/>
          <w:noProof/>
        </w:rPr>
        <w:tab/>
        <w:t xml:space="preserve">Leonardi GC, Gainor JF, Altan M, Kravets S, Dahlberg SE, Gedmintas L, Azimi R, Rizvi H, Riess JW, Hellmann MD, et al.: </w:t>
      </w:r>
      <w:r w:rsidRPr="00B54529">
        <w:rPr>
          <w:rFonts w:ascii="Calibri" w:hAnsi="Calibri"/>
          <w:b/>
          <w:bCs/>
          <w:noProof/>
        </w:rPr>
        <w:t>Safety of programmed death-1 pathway inhibitors among patients with non-small-cell lung cancer and preexisting autoimmune disorders</w:t>
      </w:r>
      <w:r w:rsidRPr="00B54529">
        <w:rPr>
          <w:rFonts w:ascii="Calibri" w:hAnsi="Calibri"/>
          <w:noProof/>
        </w:rPr>
        <w:t xml:space="preserve">. </w:t>
      </w:r>
      <w:r w:rsidRPr="00B54529">
        <w:rPr>
          <w:rFonts w:ascii="Calibri" w:hAnsi="Calibri"/>
          <w:i/>
          <w:iCs/>
          <w:noProof/>
        </w:rPr>
        <w:t>J Clin Oncol</w:t>
      </w:r>
      <w:r w:rsidRPr="00B54529">
        <w:rPr>
          <w:rFonts w:ascii="Calibri" w:hAnsi="Calibri"/>
          <w:noProof/>
        </w:rPr>
        <w:t xml:space="preserve"> 2018, </w:t>
      </w:r>
      <w:r w:rsidRPr="00B54529">
        <w:rPr>
          <w:rFonts w:ascii="Calibri" w:hAnsi="Calibri"/>
          <w:b/>
          <w:bCs/>
          <w:noProof/>
        </w:rPr>
        <w:t>36</w:t>
      </w:r>
      <w:r w:rsidRPr="00B54529">
        <w:rPr>
          <w:rFonts w:ascii="Calibri" w:hAnsi="Calibri"/>
          <w:noProof/>
        </w:rPr>
        <w:t>:1905–1912.</w:t>
      </w:r>
    </w:p>
    <w:p w14:paraId="62C1F19C"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32. </w:t>
      </w:r>
      <w:r w:rsidRPr="00B54529">
        <w:rPr>
          <w:rFonts w:ascii="Calibri" w:hAnsi="Calibri"/>
          <w:noProof/>
        </w:rPr>
        <w:tab/>
        <w:t xml:space="preserve">Horvat TZ, Adel NG, Dang T-O, Momtaz P, Postow MA, Callahan MK, Carvajal RD, Dickson MA, D’Angelo SP, Woo KM, et al.: </w:t>
      </w:r>
      <w:r w:rsidRPr="00B54529">
        <w:rPr>
          <w:rFonts w:ascii="Calibri" w:hAnsi="Calibri"/>
          <w:b/>
          <w:bCs/>
          <w:noProof/>
        </w:rPr>
        <w:t>Immune-Related Adverse Events, Need for Systemic Immunosuppression, and Effects on Survival and Time to Treatment Failure in Patients With Melanoma Treated With Ipilimumab at Memorial Sloan Kettering Cancer Center</w:t>
      </w:r>
      <w:r w:rsidRPr="00B54529">
        <w:rPr>
          <w:rFonts w:ascii="Calibri" w:hAnsi="Calibri"/>
          <w:noProof/>
        </w:rPr>
        <w:t xml:space="preserve">. </w:t>
      </w:r>
      <w:r w:rsidRPr="00B54529">
        <w:rPr>
          <w:rFonts w:ascii="Calibri" w:hAnsi="Calibri"/>
          <w:i/>
          <w:iCs/>
          <w:noProof/>
        </w:rPr>
        <w:t>J Clin Oncol</w:t>
      </w:r>
      <w:r w:rsidRPr="00B54529">
        <w:rPr>
          <w:rFonts w:ascii="Calibri" w:hAnsi="Calibri"/>
          <w:noProof/>
        </w:rPr>
        <w:t xml:space="preserve"> 2015, </w:t>
      </w:r>
      <w:r w:rsidRPr="00B54529">
        <w:rPr>
          <w:rFonts w:ascii="Calibri" w:hAnsi="Calibri"/>
          <w:b/>
          <w:bCs/>
          <w:noProof/>
        </w:rPr>
        <w:t>33</w:t>
      </w:r>
      <w:r w:rsidRPr="00B54529">
        <w:rPr>
          <w:rFonts w:ascii="Calibri" w:hAnsi="Calibri"/>
          <w:noProof/>
        </w:rPr>
        <w:t>:3193–3198.</w:t>
      </w:r>
    </w:p>
    <w:p w14:paraId="455EDFCA"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33. </w:t>
      </w:r>
      <w:r w:rsidRPr="00B54529">
        <w:rPr>
          <w:rFonts w:ascii="Calibri" w:hAnsi="Calibri"/>
          <w:noProof/>
        </w:rPr>
        <w:tab/>
        <w:t xml:space="preserve">Schadendorf D, Wolchok JD, Hodi FS, Chiarion-Sileni V, Gonzalez R, Rutkowski P, Grob J-J, Cowey CL, Lao CD, Chesney J, et al.: </w:t>
      </w:r>
      <w:r w:rsidRPr="00B54529">
        <w:rPr>
          <w:rFonts w:ascii="Calibri" w:hAnsi="Calibri"/>
          <w:b/>
          <w:bCs/>
          <w:noProof/>
        </w:rPr>
        <w:t>Efficacy and Safety Outcomes in Patients With Advanced Melanoma Who Discontinued Treatment With Nivolumab and Ipilimumab Because of Adverse Events: A Pooled Analysis of Randomized Phase II and III Trials</w:t>
      </w:r>
      <w:r w:rsidRPr="00B54529">
        <w:rPr>
          <w:rFonts w:ascii="Calibri" w:hAnsi="Calibri"/>
          <w:noProof/>
        </w:rPr>
        <w:t xml:space="preserve">. </w:t>
      </w:r>
      <w:r w:rsidRPr="00B54529">
        <w:rPr>
          <w:rFonts w:ascii="Calibri" w:hAnsi="Calibri"/>
          <w:i/>
          <w:iCs/>
          <w:noProof/>
        </w:rPr>
        <w:t>J Clin Oncol</w:t>
      </w:r>
      <w:r w:rsidRPr="00B54529">
        <w:rPr>
          <w:rFonts w:ascii="Calibri" w:hAnsi="Calibri"/>
          <w:noProof/>
        </w:rPr>
        <w:t xml:space="preserve"> 2017, </w:t>
      </w:r>
      <w:r w:rsidRPr="00B54529">
        <w:rPr>
          <w:rFonts w:ascii="Calibri" w:hAnsi="Calibri"/>
          <w:b/>
          <w:bCs/>
          <w:noProof/>
        </w:rPr>
        <w:t>067</w:t>
      </w:r>
      <w:r w:rsidRPr="00B54529">
        <w:rPr>
          <w:rFonts w:ascii="Calibri" w:hAnsi="Calibri"/>
          <w:noProof/>
        </w:rPr>
        <w:t>:JCO.2017.73.228.</w:t>
      </w:r>
    </w:p>
    <w:p w14:paraId="63BC145C"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34. </w:t>
      </w:r>
      <w:r w:rsidRPr="00B54529">
        <w:rPr>
          <w:rFonts w:ascii="Calibri" w:hAnsi="Calibri"/>
          <w:noProof/>
        </w:rPr>
        <w:tab/>
        <w:t xml:space="preserve">Toso C, Merani S, Bigam DL, Shapiro AMJ, Kneteman NM: </w:t>
      </w:r>
      <w:r w:rsidRPr="00B54529">
        <w:rPr>
          <w:rFonts w:ascii="Calibri" w:hAnsi="Calibri"/>
          <w:b/>
          <w:bCs/>
          <w:noProof/>
        </w:rPr>
        <w:t>Sirolimus-based immunosuppression is associated with increased survival after liver transplantation for hepatocellular carcinoma</w:t>
      </w:r>
      <w:r w:rsidRPr="00B54529">
        <w:rPr>
          <w:rFonts w:ascii="Calibri" w:hAnsi="Calibri"/>
          <w:noProof/>
        </w:rPr>
        <w:t xml:space="preserve">. </w:t>
      </w:r>
      <w:r w:rsidRPr="00B54529">
        <w:rPr>
          <w:rFonts w:ascii="Calibri" w:hAnsi="Calibri"/>
          <w:i/>
          <w:iCs/>
          <w:noProof/>
        </w:rPr>
        <w:t>Hepatology</w:t>
      </w:r>
      <w:r w:rsidRPr="00B54529">
        <w:rPr>
          <w:rFonts w:ascii="Calibri" w:hAnsi="Calibri"/>
          <w:noProof/>
        </w:rPr>
        <w:t xml:space="preserve"> 2010, </w:t>
      </w:r>
      <w:r w:rsidRPr="00B54529">
        <w:rPr>
          <w:rFonts w:ascii="Calibri" w:hAnsi="Calibri"/>
          <w:b/>
          <w:bCs/>
          <w:noProof/>
        </w:rPr>
        <w:t>51</w:t>
      </w:r>
      <w:r w:rsidRPr="00B54529">
        <w:rPr>
          <w:rFonts w:ascii="Calibri" w:hAnsi="Calibri"/>
          <w:noProof/>
        </w:rPr>
        <w:t>:1237–1243.</w:t>
      </w:r>
    </w:p>
    <w:p w14:paraId="4165EE4E"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35. </w:t>
      </w:r>
      <w:r w:rsidRPr="00B54529">
        <w:rPr>
          <w:rFonts w:ascii="Calibri" w:hAnsi="Calibri"/>
          <w:noProof/>
        </w:rPr>
        <w:tab/>
        <w:t xml:space="preserve">Ong M, Ibrahim AM, Bourassa-Blanchette S, Canil C, Fairhead T, Knoll G: </w:t>
      </w:r>
      <w:r w:rsidRPr="00B54529">
        <w:rPr>
          <w:rFonts w:ascii="Calibri" w:hAnsi="Calibri"/>
          <w:b/>
          <w:bCs/>
          <w:noProof/>
        </w:rPr>
        <w:t>Antitumor activity of nivolumab on hemodialysis after renal allograft rejection.</w:t>
      </w:r>
      <w:r w:rsidRPr="00B54529">
        <w:rPr>
          <w:rFonts w:ascii="Calibri" w:hAnsi="Calibri"/>
          <w:noProof/>
        </w:rPr>
        <w:t xml:space="preserve"> </w:t>
      </w:r>
      <w:r w:rsidRPr="00B54529">
        <w:rPr>
          <w:rFonts w:ascii="Calibri" w:hAnsi="Calibri"/>
          <w:i/>
          <w:iCs/>
          <w:noProof/>
        </w:rPr>
        <w:t>J Immunother cancer</w:t>
      </w:r>
      <w:r w:rsidRPr="00B54529">
        <w:rPr>
          <w:rFonts w:ascii="Calibri" w:hAnsi="Calibri"/>
          <w:noProof/>
        </w:rPr>
        <w:t xml:space="preserve"> 2016, </w:t>
      </w:r>
      <w:r w:rsidRPr="00B54529">
        <w:rPr>
          <w:rFonts w:ascii="Calibri" w:hAnsi="Calibri"/>
          <w:b/>
          <w:bCs/>
          <w:noProof/>
        </w:rPr>
        <w:t>4</w:t>
      </w:r>
      <w:r w:rsidRPr="00B54529">
        <w:rPr>
          <w:rFonts w:ascii="Calibri" w:hAnsi="Calibri"/>
          <w:noProof/>
        </w:rPr>
        <w:t>:64.</w:t>
      </w:r>
    </w:p>
    <w:p w14:paraId="7E73FADA"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36. </w:t>
      </w:r>
      <w:r w:rsidRPr="00B54529">
        <w:rPr>
          <w:rFonts w:ascii="Calibri" w:hAnsi="Calibri"/>
          <w:noProof/>
        </w:rPr>
        <w:tab/>
        <w:t xml:space="preserve">Morales RE, Shoushtari AN, Walsh MM, Grewal P, Lipson EJ, Carvajal RD: </w:t>
      </w:r>
      <w:r w:rsidRPr="00B54529">
        <w:rPr>
          <w:rFonts w:ascii="Calibri" w:hAnsi="Calibri"/>
          <w:b/>
          <w:bCs/>
          <w:noProof/>
        </w:rPr>
        <w:t>Safety and efficacy of ipilimumab to treat advanced melanoma in the setting of liver transplantation</w:t>
      </w:r>
      <w:r w:rsidRPr="00B54529">
        <w:rPr>
          <w:rFonts w:ascii="Calibri" w:hAnsi="Calibri"/>
          <w:noProof/>
        </w:rPr>
        <w:t xml:space="preserve">. </w:t>
      </w:r>
      <w:r w:rsidRPr="00B54529">
        <w:rPr>
          <w:rFonts w:ascii="Calibri" w:hAnsi="Calibri"/>
          <w:i/>
          <w:iCs/>
          <w:noProof/>
        </w:rPr>
        <w:t>J Immunother Cancer</w:t>
      </w:r>
      <w:r w:rsidRPr="00B54529">
        <w:rPr>
          <w:rFonts w:ascii="Calibri" w:hAnsi="Calibri"/>
          <w:noProof/>
        </w:rPr>
        <w:t xml:space="preserve"> 2015, </w:t>
      </w:r>
      <w:r w:rsidRPr="00B54529">
        <w:rPr>
          <w:rFonts w:ascii="Calibri" w:hAnsi="Calibri"/>
          <w:b/>
          <w:bCs/>
          <w:noProof/>
        </w:rPr>
        <w:t>3</w:t>
      </w:r>
      <w:r w:rsidRPr="00B54529">
        <w:rPr>
          <w:rFonts w:ascii="Calibri" w:hAnsi="Calibri"/>
          <w:noProof/>
        </w:rPr>
        <w:t>:10–13.</w:t>
      </w:r>
    </w:p>
    <w:p w14:paraId="426B7934"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37. </w:t>
      </w:r>
      <w:r w:rsidRPr="00B54529">
        <w:rPr>
          <w:rFonts w:ascii="Calibri" w:hAnsi="Calibri"/>
          <w:noProof/>
        </w:rPr>
        <w:tab/>
        <w:t xml:space="preserve">Lipson EJ, Bodell MA, Kraus ES, Sharfman WH: </w:t>
      </w:r>
      <w:r w:rsidRPr="00B54529">
        <w:rPr>
          <w:rFonts w:ascii="Calibri" w:hAnsi="Calibri"/>
          <w:b/>
          <w:bCs/>
          <w:noProof/>
        </w:rPr>
        <w:t>Successful administration of ipilimumab to two kidney transplantation patients with metastatic melanoma.</w:t>
      </w:r>
      <w:r w:rsidRPr="00B54529">
        <w:rPr>
          <w:rFonts w:ascii="Calibri" w:hAnsi="Calibri"/>
          <w:noProof/>
        </w:rPr>
        <w:t xml:space="preserve"> </w:t>
      </w:r>
      <w:r w:rsidRPr="00B54529">
        <w:rPr>
          <w:rFonts w:ascii="Calibri" w:hAnsi="Calibri"/>
          <w:i/>
          <w:iCs/>
          <w:noProof/>
        </w:rPr>
        <w:t>J Clin Oncol</w:t>
      </w:r>
      <w:r w:rsidRPr="00B54529">
        <w:rPr>
          <w:rFonts w:ascii="Calibri" w:hAnsi="Calibri"/>
          <w:noProof/>
        </w:rPr>
        <w:t xml:space="preserve"> 2014, </w:t>
      </w:r>
      <w:r w:rsidRPr="00B54529">
        <w:rPr>
          <w:rFonts w:ascii="Calibri" w:hAnsi="Calibri"/>
          <w:b/>
          <w:bCs/>
          <w:noProof/>
        </w:rPr>
        <w:t>32</w:t>
      </w:r>
      <w:r w:rsidRPr="00B54529">
        <w:rPr>
          <w:rFonts w:ascii="Calibri" w:hAnsi="Calibri"/>
          <w:noProof/>
        </w:rPr>
        <w:t>:e69-71.</w:t>
      </w:r>
    </w:p>
    <w:p w14:paraId="30158B0C"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38. </w:t>
      </w:r>
      <w:r w:rsidRPr="00B54529">
        <w:rPr>
          <w:rFonts w:ascii="Calibri" w:hAnsi="Calibri"/>
          <w:noProof/>
        </w:rPr>
        <w:tab/>
        <w:t xml:space="preserve">Schadendorf D, Hodi FS, Robert C, Weber JS, Margolin K, Hamid O, Patt D, Chen T-T, Berman DM, Wolchok JD: </w:t>
      </w:r>
      <w:r w:rsidRPr="00B54529">
        <w:rPr>
          <w:rFonts w:ascii="Calibri" w:hAnsi="Calibri"/>
          <w:b/>
          <w:bCs/>
          <w:noProof/>
        </w:rPr>
        <w:t>Pooled Analysis of Long-Term Survival Data From Phase II and Phase III Trials of Ipilimumab in Unresectable or Metastatic Melanoma.</w:t>
      </w:r>
      <w:r w:rsidRPr="00B54529">
        <w:rPr>
          <w:rFonts w:ascii="Calibri" w:hAnsi="Calibri"/>
          <w:noProof/>
        </w:rPr>
        <w:t xml:space="preserve"> </w:t>
      </w:r>
      <w:r w:rsidRPr="00B54529">
        <w:rPr>
          <w:rFonts w:ascii="Calibri" w:hAnsi="Calibri"/>
          <w:i/>
          <w:iCs/>
          <w:noProof/>
        </w:rPr>
        <w:t>J Clin Oncol</w:t>
      </w:r>
      <w:r w:rsidRPr="00B54529">
        <w:rPr>
          <w:rFonts w:ascii="Calibri" w:hAnsi="Calibri"/>
          <w:noProof/>
        </w:rPr>
        <w:t xml:space="preserve"> 2015, </w:t>
      </w:r>
      <w:r w:rsidRPr="00B54529">
        <w:rPr>
          <w:rFonts w:ascii="Calibri" w:hAnsi="Calibri"/>
          <w:b/>
          <w:bCs/>
          <w:noProof/>
        </w:rPr>
        <w:t>33</w:t>
      </w:r>
      <w:r w:rsidRPr="00B54529">
        <w:rPr>
          <w:rFonts w:ascii="Calibri" w:hAnsi="Calibri"/>
          <w:noProof/>
        </w:rPr>
        <w:t>:1889–94.</w:t>
      </w:r>
    </w:p>
    <w:p w14:paraId="458405F4"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39. </w:t>
      </w:r>
      <w:r w:rsidRPr="00B54529">
        <w:rPr>
          <w:rFonts w:ascii="Calibri" w:hAnsi="Calibri"/>
          <w:noProof/>
        </w:rPr>
        <w:tab/>
        <w:t xml:space="preserve">Kang J, Demaria S, Formenti S: </w:t>
      </w:r>
      <w:r w:rsidRPr="00B54529">
        <w:rPr>
          <w:rFonts w:ascii="Calibri" w:hAnsi="Calibri"/>
          <w:b/>
          <w:bCs/>
          <w:noProof/>
        </w:rPr>
        <w:t>Current clinical trials testing the combination of immunotherapy with radiotherapy</w:t>
      </w:r>
      <w:r w:rsidRPr="00B54529">
        <w:rPr>
          <w:rFonts w:ascii="Calibri" w:hAnsi="Calibri"/>
          <w:noProof/>
        </w:rPr>
        <w:t xml:space="preserve">. </w:t>
      </w:r>
      <w:r w:rsidRPr="00B54529">
        <w:rPr>
          <w:rFonts w:ascii="Calibri" w:hAnsi="Calibri"/>
          <w:i/>
          <w:iCs/>
          <w:noProof/>
        </w:rPr>
        <w:t>J Immunother Cancer</w:t>
      </w:r>
      <w:r w:rsidRPr="00B54529">
        <w:rPr>
          <w:rFonts w:ascii="Calibri" w:hAnsi="Calibri"/>
          <w:noProof/>
        </w:rPr>
        <w:t xml:space="preserve"> 2016, </w:t>
      </w:r>
      <w:r w:rsidRPr="00B54529">
        <w:rPr>
          <w:rFonts w:ascii="Calibri" w:hAnsi="Calibri"/>
          <w:b/>
          <w:bCs/>
          <w:noProof/>
        </w:rPr>
        <w:t>4</w:t>
      </w:r>
      <w:r w:rsidRPr="00B54529">
        <w:rPr>
          <w:rFonts w:ascii="Calibri" w:hAnsi="Calibri"/>
          <w:noProof/>
        </w:rPr>
        <w:t>:51.</w:t>
      </w:r>
    </w:p>
    <w:p w14:paraId="74E53D20"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40. </w:t>
      </w:r>
      <w:r w:rsidRPr="00B54529">
        <w:rPr>
          <w:rFonts w:ascii="Calibri" w:hAnsi="Calibri"/>
          <w:noProof/>
        </w:rPr>
        <w:tab/>
        <w:t xml:space="preserve">Hiniker SM, Reddy SA, Maecker HT, Subrahmanyam PB, Rosenberg-Hasson Y, Swetter SM, Saha S, Shura L, Knox SJ: </w:t>
      </w:r>
      <w:r w:rsidRPr="00B54529">
        <w:rPr>
          <w:rFonts w:ascii="Calibri" w:hAnsi="Calibri"/>
          <w:b/>
          <w:bCs/>
          <w:noProof/>
        </w:rPr>
        <w:t>A Prospective Clinical Trial Combining Radiation Therapy With Systemic Immunotherapy in Metastatic Melanoma</w:t>
      </w:r>
      <w:r w:rsidRPr="00B54529">
        <w:rPr>
          <w:rFonts w:ascii="Calibri" w:hAnsi="Calibri"/>
          <w:noProof/>
        </w:rPr>
        <w:t xml:space="preserve">. </w:t>
      </w:r>
      <w:r w:rsidRPr="00B54529">
        <w:rPr>
          <w:rFonts w:ascii="Calibri" w:hAnsi="Calibri"/>
          <w:i/>
          <w:iCs/>
          <w:noProof/>
        </w:rPr>
        <w:t>Int J Radiat Oncol</w:t>
      </w:r>
      <w:r w:rsidRPr="00B54529">
        <w:rPr>
          <w:rFonts w:ascii="Calibri" w:hAnsi="Calibri"/>
          <w:noProof/>
        </w:rPr>
        <w:t xml:space="preserve"> 2016, </w:t>
      </w:r>
      <w:r w:rsidRPr="00B54529">
        <w:rPr>
          <w:rFonts w:ascii="Calibri" w:hAnsi="Calibri"/>
          <w:b/>
          <w:bCs/>
          <w:noProof/>
        </w:rPr>
        <w:t>96</w:t>
      </w:r>
      <w:r w:rsidRPr="00B54529">
        <w:rPr>
          <w:rFonts w:ascii="Calibri" w:hAnsi="Calibri"/>
          <w:noProof/>
        </w:rPr>
        <w:t>:578–588.</w:t>
      </w:r>
    </w:p>
    <w:p w14:paraId="1966EC83"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41. </w:t>
      </w:r>
      <w:r w:rsidRPr="00B54529">
        <w:rPr>
          <w:rFonts w:ascii="Calibri" w:hAnsi="Calibri"/>
          <w:noProof/>
        </w:rPr>
        <w:tab/>
        <w:t xml:space="preserve">Victor CT-S, Rech AJ, Maity A, Rengan R, Pauken KE, Stelekati E, Benci JL, Xu B, Dada H, Odorizzi PM, et al.: </w:t>
      </w:r>
      <w:r w:rsidRPr="00B54529">
        <w:rPr>
          <w:rFonts w:ascii="Calibri" w:hAnsi="Calibri"/>
          <w:b/>
          <w:bCs/>
          <w:noProof/>
        </w:rPr>
        <w:t>Radiation and dual checkpoint blockade activate non-redundant immune mechanisms in cancer</w:t>
      </w:r>
      <w:r w:rsidRPr="00B54529">
        <w:rPr>
          <w:rFonts w:ascii="Calibri" w:hAnsi="Calibri"/>
          <w:noProof/>
        </w:rPr>
        <w:t xml:space="preserve">. </w:t>
      </w:r>
      <w:r w:rsidRPr="00B54529">
        <w:rPr>
          <w:rFonts w:ascii="Calibri" w:hAnsi="Calibri"/>
          <w:i/>
          <w:iCs/>
          <w:noProof/>
        </w:rPr>
        <w:t>Nature</w:t>
      </w:r>
      <w:r w:rsidRPr="00B54529">
        <w:rPr>
          <w:rFonts w:ascii="Calibri" w:hAnsi="Calibri"/>
          <w:noProof/>
        </w:rPr>
        <w:t xml:space="preserve"> 2015, doi:10.1038/nature14292.</w:t>
      </w:r>
    </w:p>
    <w:p w14:paraId="1C8C290C"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42. </w:t>
      </w:r>
      <w:r w:rsidRPr="00B54529">
        <w:rPr>
          <w:rFonts w:ascii="Calibri" w:hAnsi="Calibri"/>
          <w:noProof/>
        </w:rPr>
        <w:tab/>
        <w:t xml:space="preserve">Reynders K, Illidge T, Siva S, Chang JY, De Ruysscher D: </w:t>
      </w:r>
      <w:r w:rsidRPr="00B54529">
        <w:rPr>
          <w:rFonts w:ascii="Calibri" w:hAnsi="Calibri"/>
          <w:b/>
          <w:bCs/>
          <w:noProof/>
        </w:rPr>
        <w:t>The abscopal effect of local radiotherapy: using immunotherapy to make a rare event clinically relevant</w:t>
      </w:r>
      <w:r w:rsidRPr="00B54529">
        <w:rPr>
          <w:rFonts w:ascii="Calibri" w:hAnsi="Calibri"/>
          <w:noProof/>
        </w:rPr>
        <w:t xml:space="preserve">. </w:t>
      </w:r>
      <w:r w:rsidRPr="00B54529">
        <w:rPr>
          <w:rFonts w:ascii="Calibri" w:hAnsi="Calibri"/>
          <w:i/>
          <w:iCs/>
          <w:noProof/>
        </w:rPr>
        <w:t>Cancer Treat Rev</w:t>
      </w:r>
      <w:r w:rsidRPr="00B54529">
        <w:rPr>
          <w:rFonts w:ascii="Calibri" w:hAnsi="Calibri"/>
          <w:noProof/>
        </w:rPr>
        <w:t xml:space="preserve"> 2015, </w:t>
      </w:r>
      <w:r w:rsidRPr="00B54529">
        <w:rPr>
          <w:rFonts w:ascii="Calibri" w:hAnsi="Calibri"/>
          <w:b/>
          <w:bCs/>
          <w:noProof/>
        </w:rPr>
        <w:t>41</w:t>
      </w:r>
      <w:r w:rsidRPr="00B54529">
        <w:rPr>
          <w:rFonts w:ascii="Calibri" w:hAnsi="Calibri"/>
          <w:noProof/>
        </w:rPr>
        <w:t>:503–510.</w:t>
      </w:r>
    </w:p>
    <w:p w14:paraId="480F6177"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43. </w:t>
      </w:r>
      <w:r w:rsidRPr="00B54529">
        <w:rPr>
          <w:rFonts w:ascii="Calibri" w:hAnsi="Calibri"/>
          <w:noProof/>
        </w:rPr>
        <w:tab/>
        <w:t xml:space="preserve">Vanpouille-Box C, Formenti SC: </w:t>
      </w:r>
      <w:r w:rsidRPr="00B54529">
        <w:rPr>
          <w:rFonts w:ascii="Calibri" w:hAnsi="Calibri"/>
          <w:b/>
          <w:bCs/>
          <w:noProof/>
        </w:rPr>
        <w:t>Dual Transforming Growth Factor-β and Programmed Death-1 Blockade: A Strategy for Immune-Excluded Tumors?</w:t>
      </w:r>
      <w:r w:rsidRPr="00B54529">
        <w:rPr>
          <w:rFonts w:ascii="Calibri" w:hAnsi="Calibri"/>
          <w:noProof/>
        </w:rPr>
        <w:t xml:space="preserve"> </w:t>
      </w:r>
      <w:r w:rsidRPr="00B54529">
        <w:rPr>
          <w:rFonts w:ascii="Calibri" w:hAnsi="Calibri"/>
          <w:i/>
          <w:iCs/>
          <w:noProof/>
        </w:rPr>
        <w:t>Trends Immunol</w:t>
      </w:r>
      <w:r w:rsidRPr="00B54529">
        <w:rPr>
          <w:rFonts w:ascii="Calibri" w:hAnsi="Calibri"/>
          <w:noProof/>
        </w:rPr>
        <w:t xml:space="preserve"> 2018, </w:t>
      </w:r>
      <w:r w:rsidRPr="00B54529">
        <w:rPr>
          <w:rFonts w:ascii="Calibri" w:hAnsi="Calibri"/>
          <w:b/>
          <w:bCs/>
          <w:noProof/>
        </w:rPr>
        <w:t>39</w:t>
      </w:r>
      <w:r w:rsidRPr="00B54529">
        <w:rPr>
          <w:rFonts w:ascii="Calibri" w:hAnsi="Calibri"/>
          <w:noProof/>
        </w:rPr>
        <w:t>:435–437.</w:t>
      </w:r>
    </w:p>
    <w:p w14:paraId="111ADD3D" w14:textId="77777777" w:rsidR="00B54529" w:rsidRPr="00B54529" w:rsidRDefault="00B54529" w:rsidP="00B54529">
      <w:pPr>
        <w:widowControl w:val="0"/>
        <w:autoSpaceDE w:val="0"/>
        <w:autoSpaceDN w:val="0"/>
        <w:adjustRightInd w:val="0"/>
        <w:spacing w:line="360" w:lineRule="auto"/>
        <w:ind w:left="640" w:hanging="640"/>
        <w:rPr>
          <w:rFonts w:ascii="Calibri" w:hAnsi="Calibri"/>
          <w:noProof/>
        </w:rPr>
      </w:pPr>
      <w:r w:rsidRPr="00B54529">
        <w:rPr>
          <w:rFonts w:ascii="Calibri" w:hAnsi="Calibri"/>
          <w:noProof/>
        </w:rPr>
        <w:t xml:space="preserve">44. </w:t>
      </w:r>
      <w:r w:rsidRPr="00B54529">
        <w:rPr>
          <w:rFonts w:ascii="Calibri" w:hAnsi="Calibri"/>
          <w:noProof/>
        </w:rPr>
        <w:tab/>
        <w:t xml:space="preserve">Luke JJ, Lemons JM, Karrison TG, Pitroda SP, Melotek JM, Zha Y, Al-Hallaq HA, Arina A, Khodarev NN, Janisch L, et al.: </w:t>
      </w:r>
      <w:r w:rsidRPr="00B54529">
        <w:rPr>
          <w:rFonts w:ascii="Calibri" w:hAnsi="Calibri"/>
          <w:b/>
          <w:bCs/>
          <w:noProof/>
        </w:rPr>
        <w:t>Safety and Clinical Activity of Pembrolizumab and Multisite Stereotactic Body Radiotherapy in Patients With Advanced Solid Tumors</w:t>
      </w:r>
      <w:r w:rsidRPr="00B54529">
        <w:rPr>
          <w:rFonts w:ascii="Calibri" w:hAnsi="Calibri"/>
          <w:noProof/>
        </w:rPr>
        <w:t xml:space="preserve">. </w:t>
      </w:r>
      <w:r w:rsidRPr="00B54529">
        <w:rPr>
          <w:rFonts w:ascii="Calibri" w:hAnsi="Calibri"/>
          <w:i/>
          <w:iCs/>
          <w:noProof/>
        </w:rPr>
        <w:t>J Clin Oncol</w:t>
      </w:r>
      <w:r w:rsidRPr="00B54529">
        <w:rPr>
          <w:rFonts w:ascii="Calibri" w:hAnsi="Calibri"/>
          <w:noProof/>
        </w:rPr>
        <w:t xml:space="preserve"> 2018, doi:10.1200/JCO.2017.76.2229.</w:t>
      </w:r>
    </w:p>
    <w:p w14:paraId="23F731AE" w14:textId="77777777" w:rsidR="00B54529" w:rsidRPr="009C25E4" w:rsidRDefault="000843CF" w:rsidP="00B54529">
      <w:pPr>
        <w:widowControl w:val="0"/>
        <w:autoSpaceDE w:val="0"/>
        <w:autoSpaceDN w:val="0"/>
        <w:adjustRightInd w:val="0"/>
        <w:spacing w:line="360" w:lineRule="auto"/>
        <w:ind w:left="640" w:hanging="640"/>
        <w:rPr>
          <w:rFonts w:ascii="Calibri" w:hAnsi="Calibri" w:cs="Calibri"/>
          <w:noProof/>
        </w:rPr>
      </w:pPr>
      <w:r w:rsidRPr="00D46540">
        <w:rPr>
          <w:rFonts w:ascii="Calibri" w:hAnsi="Calibri" w:cs="Calibri"/>
          <w:lang w:val="en-GB"/>
        </w:rPr>
        <w:fldChar w:fldCharType="end"/>
      </w:r>
      <w:r w:rsidR="00B54529">
        <w:rPr>
          <w:rFonts w:ascii="Calibri" w:hAnsi="Calibri" w:cs="Calibri"/>
          <w:noProof/>
        </w:rPr>
        <w:t>**combination of CPI with radiotherapy is safe and some interesting anti-tumor responses were seen, the ideal timing and dosing of radiotherapy remains to be determined and is currently being analysed in many clinical studies</w:t>
      </w:r>
    </w:p>
    <w:p w14:paraId="2B8C3A2B" w14:textId="32AAF36A" w:rsidR="00673D8E" w:rsidRPr="00D46540" w:rsidRDefault="00673D8E" w:rsidP="00B54529">
      <w:pPr>
        <w:widowControl w:val="0"/>
        <w:autoSpaceDE w:val="0"/>
        <w:autoSpaceDN w:val="0"/>
        <w:adjustRightInd w:val="0"/>
        <w:spacing w:line="360" w:lineRule="auto"/>
        <w:ind w:left="640" w:hanging="640"/>
        <w:rPr>
          <w:rFonts w:ascii="Calibri" w:hAnsi="Calibri" w:cs="Calibri"/>
          <w:lang w:val="en-GB"/>
        </w:rPr>
      </w:pPr>
    </w:p>
    <w:sectPr w:rsidR="00673D8E" w:rsidRPr="00D46540" w:rsidSect="00FB1935">
      <w:footerReference w:type="even" r:id="rId10"/>
      <w:footerReference w:type="default" r:id="rId11"/>
      <w:pgSz w:w="11900" w:h="16840"/>
      <w:pgMar w:top="1417" w:right="1417" w:bottom="1417"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5A0AE4" w14:textId="77777777" w:rsidR="00CA0D2E" w:rsidRDefault="00CA0D2E" w:rsidP="00810684">
      <w:r>
        <w:separator/>
      </w:r>
    </w:p>
  </w:endnote>
  <w:endnote w:type="continuationSeparator" w:id="0">
    <w:p w14:paraId="5C203D34" w14:textId="77777777" w:rsidR="00CA0D2E" w:rsidRDefault="00CA0D2E" w:rsidP="00810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97CAE" w14:textId="77777777" w:rsidR="00B54529" w:rsidRDefault="00B54529" w:rsidP="00747F25">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1D55F65" w14:textId="77777777" w:rsidR="00B54529" w:rsidRDefault="00B54529" w:rsidP="00B5291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3118E" w14:textId="5A1741B3" w:rsidR="00B54529" w:rsidRDefault="00B54529" w:rsidP="00747F25">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7D57DE">
      <w:rPr>
        <w:rStyle w:val="Numrodepage"/>
        <w:noProof/>
      </w:rPr>
      <w:t>1</w:t>
    </w:r>
    <w:r>
      <w:rPr>
        <w:rStyle w:val="Numrodepage"/>
      </w:rPr>
      <w:fldChar w:fldCharType="end"/>
    </w:r>
  </w:p>
  <w:p w14:paraId="73A55ECF" w14:textId="77777777" w:rsidR="00B54529" w:rsidRDefault="00B54529" w:rsidP="00B5291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9ED8BA" w14:textId="77777777" w:rsidR="00CA0D2E" w:rsidRDefault="00CA0D2E" w:rsidP="00810684">
      <w:r>
        <w:separator/>
      </w:r>
    </w:p>
  </w:footnote>
  <w:footnote w:type="continuationSeparator" w:id="0">
    <w:p w14:paraId="55566641" w14:textId="77777777" w:rsidR="00CA0D2E" w:rsidRDefault="00CA0D2E" w:rsidP="008106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D55C3"/>
    <w:multiLevelType w:val="hybridMultilevel"/>
    <w:tmpl w:val="9BA6B9BA"/>
    <w:lvl w:ilvl="0" w:tplc="6C9E4F38">
      <w:start w:val="500"/>
      <w:numFmt w:val="bullet"/>
      <w:lvlText w:val="-"/>
      <w:lvlJc w:val="left"/>
      <w:pPr>
        <w:ind w:left="420" w:hanging="360"/>
      </w:pPr>
      <w:rPr>
        <w:rFonts w:ascii="Calibri" w:eastAsiaTheme="minorHAnsi" w:hAnsi="Calibri"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39941FE3"/>
    <w:multiLevelType w:val="hybridMultilevel"/>
    <w:tmpl w:val="FD7C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AB3F9F"/>
    <w:multiLevelType w:val="hybridMultilevel"/>
    <w:tmpl w:val="185E1070"/>
    <w:lvl w:ilvl="0" w:tplc="4F70FEAE">
      <w:start w:val="3"/>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673B0AB2"/>
    <w:multiLevelType w:val="hybridMultilevel"/>
    <w:tmpl w:val="F39641FA"/>
    <w:lvl w:ilvl="0" w:tplc="9FAC0AFA">
      <w:start w:val="1"/>
      <w:numFmt w:val="bullet"/>
      <w:lvlText w:val="•"/>
      <w:lvlJc w:val="left"/>
      <w:pPr>
        <w:tabs>
          <w:tab w:val="num" w:pos="720"/>
        </w:tabs>
        <w:ind w:left="720" w:hanging="360"/>
      </w:pPr>
      <w:rPr>
        <w:rFonts w:ascii="Arial" w:hAnsi="Arial" w:hint="default"/>
      </w:rPr>
    </w:lvl>
    <w:lvl w:ilvl="1" w:tplc="6D049EB6">
      <w:start w:val="1"/>
      <w:numFmt w:val="bullet"/>
      <w:lvlText w:val="•"/>
      <w:lvlJc w:val="left"/>
      <w:pPr>
        <w:tabs>
          <w:tab w:val="num" w:pos="1440"/>
        </w:tabs>
        <w:ind w:left="1440" w:hanging="360"/>
      </w:pPr>
      <w:rPr>
        <w:rFonts w:ascii="Arial" w:hAnsi="Arial" w:hint="default"/>
      </w:rPr>
    </w:lvl>
    <w:lvl w:ilvl="2" w:tplc="5DC6D9BC" w:tentative="1">
      <w:start w:val="1"/>
      <w:numFmt w:val="bullet"/>
      <w:lvlText w:val="•"/>
      <w:lvlJc w:val="left"/>
      <w:pPr>
        <w:tabs>
          <w:tab w:val="num" w:pos="2160"/>
        </w:tabs>
        <w:ind w:left="2160" w:hanging="360"/>
      </w:pPr>
      <w:rPr>
        <w:rFonts w:ascii="Arial" w:hAnsi="Arial" w:hint="default"/>
      </w:rPr>
    </w:lvl>
    <w:lvl w:ilvl="3" w:tplc="A658135A" w:tentative="1">
      <w:start w:val="1"/>
      <w:numFmt w:val="bullet"/>
      <w:lvlText w:val="•"/>
      <w:lvlJc w:val="left"/>
      <w:pPr>
        <w:tabs>
          <w:tab w:val="num" w:pos="2880"/>
        </w:tabs>
        <w:ind w:left="2880" w:hanging="360"/>
      </w:pPr>
      <w:rPr>
        <w:rFonts w:ascii="Arial" w:hAnsi="Arial" w:hint="default"/>
      </w:rPr>
    </w:lvl>
    <w:lvl w:ilvl="4" w:tplc="DBC83B8A" w:tentative="1">
      <w:start w:val="1"/>
      <w:numFmt w:val="bullet"/>
      <w:lvlText w:val="•"/>
      <w:lvlJc w:val="left"/>
      <w:pPr>
        <w:tabs>
          <w:tab w:val="num" w:pos="3600"/>
        </w:tabs>
        <w:ind w:left="3600" w:hanging="360"/>
      </w:pPr>
      <w:rPr>
        <w:rFonts w:ascii="Arial" w:hAnsi="Arial" w:hint="default"/>
      </w:rPr>
    </w:lvl>
    <w:lvl w:ilvl="5" w:tplc="72104A92" w:tentative="1">
      <w:start w:val="1"/>
      <w:numFmt w:val="bullet"/>
      <w:lvlText w:val="•"/>
      <w:lvlJc w:val="left"/>
      <w:pPr>
        <w:tabs>
          <w:tab w:val="num" w:pos="4320"/>
        </w:tabs>
        <w:ind w:left="4320" w:hanging="360"/>
      </w:pPr>
      <w:rPr>
        <w:rFonts w:ascii="Arial" w:hAnsi="Arial" w:hint="default"/>
      </w:rPr>
    </w:lvl>
    <w:lvl w:ilvl="6" w:tplc="5C2A3744" w:tentative="1">
      <w:start w:val="1"/>
      <w:numFmt w:val="bullet"/>
      <w:lvlText w:val="•"/>
      <w:lvlJc w:val="left"/>
      <w:pPr>
        <w:tabs>
          <w:tab w:val="num" w:pos="5040"/>
        </w:tabs>
        <w:ind w:left="5040" w:hanging="360"/>
      </w:pPr>
      <w:rPr>
        <w:rFonts w:ascii="Arial" w:hAnsi="Arial" w:hint="default"/>
      </w:rPr>
    </w:lvl>
    <w:lvl w:ilvl="7" w:tplc="983EF9A2" w:tentative="1">
      <w:start w:val="1"/>
      <w:numFmt w:val="bullet"/>
      <w:lvlText w:val="•"/>
      <w:lvlJc w:val="left"/>
      <w:pPr>
        <w:tabs>
          <w:tab w:val="num" w:pos="5760"/>
        </w:tabs>
        <w:ind w:left="5760" w:hanging="360"/>
      </w:pPr>
      <w:rPr>
        <w:rFonts w:ascii="Arial" w:hAnsi="Arial" w:hint="default"/>
      </w:rPr>
    </w:lvl>
    <w:lvl w:ilvl="8" w:tplc="84DC8F6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0" w:nlCheck="1" w:checkStyle="0"/>
  <w:activeWritingStyle w:appName="MSWord" w:lang="en-GB" w:vendorID="64" w:dllVersion="0" w:nlCheck="1" w:checkStyle="0"/>
  <w:activeWritingStyle w:appName="MSWord" w:lang="nl-NL"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fr-BE" w:vendorID="64" w:dllVersion="6" w:nlCheck="1" w:checkStyle="1"/>
  <w:revisionView w:inkAnnotations="0"/>
  <w:defaultTabStop w:val="720"/>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D30"/>
    <w:rsid w:val="00001D03"/>
    <w:rsid w:val="000024C2"/>
    <w:rsid w:val="00002C25"/>
    <w:rsid w:val="000066A0"/>
    <w:rsid w:val="000074D0"/>
    <w:rsid w:val="000079BB"/>
    <w:rsid w:val="000105D8"/>
    <w:rsid w:val="000122FD"/>
    <w:rsid w:val="00016C2B"/>
    <w:rsid w:val="0002019C"/>
    <w:rsid w:val="00020BB1"/>
    <w:rsid w:val="000236EE"/>
    <w:rsid w:val="00024D9B"/>
    <w:rsid w:val="0002651F"/>
    <w:rsid w:val="000306EA"/>
    <w:rsid w:val="000321F6"/>
    <w:rsid w:val="00032E37"/>
    <w:rsid w:val="00033019"/>
    <w:rsid w:val="00035D8B"/>
    <w:rsid w:val="00041064"/>
    <w:rsid w:val="000411B5"/>
    <w:rsid w:val="000412C8"/>
    <w:rsid w:val="00042471"/>
    <w:rsid w:val="00042CFD"/>
    <w:rsid w:val="00044DD6"/>
    <w:rsid w:val="00046755"/>
    <w:rsid w:val="00046893"/>
    <w:rsid w:val="00046CA2"/>
    <w:rsid w:val="00047BC6"/>
    <w:rsid w:val="000511D0"/>
    <w:rsid w:val="00051981"/>
    <w:rsid w:val="000535A5"/>
    <w:rsid w:val="00053C14"/>
    <w:rsid w:val="00054882"/>
    <w:rsid w:val="000558C9"/>
    <w:rsid w:val="000569CA"/>
    <w:rsid w:val="000577C1"/>
    <w:rsid w:val="000579F5"/>
    <w:rsid w:val="00063F49"/>
    <w:rsid w:val="000668AC"/>
    <w:rsid w:val="00066A40"/>
    <w:rsid w:val="00074690"/>
    <w:rsid w:val="00075806"/>
    <w:rsid w:val="00075DC9"/>
    <w:rsid w:val="00077EB3"/>
    <w:rsid w:val="000843CF"/>
    <w:rsid w:val="00087A1F"/>
    <w:rsid w:val="00090EFC"/>
    <w:rsid w:val="00093132"/>
    <w:rsid w:val="00097441"/>
    <w:rsid w:val="000A24BD"/>
    <w:rsid w:val="000A2637"/>
    <w:rsid w:val="000A28C8"/>
    <w:rsid w:val="000A39FD"/>
    <w:rsid w:val="000A6C4D"/>
    <w:rsid w:val="000B0DA1"/>
    <w:rsid w:val="000B1207"/>
    <w:rsid w:val="000B3473"/>
    <w:rsid w:val="000B519C"/>
    <w:rsid w:val="000B5F03"/>
    <w:rsid w:val="000B66ED"/>
    <w:rsid w:val="000C0A51"/>
    <w:rsid w:val="000C52D7"/>
    <w:rsid w:val="000C6324"/>
    <w:rsid w:val="000C7CF7"/>
    <w:rsid w:val="000D299E"/>
    <w:rsid w:val="000D2B08"/>
    <w:rsid w:val="000D364B"/>
    <w:rsid w:val="000D4181"/>
    <w:rsid w:val="000D467B"/>
    <w:rsid w:val="000D54BC"/>
    <w:rsid w:val="000D5A63"/>
    <w:rsid w:val="000D5BE8"/>
    <w:rsid w:val="000E0FFB"/>
    <w:rsid w:val="000E34C9"/>
    <w:rsid w:val="000E515A"/>
    <w:rsid w:val="000E7372"/>
    <w:rsid w:val="000F06F8"/>
    <w:rsid w:val="000F1EBB"/>
    <w:rsid w:val="000F2471"/>
    <w:rsid w:val="000F2A58"/>
    <w:rsid w:val="000F6AD6"/>
    <w:rsid w:val="0010199A"/>
    <w:rsid w:val="0010346A"/>
    <w:rsid w:val="001218BC"/>
    <w:rsid w:val="0012453C"/>
    <w:rsid w:val="001266EC"/>
    <w:rsid w:val="00131E10"/>
    <w:rsid w:val="001338A8"/>
    <w:rsid w:val="0013659F"/>
    <w:rsid w:val="001410DE"/>
    <w:rsid w:val="00143873"/>
    <w:rsid w:val="001468B8"/>
    <w:rsid w:val="00146C01"/>
    <w:rsid w:val="00152586"/>
    <w:rsid w:val="00152BCC"/>
    <w:rsid w:val="00152DA7"/>
    <w:rsid w:val="001567A4"/>
    <w:rsid w:val="0016004B"/>
    <w:rsid w:val="00160A98"/>
    <w:rsid w:val="00160D36"/>
    <w:rsid w:val="001611A7"/>
    <w:rsid w:val="00163921"/>
    <w:rsid w:val="00163AB2"/>
    <w:rsid w:val="00164A21"/>
    <w:rsid w:val="001651CA"/>
    <w:rsid w:val="00166BB3"/>
    <w:rsid w:val="0017113A"/>
    <w:rsid w:val="00173B8A"/>
    <w:rsid w:val="00175420"/>
    <w:rsid w:val="001761E1"/>
    <w:rsid w:val="0017706C"/>
    <w:rsid w:val="00183D35"/>
    <w:rsid w:val="00184F8C"/>
    <w:rsid w:val="00185788"/>
    <w:rsid w:val="00187D18"/>
    <w:rsid w:val="00190DE4"/>
    <w:rsid w:val="001916D3"/>
    <w:rsid w:val="00195852"/>
    <w:rsid w:val="001964AB"/>
    <w:rsid w:val="00196806"/>
    <w:rsid w:val="001A18AB"/>
    <w:rsid w:val="001B1C7D"/>
    <w:rsid w:val="001B3991"/>
    <w:rsid w:val="001B43E9"/>
    <w:rsid w:val="001B66BF"/>
    <w:rsid w:val="001B679A"/>
    <w:rsid w:val="001B695C"/>
    <w:rsid w:val="001B6B22"/>
    <w:rsid w:val="001B6B3E"/>
    <w:rsid w:val="001C0855"/>
    <w:rsid w:val="001C0C3D"/>
    <w:rsid w:val="001C0FC2"/>
    <w:rsid w:val="001C130B"/>
    <w:rsid w:val="001C2571"/>
    <w:rsid w:val="001C2A74"/>
    <w:rsid w:val="001C3573"/>
    <w:rsid w:val="001C38A6"/>
    <w:rsid w:val="001D0D9B"/>
    <w:rsid w:val="001D242B"/>
    <w:rsid w:val="001D26AB"/>
    <w:rsid w:val="001D4705"/>
    <w:rsid w:val="001D69C5"/>
    <w:rsid w:val="001D6B72"/>
    <w:rsid w:val="001E0397"/>
    <w:rsid w:val="001E0A63"/>
    <w:rsid w:val="001E0C42"/>
    <w:rsid w:val="001E0E0B"/>
    <w:rsid w:val="001E4BCB"/>
    <w:rsid w:val="001E5430"/>
    <w:rsid w:val="001E7EF3"/>
    <w:rsid w:val="001F1754"/>
    <w:rsid w:val="001F1FE4"/>
    <w:rsid w:val="001F28DD"/>
    <w:rsid w:val="001F4D63"/>
    <w:rsid w:val="001F5021"/>
    <w:rsid w:val="00200438"/>
    <w:rsid w:val="0020048D"/>
    <w:rsid w:val="00200693"/>
    <w:rsid w:val="0020271C"/>
    <w:rsid w:val="00204062"/>
    <w:rsid w:val="00204487"/>
    <w:rsid w:val="0020790E"/>
    <w:rsid w:val="00210FEB"/>
    <w:rsid w:val="00211880"/>
    <w:rsid w:val="00213ADA"/>
    <w:rsid w:val="002141F1"/>
    <w:rsid w:val="0021583E"/>
    <w:rsid w:val="00216AAE"/>
    <w:rsid w:val="0022276B"/>
    <w:rsid w:val="00223EA3"/>
    <w:rsid w:val="00223F5C"/>
    <w:rsid w:val="00226358"/>
    <w:rsid w:val="00226E9F"/>
    <w:rsid w:val="002309C4"/>
    <w:rsid w:val="0023162E"/>
    <w:rsid w:val="00232479"/>
    <w:rsid w:val="002328D5"/>
    <w:rsid w:val="002337BB"/>
    <w:rsid w:val="00233BEC"/>
    <w:rsid w:val="00233C26"/>
    <w:rsid w:val="002353AA"/>
    <w:rsid w:val="00242236"/>
    <w:rsid w:val="00245BD3"/>
    <w:rsid w:val="002502E8"/>
    <w:rsid w:val="00253DD1"/>
    <w:rsid w:val="002543F7"/>
    <w:rsid w:val="00255B1E"/>
    <w:rsid w:val="002572C9"/>
    <w:rsid w:val="00257723"/>
    <w:rsid w:val="00257DEF"/>
    <w:rsid w:val="00260906"/>
    <w:rsid w:val="00261D30"/>
    <w:rsid w:val="00262F3C"/>
    <w:rsid w:val="00263AD1"/>
    <w:rsid w:val="00264E62"/>
    <w:rsid w:val="002677CC"/>
    <w:rsid w:val="00270AB2"/>
    <w:rsid w:val="002744F5"/>
    <w:rsid w:val="00274660"/>
    <w:rsid w:val="00274E9F"/>
    <w:rsid w:val="002768FD"/>
    <w:rsid w:val="0027709D"/>
    <w:rsid w:val="0028078E"/>
    <w:rsid w:val="00284BFE"/>
    <w:rsid w:val="0028516C"/>
    <w:rsid w:val="00285C12"/>
    <w:rsid w:val="00290D3F"/>
    <w:rsid w:val="002936FA"/>
    <w:rsid w:val="0029641C"/>
    <w:rsid w:val="00296AD5"/>
    <w:rsid w:val="002A0850"/>
    <w:rsid w:val="002A0BDD"/>
    <w:rsid w:val="002A0F40"/>
    <w:rsid w:val="002A183F"/>
    <w:rsid w:val="002A7E3F"/>
    <w:rsid w:val="002B3A33"/>
    <w:rsid w:val="002B41BE"/>
    <w:rsid w:val="002B56FC"/>
    <w:rsid w:val="002C0CD7"/>
    <w:rsid w:val="002C1054"/>
    <w:rsid w:val="002C26DF"/>
    <w:rsid w:val="002C6F76"/>
    <w:rsid w:val="002D1391"/>
    <w:rsid w:val="002D1AEC"/>
    <w:rsid w:val="002D1EAF"/>
    <w:rsid w:val="002D2298"/>
    <w:rsid w:val="002D48E7"/>
    <w:rsid w:val="002D54A1"/>
    <w:rsid w:val="002D661D"/>
    <w:rsid w:val="002D7AF1"/>
    <w:rsid w:val="002E1D73"/>
    <w:rsid w:val="002E31E3"/>
    <w:rsid w:val="002E4A58"/>
    <w:rsid w:val="002E5BB9"/>
    <w:rsid w:val="002E6DB3"/>
    <w:rsid w:val="002E7B63"/>
    <w:rsid w:val="002F0557"/>
    <w:rsid w:val="002F1C8A"/>
    <w:rsid w:val="002F40F7"/>
    <w:rsid w:val="002F65D4"/>
    <w:rsid w:val="003019DA"/>
    <w:rsid w:val="003039F9"/>
    <w:rsid w:val="00304114"/>
    <w:rsid w:val="003044CD"/>
    <w:rsid w:val="003046FF"/>
    <w:rsid w:val="003048C7"/>
    <w:rsid w:val="00305E2A"/>
    <w:rsid w:val="0030653E"/>
    <w:rsid w:val="00313F83"/>
    <w:rsid w:val="0031474B"/>
    <w:rsid w:val="00315B3C"/>
    <w:rsid w:val="00316B59"/>
    <w:rsid w:val="00317FC0"/>
    <w:rsid w:val="003215D6"/>
    <w:rsid w:val="00322393"/>
    <w:rsid w:val="003225C0"/>
    <w:rsid w:val="0032281D"/>
    <w:rsid w:val="00325B10"/>
    <w:rsid w:val="003372A6"/>
    <w:rsid w:val="00340F5E"/>
    <w:rsid w:val="00341760"/>
    <w:rsid w:val="00342000"/>
    <w:rsid w:val="00343D97"/>
    <w:rsid w:val="0034401C"/>
    <w:rsid w:val="0034475B"/>
    <w:rsid w:val="00345E21"/>
    <w:rsid w:val="00346F50"/>
    <w:rsid w:val="00347097"/>
    <w:rsid w:val="00353AC2"/>
    <w:rsid w:val="003607AC"/>
    <w:rsid w:val="00361D58"/>
    <w:rsid w:val="003620E6"/>
    <w:rsid w:val="003633C8"/>
    <w:rsid w:val="00363950"/>
    <w:rsid w:val="003703E6"/>
    <w:rsid w:val="00370D63"/>
    <w:rsid w:val="0037154E"/>
    <w:rsid w:val="00372449"/>
    <w:rsid w:val="0037486A"/>
    <w:rsid w:val="00374F10"/>
    <w:rsid w:val="00376932"/>
    <w:rsid w:val="003917A3"/>
    <w:rsid w:val="00391C69"/>
    <w:rsid w:val="003933D5"/>
    <w:rsid w:val="003951D8"/>
    <w:rsid w:val="003957A3"/>
    <w:rsid w:val="00396D81"/>
    <w:rsid w:val="003A1DFE"/>
    <w:rsid w:val="003A2196"/>
    <w:rsid w:val="003A2854"/>
    <w:rsid w:val="003A3DF4"/>
    <w:rsid w:val="003A40F1"/>
    <w:rsid w:val="003B0728"/>
    <w:rsid w:val="003B1AFD"/>
    <w:rsid w:val="003B2E1A"/>
    <w:rsid w:val="003B3CCC"/>
    <w:rsid w:val="003B5822"/>
    <w:rsid w:val="003C029C"/>
    <w:rsid w:val="003C3E48"/>
    <w:rsid w:val="003C514A"/>
    <w:rsid w:val="003C67DD"/>
    <w:rsid w:val="003D16C0"/>
    <w:rsid w:val="003D1EB3"/>
    <w:rsid w:val="003D240E"/>
    <w:rsid w:val="003D42EE"/>
    <w:rsid w:val="003D453D"/>
    <w:rsid w:val="003D4C84"/>
    <w:rsid w:val="003D62F6"/>
    <w:rsid w:val="003E1071"/>
    <w:rsid w:val="003E2EB1"/>
    <w:rsid w:val="003E44A1"/>
    <w:rsid w:val="003E4A2D"/>
    <w:rsid w:val="003E6720"/>
    <w:rsid w:val="003E6C83"/>
    <w:rsid w:val="003E77E7"/>
    <w:rsid w:val="003F055B"/>
    <w:rsid w:val="003F1A6C"/>
    <w:rsid w:val="003F2DFE"/>
    <w:rsid w:val="003F4264"/>
    <w:rsid w:val="003F4650"/>
    <w:rsid w:val="00400883"/>
    <w:rsid w:val="004015BC"/>
    <w:rsid w:val="004026EF"/>
    <w:rsid w:val="00403F8B"/>
    <w:rsid w:val="00405C00"/>
    <w:rsid w:val="00406116"/>
    <w:rsid w:val="0040691C"/>
    <w:rsid w:val="004108A6"/>
    <w:rsid w:val="00410B95"/>
    <w:rsid w:val="00412355"/>
    <w:rsid w:val="004129C7"/>
    <w:rsid w:val="00412AB0"/>
    <w:rsid w:val="00413ACA"/>
    <w:rsid w:val="004174C0"/>
    <w:rsid w:val="00420073"/>
    <w:rsid w:val="0042163B"/>
    <w:rsid w:val="00423536"/>
    <w:rsid w:val="00425B04"/>
    <w:rsid w:val="0043180B"/>
    <w:rsid w:val="00435598"/>
    <w:rsid w:val="004355F4"/>
    <w:rsid w:val="00437B59"/>
    <w:rsid w:val="00440296"/>
    <w:rsid w:val="00441905"/>
    <w:rsid w:val="00441A07"/>
    <w:rsid w:val="00441E5F"/>
    <w:rsid w:val="00443239"/>
    <w:rsid w:val="004454BA"/>
    <w:rsid w:val="00446268"/>
    <w:rsid w:val="00450879"/>
    <w:rsid w:val="00450EDE"/>
    <w:rsid w:val="00451FB5"/>
    <w:rsid w:val="00453BC3"/>
    <w:rsid w:val="00454385"/>
    <w:rsid w:val="0045471E"/>
    <w:rsid w:val="00454B87"/>
    <w:rsid w:val="004578B2"/>
    <w:rsid w:val="00463DC1"/>
    <w:rsid w:val="00463E09"/>
    <w:rsid w:val="00466314"/>
    <w:rsid w:val="00467AD1"/>
    <w:rsid w:val="00474140"/>
    <w:rsid w:val="00474E46"/>
    <w:rsid w:val="00477429"/>
    <w:rsid w:val="004835AB"/>
    <w:rsid w:val="00484D1A"/>
    <w:rsid w:val="004919ED"/>
    <w:rsid w:val="0049267B"/>
    <w:rsid w:val="00493E2E"/>
    <w:rsid w:val="004951A5"/>
    <w:rsid w:val="004959EF"/>
    <w:rsid w:val="004960CB"/>
    <w:rsid w:val="004964D7"/>
    <w:rsid w:val="004A0662"/>
    <w:rsid w:val="004A083F"/>
    <w:rsid w:val="004A150B"/>
    <w:rsid w:val="004A6A98"/>
    <w:rsid w:val="004B34A1"/>
    <w:rsid w:val="004B43E3"/>
    <w:rsid w:val="004B556D"/>
    <w:rsid w:val="004B66C0"/>
    <w:rsid w:val="004B76FC"/>
    <w:rsid w:val="004C01DB"/>
    <w:rsid w:val="004C15A4"/>
    <w:rsid w:val="004C3475"/>
    <w:rsid w:val="004C6922"/>
    <w:rsid w:val="004C6DDB"/>
    <w:rsid w:val="004C7F36"/>
    <w:rsid w:val="004C7FE9"/>
    <w:rsid w:val="004D479C"/>
    <w:rsid w:val="004D5437"/>
    <w:rsid w:val="004D69AD"/>
    <w:rsid w:val="004D69C5"/>
    <w:rsid w:val="004E186F"/>
    <w:rsid w:val="004E387C"/>
    <w:rsid w:val="004E4724"/>
    <w:rsid w:val="004E4CB0"/>
    <w:rsid w:val="004F2EA9"/>
    <w:rsid w:val="004F304D"/>
    <w:rsid w:val="004F3949"/>
    <w:rsid w:val="004F4918"/>
    <w:rsid w:val="004F4D66"/>
    <w:rsid w:val="004F7932"/>
    <w:rsid w:val="005036BF"/>
    <w:rsid w:val="00504894"/>
    <w:rsid w:val="00506FC4"/>
    <w:rsid w:val="005117C6"/>
    <w:rsid w:val="00511AA4"/>
    <w:rsid w:val="00515556"/>
    <w:rsid w:val="00515CFB"/>
    <w:rsid w:val="005166E6"/>
    <w:rsid w:val="00517928"/>
    <w:rsid w:val="005217FB"/>
    <w:rsid w:val="00521D97"/>
    <w:rsid w:val="00523320"/>
    <w:rsid w:val="0052412C"/>
    <w:rsid w:val="00525147"/>
    <w:rsid w:val="00525C77"/>
    <w:rsid w:val="00527028"/>
    <w:rsid w:val="00530B9A"/>
    <w:rsid w:val="00530EFD"/>
    <w:rsid w:val="00531EC0"/>
    <w:rsid w:val="00532CC1"/>
    <w:rsid w:val="00535DD0"/>
    <w:rsid w:val="00543F71"/>
    <w:rsid w:val="00544654"/>
    <w:rsid w:val="00545C63"/>
    <w:rsid w:val="00550461"/>
    <w:rsid w:val="00552098"/>
    <w:rsid w:val="00552274"/>
    <w:rsid w:val="00552508"/>
    <w:rsid w:val="00552BB5"/>
    <w:rsid w:val="00552C11"/>
    <w:rsid w:val="00554DF3"/>
    <w:rsid w:val="005566DE"/>
    <w:rsid w:val="00556BB5"/>
    <w:rsid w:val="005610E9"/>
    <w:rsid w:val="005618B5"/>
    <w:rsid w:val="00563C65"/>
    <w:rsid w:val="005641B7"/>
    <w:rsid w:val="005644D5"/>
    <w:rsid w:val="005701A4"/>
    <w:rsid w:val="005712C2"/>
    <w:rsid w:val="005716F7"/>
    <w:rsid w:val="00571A65"/>
    <w:rsid w:val="00573120"/>
    <w:rsid w:val="00576D6C"/>
    <w:rsid w:val="0057722C"/>
    <w:rsid w:val="00577F8C"/>
    <w:rsid w:val="00580EC3"/>
    <w:rsid w:val="00580F17"/>
    <w:rsid w:val="00581E5C"/>
    <w:rsid w:val="00582124"/>
    <w:rsid w:val="00582F14"/>
    <w:rsid w:val="00586DE0"/>
    <w:rsid w:val="00587084"/>
    <w:rsid w:val="005870CF"/>
    <w:rsid w:val="00587130"/>
    <w:rsid w:val="00596166"/>
    <w:rsid w:val="00597BAD"/>
    <w:rsid w:val="005A1114"/>
    <w:rsid w:val="005A28EB"/>
    <w:rsid w:val="005A4F2D"/>
    <w:rsid w:val="005A5C95"/>
    <w:rsid w:val="005A657F"/>
    <w:rsid w:val="005A7010"/>
    <w:rsid w:val="005A78FD"/>
    <w:rsid w:val="005B242B"/>
    <w:rsid w:val="005B2A9B"/>
    <w:rsid w:val="005B67AB"/>
    <w:rsid w:val="005B7489"/>
    <w:rsid w:val="005C3533"/>
    <w:rsid w:val="005C60D5"/>
    <w:rsid w:val="005C620B"/>
    <w:rsid w:val="005D3F77"/>
    <w:rsid w:val="005D4857"/>
    <w:rsid w:val="005E0622"/>
    <w:rsid w:val="005E0ED8"/>
    <w:rsid w:val="005E3A01"/>
    <w:rsid w:val="005E5196"/>
    <w:rsid w:val="005E5DD9"/>
    <w:rsid w:val="005E73C1"/>
    <w:rsid w:val="005F1791"/>
    <w:rsid w:val="005F4CC2"/>
    <w:rsid w:val="00600466"/>
    <w:rsid w:val="00601419"/>
    <w:rsid w:val="00602E1A"/>
    <w:rsid w:val="00602F26"/>
    <w:rsid w:val="0060451C"/>
    <w:rsid w:val="006050D4"/>
    <w:rsid w:val="006058E4"/>
    <w:rsid w:val="00606075"/>
    <w:rsid w:val="00607B0D"/>
    <w:rsid w:val="006134FC"/>
    <w:rsid w:val="00613873"/>
    <w:rsid w:val="00613EE6"/>
    <w:rsid w:val="0061450A"/>
    <w:rsid w:val="00615235"/>
    <w:rsid w:val="0061597F"/>
    <w:rsid w:val="00617198"/>
    <w:rsid w:val="00620192"/>
    <w:rsid w:val="006216C5"/>
    <w:rsid w:val="00621F27"/>
    <w:rsid w:val="00623417"/>
    <w:rsid w:val="006268A1"/>
    <w:rsid w:val="00631541"/>
    <w:rsid w:val="006335A8"/>
    <w:rsid w:val="00633619"/>
    <w:rsid w:val="00635BAF"/>
    <w:rsid w:val="006379E2"/>
    <w:rsid w:val="006407B0"/>
    <w:rsid w:val="00642AA9"/>
    <w:rsid w:val="00644178"/>
    <w:rsid w:val="00644ECA"/>
    <w:rsid w:val="00646032"/>
    <w:rsid w:val="0065457A"/>
    <w:rsid w:val="0065484C"/>
    <w:rsid w:val="006600CD"/>
    <w:rsid w:val="00663186"/>
    <w:rsid w:val="00670711"/>
    <w:rsid w:val="00670FC1"/>
    <w:rsid w:val="00671191"/>
    <w:rsid w:val="006711FF"/>
    <w:rsid w:val="00673D8E"/>
    <w:rsid w:val="00675EAC"/>
    <w:rsid w:val="0067672B"/>
    <w:rsid w:val="0067698D"/>
    <w:rsid w:val="00677F66"/>
    <w:rsid w:val="0068037D"/>
    <w:rsid w:val="00682A52"/>
    <w:rsid w:val="0068698C"/>
    <w:rsid w:val="00686FAA"/>
    <w:rsid w:val="00691492"/>
    <w:rsid w:val="0069386B"/>
    <w:rsid w:val="00693A21"/>
    <w:rsid w:val="00694432"/>
    <w:rsid w:val="00695B97"/>
    <w:rsid w:val="006A31BA"/>
    <w:rsid w:val="006A3906"/>
    <w:rsid w:val="006A5385"/>
    <w:rsid w:val="006A6053"/>
    <w:rsid w:val="006B0C5F"/>
    <w:rsid w:val="006B0EC4"/>
    <w:rsid w:val="006B1190"/>
    <w:rsid w:val="006B1335"/>
    <w:rsid w:val="006B3488"/>
    <w:rsid w:val="006B6C90"/>
    <w:rsid w:val="006C02E4"/>
    <w:rsid w:val="006C11F4"/>
    <w:rsid w:val="006C29AD"/>
    <w:rsid w:val="006C4200"/>
    <w:rsid w:val="006C7DDC"/>
    <w:rsid w:val="006D2604"/>
    <w:rsid w:val="006D2AE9"/>
    <w:rsid w:val="006D5FE3"/>
    <w:rsid w:val="006D65B8"/>
    <w:rsid w:val="006D7586"/>
    <w:rsid w:val="006E01DE"/>
    <w:rsid w:val="006E050B"/>
    <w:rsid w:val="006E0E7D"/>
    <w:rsid w:val="006E2EE2"/>
    <w:rsid w:val="006E7BAE"/>
    <w:rsid w:val="006F177A"/>
    <w:rsid w:val="006F1DEC"/>
    <w:rsid w:val="006F2470"/>
    <w:rsid w:val="006F2B9A"/>
    <w:rsid w:val="006F7CA5"/>
    <w:rsid w:val="0070149B"/>
    <w:rsid w:val="00701BB1"/>
    <w:rsid w:val="00702703"/>
    <w:rsid w:val="00703DE1"/>
    <w:rsid w:val="0070577B"/>
    <w:rsid w:val="00707FD3"/>
    <w:rsid w:val="007130B4"/>
    <w:rsid w:val="00721CDE"/>
    <w:rsid w:val="007226B4"/>
    <w:rsid w:val="00725398"/>
    <w:rsid w:val="00725DD4"/>
    <w:rsid w:val="0072784C"/>
    <w:rsid w:val="00731E67"/>
    <w:rsid w:val="00733DB9"/>
    <w:rsid w:val="007348A8"/>
    <w:rsid w:val="00737122"/>
    <w:rsid w:val="007401D4"/>
    <w:rsid w:val="00740CCE"/>
    <w:rsid w:val="00742AFF"/>
    <w:rsid w:val="00742DB7"/>
    <w:rsid w:val="0074334C"/>
    <w:rsid w:val="007441D4"/>
    <w:rsid w:val="0074565E"/>
    <w:rsid w:val="007456D0"/>
    <w:rsid w:val="00747F25"/>
    <w:rsid w:val="00750EBE"/>
    <w:rsid w:val="00755022"/>
    <w:rsid w:val="00760D94"/>
    <w:rsid w:val="00763FD9"/>
    <w:rsid w:val="00764D71"/>
    <w:rsid w:val="007662C9"/>
    <w:rsid w:val="00766FAD"/>
    <w:rsid w:val="00772755"/>
    <w:rsid w:val="00774F54"/>
    <w:rsid w:val="007751DD"/>
    <w:rsid w:val="00775555"/>
    <w:rsid w:val="007806E0"/>
    <w:rsid w:val="00780D13"/>
    <w:rsid w:val="007839AF"/>
    <w:rsid w:val="007847A9"/>
    <w:rsid w:val="00785B83"/>
    <w:rsid w:val="007902B8"/>
    <w:rsid w:val="007906EE"/>
    <w:rsid w:val="007906F7"/>
    <w:rsid w:val="007910AB"/>
    <w:rsid w:val="00791B52"/>
    <w:rsid w:val="00792838"/>
    <w:rsid w:val="007941E6"/>
    <w:rsid w:val="00794439"/>
    <w:rsid w:val="007949AE"/>
    <w:rsid w:val="007A17C2"/>
    <w:rsid w:val="007A4186"/>
    <w:rsid w:val="007A548B"/>
    <w:rsid w:val="007B2573"/>
    <w:rsid w:val="007B3673"/>
    <w:rsid w:val="007C3591"/>
    <w:rsid w:val="007C4763"/>
    <w:rsid w:val="007C4AFB"/>
    <w:rsid w:val="007C73BC"/>
    <w:rsid w:val="007D57DE"/>
    <w:rsid w:val="007D5D0C"/>
    <w:rsid w:val="007E09E8"/>
    <w:rsid w:val="007E27D1"/>
    <w:rsid w:val="007E2CE9"/>
    <w:rsid w:val="007E48B7"/>
    <w:rsid w:val="007E6CD9"/>
    <w:rsid w:val="007E748E"/>
    <w:rsid w:val="007F046B"/>
    <w:rsid w:val="007F2166"/>
    <w:rsid w:val="007F248F"/>
    <w:rsid w:val="007F2744"/>
    <w:rsid w:val="007F62F5"/>
    <w:rsid w:val="007F6885"/>
    <w:rsid w:val="007F6CAA"/>
    <w:rsid w:val="007F72DA"/>
    <w:rsid w:val="007F7BE1"/>
    <w:rsid w:val="00801190"/>
    <w:rsid w:val="00801FC2"/>
    <w:rsid w:val="00804829"/>
    <w:rsid w:val="00804B72"/>
    <w:rsid w:val="00805054"/>
    <w:rsid w:val="00810684"/>
    <w:rsid w:val="00811177"/>
    <w:rsid w:val="00811EC2"/>
    <w:rsid w:val="008125D4"/>
    <w:rsid w:val="00814259"/>
    <w:rsid w:val="00814E18"/>
    <w:rsid w:val="00821297"/>
    <w:rsid w:val="008236F2"/>
    <w:rsid w:val="00826893"/>
    <w:rsid w:val="0083008F"/>
    <w:rsid w:val="00830B70"/>
    <w:rsid w:val="008334D5"/>
    <w:rsid w:val="00836533"/>
    <w:rsid w:val="00836967"/>
    <w:rsid w:val="008373CB"/>
    <w:rsid w:val="00840933"/>
    <w:rsid w:val="00843F2E"/>
    <w:rsid w:val="00845D8D"/>
    <w:rsid w:val="0084650B"/>
    <w:rsid w:val="00846D35"/>
    <w:rsid w:val="00852056"/>
    <w:rsid w:val="00852F6D"/>
    <w:rsid w:val="00855C05"/>
    <w:rsid w:val="00857ED4"/>
    <w:rsid w:val="00861180"/>
    <w:rsid w:val="008621C6"/>
    <w:rsid w:val="00863651"/>
    <w:rsid w:val="0086368E"/>
    <w:rsid w:val="00864018"/>
    <w:rsid w:val="008644B8"/>
    <w:rsid w:val="00867D9C"/>
    <w:rsid w:val="0087211C"/>
    <w:rsid w:val="00872490"/>
    <w:rsid w:val="008727E1"/>
    <w:rsid w:val="00872C60"/>
    <w:rsid w:val="008742FE"/>
    <w:rsid w:val="00875F72"/>
    <w:rsid w:val="00876C94"/>
    <w:rsid w:val="00876E90"/>
    <w:rsid w:val="00877159"/>
    <w:rsid w:val="0088046D"/>
    <w:rsid w:val="00882666"/>
    <w:rsid w:val="008844D0"/>
    <w:rsid w:val="00886D93"/>
    <w:rsid w:val="00892363"/>
    <w:rsid w:val="00894172"/>
    <w:rsid w:val="008963AF"/>
    <w:rsid w:val="00896432"/>
    <w:rsid w:val="00897D66"/>
    <w:rsid w:val="008A2F50"/>
    <w:rsid w:val="008A47D1"/>
    <w:rsid w:val="008A6AF2"/>
    <w:rsid w:val="008A730D"/>
    <w:rsid w:val="008A7B17"/>
    <w:rsid w:val="008B07D3"/>
    <w:rsid w:val="008B43D2"/>
    <w:rsid w:val="008B48F1"/>
    <w:rsid w:val="008B70BE"/>
    <w:rsid w:val="008B72EB"/>
    <w:rsid w:val="008B7C93"/>
    <w:rsid w:val="008C0354"/>
    <w:rsid w:val="008C1C1F"/>
    <w:rsid w:val="008C2CC7"/>
    <w:rsid w:val="008C453F"/>
    <w:rsid w:val="008C47DF"/>
    <w:rsid w:val="008D0B31"/>
    <w:rsid w:val="008D166C"/>
    <w:rsid w:val="008D16B6"/>
    <w:rsid w:val="008D56CA"/>
    <w:rsid w:val="008D6662"/>
    <w:rsid w:val="008D66DE"/>
    <w:rsid w:val="008D688D"/>
    <w:rsid w:val="008D7425"/>
    <w:rsid w:val="008E3276"/>
    <w:rsid w:val="008E41CB"/>
    <w:rsid w:val="008E46A9"/>
    <w:rsid w:val="008F0547"/>
    <w:rsid w:val="008F28E5"/>
    <w:rsid w:val="008F2FEF"/>
    <w:rsid w:val="008F30A3"/>
    <w:rsid w:val="008F7E11"/>
    <w:rsid w:val="009003BD"/>
    <w:rsid w:val="009008B4"/>
    <w:rsid w:val="00900CAF"/>
    <w:rsid w:val="009034F3"/>
    <w:rsid w:val="0090572E"/>
    <w:rsid w:val="009063BF"/>
    <w:rsid w:val="00906826"/>
    <w:rsid w:val="00914B2B"/>
    <w:rsid w:val="00914B82"/>
    <w:rsid w:val="009153CC"/>
    <w:rsid w:val="009171D5"/>
    <w:rsid w:val="00921F98"/>
    <w:rsid w:val="009222AA"/>
    <w:rsid w:val="00922B0E"/>
    <w:rsid w:val="00923304"/>
    <w:rsid w:val="00924D1D"/>
    <w:rsid w:val="00925143"/>
    <w:rsid w:val="00930235"/>
    <w:rsid w:val="00932085"/>
    <w:rsid w:val="009347E7"/>
    <w:rsid w:val="0093752D"/>
    <w:rsid w:val="00940268"/>
    <w:rsid w:val="0094046B"/>
    <w:rsid w:val="00941995"/>
    <w:rsid w:val="0094691C"/>
    <w:rsid w:val="00950D95"/>
    <w:rsid w:val="00951CD9"/>
    <w:rsid w:val="009538E0"/>
    <w:rsid w:val="009546A5"/>
    <w:rsid w:val="0095584A"/>
    <w:rsid w:val="00962757"/>
    <w:rsid w:val="00962780"/>
    <w:rsid w:val="00967E3A"/>
    <w:rsid w:val="0097058F"/>
    <w:rsid w:val="00970C49"/>
    <w:rsid w:val="00970D6B"/>
    <w:rsid w:val="00971F8D"/>
    <w:rsid w:val="009744A2"/>
    <w:rsid w:val="0098618C"/>
    <w:rsid w:val="00987226"/>
    <w:rsid w:val="00993A67"/>
    <w:rsid w:val="0099465C"/>
    <w:rsid w:val="00995B78"/>
    <w:rsid w:val="00996AA7"/>
    <w:rsid w:val="00996BF4"/>
    <w:rsid w:val="00996F83"/>
    <w:rsid w:val="0099730D"/>
    <w:rsid w:val="009A0171"/>
    <w:rsid w:val="009A02F6"/>
    <w:rsid w:val="009A38B7"/>
    <w:rsid w:val="009A6A21"/>
    <w:rsid w:val="009A7160"/>
    <w:rsid w:val="009B3023"/>
    <w:rsid w:val="009B3E51"/>
    <w:rsid w:val="009B47BB"/>
    <w:rsid w:val="009B4974"/>
    <w:rsid w:val="009B6DA6"/>
    <w:rsid w:val="009C25E4"/>
    <w:rsid w:val="009C4878"/>
    <w:rsid w:val="009C6E38"/>
    <w:rsid w:val="009C70A5"/>
    <w:rsid w:val="009D17CB"/>
    <w:rsid w:val="009D6D9F"/>
    <w:rsid w:val="009E1CE8"/>
    <w:rsid w:val="009E2B81"/>
    <w:rsid w:val="009E3E8E"/>
    <w:rsid w:val="009E55ED"/>
    <w:rsid w:val="009E758F"/>
    <w:rsid w:val="009F327B"/>
    <w:rsid w:val="009F3398"/>
    <w:rsid w:val="009F7A46"/>
    <w:rsid w:val="00A008DE"/>
    <w:rsid w:val="00A023C6"/>
    <w:rsid w:val="00A035B6"/>
    <w:rsid w:val="00A04846"/>
    <w:rsid w:val="00A04F37"/>
    <w:rsid w:val="00A06EE8"/>
    <w:rsid w:val="00A07B50"/>
    <w:rsid w:val="00A10FDA"/>
    <w:rsid w:val="00A2015C"/>
    <w:rsid w:val="00A21599"/>
    <w:rsid w:val="00A23E63"/>
    <w:rsid w:val="00A241A9"/>
    <w:rsid w:val="00A27216"/>
    <w:rsid w:val="00A30C24"/>
    <w:rsid w:val="00A30DF3"/>
    <w:rsid w:val="00A37043"/>
    <w:rsid w:val="00A41E35"/>
    <w:rsid w:val="00A42166"/>
    <w:rsid w:val="00A4434D"/>
    <w:rsid w:val="00A447F3"/>
    <w:rsid w:val="00A44991"/>
    <w:rsid w:val="00A44FD6"/>
    <w:rsid w:val="00A45586"/>
    <w:rsid w:val="00A45A49"/>
    <w:rsid w:val="00A46420"/>
    <w:rsid w:val="00A506D4"/>
    <w:rsid w:val="00A513D4"/>
    <w:rsid w:val="00A53153"/>
    <w:rsid w:val="00A55B06"/>
    <w:rsid w:val="00A56BEA"/>
    <w:rsid w:val="00A606BF"/>
    <w:rsid w:val="00A60EB8"/>
    <w:rsid w:val="00A61286"/>
    <w:rsid w:val="00A61A49"/>
    <w:rsid w:val="00A61A74"/>
    <w:rsid w:val="00A6220F"/>
    <w:rsid w:val="00A62968"/>
    <w:rsid w:val="00A64601"/>
    <w:rsid w:val="00A70002"/>
    <w:rsid w:val="00A74CCB"/>
    <w:rsid w:val="00A74E76"/>
    <w:rsid w:val="00A771B6"/>
    <w:rsid w:val="00A77285"/>
    <w:rsid w:val="00A837A5"/>
    <w:rsid w:val="00A878EC"/>
    <w:rsid w:val="00A901FE"/>
    <w:rsid w:val="00A92034"/>
    <w:rsid w:val="00A92432"/>
    <w:rsid w:val="00A932DC"/>
    <w:rsid w:val="00A936F8"/>
    <w:rsid w:val="00A95725"/>
    <w:rsid w:val="00AA100E"/>
    <w:rsid w:val="00AA253A"/>
    <w:rsid w:val="00AA41CC"/>
    <w:rsid w:val="00AA4814"/>
    <w:rsid w:val="00AA7349"/>
    <w:rsid w:val="00AB067D"/>
    <w:rsid w:val="00AB0C62"/>
    <w:rsid w:val="00AB25B4"/>
    <w:rsid w:val="00AB3159"/>
    <w:rsid w:val="00AC19E2"/>
    <w:rsid w:val="00AC2C51"/>
    <w:rsid w:val="00AC62FE"/>
    <w:rsid w:val="00AC756A"/>
    <w:rsid w:val="00AD02A9"/>
    <w:rsid w:val="00AD261D"/>
    <w:rsid w:val="00AD4F0F"/>
    <w:rsid w:val="00AD5AEF"/>
    <w:rsid w:val="00AD6861"/>
    <w:rsid w:val="00AD68A7"/>
    <w:rsid w:val="00AD7489"/>
    <w:rsid w:val="00AD7DBD"/>
    <w:rsid w:val="00AE381C"/>
    <w:rsid w:val="00AE4D48"/>
    <w:rsid w:val="00AF230B"/>
    <w:rsid w:val="00AF4E2D"/>
    <w:rsid w:val="00AF6101"/>
    <w:rsid w:val="00B01B69"/>
    <w:rsid w:val="00B03A7E"/>
    <w:rsid w:val="00B078E9"/>
    <w:rsid w:val="00B107B9"/>
    <w:rsid w:val="00B10E73"/>
    <w:rsid w:val="00B13498"/>
    <w:rsid w:val="00B14683"/>
    <w:rsid w:val="00B219FB"/>
    <w:rsid w:val="00B224CF"/>
    <w:rsid w:val="00B22A1F"/>
    <w:rsid w:val="00B22ABD"/>
    <w:rsid w:val="00B2325C"/>
    <w:rsid w:val="00B23365"/>
    <w:rsid w:val="00B2471C"/>
    <w:rsid w:val="00B25AC4"/>
    <w:rsid w:val="00B26967"/>
    <w:rsid w:val="00B26B60"/>
    <w:rsid w:val="00B3086A"/>
    <w:rsid w:val="00B32E52"/>
    <w:rsid w:val="00B33F96"/>
    <w:rsid w:val="00B34FA6"/>
    <w:rsid w:val="00B37348"/>
    <w:rsid w:val="00B4167C"/>
    <w:rsid w:val="00B430C3"/>
    <w:rsid w:val="00B43BE5"/>
    <w:rsid w:val="00B458EF"/>
    <w:rsid w:val="00B45ECC"/>
    <w:rsid w:val="00B47305"/>
    <w:rsid w:val="00B5291C"/>
    <w:rsid w:val="00B54529"/>
    <w:rsid w:val="00B55B39"/>
    <w:rsid w:val="00B57F68"/>
    <w:rsid w:val="00B600BD"/>
    <w:rsid w:val="00B662CA"/>
    <w:rsid w:val="00B671A6"/>
    <w:rsid w:val="00B67471"/>
    <w:rsid w:val="00B67AE9"/>
    <w:rsid w:val="00B67D66"/>
    <w:rsid w:val="00B72F4F"/>
    <w:rsid w:val="00B76F0E"/>
    <w:rsid w:val="00B83123"/>
    <w:rsid w:val="00B877C2"/>
    <w:rsid w:val="00B9296A"/>
    <w:rsid w:val="00B92E08"/>
    <w:rsid w:val="00B94303"/>
    <w:rsid w:val="00B967C8"/>
    <w:rsid w:val="00B977C6"/>
    <w:rsid w:val="00BA303E"/>
    <w:rsid w:val="00BA6BA6"/>
    <w:rsid w:val="00BA786F"/>
    <w:rsid w:val="00BB5CBF"/>
    <w:rsid w:val="00BB7790"/>
    <w:rsid w:val="00BC0058"/>
    <w:rsid w:val="00BC127A"/>
    <w:rsid w:val="00BC28AC"/>
    <w:rsid w:val="00BC2FEE"/>
    <w:rsid w:val="00BC5893"/>
    <w:rsid w:val="00BC5A41"/>
    <w:rsid w:val="00BC5B4E"/>
    <w:rsid w:val="00BC637A"/>
    <w:rsid w:val="00BD0472"/>
    <w:rsid w:val="00BD133E"/>
    <w:rsid w:val="00BD6B2B"/>
    <w:rsid w:val="00BD716A"/>
    <w:rsid w:val="00BE3D5F"/>
    <w:rsid w:val="00BE54ED"/>
    <w:rsid w:val="00BE62DB"/>
    <w:rsid w:val="00BE671A"/>
    <w:rsid w:val="00BE6C88"/>
    <w:rsid w:val="00BF020F"/>
    <w:rsid w:val="00BF067F"/>
    <w:rsid w:val="00BF19F6"/>
    <w:rsid w:val="00BF3A44"/>
    <w:rsid w:val="00BF6ABC"/>
    <w:rsid w:val="00C02496"/>
    <w:rsid w:val="00C0327D"/>
    <w:rsid w:val="00C03439"/>
    <w:rsid w:val="00C03FCA"/>
    <w:rsid w:val="00C057AA"/>
    <w:rsid w:val="00C117BA"/>
    <w:rsid w:val="00C13B00"/>
    <w:rsid w:val="00C142EB"/>
    <w:rsid w:val="00C1546D"/>
    <w:rsid w:val="00C17233"/>
    <w:rsid w:val="00C200C8"/>
    <w:rsid w:val="00C21F3F"/>
    <w:rsid w:val="00C24474"/>
    <w:rsid w:val="00C24958"/>
    <w:rsid w:val="00C2537F"/>
    <w:rsid w:val="00C263A3"/>
    <w:rsid w:val="00C2695B"/>
    <w:rsid w:val="00C269A4"/>
    <w:rsid w:val="00C302FB"/>
    <w:rsid w:val="00C30721"/>
    <w:rsid w:val="00C314B7"/>
    <w:rsid w:val="00C33E36"/>
    <w:rsid w:val="00C349CA"/>
    <w:rsid w:val="00C353DC"/>
    <w:rsid w:val="00C40B36"/>
    <w:rsid w:val="00C40CB4"/>
    <w:rsid w:val="00C42962"/>
    <w:rsid w:val="00C44DDF"/>
    <w:rsid w:val="00C47140"/>
    <w:rsid w:val="00C52CBA"/>
    <w:rsid w:val="00C52DAF"/>
    <w:rsid w:val="00C530A7"/>
    <w:rsid w:val="00C5600F"/>
    <w:rsid w:val="00C56452"/>
    <w:rsid w:val="00C572FE"/>
    <w:rsid w:val="00C57D22"/>
    <w:rsid w:val="00C607BF"/>
    <w:rsid w:val="00C60A3F"/>
    <w:rsid w:val="00C61413"/>
    <w:rsid w:val="00C61AB8"/>
    <w:rsid w:val="00C6283E"/>
    <w:rsid w:val="00C63B19"/>
    <w:rsid w:val="00C64C9B"/>
    <w:rsid w:val="00C64E69"/>
    <w:rsid w:val="00C64FCD"/>
    <w:rsid w:val="00C660D9"/>
    <w:rsid w:val="00C6696E"/>
    <w:rsid w:val="00C66E9E"/>
    <w:rsid w:val="00C67455"/>
    <w:rsid w:val="00C72FB3"/>
    <w:rsid w:val="00C755ED"/>
    <w:rsid w:val="00C7590E"/>
    <w:rsid w:val="00C76431"/>
    <w:rsid w:val="00C80217"/>
    <w:rsid w:val="00C80517"/>
    <w:rsid w:val="00C81394"/>
    <w:rsid w:val="00C81703"/>
    <w:rsid w:val="00C82E5F"/>
    <w:rsid w:val="00C84036"/>
    <w:rsid w:val="00C84290"/>
    <w:rsid w:val="00C84A54"/>
    <w:rsid w:val="00C853DE"/>
    <w:rsid w:val="00C878CE"/>
    <w:rsid w:val="00C9175B"/>
    <w:rsid w:val="00C971A0"/>
    <w:rsid w:val="00CA0355"/>
    <w:rsid w:val="00CA0D2E"/>
    <w:rsid w:val="00CA16FC"/>
    <w:rsid w:val="00CA1E79"/>
    <w:rsid w:val="00CA1F94"/>
    <w:rsid w:val="00CA32EE"/>
    <w:rsid w:val="00CA60F5"/>
    <w:rsid w:val="00CA78BA"/>
    <w:rsid w:val="00CB212A"/>
    <w:rsid w:val="00CB23DC"/>
    <w:rsid w:val="00CB52CF"/>
    <w:rsid w:val="00CB5F16"/>
    <w:rsid w:val="00CB61A3"/>
    <w:rsid w:val="00CB63DF"/>
    <w:rsid w:val="00CB7742"/>
    <w:rsid w:val="00CB779A"/>
    <w:rsid w:val="00CC06B2"/>
    <w:rsid w:val="00CC0B46"/>
    <w:rsid w:val="00CC4420"/>
    <w:rsid w:val="00CC4CC0"/>
    <w:rsid w:val="00CC5800"/>
    <w:rsid w:val="00CD023E"/>
    <w:rsid w:val="00CD19F2"/>
    <w:rsid w:val="00CD3B76"/>
    <w:rsid w:val="00CD44E3"/>
    <w:rsid w:val="00CD514D"/>
    <w:rsid w:val="00CD5940"/>
    <w:rsid w:val="00CE0493"/>
    <w:rsid w:val="00CE1C3A"/>
    <w:rsid w:val="00CE3768"/>
    <w:rsid w:val="00CE5F72"/>
    <w:rsid w:val="00CE5F92"/>
    <w:rsid w:val="00CF0015"/>
    <w:rsid w:val="00CF1AE5"/>
    <w:rsid w:val="00CF3920"/>
    <w:rsid w:val="00CF4B1B"/>
    <w:rsid w:val="00CF5729"/>
    <w:rsid w:val="00CF64FB"/>
    <w:rsid w:val="00CF7C60"/>
    <w:rsid w:val="00D00CD0"/>
    <w:rsid w:val="00D00F06"/>
    <w:rsid w:val="00D011AE"/>
    <w:rsid w:val="00D022FB"/>
    <w:rsid w:val="00D028C0"/>
    <w:rsid w:val="00D07CB4"/>
    <w:rsid w:val="00D14066"/>
    <w:rsid w:val="00D14699"/>
    <w:rsid w:val="00D14A36"/>
    <w:rsid w:val="00D17DF8"/>
    <w:rsid w:val="00D22762"/>
    <w:rsid w:val="00D229EB"/>
    <w:rsid w:val="00D24440"/>
    <w:rsid w:val="00D252A7"/>
    <w:rsid w:val="00D2736B"/>
    <w:rsid w:val="00D27DF6"/>
    <w:rsid w:val="00D31C38"/>
    <w:rsid w:val="00D32419"/>
    <w:rsid w:val="00D32773"/>
    <w:rsid w:val="00D34305"/>
    <w:rsid w:val="00D36D28"/>
    <w:rsid w:val="00D376AD"/>
    <w:rsid w:val="00D37980"/>
    <w:rsid w:val="00D42577"/>
    <w:rsid w:val="00D43BFE"/>
    <w:rsid w:val="00D44BCE"/>
    <w:rsid w:val="00D45D91"/>
    <w:rsid w:val="00D46540"/>
    <w:rsid w:val="00D511DA"/>
    <w:rsid w:val="00D53334"/>
    <w:rsid w:val="00D548EC"/>
    <w:rsid w:val="00D55324"/>
    <w:rsid w:val="00D56A23"/>
    <w:rsid w:val="00D57811"/>
    <w:rsid w:val="00D620CA"/>
    <w:rsid w:val="00D63B06"/>
    <w:rsid w:val="00D7008D"/>
    <w:rsid w:val="00D705D9"/>
    <w:rsid w:val="00D70CAF"/>
    <w:rsid w:val="00D71270"/>
    <w:rsid w:val="00D83B74"/>
    <w:rsid w:val="00D87DBE"/>
    <w:rsid w:val="00D87FEA"/>
    <w:rsid w:val="00D90A7D"/>
    <w:rsid w:val="00D95269"/>
    <w:rsid w:val="00DA2B59"/>
    <w:rsid w:val="00DA4688"/>
    <w:rsid w:val="00DA5A85"/>
    <w:rsid w:val="00DA7152"/>
    <w:rsid w:val="00DB02BD"/>
    <w:rsid w:val="00DB3105"/>
    <w:rsid w:val="00DB56E5"/>
    <w:rsid w:val="00DB5CE5"/>
    <w:rsid w:val="00DB687A"/>
    <w:rsid w:val="00DC23E7"/>
    <w:rsid w:val="00DD2C46"/>
    <w:rsid w:val="00DD7C35"/>
    <w:rsid w:val="00DE2EE9"/>
    <w:rsid w:val="00DE439C"/>
    <w:rsid w:val="00DE75BD"/>
    <w:rsid w:val="00DF16D3"/>
    <w:rsid w:val="00DF30B0"/>
    <w:rsid w:val="00DF401F"/>
    <w:rsid w:val="00DF713C"/>
    <w:rsid w:val="00E012CC"/>
    <w:rsid w:val="00E03A3E"/>
    <w:rsid w:val="00E04C94"/>
    <w:rsid w:val="00E0535E"/>
    <w:rsid w:val="00E14BF5"/>
    <w:rsid w:val="00E15D1B"/>
    <w:rsid w:val="00E16B56"/>
    <w:rsid w:val="00E172E6"/>
    <w:rsid w:val="00E17B68"/>
    <w:rsid w:val="00E17D2D"/>
    <w:rsid w:val="00E17E19"/>
    <w:rsid w:val="00E20716"/>
    <w:rsid w:val="00E207D7"/>
    <w:rsid w:val="00E21E0A"/>
    <w:rsid w:val="00E24FE9"/>
    <w:rsid w:val="00E258AF"/>
    <w:rsid w:val="00E3450D"/>
    <w:rsid w:val="00E3643E"/>
    <w:rsid w:val="00E37D65"/>
    <w:rsid w:val="00E406A8"/>
    <w:rsid w:val="00E4313E"/>
    <w:rsid w:val="00E519BA"/>
    <w:rsid w:val="00E55D68"/>
    <w:rsid w:val="00E605D0"/>
    <w:rsid w:val="00E61127"/>
    <w:rsid w:val="00E61978"/>
    <w:rsid w:val="00E61E10"/>
    <w:rsid w:val="00E623BB"/>
    <w:rsid w:val="00E63A50"/>
    <w:rsid w:val="00E641F3"/>
    <w:rsid w:val="00E64873"/>
    <w:rsid w:val="00E65836"/>
    <w:rsid w:val="00E70D1A"/>
    <w:rsid w:val="00E70FA6"/>
    <w:rsid w:val="00E71078"/>
    <w:rsid w:val="00E7257E"/>
    <w:rsid w:val="00E74551"/>
    <w:rsid w:val="00E75FF2"/>
    <w:rsid w:val="00E76A11"/>
    <w:rsid w:val="00E80FD5"/>
    <w:rsid w:val="00E82E91"/>
    <w:rsid w:val="00E8441A"/>
    <w:rsid w:val="00E8483D"/>
    <w:rsid w:val="00E90F20"/>
    <w:rsid w:val="00E914F5"/>
    <w:rsid w:val="00E91FB3"/>
    <w:rsid w:val="00E96317"/>
    <w:rsid w:val="00E9736B"/>
    <w:rsid w:val="00E9761E"/>
    <w:rsid w:val="00EA1DA8"/>
    <w:rsid w:val="00EA2534"/>
    <w:rsid w:val="00EA4E22"/>
    <w:rsid w:val="00EB6A18"/>
    <w:rsid w:val="00EC0E99"/>
    <w:rsid w:val="00EC2472"/>
    <w:rsid w:val="00EC2611"/>
    <w:rsid w:val="00EC3C7D"/>
    <w:rsid w:val="00EC55E1"/>
    <w:rsid w:val="00EC785E"/>
    <w:rsid w:val="00ED2A1F"/>
    <w:rsid w:val="00ED3F05"/>
    <w:rsid w:val="00ED4C35"/>
    <w:rsid w:val="00ED4D87"/>
    <w:rsid w:val="00ED4FFB"/>
    <w:rsid w:val="00EE10F6"/>
    <w:rsid w:val="00EE2AA5"/>
    <w:rsid w:val="00EE33AC"/>
    <w:rsid w:val="00EE3712"/>
    <w:rsid w:val="00EE7270"/>
    <w:rsid w:val="00EF10C6"/>
    <w:rsid w:val="00EF1949"/>
    <w:rsid w:val="00EF248F"/>
    <w:rsid w:val="00EF441C"/>
    <w:rsid w:val="00EF4C58"/>
    <w:rsid w:val="00EF4D62"/>
    <w:rsid w:val="00F038BC"/>
    <w:rsid w:val="00F04991"/>
    <w:rsid w:val="00F05B65"/>
    <w:rsid w:val="00F07E74"/>
    <w:rsid w:val="00F15C05"/>
    <w:rsid w:val="00F15E7F"/>
    <w:rsid w:val="00F161AC"/>
    <w:rsid w:val="00F24071"/>
    <w:rsid w:val="00F24B7F"/>
    <w:rsid w:val="00F2700F"/>
    <w:rsid w:val="00F27FBB"/>
    <w:rsid w:val="00F30329"/>
    <w:rsid w:val="00F32373"/>
    <w:rsid w:val="00F32DB1"/>
    <w:rsid w:val="00F34BF0"/>
    <w:rsid w:val="00F410B1"/>
    <w:rsid w:val="00F4132B"/>
    <w:rsid w:val="00F43780"/>
    <w:rsid w:val="00F5056E"/>
    <w:rsid w:val="00F52860"/>
    <w:rsid w:val="00F60038"/>
    <w:rsid w:val="00F60E6B"/>
    <w:rsid w:val="00F61A13"/>
    <w:rsid w:val="00F61C8E"/>
    <w:rsid w:val="00F65775"/>
    <w:rsid w:val="00F705F4"/>
    <w:rsid w:val="00F70825"/>
    <w:rsid w:val="00F74FC6"/>
    <w:rsid w:val="00F77CEF"/>
    <w:rsid w:val="00F80275"/>
    <w:rsid w:val="00F80DA0"/>
    <w:rsid w:val="00F81614"/>
    <w:rsid w:val="00F823F3"/>
    <w:rsid w:val="00F82C37"/>
    <w:rsid w:val="00F83C46"/>
    <w:rsid w:val="00F84FA5"/>
    <w:rsid w:val="00F869C7"/>
    <w:rsid w:val="00F86CC5"/>
    <w:rsid w:val="00F91ACA"/>
    <w:rsid w:val="00F92A92"/>
    <w:rsid w:val="00F947CA"/>
    <w:rsid w:val="00FA049A"/>
    <w:rsid w:val="00FA53F8"/>
    <w:rsid w:val="00FA5CA5"/>
    <w:rsid w:val="00FA5F4E"/>
    <w:rsid w:val="00FA6BA0"/>
    <w:rsid w:val="00FB06A3"/>
    <w:rsid w:val="00FB0CFC"/>
    <w:rsid w:val="00FB14E7"/>
    <w:rsid w:val="00FB1935"/>
    <w:rsid w:val="00FB1FBD"/>
    <w:rsid w:val="00FB36A1"/>
    <w:rsid w:val="00FB5769"/>
    <w:rsid w:val="00FC13F1"/>
    <w:rsid w:val="00FC4789"/>
    <w:rsid w:val="00FC5A99"/>
    <w:rsid w:val="00FC7EF2"/>
    <w:rsid w:val="00FD0BF6"/>
    <w:rsid w:val="00FD3DA6"/>
    <w:rsid w:val="00FE0CDE"/>
    <w:rsid w:val="00FE25C7"/>
    <w:rsid w:val="00FE2A5E"/>
    <w:rsid w:val="00FE2E0C"/>
    <w:rsid w:val="00FE3A76"/>
    <w:rsid w:val="00FE484D"/>
    <w:rsid w:val="00FE6E9F"/>
    <w:rsid w:val="00FF032C"/>
    <w:rsid w:val="00FF2159"/>
    <w:rsid w:val="00FF2353"/>
    <w:rsid w:val="00FF5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E8E1B0"/>
  <w14:defaultImageDpi w14:val="32767"/>
  <w15:docId w15:val="{900BCF03-2C6D-5C41-9B13-24A4C4332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4529"/>
    <w:rPr>
      <w:rFonts w:ascii="Times New Roman" w:eastAsia="Times New Roman" w:hAnsi="Times New Roman" w:cs="Times New Roman"/>
    </w:rPr>
  </w:style>
  <w:style w:type="paragraph" w:styleId="Titre1">
    <w:name w:val="heading 1"/>
    <w:basedOn w:val="Normal"/>
    <w:next w:val="Normal"/>
    <w:link w:val="Titre1Car"/>
    <w:uiPriority w:val="9"/>
    <w:qFormat/>
    <w:rsid w:val="00CF1AE5"/>
    <w:pPr>
      <w:keepNext/>
      <w:keepLines/>
      <w:spacing w:before="240"/>
      <w:outlineLvl w:val="0"/>
    </w:pPr>
    <w:rPr>
      <w:rFonts w:asciiTheme="majorHAnsi" w:eastAsiaTheme="majorEastAsia" w:hAnsiTheme="majorHAnsi" w:cstheme="majorBidi"/>
      <w:color w:val="2F5496" w:themeColor="accent1" w:themeShade="BF"/>
      <w:sz w:val="32"/>
      <w:szCs w:val="32"/>
      <w:lang w:val="fr-FR"/>
    </w:rPr>
  </w:style>
  <w:style w:type="paragraph" w:styleId="Titre2">
    <w:name w:val="heading 2"/>
    <w:basedOn w:val="Normal"/>
    <w:next w:val="Normal"/>
    <w:link w:val="Titre2Car"/>
    <w:uiPriority w:val="9"/>
    <w:unhideWhenUsed/>
    <w:qFormat/>
    <w:rsid w:val="0098722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794439"/>
    <w:pPr>
      <w:keepNext/>
      <w:keepLines/>
      <w:spacing w:before="40"/>
      <w:outlineLvl w:val="2"/>
    </w:pPr>
    <w:rPr>
      <w:rFonts w:asciiTheme="majorHAnsi" w:eastAsiaTheme="majorEastAsia" w:hAnsiTheme="majorHAnsi" w:cstheme="majorBidi"/>
      <w:color w:val="1F3763" w:themeColor="accent1" w:themeShade="7F"/>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11AA4"/>
    <w:pPr>
      <w:ind w:left="720"/>
      <w:contextualSpacing/>
    </w:pPr>
  </w:style>
  <w:style w:type="character" w:styleId="Marquedecommentaire">
    <w:name w:val="annotation reference"/>
    <w:basedOn w:val="Policepardfaut"/>
    <w:uiPriority w:val="99"/>
    <w:semiHidden/>
    <w:unhideWhenUsed/>
    <w:rsid w:val="003F055B"/>
    <w:rPr>
      <w:sz w:val="18"/>
      <w:szCs w:val="18"/>
    </w:rPr>
  </w:style>
  <w:style w:type="paragraph" w:styleId="Commentaire">
    <w:name w:val="annotation text"/>
    <w:basedOn w:val="Normal"/>
    <w:link w:val="CommentaireCar"/>
    <w:uiPriority w:val="99"/>
    <w:unhideWhenUsed/>
    <w:rsid w:val="003F055B"/>
  </w:style>
  <w:style w:type="character" w:customStyle="1" w:styleId="CommentaireCar">
    <w:name w:val="Commentaire Car"/>
    <w:basedOn w:val="Policepardfaut"/>
    <w:link w:val="Commentaire"/>
    <w:uiPriority w:val="99"/>
    <w:rsid w:val="003F055B"/>
  </w:style>
  <w:style w:type="paragraph" w:styleId="Objetducommentaire">
    <w:name w:val="annotation subject"/>
    <w:basedOn w:val="Commentaire"/>
    <w:next w:val="Commentaire"/>
    <w:link w:val="ObjetducommentaireCar"/>
    <w:uiPriority w:val="99"/>
    <w:semiHidden/>
    <w:unhideWhenUsed/>
    <w:rsid w:val="003F055B"/>
    <w:rPr>
      <w:b/>
      <w:bCs/>
      <w:sz w:val="20"/>
      <w:szCs w:val="20"/>
    </w:rPr>
  </w:style>
  <w:style w:type="character" w:customStyle="1" w:styleId="ObjetducommentaireCar">
    <w:name w:val="Objet du commentaire Car"/>
    <w:basedOn w:val="CommentaireCar"/>
    <w:link w:val="Objetducommentaire"/>
    <w:uiPriority w:val="99"/>
    <w:semiHidden/>
    <w:rsid w:val="003F055B"/>
    <w:rPr>
      <w:b/>
      <w:bCs/>
      <w:sz w:val="20"/>
      <w:szCs w:val="20"/>
    </w:rPr>
  </w:style>
  <w:style w:type="paragraph" w:styleId="Textedebulles">
    <w:name w:val="Balloon Text"/>
    <w:basedOn w:val="Normal"/>
    <w:link w:val="TextedebullesCar"/>
    <w:uiPriority w:val="99"/>
    <w:semiHidden/>
    <w:unhideWhenUsed/>
    <w:rsid w:val="003F055B"/>
    <w:rPr>
      <w:sz w:val="18"/>
      <w:szCs w:val="18"/>
    </w:rPr>
  </w:style>
  <w:style w:type="character" w:customStyle="1" w:styleId="TextedebullesCar">
    <w:name w:val="Texte de bulles Car"/>
    <w:basedOn w:val="Policepardfaut"/>
    <w:link w:val="Textedebulles"/>
    <w:uiPriority w:val="99"/>
    <w:semiHidden/>
    <w:rsid w:val="003F055B"/>
    <w:rPr>
      <w:rFonts w:ascii="Times New Roman" w:hAnsi="Times New Roman" w:cs="Times New Roman"/>
      <w:sz w:val="18"/>
      <w:szCs w:val="18"/>
    </w:rPr>
  </w:style>
  <w:style w:type="paragraph" w:customStyle="1" w:styleId="Coverpagetext">
    <w:name w:val="Cover page text"/>
    <w:basedOn w:val="Normal"/>
    <w:qFormat/>
    <w:rsid w:val="00987226"/>
    <w:pPr>
      <w:spacing w:before="60" w:after="60" w:line="432" w:lineRule="auto"/>
    </w:pPr>
    <w:rPr>
      <w:rFonts w:ascii="Arial" w:eastAsia="Arial" w:hAnsi="Arial"/>
      <w:sz w:val="22"/>
      <w:szCs w:val="22"/>
    </w:rPr>
  </w:style>
  <w:style w:type="paragraph" w:customStyle="1" w:styleId="Coverpagetitle">
    <w:name w:val="Cover page title"/>
    <w:basedOn w:val="Titre2"/>
    <w:qFormat/>
    <w:rsid w:val="00987226"/>
    <w:pPr>
      <w:spacing w:before="180" w:after="120" w:line="25" w:lineRule="atLeast"/>
    </w:pPr>
    <w:rPr>
      <w:rFonts w:ascii="Cambria" w:eastAsia="Times New Roman" w:hAnsi="Cambria" w:cs="Times New Roman"/>
      <w:b/>
      <w:bCs/>
      <w:i/>
      <w:color w:val="auto"/>
      <w:sz w:val="24"/>
    </w:rPr>
  </w:style>
  <w:style w:type="paragraph" w:customStyle="1" w:styleId="Default">
    <w:name w:val="Default"/>
    <w:rsid w:val="00987226"/>
    <w:pPr>
      <w:autoSpaceDE w:val="0"/>
      <w:autoSpaceDN w:val="0"/>
      <w:adjustRightInd w:val="0"/>
    </w:pPr>
    <w:rPr>
      <w:rFonts w:ascii="Arial" w:hAnsi="Arial" w:cs="Arial"/>
      <w:color w:val="000000"/>
      <w:lang w:val="fr-BE"/>
    </w:rPr>
  </w:style>
  <w:style w:type="character" w:customStyle="1" w:styleId="Titre2Car">
    <w:name w:val="Titre 2 Car"/>
    <w:basedOn w:val="Policepardfaut"/>
    <w:link w:val="Titre2"/>
    <w:uiPriority w:val="9"/>
    <w:rsid w:val="00987226"/>
    <w:rPr>
      <w:rFonts w:asciiTheme="majorHAnsi" w:eastAsiaTheme="majorEastAsia" w:hAnsiTheme="majorHAnsi" w:cstheme="majorBidi"/>
      <w:color w:val="2F5496" w:themeColor="accent1" w:themeShade="BF"/>
      <w:sz w:val="26"/>
      <w:szCs w:val="26"/>
    </w:rPr>
  </w:style>
  <w:style w:type="paragraph" w:styleId="Rvision">
    <w:name w:val="Revision"/>
    <w:hidden/>
    <w:uiPriority w:val="99"/>
    <w:semiHidden/>
    <w:rsid w:val="00274E9F"/>
  </w:style>
  <w:style w:type="paragraph" w:styleId="Notedefin">
    <w:name w:val="endnote text"/>
    <w:basedOn w:val="Normal"/>
    <w:link w:val="NotedefinCar"/>
    <w:uiPriority w:val="99"/>
    <w:unhideWhenUsed/>
    <w:rsid w:val="00810684"/>
  </w:style>
  <w:style w:type="character" w:customStyle="1" w:styleId="NotedefinCar">
    <w:name w:val="Note de fin Car"/>
    <w:basedOn w:val="Policepardfaut"/>
    <w:link w:val="Notedefin"/>
    <w:uiPriority w:val="99"/>
    <w:rsid w:val="00810684"/>
  </w:style>
  <w:style w:type="character" w:styleId="Appeldenotedefin">
    <w:name w:val="endnote reference"/>
    <w:basedOn w:val="Policepardfaut"/>
    <w:uiPriority w:val="99"/>
    <w:unhideWhenUsed/>
    <w:rsid w:val="00810684"/>
    <w:rPr>
      <w:vertAlign w:val="superscript"/>
    </w:rPr>
  </w:style>
  <w:style w:type="paragraph" w:styleId="Pieddepage">
    <w:name w:val="footer"/>
    <w:basedOn w:val="Normal"/>
    <w:link w:val="PieddepageCar"/>
    <w:uiPriority w:val="99"/>
    <w:unhideWhenUsed/>
    <w:rsid w:val="00453BC3"/>
    <w:pPr>
      <w:tabs>
        <w:tab w:val="center" w:pos="4536"/>
        <w:tab w:val="right" w:pos="9072"/>
      </w:tabs>
    </w:pPr>
  </w:style>
  <w:style w:type="character" w:customStyle="1" w:styleId="PieddepageCar">
    <w:name w:val="Pied de page Car"/>
    <w:basedOn w:val="Policepardfaut"/>
    <w:link w:val="Pieddepage"/>
    <w:uiPriority w:val="99"/>
    <w:rsid w:val="00453BC3"/>
  </w:style>
  <w:style w:type="character" w:styleId="Numrodepage">
    <w:name w:val="page number"/>
    <w:basedOn w:val="Policepardfaut"/>
    <w:uiPriority w:val="99"/>
    <w:semiHidden/>
    <w:unhideWhenUsed/>
    <w:rsid w:val="00453BC3"/>
  </w:style>
  <w:style w:type="character" w:styleId="Numrodeligne">
    <w:name w:val="line number"/>
    <w:basedOn w:val="Policepardfaut"/>
    <w:uiPriority w:val="99"/>
    <w:semiHidden/>
    <w:unhideWhenUsed/>
    <w:rsid w:val="00FB1935"/>
  </w:style>
  <w:style w:type="character" w:customStyle="1" w:styleId="Titre3Car">
    <w:name w:val="Titre 3 Car"/>
    <w:basedOn w:val="Policepardfaut"/>
    <w:link w:val="Titre3"/>
    <w:uiPriority w:val="9"/>
    <w:rsid w:val="00794439"/>
    <w:rPr>
      <w:rFonts w:asciiTheme="majorHAnsi" w:eastAsiaTheme="majorEastAsia" w:hAnsiTheme="majorHAnsi" w:cstheme="majorBidi"/>
      <w:color w:val="1F3763" w:themeColor="accent1" w:themeShade="7F"/>
      <w:lang w:val="fr-FR"/>
    </w:rPr>
  </w:style>
  <w:style w:type="paragraph" w:styleId="Bibliographie">
    <w:name w:val="Bibliography"/>
    <w:basedOn w:val="Normal"/>
    <w:next w:val="Normal"/>
    <w:uiPriority w:val="37"/>
    <w:unhideWhenUsed/>
    <w:rsid w:val="00E8483D"/>
    <w:rPr>
      <w:lang w:val="fr-FR"/>
    </w:rPr>
  </w:style>
  <w:style w:type="character" w:styleId="Lienhypertexte">
    <w:name w:val="Hyperlink"/>
    <w:basedOn w:val="Policepardfaut"/>
    <w:uiPriority w:val="99"/>
    <w:unhideWhenUsed/>
    <w:rsid w:val="00A23E63"/>
    <w:rPr>
      <w:color w:val="0563C1" w:themeColor="hyperlink"/>
      <w:u w:val="single"/>
    </w:rPr>
  </w:style>
  <w:style w:type="character" w:customStyle="1" w:styleId="Titre1Car">
    <w:name w:val="Titre 1 Car"/>
    <w:basedOn w:val="Policepardfaut"/>
    <w:link w:val="Titre1"/>
    <w:uiPriority w:val="9"/>
    <w:rsid w:val="00CF1AE5"/>
    <w:rPr>
      <w:rFonts w:asciiTheme="majorHAnsi" w:eastAsiaTheme="majorEastAsia" w:hAnsiTheme="majorHAnsi" w:cstheme="majorBidi"/>
      <w:color w:val="2F5496" w:themeColor="accent1" w:themeShade="BF"/>
      <w:sz w:val="32"/>
      <w:szCs w:val="32"/>
      <w:lang w:val="fr-FR"/>
    </w:rPr>
  </w:style>
  <w:style w:type="character" w:customStyle="1" w:styleId="st">
    <w:name w:val="st"/>
    <w:basedOn w:val="Policepardfaut"/>
    <w:rsid w:val="00E96317"/>
  </w:style>
  <w:style w:type="paragraph" w:styleId="Notedebasdepage">
    <w:name w:val="footnote text"/>
    <w:basedOn w:val="Normal"/>
    <w:link w:val="NotedebasdepageCar"/>
    <w:uiPriority w:val="99"/>
    <w:semiHidden/>
    <w:unhideWhenUsed/>
    <w:rsid w:val="0090572E"/>
    <w:rPr>
      <w:sz w:val="20"/>
      <w:szCs w:val="20"/>
    </w:rPr>
  </w:style>
  <w:style w:type="character" w:customStyle="1" w:styleId="NotedebasdepageCar">
    <w:name w:val="Note de bas de page Car"/>
    <w:basedOn w:val="Policepardfaut"/>
    <w:link w:val="Notedebasdepage"/>
    <w:uiPriority w:val="99"/>
    <w:semiHidden/>
    <w:rsid w:val="0090572E"/>
    <w:rPr>
      <w:sz w:val="20"/>
      <w:szCs w:val="20"/>
    </w:rPr>
  </w:style>
  <w:style w:type="character" w:styleId="Appelnotedebasdep">
    <w:name w:val="footnote reference"/>
    <w:basedOn w:val="Policepardfaut"/>
    <w:uiPriority w:val="99"/>
    <w:semiHidden/>
    <w:unhideWhenUsed/>
    <w:rsid w:val="0090572E"/>
    <w:rPr>
      <w:vertAlign w:val="superscript"/>
    </w:rPr>
  </w:style>
  <w:style w:type="character" w:customStyle="1" w:styleId="apple-tab-span">
    <w:name w:val="apple-tab-span"/>
    <w:basedOn w:val="Policepardfaut"/>
    <w:rsid w:val="000C52D7"/>
  </w:style>
  <w:style w:type="character" w:customStyle="1" w:styleId="apple-converted-space">
    <w:name w:val="apple-converted-space"/>
    <w:basedOn w:val="Policepardfaut"/>
    <w:rsid w:val="000C52D7"/>
  </w:style>
  <w:style w:type="character" w:customStyle="1" w:styleId="UnresolvedMention1">
    <w:name w:val="Unresolved Mention1"/>
    <w:basedOn w:val="Policepardfaut"/>
    <w:uiPriority w:val="99"/>
    <w:rsid w:val="00FD3DA6"/>
    <w:rPr>
      <w:color w:val="605E5C"/>
      <w:shd w:val="clear" w:color="auto" w:fill="E1DFDD"/>
    </w:rPr>
  </w:style>
  <w:style w:type="character" w:customStyle="1" w:styleId="UnresolvedMention">
    <w:name w:val="Unresolved Mention"/>
    <w:basedOn w:val="Policepardfaut"/>
    <w:uiPriority w:val="99"/>
    <w:semiHidden/>
    <w:unhideWhenUsed/>
    <w:rsid w:val="00E20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160">
      <w:bodyDiv w:val="1"/>
      <w:marLeft w:val="0"/>
      <w:marRight w:val="0"/>
      <w:marTop w:val="0"/>
      <w:marBottom w:val="0"/>
      <w:divBdr>
        <w:top w:val="none" w:sz="0" w:space="0" w:color="auto"/>
        <w:left w:val="none" w:sz="0" w:space="0" w:color="auto"/>
        <w:bottom w:val="none" w:sz="0" w:space="0" w:color="auto"/>
        <w:right w:val="none" w:sz="0" w:space="0" w:color="auto"/>
      </w:divBdr>
    </w:div>
    <w:div w:id="8875299">
      <w:bodyDiv w:val="1"/>
      <w:marLeft w:val="0"/>
      <w:marRight w:val="0"/>
      <w:marTop w:val="0"/>
      <w:marBottom w:val="0"/>
      <w:divBdr>
        <w:top w:val="none" w:sz="0" w:space="0" w:color="auto"/>
        <w:left w:val="none" w:sz="0" w:space="0" w:color="auto"/>
        <w:bottom w:val="none" w:sz="0" w:space="0" w:color="auto"/>
        <w:right w:val="none" w:sz="0" w:space="0" w:color="auto"/>
      </w:divBdr>
    </w:div>
    <w:div w:id="25524327">
      <w:bodyDiv w:val="1"/>
      <w:marLeft w:val="0"/>
      <w:marRight w:val="0"/>
      <w:marTop w:val="0"/>
      <w:marBottom w:val="0"/>
      <w:divBdr>
        <w:top w:val="none" w:sz="0" w:space="0" w:color="auto"/>
        <w:left w:val="none" w:sz="0" w:space="0" w:color="auto"/>
        <w:bottom w:val="none" w:sz="0" w:space="0" w:color="auto"/>
        <w:right w:val="none" w:sz="0" w:space="0" w:color="auto"/>
      </w:divBdr>
    </w:div>
    <w:div w:id="34352481">
      <w:bodyDiv w:val="1"/>
      <w:marLeft w:val="0"/>
      <w:marRight w:val="0"/>
      <w:marTop w:val="0"/>
      <w:marBottom w:val="0"/>
      <w:divBdr>
        <w:top w:val="none" w:sz="0" w:space="0" w:color="auto"/>
        <w:left w:val="none" w:sz="0" w:space="0" w:color="auto"/>
        <w:bottom w:val="none" w:sz="0" w:space="0" w:color="auto"/>
        <w:right w:val="none" w:sz="0" w:space="0" w:color="auto"/>
      </w:divBdr>
    </w:div>
    <w:div w:id="34427472">
      <w:bodyDiv w:val="1"/>
      <w:marLeft w:val="0"/>
      <w:marRight w:val="0"/>
      <w:marTop w:val="0"/>
      <w:marBottom w:val="0"/>
      <w:divBdr>
        <w:top w:val="none" w:sz="0" w:space="0" w:color="auto"/>
        <w:left w:val="none" w:sz="0" w:space="0" w:color="auto"/>
        <w:bottom w:val="none" w:sz="0" w:space="0" w:color="auto"/>
        <w:right w:val="none" w:sz="0" w:space="0" w:color="auto"/>
      </w:divBdr>
    </w:div>
    <w:div w:id="36707979">
      <w:bodyDiv w:val="1"/>
      <w:marLeft w:val="0"/>
      <w:marRight w:val="0"/>
      <w:marTop w:val="0"/>
      <w:marBottom w:val="0"/>
      <w:divBdr>
        <w:top w:val="none" w:sz="0" w:space="0" w:color="auto"/>
        <w:left w:val="none" w:sz="0" w:space="0" w:color="auto"/>
        <w:bottom w:val="none" w:sz="0" w:space="0" w:color="auto"/>
        <w:right w:val="none" w:sz="0" w:space="0" w:color="auto"/>
      </w:divBdr>
    </w:div>
    <w:div w:id="48768353">
      <w:bodyDiv w:val="1"/>
      <w:marLeft w:val="0"/>
      <w:marRight w:val="0"/>
      <w:marTop w:val="0"/>
      <w:marBottom w:val="0"/>
      <w:divBdr>
        <w:top w:val="none" w:sz="0" w:space="0" w:color="auto"/>
        <w:left w:val="none" w:sz="0" w:space="0" w:color="auto"/>
        <w:bottom w:val="none" w:sz="0" w:space="0" w:color="auto"/>
        <w:right w:val="none" w:sz="0" w:space="0" w:color="auto"/>
      </w:divBdr>
    </w:div>
    <w:div w:id="50004114">
      <w:bodyDiv w:val="1"/>
      <w:marLeft w:val="0"/>
      <w:marRight w:val="0"/>
      <w:marTop w:val="0"/>
      <w:marBottom w:val="0"/>
      <w:divBdr>
        <w:top w:val="none" w:sz="0" w:space="0" w:color="auto"/>
        <w:left w:val="none" w:sz="0" w:space="0" w:color="auto"/>
        <w:bottom w:val="none" w:sz="0" w:space="0" w:color="auto"/>
        <w:right w:val="none" w:sz="0" w:space="0" w:color="auto"/>
      </w:divBdr>
    </w:div>
    <w:div w:id="53284061">
      <w:bodyDiv w:val="1"/>
      <w:marLeft w:val="0"/>
      <w:marRight w:val="0"/>
      <w:marTop w:val="0"/>
      <w:marBottom w:val="0"/>
      <w:divBdr>
        <w:top w:val="none" w:sz="0" w:space="0" w:color="auto"/>
        <w:left w:val="none" w:sz="0" w:space="0" w:color="auto"/>
        <w:bottom w:val="none" w:sz="0" w:space="0" w:color="auto"/>
        <w:right w:val="none" w:sz="0" w:space="0" w:color="auto"/>
      </w:divBdr>
    </w:div>
    <w:div w:id="67770194">
      <w:bodyDiv w:val="1"/>
      <w:marLeft w:val="0"/>
      <w:marRight w:val="0"/>
      <w:marTop w:val="0"/>
      <w:marBottom w:val="0"/>
      <w:divBdr>
        <w:top w:val="none" w:sz="0" w:space="0" w:color="auto"/>
        <w:left w:val="none" w:sz="0" w:space="0" w:color="auto"/>
        <w:bottom w:val="none" w:sz="0" w:space="0" w:color="auto"/>
        <w:right w:val="none" w:sz="0" w:space="0" w:color="auto"/>
      </w:divBdr>
    </w:div>
    <w:div w:id="73205611">
      <w:bodyDiv w:val="1"/>
      <w:marLeft w:val="0"/>
      <w:marRight w:val="0"/>
      <w:marTop w:val="0"/>
      <w:marBottom w:val="0"/>
      <w:divBdr>
        <w:top w:val="none" w:sz="0" w:space="0" w:color="auto"/>
        <w:left w:val="none" w:sz="0" w:space="0" w:color="auto"/>
        <w:bottom w:val="none" w:sz="0" w:space="0" w:color="auto"/>
        <w:right w:val="none" w:sz="0" w:space="0" w:color="auto"/>
      </w:divBdr>
    </w:div>
    <w:div w:id="77021467">
      <w:bodyDiv w:val="1"/>
      <w:marLeft w:val="0"/>
      <w:marRight w:val="0"/>
      <w:marTop w:val="0"/>
      <w:marBottom w:val="0"/>
      <w:divBdr>
        <w:top w:val="none" w:sz="0" w:space="0" w:color="auto"/>
        <w:left w:val="none" w:sz="0" w:space="0" w:color="auto"/>
        <w:bottom w:val="none" w:sz="0" w:space="0" w:color="auto"/>
        <w:right w:val="none" w:sz="0" w:space="0" w:color="auto"/>
      </w:divBdr>
    </w:div>
    <w:div w:id="84962610">
      <w:bodyDiv w:val="1"/>
      <w:marLeft w:val="0"/>
      <w:marRight w:val="0"/>
      <w:marTop w:val="0"/>
      <w:marBottom w:val="0"/>
      <w:divBdr>
        <w:top w:val="none" w:sz="0" w:space="0" w:color="auto"/>
        <w:left w:val="none" w:sz="0" w:space="0" w:color="auto"/>
        <w:bottom w:val="none" w:sz="0" w:space="0" w:color="auto"/>
        <w:right w:val="none" w:sz="0" w:space="0" w:color="auto"/>
      </w:divBdr>
    </w:div>
    <w:div w:id="89202494">
      <w:bodyDiv w:val="1"/>
      <w:marLeft w:val="0"/>
      <w:marRight w:val="0"/>
      <w:marTop w:val="0"/>
      <w:marBottom w:val="0"/>
      <w:divBdr>
        <w:top w:val="none" w:sz="0" w:space="0" w:color="auto"/>
        <w:left w:val="none" w:sz="0" w:space="0" w:color="auto"/>
        <w:bottom w:val="none" w:sz="0" w:space="0" w:color="auto"/>
        <w:right w:val="none" w:sz="0" w:space="0" w:color="auto"/>
      </w:divBdr>
    </w:div>
    <w:div w:id="94984469">
      <w:bodyDiv w:val="1"/>
      <w:marLeft w:val="0"/>
      <w:marRight w:val="0"/>
      <w:marTop w:val="0"/>
      <w:marBottom w:val="0"/>
      <w:divBdr>
        <w:top w:val="none" w:sz="0" w:space="0" w:color="auto"/>
        <w:left w:val="none" w:sz="0" w:space="0" w:color="auto"/>
        <w:bottom w:val="none" w:sz="0" w:space="0" w:color="auto"/>
        <w:right w:val="none" w:sz="0" w:space="0" w:color="auto"/>
      </w:divBdr>
    </w:div>
    <w:div w:id="104086293">
      <w:bodyDiv w:val="1"/>
      <w:marLeft w:val="0"/>
      <w:marRight w:val="0"/>
      <w:marTop w:val="0"/>
      <w:marBottom w:val="0"/>
      <w:divBdr>
        <w:top w:val="none" w:sz="0" w:space="0" w:color="auto"/>
        <w:left w:val="none" w:sz="0" w:space="0" w:color="auto"/>
        <w:bottom w:val="none" w:sz="0" w:space="0" w:color="auto"/>
        <w:right w:val="none" w:sz="0" w:space="0" w:color="auto"/>
      </w:divBdr>
    </w:div>
    <w:div w:id="127863111">
      <w:bodyDiv w:val="1"/>
      <w:marLeft w:val="0"/>
      <w:marRight w:val="0"/>
      <w:marTop w:val="0"/>
      <w:marBottom w:val="0"/>
      <w:divBdr>
        <w:top w:val="none" w:sz="0" w:space="0" w:color="auto"/>
        <w:left w:val="none" w:sz="0" w:space="0" w:color="auto"/>
        <w:bottom w:val="none" w:sz="0" w:space="0" w:color="auto"/>
        <w:right w:val="none" w:sz="0" w:space="0" w:color="auto"/>
      </w:divBdr>
    </w:div>
    <w:div w:id="133449164">
      <w:bodyDiv w:val="1"/>
      <w:marLeft w:val="0"/>
      <w:marRight w:val="0"/>
      <w:marTop w:val="0"/>
      <w:marBottom w:val="0"/>
      <w:divBdr>
        <w:top w:val="none" w:sz="0" w:space="0" w:color="auto"/>
        <w:left w:val="none" w:sz="0" w:space="0" w:color="auto"/>
        <w:bottom w:val="none" w:sz="0" w:space="0" w:color="auto"/>
        <w:right w:val="none" w:sz="0" w:space="0" w:color="auto"/>
      </w:divBdr>
    </w:div>
    <w:div w:id="135144968">
      <w:bodyDiv w:val="1"/>
      <w:marLeft w:val="0"/>
      <w:marRight w:val="0"/>
      <w:marTop w:val="0"/>
      <w:marBottom w:val="0"/>
      <w:divBdr>
        <w:top w:val="none" w:sz="0" w:space="0" w:color="auto"/>
        <w:left w:val="none" w:sz="0" w:space="0" w:color="auto"/>
        <w:bottom w:val="none" w:sz="0" w:space="0" w:color="auto"/>
        <w:right w:val="none" w:sz="0" w:space="0" w:color="auto"/>
      </w:divBdr>
    </w:div>
    <w:div w:id="141040562">
      <w:bodyDiv w:val="1"/>
      <w:marLeft w:val="0"/>
      <w:marRight w:val="0"/>
      <w:marTop w:val="0"/>
      <w:marBottom w:val="0"/>
      <w:divBdr>
        <w:top w:val="none" w:sz="0" w:space="0" w:color="auto"/>
        <w:left w:val="none" w:sz="0" w:space="0" w:color="auto"/>
        <w:bottom w:val="none" w:sz="0" w:space="0" w:color="auto"/>
        <w:right w:val="none" w:sz="0" w:space="0" w:color="auto"/>
      </w:divBdr>
    </w:div>
    <w:div w:id="142282673">
      <w:bodyDiv w:val="1"/>
      <w:marLeft w:val="0"/>
      <w:marRight w:val="0"/>
      <w:marTop w:val="0"/>
      <w:marBottom w:val="0"/>
      <w:divBdr>
        <w:top w:val="none" w:sz="0" w:space="0" w:color="auto"/>
        <w:left w:val="none" w:sz="0" w:space="0" w:color="auto"/>
        <w:bottom w:val="none" w:sz="0" w:space="0" w:color="auto"/>
        <w:right w:val="none" w:sz="0" w:space="0" w:color="auto"/>
      </w:divBdr>
    </w:div>
    <w:div w:id="142477580">
      <w:bodyDiv w:val="1"/>
      <w:marLeft w:val="0"/>
      <w:marRight w:val="0"/>
      <w:marTop w:val="0"/>
      <w:marBottom w:val="0"/>
      <w:divBdr>
        <w:top w:val="none" w:sz="0" w:space="0" w:color="auto"/>
        <w:left w:val="none" w:sz="0" w:space="0" w:color="auto"/>
        <w:bottom w:val="none" w:sz="0" w:space="0" w:color="auto"/>
        <w:right w:val="none" w:sz="0" w:space="0" w:color="auto"/>
      </w:divBdr>
    </w:div>
    <w:div w:id="165898277">
      <w:bodyDiv w:val="1"/>
      <w:marLeft w:val="0"/>
      <w:marRight w:val="0"/>
      <w:marTop w:val="0"/>
      <w:marBottom w:val="0"/>
      <w:divBdr>
        <w:top w:val="none" w:sz="0" w:space="0" w:color="auto"/>
        <w:left w:val="none" w:sz="0" w:space="0" w:color="auto"/>
        <w:bottom w:val="none" w:sz="0" w:space="0" w:color="auto"/>
        <w:right w:val="none" w:sz="0" w:space="0" w:color="auto"/>
      </w:divBdr>
    </w:div>
    <w:div w:id="168832836">
      <w:bodyDiv w:val="1"/>
      <w:marLeft w:val="0"/>
      <w:marRight w:val="0"/>
      <w:marTop w:val="0"/>
      <w:marBottom w:val="0"/>
      <w:divBdr>
        <w:top w:val="none" w:sz="0" w:space="0" w:color="auto"/>
        <w:left w:val="none" w:sz="0" w:space="0" w:color="auto"/>
        <w:bottom w:val="none" w:sz="0" w:space="0" w:color="auto"/>
        <w:right w:val="none" w:sz="0" w:space="0" w:color="auto"/>
      </w:divBdr>
    </w:div>
    <w:div w:id="188614535">
      <w:bodyDiv w:val="1"/>
      <w:marLeft w:val="0"/>
      <w:marRight w:val="0"/>
      <w:marTop w:val="0"/>
      <w:marBottom w:val="0"/>
      <w:divBdr>
        <w:top w:val="none" w:sz="0" w:space="0" w:color="auto"/>
        <w:left w:val="none" w:sz="0" w:space="0" w:color="auto"/>
        <w:bottom w:val="none" w:sz="0" w:space="0" w:color="auto"/>
        <w:right w:val="none" w:sz="0" w:space="0" w:color="auto"/>
      </w:divBdr>
    </w:div>
    <w:div w:id="204175304">
      <w:bodyDiv w:val="1"/>
      <w:marLeft w:val="0"/>
      <w:marRight w:val="0"/>
      <w:marTop w:val="0"/>
      <w:marBottom w:val="0"/>
      <w:divBdr>
        <w:top w:val="none" w:sz="0" w:space="0" w:color="auto"/>
        <w:left w:val="none" w:sz="0" w:space="0" w:color="auto"/>
        <w:bottom w:val="none" w:sz="0" w:space="0" w:color="auto"/>
        <w:right w:val="none" w:sz="0" w:space="0" w:color="auto"/>
      </w:divBdr>
    </w:div>
    <w:div w:id="209458645">
      <w:bodyDiv w:val="1"/>
      <w:marLeft w:val="0"/>
      <w:marRight w:val="0"/>
      <w:marTop w:val="0"/>
      <w:marBottom w:val="0"/>
      <w:divBdr>
        <w:top w:val="none" w:sz="0" w:space="0" w:color="auto"/>
        <w:left w:val="none" w:sz="0" w:space="0" w:color="auto"/>
        <w:bottom w:val="none" w:sz="0" w:space="0" w:color="auto"/>
        <w:right w:val="none" w:sz="0" w:space="0" w:color="auto"/>
      </w:divBdr>
    </w:div>
    <w:div w:id="209459087">
      <w:bodyDiv w:val="1"/>
      <w:marLeft w:val="0"/>
      <w:marRight w:val="0"/>
      <w:marTop w:val="0"/>
      <w:marBottom w:val="0"/>
      <w:divBdr>
        <w:top w:val="none" w:sz="0" w:space="0" w:color="auto"/>
        <w:left w:val="none" w:sz="0" w:space="0" w:color="auto"/>
        <w:bottom w:val="none" w:sz="0" w:space="0" w:color="auto"/>
        <w:right w:val="none" w:sz="0" w:space="0" w:color="auto"/>
      </w:divBdr>
    </w:div>
    <w:div w:id="211158532">
      <w:bodyDiv w:val="1"/>
      <w:marLeft w:val="0"/>
      <w:marRight w:val="0"/>
      <w:marTop w:val="0"/>
      <w:marBottom w:val="0"/>
      <w:divBdr>
        <w:top w:val="none" w:sz="0" w:space="0" w:color="auto"/>
        <w:left w:val="none" w:sz="0" w:space="0" w:color="auto"/>
        <w:bottom w:val="none" w:sz="0" w:space="0" w:color="auto"/>
        <w:right w:val="none" w:sz="0" w:space="0" w:color="auto"/>
      </w:divBdr>
    </w:div>
    <w:div w:id="222720899">
      <w:bodyDiv w:val="1"/>
      <w:marLeft w:val="0"/>
      <w:marRight w:val="0"/>
      <w:marTop w:val="0"/>
      <w:marBottom w:val="0"/>
      <w:divBdr>
        <w:top w:val="none" w:sz="0" w:space="0" w:color="auto"/>
        <w:left w:val="none" w:sz="0" w:space="0" w:color="auto"/>
        <w:bottom w:val="none" w:sz="0" w:space="0" w:color="auto"/>
        <w:right w:val="none" w:sz="0" w:space="0" w:color="auto"/>
      </w:divBdr>
    </w:div>
    <w:div w:id="225075128">
      <w:bodyDiv w:val="1"/>
      <w:marLeft w:val="0"/>
      <w:marRight w:val="0"/>
      <w:marTop w:val="0"/>
      <w:marBottom w:val="0"/>
      <w:divBdr>
        <w:top w:val="none" w:sz="0" w:space="0" w:color="auto"/>
        <w:left w:val="none" w:sz="0" w:space="0" w:color="auto"/>
        <w:bottom w:val="none" w:sz="0" w:space="0" w:color="auto"/>
        <w:right w:val="none" w:sz="0" w:space="0" w:color="auto"/>
      </w:divBdr>
    </w:div>
    <w:div w:id="229073136">
      <w:bodyDiv w:val="1"/>
      <w:marLeft w:val="0"/>
      <w:marRight w:val="0"/>
      <w:marTop w:val="0"/>
      <w:marBottom w:val="0"/>
      <w:divBdr>
        <w:top w:val="none" w:sz="0" w:space="0" w:color="auto"/>
        <w:left w:val="none" w:sz="0" w:space="0" w:color="auto"/>
        <w:bottom w:val="none" w:sz="0" w:space="0" w:color="auto"/>
        <w:right w:val="none" w:sz="0" w:space="0" w:color="auto"/>
      </w:divBdr>
    </w:div>
    <w:div w:id="229197760">
      <w:bodyDiv w:val="1"/>
      <w:marLeft w:val="0"/>
      <w:marRight w:val="0"/>
      <w:marTop w:val="0"/>
      <w:marBottom w:val="0"/>
      <w:divBdr>
        <w:top w:val="none" w:sz="0" w:space="0" w:color="auto"/>
        <w:left w:val="none" w:sz="0" w:space="0" w:color="auto"/>
        <w:bottom w:val="none" w:sz="0" w:space="0" w:color="auto"/>
        <w:right w:val="none" w:sz="0" w:space="0" w:color="auto"/>
      </w:divBdr>
    </w:div>
    <w:div w:id="231889268">
      <w:bodyDiv w:val="1"/>
      <w:marLeft w:val="0"/>
      <w:marRight w:val="0"/>
      <w:marTop w:val="0"/>
      <w:marBottom w:val="0"/>
      <w:divBdr>
        <w:top w:val="none" w:sz="0" w:space="0" w:color="auto"/>
        <w:left w:val="none" w:sz="0" w:space="0" w:color="auto"/>
        <w:bottom w:val="none" w:sz="0" w:space="0" w:color="auto"/>
        <w:right w:val="none" w:sz="0" w:space="0" w:color="auto"/>
      </w:divBdr>
    </w:div>
    <w:div w:id="234753550">
      <w:bodyDiv w:val="1"/>
      <w:marLeft w:val="0"/>
      <w:marRight w:val="0"/>
      <w:marTop w:val="0"/>
      <w:marBottom w:val="0"/>
      <w:divBdr>
        <w:top w:val="none" w:sz="0" w:space="0" w:color="auto"/>
        <w:left w:val="none" w:sz="0" w:space="0" w:color="auto"/>
        <w:bottom w:val="none" w:sz="0" w:space="0" w:color="auto"/>
        <w:right w:val="none" w:sz="0" w:space="0" w:color="auto"/>
      </w:divBdr>
    </w:div>
    <w:div w:id="242646813">
      <w:bodyDiv w:val="1"/>
      <w:marLeft w:val="0"/>
      <w:marRight w:val="0"/>
      <w:marTop w:val="0"/>
      <w:marBottom w:val="0"/>
      <w:divBdr>
        <w:top w:val="none" w:sz="0" w:space="0" w:color="auto"/>
        <w:left w:val="none" w:sz="0" w:space="0" w:color="auto"/>
        <w:bottom w:val="none" w:sz="0" w:space="0" w:color="auto"/>
        <w:right w:val="none" w:sz="0" w:space="0" w:color="auto"/>
      </w:divBdr>
    </w:div>
    <w:div w:id="246111600">
      <w:bodyDiv w:val="1"/>
      <w:marLeft w:val="0"/>
      <w:marRight w:val="0"/>
      <w:marTop w:val="0"/>
      <w:marBottom w:val="0"/>
      <w:divBdr>
        <w:top w:val="none" w:sz="0" w:space="0" w:color="auto"/>
        <w:left w:val="none" w:sz="0" w:space="0" w:color="auto"/>
        <w:bottom w:val="none" w:sz="0" w:space="0" w:color="auto"/>
        <w:right w:val="none" w:sz="0" w:space="0" w:color="auto"/>
      </w:divBdr>
      <w:divsChild>
        <w:div w:id="1850677078">
          <w:marLeft w:val="547"/>
          <w:marRight w:val="0"/>
          <w:marTop w:val="240"/>
          <w:marBottom w:val="40"/>
          <w:divBdr>
            <w:top w:val="none" w:sz="0" w:space="0" w:color="auto"/>
            <w:left w:val="none" w:sz="0" w:space="0" w:color="auto"/>
            <w:bottom w:val="none" w:sz="0" w:space="0" w:color="auto"/>
            <w:right w:val="none" w:sz="0" w:space="0" w:color="auto"/>
          </w:divBdr>
        </w:div>
        <w:div w:id="2133011805">
          <w:marLeft w:val="547"/>
          <w:marRight w:val="0"/>
          <w:marTop w:val="240"/>
          <w:marBottom w:val="40"/>
          <w:divBdr>
            <w:top w:val="none" w:sz="0" w:space="0" w:color="auto"/>
            <w:left w:val="none" w:sz="0" w:space="0" w:color="auto"/>
            <w:bottom w:val="none" w:sz="0" w:space="0" w:color="auto"/>
            <w:right w:val="none" w:sz="0" w:space="0" w:color="auto"/>
          </w:divBdr>
        </w:div>
        <w:div w:id="2145535281">
          <w:marLeft w:val="547"/>
          <w:marRight w:val="0"/>
          <w:marTop w:val="240"/>
          <w:marBottom w:val="40"/>
          <w:divBdr>
            <w:top w:val="none" w:sz="0" w:space="0" w:color="auto"/>
            <w:left w:val="none" w:sz="0" w:space="0" w:color="auto"/>
            <w:bottom w:val="none" w:sz="0" w:space="0" w:color="auto"/>
            <w:right w:val="none" w:sz="0" w:space="0" w:color="auto"/>
          </w:divBdr>
        </w:div>
      </w:divsChild>
    </w:div>
    <w:div w:id="257372364">
      <w:bodyDiv w:val="1"/>
      <w:marLeft w:val="0"/>
      <w:marRight w:val="0"/>
      <w:marTop w:val="0"/>
      <w:marBottom w:val="0"/>
      <w:divBdr>
        <w:top w:val="none" w:sz="0" w:space="0" w:color="auto"/>
        <w:left w:val="none" w:sz="0" w:space="0" w:color="auto"/>
        <w:bottom w:val="none" w:sz="0" w:space="0" w:color="auto"/>
        <w:right w:val="none" w:sz="0" w:space="0" w:color="auto"/>
      </w:divBdr>
    </w:div>
    <w:div w:id="266347798">
      <w:bodyDiv w:val="1"/>
      <w:marLeft w:val="0"/>
      <w:marRight w:val="0"/>
      <w:marTop w:val="0"/>
      <w:marBottom w:val="0"/>
      <w:divBdr>
        <w:top w:val="none" w:sz="0" w:space="0" w:color="auto"/>
        <w:left w:val="none" w:sz="0" w:space="0" w:color="auto"/>
        <w:bottom w:val="none" w:sz="0" w:space="0" w:color="auto"/>
        <w:right w:val="none" w:sz="0" w:space="0" w:color="auto"/>
      </w:divBdr>
    </w:div>
    <w:div w:id="271591542">
      <w:bodyDiv w:val="1"/>
      <w:marLeft w:val="0"/>
      <w:marRight w:val="0"/>
      <w:marTop w:val="0"/>
      <w:marBottom w:val="0"/>
      <w:divBdr>
        <w:top w:val="none" w:sz="0" w:space="0" w:color="auto"/>
        <w:left w:val="none" w:sz="0" w:space="0" w:color="auto"/>
        <w:bottom w:val="none" w:sz="0" w:space="0" w:color="auto"/>
        <w:right w:val="none" w:sz="0" w:space="0" w:color="auto"/>
      </w:divBdr>
    </w:div>
    <w:div w:id="285626449">
      <w:bodyDiv w:val="1"/>
      <w:marLeft w:val="0"/>
      <w:marRight w:val="0"/>
      <w:marTop w:val="0"/>
      <w:marBottom w:val="0"/>
      <w:divBdr>
        <w:top w:val="none" w:sz="0" w:space="0" w:color="auto"/>
        <w:left w:val="none" w:sz="0" w:space="0" w:color="auto"/>
        <w:bottom w:val="none" w:sz="0" w:space="0" w:color="auto"/>
        <w:right w:val="none" w:sz="0" w:space="0" w:color="auto"/>
      </w:divBdr>
    </w:div>
    <w:div w:id="287778484">
      <w:bodyDiv w:val="1"/>
      <w:marLeft w:val="0"/>
      <w:marRight w:val="0"/>
      <w:marTop w:val="0"/>
      <w:marBottom w:val="0"/>
      <w:divBdr>
        <w:top w:val="none" w:sz="0" w:space="0" w:color="auto"/>
        <w:left w:val="none" w:sz="0" w:space="0" w:color="auto"/>
        <w:bottom w:val="none" w:sz="0" w:space="0" w:color="auto"/>
        <w:right w:val="none" w:sz="0" w:space="0" w:color="auto"/>
      </w:divBdr>
    </w:div>
    <w:div w:id="296961585">
      <w:bodyDiv w:val="1"/>
      <w:marLeft w:val="0"/>
      <w:marRight w:val="0"/>
      <w:marTop w:val="0"/>
      <w:marBottom w:val="0"/>
      <w:divBdr>
        <w:top w:val="none" w:sz="0" w:space="0" w:color="auto"/>
        <w:left w:val="none" w:sz="0" w:space="0" w:color="auto"/>
        <w:bottom w:val="none" w:sz="0" w:space="0" w:color="auto"/>
        <w:right w:val="none" w:sz="0" w:space="0" w:color="auto"/>
      </w:divBdr>
    </w:div>
    <w:div w:id="303043303">
      <w:bodyDiv w:val="1"/>
      <w:marLeft w:val="0"/>
      <w:marRight w:val="0"/>
      <w:marTop w:val="0"/>
      <w:marBottom w:val="0"/>
      <w:divBdr>
        <w:top w:val="none" w:sz="0" w:space="0" w:color="auto"/>
        <w:left w:val="none" w:sz="0" w:space="0" w:color="auto"/>
        <w:bottom w:val="none" w:sz="0" w:space="0" w:color="auto"/>
        <w:right w:val="none" w:sz="0" w:space="0" w:color="auto"/>
      </w:divBdr>
    </w:div>
    <w:div w:id="303852788">
      <w:bodyDiv w:val="1"/>
      <w:marLeft w:val="0"/>
      <w:marRight w:val="0"/>
      <w:marTop w:val="0"/>
      <w:marBottom w:val="0"/>
      <w:divBdr>
        <w:top w:val="none" w:sz="0" w:space="0" w:color="auto"/>
        <w:left w:val="none" w:sz="0" w:space="0" w:color="auto"/>
        <w:bottom w:val="none" w:sz="0" w:space="0" w:color="auto"/>
        <w:right w:val="none" w:sz="0" w:space="0" w:color="auto"/>
      </w:divBdr>
    </w:div>
    <w:div w:id="312413354">
      <w:bodyDiv w:val="1"/>
      <w:marLeft w:val="0"/>
      <w:marRight w:val="0"/>
      <w:marTop w:val="0"/>
      <w:marBottom w:val="0"/>
      <w:divBdr>
        <w:top w:val="none" w:sz="0" w:space="0" w:color="auto"/>
        <w:left w:val="none" w:sz="0" w:space="0" w:color="auto"/>
        <w:bottom w:val="none" w:sz="0" w:space="0" w:color="auto"/>
        <w:right w:val="none" w:sz="0" w:space="0" w:color="auto"/>
      </w:divBdr>
    </w:div>
    <w:div w:id="317878717">
      <w:bodyDiv w:val="1"/>
      <w:marLeft w:val="0"/>
      <w:marRight w:val="0"/>
      <w:marTop w:val="0"/>
      <w:marBottom w:val="0"/>
      <w:divBdr>
        <w:top w:val="none" w:sz="0" w:space="0" w:color="auto"/>
        <w:left w:val="none" w:sz="0" w:space="0" w:color="auto"/>
        <w:bottom w:val="none" w:sz="0" w:space="0" w:color="auto"/>
        <w:right w:val="none" w:sz="0" w:space="0" w:color="auto"/>
      </w:divBdr>
    </w:div>
    <w:div w:id="323557185">
      <w:bodyDiv w:val="1"/>
      <w:marLeft w:val="0"/>
      <w:marRight w:val="0"/>
      <w:marTop w:val="0"/>
      <w:marBottom w:val="0"/>
      <w:divBdr>
        <w:top w:val="none" w:sz="0" w:space="0" w:color="auto"/>
        <w:left w:val="none" w:sz="0" w:space="0" w:color="auto"/>
        <w:bottom w:val="none" w:sz="0" w:space="0" w:color="auto"/>
        <w:right w:val="none" w:sz="0" w:space="0" w:color="auto"/>
      </w:divBdr>
    </w:div>
    <w:div w:id="335615178">
      <w:bodyDiv w:val="1"/>
      <w:marLeft w:val="0"/>
      <w:marRight w:val="0"/>
      <w:marTop w:val="0"/>
      <w:marBottom w:val="0"/>
      <w:divBdr>
        <w:top w:val="none" w:sz="0" w:space="0" w:color="auto"/>
        <w:left w:val="none" w:sz="0" w:space="0" w:color="auto"/>
        <w:bottom w:val="none" w:sz="0" w:space="0" w:color="auto"/>
        <w:right w:val="none" w:sz="0" w:space="0" w:color="auto"/>
      </w:divBdr>
    </w:div>
    <w:div w:id="339285276">
      <w:bodyDiv w:val="1"/>
      <w:marLeft w:val="0"/>
      <w:marRight w:val="0"/>
      <w:marTop w:val="0"/>
      <w:marBottom w:val="0"/>
      <w:divBdr>
        <w:top w:val="none" w:sz="0" w:space="0" w:color="auto"/>
        <w:left w:val="none" w:sz="0" w:space="0" w:color="auto"/>
        <w:bottom w:val="none" w:sz="0" w:space="0" w:color="auto"/>
        <w:right w:val="none" w:sz="0" w:space="0" w:color="auto"/>
      </w:divBdr>
    </w:div>
    <w:div w:id="339356456">
      <w:bodyDiv w:val="1"/>
      <w:marLeft w:val="0"/>
      <w:marRight w:val="0"/>
      <w:marTop w:val="0"/>
      <w:marBottom w:val="0"/>
      <w:divBdr>
        <w:top w:val="none" w:sz="0" w:space="0" w:color="auto"/>
        <w:left w:val="none" w:sz="0" w:space="0" w:color="auto"/>
        <w:bottom w:val="none" w:sz="0" w:space="0" w:color="auto"/>
        <w:right w:val="none" w:sz="0" w:space="0" w:color="auto"/>
      </w:divBdr>
    </w:div>
    <w:div w:id="344676122">
      <w:bodyDiv w:val="1"/>
      <w:marLeft w:val="0"/>
      <w:marRight w:val="0"/>
      <w:marTop w:val="0"/>
      <w:marBottom w:val="0"/>
      <w:divBdr>
        <w:top w:val="none" w:sz="0" w:space="0" w:color="auto"/>
        <w:left w:val="none" w:sz="0" w:space="0" w:color="auto"/>
        <w:bottom w:val="none" w:sz="0" w:space="0" w:color="auto"/>
        <w:right w:val="none" w:sz="0" w:space="0" w:color="auto"/>
      </w:divBdr>
    </w:div>
    <w:div w:id="351222999">
      <w:bodyDiv w:val="1"/>
      <w:marLeft w:val="0"/>
      <w:marRight w:val="0"/>
      <w:marTop w:val="0"/>
      <w:marBottom w:val="0"/>
      <w:divBdr>
        <w:top w:val="none" w:sz="0" w:space="0" w:color="auto"/>
        <w:left w:val="none" w:sz="0" w:space="0" w:color="auto"/>
        <w:bottom w:val="none" w:sz="0" w:space="0" w:color="auto"/>
        <w:right w:val="none" w:sz="0" w:space="0" w:color="auto"/>
      </w:divBdr>
    </w:div>
    <w:div w:id="351879965">
      <w:bodyDiv w:val="1"/>
      <w:marLeft w:val="0"/>
      <w:marRight w:val="0"/>
      <w:marTop w:val="0"/>
      <w:marBottom w:val="0"/>
      <w:divBdr>
        <w:top w:val="none" w:sz="0" w:space="0" w:color="auto"/>
        <w:left w:val="none" w:sz="0" w:space="0" w:color="auto"/>
        <w:bottom w:val="none" w:sz="0" w:space="0" w:color="auto"/>
        <w:right w:val="none" w:sz="0" w:space="0" w:color="auto"/>
      </w:divBdr>
    </w:div>
    <w:div w:id="381370160">
      <w:bodyDiv w:val="1"/>
      <w:marLeft w:val="0"/>
      <w:marRight w:val="0"/>
      <w:marTop w:val="0"/>
      <w:marBottom w:val="0"/>
      <w:divBdr>
        <w:top w:val="none" w:sz="0" w:space="0" w:color="auto"/>
        <w:left w:val="none" w:sz="0" w:space="0" w:color="auto"/>
        <w:bottom w:val="none" w:sz="0" w:space="0" w:color="auto"/>
        <w:right w:val="none" w:sz="0" w:space="0" w:color="auto"/>
      </w:divBdr>
    </w:div>
    <w:div w:id="385760808">
      <w:bodyDiv w:val="1"/>
      <w:marLeft w:val="0"/>
      <w:marRight w:val="0"/>
      <w:marTop w:val="0"/>
      <w:marBottom w:val="0"/>
      <w:divBdr>
        <w:top w:val="none" w:sz="0" w:space="0" w:color="auto"/>
        <w:left w:val="none" w:sz="0" w:space="0" w:color="auto"/>
        <w:bottom w:val="none" w:sz="0" w:space="0" w:color="auto"/>
        <w:right w:val="none" w:sz="0" w:space="0" w:color="auto"/>
      </w:divBdr>
    </w:div>
    <w:div w:id="392697386">
      <w:bodyDiv w:val="1"/>
      <w:marLeft w:val="0"/>
      <w:marRight w:val="0"/>
      <w:marTop w:val="0"/>
      <w:marBottom w:val="0"/>
      <w:divBdr>
        <w:top w:val="none" w:sz="0" w:space="0" w:color="auto"/>
        <w:left w:val="none" w:sz="0" w:space="0" w:color="auto"/>
        <w:bottom w:val="none" w:sz="0" w:space="0" w:color="auto"/>
        <w:right w:val="none" w:sz="0" w:space="0" w:color="auto"/>
      </w:divBdr>
    </w:div>
    <w:div w:id="395863163">
      <w:bodyDiv w:val="1"/>
      <w:marLeft w:val="0"/>
      <w:marRight w:val="0"/>
      <w:marTop w:val="0"/>
      <w:marBottom w:val="0"/>
      <w:divBdr>
        <w:top w:val="none" w:sz="0" w:space="0" w:color="auto"/>
        <w:left w:val="none" w:sz="0" w:space="0" w:color="auto"/>
        <w:bottom w:val="none" w:sz="0" w:space="0" w:color="auto"/>
        <w:right w:val="none" w:sz="0" w:space="0" w:color="auto"/>
      </w:divBdr>
    </w:div>
    <w:div w:id="399836505">
      <w:bodyDiv w:val="1"/>
      <w:marLeft w:val="0"/>
      <w:marRight w:val="0"/>
      <w:marTop w:val="0"/>
      <w:marBottom w:val="0"/>
      <w:divBdr>
        <w:top w:val="none" w:sz="0" w:space="0" w:color="auto"/>
        <w:left w:val="none" w:sz="0" w:space="0" w:color="auto"/>
        <w:bottom w:val="none" w:sz="0" w:space="0" w:color="auto"/>
        <w:right w:val="none" w:sz="0" w:space="0" w:color="auto"/>
      </w:divBdr>
    </w:div>
    <w:div w:id="409932618">
      <w:bodyDiv w:val="1"/>
      <w:marLeft w:val="0"/>
      <w:marRight w:val="0"/>
      <w:marTop w:val="0"/>
      <w:marBottom w:val="0"/>
      <w:divBdr>
        <w:top w:val="none" w:sz="0" w:space="0" w:color="auto"/>
        <w:left w:val="none" w:sz="0" w:space="0" w:color="auto"/>
        <w:bottom w:val="none" w:sz="0" w:space="0" w:color="auto"/>
        <w:right w:val="none" w:sz="0" w:space="0" w:color="auto"/>
      </w:divBdr>
    </w:div>
    <w:div w:id="412315280">
      <w:bodyDiv w:val="1"/>
      <w:marLeft w:val="0"/>
      <w:marRight w:val="0"/>
      <w:marTop w:val="0"/>
      <w:marBottom w:val="0"/>
      <w:divBdr>
        <w:top w:val="none" w:sz="0" w:space="0" w:color="auto"/>
        <w:left w:val="none" w:sz="0" w:space="0" w:color="auto"/>
        <w:bottom w:val="none" w:sz="0" w:space="0" w:color="auto"/>
        <w:right w:val="none" w:sz="0" w:space="0" w:color="auto"/>
      </w:divBdr>
    </w:div>
    <w:div w:id="416171893">
      <w:bodyDiv w:val="1"/>
      <w:marLeft w:val="0"/>
      <w:marRight w:val="0"/>
      <w:marTop w:val="0"/>
      <w:marBottom w:val="0"/>
      <w:divBdr>
        <w:top w:val="none" w:sz="0" w:space="0" w:color="auto"/>
        <w:left w:val="none" w:sz="0" w:space="0" w:color="auto"/>
        <w:bottom w:val="none" w:sz="0" w:space="0" w:color="auto"/>
        <w:right w:val="none" w:sz="0" w:space="0" w:color="auto"/>
      </w:divBdr>
    </w:div>
    <w:div w:id="419524494">
      <w:bodyDiv w:val="1"/>
      <w:marLeft w:val="0"/>
      <w:marRight w:val="0"/>
      <w:marTop w:val="0"/>
      <w:marBottom w:val="0"/>
      <w:divBdr>
        <w:top w:val="none" w:sz="0" w:space="0" w:color="auto"/>
        <w:left w:val="none" w:sz="0" w:space="0" w:color="auto"/>
        <w:bottom w:val="none" w:sz="0" w:space="0" w:color="auto"/>
        <w:right w:val="none" w:sz="0" w:space="0" w:color="auto"/>
      </w:divBdr>
    </w:div>
    <w:div w:id="430590660">
      <w:bodyDiv w:val="1"/>
      <w:marLeft w:val="0"/>
      <w:marRight w:val="0"/>
      <w:marTop w:val="0"/>
      <w:marBottom w:val="0"/>
      <w:divBdr>
        <w:top w:val="none" w:sz="0" w:space="0" w:color="auto"/>
        <w:left w:val="none" w:sz="0" w:space="0" w:color="auto"/>
        <w:bottom w:val="none" w:sz="0" w:space="0" w:color="auto"/>
        <w:right w:val="none" w:sz="0" w:space="0" w:color="auto"/>
      </w:divBdr>
    </w:div>
    <w:div w:id="443038053">
      <w:bodyDiv w:val="1"/>
      <w:marLeft w:val="0"/>
      <w:marRight w:val="0"/>
      <w:marTop w:val="0"/>
      <w:marBottom w:val="0"/>
      <w:divBdr>
        <w:top w:val="none" w:sz="0" w:space="0" w:color="auto"/>
        <w:left w:val="none" w:sz="0" w:space="0" w:color="auto"/>
        <w:bottom w:val="none" w:sz="0" w:space="0" w:color="auto"/>
        <w:right w:val="none" w:sz="0" w:space="0" w:color="auto"/>
      </w:divBdr>
    </w:div>
    <w:div w:id="452090411">
      <w:bodyDiv w:val="1"/>
      <w:marLeft w:val="0"/>
      <w:marRight w:val="0"/>
      <w:marTop w:val="0"/>
      <w:marBottom w:val="0"/>
      <w:divBdr>
        <w:top w:val="none" w:sz="0" w:space="0" w:color="auto"/>
        <w:left w:val="none" w:sz="0" w:space="0" w:color="auto"/>
        <w:bottom w:val="none" w:sz="0" w:space="0" w:color="auto"/>
        <w:right w:val="none" w:sz="0" w:space="0" w:color="auto"/>
      </w:divBdr>
    </w:div>
    <w:div w:id="456148756">
      <w:bodyDiv w:val="1"/>
      <w:marLeft w:val="0"/>
      <w:marRight w:val="0"/>
      <w:marTop w:val="0"/>
      <w:marBottom w:val="0"/>
      <w:divBdr>
        <w:top w:val="none" w:sz="0" w:space="0" w:color="auto"/>
        <w:left w:val="none" w:sz="0" w:space="0" w:color="auto"/>
        <w:bottom w:val="none" w:sz="0" w:space="0" w:color="auto"/>
        <w:right w:val="none" w:sz="0" w:space="0" w:color="auto"/>
      </w:divBdr>
    </w:div>
    <w:div w:id="464280788">
      <w:bodyDiv w:val="1"/>
      <w:marLeft w:val="0"/>
      <w:marRight w:val="0"/>
      <w:marTop w:val="0"/>
      <w:marBottom w:val="0"/>
      <w:divBdr>
        <w:top w:val="none" w:sz="0" w:space="0" w:color="auto"/>
        <w:left w:val="none" w:sz="0" w:space="0" w:color="auto"/>
        <w:bottom w:val="none" w:sz="0" w:space="0" w:color="auto"/>
        <w:right w:val="none" w:sz="0" w:space="0" w:color="auto"/>
      </w:divBdr>
    </w:div>
    <w:div w:id="467479532">
      <w:bodyDiv w:val="1"/>
      <w:marLeft w:val="0"/>
      <w:marRight w:val="0"/>
      <w:marTop w:val="0"/>
      <w:marBottom w:val="0"/>
      <w:divBdr>
        <w:top w:val="none" w:sz="0" w:space="0" w:color="auto"/>
        <w:left w:val="none" w:sz="0" w:space="0" w:color="auto"/>
        <w:bottom w:val="none" w:sz="0" w:space="0" w:color="auto"/>
        <w:right w:val="none" w:sz="0" w:space="0" w:color="auto"/>
      </w:divBdr>
    </w:div>
    <w:div w:id="477650260">
      <w:bodyDiv w:val="1"/>
      <w:marLeft w:val="0"/>
      <w:marRight w:val="0"/>
      <w:marTop w:val="0"/>
      <w:marBottom w:val="0"/>
      <w:divBdr>
        <w:top w:val="none" w:sz="0" w:space="0" w:color="auto"/>
        <w:left w:val="none" w:sz="0" w:space="0" w:color="auto"/>
        <w:bottom w:val="none" w:sz="0" w:space="0" w:color="auto"/>
        <w:right w:val="none" w:sz="0" w:space="0" w:color="auto"/>
      </w:divBdr>
    </w:div>
    <w:div w:id="478691473">
      <w:bodyDiv w:val="1"/>
      <w:marLeft w:val="0"/>
      <w:marRight w:val="0"/>
      <w:marTop w:val="0"/>
      <w:marBottom w:val="0"/>
      <w:divBdr>
        <w:top w:val="none" w:sz="0" w:space="0" w:color="auto"/>
        <w:left w:val="none" w:sz="0" w:space="0" w:color="auto"/>
        <w:bottom w:val="none" w:sz="0" w:space="0" w:color="auto"/>
        <w:right w:val="none" w:sz="0" w:space="0" w:color="auto"/>
      </w:divBdr>
    </w:div>
    <w:div w:id="489489076">
      <w:bodyDiv w:val="1"/>
      <w:marLeft w:val="0"/>
      <w:marRight w:val="0"/>
      <w:marTop w:val="0"/>
      <w:marBottom w:val="0"/>
      <w:divBdr>
        <w:top w:val="none" w:sz="0" w:space="0" w:color="auto"/>
        <w:left w:val="none" w:sz="0" w:space="0" w:color="auto"/>
        <w:bottom w:val="none" w:sz="0" w:space="0" w:color="auto"/>
        <w:right w:val="none" w:sz="0" w:space="0" w:color="auto"/>
      </w:divBdr>
    </w:div>
    <w:div w:id="514392246">
      <w:bodyDiv w:val="1"/>
      <w:marLeft w:val="0"/>
      <w:marRight w:val="0"/>
      <w:marTop w:val="0"/>
      <w:marBottom w:val="0"/>
      <w:divBdr>
        <w:top w:val="none" w:sz="0" w:space="0" w:color="auto"/>
        <w:left w:val="none" w:sz="0" w:space="0" w:color="auto"/>
        <w:bottom w:val="none" w:sz="0" w:space="0" w:color="auto"/>
        <w:right w:val="none" w:sz="0" w:space="0" w:color="auto"/>
      </w:divBdr>
    </w:div>
    <w:div w:id="518468549">
      <w:bodyDiv w:val="1"/>
      <w:marLeft w:val="0"/>
      <w:marRight w:val="0"/>
      <w:marTop w:val="0"/>
      <w:marBottom w:val="0"/>
      <w:divBdr>
        <w:top w:val="none" w:sz="0" w:space="0" w:color="auto"/>
        <w:left w:val="none" w:sz="0" w:space="0" w:color="auto"/>
        <w:bottom w:val="none" w:sz="0" w:space="0" w:color="auto"/>
        <w:right w:val="none" w:sz="0" w:space="0" w:color="auto"/>
      </w:divBdr>
    </w:div>
    <w:div w:id="524905059">
      <w:bodyDiv w:val="1"/>
      <w:marLeft w:val="0"/>
      <w:marRight w:val="0"/>
      <w:marTop w:val="0"/>
      <w:marBottom w:val="0"/>
      <w:divBdr>
        <w:top w:val="none" w:sz="0" w:space="0" w:color="auto"/>
        <w:left w:val="none" w:sz="0" w:space="0" w:color="auto"/>
        <w:bottom w:val="none" w:sz="0" w:space="0" w:color="auto"/>
        <w:right w:val="none" w:sz="0" w:space="0" w:color="auto"/>
      </w:divBdr>
    </w:div>
    <w:div w:id="530925444">
      <w:bodyDiv w:val="1"/>
      <w:marLeft w:val="0"/>
      <w:marRight w:val="0"/>
      <w:marTop w:val="0"/>
      <w:marBottom w:val="0"/>
      <w:divBdr>
        <w:top w:val="none" w:sz="0" w:space="0" w:color="auto"/>
        <w:left w:val="none" w:sz="0" w:space="0" w:color="auto"/>
        <w:bottom w:val="none" w:sz="0" w:space="0" w:color="auto"/>
        <w:right w:val="none" w:sz="0" w:space="0" w:color="auto"/>
      </w:divBdr>
    </w:div>
    <w:div w:id="555625179">
      <w:bodyDiv w:val="1"/>
      <w:marLeft w:val="0"/>
      <w:marRight w:val="0"/>
      <w:marTop w:val="0"/>
      <w:marBottom w:val="0"/>
      <w:divBdr>
        <w:top w:val="none" w:sz="0" w:space="0" w:color="auto"/>
        <w:left w:val="none" w:sz="0" w:space="0" w:color="auto"/>
        <w:bottom w:val="none" w:sz="0" w:space="0" w:color="auto"/>
        <w:right w:val="none" w:sz="0" w:space="0" w:color="auto"/>
      </w:divBdr>
    </w:div>
    <w:div w:id="566764515">
      <w:bodyDiv w:val="1"/>
      <w:marLeft w:val="0"/>
      <w:marRight w:val="0"/>
      <w:marTop w:val="0"/>
      <w:marBottom w:val="0"/>
      <w:divBdr>
        <w:top w:val="none" w:sz="0" w:space="0" w:color="auto"/>
        <w:left w:val="none" w:sz="0" w:space="0" w:color="auto"/>
        <w:bottom w:val="none" w:sz="0" w:space="0" w:color="auto"/>
        <w:right w:val="none" w:sz="0" w:space="0" w:color="auto"/>
      </w:divBdr>
    </w:div>
    <w:div w:id="567686863">
      <w:bodyDiv w:val="1"/>
      <w:marLeft w:val="0"/>
      <w:marRight w:val="0"/>
      <w:marTop w:val="0"/>
      <w:marBottom w:val="0"/>
      <w:divBdr>
        <w:top w:val="none" w:sz="0" w:space="0" w:color="auto"/>
        <w:left w:val="none" w:sz="0" w:space="0" w:color="auto"/>
        <w:bottom w:val="none" w:sz="0" w:space="0" w:color="auto"/>
        <w:right w:val="none" w:sz="0" w:space="0" w:color="auto"/>
      </w:divBdr>
    </w:div>
    <w:div w:id="571040004">
      <w:bodyDiv w:val="1"/>
      <w:marLeft w:val="0"/>
      <w:marRight w:val="0"/>
      <w:marTop w:val="0"/>
      <w:marBottom w:val="0"/>
      <w:divBdr>
        <w:top w:val="none" w:sz="0" w:space="0" w:color="auto"/>
        <w:left w:val="none" w:sz="0" w:space="0" w:color="auto"/>
        <w:bottom w:val="none" w:sz="0" w:space="0" w:color="auto"/>
        <w:right w:val="none" w:sz="0" w:space="0" w:color="auto"/>
      </w:divBdr>
    </w:div>
    <w:div w:id="572161904">
      <w:bodyDiv w:val="1"/>
      <w:marLeft w:val="0"/>
      <w:marRight w:val="0"/>
      <w:marTop w:val="0"/>
      <w:marBottom w:val="0"/>
      <w:divBdr>
        <w:top w:val="none" w:sz="0" w:space="0" w:color="auto"/>
        <w:left w:val="none" w:sz="0" w:space="0" w:color="auto"/>
        <w:bottom w:val="none" w:sz="0" w:space="0" w:color="auto"/>
        <w:right w:val="none" w:sz="0" w:space="0" w:color="auto"/>
      </w:divBdr>
    </w:div>
    <w:div w:id="578295918">
      <w:bodyDiv w:val="1"/>
      <w:marLeft w:val="0"/>
      <w:marRight w:val="0"/>
      <w:marTop w:val="0"/>
      <w:marBottom w:val="0"/>
      <w:divBdr>
        <w:top w:val="none" w:sz="0" w:space="0" w:color="auto"/>
        <w:left w:val="none" w:sz="0" w:space="0" w:color="auto"/>
        <w:bottom w:val="none" w:sz="0" w:space="0" w:color="auto"/>
        <w:right w:val="none" w:sz="0" w:space="0" w:color="auto"/>
      </w:divBdr>
    </w:div>
    <w:div w:id="581371680">
      <w:bodyDiv w:val="1"/>
      <w:marLeft w:val="0"/>
      <w:marRight w:val="0"/>
      <w:marTop w:val="0"/>
      <w:marBottom w:val="0"/>
      <w:divBdr>
        <w:top w:val="none" w:sz="0" w:space="0" w:color="auto"/>
        <w:left w:val="none" w:sz="0" w:space="0" w:color="auto"/>
        <w:bottom w:val="none" w:sz="0" w:space="0" w:color="auto"/>
        <w:right w:val="none" w:sz="0" w:space="0" w:color="auto"/>
      </w:divBdr>
    </w:div>
    <w:div w:id="581522423">
      <w:bodyDiv w:val="1"/>
      <w:marLeft w:val="0"/>
      <w:marRight w:val="0"/>
      <w:marTop w:val="0"/>
      <w:marBottom w:val="0"/>
      <w:divBdr>
        <w:top w:val="none" w:sz="0" w:space="0" w:color="auto"/>
        <w:left w:val="none" w:sz="0" w:space="0" w:color="auto"/>
        <w:bottom w:val="none" w:sz="0" w:space="0" w:color="auto"/>
        <w:right w:val="none" w:sz="0" w:space="0" w:color="auto"/>
      </w:divBdr>
    </w:div>
    <w:div w:id="593635501">
      <w:bodyDiv w:val="1"/>
      <w:marLeft w:val="0"/>
      <w:marRight w:val="0"/>
      <w:marTop w:val="0"/>
      <w:marBottom w:val="0"/>
      <w:divBdr>
        <w:top w:val="none" w:sz="0" w:space="0" w:color="auto"/>
        <w:left w:val="none" w:sz="0" w:space="0" w:color="auto"/>
        <w:bottom w:val="none" w:sz="0" w:space="0" w:color="auto"/>
        <w:right w:val="none" w:sz="0" w:space="0" w:color="auto"/>
      </w:divBdr>
    </w:div>
    <w:div w:id="603000762">
      <w:bodyDiv w:val="1"/>
      <w:marLeft w:val="0"/>
      <w:marRight w:val="0"/>
      <w:marTop w:val="0"/>
      <w:marBottom w:val="0"/>
      <w:divBdr>
        <w:top w:val="none" w:sz="0" w:space="0" w:color="auto"/>
        <w:left w:val="none" w:sz="0" w:space="0" w:color="auto"/>
        <w:bottom w:val="none" w:sz="0" w:space="0" w:color="auto"/>
        <w:right w:val="none" w:sz="0" w:space="0" w:color="auto"/>
      </w:divBdr>
    </w:div>
    <w:div w:id="629285585">
      <w:bodyDiv w:val="1"/>
      <w:marLeft w:val="0"/>
      <w:marRight w:val="0"/>
      <w:marTop w:val="0"/>
      <w:marBottom w:val="0"/>
      <w:divBdr>
        <w:top w:val="none" w:sz="0" w:space="0" w:color="auto"/>
        <w:left w:val="none" w:sz="0" w:space="0" w:color="auto"/>
        <w:bottom w:val="none" w:sz="0" w:space="0" w:color="auto"/>
        <w:right w:val="none" w:sz="0" w:space="0" w:color="auto"/>
      </w:divBdr>
    </w:div>
    <w:div w:id="633560818">
      <w:bodyDiv w:val="1"/>
      <w:marLeft w:val="0"/>
      <w:marRight w:val="0"/>
      <w:marTop w:val="0"/>
      <w:marBottom w:val="0"/>
      <w:divBdr>
        <w:top w:val="none" w:sz="0" w:space="0" w:color="auto"/>
        <w:left w:val="none" w:sz="0" w:space="0" w:color="auto"/>
        <w:bottom w:val="none" w:sz="0" w:space="0" w:color="auto"/>
        <w:right w:val="none" w:sz="0" w:space="0" w:color="auto"/>
      </w:divBdr>
    </w:div>
    <w:div w:id="660424003">
      <w:bodyDiv w:val="1"/>
      <w:marLeft w:val="0"/>
      <w:marRight w:val="0"/>
      <w:marTop w:val="0"/>
      <w:marBottom w:val="0"/>
      <w:divBdr>
        <w:top w:val="none" w:sz="0" w:space="0" w:color="auto"/>
        <w:left w:val="none" w:sz="0" w:space="0" w:color="auto"/>
        <w:bottom w:val="none" w:sz="0" w:space="0" w:color="auto"/>
        <w:right w:val="none" w:sz="0" w:space="0" w:color="auto"/>
      </w:divBdr>
    </w:div>
    <w:div w:id="677197038">
      <w:bodyDiv w:val="1"/>
      <w:marLeft w:val="0"/>
      <w:marRight w:val="0"/>
      <w:marTop w:val="0"/>
      <w:marBottom w:val="0"/>
      <w:divBdr>
        <w:top w:val="none" w:sz="0" w:space="0" w:color="auto"/>
        <w:left w:val="none" w:sz="0" w:space="0" w:color="auto"/>
        <w:bottom w:val="none" w:sz="0" w:space="0" w:color="auto"/>
        <w:right w:val="none" w:sz="0" w:space="0" w:color="auto"/>
      </w:divBdr>
    </w:div>
    <w:div w:id="679621553">
      <w:bodyDiv w:val="1"/>
      <w:marLeft w:val="0"/>
      <w:marRight w:val="0"/>
      <w:marTop w:val="0"/>
      <w:marBottom w:val="0"/>
      <w:divBdr>
        <w:top w:val="none" w:sz="0" w:space="0" w:color="auto"/>
        <w:left w:val="none" w:sz="0" w:space="0" w:color="auto"/>
        <w:bottom w:val="none" w:sz="0" w:space="0" w:color="auto"/>
        <w:right w:val="none" w:sz="0" w:space="0" w:color="auto"/>
      </w:divBdr>
    </w:div>
    <w:div w:id="699278879">
      <w:bodyDiv w:val="1"/>
      <w:marLeft w:val="0"/>
      <w:marRight w:val="0"/>
      <w:marTop w:val="0"/>
      <w:marBottom w:val="0"/>
      <w:divBdr>
        <w:top w:val="none" w:sz="0" w:space="0" w:color="auto"/>
        <w:left w:val="none" w:sz="0" w:space="0" w:color="auto"/>
        <w:bottom w:val="none" w:sz="0" w:space="0" w:color="auto"/>
        <w:right w:val="none" w:sz="0" w:space="0" w:color="auto"/>
      </w:divBdr>
    </w:div>
    <w:div w:id="700470079">
      <w:bodyDiv w:val="1"/>
      <w:marLeft w:val="0"/>
      <w:marRight w:val="0"/>
      <w:marTop w:val="0"/>
      <w:marBottom w:val="0"/>
      <w:divBdr>
        <w:top w:val="none" w:sz="0" w:space="0" w:color="auto"/>
        <w:left w:val="none" w:sz="0" w:space="0" w:color="auto"/>
        <w:bottom w:val="none" w:sz="0" w:space="0" w:color="auto"/>
        <w:right w:val="none" w:sz="0" w:space="0" w:color="auto"/>
      </w:divBdr>
    </w:div>
    <w:div w:id="701367255">
      <w:bodyDiv w:val="1"/>
      <w:marLeft w:val="0"/>
      <w:marRight w:val="0"/>
      <w:marTop w:val="0"/>
      <w:marBottom w:val="0"/>
      <w:divBdr>
        <w:top w:val="none" w:sz="0" w:space="0" w:color="auto"/>
        <w:left w:val="none" w:sz="0" w:space="0" w:color="auto"/>
        <w:bottom w:val="none" w:sz="0" w:space="0" w:color="auto"/>
        <w:right w:val="none" w:sz="0" w:space="0" w:color="auto"/>
      </w:divBdr>
    </w:div>
    <w:div w:id="710107320">
      <w:bodyDiv w:val="1"/>
      <w:marLeft w:val="0"/>
      <w:marRight w:val="0"/>
      <w:marTop w:val="0"/>
      <w:marBottom w:val="0"/>
      <w:divBdr>
        <w:top w:val="none" w:sz="0" w:space="0" w:color="auto"/>
        <w:left w:val="none" w:sz="0" w:space="0" w:color="auto"/>
        <w:bottom w:val="none" w:sz="0" w:space="0" w:color="auto"/>
        <w:right w:val="none" w:sz="0" w:space="0" w:color="auto"/>
      </w:divBdr>
    </w:div>
    <w:div w:id="716929858">
      <w:bodyDiv w:val="1"/>
      <w:marLeft w:val="0"/>
      <w:marRight w:val="0"/>
      <w:marTop w:val="0"/>
      <w:marBottom w:val="0"/>
      <w:divBdr>
        <w:top w:val="none" w:sz="0" w:space="0" w:color="auto"/>
        <w:left w:val="none" w:sz="0" w:space="0" w:color="auto"/>
        <w:bottom w:val="none" w:sz="0" w:space="0" w:color="auto"/>
        <w:right w:val="none" w:sz="0" w:space="0" w:color="auto"/>
      </w:divBdr>
    </w:div>
    <w:div w:id="737677228">
      <w:bodyDiv w:val="1"/>
      <w:marLeft w:val="0"/>
      <w:marRight w:val="0"/>
      <w:marTop w:val="0"/>
      <w:marBottom w:val="0"/>
      <w:divBdr>
        <w:top w:val="none" w:sz="0" w:space="0" w:color="auto"/>
        <w:left w:val="none" w:sz="0" w:space="0" w:color="auto"/>
        <w:bottom w:val="none" w:sz="0" w:space="0" w:color="auto"/>
        <w:right w:val="none" w:sz="0" w:space="0" w:color="auto"/>
      </w:divBdr>
    </w:div>
    <w:div w:id="737753253">
      <w:bodyDiv w:val="1"/>
      <w:marLeft w:val="0"/>
      <w:marRight w:val="0"/>
      <w:marTop w:val="0"/>
      <w:marBottom w:val="0"/>
      <w:divBdr>
        <w:top w:val="none" w:sz="0" w:space="0" w:color="auto"/>
        <w:left w:val="none" w:sz="0" w:space="0" w:color="auto"/>
        <w:bottom w:val="none" w:sz="0" w:space="0" w:color="auto"/>
        <w:right w:val="none" w:sz="0" w:space="0" w:color="auto"/>
      </w:divBdr>
    </w:div>
    <w:div w:id="743066647">
      <w:bodyDiv w:val="1"/>
      <w:marLeft w:val="0"/>
      <w:marRight w:val="0"/>
      <w:marTop w:val="0"/>
      <w:marBottom w:val="0"/>
      <w:divBdr>
        <w:top w:val="none" w:sz="0" w:space="0" w:color="auto"/>
        <w:left w:val="none" w:sz="0" w:space="0" w:color="auto"/>
        <w:bottom w:val="none" w:sz="0" w:space="0" w:color="auto"/>
        <w:right w:val="none" w:sz="0" w:space="0" w:color="auto"/>
      </w:divBdr>
    </w:div>
    <w:div w:id="745297269">
      <w:bodyDiv w:val="1"/>
      <w:marLeft w:val="0"/>
      <w:marRight w:val="0"/>
      <w:marTop w:val="0"/>
      <w:marBottom w:val="0"/>
      <w:divBdr>
        <w:top w:val="none" w:sz="0" w:space="0" w:color="auto"/>
        <w:left w:val="none" w:sz="0" w:space="0" w:color="auto"/>
        <w:bottom w:val="none" w:sz="0" w:space="0" w:color="auto"/>
        <w:right w:val="none" w:sz="0" w:space="0" w:color="auto"/>
      </w:divBdr>
    </w:div>
    <w:div w:id="749082350">
      <w:bodyDiv w:val="1"/>
      <w:marLeft w:val="0"/>
      <w:marRight w:val="0"/>
      <w:marTop w:val="0"/>
      <w:marBottom w:val="0"/>
      <w:divBdr>
        <w:top w:val="none" w:sz="0" w:space="0" w:color="auto"/>
        <w:left w:val="none" w:sz="0" w:space="0" w:color="auto"/>
        <w:bottom w:val="none" w:sz="0" w:space="0" w:color="auto"/>
        <w:right w:val="none" w:sz="0" w:space="0" w:color="auto"/>
      </w:divBdr>
    </w:div>
    <w:div w:id="755051019">
      <w:bodyDiv w:val="1"/>
      <w:marLeft w:val="0"/>
      <w:marRight w:val="0"/>
      <w:marTop w:val="0"/>
      <w:marBottom w:val="0"/>
      <w:divBdr>
        <w:top w:val="none" w:sz="0" w:space="0" w:color="auto"/>
        <w:left w:val="none" w:sz="0" w:space="0" w:color="auto"/>
        <w:bottom w:val="none" w:sz="0" w:space="0" w:color="auto"/>
        <w:right w:val="none" w:sz="0" w:space="0" w:color="auto"/>
      </w:divBdr>
    </w:div>
    <w:div w:id="782308248">
      <w:bodyDiv w:val="1"/>
      <w:marLeft w:val="0"/>
      <w:marRight w:val="0"/>
      <w:marTop w:val="0"/>
      <w:marBottom w:val="0"/>
      <w:divBdr>
        <w:top w:val="none" w:sz="0" w:space="0" w:color="auto"/>
        <w:left w:val="none" w:sz="0" w:space="0" w:color="auto"/>
        <w:bottom w:val="none" w:sz="0" w:space="0" w:color="auto"/>
        <w:right w:val="none" w:sz="0" w:space="0" w:color="auto"/>
      </w:divBdr>
    </w:div>
    <w:div w:id="792789902">
      <w:bodyDiv w:val="1"/>
      <w:marLeft w:val="0"/>
      <w:marRight w:val="0"/>
      <w:marTop w:val="0"/>
      <w:marBottom w:val="0"/>
      <w:divBdr>
        <w:top w:val="none" w:sz="0" w:space="0" w:color="auto"/>
        <w:left w:val="none" w:sz="0" w:space="0" w:color="auto"/>
        <w:bottom w:val="none" w:sz="0" w:space="0" w:color="auto"/>
        <w:right w:val="none" w:sz="0" w:space="0" w:color="auto"/>
      </w:divBdr>
    </w:div>
    <w:div w:id="797604403">
      <w:bodyDiv w:val="1"/>
      <w:marLeft w:val="0"/>
      <w:marRight w:val="0"/>
      <w:marTop w:val="0"/>
      <w:marBottom w:val="0"/>
      <w:divBdr>
        <w:top w:val="none" w:sz="0" w:space="0" w:color="auto"/>
        <w:left w:val="none" w:sz="0" w:space="0" w:color="auto"/>
        <w:bottom w:val="none" w:sz="0" w:space="0" w:color="auto"/>
        <w:right w:val="none" w:sz="0" w:space="0" w:color="auto"/>
      </w:divBdr>
    </w:div>
    <w:div w:id="801852374">
      <w:bodyDiv w:val="1"/>
      <w:marLeft w:val="0"/>
      <w:marRight w:val="0"/>
      <w:marTop w:val="0"/>
      <w:marBottom w:val="0"/>
      <w:divBdr>
        <w:top w:val="none" w:sz="0" w:space="0" w:color="auto"/>
        <w:left w:val="none" w:sz="0" w:space="0" w:color="auto"/>
        <w:bottom w:val="none" w:sz="0" w:space="0" w:color="auto"/>
        <w:right w:val="none" w:sz="0" w:space="0" w:color="auto"/>
      </w:divBdr>
    </w:div>
    <w:div w:id="807359053">
      <w:bodyDiv w:val="1"/>
      <w:marLeft w:val="0"/>
      <w:marRight w:val="0"/>
      <w:marTop w:val="0"/>
      <w:marBottom w:val="0"/>
      <w:divBdr>
        <w:top w:val="none" w:sz="0" w:space="0" w:color="auto"/>
        <w:left w:val="none" w:sz="0" w:space="0" w:color="auto"/>
        <w:bottom w:val="none" w:sz="0" w:space="0" w:color="auto"/>
        <w:right w:val="none" w:sz="0" w:space="0" w:color="auto"/>
      </w:divBdr>
    </w:div>
    <w:div w:id="814302502">
      <w:bodyDiv w:val="1"/>
      <w:marLeft w:val="0"/>
      <w:marRight w:val="0"/>
      <w:marTop w:val="0"/>
      <w:marBottom w:val="0"/>
      <w:divBdr>
        <w:top w:val="none" w:sz="0" w:space="0" w:color="auto"/>
        <w:left w:val="none" w:sz="0" w:space="0" w:color="auto"/>
        <w:bottom w:val="none" w:sz="0" w:space="0" w:color="auto"/>
        <w:right w:val="none" w:sz="0" w:space="0" w:color="auto"/>
      </w:divBdr>
    </w:div>
    <w:div w:id="831290148">
      <w:bodyDiv w:val="1"/>
      <w:marLeft w:val="0"/>
      <w:marRight w:val="0"/>
      <w:marTop w:val="0"/>
      <w:marBottom w:val="0"/>
      <w:divBdr>
        <w:top w:val="none" w:sz="0" w:space="0" w:color="auto"/>
        <w:left w:val="none" w:sz="0" w:space="0" w:color="auto"/>
        <w:bottom w:val="none" w:sz="0" w:space="0" w:color="auto"/>
        <w:right w:val="none" w:sz="0" w:space="0" w:color="auto"/>
      </w:divBdr>
    </w:div>
    <w:div w:id="831605662">
      <w:bodyDiv w:val="1"/>
      <w:marLeft w:val="0"/>
      <w:marRight w:val="0"/>
      <w:marTop w:val="0"/>
      <w:marBottom w:val="0"/>
      <w:divBdr>
        <w:top w:val="none" w:sz="0" w:space="0" w:color="auto"/>
        <w:left w:val="none" w:sz="0" w:space="0" w:color="auto"/>
        <w:bottom w:val="none" w:sz="0" w:space="0" w:color="auto"/>
        <w:right w:val="none" w:sz="0" w:space="0" w:color="auto"/>
      </w:divBdr>
    </w:div>
    <w:div w:id="832986599">
      <w:bodyDiv w:val="1"/>
      <w:marLeft w:val="0"/>
      <w:marRight w:val="0"/>
      <w:marTop w:val="0"/>
      <w:marBottom w:val="0"/>
      <w:divBdr>
        <w:top w:val="none" w:sz="0" w:space="0" w:color="auto"/>
        <w:left w:val="none" w:sz="0" w:space="0" w:color="auto"/>
        <w:bottom w:val="none" w:sz="0" w:space="0" w:color="auto"/>
        <w:right w:val="none" w:sz="0" w:space="0" w:color="auto"/>
      </w:divBdr>
    </w:div>
    <w:div w:id="834078784">
      <w:bodyDiv w:val="1"/>
      <w:marLeft w:val="0"/>
      <w:marRight w:val="0"/>
      <w:marTop w:val="0"/>
      <w:marBottom w:val="0"/>
      <w:divBdr>
        <w:top w:val="none" w:sz="0" w:space="0" w:color="auto"/>
        <w:left w:val="none" w:sz="0" w:space="0" w:color="auto"/>
        <w:bottom w:val="none" w:sz="0" w:space="0" w:color="auto"/>
        <w:right w:val="none" w:sz="0" w:space="0" w:color="auto"/>
      </w:divBdr>
    </w:div>
    <w:div w:id="850336982">
      <w:bodyDiv w:val="1"/>
      <w:marLeft w:val="0"/>
      <w:marRight w:val="0"/>
      <w:marTop w:val="0"/>
      <w:marBottom w:val="0"/>
      <w:divBdr>
        <w:top w:val="none" w:sz="0" w:space="0" w:color="auto"/>
        <w:left w:val="none" w:sz="0" w:space="0" w:color="auto"/>
        <w:bottom w:val="none" w:sz="0" w:space="0" w:color="auto"/>
        <w:right w:val="none" w:sz="0" w:space="0" w:color="auto"/>
      </w:divBdr>
    </w:div>
    <w:div w:id="866021971">
      <w:bodyDiv w:val="1"/>
      <w:marLeft w:val="0"/>
      <w:marRight w:val="0"/>
      <w:marTop w:val="0"/>
      <w:marBottom w:val="0"/>
      <w:divBdr>
        <w:top w:val="none" w:sz="0" w:space="0" w:color="auto"/>
        <w:left w:val="none" w:sz="0" w:space="0" w:color="auto"/>
        <w:bottom w:val="none" w:sz="0" w:space="0" w:color="auto"/>
        <w:right w:val="none" w:sz="0" w:space="0" w:color="auto"/>
      </w:divBdr>
    </w:div>
    <w:div w:id="907836312">
      <w:bodyDiv w:val="1"/>
      <w:marLeft w:val="0"/>
      <w:marRight w:val="0"/>
      <w:marTop w:val="0"/>
      <w:marBottom w:val="0"/>
      <w:divBdr>
        <w:top w:val="none" w:sz="0" w:space="0" w:color="auto"/>
        <w:left w:val="none" w:sz="0" w:space="0" w:color="auto"/>
        <w:bottom w:val="none" w:sz="0" w:space="0" w:color="auto"/>
        <w:right w:val="none" w:sz="0" w:space="0" w:color="auto"/>
      </w:divBdr>
    </w:div>
    <w:div w:id="936329006">
      <w:bodyDiv w:val="1"/>
      <w:marLeft w:val="0"/>
      <w:marRight w:val="0"/>
      <w:marTop w:val="0"/>
      <w:marBottom w:val="0"/>
      <w:divBdr>
        <w:top w:val="none" w:sz="0" w:space="0" w:color="auto"/>
        <w:left w:val="none" w:sz="0" w:space="0" w:color="auto"/>
        <w:bottom w:val="none" w:sz="0" w:space="0" w:color="auto"/>
        <w:right w:val="none" w:sz="0" w:space="0" w:color="auto"/>
      </w:divBdr>
    </w:div>
    <w:div w:id="940263670">
      <w:bodyDiv w:val="1"/>
      <w:marLeft w:val="0"/>
      <w:marRight w:val="0"/>
      <w:marTop w:val="0"/>
      <w:marBottom w:val="0"/>
      <w:divBdr>
        <w:top w:val="none" w:sz="0" w:space="0" w:color="auto"/>
        <w:left w:val="none" w:sz="0" w:space="0" w:color="auto"/>
        <w:bottom w:val="none" w:sz="0" w:space="0" w:color="auto"/>
        <w:right w:val="none" w:sz="0" w:space="0" w:color="auto"/>
      </w:divBdr>
    </w:div>
    <w:div w:id="942491945">
      <w:bodyDiv w:val="1"/>
      <w:marLeft w:val="0"/>
      <w:marRight w:val="0"/>
      <w:marTop w:val="0"/>
      <w:marBottom w:val="0"/>
      <w:divBdr>
        <w:top w:val="none" w:sz="0" w:space="0" w:color="auto"/>
        <w:left w:val="none" w:sz="0" w:space="0" w:color="auto"/>
        <w:bottom w:val="none" w:sz="0" w:space="0" w:color="auto"/>
        <w:right w:val="none" w:sz="0" w:space="0" w:color="auto"/>
      </w:divBdr>
    </w:div>
    <w:div w:id="952245544">
      <w:bodyDiv w:val="1"/>
      <w:marLeft w:val="0"/>
      <w:marRight w:val="0"/>
      <w:marTop w:val="0"/>
      <w:marBottom w:val="0"/>
      <w:divBdr>
        <w:top w:val="none" w:sz="0" w:space="0" w:color="auto"/>
        <w:left w:val="none" w:sz="0" w:space="0" w:color="auto"/>
        <w:bottom w:val="none" w:sz="0" w:space="0" w:color="auto"/>
        <w:right w:val="none" w:sz="0" w:space="0" w:color="auto"/>
      </w:divBdr>
    </w:div>
    <w:div w:id="959140565">
      <w:bodyDiv w:val="1"/>
      <w:marLeft w:val="0"/>
      <w:marRight w:val="0"/>
      <w:marTop w:val="0"/>
      <w:marBottom w:val="0"/>
      <w:divBdr>
        <w:top w:val="none" w:sz="0" w:space="0" w:color="auto"/>
        <w:left w:val="none" w:sz="0" w:space="0" w:color="auto"/>
        <w:bottom w:val="none" w:sz="0" w:space="0" w:color="auto"/>
        <w:right w:val="none" w:sz="0" w:space="0" w:color="auto"/>
      </w:divBdr>
    </w:div>
    <w:div w:id="969020555">
      <w:bodyDiv w:val="1"/>
      <w:marLeft w:val="0"/>
      <w:marRight w:val="0"/>
      <w:marTop w:val="0"/>
      <w:marBottom w:val="0"/>
      <w:divBdr>
        <w:top w:val="none" w:sz="0" w:space="0" w:color="auto"/>
        <w:left w:val="none" w:sz="0" w:space="0" w:color="auto"/>
        <w:bottom w:val="none" w:sz="0" w:space="0" w:color="auto"/>
        <w:right w:val="none" w:sz="0" w:space="0" w:color="auto"/>
      </w:divBdr>
    </w:div>
    <w:div w:id="1017852902">
      <w:bodyDiv w:val="1"/>
      <w:marLeft w:val="0"/>
      <w:marRight w:val="0"/>
      <w:marTop w:val="0"/>
      <w:marBottom w:val="0"/>
      <w:divBdr>
        <w:top w:val="none" w:sz="0" w:space="0" w:color="auto"/>
        <w:left w:val="none" w:sz="0" w:space="0" w:color="auto"/>
        <w:bottom w:val="none" w:sz="0" w:space="0" w:color="auto"/>
        <w:right w:val="none" w:sz="0" w:space="0" w:color="auto"/>
      </w:divBdr>
    </w:div>
    <w:div w:id="1019769902">
      <w:bodyDiv w:val="1"/>
      <w:marLeft w:val="0"/>
      <w:marRight w:val="0"/>
      <w:marTop w:val="0"/>
      <w:marBottom w:val="0"/>
      <w:divBdr>
        <w:top w:val="none" w:sz="0" w:space="0" w:color="auto"/>
        <w:left w:val="none" w:sz="0" w:space="0" w:color="auto"/>
        <w:bottom w:val="none" w:sz="0" w:space="0" w:color="auto"/>
        <w:right w:val="none" w:sz="0" w:space="0" w:color="auto"/>
      </w:divBdr>
    </w:div>
    <w:div w:id="1025129976">
      <w:bodyDiv w:val="1"/>
      <w:marLeft w:val="0"/>
      <w:marRight w:val="0"/>
      <w:marTop w:val="0"/>
      <w:marBottom w:val="0"/>
      <w:divBdr>
        <w:top w:val="none" w:sz="0" w:space="0" w:color="auto"/>
        <w:left w:val="none" w:sz="0" w:space="0" w:color="auto"/>
        <w:bottom w:val="none" w:sz="0" w:space="0" w:color="auto"/>
        <w:right w:val="none" w:sz="0" w:space="0" w:color="auto"/>
      </w:divBdr>
    </w:div>
    <w:div w:id="1043210612">
      <w:bodyDiv w:val="1"/>
      <w:marLeft w:val="0"/>
      <w:marRight w:val="0"/>
      <w:marTop w:val="0"/>
      <w:marBottom w:val="0"/>
      <w:divBdr>
        <w:top w:val="none" w:sz="0" w:space="0" w:color="auto"/>
        <w:left w:val="none" w:sz="0" w:space="0" w:color="auto"/>
        <w:bottom w:val="none" w:sz="0" w:space="0" w:color="auto"/>
        <w:right w:val="none" w:sz="0" w:space="0" w:color="auto"/>
      </w:divBdr>
    </w:div>
    <w:div w:id="1046296245">
      <w:bodyDiv w:val="1"/>
      <w:marLeft w:val="0"/>
      <w:marRight w:val="0"/>
      <w:marTop w:val="0"/>
      <w:marBottom w:val="0"/>
      <w:divBdr>
        <w:top w:val="none" w:sz="0" w:space="0" w:color="auto"/>
        <w:left w:val="none" w:sz="0" w:space="0" w:color="auto"/>
        <w:bottom w:val="none" w:sz="0" w:space="0" w:color="auto"/>
        <w:right w:val="none" w:sz="0" w:space="0" w:color="auto"/>
      </w:divBdr>
    </w:div>
    <w:div w:id="1055854423">
      <w:bodyDiv w:val="1"/>
      <w:marLeft w:val="0"/>
      <w:marRight w:val="0"/>
      <w:marTop w:val="0"/>
      <w:marBottom w:val="0"/>
      <w:divBdr>
        <w:top w:val="none" w:sz="0" w:space="0" w:color="auto"/>
        <w:left w:val="none" w:sz="0" w:space="0" w:color="auto"/>
        <w:bottom w:val="none" w:sz="0" w:space="0" w:color="auto"/>
        <w:right w:val="none" w:sz="0" w:space="0" w:color="auto"/>
      </w:divBdr>
    </w:div>
    <w:div w:id="1061561434">
      <w:bodyDiv w:val="1"/>
      <w:marLeft w:val="0"/>
      <w:marRight w:val="0"/>
      <w:marTop w:val="0"/>
      <w:marBottom w:val="0"/>
      <w:divBdr>
        <w:top w:val="none" w:sz="0" w:space="0" w:color="auto"/>
        <w:left w:val="none" w:sz="0" w:space="0" w:color="auto"/>
        <w:bottom w:val="none" w:sz="0" w:space="0" w:color="auto"/>
        <w:right w:val="none" w:sz="0" w:space="0" w:color="auto"/>
      </w:divBdr>
    </w:div>
    <w:div w:id="1061756269">
      <w:bodyDiv w:val="1"/>
      <w:marLeft w:val="0"/>
      <w:marRight w:val="0"/>
      <w:marTop w:val="0"/>
      <w:marBottom w:val="0"/>
      <w:divBdr>
        <w:top w:val="none" w:sz="0" w:space="0" w:color="auto"/>
        <w:left w:val="none" w:sz="0" w:space="0" w:color="auto"/>
        <w:bottom w:val="none" w:sz="0" w:space="0" w:color="auto"/>
        <w:right w:val="none" w:sz="0" w:space="0" w:color="auto"/>
      </w:divBdr>
    </w:div>
    <w:div w:id="1064445607">
      <w:bodyDiv w:val="1"/>
      <w:marLeft w:val="0"/>
      <w:marRight w:val="0"/>
      <w:marTop w:val="0"/>
      <w:marBottom w:val="0"/>
      <w:divBdr>
        <w:top w:val="none" w:sz="0" w:space="0" w:color="auto"/>
        <w:left w:val="none" w:sz="0" w:space="0" w:color="auto"/>
        <w:bottom w:val="none" w:sz="0" w:space="0" w:color="auto"/>
        <w:right w:val="none" w:sz="0" w:space="0" w:color="auto"/>
      </w:divBdr>
    </w:div>
    <w:div w:id="1066490356">
      <w:bodyDiv w:val="1"/>
      <w:marLeft w:val="0"/>
      <w:marRight w:val="0"/>
      <w:marTop w:val="0"/>
      <w:marBottom w:val="0"/>
      <w:divBdr>
        <w:top w:val="none" w:sz="0" w:space="0" w:color="auto"/>
        <w:left w:val="none" w:sz="0" w:space="0" w:color="auto"/>
        <w:bottom w:val="none" w:sz="0" w:space="0" w:color="auto"/>
        <w:right w:val="none" w:sz="0" w:space="0" w:color="auto"/>
      </w:divBdr>
    </w:div>
    <w:div w:id="1070074736">
      <w:bodyDiv w:val="1"/>
      <w:marLeft w:val="0"/>
      <w:marRight w:val="0"/>
      <w:marTop w:val="0"/>
      <w:marBottom w:val="0"/>
      <w:divBdr>
        <w:top w:val="none" w:sz="0" w:space="0" w:color="auto"/>
        <w:left w:val="none" w:sz="0" w:space="0" w:color="auto"/>
        <w:bottom w:val="none" w:sz="0" w:space="0" w:color="auto"/>
        <w:right w:val="none" w:sz="0" w:space="0" w:color="auto"/>
      </w:divBdr>
    </w:div>
    <w:div w:id="1075320226">
      <w:bodyDiv w:val="1"/>
      <w:marLeft w:val="0"/>
      <w:marRight w:val="0"/>
      <w:marTop w:val="0"/>
      <w:marBottom w:val="0"/>
      <w:divBdr>
        <w:top w:val="none" w:sz="0" w:space="0" w:color="auto"/>
        <w:left w:val="none" w:sz="0" w:space="0" w:color="auto"/>
        <w:bottom w:val="none" w:sz="0" w:space="0" w:color="auto"/>
        <w:right w:val="none" w:sz="0" w:space="0" w:color="auto"/>
      </w:divBdr>
    </w:div>
    <w:div w:id="1081291516">
      <w:bodyDiv w:val="1"/>
      <w:marLeft w:val="0"/>
      <w:marRight w:val="0"/>
      <w:marTop w:val="0"/>
      <w:marBottom w:val="0"/>
      <w:divBdr>
        <w:top w:val="none" w:sz="0" w:space="0" w:color="auto"/>
        <w:left w:val="none" w:sz="0" w:space="0" w:color="auto"/>
        <w:bottom w:val="none" w:sz="0" w:space="0" w:color="auto"/>
        <w:right w:val="none" w:sz="0" w:space="0" w:color="auto"/>
      </w:divBdr>
    </w:div>
    <w:div w:id="1081607127">
      <w:bodyDiv w:val="1"/>
      <w:marLeft w:val="0"/>
      <w:marRight w:val="0"/>
      <w:marTop w:val="0"/>
      <w:marBottom w:val="0"/>
      <w:divBdr>
        <w:top w:val="none" w:sz="0" w:space="0" w:color="auto"/>
        <w:left w:val="none" w:sz="0" w:space="0" w:color="auto"/>
        <w:bottom w:val="none" w:sz="0" w:space="0" w:color="auto"/>
        <w:right w:val="none" w:sz="0" w:space="0" w:color="auto"/>
      </w:divBdr>
    </w:div>
    <w:div w:id="1093819489">
      <w:bodyDiv w:val="1"/>
      <w:marLeft w:val="0"/>
      <w:marRight w:val="0"/>
      <w:marTop w:val="0"/>
      <w:marBottom w:val="0"/>
      <w:divBdr>
        <w:top w:val="none" w:sz="0" w:space="0" w:color="auto"/>
        <w:left w:val="none" w:sz="0" w:space="0" w:color="auto"/>
        <w:bottom w:val="none" w:sz="0" w:space="0" w:color="auto"/>
        <w:right w:val="none" w:sz="0" w:space="0" w:color="auto"/>
      </w:divBdr>
    </w:div>
    <w:div w:id="1096749855">
      <w:bodyDiv w:val="1"/>
      <w:marLeft w:val="0"/>
      <w:marRight w:val="0"/>
      <w:marTop w:val="0"/>
      <w:marBottom w:val="0"/>
      <w:divBdr>
        <w:top w:val="none" w:sz="0" w:space="0" w:color="auto"/>
        <w:left w:val="none" w:sz="0" w:space="0" w:color="auto"/>
        <w:bottom w:val="none" w:sz="0" w:space="0" w:color="auto"/>
        <w:right w:val="none" w:sz="0" w:space="0" w:color="auto"/>
      </w:divBdr>
    </w:div>
    <w:div w:id="1110394387">
      <w:bodyDiv w:val="1"/>
      <w:marLeft w:val="0"/>
      <w:marRight w:val="0"/>
      <w:marTop w:val="0"/>
      <w:marBottom w:val="0"/>
      <w:divBdr>
        <w:top w:val="none" w:sz="0" w:space="0" w:color="auto"/>
        <w:left w:val="none" w:sz="0" w:space="0" w:color="auto"/>
        <w:bottom w:val="none" w:sz="0" w:space="0" w:color="auto"/>
        <w:right w:val="none" w:sz="0" w:space="0" w:color="auto"/>
      </w:divBdr>
    </w:div>
    <w:div w:id="1111322243">
      <w:bodyDiv w:val="1"/>
      <w:marLeft w:val="0"/>
      <w:marRight w:val="0"/>
      <w:marTop w:val="0"/>
      <w:marBottom w:val="0"/>
      <w:divBdr>
        <w:top w:val="none" w:sz="0" w:space="0" w:color="auto"/>
        <w:left w:val="none" w:sz="0" w:space="0" w:color="auto"/>
        <w:bottom w:val="none" w:sz="0" w:space="0" w:color="auto"/>
        <w:right w:val="none" w:sz="0" w:space="0" w:color="auto"/>
      </w:divBdr>
    </w:div>
    <w:div w:id="1113745367">
      <w:bodyDiv w:val="1"/>
      <w:marLeft w:val="0"/>
      <w:marRight w:val="0"/>
      <w:marTop w:val="0"/>
      <w:marBottom w:val="0"/>
      <w:divBdr>
        <w:top w:val="none" w:sz="0" w:space="0" w:color="auto"/>
        <w:left w:val="none" w:sz="0" w:space="0" w:color="auto"/>
        <w:bottom w:val="none" w:sz="0" w:space="0" w:color="auto"/>
        <w:right w:val="none" w:sz="0" w:space="0" w:color="auto"/>
      </w:divBdr>
    </w:div>
    <w:div w:id="1117335408">
      <w:bodyDiv w:val="1"/>
      <w:marLeft w:val="0"/>
      <w:marRight w:val="0"/>
      <w:marTop w:val="0"/>
      <w:marBottom w:val="0"/>
      <w:divBdr>
        <w:top w:val="none" w:sz="0" w:space="0" w:color="auto"/>
        <w:left w:val="none" w:sz="0" w:space="0" w:color="auto"/>
        <w:bottom w:val="none" w:sz="0" w:space="0" w:color="auto"/>
        <w:right w:val="none" w:sz="0" w:space="0" w:color="auto"/>
      </w:divBdr>
    </w:div>
    <w:div w:id="1130973595">
      <w:bodyDiv w:val="1"/>
      <w:marLeft w:val="0"/>
      <w:marRight w:val="0"/>
      <w:marTop w:val="0"/>
      <w:marBottom w:val="0"/>
      <w:divBdr>
        <w:top w:val="none" w:sz="0" w:space="0" w:color="auto"/>
        <w:left w:val="none" w:sz="0" w:space="0" w:color="auto"/>
        <w:bottom w:val="none" w:sz="0" w:space="0" w:color="auto"/>
        <w:right w:val="none" w:sz="0" w:space="0" w:color="auto"/>
      </w:divBdr>
    </w:div>
    <w:div w:id="1142234768">
      <w:bodyDiv w:val="1"/>
      <w:marLeft w:val="0"/>
      <w:marRight w:val="0"/>
      <w:marTop w:val="0"/>
      <w:marBottom w:val="0"/>
      <w:divBdr>
        <w:top w:val="none" w:sz="0" w:space="0" w:color="auto"/>
        <w:left w:val="none" w:sz="0" w:space="0" w:color="auto"/>
        <w:bottom w:val="none" w:sz="0" w:space="0" w:color="auto"/>
        <w:right w:val="none" w:sz="0" w:space="0" w:color="auto"/>
      </w:divBdr>
    </w:div>
    <w:div w:id="1152873408">
      <w:bodyDiv w:val="1"/>
      <w:marLeft w:val="0"/>
      <w:marRight w:val="0"/>
      <w:marTop w:val="0"/>
      <w:marBottom w:val="0"/>
      <w:divBdr>
        <w:top w:val="none" w:sz="0" w:space="0" w:color="auto"/>
        <w:left w:val="none" w:sz="0" w:space="0" w:color="auto"/>
        <w:bottom w:val="none" w:sz="0" w:space="0" w:color="auto"/>
        <w:right w:val="none" w:sz="0" w:space="0" w:color="auto"/>
      </w:divBdr>
    </w:div>
    <w:div w:id="1153258277">
      <w:bodyDiv w:val="1"/>
      <w:marLeft w:val="0"/>
      <w:marRight w:val="0"/>
      <w:marTop w:val="0"/>
      <w:marBottom w:val="0"/>
      <w:divBdr>
        <w:top w:val="none" w:sz="0" w:space="0" w:color="auto"/>
        <w:left w:val="none" w:sz="0" w:space="0" w:color="auto"/>
        <w:bottom w:val="none" w:sz="0" w:space="0" w:color="auto"/>
        <w:right w:val="none" w:sz="0" w:space="0" w:color="auto"/>
      </w:divBdr>
    </w:div>
    <w:div w:id="1153761318">
      <w:bodyDiv w:val="1"/>
      <w:marLeft w:val="0"/>
      <w:marRight w:val="0"/>
      <w:marTop w:val="0"/>
      <w:marBottom w:val="0"/>
      <w:divBdr>
        <w:top w:val="none" w:sz="0" w:space="0" w:color="auto"/>
        <w:left w:val="none" w:sz="0" w:space="0" w:color="auto"/>
        <w:bottom w:val="none" w:sz="0" w:space="0" w:color="auto"/>
        <w:right w:val="none" w:sz="0" w:space="0" w:color="auto"/>
      </w:divBdr>
    </w:div>
    <w:div w:id="1156334656">
      <w:bodyDiv w:val="1"/>
      <w:marLeft w:val="0"/>
      <w:marRight w:val="0"/>
      <w:marTop w:val="0"/>
      <w:marBottom w:val="0"/>
      <w:divBdr>
        <w:top w:val="none" w:sz="0" w:space="0" w:color="auto"/>
        <w:left w:val="none" w:sz="0" w:space="0" w:color="auto"/>
        <w:bottom w:val="none" w:sz="0" w:space="0" w:color="auto"/>
        <w:right w:val="none" w:sz="0" w:space="0" w:color="auto"/>
      </w:divBdr>
    </w:div>
    <w:div w:id="1183934290">
      <w:bodyDiv w:val="1"/>
      <w:marLeft w:val="0"/>
      <w:marRight w:val="0"/>
      <w:marTop w:val="0"/>
      <w:marBottom w:val="0"/>
      <w:divBdr>
        <w:top w:val="none" w:sz="0" w:space="0" w:color="auto"/>
        <w:left w:val="none" w:sz="0" w:space="0" w:color="auto"/>
        <w:bottom w:val="none" w:sz="0" w:space="0" w:color="auto"/>
        <w:right w:val="none" w:sz="0" w:space="0" w:color="auto"/>
      </w:divBdr>
    </w:div>
    <w:div w:id="1191918523">
      <w:bodyDiv w:val="1"/>
      <w:marLeft w:val="0"/>
      <w:marRight w:val="0"/>
      <w:marTop w:val="0"/>
      <w:marBottom w:val="0"/>
      <w:divBdr>
        <w:top w:val="none" w:sz="0" w:space="0" w:color="auto"/>
        <w:left w:val="none" w:sz="0" w:space="0" w:color="auto"/>
        <w:bottom w:val="none" w:sz="0" w:space="0" w:color="auto"/>
        <w:right w:val="none" w:sz="0" w:space="0" w:color="auto"/>
      </w:divBdr>
    </w:div>
    <w:div w:id="1202478740">
      <w:bodyDiv w:val="1"/>
      <w:marLeft w:val="0"/>
      <w:marRight w:val="0"/>
      <w:marTop w:val="0"/>
      <w:marBottom w:val="0"/>
      <w:divBdr>
        <w:top w:val="none" w:sz="0" w:space="0" w:color="auto"/>
        <w:left w:val="none" w:sz="0" w:space="0" w:color="auto"/>
        <w:bottom w:val="none" w:sz="0" w:space="0" w:color="auto"/>
        <w:right w:val="none" w:sz="0" w:space="0" w:color="auto"/>
      </w:divBdr>
    </w:div>
    <w:div w:id="1206723832">
      <w:bodyDiv w:val="1"/>
      <w:marLeft w:val="0"/>
      <w:marRight w:val="0"/>
      <w:marTop w:val="0"/>
      <w:marBottom w:val="0"/>
      <w:divBdr>
        <w:top w:val="none" w:sz="0" w:space="0" w:color="auto"/>
        <w:left w:val="none" w:sz="0" w:space="0" w:color="auto"/>
        <w:bottom w:val="none" w:sz="0" w:space="0" w:color="auto"/>
        <w:right w:val="none" w:sz="0" w:space="0" w:color="auto"/>
      </w:divBdr>
    </w:div>
    <w:div w:id="1222058218">
      <w:bodyDiv w:val="1"/>
      <w:marLeft w:val="0"/>
      <w:marRight w:val="0"/>
      <w:marTop w:val="0"/>
      <w:marBottom w:val="0"/>
      <w:divBdr>
        <w:top w:val="none" w:sz="0" w:space="0" w:color="auto"/>
        <w:left w:val="none" w:sz="0" w:space="0" w:color="auto"/>
        <w:bottom w:val="none" w:sz="0" w:space="0" w:color="auto"/>
        <w:right w:val="none" w:sz="0" w:space="0" w:color="auto"/>
      </w:divBdr>
    </w:div>
    <w:div w:id="1226188021">
      <w:bodyDiv w:val="1"/>
      <w:marLeft w:val="0"/>
      <w:marRight w:val="0"/>
      <w:marTop w:val="0"/>
      <w:marBottom w:val="0"/>
      <w:divBdr>
        <w:top w:val="none" w:sz="0" w:space="0" w:color="auto"/>
        <w:left w:val="none" w:sz="0" w:space="0" w:color="auto"/>
        <w:bottom w:val="none" w:sz="0" w:space="0" w:color="auto"/>
        <w:right w:val="none" w:sz="0" w:space="0" w:color="auto"/>
      </w:divBdr>
    </w:div>
    <w:div w:id="1231118947">
      <w:bodyDiv w:val="1"/>
      <w:marLeft w:val="0"/>
      <w:marRight w:val="0"/>
      <w:marTop w:val="0"/>
      <w:marBottom w:val="0"/>
      <w:divBdr>
        <w:top w:val="none" w:sz="0" w:space="0" w:color="auto"/>
        <w:left w:val="none" w:sz="0" w:space="0" w:color="auto"/>
        <w:bottom w:val="none" w:sz="0" w:space="0" w:color="auto"/>
        <w:right w:val="none" w:sz="0" w:space="0" w:color="auto"/>
      </w:divBdr>
    </w:div>
    <w:div w:id="1231499515">
      <w:bodyDiv w:val="1"/>
      <w:marLeft w:val="0"/>
      <w:marRight w:val="0"/>
      <w:marTop w:val="0"/>
      <w:marBottom w:val="0"/>
      <w:divBdr>
        <w:top w:val="none" w:sz="0" w:space="0" w:color="auto"/>
        <w:left w:val="none" w:sz="0" w:space="0" w:color="auto"/>
        <w:bottom w:val="none" w:sz="0" w:space="0" w:color="auto"/>
        <w:right w:val="none" w:sz="0" w:space="0" w:color="auto"/>
      </w:divBdr>
    </w:div>
    <w:div w:id="1244796102">
      <w:bodyDiv w:val="1"/>
      <w:marLeft w:val="0"/>
      <w:marRight w:val="0"/>
      <w:marTop w:val="0"/>
      <w:marBottom w:val="0"/>
      <w:divBdr>
        <w:top w:val="none" w:sz="0" w:space="0" w:color="auto"/>
        <w:left w:val="none" w:sz="0" w:space="0" w:color="auto"/>
        <w:bottom w:val="none" w:sz="0" w:space="0" w:color="auto"/>
        <w:right w:val="none" w:sz="0" w:space="0" w:color="auto"/>
      </w:divBdr>
    </w:div>
    <w:div w:id="1254170325">
      <w:bodyDiv w:val="1"/>
      <w:marLeft w:val="0"/>
      <w:marRight w:val="0"/>
      <w:marTop w:val="0"/>
      <w:marBottom w:val="0"/>
      <w:divBdr>
        <w:top w:val="none" w:sz="0" w:space="0" w:color="auto"/>
        <w:left w:val="none" w:sz="0" w:space="0" w:color="auto"/>
        <w:bottom w:val="none" w:sz="0" w:space="0" w:color="auto"/>
        <w:right w:val="none" w:sz="0" w:space="0" w:color="auto"/>
      </w:divBdr>
    </w:div>
    <w:div w:id="1255936005">
      <w:bodyDiv w:val="1"/>
      <w:marLeft w:val="0"/>
      <w:marRight w:val="0"/>
      <w:marTop w:val="0"/>
      <w:marBottom w:val="0"/>
      <w:divBdr>
        <w:top w:val="none" w:sz="0" w:space="0" w:color="auto"/>
        <w:left w:val="none" w:sz="0" w:space="0" w:color="auto"/>
        <w:bottom w:val="none" w:sz="0" w:space="0" w:color="auto"/>
        <w:right w:val="none" w:sz="0" w:space="0" w:color="auto"/>
      </w:divBdr>
    </w:div>
    <w:div w:id="1258834372">
      <w:bodyDiv w:val="1"/>
      <w:marLeft w:val="0"/>
      <w:marRight w:val="0"/>
      <w:marTop w:val="0"/>
      <w:marBottom w:val="0"/>
      <w:divBdr>
        <w:top w:val="none" w:sz="0" w:space="0" w:color="auto"/>
        <w:left w:val="none" w:sz="0" w:space="0" w:color="auto"/>
        <w:bottom w:val="none" w:sz="0" w:space="0" w:color="auto"/>
        <w:right w:val="none" w:sz="0" w:space="0" w:color="auto"/>
      </w:divBdr>
    </w:div>
    <w:div w:id="1268003712">
      <w:bodyDiv w:val="1"/>
      <w:marLeft w:val="0"/>
      <w:marRight w:val="0"/>
      <w:marTop w:val="0"/>
      <w:marBottom w:val="0"/>
      <w:divBdr>
        <w:top w:val="none" w:sz="0" w:space="0" w:color="auto"/>
        <w:left w:val="none" w:sz="0" w:space="0" w:color="auto"/>
        <w:bottom w:val="none" w:sz="0" w:space="0" w:color="auto"/>
        <w:right w:val="none" w:sz="0" w:space="0" w:color="auto"/>
      </w:divBdr>
    </w:div>
    <w:div w:id="1272008585">
      <w:bodyDiv w:val="1"/>
      <w:marLeft w:val="0"/>
      <w:marRight w:val="0"/>
      <w:marTop w:val="0"/>
      <w:marBottom w:val="0"/>
      <w:divBdr>
        <w:top w:val="none" w:sz="0" w:space="0" w:color="auto"/>
        <w:left w:val="none" w:sz="0" w:space="0" w:color="auto"/>
        <w:bottom w:val="none" w:sz="0" w:space="0" w:color="auto"/>
        <w:right w:val="none" w:sz="0" w:space="0" w:color="auto"/>
      </w:divBdr>
    </w:div>
    <w:div w:id="1281305782">
      <w:bodyDiv w:val="1"/>
      <w:marLeft w:val="0"/>
      <w:marRight w:val="0"/>
      <w:marTop w:val="0"/>
      <w:marBottom w:val="0"/>
      <w:divBdr>
        <w:top w:val="none" w:sz="0" w:space="0" w:color="auto"/>
        <w:left w:val="none" w:sz="0" w:space="0" w:color="auto"/>
        <w:bottom w:val="none" w:sz="0" w:space="0" w:color="auto"/>
        <w:right w:val="none" w:sz="0" w:space="0" w:color="auto"/>
      </w:divBdr>
    </w:div>
    <w:div w:id="1283074788">
      <w:bodyDiv w:val="1"/>
      <w:marLeft w:val="0"/>
      <w:marRight w:val="0"/>
      <w:marTop w:val="0"/>
      <w:marBottom w:val="0"/>
      <w:divBdr>
        <w:top w:val="none" w:sz="0" w:space="0" w:color="auto"/>
        <w:left w:val="none" w:sz="0" w:space="0" w:color="auto"/>
        <w:bottom w:val="none" w:sz="0" w:space="0" w:color="auto"/>
        <w:right w:val="none" w:sz="0" w:space="0" w:color="auto"/>
      </w:divBdr>
    </w:div>
    <w:div w:id="1284460150">
      <w:bodyDiv w:val="1"/>
      <w:marLeft w:val="0"/>
      <w:marRight w:val="0"/>
      <w:marTop w:val="0"/>
      <w:marBottom w:val="0"/>
      <w:divBdr>
        <w:top w:val="none" w:sz="0" w:space="0" w:color="auto"/>
        <w:left w:val="none" w:sz="0" w:space="0" w:color="auto"/>
        <w:bottom w:val="none" w:sz="0" w:space="0" w:color="auto"/>
        <w:right w:val="none" w:sz="0" w:space="0" w:color="auto"/>
      </w:divBdr>
    </w:div>
    <w:div w:id="1285651475">
      <w:bodyDiv w:val="1"/>
      <w:marLeft w:val="0"/>
      <w:marRight w:val="0"/>
      <w:marTop w:val="0"/>
      <w:marBottom w:val="0"/>
      <w:divBdr>
        <w:top w:val="none" w:sz="0" w:space="0" w:color="auto"/>
        <w:left w:val="none" w:sz="0" w:space="0" w:color="auto"/>
        <w:bottom w:val="none" w:sz="0" w:space="0" w:color="auto"/>
        <w:right w:val="none" w:sz="0" w:space="0" w:color="auto"/>
      </w:divBdr>
    </w:div>
    <w:div w:id="1306467728">
      <w:bodyDiv w:val="1"/>
      <w:marLeft w:val="0"/>
      <w:marRight w:val="0"/>
      <w:marTop w:val="0"/>
      <w:marBottom w:val="0"/>
      <w:divBdr>
        <w:top w:val="none" w:sz="0" w:space="0" w:color="auto"/>
        <w:left w:val="none" w:sz="0" w:space="0" w:color="auto"/>
        <w:bottom w:val="none" w:sz="0" w:space="0" w:color="auto"/>
        <w:right w:val="none" w:sz="0" w:space="0" w:color="auto"/>
      </w:divBdr>
    </w:div>
    <w:div w:id="1306861886">
      <w:bodyDiv w:val="1"/>
      <w:marLeft w:val="0"/>
      <w:marRight w:val="0"/>
      <w:marTop w:val="0"/>
      <w:marBottom w:val="0"/>
      <w:divBdr>
        <w:top w:val="none" w:sz="0" w:space="0" w:color="auto"/>
        <w:left w:val="none" w:sz="0" w:space="0" w:color="auto"/>
        <w:bottom w:val="none" w:sz="0" w:space="0" w:color="auto"/>
        <w:right w:val="none" w:sz="0" w:space="0" w:color="auto"/>
      </w:divBdr>
    </w:div>
    <w:div w:id="1307080947">
      <w:bodyDiv w:val="1"/>
      <w:marLeft w:val="0"/>
      <w:marRight w:val="0"/>
      <w:marTop w:val="0"/>
      <w:marBottom w:val="0"/>
      <w:divBdr>
        <w:top w:val="none" w:sz="0" w:space="0" w:color="auto"/>
        <w:left w:val="none" w:sz="0" w:space="0" w:color="auto"/>
        <w:bottom w:val="none" w:sz="0" w:space="0" w:color="auto"/>
        <w:right w:val="none" w:sz="0" w:space="0" w:color="auto"/>
      </w:divBdr>
    </w:div>
    <w:div w:id="1311864461">
      <w:bodyDiv w:val="1"/>
      <w:marLeft w:val="0"/>
      <w:marRight w:val="0"/>
      <w:marTop w:val="0"/>
      <w:marBottom w:val="0"/>
      <w:divBdr>
        <w:top w:val="none" w:sz="0" w:space="0" w:color="auto"/>
        <w:left w:val="none" w:sz="0" w:space="0" w:color="auto"/>
        <w:bottom w:val="none" w:sz="0" w:space="0" w:color="auto"/>
        <w:right w:val="none" w:sz="0" w:space="0" w:color="auto"/>
      </w:divBdr>
      <w:divsChild>
        <w:div w:id="1067341469">
          <w:marLeft w:val="0"/>
          <w:marRight w:val="0"/>
          <w:marTop w:val="0"/>
          <w:marBottom w:val="0"/>
          <w:divBdr>
            <w:top w:val="none" w:sz="0" w:space="0" w:color="auto"/>
            <w:left w:val="none" w:sz="0" w:space="0" w:color="auto"/>
            <w:bottom w:val="none" w:sz="0" w:space="0" w:color="auto"/>
            <w:right w:val="none" w:sz="0" w:space="0" w:color="auto"/>
          </w:divBdr>
        </w:div>
        <w:div w:id="1764564547">
          <w:marLeft w:val="0"/>
          <w:marRight w:val="0"/>
          <w:marTop w:val="0"/>
          <w:marBottom w:val="0"/>
          <w:divBdr>
            <w:top w:val="none" w:sz="0" w:space="0" w:color="auto"/>
            <w:left w:val="none" w:sz="0" w:space="0" w:color="auto"/>
            <w:bottom w:val="none" w:sz="0" w:space="0" w:color="auto"/>
            <w:right w:val="none" w:sz="0" w:space="0" w:color="auto"/>
          </w:divBdr>
        </w:div>
        <w:div w:id="54819854">
          <w:marLeft w:val="0"/>
          <w:marRight w:val="0"/>
          <w:marTop w:val="0"/>
          <w:marBottom w:val="0"/>
          <w:divBdr>
            <w:top w:val="none" w:sz="0" w:space="0" w:color="auto"/>
            <w:left w:val="none" w:sz="0" w:space="0" w:color="auto"/>
            <w:bottom w:val="none" w:sz="0" w:space="0" w:color="auto"/>
            <w:right w:val="none" w:sz="0" w:space="0" w:color="auto"/>
          </w:divBdr>
        </w:div>
        <w:div w:id="1265727340">
          <w:marLeft w:val="0"/>
          <w:marRight w:val="0"/>
          <w:marTop w:val="0"/>
          <w:marBottom w:val="0"/>
          <w:divBdr>
            <w:top w:val="none" w:sz="0" w:space="0" w:color="auto"/>
            <w:left w:val="none" w:sz="0" w:space="0" w:color="auto"/>
            <w:bottom w:val="none" w:sz="0" w:space="0" w:color="auto"/>
            <w:right w:val="none" w:sz="0" w:space="0" w:color="auto"/>
          </w:divBdr>
        </w:div>
        <w:div w:id="145512261">
          <w:marLeft w:val="0"/>
          <w:marRight w:val="0"/>
          <w:marTop w:val="0"/>
          <w:marBottom w:val="0"/>
          <w:divBdr>
            <w:top w:val="none" w:sz="0" w:space="0" w:color="auto"/>
            <w:left w:val="none" w:sz="0" w:space="0" w:color="auto"/>
            <w:bottom w:val="none" w:sz="0" w:space="0" w:color="auto"/>
            <w:right w:val="none" w:sz="0" w:space="0" w:color="auto"/>
          </w:divBdr>
        </w:div>
        <w:div w:id="176312440">
          <w:marLeft w:val="0"/>
          <w:marRight w:val="0"/>
          <w:marTop w:val="0"/>
          <w:marBottom w:val="0"/>
          <w:divBdr>
            <w:top w:val="none" w:sz="0" w:space="0" w:color="auto"/>
            <w:left w:val="none" w:sz="0" w:space="0" w:color="auto"/>
            <w:bottom w:val="none" w:sz="0" w:space="0" w:color="auto"/>
            <w:right w:val="none" w:sz="0" w:space="0" w:color="auto"/>
          </w:divBdr>
        </w:div>
        <w:div w:id="1043672495">
          <w:marLeft w:val="0"/>
          <w:marRight w:val="0"/>
          <w:marTop w:val="0"/>
          <w:marBottom w:val="0"/>
          <w:divBdr>
            <w:top w:val="none" w:sz="0" w:space="0" w:color="auto"/>
            <w:left w:val="none" w:sz="0" w:space="0" w:color="auto"/>
            <w:bottom w:val="none" w:sz="0" w:space="0" w:color="auto"/>
            <w:right w:val="none" w:sz="0" w:space="0" w:color="auto"/>
          </w:divBdr>
        </w:div>
        <w:div w:id="799110585">
          <w:marLeft w:val="0"/>
          <w:marRight w:val="0"/>
          <w:marTop w:val="0"/>
          <w:marBottom w:val="0"/>
          <w:divBdr>
            <w:top w:val="none" w:sz="0" w:space="0" w:color="auto"/>
            <w:left w:val="none" w:sz="0" w:space="0" w:color="auto"/>
            <w:bottom w:val="none" w:sz="0" w:space="0" w:color="auto"/>
            <w:right w:val="none" w:sz="0" w:space="0" w:color="auto"/>
          </w:divBdr>
        </w:div>
        <w:div w:id="1455708242">
          <w:marLeft w:val="0"/>
          <w:marRight w:val="0"/>
          <w:marTop w:val="0"/>
          <w:marBottom w:val="0"/>
          <w:divBdr>
            <w:top w:val="none" w:sz="0" w:space="0" w:color="auto"/>
            <w:left w:val="none" w:sz="0" w:space="0" w:color="auto"/>
            <w:bottom w:val="none" w:sz="0" w:space="0" w:color="auto"/>
            <w:right w:val="none" w:sz="0" w:space="0" w:color="auto"/>
          </w:divBdr>
        </w:div>
        <w:div w:id="1757701129">
          <w:marLeft w:val="0"/>
          <w:marRight w:val="0"/>
          <w:marTop w:val="0"/>
          <w:marBottom w:val="0"/>
          <w:divBdr>
            <w:top w:val="none" w:sz="0" w:space="0" w:color="auto"/>
            <w:left w:val="none" w:sz="0" w:space="0" w:color="auto"/>
            <w:bottom w:val="none" w:sz="0" w:space="0" w:color="auto"/>
            <w:right w:val="none" w:sz="0" w:space="0" w:color="auto"/>
          </w:divBdr>
        </w:div>
        <w:div w:id="1698697103">
          <w:marLeft w:val="0"/>
          <w:marRight w:val="0"/>
          <w:marTop w:val="0"/>
          <w:marBottom w:val="0"/>
          <w:divBdr>
            <w:top w:val="none" w:sz="0" w:space="0" w:color="auto"/>
            <w:left w:val="none" w:sz="0" w:space="0" w:color="auto"/>
            <w:bottom w:val="none" w:sz="0" w:space="0" w:color="auto"/>
            <w:right w:val="none" w:sz="0" w:space="0" w:color="auto"/>
          </w:divBdr>
        </w:div>
        <w:div w:id="1935746002">
          <w:marLeft w:val="0"/>
          <w:marRight w:val="0"/>
          <w:marTop w:val="0"/>
          <w:marBottom w:val="0"/>
          <w:divBdr>
            <w:top w:val="none" w:sz="0" w:space="0" w:color="auto"/>
            <w:left w:val="none" w:sz="0" w:space="0" w:color="auto"/>
            <w:bottom w:val="none" w:sz="0" w:space="0" w:color="auto"/>
            <w:right w:val="none" w:sz="0" w:space="0" w:color="auto"/>
          </w:divBdr>
        </w:div>
        <w:div w:id="1225408266">
          <w:marLeft w:val="0"/>
          <w:marRight w:val="0"/>
          <w:marTop w:val="0"/>
          <w:marBottom w:val="0"/>
          <w:divBdr>
            <w:top w:val="none" w:sz="0" w:space="0" w:color="auto"/>
            <w:left w:val="none" w:sz="0" w:space="0" w:color="auto"/>
            <w:bottom w:val="none" w:sz="0" w:space="0" w:color="auto"/>
            <w:right w:val="none" w:sz="0" w:space="0" w:color="auto"/>
          </w:divBdr>
        </w:div>
        <w:div w:id="95370046">
          <w:marLeft w:val="0"/>
          <w:marRight w:val="0"/>
          <w:marTop w:val="0"/>
          <w:marBottom w:val="0"/>
          <w:divBdr>
            <w:top w:val="none" w:sz="0" w:space="0" w:color="auto"/>
            <w:left w:val="none" w:sz="0" w:space="0" w:color="auto"/>
            <w:bottom w:val="none" w:sz="0" w:space="0" w:color="auto"/>
            <w:right w:val="none" w:sz="0" w:space="0" w:color="auto"/>
          </w:divBdr>
        </w:div>
        <w:div w:id="1291397854">
          <w:marLeft w:val="0"/>
          <w:marRight w:val="0"/>
          <w:marTop w:val="0"/>
          <w:marBottom w:val="0"/>
          <w:divBdr>
            <w:top w:val="none" w:sz="0" w:space="0" w:color="auto"/>
            <w:left w:val="none" w:sz="0" w:space="0" w:color="auto"/>
            <w:bottom w:val="none" w:sz="0" w:space="0" w:color="auto"/>
            <w:right w:val="none" w:sz="0" w:space="0" w:color="auto"/>
          </w:divBdr>
        </w:div>
        <w:div w:id="281503032">
          <w:marLeft w:val="0"/>
          <w:marRight w:val="0"/>
          <w:marTop w:val="0"/>
          <w:marBottom w:val="0"/>
          <w:divBdr>
            <w:top w:val="none" w:sz="0" w:space="0" w:color="auto"/>
            <w:left w:val="none" w:sz="0" w:space="0" w:color="auto"/>
            <w:bottom w:val="none" w:sz="0" w:space="0" w:color="auto"/>
            <w:right w:val="none" w:sz="0" w:space="0" w:color="auto"/>
          </w:divBdr>
        </w:div>
        <w:div w:id="1024599271">
          <w:marLeft w:val="0"/>
          <w:marRight w:val="0"/>
          <w:marTop w:val="0"/>
          <w:marBottom w:val="0"/>
          <w:divBdr>
            <w:top w:val="none" w:sz="0" w:space="0" w:color="auto"/>
            <w:left w:val="none" w:sz="0" w:space="0" w:color="auto"/>
            <w:bottom w:val="none" w:sz="0" w:space="0" w:color="auto"/>
            <w:right w:val="none" w:sz="0" w:space="0" w:color="auto"/>
          </w:divBdr>
        </w:div>
        <w:div w:id="1242642418">
          <w:marLeft w:val="0"/>
          <w:marRight w:val="0"/>
          <w:marTop w:val="0"/>
          <w:marBottom w:val="0"/>
          <w:divBdr>
            <w:top w:val="none" w:sz="0" w:space="0" w:color="auto"/>
            <w:left w:val="none" w:sz="0" w:space="0" w:color="auto"/>
            <w:bottom w:val="none" w:sz="0" w:space="0" w:color="auto"/>
            <w:right w:val="none" w:sz="0" w:space="0" w:color="auto"/>
          </w:divBdr>
        </w:div>
        <w:div w:id="1461343130">
          <w:marLeft w:val="0"/>
          <w:marRight w:val="0"/>
          <w:marTop w:val="0"/>
          <w:marBottom w:val="0"/>
          <w:divBdr>
            <w:top w:val="none" w:sz="0" w:space="0" w:color="auto"/>
            <w:left w:val="none" w:sz="0" w:space="0" w:color="auto"/>
            <w:bottom w:val="none" w:sz="0" w:space="0" w:color="auto"/>
            <w:right w:val="none" w:sz="0" w:space="0" w:color="auto"/>
          </w:divBdr>
        </w:div>
        <w:div w:id="1438334115">
          <w:marLeft w:val="0"/>
          <w:marRight w:val="0"/>
          <w:marTop w:val="0"/>
          <w:marBottom w:val="0"/>
          <w:divBdr>
            <w:top w:val="none" w:sz="0" w:space="0" w:color="auto"/>
            <w:left w:val="none" w:sz="0" w:space="0" w:color="auto"/>
            <w:bottom w:val="none" w:sz="0" w:space="0" w:color="auto"/>
            <w:right w:val="none" w:sz="0" w:space="0" w:color="auto"/>
          </w:divBdr>
        </w:div>
      </w:divsChild>
    </w:div>
    <w:div w:id="1312096722">
      <w:bodyDiv w:val="1"/>
      <w:marLeft w:val="0"/>
      <w:marRight w:val="0"/>
      <w:marTop w:val="0"/>
      <w:marBottom w:val="0"/>
      <w:divBdr>
        <w:top w:val="none" w:sz="0" w:space="0" w:color="auto"/>
        <w:left w:val="none" w:sz="0" w:space="0" w:color="auto"/>
        <w:bottom w:val="none" w:sz="0" w:space="0" w:color="auto"/>
        <w:right w:val="none" w:sz="0" w:space="0" w:color="auto"/>
      </w:divBdr>
    </w:div>
    <w:div w:id="1319577113">
      <w:bodyDiv w:val="1"/>
      <w:marLeft w:val="0"/>
      <w:marRight w:val="0"/>
      <w:marTop w:val="0"/>
      <w:marBottom w:val="0"/>
      <w:divBdr>
        <w:top w:val="none" w:sz="0" w:space="0" w:color="auto"/>
        <w:left w:val="none" w:sz="0" w:space="0" w:color="auto"/>
        <w:bottom w:val="none" w:sz="0" w:space="0" w:color="auto"/>
        <w:right w:val="none" w:sz="0" w:space="0" w:color="auto"/>
      </w:divBdr>
    </w:div>
    <w:div w:id="1321932981">
      <w:bodyDiv w:val="1"/>
      <w:marLeft w:val="0"/>
      <w:marRight w:val="0"/>
      <w:marTop w:val="0"/>
      <w:marBottom w:val="0"/>
      <w:divBdr>
        <w:top w:val="none" w:sz="0" w:space="0" w:color="auto"/>
        <w:left w:val="none" w:sz="0" w:space="0" w:color="auto"/>
        <w:bottom w:val="none" w:sz="0" w:space="0" w:color="auto"/>
        <w:right w:val="none" w:sz="0" w:space="0" w:color="auto"/>
      </w:divBdr>
    </w:div>
    <w:div w:id="1329136913">
      <w:bodyDiv w:val="1"/>
      <w:marLeft w:val="0"/>
      <w:marRight w:val="0"/>
      <w:marTop w:val="0"/>
      <w:marBottom w:val="0"/>
      <w:divBdr>
        <w:top w:val="none" w:sz="0" w:space="0" w:color="auto"/>
        <w:left w:val="none" w:sz="0" w:space="0" w:color="auto"/>
        <w:bottom w:val="none" w:sz="0" w:space="0" w:color="auto"/>
        <w:right w:val="none" w:sz="0" w:space="0" w:color="auto"/>
      </w:divBdr>
    </w:div>
    <w:div w:id="1333410504">
      <w:bodyDiv w:val="1"/>
      <w:marLeft w:val="0"/>
      <w:marRight w:val="0"/>
      <w:marTop w:val="0"/>
      <w:marBottom w:val="0"/>
      <w:divBdr>
        <w:top w:val="none" w:sz="0" w:space="0" w:color="auto"/>
        <w:left w:val="none" w:sz="0" w:space="0" w:color="auto"/>
        <w:bottom w:val="none" w:sz="0" w:space="0" w:color="auto"/>
        <w:right w:val="none" w:sz="0" w:space="0" w:color="auto"/>
      </w:divBdr>
    </w:div>
    <w:div w:id="1340545196">
      <w:bodyDiv w:val="1"/>
      <w:marLeft w:val="0"/>
      <w:marRight w:val="0"/>
      <w:marTop w:val="0"/>
      <w:marBottom w:val="0"/>
      <w:divBdr>
        <w:top w:val="none" w:sz="0" w:space="0" w:color="auto"/>
        <w:left w:val="none" w:sz="0" w:space="0" w:color="auto"/>
        <w:bottom w:val="none" w:sz="0" w:space="0" w:color="auto"/>
        <w:right w:val="none" w:sz="0" w:space="0" w:color="auto"/>
      </w:divBdr>
    </w:div>
    <w:div w:id="1341465818">
      <w:bodyDiv w:val="1"/>
      <w:marLeft w:val="0"/>
      <w:marRight w:val="0"/>
      <w:marTop w:val="0"/>
      <w:marBottom w:val="0"/>
      <w:divBdr>
        <w:top w:val="none" w:sz="0" w:space="0" w:color="auto"/>
        <w:left w:val="none" w:sz="0" w:space="0" w:color="auto"/>
        <w:bottom w:val="none" w:sz="0" w:space="0" w:color="auto"/>
        <w:right w:val="none" w:sz="0" w:space="0" w:color="auto"/>
      </w:divBdr>
    </w:div>
    <w:div w:id="1344043754">
      <w:bodyDiv w:val="1"/>
      <w:marLeft w:val="0"/>
      <w:marRight w:val="0"/>
      <w:marTop w:val="0"/>
      <w:marBottom w:val="0"/>
      <w:divBdr>
        <w:top w:val="none" w:sz="0" w:space="0" w:color="auto"/>
        <w:left w:val="none" w:sz="0" w:space="0" w:color="auto"/>
        <w:bottom w:val="none" w:sz="0" w:space="0" w:color="auto"/>
        <w:right w:val="none" w:sz="0" w:space="0" w:color="auto"/>
      </w:divBdr>
    </w:div>
    <w:div w:id="1359117089">
      <w:bodyDiv w:val="1"/>
      <w:marLeft w:val="0"/>
      <w:marRight w:val="0"/>
      <w:marTop w:val="0"/>
      <w:marBottom w:val="0"/>
      <w:divBdr>
        <w:top w:val="none" w:sz="0" w:space="0" w:color="auto"/>
        <w:left w:val="none" w:sz="0" w:space="0" w:color="auto"/>
        <w:bottom w:val="none" w:sz="0" w:space="0" w:color="auto"/>
        <w:right w:val="none" w:sz="0" w:space="0" w:color="auto"/>
      </w:divBdr>
    </w:div>
    <w:div w:id="1371569920">
      <w:bodyDiv w:val="1"/>
      <w:marLeft w:val="0"/>
      <w:marRight w:val="0"/>
      <w:marTop w:val="0"/>
      <w:marBottom w:val="0"/>
      <w:divBdr>
        <w:top w:val="none" w:sz="0" w:space="0" w:color="auto"/>
        <w:left w:val="none" w:sz="0" w:space="0" w:color="auto"/>
        <w:bottom w:val="none" w:sz="0" w:space="0" w:color="auto"/>
        <w:right w:val="none" w:sz="0" w:space="0" w:color="auto"/>
      </w:divBdr>
    </w:div>
    <w:div w:id="1373001465">
      <w:bodyDiv w:val="1"/>
      <w:marLeft w:val="0"/>
      <w:marRight w:val="0"/>
      <w:marTop w:val="0"/>
      <w:marBottom w:val="0"/>
      <w:divBdr>
        <w:top w:val="none" w:sz="0" w:space="0" w:color="auto"/>
        <w:left w:val="none" w:sz="0" w:space="0" w:color="auto"/>
        <w:bottom w:val="none" w:sz="0" w:space="0" w:color="auto"/>
        <w:right w:val="none" w:sz="0" w:space="0" w:color="auto"/>
      </w:divBdr>
    </w:div>
    <w:div w:id="1383559861">
      <w:bodyDiv w:val="1"/>
      <w:marLeft w:val="0"/>
      <w:marRight w:val="0"/>
      <w:marTop w:val="0"/>
      <w:marBottom w:val="0"/>
      <w:divBdr>
        <w:top w:val="none" w:sz="0" w:space="0" w:color="auto"/>
        <w:left w:val="none" w:sz="0" w:space="0" w:color="auto"/>
        <w:bottom w:val="none" w:sz="0" w:space="0" w:color="auto"/>
        <w:right w:val="none" w:sz="0" w:space="0" w:color="auto"/>
      </w:divBdr>
    </w:div>
    <w:div w:id="1391878304">
      <w:bodyDiv w:val="1"/>
      <w:marLeft w:val="0"/>
      <w:marRight w:val="0"/>
      <w:marTop w:val="0"/>
      <w:marBottom w:val="0"/>
      <w:divBdr>
        <w:top w:val="none" w:sz="0" w:space="0" w:color="auto"/>
        <w:left w:val="none" w:sz="0" w:space="0" w:color="auto"/>
        <w:bottom w:val="none" w:sz="0" w:space="0" w:color="auto"/>
        <w:right w:val="none" w:sz="0" w:space="0" w:color="auto"/>
      </w:divBdr>
    </w:div>
    <w:div w:id="1393968702">
      <w:bodyDiv w:val="1"/>
      <w:marLeft w:val="0"/>
      <w:marRight w:val="0"/>
      <w:marTop w:val="0"/>
      <w:marBottom w:val="0"/>
      <w:divBdr>
        <w:top w:val="none" w:sz="0" w:space="0" w:color="auto"/>
        <w:left w:val="none" w:sz="0" w:space="0" w:color="auto"/>
        <w:bottom w:val="none" w:sz="0" w:space="0" w:color="auto"/>
        <w:right w:val="none" w:sz="0" w:space="0" w:color="auto"/>
      </w:divBdr>
    </w:div>
    <w:div w:id="1404177181">
      <w:bodyDiv w:val="1"/>
      <w:marLeft w:val="0"/>
      <w:marRight w:val="0"/>
      <w:marTop w:val="0"/>
      <w:marBottom w:val="0"/>
      <w:divBdr>
        <w:top w:val="none" w:sz="0" w:space="0" w:color="auto"/>
        <w:left w:val="none" w:sz="0" w:space="0" w:color="auto"/>
        <w:bottom w:val="none" w:sz="0" w:space="0" w:color="auto"/>
        <w:right w:val="none" w:sz="0" w:space="0" w:color="auto"/>
      </w:divBdr>
    </w:div>
    <w:div w:id="1406689070">
      <w:bodyDiv w:val="1"/>
      <w:marLeft w:val="0"/>
      <w:marRight w:val="0"/>
      <w:marTop w:val="0"/>
      <w:marBottom w:val="0"/>
      <w:divBdr>
        <w:top w:val="none" w:sz="0" w:space="0" w:color="auto"/>
        <w:left w:val="none" w:sz="0" w:space="0" w:color="auto"/>
        <w:bottom w:val="none" w:sz="0" w:space="0" w:color="auto"/>
        <w:right w:val="none" w:sz="0" w:space="0" w:color="auto"/>
      </w:divBdr>
    </w:div>
    <w:div w:id="1410494248">
      <w:bodyDiv w:val="1"/>
      <w:marLeft w:val="0"/>
      <w:marRight w:val="0"/>
      <w:marTop w:val="0"/>
      <w:marBottom w:val="0"/>
      <w:divBdr>
        <w:top w:val="none" w:sz="0" w:space="0" w:color="auto"/>
        <w:left w:val="none" w:sz="0" w:space="0" w:color="auto"/>
        <w:bottom w:val="none" w:sz="0" w:space="0" w:color="auto"/>
        <w:right w:val="none" w:sz="0" w:space="0" w:color="auto"/>
      </w:divBdr>
    </w:div>
    <w:div w:id="1410814175">
      <w:bodyDiv w:val="1"/>
      <w:marLeft w:val="0"/>
      <w:marRight w:val="0"/>
      <w:marTop w:val="0"/>
      <w:marBottom w:val="0"/>
      <w:divBdr>
        <w:top w:val="none" w:sz="0" w:space="0" w:color="auto"/>
        <w:left w:val="none" w:sz="0" w:space="0" w:color="auto"/>
        <w:bottom w:val="none" w:sz="0" w:space="0" w:color="auto"/>
        <w:right w:val="none" w:sz="0" w:space="0" w:color="auto"/>
      </w:divBdr>
    </w:div>
    <w:div w:id="1413047874">
      <w:bodyDiv w:val="1"/>
      <w:marLeft w:val="0"/>
      <w:marRight w:val="0"/>
      <w:marTop w:val="0"/>
      <w:marBottom w:val="0"/>
      <w:divBdr>
        <w:top w:val="none" w:sz="0" w:space="0" w:color="auto"/>
        <w:left w:val="none" w:sz="0" w:space="0" w:color="auto"/>
        <w:bottom w:val="none" w:sz="0" w:space="0" w:color="auto"/>
        <w:right w:val="none" w:sz="0" w:space="0" w:color="auto"/>
      </w:divBdr>
    </w:div>
    <w:div w:id="1413547921">
      <w:bodyDiv w:val="1"/>
      <w:marLeft w:val="0"/>
      <w:marRight w:val="0"/>
      <w:marTop w:val="0"/>
      <w:marBottom w:val="0"/>
      <w:divBdr>
        <w:top w:val="none" w:sz="0" w:space="0" w:color="auto"/>
        <w:left w:val="none" w:sz="0" w:space="0" w:color="auto"/>
        <w:bottom w:val="none" w:sz="0" w:space="0" w:color="auto"/>
        <w:right w:val="none" w:sz="0" w:space="0" w:color="auto"/>
      </w:divBdr>
    </w:div>
    <w:div w:id="1431701700">
      <w:bodyDiv w:val="1"/>
      <w:marLeft w:val="0"/>
      <w:marRight w:val="0"/>
      <w:marTop w:val="0"/>
      <w:marBottom w:val="0"/>
      <w:divBdr>
        <w:top w:val="none" w:sz="0" w:space="0" w:color="auto"/>
        <w:left w:val="none" w:sz="0" w:space="0" w:color="auto"/>
        <w:bottom w:val="none" w:sz="0" w:space="0" w:color="auto"/>
        <w:right w:val="none" w:sz="0" w:space="0" w:color="auto"/>
      </w:divBdr>
    </w:div>
    <w:div w:id="1435244305">
      <w:bodyDiv w:val="1"/>
      <w:marLeft w:val="0"/>
      <w:marRight w:val="0"/>
      <w:marTop w:val="0"/>
      <w:marBottom w:val="0"/>
      <w:divBdr>
        <w:top w:val="none" w:sz="0" w:space="0" w:color="auto"/>
        <w:left w:val="none" w:sz="0" w:space="0" w:color="auto"/>
        <w:bottom w:val="none" w:sz="0" w:space="0" w:color="auto"/>
        <w:right w:val="none" w:sz="0" w:space="0" w:color="auto"/>
      </w:divBdr>
    </w:div>
    <w:div w:id="1438058467">
      <w:bodyDiv w:val="1"/>
      <w:marLeft w:val="0"/>
      <w:marRight w:val="0"/>
      <w:marTop w:val="0"/>
      <w:marBottom w:val="0"/>
      <w:divBdr>
        <w:top w:val="none" w:sz="0" w:space="0" w:color="auto"/>
        <w:left w:val="none" w:sz="0" w:space="0" w:color="auto"/>
        <w:bottom w:val="none" w:sz="0" w:space="0" w:color="auto"/>
        <w:right w:val="none" w:sz="0" w:space="0" w:color="auto"/>
      </w:divBdr>
    </w:div>
    <w:div w:id="1458328236">
      <w:bodyDiv w:val="1"/>
      <w:marLeft w:val="0"/>
      <w:marRight w:val="0"/>
      <w:marTop w:val="0"/>
      <w:marBottom w:val="0"/>
      <w:divBdr>
        <w:top w:val="none" w:sz="0" w:space="0" w:color="auto"/>
        <w:left w:val="none" w:sz="0" w:space="0" w:color="auto"/>
        <w:bottom w:val="none" w:sz="0" w:space="0" w:color="auto"/>
        <w:right w:val="none" w:sz="0" w:space="0" w:color="auto"/>
      </w:divBdr>
    </w:div>
    <w:div w:id="1471287864">
      <w:bodyDiv w:val="1"/>
      <w:marLeft w:val="0"/>
      <w:marRight w:val="0"/>
      <w:marTop w:val="0"/>
      <w:marBottom w:val="0"/>
      <w:divBdr>
        <w:top w:val="none" w:sz="0" w:space="0" w:color="auto"/>
        <w:left w:val="none" w:sz="0" w:space="0" w:color="auto"/>
        <w:bottom w:val="none" w:sz="0" w:space="0" w:color="auto"/>
        <w:right w:val="none" w:sz="0" w:space="0" w:color="auto"/>
      </w:divBdr>
    </w:div>
    <w:div w:id="1476140505">
      <w:bodyDiv w:val="1"/>
      <w:marLeft w:val="0"/>
      <w:marRight w:val="0"/>
      <w:marTop w:val="0"/>
      <w:marBottom w:val="0"/>
      <w:divBdr>
        <w:top w:val="none" w:sz="0" w:space="0" w:color="auto"/>
        <w:left w:val="none" w:sz="0" w:space="0" w:color="auto"/>
        <w:bottom w:val="none" w:sz="0" w:space="0" w:color="auto"/>
        <w:right w:val="none" w:sz="0" w:space="0" w:color="auto"/>
      </w:divBdr>
    </w:div>
    <w:div w:id="1478835286">
      <w:bodyDiv w:val="1"/>
      <w:marLeft w:val="0"/>
      <w:marRight w:val="0"/>
      <w:marTop w:val="0"/>
      <w:marBottom w:val="0"/>
      <w:divBdr>
        <w:top w:val="none" w:sz="0" w:space="0" w:color="auto"/>
        <w:left w:val="none" w:sz="0" w:space="0" w:color="auto"/>
        <w:bottom w:val="none" w:sz="0" w:space="0" w:color="auto"/>
        <w:right w:val="none" w:sz="0" w:space="0" w:color="auto"/>
      </w:divBdr>
    </w:div>
    <w:div w:id="1482234032">
      <w:bodyDiv w:val="1"/>
      <w:marLeft w:val="0"/>
      <w:marRight w:val="0"/>
      <w:marTop w:val="0"/>
      <w:marBottom w:val="0"/>
      <w:divBdr>
        <w:top w:val="none" w:sz="0" w:space="0" w:color="auto"/>
        <w:left w:val="none" w:sz="0" w:space="0" w:color="auto"/>
        <w:bottom w:val="none" w:sz="0" w:space="0" w:color="auto"/>
        <w:right w:val="none" w:sz="0" w:space="0" w:color="auto"/>
      </w:divBdr>
    </w:div>
    <w:div w:id="1482238004">
      <w:bodyDiv w:val="1"/>
      <w:marLeft w:val="0"/>
      <w:marRight w:val="0"/>
      <w:marTop w:val="0"/>
      <w:marBottom w:val="0"/>
      <w:divBdr>
        <w:top w:val="none" w:sz="0" w:space="0" w:color="auto"/>
        <w:left w:val="none" w:sz="0" w:space="0" w:color="auto"/>
        <w:bottom w:val="none" w:sz="0" w:space="0" w:color="auto"/>
        <w:right w:val="none" w:sz="0" w:space="0" w:color="auto"/>
      </w:divBdr>
    </w:div>
    <w:div w:id="1510825821">
      <w:bodyDiv w:val="1"/>
      <w:marLeft w:val="0"/>
      <w:marRight w:val="0"/>
      <w:marTop w:val="0"/>
      <w:marBottom w:val="0"/>
      <w:divBdr>
        <w:top w:val="none" w:sz="0" w:space="0" w:color="auto"/>
        <w:left w:val="none" w:sz="0" w:space="0" w:color="auto"/>
        <w:bottom w:val="none" w:sz="0" w:space="0" w:color="auto"/>
        <w:right w:val="none" w:sz="0" w:space="0" w:color="auto"/>
      </w:divBdr>
    </w:div>
    <w:div w:id="1519733496">
      <w:bodyDiv w:val="1"/>
      <w:marLeft w:val="0"/>
      <w:marRight w:val="0"/>
      <w:marTop w:val="0"/>
      <w:marBottom w:val="0"/>
      <w:divBdr>
        <w:top w:val="none" w:sz="0" w:space="0" w:color="auto"/>
        <w:left w:val="none" w:sz="0" w:space="0" w:color="auto"/>
        <w:bottom w:val="none" w:sz="0" w:space="0" w:color="auto"/>
        <w:right w:val="none" w:sz="0" w:space="0" w:color="auto"/>
      </w:divBdr>
    </w:div>
    <w:div w:id="1531144429">
      <w:bodyDiv w:val="1"/>
      <w:marLeft w:val="0"/>
      <w:marRight w:val="0"/>
      <w:marTop w:val="0"/>
      <w:marBottom w:val="0"/>
      <w:divBdr>
        <w:top w:val="none" w:sz="0" w:space="0" w:color="auto"/>
        <w:left w:val="none" w:sz="0" w:space="0" w:color="auto"/>
        <w:bottom w:val="none" w:sz="0" w:space="0" w:color="auto"/>
        <w:right w:val="none" w:sz="0" w:space="0" w:color="auto"/>
      </w:divBdr>
      <w:divsChild>
        <w:div w:id="50227450">
          <w:marLeft w:val="0"/>
          <w:marRight w:val="0"/>
          <w:marTop w:val="0"/>
          <w:marBottom w:val="0"/>
          <w:divBdr>
            <w:top w:val="none" w:sz="0" w:space="0" w:color="auto"/>
            <w:left w:val="none" w:sz="0" w:space="0" w:color="auto"/>
            <w:bottom w:val="none" w:sz="0" w:space="0" w:color="auto"/>
            <w:right w:val="none" w:sz="0" w:space="0" w:color="auto"/>
          </w:divBdr>
          <w:divsChild>
            <w:div w:id="1198742831">
              <w:marLeft w:val="0"/>
              <w:marRight w:val="0"/>
              <w:marTop w:val="0"/>
              <w:marBottom w:val="0"/>
              <w:divBdr>
                <w:top w:val="none" w:sz="0" w:space="0" w:color="auto"/>
                <w:left w:val="none" w:sz="0" w:space="0" w:color="auto"/>
                <w:bottom w:val="none" w:sz="0" w:space="0" w:color="auto"/>
                <w:right w:val="none" w:sz="0" w:space="0" w:color="auto"/>
              </w:divBdr>
              <w:divsChild>
                <w:div w:id="203137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764037">
      <w:bodyDiv w:val="1"/>
      <w:marLeft w:val="0"/>
      <w:marRight w:val="0"/>
      <w:marTop w:val="0"/>
      <w:marBottom w:val="0"/>
      <w:divBdr>
        <w:top w:val="none" w:sz="0" w:space="0" w:color="auto"/>
        <w:left w:val="none" w:sz="0" w:space="0" w:color="auto"/>
        <w:bottom w:val="none" w:sz="0" w:space="0" w:color="auto"/>
        <w:right w:val="none" w:sz="0" w:space="0" w:color="auto"/>
      </w:divBdr>
    </w:div>
    <w:div w:id="1553030801">
      <w:bodyDiv w:val="1"/>
      <w:marLeft w:val="0"/>
      <w:marRight w:val="0"/>
      <w:marTop w:val="0"/>
      <w:marBottom w:val="0"/>
      <w:divBdr>
        <w:top w:val="none" w:sz="0" w:space="0" w:color="auto"/>
        <w:left w:val="none" w:sz="0" w:space="0" w:color="auto"/>
        <w:bottom w:val="none" w:sz="0" w:space="0" w:color="auto"/>
        <w:right w:val="none" w:sz="0" w:space="0" w:color="auto"/>
      </w:divBdr>
    </w:div>
    <w:div w:id="1567257941">
      <w:bodyDiv w:val="1"/>
      <w:marLeft w:val="0"/>
      <w:marRight w:val="0"/>
      <w:marTop w:val="0"/>
      <w:marBottom w:val="0"/>
      <w:divBdr>
        <w:top w:val="none" w:sz="0" w:space="0" w:color="auto"/>
        <w:left w:val="none" w:sz="0" w:space="0" w:color="auto"/>
        <w:bottom w:val="none" w:sz="0" w:space="0" w:color="auto"/>
        <w:right w:val="none" w:sz="0" w:space="0" w:color="auto"/>
      </w:divBdr>
    </w:div>
    <w:div w:id="1567301072">
      <w:bodyDiv w:val="1"/>
      <w:marLeft w:val="0"/>
      <w:marRight w:val="0"/>
      <w:marTop w:val="0"/>
      <w:marBottom w:val="0"/>
      <w:divBdr>
        <w:top w:val="none" w:sz="0" w:space="0" w:color="auto"/>
        <w:left w:val="none" w:sz="0" w:space="0" w:color="auto"/>
        <w:bottom w:val="none" w:sz="0" w:space="0" w:color="auto"/>
        <w:right w:val="none" w:sz="0" w:space="0" w:color="auto"/>
      </w:divBdr>
    </w:div>
    <w:div w:id="1570379092">
      <w:bodyDiv w:val="1"/>
      <w:marLeft w:val="0"/>
      <w:marRight w:val="0"/>
      <w:marTop w:val="0"/>
      <w:marBottom w:val="0"/>
      <w:divBdr>
        <w:top w:val="none" w:sz="0" w:space="0" w:color="auto"/>
        <w:left w:val="none" w:sz="0" w:space="0" w:color="auto"/>
        <w:bottom w:val="none" w:sz="0" w:space="0" w:color="auto"/>
        <w:right w:val="none" w:sz="0" w:space="0" w:color="auto"/>
      </w:divBdr>
    </w:div>
    <w:div w:id="1575505838">
      <w:bodyDiv w:val="1"/>
      <w:marLeft w:val="0"/>
      <w:marRight w:val="0"/>
      <w:marTop w:val="0"/>
      <w:marBottom w:val="0"/>
      <w:divBdr>
        <w:top w:val="none" w:sz="0" w:space="0" w:color="auto"/>
        <w:left w:val="none" w:sz="0" w:space="0" w:color="auto"/>
        <w:bottom w:val="none" w:sz="0" w:space="0" w:color="auto"/>
        <w:right w:val="none" w:sz="0" w:space="0" w:color="auto"/>
      </w:divBdr>
    </w:div>
    <w:div w:id="1576428409">
      <w:bodyDiv w:val="1"/>
      <w:marLeft w:val="0"/>
      <w:marRight w:val="0"/>
      <w:marTop w:val="0"/>
      <w:marBottom w:val="0"/>
      <w:divBdr>
        <w:top w:val="none" w:sz="0" w:space="0" w:color="auto"/>
        <w:left w:val="none" w:sz="0" w:space="0" w:color="auto"/>
        <w:bottom w:val="none" w:sz="0" w:space="0" w:color="auto"/>
        <w:right w:val="none" w:sz="0" w:space="0" w:color="auto"/>
      </w:divBdr>
    </w:div>
    <w:div w:id="1587688916">
      <w:bodyDiv w:val="1"/>
      <w:marLeft w:val="0"/>
      <w:marRight w:val="0"/>
      <w:marTop w:val="0"/>
      <w:marBottom w:val="0"/>
      <w:divBdr>
        <w:top w:val="none" w:sz="0" w:space="0" w:color="auto"/>
        <w:left w:val="none" w:sz="0" w:space="0" w:color="auto"/>
        <w:bottom w:val="none" w:sz="0" w:space="0" w:color="auto"/>
        <w:right w:val="none" w:sz="0" w:space="0" w:color="auto"/>
      </w:divBdr>
    </w:div>
    <w:div w:id="1611205954">
      <w:bodyDiv w:val="1"/>
      <w:marLeft w:val="0"/>
      <w:marRight w:val="0"/>
      <w:marTop w:val="0"/>
      <w:marBottom w:val="0"/>
      <w:divBdr>
        <w:top w:val="none" w:sz="0" w:space="0" w:color="auto"/>
        <w:left w:val="none" w:sz="0" w:space="0" w:color="auto"/>
        <w:bottom w:val="none" w:sz="0" w:space="0" w:color="auto"/>
        <w:right w:val="none" w:sz="0" w:space="0" w:color="auto"/>
      </w:divBdr>
    </w:div>
    <w:div w:id="1617131649">
      <w:bodyDiv w:val="1"/>
      <w:marLeft w:val="0"/>
      <w:marRight w:val="0"/>
      <w:marTop w:val="0"/>
      <w:marBottom w:val="0"/>
      <w:divBdr>
        <w:top w:val="none" w:sz="0" w:space="0" w:color="auto"/>
        <w:left w:val="none" w:sz="0" w:space="0" w:color="auto"/>
        <w:bottom w:val="none" w:sz="0" w:space="0" w:color="auto"/>
        <w:right w:val="none" w:sz="0" w:space="0" w:color="auto"/>
      </w:divBdr>
    </w:div>
    <w:div w:id="1634746087">
      <w:bodyDiv w:val="1"/>
      <w:marLeft w:val="0"/>
      <w:marRight w:val="0"/>
      <w:marTop w:val="0"/>
      <w:marBottom w:val="0"/>
      <w:divBdr>
        <w:top w:val="none" w:sz="0" w:space="0" w:color="auto"/>
        <w:left w:val="none" w:sz="0" w:space="0" w:color="auto"/>
        <w:bottom w:val="none" w:sz="0" w:space="0" w:color="auto"/>
        <w:right w:val="none" w:sz="0" w:space="0" w:color="auto"/>
      </w:divBdr>
    </w:div>
    <w:div w:id="1639188060">
      <w:bodyDiv w:val="1"/>
      <w:marLeft w:val="0"/>
      <w:marRight w:val="0"/>
      <w:marTop w:val="0"/>
      <w:marBottom w:val="0"/>
      <w:divBdr>
        <w:top w:val="none" w:sz="0" w:space="0" w:color="auto"/>
        <w:left w:val="none" w:sz="0" w:space="0" w:color="auto"/>
        <w:bottom w:val="none" w:sz="0" w:space="0" w:color="auto"/>
        <w:right w:val="none" w:sz="0" w:space="0" w:color="auto"/>
      </w:divBdr>
    </w:div>
    <w:div w:id="1649555946">
      <w:bodyDiv w:val="1"/>
      <w:marLeft w:val="0"/>
      <w:marRight w:val="0"/>
      <w:marTop w:val="0"/>
      <w:marBottom w:val="0"/>
      <w:divBdr>
        <w:top w:val="none" w:sz="0" w:space="0" w:color="auto"/>
        <w:left w:val="none" w:sz="0" w:space="0" w:color="auto"/>
        <w:bottom w:val="none" w:sz="0" w:space="0" w:color="auto"/>
        <w:right w:val="none" w:sz="0" w:space="0" w:color="auto"/>
      </w:divBdr>
    </w:div>
    <w:div w:id="1653950419">
      <w:bodyDiv w:val="1"/>
      <w:marLeft w:val="0"/>
      <w:marRight w:val="0"/>
      <w:marTop w:val="0"/>
      <w:marBottom w:val="0"/>
      <w:divBdr>
        <w:top w:val="none" w:sz="0" w:space="0" w:color="auto"/>
        <w:left w:val="none" w:sz="0" w:space="0" w:color="auto"/>
        <w:bottom w:val="none" w:sz="0" w:space="0" w:color="auto"/>
        <w:right w:val="none" w:sz="0" w:space="0" w:color="auto"/>
      </w:divBdr>
    </w:div>
    <w:div w:id="1655143654">
      <w:bodyDiv w:val="1"/>
      <w:marLeft w:val="0"/>
      <w:marRight w:val="0"/>
      <w:marTop w:val="0"/>
      <w:marBottom w:val="0"/>
      <w:divBdr>
        <w:top w:val="none" w:sz="0" w:space="0" w:color="auto"/>
        <w:left w:val="none" w:sz="0" w:space="0" w:color="auto"/>
        <w:bottom w:val="none" w:sz="0" w:space="0" w:color="auto"/>
        <w:right w:val="none" w:sz="0" w:space="0" w:color="auto"/>
      </w:divBdr>
    </w:div>
    <w:div w:id="1658531061">
      <w:bodyDiv w:val="1"/>
      <w:marLeft w:val="0"/>
      <w:marRight w:val="0"/>
      <w:marTop w:val="0"/>
      <w:marBottom w:val="0"/>
      <w:divBdr>
        <w:top w:val="none" w:sz="0" w:space="0" w:color="auto"/>
        <w:left w:val="none" w:sz="0" w:space="0" w:color="auto"/>
        <w:bottom w:val="none" w:sz="0" w:space="0" w:color="auto"/>
        <w:right w:val="none" w:sz="0" w:space="0" w:color="auto"/>
      </w:divBdr>
    </w:div>
    <w:div w:id="1672371855">
      <w:bodyDiv w:val="1"/>
      <w:marLeft w:val="0"/>
      <w:marRight w:val="0"/>
      <w:marTop w:val="0"/>
      <w:marBottom w:val="0"/>
      <w:divBdr>
        <w:top w:val="none" w:sz="0" w:space="0" w:color="auto"/>
        <w:left w:val="none" w:sz="0" w:space="0" w:color="auto"/>
        <w:bottom w:val="none" w:sz="0" w:space="0" w:color="auto"/>
        <w:right w:val="none" w:sz="0" w:space="0" w:color="auto"/>
      </w:divBdr>
    </w:div>
    <w:div w:id="1673609720">
      <w:bodyDiv w:val="1"/>
      <w:marLeft w:val="0"/>
      <w:marRight w:val="0"/>
      <w:marTop w:val="0"/>
      <w:marBottom w:val="0"/>
      <w:divBdr>
        <w:top w:val="none" w:sz="0" w:space="0" w:color="auto"/>
        <w:left w:val="none" w:sz="0" w:space="0" w:color="auto"/>
        <w:bottom w:val="none" w:sz="0" w:space="0" w:color="auto"/>
        <w:right w:val="none" w:sz="0" w:space="0" w:color="auto"/>
      </w:divBdr>
    </w:div>
    <w:div w:id="1696497599">
      <w:bodyDiv w:val="1"/>
      <w:marLeft w:val="0"/>
      <w:marRight w:val="0"/>
      <w:marTop w:val="0"/>
      <w:marBottom w:val="0"/>
      <w:divBdr>
        <w:top w:val="none" w:sz="0" w:space="0" w:color="auto"/>
        <w:left w:val="none" w:sz="0" w:space="0" w:color="auto"/>
        <w:bottom w:val="none" w:sz="0" w:space="0" w:color="auto"/>
        <w:right w:val="none" w:sz="0" w:space="0" w:color="auto"/>
      </w:divBdr>
    </w:div>
    <w:div w:id="1700739177">
      <w:bodyDiv w:val="1"/>
      <w:marLeft w:val="0"/>
      <w:marRight w:val="0"/>
      <w:marTop w:val="0"/>
      <w:marBottom w:val="0"/>
      <w:divBdr>
        <w:top w:val="none" w:sz="0" w:space="0" w:color="auto"/>
        <w:left w:val="none" w:sz="0" w:space="0" w:color="auto"/>
        <w:bottom w:val="none" w:sz="0" w:space="0" w:color="auto"/>
        <w:right w:val="none" w:sz="0" w:space="0" w:color="auto"/>
      </w:divBdr>
    </w:div>
    <w:div w:id="1707558924">
      <w:bodyDiv w:val="1"/>
      <w:marLeft w:val="0"/>
      <w:marRight w:val="0"/>
      <w:marTop w:val="0"/>
      <w:marBottom w:val="0"/>
      <w:divBdr>
        <w:top w:val="none" w:sz="0" w:space="0" w:color="auto"/>
        <w:left w:val="none" w:sz="0" w:space="0" w:color="auto"/>
        <w:bottom w:val="none" w:sz="0" w:space="0" w:color="auto"/>
        <w:right w:val="none" w:sz="0" w:space="0" w:color="auto"/>
      </w:divBdr>
    </w:div>
    <w:div w:id="1717504853">
      <w:bodyDiv w:val="1"/>
      <w:marLeft w:val="0"/>
      <w:marRight w:val="0"/>
      <w:marTop w:val="0"/>
      <w:marBottom w:val="0"/>
      <w:divBdr>
        <w:top w:val="none" w:sz="0" w:space="0" w:color="auto"/>
        <w:left w:val="none" w:sz="0" w:space="0" w:color="auto"/>
        <w:bottom w:val="none" w:sz="0" w:space="0" w:color="auto"/>
        <w:right w:val="none" w:sz="0" w:space="0" w:color="auto"/>
      </w:divBdr>
    </w:div>
    <w:div w:id="1771000704">
      <w:bodyDiv w:val="1"/>
      <w:marLeft w:val="0"/>
      <w:marRight w:val="0"/>
      <w:marTop w:val="0"/>
      <w:marBottom w:val="0"/>
      <w:divBdr>
        <w:top w:val="none" w:sz="0" w:space="0" w:color="auto"/>
        <w:left w:val="none" w:sz="0" w:space="0" w:color="auto"/>
        <w:bottom w:val="none" w:sz="0" w:space="0" w:color="auto"/>
        <w:right w:val="none" w:sz="0" w:space="0" w:color="auto"/>
      </w:divBdr>
    </w:div>
    <w:div w:id="1772973972">
      <w:bodyDiv w:val="1"/>
      <w:marLeft w:val="0"/>
      <w:marRight w:val="0"/>
      <w:marTop w:val="0"/>
      <w:marBottom w:val="0"/>
      <w:divBdr>
        <w:top w:val="none" w:sz="0" w:space="0" w:color="auto"/>
        <w:left w:val="none" w:sz="0" w:space="0" w:color="auto"/>
        <w:bottom w:val="none" w:sz="0" w:space="0" w:color="auto"/>
        <w:right w:val="none" w:sz="0" w:space="0" w:color="auto"/>
      </w:divBdr>
    </w:div>
    <w:div w:id="1775049121">
      <w:bodyDiv w:val="1"/>
      <w:marLeft w:val="0"/>
      <w:marRight w:val="0"/>
      <w:marTop w:val="0"/>
      <w:marBottom w:val="0"/>
      <w:divBdr>
        <w:top w:val="none" w:sz="0" w:space="0" w:color="auto"/>
        <w:left w:val="none" w:sz="0" w:space="0" w:color="auto"/>
        <w:bottom w:val="none" w:sz="0" w:space="0" w:color="auto"/>
        <w:right w:val="none" w:sz="0" w:space="0" w:color="auto"/>
      </w:divBdr>
    </w:div>
    <w:div w:id="1813281818">
      <w:bodyDiv w:val="1"/>
      <w:marLeft w:val="0"/>
      <w:marRight w:val="0"/>
      <w:marTop w:val="0"/>
      <w:marBottom w:val="0"/>
      <w:divBdr>
        <w:top w:val="none" w:sz="0" w:space="0" w:color="auto"/>
        <w:left w:val="none" w:sz="0" w:space="0" w:color="auto"/>
        <w:bottom w:val="none" w:sz="0" w:space="0" w:color="auto"/>
        <w:right w:val="none" w:sz="0" w:space="0" w:color="auto"/>
      </w:divBdr>
    </w:div>
    <w:div w:id="1814256351">
      <w:bodyDiv w:val="1"/>
      <w:marLeft w:val="0"/>
      <w:marRight w:val="0"/>
      <w:marTop w:val="0"/>
      <w:marBottom w:val="0"/>
      <w:divBdr>
        <w:top w:val="none" w:sz="0" w:space="0" w:color="auto"/>
        <w:left w:val="none" w:sz="0" w:space="0" w:color="auto"/>
        <w:bottom w:val="none" w:sz="0" w:space="0" w:color="auto"/>
        <w:right w:val="none" w:sz="0" w:space="0" w:color="auto"/>
      </w:divBdr>
    </w:div>
    <w:div w:id="1817524563">
      <w:bodyDiv w:val="1"/>
      <w:marLeft w:val="0"/>
      <w:marRight w:val="0"/>
      <w:marTop w:val="0"/>
      <w:marBottom w:val="0"/>
      <w:divBdr>
        <w:top w:val="none" w:sz="0" w:space="0" w:color="auto"/>
        <w:left w:val="none" w:sz="0" w:space="0" w:color="auto"/>
        <w:bottom w:val="none" w:sz="0" w:space="0" w:color="auto"/>
        <w:right w:val="none" w:sz="0" w:space="0" w:color="auto"/>
      </w:divBdr>
    </w:div>
    <w:div w:id="1817726222">
      <w:bodyDiv w:val="1"/>
      <w:marLeft w:val="0"/>
      <w:marRight w:val="0"/>
      <w:marTop w:val="0"/>
      <w:marBottom w:val="0"/>
      <w:divBdr>
        <w:top w:val="none" w:sz="0" w:space="0" w:color="auto"/>
        <w:left w:val="none" w:sz="0" w:space="0" w:color="auto"/>
        <w:bottom w:val="none" w:sz="0" w:space="0" w:color="auto"/>
        <w:right w:val="none" w:sz="0" w:space="0" w:color="auto"/>
      </w:divBdr>
    </w:div>
    <w:div w:id="1820724495">
      <w:bodyDiv w:val="1"/>
      <w:marLeft w:val="0"/>
      <w:marRight w:val="0"/>
      <w:marTop w:val="0"/>
      <w:marBottom w:val="0"/>
      <w:divBdr>
        <w:top w:val="none" w:sz="0" w:space="0" w:color="auto"/>
        <w:left w:val="none" w:sz="0" w:space="0" w:color="auto"/>
        <w:bottom w:val="none" w:sz="0" w:space="0" w:color="auto"/>
        <w:right w:val="none" w:sz="0" w:space="0" w:color="auto"/>
      </w:divBdr>
    </w:div>
    <w:div w:id="1823041957">
      <w:bodyDiv w:val="1"/>
      <w:marLeft w:val="0"/>
      <w:marRight w:val="0"/>
      <w:marTop w:val="0"/>
      <w:marBottom w:val="0"/>
      <w:divBdr>
        <w:top w:val="none" w:sz="0" w:space="0" w:color="auto"/>
        <w:left w:val="none" w:sz="0" w:space="0" w:color="auto"/>
        <w:bottom w:val="none" w:sz="0" w:space="0" w:color="auto"/>
        <w:right w:val="none" w:sz="0" w:space="0" w:color="auto"/>
      </w:divBdr>
    </w:div>
    <w:div w:id="1826816403">
      <w:bodyDiv w:val="1"/>
      <w:marLeft w:val="0"/>
      <w:marRight w:val="0"/>
      <w:marTop w:val="0"/>
      <w:marBottom w:val="0"/>
      <w:divBdr>
        <w:top w:val="none" w:sz="0" w:space="0" w:color="auto"/>
        <w:left w:val="none" w:sz="0" w:space="0" w:color="auto"/>
        <w:bottom w:val="none" w:sz="0" w:space="0" w:color="auto"/>
        <w:right w:val="none" w:sz="0" w:space="0" w:color="auto"/>
      </w:divBdr>
    </w:div>
    <w:div w:id="1835532873">
      <w:bodyDiv w:val="1"/>
      <w:marLeft w:val="0"/>
      <w:marRight w:val="0"/>
      <w:marTop w:val="0"/>
      <w:marBottom w:val="0"/>
      <w:divBdr>
        <w:top w:val="none" w:sz="0" w:space="0" w:color="auto"/>
        <w:left w:val="none" w:sz="0" w:space="0" w:color="auto"/>
        <w:bottom w:val="none" w:sz="0" w:space="0" w:color="auto"/>
        <w:right w:val="none" w:sz="0" w:space="0" w:color="auto"/>
      </w:divBdr>
    </w:div>
    <w:div w:id="1839416618">
      <w:bodyDiv w:val="1"/>
      <w:marLeft w:val="0"/>
      <w:marRight w:val="0"/>
      <w:marTop w:val="0"/>
      <w:marBottom w:val="0"/>
      <w:divBdr>
        <w:top w:val="none" w:sz="0" w:space="0" w:color="auto"/>
        <w:left w:val="none" w:sz="0" w:space="0" w:color="auto"/>
        <w:bottom w:val="none" w:sz="0" w:space="0" w:color="auto"/>
        <w:right w:val="none" w:sz="0" w:space="0" w:color="auto"/>
      </w:divBdr>
    </w:div>
    <w:div w:id="1842046323">
      <w:bodyDiv w:val="1"/>
      <w:marLeft w:val="0"/>
      <w:marRight w:val="0"/>
      <w:marTop w:val="0"/>
      <w:marBottom w:val="0"/>
      <w:divBdr>
        <w:top w:val="none" w:sz="0" w:space="0" w:color="auto"/>
        <w:left w:val="none" w:sz="0" w:space="0" w:color="auto"/>
        <w:bottom w:val="none" w:sz="0" w:space="0" w:color="auto"/>
        <w:right w:val="none" w:sz="0" w:space="0" w:color="auto"/>
      </w:divBdr>
    </w:div>
    <w:div w:id="1842575178">
      <w:bodyDiv w:val="1"/>
      <w:marLeft w:val="0"/>
      <w:marRight w:val="0"/>
      <w:marTop w:val="0"/>
      <w:marBottom w:val="0"/>
      <w:divBdr>
        <w:top w:val="none" w:sz="0" w:space="0" w:color="auto"/>
        <w:left w:val="none" w:sz="0" w:space="0" w:color="auto"/>
        <w:bottom w:val="none" w:sz="0" w:space="0" w:color="auto"/>
        <w:right w:val="none" w:sz="0" w:space="0" w:color="auto"/>
      </w:divBdr>
    </w:div>
    <w:div w:id="1846438053">
      <w:bodyDiv w:val="1"/>
      <w:marLeft w:val="0"/>
      <w:marRight w:val="0"/>
      <w:marTop w:val="0"/>
      <w:marBottom w:val="0"/>
      <w:divBdr>
        <w:top w:val="none" w:sz="0" w:space="0" w:color="auto"/>
        <w:left w:val="none" w:sz="0" w:space="0" w:color="auto"/>
        <w:bottom w:val="none" w:sz="0" w:space="0" w:color="auto"/>
        <w:right w:val="none" w:sz="0" w:space="0" w:color="auto"/>
      </w:divBdr>
    </w:div>
    <w:div w:id="1846745270">
      <w:bodyDiv w:val="1"/>
      <w:marLeft w:val="0"/>
      <w:marRight w:val="0"/>
      <w:marTop w:val="0"/>
      <w:marBottom w:val="0"/>
      <w:divBdr>
        <w:top w:val="none" w:sz="0" w:space="0" w:color="auto"/>
        <w:left w:val="none" w:sz="0" w:space="0" w:color="auto"/>
        <w:bottom w:val="none" w:sz="0" w:space="0" w:color="auto"/>
        <w:right w:val="none" w:sz="0" w:space="0" w:color="auto"/>
      </w:divBdr>
    </w:div>
    <w:div w:id="1860969484">
      <w:bodyDiv w:val="1"/>
      <w:marLeft w:val="0"/>
      <w:marRight w:val="0"/>
      <w:marTop w:val="0"/>
      <w:marBottom w:val="0"/>
      <w:divBdr>
        <w:top w:val="none" w:sz="0" w:space="0" w:color="auto"/>
        <w:left w:val="none" w:sz="0" w:space="0" w:color="auto"/>
        <w:bottom w:val="none" w:sz="0" w:space="0" w:color="auto"/>
        <w:right w:val="none" w:sz="0" w:space="0" w:color="auto"/>
      </w:divBdr>
    </w:div>
    <w:div w:id="1877546356">
      <w:bodyDiv w:val="1"/>
      <w:marLeft w:val="0"/>
      <w:marRight w:val="0"/>
      <w:marTop w:val="0"/>
      <w:marBottom w:val="0"/>
      <w:divBdr>
        <w:top w:val="none" w:sz="0" w:space="0" w:color="auto"/>
        <w:left w:val="none" w:sz="0" w:space="0" w:color="auto"/>
        <w:bottom w:val="none" w:sz="0" w:space="0" w:color="auto"/>
        <w:right w:val="none" w:sz="0" w:space="0" w:color="auto"/>
      </w:divBdr>
    </w:div>
    <w:div w:id="1879127429">
      <w:bodyDiv w:val="1"/>
      <w:marLeft w:val="0"/>
      <w:marRight w:val="0"/>
      <w:marTop w:val="0"/>
      <w:marBottom w:val="0"/>
      <w:divBdr>
        <w:top w:val="none" w:sz="0" w:space="0" w:color="auto"/>
        <w:left w:val="none" w:sz="0" w:space="0" w:color="auto"/>
        <w:bottom w:val="none" w:sz="0" w:space="0" w:color="auto"/>
        <w:right w:val="none" w:sz="0" w:space="0" w:color="auto"/>
      </w:divBdr>
    </w:div>
    <w:div w:id="1880242920">
      <w:bodyDiv w:val="1"/>
      <w:marLeft w:val="0"/>
      <w:marRight w:val="0"/>
      <w:marTop w:val="0"/>
      <w:marBottom w:val="0"/>
      <w:divBdr>
        <w:top w:val="none" w:sz="0" w:space="0" w:color="auto"/>
        <w:left w:val="none" w:sz="0" w:space="0" w:color="auto"/>
        <w:bottom w:val="none" w:sz="0" w:space="0" w:color="auto"/>
        <w:right w:val="none" w:sz="0" w:space="0" w:color="auto"/>
      </w:divBdr>
    </w:div>
    <w:div w:id="1881822685">
      <w:bodyDiv w:val="1"/>
      <w:marLeft w:val="0"/>
      <w:marRight w:val="0"/>
      <w:marTop w:val="0"/>
      <w:marBottom w:val="0"/>
      <w:divBdr>
        <w:top w:val="none" w:sz="0" w:space="0" w:color="auto"/>
        <w:left w:val="none" w:sz="0" w:space="0" w:color="auto"/>
        <w:bottom w:val="none" w:sz="0" w:space="0" w:color="auto"/>
        <w:right w:val="none" w:sz="0" w:space="0" w:color="auto"/>
      </w:divBdr>
    </w:div>
    <w:div w:id="1884100083">
      <w:bodyDiv w:val="1"/>
      <w:marLeft w:val="0"/>
      <w:marRight w:val="0"/>
      <w:marTop w:val="0"/>
      <w:marBottom w:val="0"/>
      <w:divBdr>
        <w:top w:val="none" w:sz="0" w:space="0" w:color="auto"/>
        <w:left w:val="none" w:sz="0" w:space="0" w:color="auto"/>
        <w:bottom w:val="none" w:sz="0" w:space="0" w:color="auto"/>
        <w:right w:val="none" w:sz="0" w:space="0" w:color="auto"/>
      </w:divBdr>
    </w:div>
    <w:div w:id="1923098227">
      <w:bodyDiv w:val="1"/>
      <w:marLeft w:val="0"/>
      <w:marRight w:val="0"/>
      <w:marTop w:val="0"/>
      <w:marBottom w:val="0"/>
      <w:divBdr>
        <w:top w:val="none" w:sz="0" w:space="0" w:color="auto"/>
        <w:left w:val="none" w:sz="0" w:space="0" w:color="auto"/>
        <w:bottom w:val="none" w:sz="0" w:space="0" w:color="auto"/>
        <w:right w:val="none" w:sz="0" w:space="0" w:color="auto"/>
      </w:divBdr>
    </w:div>
    <w:div w:id="1932659489">
      <w:bodyDiv w:val="1"/>
      <w:marLeft w:val="0"/>
      <w:marRight w:val="0"/>
      <w:marTop w:val="0"/>
      <w:marBottom w:val="0"/>
      <w:divBdr>
        <w:top w:val="none" w:sz="0" w:space="0" w:color="auto"/>
        <w:left w:val="none" w:sz="0" w:space="0" w:color="auto"/>
        <w:bottom w:val="none" w:sz="0" w:space="0" w:color="auto"/>
        <w:right w:val="none" w:sz="0" w:space="0" w:color="auto"/>
      </w:divBdr>
    </w:div>
    <w:div w:id="1932734821">
      <w:bodyDiv w:val="1"/>
      <w:marLeft w:val="0"/>
      <w:marRight w:val="0"/>
      <w:marTop w:val="0"/>
      <w:marBottom w:val="0"/>
      <w:divBdr>
        <w:top w:val="none" w:sz="0" w:space="0" w:color="auto"/>
        <w:left w:val="none" w:sz="0" w:space="0" w:color="auto"/>
        <w:bottom w:val="none" w:sz="0" w:space="0" w:color="auto"/>
        <w:right w:val="none" w:sz="0" w:space="0" w:color="auto"/>
      </w:divBdr>
    </w:div>
    <w:div w:id="1935363361">
      <w:bodyDiv w:val="1"/>
      <w:marLeft w:val="0"/>
      <w:marRight w:val="0"/>
      <w:marTop w:val="0"/>
      <w:marBottom w:val="0"/>
      <w:divBdr>
        <w:top w:val="none" w:sz="0" w:space="0" w:color="auto"/>
        <w:left w:val="none" w:sz="0" w:space="0" w:color="auto"/>
        <w:bottom w:val="none" w:sz="0" w:space="0" w:color="auto"/>
        <w:right w:val="none" w:sz="0" w:space="0" w:color="auto"/>
      </w:divBdr>
    </w:div>
    <w:div w:id="1951011766">
      <w:bodyDiv w:val="1"/>
      <w:marLeft w:val="0"/>
      <w:marRight w:val="0"/>
      <w:marTop w:val="0"/>
      <w:marBottom w:val="0"/>
      <w:divBdr>
        <w:top w:val="none" w:sz="0" w:space="0" w:color="auto"/>
        <w:left w:val="none" w:sz="0" w:space="0" w:color="auto"/>
        <w:bottom w:val="none" w:sz="0" w:space="0" w:color="auto"/>
        <w:right w:val="none" w:sz="0" w:space="0" w:color="auto"/>
      </w:divBdr>
    </w:div>
    <w:div w:id="1954241516">
      <w:bodyDiv w:val="1"/>
      <w:marLeft w:val="0"/>
      <w:marRight w:val="0"/>
      <w:marTop w:val="0"/>
      <w:marBottom w:val="0"/>
      <w:divBdr>
        <w:top w:val="none" w:sz="0" w:space="0" w:color="auto"/>
        <w:left w:val="none" w:sz="0" w:space="0" w:color="auto"/>
        <w:bottom w:val="none" w:sz="0" w:space="0" w:color="auto"/>
        <w:right w:val="none" w:sz="0" w:space="0" w:color="auto"/>
      </w:divBdr>
    </w:div>
    <w:div w:id="1963421199">
      <w:bodyDiv w:val="1"/>
      <w:marLeft w:val="0"/>
      <w:marRight w:val="0"/>
      <w:marTop w:val="0"/>
      <w:marBottom w:val="0"/>
      <w:divBdr>
        <w:top w:val="none" w:sz="0" w:space="0" w:color="auto"/>
        <w:left w:val="none" w:sz="0" w:space="0" w:color="auto"/>
        <w:bottom w:val="none" w:sz="0" w:space="0" w:color="auto"/>
        <w:right w:val="none" w:sz="0" w:space="0" w:color="auto"/>
      </w:divBdr>
    </w:div>
    <w:div w:id="1968196238">
      <w:bodyDiv w:val="1"/>
      <w:marLeft w:val="0"/>
      <w:marRight w:val="0"/>
      <w:marTop w:val="0"/>
      <w:marBottom w:val="0"/>
      <w:divBdr>
        <w:top w:val="none" w:sz="0" w:space="0" w:color="auto"/>
        <w:left w:val="none" w:sz="0" w:space="0" w:color="auto"/>
        <w:bottom w:val="none" w:sz="0" w:space="0" w:color="auto"/>
        <w:right w:val="none" w:sz="0" w:space="0" w:color="auto"/>
      </w:divBdr>
    </w:div>
    <w:div w:id="1972787226">
      <w:bodyDiv w:val="1"/>
      <w:marLeft w:val="0"/>
      <w:marRight w:val="0"/>
      <w:marTop w:val="0"/>
      <w:marBottom w:val="0"/>
      <w:divBdr>
        <w:top w:val="none" w:sz="0" w:space="0" w:color="auto"/>
        <w:left w:val="none" w:sz="0" w:space="0" w:color="auto"/>
        <w:bottom w:val="none" w:sz="0" w:space="0" w:color="auto"/>
        <w:right w:val="none" w:sz="0" w:space="0" w:color="auto"/>
      </w:divBdr>
    </w:div>
    <w:div w:id="1973633321">
      <w:bodyDiv w:val="1"/>
      <w:marLeft w:val="0"/>
      <w:marRight w:val="0"/>
      <w:marTop w:val="0"/>
      <w:marBottom w:val="0"/>
      <w:divBdr>
        <w:top w:val="none" w:sz="0" w:space="0" w:color="auto"/>
        <w:left w:val="none" w:sz="0" w:space="0" w:color="auto"/>
        <w:bottom w:val="none" w:sz="0" w:space="0" w:color="auto"/>
        <w:right w:val="none" w:sz="0" w:space="0" w:color="auto"/>
      </w:divBdr>
    </w:div>
    <w:div w:id="1984852354">
      <w:bodyDiv w:val="1"/>
      <w:marLeft w:val="0"/>
      <w:marRight w:val="0"/>
      <w:marTop w:val="0"/>
      <w:marBottom w:val="0"/>
      <w:divBdr>
        <w:top w:val="none" w:sz="0" w:space="0" w:color="auto"/>
        <w:left w:val="none" w:sz="0" w:space="0" w:color="auto"/>
        <w:bottom w:val="none" w:sz="0" w:space="0" w:color="auto"/>
        <w:right w:val="none" w:sz="0" w:space="0" w:color="auto"/>
      </w:divBdr>
    </w:div>
    <w:div w:id="2000228031">
      <w:bodyDiv w:val="1"/>
      <w:marLeft w:val="0"/>
      <w:marRight w:val="0"/>
      <w:marTop w:val="0"/>
      <w:marBottom w:val="0"/>
      <w:divBdr>
        <w:top w:val="none" w:sz="0" w:space="0" w:color="auto"/>
        <w:left w:val="none" w:sz="0" w:space="0" w:color="auto"/>
        <w:bottom w:val="none" w:sz="0" w:space="0" w:color="auto"/>
        <w:right w:val="none" w:sz="0" w:space="0" w:color="auto"/>
      </w:divBdr>
    </w:div>
    <w:div w:id="2002585180">
      <w:bodyDiv w:val="1"/>
      <w:marLeft w:val="0"/>
      <w:marRight w:val="0"/>
      <w:marTop w:val="0"/>
      <w:marBottom w:val="0"/>
      <w:divBdr>
        <w:top w:val="none" w:sz="0" w:space="0" w:color="auto"/>
        <w:left w:val="none" w:sz="0" w:space="0" w:color="auto"/>
        <w:bottom w:val="none" w:sz="0" w:space="0" w:color="auto"/>
        <w:right w:val="none" w:sz="0" w:space="0" w:color="auto"/>
      </w:divBdr>
    </w:div>
    <w:div w:id="2004238532">
      <w:bodyDiv w:val="1"/>
      <w:marLeft w:val="0"/>
      <w:marRight w:val="0"/>
      <w:marTop w:val="0"/>
      <w:marBottom w:val="0"/>
      <w:divBdr>
        <w:top w:val="none" w:sz="0" w:space="0" w:color="auto"/>
        <w:left w:val="none" w:sz="0" w:space="0" w:color="auto"/>
        <w:bottom w:val="none" w:sz="0" w:space="0" w:color="auto"/>
        <w:right w:val="none" w:sz="0" w:space="0" w:color="auto"/>
      </w:divBdr>
    </w:div>
    <w:div w:id="2021658341">
      <w:bodyDiv w:val="1"/>
      <w:marLeft w:val="0"/>
      <w:marRight w:val="0"/>
      <w:marTop w:val="0"/>
      <w:marBottom w:val="0"/>
      <w:divBdr>
        <w:top w:val="none" w:sz="0" w:space="0" w:color="auto"/>
        <w:left w:val="none" w:sz="0" w:space="0" w:color="auto"/>
        <w:bottom w:val="none" w:sz="0" w:space="0" w:color="auto"/>
        <w:right w:val="none" w:sz="0" w:space="0" w:color="auto"/>
      </w:divBdr>
    </w:div>
    <w:div w:id="2024550106">
      <w:bodyDiv w:val="1"/>
      <w:marLeft w:val="0"/>
      <w:marRight w:val="0"/>
      <w:marTop w:val="0"/>
      <w:marBottom w:val="0"/>
      <w:divBdr>
        <w:top w:val="none" w:sz="0" w:space="0" w:color="auto"/>
        <w:left w:val="none" w:sz="0" w:space="0" w:color="auto"/>
        <w:bottom w:val="none" w:sz="0" w:space="0" w:color="auto"/>
        <w:right w:val="none" w:sz="0" w:space="0" w:color="auto"/>
      </w:divBdr>
    </w:div>
    <w:div w:id="2032030004">
      <w:bodyDiv w:val="1"/>
      <w:marLeft w:val="0"/>
      <w:marRight w:val="0"/>
      <w:marTop w:val="0"/>
      <w:marBottom w:val="0"/>
      <w:divBdr>
        <w:top w:val="none" w:sz="0" w:space="0" w:color="auto"/>
        <w:left w:val="none" w:sz="0" w:space="0" w:color="auto"/>
        <w:bottom w:val="none" w:sz="0" w:space="0" w:color="auto"/>
        <w:right w:val="none" w:sz="0" w:space="0" w:color="auto"/>
      </w:divBdr>
    </w:div>
    <w:div w:id="2038387748">
      <w:bodyDiv w:val="1"/>
      <w:marLeft w:val="0"/>
      <w:marRight w:val="0"/>
      <w:marTop w:val="0"/>
      <w:marBottom w:val="0"/>
      <w:divBdr>
        <w:top w:val="none" w:sz="0" w:space="0" w:color="auto"/>
        <w:left w:val="none" w:sz="0" w:space="0" w:color="auto"/>
        <w:bottom w:val="none" w:sz="0" w:space="0" w:color="auto"/>
        <w:right w:val="none" w:sz="0" w:space="0" w:color="auto"/>
      </w:divBdr>
    </w:div>
    <w:div w:id="2040159834">
      <w:bodyDiv w:val="1"/>
      <w:marLeft w:val="0"/>
      <w:marRight w:val="0"/>
      <w:marTop w:val="0"/>
      <w:marBottom w:val="0"/>
      <w:divBdr>
        <w:top w:val="none" w:sz="0" w:space="0" w:color="auto"/>
        <w:left w:val="none" w:sz="0" w:space="0" w:color="auto"/>
        <w:bottom w:val="none" w:sz="0" w:space="0" w:color="auto"/>
        <w:right w:val="none" w:sz="0" w:space="0" w:color="auto"/>
      </w:divBdr>
    </w:div>
    <w:div w:id="2058702060">
      <w:bodyDiv w:val="1"/>
      <w:marLeft w:val="0"/>
      <w:marRight w:val="0"/>
      <w:marTop w:val="0"/>
      <w:marBottom w:val="0"/>
      <w:divBdr>
        <w:top w:val="none" w:sz="0" w:space="0" w:color="auto"/>
        <w:left w:val="none" w:sz="0" w:space="0" w:color="auto"/>
        <w:bottom w:val="none" w:sz="0" w:space="0" w:color="auto"/>
        <w:right w:val="none" w:sz="0" w:space="0" w:color="auto"/>
      </w:divBdr>
    </w:div>
    <w:div w:id="2059544693">
      <w:bodyDiv w:val="1"/>
      <w:marLeft w:val="0"/>
      <w:marRight w:val="0"/>
      <w:marTop w:val="0"/>
      <w:marBottom w:val="0"/>
      <w:divBdr>
        <w:top w:val="none" w:sz="0" w:space="0" w:color="auto"/>
        <w:left w:val="none" w:sz="0" w:space="0" w:color="auto"/>
        <w:bottom w:val="none" w:sz="0" w:space="0" w:color="auto"/>
        <w:right w:val="none" w:sz="0" w:space="0" w:color="auto"/>
      </w:divBdr>
    </w:div>
    <w:div w:id="2063475643">
      <w:bodyDiv w:val="1"/>
      <w:marLeft w:val="0"/>
      <w:marRight w:val="0"/>
      <w:marTop w:val="0"/>
      <w:marBottom w:val="0"/>
      <w:divBdr>
        <w:top w:val="none" w:sz="0" w:space="0" w:color="auto"/>
        <w:left w:val="none" w:sz="0" w:space="0" w:color="auto"/>
        <w:bottom w:val="none" w:sz="0" w:space="0" w:color="auto"/>
        <w:right w:val="none" w:sz="0" w:space="0" w:color="auto"/>
      </w:divBdr>
    </w:div>
    <w:div w:id="2071028516">
      <w:bodyDiv w:val="1"/>
      <w:marLeft w:val="0"/>
      <w:marRight w:val="0"/>
      <w:marTop w:val="0"/>
      <w:marBottom w:val="0"/>
      <w:divBdr>
        <w:top w:val="none" w:sz="0" w:space="0" w:color="auto"/>
        <w:left w:val="none" w:sz="0" w:space="0" w:color="auto"/>
        <w:bottom w:val="none" w:sz="0" w:space="0" w:color="auto"/>
        <w:right w:val="none" w:sz="0" w:space="0" w:color="auto"/>
      </w:divBdr>
    </w:div>
    <w:div w:id="2089645390">
      <w:bodyDiv w:val="1"/>
      <w:marLeft w:val="0"/>
      <w:marRight w:val="0"/>
      <w:marTop w:val="0"/>
      <w:marBottom w:val="0"/>
      <w:divBdr>
        <w:top w:val="none" w:sz="0" w:space="0" w:color="auto"/>
        <w:left w:val="none" w:sz="0" w:space="0" w:color="auto"/>
        <w:bottom w:val="none" w:sz="0" w:space="0" w:color="auto"/>
        <w:right w:val="none" w:sz="0" w:space="0" w:color="auto"/>
      </w:divBdr>
    </w:div>
    <w:div w:id="2114398865">
      <w:bodyDiv w:val="1"/>
      <w:marLeft w:val="0"/>
      <w:marRight w:val="0"/>
      <w:marTop w:val="0"/>
      <w:marBottom w:val="0"/>
      <w:divBdr>
        <w:top w:val="none" w:sz="0" w:space="0" w:color="auto"/>
        <w:left w:val="none" w:sz="0" w:space="0" w:color="auto"/>
        <w:bottom w:val="none" w:sz="0" w:space="0" w:color="auto"/>
        <w:right w:val="none" w:sz="0" w:space="0" w:color="auto"/>
      </w:divBdr>
    </w:div>
    <w:div w:id="2119789188">
      <w:bodyDiv w:val="1"/>
      <w:marLeft w:val="0"/>
      <w:marRight w:val="0"/>
      <w:marTop w:val="0"/>
      <w:marBottom w:val="0"/>
      <w:divBdr>
        <w:top w:val="none" w:sz="0" w:space="0" w:color="auto"/>
        <w:left w:val="none" w:sz="0" w:space="0" w:color="auto"/>
        <w:bottom w:val="none" w:sz="0" w:space="0" w:color="auto"/>
        <w:right w:val="none" w:sz="0" w:space="0" w:color="auto"/>
      </w:divBdr>
    </w:div>
    <w:div w:id="2120290454">
      <w:bodyDiv w:val="1"/>
      <w:marLeft w:val="0"/>
      <w:marRight w:val="0"/>
      <w:marTop w:val="0"/>
      <w:marBottom w:val="0"/>
      <w:divBdr>
        <w:top w:val="none" w:sz="0" w:space="0" w:color="auto"/>
        <w:left w:val="none" w:sz="0" w:space="0" w:color="auto"/>
        <w:bottom w:val="none" w:sz="0" w:space="0" w:color="auto"/>
        <w:right w:val="none" w:sz="0" w:space="0" w:color="auto"/>
      </w:divBdr>
    </w:div>
    <w:div w:id="2124959270">
      <w:bodyDiv w:val="1"/>
      <w:marLeft w:val="0"/>
      <w:marRight w:val="0"/>
      <w:marTop w:val="0"/>
      <w:marBottom w:val="0"/>
      <w:divBdr>
        <w:top w:val="none" w:sz="0" w:space="0" w:color="auto"/>
        <w:left w:val="none" w:sz="0" w:space="0" w:color="auto"/>
        <w:bottom w:val="none" w:sz="0" w:space="0" w:color="auto"/>
        <w:right w:val="none" w:sz="0" w:space="0" w:color="auto"/>
      </w:divBdr>
    </w:div>
    <w:div w:id="2129421716">
      <w:bodyDiv w:val="1"/>
      <w:marLeft w:val="0"/>
      <w:marRight w:val="0"/>
      <w:marTop w:val="0"/>
      <w:marBottom w:val="0"/>
      <w:divBdr>
        <w:top w:val="none" w:sz="0" w:space="0" w:color="auto"/>
        <w:left w:val="none" w:sz="0" w:space="0" w:color="auto"/>
        <w:bottom w:val="none" w:sz="0" w:space="0" w:color="auto"/>
        <w:right w:val="none" w:sz="0" w:space="0" w:color="auto"/>
      </w:divBdr>
    </w:div>
    <w:div w:id="2130279259">
      <w:bodyDiv w:val="1"/>
      <w:marLeft w:val="0"/>
      <w:marRight w:val="0"/>
      <w:marTop w:val="0"/>
      <w:marBottom w:val="0"/>
      <w:divBdr>
        <w:top w:val="none" w:sz="0" w:space="0" w:color="auto"/>
        <w:left w:val="none" w:sz="0" w:space="0" w:color="auto"/>
        <w:bottom w:val="none" w:sz="0" w:space="0" w:color="auto"/>
        <w:right w:val="none" w:sz="0" w:space="0" w:color="auto"/>
      </w:divBdr>
    </w:div>
    <w:div w:id="21439647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rine.aspeslagh@bordet.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ndrine.aspeslagh@uzbruss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Eng11</b:Tag>
    <b:SourceType>JournalArticle</b:SourceType>
    <b:Guid>{291E30AB-39C6-064F-B080-DF958D0D89E4}</b:Guid>
    <b:Author>
      <b:Author>
        <b:NameList>
          <b:Person>
            <b:Last>Engels EA</b:Last>
            <b:First>Pfeiffer</b:First>
            <b:Middle>RM, Fraumeni JF.</b:Middle>
          </b:Person>
        </b:NameList>
      </b:Author>
    </b:Author>
    <b:Title>Spectrum of cancer risk among US solid organ transplant recipients. </b:Title>
    <b:JournalName>JAMA </b:JournalName>
    <b:Year>2011</b:Year>
    <b:Volume>306</b:Volume>
    <b:Pages>1891–1901 </b:Pages>
    <b:RefOrder>2</b:RefOrder>
  </b:Source>
  <b:Source>
    <b:Tag>Bra18</b:Tag>
    <b:SourceType>JournalArticle</b:SourceType>
    <b:Guid>{8DA5EE63-B253-3346-BC49-04946BE224B9}</b:Guid>
    <b:Author>
      <b:Author>
        <b:NameList>
          <b:Person>
            <b:Last>Brahmer JR</b:Last>
            <b:First>Govindan</b:First>
            <b:Middle>R, Anders RA, Antonia SJ, Sagorsky S, Davies MJ, Dubinett SM, Ferris A, Gandhi L, Garon EB, Hellmann MD, Hirsch FR, Malik S, Neal JW, Papadimitrakopoulou VA, Rimm DL, Schwartz LH, Sepesi B, Yeap BY, Rizvi NA, Herbst RS</b:Middle>
          </b:Person>
        </b:NameList>
      </b:Author>
    </b:Author>
    <b:Title>The Society for Immunotherapy of Cancer consensus statement on immunotherapy for the treatment of non-small cell lung cancer (NSCLC)</b:Title>
    <b:JournalName>J Immunother Cancer</b:JournalName>
    <b:Year>2018</b:Year>
    <b:Month>Jul</b:Month>
    <b:Day>17</b:Day>
    <b:Volume>6</b:Volume>
    <b:Issue>1</b:Issue>
    <b:Pages>75</b:Pages>
    <b:StandardNumber>doi: 10.1186/s40425-018-0382-2</b:StandardNumber>
    <b:RefOrder>3</b:RefOrder>
  </b:Source>
  <b:Source>
    <b:Tag>Rob18</b:Tag>
    <b:SourceType>JournalArticle</b:SourceType>
    <b:Guid>{F6054F46-01AB-9247-BF80-2678A35D1D8A}</b:Guid>
    <b:Author>
      <b:Author>
        <b:NameList>
          <b:Person>
            <b:Last>Robert C</b:Last>
            <b:First>Ribas</b:First>
            <b:Middle>A, Hamid O, Daud A, Wolchok JD, Joshua AM, Hwu WJ, Weber JS, Gangadhar TC, Joseph RW, Dronca R, Patnaik A, Zarour H, Kefford R, Hersey P, Zhang J, Anderson J, Diede SJ, Ebbinghaus S, Hodi FS</b:Middle>
          </b:Person>
        </b:NameList>
      </b:Author>
    </b:Author>
    <b:Title>Durable Complete Response After Discontinuation of Pembrolizumab in Patients With Metastatic Melanoma</b:Title>
    <b:JournalName>J Clin Oncol</b:JournalName>
    <b:Year>2018</b:Year>
    <b:Month>Jun</b:Month>
    <b:Day>10</b:Day>
    <b:Volume>36</b:Volume>
    <b:Issue>17</b:Issue>
    <b:Pages>1668-1674</b:Pages>
    <b:StandardNumber>doi: 10.1200/JCO.2017.75.6270</b:StandardNumber>
    <b:RefOrder>4</b:RefOrder>
  </b:Source>
  <b:Source>
    <b:Tag>Tsi16</b:Tag>
    <b:SourceType>JournalArticle</b:SourceType>
    <b:Guid>{7EDF9F09-A006-E943-B3F0-5877E4865E50}</b:Guid>
    <b:Author>
      <b:Author>
        <b:NameList>
          <b:Person>
            <b:Last>Tsiatas M</b:Last>
            <b:First>Mountzios</b:First>
            <b:Middle>G, Curigliano G.</b:Middle>
          </b:Person>
        </b:NameList>
      </b:Author>
    </b:Author>
    <b:Title>Future perspectives in cancer immunotherapy</b:Title>
    <b:JournalName>Ann Transl Med</b:JournalName>
    <b:Year>2016</b:Year>
    <b:Volume>4</b:Volume>
    <b:Pages>273</b:Pages>
    <b:RefOrder>5</b:RefOrder>
  </b:Source>
  <b:Source>
    <b:Tag>Mun18</b:Tag>
    <b:SourceType>JournalArticle</b:SourceType>
    <b:Guid>{024C9D9D-7F62-6F4C-BE31-9C31A28BB99C}</b:Guid>
    <b:Author>
      <b:Author>
        <b:NameList>
          <b:Person>
            <b:Last>Munker Stefan</b:Last>
            <b:First>De</b:First>
            <b:Middle>Toni Enrico N</b:Middle>
          </b:Person>
        </b:NameList>
      </b:Author>
    </b:Author>
    <b:Title>Use of checkpoint inhibitors in liver transplant recipients.</b:Title>
    <b:JournalName>United European Gastroenterology Journal</b:JournalName>
    <b:Year> 2018</b:Year>
    <b:Month>Apr</b:Month>
    <b:Volume>0</b:Volume>
    <b:Issue>0</b:Issue>
    <b:Pages>1-4</b:Pages>
    <b:StandardNumber>doi: 10.1177/2050640618774631</b:StandardNumber>
    <b:RefOrder>6</b:RefOrder>
  </b:Source>
  <b:Source>
    <b:Tag>LiW05</b:Tag>
    <b:SourceType>JournalArticle</b:SourceType>
    <b:Guid>{E7899FC8-6DCF-664D-AA40-FA9DE2CA4D70}</b:Guid>
    <b:Author>
      <b:Author>
        <b:NameList>
          <b:Person>
            <b:Last>Li Wei</b:Last>
            <b:First>Zheng</b:First>
            <b:Middle>Xin Xiao , Kuhr Christian S, Perkins James D</b:Middle>
          </b:Person>
        </b:NameList>
      </b:Author>
    </b:Author>
    <b:Title>CTLA4 Engagement is Required for Induction of Murine Liver Transplant Spontaneous Tolerance</b:Title>
    <b:JournalName>American Journal of Transplantation</b:JournalName>
    <b:Year>2005</b:Year>
    <b:Volume>5</b:Volume>
    <b:Pages>978–986</b:Pages>
    <b:StandardNumber>doi: 10.1111/j.1600-6143.2005.00823.x</b:StandardNumber>
    <b:RefOrder>7</b:RefOrder>
  </b:Source>
  <b:Source>
    <b:Tag>Tan07</b:Tag>
    <b:SourceType>JournalArticle</b:SourceType>
    <b:Guid>{B4B69C1A-5271-E44B-9E00-BDBA1FADDF82}</b:Guid>
    <b:Author>
      <b:Author>
        <b:NameList>
          <b:Person>
            <b:Last>Tanaka Katsunori</b:Last>
            <b:First>Albin</b:First>
            <b:Middle>Monica J, Yuan Xueli, Yamaura Kazuhiro, Habicht Antje, Murayama Takaya, Grimm Martin, Waaga Ana Maria, Ueno Takuya, Padera Robert F, Yagita Hideo, Azuma Miyuki, Shin Tahiro , Blazar Bruce R, Rothstein David M, Sayegh Mohamed H, Najafian Nader</b:Middle>
          </b:Person>
        </b:NameList>
      </b:Author>
    </b:Author>
    <b:Title>PDL1 Is Required for Peripheral Transplantation Tolerance and Protection from Chronic Allograft Rejection</b:Title>
    <b:JournalName>J Immunol</b:JournalName>
    <b:Year>2007 </b:Year>
    <b:Month>Oct</b:Month>
    <b:Day>15</b:Day>
    <b:Volume>179</b:Volume>
    <b:Issue>8</b:Issue>
    <b:Pages>5204–5210</b:Pages>
    <b:RefOrder>8</b:RefOrder>
  </b:Source>
  <b:Source>
    <b:Tag>LVR11</b:Tag>
    <b:SourceType>JournalArticle</b:SourceType>
    <b:Guid>{02595FD5-C6A2-AC45-8210-739DBAD2003A}</b:Guid>
    <b:Author>
      <b:Author>
        <b:NameList>
          <b:Person>
            <b:Last>Riella L V</b:Last>
            <b:First>Watanabe</b:First>
            <b:Middle>T, Sage P T, Yang J, Yeung M, Azzi J, Vanguri V, Chandraker A, Sharpe A H, Sayegh M H, Najafian N</b:Middle>
          </b:Person>
        </b:NameList>
      </b:Author>
    </b:Author>
    <b:Title>Essential Role of PDL1 Expression on Nonhematopoietic Donor Cells in Acquired Tolerance to Vascularized Cardiac Allografts</b:Title>
    <b:JournalName>American Journal of Transplantation</b:JournalName>
    <b:Year>2011</b:Year>
    <b:Volume>11</b:Volume>
    <b:Pages>832–840</b:Pages>
    <b:StandardNumber>doi: 10.1111/j.1600-6143.2011.03451.x</b:StandardNumber>
    <b:RefOrder>9</b:RefOrder>
  </b:Source>
  <b:Source>
    <b:Tag>Cha18</b:Tag>
    <b:SourceType>JournalArticle</b:SourceType>
    <b:Guid>{27A28116-CDB4-E342-979B-79ED23239668}</b:Guid>
    <b:Author>
      <b:Author>
        <b:NameList>
          <b:Person>
            <b:Last>Chae Y K</b:Last>
            <b:First>Galvez</b:First>
            <b:Middle>C, Anker J F, Iams W T, Bhave M</b:Middle>
          </b:Person>
        </b:NameList>
      </b:Author>
    </b:Author>
    <b:Title>Cancer immunotherapy in a neglected population: The current use and future of T-cell-mediated checkpoint inhibitors in organ transplant patients.</b:Title>
    <b:JournalName>Cancer Treat Rev</b:JournalName>
    <b:Year>2018</b:Year>
    <b:Month>Feb</b:Month>
    <b:Volume>63</b:Volume>
    <b:Pages>116-121</b:Pages>
    <b:StandardNumber>doi: 10.1016/j.ctrv.2017.12.004.</b:StandardNumber>
    <b:RefOrder>10</b:RefOrder>
  </b:Source>
  <b:Source>
    <b:Tag>Bud16</b:Tag>
    <b:SourceType>JournalArticle</b:SourceType>
    <b:Guid>{F6DF2E96-2B38-1840-9991-0492C910D211}</b:Guid>
    <b:Author>
      <b:Author>
        <b:NameList>
          <b:Person>
            <b:Last>Budczies J</b:Last>
            <b:First>Bockmayr</b:First>
            <b:Middle>M, Denkert C, Klauschen F, Gröschel S, Darb-Esfahani S, Pfarr N, Leichsenring J, Onozato ML, Lennerz JK, Dietel M, Fröhling S, Schirmacher P, Iafrate AJ, Weichert W, Stenzinger A</b:Middle>
          </b:Person>
        </b:NameList>
      </b:Author>
    </b:Author>
    <b:Title>Pan-cancer analysis of copy number changes in programmed death-ligand 1 (PD-L1, CD274) - associations with gene expression, mutational load, and survival.</b:Title>
    <b:JournalName>Genes Chromosomes Cancer. </b:JournalName>
    <b:Year>2016</b:Year>
    <b:Month>Aug</b:Month>
    <b:Volume>55</b:Volume>
    <b:Issue>8</b:Issue>
    <b:Pages>626-39</b:Pages>
    <b:StandardNumber>doi: 10.1002/gcc.22365</b:StandardNumber>
    <b:RefOrder>11</b:RefOrder>
  </b:Source>
  <b:Source>
    <b:Tag>DeT17</b:Tag>
    <b:SourceType>JournalArticle</b:SourceType>
    <b:Guid>{BE290406-F24C-9E4F-A2C0-27D029257EE8}</b:Guid>
    <b:Author>
      <b:Author>
        <b:NameList>
          <b:Person>
            <b:Last>DeToni</b:Last>
          </b:Person>
        </b:NameList>
      </b:Author>
    </b:Author>
    <b:Title>Tapering of Immunosuppression and Sustained Treatment With Nivolumab in a Liver Transplant Recipient.</b:Title>
    <b:JournalName>Gastroenterology</b:JournalName>
    <b:Year>2017</b:Year>
    <b:Month>May</b:Month>
    <b:Volume>152</b:Volume>
    <b:Issue>6</b:Issue>
    <b:Pages>1631-1633</b:Pages>
    <b:RefOrder>12</b:RefOrder>
  </b:Source>
  <b:Source>
    <b:Tag>Var17</b:Tag>
    <b:SourceType>JournalArticle</b:SourceType>
    <b:Guid>{33B7A490-E671-2D42-96B7-F6283FB81422}</b:Guid>
    <b:Author>
      <b:Author>
        <b:NameList>
          <b:Person>
            <b:Last>Varkaris A</b:Last>
            <b:First>Lewis</b:First>
            <b:Middle>DW and Nugent FW.</b:Middle>
          </b:Person>
        </b:NameList>
      </b:Author>
    </b:Author>
    <b:Title>Preserved liver transplant after PD-1 pathway inhibitor for hepatocellular carcinoma. </b:Title>
    <b:JournalName>Am J Gastroenterol </b:JournalName>
    <b:Year>2017 </b:Year>
    <b:Volume>112</b:Volume>
    <b:Pages>1895–1896</b:Pages>
    <b:RefOrder>13</b:RefOrder>
  </b:Source>
  <b:Source>
    <b:Tag>Sch17</b:Tag>
    <b:SourceType>JournalArticle</b:SourceType>
    <b:Guid>{5DB7A245-CDAB-4D4E-B928-81D03CA409E2}</b:Guid>
    <b:Author>
      <b:Author>
        <b:NameList>
          <b:Person>
            <b:Last>Schvartsman G</b:Last>
            <b:First>Perez</b:First>
            <b:Middle>K.</b:Middle>
          </b:Person>
        </b:NameList>
      </b:Author>
    </b:Author>
    <b:Title>Immune Checkpoint Inhibitor Therapy in a Liver Transplant Recipient With Melanoma.</b:Title>
    <b:JournalName>Ann Intern Med.</b:JournalName>
    <b:Year>2017</b:Year>
    <b:Month>Sep</b:Month>
    <b:Day>5</b:Day>
    <b:Volume>167</b:Volume>
    <b:Issue>5</b:Issue>
    <b:Pages>361-362</b:Pages>
    <b:StandardNumber>doi: 10.7326/L17-0187.</b:StandardNumber>
    <b:RefOrder>14</b:RefOrder>
  </b:Source>
  <b:Source>
    <b:Tag>Mor15</b:Tag>
    <b:SourceType>JournalArticle</b:SourceType>
    <b:Guid>{DB95B9ED-18D0-4B47-B6E7-4F298F030330}</b:Guid>
    <b:Author>
      <b:Author>
        <b:NameList>
          <b:Person>
            <b:Last>Morales Rita E</b:Last>
            <b:First>Shoushtari</b:First>
            <b:Middle>Alexander N, Walsh Michelle M, Grewal Priya, Lipson Evan J, Carvajal Richard D.</b:Middle>
          </b:Person>
        </b:NameList>
      </b:Author>
    </b:Author>
    <b:JournalName>J Immunother Cancer</b:JournalName>
    <b:Year>2015</b:Year>
    <b:Volume>3</b:Volume>
    <b:Pages>22</b:Pages>
    <b:Title>Safety and efficacy of ipilimumab to treat advanced melanoma in the setting of liver transplantation</b:Title>
    <b:StandardNumber>doi: 10. 1186/s40425-015-0066-0</b:StandardNumber>
    <b:RefOrder>15</b:RefOrder>
  </b:Source>
  <b:Source>
    <b:Tag>Ran15</b:Tag>
    <b:SourceType>JournalArticle</b:SourceType>
    <b:Guid>{0F655272-1A55-DB4D-8662-299B9AC8BF14}</b:Guid>
    <b:Author>
      <b:Author>
        <b:NameList>
          <b:Person>
            <b:Last>Ranganath HA</b:Last>
            <b:First>Panella</b:First>
            <b:Middle>TJ.</b:Middle>
          </b:Person>
        </b:NameList>
      </b:Author>
    </b:Author>
    <b:Title>Administration of ipilimumab to a liver transplant recipient with unresectable metastatic melanoma.</b:Title>
    <b:JournalName>J Immunother</b:JournalName>
    <b:Year>2015</b:Year>
    <b:Volume>38</b:Volume>
    <b:Pages>211</b:Pages>
    <b:RefOrder>16</b:RefOrder>
  </b:Source>
  <b:Source>
    <b:Tag>Fri12</b:Tag>
    <b:SourceType>JournalArticle</b:SourceType>
    <b:Guid>{E918502A-1535-A943-8100-938B35F33CEC}</b:Guid>
    <b:Author>
      <b:Author>
        <b:NameList>
          <b:Person>
            <b:Last>Friend Brian D.</b:Last>
            <b:First>Venick</b:First>
            <b:Middle>Robert S., McDiarmid Sue V., Zhou Xiaoyan, Naini Bita, Wang Hanlin, Federman Noah</b:Middle>
          </b:Person>
        </b:NameList>
      </b:Author>
    </b:Author>
    <b:JournalName>Pediatr Blood Cancer.</b:JournalName>
    <b:Year>2017 </b:Year>
    <b:StandardNumber>doi: 10.1002/pbc.26682.</b:StandardNumber>
    <b:Title>Fatal orthotopic liver transplant organ rejection induced by a checkpoint inhibitor in two patients with refractory, metastatic hepatocellular carcinoma.</b:Title>
    <b:Month>Dec</b:Month>
    <b:Volume>64</b:Volume>
    <b:Pages>12</b:Pages>
    <b:RefOrder>17</b:RefOrder>
  </b:Source>
  <b:Source>
    <b:Tag>Rai17</b:Tag>
    <b:SourceType>JournalArticle</b:SourceType>
    <b:Guid>{3EF2ECFF-EA85-B94F-9D89-9C827663F45F}</b:Guid>
    <b:Author>
      <b:Author>
        <b:NameList>
          <b:Person>
            <b:Last>Rai R</b:Last>
            <b:First>Ezeoke</b:First>
            <b:Middle>OM, McQuade JL and JV.</b:Middle>
          </b:Person>
        </b:NameList>
      </b:Author>
    </b:Author>
    <b:Title>Immunotherapy in patients with concurrent solid organ transplant, HIV, and Hepatitis B and C.</b:Title>
    <b:JournalName>Ann Oncol </b:JournalName>
    <b:Year>2017</b:Year>
    <b:Volume>28</b:Volume>
    <b:Pages>403–427</b:Pages>
    <b:RefOrder>18</b:RefOrder>
  </b:Source>
  <b:Source>
    <b:Tag>Kuo18</b:Tag>
    <b:SourceType>JournalArticle</b:SourceType>
    <b:Guid>{EAAA1E5C-A4C0-384D-BCC0-719BA2365DF9}</b:Guid>
    <b:Author>
      <b:Author>
        <b:NameList>
          <b:Person>
            <b:Last>Kuo JC</b:Last>
            <b:First>Lilly</b:First>
            <b:Middle>LB and Hogg D.</b:Middle>
          </b:Person>
        </b:NameList>
      </b:Author>
    </b:Author>
    <b:Title>Immune checkpoint inhibitor therapy in a liver transplant recipient with a rare subtype of melanoma: a case report and literature review.</b:Title>
    <b:JournalName>Melanoma Res </b:JournalName>
    <b:Year>2018</b:Year>
    <b:Volume>28</b:Volume>
    <b:Pages>61–64</b:Pages>
    <b:RefOrder>19</b:RefOrder>
  </b:Source>
  <b:Source>
    <b:Tag>DeL18</b:Tag>
    <b:SourceType>JournalArticle</b:SourceType>
    <b:Guid>{CC5FE6FA-0CE6-AB43-BAB5-32FE4525A54F}</b:Guid>
    <b:Author>
      <b:Author>
        <b:NameList>
          <b:Person>
            <b:Last>DeLeon T</b:Last>
            <b:First>Salomao</b:First>
            <b:Middle>M and Bashar A.</b:Middle>
          </b:Person>
        </b:NameList>
      </b:Author>
    </b:Author>
    <b:Title>Pilot evaluation of PD-1 inhibition in metastatic cancer patients with liver transplantations: the mayo clinic experience.</b:Title>
    <b:JournalName>J Clin Oncol</b:JournalName>
    <b:Year>2018</b:Year>
    <b:Volume>suppl 4S</b:Volume>
    <b:Pages>abstr 328</b:Pages>
    <b:RefOrder>20</b:RefOrder>
  </b:Source>
  <b:Source>
    <b:Tag>Lip14</b:Tag>
    <b:SourceType>JournalArticle</b:SourceType>
    <b:Guid>{5C4CD474-C870-2E40-9253-B4341F07F071}</b:Guid>
    <b:Author>
      <b:Author>
        <b:NameList>
          <b:Person>
            <b:Last>Lipson Evan J.</b:Last>
            <b:First>Bodell</b:First>
            <b:Middle>Mabel A., Kraus Edward S., Sharfman William H.</b:Middle>
          </b:Person>
        </b:NameList>
      </b:Author>
    </b:Author>
    <b:Title>Successful administration of ipilimumab to two kidney transplantation patients with metastatic melanoma. </b:Title>
    <b:JournalName>J Clin Oncol.</b:JournalName>
    <b:Year> 2014</b:Year>
    <b:Month>Jul</b:Month>
    <b:Day>1</b:Day>
    <b:Volume>32</b:Volume>
    <b:Issue>19</b:Issue>
    <b:Pages>69-71</b:Pages>
    <b:StandardNumber>doi: 10.1200/JCO.2013.49.2314. </b:StandardNumber>
    <b:RefOrder>21</b:RefOrder>
  </b:Source>
  <b:Source>
    <b:Tag>Lip16</b:Tag>
    <b:SourceType>JournalArticle</b:SourceType>
    <b:Guid>{0CDE5084-16CA-834F-81B1-F0948945B8BF}</b:Guid>
    <b:Author>
      <b:Author>
        <b:NameList>
          <b:Person>
            <b:Last>Lipson Evan J</b:Last>
            <b:First>Bagnasco</b:First>
            <b:Middle>Serena M, Moore Jack Jr, Jang Sekwon, Patel Manisha J, Zachary Andrea A., Pardoll Drew M., Taube Janis M., Drake Charles G.</b:Middle>
          </b:Person>
        </b:NameList>
      </b:Author>
    </b:Author>
    <b:Title>Tumor regression and allograft rejection after administration of anti-PD-1.</b:Title>
    <b:JournalName>N Engl J Med</b:JournalName>
    <b:Year>2016</b:Year>
    <b:Volume>374</b:Volume>
    <b:Issue>9</b:Issue>
    <b:Pages>896–8.</b:Pages>
    <b:StandardNumber>doi:10.1056/NEJMc1509268</b:StandardNumber>
    <b:RefOrder>22</b:RefOrder>
  </b:Source>
  <b:Source>
    <b:Tag>Boi16</b:Tag>
    <b:SourceType>JournalArticle</b:SourceType>
    <b:Guid>{1ADACC92-0860-0249-9F35-837FFC89695F}</b:Guid>
    <b:Author>
      <b:Author>
        <b:NameList>
          <b:Person>
            <b:Last>Boils C L</b:Last>
            <b:First>Aljadir</b:First>
            <b:Middle>D N, Cantafio A W.</b:Middle>
          </b:Person>
        </b:NameList>
      </b:Author>
    </b:Author>
    <b:Title>Use of the PD-1pathway inhibitor nivolumab in a renal transplant patient with malignancy</b:Title>
    <b:JournalName>Am J Transplant</b:JournalName>
    <b:Year>2016</b:Year>
    <b:Volume>16</b:Volume>
    <b:Issue>8</b:Issue>
    <b:Pages>2496–2497</b:Pages>
    <b:RefOrder>23</b:RefOrder>
  </b:Source>
  <b:Source>
    <b:Tag>Jos16</b:Tag>
    <b:SourceType>JournalArticle</b:SourceType>
    <b:Guid>{4F3E9397-D756-DE43-B20E-A70ED2B7E6DA}</b:Guid>
    <b:Author>
      <b:Author>
        <b:NameList>
          <b:Person>
            <b:Last>Jose A</b:Last>
            <b:First>Yiannoullou</b:First>
            <b:Middle>P, Bhutani S, Denley H, Morton M, Picton M, Summersa A, van Dellen D, Augustine T</b:Middle>
          </b:Person>
        </b:NameList>
      </b:Author>
    </b:Author>
    <b:Title>Renal allograft failure after ipilimumab therapy for metastatic melanoma: a case report and review of the literature.</b:Title>
    <b:JournalName>Transplant Proc.</b:JournalName>
    <b:Year>2016</b:Year>
    <b:Volume>48</b:Volume>
    <b:Pages>3137–3141.</b:Pages>
    <b:RefOrder>24</b:RefOrder>
  </b:Source>
  <b:Source>
    <b:Tag>Ong16</b:Tag>
    <b:SourceType>JournalArticle</b:SourceType>
    <b:Guid>{6E8A71DC-EB5F-8F46-BFF1-C4D137222D04}</b:Guid>
    <b:Author>
      <b:Author>
        <b:NameList>
          <b:Person>
            <b:Last>Ong Michael</b:Last>
            <b:First>Ibrahim</b:First>
            <b:Middle>Andrea Marie, Bourassa-Blanchette Samuel, Canil Christina, Fairhead Todd, Knoll Greg</b:Middle>
          </b:Person>
        </b:NameList>
      </b:Author>
    </b:Author>
    <b:Title>Antitumor activity of nivolumab on hemodialysis after renal allo- graft rejection.</b:Title>
    <b:JournalName>J Immunother Cancer. </b:JournalName>
    <b:Year>2016</b:Year>
    <b:Volume>4</b:Volume>
    <b:Pages>64</b:Pages>
    <b:RefOrder>25</b:RefOrder>
  </b:Source>
  <b:Source>
    <b:Tag>Spa16</b:Tag>
    <b:SourceType>JournalArticle</b:SourceType>
    <b:Guid>{CD53500E-9572-2F44-85B0-2C31BF2B345B}</b:Guid>
    <b:Author>
      <b:Author>
        <b:NameList>
          <b:Person>
            <b:Last>Spain L</b:Last>
            <b:First>Higgins</b:First>
            <b:Middle>R, Gopalakrishnan K, Turajlic S, Gore M, Larkin J</b:Middle>
          </b:Person>
        </b:NameList>
      </b:Author>
    </b:Author>
    <b:Title>Acute renal allograft rejection after immune checkpoint inhibitor therapy for metastatic melanoma</b:Title>
    <b:JournalName>Ann Oncol.</b:JournalName>
    <b:Year>2016</b:Year>
    <b:Volume>27</b:Volume>
    <b:Issue>6</b:Issue>
    <b:Pages>1135–1137</b:Pages>
    <b:RefOrder>26</b:RefOrder>
  </b:Source>
  <b:Source>
    <b:Tag>Alh16</b:Tag>
    <b:SourceType>JournalArticle</b:SourceType>
    <b:Guid>{B2169406-1306-9D45-B0FF-57A58F4F6984}</b:Guid>
    <b:Author>
      <b:Author>
        <b:NameList>
          <b:Person>
            <b:Last>Alhamad T</b:Last>
            <b:First>Venkatachalam</b:First>
            <b:Middle>K, Linette G P, Brennan D C.</b:Middle>
          </b:Person>
        </b:NameList>
      </b:Author>
    </b:Author>
    <b:Title>Checkpoint Inhibitors in Kidney Transplant Recipients and the Potential Risk of Rejection</b:Title>
    <b:JournalName>Am J Transplant </b:JournalName>
    <b:Year>2016</b:Year>
    <b:Volume>16</b:Volume>
    <b:Pages>1332–1333</b:Pages>
    <b:StandardNumber>doi: 10.1111/ajt.13711 </b:StandardNumber>
    <b:RefOrder>27</b:RefOrder>
  </b:Source>
  <b:Source>
    <b:Tag>Her16</b:Tag>
    <b:SourceType>JournalArticle</b:SourceType>
    <b:Guid>{22674216-3EFF-FA48-A88E-2D6FF7E3110C}</b:Guid>
    <b:Author>
      <b:Author>
        <b:NameList>
          <b:Person>
            <b:Last>Herz Saskia</b:Last>
            <b:First>Höfer</b:First>
            <b:Middle>Thomas, Papapanagiotou Matina, Leyh Julia Christina, Meyenburg Sarah, Schadendorf Dirk, Ugurel Selma, Roesch Alexander, Livingstone Elisabeth, Schilling Bastian, Franklin Cindy</b:Middle>
          </b:Person>
        </b:NameList>
      </b:Author>
    </b:Author>
    <b:Title>Checkpoint inhibitors in chronic kidney failure and an organ transplant recipient. </b:Title>
    <b:JournalName>Eur J Cancer. </b:JournalName>
    <b:Year>2016 </b:Year>
    <b:Month>Nov</b:Month>
    <b:Volume>67</b:Volume>
    <b:Pages>66-72</b:Pages>
    <b:StandardNumber>doi: 10.1016/j.ejca.2016.07.026.</b:StandardNumber>
    <b:RefOrder>28</b:RefOrder>
  </b:Source>
  <b:Source>
    <b:Tag>Win17</b:Tag>
    <b:SourceType>JournalArticle</b:SourceType>
    <b:Guid>{8CB2C669-DA61-754E-B8FB-D6C60C5415A2}</b:Guid>
    <b:Author>
      <b:Author>
        <b:NameList>
          <b:Person>
            <b:Last>Winkler Julia K</b:Last>
            <b:First>Gutzmer</b:First>
            <b:Middle>Ralf, Bender Carolin, Lang Nina, Zeier Martin, Enk Alexander H , Hassel Jessica C.</b:Middle>
          </b:Person>
        </b:NameList>
      </b:Author>
    </b:Author>
    <b:Title>Safe Administration of An Anti-PD-1 Antibody to Kidney-transplant Patients: 2 Clinical Cases and Review of the Literature. </b:Title>
    <b:JournalName>J Immmunother.</b:JournalName>
    <b:Year>2017</b:Year>
    <b:Month>Nov/Dec</b:Month>
    <b:Volume>40</b:Volume>
    <b:Issue>9</b:Issue>
    <b:Pages>341-344</b:Pages>
    <b:StandardNumber>doi: 10.1097/CJI.0000000000000188</b:StandardNumber>
    <b:RefOrder>29</b:RefOrder>
  </b:Source>
  <b:Source>
    <b:Tag>Bar17</b:Tag>
    <b:SourceType>JournalArticle</b:SourceType>
    <b:Guid>{C62B4370-5AEB-374D-8F9C-4C119E046D55}</b:Guid>
    <b:Author>
      <b:Author>
        <b:NameList>
          <b:Person>
            <b:Last>Barnett Richard</b:Last>
            <b:First>Barta</b:First>
            <b:Middle>Valerie S, Jhaveri Kenar D.</b:Middle>
          </b:Person>
        </b:NameList>
      </b:Author>
    </b:Author>
    <b:Title>Preserved renal-allograft function and the PD-1 pathway inhibitor nivolumab.</b:Title>
    <b:JournalName>N Engl J Med.</b:JournalName>
    <b:Year>2017</b:Year>
    <b:Volume>376</b:Volume>
    <b:Pages>191– 192</b:Pages>
    <b:RefOrder>30</b:RefOrder>
  </b:Source>
  <b:Source>
    <b:Tag>Bio181</b:Tag>
    <b:SourceType>JournalArticle</b:SourceType>
    <b:Guid>{2381BB7E-8748-3B41-80D3-5F09FB7CDB23}</b:Guid>
    <b:Author>
      <b:Author>
        <b:NameList>
          <b:Person>
            <b:Last>Biondani Pamela</b:Last>
            <b:First>De</b:First>
            <b:Middle>Martin Eleonora, Samuel Didier</b:Middle>
          </b:Person>
        </b:NameList>
      </b:Author>
    </b:Author>
    <b:Title>Safety of an anti-PD-1 immune checkpoint inhibitor in a liver transplant recipient. </b:Title>
    <b:JournalName>Ann Oncol</b:JournalName>
    <b:Year>2018</b:Year>
    <b:Month>Jan</b:Month>
    <b:Day>1</b:Day>
    <b:Volume>29</b:Volume>
    <b:Issue>1</b:Issue>
    <b:Pages>286-287</b:Pages>
    <b:StandardNumber>doi: 10.1093/annonc/mdx548</b:StandardNumber>
    <b:RefOrder>31</b:RefOrder>
  </b:Source>
  <b:Source>
    <b:Tag>Kwa17</b:Tag>
    <b:SourceType>JournalArticle</b:SourceType>
    <b:Guid>{DF38775D-66E8-334C-9698-62374C43F7D2}</b:Guid>
    <b:Author>
      <b:Author>
        <b:NameList>
          <b:Person>
            <b:Last>Kwatra</b:Last>
            <b:First>V.,</b:First>
            <b:Middle>Karanth, N. V., Priyadarshana, K., &amp; Charakidis, M.</b:Middle>
          </b:Person>
        </b:NameList>
      </b:Author>
    </b:Author>
    <b:Title>Pembrolizumab for metastatic melanoma in a renal allograft recipient with subsequent graft rejection and treatment response failure: a case report.</b:Title>
    <b:JournalName>Journal of Medical Case Reports</b:JournalName>
    <b:Year>2017</b:Year>
    <b:Volume>11</b:Volume>
    <b:StandardNumber>https://doi.org/10.1186/s13256-017-1229-z</b:StandardNumber>
    <b:Issue>1</b:Issue>
    <b:RefOrder>32</b:RefOrder>
  </b:Source>
  <b:Source>
    <b:Tag>WuC17</b:Tag>
    <b:SourceType>JournalArticle</b:SourceType>
    <b:Guid>{A79505C6-DF67-B94A-A342-F66D7AA06A82}</b:Guid>
    <b:Author>
      <b:Author>
        <b:NameList>
          <b:Person>
            <b:Last>Wu C. K.</b:Last>
            <b:First>Juang</b:First>
            <b:Middle>G. D., Lai, H. C.</b:Middle>
          </b:Person>
        </b:NameList>
      </b:Author>
    </b:Author>
    <b:Title>Tumor regression and preservation of graft function after combination with anti-PD-1 immunotherapy without immunosuppressant titration</b:Title>
    <b:JournalName>Annals of Oncology</b:JournalName>
    <b:Year>2017</b:Year>
    <b:Month>Nov</b:Month>
    <b:Day>1</b:Day>
    <b:Volume>28</b:Volume>
    <b:Issue>11</b:Issue>
    <b:Pages>2895–2896</b:Pages>
    <b:StandardNumber>https://doi.org/10.1093/annonc/mdx409</b:StandardNumber>
    <b:RefOrder>33</b:RefOrder>
  </b:Source>
  <b:Source>
    <b:Tag>Due17</b:Tag>
    <b:SourceType>JournalArticle</b:SourceType>
    <b:Guid>{4B29F4B9-6BF8-194B-86CD-D1D007F98FC4}</b:Guid>
    <b:Author>
      <b:Author>
        <b:NameList>
          <b:Person>
            <b:Last>Dueland S.</b:Last>
            <b:First>Guren</b:First>
            <b:Middle>T. K., Boberg K. M., Reims H. M., Grzyb K., Aamdal S., Julsrud L., Line P. D.</b:Middle>
          </b:Person>
        </b:NameList>
      </b:Author>
    </b:Author>
    <b:Title>Acute liver graft rejection after ipilimumab therapy </b:Title>
    <b:JournalName> Annals of Oncology</b:JournalName>
    <b:Year>2017</b:Year>
    <b:Month>Oct</b:Month>
    <b:Volume>28</b:Volume>
    <b:Issue>10</b:Issue>
    <b:Pages>2619–2620</b:Pages>
    <b:StandardNumber>https://doi.org/10.1093/annonc/mdx281 </b:StandardNumber>
    <b:RefOrder>34</b:RefOrder>
  </b:Source>
  <b:Source>
    <b:Tag>Leo18</b:Tag>
    <b:SourceType>JournalArticle</b:SourceType>
    <b:Guid>{42F8F4A9-C595-334B-94EF-144176411C67}</b:Guid>
    <b:Author>
      <b:Author>
        <b:NameList>
          <b:Person>
            <b:Last>Leonardi GC</b:Last>
            <b:First>Gainor</b:First>
            <b:Middle>JF, Altan M, Kravets S, Dahlberg SE, Gedmintas L, et al.</b:Middle>
          </b:Person>
        </b:NameList>
      </b:Author>
    </b:Author>
    <b:Title>Safety of programmed death-1 pathway inhibitors among patients with non-small-cell lung cancer and preexisting autoimmune disorders. </b:Title>
    <b:JournalName>J Clin Oncol </b:JournalName>
    <b:Year>2018</b:Year>
    <b:Volume>36</b:Volume>
    <b:Pages>1905–12</b:Pages>
    <b:StandardNumber>doi:10.1200/JCO.2017.77.0305.</b:StandardNumber>
    <b:RefOrder>35</b:RefOrder>
  </b:Source>
  <b:Source>
    <b:Tag>Sch171</b:Tag>
    <b:SourceType>JournalArticle</b:SourceType>
    <b:Guid>{21D41224-10EF-C44A-9321-7804C3FE55E4}</b:Guid>
    <b:Author>
      <b:Author>
        <b:NameList>
          <b:Person>
            <b:Last>Schadendorf D</b:Last>
            <b:First>Wolchok</b:First>
            <b:Middle>JD, Hodi FS, Chiarion-Sileni V, Gonzalez R, Rutkowski P, et al.</b:Middle>
          </b:Person>
        </b:NameList>
      </b:Author>
    </b:Author>
    <b:Title>Efficacy and Safety Outcomes in Patients With Advanced Melanoma Who Discontinued Treatment With Nivolumab and Ipilimumab Because of Adverse Events: A Pooled Analysis of Randomized Phase II and III Trials. </b:Title>
    <b:JournalName>J Clin Oncol </b:JournalName>
    <b:Year>2017</b:Year>
    <b:Volume>67</b:Volume>
    <b:Pages>JCO.2017.73.228. </b:Pages>
    <b:StandardNumber>doi:10.1200/JCO.2017.73.2289.</b:StandardNumber>
    <b:RefOrder>36</b:RefOrder>
  </b:Source>
  <b:Source>
    <b:Tag>Wol17</b:Tag>
    <b:SourceType>JournalArticle</b:SourceType>
    <b:Guid>{C39F1817-5A89-7842-8AF5-878012F94CB0}</b:Guid>
    <b:Author>
      <b:Author>
        <b:NameList>
          <b:Person>
            <b:Last>Wolchok JD</b:Last>
            <b:First>Chiarion-Sileni</b:First>
            <b:Middle>V, Gonzalez R, Rutkowski P, Grob J-J, Cowey CL, et al.</b:Middle>
          </b:Person>
        </b:NameList>
      </b:Author>
    </b:Author>
    <b:Title>Overall Survival with Combined Nivolumab and Ipilimumab in Advanced Melanoma.</b:Title>
    <b:JournalName>N Engl J Med </b:JournalName>
    <b:Year>2017</b:Year>
    <b:Pages>NEJMoa1709684. </b:Pages>
    <b:StandardNumber>doi:10.1056/NEJMoa1709684.</b:StandardNumber>
    <b:RefOrder>37</b:RefOrder>
  </b:Source>
  <b:Source>
    <b:Tag>Euv03</b:Tag>
    <b:SourceType>JournalArticle</b:SourceType>
    <b:Guid>{B443E61B-9FA4-F249-AE96-6A86C1CB1100}</b:Guid>
    <b:Author>
      <b:Author>
        <b:NameList>
          <b:Person>
            <b:Last>Euvrard S</b:Last>
            <b:First>Kanitakis</b:First>
            <b:Middle>J, Claudy A</b:Middle>
          </b:Person>
        </b:NameList>
      </b:Author>
    </b:Author>
    <b:Title>Skin cancers after organ transplantation. </b:Title>
    <b:JournalName>N Engl J Med</b:JournalName>
    <b:Year>2003</b:Year>
    <b:Volume>348</b:Volume>
    <b:Issue>17</b:Issue>
    <b:Pages>1681–91 </b:Pages>
    <b:RefOrder>38</b:RefOrder>
  </b:Source>
  <b:Source>
    <b:Tag>Tes12</b:Tag>
    <b:SourceType>JournalArticle</b:SourceType>
    <b:Guid>{202A612A-12CB-C243-BFD4-24F7231212C4}</b:Guid>
    <b:Author>
      <b:Author>
        <b:NameList>
          <b:Person>
            <b:Last>Tessari G</b:Last>
            <b:First>Girolomoni</b:First>
            <b:Middle>G</b:Middle>
          </b:Person>
        </b:NameList>
      </b:Author>
    </b:Author>
    <b:Title>Nonmelanoma skin cancer in solid organ transplant recipients: update in epidemiology, risk factors, and management. </b:Title>
    <b:JournalName>Dermatol Surg</b:JournalName>
    <b:Year>2012</b:Year>
    <b:Volume>38</b:Volume>
    <b:Issue>10</b:Issue>
    <b:Pages>1622-30 </b:Pages>
    <b:RefOrder>39</b:RefOrder>
  </b:Source>
  <b:Source>
    <b:Tag>Mig18</b:Tag>
    <b:SourceType>JournalArticle</b:SourceType>
    <b:Guid>{078E4039-BAF3-6F4B-90A1-5DF4CDB731A6}</b:Guid>
    <b:Author>
      <b:Author>
        <b:NameList>
          <b:Person>
            <b:Last>Migden MR</b:Last>
            <b:First>Rischin</b:First>
            <b:Middle>D, Schmults CD, Guminski A, Hauschild A, Lewis KD, et al.</b:Middle>
          </b:Person>
        </b:NameList>
      </b:Author>
    </b:Author>
    <b:Title>PD-1 Blockade with Cemiplimab in Advanced Cutaneous Squamous-Cell Carcinoma</b:Title>
    <b:JournalName>N Engl J Med </b:JournalName>
    <b:Year>2018</b:Year>
    <b:Volume>379</b:Volume>
    <b:Pages>341–51</b:Pages>
    <b:StandardNumber>doi:10.1056/NEJMoa1805131.</b:StandardNumber>
    <b:RefOrder>40</b:RefOrder>
  </b:Source>
  <b:Source>
    <b:Tag>Win11</b:Tag>
    <b:SourceType>JournalArticle</b:SourceType>
    <b:Guid>{C67B7C0D-B96B-CE44-A5D4-61DFA936C665}</b:Guid>
    <b:Author>
      <b:Author>
        <b:NameList>
          <b:Person>
            <b:Last>Wingard John R.</b:Last>
            <b:First>Majhail</b:First>
            <b:Middle>Navneet S., Brazauskas Ruta, Wang Zhiwei, Sobocinski Kathleen A., Jacobsohn David, Sorror Mohamed L., Horowitz Mary M., Bolwell Brian, Rizzo J. Douglas, Socié Gérard</b:Middle>
          </b:Person>
        </b:NameList>
      </b:Author>
    </b:Author>
    <b:Title>Long-Term Survival and Late Deaths After Allogeneic Hematopoietic Cell Transplantation</b:Title>
    <b:JournalName>J Clin Oncol.</b:JournalName>
    <b:Year>2011</b:Year>
    <b:Month>Jun</b:Month>
    <b:Day>1</b:Day>
    <b:Volume>29</b:Volume>
    <b:Issue>16</b:Issue>
    <b:Pages>2230–2239</b:Pages>
    <b:StandardNumber> doi:  10.1200/JCO.2010.33.7212</b:StandardNumber>
    <b:RefOrder>41</b:RefOrder>
  </b:Source>
  <b:Source>
    <b:Tag>Dem12</b:Tag>
    <b:SourceType>JournalArticle</b:SourceType>
    <b:Guid>{51F2151D-968E-1744-9330-A701355E1171}</b:Guid>
    <b:Author>
      <b:Author>
        <b:NameList>
          <b:Person>
            <b:Last>Demaria S</b:Last>
            <b:First>Formenti</b:First>
            <b:Middle>SC.</b:Middle>
          </b:Person>
        </b:NameList>
      </b:Author>
    </b:Author>
    <b:Title>Radiation as an immunological adjuvant: current evidence on dose and fractionation</b:Title>
    <b:JournalName>Front Oncol</b:JournalName>
    <b:Year>2012</b:Year>
    <b:Volume>2</b:Volume>
    <b:Pages>153</b:Pages>
    <b:Comments>doi: 10.3389/fonc.2012.00153. </b:Comments>
    <b:RefOrder>1</b:RefOrder>
  </b:Source>
</b:Sources>
</file>

<file path=customXml/itemProps1.xml><?xml version="1.0" encoding="utf-8"?>
<ds:datastoreItem xmlns:ds="http://schemas.openxmlformats.org/officeDocument/2006/customXml" ds:itemID="{0ECF5C74-C471-4908-A51C-9E94E9E23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26681</Words>
  <Characters>146749</Characters>
  <Application>Microsoft Office Word</Application>
  <DocSecurity>4</DocSecurity>
  <Lines>1222</Lines>
  <Paragraphs>346</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173084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postel-vinay</dc:creator>
  <cp:lastModifiedBy>FAGOT Chantal</cp:lastModifiedBy>
  <cp:revision>2</cp:revision>
  <dcterms:created xsi:type="dcterms:W3CDTF">2019-02-05T08:38:00Z</dcterms:created>
  <dcterms:modified xsi:type="dcterms:W3CDTF">2019-02-05T08:38:00Z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65c6d14a-14a8-32e4-a38d-147d657a3dc4</vt:lpwstr>
  </property>
  <property fmtid="{D5CDD505-2E9C-101B-9397-08002B2CF9AE}" pid="4" name="Mendeley Citation Style_1">
    <vt:lpwstr>http://www.zotero.org/styles/current-opinion</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vt:lpwstr>
  </property>
  <property fmtid="{D5CDD505-2E9C-101B-9397-08002B2CF9AE}" pid="7" name="Mendeley Recent Style Id 1_1">
    <vt:lpwstr>http://www.zotero.org/styles/annals-of-oncology</vt:lpwstr>
  </property>
  <property fmtid="{D5CDD505-2E9C-101B-9397-08002B2CF9AE}" pid="8" name="Mendeley Recent Style Name 1_1">
    <vt:lpwstr>Annals of Oncology</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http://www.zotero.org/styles/current-opinion</vt:lpwstr>
  </property>
  <property fmtid="{D5CDD505-2E9C-101B-9397-08002B2CF9AE}" pid="12" name="Mendeley Recent Style Name 3_1">
    <vt:lpwstr>Current Opinion journals</vt:lpwstr>
  </property>
  <property fmtid="{D5CDD505-2E9C-101B-9397-08002B2CF9AE}" pid="13" name="Mendeley Recent Style Id 4_1">
    <vt:lpwstr>http://www.zotero.org/styles/european-journal-of-cancer</vt:lpwstr>
  </property>
  <property fmtid="{D5CDD505-2E9C-101B-9397-08002B2CF9AE}" pid="14" name="Mendeley Recent Style Name 4_1">
    <vt:lpwstr>European Journal of Cancer</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http://www.zotero.org/styles/immunity</vt:lpwstr>
  </property>
  <property fmtid="{D5CDD505-2E9C-101B-9397-08002B2CF9AE}" pid="20" name="Mendeley Recent Style Name 7_1">
    <vt:lpwstr>Immunity</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