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C47709" w14:textId="77777777" w:rsidR="00BE7830" w:rsidRPr="00AC6174" w:rsidRDefault="00BE7830" w:rsidP="00925A7A">
      <w:pPr>
        <w:pStyle w:val="Titre1"/>
        <w:jc w:val="left"/>
        <w:rPr>
          <w:lang w:val="en-GB"/>
        </w:rPr>
      </w:pPr>
      <w:r w:rsidRPr="00AC6174">
        <w:rPr>
          <w:lang w:val="en-GB"/>
        </w:rPr>
        <w:t>Introduction</w:t>
      </w:r>
      <w:r>
        <w:rPr>
          <w:lang w:val="en-GB"/>
        </w:rPr>
        <w:t xml:space="preserve"> </w:t>
      </w:r>
      <w:r w:rsidR="003A77F8">
        <w:rPr>
          <w:lang w:val="en-GB"/>
        </w:rPr>
        <w:t>and</w:t>
      </w:r>
      <w:r>
        <w:rPr>
          <w:lang w:val="en-GB"/>
        </w:rPr>
        <w:t xml:space="preserve"> objectives</w:t>
      </w:r>
    </w:p>
    <w:p w14:paraId="001750D1" w14:textId="67D4D3AB" w:rsidR="009C50C1" w:rsidRDefault="00900DD9" w:rsidP="00925A7A">
      <w:pPr>
        <w:jc w:val="left"/>
      </w:pPr>
      <w:r w:rsidRPr="00787471">
        <w:t xml:space="preserve">Fertility </w:t>
      </w:r>
      <w:r w:rsidR="009E427A">
        <w:t xml:space="preserve">transition </w:t>
      </w:r>
      <w:r>
        <w:t xml:space="preserve">started </w:t>
      </w:r>
      <w:r w:rsidR="00F80E6F">
        <w:t xml:space="preserve">much later </w:t>
      </w:r>
      <w:r w:rsidR="009E427A">
        <w:t xml:space="preserve">in sub-Saharan Africa </w:t>
      </w:r>
      <w:r w:rsidR="00F80E6F">
        <w:t>than in other regions of th</w:t>
      </w:r>
      <w:r w:rsidR="009C50C1">
        <w:t>e world</w:t>
      </w:r>
      <w:r w:rsidR="000C00E6">
        <w:t>,</w:t>
      </w:r>
      <w:r w:rsidR="009C50C1">
        <w:t xml:space="preserve"> and </w:t>
      </w:r>
      <w:r w:rsidR="00F80E6F">
        <w:t xml:space="preserve">the pace of </w:t>
      </w:r>
      <w:r>
        <w:t xml:space="preserve">the </w:t>
      </w:r>
      <w:r w:rsidR="00F80E6F">
        <w:t>fertili</w:t>
      </w:r>
      <w:r w:rsidR="009C50C1">
        <w:t xml:space="preserve">ty decline </w:t>
      </w:r>
      <w:r w:rsidR="000C00E6">
        <w:t xml:space="preserve">there </w:t>
      </w:r>
      <w:r w:rsidR="009C50C1">
        <w:t xml:space="preserve">has </w:t>
      </w:r>
      <w:r w:rsidR="009E427A">
        <w:t xml:space="preserve">overall </w:t>
      </w:r>
      <w:r w:rsidR="009C50C1">
        <w:t xml:space="preserve">been slower </w:t>
      </w:r>
      <w:r w:rsidR="00883724" w:rsidRPr="00883724">
        <w:t>(Bongaarts 2013; Bongaarts and Casterline 2013; Shapiro and Hinde 2017)</w:t>
      </w:r>
      <w:r w:rsidR="009C50C1">
        <w:t>.</w:t>
      </w:r>
      <w:r>
        <w:t xml:space="preserve"> </w:t>
      </w:r>
      <w:r w:rsidR="009C50C1">
        <w:t xml:space="preserve">Stalls and reversals in fertility </w:t>
      </w:r>
      <w:r>
        <w:t>transition</w:t>
      </w:r>
      <w:r w:rsidR="006D3970">
        <w:t>s in sub-Saharan Africa</w:t>
      </w:r>
      <w:r w:rsidR="009C50C1">
        <w:t xml:space="preserve">n countries </w:t>
      </w:r>
      <w:r w:rsidR="006D3970">
        <w:t>have</w:t>
      </w:r>
      <w:r>
        <w:t xml:space="preserve"> </w:t>
      </w:r>
      <w:r w:rsidR="009C50C1">
        <w:t xml:space="preserve">contributed to the slow declines, and to the uncertainty </w:t>
      </w:r>
      <w:r w:rsidR="009C50C1" w:rsidRPr="00085940">
        <w:t xml:space="preserve">about sub-Saharan Africa’s future </w:t>
      </w:r>
      <w:r w:rsidR="009C50C1">
        <w:t xml:space="preserve">fertility </w:t>
      </w:r>
      <w:r w:rsidR="00883724" w:rsidRPr="00883724">
        <w:t>(Schoumaker 201</w:t>
      </w:r>
      <w:r w:rsidR="00C60DD6">
        <w:t>7</w:t>
      </w:r>
      <w:r w:rsidR="00883724" w:rsidRPr="00883724">
        <w:t>)</w:t>
      </w:r>
      <w:r w:rsidR="00F80E6F">
        <w:t xml:space="preserve">. </w:t>
      </w:r>
    </w:p>
    <w:p w14:paraId="19840C6A" w14:textId="54AEC59F" w:rsidR="00903D83" w:rsidRDefault="00F80E6F" w:rsidP="00925A7A">
      <w:pPr>
        <w:jc w:val="left"/>
        <w:rPr>
          <w:lang w:val="en-GB"/>
        </w:rPr>
      </w:pPr>
      <w:r>
        <w:t xml:space="preserve">Fertility stalls </w:t>
      </w:r>
      <w:r w:rsidR="00E6504D">
        <w:t xml:space="preserve">in sub-Saharan Africa </w:t>
      </w:r>
      <w:r>
        <w:rPr>
          <w:lang w:val="en-GB"/>
        </w:rPr>
        <w:t>were first identified in Ghana and Kenya</w:t>
      </w:r>
      <w:r w:rsidR="006B7BAD">
        <w:rPr>
          <w:lang w:val="en-GB"/>
        </w:rPr>
        <w:t xml:space="preserve"> in the early 2000s</w:t>
      </w:r>
      <w:r>
        <w:rPr>
          <w:lang w:val="en-GB"/>
        </w:rPr>
        <w:t xml:space="preserve"> </w:t>
      </w:r>
      <w:r w:rsidR="00883724" w:rsidRPr="00883724">
        <w:t>(</w:t>
      </w:r>
      <w:proofErr w:type="spellStart"/>
      <w:r w:rsidR="00883724" w:rsidRPr="00883724">
        <w:t>Bongaarts</w:t>
      </w:r>
      <w:proofErr w:type="spellEnd"/>
      <w:r w:rsidR="00883724" w:rsidRPr="00883724">
        <w:t xml:space="preserve"> 2006)</w:t>
      </w:r>
      <w:r w:rsidR="000C00E6">
        <w:t>.</w:t>
      </w:r>
      <w:r>
        <w:rPr>
          <w:lang w:val="en-GB"/>
        </w:rPr>
        <w:t xml:space="preserve"> Since then, </w:t>
      </w:r>
      <w:r w:rsidR="00900DD9">
        <w:rPr>
          <w:lang w:val="en-GB"/>
        </w:rPr>
        <w:t>as many as 20 African countries have been classified in the “stall” category at some point</w:t>
      </w:r>
      <w:r w:rsidR="00263C55">
        <w:rPr>
          <w:lang w:val="en-GB"/>
        </w:rPr>
        <w:t xml:space="preserve"> in </w:t>
      </w:r>
      <w:r w:rsidR="009C50C1">
        <w:rPr>
          <w:lang w:val="en-GB"/>
        </w:rPr>
        <w:t xml:space="preserve">a </w:t>
      </w:r>
      <w:r w:rsidR="00263C55">
        <w:rPr>
          <w:lang w:val="en-GB"/>
        </w:rPr>
        <w:t xml:space="preserve">dozen </w:t>
      </w:r>
      <w:r w:rsidR="009C50C1">
        <w:rPr>
          <w:lang w:val="en-GB"/>
        </w:rPr>
        <w:t xml:space="preserve">or so </w:t>
      </w:r>
      <w:r w:rsidR="00263C55">
        <w:rPr>
          <w:lang w:val="en-GB"/>
        </w:rPr>
        <w:t xml:space="preserve">papers </w:t>
      </w:r>
      <w:r w:rsidR="00743970" w:rsidRPr="00743970">
        <w:t>(</w:t>
      </w:r>
      <w:proofErr w:type="spellStart"/>
      <w:r w:rsidR="00743970" w:rsidRPr="00743970">
        <w:t>Agyei</w:t>
      </w:r>
      <w:proofErr w:type="spellEnd"/>
      <w:r w:rsidR="00743970" w:rsidRPr="00743970">
        <w:t xml:space="preserve">-Mensah 2007; </w:t>
      </w:r>
      <w:proofErr w:type="spellStart"/>
      <w:r w:rsidR="00743970" w:rsidRPr="00743970">
        <w:t>Bongaarts</w:t>
      </w:r>
      <w:proofErr w:type="spellEnd"/>
      <w:r w:rsidR="00743970" w:rsidRPr="00743970">
        <w:t xml:space="preserve"> 2008; </w:t>
      </w:r>
      <w:proofErr w:type="spellStart"/>
      <w:r w:rsidR="00743970" w:rsidRPr="00743970">
        <w:t>Ezeh</w:t>
      </w:r>
      <w:proofErr w:type="spellEnd"/>
      <w:r w:rsidR="00743970" w:rsidRPr="00743970">
        <w:t xml:space="preserve">, </w:t>
      </w:r>
      <w:proofErr w:type="spellStart"/>
      <w:r w:rsidR="00743970" w:rsidRPr="00743970">
        <w:t>Mberu</w:t>
      </w:r>
      <w:proofErr w:type="spellEnd"/>
      <w:r w:rsidR="00743970" w:rsidRPr="00743970">
        <w:t xml:space="preserve">, and </w:t>
      </w:r>
      <w:proofErr w:type="spellStart"/>
      <w:r w:rsidR="00743970" w:rsidRPr="00743970">
        <w:t>Emina</w:t>
      </w:r>
      <w:proofErr w:type="spellEnd"/>
      <w:r w:rsidR="00743970" w:rsidRPr="00743970">
        <w:t xml:space="preserve"> 2009; </w:t>
      </w:r>
      <w:proofErr w:type="spellStart"/>
      <w:r w:rsidR="00743970" w:rsidRPr="00743970">
        <w:t>Garenne</w:t>
      </w:r>
      <w:proofErr w:type="spellEnd"/>
      <w:r w:rsidR="00743970" w:rsidRPr="00743970">
        <w:t xml:space="preserve"> 2008, 2011; </w:t>
      </w:r>
      <w:proofErr w:type="spellStart"/>
      <w:r w:rsidR="00743970" w:rsidRPr="00743970">
        <w:t>Goujon</w:t>
      </w:r>
      <w:proofErr w:type="spellEnd"/>
      <w:r w:rsidR="00743970" w:rsidRPr="00743970">
        <w:t xml:space="preserve">, Lutz, and KC 2015; </w:t>
      </w:r>
      <w:proofErr w:type="spellStart"/>
      <w:r w:rsidR="00743970" w:rsidRPr="00743970">
        <w:t>Kebede</w:t>
      </w:r>
      <w:proofErr w:type="spellEnd"/>
      <w:r w:rsidR="00743970" w:rsidRPr="00743970">
        <w:t xml:space="preserve">, </w:t>
      </w:r>
      <w:proofErr w:type="spellStart"/>
      <w:r w:rsidR="00743970" w:rsidRPr="00743970">
        <w:t>Goujon</w:t>
      </w:r>
      <w:proofErr w:type="spellEnd"/>
      <w:r w:rsidR="00743970" w:rsidRPr="00743970">
        <w:t xml:space="preserve">, and Lutz 2019; </w:t>
      </w:r>
      <w:proofErr w:type="spellStart"/>
      <w:r w:rsidR="00743970" w:rsidRPr="00743970">
        <w:t>Machiyama</w:t>
      </w:r>
      <w:proofErr w:type="spellEnd"/>
      <w:r w:rsidR="00743970" w:rsidRPr="00743970">
        <w:t xml:space="preserve"> 2010; </w:t>
      </w:r>
      <w:r w:rsidR="007B188C" w:rsidRPr="00743970">
        <w:t>Moultrie et al. 2008</w:t>
      </w:r>
      <w:r w:rsidR="007B188C">
        <w:t xml:space="preserve">; </w:t>
      </w:r>
      <w:proofErr w:type="spellStart"/>
      <w:r w:rsidR="00743970" w:rsidRPr="00743970">
        <w:t>Sayi</w:t>
      </w:r>
      <w:proofErr w:type="spellEnd"/>
      <w:r w:rsidR="00743970" w:rsidRPr="00743970">
        <w:t xml:space="preserve"> 2015; Schoumaker 2009; Shapiro and </w:t>
      </w:r>
      <w:proofErr w:type="spellStart"/>
      <w:r w:rsidR="00743970" w:rsidRPr="00743970">
        <w:t>Gebreselass</w:t>
      </w:r>
      <w:r w:rsidR="007B188C">
        <w:t>ie</w:t>
      </w:r>
      <w:proofErr w:type="spellEnd"/>
      <w:r w:rsidR="007B188C">
        <w:t xml:space="preserve"> 2008; </w:t>
      </w:r>
      <w:proofErr w:type="spellStart"/>
      <w:r w:rsidR="007B188C">
        <w:t>Westoff</w:t>
      </w:r>
      <w:proofErr w:type="spellEnd"/>
      <w:r w:rsidR="007B188C">
        <w:t xml:space="preserve"> and Cross 2006</w:t>
      </w:r>
      <w:r w:rsidR="00743970" w:rsidRPr="00743970">
        <w:t>)</w:t>
      </w:r>
      <w:r w:rsidR="00900DD9">
        <w:rPr>
          <w:lang w:val="en-GB"/>
        </w:rPr>
        <w:t xml:space="preserve">. </w:t>
      </w:r>
      <w:r w:rsidR="009C50C1">
        <w:rPr>
          <w:lang w:val="en-GB"/>
        </w:rPr>
        <w:t xml:space="preserve">However, </w:t>
      </w:r>
      <w:r w:rsidR="00900DD9">
        <w:rPr>
          <w:lang w:val="en-GB"/>
        </w:rPr>
        <w:t xml:space="preserve">a variety of definitions </w:t>
      </w:r>
      <w:r w:rsidR="0086702F">
        <w:rPr>
          <w:lang w:val="en-GB"/>
        </w:rPr>
        <w:t xml:space="preserve">and methods </w:t>
      </w:r>
      <w:r w:rsidR="00900DD9">
        <w:rPr>
          <w:lang w:val="en-GB"/>
        </w:rPr>
        <w:t>have been used</w:t>
      </w:r>
      <w:r w:rsidR="00C357F6">
        <w:rPr>
          <w:lang w:val="en-GB"/>
        </w:rPr>
        <w:t xml:space="preserve"> and, as a result, </w:t>
      </w:r>
      <w:r w:rsidR="0086702F">
        <w:rPr>
          <w:lang w:val="en-GB"/>
        </w:rPr>
        <w:t xml:space="preserve">the list of stalls is far from consistent across authors. For instance Goujon et al. </w:t>
      </w:r>
      <w:r w:rsidR="00883724" w:rsidRPr="00883724">
        <w:t>(2015)</w:t>
      </w:r>
      <w:r w:rsidR="0086702F">
        <w:rPr>
          <w:lang w:val="en-GB"/>
        </w:rPr>
        <w:t xml:space="preserve">, using United Nations Population Division </w:t>
      </w:r>
      <w:r w:rsidR="00967FB7">
        <w:rPr>
          <w:lang w:val="en-GB"/>
        </w:rPr>
        <w:t>d</w:t>
      </w:r>
      <w:r w:rsidR="0086702F">
        <w:rPr>
          <w:lang w:val="en-GB"/>
        </w:rPr>
        <w:t xml:space="preserve">ata, identified 10 stalls in sub-Saharan Africa, including in countries that were not identified with </w:t>
      </w:r>
      <w:r w:rsidR="0086702F" w:rsidRPr="003A77F8">
        <w:rPr>
          <w:lang w:val="en-GB"/>
        </w:rPr>
        <w:t>stalled transitions before (e.g.</w:t>
      </w:r>
      <w:r w:rsidR="00967FB7">
        <w:rPr>
          <w:lang w:val="en-GB"/>
        </w:rPr>
        <w:t>,</w:t>
      </w:r>
      <w:r w:rsidR="0086702F" w:rsidRPr="003A77F8">
        <w:rPr>
          <w:lang w:val="en-GB"/>
        </w:rPr>
        <w:t xml:space="preserve"> Congo, </w:t>
      </w:r>
      <w:r w:rsidR="00ED10A2">
        <w:rPr>
          <w:lang w:val="en-GB"/>
        </w:rPr>
        <w:t xml:space="preserve">The </w:t>
      </w:r>
      <w:r w:rsidR="0086702F" w:rsidRPr="003A77F8">
        <w:rPr>
          <w:lang w:val="en-GB"/>
        </w:rPr>
        <w:t xml:space="preserve">Gambia, Mali, Niger). Their list also did not include Ghana, one of the countries </w:t>
      </w:r>
      <w:r w:rsidR="00903D83" w:rsidRPr="003A77F8">
        <w:rPr>
          <w:lang w:val="en-GB"/>
        </w:rPr>
        <w:t xml:space="preserve">frequently mentioned by other authors </w:t>
      </w:r>
      <w:r w:rsidR="00883724" w:rsidRPr="00883724">
        <w:t>(Agyei-Mensah 2007; Bongaarts 2006; Garenne 2008; Shapiro and Gebreselassie 2008)</w:t>
      </w:r>
      <w:r w:rsidR="00903D83" w:rsidRPr="003A77F8">
        <w:rPr>
          <w:lang w:val="en-GB"/>
        </w:rPr>
        <w:t xml:space="preserve">. The quality of </w:t>
      </w:r>
      <w:r w:rsidR="009E427A">
        <w:rPr>
          <w:lang w:val="en-GB"/>
        </w:rPr>
        <w:t xml:space="preserve">some surveys </w:t>
      </w:r>
      <w:r w:rsidR="00903D83" w:rsidRPr="003A77F8">
        <w:rPr>
          <w:lang w:val="en-GB"/>
        </w:rPr>
        <w:t xml:space="preserve">(mainly </w:t>
      </w:r>
      <w:r w:rsidR="009E427A">
        <w:rPr>
          <w:lang w:val="en-GB"/>
        </w:rPr>
        <w:t>from the Demographic and Health Surveys program</w:t>
      </w:r>
      <w:r w:rsidR="00903D83" w:rsidRPr="003A77F8">
        <w:rPr>
          <w:lang w:val="en-GB"/>
        </w:rPr>
        <w:t xml:space="preserve">) for identifying the stalls data has also been questioned </w:t>
      </w:r>
      <w:r w:rsidR="00883724" w:rsidRPr="00883724">
        <w:t>(Machiyama 2010; Schoumaker 2009, 2014)</w:t>
      </w:r>
      <w:r w:rsidR="00903D83" w:rsidRPr="003A77F8">
        <w:rPr>
          <w:lang w:val="en-GB"/>
        </w:rPr>
        <w:t>. All in all, the number of stalls</w:t>
      </w:r>
      <w:r w:rsidR="00967FB7">
        <w:rPr>
          <w:lang w:val="en-GB"/>
        </w:rPr>
        <w:t xml:space="preserve"> and</w:t>
      </w:r>
      <w:r w:rsidR="00903D83" w:rsidRPr="003A77F8">
        <w:rPr>
          <w:lang w:val="en-GB"/>
        </w:rPr>
        <w:t xml:space="preserve"> the countries and time periods in which they occurred are not well established, and whether</w:t>
      </w:r>
      <w:r w:rsidR="00903D83">
        <w:rPr>
          <w:lang w:val="en-GB"/>
        </w:rPr>
        <w:t xml:space="preserve"> stalls in sub-Saharan Africa are pervasive or not </w:t>
      </w:r>
      <w:r w:rsidR="0087559A">
        <w:rPr>
          <w:lang w:val="en-GB"/>
        </w:rPr>
        <w:t xml:space="preserve">remains </w:t>
      </w:r>
      <w:r w:rsidR="00903D83">
        <w:rPr>
          <w:lang w:val="en-GB"/>
        </w:rPr>
        <w:t>an open question.</w:t>
      </w:r>
    </w:p>
    <w:p w14:paraId="79DCF19B" w14:textId="263C0A2A" w:rsidR="008F6842" w:rsidRDefault="00903D83" w:rsidP="009A6913">
      <w:pPr>
        <w:jc w:val="left"/>
        <w:rPr>
          <w:lang w:val="en-GB"/>
        </w:rPr>
      </w:pPr>
      <w:r>
        <w:rPr>
          <w:lang w:val="en-GB"/>
        </w:rPr>
        <w:lastRenderedPageBreak/>
        <w:t xml:space="preserve">The demographic dynamics and the causes of the stalls have also been addressed in several papers, but with mixed results </w:t>
      </w:r>
      <w:r w:rsidR="00320E32" w:rsidRPr="00320E32">
        <w:t>(Bongaarts 2006; Ezeh, Mberu, and Emina 2009; Garenne 2008; Goujon, Lutz, and KC 2015; Sandron 2010; Shapiro and Gebreselassie 2008; Westoff and Cross 2006; Moultrie et al. 2008; Kebede, Goujon, and Lutz 2019)</w:t>
      </w:r>
      <w:r w:rsidRPr="00BC37C4">
        <w:t xml:space="preserve">. </w:t>
      </w:r>
      <w:r>
        <w:t xml:space="preserve">While stalls in contraceptive use and in demand for children have been found to be correlated to fertility stalls </w:t>
      </w:r>
      <w:r w:rsidR="00943572">
        <w:t xml:space="preserve">in </w:t>
      </w:r>
      <w:r>
        <w:t xml:space="preserve">Kenya and other Eastern African countries </w:t>
      </w:r>
      <w:r w:rsidR="00743970" w:rsidRPr="00743970">
        <w:t>(Ezeh, Mberu, and Emina 2009; Westoff and Cross 2006)</w:t>
      </w:r>
      <w:r w:rsidR="003B7B86">
        <w:t xml:space="preserve">, </w:t>
      </w:r>
      <w:r w:rsidR="00C357F6">
        <w:t xml:space="preserve">this was not found </w:t>
      </w:r>
      <w:r w:rsidR="003B7B86">
        <w:t xml:space="preserve">in other pieces of research </w:t>
      </w:r>
      <w:r w:rsidR="00883724" w:rsidRPr="00883724">
        <w:t>(Askew, Maggwa, and Obare 201</w:t>
      </w:r>
      <w:r w:rsidR="007A0321">
        <w:t>7</w:t>
      </w:r>
      <w:r w:rsidR="00883724" w:rsidRPr="00883724">
        <w:t>; Shapiro and Gebreselassie 2008)</w:t>
      </w:r>
      <w:r w:rsidR="003B7B86">
        <w:t xml:space="preserve">. </w:t>
      </w:r>
      <w:r w:rsidR="00D73FCF">
        <w:t xml:space="preserve">Links between </w:t>
      </w:r>
      <w:r w:rsidR="00990C38">
        <w:rPr>
          <w:lang w:val="en-GB"/>
        </w:rPr>
        <w:t xml:space="preserve">socioeconomic changes </w:t>
      </w:r>
      <w:r w:rsidR="00D73FCF">
        <w:rPr>
          <w:lang w:val="en-GB"/>
        </w:rPr>
        <w:t xml:space="preserve">and stalls are also not unambiguous. Bongaarts </w:t>
      </w:r>
      <w:r w:rsidR="00D73FCF" w:rsidRPr="00D73FCF">
        <w:t>(2006)</w:t>
      </w:r>
      <w:r w:rsidR="00D73FCF">
        <w:rPr>
          <w:lang w:val="en-GB"/>
        </w:rPr>
        <w:t>, in a study that included Ghana and Kenya as well as non-African countries, found</w:t>
      </w:r>
      <w:r w:rsidR="00967FB7">
        <w:rPr>
          <w:lang w:val="en-GB"/>
        </w:rPr>
        <w:t xml:space="preserve"> that</w:t>
      </w:r>
      <w:r w:rsidR="00D73FCF">
        <w:rPr>
          <w:lang w:val="en-GB"/>
        </w:rPr>
        <w:t xml:space="preserve"> the fertility stall in Kenya was accompanied by a levelling off of GDP per capita, schooling</w:t>
      </w:r>
      <w:r w:rsidR="00967FB7">
        <w:rPr>
          <w:lang w:val="en-GB"/>
        </w:rPr>
        <w:t>,</w:t>
      </w:r>
      <w:r w:rsidR="00D73FCF">
        <w:rPr>
          <w:lang w:val="en-GB"/>
        </w:rPr>
        <w:t xml:space="preserve"> and child mortality; in contrast, the stall was not related to change</w:t>
      </w:r>
      <w:r w:rsidR="008F6842">
        <w:rPr>
          <w:lang w:val="en-GB"/>
        </w:rPr>
        <w:t>s</w:t>
      </w:r>
      <w:r w:rsidR="00D73FCF">
        <w:rPr>
          <w:lang w:val="en-GB"/>
        </w:rPr>
        <w:t xml:space="preserve"> in GDP in Ghana.</w:t>
      </w:r>
      <w:r w:rsidR="009E766B">
        <w:rPr>
          <w:lang w:val="en-GB"/>
        </w:rPr>
        <w:t xml:space="preserve"> </w:t>
      </w:r>
      <w:r w:rsidR="008F6842">
        <w:rPr>
          <w:lang w:val="en-GB"/>
        </w:rPr>
        <w:t xml:space="preserve">Shapiro and Gebreselassie </w:t>
      </w:r>
      <w:r w:rsidR="008F6842" w:rsidRPr="008F6842">
        <w:t>(2008)</w:t>
      </w:r>
      <w:r w:rsidR="008F6842">
        <w:rPr>
          <w:lang w:val="en-GB"/>
        </w:rPr>
        <w:t xml:space="preserve"> also </w:t>
      </w:r>
      <w:r w:rsidR="00967FB7">
        <w:rPr>
          <w:lang w:val="en-GB"/>
        </w:rPr>
        <w:t xml:space="preserve">obtained </w:t>
      </w:r>
      <w:r w:rsidR="008F6842">
        <w:rPr>
          <w:lang w:val="en-GB"/>
        </w:rPr>
        <w:t xml:space="preserve">mixed results. </w:t>
      </w:r>
      <w:r w:rsidR="000E533C">
        <w:rPr>
          <w:lang w:val="en-GB"/>
        </w:rPr>
        <w:t xml:space="preserve">Slow improvements in education and in child mortality were correlated with stalls; however, </w:t>
      </w:r>
      <w:r w:rsidR="008F6842">
        <w:t>more rapid growth in GDP per capita was associated with slower declines in fertility</w:t>
      </w:r>
      <w:r w:rsidR="009A6913">
        <w:t>, and could thus not account for stalling fertility</w:t>
      </w:r>
      <w:r w:rsidR="008F6842">
        <w:t xml:space="preserve">. </w:t>
      </w:r>
      <w:r w:rsidR="000E533C">
        <w:t xml:space="preserve">More recently, Kebede et al. </w:t>
      </w:r>
      <w:r w:rsidR="000E533C" w:rsidRPr="000E533C">
        <w:t>(2019)</w:t>
      </w:r>
      <w:r w:rsidR="000E533C">
        <w:t xml:space="preserve"> found that part of the stalls in sub-Saharan Africa could be explained by stalls in the improvement of female education</w:t>
      </w:r>
      <w:r w:rsidR="009A6913">
        <w:t xml:space="preserve">, but </w:t>
      </w:r>
      <w:r w:rsidR="00967FB7">
        <w:t xml:space="preserve">another </w:t>
      </w:r>
      <w:r w:rsidR="009A6913">
        <w:t xml:space="preserve">part </w:t>
      </w:r>
      <w:r w:rsidR="00967FB7">
        <w:t xml:space="preserve">was </w:t>
      </w:r>
      <w:r w:rsidR="009A6913">
        <w:t xml:space="preserve">not accounted for by these trends in education. All in all, these mixed results indicate that further research is needed to better understand these stalls. They also suggest that measurement errors in fertility may be an issue: </w:t>
      </w:r>
      <w:r w:rsidR="00C357F6">
        <w:rPr>
          <w:lang w:val="en-GB"/>
        </w:rPr>
        <w:t xml:space="preserve">some of the stalls </w:t>
      </w:r>
      <w:r w:rsidR="009A6913">
        <w:rPr>
          <w:lang w:val="en-GB"/>
        </w:rPr>
        <w:t>included in thes</w:t>
      </w:r>
      <w:r w:rsidR="00ED10A2">
        <w:rPr>
          <w:lang w:val="en-GB"/>
        </w:rPr>
        <w:t>e studies cannot be accounted for by trends in socioeconomic factors</w:t>
      </w:r>
      <w:r w:rsidR="004C0B8C">
        <w:rPr>
          <w:lang w:val="en-GB"/>
        </w:rPr>
        <w:t xml:space="preserve"> and may not have occurred</w:t>
      </w:r>
      <w:r w:rsidR="00ED10A2">
        <w:rPr>
          <w:lang w:val="en-GB"/>
        </w:rPr>
        <w:t>.</w:t>
      </w:r>
      <w:r w:rsidR="009A6913">
        <w:rPr>
          <w:lang w:val="en-GB"/>
        </w:rPr>
        <w:t xml:space="preserve">  </w:t>
      </w:r>
    </w:p>
    <w:p w14:paraId="2C2DD086" w14:textId="77777777" w:rsidR="001B3F14" w:rsidRDefault="001B3F14" w:rsidP="00925A7A">
      <w:pPr>
        <w:jc w:val="left"/>
        <w:rPr>
          <w:lang w:val="en-GB"/>
        </w:rPr>
      </w:pPr>
      <w:r>
        <w:rPr>
          <w:lang w:val="en-GB"/>
        </w:rPr>
        <w:t xml:space="preserve">The objective of this paper is to </w:t>
      </w:r>
      <w:r w:rsidR="003C2FBC">
        <w:rPr>
          <w:lang w:val="en-GB"/>
        </w:rPr>
        <w:t>identify</w:t>
      </w:r>
      <w:r w:rsidR="003A09D2">
        <w:rPr>
          <w:lang w:val="en-GB"/>
        </w:rPr>
        <w:t xml:space="preserve"> where and when </w:t>
      </w:r>
      <w:r w:rsidR="00E65844">
        <w:rPr>
          <w:lang w:val="en-GB"/>
        </w:rPr>
        <w:t>fertility st</w:t>
      </w:r>
      <w:r w:rsidR="002431DC">
        <w:rPr>
          <w:lang w:val="en-GB"/>
        </w:rPr>
        <w:t>a</w:t>
      </w:r>
      <w:r>
        <w:rPr>
          <w:lang w:val="en-GB"/>
        </w:rPr>
        <w:t xml:space="preserve">lls </w:t>
      </w:r>
      <w:r w:rsidR="003A09D2">
        <w:rPr>
          <w:lang w:val="en-GB"/>
        </w:rPr>
        <w:t xml:space="preserve">have occurred </w:t>
      </w:r>
      <w:r>
        <w:rPr>
          <w:lang w:val="en-GB"/>
        </w:rPr>
        <w:t xml:space="preserve">in sub-Saharan Africa. </w:t>
      </w:r>
      <w:r w:rsidR="003A09D2">
        <w:rPr>
          <w:lang w:val="en-GB"/>
        </w:rPr>
        <w:t xml:space="preserve">We combine a variety of data sources and methods </w:t>
      </w:r>
      <w:r w:rsidR="004F7F2A" w:rsidRPr="003A77F8">
        <w:rPr>
          <w:lang w:val="en-GB"/>
        </w:rPr>
        <w:t xml:space="preserve">to identify cases of fertility stalls </w:t>
      </w:r>
      <w:r w:rsidR="00C357F6">
        <w:rPr>
          <w:lang w:val="en-GB"/>
        </w:rPr>
        <w:t xml:space="preserve">strongly </w:t>
      </w:r>
      <w:r w:rsidR="004F7F2A" w:rsidRPr="003A77F8">
        <w:rPr>
          <w:lang w:val="en-GB"/>
        </w:rPr>
        <w:t xml:space="preserve">supported by the data. </w:t>
      </w:r>
      <w:r w:rsidR="00E65844">
        <w:rPr>
          <w:lang w:val="en-GB"/>
        </w:rPr>
        <w:t xml:space="preserve">As discussed by Gendell </w:t>
      </w:r>
      <w:r w:rsidR="00FA713E" w:rsidRPr="00FA713E">
        <w:t>(1985)</w:t>
      </w:r>
      <w:r w:rsidR="00E65844">
        <w:rPr>
          <w:lang w:val="en-GB"/>
        </w:rPr>
        <w:t xml:space="preserve"> in the early </w:t>
      </w:r>
      <w:r w:rsidR="00E65844">
        <w:rPr>
          <w:lang w:val="en-GB"/>
        </w:rPr>
        <w:lastRenderedPageBreak/>
        <w:t>work on fertility stalls, w</w:t>
      </w:r>
      <w:r w:rsidR="009A6913">
        <w:rPr>
          <w:lang w:val="en-GB"/>
        </w:rPr>
        <w:t xml:space="preserve">e suggest that further research should </w:t>
      </w:r>
      <w:r w:rsidR="004F7F2A" w:rsidRPr="003A77F8">
        <w:rPr>
          <w:lang w:val="en-GB"/>
        </w:rPr>
        <w:t xml:space="preserve">focus on these confirmed cases of fertility stalls </w:t>
      </w:r>
      <w:r w:rsidR="009A6913">
        <w:rPr>
          <w:lang w:val="en-GB"/>
        </w:rPr>
        <w:t xml:space="preserve">to reach </w:t>
      </w:r>
      <w:r w:rsidR="004F7F2A" w:rsidRPr="003A77F8">
        <w:rPr>
          <w:lang w:val="en-GB"/>
        </w:rPr>
        <w:t>firmer conclusions about the causes of the stalls.</w:t>
      </w:r>
      <w:r w:rsidR="00D73FCF">
        <w:rPr>
          <w:lang w:val="en-GB"/>
        </w:rPr>
        <w:t xml:space="preserve"> </w:t>
      </w:r>
    </w:p>
    <w:p w14:paraId="74A566D7" w14:textId="77777777" w:rsidR="00D60826" w:rsidRDefault="00D60826" w:rsidP="00925A7A">
      <w:pPr>
        <w:pStyle w:val="Titre1"/>
        <w:jc w:val="left"/>
      </w:pPr>
      <w:r>
        <w:t>Data</w:t>
      </w:r>
      <w:r w:rsidR="00E55CB2">
        <w:t xml:space="preserve"> and methods</w:t>
      </w:r>
    </w:p>
    <w:p w14:paraId="08672EDC" w14:textId="19B6AFFB" w:rsidR="00A378ED" w:rsidRPr="00113E9A" w:rsidRDefault="003A09D2" w:rsidP="00925A7A">
      <w:pPr>
        <w:jc w:val="left"/>
        <w:rPr>
          <w:b/>
          <w:bCs/>
          <w:caps/>
          <w:sz w:val="16"/>
          <w:szCs w:val="18"/>
        </w:rPr>
      </w:pPr>
      <w:r w:rsidRPr="00A40776">
        <w:rPr>
          <w:lang w:val="en-GB"/>
        </w:rPr>
        <w:t xml:space="preserve">Over the last few years, </w:t>
      </w:r>
      <w:r w:rsidR="00E97540">
        <w:rPr>
          <w:lang w:val="en-GB"/>
        </w:rPr>
        <w:t>new d</w:t>
      </w:r>
      <w:r w:rsidRPr="00A40776">
        <w:rPr>
          <w:lang w:val="en-GB"/>
        </w:rPr>
        <w:t xml:space="preserve">emographic </w:t>
      </w:r>
      <w:r w:rsidR="00E97540">
        <w:rPr>
          <w:lang w:val="en-GB"/>
        </w:rPr>
        <w:t>s</w:t>
      </w:r>
      <w:r w:rsidRPr="00A40776">
        <w:rPr>
          <w:lang w:val="en-GB"/>
        </w:rPr>
        <w:t>urveys have been conducted in man</w:t>
      </w:r>
      <w:r w:rsidR="005E1895">
        <w:rPr>
          <w:lang w:val="en-GB"/>
        </w:rPr>
        <w:t>y sub-Saharan African countries, cover</w:t>
      </w:r>
      <w:r w:rsidR="00E97540">
        <w:rPr>
          <w:lang w:val="en-GB"/>
        </w:rPr>
        <w:t>ing</w:t>
      </w:r>
      <w:r w:rsidR="005E1895" w:rsidRPr="00A40776">
        <w:rPr>
          <w:lang w:val="en-GB"/>
        </w:rPr>
        <w:t xml:space="preserve"> a larger set of countries </w:t>
      </w:r>
      <w:r w:rsidR="00E97540">
        <w:rPr>
          <w:lang w:val="en-GB"/>
        </w:rPr>
        <w:t xml:space="preserve">and longer time periods </w:t>
      </w:r>
      <w:r w:rsidR="005E1895" w:rsidRPr="00A40776">
        <w:rPr>
          <w:lang w:val="en-GB"/>
        </w:rPr>
        <w:t>than in previous studies</w:t>
      </w:r>
      <w:r w:rsidR="00E97540">
        <w:rPr>
          <w:lang w:val="en-GB"/>
        </w:rPr>
        <w:t xml:space="preserve"> on fertility stalls</w:t>
      </w:r>
      <w:r w:rsidR="005E1895" w:rsidRPr="00A40776">
        <w:rPr>
          <w:lang w:val="en-GB"/>
        </w:rPr>
        <w:t>.</w:t>
      </w:r>
      <w:r w:rsidR="005E1895">
        <w:rPr>
          <w:lang w:val="en-GB"/>
        </w:rPr>
        <w:t xml:space="preserve"> </w:t>
      </w:r>
      <w:r>
        <w:rPr>
          <w:lang w:val="en-GB"/>
        </w:rPr>
        <w:t xml:space="preserve">Census data – which have rarely been used in the analysis of stalls </w:t>
      </w:r>
      <w:r w:rsidR="00883724" w:rsidRPr="00883724">
        <w:t>(Garenne et al. 2015)</w:t>
      </w:r>
      <w:r>
        <w:rPr>
          <w:lang w:val="en-GB"/>
        </w:rPr>
        <w:t xml:space="preserve"> – have </w:t>
      </w:r>
      <w:r w:rsidR="00E97540">
        <w:rPr>
          <w:lang w:val="en-GB"/>
        </w:rPr>
        <w:t>also become increasingly available</w:t>
      </w:r>
      <w:r w:rsidR="004F7F2A">
        <w:rPr>
          <w:lang w:val="en-GB"/>
        </w:rPr>
        <w:t xml:space="preserve">. </w:t>
      </w:r>
      <w:r w:rsidR="00E97540">
        <w:rPr>
          <w:lang w:val="en-GB"/>
        </w:rPr>
        <w:t>In this paper, we make use of t</w:t>
      </w:r>
      <w:r w:rsidR="005E1895">
        <w:rPr>
          <w:lang w:val="en-GB"/>
        </w:rPr>
        <w:t xml:space="preserve">he following data sources </w:t>
      </w:r>
      <w:r w:rsidR="005E1895">
        <w:t>(</w:t>
      </w:r>
      <w:r w:rsidR="005E1895">
        <w:fldChar w:fldCharType="begin"/>
      </w:r>
      <w:r w:rsidR="005E1895">
        <w:instrText xml:space="preserve"> REF _Ref517092683 \h </w:instrText>
      </w:r>
      <w:r w:rsidR="00925A7A">
        <w:instrText xml:space="preserve"> \* MERGEFORMAT </w:instrText>
      </w:r>
      <w:r w:rsidR="005E1895">
        <w:fldChar w:fldCharType="separate"/>
      </w:r>
      <w:r w:rsidR="00943572" w:rsidRPr="00113E9A">
        <w:rPr>
          <w:rStyle w:val="Rfrenceintense"/>
        </w:rPr>
        <w:t xml:space="preserve">Table </w:t>
      </w:r>
      <w:r w:rsidR="00943572">
        <w:rPr>
          <w:rStyle w:val="Rfrenceintense"/>
          <w:noProof/>
        </w:rPr>
        <w:t>1</w:t>
      </w:r>
      <w:r w:rsidR="005E1895">
        <w:fldChar w:fldCharType="end"/>
      </w:r>
      <w:r w:rsidR="005E1895">
        <w:t>)</w:t>
      </w:r>
      <w:r w:rsidR="004C0B8C">
        <w:t>:</w:t>
      </w:r>
    </w:p>
    <w:p w14:paraId="797D5EFF" w14:textId="16066F86" w:rsidR="00185DC9" w:rsidRDefault="00FA2485" w:rsidP="00925A7A">
      <w:pPr>
        <w:pStyle w:val="Paragraphedeliste"/>
        <w:numPr>
          <w:ilvl w:val="0"/>
          <w:numId w:val="16"/>
        </w:numPr>
        <w:jc w:val="left"/>
      </w:pPr>
      <w:r>
        <w:t xml:space="preserve">Standard </w:t>
      </w:r>
      <w:r w:rsidR="00185DC9" w:rsidRPr="00087109">
        <w:t xml:space="preserve">Demographic and Health Surveys </w:t>
      </w:r>
      <w:r w:rsidR="00185DC9">
        <w:t xml:space="preserve">(DHS) </w:t>
      </w:r>
      <w:r w:rsidR="00185DC9" w:rsidRPr="00087109">
        <w:t xml:space="preserve">conducted in </w:t>
      </w:r>
      <w:r w:rsidR="004C0B8C">
        <w:t>s</w:t>
      </w:r>
      <w:r w:rsidR="00185DC9" w:rsidRPr="00087109">
        <w:t>ub-Saharan Africa since the 1980s.</w:t>
      </w:r>
      <w:r w:rsidR="00185DC9">
        <w:t xml:space="preserve"> </w:t>
      </w:r>
      <w:r w:rsidR="00E97540">
        <w:t xml:space="preserve">In </w:t>
      </w:r>
      <w:r w:rsidR="00E97540" w:rsidRPr="003A77F8">
        <w:t>total, 12</w:t>
      </w:r>
      <w:r w:rsidR="00E24E7D">
        <w:t>9</w:t>
      </w:r>
      <w:r w:rsidR="00E97540" w:rsidRPr="003A77F8">
        <w:t xml:space="preserve"> surveys are </w:t>
      </w:r>
      <w:r w:rsidR="00E97540">
        <w:t>used in t</w:t>
      </w:r>
      <w:r>
        <w:t>he 3</w:t>
      </w:r>
      <w:r w:rsidR="00E24E7D">
        <w:t>2</w:t>
      </w:r>
      <w:r>
        <w:t xml:space="preserve"> countries where at least </w:t>
      </w:r>
      <w:r w:rsidR="004C0B8C">
        <w:t>two</w:t>
      </w:r>
      <w:r>
        <w:t xml:space="preserve"> surveys have been conducted</w:t>
      </w:r>
      <w:r w:rsidRPr="003A77F8">
        <w:t>.</w:t>
      </w:r>
      <w:r w:rsidR="00F076AC" w:rsidRPr="003A77F8">
        <w:t xml:space="preserve"> Fertility trends are estimated both fr</w:t>
      </w:r>
      <w:r w:rsidR="003A77F8">
        <w:t>o</w:t>
      </w:r>
      <w:r w:rsidR="00F076AC" w:rsidRPr="003A77F8">
        <w:t>m published estimates and with full birth histories</w:t>
      </w:r>
      <w:r w:rsidR="00784510" w:rsidRPr="003A77F8">
        <w:t>.</w:t>
      </w:r>
    </w:p>
    <w:p w14:paraId="59B25BDD" w14:textId="6A4CBA6A" w:rsidR="00FA2485" w:rsidRDefault="00FA2485" w:rsidP="00925A7A">
      <w:pPr>
        <w:pStyle w:val="Paragraphedeliste"/>
        <w:numPr>
          <w:ilvl w:val="0"/>
          <w:numId w:val="16"/>
        </w:numPr>
        <w:jc w:val="left"/>
      </w:pPr>
      <w:r>
        <w:t xml:space="preserve">Other surveys conducted as part of the DHS program: Malaria </w:t>
      </w:r>
      <w:r w:rsidR="004C0B8C">
        <w:t>I</w:t>
      </w:r>
      <w:r>
        <w:t>ndicator Surveys (MIS), A</w:t>
      </w:r>
      <w:r w:rsidR="004C0B8C">
        <w:t>IDS I</w:t>
      </w:r>
      <w:r>
        <w:t xml:space="preserve">ndicator </w:t>
      </w:r>
      <w:r w:rsidRPr="00320E32">
        <w:t>Surveys (AIS), DHS interim surveys</w:t>
      </w:r>
      <w:r w:rsidR="00381288" w:rsidRPr="00320E32">
        <w:t>, DHS special surveys</w:t>
      </w:r>
      <w:r w:rsidRPr="00320E32">
        <w:t xml:space="preserve">. These surveys are treated separately, as their questionnaires are usually different from the standard DHS. </w:t>
      </w:r>
      <w:r w:rsidR="00381288" w:rsidRPr="00320E32">
        <w:t xml:space="preserve">In total, </w:t>
      </w:r>
      <w:r w:rsidR="00E24E7D" w:rsidRPr="00320E32">
        <w:t>34</w:t>
      </w:r>
      <w:r w:rsidR="00381288" w:rsidRPr="00320E32">
        <w:t xml:space="preserve"> surveys in 1</w:t>
      </w:r>
      <w:r w:rsidR="00E24E7D" w:rsidRPr="00320E32">
        <w:t>8</w:t>
      </w:r>
      <w:r w:rsidR="00381288" w:rsidRPr="00320E32">
        <w:t xml:space="preserve"> countries are</w:t>
      </w:r>
      <w:r w:rsidR="00381288">
        <w:t xml:space="preserve"> used. In many </w:t>
      </w:r>
      <w:r w:rsidR="00E97540">
        <w:t>countries</w:t>
      </w:r>
      <w:r w:rsidR="00381288">
        <w:t xml:space="preserve">, </w:t>
      </w:r>
      <w:r w:rsidR="00E97540">
        <w:t xml:space="preserve">only one of these surveys is available and fertility can only be estimated for the few years preceding </w:t>
      </w:r>
      <w:r w:rsidR="004C0B8C">
        <w:t>it</w:t>
      </w:r>
      <w:r w:rsidR="00E97540">
        <w:t xml:space="preserve">. As a result, </w:t>
      </w:r>
      <w:r w:rsidR="00381288">
        <w:t>fertility trends cannot</w:t>
      </w:r>
      <w:r w:rsidR="007B188C">
        <w:t xml:space="preserve"> usually</w:t>
      </w:r>
      <w:r w:rsidR="00381288">
        <w:t xml:space="preserve"> be computed</w:t>
      </w:r>
      <w:r w:rsidR="00E97540">
        <w:t xml:space="preserve"> from these surveys, </w:t>
      </w:r>
      <w:r w:rsidR="00381288">
        <w:t xml:space="preserve">but they </w:t>
      </w:r>
      <w:r w:rsidR="00C957CE">
        <w:t xml:space="preserve">provide </w:t>
      </w:r>
      <w:r w:rsidR="00F076AC">
        <w:t xml:space="preserve">relevant </w:t>
      </w:r>
      <w:r w:rsidR="00C957CE">
        <w:t>information to evaluate fertility trends in combination with other sources</w:t>
      </w:r>
      <w:r w:rsidR="00381288">
        <w:t xml:space="preserve">.  </w:t>
      </w:r>
    </w:p>
    <w:p w14:paraId="2A7B179C" w14:textId="04CD9C1A" w:rsidR="00185DC9" w:rsidRDefault="00381288" w:rsidP="00925A7A">
      <w:pPr>
        <w:pStyle w:val="Paragraphedeliste"/>
        <w:numPr>
          <w:ilvl w:val="0"/>
          <w:numId w:val="16"/>
        </w:numPr>
        <w:jc w:val="left"/>
      </w:pPr>
      <w:r>
        <w:t xml:space="preserve">Full birth histories from </w:t>
      </w:r>
      <w:r w:rsidR="00185DC9">
        <w:t xml:space="preserve">Multiple </w:t>
      </w:r>
      <w:r w:rsidR="00F076AC">
        <w:t>I</w:t>
      </w:r>
      <w:r w:rsidR="00185DC9">
        <w:t xml:space="preserve">ndicator </w:t>
      </w:r>
      <w:r w:rsidR="00F076AC">
        <w:t>C</w:t>
      </w:r>
      <w:r w:rsidR="00185DC9">
        <w:t xml:space="preserve">luster </w:t>
      </w:r>
      <w:r w:rsidR="00F076AC">
        <w:t>S</w:t>
      </w:r>
      <w:r w:rsidR="00185DC9">
        <w:t>urveys (MICS)</w:t>
      </w:r>
      <w:r>
        <w:t xml:space="preserve"> are available in 1</w:t>
      </w:r>
      <w:r w:rsidR="00655495">
        <w:t>1</w:t>
      </w:r>
      <w:r>
        <w:t xml:space="preserve"> </w:t>
      </w:r>
      <w:r w:rsidR="00F076AC">
        <w:t xml:space="preserve">sub-Saharan African </w:t>
      </w:r>
      <w:r>
        <w:t>countries (1</w:t>
      </w:r>
      <w:r w:rsidR="00655495">
        <w:t>3</w:t>
      </w:r>
      <w:r w:rsidR="004F435F">
        <w:t xml:space="preserve"> surveys)</w:t>
      </w:r>
      <w:r w:rsidR="004C0B8C">
        <w:t>. These</w:t>
      </w:r>
      <w:r w:rsidR="004F435F">
        <w:t xml:space="preserve"> are used to </w:t>
      </w:r>
      <w:r w:rsidR="006F2585">
        <w:t xml:space="preserve">reconstruct </w:t>
      </w:r>
      <w:r w:rsidR="004F435F">
        <w:t xml:space="preserve">fertility trends </w:t>
      </w:r>
      <w:r w:rsidR="006F2585">
        <w:t>(</w:t>
      </w:r>
      <w:r w:rsidR="00F076AC">
        <w:t xml:space="preserve">as with DHS, </w:t>
      </w:r>
      <w:r w:rsidR="00655495">
        <w:t xml:space="preserve">details below). Total fertility rates computed from the number of births in the last 12 months are </w:t>
      </w:r>
      <w:r w:rsidR="00ED10A2">
        <w:t xml:space="preserve">also </w:t>
      </w:r>
      <w:r w:rsidR="00655495">
        <w:t>available in eight countries</w:t>
      </w:r>
      <w:r w:rsidR="00A14DC3">
        <w:t>.</w:t>
      </w:r>
    </w:p>
    <w:p w14:paraId="4F458BD8" w14:textId="1C986940" w:rsidR="00F95535" w:rsidRDefault="00381288" w:rsidP="00F95535">
      <w:pPr>
        <w:pStyle w:val="Paragraphedeliste"/>
        <w:numPr>
          <w:ilvl w:val="0"/>
          <w:numId w:val="16"/>
        </w:numPr>
        <w:jc w:val="left"/>
      </w:pPr>
      <w:r>
        <w:lastRenderedPageBreak/>
        <w:t xml:space="preserve">Census data </w:t>
      </w:r>
      <w:r w:rsidR="006F2585">
        <w:t>are also used</w:t>
      </w:r>
      <w:r w:rsidR="0020128C">
        <w:t xml:space="preserve"> </w:t>
      </w:r>
      <w:r w:rsidR="00320E32">
        <w:t xml:space="preserve">for </w:t>
      </w:r>
      <w:r w:rsidR="0020128C">
        <w:t>the 32 countries</w:t>
      </w:r>
      <w:r w:rsidR="006F2585">
        <w:t xml:space="preserve">. They provide two types of information: (1) </w:t>
      </w:r>
      <w:r w:rsidR="004C0B8C">
        <w:t>t</w:t>
      </w:r>
      <w:r w:rsidR="006F2585">
        <w:t xml:space="preserve">otal fertility </w:t>
      </w:r>
      <w:r w:rsidR="00BA01E5">
        <w:t xml:space="preserve">rates computed </w:t>
      </w:r>
      <w:r>
        <w:t xml:space="preserve">from the number of births in the last 12 months, and </w:t>
      </w:r>
      <w:r w:rsidR="006F2585">
        <w:t xml:space="preserve">(2) </w:t>
      </w:r>
      <w:r w:rsidR="00F9347B">
        <w:t>data on age</w:t>
      </w:r>
      <w:r w:rsidR="004C0B8C">
        <w:t>–</w:t>
      </w:r>
      <w:r w:rsidR="00F9347B">
        <w:t xml:space="preserve">sex </w:t>
      </w:r>
      <w:r>
        <w:t>structure</w:t>
      </w:r>
      <w:r w:rsidR="006F2585">
        <w:t xml:space="preserve">, </w:t>
      </w:r>
      <w:r w:rsidR="004F435F">
        <w:t xml:space="preserve">used for </w:t>
      </w:r>
      <w:r w:rsidR="006F2585">
        <w:t xml:space="preserve">the </w:t>
      </w:r>
      <w:r>
        <w:t>reconstruct</w:t>
      </w:r>
      <w:r w:rsidR="006F2585">
        <w:t xml:space="preserve">ion of </w:t>
      </w:r>
      <w:r>
        <w:t>fertility trends with reverse</w:t>
      </w:r>
      <w:r w:rsidR="00947217">
        <w:t>-</w:t>
      </w:r>
      <w:r>
        <w:t>survival methods</w:t>
      </w:r>
      <w:r w:rsidR="0020128C">
        <w:t xml:space="preserve"> (details below)</w:t>
      </w:r>
      <w:r>
        <w:t xml:space="preserve">. </w:t>
      </w:r>
      <w:r w:rsidR="00F9347B">
        <w:t xml:space="preserve">These data </w:t>
      </w:r>
      <w:r w:rsidR="006F2585">
        <w:t>are obtained from census reports</w:t>
      </w:r>
      <w:r w:rsidR="00F9347B">
        <w:t xml:space="preserve">, </w:t>
      </w:r>
      <w:r w:rsidR="00A14DC3">
        <w:t>the United Nations Statistics Division</w:t>
      </w:r>
      <w:r w:rsidR="00F9347B">
        <w:t xml:space="preserve">, and </w:t>
      </w:r>
      <w:r w:rsidR="00F076AC">
        <w:t>samples of microdata</w:t>
      </w:r>
      <w:r w:rsidR="004C0B8C">
        <w:t>.</w:t>
      </w:r>
      <w:r w:rsidR="003418A1" w:rsidRPr="006035D1">
        <w:rPr>
          <w:rStyle w:val="Appelnotedebasdep"/>
        </w:rPr>
        <w:footnoteReference w:id="1"/>
      </w:r>
      <w:r w:rsidR="007B188C">
        <w:t xml:space="preserve"> In total, data from 86 censuses are used.</w:t>
      </w:r>
    </w:p>
    <w:p w14:paraId="3A12C4F2" w14:textId="77777777" w:rsidR="00A43D69" w:rsidRPr="007E785B" w:rsidRDefault="008C00FB" w:rsidP="008C00FB">
      <w:pPr>
        <w:jc w:val="center"/>
      </w:pPr>
      <w:r>
        <w:t>[</w:t>
      </w:r>
      <w:r>
        <w:fldChar w:fldCharType="begin"/>
      </w:r>
      <w:r>
        <w:instrText xml:space="preserve"> REF _Ref517092683 \h  \* MERGEFORMAT </w:instrText>
      </w:r>
      <w:r>
        <w:fldChar w:fldCharType="separate"/>
      </w:r>
      <w:r w:rsidR="00943572" w:rsidRPr="00113E9A">
        <w:rPr>
          <w:rStyle w:val="Rfrenceintense"/>
        </w:rPr>
        <w:t xml:space="preserve">Table </w:t>
      </w:r>
      <w:r w:rsidR="00943572">
        <w:rPr>
          <w:rStyle w:val="Rfrenceintense"/>
          <w:noProof/>
        </w:rPr>
        <w:t>1</w:t>
      </w:r>
      <w:r>
        <w:fldChar w:fldCharType="end"/>
      </w:r>
      <w:r>
        <w:t>]</w:t>
      </w:r>
    </w:p>
    <w:p w14:paraId="7D1A4BD5" w14:textId="685EAB5F" w:rsidR="00B22719" w:rsidRDefault="00185DC9" w:rsidP="00925A7A">
      <w:pPr>
        <w:jc w:val="left"/>
      </w:pPr>
      <w:r>
        <w:t xml:space="preserve">Fertility trends are </w:t>
      </w:r>
      <w:r w:rsidR="00B22719">
        <w:t xml:space="preserve">estimated in different </w:t>
      </w:r>
      <w:r w:rsidR="00B3612E">
        <w:t>ways</w:t>
      </w:r>
      <w:r w:rsidR="007B58B3">
        <w:t xml:space="preserve"> and consistency across the</w:t>
      </w:r>
      <w:r w:rsidR="00B22719">
        <w:t xml:space="preserve"> sources </w:t>
      </w:r>
      <w:r w:rsidR="007B58B3">
        <w:t xml:space="preserve">and methods </w:t>
      </w:r>
      <w:r w:rsidR="000C7AA3">
        <w:t xml:space="preserve">are </w:t>
      </w:r>
      <w:r w:rsidR="00F31B8A">
        <w:t xml:space="preserve">assessed through </w:t>
      </w:r>
      <w:r w:rsidR="004F435F">
        <w:t>figures</w:t>
      </w:r>
      <w:r w:rsidR="00B22719">
        <w:t xml:space="preserve"> and simple indices (see section 4). </w:t>
      </w:r>
    </w:p>
    <w:p w14:paraId="74DC1500" w14:textId="66EAA3DA" w:rsidR="00A14DC3" w:rsidRDefault="00A14DC3" w:rsidP="00925A7A">
      <w:pPr>
        <w:pStyle w:val="Paragraphedeliste"/>
        <w:numPr>
          <w:ilvl w:val="0"/>
          <w:numId w:val="16"/>
        </w:numPr>
        <w:jc w:val="left"/>
      </w:pPr>
      <w:r>
        <w:t xml:space="preserve">Fertility trends are first established using </w:t>
      </w:r>
      <w:r w:rsidR="00F31B8A">
        <w:t xml:space="preserve">the </w:t>
      </w:r>
      <w:r>
        <w:t>total fertility rates (15</w:t>
      </w:r>
      <w:r w:rsidR="000C7AA3">
        <w:t>–</w:t>
      </w:r>
      <w:r>
        <w:t xml:space="preserve">49) </w:t>
      </w:r>
      <w:r w:rsidR="00F31B8A">
        <w:t xml:space="preserve">measured over the last three years, </w:t>
      </w:r>
      <w:r>
        <w:t xml:space="preserve">as published in DHS reports and on </w:t>
      </w:r>
      <w:proofErr w:type="spellStart"/>
      <w:r>
        <w:t>STATcompiler</w:t>
      </w:r>
      <w:proofErr w:type="spellEnd"/>
      <w:r w:rsidR="000C7AA3">
        <w:t>.</w:t>
      </w:r>
      <w:r w:rsidRPr="006035D1">
        <w:rPr>
          <w:rStyle w:val="Appelnotedebasdep"/>
        </w:rPr>
        <w:footnoteReference w:id="2"/>
      </w:r>
      <w:r w:rsidR="000C7AA3">
        <w:t xml:space="preserve">  These are </w:t>
      </w:r>
      <w:r>
        <w:t>used to identify a list of fertility stalls</w:t>
      </w:r>
      <w:r w:rsidR="007B58B3">
        <w:t xml:space="preserve"> in the same way </w:t>
      </w:r>
      <w:r>
        <w:t xml:space="preserve">it is </w:t>
      </w:r>
      <w:r w:rsidR="007B58B3">
        <w:t xml:space="preserve">usually </w:t>
      </w:r>
      <w:r>
        <w:t xml:space="preserve">done </w:t>
      </w:r>
      <w:r w:rsidR="00883724" w:rsidRPr="00883724">
        <w:t>(Bongaarts 2008; Shapiro and Gebreselassie 2008)</w:t>
      </w:r>
      <w:r>
        <w:t xml:space="preserve">. These stalls are described in the next section. </w:t>
      </w:r>
    </w:p>
    <w:p w14:paraId="3A1E8D1F" w14:textId="55A0F0C9" w:rsidR="004F435F" w:rsidRDefault="00002F2E" w:rsidP="004F435F">
      <w:pPr>
        <w:pStyle w:val="Paragraphedeliste"/>
        <w:numPr>
          <w:ilvl w:val="0"/>
          <w:numId w:val="16"/>
        </w:numPr>
        <w:jc w:val="left"/>
      </w:pPr>
      <w:r w:rsidRPr="00771341">
        <w:t>Fertility trends are</w:t>
      </w:r>
      <w:r>
        <w:t xml:space="preserve"> </w:t>
      </w:r>
      <w:r w:rsidR="00B3612E">
        <w:t xml:space="preserve">next </w:t>
      </w:r>
      <w:r>
        <w:t xml:space="preserve">reconstructed from </w:t>
      </w:r>
      <w:r w:rsidR="006340AA">
        <w:t xml:space="preserve">DHS </w:t>
      </w:r>
      <w:r>
        <w:t xml:space="preserve">birth histories by pooling </w:t>
      </w:r>
      <w:r w:rsidR="00D77CE3">
        <w:t xml:space="preserve">two or more </w:t>
      </w:r>
      <w:r>
        <w:t>surveys</w:t>
      </w:r>
      <w:r w:rsidR="00A645C4">
        <w:t>.</w:t>
      </w:r>
      <w:r>
        <w:t xml:space="preserve"> </w:t>
      </w:r>
      <w:r w:rsidR="004F435F">
        <w:t>With good</w:t>
      </w:r>
      <w:r w:rsidR="000C7AA3">
        <w:t>-</w:t>
      </w:r>
      <w:r w:rsidR="004F435F">
        <w:t xml:space="preserve">quality data, reconstructed trends from DHS birth histories and trends obtained with published TFRs should match </w:t>
      </w:r>
      <w:r w:rsidR="004F435F" w:rsidRPr="00883724">
        <w:t>(Schoumaker 2014)</w:t>
      </w:r>
      <w:r w:rsidR="004F435F">
        <w:t>. In contrast, data</w:t>
      </w:r>
      <w:r w:rsidR="00D4580D">
        <w:t>-</w:t>
      </w:r>
      <w:r w:rsidR="004F435F">
        <w:t xml:space="preserve">quality issues such as displacements of births, omissions of births, or differences in sample implementation may lead to inconsistencies across methods. </w:t>
      </w:r>
      <w:r w:rsidR="00F67AE4" w:rsidRPr="00C822DB">
        <w:t xml:space="preserve">The method relies on creating tables of births and exposure by </w:t>
      </w:r>
      <w:r w:rsidR="00D4580D">
        <w:t>five</w:t>
      </w:r>
      <w:r w:rsidR="00F67AE4" w:rsidRPr="00C822DB">
        <w:t xml:space="preserve">-year age groups and by single calendar </w:t>
      </w:r>
      <w:r w:rsidR="00F67AE4" w:rsidRPr="00C822DB">
        <w:lastRenderedPageBreak/>
        <w:t xml:space="preserve">year using the birth history data in each survey. </w:t>
      </w:r>
      <w:r w:rsidR="00F67AE4">
        <w:t>T</w:t>
      </w:r>
      <w:r w:rsidR="00F67AE4" w:rsidRPr="00C822DB">
        <w:t xml:space="preserve">ables </w:t>
      </w:r>
      <w:r w:rsidR="00F67AE4">
        <w:t xml:space="preserve">from several surveys </w:t>
      </w:r>
      <w:r w:rsidR="00322652">
        <w:t>are appended, and</w:t>
      </w:r>
      <w:r w:rsidR="00F67AE4" w:rsidRPr="00C822DB">
        <w:t xml:space="preserve"> </w:t>
      </w:r>
      <w:r w:rsidR="00322652">
        <w:t>age-specific f</w:t>
      </w:r>
      <w:r w:rsidR="00F67AE4" w:rsidRPr="00C822DB">
        <w:t xml:space="preserve">ertility rates are estimated with Poisson regression, with age and time periods included as independent variables </w:t>
      </w:r>
      <w:r w:rsidR="00883724" w:rsidRPr="00883724">
        <w:t>(Schoumaker 2013b)</w:t>
      </w:r>
      <w:r w:rsidR="00D4580D">
        <w:t>.</w:t>
      </w:r>
      <w:r w:rsidR="00F67AE4" w:rsidRPr="006035D1">
        <w:rPr>
          <w:rStyle w:val="Appelnotedebasdep"/>
        </w:rPr>
        <w:footnoteReference w:id="3"/>
      </w:r>
      <w:r w:rsidR="00F67AE4" w:rsidRPr="00C822DB">
        <w:t xml:space="preserve"> </w:t>
      </w:r>
      <w:r w:rsidR="00F67AE4">
        <w:t xml:space="preserve">Restricted cubic splines are used to smooth fertility trends and identify stalls </w:t>
      </w:r>
      <w:r w:rsidR="00883724" w:rsidRPr="00883724">
        <w:t>(Schoumaker 2013a, 2014)</w:t>
      </w:r>
      <w:r w:rsidR="00062040">
        <w:t>.</w:t>
      </w:r>
      <w:r w:rsidR="00F67AE4" w:rsidRPr="006035D1">
        <w:rPr>
          <w:rStyle w:val="Appelnotedebasdep"/>
        </w:rPr>
        <w:footnoteReference w:id="4"/>
      </w:r>
      <w:r w:rsidR="00F67AE4">
        <w:t xml:space="preserve"> </w:t>
      </w:r>
    </w:p>
    <w:p w14:paraId="4118BC4C" w14:textId="1A423FF0" w:rsidR="008952A1" w:rsidRDefault="00841CD6" w:rsidP="004F435F">
      <w:pPr>
        <w:pStyle w:val="Paragraphedeliste"/>
        <w:numPr>
          <w:ilvl w:val="0"/>
          <w:numId w:val="16"/>
        </w:numPr>
        <w:jc w:val="left"/>
      </w:pPr>
      <w:r>
        <w:t xml:space="preserve">The same method is used with </w:t>
      </w:r>
      <w:r w:rsidR="008952A1">
        <w:t>full birth histories available in MICS surveys</w:t>
      </w:r>
      <w:r w:rsidR="00062040">
        <w:t>.</w:t>
      </w:r>
      <w:r w:rsidRPr="006035D1">
        <w:rPr>
          <w:rStyle w:val="Appelnotedebasdep"/>
        </w:rPr>
        <w:footnoteReference w:id="5"/>
      </w:r>
      <w:r w:rsidR="008952A1">
        <w:t xml:space="preserve"> In most countries, only one </w:t>
      </w:r>
      <w:r w:rsidR="00412C6D">
        <w:t xml:space="preserve">MICS </w:t>
      </w:r>
      <w:r w:rsidR="008952A1">
        <w:t xml:space="preserve">is available, and surveys are thus not pooled together; in two countries (Zimbabwe and Malawi), </w:t>
      </w:r>
      <w:r>
        <w:t>two surveys are pooled together.</w:t>
      </w:r>
    </w:p>
    <w:p w14:paraId="6CFC87DF" w14:textId="51CE2BD4" w:rsidR="008952A1" w:rsidRDefault="008952A1" w:rsidP="00925A7A">
      <w:pPr>
        <w:pStyle w:val="Paragraphedeliste"/>
        <w:numPr>
          <w:ilvl w:val="0"/>
          <w:numId w:val="16"/>
        </w:numPr>
        <w:jc w:val="left"/>
      </w:pPr>
      <w:r>
        <w:t>In Malaria Indicator Surveys (MIS)</w:t>
      </w:r>
      <w:r w:rsidR="00412C6D">
        <w:t xml:space="preserve">, DHS interim </w:t>
      </w:r>
      <w:r w:rsidR="00D32E34">
        <w:t xml:space="preserve">or special </w:t>
      </w:r>
      <w:r w:rsidR="00412C6D">
        <w:t xml:space="preserve">surveys, </w:t>
      </w:r>
      <w:r>
        <w:t xml:space="preserve">and </w:t>
      </w:r>
      <w:r w:rsidR="00296D2F">
        <w:t>AIDS I</w:t>
      </w:r>
      <w:r>
        <w:t xml:space="preserve">ndicator </w:t>
      </w:r>
      <w:r w:rsidR="00296D2F">
        <w:t>S</w:t>
      </w:r>
      <w:r>
        <w:t>urveys (AIS)</w:t>
      </w:r>
      <w:r w:rsidR="00412C6D">
        <w:t xml:space="preserve">, TFRs are usually computed for the </w:t>
      </w:r>
      <w:r w:rsidR="00296D2F">
        <w:t>three</w:t>
      </w:r>
      <w:r>
        <w:t xml:space="preserve"> years preceding the survey; in </w:t>
      </w:r>
      <w:r w:rsidR="00841CD6">
        <w:t xml:space="preserve">a few </w:t>
      </w:r>
      <w:r w:rsidR="00294EA2">
        <w:t>of these surveys</w:t>
      </w:r>
      <w:r>
        <w:t xml:space="preserve">, </w:t>
      </w:r>
      <w:r w:rsidR="00412C6D">
        <w:t xml:space="preserve">full birth histories are available, and </w:t>
      </w:r>
      <w:r>
        <w:t xml:space="preserve">fertility can be reconstructed for the </w:t>
      </w:r>
      <w:r w:rsidR="00412C6D">
        <w:t xml:space="preserve">last 15 years using the same method as </w:t>
      </w:r>
      <w:r w:rsidR="00ED10A2">
        <w:t xml:space="preserve">with </w:t>
      </w:r>
      <w:r w:rsidR="00412C6D">
        <w:t xml:space="preserve">the </w:t>
      </w:r>
      <w:r w:rsidR="00ED10A2">
        <w:t xml:space="preserve">standard </w:t>
      </w:r>
      <w:r w:rsidR="00841CD6">
        <w:t>DHS</w:t>
      </w:r>
      <w:r w:rsidR="00412C6D">
        <w:t>.</w:t>
      </w:r>
    </w:p>
    <w:p w14:paraId="2EF5752B" w14:textId="1A2663E5" w:rsidR="00D32E34" w:rsidRDefault="00841CD6" w:rsidP="00925A7A">
      <w:pPr>
        <w:pStyle w:val="Paragraphedeliste"/>
        <w:numPr>
          <w:ilvl w:val="0"/>
          <w:numId w:val="16"/>
        </w:numPr>
        <w:jc w:val="left"/>
      </w:pPr>
      <w:r>
        <w:t>Age</w:t>
      </w:r>
      <w:r w:rsidR="007E672C">
        <w:t>–</w:t>
      </w:r>
      <w:r w:rsidR="00D32E34">
        <w:t>sex structures from census data are used to reconstruct fertility trends using reverse</w:t>
      </w:r>
      <w:r w:rsidR="00947217">
        <w:t>-</w:t>
      </w:r>
      <w:r w:rsidR="00D32E34">
        <w:t xml:space="preserve">survival methods </w:t>
      </w:r>
      <w:r w:rsidR="00883724" w:rsidRPr="00883724">
        <w:t>(</w:t>
      </w:r>
      <w:proofErr w:type="spellStart"/>
      <w:r w:rsidR="00883724" w:rsidRPr="00883724">
        <w:t>Spoorenberg</w:t>
      </w:r>
      <w:proofErr w:type="spellEnd"/>
      <w:r w:rsidR="00883724" w:rsidRPr="00883724">
        <w:t xml:space="preserve"> 2014; </w:t>
      </w:r>
      <w:proofErr w:type="spellStart"/>
      <w:r w:rsidR="00883724" w:rsidRPr="00883724">
        <w:t>Tim</w:t>
      </w:r>
      <w:r w:rsidR="005214D3" w:rsidRPr="00326D73">
        <w:t>æ</w:t>
      </w:r>
      <w:r w:rsidR="00883724" w:rsidRPr="00883724">
        <w:t>us</w:t>
      </w:r>
      <w:proofErr w:type="spellEnd"/>
      <w:r w:rsidR="00883724" w:rsidRPr="00883724">
        <w:t xml:space="preserve"> and Moultrie 2013)</w:t>
      </w:r>
      <w:r w:rsidR="00D32E34">
        <w:t>. This method relies on the age distribution of children (</w:t>
      </w:r>
      <w:r>
        <w:t>ages 0</w:t>
      </w:r>
      <w:r w:rsidR="007E672C">
        <w:t>–</w:t>
      </w:r>
      <w:r>
        <w:t>14</w:t>
      </w:r>
      <w:r w:rsidR="00D32E34">
        <w:t>) by single years of age, and on the numbers of women by five</w:t>
      </w:r>
      <w:r w:rsidR="007E672C">
        <w:t>-</w:t>
      </w:r>
      <w:r w:rsidR="00D32E34">
        <w:t>year age groups (</w:t>
      </w:r>
      <w:r>
        <w:t xml:space="preserve">among women ages </w:t>
      </w:r>
      <w:r w:rsidR="00D32E34">
        <w:t>15</w:t>
      </w:r>
      <w:r w:rsidR="007E672C">
        <w:t>–</w:t>
      </w:r>
      <w:r w:rsidR="00D32E34">
        <w:t>64).</w:t>
      </w:r>
      <w:r w:rsidR="0016083F">
        <w:t xml:space="preserve"> Both children and women are reverse</w:t>
      </w:r>
      <w:r w:rsidR="00E52BEC">
        <w:t>-</w:t>
      </w:r>
      <w:r w:rsidR="0016083F">
        <w:t>survived to estimate the number of births and exposure by calendar year.</w:t>
      </w:r>
      <w:r w:rsidR="00D32E34">
        <w:t xml:space="preserve"> The spreadsheet provided by </w:t>
      </w:r>
      <w:proofErr w:type="spellStart"/>
      <w:r w:rsidR="009C2ABD" w:rsidRPr="00883724">
        <w:t>Tim</w:t>
      </w:r>
      <w:r w:rsidR="005214D3" w:rsidRPr="00326D73">
        <w:t>æ</w:t>
      </w:r>
      <w:r w:rsidR="009C2ABD" w:rsidRPr="00883724">
        <w:t>us</w:t>
      </w:r>
      <w:proofErr w:type="spellEnd"/>
      <w:r w:rsidR="00D32E34">
        <w:t xml:space="preserve"> and Moultrie </w:t>
      </w:r>
      <w:r w:rsidR="00883724" w:rsidRPr="00883724">
        <w:t>(2013)</w:t>
      </w:r>
      <w:r w:rsidR="00D32E34">
        <w:t xml:space="preserve"> is used to apply the reverse</w:t>
      </w:r>
      <w:r w:rsidR="00947217">
        <w:t>-</w:t>
      </w:r>
      <w:r w:rsidR="00D32E34">
        <w:t>survival method, using the survival probabilities from the United Nations available in the spreadsheet</w:t>
      </w:r>
      <w:r w:rsidR="00294EA2">
        <w:t xml:space="preserve"> (from the 2015 World Population Prospects)</w:t>
      </w:r>
      <w:r w:rsidR="00D32E34">
        <w:t xml:space="preserve">. Yearly </w:t>
      </w:r>
      <w:r w:rsidR="007B188C">
        <w:t xml:space="preserve">fertility </w:t>
      </w:r>
      <w:r w:rsidR="00D32E34">
        <w:lastRenderedPageBreak/>
        <w:t xml:space="preserve">estimates for the </w:t>
      </w:r>
      <w:r w:rsidR="00E52BEC">
        <w:t xml:space="preserve">15 </w:t>
      </w:r>
      <w:r w:rsidR="00D32E34">
        <w:t>years preceding each census are obtained; restricted cubic splines are used to smooth fertility trends obtained with this method and to identify periods with no significant decline</w:t>
      </w:r>
      <w:r w:rsidR="00E52BEC">
        <w:t>.</w:t>
      </w:r>
      <w:r w:rsidR="00D32E34" w:rsidRPr="006035D1">
        <w:rPr>
          <w:rStyle w:val="Appelnotedebasdep"/>
        </w:rPr>
        <w:footnoteReference w:id="6"/>
      </w:r>
      <w:r w:rsidR="00D32E34">
        <w:t xml:space="preserve"> </w:t>
      </w:r>
      <w:r w:rsidR="004F435F">
        <w:t xml:space="preserve">The reverse-survival </w:t>
      </w:r>
      <w:r w:rsidR="00294EA2">
        <w:t xml:space="preserve">method hinges strongly on the quality of the enumeration of children by age, which can be an issue in developing countries. </w:t>
      </w:r>
      <w:r w:rsidR="00560350">
        <w:t xml:space="preserve">The use of splines reduces the impact </w:t>
      </w:r>
      <w:r w:rsidR="00E52BEC">
        <w:t xml:space="preserve">on fertility trends </w:t>
      </w:r>
      <w:r w:rsidR="00560350">
        <w:t xml:space="preserve">of heaping on specific ages, but data quality may lead to erratic trends in some cases. </w:t>
      </w:r>
      <w:r w:rsidR="00294EA2">
        <w:t xml:space="preserve">While we do not expect </w:t>
      </w:r>
      <w:r w:rsidR="00560350">
        <w:t xml:space="preserve">these estimates </w:t>
      </w:r>
      <w:r w:rsidR="00294EA2">
        <w:t xml:space="preserve">to match other estimates perfectly, high consistency with other sources would support the existence or absence of stalls. </w:t>
      </w:r>
    </w:p>
    <w:p w14:paraId="199CAF8A" w14:textId="2E64EB18" w:rsidR="00D32E34" w:rsidRPr="00C00D43" w:rsidRDefault="00B207C7" w:rsidP="00925A7A">
      <w:pPr>
        <w:pStyle w:val="Paragraphedeliste"/>
        <w:numPr>
          <w:ilvl w:val="0"/>
          <w:numId w:val="16"/>
        </w:numPr>
        <w:jc w:val="left"/>
      </w:pPr>
      <w:r>
        <w:t>Census data are also used to estimate t</w:t>
      </w:r>
      <w:r w:rsidR="00D32E34">
        <w:t xml:space="preserve">otal fertility rates based on births in the </w:t>
      </w:r>
      <w:r>
        <w:t xml:space="preserve">last </w:t>
      </w:r>
      <w:r w:rsidR="00D32E34">
        <w:t xml:space="preserve">12 months. </w:t>
      </w:r>
      <w:r>
        <w:t xml:space="preserve">These estimates are probably less reliable than </w:t>
      </w:r>
      <w:r w:rsidR="00E52BEC">
        <w:t xml:space="preserve">those based on </w:t>
      </w:r>
      <w:r>
        <w:t>other sources, as the number of</w:t>
      </w:r>
      <w:r w:rsidR="00D32E34">
        <w:t xml:space="preserve"> births in the last 12 months is often underreported</w:t>
      </w:r>
      <w:r w:rsidR="00A37703">
        <w:t xml:space="preserve"> </w:t>
      </w:r>
      <w:r w:rsidR="008C00FB" w:rsidRPr="008C00FB">
        <w:t>(Moultrie 2013)</w:t>
      </w:r>
      <w:r>
        <w:t xml:space="preserve">. The way they may have been adjusted by the analysts is also not always clear from the census reports. </w:t>
      </w:r>
      <w:r w:rsidR="00294EA2">
        <w:t>Again, w</w:t>
      </w:r>
      <w:r w:rsidR="00D32E34">
        <w:t>e do not expect these estimates to match estimates from other sources</w:t>
      </w:r>
      <w:r>
        <w:t xml:space="preserve">, but </w:t>
      </w:r>
      <w:r w:rsidR="00D77CE3">
        <w:t xml:space="preserve">they </w:t>
      </w:r>
      <w:r w:rsidR="00CA285B">
        <w:t xml:space="preserve">may </w:t>
      </w:r>
      <w:r w:rsidR="00D32E34">
        <w:t xml:space="preserve">provide further evidence for stalls identified with other data sources and </w:t>
      </w:r>
      <w:r w:rsidR="00D32E34" w:rsidRPr="00C00D43">
        <w:t xml:space="preserve">methods. </w:t>
      </w:r>
    </w:p>
    <w:p w14:paraId="2B070E76" w14:textId="3933FC3E" w:rsidR="00CA285B" w:rsidRDefault="00CA285B" w:rsidP="00CA285B">
      <w:pPr>
        <w:jc w:val="left"/>
      </w:pPr>
      <w:r w:rsidRPr="00C00D43">
        <w:t xml:space="preserve">Two other sets of fertility estimates are presented on the </w:t>
      </w:r>
      <w:r w:rsidR="00940255" w:rsidRPr="00C00D43">
        <w:t>figures</w:t>
      </w:r>
      <w:r w:rsidRPr="00C00D43">
        <w:t xml:space="preserve">. </w:t>
      </w:r>
      <w:r w:rsidR="00F95535" w:rsidRPr="00C00D43">
        <w:t>Contrary to the estimates discussed before, t</w:t>
      </w:r>
      <w:r w:rsidRPr="00C00D43">
        <w:t xml:space="preserve">hey are not used to </w:t>
      </w:r>
      <w:r w:rsidR="00F95535" w:rsidRPr="00C00D43">
        <w:t>identify the fertility stalls</w:t>
      </w:r>
      <w:r w:rsidR="007B441E">
        <w:t xml:space="preserve">, </w:t>
      </w:r>
      <w:r w:rsidR="00ED10A2">
        <w:t xml:space="preserve">but </w:t>
      </w:r>
      <w:r w:rsidR="00F95535" w:rsidRPr="00C00D43">
        <w:t xml:space="preserve">we will refer to these estimates in the </w:t>
      </w:r>
      <w:r w:rsidR="00C00D43">
        <w:t xml:space="preserve">discussion of the </w:t>
      </w:r>
      <w:r w:rsidR="00C00D43" w:rsidRPr="00C00D43">
        <w:t>results</w:t>
      </w:r>
      <w:r w:rsidR="00C00D43">
        <w:t xml:space="preserve"> and in the conclusion</w:t>
      </w:r>
      <w:r w:rsidR="007B441E">
        <w:t>:</w:t>
      </w:r>
    </w:p>
    <w:p w14:paraId="48C289BA" w14:textId="3D27AB64" w:rsidR="00FA0C08" w:rsidRDefault="007D7C31" w:rsidP="00925A7A">
      <w:pPr>
        <w:pStyle w:val="Paragraphedeliste"/>
        <w:numPr>
          <w:ilvl w:val="0"/>
          <w:numId w:val="16"/>
        </w:numPr>
        <w:jc w:val="left"/>
      </w:pPr>
      <w:r>
        <w:t>T</w:t>
      </w:r>
      <w:r w:rsidR="00B207C7">
        <w:t xml:space="preserve">he </w:t>
      </w:r>
      <w:r w:rsidR="00E74D31">
        <w:t xml:space="preserve">revised version of the </w:t>
      </w:r>
      <w:r w:rsidR="00FA0C08">
        <w:t xml:space="preserve">Bongaarts model </w:t>
      </w:r>
      <w:r w:rsidR="00883724" w:rsidRPr="00883724">
        <w:t>(Bongaarts 2015)</w:t>
      </w:r>
      <w:r w:rsidR="00FA0C08">
        <w:t xml:space="preserve"> </w:t>
      </w:r>
      <w:r w:rsidR="00D77CE3">
        <w:t xml:space="preserve">is used </w:t>
      </w:r>
      <w:r w:rsidR="00FA0C08">
        <w:t xml:space="preserve">to </w:t>
      </w:r>
      <w:r w:rsidR="00F95535">
        <w:t xml:space="preserve">compute </w:t>
      </w:r>
      <w:r w:rsidR="00FA0C08">
        <w:t xml:space="preserve">expected fertility levels and trends from the proximate determinants </w:t>
      </w:r>
      <w:r w:rsidR="00E74D31">
        <w:t>of fertility</w:t>
      </w:r>
      <w:r w:rsidR="00D77CE3">
        <w:t xml:space="preserve"> </w:t>
      </w:r>
      <w:r w:rsidR="007E785B">
        <w:t xml:space="preserve">measured in </w:t>
      </w:r>
      <w:r w:rsidR="00D77CE3">
        <w:t>DHS</w:t>
      </w:r>
      <w:r w:rsidR="007E785B">
        <w:t xml:space="preserve"> (sexual exposure, postpartum insusceptibility, contraceptive use).</w:t>
      </w:r>
      <w:r w:rsidR="004C0B8C">
        <w:t xml:space="preserve"> </w:t>
      </w:r>
      <w:r w:rsidR="007E785B">
        <w:t xml:space="preserve">Three indices measure the fertility-reducing effect of these proximate determinants, and </w:t>
      </w:r>
      <w:r w:rsidR="007E785B">
        <w:lastRenderedPageBreak/>
        <w:t>the expected fertility level is estimated by multiplying each of these three indices</w:t>
      </w:r>
      <w:r w:rsidR="007B441E">
        <w:t xml:space="preserve"> by 15.4</w:t>
      </w:r>
      <w:r w:rsidR="007E785B">
        <w:t xml:space="preserve">. </w:t>
      </w:r>
      <w:r w:rsidR="00B97671">
        <w:t>Consistency between expected fertility from the proximate determinants and observed fertility should not be perfect, since expected f</w:t>
      </w:r>
      <w:r w:rsidR="00B97671" w:rsidRPr="00EC32E6">
        <w:t>ertility may be affected by measurement error</w:t>
      </w:r>
      <w:r w:rsidR="00B97671">
        <w:t>s in the proximate determinants</w:t>
      </w:r>
      <w:r w:rsidR="00B97671" w:rsidRPr="00EC32E6">
        <w:t xml:space="preserve"> and by </w:t>
      </w:r>
      <w:r w:rsidR="00B97671">
        <w:t xml:space="preserve">changes in </w:t>
      </w:r>
      <w:r w:rsidR="00B97671" w:rsidRPr="00EC32E6">
        <w:t>unobserved proximate determinants, especially abortion</w:t>
      </w:r>
      <w:r w:rsidR="00B97671" w:rsidRPr="00B5133E">
        <w:rPr>
          <w:rFonts w:asciiTheme="minorHAnsi" w:eastAsiaTheme="minorHAnsi" w:hAnsiTheme="minorHAnsi" w:cstheme="minorBidi"/>
          <w:sz w:val="22"/>
          <w:lang w:eastAsia="en-US"/>
        </w:rPr>
        <w:t xml:space="preserve">. </w:t>
      </w:r>
      <w:r w:rsidR="00B97671">
        <w:t>B</w:t>
      </w:r>
      <w:r w:rsidR="00FA0C08">
        <w:t xml:space="preserve">ut </w:t>
      </w:r>
      <w:r w:rsidR="00FA0C08" w:rsidRPr="00D77CE3">
        <w:t>trends</w:t>
      </w:r>
      <w:r w:rsidR="00FA0C08">
        <w:t xml:space="preserve"> in expected fertility should be fairly consistent </w:t>
      </w:r>
      <w:r w:rsidR="00FA0C08" w:rsidRPr="00D77CE3">
        <w:t>with trends</w:t>
      </w:r>
      <w:r w:rsidR="00FA0C08">
        <w:t xml:space="preserve"> in observed fertility with good</w:t>
      </w:r>
      <w:r w:rsidR="007B441E">
        <w:t>-</w:t>
      </w:r>
      <w:r w:rsidR="00FA0C08">
        <w:t xml:space="preserve">quality data. </w:t>
      </w:r>
      <w:r w:rsidR="00F95535">
        <w:t xml:space="preserve">We will refer to these estimates after identifying stalls with other sources. </w:t>
      </w:r>
    </w:p>
    <w:p w14:paraId="6A2A7BA2" w14:textId="1C30304E" w:rsidR="007E785B" w:rsidRDefault="007E785B" w:rsidP="00925A7A">
      <w:pPr>
        <w:pStyle w:val="Paragraphedeliste"/>
        <w:numPr>
          <w:ilvl w:val="0"/>
          <w:numId w:val="16"/>
        </w:numPr>
        <w:jc w:val="left"/>
      </w:pPr>
      <w:r>
        <w:t xml:space="preserve">We also present estimates from the </w:t>
      </w:r>
      <w:r w:rsidR="00F95535">
        <w:t xml:space="preserve">United Nations </w:t>
      </w:r>
      <w:r>
        <w:t>World Pop</w:t>
      </w:r>
      <w:r w:rsidR="00534488">
        <w:t xml:space="preserve">ulation Prospects </w:t>
      </w:r>
      <w:r w:rsidR="007B188C">
        <w:t>(</w:t>
      </w:r>
      <w:r w:rsidR="006E2FE5">
        <w:t xml:space="preserve">United Nations Population Division, </w:t>
      </w:r>
      <w:r w:rsidR="007B188C">
        <w:t>2017</w:t>
      </w:r>
      <w:r w:rsidR="006E2FE5">
        <w:t>b</w:t>
      </w:r>
      <w:r w:rsidR="007B188C">
        <w:t xml:space="preserve">) </w:t>
      </w:r>
      <w:r w:rsidR="00534488">
        <w:t xml:space="preserve">on the </w:t>
      </w:r>
      <w:r w:rsidR="00940255">
        <w:t>figures</w:t>
      </w:r>
      <w:r w:rsidR="00534488">
        <w:t xml:space="preserve">, as these data have also been used </w:t>
      </w:r>
      <w:r w:rsidR="00F95535">
        <w:t xml:space="preserve">to identify </w:t>
      </w:r>
      <w:r w:rsidR="00534488">
        <w:t xml:space="preserve">fertility stalls </w:t>
      </w:r>
      <w:r w:rsidR="00534488" w:rsidRPr="00534488">
        <w:t>(Goujon, Lutz, and KC 2015)</w:t>
      </w:r>
      <w:r w:rsidR="00534488">
        <w:t>.</w:t>
      </w:r>
      <w:r>
        <w:t xml:space="preserve"> These estimates</w:t>
      </w:r>
      <w:r w:rsidR="004C0B8C">
        <w:t xml:space="preserve"> </w:t>
      </w:r>
      <w:r>
        <w:t>are obtained by combining a variety of sources</w:t>
      </w:r>
      <w:r w:rsidR="00534488">
        <w:t xml:space="preserve"> </w:t>
      </w:r>
      <w:r w:rsidR="00534488" w:rsidRPr="00534488">
        <w:rPr>
          <w:szCs w:val="24"/>
        </w:rPr>
        <w:t>(Gerland, Biddlecom, and Kantorová 2017)</w:t>
      </w:r>
      <w:r w:rsidR="00534488">
        <w:t xml:space="preserve"> and are less erratic than estimates from a single source. They are not used to identify stalls in this paper, but </w:t>
      </w:r>
      <w:r w:rsidR="00F95535">
        <w:t xml:space="preserve">the </w:t>
      </w:r>
      <w:r w:rsidR="00534488">
        <w:t xml:space="preserve">stalls identified </w:t>
      </w:r>
      <w:r w:rsidR="00F95535">
        <w:t xml:space="preserve">in this paper </w:t>
      </w:r>
      <w:r w:rsidR="00534488">
        <w:t xml:space="preserve">will be </w:t>
      </w:r>
      <w:r w:rsidR="00ED10A2">
        <w:t xml:space="preserve">compared </w:t>
      </w:r>
      <w:r w:rsidR="00534488">
        <w:t xml:space="preserve">to the WPP estimates. </w:t>
      </w:r>
    </w:p>
    <w:p w14:paraId="7AD5F899" w14:textId="77777777" w:rsidR="00154D1C" w:rsidRPr="00747006" w:rsidRDefault="003121AB" w:rsidP="00925A7A">
      <w:pPr>
        <w:pStyle w:val="Titre1"/>
        <w:jc w:val="left"/>
      </w:pPr>
      <w:r w:rsidRPr="00780EF0">
        <w:t>Definin</w:t>
      </w:r>
      <w:r w:rsidR="00422245" w:rsidRPr="00780EF0">
        <w:t>g</w:t>
      </w:r>
      <w:r w:rsidRPr="00747006">
        <w:t xml:space="preserve"> </w:t>
      </w:r>
      <w:r w:rsidR="00D60826" w:rsidRPr="00747006">
        <w:t xml:space="preserve">and identifying </w:t>
      </w:r>
      <w:r w:rsidRPr="00747006">
        <w:t>stalls</w:t>
      </w:r>
    </w:p>
    <w:p w14:paraId="7DAF045B" w14:textId="400CEFE2" w:rsidR="00966D62" w:rsidRDefault="00042024" w:rsidP="00925A7A">
      <w:pPr>
        <w:jc w:val="left"/>
      </w:pPr>
      <w:r>
        <w:t xml:space="preserve">Stalls are first identified using the TFRs published in DHS reports. </w:t>
      </w:r>
      <w:r w:rsidR="00771341">
        <w:t>As discussed by Bongaarts</w:t>
      </w:r>
      <w:r w:rsidR="0013155A">
        <w:t xml:space="preserve"> </w:t>
      </w:r>
      <w:r w:rsidR="003121AB" w:rsidRPr="003121AB">
        <w:t>(2008, p.109)</w:t>
      </w:r>
      <w:r w:rsidR="00771341">
        <w:t>,</w:t>
      </w:r>
      <w:r w:rsidR="003121AB" w:rsidRPr="003121AB">
        <w:t xml:space="preserve"> “a stall implies that an ongoing fertility transition is interrupted by a period of no significant change in fertility before the country reaches the end of the transition”. Two steps are thus necessary to identify countries where fertility has been stalling</w:t>
      </w:r>
      <w:r w:rsidR="003121AB">
        <w:t xml:space="preserve">. </w:t>
      </w:r>
      <w:r w:rsidR="003121AB" w:rsidRPr="003121AB">
        <w:t xml:space="preserve">First, a criterion must be used </w:t>
      </w:r>
      <w:r w:rsidR="00452E27">
        <w:t>in</w:t>
      </w:r>
      <w:r w:rsidR="00452E27" w:rsidRPr="003121AB">
        <w:t xml:space="preserve"> </w:t>
      </w:r>
      <w:r w:rsidR="003121AB" w:rsidRPr="003121AB">
        <w:t>consider</w:t>
      </w:r>
      <w:r w:rsidR="00452E27">
        <w:t>ing</w:t>
      </w:r>
      <w:r w:rsidR="003121AB" w:rsidRPr="003121AB">
        <w:t xml:space="preserve"> that a fertility transition is underway. </w:t>
      </w:r>
      <w:r w:rsidR="003121AB">
        <w:t xml:space="preserve">Secondly, </w:t>
      </w:r>
      <w:r w:rsidR="003121AB" w:rsidRPr="003121AB">
        <w:t>one needs to measure the interruption of the decline in fertility.</w:t>
      </w:r>
      <w:r w:rsidR="003121AB">
        <w:t xml:space="preserve"> </w:t>
      </w:r>
    </w:p>
    <w:p w14:paraId="3E472426" w14:textId="5B156914" w:rsidR="00966D62" w:rsidRDefault="00966D62" w:rsidP="00925A7A">
      <w:pPr>
        <w:jc w:val="left"/>
      </w:pPr>
      <w:r w:rsidRPr="00BE7830">
        <w:t xml:space="preserve">In this paper, we consider that fertility transition is underway </w:t>
      </w:r>
      <w:r w:rsidR="00A64E03">
        <w:t xml:space="preserve">if </w:t>
      </w:r>
      <w:r w:rsidRPr="00BE7830">
        <w:t>the</w:t>
      </w:r>
      <w:r w:rsidR="00013CE1">
        <w:t xml:space="preserve"> published</w:t>
      </w:r>
      <w:r w:rsidRPr="00BE7830">
        <w:t xml:space="preserve"> TFR</w:t>
      </w:r>
      <w:r w:rsidR="00042024">
        <w:t xml:space="preserve"> (</w:t>
      </w:r>
      <w:r w:rsidR="00694F8C">
        <w:t xml:space="preserve">for the </w:t>
      </w:r>
      <w:r w:rsidR="00042024">
        <w:t xml:space="preserve">last </w:t>
      </w:r>
      <w:r w:rsidR="00452E27">
        <w:t>three</w:t>
      </w:r>
      <w:r w:rsidR="00042024">
        <w:t xml:space="preserve"> years)</w:t>
      </w:r>
      <w:r w:rsidR="00FA5549">
        <w:t xml:space="preserve"> is at least 10 percent</w:t>
      </w:r>
      <w:r w:rsidRPr="00BE7830">
        <w:t xml:space="preserve"> lower than the </w:t>
      </w:r>
      <w:r w:rsidR="005C31BA">
        <w:t xml:space="preserve">maximum </w:t>
      </w:r>
      <w:r w:rsidRPr="00BE7830">
        <w:t>average number of children ever born (CEB) among women aged 4</w:t>
      </w:r>
      <w:r w:rsidR="005C31BA">
        <w:t>5</w:t>
      </w:r>
      <w:r w:rsidR="00452E27">
        <w:t>–</w:t>
      </w:r>
      <w:r w:rsidRPr="00BE7830">
        <w:t>49 in any</w:t>
      </w:r>
      <w:r w:rsidR="00A64E03">
        <w:t xml:space="preserve"> preceding DHS survey</w:t>
      </w:r>
      <w:r w:rsidR="00D77CE3">
        <w:t xml:space="preserve">, and </w:t>
      </w:r>
      <w:r w:rsidR="00D77CE3" w:rsidRPr="00BE7830">
        <w:t xml:space="preserve">if </w:t>
      </w:r>
      <w:r w:rsidR="00D77CE3">
        <w:lastRenderedPageBreak/>
        <w:t>contraceptive prevalence amo</w:t>
      </w:r>
      <w:r w:rsidR="00FA5549">
        <w:t>ng married women is at least 10 percent</w:t>
      </w:r>
      <w:r w:rsidR="00452E27">
        <w:t>.</w:t>
      </w:r>
      <w:r w:rsidR="008C00FB">
        <w:rPr>
          <w:rStyle w:val="Appelnotedebasdep"/>
        </w:rPr>
        <w:footnoteReference w:id="7"/>
      </w:r>
      <w:r w:rsidR="00EF596F">
        <w:t xml:space="preserve"> By</w:t>
      </w:r>
      <w:r w:rsidRPr="00BE7830">
        <w:t xml:space="preserve"> that definition, all </w:t>
      </w:r>
      <w:r>
        <w:t xml:space="preserve">but four </w:t>
      </w:r>
      <w:r w:rsidRPr="00BE7830">
        <w:t xml:space="preserve">African countries </w:t>
      </w:r>
      <w:r>
        <w:t xml:space="preserve">(DR Congo, </w:t>
      </w:r>
      <w:r w:rsidR="005C31BA">
        <w:t>Guinea</w:t>
      </w:r>
      <w:r>
        <w:t xml:space="preserve">, </w:t>
      </w:r>
      <w:r w:rsidR="005C31BA">
        <w:t>Mali</w:t>
      </w:r>
      <w:r w:rsidR="00EF596F">
        <w:t>,</w:t>
      </w:r>
      <w:r w:rsidR="005C31BA">
        <w:t xml:space="preserve"> </w:t>
      </w:r>
      <w:r>
        <w:t xml:space="preserve">and </w:t>
      </w:r>
      <w:r w:rsidR="005C31BA">
        <w:t>Niger</w:t>
      </w:r>
      <w:r>
        <w:t xml:space="preserve">) </w:t>
      </w:r>
      <w:r w:rsidRPr="00BE7830">
        <w:t>have been in transition since the 1990s</w:t>
      </w:r>
      <w:r w:rsidR="00EF596F">
        <w:t>.</w:t>
      </w:r>
      <w:r w:rsidR="00FD7F2A">
        <w:rPr>
          <w:rStyle w:val="Appelnotedebasdep"/>
        </w:rPr>
        <w:footnoteReference w:id="8"/>
      </w:r>
      <w:r w:rsidRPr="00BE7830">
        <w:t xml:space="preserve"> To further refine the classification, we also distinguish early transition</w:t>
      </w:r>
      <w:r>
        <w:t>s</w:t>
      </w:r>
      <w:r w:rsidRPr="00BE7830">
        <w:t xml:space="preserve"> from mid-transition</w:t>
      </w:r>
      <w:r>
        <w:t>s</w:t>
      </w:r>
      <w:r w:rsidRPr="00BE7830">
        <w:t xml:space="preserve">; mid-transition is reached when fertility has decreased below five children per woman </w:t>
      </w:r>
      <w:r w:rsidR="00883724" w:rsidRPr="00883724">
        <w:t>(Bongaarts 2006; National Research Council 2000; Shapiro and Gebreselassie 2008)</w:t>
      </w:r>
      <w:r w:rsidRPr="00BE7830">
        <w:t xml:space="preserve">. </w:t>
      </w:r>
      <w:r>
        <w:t xml:space="preserve">In this paper, </w:t>
      </w:r>
      <w:r w:rsidR="00A64E03">
        <w:t>13</w:t>
      </w:r>
      <w:r>
        <w:t xml:space="preserve"> countries are </w:t>
      </w:r>
      <w:r w:rsidR="009B0A6E">
        <w:t xml:space="preserve">in the mid-transition </w:t>
      </w:r>
      <w:r w:rsidR="005650CB">
        <w:t xml:space="preserve">group </w:t>
      </w:r>
      <w:r w:rsidR="009B0A6E">
        <w:t>at some point</w:t>
      </w:r>
      <w:r>
        <w:t>.</w:t>
      </w:r>
    </w:p>
    <w:p w14:paraId="4A42A0D8" w14:textId="20FC14C4" w:rsidR="00042024" w:rsidRDefault="00042024" w:rsidP="00925A7A">
      <w:pPr>
        <w:jc w:val="left"/>
      </w:pPr>
      <w:r>
        <w:t xml:space="preserve">Three types of fertility changes are distinguished. </w:t>
      </w:r>
      <w:r w:rsidRPr="00BE7830">
        <w:t>The first type corresponds to stagnating or increasing fertility</w:t>
      </w:r>
      <w:r w:rsidR="00925FE5">
        <w:t xml:space="preserve"> between two successive surveys</w:t>
      </w:r>
      <w:r w:rsidR="00FA5549">
        <w:t>, i.e.</w:t>
      </w:r>
      <w:r w:rsidR="00694F8C">
        <w:t>,</w:t>
      </w:r>
      <w:r w:rsidR="00FA5549">
        <w:t xml:space="preserve"> countries where the published TFR is greater</w:t>
      </w:r>
      <w:r w:rsidR="00694F8C">
        <w:t xml:space="preserve"> than</w:t>
      </w:r>
      <w:r w:rsidR="00FA5549">
        <w:t xml:space="preserve"> or equal </w:t>
      </w:r>
      <w:r w:rsidR="00694F8C">
        <w:t xml:space="preserve">to </w:t>
      </w:r>
      <w:r w:rsidR="00FA5549">
        <w:t>the TFR in the previous survey</w:t>
      </w:r>
      <w:r w:rsidR="00925FE5">
        <w:t>.</w:t>
      </w:r>
      <w:r w:rsidRPr="00BE7830">
        <w:t xml:space="preserve"> This approach is intuitive and simple to implement</w:t>
      </w:r>
      <w:r>
        <w:t xml:space="preserve"> and is a conservative way </w:t>
      </w:r>
      <w:r w:rsidR="00694F8C">
        <w:t xml:space="preserve">of </w:t>
      </w:r>
      <w:r>
        <w:t>identify</w:t>
      </w:r>
      <w:r w:rsidR="00694F8C">
        <w:t>ing</w:t>
      </w:r>
      <w:r>
        <w:t xml:space="preserve"> fertility stalls</w:t>
      </w:r>
      <w:r w:rsidRPr="00BE7830">
        <w:t xml:space="preserve">. The second type </w:t>
      </w:r>
      <w:r>
        <w:t xml:space="preserve">of fertility change corresponds to </w:t>
      </w:r>
      <w:r w:rsidRPr="00BE7830">
        <w:t xml:space="preserve">fertility decreases that are not statistically significant </w:t>
      </w:r>
      <w:r w:rsidR="00883724" w:rsidRPr="00883724">
        <w:t>(Bongaarts 2008)</w:t>
      </w:r>
      <w:r w:rsidR="00694F8C">
        <w:t>.</w:t>
      </w:r>
      <w:r w:rsidRPr="006035D1">
        <w:rPr>
          <w:rStyle w:val="Appelnotedebasdep"/>
        </w:rPr>
        <w:footnoteReference w:id="9"/>
      </w:r>
      <w:r w:rsidRPr="00BE7830">
        <w:t xml:space="preserve"> The third type </w:t>
      </w:r>
      <w:r>
        <w:t xml:space="preserve">of change includes </w:t>
      </w:r>
      <w:r w:rsidRPr="00BE7830">
        <w:t>situation</w:t>
      </w:r>
      <w:r>
        <w:t>s</w:t>
      </w:r>
      <w:r w:rsidRPr="00BE7830">
        <w:t xml:space="preserve"> of fertility decreases that are statistically significant.</w:t>
      </w:r>
    </w:p>
    <w:p w14:paraId="14C4E401" w14:textId="77777777" w:rsidR="003C7297" w:rsidRDefault="003C7297">
      <w:pPr>
        <w:spacing w:after="200" w:line="276" w:lineRule="auto"/>
        <w:jc w:val="left"/>
        <w:rPr>
          <w:rStyle w:val="Rfrenceintense"/>
        </w:rPr>
      </w:pPr>
      <w:r>
        <w:rPr>
          <w:rStyle w:val="Rfrenceintense"/>
        </w:rPr>
        <w:br w:type="page"/>
      </w:r>
    </w:p>
    <w:p w14:paraId="6DE57D41" w14:textId="2D724B70" w:rsidR="003C7297" w:rsidRPr="00C30DE5" w:rsidRDefault="003C7297" w:rsidP="00EB7A03">
      <w:pPr>
        <w:spacing w:after="0" w:line="240" w:lineRule="auto"/>
        <w:jc w:val="left"/>
        <w:rPr>
          <w:rStyle w:val="Rfrenceintense"/>
        </w:rPr>
      </w:pPr>
      <w:proofErr w:type="gramStart"/>
      <w:r w:rsidRPr="00C30DE5">
        <w:rPr>
          <w:rStyle w:val="Rfrenceintense"/>
        </w:rPr>
        <w:lastRenderedPageBreak/>
        <w:t xml:space="preserve">Figure </w:t>
      </w:r>
      <w:r w:rsidRPr="00C30DE5">
        <w:rPr>
          <w:rStyle w:val="Rfrenceintense"/>
        </w:rPr>
        <w:fldChar w:fldCharType="begin"/>
      </w:r>
      <w:r w:rsidRPr="00C30DE5">
        <w:rPr>
          <w:rStyle w:val="Rfrenceintense"/>
        </w:rPr>
        <w:instrText xml:space="preserve"> SEQ Figure \* ARABIC </w:instrText>
      </w:r>
      <w:r w:rsidRPr="00C30DE5">
        <w:rPr>
          <w:rStyle w:val="Rfrenceintense"/>
        </w:rPr>
        <w:fldChar w:fldCharType="separate"/>
      </w:r>
      <w:r w:rsidR="00943572">
        <w:rPr>
          <w:rStyle w:val="Rfrenceintense"/>
          <w:noProof/>
        </w:rPr>
        <w:t>1</w:t>
      </w:r>
      <w:r w:rsidRPr="00C30DE5">
        <w:rPr>
          <w:rStyle w:val="Rfrenceintense"/>
        </w:rPr>
        <w:fldChar w:fldCharType="end"/>
      </w:r>
      <w:r w:rsidRPr="00C30DE5">
        <w:rPr>
          <w:rStyle w:val="Rfrenceintense"/>
        </w:rPr>
        <w:t>.</w:t>
      </w:r>
      <w:proofErr w:type="gramEnd"/>
      <w:r w:rsidRPr="00C30DE5">
        <w:rPr>
          <w:rStyle w:val="Rfrenceintense"/>
        </w:rPr>
        <w:t xml:space="preserve"> Mid-transit</w:t>
      </w:r>
      <w:r>
        <w:rPr>
          <w:rStyle w:val="Rfrenceintense"/>
        </w:rPr>
        <w:t>i</w:t>
      </w:r>
      <w:r w:rsidRPr="00C30DE5">
        <w:rPr>
          <w:rStyle w:val="Rfrenceintense"/>
        </w:rPr>
        <w:t>on stalls and early</w:t>
      </w:r>
      <w:r>
        <w:rPr>
          <w:rStyle w:val="Rfrenceintense"/>
        </w:rPr>
        <w:t>-</w:t>
      </w:r>
      <w:r w:rsidRPr="00C30DE5">
        <w:rPr>
          <w:rStyle w:val="Rfrenceintense"/>
        </w:rPr>
        <w:t>transition stalls</w:t>
      </w:r>
      <w:r>
        <w:rPr>
          <w:rStyle w:val="Rfrenceintense"/>
        </w:rPr>
        <w:t xml:space="preserve"> </w:t>
      </w:r>
      <w:r w:rsidRPr="00C30DE5">
        <w:rPr>
          <w:rStyle w:val="Rfrenceintense"/>
        </w:rPr>
        <w:t>in sub-Saharan Africa</w:t>
      </w:r>
    </w:p>
    <w:p w14:paraId="7953F567" w14:textId="6C5865FA" w:rsidR="003C7297" w:rsidRDefault="003C7297" w:rsidP="00EB7A03">
      <w:pPr>
        <w:spacing w:after="0" w:line="240" w:lineRule="auto"/>
        <w:jc w:val="center"/>
      </w:pPr>
      <w:r>
        <w:rPr>
          <w:noProof/>
          <w:lang w:val="fr-BE" w:eastAsia="fr-BE"/>
        </w:rPr>
        <w:drawing>
          <wp:inline distT="0" distB="0" distL="0" distR="0" wp14:anchorId="31B98B59" wp14:editId="5B3BAA88">
            <wp:extent cx="3848072" cy="3832168"/>
            <wp:effectExtent l="0" t="0" r="63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9123" cy="3833215"/>
                    </a:xfrm>
                    <a:prstGeom prst="rect">
                      <a:avLst/>
                    </a:prstGeom>
                    <a:noFill/>
                    <a:ln>
                      <a:noFill/>
                    </a:ln>
                  </pic:spPr>
                </pic:pic>
              </a:graphicData>
            </a:graphic>
          </wp:inline>
        </w:drawing>
      </w:r>
      <w:r>
        <w:rPr>
          <w:noProof/>
          <w:lang w:val="fr-BE" w:eastAsia="fr-BE"/>
        </w:rPr>
        <w:drawing>
          <wp:inline distT="0" distB="0" distL="0" distR="0" wp14:anchorId="64FE4A1E" wp14:editId="3C8F9BCA">
            <wp:extent cx="3873731" cy="3861723"/>
            <wp:effectExtent l="0" t="0" r="0" b="571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0577" cy="3868548"/>
                    </a:xfrm>
                    <a:prstGeom prst="rect">
                      <a:avLst/>
                    </a:prstGeom>
                    <a:noFill/>
                    <a:ln>
                      <a:noFill/>
                    </a:ln>
                  </pic:spPr>
                </pic:pic>
              </a:graphicData>
            </a:graphic>
          </wp:inline>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EB7A03" w14:paraId="24347469" w14:textId="77777777" w:rsidTr="0054085F">
        <w:tc>
          <w:tcPr>
            <w:tcW w:w="9212" w:type="dxa"/>
          </w:tcPr>
          <w:p w14:paraId="27E8ACA8" w14:textId="77777777" w:rsidR="00EB7A03" w:rsidRDefault="00EB7A03" w:rsidP="0054085F">
            <w:pPr>
              <w:pStyle w:val="Tables"/>
              <w:jc w:val="left"/>
            </w:pPr>
            <w:r>
              <w:t xml:space="preserve">Legend: BF: Burkina Faso, BJ: Benin, CI: Côte d’Ivoire, CM: Cameroon, ET: Ethiopia, GA: Gabon, GH: Ghana, GN: Guinea, KE: Kenya, LS: Lesotho, MD: Madagascar, ML: Mali, MZ: Mozambique, NG: Nigeria, NI: Niger, NM: Namibia, RW: Rwanda, SL: Sierra Leone, SN: Senegal, TD: Chad, TZ: Tanzania, UG: Uganda, ZM: Zambia, ZW: Zimbabwe. </w:t>
            </w:r>
          </w:p>
        </w:tc>
      </w:tr>
    </w:tbl>
    <w:p w14:paraId="79214C8A" w14:textId="66B68AD2" w:rsidR="00A43D69" w:rsidRDefault="00EB7A03" w:rsidP="00EB7A03">
      <w:pPr>
        <w:spacing w:after="200" w:line="276" w:lineRule="auto"/>
        <w:jc w:val="left"/>
      </w:pPr>
      <w:r>
        <w:rPr>
          <w:rStyle w:val="Rfrenceintense"/>
        </w:rPr>
        <w:br w:type="page"/>
      </w:r>
      <w:r w:rsidR="003C7297">
        <w:lastRenderedPageBreak/>
        <w:t xml:space="preserve"> </w:t>
      </w:r>
      <w:r w:rsidR="00A43D69">
        <w:t>(Table 2)</w:t>
      </w:r>
    </w:p>
    <w:p w14:paraId="0D8254AE" w14:textId="59937A2A" w:rsidR="009B0A6E" w:rsidRDefault="009B0A6E" w:rsidP="00925A7A">
      <w:pPr>
        <w:jc w:val="left"/>
      </w:pPr>
      <w:r>
        <w:t xml:space="preserve">Combining these </w:t>
      </w:r>
      <w:r w:rsidR="00CA553E">
        <w:t xml:space="preserve">two </w:t>
      </w:r>
      <w:r>
        <w:t>criteria leads to seven categories</w:t>
      </w:r>
      <w:r w:rsidR="0001703D">
        <w:t xml:space="preserve"> (</w:t>
      </w:r>
      <w:r w:rsidR="00E0602E">
        <w:t>Table 2</w:t>
      </w:r>
      <w:r w:rsidR="0001703D">
        <w:t>)</w:t>
      </w:r>
      <w:r>
        <w:t xml:space="preserve">: one category </w:t>
      </w:r>
      <w:r w:rsidR="00A64E03">
        <w:t xml:space="preserve">for </w:t>
      </w:r>
      <w:r>
        <w:t>pre-transitional situations (no transition), three categories for early</w:t>
      </w:r>
      <w:r w:rsidR="00694F8C">
        <w:t>-</w:t>
      </w:r>
      <w:r>
        <w:t>transition countries (no stall, slight stall, stall), and the same three categories for mid</w:t>
      </w:r>
      <w:r w:rsidR="00694F8C">
        <w:t>-</w:t>
      </w:r>
      <w:r>
        <w:t>transition countries</w:t>
      </w:r>
      <w:r w:rsidR="00655317">
        <w:t xml:space="preserve"> (Figure 1)</w:t>
      </w:r>
      <w:r>
        <w:t xml:space="preserve">. The </w:t>
      </w:r>
      <w:r w:rsidR="004D2D05">
        <w:t>nine</w:t>
      </w:r>
      <w:r w:rsidR="004C0B8C">
        <w:t xml:space="preserve"> </w:t>
      </w:r>
      <w:r>
        <w:t>cases of stalls among mid-transition countries include stalls in the late 1990s in Kenya, Ghana</w:t>
      </w:r>
      <w:r w:rsidR="00694F8C">
        <w:t>,</w:t>
      </w:r>
      <w:r>
        <w:t xml:space="preserve"> and Cameroon, </w:t>
      </w:r>
      <w:r w:rsidR="00694F8C">
        <w:t xml:space="preserve">which </w:t>
      </w:r>
      <w:r>
        <w:t xml:space="preserve">were identified in the early analyses of fertility stalls in sub-Saharan Africa </w:t>
      </w:r>
      <w:r w:rsidR="00743970" w:rsidRPr="00743970">
        <w:t>(Bongaarts 2008; Shapiro and Gebreselassie 2008; Westoff and Cross 2006)</w:t>
      </w:r>
      <w:r w:rsidR="00042024">
        <w:t>, as well as</w:t>
      </w:r>
      <w:r>
        <w:t xml:space="preserve"> </w:t>
      </w:r>
      <w:r w:rsidR="00042024">
        <w:t>m</w:t>
      </w:r>
      <w:r>
        <w:t xml:space="preserve">ore recent stalls in </w:t>
      </w:r>
      <w:r w:rsidR="00A64E03">
        <w:t xml:space="preserve">Congo, </w:t>
      </w:r>
      <w:r>
        <w:t>Ghana, Zimbabwe, Namibia</w:t>
      </w:r>
      <w:r w:rsidR="00694F8C">
        <w:t>,</w:t>
      </w:r>
      <w:r w:rsidR="004C0B8C">
        <w:t xml:space="preserve"> </w:t>
      </w:r>
      <w:r>
        <w:t>and Senegal</w:t>
      </w:r>
      <w:r w:rsidR="00694F8C">
        <w:t>.</w:t>
      </w:r>
      <w:r w:rsidRPr="006035D1">
        <w:rPr>
          <w:rStyle w:val="Appelnotedebasdep"/>
        </w:rPr>
        <w:footnoteReference w:id="10"/>
      </w:r>
      <w:r>
        <w:t xml:space="preserve"> Using a less conservative definition of stalls in mid-transition countries brings </w:t>
      </w:r>
      <w:r w:rsidR="007F53F5">
        <w:t>in five</w:t>
      </w:r>
      <w:r>
        <w:t xml:space="preserve"> additional cases of </w:t>
      </w:r>
      <w:r w:rsidRPr="00925FE5">
        <w:rPr>
          <w:i/>
        </w:rPr>
        <w:t>slight stalls</w:t>
      </w:r>
      <w:r>
        <w:t xml:space="preserve"> (</w:t>
      </w:r>
      <w:r w:rsidR="007F53F5">
        <w:t>three</w:t>
      </w:r>
      <w:r>
        <w:t xml:space="preserve"> additional countries: </w:t>
      </w:r>
      <w:r w:rsidR="00074031">
        <w:t xml:space="preserve">Ethiopia, </w:t>
      </w:r>
      <w:r w:rsidR="00A64E03">
        <w:t>Gabon, Lesotho</w:t>
      </w:r>
      <w:r w:rsidR="00925FE5">
        <w:t>)</w:t>
      </w:r>
      <w:r w:rsidR="007F53F5">
        <w:t xml:space="preserve"> which </w:t>
      </w:r>
      <w:r>
        <w:t xml:space="preserve">have </w:t>
      </w:r>
      <w:r w:rsidR="007F53F5">
        <w:t xml:space="preserve">been discussed </w:t>
      </w:r>
      <w:r>
        <w:t>less often in the literature. Taking into account early</w:t>
      </w:r>
      <w:r w:rsidR="007F53F5">
        <w:t>-</w:t>
      </w:r>
      <w:r>
        <w:t>transition countries with either fertility increases or non-significant decreases, the number of stalls rea</w:t>
      </w:r>
      <w:r w:rsidR="00074031">
        <w:t xml:space="preserve">ches </w:t>
      </w:r>
      <w:r w:rsidR="00A64E03">
        <w:t>37</w:t>
      </w:r>
      <w:r>
        <w:t xml:space="preserve"> cases in </w:t>
      </w:r>
      <w:r w:rsidR="00A64E03">
        <w:t>23</w:t>
      </w:r>
      <w:r>
        <w:t xml:space="preserve"> countries</w:t>
      </w:r>
      <w:r w:rsidR="0001703D">
        <w:t xml:space="preserve"> (</w:t>
      </w:r>
      <w:r w:rsidR="00B92334">
        <w:t xml:space="preserve">Table </w:t>
      </w:r>
      <w:r w:rsidR="00D55F13">
        <w:t>3</w:t>
      </w:r>
      <w:r w:rsidR="00B92334">
        <w:t>)</w:t>
      </w:r>
      <w:r>
        <w:t>, that is</w:t>
      </w:r>
      <w:r w:rsidR="007F53F5">
        <w:t>,</w:t>
      </w:r>
      <w:r>
        <w:t xml:space="preserve"> </w:t>
      </w:r>
      <w:r w:rsidR="00A64E03">
        <w:t xml:space="preserve">40% of </w:t>
      </w:r>
      <w:r>
        <w:t xml:space="preserve">the </w:t>
      </w:r>
      <w:r w:rsidR="004A1F75">
        <w:t>9</w:t>
      </w:r>
      <w:r w:rsidR="00FE0B5A">
        <w:t>3</w:t>
      </w:r>
      <w:r w:rsidR="004A1F75">
        <w:t xml:space="preserve"> cases examined, </w:t>
      </w:r>
      <w:r w:rsidR="00445C52">
        <w:t xml:space="preserve">in </w:t>
      </w:r>
      <w:r w:rsidR="00F95535">
        <w:t xml:space="preserve">more than two-thirds of the </w:t>
      </w:r>
      <w:r>
        <w:t xml:space="preserve">countries. </w:t>
      </w:r>
      <w:r w:rsidR="00A2392A">
        <w:t>In summary, t</w:t>
      </w:r>
      <w:r>
        <w:t xml:space="preserve">he number of stalls </w:t>
      </w:r>
      <w:r w:rsidR="00A64E03">
        <w:t xml:space="preserve">clearly </w:t>
      </w:r>
      <w:r>
        <w:t>depends on the way transition</w:t>
      </w:r>
      <w:r w:rsidR="003B02BC">
        <w:t>s</w:t>
      </w:r>
      <w:r>
        <w:t xml:space="preserve"> and fertility changes are measured.</w:t>
      </w:r>
    </w:p>
    <w:p w14:paraId="5BF74524" w14:textId="4C01D986" w:rsidR="00FA5549" w:rsidRDefault="00FA5549" w:rsidP="00925A7A">
      <w:pPr>
        <w:jc w:val="left"/>
      </w:pPr>
      <w:r>
        <w:t>One should note that the stalls identified in this way are influenced by the duration between succ</w:t>
      </w:r>
      <w:r w:rsidR="00D11649">
        <w:t>essive DHS. While in many cases</w:t>
      </w:r>
      <w:r>
        <w:t xml:space="preserve"> DHS are spaced by around </w:t>
      </w:r>
      <w:r w:rsidR="007F53F5">
        <w:t>five</w:t>
      </w:r>
      <w:r>
        <w:t xml:space="preserve"> years, much longer periods are sometimes found between successive surveys</w:t>
      </w:r>
      <w:r w:rsidR="007F53F5">
        <w:t>.</w:t>
      </w:r>
      <w:r w:rsidR="00D11649">
        <w:rPr>
          <w:rStyle w:val="Appelnotedebasdep"/>
        </w:rPr>
        <w:footnoteReference w:id="11"/>
      </w:r>
      <w:r>
        <w:t xml:space="preserve"> Short stalls may thus not be identified with published data when the duration between two surveys is long. </w:t>
      </w:r>
      <w:r w:rsidRPr="00E13923">
        <w:t xml:space="preserve">We will discuss this </w:t>
      </w:r>
      <w:r w:rsidR="00430E41" w:rsidRPr="00E13923">
        <w:t xml:space="preserve">for </w:t>
      </w:r>
      <w:r w:rsidRPr="00E13923">
        <w:t>the case of South Africa in the conclusion.</w:t>
      </w:r>
    </w:p>
    <w:p w14:paraId="38245D2E" w14:textId="77777777" w:rsidR="00A43D69" w:rsidRDefault="00A43D69" w:rsidP="00925FE5">
      <w:pPr>
        <w:jc w:val="center"/>
      </w:pPr>
      <w:r>
        <w:lastRenderedPageBreak/>
        <w:t>(</w:t>
      </w:r>
      <w:r w:rsidR="00B92334">
        <w:t>Table 3</w:t>
      </w:r>
      <w:r>
        <w:t>)</w:t>
      </w:r>
    </w:p>
    <w:p w14:paraId="66178526" w14:textId="77777777" w:rsidR="00431355" w:rsidRPr="00A51515" w:rsidRDefault="00CA499E" w:rsidP="00925A7A">
      <w:pPr>
        <w:pStyle w:val="Titre1"/>
        <w:jc w:val="left"/>
      </w:pPr>
      <w:r w:rsidRPr="00A51515">
        <w:t>Consistency of stalls across data sources and methods</w:t>
      </w:r>
    </w:p>
    <w:p w14:paraId="2F5C0209" w14:textId="207A90A0" w:rsidR="00E576E4" w:rsidRDefault="00A2392A" w:rsidP="00925A7A">
      <w:pPr>
        <w:jc w:val="left"/>
      </w:pPr>
      <w:r>
        <w:t xml:space="preserve">As shown in the </w:t>
      </w:r>
      <w:r w:rsidR="00966D62">
        <w:t>preceding section</w:t>
      </w:r>
      <w:r>
        <w:t>,</w:t>
      </w:r>
      <w:r w:rsidR="00966D62">
        <w:t xml:space="preserve"> </w:t>
      </w:r>
      <w:r w:rsidR="00042024">
        <w:t>depending on the criteria used to identify stalls and whether we focus on mid-transition countries or also include early</w:t>
      </w:r>
      <w:r w:rsidR="007F53F5">
        <w:t>-</w:t>
      </w:r>
      <w:r w:rsidR="00042024">
        <w:t>transition countries, the number of cases varies from 9 stalls in 7 countries to 37 stalls in 23 countries (out of 9</w:t>
      </w:r>
      <w:r w:rsidR="00925FE5">
        <w:t>3</w:t>
      </w:r>
      <w:r w:rsidR="00042024">
        <w:t xml:space="preserve"> cases in 3</w:t>
      </w:r>
      <w:r w:rsidR="00925FE5">
        <w:t>2</w:t>
      </w:r>
      <w:r w:rsidR="00042024">
        <w:t xml:space="preserve"> countries, </w:t>
      </w:r>
      <w:r w:rsidR="00D55F13">
        <w:t>Table 3</w:t>
      </w:r>
      <w:r w:rsidR="00042024">
        <w:t>).</w:t>
      </w:r>
      <w:r w:rsidR="001D09A3">
        <w:t xml:space="preserve"> </w:t>
      </w:r>
      <w:r w:rsidR="003B02BC">
        <w:t>Some of these stalls may also reflect data</w:t>
      </w:r>
      <w:r w:rsidR="007F53F5">
        <w:t>-</w:t>
      </w:r>
      <w:r w:rsidR="003B02BC">
        <w:t xml:space="preserve">quality issues. </w:t>
      </w:r>
      <w:r w:rsidR="005F6EF4">
        <w:t>T</w:t>
      </w:r>
      <w:r w:rsidR="00E576E4">
        <w:t xml:space="preserve">he quality of fertility data varies greatly from one place to another, and may also vary from one survey to the other in the same country </w:t>
      </w:r>
      <w:r w:rsidR="00883724" w:rsidRPr="00883724">
        <w:rPr>
          <w:szCs w:val="24"/>
        </w:rPr>
        <w:t>(Blacker 1994; Gerland, Biddlecom, and Kantorová 2017; Schoumaker 2014)</w:t>
      </w:r>
      <w:r w:rsidR="00E576E4">
        <w:t xml:space="preserve">. As a result, some of these stalls may </w:t>
      </w:r>
      <w:r w:rsidR="003B02BC">
        <w:t xml:space="preserve">result from </w:t>
      </w:r>
      <w:r w:rsidR="00E576E4">
        <w:t xml:space="preserve">differential data quality across surveys </w:t>
      </w:r>
      <w:r w:rsidR="00883724" w:rsidRPr="00883724">
        <w:t>(Machiyama 2010; Schoumaker 2009)</w:t>
      </w:r>
      <w:r w:rsidR="00E576E4" w:rsidRPr="0012018E">
        <w:t xml:space="preserve">. </w:t>
      </w:r>
    </w:p>
    <w:p w14:paraId="77C6D714" w14:textId="77777777" w:rsidR="003B02BC" w:rsidRDefault="003B02BC" w:rsidP="00925A7A">
      <w:pPr>
        <w:jc w:val="left"/>
      </w:pPr>
      <w:r>
        <w:t xml:space="preserve">Two types of approaches are combined to evaluate the genuineness of these stalls. </w:t>
      </w:r>
    </w:p>
    <w:p w14:paraId="223602DE" w14:textId="19952940" w:rsidR="00453658" w:rsidRDefault="00453658" w:rsidP="00925A7A">
      <w:pPr>
        <w:pStyle w:val="Paragraphedeliste"/>
        <w:numPr>
          <w:ilvl w:val="0"/>
          <w:numId w:val="17"/>
        </w:numPr>
        <w:jc w:val="left"/>
      </w:pPr>
      <w:r>
        <w:t xml:space="preserve">First, </w:t>
      </w:r>
      <w:r w:rsidR="003B02BC">
        <w:t xml:space="preserve">internal consistency </w:t>
      </w:r>
      <w:r w:rsidR="00B91CFF">
        <w:t xml:space="preserve">of DHS data </w:t>
      </w:r>
      <w:r w:rsidR="003B02BC">
        <w:t xml:space="preserve">is assessed </w:t>
      </w:r>
      <w:r w:rsidR="00B91CFF">
        <w:t xml:space="preserve">by comparing fertility trends obtained from </w:t>
      </w:r>
      <w:r>
        <w:t xml:space="preserve">published estimates and </w:t>
      </w:r>
      <w:r w:rsidR="00B91CFF">
        <w:t xml:space="preserve">fertility </w:t>
      </w:r>
      <w:r>
        <w:t>trends reconstructed from pooled DHS birth histories. The rationale for this is that with good</w:t>
      </w:r>
      <w:r w:rsidR="004D64D9">
        <w:t>-</w:t>
      </w:r>
      <w:r>
        <w:t>quality data, these trends should be consistent</w:t>
      </w:r>
      <w:r w:rsidR="006D1DE0">
        <w:t xml:space="preserve"> </w:t>
      </w:r>
      <w:r w:rsidR="00883724" w:rsidRPr="00883724">
        <w:t>(Schoumaker 2014)</w:t>
      </w:r>
      <w:r>
        <w:t>. In contrast, inconsistencies reflect data</w:t>
      </w:r>
      <w:r w:rsidR="004D64D9">
        <w:t>-</w:t>
      </w:r>
      <w:r>
        <w:t>quality issues. In summary, stalls identified with both published fertility and reconstructed trends are likely to be genuine</w:t>
      </w:r>
      <w:r w:rsidRPr="00DA5531">
        <w:t xml:space="preserve">. </w:t>
      </w:r>
      <w:r w:rsidR="00122566">
        <w:t xml:space="preserve"> </w:t>
      </w:r>
    </w:p>
    <w:p w14:paraId="0D18C802" w14:textId="0A5C3D24" w:rsidR="00B91CFF" w:rsidRDefault="00DA5531" w:rsidP="00925A7A">
      <w:pPr>
        <w:pStyle w:val="Paragraphedeliste"/>
        <w:numPr>
          <w:ilvl w:val="0"/>
          <w:numId w:val="17"/>
        </w:numPr>
        <w:jc w:val="left"/>
      </w:pPr>
      <w:r>
        <w:t>Secondly</w:t>
      </w:r>
      <w:r w:rsidR="009F6611">
        <w:t xml:space="preserve">, </w:t>
      </w:r>
      <w:r w:rsidR="00B91CFF" w:rsidRPr="00B91CFF">
        <w:t>external consistency</w:t>
      </w:r>
      <w:r w:rsidR="00B91CFF">
        <w:t xml:space="preserve"> is assessed by comparing</w:t>
      </w:r>
      <w:r w:rsidR="009F6611">
        <w:t xml:space="preserve"> </w:t>
      </w:r>
      <w:r w:rsidR="00B91CFF">
        <w:t xml:space="preserve">DHS </w:t>
      </w:r>
      <w:r w:rsidR="009F6611">
        <w:t>fertility trends wit</w:t>
      </w:r>
      <w:r w:rsidR="00B91CFF">
        <w:t xml:space="preserve">h trends from the other sources (MICS, censuses, </w:t>
      </w:r>
      <w:r w:rsidR="00F54C80">
        <w:t>and other</w:t>
      </w:r>
      <w:r w:rsidR="00B91CFF">
        <w:t xml:space="preserve"> surveys). While these other sources may </w:t>
      </w:r>
      <w:r w:rsidR="00122566">
        <w:t xml:space="preserve">also </w:t>
      </w:r>
      <w:r w:rsidR="00B91CFF">
        <w:t xml:space="preserve">be </w:t>
      </w:r>
      <w:r w:rsidR="009061B2">
        <w:t>affected by data</w:t>
      </w:r>
      <w:r w:rsidR="000E2911">
        <w:t>-</w:t>
      </w:r>
      <w:r w:rsidR="009061B2">
        <w:t xml:space="preserve">quality issues, </w:t>
      </w:r>
      <w:r w:rsidR="00430E41">
        <w:t xml:space="preserve">we expect that </w:t>
      </w:r>
      <w:r w:rsidR="00B91CFF">
        <w:t xml:space="preserve">stalls identified from these independent sources in addition to DHS data are likely to be genuine. </w:t>
      </w:r>
    </w:p>
    <w:p w14:paraId="0ABDA18A" w14:textId="71AD8473" w:rsidR="009061B2" w:rsidRDefault="009061B2" w:rsidP="00925A7A">
      <w:pPr>
        <w:jc w:val="left"/>
      </w:pPr>
      <w:r>
        <w:lastRenderedPageBreak/>
        <w:t xml:space="preserve">We combine </w:t>
      </w:r>
      <w:r w:rsidR="00B91CFF">
        <w:t xml:space="preserve">the visual inspection of fertility trends </w:t>
      </w:r>
      <w:r w:rsidR="00A66F95">
        <w:t>with a more systematic coding of consistency across sources.</w:t>
      </w:r>
      <w:r w:rsidR="004C0B8C">
        <w:t xml:space="preserve"> </w:t>
      </w:r>
      <w:r w:rsidR="00245264">
        <w:t>A simple approach is used to summarize the information</w:t>
      </w:r>
      <w:r w:rsidR="005F6EF4">
        <w:t xml:space="preserve"> (see supporting material for the figures and the spreadsheet)</w:t>
      </w:r>
      <w:r w:rsidR="00245264">
        <w:t xml:space="preserve">. </w:t>
      </w:r>
      <w:r>
        <w:t xml:space="preserve">A </w:t>
      </w:r>
      <w:r w:rsidR="00A66F95">
        <w:t xml:space="preserve">score varying from -1 to 1 is </w:t>
      </w:r>
      <w:r>
        <w:t>attributed to each of the 9</w:t>
      </w:r>
      <w:r w:rsidR="00122566">
        <w:t>3</w:t>
      </w:r>
      <w:r>
        <w:t xml:space="preserve"> pairs of surveys for each source of information</w:t>
      </w:r>
      <w:r w:rsidR="00A66F95">
        <w:t xml:space="preserve">. The score is equal to 1 if the source indicates strong support for a stall, </w:t>
      </w:r>
      <w:r w:rsidR="002C7A02">
        <w:t>i.e.</w:t>
      </w:r>
      <w:r w:rsidR="000E2911">
        <w:t>,</w:t>
      </w:r>
      <w:r w:rsidR="002C7A02">
        <w:t xml:space="preserve"> </w:t>
      </w:r>
      <w:r w:rsidR="002C7A02" w:rsidRPr="00B91CFF">
        <w:t>a situation where fertility is stagnating or inc</w:t>
      </w:r>
      <w:r w:rsidR="002C7A02">
        <w:t xml:space="preserve">reasing over most of the period. </w:t>
      </w:r>
      <w:r w:rsidR="000E2911">
        <w:t>M</w:t>
      </w:r>
      <w:r w:rsidR="002C7A02" w:rsidRPr="00B91CFF">
        <w:t xml:space="preserve">oderate support </w:t>
      </w:r>
      <w:r w:rsidR="002C7A02">
        <w:t xml:space="preserve">for fertility stall (score equal to 0.5) </w:t>
      </w:r>
      <w:r w:rsidR="002C7A02" w:rsidRPr="00B91CFF">
        <w:t xml:space="preserve">corresponds to a situation of non-significant decline or a situation of stagnation or increase during </w:t>
      </w:r>
      <w:r w:rsidR="002C7A02">
        <w:t xml:space="preserve">less than half </w:t>
      </w:r>
      <w:r w:rsidR="002C7A02" w:rsidRPr="00B91CFF">
        <w:t xml:space="preserve">of the period. </w:t>
      </w:r>
      <w:r w:rsidR="00A66F95">
        <w:t xml:space="preserve">The score </w:t>
      </w:r>
      <w:r w:rsidR="002C7A02">
        <w:t xml:space="preserve">is equal to -1 if the source indicates a sustained fertility </w:t>
      </w:r>
      <w:r>
        <w:t xml:space="preserve">decrease </w:t>
      </w:r>
      <w:r w:rsidR="002C7A02" w:rsidRPr="006B1282">
        <w:t>over the entire period</w:t>
      </w:r>
      <w:r w:rsidR="002C7A02">
        <w:t>, while a value of -0.5 indicat</w:t>
      </w:r>
      <w:r>
        <w:t>es moderate support for the decrease (</w:t>
      </w:r>
      <w:r w:rsidR="002C7A02">
        <w:t xml:space="preserve">fertility </w:t>
      </w:r>
      <w:r>
        <w:t xml:space="preserve">goes down </w:t>
      </w:r>
      <w:r w:rsidR="002C7A02">
        <w:t>for part of the period</w:t>
      </w:r>
      <w:r>
        <w:t>)</w:t>
      </w:r>
      <w:r w:rsidR="002C7A02">
        <w:t xml:space="preserve">. The score </w:t>
      </w:r>
      <w:r w:rsidR="00A66F95">
        <w:t>is equal to 0 in indeterminate situations</w:t>
      </w:r>
      <w:r w:rsidR="002C7A02">
        <w:t>, mainly when the data covers only a small part of the period</w:t>
      </w:r>
      <w:r w:rsidR="00A66F95">
        <w:t>.</w:t>
      </w:r>
      <w:r w:rsidR="00CB14C9" w:rsidRPr="00CB14C9">
        <w:t xml:space="preserve"> </w:t>
      </w:r>
    </w:p>
    <w:p w14:paraId="27EAD013" w14:textId="7E53A59B" w:rsidR="002018B5" w:rsidRDefault="00A66F95" w:rsidP="00925A7A">
      <w:pPr>
        <w:jc w:val="left"/>
      </w:pPr>
      <w:r>
        <w:t>For each of the 9</w:t>
      </w:r>
      <w:r w:rsidR="00122566">
        <w:t>3</w:t>
      </w:r>
      <w:r>
        <w:t xml:space="preserve"> pairs of surveys, summary indices are computed </w:t>
      </w:r>
      <w:r w:rsidR="002C7A02">
        <w:t>from these scor</w:t>
      </w:r>
      <w:r w:rsidR="00245264">
        <w:t>es</w:t>
      </w:r>
      <w:r>
        <w:t xml:space="preserve">. </w:t>
      </w:r>
      <w:r w:rsidR="00245264">
        <w:t xml:space="preserve">The </w:t>
      </w:r>
      <w:r w:rsidR="00245264" w:rsidRPr="009061B2">
        <w:rPr>
          <w:b/>
        </w:rPr>
        <w:t>A1</w:t>
      </w:r>
      <w:r w:rsidR="00245264">
        <w:t xml:space="preserve"> index is the sum of these scores for internal consistency checks, i.e.</w:t>
      </w:r>
      <w:r w:rsidR="00CC4324">
        <w:t>,</w:t>
      </w:r>
      <w:r w:rsidR="00245264">
        <w:t xml:space="preserve"> for the comparison of published DHS </w:t>
      </w:r>
      <w:r w:rsidR="009061B2">
        <w:t xml:space="preserve">estimates </w:t>
      </w:r>
      <w:r w:rsidR="00245264">
        <w:t>with reconstructed fertility trends</w:t>
      </w:r>
      <w:r w:rsidR="009061B2">
        <w:t xml:space="preserve"> from DHS</w:t>
      </w:r>
      <w:r w:rsidR="00245264">
        <w:t xml:space="preserve">. It can vary from -2 to +2, since two sources are compared. The </w:t>
      </w:r>
      <w:r w:rsidR="00245264" w:rsidRPr="009061B2">
        <w:rPr>
          <w:b/>
        </w:rPr>
        <w:t>B1</w:t>
      </w:r>
      <w:r w:rsidR="00245264">
        <w:t xml:space="preserve"> index is obtained by dividing A1 by the number of sources</w:t>
      </w:r>
      <w:r w:rsidR="009061B2">
        <w:t xml:space="preserve"> (2</w:t>
      </w:r>
      <w:r w:rsidR="00245264">
        <w:t xml:space="preserve">) and varies between -1 and +1. </w:t>
      </w:r>
      <w:r w:rsidR="001A7C5F">
        <w:t xml:space="preserve">The </w:t>
      </w:r>
      <w:r w:rsidR="001A7C5F" w:rsidRPr="009061B2">
        <w:rPr>
          <w:b/>
        </w:rPr>
        <w:t>A2</w:t>
      </w:r>
      <w:r w:rsidR="001A7C5F">
        <w:t xml:space="preserve"> index is obtained </w:t>
      </w:r>
      <w:r w:rsidR="002018B5">
        <w:t xml:space="preserve">in the same way from the other data sources. It can </w:t>
      </w:r>
      <w:r>
        <w:t>vary from –N to +N, where N is the number of sources/methods used to estimate fertility trends</w:t>
      </w:r>
      <w:r w:rsidR="002018B5">
        <w:t xml:space="preserve"> other than </w:t>
      </w:r>
      <w:r w:rsidR="009061B2">
        <w:t>those included in the A1 index</w:t>
      </w:r>
      <w:r>
        <w:t xml:space="preserve">. </w:t>
      </w:r>
      <w:r w:rsidR="002018B5" w:rsidRPr="009061B2">
        <w:rPr>
          <w:b/>
        </w:rPr>
        <w:t>B2</w:t>
      </w:r>
      <w:r w:rsidR="002018B5">
        <w:t xml:space="preserve"> is equal to A2/N and varies </w:t>
      </w:r>
      <w:r>
        <w:t xml:space="preserve">between -1 and +1. </w:t>
      </w:r>
      <w:r w:rsidR="009061B2">
        <w:t xml:space="preserve">These two indicators </w:t>
      </w:r>
      <w:r w:rsidR="00CC6BF6">
        <w:t xml:space="preserve">(B1 and B2) </w:t>
      </w:r>
      <w:r w:rsidR="009061B2">
        <w:t xml:space="preserve">are combined to assess the evidence regarding fertility stalls. </w:t>
      </w:r>
    </w:p>
    <w:p w14:paraId="763D316E" w14:textId="16D61D1A" w:rsidR="00A62B4C" w:rsidRDefault="00EB7E8D" w:rsidP="00925A7A">
      <w:pPr>
        <w:jc w:val="left"/>
      </w:pPr>
      <w:r w:rsidRPr="00E13923">
        <w:t xml:space="preserve">This approach is first illustrated with data </w:t>
      </w:r>
      <w:r w:rsidR="00E13923">
        <w:t xml:space="preserve">from </w:t>
      </w:r>
      <w:r w:rsidRPr="00E13923">
        <w:t>Zimbabwe, where six DHS are available, as well as</w:t>
      </w:r>
      <w:r>
        <w:t xml:space="preserve"> two MICS and estimates from census data (</w:t>
      </w:r>
      <w:r w:rsidR="00B92334">
        <w:t>Figure 2</w:t>
      </w:r>
      <w:r w:rsidR="009061B2">
        <w:t xml:space="preserve">, </w:t>
      </w:r>
      <w:r w:rsidR="00B92334">
        <w:t>Table 4</w:t>
      </w:r>
      <w:r>
        <w:t>)</w:t>
      </w:r>
      <w:r w:rsidR="009061B2">
        <w:t>.</w:t>
      </w:r>
      <w:r>
        <w:t xml:space="preserve"> </w:t>
      </w:r>
      <w:r w:rsidR="009061B2">
        <w:t>T</w:t>
      </w:r>
      <w:r>
        <w:t xml:space="preserve">he first </w:t>
      </w:r>
      <w:r w:rsidR="00034BB7">
        <w:t xml:space="preserve">panel of </w:t>
      </w:r>
      <w:r w:rsidR="00B92334">
        <w:t xml:space="preserve">Figure 2 </w:t>
      </w:r>
      <w:r>
        <w:t xml:space="preserve">compares </w:t>
      </w:r>
      <w:r w:rsidR="00BA1561">
        <w:t xml:space="preserve">published </w:t>
      </w:r>
      <w:r>
        <w:t xml:space="preserve">DHS fertility estimates and reconstructed fertility estimates. </w:t>
      </w:r>
      <w:r>
        <w:lastRenderedPageBreak/>
        <w:t>Reconstructed yearly estimates for the 15 years preceding each survey sepa</w:t>
      </w:r>
      <w:r w:rsidR="009061B2">
        <w:t xml:space="preserve">rately are also displayed </w:t>
      </w:r>
      <w:r w:rsidR="00BA1561">
        <w:t xml:space="preserve">in </w:t>
      </w:r>
      <w:r w:rsidR="009061B2">
        <w:t>thi</w:t>
      </w:r>
      <w:r>
        <w:t>s</w:t>
      </w:r>
      <w:r w:rsidR="009061B2">
        <w:t xml:space="preserve"> figure</w:t>
      </w:r>
      <w:r>
        <w:t xml:space="preserve">, as they provide useful information </w:t>
      </w:r>
      <w:r w:rsidR="00BA1561">
        <w:t xml:space="preserve">for </w:t>
      </w:r>
      <w:r>
        <w:t>understand</w:t>
      </w:r>
      <w:r w:rsidR="00BA1561">
        <w:t>ing</w:t>
      </w:r>
      <w:r>
        <w:t xml:space="preserve"> the differences </w:t>
      </w:r>
      <w:r w:rsidRPr="00E13923">
        <w:t>between published estimates and reconstructed estimates. Non-significant declines</w:t>
      </w:r>
      <w:r>
        <w:t xml:space="preserve"> </w:t>
      </w:r>
      <w:r w:rsidR="008468A6">
        <w:t xml:space="preserve">(p&gt;0.10) </w:t>
      </w:r>
      <w:r>
        <w:t xml:space="preserve">identified with </w:t>
      </w:r>
      <w:r w:rsidR="00034BB7">
        <w:t xml:space="preserve">restricted cubic splines </w:t>
      </w:r>
      <w:r>
        <w:t xml:space="preserve">are </w:t>
      </w:r>
      <w:r w:rsidR="00BA1561">
        <w:t xml:space="preserve">represented </w:t>
      </w:r>
      <w:r>
        <w:t xml:space="preserve">by dotted lines. On the second </w:t>
      </w:r>
      <w:r w:rsidR="00034BB7">
        <w:t xml:space="preserve">panel of </w:t>
      </w:r>
      <w:r w:rsidR="00D55F13">
        <w:t>Figure 2</w:t>
      </w:r>
      <w:r>
        <w:t>, estimates from other data sources</w:t>
      </w:r>
      <w:r w:rsidR="005F6EF4">
        <w:t xml:space="preserve"> are added, includin</w:t>
      </w:r>
      <w:r w:rsidR="00B92334">
        <w:t>g</w:t>
      </w:r>
      <w:r>
        <w:t xml:space="preserve"> from the </w:t>
      </w:r>
      <w:proofErr w:type="spellStart"/>
      <w:r>
        <w:t>Bongaarts</w:t>
      </w:r>
      <w:proofErr w:type="spellEnd"/>
      <w:r>
        <w:t xml:space="preserve"> model </w:t>
      </w:r>
      <w:r w:rsidR="00940255">
        <w:t>and WPP estimates</w:t>
      </w:r>
      <w:r>
        <w:t xml:space="preserve">. </w:t>
      </w:r>
      <w:r w:rsidR="00D55F13">
        <w:t xml:space="preserve">Table 4 </w:t>
      </w:r>
      <w:r w:rsidR="00A62B4C">
        <w:t xml:space="preserve">shows the scores for each of the </w:t>
      </w:r>
      <w:r w:rsidR="00BA1561">
        <w:t>five</w:t>
      </w:r>
      <w:r w:rsidR="00A62B4C">
        <w:t xml:space="preserve"> pairs of surveys and each source of information. </w:t>
      </w:r>
    </w:p>
    <w:p w14:paraId="4E9CF75F" w14:textId="77777777" w:rsidR="0056739C" w:rsidRDefault="0056739C">
      <w:pPr>
        <w:spacing w:after="200" w:line="276" w:lineRule="auto"/>
        <w:jc w:val="left"/>
        <w:rPr>
          <w:rStyle w:val="Rfrenceintense"/>
        </w:rPr>
      </w:pPr>
      <w:r>
        <w:rPr>
          <w:rStyle w:val="Rfrenceintense"/>
        </w:rPr>
        <w:br w:type="page"/>
      </w:r>
    </w:p>
    <w:p w14:paraId="094DE1F0" w14:textId="17E53132" w:rsidR="0056739C" w:rsidRPr="00C30DE5" w:rsidRDefault="0056739C" w:rsidP="00FA53F4">
      <w:pPr>
        <w:spacing w:after="0"/>
        <w:jc w:val="center"/>
        <w:rPr>
          <w:rStyle w:val="Rfrenceintense"/>
        </w:rPr>
      </w:pPr>
      <w:r w:rsidRPr="00C30DE5">
        <w:rPr>
          <w:rStyle w:val="Rfrenceintense"/>
        </w:rPr>
        <w:lastRenderedPageBreak/>
        <w:t xml:space="preserve">Figure </w:t>
      </w:r>
      <w:r w:rsidRPr="00C30DE5">
        <w:rPr>
          <w:rStyle w:val="Rfrenceintense"/>
        </w:rPr>
        <w:fldChar w:fldCharType="begin"/>
      </w:r>
      <w:r w:rsidRPr="00C30DE5">
        <w:rPr>
          <w:rStyle w:val="Rfrenceintense"/>
        </w:rPr>
        <w:instrText xml:space="preserve"> SEQ Figure \* ARABIC </w:instrText>
      </w:r>
      <w:r w:rsidRPr="00C30DE5">
        <w:rPr>
          <w:rStyle w:val="Rfrenceintense"/>
        </w:rPr>
        <w:fldChar w:fldCharType="separate"/>
      </w:r>
      <w:r w:rsidR="00943572">
        <w:rPr>
          <w:rStyle w:val="Rfrenceintense"/>
          <w:noProof/>
        </w:rPr>
        <w:t>2</w:t>
      </w:r>
      <w:r w:rsidRPr="00C30DE5">
        <w:rPr>
          <w:rStyle w:val="Rfrenceintense"/>
        </w:rPr>
        <w:fldChar w:fldCharType="end"/>
      </w:r>
      <w:r w:rsidRPr="00C30DE5">
        <w:rPr>
          <w:rStyle w:val="Rfrenceintense"/>
        </w:rPr>
        <w:t xml:space="preserve">: </w:t>
      </w:r>
      <w:r>
        <w:rPr>
          <w:rStyle w:val="Rfrenceintense"/>
        </w:rPr>
        <w:t>C</w:t>
      </w:r>
      <w:r w:rsidRPr="00C30DE5">
        <w:rPr>
          <w:rStyle w:val="Rfrenceintense"/>
        </w:rPr>
        <w:t>omparisons of fertility trends across sources and methods in Zimbabwe</w:t>
      </w:r>
    </w:p>
    <w:tbl>
      <w:tblPr>
        <w:tblStyle w:val="Grilledutableau"/>
        <w:tblW w:w="0" w:type="auto"/>
        <w:tblLook w:val="04A0" w:firstRow="1" w:lastRow="0" w:firstColumn="1" w:lastColumn="0" w:noHBand="0" w:noVBand="1"/>
      </w:tblPr>
      <w:tblGrid>
        <w:gridCol w:w="8856"/>
      </w:tblGrid>
      <w:tr w:rsidR="0056739C" w14:paraId="601F2444" w14:textId="77777777" w:rsidTr="0054085F">
        <w:tc>
          <w:tcPr>
            <w:tcW w:w="8856" w:type="dxa"/>
            <w:tcBorders>
              <w:top w:val="nil"/>
              <w:left w:val="nil"/>
              <w:bottom w:val="nil"/>
              <w:right w:val="nil"/>
            </w:tcBorders>
          </w:tcPr>
          <w:p w14:paraId="0BE15FA6" w14:textId="6CD61E82" w:rsidR="0056739C" w:rsidRDefault="00694A07" w:rsidP="00FA53F4">
            <w:pPr>
              <w:pStyle w:val="Tables"/>
              <w:jc w:val="center"/>
            </w:pPr>
            <w:r>
              <w:rPr>
                <w:noProof/>
                <w:lang w:val="fr-BE" w:eastAsia="fr-BE"/>
              </w:rPr>
              <w:drawing>
                <wp:inline distT="0" distB="0" distL="0" distR="0" wp14:anchorId="1EDB55CC" wp14:editId="17A32F99">
                  <wp:extent cx="4045792" cy="4039986"/>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5873" cy="4040067"/>
                          </a:xfrm>
                          <a:prstGeom prst="rect">
                            <a:avLst/>
                          </a:prstGeom>
                          <a:noFill/>
                          <a:ln>
                            <a:noFill/>
                          </a:ln>
                        </pic:spPr>
                      </pic:pic>
                    </a:graphicData>
                  </a:graphic>
                </wp:inline>
              </w:drawing>
            </w:r>
          </w:p>
        </w:tc>
      </w:tr>
      <w:tr w:rsidR="0056739C" w:rsidRPr="00294728" w14:paraId="79155200" w14:textId="77777777" w:rsidTr="0054085F">
        <w:tc>
          <w:tcPr>
            <w:tcW w:w="8856" w:type="dxa"/>
            <w:tcBorders>
              <w:top w:val="nil"/>
              <w:left w:val="nil"/>
              <w:bottom w:val="nil"/>
              <w:right w:val="nil"/>
            </w:tcBorders>
          </w:tcPr>
          <w:p w14:paraId="25BF310D" w14:textId="679867DF" w:rsidR="0056739C" w:rsidRDefault="00694A07" w:rsidP="00FA53F4">
            <w:pPr>
              <w:pStyle w:val="Tables"/>
              <w:jc w:val="center"/>
              <w:rPr>
                <w:noProof/>
                <w:lang w:val="fr-BE" w:eastAsia="fr-BE"/>
              </w:rPr>
            </w:pPr>
            <w:r>
              <w:rPr>
                <w:noProof/>
                <w:lang w:val="fr-BE" w:eastAsia="fr-BE"/>
              </w:rPr>
              <w:drawing>
                <wp:inline distT="0" distB="0" distL="0" distR="0" wp14:anchorId="371FBE82" wp14:editId="131B276D">
                  <wp:extent cx="4019340" cy="4005598"/>
                  <wp:effectExtent l="0" t="0" r="63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9517" cy="4005774"/>
                          </a:xfrm>
                          <a:prstGeom prst="rect">
                            <a:avLst/>
                          </a:prstGeom>
                          <a:noFill/>
                          <a:ln>
                            <a:noFill/>
                          </a:ln>
                        </pic:spPr>
                      </pic:pic>
                    </a:graphicData>
                  </a:graphic>
                </wp:inline>
              </w:drawing>
            </w:r>
          </w:p>
          <w:p w14:paraId="32C98C3A" w14:textId="440F0EF3" w:rsidR="0056739C" w:rsidRPr="008468A6" w:rsidRDefault="00FA53F4" w:rsidP="00FA53F4">
            <w:pPr>
              <w:pStyle w:val="Tables"/>
              <w:jc w:val="center"/>
              <w:rPr>
                <w:noProof/>
                <w:lang w:eastAsia="fr-BE"/>
              </w:rPr>
            </w:pPr>
            <w:r>
              <w:rPr>
                <w:noProof/>
                <w:sz w:val="16"/>
                <w:lang w:eastAsia="fr-BE"/>
              </w:rPr>
              <w:t>n</w:t>
            </w:r>
            <w:r w:rsidR="0056739C" w:rsidRPr="009443D7">
              <w:rPr>
                <w:noProof/>
                <w:sz w:val="16"/>
                <w:lang w:eastAsia="fr-BE"/>
              </w:rPr>
              <w:t xml:space="preserve">.s. decrease : non-significant decrease (p&gt;0.10).  </w:t>
            </w:r>
            <w:r w:rsidR="003D20AC">
              <w:rPr>
                <w:noProof/>
                <w:sz w:val="16"/>
                <w:lang w:eastAsia="fr-BE"/>
              </w:rPr>
              <w:t>Grey rectangles</w:t>
            </w:r>
            <w:r w:rsidR="0056739C" w:rsidRPr="009443D7">
              <w:rPr>
                <w:noProof/>
                <w:sz w:val="16"/>
                <w:lang w:eastAsia="fr-BE"/>
              </w:rPr>
              <w:t xml:space="preserve"> indicate stalls identified </w:t>
            </w:r>
            <w:r w:rsidR="0056739C">
              <w:rPr>
                <w:noProof/>
                <w:sz w:val="16"/>
                <w:lang w:eastAsia="fr-BE"/>
              </w:rPr>
              <w:t xml:space="preserve">from published </w:t>
            </w:r>
            <w:r w:rsidR="0056739C" w:rsidRPr="009443D7">
              <w:rPr>
                <w:noProof/>
                <w:sz w:val="16"/>
                <w:lang w:eastAsia="fr-BE"/>
              </w:rPr>
              <w:t>DHS estimates.</w:t>
            </w:r>
          </w:p>
        </w:tc>
      </w:tr>
    </w:tbl>
    <w:p w14:paraId="02743522" w14:textId="5FD8907C" w:rsidR="0056739C" w:rsidRPr="00C239BC" w:rsidRDefault="0056739C" w:rsidP="00FA53F4">
      <w:pPr>
        <w:jc w:val="center"/>
      </w:pPr>
      <w:r>
        <w:br w:type="page"/>
      </w:r>
    </w:p>
    <w:p w14:paraId="1A1D29F3" w14:textId="77777777" w:rsidR="001E1BA5" w:rsidRPr="00C30DE5" w:rsidRDefault="001E1BA5" w:rsidP="00FA53F4">
      <w:pPr>
        <w:spacing w:after="0" w:line="360" w:lineRule="auto"/>
        <w:jc w:val="center"/>
        <w:rPr>
          <w:rStyle w:val="Rfrenceintense"/>
        </w:rPr>
      </w:pPr>
      <w:bookmarkStart w:id="0" w:name="_Ref508354085"/>
      <w:r w:rsidRPr="00C30DE5">
        <w:rPr>
          <w:rStyle w:val="Rfrenceintense"/>
        </w:rPr>
        <w:lastRenderedPageBreak/>
        <w:t xml:space="preserve">Figure </w:t>
      </w:r>
      <w:r w:rsidRPr="00C30DE5">
        <w:rPr>
          <w:rStyle w:val="Rfrenceintense"/>
        </w:rPr>
        <w:fldChar w:fldCharType="begin"/>
      </w:r>
      <w:r w:rsidRPr="00C30DE5">
        <w:rPr>
          <w:rStyle w:val="Rfrenceintense"/>
        </w:rPr>
        <w:instrText xml:space="preserve"> SEQ Figure \* ARABIC </w:instrText>
      </w:r>
      <w:r w:rsidRPr="00C30DE5">
        <w:rPr>
          <w:rStyle w:val="Rfrenceintense"/>
        </w:rPr>
        <w:fldChar w:fldCharType="separate"/>
      </w:r>
      <w:r w:rsidR="00943572">
        <w:rPr>
          <w:rStyle w:val="Rfrenceintense"/>
          <w:noProof/>
        </w:rPr>
        <w:t>3</w:t>
      </w:r>
      <w:r w:rsidRPr="00C30DE5">
        <w:rPr>
          <w:rStyle w:val="Rfrenceintense"/>
        </w:rPr>
        <w:fldChar w:fldCharType="end"/>
      </w:r>
      <w:bookmarkEnd w:id="0"/>
      <w:r w:rsidRPr="00C30DE5">
        <w:rPr>
          <w:rStyle w:val="Rfrenceintense"/>
        </w:rPr>
        <w:t xml:space="preserve">: </w:t>
      </w:r>
      <w:r>
        <w:rPr>
          <w:rStyle w:val="Rfrenceintense"/>
        </w:rPr>
        <w:t>C</w:t>
      </w:r>
      <w:r w:rsidRPr="00C30DE5">
        <w:rPr>
          <w:rStyle w:val="Rfrenceintense"/>
        </w:rPr>
        <w:t>omparisons of fertility trends across sources and methods in Kenya</w:t>
      </w:r>
    </w:p>
    <w:tbl>
      <w:tblPr>
        <w:tblStyle w:val="Grilledutableau"/>
        <w:tblW w:w="0" w:type="auto"/>
        <w:tblLook w:val="04A0" w:firstRow="1" w:lastRow="0" w:firstColumn="1" w:lastColumn="0" w:noHBand="0" w:noVBand="1"/>
      </w:tblPr>
      <w:tblGrid>
        <w:gridCol w:w="8856"/>
      </w:tblGrid>
      <w:tr w:rsidR="001E1BA5" w14:paraId="67C0FD88" w14:textId="77777777" w:rsidTr="0054085F">
        <w:tc>
          <w:tcPr>
            <w:tcW w:w="8856" w:type="dxa"/>
            <w:tcBorders>
              <w:top w:val="nil"/>
              <w:left w:val="nil"/>
              <w:bottom w:val="nil"/>
              <w:right w:val="nil"/>
            </w:tcBorders>
          </w:tcPr>
          <w:p w14:paraId="6BDF11F6" w14:textId="77BECC2A" w:rsidR="001E1BA5" w:rsidRDefault="00900360" w:rsidP="00FA53F4">
            <w:pPr>
              <w:pStyle w:val="Tables"/>
              <w:jc w:val="center"/>
            </w:pPr>
            <w:r>
              <w:rPr>
                <w:noProof/>
                <w:lang w:val="fr-BE" w:eastAsia="fr-BE"/>
              </w:rPr>
              <w:drawing>
                <wp:inline distT="0" distB="0" distL="0" distR="0" wp14:anchorId="5AFB55A9" wp14:editId="34BB6FA3">
                  <wp:extent cx="4012493" cy="4006735"/>
                  <wp:effectExtent l="0" t="0" r="762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2573" cy="4006815"/>
                          </a:xfrm>
                          <a:prstGeom prst="rect">
                            <a:avLst/>
                          </a:prstGeom>
                          <a:noFill/>
                          <a:ln>
                            <a:noFill/>
                          </a:ln>
                        </pic:spPr>
                      </pic:pic>
                    </a:graphicData>
                  </a:graphic>
                </wp:inline>
              </w:drawing>
            </w:r>
          </w:p>
        </w:tc>
      </w:tr>
      <w:tr w:rsidR="001E1BA5" w:rsidRPr="00294728" w14:paraId="1A488A68" w14:textId="77777777" w:rsidTr="0054085F">
        <w:tc>
          <w:tcPr>
            <w:tcW w:w="8856" w:type="dxa"/>
            <w:tcBorders>
              <w:top w:val="nil"/>
              <w:left w:val="nil"/>
              <w:bottom w:val="nil"/>
              <w:right w:val="nil"/>
            </w:tcBorders>
          </w:tcPr>
          <w:p w14:paraId="71CB2B49" w14:textId="3FE64EB9" w:rsidR="001E1BA5" w:rsidRPr="00294728" w:rsidRDefault="00900360" w:rsidP="00FA53F4">
            <w:pPr>
              <w:pStyle w:val="Tables"/>
              <w:jc w:val="center"/>
              <w:rPr>
                <w:noProof/>
                <w:lang w:val="fr-BE" w:eastAsia="fr-BE"/>
              </w:rPr>
            </w:pPr>
            <w:r>
              <w:rPr>
                <w:noProof/>
                <w:lang w:val="fr-BE" w:eastAsia="fr-BE"/>
              </w:rPr>
              <w:drawing>
                <wp:inline distT="0" distB="0" distL="0" distR="0" wp14:anchorId="33A72B27" wp14:editId="0DAD1659">
                  <wp:extent cx="4114800" cy="4098462"/>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013" cy="4097678"/>
                          </a:xfrm>
                          <a:prstGeom prst="rect">
                            <a:avLst/>
                          </a:prstGeom>
                          <a:noFill/>
                          <a:ln>
                            <a:noFill/>
                          </a:ln>
                        </pic:spPr>
                      </pic:pic>
                    </a:graphicData>
                  </a:graphic>
                </wp:inline>
              </w:drawing>
            </w:r>
          </w:p>
        </w:tc>
      </w:tr>
    </w:tbl>
    <w:p w14:paraId="6BF2670F" w14:textId="49E3D1D5" w:rsidR="001E1BA5" w:rsidRDefault="00FA53F4" w:rsidP="00FA53F4">
      <w:pPr>
        <w:pStyle w:val="Tables"/>
        <w:jc w:val="center"/>
      </w:pPr>
      <w:r>
        <w:rPr>
          <w:noProof/>
          <w:sz w:val="16"/>
          <w:lang w:eastAsia="fr-BE"/>
        </w:rPr>
        <w:t>n</w:t>
      </w:r>
      <w:r w:rsidR="001E1BA5" w:rsidRPr="009443D7">
        <w:rPr>
          <w:noProof/>
          <w:sz w:val="16"/>
          <w:lang w:eastAsia="fr-BE"/>
        </w:rPr>
        <w:t xml:space="preserve">.s. decrease : non-significant decrease (p&gt;0.10).  </w:t>
      </w:r>
      <w:r w:rsidR="003D20AC">
        <w:rPr>
          <w:noProof/>
          <w:sz w:val="16"/>
          <w:lang w:eastAsia="fr-BE"/>
        </w:rPr>
        <w:t xml:space="preserve">Grey rectangles </w:t>
      </w:r>
      <w:r w:rsidR="001E1BA5" w:rsidRPr="009443D7">
        <w:rPr>
          <w:noProof/>
          <w:sz w:val="16"/>
          <w:lang w:eastAsia="fr-BE"/>
        </w:rPr>
        <w:t xml:space="preserve">indicate stalls identified </w:t>
      </w:r>
      <w:r w:rsidR="001E1BA5">
        <w:rPr>
          <w:noProof/>
          <w:sz w:val="16"/>
          <w:lang w:eastAsia="fr-BE"/>
        </w:rPr>
        <w:t xml:space="preserve">from published </w:t>
      </w:r>
      <w:r w:rsidR="001E1BA5" w:rsidRPr="009443D7">
        <w:rPr>
          <w:noProof/>
          <w:sz w:val="16"/>
          <w:lang w:eastAsia="fr-BE"/>
        </w:rPr>
        <w:t>DHS estimates.</w:t>
      </w:r>
    </w:p>
    <w:p w14:paraId="1A7D0E89" w14:textId="77777777" w:rsidR="00900360" w:rsidRDefault="00900360" w:rsidP="00FA53F4">
      <w:pPr>
        <w:jc w:val="center"/>
      </w:pPr>
      <w:r>
        <w:br w:type="page"/>
      </w:r>
    </w:p>
    <w:tbl>
      <w:tblPr>
        <w:tblStyle w:val="Grilledutableau"/>
        <w:tblW w:w="0" w:type="auto"/>
        <w:tblLook w:val="04A0" w:firstRow="1" w:lastRow="0" w:firstColumn="1" w:lastColumn="0" w:noHBand="0" w:noVBand="1"/>
      </w:tblPr>
      <w:tblGrid>
        <w:gridCol w:w="8856"/>
      </w:tblGrid>
      <w:tr w:rsidR="001E1BA5" w:rsidRPr="00294728" w14:paraId="260B1659" w14:textId="77777777" w:rsidTr="0054085F">
        <w:tc>
          <w:tcPr>
            <w:tcW w:w="8856" w:type="dxa"/>
            <w:tcBorders>
              <w:top w:val="nil"/>
              <w:left w:val="nil"/>
              <w:bottom w:val="nil"/>
              <w:right w:val="nil"/>
            </w:tcBorders>
          </w:tcPr>
          <w:p w14:paraId="4D689BE4" w14:textId="15B6A24D" w:rsidR="001E1BA5" w:rsidRDefault="001E1BA5" w:rsidP="00FA53F4">
            <w:pPr>
              <w:pStyle w:val="Tables"/>
              <w:jc w:val="center"/>
            </w:pPr>
          </w:p>
          <w:p w14:paraId="413153D1" w14:textId="77777777" w:rsidR="001E1BA5" w:rsidRPr="00C30DE5" w:rsidRDefault="001E1BA5" w:rsidP="00FA53F4">
            <w:pPr>
              <w:spacing w:after="0" w:line="240" w:lineRule="auto"/>
              <w:jc w:val="center"/>
              <w:rPr>
                <w:rStyle w:val="Rfrenceintense"/>
                <w:szCs w:val="22"/>
              </w:rPr>
            </w:pPr>
            <w:bookmarkStart w:id="1" w:name="_Ref516078175"/>
            <w:r w:rsidRPr="00C30DE5">
              <w:rPr>
                <w:rStyle w:val="Rfrenceintense"/>
                <w:szCs w:val="22"/>
              </w:rPr>
              <w:t xml:space="preserve">Figure </w:t>
            </w:r>
            <w:r w:rsidRPr="00C30DE5">
              <w:rPr>
                <w:rStyle w:val="Rfrenceintense"/>
              </w:rPr>
              <w:fldChar w:fldCharType="begin"/>
            </w:r>
            <w:r w:rsidRPr="00C30DE5">
              <w:rPr>
                <w:rStyle w:val="Rfrenceintense"/>
                <w:szCs w:val="22"/>
              </w:rPr>
              <w:instrText xml:space="preserve"> SEQ Figure \* ARABIC </w:instrText>
            </w:r>
            <w:r w:rsidRPr="00C30DE5">
              <w:rPr>
                <w:rStyle w:val="Rfrenceintense"/>
              </w:rPr>
              <w:fldChar w:fldCharType="separate"/>
            </w:r>
            <w:r w:rsidR="00943572">
              <w:rPr>
                <w:rStyle w:val="Rfrenceintense"/>
                <w:noProof/>
                <w:szCs w:val="22"/>
              </w:rPr>
              <w:t>4</w:t>
            </w:r>
            <w:r w:rsidRPr="00C30DE5">
              <w:rPr>
                <w:rStyle w:val="Rfrenceintense"/>
              </w:rPr>
              <w:fldChar w:fldCharType="end"/>
            </w:r>
            <w:bookmarkEnd w:id="1"/>
            <w:r w:rsidRPr="00C30DE5">
              <w:rPr>
                <w:rStyle w:val="Rfrenceintense"/>
                <w:szCs w:val="22"/>
              </w:rPr>
              <w:t xml:space="preserve">: </w:t>
            </w:r>
            <w:r>
              <w:rPr>
                <w:rStyle w:val="Rfrenceintense"/>
                <w:szCs w:val="22"/>
              </w:rPr>
              <w:t>C</w:t>
            </w:r>
            <w:r w:rsidRPr="00C30DE5">
              <w:rPr>
                <w:rStyle w:val="Rfrenceintense"/>
                <w:szCs w:val="22"/>
              </w:rPr>
              <w:t>omparisons of fertility trends across sources and methods in Ghana</w:t>
            </w:r>
          </w:p>
          <w:p w14:paraId="1C695889" w14:textId="0CCAED69" w:rsidR="001E1BA5" w:rsidRDefault="001E1BA5" w:rsidP="00FA53F4">
            <w:pPr>
              <w:pStyle w:val="Tables"/>
              <w:jc w:val="center"/>
            </w:pPr>
            <w:r>
              <w:br w:type="page"/>
            </w:r>
            <w:r w:rsidR="00931B6A">
              <w:rPr>
                <w:noProof/>
                <w:lang w:val="fr-BE" w:eastAsia="fr-BE"/>
              </w:rPr>
              <w:drawing>
                <wp:inline distT="0" distB="0" distL="0" distR="0" wp14:anchorId="02C1CAF6" wp14:editId="1C443260">
                  <wp:extent cx="4201674" cy="4189615"/>
                  <wp:effectExtent l="0" t="0" r="8890" b="190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1801" cy="4189741"/>
                          </a:xfrm>
                          <a:prstGeom prst="rect">
                            <a:avLst/>
                          </a:prstGeom>
                          <a:noFill/>
                          <a:ln>
                            <a:noFill/>
                          </a:ln>
                        </pic:spPr>
                      </pic:pic>
                    </a:graphicData>
                  </a:graphic>
                </wp:inline>
              </w:drawing>
            </w:r>
          </w:p>
          <w:p w14:paraId="107650EC" w14:textId="1362E9F6" w:rsidR="001E1BA5" w:rsidRDefault="00931B6A" w:rsidP="00FA53F4">
            <w:pPr>
              <w:pStyle w:val="Tables"/>
              <w:jc w:val="center"/>
              <w:rPr>
                <w:noProof/>
                <w:lang w:val="fr-BE" w:eastAsia="fr-BE"/>
              </w:rPr>
            </w:pPr>
            <w:r>
              <w:rPr>
                <w:noProof/>
                <w:lang w:val="fr-BE" w:eastAsia="fr-BE"/>
              </w:rPr>
              <w:drawing>
                <wp:inline distT="0" distB="0" distL="0" distR="0" wp14:anchorId="38A20AE1" wp14:editId="067D3039">
                  <wp:extent cx="4207879" cy="4219939"/>
                  <wp:effectExtent l="0" t="0" r="254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0448" cy="4222515"/>
                          </a:xfrm>
                          <a:prstGeom prst="rect">
                            <a:avLst/>
                          </a:prstGeom>
                          <a:noFill/>
                          <a:ln>
                            <a:noFill/>
                          </a:ln>
                        </pic:spPr>
                      </pic:pic>
                    </a:graphicData>
                  </a:graphic>
                </wp:inline>
              </w:drawing>
            </w:r>
          </w:p>
        </w:tc>
      </w:tr>
    </w:tbl>
    <w:p w14:paraId="1265190B" w14:textId="41D47643" w:rsidR="001E1BA5" w:rsidRDefault="00FA53F4" w:rsidP="00FA53F4">
      <w:pPr>
        <w:pStyle w:val="Tables"/>
        <w:jc w:val="center"/>
      </w:pPr>
      <w:r>
        <w:rPr>
          <w:noProof/>
          <w:sz w:val="16"/>
          <w:lang w:eastAsia="fr-BE"/>
        </w:rPr>
        <w:t>n</w:t>
      </w:r>
      <w:r w:rsidR="001E1BA5" w:rsidRPr="009443D7">
        <w:rPr>
          <w:noProof/>
          <w:sz w:val="16"/>
          <w:lang w:eastAsia="fr-BE"/>
        </w:rPr>
        <w:t xml:space="preserve">.s. decrease : non-significant decrease (p&gt;0.10).  </w:t>
      </w:r>
      <w:r w:rsidR="003D20AC">
        <w:rPr>
          <w:noProof/>
          <w:sz w:val="16"/>
          <w:lang w:eastAsia="fr-BE"/>
        </w:rPr>
        <w:t xml:space="preserve">Grey rectangles </w:t>
      </w:r>
      <w:r w:rsidR="001E1BA5" w:rsidRPr="009443D7">
        <w:rPr>
          <w:noProof/>
          <w:sz w:val="16"/>
          <w:lang w:eastAsia="fr-BE"/>
        </w:rPr>
        <w:t xml:space="preserve">indicate stalls identified </w:t>
      </w:r>
      <w:r w:rsidR="001E1BA5">
        <w:rPr>
          <w:noProof/>
          <w:sz w:val="16"/>
          <w:lang w:eastAsia="fr-BE"/>
        </w:rPr>
        <w:t xml:space="preserve">from published </w:t>
      </w:r>
      <w:r w:rsidR="001E1BA5" w:rsidRPr="009443D7">
        <w:rPr>
          <w:noProof/>
          <w:sz w:val="16"/>
          <w:lang w:eastAsia="fr-BE"/>
        </w:rPr>
        <w:t>DHS estimates.</w:t>
      </w:r>
    </w:p>
    <w:p w14:paraId="4B7E8420" w14:textId="77777777" w:rsidR="001E1BA5" w:rsidRDefault="001E1BA5" w:rsidP="00FA53F4">
      <w:pPr>
        <w:pStyle w:val="Tables"/>
        <w:jc w:val="cente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1E1BA5" w:rsidRPr="00294728" w14:paraId="08D57691" w14:textId="77777777" w:rsidTr="0054085F">
        <w:tc>
          <w:tcPr>
            <w:tcW w:w="8856" w:type="dxa"/>
          </w:tcPr>
          <w:p w14:paraId="4F9FA441" w14:textId="77777777" w:rsidR="001E1BA5" w:rsidRPr="00C30DE5" w:rsidRDefault="001E1BA5" w:rsidP="00FA53F4">
            <w:pPr>
              <w:spacing w:after="0"/>
              <w:jc w:val="center"/>
              <w:rPr>
                <w:rStyle w:val="Rfrenceintense"/>
                <w:szCs w:val="22"/>
              </w:rPr>
            </w:pPr>
            <w:bookmarkStart w:id="2" w:name="_Ref516078214"/>
            <w:r w:rsidRPr="00C30DE5">
              <w:rPr>
                <w:rStyle w:val="Rfrenceintense"/>
                <w:szCs w:val="22"/>
              </w:rPr>
              <w:t xml:space="preserve">Figure </w:t>
            </w:r>
            <w:r w:rsidRPr="00BB37E3">
              <w:rPr>
                <w:rStyle w:val="Rfrenceintense"/>
              </w:rPr>
              <w:fldChar w:fldCharType="begin"/>
            </w:r>
            <w:r w:rsidRPr="00C30DE5">
              <w:rPr>
                <w:rStyle w:val="Rfrenceintense"/>
                <w:szCs w:val="22"/>
              </w:rPr>
              <w:instrText xml:space="preserve"> SEQ Figure \* ARABIC </w:instrText>
            </w:r>
            <w:r w:rsidRPr="00BB37E3">
              <w:rPr>
                <w:rStyle w:val="Rfrenceintense"/>
              </w:rPr>
              <w:fldChar w:fldCharType="separate"/>
            </w:r>
            <w:r w:rsidR="00943572">
              <w:rPr>
                <w:rStyle w:val="Rfrenceintense"/>
                <w:noProof/>
                <w:szCs w:val="22"/>
              </w:rPr>
              <w:t>5</w:t>
            </w:r>
            <w:r w:rsidRPr="00BB37E3">
              <w:rPr>
                <w:rStyle w:val="Rfrenceintense"/>
              </w:rPr>
              <w:fldChar w:fldCharType="end"/>
            </w:r>
            <w:bookmarkEnd w:id="2"/>
            <w:r w:rsidRPr="00C30DE5">
              <w:rPr>
                <w:rStyle w:val="Rfrenceintense"/>
                <w:szCs w:val="22"/>
              </w:rPr>
              <w:t xml:space="preserve">: </w:t>
            </w:r>
            <w:r>
              <w:rPr>
                <w:rStyle w:val="Rfrenceintense"/>
                <w:szCs w:val="22"/>
              </w:rPr>
              <w:t>C</w:t>
            </w:r>
            <w:r w:rsidRPr="00C30DE5">
              <w:rPr>
                <w:rStyle w:val="Rfrenceintense"/>
                <w:szCs w:val="22"/>
              </w:rPr>
              <w:t>omparisons of fertility trends across sources and methods in Tanzania</w:t>
            </w:r>
          </w:p>
          <w:p w14:paraId="3A6D2948" w14:textId="75E56B80" w:rsidR="001E1BA5" w:rsidRPr="001D7DA5" w:rsidRDefault="001E1BA5" w:rsidP="00FA53F4">
            <w:pPr>
              <w:pStyle w:val="Tables"/>
              <w:jc w:val="center"/>
              <w:rPr>
                <w:noProof/>
                <w:lang w:eastAsia="fr-BE"/>
              </w:rPr>
            </w:pPr>
            <w:r>
              <w:br w:type="page"/>
            </w:r>
            <w:r>
              <w:rPr>
                <w:szCs w:val="22"/>
              </w:rPr>
              <w:br w:type="page"/>
            </w:r>
            <w:r w:rsidR="00B71153">
              <w:rPr>
                <w:noProof/>
                <w:szCs w:val="22"/>
                <w:lang w:val="fr-BE" w:eastAsia="fr-BE"/>
              </w:rPr>
              <w:drawing>
                <wp:inline distT="0" distB="0" distL="0" distR="0" wp14:anchorId="37DC9D11" wp14:editId="540F9640">
                  <wp:extent cx="3798916" cy="3780902"/>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7241" cy="3779235"/>
                          </a:xfrm>
                          <a:prstGeom prst="rect">
                            <a:avLst/>
                          </a:prstGeom>
                          <a:noFill/>
                          <a:ln>
                            <a:noFill/>
                          </a:ln>
                        </pic:spPr>
                      </pic:pic>
                    </a:graphicData>
                  </a:graphic>
                </wp:inline>
              </w:drawing>
            </w:r>
          </w:p>
        </w:tc>
      </w:tr>
      <w:tr w:rsidR="001E1BA5" w:rsidRPr="00294728" w14:paraId="25389EFD" w14:textId="77777777" w:rsidTr="0054085F">
        <w:tc>
          <w:tcPr>
            <w:tcW w:w="8856" w:type="dxa"/>
          </w:tcPr>
          <w:p w14:paraId="00325020" w14:textId="21134A8F" w:rsidR="001E1BA5" w:rsidRDefault="001E1BA5" w:rsidP="00FA53F4">
            <w:pPr>
              <w:pStyle w:val="Tables"/>
              <w:jc w:val="center"/>
              <w:rPr>
                <w:noProof/>
                <w:lang w:val="fr-BE" w:eastAsia="fr-BE"/>
              </w:rPr>
            </w:pPr>
            <w:r>
              <w:rPr>
                <w:szCs w:val="22"/>
              </w:rPr>
              <w:br w:type="page"/>
            </w:r>
            <w:r w:rsidR="003C7297">
              <w:rPr>
                <w:noProof/>
                <w:szCs w:val="22"/>
                <w:lang w:val="fr-BE" w:eastAsia="fr-BE"/>
              </w:rPr>
              <w:drawing>
                <wp:inline distT="0" distB="0" distL="0" distR="0" wp14:anchorId="01BA4CFC" wp14:editId="46201E0E">
                  <wp:extent cx="3757352" cy="3739536"/>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55912" cy="3738103"/>
                          </a:xfrm>
                          <a:prstGeom prst="rect">
                            <a:avLst/>
                          </a:prstGeom>
                          <a:noFill/>
                          <a:ln>
                            <a:noFill/>
                          </a:ln>
                        </pic:spPr>
                      </pic:pic>
                    </a:graphicData>
                  </a:graphic>
                </wp:inline>
              </w:drawing>
            </w:r>
          </w:p>
        </w:tc>
      </w:tr>
    </w:tbl>
    <w:p w14:paraId="08380EB5" w14:textId="6A1793D1" w:rsidR="001E1BA5" w:rsidRDefault="00FA53F4" w:rsidP="00FA53F4">
      <w:pPr>
        <w:pStyle w:val="Tables"/>
        <w:jc w:val="center"/>
      </w:pPr>
      <w:r>
        <w:rPr>
          <w:noProof/>
          <w:sz w:val="16"/>
          <w:lang w:eastAsia="fr-BE"/>
        </w:rPr>
        <w:t>n</w:t>
      </w:r>
      <w:r w:rsidR="001E1BA5" w:rsidRPr="009443D7">
        <w:rPr>
          <w:noProof/>
          <w:sz w:val="16"/>
          <w:lang w:eastAsia="fr-BE"/>
        </w:rPr>
        <w:t xml:space="preserve">.s. decrease : non-significant decrease (p&gt;0.10).  </w:t>
      </w:r>
      <w:r w:rsidR="003D20AC">
        <w:rPr>
          <w:noProof/>
          <w:sz w:val="16"/>
          <w:lang w:eastAsia="fr-BE"/>
        </w:rPr>
        <w:t xml:space="preserve">Grey rectangles </w:t>
      </w:r>
      <w:r w:rsidR="001E1BA5" w:rsidRPr="009443D7">
        <w:rPr>
          <w:noProof/>
          <w:sz w:val="16"/>
          <w:lang w:eastAsia="fr-BE"/>
        </w:rPr>
        <w:t xml:space="preserve">indicate stalls identified </w:t>
      </w:r>
      <w:r w:rsidR="001E1BA5">
        <w:rPr>
          <w:noProof/>
          <w:sz w:val="16"/>
          <w:lang w:eastAsia="fr-BE"/>
        </w:rPr>
        <w:t xml:space="preserve">from published </w:t>
      </w:r>
      <w:r w:rsidR="001E1BA5" w:rsidRPr="009443D7">
        <w:rPr>
          <w:noProof/>
          <w:sz w:val="16"/>
          <w:lang w:eastAsia="fr-BE"/>
        </w:rPr>
        <w:t>DHS estimates.</w:t>
      </w:r>
    </w:p>
    <w:p w14:paraId="15B57722" w14:textId="194B8F5A" w:rsidR="00030EBE" w:rsidRPr="00C30DE5" w:rsidRDefault="00030EBE" w:rsidP="00FA53F4">
      <w:pPr>
        <w:spacing w:after="200" w:line="276" w:lineRule="auto"/>
        <w:jc w:val="center"/>
        <w:rPr>
          <w:rStyle w:val="Rfrenceintense"/>
        </w:rPr>
      </w:pPr>
      <w:r>
        <w:rPr>
          <w:rStyle w:val="Rfrenceintense"/>
        </w:rPr>
        <w:br w:type="page"/>
      </w:r>
      <w:r w:rsidRPr="00C30DE5">
        <w:rPr>
          <w:rStyle w:val="Rfrenceintense"/>
        </w:rPr>
        <w:lastRenderedPageBreak/>
        <w:t xml:space="preserve">Figure </w:t>
      </w:r>
      <w:r w:rsidRPr="00C30DE5">
        <w:rPr>
          <w:rStyle w:val="Rfrenceintense"/>
        </w:rPr>
        <w:fldChar w:fldCharType="begin"/>
      </w:r>
      <w:r w:rsidRPr="00C30DE5">
        <w:rPr>
          <w:rStyle w:val="Rfrenceintense"/>
        </w:rPr>
        <w:instrText xml:space="preserve"> SEQ Figure \* ARABIC </w:instrText>
      </w:r>
      <w:r w:rsidRPr="00C30DE5">
        <w:rPr>
          <w:rStyle w:val="Rfrenceintense"/>
        </w:rPr>
        <w:fldChar w:fldCharType="separate"/>
      </w:r>
      <w:r w:rsidR="00943572">
        <w:rPr>
          <w:rStyle w:val="Rfrenceintense"/>
          <w:noProof/>
        </w:rPr>
        <w:t>6</w:t>
      </w:r>
      <w:r w:rsidRPr="00C30DE5">
        <w:rPr>
          <w:rStyle w:val="Rfrenceintense"/>
        </w:rPr>
        <w:fldChar w:fldCharType="end"/>
      </w:r>
      <w:r w:rsidRPr="00C30DE5">
        <w:rPr>
          <w:rStyle w:val="Rfrenceintense"/>
        </w:rPr>
        <w:t xml:space="preserve">: </w:t>
      </w:r>
      <w:r>
        <w:rPr>
          <w:rStyle w:val="Rfrenceintense"/>
        </w:rPr>
        <w:t>C</w:t>
      </w:r>
      <w:r w:rsidRPr="00C30DE5">
        <w:rPr>
          <w:rStyle w:val="Rfrenceintense"/>
        </w:rPr>
        <w:t>omparisons of fertility trends across sources and methods in Mozambique</w:t>
      </w:r>
    </w:p>
    <w:tbl>
      <w:tblPr>
        <w:tblStyle w:val="Grilledutableau"/>
        <w:tblW w:w="0" w:type="auto"/>
        <w:tblLook w:val="04A0" w:firstRow="1" w:lastRow="0" w:firstColumn="1" w:lastColumn="0" w:noHBand="0" w:noVBand="1"/>
      </w:tblPr>
      <w:tblGrid>
        <w:gridCol w:w="8856"/>
      </w:tblGrid>
      <w:tr w:rsidR="00030EBE" w14:paraId="64624A6F" w14:textId="77777777" w:rsidTr="00030EBE">
        <w:tc>
          <w:tcPr>
            <w:tcW w:w="8856" w:type="dxa"/>
            <w:tcBorders>
              <w:top w:val="nil"/>
              <w:left w:val="nil"/>
              <w:bottom w:val="nil"/>
              <w:right w:val="nil"/>
            </w:tcBorders>
          </w:tcPr>
          <w:p w14:paraId="6DA81609" w14:textId="3E659F09" w:rsidR="00030EBE" w:rsidRDefault="00694A07" w:rsidP="00FA53F4">
            <w:pPr>
              <w:pStyle w:val="Tables"/>
              <w:jc w:val="center"/>
            </w:pPr>
            <w:r>
              <w:rPr>
                <w:noProof/>
                <w:lang w:val="fr-BE" w:eastAsia="fr-BE"/>
              </w:rPr>
              <w:drawing>
                <wp:inline distT="0" distB="0" distL="0" distR="0" wp14:anchorId="65F4C31D" wp14:editId="51AD10C6">
                  <wp:extent cx="3674225" cy="3674225"/>
                  <wp:effectExtent l="0" t="0" r="2540" b="25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4262" cy="3674262"/>
                          </a:xfrm>
                          <a:prstGeom prst="rect">
                            <a:avLst/>
                          </a:prstGeom>
                          <a:noFill/>
                          <a:ln>
                            <a:noFill/>
                          </a:ln>
                        </pic:spPr>
                      </pic:pic>
                    </a:graphicData>
                  </a:graphic>
                </wp:inline>
              </w:drawing>
            </w:r>
          </w:p>
        </w:tc>
      </w:tr>
      <w:tr w:rsidR="00030EBE" w:rsidRPr="00294728" w14:paraId="6E0D76C5" w14:textId="77777777" w:rsidTr="00030EBE">
        <w:tc>
          <w:tcPr>
            <w:tcW w:w="8856" w:type="dxa"/>
            <w:tcBorders>
              <w:top w:val="nil"/>
              <w:left w:val="nil"/>
              <w:bottom w:val="nil"/>
              <w:right w:val="nil"/>
            </w:tcBorders>
          </w:tcPr>
          <w:p w14:paraId="29CE6535" w14:textId="25AA675B" w:rsidR="00030EBE" w:rsidRPr="00294728" w:rsidRDefault="00030EBE" w:rsidP="00FA53F4">
            <w:pPr>
              <w:pStyle w:val="Tables"/>
              <w:jc w:val="center"/>
              <w:rPr>
                <w:noProof/>
                <w:lang w:val="fr-BE" w:eastAsia="fr-BE"/>
              </w:rPr>
            </w:pPr>
            <w:r>
              <w:rPr>
                <w:noProof/>
                <w:lang w:val="fr-BE" w:eastAsia="fr-BE"/>
              </w:rPr>
              <w:drawing>
                <wp:inline distT="0" distB="0" distL="0" distR="0" wp14:anchorId="17712273" wp14:editId="4B627074">
                  <wp:extent cx="3677335" cy="3671251"/>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76383" cy="3670300"/>
                          </a:xfrm>
                          <a:prstGeom prst="rect">
                            <a:avLst/>
                          </a:prstGeom>
                          <a:noFill/>
                          <a:ln>
                            <a:noFill/>
                          </a:ln>
                        </pic:spPr>
                      </pic:pic>
                    </a:graphicData>
                  </a:graphic>
                </wp:inline>
              </w:drawing>
            </w:r>
          </w:p>
        </w:tc>
      </w:tr>
    </w:tbl>
    <w:p w14:paraId="15925F93" w14:textId="0AE27112" w:rsidR="00030EBE" w:rsidRPr="00771163" w:rsidRDefault="00FA53F4" w:rsidP="00FA53F4">
      <w:pPr>
        <w:pStyle w:val="Tables"/>
        <w:jc w:val="center"/>
      </w:pPr>
      <w:r>
        <w:rPr>
          <w:noProof/>
          <w:sz w:val="16"/>
          <w:lang w:eastAsia="fr-BE"/>
        </w:rPr>
        <w:t>n</w:t>
      </w:r>
      <w:r w:rsidR="00030EBE" w:rsidRPr="009443D7">
        <w:rPr>
          <w:noProof/>
          <w:sz w:val="16"/>
          <w:lang w:eastAsia="fr-BE"/>
        </w:rPr>
        <w:t xml:space="preserve">.s. decrease : non-significant decrease (p&gt;0.10).  </w:t>
      </w:r>
      <w:r w:rsidR="00C239BC">
        <w:rPr>
          <w:noProof/>
          <w:sz w:val="16"/>
          <w:lang w:eastAsia="fr-BE"/>
        </w:rPr>
        <w:t xml:space="preserve">Grey rectangles </w:t>
      </w:r>
      <w:r w:rsidR="00030EBE" w:rsidRPr="009443D7">
        <w:rPr>
          <w:noProof/>
          <w:sz w:val="16"/>
          <w:lang w:eastAsia="fr-BE"/>
        </w:rPr>
        <w:t xml:space="preserve">indicate stalls identified </w:t>
      </w:r>
      <w:r w:rsidR="00030EBE">
        <w:rPr>
          <w:noProof/>
          <w:sz w:val="16"/>
          <w:lang w:eastAsia="fr-BE"/>
        </w:rPr>
        <w:t xml:space="preserve">from published </w:t>
      </w:r>
      <w:r w:rsidR="00030EBE" w:rsidRPr="009443D7">
        <w:rPr>
          <w:noProof/>
          <w:sz w:val="16"/>
          <w:lang w:eastAsia="fr-BE"/>
        </w:rPr>
        <w:t>DHS estimates.</w:t>
      </w:r>
    </w:p>
    <w:p w14:paraId="0A4F0D14" w14:textId="77777777" w:rsidR="00030EBE" w:rsidRPr="00030EBE" w:rsidRDefault="00030EBE" w:rsidP="00925A7A">
      <w:pPr>
        <w:jc w:val="left"/>
      </w:pPr>
    </w:p>
    <w:p w14:paraId="381A9AF2" w14:textId="790851CF" w:rsidR="00030EBE" w:rsidRPr="00B71153" w:rsidRDefault="00030EBE" w:rsidP="00925A7A">
      <w:pPr>
        <w:jc w:val="left"/>
      </w:pPr>
    </w:p>
    <w:p w14:paraId="09A9405D" w14:textId="258EA2F4" w:rsidR="005B18E3" w:rsidRDefault="005B18E3" w:rsidP="00FA53F4">
      <w:pPr>
        <w:jc w:val="center"/>
      </w:pPr>
      <w:r>
        <w:lastRenderedPageBreak/>
        <w:t>(</w:t>
      </w:r>
      <w:r w:rsidR="00D55F13">
        <w:t>Table 4</w:t>
      </w:r>
      <w:r>
        <w:t>)</w:t>
      </w:r>
    </w:p>
    <w:p w14:paraId="3D16EC8D" w14:textId="6CE1BC10" w:rsidR="0095780C" w:rsidRDefault="00EB7E8D" w:rsidP="00925A7A">
      <w:pPr>
        <w:jc w:val="left"/>
      </w:pPr>
      <w:r>
        <w:t xml:space="preserve">In the late 1980s and early 1990s, published DHS estimates (red dots) indicate a significant decline. </w:t>
      </w:r>
      <w:r w:rsidR="003E0950">
        <w:t>T</w:t>
      </w:r>
      <w:r>
        <w:t xml:space="preserve">hree stalls </w:t>
      </w:r>
      <w:r w:rsidR="003E0950">
        <w:t>(</w:t>
      </w:r>
      <w:r w:rsidR="00943572">
        <w:t>grey rectangles</w:t>
      </w:r>
      <w:r w:rsidR="003E0950">
        <w:t xml:space="preserve">) </w:t>
      </w:r>
      <w:r>
        <w:t xml:space="preserve">are found with published DHS, </w:t>
      </w:r>
      <w:r w:rsidR="003E0950">
        <w:t xml:space="preserve">from </w:t>
      </w:r>
      <w:r>
        <w:t>the late 1990s until the latest DHS in 2015. Reconstructed fertility trends are fairly consistent with published fertility trends, indicating good data</w:t>
      </w:r>
      <w:r w:rsidR="00DB0EBD">
        <w:t xml:space="preserve"> quality</w:t>
      </w:r>
      <w:r>
        <w:t xml:space="preserve">. According to the reconstructed trends, fertility has stalled </w:t>
      </w:r>
      <w:r w:rsidR="00947217">
        <w:t xml:space="preserve">since </w:t>
      </w:r>
      <w:r>
        <w:t xml:space="preserve">2006. </w:t>
      </w:r>
      <w:r w:rsidR="000E7722">
        <w:t xml:space="preserve">The two most recent </w:t>
      </w:r>
      <w:r>
        <w:t xml:space="preserve">periods of stalling fertility identified with published data are thus confirmed with reconstructed data. </w:t>
      </w:r>
      <w:r w:rsidR="000E7722">
        <w:t xml:space="preserve">The B1 index summarizes these results. It is equal to -1 in the first two periods (clear decline), +1 in the two most recent periods (clear stall), and </w:t>
      </w:r>
      <w:r w:rsidR="00725AED">
        <w:t>-0.25</w:t>
      </w:r>
      <w:r w:rsidR="000E7722">
        <w:t xml:space="preserve"> between 1999 and 2005.</w:t>
      </w:r>
      <w:r w:rsidR="00DB0EBD">
        <w:t xml:space="preserve"> </w:t>
      </w:r>
      <w:r w:rsidR="0095780C">
        <w:t>Three</w:t>
      </w:r>
      <w:r>
        <w:t xml:space="preserve"> other </w:t>
      </w:r>
      <w:r w:rsidR="000E7722">
        <w:t>sources</w:t>
      </w:r>
      <w:r>
        <w:t xml:space="preserve"> are available in Zimbabwe </w:t>
      </w:r>
      <w:r w:rsidR="0095780C">
        <w:t xml:space="preserve">to measure fertility trends </w:t>
      </w:r>
      <w:r>
        <w:t>(</w:t>
      </w:r>
      <w:r w:rsidR="00D55F13">
        <w:t>Figure 2</w:t>
      </w:r>
      <w:r>
        <w:t xml:space="preserve">): reconstructed </w:t>
      </w:r>
      <w:r w:rsidR="00DB0EBD">
        <w:t xml:space="preserve">trends </w:t>
      </w:r>
      <w:r>
        <w:t>from two MICS, reverse</w:t>
      </w:r>
      <w:r w:rsidR="00947217">
        <w:t>-</w:t>
      </w:r>
      <w:r>
        <w:t xml:space="preserve">survival estimates from census data, </w:t>
      </w:r>
      <w:r w:rsidR="0095780C">
        <w:t xml:space="preserve">and </w:t>
      </w:r>
      <w:r>
        <w:t xml:space="preserve">census estimates based </w:t>
      </w:r>
      <w:r w:rsidR="0095780C">
        <w:t>on births in the last 12 months</w:t>
      </w:r>
      <w:r>
        <w:t xml:space="preserve">. In the first period (between the </w:t>
      </w:r>
      <w:r w:rsidR="0087559A">
        <w:t xml:space="preserve">1988 </w:t>
      </w:r>
      <w:r>
        <w:t xml:space="preserve">and 1994 DHS), </w:t>
      </w:r>
      <w:r w:rsidR="00725AED">
        <w:t xml:space="preserve">two </w:t>
      </w:r>
      <w:r w:rsidR="000E7722">
        <w:t xml:space="preserve">sources </w:t>
      </w:r>
      <w:r>
        <w:t xml:space="preserve">are available </w:t>
      </w:r>
      <w:r w:rsidR="002C2CC4">
        <w:t>and indicate a fertility decline</w:t>
      </w:r>
      <w:r w:rsidR="00EB5E6B">
        <w:t xml:space="preserve"> (B2=-0.</w:t>
      </w:r>
      <w:r w:rsidR="00725AED">
        <w:t>75</w:t>
      </w:r>
      <w:r w:rsidR="00EB5E6B">
        <w:t>)</w:t>
      </w:r>
      <w:r w:rsidR="002C2CC4">
        <w:t>. Between 1994</w:t>
      </w:r>
      <w:r w:rsidR="00947217">
        <w:t>–</w:t>
      </w:r>
      <w:r w:rsidR="002C2CC4">
        <w:t>1999 and 1999</w:t>
      </w:r>
      <w:r w:rsidR="00947217">
        <w:t>–</w:t>
      </w:r>
      <w:r w:rsidR="002C2CC4">
        <w:t xml:space="preserve">2005, the </w:t>
      </w:r>
      <w:r w:rsidR="00725AED">
        <w:t xml:space="preserve">three </w:t>
      </w:r>
      <w:r w:rsidR="002C2CC4">
        <w:t xml:space="preserve">sources are not perfectly consistent, but suggest </w:t>
      </w:r>
      <w:r w:rsidR="00947217">
        <w:t xml:space="preserve">that </w:t>
      </w:r>
      <w:r w:rsidR="002C2CC4">
        <w:t>fertility decreased</w:t>
      </w:r>
      <w:r w:rsidR="00EB5E6B">
        <w:t xml:space="preserve"> (B2=-0.</w:t>
      </w:r>
      <w:r w:rsidR="00725AED">
        <w:t>17</w:t>
      </w:r>
      <w:r w:rsidR="00EB5E6B">
        <w:t xml:space="preserve"> and B2=-0.6</w:t>
      </w:r>
      <w:r w:rsidR="00725AED">
        <w:t>7</w:t>
      </w:r>
      <w:r w:rsidR="00EB5E6B">
        <w:t xml:space="preserve"> respectively)</w:t>
      </w:r>
      <w:r w:rsidR="002C2CC4">
        <w:t xml:space="preserve">. In contrast, in the two most recent periods, these other sources </w:t>
      </w:r>
      <w:r w:rsidR="00E13923">
        <w:t>indicate</w:t>
      </w:r>
      <w:r w:rsidR="002C2CC4">
        <w:t xml:space="preserve"> </w:t>
      </w:r>
      <w:r w:rsidR="00947217">
        <w:t xml:space="preserve">that </w:t>
      </w:r>
      <w:r w:rsidR="002C2CC4">
        <w:t xml:space="preserve">fertility stalled. Between 2005 and 2011, all </w:t>
      </w:r>
      <w:r w:rsidR="00725AED">
        <w:t xml:space="preserve">three </w:t>
      </w:r>
      <w:r w:rsidR="002C2CC4">
        <w:t>sources indicate a stall, and the B2 index is at its maximum</w:t>
      </w:r>
      <w:r w:rsidR="00EB5E6B">
        <w:t xml:space="preserve"> (B2=1)</w:t>
      </w:r>
      <w:r w:rsidR="002C2CC4">
        <w:t xml:space="preserve">. Between 2011 and 2015, </w:t>
      </w:r>
      <w:r w:rsidR="00725AED">
        <w:t xml:space="preserve">these </w:t>
      </w:r>
      <w:r w:rsidR="002C2CC4">
        <w:t>sources suggest a stall, but their consistency is not perfect</w:t>
      </w:r>
      <w:r w:rsidR="00EB5E6B">
        <w:t xml:space="preserve"> (B</w:t>
      </w:r>
      <w:r w:rsidR="00725AED">
        <w:t>2=</w:t>
      </w:r>
      <w:r w:rsidR="00EB5E6B">
        <w:t>0.</w:t>
      </w:r>
      <w:r w:rsidR="00725AED">
        <w:t>67</w:t>
      </w:r>
      <w:r w:rsidR="00EB5E6B">
        <w:t>)</w:t>
      </w:r>
      <w:r w:rsidR="002C2CC4">
        <w:t xml:space="preserve">. </w:t>
      </w:r>
      <w:r w:rsidR="00725AED">
        <w:t xml:space="preserve">Fertility trends predicted from the </w:t>
      </w:r>
      <w:r w:rsidR="002C2CC4">
        <w:t xml:space="preserve">Bongaarts </w:t>
      </w:r>
      <w:r w:rsidR="00725AED">
        <w:t>are overall consistent with trends from other sources, but not for the most recent period</w:t>
      </w:r>
      <w:r w:rsidR="002C2CC4">
        <w:t xml:space="preserve">. In summary, these data provide unambiguous evidence for </w:t>
      </w:r>
      <w:r w:rsidR="00947217">
        <w:t xml:space="preserve">a </w:t>
      </w:r>
      <w:r w:rsidR="002C2CC4">
        <w:t xml:space="preserve">stall in Zimbabwe between the 2005 and 2011 surveys, and strong evidence for </w:t>
      </w:r>
      <w:r w:rsidR="00947217">
        <w:t>one</w:t>
      </w:r>
      <w:r w:rsidR="002C2CC4">
        <w:t xml:space="preserve"> between </w:t>
      </w:r>
      <w:r w:rsidR="00725AED">
        <w:t>2011 and 201</w:t>
      </w:r>
      <w:r w:rsidR="002C2CC4">
        <w:t>5.</w:t>
      </w:r>
      <w:r w:rsidR="0095780C">
        <w:t xml:space="preserve"> </w:t>
      </w:r>
    </w:p>
    <w:p w14:paraId="337DC2FA" w14:textId="303434A5" w:rsidR="002C2CC4" w:rsidRDefault="00D951DF" w:rsidP="00925A7A">
      <w:pPr>
        <w:jc w:val="left"/>
      </w:pPr>
      <w:r w:rsidRPr="00E13923">
        <w:lastRenderedPageBreak/>
        <w:t>Four other cases are briefly discussed: Kenya, Ghana, Tanzania</w:t>
      </w:r>
      <w:r w:rsidR="00947217">
        <w:t>,</w:t>
      </w:r>
      <w:r w:rsidRPr="00E13923">
        <w:t xml:space="preserve"> and Mozambique. </w:t>
      </w:r>
      <w:r w:rsidR="002C2CC4" w:rsidRPr="00E13923">
        <w:t>In Kenya,</w:t>
      </w:r>
      <w:r w:rsidR="002C2CC4">
        <w:t xml:space="preserve"> six DHS are also available (</w:t>
      </w:r>
      <w:r w:rsidR="00D55F13">
        <w:t>Figure 3</w:t>
      </w:r>
      <w:r w:rsidR="002C2CC4">
        <w:t>), in addition to census data (reverse</w:t>
      </w:r>
      <w:r w:rsidR="00947217">
        <w:t>-</w:t>
      </w:r>
      <w:r w:rsidR="002C2CC4">
        <w:t xml:space="preserve">survival estimates and births in the last 12 months). </w:t>
      </w:r>
      <w:r w:rsidR="00B95B6E">
        <w:t>The stall between the 1998 and 2003 is strongly supported by the data (B1=1.0, B2=0.</w:t>
      </w:r>
      <w:r w:rsidR="00547B39">
        <w:t>7</w:t>
      </w:r>
      <w:r w:rsidR="00B95B6E">
        <w:t>5</w:t>
      </w:r>
      <w:r w:rsidR="00EB5E6B">
        <w:t>)</w:t>
      </w:r>
      <w:r w:rsidR="00B95B6E">
        <w:t xml:space="preserve">. </w:t>
      </w:r>
      <w:r w:rsidR="002C2CC4">
        <w:t xml:space="preserve">Six </w:t>
      </w:r>
      <w:r w:rsidR="00B95B6E">
        <w:t xml:space="preserve">DHS </w:t>
      </w:r>
      <w:r w:rsidR="002C2CC4">
        <w:t>surveys are also available in Ghana, and two stalls are found with published estimates, one in the late 1990s, and the second one between the two most recent surveys</w:t>
      </w:r>
      <w:r w:rsidR="008C67CD">
        <w:t xml:space="preserve"> (</w:t>
      </w:r>
      <w:r w:rsidR="00D55F13">
        <w:t>Figure 4</w:t>
      </w:r>
      <w:r w:rsidR="008C67CD">
        <w:t>)</w:t>
      </w:r>
      <w:r w:rsidR="002C2CC4">
        <w:t xml:space="preserve">. The first stall is also </w:t>
      </w:r>
      <w:r w:rsidR="00D1726E">
        <w:t xml:space="preserve">supported using </w:t>
      </w:r>
      <w:r w:rsidR="002C2CC4">
        <w:t xml:space="preserve">reconstructed trends </w:t>
      </w:r>
      <w:r w:rsidR="00D1726E">
        <w:t xml:space="preserve">from </w:t>
      </w:r>
      <w:r w:rsidR="002C2CC4">
        <w:t>DHS data</w:t>
      </w:r>
      <w:r w:rsidR="00D1726E">
        <w:t xml:space="preserve"> (B1=1), but not by other data sources (B2=-0.37), indicating conflicting evidence. The second stall </w:t>
      </w:r>
      <w:r w:rsidR="002C2CC4">
        <w:t>is not found with reconstructed trends</w:t>
      </w:r>
      <w:r w:rsidR="00D1726E">
        <w:t xml:space="preserve"> (B1=0), and not supported by other data sources (B2=</w:t>
      </w:r>
      <w:r w:rsidR="00547B39">
        <w:t>-</w:t>
      </w:r>
      <w:r w:rsidR="00D1726E">
        <w:t>0</w:t>
      </w:r>
      <w:r w:rsidR="00547B39">
        <w:t>.5</w:t>
      </w:r>
      <w:r w:rsidR="00D1726E">
        <w:t xml:space="preserve">), </w:t>
      </w:r>
      <w:r w:rsidR="00B95B6E">
        <w:t>indicating weak evidence for the stall</w:t>
      </w:r>
      <w:r w:rsidR="002C2CC4">
        <w:t>.</w:t>
      </w:r>
      <w:r w:rsidR="00B95B6E">
        <w:t xml:space="preserve"> </w:t>
      </w:r>
      <w:r w:rsidR="002C2CC4">
        <w:t>In Tanzania</w:t>
      </w:r>
      <w:r w:rsidR="008A6B45">
        <w:t xml:space="preserve"> (</w:t>
      </w:r>
      <w:proofErr w:type="gramStart"/>
      <w:r w:rsidR="00D55F13">
        <w:t>Figure  5</w:t>
      </w:r>
      <w:proofErr w:type="gramEnd"/>
      <w:r w:rsidR="008A6B45">
        <w:t>)</w:t>
      </w:r>
      <w:r w:rsidR="002C2CC4">
        <w:t>, three stalls are found with published data</w:t>
      </w:r>
      <w:r w:rsidR="00547B39">
        <w:t>, and only one of them corresponds to an increase in the TFR</w:t>
      </w:r>
      <w:r w:rsidR="002C2CC4">
        <w:t>. None of these stalls is found with reconstructed fertility trends from DHS</w:t>
      </w:r>
      <w:r>
        <w:t xml:space="preserve"> (B1 indices equal to zero</w:t>
      </w:r>
      <w:r w:rsidR="00547B39">
        <w:t xml:space="preserve"> or -0.25</w:t>
      </w:r>
      <w:r>
        <w:t>)</w:t>
      </w:r>
      <w:r w:rsidR="002C2CC4">
        <w:t>. The stall between 1999 and 2004 is somewhat supported by reverse</w:t>
      </w:r>
      <w:r w:rsidR="00947217">
        <w:t>-</w:t>
      </w:r>
      <w:r w:rsidR="002C2CC4">
        <w:t xml:space="preserve">survival </w:t>
      </w:r>
      <w:r w:rsidR="002C2CC4" w:rsidRPr="00C217A4">
        <w:t xml:space="preserve">estimates from census data </w:t>
      </w:r>
      <w:r>
        <w:t>(B2=0.</w:t>
      </w:r>
      <w:r w:rsidR="00547B39">
        <w:t>5</w:t>
      </w:r>
      <w:r>
        <w:t>)</w:t>
      </w:r>
      <w:r w:rsidR="00547B39">
        <w:t>, and the Bongaarts estimates are also consistent with a fertility increase</w:t>
      </w:r>
      <w:r w:rsidR="00D1726E">
        <w:t>;</w:t>
      </w:r>
      <w:r w:rsidR="002C2CC4">
        <w:t xml:space="preserve"> </w:t>
      </w:r>
      <w:r w:rsidR="00D1726E">
        <w:t>t</w:t>
      </w:r>
      <w:r>
        <w:t xml:space="preserve">he 1996-1999 stall is </w:t>
      </w:r>
      <w:r w:rsidR="00547B39">
        <w:t xml:space="preserve">not </w:t>
      </w:r>
      <w:r>
        <w:t xml:space="preserve">supported </w:t>
      </w:r>
      <w:r w:rsidR="00D1726E">
        <w:t xml:space="preserve">by non-DHS data </w:t>
      </w:r>
      <w:r>
        <w:t>(</w:t>
      </w:r>
      <w:r w:rsidR="00D1726E">
        <w:t>B1=</w:t>
      </w:r>
      <w:r w:rsidR="00547B39">
        <w:t>-</w:t>
      </w:r>
      <w:r w:rsidR="00D1726E">
        <w:t>0</w:t>
      </w:r>
      <w:r w:rsidR="00547B39">
        <w:t>.5</w:t>
      </w:r>
      <w:r w:rsidR="00D1726E">
        <w:t xml:space="preserve"> and </w:t>
      </w:r>
      <w:r>
        <w:t>B</w:t>
      </w:r>
      <w:r w:rsidR="00D1726E">
        <w:t>2</w:t>
      </w:r>
      <w:r>
        <w:t>=</w:t>
      </w:r>
      <w:r w:rsidR="00547B39">
        <w:t>-</w:t>
      </w:r>
      <w:r>
        <w:t>0.</w:t>
      </w:r>
      <w:r w:rsidR="00547B39">
        <w:t>17</w:t>
      </w:r>
      <w:r>
        <w:t xml:space="preserve">) and evidence is </w:t>
      </w:r>
      <w:r w:rsidR="00547B39">
        <w:t xml:space="preserve">also </w:t>
      </w:r>
      <w:r w:rsidR="00D1726E">
        <w:t xml:space="preserve">very </w:t>
      </w:r>
      <w:r>
        <w:t>weak for the 2004-2010 stall (</w:t>
      </w:r>
      <w:r w:rsidR="00D1726E">
        <w:t>B1=</w:t>
      </w:r>
      <w:r w:rsidR="00547B39">
        <w:t>-</w:t>
      </w:r>
      <w:r w:rsidR="00D1726E">
        <w:t>0</w:t>
      </w:r>
      <w:r w:rsidR="00547B39">
        <w:t>.5</w:t>
      </w:r>
      <w:r w:rsidR="00D1726E">
        <w:t xml:space="preserve"> and </w:t>
      </w:r>
      <w:r>
        <w:t>B</w:t>
      </w:r>
      <w:r w:rsidR="00D1726E">
        <w:t>2</w:t>
      </w:r>
      <w:r>
        <w:t>=-0.</w:t>
      </w:r>
      <w:r w:rsidR="00547B39">
        <w:t>17</w:t>
      </w:r>
      <w:r>
        <w:t>)</w:t>
      </w:r>
      <w:r w:rsidR="002C2CC4">
        <w:t xml:space="preserve">. Finally, the Mozambique case </w:t>
      </w:r>
      <w:r w:rsidR="008A6B45">
        <w:t>(</w:t>
      </w:r>
      <w:r w:rsidR="00D55F13">
        <w:t>Figure 6</w:t>
      </w:r>
      <w:r w:rsidR="008A6B45">
        <w:t xml:space="preserve">) </w:t>
      </w:r>
      <w:r w:rsidR="002C2CC4">
        <w:t>illustrates a pre-transitional situation rather than a situation of stalling fertility. Reconstructed fertility trends indicate that fertility has remained stable over a 25-year period, and that published fertility estimates seem underestimated. Other sources (reverse</w:t>
      </w:r>
      <w:r w:rsidR="00947217">
        <w:t>-</w:t>
      </w:r>
      <w:r w:rsidR="002C2CC4">
        <w:t xml:space="preserve">survival estimates from censuses and MICS) also indicate that fertility is higher than published DHS estimates, and no previous significant decline is visible from these data. </w:t>
      </w:r>
    </w:p>
    <w:p w14:paraId="7AADBDEB" w14:textId="3DBBA8C5" w:rsidR="002C2CC4" w:rsidRDefault="002C2CC4" w:rsidP="00925A7A">
      <w:pPr>
        <w:jc w:val="left"/>
      </w:pPr>
      <w:r>
        <w:t>In summary, these five countries illustrate that some stalls are strongly supported by a variety of data sources (e.g.</w:t>
      </w:r>
      <w:r w:rsidR="00947217">
        <w:t>,</w:t>
      </w:r>
      <w:r>
        <w:t xml:space="preserve"> Zimbabwe 2005</w:t>
      </w:r>
      <w:r w:rsidR="00947217">
        <w:t>–</w:t>
      </w:r>
      <w:r>
        <w:t xml:space="preserve">2011 </w:t>
      </w:r>
      <w:r w:rsidR="00781E8D">
        <w:t>and</w:t>
      </w:r>
      <w:r>
        <w:t>, to a lesser extent, Kenya 1998</w:t>
      </w:r>
      <w:r w:rsidR="00947217">
        <w:t>–</w:t>
      </w:r>
      <w:r>
        <w:t>2003). Some stalls seem to be spurious, either because no previous decline was found (e.g.</w:t>
      </w:r>
      <w:r w:rsidR="00947217">
        <w:t>,</w:t>
      </w:r>
      <w:r>
        <w:t xml:space="preserve"> </w:t>
      </w:r>
      <w:r>
        <w:lastRenderedPageBreak/>
        <w:t>Mozambique 1997</w:t>
      </w:r>
      <w:r w:rsidR="00947217">
        <w:t>–</w:t>
      </w:r>
      <w:r>
        <w:t>2003), or because the slowdown in fertility decline is not confirmed by other sources (e.g.</w:t>
      </w:r>
      <w:r w:rsidR="00947217">
        <w:t>,</w:t>
      </w:r>
      <w:r>
        <w:t xml:space="preserve"> Tanzania 2004</w:t>
      </w:r>
      <w:r w:rsidR="00947217">
        <w:t>–</w:t>
      </w:r>
      <w:r>
        <w:t>2010). Finally, some of the stalls are supported by some sources but not by others (e.g.</w:t>
      </w:r>
      <w:r w:rsidR="00947217">
        <w:t>,</w:t>
      </w:r>
      <w:r>
        <w:t xml:space="preserve"> Ghana 1998</w:t>
      </w:r>
      <w:r w:rsidR="00947217">
        <w:t>–</w:t>
      </w:r>
      <w:r>
        <w:t xml:space="preserve">2003). </w:t>
      </w:r>
    </w:p>
    <w:p w14:paraId="765BDD0C" w14:textId="6A851362" w:rsidR="007131C7" w:rsidRDefault="00EB7E8D" w:rsidP="00925A7A">
      <w:pPr>
        <w:jc w:val="left"/>
      </w:pPr>
      <w:r>
        <w:t>The same exercise is performed for the 9</w:t>
      </w:r>
      <w:r w:rsidR="00781E8D">
        <w:t>3</w:t>
      </w:r>
      <w:r>
        <w:t xml:space="preserve"> pairs of surveys. </w:t>
      </w:r>
      <w:r w:rsidR="00D1726E">
        <w:t xml:space="preserve">In 15 cases, fertility </w:t>
      </w:r>
      <w:r w:rsidR="0043481B">
        <w:t>transition had</w:t>
      </w:r>
      <w:r w:rsidR="00D1726E">
        <w:t xml:space="preserve"> not started. Evidence on fertility stalls is assessed for </w:t>
      </w:r>
      <w:r w:rsidR="00E13923">
        <w:t xml:space="preserve">the remaining </w:t>
      </w:r>
      <w:r w:rsidR="0043481B">
        <w:t>7</w:t>
      </w:r>
      <w:r w:rsidR="00781E8D">
        <w:t>8</w:t>
      </w:r>
      <w:r w:rsidR="0043481B">
        <w:t xml:space="preserve"> pairs of surveys. For each of these pair</w:t>
      </w:r>
      <w:r w:rsidR="00781E8D">
        <w:t>s</w:t>
      </w:r>
      <w:r w:rsidR="0043481B">
        <w:t xml:space="preserve">, we </w:t>
      </w:r>
      <w:r w:rsidR="007131C7">
        <w:t xml:space="preserve">combine </w:t>
      </w:r>
      <w:r w:rsidR="0043481B">
        <w:t xml:space="preserve">the B1 and B2 index to </w:t>
      </w:r>
      <w:r w:rsidR="007131C7">
        <w:t xml:space="preserve">classify the cases into </w:t>
      </w:r>
      <w:r w:rsidR="00CC6BF6">
        <w:t>six</w:t>
      </w:r>
      <w:r w:rsidR="007131C7">
        <w:t xml:space="preserve"> categories</w:t>
      </w:r>
      <w:r w:rsidR="00BD50EA">
        <w:t xml:space="preserve"> </w:t>
      </w:r>
      <w:r w:rsidR="00F455B6">
        <w:t>(</w:t>
      </w:r>
      <w:r w:rsidR="00D55F13">
        <w:t>Table 5</w:t>
      </w:r>
      <w:r w:rsidR="00F455B6">
        <w:t>):</w:t>
      </w:r>
    </w:p>
    <w:p w14:paraId="3D3C1F27" w14:textId="2AF8A295" w:rsidR="00320EA6" w:rsidRDefault="00320EA6" w:rsidP="00925A7A">
      <w:pPr>
        <w:pStyle w:val="Paragraphedeliste"/>
        <w:numPr>
          <w:ilvl w:val="0"/>
          <w:numId w:val="18"/>
        </w:numPr>
        <w:jc w:val="left"/>
      </w:pPr>
      <w:r w:rsidRPr="003626FD">
        <w:rPr>
          <w:b/>
        </w:rPr>
        <w:t>Unambiguous</w:t>
      </w:r>
      <w:r w:rsidR="00D0678E">
        <w:rPr>
          <w:b/>
        </w:rPr>
        <w:t xml:space="preserve"> </w:t>
      </w:r>
      <w:r w:rsidR="00DD24B2">
        <w:rPr>
          <w:b/>
        </w:rPr>
        <w:t xml:space="preserve">evidence </w:t>
      </w:r>
      <w:r w:rsidR="00D0678E">
        <w:rPr>
          <w:b/>
        </w:rPr>
        <w:t>(</w:t>
      </w:r>
      <w:r w:rsidR="00A13577">
        <w:rPr>
          <w:b/>
        </w:rPr>
        <w:t>black</w:t>
      </w:r>
      <w:r w:rsidR="00D0678E">
        <w:rPr>
          <w:b/>
        </w:rPr>
        <w:t xml:space="preserve"> cell</w:t>
      </w:r>
      <w:r w:rsidR="00180D5C">
        <w:rPr>
          <w:b/>
        </w:rPr>
        <w:t>, 2 cases</w:t>
      </w:r>
      <w:r>
        <w:rPr>
          <w:b/>
        </w:rPr>
        <w:t>)</w:t>
      </w:r>
      <w:r>
        <w:t xml:space="preserve">: </w:t>
      </w:r>
      <w:r w:rsidR="00947217">
        <w:t>T</w:t>
      </w:r>
      <w:r>
        <w:t xml:space="preserve">hese stalls are </w:t>
      </w:r>
      <w:r w:rsidR="00D1726E">
        <w:t xml:space="preserve">strongly supported </w:t>
      </w:r>
      <w:r w:rsidR="007C7C1C">
        <w:t xml:space="preserve">by </w:t>
      </w:r>
      <w:r>
        <w:t xml:space="preserve">DHS data (both published and reconstructed trends), and </w:t>
      </w:r>
      <w:r w:rsidR="007C7C1C">
        <w:t xml:space="preserve">by </w:t>
      </w:r>
      <w:r w:rsidRPr="00E13923">
        <w:t>all</w:t>
      </w:r>
      <w:r>
        <w:t xml:space="preserve"> the other independent data sources available (surveys or census</w:t>
      </w:r>
      <w:r w:rsidR="00943572">
        <w:t>es</w:t>
      </w:r>
      <w:r>
        <w:t>). Two stalls fall in this category: Zimbabwe (2005</w:t>
      </w:r>
      <w:r w:rsidR="00947217">
        <w:t>–</w:t>
      </w:r>
      <w:r>
        <w:t>2011) and Namibia (2007</w:t>
      </w:r>
      <w:r w:rsidR="00947217">
        <w:t>–</w:t>
      </w:r>
      <w:r>
        <w:t>2013).</w:t>
      </w:r>
      <w:r w:rsidR="00B223C3">
        <w:t xml:space="preserve"> T</w:t>
      </w:r>
      <w:r w:rsidR="008A66C8">
        <w:t>he stalls in Zimbabwe and Namibia</w:t>
      </w:r>
      <w:r w:rsidR="00B223C3">
        <w:t xml:space="preserve"> are also consistent with trends in proximate determinants, and are also found in the World Population Prospects.</w:t>
      </w:r>
    </w:p>
    <w:p w14:paraId="4683F681" w14:textId="2C9F73BC" w:rsidR="00D0678E" w:rsidRDefault="00A13577" w:rsidP="00925A7A">
      <w:pPr>
        <w:pStyle w:val="Paragraphedeliste"/>
        <w:numPr>
          <w:ilvl w:val="0"/>
          <w:numId w:val="18"/>
        </w:numPr>
        <w:jc w:val="left"/>
      </w:pPr>
      <w:r>
        <w:rPr>
          <w:b/>
        </w:rPr>
        <w:t xml:space="preserve">Very </w:t>
      </w:r>
      <w:r w:rsidR="00947217">
        <w:rPr>
          <w:b/>
        </w:rPr>
        <w:t>s</w:t>
      </w:r>
      <w:r w:rsidR="00DD24B2">
        <w:rPr>
          <w:b/>
        </w:rPr>
        <w:t xml:space="preserve">trong evidence </w:t>
      </w:r>
      <w:r w:rsidR="00D0678E">
        <w:rPr>
          <w:b/>
        </w:rPr>
        <w:t>(</w:t>
      </w:r>
      <w:r>
        <w:rPr>
          <w:b/>
        </w:rPr>
        <w:t xml:space="preserve">dark </w:t>
      </w:r>
      <w:r w:rsidR="00D0678E">
        <w:rPr>
          <w:b/>
        </w:rPr>
        <w:t>grey cells</w:t>
      </w:r>
      <w:r w:rsidR="00180D5C">
        <w:rPr>
          <w:b/>
        </w:rPr>
        <w:t>, 4 cases</w:t>
      </w:r>
      <w:r w:rsidR="00D0678E">
        <w:rPr>
          <w:b/>
        </w:rPr>
        <w:t>)</w:t>
      </w:r>
      <w:r w:rsidR="00320EA6">
        <w:t xml:space="preserve">: </w:t>
      </w:r>
      <w:r w:rsidR="00180D5C">
        <w:t>T</w:t>
      </w:r>
      <w:r w:rsidR="00320EA6">
        <w:t xml:space="preserve">his </w:t>
      </w:r>
      <w:r w:rsidR="00180D5C">
        <w:t xml:space="preserve">corresponds to situations </w:t>
      </w:r>
      <w:r w:rsidR="00D0678E">
        <w:t>where DHS and other sources strongly support the stalls (Zambia 2002</w:t>
      </w:r>
      <w:r w:rsidR="00947217">
        <w:t>–</w:t>
      </w:r>
      <w:r w:rsidR="00D0678E">
        <w:t>2007, Congo 2005</w:t>
      </w:r>
      <w:r w:rsidR="00947217">
        <w:t>–</w:t>
      </w:r>
      <w:r w:rsidR="00D0678E">
        <w:t xml:space="preserve">2011, </w:t>
      </w:r>
      <w:r>
        <w:t>Kenya 1998</w:t>
      </w:r>
      <w:r w:rsidR="00947217">
        <w:t>–</w:t>
      </w:r>
      <w:r>
        <w:t>2013</w:t>
      </w:r>
      <w:r w:rsidR="00D41B15">
        <w:t>,</w:t>
      </w:r>
      <w:r>
        <w:t xml:space="preserve"> and </w:t>
      </w:r>
      <w:r w:rsidR="008A66C8">
        <w:t xml:space="preserve">Zimbabwe </w:t>
      </w:r>
      <w:r w:rsidR="00D0678E">
        <w:t>20</w:t>
      </w:r>
      <w:r w:rsidR="008A66C8">
        <w:t>11</w:t>
      </w:r>
      <w:r w:rsidR="00947217">
        <w:t>–</w:t>
      </w:r>
      <w:r w:rsidR="00D0678E">
        <w:t>201</w:t>
      </w:r>
      <w:r w:rsidR="008A66C8">
        <w:t>5</w:t>
      </w:r>
      <w:r w:rsidR="00D0678E">
        <w:t xml:space="preserve">), </w:t>
      </w:r>
      <w:r w:rsidR="00180D5C">
        <w:t xml:space="preserve">but not unambiguously </w:t>
      </w:r>
      <w:r w:rsidR="00D0678E">
        <w:t>(B1</w:t>
      </w:r>
      <w:r w:rsidR="00941599">
        <w:t>=1</w:t>
      </w:r>
      <w:r w:rsidR="00D0678E">
        <w:t xml:space="preserve"> and B2 above 0.5</w:t>
      </w:r>
      <w:r w:rsidR="00941599">
        <w:t>, or B2=1 and B1 above 0.5</w:t>
      </w:r>
      <w:r w:rsidR="00D0678E">
        <w:t xml:space="preserve">). </w:t>
      </w:r>
      <w:r w:rsidR="00425A27">
        <w:t>In Zimbabwe and Congo, trends from the WPP are consistent with the stalls; in contrast, stalls are not visible in Zambia and Kenya in the WPP. Trends in proximate determinants are consistent with stalls in Congo and in Zambia.</w:t>
      </w:r>
    </w:p>
    <w:p w14:paraId="4F949CD0" w14:textId="27E71D00" w:rsidR="00180D5C" w:rsidRDefault="00A13577" w:rsidP="00925A7A">
      <w:pPr>
        <w:pStyle w:val="Paragraphedeliste"/>
        <w:numPr>
          <w:ilvl w:val="0"/>
          <w:numId w:val="18"/>
        </w:numPr>
        <w:jc w:val="left"/>
      </w:pPr>
      <w:r>
        <w:rPr>
          <w:b/>
        </w:rPr>
        <w:t xml:space="preserve">Strong </w:t>
      </w:r>
      <w:r w:rsidR="00DD24B2">
        <w:rPr>
          <w:b/>
        </w:rPr>
        <w:t xml:space="preserve">evidence </w:t>
      </w:r>
      <w:r w:rsidR="00180D5C">
        <w:rPr>
          <w:b/>
        </w:rPr>
        <w:t>(</w:t>
      </w:r>
      <w:r>
        <w:rPr>
          <w:b/>
        </w:rPr>
        <w:t xml:space="preserve">medium </w:t>
      </w:r>
      <w:r w:rsidR="00180D5C">
        <w:rPr>
          <w:b/>
        </w:rPr>
        <w:t xml:space="preserve">grey cells, </w:t>
      </w:r>
      <w:r w:rsidR="008A66C8">
        <w:rPr>
          <w:b/>
        </w:rPr>
        <w:t>1 case</w:t>
      </w:r>
      <w:r w:rsidR="00180D5C">
        <w:rPr>
          <w:b/>
        </w:rPr>
        <w:t>)</w:t>
      </w:r>
      <w:r w:rsidR="00180D5C" w:rsidRPr="00180D5C">
        <w:t>:</w:t>
      </w:r>
      <w:r w:rsidR="00180D5C">
        <w:t xml:space="preserve"> This category includes </w:t>
      </w:r>
      <w:r w:rsidR="008A66C8">
        <w:t>only one case,</w:t>
      </w:r>
      <w:r w:rsidR="00180D5C">
        <w:t xml:space="preserve"> where DHS </w:t>
      </w:r>
      <w:r w:rsidR="007C7C1C">
        <w:t xml:space="preserve">strongly </w:t>
      </w:r>
      <w:r w:rsidR="00180D5C">
        <w:t>s</w:t>
      </w:r>
      <w:r w:rsidR="008A66C8">
        <w:t>upport the stall</w:t>
      </w:r>
      <w:r w:rsidR="007C7C1C">
        <w:t xml:space="preserve"> and the other source</w:t>
      </w:r>
      <w:r w:rsidR="008A66C8">
        <w:t>s</w:t>
      </w:r>
      <w:r w:rsidR="007C7C1C">
        <w:t xml:space="preserve"> </w:t>
      </w:r>
      <w:r w:rsidR="008A66C8">
        <w:t xml:space="preserve">moderately support it </w:t>
      </w:r>
      <w:r w:rsidR="008A66C8">
        <w:lastRenderedPageBreak/>
        <w:t>(</w:t>
      </w:r>
      <w:r w:rsidR="00180D5C">
        <w:t xml:space="preserve">Cameroon </w:t>
      </w:r>
      <w:r w:rsidR="00180D5C" w:rsidRPr="003F518C">
        <w:t>1998</w:t>
      </w:r>
      <w:r w:rsidR="00947217">
        <w:t>–</w:t>
      </w:r>
      <w:r w:rsidR="00180D5C" w:rsidRPr="003F518C">
        <w:t>2004)</w:t>
      </w:r>
      <w:r w:rsidR="008A66C8">
        <w:t>.</w:t>
      </w:r>
      <w:r w:rsidR="00425A27">
        <w:t xml:space="preserve"> However, it is not found in </w:t>
      </w:r>
      <w:r w:rsidR="00CC28BD">
        <w:t xml:space="preserve">the </w:t>
      </w:r>
      <w:r w:rsidR="00425A27">
        <w:t xml:space="preserve">WPP, and the trend in the proximate determinants does not support </w:t>
      </w:r>
      <w:r w:rsidR="00D41B15">
        <w:t>it</w:t>
      </w:r>
      <w:r w:rsidR="00425A27">
        <w:t>.</w:t>
      </w:r>
    </w:p>
    <w:p w14:paraId="1350AB43" w14:textId="6EECA3C6" w:rsidR="008A66C8" w:rsidRPr="008A66C8" w:rsidRDefault="00EE5458" w:rsidP="00925A7A">
      <w:pPr>
        <w:pStyle w:val="Paragraphedeliste"/>
        <w:numPr>
          <w:ilvl w:val="0"/>
          <w:numId w:val="18"/>
        </w:numPr>
        <w:jc w:val="left"/>
        <w:rPr>
          <w:b/>
        </w:rPr>
      </w:pPr>
      <w:r>
        <w:rPr>
          <w:b/>
        </w:rPr>
        <w:t xml:space="preserve">Moderate </w:t>
      </w:r>
      <w:r w:rsidR="008A66C8" w:rsidRPr="008A66C8">
        <w:rPr>
          <w:b/>
        </w:rPr>
        <w:t>evidence</w:t>
      </w:r>
      <w:r w:rsidR="008A66C8">
        <w:rPr>
          <w:b/>
        </w:rPr>
        <w:t xml:space="preserve"> (light grey cells, </w:t>
      </w:r>
      <w:r>
        <w:rPr>
          <w:b/>
        </w:rPr>
        <w:t>7</w:t>
      </w:r>
      <w:r w:rsidR="008A66C8">
        <w:rPr>
          <w:b/>
        </w:rPr>
        <w:t xml:space="preserve"> cases): </w:t>
      </w:r>
      <w:r w:rsidR="00D41B15">
        <w:t>T</w:t>
      </w:r>
      <w:r w:rsidR="008A66C8">
        <w:t>hese cases correspond to situations</w:t>
      </w:r>
      <w:r w:rsidR="008A66C8">
        <w:rPr>
          <w:b/>
        </w:rPr>
        <w:t xml:space="preserve"> </w:t>
      </w:r>
      <w:r w:rsidR="008A66C8" w:rsidRPr="008A66C8">
        <w:t>with</w:t>
      </w:r>
      <w:r w:rsidR="008A66C8">
        <w:rPr>
          <w:b/>
        </w:rPr>
        <w:t xml:space="preserve"> </w:t>
      </w:r>
      <w:r w:rsidR="008A66C8">
        <w:t>strong support for stalls in at least one type of source (B1 or B2 between 0.5 and 0.99), and at least moderate support for the other source(s)</w:t>
      </w:r>
      <w:r>
        <w:t xml:space="preserve"> (B1 or B2&gt;0)</w:t>
      </w:r>
      <w:r w:rsidR="008A66C8">
        <w:t xml:space="preserve">. </w:t>
      </w:r>
      <w:r w:rsidR="00DA525F">
        <w:t xml:space="preserve">They include </w:t>
      </w:r>
      <w:r w:rsidR="00197F51">
        <w:t xml:space="preserve">stalls in </w:t>
      </w:r>
      <w:r>
        <w:t xml:space="preserve">Gabon, </w:t>
      </w:r>
      <w:r w:rsidR="00DA525F">
        <w:t>Madagascar, Tanzania, Nigeria, Côte d’Ivoire</w:t>
      </w:r>
      <w:r w:rsidR="00D41B15">
        <w:t>,</w:t>
      </w:r>
      <w:r w:rsidR="00DA525F">
        <w:t xml:space="preserve"> and South Africa. </w:t>
      </w:r>
      <w:r w:rsidR="00425A27">
        <w:t>WPP estimates do not indicate stalls in these countries, although they suggest a slowdown in the case of South Africa. Trends in proximate determinants are clear</w:t>
      </w:r>
      <w:r w:rsidR="00E13923">
        <w:t>ly</w:t>
      </w:r>
      <w:r w:rsidR="00425A27">
        <w:t xml:space="preserve"> consistent with stalls </w:t>
      </w:r>
      <w:r>
        <w:t xml:space="preserve">in South Africa, </w:t>
      </w:r>
      <w:r w:rsidR="00425A27">
        <w:t>Côte d’Ivoire</w:t>
      </w:r>
      <w:r w:rsidR="00D41B15">
        <w:t>,</w:t>
      </w:r>
      <w:r>
        <w:t xml:space="preserve"> and Gabon</w:t>
      </w:r>
      <w:r w:rsidR="00425A27">
        <w:t xml:space="preserve">. </w:t>
      </w:r>
    </w:p>
    <w:p w14:paraId="18C6D8B2" w14:textId="1F2596F2" w:rsidR="00DA525F" w:rsidRDefault="008A66C8" w:rsidP="00DA525F">
      <w:pPr>
        <w:pStyle w:val="Paragraphedeliste"/>
        <w:numPr>
          <w:ilvl w:val="0"/>
          <w:numId w:val="18"/>
        </w:numPr>
        <w:jc w:val="left"/>
      </w:pPr>
      <w:r>
        <w:rPr>
          <w:b/>
        </w:rPr>
        <w:t xml:space="preserve">Weak or conflicting </w:t>
      </w:r>
      <w:r w:rsidR="00A13577">
        <w:rPr>
          <w:b/>
        </w:rPr>
        <w:t xml:space="preserve">evidence </w:t>
      </w:r>
      <w:r w:rsidR="00C159B3">
        <w:rPr>
          <w:b/>
        </w:rPr>
        <w:t>(</w:t>
      </w:r>
      <w:r>
        <w:rPr>
          <w:b/>
        </w:rPr>
        <w:t xml:space="preserve">very </w:t>
      </w:r>
      <w:r w:rsidR="00C159B3">
        <w:rPr>
          <w:b/>
        </w:rPr>
        <w:t>light grey cells, 1</w:t>
      </w:r>
      <w:r w:rsidR="00887282">
        <w:rPr>
          <w:b/>
        </w:rPr>
        <w:t>2</w:t>
      </w:r>
      <w:r w:rsidR="00C159B3">
        <w:rPr>
          <w:b/>
        </w:rPr>
        <w:t xml:space="preserve"> cases). </w:t>
      </w:r>
      <w:r w:rsidR="00C159B3" w:rsidRPr="00C159B3">
        <w:t xml:space="preserve">In these situations, moderate support for the stalls is found in both </w:t>
      </w:r>
      <w:r w:rsidR="00C159B3">
        <w:t xml:space="preserve">types of </w:t>
      </w:r>
      <w:r w:rsidR="00C159B3" w:rsidRPr="00C159B3">
        <w:t>sources</w:t>
      </w:r>
      <w:r w:rsidR="00DA525F">
        <w:t xml:space="preserve">, or no support is found in one type </w:t>
      </w:r>
      <w:r w:rsidR="00D41B15">
        <w:t xml:space="preserve">of </w:t>
      </w:r>
      <w:r w:rsidR="00DA525F">
        <w:t xml:space="preserve">source and </w:t>
      </w:r>
      <w:r w:rsidR="00D41B15">
        <w:t xml:space="preserve">there is </w:t>
      </w:r>
      <w:r w:rsidR="00DA525F">
        <w:t>at least strong support in the other source(s)</w:t>
      </w:r>
      <w:r w:rsidR="00C159B3">
        <w:t xml:space="preserve">. </w:t>
      </w:r>
      <w:r w:rsidR="00DD24B2">
        <w:t xml:space="preserve">This </w:t>
      </w:r>
      <w:r w:rsidR="00DA525F">
        <w:t xml:space="preserve">includes the stall in </w:t>
      </w:r>
      <w:r w:rsidR="00DD24B2">
        <w:t>Ghana (1998</w:t>
      </w:r>
      <w:r w:rsidR="00947217">
        <w:t>–</w:t>
      </w:r>
      <w:r w:rsidR="00DD24B2">
        <w:t>2003)</w:t>
      </w:r>
      <w:r w:rsidR="00DA525F">
        <w:t xml:space="preserve">, as </w:t>
      </w:r>
      <w:r w:rsidR="0087559A">
        <w:t xml:space="preserve">well as other </w:t>
      </w:r>
      <w:r w:rsidR="00DA525F">
        <w:t xml:space="preserve">stalls </w:t>
      </w:r>
      <w:r w:rsidR="0087559A">
        <w:t xml:space="preserve">in a </w:t>
      </w:r>
      <w:r w:rsidR="00DA525F">
        <w:t xml:space="preserve">variety of countries. While there may be some stalls in these countries, they are not strongly supported by </w:t>
      </w:r>
      <w:r w:rsidR="007D75C8">
        <w:t xml:space="preserve">the </w:t>
      </w:r>
      <w:r w:rsidR="00DA525F">
        <w:t>data.</w:t>
      </w:r>
      <w:r w:rsidR="007D75C8">
        <w:t xml:space="preserve"> They are also not supported by </w:t>
      </w:r>
      <w:r w:rsidR="00D41B15">
        <w:t xml:space="preserve">the </w:t>
      </w:r>
      <w:r w:rsidR="007D75C8">
        <w:t>WPP. Proximate determinants support stalls in some cases (e.g.</w:t>
      </w:r>
      <w:r w:rsidR="00D41B15">
        <w:t>,</w:t>
      </w:r>
      <w:r w:rsidR="007D75C8">
        <w:t xml:space="preserve"> Benin</w:t>
      </w:r>
      <w:r w:rsidR="00EE5458">
        <w:t>)</w:t>
      </w:r>
      <w:r w:rsidR="007D75C8">
        <w:t xml:space="preserve"> but not in others (e.g.</w:t>
      </w:r>
      <w:r w:rsidR="00D41B15">
        <w:t>,</w:t>
      </w:r>
      <w:r w:rsidR="007D75C8">
        <w:t xml:space="preserve"> Ghana, Rwanda). </w:t>
      </w:r>
    </w:p>
    <w:p w14:paraId="1F73F6B6" w14:textId="617C7038" w:rsidR="00DD24B2" w:rsidRDefault="00DD24B2" w:rsidP="00925A7A">
      <w:pPr>
        <w:pStyle w:val="Paragraphedeliste"/>
        <w:numPr>
          <w:ilvl w:val="0"/>
          <w:numId w:val="18"/>
        </w:numPr>
        <w:jc w:val="left"/>
      </w:pPr>
      <w:r>
        <w:rPr>
          <w:b/>
        </w:rPr>
        <w:t xml:space="preserve">Very weak or no evidence (white cells, </w:t>
      </w:r>
      <w:r w:rsidR="00DA525F">
        <w:rPr>
          <w:b/>
        </w:rPr>
        <w:t>52</w:t>
      </w:r>
      <w:r>
        <w:rPr>
          <w:b/>
        </w:rPr>
        <w:t xml:space="preserve"> cases): </w:t>
      </w:r>
      <w:r w:rsidR="00D41B15">
        <w:t>T</w:t>
      </w:r>
      <w:r w:rsidRPr="00DD24B2">
        <w:t xml:space="preserve">his </w:t>
      </w:r>
      <w:r w:rsidR="00C159B3">
        <w:t xml:space="preserve">is </w:t>
      </w:r>
      <w:r w:rsidRPr="00DD24B2">
        <w:t>the largest category</w:t>
      </w:r>
      <w:r>
        <w:t xml:space="preserve">, containing </w:t>
      </w:r>
      <w:r w:rsidR="00C159B3">
        <w:t>3</w:t>
      </w:r>
      <w:r w:rsidR="00DA525F">
        <w:t>8</w:t>
      </w:r>
      <w:r>
        <w:t xml:space="preserve"> cases with no evidence for stalls and 1</w:t>
      </w:r>
      <w:r w:rsidR="00DA525F">
        <w:t>4</w:t>
      </w:r>
      <w:r>
        <w:t xml:space="preserve"> cases with only mild evidence from </w:t>
      </w:r>
      <w:r w:rsidR="00C159B3">
        <w:t xml:space="preserve">one of the two types of </w:t>
      </w:r>
      <w:r>
        <w:t xml:space="preserve">sources. </w:t>
      </w:r>
      <w:r w:rsidR="00DA525F">
        <w:t>They represent two-thirds of the 78 cases examined.</w:t>
      </w:r>
      <w:r w:rsidR="007D75C8">
        <w:t xml:space="preserve"> No stalls are found in the WPP in these cases, and proximate determinants are usually consistent with decreasing fertility.</w:t>
      </w:r>
    </w:p>
    <w:p w14:paraId="3ECC79FC" w14:textId="77777777" w:rsidR="009C4F79" w:rsidRDefault="009C4F79" w:rsidP="00925A7A">
      <w:pPr>
        <w:pStyle w:val="Paragraphedeliste"/>
        <w:ind w:left="360"/>
        <w:jc w:val="left"/>
      </w:pPr>
    </w:p>
    <w:p w14:paraId="45709888" w14:textId="75B3BC78" w:rsidR="009C4F79" w:rsidRPr="00DD24B2" w:rsidRDefault="009C4F79" w:rsidP="006E17BC">
      <w:pPr>
        <w:pStyle w:val="Paragraphedeliste"/>
        <w:ind w:left="360"/>
        <w:jc w:val="center"/>
      </w:pPr>
      <w:r>
        <w:t>(</w:t>
      </w:r>
      <w:r w:rsidR="006E17BC">
        <w:t>Table 5</w:t>
      </w:r>
      <w:r>
        <w:t>)</w:t>
      </w:r>
    </w:p>
    <w:p w14:paraId="0B986709" w14:textId="61768AB4" w:rsidR="004D1E4B" w:rsidRDefault="004D1E4B" w:rsidP="00925A7A">
      <w:pPr>
        <w:jc w:val="left"/>
      </w:pPr>
      <w:r>
        <w:lastRenderedPageBreak/>
        <w:t xml:space="preserve">In summary, we find very strong support for stalls in </w:t>
      </w:r>
      <w:r w:rsidR="00DA525F">
        <w:t>five</w:t>
      </w:r>
      <w:r>
        <w:t xml:space="preserve"> countries (Kenya, Zimbabwe, Namibia, Congo</w:t>
      </w:r>
      <w:r w:rsidR="00D41B15">
        <w:t>,</w:t>
      </w:r>
      <w:r>
        <w:t xml:space="preserve"> and Zambia). Fairly strong support is also found in Cameroon</w:t>
      </w:r>
      <w:r w:rsidR="00DA525F">
        <w:t>, in the early 2000s</w:t>
      </w:r>
      <w:r w:rsidR="00C06FEA">
        <w:t>. S</w:t>
      </w:r>
      <w:r>
        <w:t xml:space="preserve">talls </w:t>
      </w:r>
      <w:r w:rsidR="00887282">
        <w:t xml:space="preserve">are possible in </w:t>
      </w:r>
      <w:r w:rsidR="00C06FEA">
        <w:t xml:space="preserve">seven cases from </w:t>
      </w:r>
      <w:r w:rsidR="00887282">
        <w:t>six other countries (Côte d’Ivoire, Gabon, Madagascar, Nigeria, South Africa, and Tanzania)</w:t>
      </w:r>
      <w:r w:rsidR="00C06FEA">
        <w:t>, where evidence is moderate</w:t>
      </w:r>
      <w:r w:rsidR="00887282">
        <w:t xml:space="preserve">. They </w:t>
      </w:r>
      <w:r>
        <w:t xml:space="preserve">cannot be ruled out in </w:t>
      </w:r>
      <w:r w:rsidR="00D41B15">
        <w:t>seven</w:t>
      </w:r>
      <w:r w:rsidR="00DA525F">
        <w:t xml:space="preserve"> </w:t>
      </w:r>
      <w:r>
        <w:t>other countries (Benin,</w:t>
      </w:r>
      <w:r w:rsidR="00DA525F">
        <w:t xml:space="preserve"> Burkina Faso,</w:t>
      </w:r>
      <w:r>
        <w:t xml:space="preserve"> Ghana, </w:t>
      </w:r>
      <w:r w:rsidR="00DA525F">
        <w:t xml:space="preserve">Malawi, Rwanda, </w:t>
      </w:r>
      <w:r>
        <w:t xml:space="preserve">Senegal, </w:t>
      </w:r>
      <w:r w:rsidR="00D41B15">
        <w:t xml:space="preserve">and </w:t>
      </w:r>
      <w:r w:rsidR="00DA525F">
        <w:t>Uganda</w:t>
      </w:r>
      <w:r>
        <w:t xml:space="preserve">), but the evidence is limited or conflicting. </w:t>
      </w:r>
    </w:p>
    <w:p w14:paraId="70B57EA3" w14:textId="77777777" w:rsidR="00B758BA" w:rsidRDefault="00085719" w:rsidP="00925A7A">
      <w:pPr>
        <w:pStyle w:val="Titre1"/>
        <w:jc w:val="left"/>
      </w:pPr>
      <w:r>
        <w:t xml:space="preserve">Discussion and </w:t>
      </w:r>
      <w:r w:rsidR="00B758BA">
        <w:t>conclusion</w:t>
      </w:r>
    </w:p>
    <w:p w14:paraId="7DC82028" w14:textId="0BC10DB9" w:rsidR="005542E1" w:rsidRDefault="000B2F66" w:rsidP="00925A7A">
      <w:pPr>
        <w:jc w:val="left"/>
      </w:pPr>
      <w:r>
        <w:t xml:space="preserve">In this paper, </w:t>
      </w:r>
      <w:r w:rsidR="009B372D">
        <w:t xml:space="preserve">a variety of </w:t>
      </w:r>
      <w:r w:rsidR="00B758BA">
        <w:t xml:space="preserve">data </w:t>
      </w:r>
      <w:r w:rsidR="009B372D">
        <w:t xml:space="preserve">sources </w:t>
      </w:r>
      <w:r w:rsidR="00B758BA">
        <w:t>and methods are used to identify fertility stalls. Using published TFRs from DHS reports and a broad definition of stalls (including early</w:t>
      </w:r>
      <w:r w:rsidR="00C5524C">
        <w:t>-</w:t>
      </w:r>
      <w:r w:rsidR="00B758BA">
        <w:t xml:space="preserve">transition countries and slight fertility declines that are not significant), </w:t>
      </w:r>
      <w:r w:rsidR="00085719">
        <w:t xml:space="preserve">as many as 37 </w:t>
      </w:r>
      <w:r w:rsidR="00B758BA">
        <w:t>situations of stalling fertility in 2</w:t>
      </w:r>
      <w:r w:rsidR="00085719">
        <w:t>4</w:t>
      </w:r>
      <w:r w:rsidR="00B758BA">
        <w:t xml:space="preserve"> countries are found; focusing on mid-transition stalls brings their number </w:t>
      </w:r>
      <w:r w:rsidR="006E1A21">
        <w:t xml:space="preserve">down </w:t>
      </w:r>
      <w:r w:rsidR="00B758BA">
        <w:t>to 1</w:t>
      </w:r>
      <w:r w:rsidR="00085719">
        <w:t>4</w:t>
      </w:r>
      <w:r w:rsidR="00B758BA">
        <w:t xml:space="preserve"> in 10 countries</w:t>
      </w:r>
      <w:r w:rsidR="00085719">
        <w:t xml:space="preserve">, and a more conservative </w:t>
      </w:r>
      <w:r w:rsidR="006C0BA1">
        <w:t>definition (stagnation o</w:t>
      </w:r>
      <w:r w:rsidR="00E13923">
        <w:t>r</w:t>
      </w:r>
      <w:r w:rsidR="006C0BA1">
        <w:t xml:space="preserve"> </w:t>
      </w:r>
      <w:r w:rsidR="00E13923">
        <w:t xml:space="preserve">increase </w:t>
      </w:r>
      <w:r w:rsidR="006E1A21">
        <w:t xml:space="preserve">in </w:t>
      </w:r>
      <w:r w:rsidR="006C0BA1">
        <w:t xml:space="preserve">fertility in mid-transition countries) </w:t>
      </w:r>
      <w:r w:rsidR="00085719">
        <w:t>leads to 9 stalls in 7 countries.</w:t>
      </w:r>
      <w:r w:rsidR="00822F62">
        <w:t xml:space="preserve"> </w:t>
      </w:r>
      <w:r w:rsidR="009B372D">
        <w:t xml:space="preserve">Comparing </w:t>
      </w:r>
      <w:r w:rsidR="00B758BA">
        <w:t xml:space="preserve">fertility </w:t>
      </w:r>
      <w:r w:rsidR="006C0BA1">
        <w:t xml:space="preserve">trends </w:t>
      </w:r>
      <w:r w:rsidR="00085719">
        <w:t xml:space="preserve">based on published </w:t>
      </w:r>
      <w:r w:rsidR="006E1A21">
        <w:t xml:space="preserve">DHS </w:t>
      </w:r>
      <w:r w:rsidR="00B758BA">
        <w:t xml:space="preserve">estimates </w:t>
      </w:r>
      <w:r w:rsidR="006C0BA1">
        <w:t xml:space="preserve">to </w:t>
      </w:r>
      <w:r w:rsidR="006E1A21">
        <w:t>those</w:t>
      </w:r>
      <w:r w:rsidR="006C0BA1">
        <w:t xml:space="preserve"> </w:t>
      </w:r>
      <w:r w:rsidR="00B758BA">
        <w:t xml:space="preserve">using other methods and </w:t>
      </w:r>
      <w:r w:rsidR="00D70FE6">
        <w:t xml:space="preserve">data </w:t>
      </w:r>
      <w:r w:rsidR="00B758BA">
        <w:t xml:space="preserve">sources leads </w:t>
      </w:r>
      <w:r w:rsidR="006C0BA1">
        <w:t xml:space="preserve">to different conclusions and, not surprisingly, to a smaller number of cases. </w:t>
      </w:r>
      <w:r>
        <w:t>Unambiguous support is found for two stalls</w:t>
      </w:r>
      <w:r w:rsidR="00CC28BD">
        <w:t xml:space="preserve"> and</w:t>
      </w:r>
      <w:r>
        <w:t xml:space="preserve"> v</w:t>
      </w:r>
      <w:r w:rsidR="001C790F">
        <w:t xml:space="preserve">ery strong support for six stalls, </w:t>
      </w:r>
      <w:r>
        <w:t>and</w:t>
      </w:r>
      <w:r w:rsidR="001C790F">
        <w:t xml:space="preserve"> </w:t>
      </w:r>
      <w:r w:rsidR="00E13923">
        <w:t>seven</w:t>
      </w:r>
      <w:r>
        <w:t xml:space="preserve"> </w:t>
      </w:r>
      <w:r w:rsidR="001C790F">
        <w:t>stalls are at least fairly strongly supported</w:t>
      </w:r>
      <w:r w:rsidR="00C06FEA">
        <w:t xml:space="preserve"> by the data. Including stalls with moderate evidence, we reach a total of 14 stalls, and counting stalls with weak or conflicting evidence brings this number to 26</w:t>
      </w:r>
      <w:r w:rsidR="005542E1">
        <w:t xml:space="preserve">. </w:t>
      </w:r>
    </w:p>
    <w:p w14:paraId="0186A2EF" w14:textId="6611E2A5" w:rsidR="000B2F66" w:rsidRDefault="004D1E4B" w:rsidP="00EC3E38">
      <w:pPr>
        <w:jc w:val="left"/>
      </w:pPr>
      <w:r>
        <w:t>The classification provided in this paper is partly subjective</w:t>
      </w:r>
      <w:r w:rsidR="000B2F66">
        <w:t xml:space="preserve"> and may certainly be improved, </w:t>
      </w:r>
      <w:r>
        <w:t xml:space="preserve">but it provides a more nuanced </w:t>
      </w:r>
      <w:r w:rsidR="00EC3E38">
        <w:t xml:space="preserve">approach to identifying </w:t>
      </w:r>
      <w:r>
        <w:t xml:space="preserve">fertility stalls than </w:t>
      </w:r>
      <w:r w:rsidR="00EC3E38">
        <w:t xml:space="preserve">the one </w:t>
      </w:r>
      <w:r>
        <w:t xml:space="preserve">based on simple comparisons of published TFRs. </w:t>
      </w:r>
      <w:r w:rsidR="00E4094C">
        <w:t xml:space="preserve">It also clearly leads to a smaller number of stalls than those identified with published DHS data. </w:t>
      </w:r>
      <w:r w:rsidR="000B2F66">
        <w:t xml:space="preserve">To be sure, </w:t>
      </w:r>
      <w:r w:rsidR="00E4094C">
        <w:t xml:space="preserve">five </w:t>
      </w:r>
      <w:r w:rsidR="000B2F66">
        <w:t xml:space="preserve">of the nine cases of mid-transition </w:t>
      </w:r>
      <w:r w:rsidR="000B2F66">
        <w:lastRenderedPageBreak/>
        <w:t xml:space="preserve">stalls found by comparing TFRs from successive DHS (Table 2) are </w:t>
      </w:r>
      <w:r w:rsidR="00E4094C">
        <w:t xml:space="preserve">strongly </w:t>
      </w:r>
      <w:r w:rsidR="000B2F66">
        <w:t xml:space="preserve">supported </w:t>
      </w:r>
      <w:r w:rsidR="00E4094C">
        <w:t xml:space="preserve">by the various data sources. But some of these stalls appear to be less trustworthy </w:t>
      </w:r>
      <w:r w:rsidR="00EC3E38">
        <w:t xml:space="preserve">when various data sources are </w:t>
      </w:r>
      <w:r w:rsidR="0087559A">
        <w:t>taken into consideration</w:t>
      </w:r>
      <w:r w:rsidR="00EC3E38">
        <w:t xml:space="preserve"> </w:t>
      </w:r>
      <w:r w:rsidR="00E4094C">
        <w:t>(e.g.</w:t>
      </w:r>
      <w:r w:rsidR="00CC28BD">
        <w:t>,</w:t>
      </w:r>
      <w:r w:rsidR="00E4094C">
        <w:t xml:space="preserve"> </w:t>
      </w:r>
      <w:r w:rsidR="00EC3E38">
        <w:t>Ghana 1998</w:t>
      </w:r>
      <w:r w:rsidR="00947217">
        <w:t>–</w:t>
      </w:r>
      <w:r w:rsidR="00EC3E38">
        <w:t xml:space="preserve">2003 </w:t>
      </w:r>
      <w:r w:rsidR="00E4094C">
        <w:t>or Senegal 2011</w:t>
      </w:r>
      <w:r w:rsidR="00947217">
        <w:t>–</w:t>
      </w:r>
      <w:r w:rsidR="00E4094C">
        <w:t xml:space="preserve">2013). </w:t>
      </w:r>
      <w:r w:rsidR="00EC3E38">
        <w:t xml:space="preserve">Stalls identified with published TFRs from DHS with a </w:t>
      </w:r>
      <w:r w:rsidR="00E4094C">
        <w:t xml:space="preserve">less conservative definition </w:t>
      </w:r>
      <w:r w:rsidR="00225793">
        <w:t>(non-significant declines, including in early</w:t>
      </w:r>
      <w:r w:rsidR="00CC28BD">
        <w:t>-</w:t>
      </w:r>
      <w:r w:rsidR="00225793">
        <w:t xml:space="preserve">transition countries) </w:t>
      </w:r>
      <w:r w:rsidR="00EC3E38">
        <w:t xml:space="preserve">are often not strongly supported by the data. In short, their numbers tend to be inflated, because fertility </w:t>
      </w:r>
      <w:r w:rsidR="00CC28BD">
        <w:t xml:space="preserve">either </w:t>
      </w:r>
      <w:r w:rsidR="00EC3E38">
        <w:t xml:space="preserve">had not stopped decreasing or had not started decreasing in the first place. </w:t>
      </w:r>
      <w:r w:rsidR="00E4094C">
        <w:t xml:space="preserve">In contrast, </w:t>
      </w:r>
      <w:r w:rsidR="00EC3E38">
        <w:t xml:space="preserve">the numbers of stalls found with the </w:t>
      </w:r>
      <w:r w:rsidR="00E4094C">
        <w:t xml:space="preserve">World Population Prospects </w:t>
      </w:r>
      <w:r w:rsidR="00EC3E38">
        <w:t xml:space="preserve">is even smaller than </w:t>
      </w:r>
      <w:r w:rsidR="00CC28BD">
        <w:t>those</w:t>
      </w:r>
      <w:r w:rsidR="00EC3E38">
        <w:t xml:space="preserve"> we find by comparing various data sources. While the Zimbabwe and Namibia stalls are also identified with </w:t>
      </w:r>
      <w:r w:rsidR="00CC28BD">
        <w:t xml:space="preserve">the </w:t>
      </w:r>
      <w:r w:rsidR="00EC3E38">
        <w:t>WPP, the Kenya stall (1998</w:t>
      </w:r>
      <w:r w:rsidR="00947217">
        <w:t>–</w:t>
      </w:r>
      <w:r w:rsidR="00EC3E38">
        <w:t xml:space="preserve">2003), for instance, is not visible in the WPP. This may be due to the short duration of the stall and the fact that fertility trends are smoothed in the WPP, as they are averaged over five-year periods. Overall, </w:t>
      </w:r>
      <w:r w:rsidR="00CC28BD">
        <w:t xml:space="preserve">the </w:t>
      </w:r>
      <w:r w:rsidR="00EC3E38">
        <w:t>WPP tend to be very conservative in identifying fertility stalls.</w:t>
      </w:r>
    </w:p>
    <w:p w14:paraId="25255CCE" w14:textId="730A82C5" w:rsidR="00E13923" w:rsidRDefault="00225793" w:rsidP="00925A7A">
      <w:pPr>
        <w:jc w:val="left"/>
      </w:pPr>
      <w:r>
        <w:t>In the end, compari</w:t>
      </w:r>
      <w:r w:rsidR="004E1DB4">
        <w:t>ng</w:t>
      </w:r>
      <w:r>
        <w:t xml:space="preserve"> various methods and sources </w:t>
      </w:r>
      <w:r w:rsidR="004D1E4B">
        <w:t>helps identify cases that may be targeted for in</w:t>
      </w:r>
      <w:r w:rsidR="004E1DB4">
        <w:t>-</w:t>
      </w:r>
      <w:r w:rsidR="004D1E4B">
        <w:t>depth research on the dynamics and causes of the stalls. Zimbabwe and Namibia are clear candidates</w:t>
      </w:r>
      <w:r w:rsidR="00CA487E">
        <w:t xml:space="preserve"> for further research</w:t>
      </w:r>
      <w:r w:rsidR="00745B04">
        <w:t xml:space="preserve"> </w:t>
      </w:r>
      <w:r w:rsidR="00883724" w:rsidRPr="00883724">
        <w:t>(Palamuleni 2015; Sayi 2015)</w:t>
      </w:r>
      <w:r w:rsidR="004D1E4B">
        <w:t xml:space="preserve">, as there is </w:t>
      </w:r>
      <w:r>
        <w:t xml:space="preserve">almost </w:t>
      </w:r>
      <w:r w:rsidR="004D1E4B">
        <w:t xml:space="preserve">no doubt they have experienced fertility stalls. </w:t>
      </w:r>
      <w:r>
        <w:t>Congo and</w:t>
      </w:r>
      <w:r w:rsidR="004D1E4B">
        <w:t xml:space="preserve"> Zambia would also be interesting case studies, in addition to Kenya</w:t>
      </w:r>
      <w:r w:rsidR="004E1DB4">
        <w:t>, which</w:t>
      </w:r>
      <w:r w:rsidR="004D1E4B">
        <w:t xml:space="preserve"> has already been fairly well documented</w:t>
      </w:r>
      <w:r>
        <w:t xml:space="preserve"> </w:t>
      </w:r>
      <w:r w:rsidRPr="00225793">
        <w:t>(Westoff and Cross 2006; Magadi and Agwanda 2010)</w:t>
      </w:r>
      <w:r w:rsidR="004D1E4B">
        <w:t>.</w:t>
      </w:r>
      <w:r>
        <w:t xml:space="preserve"> More limited evidence in other cases suggests that stalls either </w:t>
      </w:r>
      <w:r w:rsidR="004E1DB4">
        <w:t xml:space="preserve">are </w:t>
      </w:r>
      <w:r>
        <w:t>slight</w:t>
      </w:r>
      <w:r w:rsidR="00E13923">
        <w:t xml:space="preserve"> and/or </w:t>
      </w:r>
      <w:r>
        <w:t xml:space="preserve">lasted only a short period of time, or </w:t>
      </w:r>
      <w:proofErr w:type="gramStart"/>
      <w:r>
        <w:t>that data</w:t>
      </w:r>
      <w:r w:rsidR="004E1DB4">
        <w:t>-</w:t>
      </w:r>
      <w:r>
        <w:t>quality issues</w:t>
      </w:r>
      <w:proofErr w:type="gramEnd"/>
      <w:r>
        <w:t xml:space="preserve"> may hamper further research on these cases. </w:t>
      </w:r>
    </w:p>
    <w:p w14:paraId="2566043C" w14:textId="5A2EBF63" w:rsidR="00D31AAF" w:rsidRDefault="005C0693" w:rsidP="00925A7A">
      <w:pPr>
        <w:jc w:val="left"/>
      </w:pPr>
      <w:r>
        <w:t xml:space="preserve">Other stalls may be found with additional data or other methods. </w:t>
      </w:r>
      <w:r w:rsidR="00225793">
        <w:t xml:space="preserve">In some situations, the duration between successive surveys is </w:t>
      </w:r>
      <w:r w:rsidR="00E13923">
        <w:t xml:space="preserve">very </w:t>
      </w:r>
      <w:r w:rsidR="00225793">
        <w:t>long</w:t>
      </w:r>
      <w:r w:rsidR="00E13923">
        <w:t>,</w:t>
      </w:r>
      <w:r w:rsidR="00225793">
        <w:t xml:space="preserve"> </w:t>
      </w:r>
      <w:r w:rsidR="0087559A">
        <w:t xml:space="preserve">which </w:t>
      </w:r>
      <w:r w:rsidR="00225793">
        <w:t xml:space="preserve">may have masked </w:t>
      </w:r>
      <w:r w:rsidR="00C06FEA">
        <w:t xml:space="preserve">clear </w:t>
      </w:r>
      <w:r w:rsidR="00225793">
        <w:t xml:space="preserve">stalls. This </w:t>
      </w:r>
      <w:r w:rsidR="00225793">
        <w:lastRenderedPageBreak/>
        <w:t xml:space="preserve">may be the case in South Africa, where reconstructed fertility trends from DHS and census data suggest a stall, while published TFRs </w:t>
      </w:r>
      <w:r w:rsidR="00197F51">
        <w:t xml:space="preserve">from DHS </w:t>
      </w:r>
      <w:r w:rsidR="000B5ECB">
        <w:t xml:space="preserve">indicate </w:t>
      </w:r>
      <w:r w:rsidR="004E1DB4">
        <w:t xml:space="preserve">that </w:t>
      </w:r>
      <w:r w:rsidR="00225793">
        <w:t>fertility decreased slightly</w:t>
      </w:r>
      <w:r w:rsidR="004E1DB4">
        <w:t>.</w:t>
      </w:r>
      <w:r w:rsidR="00225793">
        <w:rPr>
          <w:rStyle w:val="Appelnotedebasdep"/>
        </w:rPr>
        <w:footnoteReference w:id="12"/>
      </w:r>
      <w:r w:rsidR="00225793">
        <w:t xml:space="preserve"> </w:t>
      </w:r>
      <w:r w:rsidR="00031A58">
        <w:t xml:space="preserve">This may also be the case in Côte d’Ivoire between 1999 and 2012. </w:t>
      </w:r>
      <w:r w:rsidR="00C06FEA">
        <w:t>While these two countries are included in the moderate</w:t>
      </w:r>
      <w:r w:rsidR="004E1DB4">
        <w:t>-</w:t>
      </w:r>
      <w:r w:rsidR="00C06FEA">
        <w:t>evidence</w:t>
      </w:r>
      <w:r w:rsidR="004E1DB4">
        <w:t xml:space="preserve"> category</w:t>
      </w:r>
      <w:r w:rsidR="00C06FEA">
        <w:t xml:space="preserve">, stronger evidence could have been found with additional surveys. </w:t>
      </w:r>
      <w:r w:rsidR="00B22869">
        <w:t>Other countries that were not included in this study</w:t>
      </w:r>
      <w:r w:rsidR="004E1DB4">
        <w:t xml:space="preserve"> – </w:t>
      </w:r>
      <w:r w:rsidR="00B22869">
        <w:t>because at least two DHS were not available</w:t>
      </w:r>
      <w:r w:rsidR="004E1DB4">
        <w:t xml:space="preserve"> –</w:t>
      </w:r>
      <w:r w:rsidR="00B22869">
        <w:t xml:space="preserve"> may also have experience</w:t>
      </w:r>
      <w:r w:rsidR="00C00D43">
        <w:t>d stalls</w:t>
      </w:r>
      <w:r>
        <w:t xml:space="preserve">. </w:t>
      </w:r>
      <w:r w:rsidR="000B5ECB">
        <w:t>For example, census data from Botswana</w:t>
      </w:r>
      <w:r w:rsidR="00B36860">
        <w:t xml:space="preserve"> suggest that fertility </w:t>
      </w:r>
      <w:r w:rsidR="00031A58">
        <w:t xml:space="preserve">has </w:t>
      </w:r>
      <w:r w:rsidR="00B36860">
        <w:t xml:space="preserve">stalled at around </w:t>
      </w:r>
      <w:r w:rsidR="0045743A">
        <w:t>3</w:t>
      </w:r>
      <w:r w:rsidR="00B36860">
        <w:t xml:space="preserve"> children from </w:t>
      </w:r>
      <w:r w:rsidR="00031A58">
        <w:t xml:space="preserve">the early </w:t>
      </w:r>
      <w:r w:rsidR="0045743A">
        <w:t>200</w:t>
      </w:r>
      <w:r w:rsidR="00031A58">
        <w:t>0s</w:t>
      </w:r>
      <w:r w:rsidR="0045743A">
        <w:t xml:space="preserve">, but no DHS or MICS </w:t>
      </w:r>
      <w:r w:rsidR="00C06FEA">
        <w:t>are</w:t>
      </w:r>
      <w:r w:rsidR="0045743A">
        <w:t xml:space="preserve"> available to confirm this, and the WPP do not indicate such a stall</w:t>
      </w:r>
      <w:r w:rsidR="004E1DB4">
        <w:t>.</w:t>
      </w:r>
      <w:r w:rsidR="00B36860">
        <w:rPr>
          <w:rStyle w:val="Appelnotedebasdep"/>
        </w:rPr>
        <w:footnoteReference w:id="13"/>
      </w:r>
      <w:r w:rsidR="00E13923">
        <w:t xml:space="preserve"> </w:t>
      </w:r>
      <w:r w:rsidR="00031A58">
        <w:t xml:space="preserve">Finally, </w:t>
      </w:r>
      <w:r w:rsidR="004E1DB4">
        <w:t xml:space="preserve">while </w:t>
      </w:r>
      <w:r w:rsidR="00031A58">
        <w:t xml:space="preserve">this paper focused on stalls at </w:t>
      </w:r>
      <w:r w:rsidR="004E1DB4">
        <w:t xml:space="preserve">the </w:t>
      </w:r>
      <w:r w:rsidR="00031A58">
        <w:t xml:space="preserve">national level, stalls may be found in urban areas without occurring in rural areas </w:t>
      </w:r>
      <w:r w:rsidR="00C06FEA">
        <w:t xml:space="preserve">or </w:t>
      </w:r>
      <w:r w:rsidR="00031A58">
        <w:t>at the national level. Conversely, stalls at the national level do not necessarily mean that stalls occur at subnational levels, as they may reflect composition effects (</w:t>
      </w:r>
      <w:proofErr w:type="spellStart"/>
      <w:r w:rsidR="00C63A13" w:rsidRPr="00031A58">
        <w:t>Eloundou-Enyegue</w:t>
      </w:r>
      <w:proofErr w:type="spellEnd"/>
      <w:r w:rsidR="004E1DB4">
        <w:t xml:space="preserve">, Giroux, and </w:t>
      </w:r>
      <w:proofErr w:type="spellStart"/>
      <w:r w:rsidR="004E1DB4">
        <w:t>Tenikue</w:t>
      </w:r>
      <w:proofErr w:type="spellEnd"/>
      <w:r w:rsidR="00C63A13" w:rsidRPr="00031A58">
        <w:t xml:space="preserve"> 2017</w:t>
      </w:r>
      <w:r w:rsidR="00C63A13">
        <w:t xml:space="preserve">; </w:t>
      </w:r>
      <w:proofErr w:type="spellStart"/>
      <w:r w:rsidR="00031A58">
        <w:t>Sandron</w:t>
      </w:r>
      <w:proofErr w:type="spellEnd"/>
      <w:r w:rsidR="00031A58">
        <w:t xml:space="preserve"> 2010</w:t>
      </w:r>
      <w:r w:rsidR="00031A58" w:rsidRPr="00031A58">
        <w:t>)</w:t>
      </w:r>
      <w:r w:rsidR="00C63A13">
        <w:t>. Exploring trends at the subnational level was beyond the scope of this paper</w:t>
      </w:r>
      <w:r w:rsidR="002C1451">
        <w:t>,</w:t>
      </w:r>
      <w:r w:rsidR="00C63A13">
        <w:t xml:space="preserve"> but, as demonstrated by the analysis of stalls by levels of education (</w:t>
      </w:r>
      <w:proofErr w:type="spellStart"/>
      <w:r w:rsidR="00C63A13">
        <w:t>Kebede</w:t>
      </w:r>
      <w:proofErr w:type="spellEnd"/>
      <w:r w:rsidR="00C63A13">
        <w:t xml:space="preserve"> et al</w:t>
      </w:r>
      <w:r w:rsidR="002C1451">
        <w:t>.</w:t>
      </w:r>
      <w:r w:rsidR="00C63A13">
        <w:t xml:space="preserve"> 2019), it is a useful step in understanding the dynamics and </w:t>
      </w:r>
      <w:r w:rsidR="00896EA3">
        <w:t xml:space="preserve">the </w:t>
      </w:r>
      <w:r w:rsidR="00C63A13">
        <w:t>causes of fertility stalls.</w:t>
      </w:r>
    </w:p>
    <w:p w14:paraId="55BD3605" w14:textId="4E7130A0" w:rsidR="00113E9A" w:rsidRDefault="00C63A13" w:rsidP="00925A7A">
      <w:pPr>
        <w:jc w:val="left"/>
      </w:pPr>
      <w:r>
        <w:t>In the end, d</w:t>
      </w:r>
      <w:r w:rsidR="004D1E4B">
        <w:t>espite the uncertainty</w:t>
      </w:r>
      <w:r w:rsidR="00C31775">
        <w:t xml:space="preserve"> surrounding some stalls, our </w:t>
      </w:r>
      <w:r w:rsidR="004D1E4B">
        <w:t xml:space="preserve">results also indicate that </w:t>
      </w:r>
      <w:r w:rsidR="00C31775">
        <w:t xml:space="preserve">they </w:t>
      </w:r>
      <w:r w:rsidR="004D1E4B">
        <w:t xml:space="preserve">are </w:t>
      </w:r>
      <w:r w:rsidR="00113E9A">
        <w:t xml:space="preserve">– if not widespread </w:t>
      </w:r>
      <w:r w:rsidR="00947217">
        <w:t>–</w:t>
      </w:r>
      <w:r w:rsidR="00113E9A">
        <w:t xml:space="preserve"> </w:t>
      </w:r>
      <w:r w:rsidR="004D1E4B">
        <w:t>fairly c</w:t>
      </w:r>
      <w:r w:rsidR="00B50D78">
        <w:t xml:space="preserve">ommon in sub-Saharan Africa. </w:t>
      </w:r>
      <w:r w:rsidR="00D31AAF">
        <w:t>T</w:t>
      </w:r>
      <w:r w:rsidR="00C31775">
        <w:t xml:space="preserve">hey are </w:t>
      </w:r>
      <w:r w:rsidR="00D31AAF">
        <w:t xml:space="preserve">also </w:t>
      </w:r>
      <w:r w:rsidR="00C31775">
        <w:t>not a feature of the past</w:t>
      </w:r>
      <w:r w:rsidR="00D31AAF">
        <w:t>, as shown by the ongoing stalls in Zimbabwe and Namibia</w:t>
      </w:r>
      <w:r w:rsidR="00C31775">
        <w:t>. Better understanding their causes</w:t>
      </w:r>
      <w:r w:rsidR="00113E9A">
        <w:t xml:space="preserve">, such as the role of stalls in contraception </w:t>
      </w:r>
      <w:r w:rsidR="00D31AAF">
        <w:t xml:space="preserve">and persisting </w:t>
      </w:r>
      <w:r w:rsidR="00113E9A">
        <w:t xml:space="preserve">high demand for children </w:t>
      </w:r>
      <w:r w:rsidR="00743970" w:rsidRPr="00743970">
        <w:t xml:space="preserve">(Agyei-Mensah 2005; Bongaarts 2008; Ezeh, Mberu, and Emina 2009; </w:t>
      </w:r>
      <w:r w:rsidR="00743970" w:rsidRPr="00743970">
        <w:lastRenderedPageBreak/>
        <w:t>Gillespie et al. 2007; Westoff and Cross 2006)</w:t>
      </w:r>
      <w:r w:rsidR="00113E9A">
        <w:t xml:space="preserve">, </w:t>
      </w:r>
      <w:r w:rsidR="00C31775">
        <w:t xml:space="preserve">is thus key to understanding </w:t>
      </w:r>
      <w:r w:rsidR="00113E9A">
        <w:t xml:space="preserve">and influencing </w:t>
      </w:r>
      <w:r w:rsidR="00C31775">
        <w:t>the future paths</w:t>
      </w:r>
      <w:r w:rsidR="00113E9A">
        <w:t xml:space="preserve"> of fertility in sub-Saharan Africa. </w:t>
      </w:r>
    </w:p>
    <w:p w14:paraId="56CE3332" w14:textId="77777777" w:rsidR="00113E9A" w:rsidRDefault="00113E9A" w:rsidP="00925A7A">
      <w:pPr>
        <w:jc w:val="left"/>
      </w:pPr>
      <w:r>
        <w:br w:type="page"/>
      </w:r>
    </w:p>
    <w:p w14:paraId="3F8EF15C" w14:textId="77777777" w:rsidR="00771163" w:rsidRDefault="00771163" w:rsidP="00925A7A">
      <w:pPr>
        <w:pStyle w:val="Titre1"/>
        <w:jc w:val="left"/>
      </w:pPr>
      <w:r>
        <w:lastRenderedPageBreak/>
        <w:t>References</w:t>
      </w:r>
    </w:p>
    <w:p w14:paraId="69F4F200" w14:textId="1FBC7D09" w:rsidR="00A64FC3" w:rsidRDefault="00A64FC3" w:rsidP="00A64FC3">
      <w:pPr>
        <w:pStyle w:val="Bibliographie"/>
      </w:pPr>
      <w:proofErr w:type="spellStart"/>
      <w:r>
        <w:t>Agyei</w:t>
      </w:r>
      <w:proofErr w:type="spellEnd"/>
      <w:r>
        <w:t xml:space="preserve">-Mensah, Samuel. 2005. </w:t>
      </w:r>
      <w:r w:rsidR="001516BF">
        <w:t>“</w:t>
      </w:r>
      <w:r>
        <w:t>The Fertility Transition in Ghana Revisited</w:t>
      </w:r>
      <w:r w:rsidR="001516BF">
        <w:t>”</w:t>
      </w:r>
      <w:r>
        <w:t>. Paper Presented at the General Population Conference, Tours.</w:t>
      </w:r>
    </w:p>
    <w:p w14:paraId="74F4D020" w14:textId="133E04DE" w:rsidR="00A64FC3" w:rsidRDefault="00A64FC3" w:rsidP="00A64FC3">
      <w:pPr>
        <w:pStyle w:val="Bibliographie"/>
      </w:pPr>
      <w:proofErr w:type="spellStart"/>
      <w:r>
        <w:t>Agyei</w:t>
      </w:r>
      <w:proofErr w:type="spellEnd"/>
      <w:r>
        <w:t xml:space="preserve">-Mensah, Samuel. 2007. </w:t>
      </w:r>
      <w:r w:rsidR="001516BF">
        <w:t>“</w:t>
      </w:r>
      <w:r>
        <w:t>New Times, New Families: The Stall in Ghanaian Ferti</w:t>
      </w:r>
      <w:r w:rsidR="001516BF">
        <w:t>lity”</w:t>
      </w:r>
      <w:r>
        <w:t>. Paper presented at the African Population Conference, Arusha.</w:t>
      </w:r>
    </w:p>
    <w:p w14:paraId="6EE14B91" w14:textId="5819A2DC" w:rsidR="00A64FC3" w:rsidRDefault="00A64FC3" w:rsidP="00A64FC3">
      <w:pPr>
        <w:pStyle w:val="Bibliographie"/>
      </w:pPr>
      <w:r>
        <w:t xml:space="preserve">Andersen, Robert. 2009. </w:t>
      </w:r>
      <w:r w:rsidR="001516BF">
        <w:t>“</w:t>
      </w:r>
      <w:r>
        <w:t>Nonparametric Methods for Modeling Nonl</w:t>
      </w:r>
      <w:r w:rsidR="001516BF">
        <w:t>inearity in Regression Analysis”</w:t>
      </w:r>
      <w:r>
        <w:t xml:space="preserve">. </w:t>
      </w:r>
      <w:r>
        <w:rPr>
          <w:i/>
          <w:iCs/>
        </w:rPr>
        <w:t>Annual Review of Sociology</w:t>
      </w:r>
      <w:r>
        <w:t xml:space="preserve"> 35: 67–85.</w:t>
      </w:r>
    </w:p>
    <w:p w14:paraId="541CE1C0" w14:textId="43241D10" w:rsidR="00A64FC3" w:rsidRDefault="00A64FC3" w:rsidP="00A64FC3">
      <w:pPr>
        <w:pStyle w:val="Bibliographie"/>
      </w:pPr>
      <w:proofErr w:type="gramStart"/>
      <w:r>
        <w:t xml:space="preserve">Askew, Ian, </w:t>
      </w:r>
      <w:proofErr w:type="spellStart"/>
      <w:r>
        <w:t>Ndugga</w:t>
      </w:r>
      <w:proofErr w:type="spellEnd"/>
      <w:r>
        <w:t xml:space="preserve"> </w:t>
      </w:r>
      <w:proofErr w:type="spellStart"/>
      <w:r>
        <w:t>Maggwa</w:t>
      </w:r>
      <w:proofErr w:type="spellEnd"/>
      <w:r>
        <w:t xml:space="preserve">, and Francis </w:t>
      </w:r>
      <w:proofErr w:type="spellStart"/>
      <w:r>
        <w:t>Obare</w:t>
      </w:r>
      <w:proofErr w:type="spellEnd"/>
      <w:r>
        <w:t>.</w:t>
      </w:r>
      <w:proofErr w:type="gramEnd"/>
      <w:r>
        <w:t xml:space="preserve"> 2017. </w:t>
      </w:r>
      <w:r w:rsidR="001516BF">
        <w:t>“</w:t>
      </w:r>
      <w:r>
        <w:t>Fertility Transitions in Ghana and Kenya: Trends, Determinants, and Impli</w:t>
      </w:r>
      <w:r w:rsidR="001516BF">
        <w:t>cations for Policy and Programs”</w:t>
      </w:r>
      <w:r>
        <w:t xml:space="preserve">. </w:t>
      </w:r>
      <w:r>
        <w:rPr>
          <w:i/>
          <w:iCs/>
        </w:rPr>
        <w:t>Population and Development Review</w:t>
      </w:r>
      <w:r>
        <w:t xml:space="preserve"> 43 (Supplement: Fertility Transition in Sub-Saharan Africa): 289–307.</w:t>
      </w:r>
    </w:p>
    <w:p w14:paraId="730D6820" w14:textId="160AF68E" w:rsidR="00A64FC3" w:rsidRDefault="00A64FC3" w:rsidP="00A64FC3">
      <w:pPr>
        <w:pStyle w:val="Bibliographie"/>
      </w:pPr>
      <w:r>
        <w:t xml:space="preserve">Blacker, John. 1994. </w:t>
      </w:r>
      <w:r w:rsidR="001516BF">
        <w:t>“</w:t>
      </w:r>
      <w:r>
        <w:t>Some Thoughts on the Evidence of Fertility Decline</w:t>
      </w:r>
      <w:r w:rsidR="001516BF">
        <w:t xml:space="preserve"> in Eastern and Southern Africa”</w:t>
      </w:r>
      <w:r>
        <w:t xml:space="preserve">. </w:t>
      </w:r>
      <w:r>
        <w:rPr>
          <w:i/>
          <w:iCs/>
        </w:rPr>
        <w:t>Population and Development Review</w:t>
      </w:r>
      <w:r>
        <w:t xml:space="preserve"> 20 (1): 200–205.</w:t>
      </w:r>
    </w:p>
    <w:p w14:paraId="64608A9C" w14:textId="0F725D19" w:rsidR="00A64FC3" w:rsidRDefault="00A64FC3" w:rsidP="00A64FC3">
      <w:pPr>
        <w:pStyle w:val="Bibliographie"/>
      </w:pPr>
      <w:proofErr w:type="spellStart"/>
      <w:r>
        <w:t>Bongaarts</w:t>
      </w:r>
      <w:proofErr w:type="spellEnd"/>
      <w:r>
        <w:t xml:space="preserve">, John. 2006. </w:t>
      </w:r>
      <w:r w:rsidR="001516BF">
        <w:t>“</w:t>
      </w:r>
      <w:r>
        <w:t>The Causes of</w:t>
      </w:r>
      <w:r w:rsidR="001516BF">
        <w:t xml:space="preserve"> Stalling Fertility Transitions”</w:t>
      </w:r>
      <w:r>
        <w:t xml:space="preserve">. </w:t>
      </w:r>
      <w:r>
        <w:rPr>
          <w:i/>
          <w:iCs/>
        </w:rPr>
        <w:t>Studies in Family Planning</w:t>
      </w:r>
      <w:r>
        <w:t xml:space="preserve"> 37 (1): 1–16.</w:t>
      </w:r>
    </w:p>
    <w:p w14:paraId="66B26D98" w14:textId="3DAA83D0" w:rsidR="00A64FC3" w:rsidRDefault="001516BF" w:rsidP="00A64FC3">
      <w:pPr>
        <w:pStyle w:val="Bibliographie"/>
      </w:pPr>
      <w:proofErr w:type="spellStart"/>
      <w:r>
        <w:t>Bongaarts</w:t>
      </w:r>
      <w:proofErr w:type="spellEnd"/>
      <w:r>
        <w:t>, John. 2008. “</w:t>
      </w:r>
      <w:r w:rsidR="00A64FC3">
        <w:t>Fertility Transitions in Developing Cou</w:t>
      </w:r>
      <w:r>
        <w:t>ntries: Progress or Stagnation?”</w:t>
      </w:r>
      <w:r w:rsidR="00A64FC3">
        <w:t xml:space="preserve"> </w:t>
      </w:r>
      <w:r w:rsidR="00A64FC3">
        <w:rPr>
          <w:i/>
          <w:iCs/>
        </w:rPr>
        <w:t>Studies in Family Planning</w:t>
      </w:r>
      <w:r w:rsidR="00A64FC3">
        <w:t xml:space="preserve"> 39 (2): 105–10.</w:t>
      </w:r>
    </w:p>
    <w:p w14:paraId="662341C6" w14:textId="7183E097" w:rsidR="00A64FC3" w:rsidRDefault="00A64FC3" w:rsidP="00A64FC3">
      <w:pPr>
        <w:pStyle w:val="Bibliographie"/>
      </w:pPr>
      <w:proofErr w:type="spellStart"/>
      <w:r>
        <w:t>Bongaarts</w:t>
      </w:r>
      <w:proofErr w:type="spellEnd"/>
      <w:r>
        <w:t xml:space="preserve">, John. 2013. </w:t>
      </w:r>
      <w:r w:rsidR="001516BF">
        <w:t>“</w:t>
      </w:r>
      <w:r>
        <w:t>How Exceptional Is the Pattern of Fertility</w:t>
      </w:r>
      <w:r w:rsidR="001516BF">
        <w:t xml:space="preserve"> Decline in Sub-Saharan Africa?”</w:t>
      </w:r>
      <w:r>
        <w:t xml:space="preserve"> </w:t>
      </w:r>
      <w:proofErr w:type="gramStart"/>
      <w:r>
        <w:t>2013/4.</w:t>
      </w:r>
      <w:proofErr w:type="gramEnd"/>
      <w:r>
        <w:t xml:space="preserve"> </w:t>
      </w:r>
      <w:proofErr w:type="gramStart"/>
      <w:r>
        <w:t>Expert Paper.</w:t>
      </w:r>
      <w:proofErr w:type="gramEnd"/>
      <w:r>
        <w:t xml:space="preserve"> New York: United Nations Department of Economic and Social Affairs, Population Division.</w:t>
      </w:r>
    </w:p>
    <w:p w14:paraId="719F35CC" w14:textId="4BE6777C" w:rsidR="00A64FC3" w:rsidRDefault="00A64FC3" w:rsidP="00A64FC3">
      <w:pPr>
        <w:pStyle w:val="Bibliographie"/>
      </w:pPr>
      <w:proofErr w:type="spellStart"/>
      <w:r>
        <w:t>Bongaarts</w:t>
      </w:r>
      <w:proofErr w:type="spellEnd"/>
      <w:r>
        <w:t xml:space="preserve">, John. 2015. </w:t>
      </w:r>
      <w:r w:rsidR="001516BF">
        <w:t>“</w:t>
      </w:r>
      <w:r>
        <w:t>Modeling the Fertility Impact of the Proximate D</w:t>
      </w:r>
      <w:r w:rsidR="001516BF">
        <w:t>eterminants: Time for a Tune-Up”</w:t>
      </w:r>
      <w:r>
        <w:t xml:space="preserve">. </w:t>
      </w:r>
      <w:r>
        <w:rPr>
          <w:i/>
          <w:iCs/>
        </w:rPr>
        <w:t>Demographic Research</w:t>
      </w:r>
      <w:r>
        <w:t xml:space="preserve"> 33 (</w:t>
      </w:r>
      <w:r w:rsidR="00C6751D">
        <w:t>19</w:t>
      </w:r>
      <w:r>
        <w:t xml:space="preserve">): 535–60. </w:t>
      </w:r>
    </w:p>
    <w:p w14:paraId="03DFD065" w14:textId="1EB4382E" w:rsidR="00A64FC3" w:rsidRDefault="00A64FC3" w:rsidP="00A64FC3">
      <w:pPr>
        <w:pStyle w:val="Bibliographie"/>
      </w:pPr>
      <w:proofErr w:type="spellStart"/>
      <w:proofErr w:type="gramStart"/>
      <w:r>
        <w:t>Bongaarts</w:t>
      </w:r>
      <w:proofErr w:type="spellEnd"/>
      <w:r>
        <w:t xml:space="preserve">, John, and John </w:t>
      </w:r>
      <w:proofErr w:type="spellStart"/>
      <w:r>
        <w:t>Casterline</w:t>
      </w:r>
      <w:proofErr w:type="spellEnd"/>
      <w:r>
        <w:t>.</w:t>
      </w:r>
      <w:proofErr w:type="gramEnd"/>
      <w:r>
        <w:t xml:space="preserve"> 2013. </w:t>
      </w:r>
      <w:r w:rsidR="001516BF">
        <w:t>“</w:t>
      </w:r>
      <w:r>
        <w:t>Fertility Transition: Is Sub-Saharan Africa Different?</w:t>
      </w:r>
      <w:r w:rsidR="001516BF">
        <w:t>”</w:t>
      </w:r>
      <w:r>
        <w:t xml:space="preserve"> </w:t>
      </w:r>
      <w:r>
        <w:rPr>
          <w:i/>
          <w:iCs/>
        </w:rPr>
        <w:t>Population and Development Review</w:t>
      </w:r>
      <w:r>
        <w:t xml:space="preserve"> 38 (Special Issue: Population and Public Policy: Essays in Honor of Paul </w:t>
      </w:r>
      <w:proofErr w:type="spellStart"/>
      <w:r>
        <w:t>Demeny</w:t>
      </w:r>
      <w:proofErr w:type="spellEnd"/>
      <w:r>
        <w:t xml:space="preserve">): 153–68. </w:t>
      </w:r>
    </w:p>
    <w:p w14:paraId="3C4A5AC7" w14:textId="67800028" w:rsidR="00A64FC3" w:rsidRDefault="00A64FC3" w:rsidP="00A64FC3">
      <w:pPr>
        <w:pStyle w:val="Bibliographie"/>
      </w:pPr>
      <w:proofErr w:type="spellStart"/>
      <w:r>
        <w:rPr>
          <w:lang w:val="fr-BE"/>
        </w:rPr>
        <w:t>Eloundou-Enyegue</w:t>
      </w:r>
      <w:proofErr w:type="spellEnd"/>
      <w:r>
        <w:rPr>
          <w:lang w:val="fr-BE"/>
        </w:rPr>
        <w:t xml:space="preserve">, Parfait, Sarah Giroux, and Michel </w:t>
      </w:r>
      <w:proofErr w:type="spellStart"/>
      <w:r>
        <w:rPr>
          <w:lang w:val="fr-BE"/>
        </w:rPr>
        <w:t>Tenikue</w:t>
      </w:r>
      <w:proofErr w:type="spellEnd"/>
      <w:r>
        <w:rPr>
          <w:lang w:val="fr-BE"/>
        </w:rPr>
        <w:t xml:space="preserve">. </w:t>
      </w:r>
      <w:r>
        <w:t xml:space="preserve">2017. </w:t>
      </w:r>
      <w:r w:rsidR="001516BF">
        <w:t>“</w:t>
      </w:r>
      <w:r>
        <w:t>African Transitions and Fertility Inequality: A</w:t>
      </w:r>
      <w:r w:rsidR="001516BF">
        <w:t xml:space="preserve"> Demographic Kuznets Hypothesis”</w:t>
      </w:r>
      <w:r>
        <w:t xml:space="preserve">. </w:t>
      </w:r>
      <w:r>
        <w:rPr>
          <w:i/>
          <w:iCs/>
        </w:rPr>
        <w:t>Population and Development Review</w:t>
      </w:r>
      <w:r>
        <w:t xml:space="preserve"> 43, (Supplement: Fertility Transition in Sub-Saharan Africa): 59–83.</w:t>
      </w:r>
    </w:p>
    <w:p w14:paraId="0B8964F4" w14:textId="73CC8A2C" w:rsidR="00A64FC3" w:rsidRDefault="00A64FC3" w:rsidP="00A64FC3">
      <w:pPr>
        <w:pStyle w:val="Bibliographie"/>
      </w:pPr>
      <w:proofErr w:type="spellStart"/>
      <w:proofErr w:type="gramStart"/>
      <w:r>
        <w:t>Ezeh</w:t>
      </w:r>
      <w:proofErr w:type="spellEnd"/>
      <w:r>
        <w:t xml:space="preserve">, Alex C., Blessing U. </w:t>
      </w:r>
      <w:proofErr w:type="spellStart"/>
      <w:r>
        <w:t>Mberu</w:t>
      </w:r>
      <w:proofErr w:type="spellEnd"/>
      <w:r>
        <w:t xml:space="preserve">, and Jacques O. </w:t>
      </w:r>
      <w:proofErr w:type="spellStart"/>
      <w:r>
        <w:t>Emina</w:t>
      </w:r>
      <w:proofErr w:type="spellEnd"/>
      <w:r>
        <w:t>.</w:t>
      </w:r>
      <w:proofErr w:type="gramEnd"/>
      <w:r>
        <w:t xml:space="preserve"> 2009. </w:t>
      </w:r>
      <w:r w:rsidR="001516BF">
        <w:t>“</w:t>
      </w:r>
      <w:r>
        <w:t>Stall in Fertility Decline in Eastern African Countries: Regional Analysis of Patterns</w:t>
      </w:r>
      <w:r w:rsidR="001516BF">
        <w:t>, Determinants and Implications”</w:t>
      </w:r>
      <w:r>
        <w:t xml:space="preserve">. </w:t>
      </w:r>
      <w:r>
        <w:rPr>
          <w:i/>
          <w:iCs/>
        </w:rPr>
        <w:t>Philosophical Transactions of the Royal Society of London B: Biological Sciences</w:t>
      </w:r>
      <w:r>
        <w:t xml:space="preserve"> 364 (1532): 2991–3007. </w:t>
      </w:r>
    </w:p>
    <w:p w14:paraId="30F2A442" w14:textId="6320A2DA" w:rsidR="00A64FC3" w:rsidRDefault="001516BF" w:rsidP="00A64FC3">
      <w:pPr>
        <w:pStyle w:val="Bibliographie"/>
      </w:pPr>
      <w:proofErr w:type="spellStart"/>
      <w:r>
        <w:t>Garenne</w:t>
      </w:r>
      <w:proofErr w:type="spellEnd"/>
      <w:r>
        <w:t>, Michel. 2008. “</w:t>
      </w:r>
      <w:r w:rsidR="00A64FC3">
        <w:t>Situations of Fertil</w:t>
      </w:r>
      <w:r>
        <w:t>ity Stall in Sub-Saharan Africa”</w:t>
      </w:r>
      <w:r w:rsidR="00A64FC3">
        <w:t xml:space="preserve">. </w:t>
      </w:r>
      <w:r w:rsidR="00A64FC3">
        <w:rPr>
          <w:i/>
          <w:iCs/>
        </w:rPr>
        <w:t>African Population Studies</w:t>
      </w:r>
      <w:r w:rsidR="00A64FC3">
        <w:t xml:space="preserve"> 23 (2): 173–88. </w:t>
      </w:r>
    </w:p>
    <w:p w14:paraId="6794339E" w14:textId="4B10E968" w:rsidR="00A64FC3" w:rsidRDefault="001516BF" w:rsidP="00A64FC3">
      <w:pPr>
        <w:pStyle w:val="Bibliographie"/>
      </w:pPr>
      <w:proofErr w:type="spellStart"/>
      <w:r>
        <w:t>Garenne</w:t>
      </w:r>
      <w:proofErr w:type="spellEnd"/>
      <w:r>
        <w:t>, Michel. 2011. “</w:t>
      </w:r>
      <w:r w:rsidR="00A64FC3">
        <w:t>Testing for Fertility Stalls in</w:t>
      </w:r>
      <w:r>
        <w:t xml:space="preserve"> Demographic and Health Surveys”</w:t>
      </w:r>
      <w:r w:rsidR="00A64FC3">
        <w:t xml:space="preserve">. </w:t>
      </w:r>
      <w:r w:rsidR="00A64FC3">
        <w:rPr>
          <w:i/>
          <w:iCs/>
        </w:rPr>
        <w:t>Population Health Metrics</w:t>
      </w:r>
      <w:r w:rsidR="00A64FC3">
        <w:t xml:space="preserve"> 9 (1): 59. </w:t>
      </w:r>
    </w:p>
    <w:p w14:paraId="3B8D24B7" w14:textId="0E8CF1C4" w:rsidR="00A64FC3" w:rsidRDefault="00A64FC3" w:rsidP="00A64FC3">
      <w:pPr>
        <w:pStyle w:val="Bibliographie"/>
      </w:pPr>
      <w:proofErr w:type="spellStart"/>
      <w:proofErr w:type="gramStart"/>
      <w:r>
        <w:t>Garenne</w:t>
      </w:r>
      <w:proofErr w:type="spellEnd"/>
      <w:r>
        <w:t xml:space="preserve">, Michel, Robert McCaa, Clifford </w:t>
      </w:r>
      <w:proofErr w:type="spellStart"/>
      <w:r>
        <w:t>Odimegwu</w:t>
      </w:r>
      <w:proofErr w:type="spellEnd"/>
      <w:r>
        <w:t xml:space="preserve">, Sunday </w:t>
      </w:r>
      <w:proofErr w:type="spellStart"/>
      <w:r>
        <w:t>Adedini</w:t>
      </w:r>
      <w:proofErr w:type="spellEnd"/>
      <w:r w:rsidR="001516BF">
        <w:t xml:space="preserve">, and </w:t>
      </w:r>
      <w:proofErr w:type="spellStart"/>
      <w:r w:rsidR="001516BF">
        <w:t>Garikayi</w:t>
      </w:r>
      <w:proofErr w:type="spellEnd"/>
      <w:r w:rsidR="001516BF">
        <w:t xml:space="preserve"> </w:t>
      </w:r>
      <w:proofErr w:type="spellStart"/>
      <w:r w:rsidR="001516BF">
        <w:t>Chemhaka</w:t>
      </w:r>
      <w:proofErr w:type="spellEnd"/>
      <w:r w:rsidR="001516BF">
        <w:t>.</w:t>
      </w:r>
      <w:proofErr w:type="gramEnd"/>
      <w:r w:rsidR="001516BF">
        <w:t xml:space="preserve"> 2015. “</w:t>
      </w:r>
      <w:r>
        <w:t>Reading Fertility Stalls in</w:t>
      </w:r>
      <w:r w:rsidR="001516BF">
        <w:t xml:space="preserve"> Census Data: The Case of Kenya”</w:t>
      </w:r>
      <w:r>
        <w:t>. Paper presented at the Population Association of America, San Diego.</w:t>
      </w:r>
    </w:p>
    <w:p w14:paraId="30C66509" w14:textId="16E6D0F6" w:rsidR="00A64FC3" w:rsidRDefault="001516BF" w:rsidP="00A64FC3">
      <w:pPr>
        <w:pStyle w:val="Bibliographie"/>
      </w:pPr>
      <w:proofErr w:type="spellStart"/>
      <w:r>
        <w:t>Gendell</w:t>
      </w:r>
      <w:proofErr w:type="spellEnd"/>
      <w:r>
        <w:t xml:space="preserve">, Murray. 1985. </w:t>
      </w:r>
      <w:r w:rsidR="00A64FC3" w:rsidRPr="001516BF">
        <w:rPr>
          <w:i/>
        </w:rPr>
        <w:t>Stalls in the Fertility Decline in Costa Rica, Korea, and Sri Lanka</w:t>
      </w:r>
      <w:r w:rsidR="00A64FC3">
        <w:t xml:space="preserve">. </w:t>
      </w:r>
      <w:proofErr w:type="gramStart"/>
      <w:r w:rsidR="00A64FC3">
        <w:t>World Bank Staff Working Paper 693.</w:t>
      </w:r>
      <w:proofErr w:type="gramEnd"/>
      <w:r w:rsidR="00A64FC3">
        <w:t xml:space="preserve"> Washington, DC: The World Bank. </w:t>
      </w:r>
    </w:p>
    <w:p w14:paraId="461EDAF8" w14:textId="3FC56D9D" w:rsidR="00A64FC3" w:rsidRDefault="00A64FC3" w:rsidP="00A64FC3">
      <w:pPr>
        <w:pStyle w:val="Bibliographie"/>
      </w:pPr>
      <w:proofErr w:type="spellStart"/>
      <w:proofErr w:type="gramStart"/>
      <w:r>
        <w:t>Gerland</w:t>
      </w:r>
      <w:proofErr w:type="spellEnd"/>
      <w:r>
        <w:t xml:space="preserve">, Patrick, Ann </w:t>
      </w:r>
      <w:proofErr w:type="spellStart"/>
      <w:r>
        <w:t>Biddlecom</w:t>
      </w:r>
      <w:proofErr w:type="spellEnd"/>
      <w:r>
        <w:t xml:space="preserve">, and </w:t>
      </w:r>
      <w:proofErr w:type="spellStart"/>
      <w:r>
        <w:t>Vladimíra</w:t>
      </w:r>
      <w:proofErr w:type="spellEnd"/>
      <w:r>
        <w:t xml:space="preserve"> </w:t>
      </w:r>
      <w:proofErr w:type="spellStart"/>
      <w:r>
        <w:t>Kantorová</w:t>
      </w:r>
      <w:proofErr w:type="spellEnd"/>
      <w:r>
        <w:t>.</w:t>
      </w:r>
      <w:proofErr w:type="gramEnd"/>
      <w:r>
        <w:t xml:space="preserve"> 2017. </w:t>
      </w:r>
      <w:r w:rsidR="001516BF">
        <w:t>“</w:t>
      </w:r>
      <w:r>
        <w:t>Patterns of Fertility Decline and the Impact of Alternative Scenarios of Future Fertility Change in Sub-Sa</w:t>
      </w:r>
      <w:r w:rsidR="001516BF">
        <w:t>haran Africa”</w:t>
      </w:r>
      <w:r>
        <w:t xml:space="preserve">. </w:t>
      </w:r>
      <w:r>
        <w:rPr>
          <w:i/>
          <w:iCs/>
        </w:rPr>
        <w:t>Population and Development Review</w:t>
      </w:r>
      <w:r>
        <w:t xml:space="preserve"> 43, (Supplement: Fertility Transition in Sub-Saharan Africa): 21–38.</w:t>
      </w:r>
    </w:p>
    <w:p w14:paraId="28C327A0" w14:textId="44AD8AC9" w:rsidR="00A64FC3" w:rsidRDefault="00A64FC3" w:rsidP="00A64FC3">
      <w:pPr>
        <w:pStyle w:val="Bibliographie"/>
      </w:pPr>
      <w:proofErr w:type="gramStart"/>
      <w:r>
        <w:lastRenderedPageBreak/>
        <w:t xml:space="preserve">Gillespie, Duff, </w:t>
      </w:r>
      <w:proofErr w:type="spellStart"/>
      <w:r>
        <w:t>Saifuddin</w:t>
      </w:r>
      <w:proofErr w:type="spellEnd"/>
      <w:r>
        <w:t xml:space="preserve"> Ahmed, Amy </w:t>
      </w:r>
      <w:proofErr w:type="spellStart"/>
      <w:r w:rsidR="001516BF">
        <w:t>Tsui</w:t>
      </w:r>
      <w:proofErr w:type="spellEnd"/>
      <w:r w:rsidR="001516BF">
        <w:t xml:space="preserve">, and Scott </w:t>
      </w:r>
      <w:proofErr w:type="spellStart"/>
      <w:r w:rsidR="001516BF">
        <w:t>Radloff</w:t>
      </w:r>
      <w:proofErr w:type="spellEnd"/>
      <w:r w:rsidR="001516BF">
        <w:t>.</w:t>
      </w:r>
      <w:proofErr w:type="gramEnd"/>
      <w:r w:rsidR="001516BF">
        <w:t xml:space="preserve"> 2007. “</w:t>
      </w:r>
      <w:r>
        <w:t>Unwanted Fertili</w:t>
      </w:r>
      <w:r w:rsidR="001516BF">
        <w:t>ty among the Poor: An Inequity?”</w:t>
      </w:r>
      <w:r>
        <w:t xml:space="preserve"> </w:t>
      </w:r>
      <w:r>
        <w:rPr>
          <w:i/>
          <w:iCs/>
        </w:rPr>
        <w:t>Bulletin of the World Health Organization</w:t>
      </w:r>
      <w:r>
        <w:t xml:space="preserve"> 85 (2): 100–107.</w:t>
      </w:r>
    </w:p>
    <w:p w14:paraId="61D3DC32" w14:textId="5F6790AC" w:rsidR="00A64FC3" w:rsidRDefault="00A64FC3" w:rsidP="00A64FC3">
      <w:pPr>
        <w:pStyle w:val="Bibliographie"/>
      </w:pPr>
      <w:proofErr w:type="spellStart"/>
      <w:proofErr w:type="gramStart"/>
      <w:r>
        <w:t>Goujon</w:t>
      </w:r>
      <w:proofErr w:type="spellEnd"/>
      <w:r>
        <w:t>, Anne, Wolf</w:t>
      </w:r>
      <w:r w:rsidR="001516BF">
        <w:t>gang Lutz, and Samir KC. 2015.</w:t>
      </w:r>
      <w:proofErr w:type="gramEnd"/>
      <w:r w:rsidR="001516BF">
        <w:t xml:space="preserve"> “</w:t>
      </w:r>
      <w:r>
        <w:t>Education Stalls and Subsequent Stalls in African Fe</w:t>
      </w:r>
      <w:r w:rsidR="001516BF">
        <w:t>rtility: A Descriptive Overview”</w:t>
      </w:r>
      <w:r>
        <w:t xml:space="preserve">. </w:t>
      </w:r>
      <w:r>
        <w:rPr>
          <w:i/>
          <w:iCs/>
        </w:rPr>
        <w:t>Demographic Research</w:t>
      </w:r>
      <w:r>
        <w:t xml:space="preserve"> 33 (47): 1281–96. </w:t>
      </w:r>
    </w:p>
    <w:p w14:paraId="17B3576A" w14:textId="77777777" w:rsidR="00A64FC3" w:rsidRDefault="00A64FC3" w:rsidP="00A64FC3">
      <w:pPr>
        <w:pStyle w:val="Bibliographie"/>
      </w:pPr>
      <w:r>
        <w:t xml:space="preserve">Harrell, Frank. 2001. </w:t>
      </w:r>
      <w:r>
        <w:rPr>
          <w:i/>
          <w:iCs/>
        </w:rPr>
        <w:t>Regression Modeling Strategies</w:t>
      </w:r>
      <w:r>
        <w:t xml:space="preserve">. Dordrecht: Springer. </w:t>
      </w:r>
    </w:p>
    <w:p w14:paraId="562D2A8A" w14:textId="0180644D" w:rsidR="00A64FC3" w:rsidRDefault="00A64FC3" w:rsidP="00A64FC3">
      <w:pPr>
        <w:pStyle w:val="Bibliographie"/>
      </w:pPr>
      <w:proofErr w:type="spellStart"/>
      <w:proofErr w:type="gramStart"/>
      <w:r>
        <w:t>Kebede</w:t>
      </w:r>
      <w:proofErr w:type="spellEnd"/>
      <w:r>
        <w:t xml:space="preserve">, </w:t>
      </w:r>
      <w:proofErr w:type="spellStart"/>
      <w:r>
        <w:t>Endale</w:t>
      </w:r>
      <w:proofErr w:type="spellEnd"/>
      <w:r>
        <w:t xml:space="preserve">, Anne </w:t>
      </w:r>
      <w:proofErr w:type="spellStart"/>
      <w:r>
        <w:t>Go</w:t>
      </w:r>
      <w:r w:rsidR="001516BF">
        <w:t>ujon</w:t>
      </w:r>
      <w:proofErr w:type="spellEnd"/>
      <w:r w:rsidR="001516BF">
        <w:t>, and Wolfgang Lutz.</w:t>
      </w:r>
      <w:proofErr w:type="gramEnd"/>
      <w:r w:rsidR="001516BF">
        <w:t xml:space="preserve"> 2019. “</w:t>
      </w:r>
      <w:r>
        <w:t xml:space="preserve">Stalls in Africa’s Fertility Decline Partly Result from </w:t>
      </w:r>
      <w:r w:rsidR="001516BF">
        <w:t>Disruptions in Female Education”</w:t>
      </w:r>
      <w:r>
        <w:t xml:space="preserve">. </w:t>
      </w:r>
      <w:r>
        <w:rPr>
          <w:i/>
          <w:iCs/>
        </w:rPr>
        <w:t>Proceedings of the National Academy of Sciences</w:t>
      </w:r>
      <w:r>
        <w:t xml:space="preserve"> 116 (8)</w:t>
      </w:r>
      <w:r w:rsidR="00C6751D">
        <w:t>:</w:t>
      </w:r>
      <w:r>
        <w:t xml:space="preserve"> 2891-96. </w:t>
      </w:r>
    </w:p>
    <w:p w14:paraId="1DC5D058" w14:textId="17980111" w:rsidR="00A64FC3" w:rsidRDefault="00A64FC3" w:rsidP="00A64FC3">
      <w:pPr>
        <w:pStyle w:val="Bibliographie"/>
      </w:pPr>
      <w:proofErr w:type="spellStart"/>
      <w:r>
        <w:t>Machiyam</w:t>
      </w:r>
      <w:r w:rsidR="001516BF">
        <w:t>a</w:t>
      </w:r>
      <w:proofErr w:type="spellEnd"/>
      <w:r w:rsidR="001516BF">
        <w:t xml:space="preserve">, </w:t>
      </w:r>
      <w:proofErr w:type="spellStart"/>
      <w:r w:rsidR="001516BF">
        <w:t>Kazuyo</w:t>
      </w:r>
      <w:proofErr w:type="spellEnd"/>
      <w:r w:rsidR="001516BF">
        <w:t>. 2010. “</w:t>
      </w:r>
      <w:r>
        <w:t>A Re-examination of Recent Fertility</w:t>
      </w:r>
      <w:r w:rsidR="001516BF">
        <w:t xml:space="preserve"> Declines in Sub-Saharan Africa”</w:t>
      </w:r>
      <w:r>
        <w:t xml:space="preserve">. DHS Working Papers No. 68. Calverton, MD: ICF Macro. </w:t>
      </w:r>
    </w:p>
    <w:p w14:paraId="48D67C23" w14:textId="24ACC780" w:rsidR="00A64FC3" w:rsidRDefault="00A64FC3" w:rsidP="00A64FC3">
      <w:pPr>
        <w:pStyle w:val="Bibliographie"/>
      </w:pPr>
      <w:proofErr w:type="spellStart"/>
      <w:proofErr w:type="gramStart"/>
      <w:r>
        <w:t>Magadi</w:t>
      </w:r>
      <w:proofErr w:type="spellEnd"/>
      <w:r>
        <w:t xml:space="preserve">, Monica </w:t>
      </w:r>
      <w:proofErr w:type="spellStart"/>
      <w:r>
        <w:t>Akinyi</w:t>
      </w:r>
      <w:proofErr w:type="spellEnd"/>
      <w:r w:rsidR="001516BF">
        <w:t xml:space="preserve">, and Alfred O. </w:t>
      </w:r>
      <w:proofErr w:type="spellStart"/>
      <w:r w:rsidR="001516BF">
        <w:t>Agwanda</w:t>
      </w:r>
      <w:proofErr w:type="spellEnd"/>
      <w:r w:rsidR="001516BF">
        <w:t>.</w:t>
      </w:r>
      <w:proofErr w:type="gramEnd"/>
      <w:r w:rsidR="001516BF">
        <w:t xml:space="preserve"> 2010. “</w:t>
      </w:r>
      <w:r>
        <w:t>Investigating the Association between HIV/AIDS and Recent Fer</w:t>
      </w:r>
      <w:r w:rsidR="001516BF">
        <w:t>tility Patterns in Kenya”</w:t>
      </w:r>
      <w:r>
        <w:t xml:space="preserve">. </w:t>
      </w:r>
      <w:r>
        <w:rPr>
          <w:i/>
          <w:iCs/>
        </w:rPr>
        <w:t>Social Science &amp; Medicine</w:t>
      </w:r>
      <w:r>
        <w:t xml:space="preserve"> 71 (2): 335–44. </w:t>
      </w:r>
    </w:p>
    <w:p w14:paraId="67651F15" w14:textId="3F2CD0DC" w:rsidR="00A64FC3" w:rsidRDefault="00A64FC3" w:rsidP="00A64FC3">
      <w:pPr>
        <w:pStyle w:val="Bibliographie"/>
      </w:pPr>
      <w:proofErr w:type="gramStart"/>
      <w:r>
        <w:t>Minn</w:t>
      </w:r>
      <w:r w:rsidR="001516BF">
        <w:t>esota Population Center.</w:t>
      </w:r>
      <w:proofErr w:type="gramEnd"/>
      <w:r w:rsidR="001516BF">
        <w:t xml:space="preserve"> 2015. </w:t>
      </w:r>
      <w:r w:rsidRPr="001516BF">
        <w:rPr>
          <w:i/>
        </w:rPr>
        <w:t>Integrated Public Use Microdata Series, International: Version 6.4 [Dataset]</w:t>
      </w:r>
      <w:r>
        <w:t xml:space="preserve">. Minneapolis: University of Minnesota. </w:t>
      </w:r>
    </w:p>
    <w:p w14:paraId="2D6656B3" w14:textId="7A61DA97" w:rsidR="00A64FC3" w:rsidRDefault="001516BF" w:rsidP="00A64FC3">
      <w:pPr>
        <w:pStyle w:val="Bibliographie"/>
      </w:pPr>
      <w:r>
        <w:t>Moultrie, Tom. 2013. “</w:t>
      </w:r>
      <w:r w:rsidR="00A64FC3">
        <w:t>Evaluation of Data on</w:t>
      </w:r>
      <w:r>
        <w:t xml:space="preserve"> Recent Fertility from Censuses”</w:t>
      </w:r>
      <w:r w:rsidR="00A64FC3">
        <w:t xml:space="preserve">. </w:t>
      </w:r>
      <w:proofErr w:type="gramStart"/>
      <w:r w:rsidR="00A64FC3">
        <w:t xml:space="preserve">In </w:t>
      </w:r>
      <w:r w:rsidR="00A64FC3">
        <w:rPr>
          <w:i/>
          <w:iCs/>
        </w:rPr>
        <w:t>Tools for Demographic Estimation</w:t>
      </w:r>
      <w:r w:rsidR="00A64FC3">
        <w:t xml:space="preserve">, edited by Tom Moultrie, Rob Dorrington, Allan Hill, Kenneth Hill, Ian </w:t>
      </w:r>
      <w:proofErr w:type="spellStart"/>
      <w:r w:rsidR="00A64FC3">
        <w:t>Timæus</w:t>
      </w:r>
      <w:proofErr w:type="spellEnd"/>
      <w:r w:rsidR="00A64FC3">
        <w:t xml:space="preserve">, and </w:t>
      </w:r>
      <w:proofErr w:type="spellStart"/>
      <w:r w:rsidR="00A64FC3">
        <w:t>Basia</w:t>
      </w:r>
      <w:proofErr w:type="spellEnd"/>
      <w:r w:rsidR="00A64FC3">
        <w:t xml:space="preserve"> </w:t>
      </w:r>
      <w:proofErr w:type="spellStart"/>
      <w:r w:rsidR="00A64FC3">
        <w:t>Zaba</w:t>
      </w:r>
      <w:proofErr w:type="spellEnd"/>
      <w:r w:rsidR="00A64FC3">
        <w:t>, 42–50.</w:t>
      </w:r>
      <w:proofErr w:type="gramEnd"/>
      <w:r w:rsidR="00A64FC3">
        <w:t xml:space="preserve"> Paris: IUSSP.</w:t>
      </w:r>
    </w:p>
    <w:p w14:paraId="4A18E459" w14:textId="41E7A189" w:rsidR="00A64FC3" w:rsidRDefault="00A64FC3" w:rsidP="00A64FC3">
      <w:pPr>
        <w:pStyle w:val="Bibliographie"/>
      </w:pPr>
      <w:r>
        <w:t xml:space="preserve">Moultrie, Tom, Victoria </w:t>
      </w:r>
      <w:proofErr w:type="spellStart"/>
      <w:r>
        <w:t>Hosegood</w:t>
      </w:r>
      <w:proofErr w:type="spellEnd"/>
      <w:r>
        <w:t xml:space="preserve">, Nuala McGrath, Caterina Hill, Kobus </w:t>
      </w:r>
      <w:proofErr w:type="spellStart"/>
      <w:r>
        <w:t>Herbst</w:t>
      </w:r>
      <w:proofErr w:type="spellEnd"/>
      <w:r>
        <w:t xml:space="preserve">, </w:t>
      </w:r>
      <w:r w:rsidR="001516BF">
        <w:t>and Marie-Louise Newell. 2008. “</w:t>
      </w:r>
      <w:r>
        <w:t>Refining the Criteria for Stalled Fertility Declines: An Application to Rural KwaZulu</w:t>
      </w:r>
      <w:r w:rsidR="001516BF">
        <w:t>-Natal, South Africa, 1990–2005”</w:t>
      </w:r>
      <w:r>
        <w:t xml:space="preserve">. </w:t>
      </w:r>
      <w:r>
        <w:rPr>
          <w:i/>
          <w:iCs/>
        </w:rPr>
        <w:t>Studies in Family Planning</w:t>
      </w:r>
      <w:r>
        <w:t xml:space="preserve"> 39 (1): 39–48. </w:t>
      </w:r>
    </w:p>
    <w:p w14:paraId="37FD0393" w14:textId="77777777" w:rsidR="00A64FC3" w:rsidRDefault="00A64FC3" w:rsidP="00A64FC3">
      <w:pPr>
        <w:pStyle w:val="Bibliographie"/>
      </w:pPr>
      <w:proofErr w:type="gramStart"/>
      <w:r>
        <w:t>National Research Council.</w:t>
      </w:r>
      <w:proofErr w:type="gramEnd"/>
      <w:r>
        <w:t xml:space="preserve"> 2000. </w:t>
      </w:r>
      <w:r>
        <w:rPr>
          <w:i/>
          <w:iCs/>
        </w:rPr>
        <w:t>Beyond Six Billion: Forecasting the World’s Population</w:t>
      </w:r>
      <w:r>
        <w:t xml:space="preserve">. Washington, DC: National Academies Press. </w:t>
      </w:r>
    </w:p>
    <w:p w14:paraId="12D1C33C" w14:textId="3123C710" w:rsidR="001B6803" w:rsidRPr="001B6803" w:rsidRDefault="001B6803" w:rsidP="001B6803">
      <w:pPr>
        <w:pStyle w:val="Bibliographie"/>
      </w:pPr>
      <w:proofErr w:type="spellStart"/>
      <w:proofErr w:type="gramStart"/>
      <w:r>
        <w:t>Ndagurwa</w:t>
      </w:r>
      <w:proofErr w:type="spellEnd"/>
      <w:r>
        <w:t xml:space="preserve">, </w:t>
      </w:r>
      <w:proofErr w:type="spellStart"/>
      <w:r>
        <w:t>Pedzisai</w:t>
      </w:r>
      <w:proofErr w:type="spellEnd"/>
      <w:r w:rsidR="00CC2859">
        <w:t xml:space="preserve">, and Clifford </w:t>
      </w:r>
      <w:proofErr w:type="spellStart"/>
      <w:r w:rsidR="00CC2859">
        <w:t>Odimegwu</w:t>
      </w:r>
      <w:proofErr w:type="spellEnd"/>
      <w:r w:rsidR="00CC2859">
        <w:t>.</w:t>
      </w:r>
      <w:proofErr w:type="gramEnd"/>
      <w:r w:rsidR="00CC2859">
        <w:t xml:space="preserve"> 2019. “</w:t>
      </w:r>
      <w:r>
        <w:t>Decomposition of Zimbabwe’s stalled fertility change: a two-sex approach to estimating education and employment effec</w:t>
      </w:r>
      <w:r w:rsidR="00CC2859">
        <w:t>ts”</w:t>
      </w:r>
      <w:r>
        <w:t xml:space="preserve">, </w:t>
      </w:r>
      <w:r w:rsidRPr="001B6803">
        <w:rPr>
          <w:i/>
        </w:rPr>
        <w:t>Journal of Population Research</w:t>
      </w:r>
      <w:r>
        <w:t>, 1-29.</w:t>
      </w:r>
    </w:p>
    <w:p w14:paraId="007EDEB2" w14:textId="5F134770" w:rsidR="00A64FC3" w:rsidRDefault="00CC2859" w:rsidP="00A64FC3">
      <w:pPr>
        <w:pStyle w:val="Bibliographie"/>
      </w:pPr>
      <w:proofErr w:type="spellStart"/>
      <w:r>
        <w:t>Palamuleni</w:t>
      </w:r>
      <w:proofErr w:type="spellEnd"/>
      <w:r>
        <w:t>, Martin. 2015. “</w:t>
      </w:r>
      <w:r w:rsidR="00A64FC3">
        <w:t>Determinants of Fertility Decline in Namibia: An Analysi</w:t>
      </w:r>
      <w:r>
        <w:t>s of the Proximate Determinants”</w:t>
      </w:r>
      <w:r w:rsidR="00A64FC3">
        <w:t xml:space="preserve">. Paper presented at the African Population Conference, Pretoria. </w:t>
      </w:r>
    </w:p>
    <w:p w14:paraId="1E32004C" w14:textId="7296832E" w:rsidR="00A64FC3" w:rsidRPr="00CC2859" w:rsidRDefault="00A64FC3" w:rsidP="00A64FC3">
      <w:pPr>
        <w:pStyle w:val="Bibliographie"/>
      </w:pPr>
      <w:proofErr w:type="spellStart"/>
      <w:r w:rsidRPr="00CC2859">
        <w:t>Sandron</w:t>
      </w:r>
      <w:proofErr w:type="spellEnd"/>
      <w:r w:rsidRPr="00CC2859">
        <w:t xml:space="preserve">, </w:t>
      </w:r>
      <w:proofErr w:type="spellStart"/>
      <w:r w:rsidRPr="00CC2859">
        <w:t>Frédéric</w:t>
      </w:r>
      <w:proofErr w:type="spellEnd"/>
      <w:r w:rsidRPr="00CC2859">
        <w:t xml:space="preserve">. </w:t>
      </w:r>
      <w:r w:rsidR="00CC2859" w:rsidRPr="00CC2859">
        <w:t xml:space="preserve">2010. </w:t>
      </w:r>
      <w:r w:rsidR="00CC2859" w:rsidRPr="00CC2859">
        <w:rPr>
          <w:lang w:val="fr-BE"/>
        </w:rPr>
        <w:t>“</w:t>
      </w:r>
      <w:r w:rsidRPr="00CC2859">
        <w:rPr>
          <w:lang w:val="fr-BE"/>
        </w:rPr>
        <w:t>Les facteurs socio-économiques dans la stagnation de la baisse de la fécondit</w:t>
      </w:r>
      <w:r w:rsidR="00CC2859" w:rsidRPr="00CC2859">
        <w:rPr>
          <w:lang w:val="fr-BE"/>
        </w:rPr>
        <w:t>é : une revue de la littérature</w:t>
      </w:r>
      <w:r w:rsidR="00CC2859">
        <w:t>”</w:t>
      </w:r>
      <w:r w:rsidRPr="00CC2859">
        <w:rPr>
          <w:lang w:val="fr-BE"/>
        </w:rPr>
        <w:t xml:space="preserve">. </w:t>
      </w:r>
      <w:r w:rsidRPr="00CC2859">
        <w:t xml:space="preserve">Paper presented at the </w:t>
      </w:r>
      <w:proofErr w:type="spellStart"/>
      <w:r w:rsidRPr="00CC2859">
        <w:t>Chaire</w:t>
      </w:r>
      <w:proofErr w:type="spellEnd"/>
      <w:r w:rsidRPr="00CC2859">
        <w:t xml:space="preserve"> </w:t>
      </w:r>
      <w:proofErr w:type="spellStart"/>
      <w:r w:rsidRPr="00CC2859">
        <w:t>Quetelet</w:t>
      </w:r>
      <w:proofErr w:type="spellEnd"/>
      <w:r w:rsidRPr="00CC2859">
        <w:t xml:space="preserve"> 2010. Louvain-la-</w:t>
      </w:r>
      <w:proofErr w:type="spellStart"/>
      <w:r w:rsidRPr="00CC2859">
        <w:t>Neuve</w:t>
      </w:r>
      <w:proofErr w:type="spellEnd"/>
      <w:r w:rsidRPr="00CC2859">
        <w:t xml:space="preserve">: </w:t>
      </w:r>
      <w:proofErr w:type="spellStart"/>
      <w:r w:rsidR="00C6751D" w:rsidRPr="00CC2859">
        <w:t>Université</w:t>
      </w:r>
      <w:proofErr w:type="spellEnd"/>
      <w:r w:rsidR="00C6751D" w:rsidRPr="00CC2859">
        <w:t xml:space="preserve"> </w:t>
      </w:r>
      <w:proofErr w:type="spellStart"/>
      <w:r w:rsidR="00C6751D" w:rsidRPr="00CC2859">
        <w:t>catholique</w:t>
      </w:r>
      <w:proofErr w:type="spellEnd"/>
      <w:r w:rsidR="00C6751D" w:rsidRPr="00CC2859">
        <w:t xml:space="preserve"> de Louvain</w:t>
      </w:r>
      <w:r w:rsidRPr="00CC2859">
        <w:t xml:space="preserve">. </w:t>
      </w:r>
    </w:p>
    <w:p w14:paraId="7F422ED6" w14:textId="2EF860AF" w:rsidR="00A64FC3" w:rsidRDefault="00CC2859" w:rsidP="00A64FC3">
      <w:pPr>
        <w:pStyle w:val="Bibliographie"/>
      </w:pPr>
      <w:proofErr w:type="spellStart"/>
      <w:r>
        <w:t>Sayi</w:t>
      </w:r>
      <w:proofErr w:type="spellEnd"/>
      <w:r>
        <w:t xml:space="preserve">, </w:t>
      </w:r>
      <w:proofErr w:type="spellStart"/>
      <w:r>
        <w:t>Takudzwa</w:t>
      </w:r>
      <w:proofErr w:type="spellEnd"/>
      <w:r>
        <w:t>. 2015. “</w:t>
      </w:r>
      <w:r w:rsidR="00A64FC3">
        <w:t>Stall in Fertility Decline in</w:t>
      </w:r>
      <w:r>
        <w:t xml:space="preserve"> Zimbabwe”</w:t>
      </w:r>
      <w:r w:rsidR="00A64FC3">
        <w:t xml:space="preserve">. Extended abstract presented at the African Population Conference, Pretoria. </w:t>
      </w:r>
    </w:p>
    <w:p w14:paraId="290BBB2C" w14:textId="595A5EBA" w:rsidR="00A64FC3" w:rsidRDefault="00CC2859" w:rsidP="00A64FC3">
      <w:pPr>
        <w:pStyle w:val="Bibliographie"/>
        <w:rPr>
          <w:lang w:val="fr-BE"/>
        </w:rPr>
      </w:pPr>
      <w:r>
        <w:t>Schoumaker, Bruno. 2009. “</w:t>
      </w:r>
      <w:r w:rsidR="00A64FC3">
        <w:t>Stalls in Fertility Transitions in Sub- Sa</w:t>
      </w:r>
      <w:r>
        <w:t>haran Africa: Real or Spurious?”</w:t>
      </w:r>
      <w:r w:rsidR="00A64FC3">
        <w:t xml:space="preserve"> </w:t>
      </w:r>
      <w:r w:rsidR="00A64FC3">
        <w:rPr>
          <w:lang w:val="fr-BE"/>
        </w:rPr>
        <w:t>Document de travail SPED 30. Louvain-la-Neuve: Université catholique de Louvain.</w:t>
      </w:r>
    </w:p>
    <w:p w14:paraId="42184699" w14:textId="53C9EACB" w:rsidR="00A64FC3" w:rsidRDefault="00CC2859" w:rsidP="00A64FC3">
      <w:pPr>
        <w:pStyle w:val="Bibliographie"/>
      </w:pPr>
      <w:r>
        <w:t xml:space="preserve">Schoumaker, Bruno. </w:t>
      </w:r>
      <w:proofErr w:type="gramStart"/>
      <w:r>
        <w:t>2013a. “</w:t>
      </w:r>
      <w:r w:rsidR="00A64FC3">
        <w:t>Reconstructing Long-Term Fertility Tre</w:t>
      </w:r>
      <w:r>
        <w:t>nds with Pooled Birth Histories”</w:t>
      </w:r>
      <w:r w:rsidR="00A64FC3">
        <w:t>.</w:t>
      </w:r>
      <w:proofErr w:type="gramEnd"/>
      <w:r w:rsidR="00A64FC3">
        <w:t xml:space="preserve"> Paper presented at the Population Association of America, New Orleans.</w:t>
      </w:r>
    </w:p>
    <w:p w14:paraId="38593D97" w14:textId="38BCBC39" w:rsidR="00A64FC3" w:rsidRDefault="00CC2859" w:rsidP="00A64FC3">
      <w:pPr>
        <w:pStyle w:val="Bibliographie"/>
      </w:pPr>
      <w:r>
        <w:t>Schoumaker, Bruno. 2013b. “</w:t>
      </w:r>
      <w:r w:rsidR="00A64FC3">
        <w:t xml:space="preserve">A Stata Module for Computing Fertility Rates and TFRs from Birth Histories: </w:t>
      </w:r>
      <w:r w:rsidR="00A64FC3">
        <w:rPr>
          <w:rFonts w:ascii="Courier" w:hAnsi="Courier"/>
        </w:rPr>
        <w:t>tfr2</w:t>
      </w:r>
      <w:r>
        <w:t>”</w:t>
      </w:r>
      <w:r w:rsidR="00A64FC3">
        <w:t xml:space="preserve">. </w:t>
      </w:r>
      <w:r w:rsidR="00A64FC3">
        <w:rPr>
          <w:i/>
          <w:iCs/>
        </w:rPr>
        <w:t>Demographic Research</w:t>
      </w:r>
      <w:r w:rsidR="00A64FC3">
        <w:t xml:space="preserve"> 28 (38): 1093–1144. </w:t>
      </w:r>
    </w:p>
    <w:p w14:paraId="529C93CF" w14:textId="619308C9" w:rsidR="00A64FC3" w:rsidRDefault="00CC2859" w:rsidP="00A64FC3">
      <w:pPr>
        <w:pStyle w:val="Bibliographie"/>
      </w:pPr>
      <w:r>
        <w:t>Schoumaker, Bruno. 2014. “</w:t>
      </w:r>
      <w:r w:rsidR="00A64FC3">
        <w:t>Quality and Consistency of DHS Fertility Estimates, 1990–2012.</w:t>
      </w:r>
      <w:r>
        <w:t>”</w:t>
      </w:r>
      <w:r w:rsidR="00A64FC3">
        <w:t xml:space="preserve"> DHS Methodological Report 12. Rockville, MD: ICF International.</w:t>
      </w:r>
    </w:p>
    <w:p w14:paraId="5BDF50C0" w14:textId="4C8E0B9A" w:rsidR="00A64FC3" w:rsidRDefault="00A64FC3" w:rsidP="00A64FC3">
      <w:pPr>
        <w:pStyle w:val="Bibliographie"/>
      </w:pPr>
      <w:r>
        <w:lastRenderedPageBreak/>
        <w:t>Schoumaker, Bruno. 201</w:t>
      </w:r>
      <w:r w:rsidR="00C60DD6">
        <w:t>7</w:t>
      </w:r>
      <w:r w:rsidR="00CC2859">
        <w:t>. “African Fertility Changes”</w:t>
      </w:r>
      <w:r>
        <w:t>. In Africa’s Population: In Search of a Demographic Dividend</w:t>
      </w:r>
      <w:r>
        <w:rPr>
          <w:i/>
          <w:iCs/>
        </w:rPr>
        <w:t xml:space="preserve"> </w:t>
      </w:r>
      <w:r>
        <w:t xml:space="preserve">edited by John F. May and Hans </w:t>
      </w:r>
      <w:proofErr w:type="spellStart"/>
      <w:r>
        <w:t>Groth</w:t>
      </w:r>
      <w:proofErr w:type="spellEnd"/>
      <w:r>
        <w:t>, 197–211. Dordrecht: Springer.</w:t>
      </w:r>
    </w:p>
    <w:p w14:paraId="2129CCD0" w14:textId="411D0515" w:rsidR="00A64FC3" w:rsidRDefault="00A64FC3" w:rsidP="00A64FC3">
      <w:pPr>
        <w:pStyle w:val="Bibliographie"/>
      </w:pPr>
      <w:proofErr w:type="gramStart"/>
      <w:r>
        <w:t>Shapiro, David, an</w:t>
      </w:r>
      <w:r w:rsidR="00CC2859">
        <w:t xml:space="preserve">d </w:t>
      </w:r>
      <w:proofErr w:type="spellStart"/>
      <w:r w:rsidR="00CC2859">
        <w:t>Tesfayi</w:t>
      </w:r>
      <w:proofErr w:type="spellEnd"/>
      <w:r w:rsidR="00CC2859">
        <w:t xml:space="preserve"> </w:t>
      </w:r>
      <w:proofErr w:type="spellStart"/>
      <w:r w:rsidR="00CC2859">
        <w:t>Gebreselassie</w:t>
      </w:r>
      <w:proofErr w:type="spellEnd"/>
      <w:r w:rsidR="00CC2859">
        <w:t>.</w:t>
      </w:r>
      <w:proofErr w:type="gramEnd"/>
      <w:r w:rsidR="00CC2859">
        <w:t xml:space="preserve"> 2008. “</w:t>
      </w:r>
      <w:r>
        <w:t>Fertility Transition in Sub-Saharan Africa: F</w:t>
      </w:r>
      <w:r w:rsidR="00CC2859">
        <w:t>alling and Stalling”</w:t>
      </w:r>
      <w:r>
        <w:t xml:space="preserve">. </w:t>
      </w:r>
      <w:r>
        <w:rPr>
          <w:i/>
          <w:iCs/>
        </w:rPr>
        <w:t>African Population Studies</w:t>
      </w:r>
      <w:r>
        <w:t xml:space="preserve"> 23 (1): 3–23. </w:t>
      </w:r>
    </w:p>
    <w:p w14:paraId="5BA31317" w14:textId="4BF1E31F" w:rsidR="00A64FC3" w:rsidRDefault="00A64FC3" w:rsidP="00A64FC3">
      <w:pPr>
        <w:pStyle w:val="Bibliographie"/>
      </w:pPr>
      <w:proofErr w:type="gramStart"/>
      <w:r>
        <w:t xml:space="preserve">Shapiro, </w:t>
      </w:r>
      <w:r w:rsidR="00CC2859">
        <w:t>David, and Andrew Hinde.</w:t>
      </w:r>
      <w:proofErr w:type="gramEnd"/>
      <w:r w:rsidR="00CC2859">
        <w:t xml:space="preserve"> 2017. “</w:t>
      </w:r>
      <w:r>
        <w:t>On the Pace of Fertilit</w:t>
      </w:r>
      <w:r w:rsidR="00CC2859">
        <w:t>y Decline in Sub-Saharan Africa”</w:t>
      </w:r>
      <w:r>
        <w:t xml:space="preserve">. </w:t>
      </w:r>
      <w:r>
        <w:rPr>
          <w:i/>
          <w:iCs/>
        </w:rPr>
        <w:t>Demographic Research</w:t>
      </w:r>
      <w:r>
        <w:t xml:space="preserve"> 37 (October): 1327–38. </w:t>
      </w:r>
    </w:p>
    <w:p w14:paraId="1A2036CB" w14:textId="67C0C6CC" w:rsidR="00A64FC3" w:rsidRDefault="00CC2859" w:rsidP="00A64FC3">
      <w:pPr>
        <w:pStyle w:val="Bibliographie"/>
      </w:pPr>
      <w:proofErr w:type="spellStart"/>
      <w:r>
        <w:t>Spoorenberg</w:t>
      </w:r>
      <w:proofErr w:type="spellEnd"/>
      <w:r>
        <w:t>, Thomas. 2014. “</w:t>
      </w:r>
      <w:r w:rsidR="00A64FC3">
        <w:t>Reverse Survival Method of Fert</w:t>
      </w:r>
      <w:r>
        <w:t>ility Estimation: An Evaluation”</w:t>
      </w:r>
      <w:r w:rsidR="00A64FC3">
        <w:t xml:space="preserve">. </w:t>
      </w:r>
      <w:r w:rsidR="00A64FC3">
        <w:rPr>
          <w:i/>
          <w:iCs/>
        </w:rPr>
        <w:t>Demographic Research</w:t>
      </w:r>
      <w:r w:rsidR="00A64FC3">
        <w:t xml:space="preserve"> 31 (9): 217–46.</w:t>
      </w:r>
    </w:p>
    <w:p w14:paraId="60E2D0A0" w14:textId="437A8110" w:rsidR="00A64FC3" w:rsidRDefault="00A64FC3" w:rsidP="00A64FC3">
      <w:pPr>
        <w:pStyle w:val="Bibliographie"/>
      </w:pPr>
      <w:proofErr w:type="spellStart"/>
      <w:proofErr w:type="gramStart"/>
      <w:r>
        <w:t>Timæus</w:t>
      </w:r>
      <w:proofErr w:type="spellEnd"/>
      <w:r w:rsidR="00CC2859">
        <w:t>, Ian, and Tom Moultrie.</w:t>
      </w:r>
      <w:proofErr w:type="gramEnd"/>
      <w:r w:rsidR="00CC2859">
        <w:t xml:space="preserve"> 2013. “</w:t>
      </w:r>
      <w:r>
        <w:t>Estimation o</w:t>
      </w:r>
      <w:r w:rsidR="00CC2859">
        <w:t>f Fertility by Reverse Survival”</w:t>
      </w:r>
      <w:r>
        <w:t xml:space="preserve">. </w:t>
      </w:r>
      <w:proofErr w:type="gramStart"/>
      <w:r>
        <w:t xml:space="preserve">In </w:t>
      </w:r>
      <w:r>
        <w:rPr>
          <w:i/>
          <w:iCs/>
        </w:rPr>
        <w:t>Tools for Demographic Estimation</w:t>
      </w:r>
      <w:r>
        <w:t xml:space="preserve">, edited by T.A. Moultrie, R.E. Dorrington, A.G. Hill, K. Hill, I.M. </w:t>
      </w:r>
      <w:proofErr w:type="spellStart"/>
      <w:r>
        <w:t>Timæus</w:t>
      </w:r>
      <w:proofErr w:type="spellEnd"/>
      <w:r>
        <w:t xml:space="preserve">, and B. </w:t>
      </w:r>
      <w:proofErr w:type="spellStart"/>
      <w:r>
        <w:t>Zaba</w:t>
      </w:r>
      <w:proofErr w:type="spellEnd"/>
      <w:r>
        <w:t>, 82–93.</w:t>
      </w:r>
      <w:proofErr w:type="gramEnd"/>
      <w:r>
        <w:t xml:space="preserve"> Paris: I</w:t>
      </w:r>
      <w:r w:rsidR="00334256">
        <w:t>USSP</w:t>
      </w:r>
      <w:r>
        <w:t xml:space="preserve">. </w:t>
      </w:r>
    </w:p>
    <w:p w14:paraId="786A83E1" w14:textId="63F72F40" w:rsidR="00A64FC3" w:rsidRDefault="00A64FC3" w:rsidP="00A64FC3">
      <w:pPr>
        <w:pStyle w:val="Bibliographie"/>
      </w:pPr>
      <w:proofErr w:type="gramStart"/>
      <w:r>
        <w:t>United Nations Population Division.</w:t>
      </w:r>
      <w:proofErr w:type="gramEnd"/>
      <w:r>
        <w:t xml:space="preserve"> </w:t>
      </w:r>
      <w:proofErr w:type="gramStart"/>
      <w:r>
        <w:t>2017</w:t>
      </w:r>
      <w:r w:rsidR="008612F2">
        <w:t>a</w:t>
      </w:r>
      <w:r>
        <w:t xml:space="preserve">. </w:t>
      </w:r>
      <w:r>
        <w:rPr>
          <w:i/>
          <w:iCs/>
        </w:rPr>
        <w:t>World Fertility Data 2017 (POP/DB/</w:t>
      </w:r>
      <w:proofErr w:type="spellStart"/>
      <w:r>
        <w:rPr>
          <w:i/>
          <w:iCs/>
        </w:rPr>
        <w:t>Fert</w:t>
      </w:r>
      <w:proofErr w:type="spellEnd"/>
      <w:r>
        <w:rPr>
          <w:i/>
          <w:iCs/>
        </w:rPr>
        <w:t>/Rev2017).</w:t>
      </w:r>
      <w:proofErr w:type="gramEnd"/>
      <w:r>
        <w:t xml:space="preserve"> New York: United Nations Population Division. </w:t>
      </w:r>
    </w:p>
    <w:p w14:paraId="5925EF01" w14:textId="1CDCA8E2" w:rsidR="007B188C" w:rsidRDefault="007B188C" w:rsidP="007B188C">
      <w:pPr>
        <w:pStyle w:val="Bibliographie"/>
      </w:pPr>
      <w:proofErr w:type="gramStart"/>
      <w:r>
        <w:t>United Nations Population Division.</w:t>
      </w:r>
      <w:proofErr w:type="gramEnd"/>
      <w:r>
        <w:t xml:space="preserve"> 2017</w:t>
      </w:r>
      <w:r w:rsidR="008612F2">
        <w:t>b</w:t>
      </w:r>
      <w:r>
        <w:t xml:space="preserve">. </w:t>
      </w:r>
      <w:hyperlink r:id="rId21" w:tgtFrame="_blank" w:history="1">
        <w:r w:rsidRPr="007B188C">
          <w:rPr>
            <w:i/>
            <w:iCs/>
          </w:rPr>
          <w:t>World Population Prospects: The 2017 Revision,</w:t>
        </w:r>
        <w:r>
          <w:rPr>
            <w:i/>
            <w:iCs/>
          </w:rPr>
          <w:t xml:space="preserve"> Volume I: Comprehensive Tables</w:t>
        </w:r>
        <w:r w:rsidRPr="007B188C">
          <w:rPr>
            <w:i/>
            <w:iCs/>
          </w:rPr>
          <w:t xml:space="preserve"> </w:t>
        </w:r>
        <w:r>
          <w:rPr>
            <w:i/>
            <w:iCs/>
          </w:rPr>
          <w:t>(</w:t>
        </w:r>
        <w:r w:rsidRPr="007B188C">
          <w:rPr>
            <w:i/>
            <w:iCs/>
          </w:rPr>
          <w:t>ST/ESA/SER.A/399</w:t>
        </w:r>
        <w:r>
          <w:rPr>
            <w:i/>
            <w:iCs/>
          </w:rPr>
          <w:t>)</w:t>
        </w:r>
        <w:r w:rsidRPr="007B188C">
          <w:rPr>
            <w:i/>
            <w:iCs/>
          </w:rPr>
          <w:t>.</w:t>
        </w:r>
      </w:hyperlink>
      <w:r>
        <w:t xml:space="preserve"> New York: United Nations Population Division. </w:t>
      </w:r>
    </w:p>
    <w:p w14:paraId="29525550" w14:textId="178658EA" w:rsidR="00A64FC3" w:rsidRDefault="00A64FC3" w:rsidP="00A64FC3">
      <w:pPr>
        <w:pStyle w:val="Bibliographie"/>
      </w:pPr>
      <w:proofErr w:type="spellStart"/>
      <w:proofErr w:type="gramStart"/>
      <w:r>
        <w:t>Westoff</w:t>
      </w:r>
      <w:proofErr w:type="spellEnd"/>
      <w:r>
        <w:t xml:space="preserve">, </w:t>
      </w:r>
      <w:r w:rsidR="00CC2859">
        <w:t>Charles, and Anne Cross.</w:t>
      </w:r>
      <w:proofErr w:type="gramEnd"/>
      <w:r w:rsidR="00CC2859">
        <w:t xml:space="preserve"> 2006. “</w:t>
      </w:r>
      <w:r>
        <w:t>The Stall in th</w:t>
      </w:r>
      <w:r w:rsidR="00CC2859">
        <w:t>e Fertility Transition in Kenya”</w:t>
      </w:r>
      <w:r>
        <w:t xml:space="preserve">. </w:t>
      </w:r>
      <w:proofErr w:type="gramStart"/>
      <w:r>
        <w:t>DHS Analytical Studies 9.</w:t>
      </w:r>
      <w:proofErr w:type="gramEnd"/>
      <w:r>
        <w:t xml:space="preserve"> Calverton, MD: ORC Macro.</w:t>
      </w:r>
    </w:p>
    <w:p w14:paraId="749812BD" w14:textId="77777777" w:rsidR="001B6803" w:rsidRDefault="001B6803" w:rsidP="001B6803"/>
    <w:p w14:paraId="5A2F5A7B" w14:textId="77777777" w:rsidR="001B6803" w:rsidRPr="001B6803" w:rsidRDefault="001B6803" w:rsidP="001B6803"/>
    <w:p w14:paraId="569F9A3B" w14:textId="77777777" w:rsidR="00A64FC3" w:rsidRDefault="00A64FC3" w:rsidP="00A64FC3">
      <w:pPr>
        <w:jc w:val="left"/>
      </w:pPr>
    </w:p>
    <w:p w14:paraId="43EC9DCE" w14:textId="77777777" w:rsidR="00A64FC3" w:rsidRDefault="00A64FC3" w:rsidP="00A64FC3"/>
    <w:p w14:paraId="3F525CF7" w14:textId="77777777" w:rsidR="003357BA" w:rsidRDefault="003357BA" w:rsidP="00925A7A">
      <w:pPr>
        <w:jc w:val="left"/>
      </w:pPr>
    </w:p>
    <w:p w14:paraId="55C54440" w14:textId="77777777" w:rsidR="003357BA" w:rsidRDefault="003357BA" w:rsidP="00925A7A">
      <w:pPr>
        <w:spacing w:after="200" w:line="276" w:lineRule="auto"/>
        <w:jc w:val="left"/>
      </w:pPr>
      <w:r>
        <w:br w:type="page"/>
      </w:r>
    </w:p>
    <w:p w14:paraId="0BD820E6" w14:textId="77777777" w:rsidR="003357BA" w:rsidRPr="00113E9A" w:rsidRDefault="003357BA" w:rsidP="00925A7A">
      <w:pPr>
        <w:jc w:val="left"/>
        <w:rPr>
          <w:rStyle w:val="Rfrenceintense"/>
        </w:rPr>
      </w:pPr>
      <w:bookmarkStart w:id="3" w:name="_Ref517092683"/>
      <w:r w:rsidRPr="00113E9A">
        <w:rPr>
          <w:rStyle w:val="Rfrenceintense"/>
        </w:rPr>
        <w:lastRenderedPageBreak/>
        <w:t xml:space="preserve">Table </w:t>
      </w:r>
      <w:r w:rsidRPr="00113E9A">
        <w:rPr>
          <w:rStyle w:val="Rfrenceintense"/>
        </w:rPr>
        <w:fldChar w:fldCharType="begin"/>
      </w:r>
      <w:r w:rsidRPr="00113E9A">
        <w:rPr>
          <w:rStyle w:val="Rfrenceintense"/>
        </w:rPr>
        <w:instrText xml:space="preserve"> SEQ Table \* ARABIC </w:instrText>
      </w:r>
      <w:r w:rsidRPr="00113E9A">
        <w:rPr>
          <w:rStyle w:val="Rfrenceintense"/>
        </w:rPr>
        <w:fldChar w:fldCharType="separate"/>
      </w:r>
      <w:r w:rsidR="00943572">
        <w:rPr>
          <w:rStyle w:val="Rfrenceintense"/>
          <w:noProof/>
        </w:rPr>
        <w:t>1</w:t>
      </w:r>
      <w:r w:rsidRPr="00113E9A">
        <w:rPr>
          <w:rStyle w:val="Rfrenceintense"/>
        </w:rPr>
        <w:fldChar w:fldCharType="end"/>
      </w:r>
      <w:bookmarkEnd w:id="3"/>
      <w:r w:rsidRPr="00113E9A">
        <w:rPr>
          <w:rStyle w:val="Rfrenceintense"/>
        </w:rPr>
        <w:t>. List of countries and data sources</w:t>
      </w:r>
    </w:p>
    <w:tbl>
      <w:tblPr>
        <w:tblStyle w:val="Grilledutableau"/>
        <w:tblW w:w="9411" w:type="dxa"/>
        <w:tblLook w:val="04A0" w:firstRow="1" w:lastRow="0" w:firstColumn="1" w:lastColumn="0" w:noHBand="0" w:noVBand="1"/>
      </w:tblPr>
      <w:tblGrid>
        <w:gridCol w:w="1535"/>
        <w:gridCol w:w="1535"/>
        <w:gridCol w:w="1534"/>
        <w:gridCol w:w="1600"/>
        <w:gridCol w:w="1417"/>
        <w:gridCol w:w="1790"/>
      </w:tblGrid>
      <w:tr w:rsidR="00925A7A" w:rsidRPr="00FE15E6" w14:paraId="5BA361C5" w14:textId="77777777" w:rsidTr="00ED01CC">
        <w:tc>
          <w:tcPr>
            <w:tcW w:w="1535" w:type="dxa"/>
            <w:tcBorders>
              <w:bottom w:val="nil"/>
            </w:tcBorders>
          </w:tcPr>
          <w:p w14:paraId="7D72BC44" w14:textId="77777777" w:rsidR="003357BA" w:rsidRPr="00925A7A" w:rsidRDefault="00ED01CC" w:rsidP="00925A7A">
            <w:pPr>
              <w:pStyle w:val="Tables"/>
              <w:jc w:val="left"/>
              <w:rPr>
                <w:color w:val="FFFFFF" w:themeColor="background1"/>
              </w:rPr>
            </w:pPr>
            <w:r w:rsidRPr="00ED01CC">
              <w:rPr>
                <w:b/>
              </w:rPr>
              <w:t>Country</w:t>
            </w:r>
          </w:p>
        </w:tc>
        <w:tc>
          <w:tcPr>
            <w:tcW w:w="7876" w:type="dxa"/>
            <w:gridSpan w:val="5"/>
            <w:shd w:val="clear" w:color="auto" w:fill="808080" w:themeFill="background1" w:themeFillShade="80"/>
          </w:tcPr>
          <w:p w14:paraId="35AD7D0E" w14:textId="77777777" w:rsidR="003357BA" w:rsidRPr="00FE15E6" w:rsidRDefault="003357BA" w:rsidP="00ED01CC">
            <w:pPr>
              <w:pStyle w:val="Tables"/>
              <w:jc w:val="center"/>
              <w:rPr>
                <w:color w:val="FFFFFF" w:themeColor="background1"/>
              </w:rPr>
            </w:pPr>
            <w:r w:rsidRPr="00FE15E6">
              <w:rPr>
                <w:color w:val="FFFFFF" w:themeColor="background1"/>
              </w:rPr>
              <w:t>Data sources, types of methods and indicators, and years of survey</w:t>
            </w:r>
          </w:p>
        </w:tc>
      </w:tr>
      <w:tr w:rsidR="003357BA" w:rsidRPr="00FE15E6" w14:paraId="7A0A90DA" w14:textId="77777777" w:rsidTr="003949DC">
        <w:tc>
          <w:tcPr>
            <w:tcW w:w="1535" w:type="dxa"/>
            <w:tcBorders>
              <w:top w:val="nil"/>
              <w:bottom w:val="nil"/>
            </w:tcBorders>
          </w:tcPr>
          <w:p w14:paraId="25EA9AAF" w14:textId="77777777" w:rsidR="003357BA" w:rsidRPr="00FE15E6" w:rsidRDefault="003357BA" w:rsidP="00925A7A">
            <w:pPr>
              <w:pStyle w:val="Tables"/>
              <w:jc w:val="left"/>
              <w:rPr>
                <w:b/>
              </w:rPr>
            </w:pPr>
          </w:p>
          <w:p w14:paraId="343CF66E" w14:textId="77777777" w:rsidR="003357BA" w:rsidRPr="00ED01CC" w:rsidRDefault="003357BA" w:rsidP="00925A7A">
            <w:pPr>
              <w:pStyle w:val="Tables"/>
              <w:jc w:val="left"/>
              <w:rPr>
                <w:b/>
              </w:rPr>
            </w:pPr>
          </w:p>
        </w:tc>
        <w:tc>
          <w:tcPr>
            <w:tcW w:w="1535" w:type="dxa"/>
          </w:tcPr>
          <w:p w14:paraId="21C69F0C" w14:textId="77777777" w:rsidR="003357BA" w:rsidRPr="00FE15E6" w:rsidRDefault="003357BA" w:rsidP="00925A7A">
            <w:pPr>
              <w:pStyle w:val="Tables"/>
              <w:jc w:val="left"/>
              <w:rPr>
                <w:b/>
              </w:rPr>
            </w:pPr>
            <w:r w:rsidRPr="00FE15E6">
              <w:rPr>
                <w:b/>
              </w:rPr>
              <w:t>Standard DHS and Continuous DHS</w:t>
            </w:r>
          </w:p>
        </w:tc>
        <w:tc>
          <w:tcPr>
            <w:tcW w:w="1534" w:type="dxa"/>
          </w:tcPr>
          <w:p w14:paraId="5BD054F7" w14:textId="77777777" w:rsidR="003357BA" w:rsidRPr="00FE15E6" w:rsidRDefault="003357BA" w:rsidP="00925A7A">
            <w:pPr>
              <w:pStyle w:val="Tables"/>
              <w:jc w:val="left"/>
              <w:rPr>
                <w:b/>
              </w:rPr>
            </w:pPr>
            <w:r w:rsidRPr="00FE15E6">
              <w:rPr>
                <w:b/>
              </w:rPr>
              <w:t>MICS</w:t>
            </w:r>
          </w:p>
        </w:tc>
        <w:tc>
          <w:tcPr>
            <w:tcW w:w="1600" w:type="dxa"/>
          </w:tcPr>
          <w:p w14:paraId="62587E1E" w14:textId="77777777" w:rsidR="003357BA" w:rsidRPr="00FE15E6" w:rsidRDefault="003357BA" w:rsidP="00925A7A">
            <w:pPr>
              <w:pStyle w:val="Tables"/>
              <w:jc w:val="left"/>
              <w:rPr>
                <w:b/>
              </w:rPr>
            </w:pPr>
            <w:r w:rsidRPr="00FE15E6">
              <w:rPr>
                <w:b/>
              </w:rPr>
              <w:t>AIS, MIS, Interim DHS, Special DHS</w:t>
            </w:r>
          </w:p>
        </w:tc>
        <w:tc>
          <w:tcPr>
            <w:tcW w:w="1417" w:type="dxa"/>
          </w:tcPr>
          <w:p w14:paraId="77EB1E6F" w14:textId="01AE9C7A" w:rsidR="003357BA" w:rsidRPr="00FE15E6" w:rsidRDefault="003357BA" w:rsidP="00925A7A">
            <w:pPr>
              <w:pStyle w:val="Tables"/>
              <w:jc w:val="left"/>
              <w:rPr>
                <w:b/>
              </w:rPr>
            </w:pPr>
            <w:r w:rsidRPr="00FE15E6">
              <w:rPr>
                <w:b/>
              </w:rPr>
              <w:t>Censuses</w:t>
            </w:r>
            <w:r w:rsidR="00AA30A7">
              <w:rPr>
                <w:b/>
              </w:rPr>
              <w:t xml:space="preserve"> – age structures</w:t>
            </w:r>
          </w:p>
        </w:tc>
        <w:tc>
          <w:tcPr>
            <w:tcW w:w="1790" w:type="dxa"/>
          </w:tcPr>
          <w:p w14:paraId="11FB8ADA" w14:textId="4CC8CEE0" w:rsidR="003357BA" w:rsidRPr="00FE15E6" w:rsidRDefault="003357BA" w:rsidP="00925A7A">
            <w:pPr>
              <w:pStyle w:val="Tables"/>
              <w:jc w:val="left"/>
              <w:rPr>
                <w:b/>
              </w:rPr>
            </w:pPr>
            <w:r w:rsidRPr="00FE15E6">
              <w:rPr>
                <w:b/>
              </w:rPr>
              <w:t>Censuses</w:t>
            </w:r>
            <w:r w:rsidR="00AA30A7">
              <w:rPr>
                <w:b/>
              </w:rPr>
              <w:t xml:space="preserve"> – births in the last 12 months</w:t>
            </w:r>
          </w:p>
        </w:tc>
      </w:tr>
      <w:tr w:rsidR="003357BA" w:rsidRPr="00FE15E6" w14:paraId="570F4AD6" w14:textId="77777777" w:rsidTr="003949DC">
        <w:tc>
          <w:tcPr>
            <w:tcW w:w="1535" w:type="dxa"/>
            <w:tcBorders>
              <w:top w:val="nil"/>
            </w:tcBorders>
          </w:tcPr>
          <w:p w14:paraId="0263FC3A" w14:textId="77777777" w:rsidR="003357BA" w:rsidRPr="00FE15E6" w:rsidRDefault="003357BA" w:rsidP="00925A7A">
            <w:pPr>
              <w:pStyle w:val="Tables"/>
              <w:jc w:val="left"/>
            </w:pPr>
          </w:p>
        </w:tc>
        <w:tc>
          <w:tcPr>
            <w:tcW w:w="1535" w:type="dxa"/>
          </w:tcPr>
          <w:p w14:paraId="50CFE874" w14:textId="09A13E63" w:rsidR="003357BA" w:rsidRPr="00FE15E6" w:rsidRDefault="003357BA" w:rsidP="002C1451">
            <w:pPr>
              <w:pStyle w:val="Tables"/>
              <w:jc w:val="left"/>
            </w:pPr>
            <w:r w:rsidRPr="00FE15E6">
              <w:t xml:space="preserve">Published fertility (last </w:t>
            </w:r>
            <w:r w:rsidR="002C1451">
              <w:t>three</w:t>
            </w:r>
            <w:r w:rsidRPr="00FE15E6">
              <w:t xml:space="preserve"> years), reconstructed trends</w:t>
            </w:r>
            <w:r w:rsidR="00AA30A7">
              <w:t xml:space="preserve"> from full birth histories, expected fertility from the </w:t>
            </w:r>
            <w:proofErr w:type="spellStart"/>
            <w:r w:rsidR="00AA30A7">
              <w:t>Bongaarts</w:t>
            </w:r>
            <w:proofErr w:type="spellEnd"/>
            <w:r w:rsidR="00AA30A7">
              <w:t xml:space="preserve"> model</w:t>
            </w:r>
          </w:p>
        </w:tc>
        <w:tc>
          <w:tcPr>
            <w:tcW w:w="1534" w:type="dxa"/>
          </w:tcPr>
          <w:p w14:paraId="53158A80" w14:textId="7EF7E174" w:rsidR="003357BA" w:rsidRPr="00FE15E6" w:rsidRDefault="003357BA" w:rsidP="00AA30A7">
            <w:pPr>
              <w:pStyle w:val="Tables"/>
              <w:jc w:val="left"/>
            </w:pPr>
            <w:r w:rsidRPr="00FE15E6">
              <w:t>Reconstructed trends</w:t>
            </w:r>
            <w:r w:rsidR="00AA30A7">
              <w:t xml:space="preserve"> from full birth histories, sometimes</w:t>
            </w:r>
            <w:r w:rsidRPr="00FE15E6">
              <w:t xml:space="preserve"> </w:t>
            </w:r>
            <w:r w:rsidR="00FE15E6">
              <w:t>published fertility</w:t>
            </w:r>
            <w:r w:rsidR="004C0B8C">
              <w:t xml:space="preserve"> </w:t>
            </w:r>
            <w:r w:rsidR="00ED01CC">
              <w:t xml:space="preserve">for the </w:t>
            </w:r>
            <w:r w:rsidR="00016FD0" w:rsidRPr="00FE15E6">
              <w:t>last 12 months</w:t>
            </w:r>
            <w:r w:rsidR="00AA30A7">
              <w:t xml:space="preserve"> </w:t>
            </w:r>
            <w:r w:rsidR="00B0079B">
              <w:t>(</w:t>
            </w:r>
            <w:r w:rsidR="00AA30A7">
              <w:t>between brackets)</w:t>
            </w:r>
          </w:p>
        </w:tc>
        <w:tc>
          <w:tcPr>
            <w:tcW w:w="1600" w:type="dxa"/>
          </w:tcPr>
          <w:p w14:paraId="7C6F319B" w14:textId="59C5589A" w:rsidR="003357BA" w:rsidRPr="00FE15E6" w:rsidRDefault="003357BA" w:rsidP="002C1451">
            <w:pPr>
              <w:pStyle w:val="Tables"/>
              <w:jc w:val="left"/>
            </w:pPr>
            <w:r w:rsidRPr="00FE15E6">
              <w:t xml:space="preserve">Fertility over the last </w:t>
            </w:r>
            <w:r w:rsidR="002C1451">
              <w:t>three</w:t>
            </w:r>
            <w:r w:rsidR="00AA30A7">
              <w:t xml:space="preserve"> years or </w:t>
            </w:r>
            <w:r w:rsidR="00ED01CC">
              <w:t xml:space="preserve">over the </w:t>
            </w:r>
            <w:r w:rsidRPr="00FE15E6">
              <w:t>last 12 months, sometimes reconstructed trends</w:t>
            </w:r>
            <w:r w:rsidR="00AA30A7">
              <w:t xml:space="preserve"> from full birth histories</w:t>
            </w:r>
            <w:r w:rsidRPr="00FE15E6">
              <w:t>.</w:t>
            </w:r>
          </w:p>
        </w:tc>
        <w:tc>
          <w:tcPr>
            <w:tcW w:w="1417" w:type="dxa"/>
          </w:tcPr>
          <w:p w14:paraId="50CEF0BB" w14:textId="22B5A2C7" w:rsidR="003357BA" w:rsidRPr="00FE15E6" w:rsidRDefault="003357BA" w:rsidP="00AA30A7">
            <w:pPr>
              <w:pStyle w:val="Tables"/>
              <w:jc w:val="left"/>
            </w:pPr>
            <w:r w:rsidRPr="00FE15E6">
              <w:t>Reverse</w:t>
            </w:r>
            <w:r w:rsidR="00947217">
              <w:t>-</w:t>
            </w:r>
            <w:r w:rsidRPr="00FE15E6">
              <w:t xml:space="preserve">survival methods </w:t>
            </w:r>
          </w:p>
        </w:tc>
        <w:tc>
          <w:tcPr>
            <w:tcW w:w="1790" w:type="dxa"/>
          </w:tcPr>
          <w:p w14:paraId="2DF625A7" w14:textId="32DAAD69" w:rsidR="003357BA" w:rsidRPr="00FE15E6" w:rsidRDefault="00B0079B" w:rsidP="00B0079B">
            <w:pPr>
              <w:pStyle w:val="Tables"/>
              <w:jc w:val="left"/>
            </w:pPr>
            <w:r>
              <w:t xml:space="preserve">Fertility over </w:t>
            </w:r>
            <w:r w:rsidR="002C1451">
              <w:t xml:space="preserve">the </w:t>
            </w:r>
            <w:r w:rsidR="003357BA" w:rsidRPr="00FE15E6">
              <w:t>last 12 months</w:t>
            </w:r>
            <w:bookmarkStart w:id="4" w:name="_GoBack"/>
            <w:bookmarkEnd w:id="4"/>
          </w:p>
        </w:tc>
      </w:tr>
      <w:tr w:rsidR="003357BA" w:rsidRPr="00FE15E6" w14:paraId="7045FB35" w14:textId="77777777" w:rsidTr="003949DC">
        <w:tc>
          <w:tcPr>
            <w:tcW w:w="1535" w:type="dxa"/>
          </w:tcPr>
          <w:p w14:paraId="00B6E56A" w14:textId="77777777" w:rsidR="003357BA" w:rsidRPr="00FE15E6" w:rsidRDefault="003357BA" w:rsidP="00925A7A">
            <w:pPr>
              <w:pStyle w:val="Tables"/>
              <w:jc w:val="left"/>
            </w:pPr>
            <w:r w:rsidRPr="00FE15E6">
              <w:t>Benin</w:t>
            </w:r>
          </w:p>
        </w:tc>
        <w:tc>
          <w:tcPr>
            <w:tcW w:w="1535" w:type="dxa"/>
          </w:tcPr>
          <w:p w14:paraId="038BB5AE" w14:textId="33A98B97" w:rsidR="003357BA" w:rsidRPr="00FE15E6" w:rsidRDefault="003357BA" w:rsidP="00925A7A">
            <w:pPr>
              <w:pStyle w:val="Tables"/>
              <w:jc w:val="left"/>
            </w:pPr>
            <w:r w:rsidRPr="00FE15E6">
              <w:t>1996, 2001, 2006, 2011</w:t>
            </w:r>
            <w:r w:rsidR="00947217">
              <w:t>–</w:t>
            </w:r>
            <w:r w:rsidRPr="00FE15E6">
              <w:t>12</w:t>
            </w:r>
          </w:p>
        </w:tc>
        <w:tc>
          <w:tcPr>
            <w:tcW w:w="1534" w:type="dxa"/>
          </w:tcPr>
          <w:p w14:paraId="21C58119" w14:textId="77777777" w:rsidR="003357BA" w:rsidRPr="00FE15E6" w:rsidRDefault="003357BA" w:rsidP="00925A7A">
            <w:pPr>
              <w:pStyle w:val="Tables"/>
              <w:jc w:val="left"/>
            </w:pPr>
            <w:r w:rsidRPr="00FE15E6">
              <w:t>2014</w:t>
            </w:r>
          </w:p>
        </w:tc>
        <w:tc>
          <w:tcPr>
            <w:tcW w:w="1600" w:type="dxa"/>
          </w:tcPr>
          <w:p w14:paraId="30F6537D" w14:textId="77777777" w:rsidR="003357BA" w:rsidRPr="00FE15E6" w:rsidRDefault="003357BA" w:rsidP="00925A7A">
            <w:pPr>
              <w:pStyle w:val="Tables"/>
              <w:jc w:val="left"/>
            </w:pPr>
            <w:r w:rsidRPr="00FE15E6">
              <w:t>-</w:t>
            </w:r>
          </w:p>
        </w:tc>
        <w:tc>
          <w:tcPr>
            <w:tcW w:w="1417" w:type="dxa"/>
          </w:tcPr>
          <w:p w14:paraId="74EDADD3" w14:textId="77777777" w:rsidR="003357BA" w:rsidRPr="00FE15E6" w:rsidRDefault="003357BA" w:rsidP="00925A7A">
            <w:pPr>
              <w:pStyle w:val="Tables"/>
              <w:jc w:val="left"/>
            </w:pPr>
            <w:r w:rsidRPr="00FE15E6">
              <w:t>1992, 2002, 2013</w:t>
            </w:r>
          </w:p>
        </w:tc>
        <w:tc>
          <w:tcPr>
            <w:tcW w:w="1790" w:type="dxa"/>
          </w:tcPr>
          <w:p w14:paraId="5D325DD1" w14:textId="77777777" w:rsidR="003357BA" w:rsidRPr="00FE15E6" w:rsidRDefault="003357BA" w:rsidP="00925A7A">
            <w:pPr>
              <w:pStyle w:val="Tables"/>
              <w:jc w:val="left"/>
            </w:pPr>
            <w:r w:rsidRPr="00FE15E6">
              <w:t>1992, 2002, 2013</w:t>
            </w:r>
          </w:p>
        </w:tc>
      </w:tr>
      <w:tr w:rsidR="003357BA" w:rsidRPr="00FE15E6" w14:paraId="2379D4DF" w14:textId="77777777" w:rsidTr="003949DC">
        <w:tc>
          <w:tcPr>
            <w:tcW w:w="1535" w:type="dxa"/>
          </w:tcPr>
          <w:p w14:paraId="47C309C1" w14:textId="77777777" w:rsidR="003357BA" w:rsidRPr="00FE15E6" w:rsidRDefault="003357BA" w:rsidP="00925A7A">
            <w:pPr>
              <w:pStyle w:val="Tables"/>
              <w:jc w:val="left"/>
            </w:pPr>
            <w:r w:rsidRPr="00FE15E6">
              <w:t>Burkina Faso</w:t>
            </w:r>
          </w:p>
        </w:tc>
        <w:tc>
          <w:tcPr>
            <w:tcW w:w="1535" w:type="dxa"/>
          </w:tcPr>
          <w:p w14:paraId="205A015D" w14:textId="0A5CFBCC" w:rsidR="003357BA" w:rsidRPr="00FE15E6" w:rsidRDefault="003357BA" w:rsidP="00925A7A">
            <w:pPr>
              <w:pStyle w:val="Tables"/>
              <w:jc w:val="left"/>
            </w:pPr>
            <w:r w:rsidRPr="00FE15E6">
              <w:t>1993, 1998</w:t>
            </w:r>
            <w:r w:rsidR="00947217">
              <w:t>–</w:t>
            </w:r>
            <w:r w:rsidRPr="00FE15E6">
              <w:t>99, 2003, 2010</w:t>
            </w:r>
          </w:p>
        </w:tc>
        <w:tc>
          <w:tcPr>
            <w:tcW w:w="1534" w:type="dxa"/>
          </w:tcPr>
          <w:p w14:paraId="37F314DE" w14:textId="77777777" w:rsidR="003357BA" w:rsidRPr="00FE15E6" w:rsidRDefault="00016FD0" w:rsidP="00925A7A">
            <w:pPr>
              <w:pStyle w:val="Tables"/>
              <w:jc w:val="left"/>
            </w:pPr>
            <w:r w:rsidRPr="00FE15E6">
              <w:t>(2006)</w:t>
            </w:r>
          </w:p>
        </w:tc>
        <w:tc>
          <w:tcPr>
            <w:tcW w:w="1600" w:type="dxa"/>
          </w:tcPr>
          <w:p w14:paraId="03745873" w14:textId="77777777" w:rsidR="003357BA" w:rsidRPr="00FE15E6" w:rsidRDefault="003357BA" w:rsidP="00925A7A">
            <w:pPr>
              <w:pStyle w:val="Tables"/>
              <w:jc w:val="left"/>
            </w:pPr>
            <w:r w:rsidRPr="00FE15E6">
              <w:t>2014</w:t>
            </w:r>
          </w:p>
        </w:tc>
        <w:tc>
          <w:tcPr>
            <w:tcW w:w="1417" w:type="dxa"/>
          </w:tcPr>
          <w:p w14:paraId="2171F86A" w14:textId="77777777" w:rsidR="003357BA" w:rsidRPr="00FE15E6" w:rsidRDefault="003357BA" w:rsidP="00925A7A">
            <w:pPr>
              <w:pStyle w:val="Tables"/>
              <w:jc w:val="left"/>
            </w:pPr>
            <w:r w:rsidRPr="00FE15E6">
              <w:t>1985, 1996, 2006</w:t>
            </w:r>
          </w:p>
        </w:tc>
        <w:tc>
          <w:tcPr>
            <w:tcW w:w="1790" w:type="dxa"/>
          </w:tcPr>
          <w:p w14:paraId="2C53BCAC" w14:textId="77777777" w:rsidR="003357BA" w:rsidRPr="00FE15E6" w:rsidRDefault="003357BA" w:rsidP="00925A7A">
            <w:pPr>
              <w:pStyle w:val="Tables"/>
              <w:jc w:val="left"/>
            </w:pPr>
            <w:r w:rsidRPr="00FE15E6">
              <w:t>1985, 1996, 2006</w:t>
            </w:r>
          </w:p>
        </w:tc>
      </w:tr>
      <w:tr w:rsidR="003357BA" w:rsidRPr="00FE15E6" w14:paraId="6DC09436" w14:textId="77777777" w:rsidTr="003949DC">
        <w:tc>
          <w:tcPr>
            <w:tcW w:w="1535" w:type="dxa"/>
          </w:tcPr>
          <w:p w14:paraId="13E8464E" w14:textId="77777777" w:rsidR="003357BA" w:rsidRPr="00FE15E6" w:rsidRDefault="003357BA" w:rsidP="00925A7A">
            <w:pPr>
              <w:pStyle w:val="Tables"/>
              <w:jc w:val="left"/>
            </w:pPr>
            <w:r w:rsidRPr="00FE15E6">
              <w:t>Burundi</w:t>
            </w:r>
          </w:p>
        </w:tc>
        <w:tc>
          <w:tcPr>
            <w:tcW w:w="1535" w:type="dxa"/>
          </w:tcPr>
          <w:p w14:paraId="50DDE943" w14:textId="2C346FB7" w:rsidR="003357BA" w:rsidRPr="00FE15E6" w:rsidRDefault="003357BA" w:rsidP="00925A7A">
            <w:pPr>
              <w:pStyle w:val="Tables"/>
              <w:jc w:val="left"/>
            </w:pPr>
            <w:r w:rsidRPr="00FE15E6">
              <w:t>1987, 2010</w:t>
            </w:r>
            <w:r w:rsidR="00925A7A" w:rsidRPr="00FE15E6">
              <w:t>, 2016</w:t>
            </w:r>
            <w:r w:rsidR="00947217">
              <w:t>–</w:t>
            </w:r>
            <w:r w:rsidR="00925A7A" w:rsidRPr="00FE15E6">
              <w:t>17</w:t>
            </w:r>
          </w:p>
        </w:tc>
        <w:tc>
          <w:tcPr>
            <w:tcW w:w="1534" w:type="dxa"/>
          </w:tcPr>
          <w:p w14:paraId="6C4AA1C1" w14:textId="77777777" w:rsidR="003357BA" w:rsidRPr="00FE15E6" w:rsidRDefault="003357BA" w:rsidP="00925A7A">
            <w:pPr>
              <w:pStyle w:val="Tables"/>
              <w:jc w:val="left"/>
            </w:pPr>
            <w:r w:rsidRPr="00FE15E6">
              <w:t>-</w:t>
            </w:r>
          </w:p>
        </w:tc>
        <w:tc>
          <w:tcPr>
            <w:tcW w:w="1600" w:type="dxa"/>
          </w:tcPr>
          <w:p w14:paraId="062C50F8" w14:textId="77777777" w:rsidR="003357BA" w:rsidRPr="00FE15E6" w:rsidRDefault="003357BA" w:rsidP="00925A7A">
            <w:pPr>
              <w:pStyle w:val="Tables"/>
              <w:jc w:val="left"/>
            </w:pPr>
            <w:r w:rsidRPr="00FE15E6">
              <w:t>2012</w:t>
            </w:r>
          </w:p>
        </w:tc>
        <w:tc>
          <w:tcPr>
            <w:tcW w:w="1417" w:type="dxa"/>
          </w:tcPr>
          <w:p w14:paraId="6D2AE447" w14:textId="77777777" w:rsidR="003357BA" w:rsidRPr="00FE15E6" w:rsidRDefault="003357BA" w:rsidP="00925A7A">
            <w:pPr>
              <w:pStyle w:val="Tables"/>
              <w:jc w:val="left"/>
            </w:pPr>
            <w:r w:rsidRPr="00FE15E6">
              <w:t>1990, 2008</w:t>
            </w:r>
          </w:p>
        </w:tc>
        <w:tc>
          <w:tcPr>
            <w:tcW w:w="1790" w:type="dxa"/>
          </w:tcPr>
          <w:p w14:paraId="21845BC0" w14:textId="6CE7FED0" w:rsidR="003357BA" w:rsidRPr="00FE15E6" w:rsidRDefault="002C1451" w:rsidP="00925A7A">
            <w:pPr>
              <w:pStyle w:val="Tables"/>
              <w:jc w:val="left"/>
            </w:pPr>
            <w:r>
              <w:t>-</w:t>
            </w:r>
          </w:p>
        </w:tc>
      </w:tr>
      <w:tr w:rsidR="003357BA" w:rsidRPr="00FE15E6" w14:paraId="14A44391" w14:textId="77777777" w:rsidTr="003949DC">
        <w:tc>
          <w:tcPr>
            <w:tcW w:w="1535" w:type="dxa"/>
          </w:tcPr>
          <w:p w14:paraId="1002D60E" w14:textId="77777777" w:rsidR="003357BA" w:rsidRPr="00FE15E6" w:rsidRDefault="003357BA" w:rsidP="00925A7A">
            <w:pPr>
              <w:pStyle w:val="Tables"/>
              <w:jc w:val="left"/>
            </w:pPr>
            <w:r w:rsidRPr="00FE15E6">
              <w:t>Cameroon</w:t>
            </w:r>
          </w:p>
        </w:tc>
        <w:tc>
          <w:tcPr>
            <w:tcW w:w="1535" w:type="dxa"/>
          </w:tcPr>
          <w:p w14:paraId="57DA8311" w14:textId="77777777" w:rsidR="003357BA" w:rsidRPr="00FE15E6" w:rsidRDefault="003357BA" w:rsidP="00925A7A">
            <w:pPr>
              <w:pStyle w:val="Tables"/>
              <w:jc w:val="left"/>
            </w:pPr>
            <w:r w:rsidRPr="00FE15E6">
              <w:t>1991, 1998, 2004, 2011</w:t>
            </w:r>
          </w:p>
        </w:tc>
        <w:tc>
          <w:tcPr>
            <w:tcW w:w="1534" w:type="dxa"/>
          </w:tcPr>
          <w:p w14:paraId="74E314EA" w14:textId="77777777" w:rsidR="003357BA" w:rsidRPr="00FE15E6" w:rsidRDefault="003357BA" w:rsidP="00925A7A">
            <w:pPr>
              <w:pStyle w:val="Tables"/>
              <w:jc w:val="left"/>
            </w:pPr>
            <w:r w:rsidRPr="00FE15E6">
              <w:t>2014</w:t>
            </w:r>
          </w:p>
        </w:tc>
        <w:tc>
          <w:tcPr>
            <w:tcW w:w="1600" w:type="dxa"/>
          </w:tcPr>
          <w:p w14:paraId="46A64ADF" w14:textId="77777777" w:rsidR="003357BA" w:rsidRPr="00FE15E6" w:rsidRDefault="003357BA" w:rsidP="00925A7A">
            <w:pPr>
              <w:pStyle w:val="Tables"/>
              <w:jc w:val="left"/>
            </w:pPr>
            <w:r w:rsidRPr="00FE15E6">
              <w:t>-</w:t>
            </w:r>
          </w:p>
        </w:tc>
        <w:tc>
          <w:tcPr>
            <w:tcW w:w="1417" w:type="dxa"/>
          </w:tcPr>
          <w:p w14:paraId="74931C35" w14:textId="77777777" w:rsidR="003357BA" w:rsidRPr="00FE15E6" w:rsidRDefault="003357BA" w:rsidP="00925A7A">
            <w:pPr>
              <w:pStyle w:val="Tables"/>
              <w:jc w:val="left"/>
            </w:pPr>
            <w:r w:rsidRPr="00FE15E6">
              <w:t>1987, 2005</w:t>
            </w:r>
          </w:p>
        </w:tc>
        <w:tc>
          <w:tcPr>
            <w:tcW w:w="1790" w:type="dxa"/>
          </w:tcPr>
          <w:p w14:paraId="4AAE1D3B" w14:textId="77777777" w:rsidR="003357BA" w:rsidRPr="00FE15E6" w:rsidRDefault="003357BA" w:rsidP="00925A7A">
            <w:pPr>
              <w:pStyle w:val="Tables"/>
              <w:jc w:val="left"/>
            </w:pPr>
            <w:r w:rsidRPr="00FE15E6">
              <w:t>1987, 2005</w:t>
            </w:r>
          </w:p>
        </w:tc>
      </w:tr>
      <w:tr w:rsidR="003357BA" w:rsidRPr="00FE15E6" w14:paraId="749D2921" w14:textId="77777777" w:rsidTr="003949DC">
        <w:tc>
          <w:tcPr>
            <w:tcW w:w="1535" w:type="dxa"/>
          </w:tcPr>
          <w:p w14:paraId="7CC0D110" w14:textId="77777777" w:rsidR="003357BA" w:rsidRPr="00FE15E6" w:rsidRDefault="003357BA" w:rsidP="00925A7A">
            <w:pPr>
              <w:pStyle w:val="Tables"/>
              <w:jc w:val="left"/>
            </w:pPr>
            <w:r w:rsidRPr="00FE15E6">
              <w:t>Chad</w:t>
            </w:r>
          </w:p>
        </w:tc>
        <w:tc>
          <w:tcPr>
            <w:tcW w:w="1535" w:type="dxa"/>
          </w:tcPr>
          <w:p w14:paraId="0C214648" w14:textId="3D12D67E" w:rsidR="003357BA" w:rsidRPr="00FE15E6" w:rsidRDefault="0087559A" w:rsidP="0087559A">
            <w:pPr>
              <w:pStyle w:val="Tables"/>
              <w:jc w:val="left"/>
            </w:pPr>
            <w:r w:rsidRPr="00FE15E6">
              <w:t>199</w:t>
            </w:r>
            <w:r>
              <w:t>6</w:t>
            </w:r>
            <w:r w:rsidR="00947217">
              <w:t>–</w:t>
            </w:r>
            <w:r w:rsidR="003357BA" w:rsidRPr="00FE15E6">
              <w:t>97, 2004, 2014</w:t>
            </w:r>
            <w:r w:rsidR="00947217">
              <w:t>–</w:t>
            </w:r>
            <w:r w:rsidR="003357BA" w:rsidRPr="00FE15E6">
              <w:t>15</w:t>
            </w:r>
          </w:p>
        </w:tc>
        <w:tc>
          <w:tcPr>
            <w:tcW w:w="1534" w:type="dxa"/>
          </w:tcPr>
          <w:p w14:paraId="7391E82F" w14:textId="77777777" w:rsidR="003357BA" w:rsidRPr="00FE15E6" w:rsidRDefault="003357BA" w:rsidP="00925A7A">
            <w:pPr>
              <w:pStyle w:val="Tables"/>
              <w:jc w:val="left"/>
            </w:pPr>
            <w:r w:rsidRPr="00FE15E6">
              <w:t>-</w:t>
            </w:r>
          </w:p>
        </w:tc>
        <w:tc>
          <w:tcPr>
            <w:tcW w:w="1600" w:type="dxa"/>
          </w:tcPr>
          <w:p w14:paraId="3F853D79" w14:textId="77777777" w:rsidR="003357BA" w:rsidRPr="00FE15E6" w:rsidRDefault="003357BA" w:rsidP="00925A7A">
            <w:pPr>
              <w:pStyle w:val="Tables"/>
              <w:jc w:val="left"/>
            </w:pPr>
            <w:r w:rsidRPr="00FE15E6">
              <w:t>-</w:t>
            </w:r>
          </w:p>
        </w:tc>
        <w:tc>
          <w:tcPr>
            <w:tcW w:w="1417" w:type="dxa"/>
          </w:tcPr>
          <w:p w14:paraId="75942218" w14:textId="77777777" w:rsidR="003357BA" w:rsidRPr="00FE15E6" w:rsidRDefault="003357BA" w:rsidP="00925A7A">
            <w:pPr>
              <w:pStyle w:val="Tables"/>
              <w:jc w:val="left"/>
            </w:pPr>
            <w:r w:rsidRPr="00FE15E6">
              <w:t>2009</w:t>
            </w:r>
          </w:p>
        </w:tc>
        <w:tc>
          <w:tcPr>
            <w:tcW w:w="1790" w:type="dxa"/>
          </w:tcPr>
          <w:p w14:paraId="4EECFC70" w14:textId="77777777" w:rsidR="003357BA" w:rsidRPr="00FE15E6" w:rsidRDefault="003357BA" w:rsidP="00925A7A">
            <w:pPr>
              <w:pStyle w:val="Tables"/>
              <w:jc w:val="left"/>
            </w:pPr>
            <w:r w:rsidRPr="00FE15E6">
              <w:t>1993, 2009</w:t>
            </w:r>
          </w:p>
        </w:tc>
      </w:tr>
      <w:tr w:rsidR="003357BA" w:rsidRPr="00FE15E6" w14:paraId="43148AD4" w14:textId="77777777" w:rsidTr="003949DC">
        <w:tc>
          <w:tcPr>
            <w:tcW w:w="1535" w:type="dxa"/>
          </w:tcPr>
          <w:p w14:paraId="4C3FCC07" w14:textId="77777777" w:rsidR="003357BA" w:rsidRPr="00FE15E6" w:rsidRDefault="003357BA" w:rsidP="00925A7A">
            <w:pPr>
              <w:pStyle w:val="Tables"/>
              <w:jc w:val="left"/>
            </w:pPr>
            <w:r w:rsidRPr="00FE15E6">
              <w:t>Comoros</w:t>
            </w:r>
          </w:p>
        </w:tc>
        <w:tc>
          <w:tcPr>
            <w:tcW w:w="1535" w:type="dxa"/>
          </w:tcPr>
          <w:p w14:paraId="4682F7E4" w14:textId="77777777" w:rsidR="003357BA" w:rsidRPr="00FE15E6" w:rsidRDefault="003357BA" w:rsidP="00925A7A">
            <w:pPr>
              <w:pStyle w:val="Tables"/>
              <w:jc w:val="left"/>
            </w:pPr>
            <w:r w:rsidRPr="00FE15E6">
              <w:t>1996, 2012</w:t>
            </w:r>
          </w:p>
        </w:tc>
        <w:tc>
          <w:tcPr>
            <w:tcW w:w="1534" w:type="dxa"/>
          </w:tcPr>
          <w:p w14:paraId="296CCD61" w14:textId="77777777" w:rsidR="003357BA" w:rsidRPr="00FE15E6" w:rsidRDefault="003357BA" w:rsidP="00925A7A">
            <w:pPr>
              <w:pStyle w:val="Tables"/>
              <w:jc w:val="left"/>
            </w:pPr>
            <w:r w:rsidRPr="00FE15E6">
              <w:t>-</w:t>
            </w:r>
          </w:p>
        </w:tc>
        <w:tc>
          <w:tcPr>
            <w:tcW w:w="1600" w:type="dxa"/>
          </w:tcPr>
          <w:p w14:paraId="4E0FDD20" w14:textId="1B275346" w:rsidR="003357BA" w:rsidRPr="00FE15E6" w:rsidRDefault="002C1451" w:rsidP="00925A7A">
            <w:pPr>
              <w:pStyle w:val="Tables"/>
              <w:jc w:val="left"/>
            </w:pPr>
            <w:r>
              <w:t>-</w:t>
            </w:r>
          </w:p>
        </w:tc>
        <w:tc>
          <w:tcPr>
            <w:tcW w:w="1417" w:type="dxa"/>
          </w:tcPr>
          <w:p w14:paraId="51A2FB20" w14:textId="77777777" w:rsidR="003357BA" w:rsidRPr="00FE15E6" w:rsidRDefault="00A01FD2" w:rsidP="00A01FD2">
            <w:pPr>
              <w:pStyle w:val="Tables"/>
              <w:jc w:val="left"/>
            </w:pPr>
            <w:r w:rsidRPr="00FE15E6">
              <w:t>2003 (5-y)</w:t>
            </w:r>
          </w:p>
        </w:tc>
        <w:tc>
          <w:tcPr>
            <w:tcW w:w="1790" w:type="dxa"/>
          </w:tcPr>
          <w:p w14:paraId="7488E70B" w14:textId="77777777" w:rsidR="003357BA" w:rsidRPr="00FE15E6" w:rsidRDefault="00E64936" w:rsidP="00925A7A">
            <w:pPr>
              <w:pStyle w:val="Tables"/>
              <w:jc w:val="left"/>
            </w:pPr>
            <w:r w:rsidRPr="00FE15E6">
              <w:t>1980</w:t>
            </w:r>
          </w:p>
        </w:tc>
      </w:tr>
      <w:tr w:rsidR="003357BA" w:rsidRPr="00FE15E6" w14:paraId="01E3E970" w14:textId="77777777" w:rsidTr="003949DC">
        <w:tc>
          <w:tcPr>
            <w:tcW w:w="1535" w:type="dxa"/>
          </w:tcPr>
          <w:p w14:paraId="061ECE58" w14:textId="77777777" w:rsidR="003357BA" w:rsidRPr="00FE15E6" w:rsidRDefault="003357BA" w:rsidP="00925A7A">
            <w:pPr>
              <w:pStyle w:val="Tables"/>
              <w:jc w:val="left"/>
            </w:pPr>
            <w:r w:rsidRPr="00FE15E6">
              <w:t>Congo</w:t>
            </w:r>
          </w:p>
        </w:tc>
        <w:tc>
          <w:tcPr>
            <w:tcW w:w="1535" w:type="dxa"/>
          </w:tcPr>
          <w:p w14:paraId="66DECBF3" w14:textId="30E7B133" w:rsidR="003357BA" w:rsidRPr="00FE15E6" w:rsidRDefault="003357BA" w:rsidP="002C1451">
            <w:pPr>
              <w:pStyle w:val="Tables"/>
              <w:jc w:val="left"/>
            </w:pPr>
            <w:r w:rsidRPr="00FE15E6">
              <w:t>2005, 2011</w:t>
            </w:r>
            <w:r w:rsidR="002C1451">
              <w:t>–</w:t>
            </w:r>
            <w:r w:rsidRPr="00FE15E6">
              <w:t>12</w:t>
            </w:r>
          </w:p>
        </w:tc>
        <w:tc>
          <w:tcPr>
            <w:tcW w:w="1534" w:type="dxa"/>
          </w:tcPr>
          <w:p w14:paraId="0C431C25" w14:textId="4385C718" w:rsidR="003357BA" w:rsidRPr="00FE15E6" w:rsidRDefault="00016FD0" w:rsidP="00016FD0">
            <w:pPr>
              <w:pStyle w:val="Tables"/>
              <w:jc w:val="left"/>
            </w:pPr>
            <w:r w:rsidRPr="00FE15E6">
              <w:t>2014</w:t>
            </w:r>
            <w:r w:rsidR="008A3F82">
              <w:t>–</w:t>
            </w:r>
            <w:r w:rsidRPr="00FE15E6">
              <w:t>15</w:t>
            </w:r>
          </w:p>
        </w:tc>
        <w:tc>
          <w:tcPr>
            <w:tcW w:w="1600" w:type="dxa"/>
          </w:tcPr>
          <w:p w14:paraId="059B7C61" w14:textId="77777777" w:rsidR="003357BA" w:rsidRPr="00FE15E6" w:rsidRDefault="003357BA" w:rsidP="00925A7A">
            <w:pPr>
              <w:pStyle w:val="Tables"/>
              <w:jc w:val="left"/>
            </w:pPr>
            <w:r w:rsidRPr="00FE15E6">
              <w:t>2009</w:t>
            </w:r>
          </w:p>
        </w:tc>
        <w:tc>
          <w:tcPr>
            <w:tcW w:w="1417" w:type="dxa"/>
          </w:tcPr>
          <w:p w14:paraId="38FF4CE9" w14:textId="77777777" w:rsidR="003357BA" w:rsidRPr="00FE15E6" w:rsidRDefault="003357BA" w:rsidP="00925A7A">
            <w:pPr>
              <w:pStyle w:val="Tables"/>
              <w:jc w:val="left"/>
            </w:pPr>
            <w:r w:rsidRPr="00FE15E6">
              <w:t>1985, 2007</w:t>
            </w:r>
          </w:p>
        </w:tc>
        <w:tc>
          <w:tcPr>
            <w:tcW w:w="1790" w:type="dxa"/>
          </w:tcPr>
          <w:p w14:paraId="35365EE9" w14:textId="77777777" w:rsidR="003357BA" w:rsidRPr="00FE15E6" w:rsidRDefault="003357BA" w:rsidP="00925A7A">
            <w:pPr>
              <w:pStyle w:val="Tables"/>
              <w:jc w:val="left"/>
            </w:pPr>
            <w:r w:rsidRPr="00FE15E6">
              <w:t>-</w:t>
            </w:r>
          </w:p>
        </w:tc>
      </w:tr>
      <w:tr w:rsidR="003357BA" w:rsidRPr="00FE15E6" w14:paraId="4C51CF23" w14:textId="77777777" w:rsidTr="003949DC">
        <w:tc>
          <w:tcPr>
            <w:tcW w:w="1535" w:type="dxa"/>
          </w:tcPr>
          <w:p w14:paraId="1F7F2A88" w14:textId="77777777" w:rsidR="003357BA" w:rsidRPr="00FE15E6" w:rsidRDefault="003357BA" w:rsidP="00925A7A">
            <w:pPr>
              <w:pStyle w:val="Tables"/>
              <w:jc w:val="left"/>
            </w:pPr>
            <w:r w:rsidRPr="00FE15E6">
              <w:t>Côte d’Ivoire</w:t>
            </w:r>
          </w:p>
        </w:tc>
        <w:tc>
          <w:tcPr>
            <w:tcW w:w="1535" w:type="dxa"/>
          </w:tcPr>
          <w:p w14:paraId="6C8F69C4" w14:textId="247A0BEA" w:rsidR="003357BA" w:rsidRPr="00FE15E6" w:rsidRDefault="003357BA" w:rsidP="00925A7A">
            <w:pPr>
              <w:pStyle w:val="Tables"/>
              <w:jc w:val="left"/>
            </w:pPr>
            <w:r w:rsidRPr="00FE15E6">
              <w:t>1994, 1998</w:t>
            </w:r>
            <w:r w:rsidR="008A3F82">
              <w:t>–</w:t>
            </w:r>
            <w:r w:rsidRPr="00FE15E6">
              <w:t>99, 2011</w:t>
            </w:r>
            <w:r w:rsidR="008A3F82">
              <w:t>–</w:t>
            </w:r>
            <w:r w:rsidRPr="00FE15E6">
              <w:t>12</w:t>
            </w:r>
          </w:p>
        </w:tc>
        <w:tc>
          <w:tcPr>
            <w:tcW w:w="1534" w:type="dxa"/>
          </w:tcPr>
          <w:p w14:paraId="54D9642F" w14:textId="77777777" w:rsidR="003357BA" w:rsidRPr="00FE15E6" w:rsidRDefault="00EF3D4B" w:rsidP="00B30B09">
            <w:pPr>
              <w:pStyle w:val="Tables"/>
              <w:jc w:val="left"/>
            </w:pPr>
            <w:r w:rsidRPr="00FE15E6">
              <w:t xml:space="preserve">(2006), </w:t>
            </w:r>
            <w:r w:rsidR="00B30B09" w:rsidRPr="00FE15E6">
              <w:t>2016</w:t>
            </w:r>
          </w:p>
        </w:tc>
        <w:tc>
          <w:tcPr>
            <w:tcW w:w="1600" w:type="dxa"/>
          </w:tcPr>
          <w:p w14:paraId="32E55324" w14:textId="77777777" w:rsidR="003357BA" w:rsidRPr="00FE15E6" w:rsidRDefault="003357BA" w:rsidP="00925A7A">
            <w:pPr>
              <w:pStyle w:val="Tables"/>
              <w:jc w:val="left"/>
            </w:pPr>
            <w:r w:rsidRPr="00FE15E6">
              <w:t xml:space="preserve">2005 </w:t>
            </w:r>
          </w:p>
        </w:tc>
        <w:tc>
          <w:tcPr>
            <w:tcW w:w="1417" w:type="dxa"/>
          </w:tcPr>
          <w:p w14:paraId="22B34D6B" w14:textId="77777777" w:rsidR="003357BA" w:rsidRPr="00FE15E6" w:rsidRDefault="003357BA" w:rsidP="00925A7A">
            <w:pPr>
              <w:pStyle w:val="Tables"/>
              <w:jc w:val="left"/>
            </w:pPr>
            <w:r w:rsidRPr="00FE15E6">
              <w:t>1988, 1998, 2014</w:t>
            </w:r>
          </w:p>
        </w:tc>
        <w:tc>
          <w:tcPr>
            <w:tcW w:w="1790" w:type="dxa"/>
          </w:tcPr>
          <w:p w14:paraId="53ADC455" w14:textId="77777777" w:rsidR="003357BA" w:rsidRPr="00FE15E6" w:rsidRDefault="003357BA" w:rsidP="00925A7A">
            <w:pPr>
              <w:pStyle w:val="Tables"/>
              <w:jc w:val="left"/>
            </w:pPr>
            <w:r w:rsidRPr="00FE15E6">
              <w:t>1988, 1998, 2014</w:t>
            </w:r>
          </w:p>
        </w:tc>
      </w:tr>
      <w:tr w:rsidR="003357BA" w:rsidRPr="00FE15E6" w14:paraId="7AD170F6" w14:textId="77777777" w:rsidTr="003949DC">
        <w:tc>
          <w:tcPr>
            <w:tcW w:w="1535" w:type="dxa"/>
          </w:tcPr>
          <w:p w14:paraId="79845EE2" w14:textId="77777777" w:rsidR="003357BA" w:rsidRPr="00FE15E6" w:rsidRDefault="003357BA" w:rsidP="00925A7A">
            <w:pPr>
              <w:pStyle w:val="Tables"/>
              <w:jc w:val="left"/>
            </w:pPr>
            <w:r w:rsidRPr="00FE15E6">
              <w:t>DR Congo</w:t>
            </w:r>
          </w:p>
        </w:tc>
        <w:tc>
          <w:tcPr>
            <w:tcW w:w="1535" w:type="dxa"/>
          </w:tcPr>
          <w:p w14:paraId="6638F6E4" w14:textId="7927C8E0" w:rsidR="003357BA" w:rsidRPr="00FE15E6" w:rsidRDefault="003357BA" w:rsidP="00925A7A">
            <w:pPr>
              <w:pStyle w:val="Tables"/>
              <w:jc w:val="left"/>
            </w:pPr>
            <w:r w:rsidRPr="00FE15E6">
              <w:t>2007, 2013</w:t>
            </w:r>
            <w:r w:rsidR="008A3F82">
              <w:t>–</w:t>
            </w:r>
            <w:r w:rsidRPr="00FE15E6">
              <w:t>14</w:t>
            </w:r>
          </w:p>
        </w:tc>
        <w:tc>
          <w:tcPr>
            <w:tcW w:w="1534" w:type="dxa"/>
          </w:tcPr>
          <w:p w14:paraId="32646D29" w14:textId="77777777" w:rsidR="003357BA" w:rsidRPr="00FE15E6" w:rsidRDefault="00EF3D4B" w:rsidP="00925A7A">
            <w:pPr>
              <w:pStyle w:val="Tables"/>
              <w:jc w:val="left"/>
            </w:pPr>
            <w:r w:rsidRPr="00FE15E6">
              <w:t xml:space="preserve">(2001), </w:t>
            </w:r>
            <w:r w:rsidR="00827472" w:rsidRPr="00FE15E6">
              <w:t>(2010)</w:t>
            </w:r>
          </w:p>
        </w:tc>
        <w:tc>
          <w:tcPr>
            <w:tcW w:w="1600" w:type="dxa"/>
          </w:tcPr>
          <w:p w14:paraId="51BC79B0" w14:textId="4EB25283" w:rsidR="003357BA" w:rsidRPr="00FE15E6" w:rsidRDefault="002C1451" w:rsidP="00925A7A">
            <w:pPr>
              <w:pStyle w:val="Tables"/>
              <w:jc w:val="left"/>
            </w:pPr>
            <w:r>
              <w:t>-</w:t>
            </w:r>
          </w:p>
        </w:tc>
        <w:tc>
          <w:tcPr>
            <w:tcW w:w="1417" w:type="dxa"/>
          </w:tcPr>
          <w:p w14:paraId="46952CD4" w14:textId="77777777" w:rsidR="003357BA" w:rsidRPr="00FE15E6" w:rsidRDefault="003357BA" w:rsidP="00925A7A">
            <w:pPr>
              <w:pStyle w:val="Tables"/>
              <w:jc w:val="left"/>
            </w:pPr>
            <w:r w:rsidRPr="00FE15E6">
              <w:t>-</w:t>
            </w:r>
          </w:p>
        </w:tc>
        <w:tc>
          <w:tcPr>
            <w:tcW w:w="1790" w:type="dxa"/>
          </w:tcPr>
          <w:p w14:paraId="63E59D53" w14:textId="77777777" w:rsidR="003357BA" w:rsidRPr="00FE15E6" w:rsidRDefault="00827472" w:rsidP="00925A7A">
            <w:pPr>
              <w:pStyle w:val="Tables"/>
              <w:jc w:val="left"/>
            </w:pPr>
            <w:r w:rsidRPr="00FE15E6">
              <w:t>1984</w:t>
            </w:r>
          </w:p>
        </w:tc>
      </w:tr>
      <w:tr w:rsidR="003357BA" w:rsidRPr="00FE15E6" w14:paraId="129BB5B4" w14:textId="77777777" w:rsidTr="003949DC">
        <w:tc>
          <w:tcPr>
            <w:tcW w:w="1535" w:type="dxa"/>
          </w:tcPr>
          <w:p w14:paraId="4FE77837" w14:textId="77777777" w:rsidR="003357BA" w:rsidRPr="00FE15E6" w:rsidRDefault="003357BA" w:rsidP="00925A7A">
            <w:pPr>
              <w:pStyle w:val="Tables"/>
              <w:jc w:val="left"/>
            </w:pPr>
            <w:r w:rsidRPr="00FE15E6">
              <w:t>Ethiopia</w:t>
            </w:r>
          </w:p>
        </w:tc>
        <w:tc>
          <w:tcPr>
            <w:tcW w:w="1535" w:type="dxa"/>
          </w:tcPr>
          <w:p w14:paraId="7DFBB0B7" w14:textId="77777777" w:rsidR="003357BA" w:rsidRPr="00FE15E6" w:rsidRDefault="003357BA" w:rsidP="00925A7A">
            <w:pPr>
              <w:pStyle w:val="Tables"/>
              <w:jc w:val="left"/>
            </w:pPr>
            <w:r w:rsidRPr="00FE15E6">
              <w:t>2000, 2005, 2011, 2016</w:t>
            </w:r>
          </w:p>
        </w:tc>
        <w:tc>
          <w:tcPr>
            <w:tcW w:w="1534" w:type="dxa"/>
          </w:tcPr>
          <w:p w14:paraId="3BB75B69" w14:textId="77777777" w:rsidR="003357BA" w:rsidRPr="00FE15E6" w:rsidRDefault="003357BA" w:rsidP="00925A7A">
            <w:pPr>
              <w:pStyle w:val="Tables"/>
              <w:jc w:val="left"/>
            </w:pPr>
            <w:r w:rsidRPr="00FE15E6">
              <w:t>-</w:t>
            </w:r>
          </w:p>
        </w:tc>
        <w:tc>
          <w:tcPr>
            <w:tcW w:w="1600" w:type="dxa"/>
          </w:tcPr>
          <w:p w14:paraId="043A9999" w14:textId="77777777" w:rsidR="003357BA" w:rsidRPr="00FE15E6" w:rsidRDefault="003357BA" w:rsidP="00925A7A">
            <w:pPr>
              <w:pStyle w:val="Tables"/>
              <w:jc w:val="left"/>
            </w:pPr>
            <w:r w:rsidRPr="00FE15E6">
              <w:t>-</w:t>
            </w:r>
          </w:p>
        </w:tc>
        <w:tc>
          <w:tcPr>
            <w:tcW w:w="1417" w:type="dxa"/>
          </w:tcPr>
          <w:p w14:paraId="57233CE0" w14:textId="77777777" w:rsidR="003357BA" w:rsidRPr="00FE15E6" w:rsidRDefault="003357BA" w:rsidP="00925A7A">
            <w:pPr>
              <w:pStyle w:val="Tables"/>
              <w:jc w:val="left"/>
            </w:pPr>
            <w:r w:rsidRPr="00FE15E6">
              <w:t>1994, 2007</w:t>
            </w:r>
          </w:p>
        </w:tc>
        <w:tc>
          <w:tcPr>
            <w:tcW w:w="1790" w:type="dxa"/>
          </w:tcPr>
          <w:p w14:paraId="7DE34359" w14:textId="77777777" w:rsidR="003357BA" w:rsidRPr="00FE15E6" w:rsidRDefault="00F056FE" w:rsidP="00925A7A">
            <w:pPr>
              <w:pStyle w:val="Tables"/>
              <w:jc w:val="left"/>
            </w:pPr>
            <w:r w:rsidRPr="00FE15E6">
              <w:t xml:space="preserve">1984, </w:t>
            </w:r>
            <w:r w:rsidR="003357BA" w:rsidRPr="00FE15E6">
              <w:t>1994, 2007</w:t>
            </w:r>
          </w:p>
        </w:tc>
      </w:tr>
      <w:tr w:rsidR="003357BA" w:rsidRPr="00FE15E6" w14:paraId="26FD5034" w14:textId="77777777" w:rsidTr="003949DC">
        <w:tc>
          <w:tcPr>
            <w:tcW w:w="1535" w:type="dxa"/>
          </w:tcPr>
          <w:p w14:paraId="7A968457" w14:textId="77777777" w:rsidR="003357BA" w:rsidRPr="00FE15E6" w:rsidRDefault="003357BA" w:rsidP="00925A7A">
            <w:pPr>
              <w:pStyle w:val="Tables"/>
              <w:jc w:val="left"/>
            </w:pPr>
            <w:r w:rsidRPr="00FE15E6">
              <w:t>Gabon</w:t>
            </w:r>
          </w:p>
        </w:tc>
        <w:tc>
          <w:tcPr>
            <w:tcW w:w="1535" w:type="dxa"/>
          </w:tcPr>
          <w:p w14:paraId="7B600885" w14:textId="77777777" w:rsidR="003357BA" w:rsidRPr="00FE15E6" w:rsidRDefault="003357BA" w:rsidP="00925A7A">
            <w:pPr>
              <w:pStyle w:val="Tables"/>
              <w:jc w:val="left"/>
            </w:pPr>
            <w:r w:rsidRPr="00FE15E6">
              <w:t>2000, 2012</w:t>
            </w:r>
          </w:p>
        </w:tc>
        <w:tc>
          <w:tcPr>
            <w:tcW w:w="1534" w:type="dxa"/>
          </w:tcPr>
          <w:p w14:paraId="2E33CD87" w14:textId="2A143A44" w:rsidR="003357BA" w:rsidRPr="00FE15E6" w:rsidRDefault="002C1451" w:rsidP="00925A7A">
            <w:pPr>
              <w:pStyle w:val="Tables"/>
              <w:jc w:val="left"/>
            </w:pPr>
            <w:r>
              <w:t>-</w:t>
            </w:r>
          </w:p>
        </w:tc>
        <w:tc>
          <w:tcPr>
            <w:tcW w:w="1600" w:type="dxa"/>
          </w:tcPr>
          <w:p w14:paraId="14608D96" w14:textId="77777777" w:rsidR="003357BA" w:rsidRPr="00FE15E6" w:rsidRDefault="003357BA" w:rsidP="00925A7A">
            <w:pPr>
              <w:pStyle w:val="Tables"/>
              <w:jc w:val="left"/>
            </w:pPr>
            <w:r w:rsidRPr="00FE15E6">
              <w:t>-</w:t>
            </w:r>
          </w:p>
        </w:tc>
        <w:tc>
          <w:tcPr>
            <w:tcW w:w="1417" w:type="dxa"/>
          </w:tcPr>
          <w:p w14:paraId="5724694A" w14:textId="77777777" w:rsidR="003357BA" w:rsidRPr="00FE15E6" w:rsidRDefault="003357BA" w:rsidP="00925A7A">
            <w:pPr>
              <w:pStyle w:val="Tables"/>
              <w:jc w:val="left"/>
            </w:pPr>
            <w:r w:rsidRPr="00FE15E6">
              <w:t>1993, 2013 (5-y)</w:t>
            </w:r>
          </w:p>
        </w:tc>
        <w:tc>
          <w:tcPr>
            <w:tcW w:w="1790" w:type="dxa"/>
          </w:tcPr>
          <w:p w14:paraId="2AE825C2" w14:textId="77777777" w:rsidR="003357BA" w:rsidRPr="00FE15E6" w:rsidRDefault="003357BA" w:rsidP="00925A7A">
            <w:pPr>
              <w:pStyle w:val="Tables"/>
              <w:jc w:val="left"/>
            </w:pPr>
            <w:r w:rsidRPr="00FE15E6">
              <w:t>1993, 2013</w:t>
            </w:r>
          </w:p>
        </w:tc>
      </w:tr>
      <w:tr w:rsidR="003357BA" w:rsidRPr="00FE15E6" w14:paraId="0E4D9E83" w14:textId="77777777" w:rsidTr="003949DC">
        <w:tc>
          <w:tcPr>
            <w:tcW w:w="1535" w:type="dxa"/>
          </w:tcPr>
          <w:p w14:paraId="5EFAB4BA" w14:textId="77777777" w:rsidR="003357BA" w:rsidRPr="00FE15E6" w:rsidRDefault="003357BA" w:rsidP="00925A7A">
            <w:pPr>
              <w:pStyle w:val="Tables"/>
              <w:jc w:val="left"/>
            </w:pPr>
            <w:r w:rsidRPr="00FE15E6">
              <w:t>Ghana</w:t>
            </w:r>
          </w:p>
        </w:tc>
        <w:tc>
          <w:tcPr>
            <w:tcW w:w="1535" w:type="dxa"/>
          </w:tcPr>
          <w:p w14:paraId="52F43B9B" w14:textId="77777777" w:rsidR="003357BA" w:rsidRPr="00FE15E6" w:rsidRDefault="003357BA" w:rsidP="00925A7A">
            <w:pPr>
              <w:pStyle w:val="Tables"/>
              <w:jc w:val="left"/>
            </w:pPr>
            <w:r w:rsidRPr="00FE15E6">
              <w:t>1988, 1993, 1998, 2003, 2008, 2014</w:t>
            </w:r>
          </w:p>
        </w:tc>
        <w:tc>
          <w:tcPr>
            <w:tcW w:w="1534" w:type="dxa"/>
          </w:tcPr>
          <w:p w14:paraId="7E9F82B2" w14:textId="77777777" w:rsidR="003357BA" w:rsidRPr="00FE15E6" w:rsidRDefault="003357BA" w:rsidP="00925A7A">
            <w:pPr>
              <w:pStyle w:val="Tables"/>
              <w:jc w:val="left"/>
            </w:pPr>
            <w:r w:rsidRPr="00FE15E6">
              <w:t>2011</w:t>
            </w:r>
          </w:p>
        </w:tc>
        <w:tc>
          <w:tcPr>
            <w:tcW w:w="1600" w:type="dxa"/>
          </w:tcPr>
          <w:p w14:paraId="4865DB41" w14:textId="77777777" w:rsidR="003357BA" w:rsidRPr="00FE15E6" w:rsidRDefault="00B30B09" w:rsidP="00925A7A">
            <w:pPr>
              <w:pStyle w:val="Tables"/>
              <w:jc w:val="left"/>
            </w:pPr>
            <w:r w:rsidRPr="00FE15E6">
              <w:t xml:space="preserve">2007, </w:t>
            </w:r>
            <w:r w:rsidR="003357BA" w:rsidRPr="00FE15E6">
              <w:t>2016</w:t>
            </w:r>
            <w:r w:rsidRPr="00FE15E6">
              <w:t>, 2017</w:t>
            </w:r>
          </w:p>
        </w:tc>
        <w:tc>
          <w:tcPr>
            <w:tcW w:w="1417" w:type="dxa"/>
          </w:tcPr>
          <w:p w14:paraId="0699185F" w14:textId="77777777" w:rsidR="003357BA" w:rsidRPr="00FE15E6" w:rsidRDefault="003357BA" w:rsidP="00925A7A">
            <w:pPr>
              <w:pStyle w:val="Tables"/>
              <w:jc w:val="left"/>
            </w:pPr>
            <w:r w:rsidRPr="00FE15E6">
              <w:t>2000, 2010</w:t>
            </w:r>
          </w:p>
        </w:tc>
        <w:tc>
          <w:tcPr>
            <w:tcW w:w="1790" w:type="dxa"/>
          </w:tcPr>
          <w:p w14:paraId="3A489A20" w14:textId="77777777" w:rsidR="003357BA" w:rsidRPr="00FE15E6" w:rsidRDefault="003357BA" w:rsidP="00925A7A">
            <w:pPr>
              <w:pStyle w:val="Tables"/>
              <w:jc w:val="left"/>
            </w:pPr>
            <w:r w:rsidRPr="00FE15E6">
              <w:t>2000, 2010</w:t>
            </w:r>
          </w:p>
        </w:tc>
      </w:tr>
      <w:tr w:rsidR="003357BA" w:rsidRPr="00FE15E6" w14:paraId="524CD1F0" w14:textId="77777777" w:rsidTr="003949DC">
        <w:tc>
          <w:tcPr>
            <w:tcW w:w="1535" w:type="dxa"/>
          </w:tcPr>
          <w:p w14:paraId="52C6B5BF" w14:textId="77777777" w:rsidR="003357BA" w:rsidRPr="00FE15E6" w:rsidRDefault="003357BA" w:rsidP="00925A7A">
            <w:pPr>
              <w:pStyle w:val="Tables"/>
              <w:jc w:val="left"/>
            </w:pPr>
            <w:r w:rsidRPr="00FE15E6">
              <w:t>Guinea</w:t>
            </w:r>
          </w:p>
        </w:tc>
        <w:tc>
          <w:tcPr>
            <w:tcW w:w="1535" w:type="dxa"/>
          </w:tcPr>
          <w:p w14:paraId="2C373608" w14:textId="77777777" w:rsidR="003357BA" w:rsidRPr="00FE15E6" w:rsidRDefault="003357BA" w:rsidP="00925A7A">
            <w:pPr>
              <w:pStyle w:val="Tables"/>
              <w:jc w:val="left"/>
            </w:pPr>
            <w:r w:rsidRPr="00FE15E6">
              <w:t>1999, 2005, 2012</w:t>
            </w:r>
          </w:p>
        </w:tc>
        <w:tc>
          <w:tcPr>
            <w:tcW w:w="1534" w:type="dxa"/>
          </w:tcPr>
          <w:p w14:paraId="5D209BFC" w14:textId="77777777" w:rsidR="003357BA" w:rsidRPr="00FE15E6" w:rsidRDefault="003357BA" w:rsidP="00B30B09">
            <w:pPr>
              <w:pStyle w:val="Tables"/>
              <w:jc w:val="left"/>
            </w:pPr>
            <w:r w:rsidRPr="00FE15E6">
              <w:t xml:space="preserve">2016 </w:t>
            </w:r>
          </w:p>
        </w:tc>
        <w:tc>
          <w:tcPr>
            <w:tcW w:w="1600" w:type="dxa"/>
          </w:tcPr>
          <w:p w14:paraId="470CEC89" w14:textId="77777777" w:rsidR="003357BA" w:rsidRPr="00FE15E6" w:rsidRDefault="003357BA" w:rsidP="00925A7A">
            <w:pPr>
              <w:pStyle w:val="Tables"/>
              <w:jc w:val="left"/>
            </w:pPr>
            <w:r w:rsidRPr="00FE15E6">
              <w:t>-</w:t>
            </w:r>
          </w:p>
        </w:tc>
        <w:tc>
          <w:tcPr>
            <w:tcW w:w="1417" w:type="dxa"/>
          </w:tcPr>
          <w:p w14:paraId="55DB2361" w14:textId="77777777" w:rsidR="003357BA" w:rsidRPr="00FE15E6" w:rsidRDefault="003357BA" w:rsidP="00925A7A">
            <w:pPr>
              <w:pStyle w:val="Tables"/>
              <w:jc w:val="left"/>
            </w:pPr>
            <w:r w:rsidRPr="00FE15E6">
              <w:t xml:space="preserve">1983, 1996, 2014 </w:t>
            </w:r>
          </w:p>
        </w:tc>
        <w:tc>
          <w:tcPr>
            <w:tcW w:w="1790" w:type="dxa"/>
          </w:tcPr>
          <w:p w14:paraId="52E91163" w14:textId="77777777" w:rsidR="003357BA" w:rsidRPr="00FE15E6" w:rsidRDefault="003357BA" w:rsidP="00925A7A">
            <w:pPr>
              <w:pStyle w:val="Tables"/>
              <w:jc w:val="left"/>
            </w:pPr>
            <w:r w:rsidRPr="00FE15E6">
              <w:t>1983, 1996, 2014</w:t>
            </w:r>
          </w:p>
        </w:tc>
      </w:tr>
      <w:tr w:rsidR="003357BA" w:rsidRPr="00FE15E6" w14:paraId="1B9633BA" w14:textId="77777777" w:rsidTr="003949DC">
        <w:tc>
          <w:tcPr>
            <w:tcW w:w="1535" w:type="dxa"/>
          </w:tcPr>
          <w:p w14:paraId="681ECF42" w14:textId="77777777" w:rsidR="003357BA" w:rsidRPr="00FE15E6" w:rsidRDefault="003357BA" w:rsidP="00925A7A">
            <w:pPr>
              <w:pStyle w:val="Tables"/>
              <w:jc w:val="left"/>
            </w:pPr>
            <w:r w:rsidRPr="00FE15E6">
              <w:t>Kenya</w:t>
            </w:r>
          </w:p>
        </w:tc>
        <w:tc>
          <w:tcPr>
            <w:tcW w:w="1535" w:type="dxa"/>
          </w:tcPr>
          <w:p w14:paraId="01020679" w14:textId="06523469" w:rsidR="003357BA" w:rsidRPr="00FE15E6" w:rsidRDefault="003357BA" w:rsidP="00925A7A">
            <w:pPr>
              <w:pStyle w:val="Tables"/>
              <w:jc w:val="left"/>
            </w:pPr>
            <w:r w:rsidRPr="00FE15E6">
              <w:t>1989, 1993, 1998, 2003, 2008</w:t>
            </w:r>
            <w:r w:rsidR="008A3F82">
              <w:t>–</w:t>
            </w:r>
            <w:r w:rsidRPr="00FE15E6">
              <w:t>09, 2014</w:t>
            </w:r>
          </w:p>
        </w:tc>
        <w:tc>
          <w:tcPr>
            <w:tcW w:w="1534" w:type="dxa"/>
          </w:tcPr>
          <w:p w14:paraId="45BF0E39" w14:textId="77777777" w:rsidR="003357BA" w:rsidRPr="00FE15E6" w:rsidRDefault="003357BA" w:rsidP="00925A7A">
            <w:pPr>
              <w:pStyle w:val="Tables"/>
              <w:jc w:val="left"/>
            </w:pPr>
            <w:r w:rsidRPr="00FE15E6">
              <w:t>-</w:t>
            </w:r>
          </w:p>
        </w:tc>
        <w:tc>
          <w:tcPr>
            <w:tcW w:w="1600" w:type="dxa"/>
          </w:tcPr>
          <w:p w14:paraId="4D917860" w14:textId="77777777" w:rsidR="003357BA" w:rsidRPr="00FE15E6" w:rsidRDefault="003357BA" w:rsidP="00925A7A">
            <w:pPr>
              <w:pStyle w:val="Tables"/>
              <w:jc w:val="left"/>
            </w:pPr>
            <w:r w:rsidRPr="00FE15E6">
              <w:t>2015</w:t>
            </w:r>
          </w:p>
        </w:tc>
        <w:tc>
          <w:tcPr>
            <w:tcW w:w="1417" w:type="dxa"/>
          </w:tcPr>
          <w:p w14:paraId="60C3CDBE" w14:textId="77777777" w:rsidR="003357BA" w:rsidRPr="00FE15E6" w:rsidRDefault="003357BA" w:rsidP="00925A7A">
            <w:pPr>
              <w:pStyle w:val="Tables"/>
              <w:jc w:val="left"/>
            </w:pPr>
            <w:r w:rsidRPr="00FE15E6">
              <w:t>1989, 1999, 2009</w:t>
            </w:r>
          </w:p>
        </w:tc>
        <w:tc>
          <w:tcPr>
            <w:tcW w:w="1790" w:type="dxa"/>
          </w:tcPr>
          <w:p w14:paraId="52B8EE2E" w14:textId="77777777" w:rsidR="003357BA" w:rsidRPr="00FE15E6" w:rsidRDefault="003357BA" w:rsidP="00925A7A">
            <w:pPr>
              <w:pStyle w:val="Tables"/>
              <w:jc w:val="left"/>
            </w:pPr>
            <w:r w:rsidRPr="00FE15E6">
              <w:t>1989, 1999, 2009</w:t>
            </w:r>
          </w:p>
        </w:tc>
      </w:tr>
      <w:tr w:rsidR="003357BA" w:rsidRPr="00FE15E6" w14:paraId="28470CD9" w14:textId="77777777" w:rsidTr="003949DC">
        <w:tc>
          <w:tcPr>
            <w:tcW w:w="1535" w:type="dxa"/>
          </w:tcPr>
          <w:p w14:paraId="6C4B3851" w14:textId="77777777" w:rsidR="003357BA" w:rsidRPr="00FE15E6" w:rsidRDefault="003357BA" w:rsidP="00925A7A">
            <w:pPr>
              <w:pStyle w:val="Tables"/>
              <w:jc w:val="left"/>
            </w:pPr>
            <w:r w:rsidRPr="00FE15E6">
              <w:t>Lesotho</w:t>
            </w:r>
          </w:p>
        </w:tc>
        <w:tc>
          <w:tcPr>
            <w:tcW w:w="1535" w:type="dxa"/>
          </w:tcPr>
          <w:p w14:paraId="1CBC5BC9" w14:textId="77777777" w:rsidR="003357BA" w:rsidRPr="00FE15E6" w:rsidRDefault="003357BA" w:rsidP="00925A7A">
            <w:pPr>
              <w:pStyle w:val="Tables"/>
              <w:jc w:val="left"/>
            </w:pPr>
            <w:r w:rsidRPr="00FE15E6">
              <w:t>2004, 2009, 2014</w:t>
            </w:r>
          </w:p>
        </w:tc>
        <w:tc>
          <w:tcPr>
            <w:tcW w:w="1534" w:type="dxa"/>
          </w:tcPr>
          <w:p w14:paraId="0119F847" w14:textId="77777777" w:rsidR="003357BA" w:rsidRPr="00FE15E6" w:rsidRDefault="003357BA" w:rsidP="00925A7A">
            <w:pPr>
              <w:pStyle w:val="Tables"/>
              <w:jc w:val="left"/>
            </w:pPr>
            <w:r w:rsidRPr="00FE15E6">
              <w:t>-</w:t>
            </w:r>
          </w:p>
        </w:tc>
        <w:tc>
          <w:tcPr>
            <w:tcW w:w="1600" w:type="dxa"/>
          </w:tcPr>
          <w:p w14:paraId="5C566F7E" w14:textId="77777777" w:rsidR="003357BA" w:rsidRPr="00FE15E6" w:rsidRDefault="003357BA" w:rsidP="00925A7A">
            <w:pPr>
              <w:pStyle w:val="Tables"/>
              <w:jc w:val="left"/>
            </w:pPr>
            <w:r w:rsidRPr="00FE15E6">
              <w:t>-</w:t>
            </w:r>
          </w:p>
        </w:tc>
        <w:tc>
          <w:tcPr>
            <w:tcW w:w="1417" w:type="dxa"/>
          </w:tcPr>
          <w:p w14:paraId="7B001B59" w14:textId="77777777" w:rsidR="003357BA" w:rsidRPr="00FE15E6" w:rsidRDefault="003357BA" w:rsidP="00925A7A">
            <w:pPr>
              <w:pStyle w:val="Tables"/>
              <w:jc w:val="left"/>
            </w:pPr>
            <w:r w:rsidRPr="00FE15E6">
              <w:t>2006</w:t>
            </w:r>
            <w:r w:rsidR="003949DC">
              <w:t>, 2016 (5-y)</w:t>
            </w:r>
          </w:p>
        </w:tc>
        <w:tc>
          <w:tcPr>
            <w:tcW w:w="1790" w:type="dxa"/>
          </w:tcPr>
          <w:p w14:paraId="4E26242F" w14:textId="77777777" w:rsidR="003357BA" w:rsidRPr="00FE15E6" w:rsidRDefault="003357BA" w:rsidP="00925A7A">
            <w:pPr>
              <w:pStyle w:val="Tables"/>
              <w:jc w:val="left"/>
            </w:pPr>
            <w:r w:rsidRPr="00FE15E6">
              <w:t>1976, 1986, 1996, 2006</w:t>
            </w:r>
          </w:p>
        </w:tc>
      </w:tr>
      <w:tr w:rsidR="003357BA" w:rsidRPr="00FE15E6" w14:paraId="7BDC7C25" w14:textId="77777777" w:rsidTr="003949DC">
        <w:tc>
          <w:tcPr>
            <w:tcW w:w="1535" w:type="dxa"/>
          </w:tcPr>
          <w:p w14:paraId="48C49847" w14:textId="77777777" w:rsidR="003357BA" w:rsidRPr="00FE15E6" w:rsidRDefault="003357BA" w:rsidP="00925A7A">
            <w:pPr>
              <w:pStyle w:val="Tables"/>
              <w:jc w:val="left"/>
            </w:pPr>
            <w:r w:rsidRPr="00FE15E6">
              <w:t>Liberia</w:t>
            </w:r>
          </w:p>
        </w:tc>
        <w:tc>
          <w:tcPr>
            <w:tcW w:w="1535" w:type="dxa"/>
          </w:tcPr>
          <w:p w14:paraId="3912C584" w14:textId="77777777" w:rsidR="003357BA" w:rsidRPr="00FE15E6" w:rsidRDefault="003357BA" w:rsidP="00925A7A">
            <w:pPr>
              <w:pStyle w:val="Tables"/>
              <w:jc w:val="left"/>
            </w:pPr>
            <w:r w:rsidRPr="00FE15E6">
              <w:t>1986, 2007, 2013</w:t>
            </w:r>
          </w:p>
        </w:tc>
        <w:tc>
          <w:tcPr>
            <w:tcW w:w="1534" w:type="dxa"/>
          </w:tcPr>
          <w:p w14:paraId="20303E1C" w14:textId="77777777" w:rsidR="003357BA" w:rsidRPr="00FE15E6" w:rsidRDefault="003357BA" w:rsidP="00925A7A">
            <w:pPr>
              <w:pStyle w:val="Tables"/>
              <w:jc w:val="left"/>
            </w:pPr>
            <w:r w:rsidRPr="00FE15E6">
              <w:t>-</w:t>
            </w:r>
          </w:p>
        </w:tc>
        <w:tc>
          <w:tcPr>
            <w:tcW w:w="1600" w:type="dxa"/>
          </w:tcPr>
          <w:p w14:paraId="75CB73E3" w14:textId="77777777" w:rsidR="003357BA" w:rsidRPr="00FE15E6" w:rsidRDefault="003357BA" w:rsidP="00925A7A">
            <w:pPr>
              <w:pStyle w:val="Tables"/>
              <w:jc w:val="left"/>
            </w:pPr>
            <w:r w:rsidRPr="00FE15E6">
              <w:t>2009, 2011, 2016</w:t>
            </w:r>
          </w:p>
        </w:tc>
        <w:tc>
          <w:tcPr>
            <w:tcW w:w="1417" w:type="dxa"/>
          </w:tcPr>
          <w:p w14:paraId="1929C2C1" w14:textId="77777777" w:rsidR="003357BA" w:rsidRPr="00FE15E6" w:rsidRDefault="003357BA" w:rsidP="00925A7A">
            <w:pPr>
              <w:pStyle w:val="Tables"/>
              <w:jc w:val="left"/>
            </w:pPr>
            <w:r w:rsidRPr="00FE15E6">
              <w:t>1984, 2008</w:t>
            </w:r>
          </w:p>
        </w:tc>
        <w:tc>
          <w:tcPr>
            <w:tcW w:w="1790" w:type="dxa"/>
          </w:tcPr>
          <w:p w14:paraId="7221202E" w14:textId="77777777" w:rsidR="003357BA" w:rsidRPr="00FE15E6" w:rsidRDefault="00704A99" w:rsidP="00925A7A">
            <w:pPr>
              <w:pStyle w:val="Tables"/>
              <w:jc w:val="left"/>
            </w:pPr>
            <w:r w:rsidRPr="00FE15E6">
              <w:t>1984, 2008</w:t>
            </w:r>
          </w:p>
        </w:tc>
      </w:tr>
      <w:tr w:rsidR="003357BA" w:rsidRPr="00FE15E6" w14:paraId="6F7105D0" w14:textId="77777777" w:rsidTr="003949DC">
        <w:tc>
          <w:tcPr>
            <w:tcW w:w="1535" w:type="dxa"/>
          </w:tcPr>
          <w:p w14:paraId="549385F6" w14:textId="77777777" w:rsidR="003357BA" w:rsidRPr="00FE15E6" w:rsidRDefault="003357BA" w:rsidP="00925A7A">
            <w:pPr>
              <w:pStyle w:val="Tables"/>
              <w:jc w:val="left"/>
            </w:pPr>
            <w:r w:rsidRPr="00FE15E6">
              <w:t>Madagascar</w:t>
            </w:r>
          </w:p>
        </w:tc>
        <w:tc>
          <w:tcPr>
            <w:tcW w:w="1535" w:type="dxa"/>
          </w:tcPr>
          <w:p w14:paraId="3A870536" w14:textId="21577BA0" w:rsidR="003357BA" w:rsidRPr="00FE15E6" w:rsidRDefault="003357BA" w:rsidP="00925A7A">
            <w:pPr>
              <w:pStyle w:val="Tables"/>
              <w:jc w:val="left"/>
            </w:pPr>
            <w:r w:rsidRPr="00FE15E6">
              <w:t>1992, 1997, 2003</w:t>
            </w:r>
            <w:r w:rsidR="008A3F82">
              <w:t>–</w:t>
            </w:r>
            <w:r w:rsidRPr="00FE15E6">
              <w:t>04, 2008</w:t>
            </w:r>
            <w:r w:rsidR="008A3F82">
              <w:t>–</w:t>
            </w:r>
            <w:r w:rsidRPr="00FE15E6">
              <w:t>09</w:t>
            </w:r>
          </w:p>
        </w:tc>
        <w:tc>
          <w:tcPr>
            <w:tcW w:w="1534" w:type="dxa"/>
          </w:tcPr>
          <w:p w14:paraId="68DFB019" w14:textId="77777777" w:rsidR="003357BA" w:rsidRPr="00FE15E6" w:rsidRDefault="003357BA" w:rsidP="00925A7A">
            <w:pPr>
              <w:pStyle w:val="Tables"/>
              <w:jc w:val="left"/>
            </w:pPr>
            <w:r w:rsidRPr="00FE15E6">
              <w:t>-</w:t>
            </w:r>
          </w:p>
        </w:tc>
        <w:tc>
          <w:tcPr>
            <w:tcW w:w="1600" w:type="dxa"/>
          </w:tcPr>
          <w:p w14:paraId="687393DC" w14:textId="77777777" w:rsidR="003357BA" w:rsidRPr="00FE15E6" w:rsidRDefault="003357BA" w:rsidP="00925A7A">
            <w:pPr>
              <w:pStyle w:val="Tables"/>
              <w:jc w:val="left"/>
            </w:pPr>
            <w:r w:rsidRPr="00FE15E6">
              <w:t>2011, 2013, 2016</w:t>
            </w:r>
          </w:p>
        </w:tc>
        <w:tc>
          <w:tcPr>
            <w:tcW w:w="1417" w:type="dxa"/>
          </w:tcPr>
          <w:p w14:paraId="34FC4487" w14:textId="77777777" w:rsidR="003357BA" w:rsidRPr="00FE15E6" w:rsidRDefault="003357BA" w:rsidP="00925A7A">
            <w:pPr>
              <w:pStyle w:val="Tables"/>
              <w:jc w:val="left"/>
            </w:pPr>
            <w:r w:rsidRPr="00FE15E6">
              <w:t>1993</w:t>
            </w:r>
          </w:p>
        </w:tc>
        <w:tc>
          <w:tcPr>
            <w:tcW w:w="1790" w:type="dxa"/>
          </w:tcPr>
          <w:p w14:paraId="4CDDAE35" w14:textId="77777777" w:rsidR="003357BA" w:rsidRPr="00FE15E6" w:rsidRDefault="003357BA" w:rsidP="00925A7A">
            <w:pPr>
              <w:pStyle w:val="Tables"/>
              <w:jc w:val="left"/>
            </w:pPr>
            <w:r w:rsidRPr="00FE15E6">
              <w:t>1975, 1993</w:t>
            </w:r>
          </w:p>
        </w:tc>
      </w:tr>
      <w:tr w:rsidR="003357BA" w:rsidRPr="00FE15E6" w14:paraId="02CD7D71" w14:textId="77777777" w:rsidTr="003949DC">
        <w:tc>
          <w:tcPr>
            <w:tcW w:w="1535" w:type="dxa"/>
          </w:tcPr>
          <w:p w14:paraId="5DF8DF3E" w14:textId="77777777" w:rsidR="003357BA" w:rsidRPr="00FE15E6" w:rsidRDefault="003357BA" w:rsidP="00925A7A">
            <w:pPr>
              <w:pStyle w:val="Tables"/>
              <w:jc w:val="left"/>
            </w:pPr>
            <w:r w:rsidRPr="00FE15E6">
              <w:t>Malawi</w:t>
            </w:r>
          </w:p>
        </w:tc>
        <w:tc>
          <w:tcPr>
            <w:tcW w:w="1535" w:type="dxa"/>
          </w:tcPr>
          <w:p w14:paraId="2F992FE8" w14:textId="342E5D80" w:rsidR="003357BA" w:rsidRPr="00FE15E6" w:rsidRDefault="003357BA" w:rsidP="00925A7A">
            <w:pPr>
              <w:pStyle w:val="Tables"/>
              <w:jc w:val="left"/>
            </w:pPr>
            <w:r w:rsidRPr="00FE15E6">
              <w:t>1992, 2000, 2004, 2010, 2015</w:t>
            </w:r>
            <w:r w:rsidR="008A3F82">
              <w:t>–</w:t>
            </w:r>
            <w:r w:rsidRPr="00FE15E6">
              <w:t>16</w:t>
            </w:r>
          </w:p>
        </w:tc>
        <w:tc>
          <w:tcPr>
            <w:tcW w:w="1534" w:type="dxa"/>
          </w:tcPr>
          <w:p w14:paraId="22CF9DB7" w14:textId="71C5D010" w:rsidR="003357BA" w:rsidRPr="00FE15E6" w:rsidRDefault="003357BA" w:rsidP="00925A7A">
            <w:pPr>
              <w:pStyle w:val="Tables"/>
              <w:jc w:val="left"/>
            </w:pPr>
            <w:r w:rsidRPr="00FE15E6">
              <w:t>2006, 2013</w:t>
            </w:r>
            <w:r w:rsidR="008A3F82">
              <w:t>–</w:t>
            </w:r>
            <w:r w:rsidRPr="00FE15E6">
              <w:t>14</w:t>
            </w:r>
          </w:p>
        </w:tc>
        <w:tc>
          <w:tcPr>
            <w:tcW w:w="1600" w:type="dxa"/>
          </w:tcPr>
          <w:p w14:paraId="11E2456F" w14:textId="77777777" w:rsidR="003357BA" w:rsidRPr="00FE15E6" w:rsidRDefault="003357BA" w:rsidP="00925A7A">
            <w:pPr>
              <w:pStyle w:val="Tables"/>
              <w:jc w:val="left"/>
            </w:pPr>
            <w:r w:rsidRPr="00FE15E6">
              <w:t>2012, 2014</w:t>
            </w:r>
            <w:r w:rsidR="008A08F8" w:rsidRPr="00FE15E6">
              <w:t>, 2017</w:t>
            </w:r>
          </w:p>
        </w:tc>
        <w:tc>
          <w:tcPr>
            <w:tcW w:w="1417" w:type="dxa"/>
          </w:tcPr>
          <w:p w14:paraId="308E5F88" w14:textId="77777777" w:rsidR="003357BA" w:rsidRPr="00FE15E6" w:rsidRDefault="003357BA" w:rsidP="00925A7A">
            <w:pPr>
              <w:pStyle w:val="Tables"/>
              <w:jc w:val="left"/>
            </w:pPr>
            <w:r w:rsidRPr="00FE15E6">
              <w:t>1987, 1998, 2008</w:t>
            </w:r>
          </w:p>
        </w:tc>
        <w:tc>
          <w:tcPr>
            <w:tcW w:w="1790" w:type="dxa"/>
          </w:tcPr>
          <w:p w14:paraId="60F3C4B0" w14:textId="77777777" w:rsidR="003357BA" w:rsidRPr="00FE15E6" w:rsidRDefault="00025C98" w:rsidP="00925A7A">
            <w:pPr>
              <w:pStyle w:val="Tables"/>
              <w:jc w:val="left"/>
            </w:pPr>
            <w:r w:rsidRPr="00FE15E6">
              <w:t>1977, 1987, 1998, 2008</w:t>
            </w:r>
          </w:p>
        </w:tc>
      </w:tr>
      <w:tr w:rsidR="003357BA" w:rsidRPr="00FE15E6" w14:paraId="76D90AF0" w14:textId="77777777" w:rsidTr="003949DC">
        <w:tc>
          <w:tcPr>
            <w:tcW w:w="1535" w:type="dxa"/>
          </w:tcPr>
          <w:p w14:paraId="205201F0" w14:textId="77777777" w:rsidR="003357BA" w:rsidRPr="00FE15E6" w:rsidRDefault="003357BA" w:rsidP="00925A7A">
            <w:pPr>
              <w:pStyle w:val="Tables"/>
              <w:jc w:val="left"/>
            </w:pPr>
            <w:r w:rsidRPr="00FE15E6">
              <w:t>Mali</w:t>
            </w:r>
          </w:p>
        </w:tc>
        <w:tc>
          <w:tcPr>
            <w:tcW w:w="1535" w:type="dxa"/>
          </w:tcPr>
          <w:p w14:paraId="05211C46" w14:textId="45EF1D1E" w:rsidR="003357BA" w:rsidRPr="00FE15E6" w:rsidRDefault="003357BA" w:rsidP="00925A7A">
            <w:pPr>
              <w:pStyle w:val="Tables"/>
              <w:jc w:val="left"/>
            </w:pPr>
            <w:r w:rsidRPr="00FE15E6">
              <w:t>1987, 1995</w:t>
            </w:r>
            <w:r w:rsidR="008A3F82">
              <w:t>–</w:t>
            </w:r>
            <w:r w:rsidRPr="00FE15E6">
              <w:t>96, 2001, 2006, 2012</w:t>
            </w:r>
            <w:r w:rsidR="008A3F82">
              <w:t>–</w:t>
            </w:r>
            <w:r w:rsidRPr="00FE15E6">
              <w:t>13</w:t>
            </w:r>
          </w:p>
        </w:tc>
        <w:tc>
          <w:tcPr>
            <w:tcW w:w="1534" w:type="dxa"/>
          </w:tcPr>
          <w:p w14:paraId="624669DE" w14:textId="77777777" w:rsidR="003357BA" w:rsidRPr="00FE15E6" w:rsidRDefault="003357BA" w:rsidP="00925A7A">
            <w:pPr>
              <w:pStyle w:val="Tables"/>
              <w:jc w:val="left"/>
            </w:pPr>
            <w:r w:rsidRPr="00FE15E6">
              <w:t>2015</w:t>
            </w:r>
          </w:p>
        </w:tc>
        <w:tc>
          <w:tcPr>
            <w:tcW w:w="1600" w:type="dxa"/>
          </w:tcPr>
          <w:p w14:paraId="42584B94" w14:textId="77777777" w:rsidR="003357BA" w:rsidRPr="00FE15E6" w:rsidRDefault="003357BA" w:rsidP="00925A7A">
            <w:pPr>
              <w:pStyle w:val="Tables"/>
              <w:jc w:val="left"/>
            </w:pPr>
            <w:r w:rsidRPr="00FE15E6">
              <w:t>2015</w:t>
            </w:r>
          </w:p>
        </w:tc>
        <w:tc>
          <w:tcPr>
            <w:tcW w:w="1417" w:type="dxa"/>
          </w:tcPr>
          <w:p w14:paraId="5058561D" w14:textId="77777777" w:rsidR="003357BA" w:rsidRPr="00FE15E6" w:rsidRDefault="003357BA" w:rsidP="00925A7A">
            <w:pPr>
              <w:pStyle w:val="Tables"/>
              <w:jc w:val="left"/>
            </w:pPr>
            <w:r w:rsidRPr="00FE15E6">
              <w:t>1987, 1998, 2009</w:t>
            </w:r>
          </w:p>
        </w:tc>
        <w:tc>
          <w:tcPr>
            <w:tcW w:w="1790" w:type="dxa"/>
          </w:tcPr>
          <w:p w14:paraId="67EC7F35" w14:textId="77777777" w:rsidR="003357BA" w:rsidRPr="00FE15E6" w:rsidRDefault="00E81121" w:rsidP="00925A7A">
            <w:pPr>
              <w:pStyle w:val="Tables"/>
              <w:jc w:val="left"/>
            </w:pPr>
            <w:r w:rsidRPr="00FE15E6">
              <w:t xml:space="preserve">1987, </w:t>
            </w:r>
            <w:r w:rsidR="003357BA" w:rsidRPr="00FE15E6">
              <w:t>2009</w:t>
            </w:r>
          </w:p>
        </w:tc>
      </w:tr>
      <w:tr w:rsidR="003357BA" w:rsidRPr="00FE15E6" w14:paraId="7D5C1AF9" w14:textId="77777777" w:rsidTr="003949DC">
        <w:tc>
          <w:tcPr>
            <w:tcW w:w="1535" w:type="dxa"/>
          </w:tcPr>
          <w:p w14:paraId="7F858E99" w14:textId="77777777" w:rsidR="003357BA" w:rsidRPr="00FE15E6" w:rsidRDefault="003357BA" w:rsidP="00925A7A">
            <w:pPr>
              <w:pStyle w:val="Tables"/>
              <w:jc w:val="left"/>
            </w:pPr>
            <w:r w:rsidRPr="00FE15E6">
              <w:t>Mozambique</w:t>
            </w:r>
          </w:p>
        </w:tc>
        <w:tc>
          <w:tcPr>
            <w:tcW w:w="1535" w:type="dxa"/>
          </w:tcPr>
          <w:p w14:paraId="41BC75B3" w14:textId="77777777" w:rsidR="003357BA" w:rsidRPr="00FE15E6" w:rsidRDefault="003357BA" w:rsidP="00925A7A">
            <w:pPr>
              <w:pStyle w:val="Tables"/>
              <w:jc w:val="left"/>
            </w:pPr>
            <w:r w:rsidRPr="00FE15E6">
              <w:t>1997, 2003, 2011</w:t>
            </w:r>
          </w:p>
        </w:tc>
        <w:tc>
          <w:tcPr>
            <w:tcW w:w="1534" w:type="dxa"/>
          </w:tcPr>
          <w:p w14:paraId="75FC2014" w14:textId="77777777" w:rsidR="003357BA" w:rsidRPr="00FE15E6" w:rsidRDefault="003357BA" w:rsidP="00925A7A">
            <w:pPr>
              <w:pStyle w:val="Tables"/>
              <w:jc w:val="left"/>
            </w:pPr>
            <w:r w:rsidRPr="00FE15E6">
              <w:t>2008</w:t>
            </w:r>
          </w:p>
        </w:tc>
        <w:tc>
          <w:tcPr>
            <w:tcW w:w="1600" w:type="dxa"/>
          </w:tcPr>
          <w:p w14:paraId="6467871D" w14:textId="77777777" w:rsidR="003357BA" w:rsidRPr="00FE15E6" w:rsidRDefault="00586860" w:rsidP="00925A7A">
            <w:pPr>
              <w:pStyle w:val="Tables"/>
              <w:jc w:val="left"/>
            </w:pPr>
            <w:r w:rsidRPr="00FE15E6">
              <w:t>2015</w:t>
            </w:r>
          </w:p>
        </w:tc>
        <w:tc>
          <w:tcPr>
            <w:tcW w:w="1417" w:type="dxa"/>
          </w:tcPr>
          <w:p w14:paraId="72B75A72" w14:textId="77777777" w:rsidR="003357BA" w:rsidRPr="00FE15E6" w:rsidRDefault="003357BA" w:rsidP="00925A7A">
            <w:pPr>
              <w:pStyle w:val="Tables"/>
              <w:jc w:val="left"/>
            </w:pPr>
            <w:r w:rsidRPr="00FE15E6">
              <w:t>1980, 1997, 2007</w:t>
            </w:r>
          </w:p>
        </w:tc>
        <w:tc>
          <w:tcPr>
            <w:tcW w:w="1790" w:type="dxa"/>
          </w:tcPr>
          <w:p w14:paraId="7F15AB5D" w14:textId="77777777" w:rsidR="003357BA" w:rsidRPr="00FE15E6" w:rsidRDefault="009548E4" w:rsidP="00925A7A">
            <w:pPr>
              <w:pStyle w:val="Tables"/>
              <w:jc w:val="left"/>
            </w:pPr>
            <w:r w:rsidRPr="00FE15E6">
              <w:t xml:space="preserve">1980, </w:t>
            </w:r>
            <w:r w:rsidR="003357BA" w:rsidRPr="00FE15E6">
              <w:t>1997, 2007</w:t>
            </w:r>
          </w:p>
        </w:tc>
      </w:tr>
      <w:tr w:rsidR="003357BA" w:rsidRPr="00FE15E6" w14:paraId="3BE491EB" w14:textId="77777777" w:rsidTr="003949DC">
        <w:tc>
          <w:tcPr>
            <w:tcW w:w="1535" w:type="dxa"/>
          </w:tcPr>
          <w:p w14:paraId="5183BCF7" w14:textId="77777777" w:rsidR="003357BA" w:rsidRPr="00FE15E6" w:rsidRDefault="003357BA" w:rsidP="00925A7A">
            <w:pPr>
              <w:pStyle w:val="Tables"/>
              <w:jc w:val="left"/>
            </w:pPr>
            <w:r w:rsidRPr="00FE15E6">
              <w:t>Namibia</w:t>
            </w:r>
          </w:p>
        </w:tc>
        <w:tc>
          <w:tcPr>
            <w:tcW w:w="1535" w:type="dxa"/>
          </w:tcPr>
          <w:p w14:paraId="45F528F8" w14:textId="013CD6BA" w:rsidR="003357BA" w:rsidRPr="00FE15E6" w:rsidRDefault="003357BA" w:rsidP="00925A7A">
            <w:pPr>
              <w:pStyle w:val="Tables"/>
              <w:jc w:val="left"/>
            </w:pPr>
            <w:r w:rsidRPr="00FE15E6">
              <w:t>1992, 2000, 2006</w:t>
            </w:r>
            <w:r w:rsidR="008A3F82">
              <w:t>–</w:t>
            </w:r>
            <w:r w:rsidRPr="00FE15E6">
              <w:t>07, 2013</w:t>
            </w:r>
          </w:p>
        </w:tc>
        <w:tc>
          <w:tcPr>
            <w:tcW w:w="1534" w:type="dxa"/>
          </w:tcPr>
          <w:p w14:paraId="693198BE" w14:textId="77777777" w:rsidR="003357BA" w:rsidRPr="00FE15E6" w:rsidRDefault="003357BA" w:rsidP="00925A7A">
            <w:pPr>
              <w:pStyle w:val="Tables"/>
              <w:jc w:val="left"/>
            </w:pPr>
            <w:r w:rsidRPr="00FE15E6">
              <w:t>-</w:t>
            </w:r>
          </w:p>
        </w:tc>
        <w:tc>
          <w:tcPr>
            <w:tcW w:w="1600" w:type="dxa"/>
          </w:tcPr>
          <w:p w14:paraId="2EBDAB62" w14:textId="77777777" w:rsidR="003357BA" w:rsidRPr="00FE15E6" w:rsidRDefault="003357BA" w:rsidP="00925A7A">
            <w:pPr>
              <w:pStyle w:val="Tables"/>
              <w:jc w:val="left"/>
            </w:pPr>
            <w:r w:rsidRPr="00FE15E6">
              <w:t>-</w:t>
            </w:r>
          </w:p>
        </w:tc>
        <w:tc>
          <w:tcPr>
            <w:tcW w:w="1417" w:type="dxa"/>
          </w:tcPr>
          <w:p w14:paraId="3D6499D4" w14:textId="77777777" w:rsidR="003357BA" w:rsidRPr="00FE15E6" w:rsidRDefault="003357BA" w:rsidP="00925A7A">
            <w:pPr>
              <w:pStyle w:val="Tables"/>
              <w:jc w:val="left"/>
            </w:pPr>
            <w:r w:rsidRPr="00FE15E6">
              <w:t>1991, 2001, 2011</w:t>
            </w:r>
          </w:p>
        </w:tc>
        <w:tc>
          <w:tcPr>
            <w:tcW w:w="1790" w:type="dxa"/>
          </w:tcPr>
          <w:p w14:paraId="576E41F1" w14:textId="77777777" w:rsidR="003357BA" w:rsidRPr="00FE15E6" w:rsidRDefault="003357BA" w:rsidP="00925A7A">
            <w:pPr>
              <w:pStyle w:val="Tables"/>
              <w:jc w:val="left"/>
            </w:pPr>
            <w:r w:rsidRPr="00FE15E6">
              <w:t>1991, 2001, 2011</w:t>
            </w:r>
          </w:p>
        </w:tc>
      </w:tr>
      <w:tr w:rsidR="003357BA" w:rsidRPr="00FE15E6" w14:paraId="5675EB25" w14:textId="77777777" w:rsidTr="003949DC">
        <w:tc>
          <w:tcPr>
            <w:tcW w:w="1535" w:type="dxa"/>
          </w:tcPr>
          <w:p w14:paraId="4ABEB644" w14:textId="77777777" w:rsidR="003357BA" w:rsidRPr="00FE15E6" w:rsidRDefault="003357BA" w:rsidP="00925A7A">
            <w:pPr>
              <w:pStyle w:val="Tables"/>
              <w:jc w:val="left"/>
            </w:pPr>
            <w:r w:rsidRPr="00FE15E6">
              <w:t>Niger</w:t>
            </w:r>
          </w:p>
        </w:tc>
        <w:tc>
          <w:tcPr>
            <w:tcW w:w="1535" w:type="dxa"/>
          </w:tcPr>
          <w:p w14:paraId="11633D00" w14:textId="77777777" w:rsidR="003357BA" w:rsidRPr="00FE15E6" w:rsidRDefault="003357BA" w:rsidP="00925A7A">
            <w:pPr>
              <w:pStyle w:val="Tables"/>
              <w:jc w:val="left"/>
            </w:pPr>
            <w:r w:rsidRPr="00FE15E6">
              <w:t>1992, 1998, 2006, 2012</w:t>
            </w:r>
          </w:p>
        </w:tc>
        <w:tc>
          <w:tcPr>
            <w:tcW w:w="1534" w:type="dxa"/>
          </w:tcPr>
          <w:p w14:paraId="2727EADD" w14:textId="77777777" w:rsidR="003357BA" w:rsidRPr="00FE15E6" w:rsidRDefault="00DC194F" w:rsidP="00925A7A">
            <w:pPr>
              <w:pStyle w:val="Tables"/>
              <w:jc w:val="left"/>
            </w:pPr>
            <w:r w:rsidRPr="00FE15E6">
              <w:t>(2000)</w:t>
            </w:r>
          </w:p>
        </w:tc>
        <w:tc>
          <w:tcPr>
            <w:tcW w:w="1600" w:type="dxa"/>
          </w:tcPr>
          <w:p w14:paraId="4169ED29" w14:textId="77777777" w:rsidR="003357BA" w:rsidRPr="00FE15E6" w:rsidRDefault="003357BA" w:rsidP="00925A7A">
            <w:pPr>
              <w:pStyle w:val="Tables"/>
              <w:jc w:val="left"/>
            </w:pPr>
            <w:r w:rsidRPr="00FE15E6">
              <w:t>-</w:t>
            </w:r>
          </w:p>
        </w:tc>
        <w:tc>
          <w:tcPr>
            <w:tcW w:w="1417" w:type="dxa"/>
          </w:tcPr>
          <w:p w14:paraId="17BC25AC" w14:textId="77777777" w:rsidR="003357BA" w:rsidRPr="00FE15E6" w:rsidRDefault="003357BA" w:rsidP="00925A7A">
            <w:pPr>
              <w:pStyle w:val="Tables"/>
              <w:jc w:val="left"/>
            </w:pPr>
            <w:r w:rsidRPr="00FE15E6">
              <w:t>1988, 2001, 2012</w:t>
            </w:r>
          </w:p>
        </w:tc>
        <w:tc>
          <w:tcPr>
            <w:tcW w:w="1790" w:type="dxa"/>
          </w:tcPr>
          <w:p w14:paraId="27FE00EA" w14:textId="77777777" w:rsidR="003357BA" w:rsidRPr="00FE15E6" w:rsidRDefault="004E2647" w:rsidP="00925A7A">
            <w:pPr>
              <w:pStyle w:val="Tables"/>
              <w:jc w:val="left"/>
            </w:pPr>
            <w:r w:rsidRPr="00FE15E6">
              <w:t>1988, 2001, 2012</w:t>
            </w:r>
          </w:p>
        </w:tc>
      </w:tr>
      <w:tr w:rsidR="003357BA" w:rsidRPr="00FE15E6" w14:paraId="1D1A85CB" w14:textId="77777777" w:rsidTr="003949DC">
        <w:tc>
          <w:tcPr>
            <w:tcW w:w="1535" w:type="dxa"/>
          </w:tcPr>
          <w:p w14:paraId="04CAD7FE" w14:textId="77777777" w:rsidR="003357BA" w:rsidRPr="00FE15E6" w:rsidRDefault="003357BA" w:rsidP="00925A7A">
            <w:pPr>
              <w:pStyle w:val="Tables"/>
              <w:jc w:val="left"/>
            </w:pPr>
            <w:r w:rsidRPr="00FE15E6">
              <w:t>Nigeria</w:t>
            </w:r>
          </w:p>
        </w:tc>
        <w:tc>
          <w:tcPr>
            <w:tcW w:w="1535" w:type="dxa"/>
          </w:tcPr>
          <w:p w14:paraId="74CCCDD0" w14:textId="77777777" w:rsidR="003357BA" w:rsidRPr="00FE15E6" w:rsidRDefault="003357BA" w:rsidP="00925A7A">
            <w:pPr>
              <w:pStyle w:val="Tables"/>
              <w:jc w:val="left"/>
            </w:pPr>
            <w:r w:rsidRPr="00FE15E6">
              <w:t>1990, 2003, 2008, 2013</w:t>
            </w:r>
          </w:p>
        </w:tc>
        <w:tc>
          <w:tcPr>
            <w:tcW w:w="1534" w:type="dxa"/>
          </w:tcPr>
          <w:p w14:paraId="70009AA6" w14:textId="16065459" w:rsidR="003357BA" w:rsidRPr="00FE15E6" w:rsidRDefault="0007007B" w:rsidP="00925A7A">
            <w:pPr>
              <w:pStyle w:val="Tables"/>
              <w:jc w:val="left"/>
            </w:pPr>
            <w:r w:rsidRPr="00FE15E6">
              <w:t xml:space="preserve">(2010), </w:t>
            </w:r>
            <w:r w:rsidR="003357BA" w:rsidRPr="00FE15E6">
              <w:t>2016</w:t>
            </w:r>
            <w:r w:rsidR="008A3F82">
              <w:t>–</w:t>
            </w:r>
            <w:r w:rsidR="003357BA" w:rsidRPr="00FE15E6">
              <w:t xml:space="preserve">17 </w:t>
            </w:r>
          </w:p>
        </w:tc>
        <w:tc>
          <w:tcPr>
            <w:tcW w:w="1600" w:type="dxa"/>
          </w:tcPr>
          <w:p w14:paraId="6239B655" w14:textId="77777777" w:rsidR="003357BA" w:rsidRPr="00FE15E6" w:rsidRDefault="003357BA" w:rsidP="00925A7A">
            <w:pPr>
              <w:pStyle w:val="Tables"/>
              <w:jc w:val="left"/>
            </w:pPr>
            <w:r w:rsidRPr="00FE15E6">
              <w:t>2010, 2015</w:t>
            </w:r>
          </w:p>
        </w:tc>
        <w:tc>
          <w:tcPr>
            <w:tcW w:w="1417" w:type="dxa"/>
          </w:tcPr>
          <w:p w14:paraId="5B14C799" w14:textId="77777777" w:rsidR="003357BA" w:rsidRPr="00FE15E6" w:rsidRDefault="003357BA" w:rsidP="00925A7A">
            <w:pPr>
              <w:pStyle w:val="Tables"/>
              <w:jc w:val="left"/>
            </w:pPr>
            <w:r w:rsidRPr="00FE15E6">
              <w:t>1991, 2006</w:t>
            </w:r>
          </w:p>
        </w:tc>
        <w:tc>
          <w:tcPr>
            <w:tcW w:w="1790" w:type="dxa"/>
          </w:tcPr>
          <w:p w14:paraId="473A27ED" w14:textId="650C11E7" w:rsidR="003357BA" w:rsidRPr="00FE15E6" w:rsidRDefault="002C1451" w:rsidP="00925A7A">
            <w:pPr>
              <w:pStyle w:val="Tables"/>
              <w:jc w:val="left"/>
            </w:pPr>
            <w:r>
              <w:t>-</w:t>
            </w:r>
          </w:p>
        </w:tc>
      </w:tr>
      <w:tr w:rsidR="003357BA" w:rsidRPr="00FE15E6" w14:paraId="04CD1A67" w14:textId="77777777" w:rsidTr="003949DC">
        <w:tc>
          <w:tcPr>
            <w:tcW w:w="1535" w:type="dxa"/>
          </w:tcPr>
          <w:p w14:paraId="1D8B764B" w14:textId="77777777" w:rsidR="003357BA" w:rsidRPr="00FE15E6" w:rsidRDefault="003357BA" w:rsidP="00925A7A">
            <w:pPr>
              <w:pStyle w:val="Tables"/>
              <w:jc w:val="left"/>
            </w:pPr>
            <w:r w:rsidRPr="00FE15E6">
              <w:t>Rwanda</w:t>
            </w:r>
          </w:p>
        </w:tc>
        <w:tc>
          <w:tcPr>
            <w:tcW w:w="1535" w:type="dxa"/>
          </w:tcPr>
          <w:p w14:paraId="0A45E1E8" w14:textId="0BDE8558" w:rsidR="003357BA" w:rsidRPr="00FE15E6" w:rsidRDefault="003357BA" w:rsidP="00925A7A">
            <w:pPr>
              <w:pStyle w:val="Tables"/>
              <w:jc w:val="left"/>
            </w:pPr>
            <w:r w:rsidRPr="00FE15E6">
              <w:t>1992, 2000, 2005, 2010, 2014</w:t>
            </w:r>
            <w:r w:rsidR="008A3F82">
              <w:t>–</w:t>
            </w:r>
            <w:r w:rsidRPr="00FE15E6">
              <w:t>15</w:t>
            </w:r>
          </w:p>
        </w:tc>
        <w:tc>
          <w:tcPr>
            <w:tcW w:w="1534" w:type="dxa"/>
          </w:tcPr>
          <w:p w14:paraId="35F83FC6" w14:textId="77777777" w:rsidR="003357BA" w:rsidRPr="00FE15E6" w:rsidRDefault="003357BA" w:rsidP="00925A7A">
            <w:pPr>
              <w:pStyle w:val="Tables"/>
              <w:jc w:val="left"/>
            </w:pPr>
            <w:r w:rsidRPr="00FE15E6">
              <w:t>-</w:t>
            </w:r>
          </w:p>
        </w:tc>
        <w:tc>
          <w:tcPr>
            <w:tcW w:w="1600" w:type="dxa"/>
          </w:tcPr>
          <w:p w14:paraId="0FB35524" w14:textId="72AE49FC" w:rsidR="003357BA" w:rsidRPr="00FE15E6" w:rsidRDefault="00392C6E" w:rsidP="00925A7A">
            <w:pPr>
              <w:pStyle w:val="Tables"/>
              <w:jc w:val="left"/>
            </w:pPr>
            <w:r w:rsidRPr="00FE15E6">
              <w:t>2007</w:t>
            </w:r>
            <w:r w:rsidR="008A3F82">
              <w:t>–</w:t>
            </w:r>
            <w:r w:rsidRPr="00FE15E6">
              <w:t>08, 2011, 2013, 2017</w:t>
            </w:r>
          </w:p>
        </w:tc>
        <w:tc>
          <w:tcPr>
            <w:tcW w:w="1417" w:type="dxa"/>
          </w:tcPr>
          <w:p w14:paraId="6DD6011F" w14:textId="77777777" w:rsidR="003357BA" w:rsidRPr="00FE15E6" w:rsidRDefault="00810045" w:rsidP="00810045">
            <w:pPr>
              <w:pStyle w:val="Tables"/>
              <w:jc w:val="left"/>
            </w:pPr>
            <w:r w:rsidRPr="00FE15E6">
              <w:t>1991, 2002, 2012</w:t>
            </w:r>
          </w:p>
        </w:tc>
        <w:tc>
          <w:tcPr>
            <w:tcW w:w="1790" w:type="dxa"/>
          </w:tcPr>
          <w:p w14:paraId="45F5E132" w14:textId="77777777" w:rsidR="003357BA" w:rsidRPr="00FE15E6" w:rsidRDefault="00810045" w:rsidP="00925A7A">
            <w:pPr>
              <w:pStyle w:val="Tables"/>
              <w:jc w:val="left"/>
            </w:pPr>
            <w:r w:rsidRPr="00FE15E6">
              <w:t>1978, 1991, 2002, 2012</w:t>
            </w:r>
          </w:p>
        </w:tc>
      </w:tr>
      <w:tr w:rsidR="003357BA" w:rsidRPr="00FE15E6" w14:paraId="3C6D41D8" w14:textId="77777777" w:rsidTr="003949DC">
        <w:tc>
          <w:tcPr>
            <w:tcW w:w="1535" w:type="dxa"/>
          </w:tcPr>
          <w:p w14:paraId="4B7A8FB9" w14:textId="77777777" w:rsidR="003357BA" w:rsidRPr="00FE15E6" w:rsidRDefault="003357BA" w:rsidP="00925A7A">
            <w:pPr>
              <w:pStyle w:val="Tables"/>
              <w:jc w:val="left"/>
            </w:pPr>
            <w:r w:rsidRPr="00FE15E6">
              <w:t>Senegal</w:t>
            </w:r>
          </w:p>
        </w:tc>
        <w:tc>
          <w:tcPr>
            <w:tcW w:w="1535" w:type="dxa"/>
          </w:tcPr>
          <w:p w14:paraId="37E88FCA" w14:textId="32B8D40F" w:rsidR="003357BA" w:rsidRPr="00FE15E6" w:rsidRDefault="003357BA" w:rsidP="00925A7A">
            <w:pPr>
              <w:pStyle w:val="Tables"/>
              <w:jc w:val="left"/>
            </w:pPr>
            <w:r w:rsidRPr="00FE15E6">
              <w:t>1986, 1992</w:t>
            </w:r>
            <w:r w:rsidR="008A3F82">
              <w:t>–</w:t>
            </w:r>
            <w:r w:rsidRPr="00FE15E6">
              <w:t xml:space="preserve">93, </w:t>
            </w:r>
            <w:r w:rsidRPr="00FE15E6">
              <w:lastRenderedPageBreak/>
              <w:t>1997, 1999, 2005, 2010</w:t>
            </w:r>
            <w:r w:rsidR="008A3F82">
              <w:t>–</w:t>
            </w:r>
            <w:r w:rsidRPr="00FE15E6">
              <w:t>11, 2012</w:t>
            </w:r>
            <w:r w:rsidR="008A3F82">
              <w:t>–</w:t>
            </w:r>
            <w:r w:rsidRPr="00FE15E6">
              <w:t xml:space="preserve">13, 2014, 2015, 2016 </w:t>
            </w:r>
          </w:p>
        </w:tc>
        <w:tc>
          <w:tcPr>
            <w:tcW w:w="1534" w:type="dxa"/>
          </w:tcPr>
          <w:p w14:paraId="6FE0FB37" w14:textId="77777777" w:rsidR="003357BA" w:rsidRPr="00FE15E6" w:rsidRDefault="003357BA" w:rsidP="00925A7A">
            <w:pPr>
              <w:pStyle w:val="Tables"/>
              <w:jc w:val="left"/>
            </w:pPr>
            <w:r w:rsidRPr="00FE15E6">
              <w:lastRenderedPageBreak/>
              <w:t>-</w:t>
            </w:r>
          </w:p>
        </w:tc>
        <w:tc>
          <w:tcPr>
            <w:tcW w:w="1600" w:type="dxa"/>
          </w:tcPr>
          <w:p w14:paraId="25126E15" w14:textId="77AC114C" w:rsidR="003357BA" w:rsidRPr="00FE15E6" w:rsidRDefault="003357BA" w:rsidP="00925A7A">
            <w:pPr>
              <w:pStyle w:val="Tables"/>
              <w:jc w:val="left"/>
            </w:pPr>
            <w:r w:rsidRPr="00FE15E6">
              <w:t>2006, 2008</w:t>
            </w:r>
            <w:r w:rsidR="008A3F82">
              <w:t>–</w:t>
            </w:r>
            <w:r w:rsidRPr="00FE15E6">
              <w:t>09</w:t>
            </w:r>
          </w:p>
        </w:tc>
        <w:tc>
          <w:tcPr>
            <w:tcW w:w="1417" w:type="dxa"/>
          </w:tcPr>
          <w:p w14:paraId="4F15F445" w14:textId="77777777" w:rsidR="003357BA" w:rsidRPr="00FE15E6" w:rsidRDefault="00320E32" w:rsidP="00925A7A">
            <w:pPr>
              <w:pStyle w:val="Tables"/>
              <w:jc w:val="left"/>
            </w:pPr>
            <w:r w:rsidRPr="00FE15E6">
              <w:t xml:space="preserve">1988, 2002, </w:t>
            </w:r>
            <w:r w:rsidRPr="00FE15E6">
              <w:lastRenderedPageBreak/>
              <w:t>2013</w:t>
            </w:r>
          </w:p>
        </w:tc>
        <w:tc>
          <w:tcPr>
            <w:tcW w:w="1790" w:type="dxa"/>
          </w:tcPr>
          <w:p w14:paraId="1848D056" w14:textId="77777777" w:rsidR="003357BA" w:rsidRPr="00FE15E6" w:rsidRDefault="003357BA" w:rsidP="00925A7A">
            <w:pPr>
              <w:pStyle w:val="Tables"/>
              <w:jc w:val="left"/>
            </w:pPr>
            <w:r w:rsidRPr="00FE15E6">
              <w:lastRenderedPageBreak/>
              <w:t>2002, 2013</w:t>
            </w:r>
          </w:p>
        </w:tc>
      </w:tr>
      <w:tr w:rsidR="003357BA" w:rsidRPr="00FE15E6" w14:paraId="6448128D" w14:textId="77777777" w:rsidTr="003949DC">
        <w:tc>
          <w:tcPr>
            <w:tcW w:w="1535" w:type="dxa"/>
          </w:tcPr>
          <w:p w14:paraId="4683C3B3" w14:textId="77777777" w:rsidR="003357BA" w:rsidRPr="00FE15E6" w:rsidRDefault="003357BA" w:rsidP="00925A7A">
            <w:pPr>
              <w:pStyle w:val="Tables"/>
              <w:jc w:val="left"/>
            </w:pPr>
            <w:r w:rsidRPr="00FE15E6">
              <w:lastRenderedPageBreak/>
              <w:t>Sierra Leone</w:t>
            </w:r>
          </w:p>
        </w:tc>
        <w:tc>
          <w:tcPr>
            <w:tcW w:w="1535" w:type="dxa"/>
          </w:tcPr>
          <w:p w14:paraId="47F787C3" w14:textId="77777777" w:rsidR="003357BA" w:rsidRPr="00FE15E6" w:rsidRDefault="003357BA" w:rsidP="00925A7A">
            <w:pPr>
              <w:pStyle w:val="Tables"/>
              <w:jc w:val="left"/>
            </w:pPr>
            <w:r w:rsidRPr="00FE15E6">
              <w:t>2008, 2013</w:t>
            </w:r>
          </w:p>
        </w:tc>
        <w:tc>
          <w:tcPr>
            <w:tcW w:w="1534" w:type="dxa"/>
          </w:tcPr>
          <w:p w14:paraId="7E202698" w14:textId="77777777" w:rsidR="003357BA" w:rsidRPr="00FE15E6" w:rsidRDefault="000244B1" w:rsidP="00925A7A">
            <w:pPr>
              <w:pStyle w:val="Tables"/>
              <w:jc w:val="left"/>
            </w:pPr>
            <w:r w:rsidRPr="00FE15E6">
              <w:t>(2005), (2010)</w:t>
            </w:r>
          </w:p>
        </w:tc>
        <w:tc>
          <w:tcPr>
            <w:tcW w:w="1600" w:type="dxa"/>
          </w:tcPr>
          <w:p w14:paraId="32757E7F" w14:textId="77777777" w:rsidR="003357BA" w:rsidRPr="00FE15E6" w:rsidRDefault="003357BA" w:rsidP="00925A7A">
            <w:pPr>
              <w:pStyle w:val="Tables"/>
              <w:jc w:val="left"/>
            </w:pPr>
            <w:r w:rsidRPr="00FE15E6">
              <w:t>2016</w:t>
            </w:r>
          </w:p>
        </w:tc>
        <w:tc>
          <w:tcPr>
            <w:tcW w:w="1417" w:type="dxa"/>
          </w:tcPr>
          <w:p w14:paraId="6082898E" w14:textId="77777777" w:rsidR="003357BA" w:rsidRPr="00FE15E6" w:rsidRDefault="003357BA" w:rsidP="00396BFB">
            <w:pPr>
              <w:pStyle w:val="Tables"/>
              <w:jc w:val="left"/>
            </w:pPr>
            <w:r w:rsidRPr="00FE15E6">
              <w:t>2004, 2015 (5-</w:t>
            </w:r>
            <w:r w:rsidR="00396BFB" w:rsidRPr="00FE15E6">
              <w:t>y</w:t>
            </w:r>
            <w:r w:rsidRPr="00FE15E6">
              <w:t>)</w:t>
            </w:r>
          </w:p>
        </w:tc>
        <w:tc>
          <w:tcPr>
            <w:tcW w:w="1790" w:type="dxa"/>
          </w:tcPr>
          <w:p w14:paraId="0AE3E801" w14:textId="77777777" w:rsidR="003357BA" w:rsidRPr="00FE15E6" w:rsidRDefault="009912A4" w:rsidP="009912A4">
            <w:pPr>
              <w:pStyle w:val="Tables"/>
              <w:jc w:val="left"/>
            </w:pPr>
            <w:r w:rsidRPr="00FE15E6">
              <w:t xml:space="preserve">1974, </w:t>
            </w:r>
            <w:r w:rsidR="003357BA" w:rsidRPr="00FE15E6">
              <w:t>1985, 2004, 201</w:t>
            </w:r>
            <w:r w:rsidRPr="00FE15E6">
              <w:t>5</w:t>
            </w:r>
          </w:p>
        </w:tc>
      </w:tr>
      <w:tr w:rsidR="00783EF5" w:rsidRPr="00FE15E6" w14:paraId="4E94EA9F" w14:textId="77777777" w:rsidTr="003949DC">
        <w:tc>
          <w:tcPr>
            <w:tcW w:w="1535" w:type="dxa"/>
          </w:tcPr>
          <w:p w14:paraId="3BFCA129" w14:textId="77777777" w:rsidR="00783EF5" w:rsidRPr="00FE15E6" w:rsidRDefault="00783EF5" w:rsidP="00396BFB">
            <w:pPr>
              <w:pStyle w:val="Tables"/>
              <w:jc w:val="left"/>
            </w:pPr>
            <w:r w:rsidRPr="00FE15E6">
              <w:t>South Africa</w:t>
            </w:r>
          </w:p>
        </w:tc>
        <w:tc>
          <w:tcPr>
            <w:tcW w:w="1535" w:type="dxa"/>
          </w:tcPr>
          <w:p w14:paraId="65BF77FC" w14:textId="77777777" w:rsidR="00783EF5" w:rsidRPr="00FE15E6" w:rsidRDefault="00396BFB" w:rsidP="00396BFB">
            <w:pPr>
              <w:pStyle w:val="Tables"/>
              <w:jc w:val="left"/>
            </w:pPr>
            <w:r w:rsidRPr="00FE15E6">
              <w:t>1998, 2016</w:t>
            </w:r>
          </w:p>
        </w:tc>
        <w:tc>
          <w:tcPr>
            <w:tcW w:w="1534" w:type="dxa"/>
          </w:tcPr>
          <w:p w14:paraId="7D6AF36E" w14:textId="1B17A489" w:rsidR="00783EF5" w:rsidRPr="00FE15E6" w:rsidRDefault="002C1451" w:rsidP="00396BFB">
            <w:pPr>
              <w:pStyle w:val="Tables"/>
              <w:jc w:val="left"/>
            </w:pPr>
            <w:r>
              <w:t>-</w:t>
            </w:r>
          </w:p>
        </w:tc>
        <w:tc>
          <w:tcPr>
            <w:tcW w:w="1600" w:type="dxa"/>
          </w:tcPr>
          <w:p w14:paraId="0B09D0F4" w14:textId="750FD889" w:rsidR="00783EF5" w:rsidRPr="00FE15E6" w:rsidRDefault="002C1451" w:rsidP="00396BFB">
            <w:pPr>
              <w:pStyle w:val="Tables"/>
              <w:jc w:val="left"/>
            </w:pPr>
            <w:r>
              <w:t>-</w:t>
            </w:r>
          </w:p>
        </w:tc>
        <w:tc>
          <w:tcPr>
            <w:tcW w:w="1417" w:type="dxa"/>
          </w:tcPr>
          <w:p w14:paraId="12A1DC36" w14:textId="77777777" w:rsidR="00783EF5" w:rsidRPr="00FE15E6" w:rsidRDefault="00396BFB" w:rsidP="00396BFB">
            <w:pPr>
              <w:pStyle w:val="Tables"/>
              <w:jc w:val="left"/>
            </w:pPr>
            <w:r w:rsidRPr="00FE15E6">
              <w:t>1996, 2001, 2011</w:t>
            </w:r>
          </w:p>
        </w:tc>
        <w:tc>
          <w:tcPr>
            <w:tcW w:w="1790" w:type="dxa"/>
          </w:tcPr>
          <w:p w14:paraId="6689C69A" w14:textId="77777777" w:rsidR="00783EF5" w:rsidRPr="00FE15E6" w:rsidRDefault="00396BFB" w:rsidP="00396BFB">
            <w:pPr>
              <w:pStyle w:val="Tables"/>
              <w:jc w:val="left"/>
            </w:pPr>
            <w:r w:rsidRPr="00FE15E6">
              <w:t>1996, 2001, 2011</w:t>
            </w:r>
          </w:p>
        </w:tc>
      </w:tr>
      <w:tr w:rsidR="003357BA" w:rsidRPr="00FE15E6" w14:paraId="5F9911AC" w14:textId="77777777" w:rsidTr="003949DC">
        <w:tc>
          <w:tcPr>
            <w:tcW w:w="1535" w:type="dxa"/>
          </w:tcPr>
          <w:p w14:paraId="41F9A616" w14:textId="77777777" w:rsidR="003357BA" w:rsidRPr="00FE15E6" w:rsidRDefault="003357BA" w:rsidP="00925A7A">
            <w:pPr>
              <w:pStyle w:val="Tables"/>
              <w:jc w:val="left"/>
            </w:pPr>
            <w:r w:rsidRPr="00FE15E6">
              <w:t>Tanzania</w:t>
            </w:r>
          </w:p>
        </w:tc>
        <w:tc>
          <w:tcPr>
            <w:tcW w:w="1535" w:type="dxa"/>
          </w:tcPr>
          <w:p w14:paraId="2165690B" w14:textId="2FB77D9B" w:rsidR="003357BA" w:rsidRPr="00FE15E6" w:rsidRDefault="003357BA" w:rsidP="00925A7A">
            <w:pPr>
              <w:pStyle w:val="Tables"/>
              <w:jc w:val="left"/>
            </w:pPr>
            <w:r w:rsidRPr="00FE15E6">
              <w:t>1991</w:t>
            </w:r>
            <w:r w:rsidR="008A3F82">
              <w:t>–</w:t>
            </w:r>
            <w:r w:rsidRPr="00FE15E6">
              <w:t>92, 1996, 1999, 2004</w:t>
            </w:r>
            <w:r w:rsidR="008A3F82">
              <w:t>–</w:t>
            </w:r>
            <w:r w:rsidRPr="00FE15E6">
              <w:t>05, 2010, 2015</w:t>
            </w:r>
            <w:r w:rsidR="008A3F82">
              <w:t>–</w:t>
            </w:r>
            <w:r w:rsidRPr="00FE15E6">
              <w:t>16</w:t>
            </w:r>
          </w:p>
        </w:tc>
        <w:tc>
          <w:tcPr>
            <w:tcW w:w="1534" w:type="dxa"/>
          </w:tcPr>
          <w:p w14:paraId="4A7B96AC" w14:textId="77777777" w:rsidR="003357BA" w:rsidRPr="00FE15E6" w:rsidRDefault="003357BA" w:rsidP="00925A7A">
            <w:pPr>
              <w:pStyle w:val="Tables"/>
              <w:jc w:val="left"/>
            </w:pPr>
            <w:r w:rsidRPr="00FE15E6">
              <w:t>-</w:t>
            </w:r>
          </w:p>
        </w:tc>
        <w:tc>
          <w:tcPr>
            <w:tcW w:w="1600" w:type="dxa"/>
          </w:tcPr>
          <w:p w14:paraId="02502FDC" w14:textId="7F97997A" w:rsidR="003357BA" w:rsidRPr="00FE15E6" w:rsidRDefault="003357BA" w:rsidP="00925A7A">
            <w:pPr>
              <w:pStyle w:val="Tables"/>
              <w:jc w:val="left"/>
            </w:pPr>
            <w:r w:rsidRPr="00FE15E6">
              <w:t>2007</w:t>
            </w:r>
            <w:r w:rsidR="008A3F82">
              <w:t>–</w:t>
            </w:r>
            <w:r w:rsidRPr="00FE15E6">
              <w:t>08, 2011</w:t>
            </w:r>
            <w:r w:rsidR="008A3F82">
              <w:t>–</w:t>
            </w:r>
            <w:r w:rsidRPr="00FE15E6">
              <w:t>12</w:t>
            </w:r>
            <w:r w:rsidR="007E5AD2" w:rsidRPr="00FE15E6">
              <w:t>, 2017</w:t>
            </w:r>
          </w:p>
        </w:tc>
        <w:tc>
          <w:tcPr>
            <w:tcW w:w="1417" w:type="dxa"/>
          </w:tcPr>
          <w:p w14:paraId="5948C990" w14:textId="77777777" w:rsidR="003357BA" w:rsidRPr="00FE15E6" w:rsidRDefault="003357BA" w:rsidP="00925A7A">
            <w:pPr>
              <w:pStyle w:val="Tables"/>
              <w:jc w:val="left"/>
            </w:pPr>
            <w:r w:rsidRPr="00FE15E6">
              <w:t>1988, 2002, 2012</w:t>
            </w:r>
          </w:p>
        </w:tc>
        <w:tc>
          <w:tcPr>
            <w:tcW w:w="1790" w:type="dxa"/>
          </w:tcPr>
          <w:p w14:paraId="58696D75" w14:textId="77777777" w:rsidR="003357BA" w:rsidRPr="00FE15E6" w:rsidRDefault="00320E32" w:rsidP="00925A7A">
            <w:pPr>
              <w:pStyle w:val="Tables"/>
              <w:jc w:val="left"/>
            </w:pPr>
            <w:r w:rsidRPr="00FE15E6">
              <w:t>1988, 2002, 2012</w:t>
            </w:r>
          </w:p>
        </w:tc>
      </w:tr>
      <w:tr w:rsidR="003357BA" w:rsidRPr="00FE15E6" w14:paraId="11E4DF1E" w14:textId="77777777" w:rsidTr="003949DC">
        <w:tc>
          <w:tcPr>
            <w:tcW w:w="1535" w:type="dxa"/>
          </w:tcPr>
          <w:p w14:paraId="0E47CA1B" w14:textId="77777777" w:rsidR="003357BA" w:rsidRPr="00FE15E6" w:rsidRDefault="003357BA" w:rsidP="00925A7A">
            <w:pPr>
              <w:pStyle w:val="Tables"/>
              <w:jc w:val="left"/>
            </w:pPr>
            <w:r w:rsidRPr="00FE15E6">
              <w:t>Togo</w:t>
            </w:r>
          </w:p>
        </w:tc>
        <w:tc>
          <w:tcPr>
            <w:tcW w:w="1535" w:type="dxa"/>
          </w:tcPr>
          <w:p w14:paraId="73212062" w14:textId="75E7EBC2" w:rsidR="003357BA" w:rsidRPr="00FE15E6" w:rsidRDefault="003357BA" w:rsidP="00925A7A">
            <w:pPr>
              <w:pStyle w:val="Tables"/>
              <w:jc w:val="left"/>
            </w:pPr>
            <w:r w:rsidRPr="00FE15E6">
              <w:t>1988, 1998, 2013</w:t>
            </w:r>
            <w:r w:rsidR="008A3F82">
              <w:t>–</w:t>
            </w:r>
            <w:r w:rsidRPr="00FE15E6">
              <w:t>14</w:t>
            </w:r>
          </w:p>
        </w:tc>
        <w:tc>
          <w:tcPr>
            <w:tcW w:w="1534" w:type="dxa"/>
          </w:tcPr>
          <w:p w14:paraId="58E440BE" w14:textId="77777777" w:rsidR="003357BA" w:rsidRPr="00FE15E6" w:rsidRDefault="003357BA" w:rsidP="00925A7A">
            <w:pPr>
              <w:pStyle w:val="Tables"/>
              <w:jc w:val="left"/>
            </w:pPr>
            <w:r w:rsidRPr="00FE15E6">
              <w:t>-</w:t>
            </w:r>
          </w:p>
        </w:tc>
        <w:tc>
          <w:tcPr>
            <w:tcW w:w="1600" w:type="dxa"/>
          </w:tcPr>
          <w:p w14:paraId="47949DA7" w14:textId="77777777" w:rsidR="003357BA" w:rsidRPr="00FE15E6" w:rsidRDefault="007E5AD2" w:rsidP="00925A7A">
            <w:pPr>
              <w:pStyle w:val="Tables"/>
              <w:jc w:val="left"/>
            </w:pPr>
            <w:r w:rsidRPr="00FE15E6">
              <w:t>2017</w:t>
            </w:r>
          </w:p>
        </w:tc>
        <w:tc>
          <w:tcPr>
            <w:tcW w:w="1417" w:type="dxa"/>
          </w:tcPr>
          <w:p w14:paraId="2B70E756" w14:textId="5D4C56DA" w:rsidR="003357BA" w:rsidRPr="00FE15E6" w:rsidRDefault="003357BA" w:rsidP="008A3F82">
            <w:pPr>
              <w:pStyle w:val="Tables"/>
              <w:jc w:val="left"/>
            </w:pPr>
            <w:r w:rsidRPr="00FE15E6">
              <w:t>2010 (5-</w:t>
            </w:r>
            <w:r w:rsidR="008A3F82">
              <w:t>y</w:t>
            </w:r>
            <w:r w:rsidRPr="00FE15E6">
              <w:t>)</w:t>
            </w:r>
          </w:p>
        </w:tc>
        <w:tc>
          <w:tcPr>
            <w:tcW w:w="1790" w:type="dxa"/>
          </w:tcPr>
          <w:p w14:paraId="256795A7" w14:textId="77777777" w:rsidR="003357BA" w:rsidRPr="00FE15E6" w:rsidRDefault="00320E32" w:rsidP="00925A7A">
            <w:pPr>
              <w:pStyle w:val="Tables"/>
              <w:jc w:val="left"/>
            </w:pPr>
            <w:r w:rsidRPr="00FE15E6">
              <w:t>2010</w:t>
            </w:r>
          </w:p>
        </w:tc>
      </w:tr>
      <w:tr w:rsidR="003357BA" w:rsidRPr="00FE15E6" w14:paraId="7B155F5D" w14:textId="77777777" w:rsidTr="003949DC">
        <w:tc>
          <w:tcPr>
            <w:tcW w:w="1535" w:type="dxa"/>
          </w:tcPr>
          <w:p w14:paraId="14504543" w14:textId="77777777" w:rsidR="003357BA" w:rsidRPr="00FE15E6" w:rsidRDefault="003357BA" w:rsidP="00925A7A">
            <w:pPr>
              <w:pStyle w:val="Tables"/>
              <w:jc w:val="left"/>
            </w:pPr>
            <w:r w:rsidRPr="00FE15E6">
              <w:t>Uganda</w:t>
            </w:r>
          </w:p>
        </w:tc>
        <w:tc>
          <w:tcPr>
            <w:tcW w:w="1535" w:type="dxa"/>
          </w:tcPr>
          <w:p w14:paraId="667DDA21" w14:textId="07240F82" w:rsidR="003357BA" w:rsidRPr="00FE15E6" w:rsidRDefault="003357BA" w:rsidP="00925A7A">
            <w:pPr>
              <w:pStyle w:val="Tables"/>
              <w:jc w:val="left"/>
            </w:pPr>
            <w:r w:rsidRPr="00FE15E6">
              <w:t>1988</w:t>
            </w:r>
            <w:r w:rsidR="008A3F82">
              <w:t>–</w:t>
            </w:r>
            <w:r w:rsidRPr="00FE15E6">
              <w:t>89, 1995, 2000</w:t>
            </w:r>
            <w:r w:rsidR="008A3F82">
              <w:t>–</w:t>
            </w:r>
            <w:r w:rsidRPr="00FE15E6">
              <w:t>01, 2006, 2011, 2016</w:t>
            </w:r>
          </w:p>
        </w:tc>
        <w:tc>
          <w:tcPr>
            <w:tcW w:w="1534" w:type="dxa"/>
          </w:tcPr>
          <w:p w14:paraId="05260613" w14:textId="77777777" w:rsidR="003357BA" w:rsidRPr="00FE15E6" w:rsidRDefault="003357BA" w:rsidP="00925A7A">
            <w:pPr>
              <w:pStyle w:val="Tables"/>
              <w:jc w:val="left"/>
            </w:pPr>
            <w:r w:rsidRPr="00FE15E6">
              <w:t>-</w:t>
            </w:r>
          </w:p>
        </w:tc>
        <w:tc>
          <w:tcPr>
            <w:tcW w:w="1600" w:type="dxa"/>
          </w:tcPr>
          <w:p w14:paraId="1EC3B177" w14:textId="0D73A54D" w:rsidR="003357BA" w:rsidRPr="00FE15E6" w:rsidRDefault="003357BA" w:rsidP="00925A7A">
            <w:pPr>
              <w:pStyle w:val="Tables"/>
              <w:jc w:val="left"/>
            </w:pPr>
            <w:r w:rsidRPr="00FE15E6">
              <w:t>2009, 2014</w:t>
            </w:r>
            <w:r w:rsidR="008A3F82">
              <w:t>–</w:t>
            </w:r>
            <w:r w:rsidRPr="00FE15E6">
              <w:t>15</w:t>
            </w:r>
          </w:p>
        </w:tc>
        <w:tc>
          <w:tcPr>
            <w:tcW w:w="1417" w:type="dxa"/>
          </w:tcPr>
          <w:p w14:paraId="547BDC4D" w14:textId="77777777" w:rsidR="003357BA" w:rsidRPr="00FE15E6" w:rsidRDefault="003357BA" w:rsidP="00925A7A">
            <w:pPr>
              <w:pStyle w:val="Tables"/>
              <w:jc w:val="left"/>
            </w:pPr>
            <w:r w:rsidRPr="00FE15E6">
              <w:t>1991, 2002, 2014</w:t>
            </w:r>
          </w:p>
        </w:tc>
        <w:tc>
          <w:tcPr>
            <w:tcW w:w="1790" w:type="dxa"/>
          </w:tcPr>
          <w:p w14:paraId="2EBF470C" w14:textId="77777777" w:rsidR="003357BA" w:rsidRPr="00FE15E6" w:rsidRDefault="003357BA" w:rsidP="00925A7A">
            <w:pPr>
              <w:pStyle w:val="Tables"/>
              <w:jc w:val="left"/>
            </w:pPr>
            <w:r w:rsidRPr="00FE15E6">
              <w:t>1991, 2002, 2014</w:t>
            </w:r>
          </w:p>
        </w:tc>
      </w:tr>
      <w:tr w:rsidR="003357BA" w:rsidRPr="00FE15E6" w14:paraId="132F4743" w14:textId="77777777" w:rsidTr="003949DC">
        <w:tc>
          <w:tcPr>
            <w:tcW w:w="1535" w:type="dxa"/>
          </w:tcPr>
          <w:p w14:paraId="7DF861FA" w14:textId="77777777" w:rsidR="003357BA" w:rsidRPr="00FE15E6" w:rsidRDefault="003357BA" w:rsidP="00925A7A">
            <w:pPr>
              <w:pStyle w:val="Tables"/>
              <w:jc w:val="left"/>
            </w:pPr>
            <w:r w:rsidRPr="00FE15E6">
              <w:t>Zambia</w:t>
            </w:r>
          </w:p>
        </w:tc>
        <w:tc>
          <w:tcPr>
            <w:tcW w:w="1535" w:type="dxa"/>
          </w:tcPr>
          <w:p w14:paraId="3CD3A2F1" w14:textId="1A8041F5" w:rsidR="003357BA" w:rsidRPr="00FE15E6" w:rsidRDefault="003357BA" w:rsidP="00925A7A">
            <w:pPr>
              <w:pStyle w:val="Tables"/>
              <w:jc w:val="left"/>
            </w:pPr>
            <w:r w:rsidRPr="00FE15E6">
              <w:t>1992, 1996, 2001</w:t>
            </w:r>
            <w:r w:rsidR="008A3F82">
              <w:t>–</w:t>
            </w:r>
            <w:r w:rsidRPr="00FE15E6">
              <w:t>02, 2007, 2013</w:t>
            </w:r>
            <w:r w:rsidR="008A3F82">
              <w:t>–</w:t>
            </w:r>
            <w:r w:rsidRPr="00FE15E6">
              <w:t>14</w:t>
            </w:r>
          </w:p>
        </w:tc>
        <w:tc>
          <w:tcPr>
            <w:tcW w:w="1534" w:type="dxa"/>
          </w:tcPr>
          <w:p w14:paraId="1E1EB96A" w14:textId="77777777" w:rsidR="003357BA" w:rsidRPr="00FE15E6" w:rsidRDefault="003357BA" w:rsidP="00925A7A">
            <w:pPr>
              <w:pStyle w:val="Tables"/>
              <w:jc w:val="left"/>
            </w:pPr>
            <w:r w:rsidRPr="00FE15E6">
              <w:t>-</w:t>
            </w:r>
          </w:p>
        </w:tc>
        <w:tc>
          <w:tcPr>
            <w:tcW w:w="1600" w:type="dxa"/>
          </w:tcPr>
          <w:p w14:paraId="1BBBE463" w14:textId="77777777" w:rsidR="003357BA" w:rsidRPr="00FE15E6" w:rsidRDefault="003357BA" w:rsidP="00925A7A">
            <w:pPr>
              <w:pStyle w:val="Tables"/>
              <w:jc w:val="left"/>
            </w:pPr>
            <w:r w:rsidRPr="00FE15E6">
              <w:t>-</w:t>
            </w:r>
          </w:p>
        </w:tc>
        <w:tc>
          <w:tcPr>
            <w:tcW w:w="1417" w:type="dxa"/>
          </w:tcPr>
          <w:p w14:paraId="12356B61" w14:textId="77777777" w:rsidR="003357BA" w:rsidRPr="00FE15E6" w:rsidRDefault="003357BA" w:rsidP="00925A7A">
            <w:pPr>
              <w:pStyle w:val="Tables"/>
              <w:jc w:val="left"/>
            </w:pPr>
            <w:r w:rsidRPr="00FE15E6">
              <w:t>1990, 2000, 2010</w:t>
            </w:r>
          </w:p>
        </w:tc>
        <w:tc>
          <w:tcPr>
            <w:tcW w:w="1790" w:type="dxa"/>
          </w:tcPr>
          <w:p w14:paraId="266531AB" w14:textId="77777777" w:rsidR="003357BA" w:rsidRPr="00FE15E6" w:rsidRDefault="003357BA" w:rsidP="00925A7A">
            <w:pPr>
              <w:pStyle w:val="Tables"/>
              <w:jc w:val="left"/>
            </w:pPr>
            <w:r w:rsidRPr="00FE15E6">
              <w:t>1990, 2000, 2010</w:t>
            </w:r>
          </w:p>
        </w:tc>
      </w:tr>
      <w:tr w:rsidR="003357BA" w:rsidRPr="00FE15E6" w14:paraId="10F59D48" w14:textId="77777777" w:rsidTr="003949DC">
        <w:tc>
          <w:tcPr>
            <w:tcW w:w="1535" w:type="dxa"/>
          </w:tcPr>
          <w:p w14:paraId="17CD9C86" w14:textId="77777777" w:rsidR="003357BA" w:rsidRPr="00FE15E6" w:rsidRDefault="003357BA" w:rsidP="00925A7A">
            <w:pPr>
              <w:pStyle w:val="Tables"/>
              <w:jc w:val="left"/>
            </w:pPr>
            <w:r w:rsidRPr="00FE15E6">
              <w:t>Zimbabwe</w:t>
            </w:r>
          </w:p>
        </w:tc>
        <w:tc>
          <w:tcPr>
            <w:tcW w:w="1535" w:type="dxa"/>
          </w:tcPr>
          <w:p w14:paraId="45FA8996" w14:textId="5073205D" w:rsidR="003357BA" w:rsidRPr="00FE15E6" w:rsidRDefault="003357BA" w:rsidP="00925A7A">
            <w:pPr>
              <w:pStyle w:val="Tables"/>
              <w:jc w:val="left"/>
            </w:pPr>
            <w:r w:rsidRPr="00FE15E6">
              <w:t>1988, 1994, 1999, 2005</w:t>
            </w:r>
            <w:r w:rsidR="008A3F82">
              <w:t>–</w:t>
            </w:r>
            <w:r w:rsidRPr="00FE15E6">
              <w:t>06, 2010</w:t>
            </w:r>
            <w:r w:rsidR="008A3F82">
              <w:t>–</w:t>
            </w:r>
            <w:r w:rsidRPr="00FE15E6">
              <w:t>11, 2015</w:t>
            </w:r>
          </w:p>
        </w:tc>
        <w:tc>
          <w:tcPr>
            <w:tcW w:w="1534" w:type="dxa"/>
          </w:tcPr>
          <w:p w14:paraId="377D0F37" w14:textId="77777777" w:rsidR="003357BA" w:rsidRPr="00FE15E6" w:rsidRDefault="003357BA" w:rsidP="00925A7A">
            <w:pPr>
              <w:pStyle w:val="Tables"/>
              <w:jc w:val="left"/>
            </w:pPr>
            <w:r w:rsidRPr="00FE15E6">
              <w:t>2009, 2014</w:t>
            </w:r>
          </w:p>
        </w:tc>
        <w:tc>
          <w:tcPr>
            <w:tcW w:w="1600" w:type="dxa"/>
          </w:tcPr>
          <w:p w14:paraId="53BD9502" w14:textId="77777777" w:rsidR="003357BA" w:rsidRPr="00FE15E6" w:rsidRDefault="003357BA" w:rsidP="00925A7A">
            <w:pPr>
              <w:pStyle w:val="Tables"/>
              <w:jc w:val="left"/>
            </w:pPr>
            <w:r w:rsidRPr="00FE15E6">
              <w:t>-</w:t>
            </w:r>
          </w:p>
        </w:tc>
        <w:tc>
          <w:tcPr>
            <w:tcW w:w="1417" w:type="dxa"/>
          </w:tcPr>
          <w:p w14:paraId="2B0A5A60" w14:textId="77777777" w:rsidR="003357BA" w:rsidRPr="00FE15E6" w:rsidRDefault="003357BA" w:rsidP="00925A7A">
            <w:pPr>
              <w:pStyle w:val="Tables"/>
              <w:jc w:val="left"/>
            </w:pPr>
            <w:r w:rsidRPr="00FE15E6">
              <w:t>1992, 2002, 2012</w:t>
            </w:r>
          </w:p>
        </w:tc>
        <w:tc>
          <w:tcPr>
            <w:tcW w:w="1790" w:type="dxa"/>
          </w:tcPr>
          <w:p w14:paraId="4739D6E3" w14:textId="77777777" w:rsidR="003357BA" w:rsidRPr="00FE15E6" w:rsidRDefault="003357BA" w:rsidP="00925A7A">
            <w:pPr>
              <w:pStyle w:val="Tables"/>
              <w:jc w:val="left"/>
            </w:pPr>
            <w:r w:rsidRPr="00FE15E6">
              <w:t>1992, 2002, 2012</w:t>
            </w:r>
          </w:p>
        </w:tc>
      </w:tr>
      <w:tr w:rsidR="003357BA" w:rsidRPr="003A77F8" w14:paraId="21A73C2D" w14:textId="77777777" w:rsidTr="006A50A8">
        <w:tc>
          <w:tcPr>
            <w:tcW w:w="9411" w:type="dxa"/>
            <w:gridSpan w:val="6"/>
          </w:tcPr>
          <w:p w14:paraId="399F8C54" w14:textId="75E81A3C" w:rsidR="003357BA" w:rsidRDefault="003357BA" w:rsidP="00D125C4">
            <w:pPr>
              <w:pStyle w:val="Tables"/>
              <w:jc w:val="left"/>
            </w:pPr>
            <w:r w:rsidRPr="00FE15E6">
              <w:t xml:space="preserve">Only countries with at least two standard or continuous DHS </w:t>
            </w:r>
            <w:r w:rsidR="00D125C4" w:rsidRPr="00FE15E6">
              <w:t xml:space="preserve">are </w:t>
            </w:r>
            <w:r w:rsidRPr="00FE15E6">
              <w:t xml:space="preserve">included. </w:t>
            </w:r>
            <w:r w:rsidR="00D125C4" w:rsidRPr="00FE15E6">
              <w:t>DHS for which data files are not publicly available are not included</w:t>
            </w:r>
            <w:r w:rsidR="002A418B">
              <w:t xml:space="preserve"> (e.g.</w:t>
            </w:r>
            <w:r w:rsidR="002C1451">
              <w:t>,</w:t>
            </w:r>
            <w:r w:rsidR="002A418B">
              <w:t xml:space="preserve"> 2003</w:t>
            </w:r>
            <w:r w:rsidR="00BC13AC">
              <w:t xml:space="preserve"> South Africa DHS)</w:t>
            </w:r>
            <w:r w:rsidR="00D125C4" w:rsidRPr="00FE15E6">
              <w:t xml:space="preserve">. </w:t>
            </w:r>
            <w:r w:rsidRPr="00FE15E6">
              <w:t xml:space="preserve">In a few cases, only </w:t>
            </w:r>
            <w:r w:rsidR="002C1451">
              <w:t>five</w:t>
            </w:r>
            <w:r w:rsidRPr="00FE15E6">
              <w:t>-year age groups are available in c</w:t>
            </w:r>
            <w:r w:rsidR="002A418B">
              <w:t>ensus data (indicated with 5-y</w:t>
            </w:r>
            <w:r w:rsidR="00BC13AC">
              <w:t xml:space="preserve">), and trends are reconstructed by </w:t>
            </w:r>
            <w:r w:rsidR="002C1451">
              <w:t>five</w:t>
            </w:r>
            <w:r w:rsidR="00BC13AC">
              <w:t>-year periods.</w:t>
            </w:r>
          </w:p>
          <w:p w14:paraId="38D73CB2" w14:textId="77777777" w:rsidR="0045743A" w:rsidRDefault="0045743A" w:rsidP="00D125C4">
            <w:pPr>
              <w:pStyle w:val="Tables"/>
              <w:jc w:val="left"/>
            </w:pPr>
          </w:p>
          <w:p w14:paraId="34404BC3" w14:textId="1DA1E40E" w:rsidR="0045743A" w:rsidRPr="003A77F8" w:rsidRDefault="0045743A" w:rsidP="002C1451">
            <w:pPr>
              <w:pStyle w:val="Tables"/>
              <w:jc w:val="left"/>
            </w:pPr>
            <w:r>
              <w:t xml:space="preserve">Sub-Saharan African countries that are not covered are Angola, Botswana, Cape Verde, </w:t>
            </w:r>
            <w:r w:rsidR="00BC4E8E">
              <w:t xml:space="preserve">Central African Republic, </w:t>
            </w:r>
            <w:r>
              <w:t>Djibouti, Equatorial Guinea, The Gambia, Eritrea, Guinea Bissau, S</w:t>
            </w:r>
            <w:r w:rsidR="002C1451">
              <w:t>ã</w:t>
            </w:r>
            <w:r>
              <w:t>o Tom</w:t>
            </w:r>
            <w:r w:rsidR="002C1451">
              <w:t>é</w:t>
            </w:r>
            <w:r>
              <w:t xml:space="preserve"> and Pr</w:t>
            </w:r>
            <w:r w:rsidR="002C1451">
              <w:t>í</w:t>
            </w:r>
            <w:r>
              <w:t xml:space="preserve">ncipe, </w:t>
            </w:r>
            <w:r w:rsidR="00BC4E8E">
              <w:t xml:space="preserve">Mauritania, </w:t>
            </w:r>
            <w:r>
              <w:t xml:space="preserve">Mauritius, Somalia, </w:t>
            </w:r>
            <w:r w:rsidR="00BC4E8E">
              <w:t xml:space="preserve">South </w:t>
            </w:r>
            <w:r>
              <w:t>Sudan</w:t>
            </w:r>
            <w:r w:rsidR="002C1451">
              <w:t>,</w:t>
            </w:r>
            <w:r>
              <w:t xml:space="preserve"> and Swaziland.</w:t>
            </w:r>
          </w:p>
        </w:tc>
      </w:tr>
    </w:tbl>
    <w:p w14:paraId="27BC5700" w14:textId="77777777" w:rsidR="003357BA" w:rsidRDefault="003357BA" w:rsidP="00925A7A">
      <w:pPr>
        <w:jc w:val="left"/>
      </w:pPr>
    </w:p>
    <w:p w14:paraId="7F626DDE" w14:textId="77777777" w:rsidR="00A43D69" w:rsidRDefault="00A43D69" w:rsidP="00925A7A">
      <w:pPr>
        <w:spacing w:after="200" w:line="276" w:lineRule="auto"/>
        <w:jc w:val="left"/>
      </w:pPr>
      <w:r>
        <w:br w:type="page"/>
      </w:r>
    </w:p>
    <w:p w14:paraId="7E1DD9CD" w14:textId="77777777" w:rsidR="00A43D69" w:rsidRPr="00C30DE5" w:rsidRDefault="00A43D69" w:rsidP="00925A7A">
      <w:pPr>
        <w:jc w:val="left"/>
        <w:rPr>
          <w:rStyle w:val="Rfrenceintense"/>
        </w:rPr>
      </w:pPr>
      <w:bookmarkStart w:id="5" w:name="_Ref506557920"/>
      <w:bookmarkStart w:id="6" w:name="_Ref507149439"/>
      <w:r w:rsidRPr="00C30DE5">
        <w:rPr>
          <w:rStyle w:val="Rfrenceintense"/>
        </w:rPr>
        <w:lastRenderedPageBreak/>
        <w:t xml:space="preserve">Table </w:t>
      </w:r>
      <w:r w:rsidRPr="00C30DE5">
        <w:rPr>
          <w:rStyle w:val="Rfrenceintense"/>
        </w:rPr>
        <w:fldChar w:fldCharType="begin"/>
      </w:r>
      <w:r w:rsidRPr="00C30DE5">
        <w:rPr>
          <w:rStyle w:val="Rfrenceintense"/>
        </w:rPr>
        <w:instrText xml:space="preserve"> SEQ Table \* ARABIC </w:instrText>
      </w:r>
      <w:r w:rsidRPr="00C30DE5">
        <w:rPr>
          <w:rStyle w:val="Rfrenceintense"/>
        </w:rPr>
        <w:fldChar w:fldCharType="separate"/>
      </w:r>
      <w:r w:rsidR="00943572">
        <w:rPr>
          <w:rStyle w:val="Rfrenceintense"/>
          <w:noProof/>
        </w:rPr>
        <w:t>2</w:t>
      </w:r>
      <w:r w:rsidRPr="00C30DE5">
        <w:rPr>
          <w:rStyle w:val="Rfrenceintense"/>
        </w:rPr>
        <w:fldChar w:fldCharType="end"/>
      </w:r>
      <w:bookmarkEnd w:id="5"/>
      <w:bookmarkEnd w:id="6"/>
      <w:r w:rsidRPr="00C30DE5">
        <w:rPr>
          <w:rStyle w:val="Rfrenceintense"/>
        </w:rPr>
        <w:t>. Classification of fertility changes, 3</w:t>
      </w:r>
      <w:r w:rsidR="00503D24">
        <w:rPr>
          <w:rStyle w:val="Rfrenceintense"/>
        </w:rPr>
        <w:t>2</w:t>
      </w:r>
      <w:r w:rsidRPr="00C30DE5">
        <w:rPr>
          <w:rStyle w:val="Rfrenceintense"/>
        </w:rPr>
        <w:t xml:space="preserve"> countries, 9</w:t>
      </w:r>
      <w:r w:rsidR="00503D24">
        <w:rPr>
          <w:rStyle w:val="Rfrenceintense"/>
        </w:rPr>
        <w:t>3</w:t>
      </w:r>
      <w:r w:rsidRPr="00C30DE5">
        <w:rPr>
          <w:rStyle w:val="Rfrenceintense"/>
        </w:rPr>
        <w:t xml:space="preserve"> cases </w:t>
      </w:r>
      <w:r w:rsidR="00580EBC">
        <w:rPr>
          <w:rStyle w:val="Rfrenceintense"/>
        </w:rPr>
        <w:t>(pairs of surveys)</w:t>
      </w:r>
    </w:p>
    <w:tbl>
      <w:tblPr>
        <w:tblStyle w:val="Grilledutableau"/>
        <w:tblW w:w="9039" w:type="dxa"/>
        <w:tblLook w:val="04A0" w:firstRow="1" w:lastRow="0" w:firstColumn="1" w:lastColumn="0" w:noHBand="0" w:noVBand="1"/>
      </w:tblPr>
      <w:tblGrid>
        <w:gridCol w:w="1333"/>
        <w:gridCol w:w="2636"/>
        <w:gridCol w:w="2518"/>
        <w:gridCol w:w="2552"/>
      </w:tblGrid>
      <w:tr w:rsidR="00455C25" w:rsidRPr="0087559A" w14:paraId="1EAB3E78" w14:textId="77777777" w:rsidTr="00597832">
        <w:tc>
          <w:tcPr>
            <w:tcW w:w="1333" w:type="dxa"/>
            <w:tcBorders>
              <w:bottom w:val="nil"/>
            </w:tcBorders>
          </w:tcPr>
          <w:p w14:paraId="5A398CED" w14:textId="77777777" w:rsidR="00455C25" w:rsidRPr="0087559A" w:rsidRDefault="00455C25" w:rsidP="00925A7A">
            <w:pPr>
              <w:pStyle w:val="Tables"/>
              <w:jc w:val="left"/>
              <w:rPr>
                <w:b/>
              </w:rPr>
            </w:pPr>
          </w:p>
        </w:tc>
        <w:tc>
          <w:tcPr>
            <w:tcW w:w="2636" w:type="dxa"/>
            <w:vMerge w:val="restart"/>
          </w:tcPr>
          <w:p w14:paraId="4888D9D2" w14:textId="77777777" w:rsidR="00455C25" w:rsidRDefault="00455C25" w:rsidP="00455C25">
            <w:pPr>
              <w:pStyle w:val="Tables"/>
              <w:jc w:val="center"/>
              <w:rPr>
                <w:b/>
              </w:rPr>
            </w:pPr>
            <w:r w:rsidRPr="0087559A">
              <w:rPr>
                <w:b/>
              </w:rPr>
              <w:t>No stall (significant decline or no decline in case of no transition)</w:t>
            </w:r>
          </w:p>
          <w:p w14:paraId="45193537" w14:textId="77777777" w:rsidR="00455C25" w:rsidRDefault="00455C25" w:rsidP="00455C25">
            <w:pPr>
              <w:pStyle w:val="Tables"/>
              <w:jc w:val="center"/>
              <w:rPr>
                <w:b/>
              </w:rPr>
            </w:pPr>
          </w:p>
          <w:p w14:paraId="70F33FAB" w14:textId="731B5658" w:rsidR="00455C25" w:rsidRPr="00455C25" w:rsidRDefault="00455C25" w:rsidP="00455C25">
            <w:pPr>
              <w:pStyle w:val="Tables"/>
              <w:jc w:val="center"/>
              <w:rPr>
                <w:b/>
              </w:rPr>
            </w:pPr>
            <w:r w:rsidRPr="00455C25">
              <w:rPr>
                <w:b/>
              </w:rPr>
              <w:t>56 cases, 25 countries</w:t>
            </w:r>
          </w:p>
        </w:tc>
        <w:tc>
          <w:tcPr>
            <w:tcW w:w="2518" w:type="dxa"/>
            <w:tcBorders>
              <w:bottom w:val="nil"/>
            </w:tcBorders>
          </w:tcPr>
          <w:p w14:paraId="3EDE6FD8" w14:textId="77777777" w:rsidR="00455C25" w:rsidRDefault="00455C25" w:rsidP="00455C25">
            <w:pPr>
              <w:pStyle w:val="Tables"/>
              <w:jc w:val="center"/>
              <w:rPr>
                <w:b/>
              </w:rPr>
            </w:pPr>
            <w:r w:rsidRPr="0087559A">
              <w:rPr>
                <w:b/>
              </w:rPr>
              <w:t>Slight stall (no significant decline)</w:t>
            </w:r>
          </w:p>
          <w:p w14:paraId="28779A38" w14:textId="77777777" w:rsidR="00455C25" w:rsidRDefault="00455C25" w:rsidP="00455C25">
            <w:pPr>
              <w:pStyle w:val="Tables"/>
              <w:jc w:val="center"/>
              <w:rPr>
                <w:b/>
              </w:rPr>
            </w:pPr>
          </w:p>
          <w:p w14:paraId="7ACC663A" w14:textId="77777777" w:rsidR="00455C25" w:rsidRDefault="00455C25" w:rsidP="00455C25">
            <w:pPr>
              <w:pStyle w:val="Tables"/>
              <w:jc w:val="center"/>
              <w:rPr>
                <w:b/>
              </w:rPr>
            </w:pPr>
          </w:p>
          <w:p w14:paraId="006F97D7" w14:textId="77777777" w:rsidR="00455C25" w:rsidRDefault="00455C25" w:rsidP="004A1EB4">
            <w:pPr>
              <w:pStyle w:val="Tables"/>
              <w:jc w:val="center"/>
              <w:rPr>
                <w:b/>
              </w:rPr>
            </w:pPr>
            <w:r w:rsidRPr="00455C25">
              <w:rPr>
                <w:b/>
              </w:rPr>
              <w:t>18 cases, 13 countries</w:t>
            </w:r>
          </w:p>
          <w:p w14:paraId="76757A85" w14:textId="0D4A8F7E" w:rsidR="004A1EB4" w:rsidRPr="0087559A" w:rsidRDefault="004A1EB4" w:rsidP="004A1EB4">
            <w:pPr>
              <w:pStyle w:val="Tables"/>
              <w:jc w:val="center"/>
              <w:rPr>
                <w:b/>
              </w:rPr>
            </w:pPr>
          </w:p>
        </w:tc>
        <w:tc>
          <w:tcPr>
            <w:tcW w:w="2552" w:type="dxa"/>
            <w:tcBorders>
              <w:bottom w:val="nil"/>
            </w:tcBorders>
          </w:tcPr>
          <w:p w14:paraId="13EA4458" w14:textId="77777777" w:rsidR="00455C25" w:rsidRPr="0087559A" w:rsidRDefault="00455C25" w:rsidP="00455C25">
            <w:pPr>
              <w:pStyle w:val="Tables"/>
              <w:jc w:val="center"/>
              <w:rPr>
                <w:b/>
              </w:rPr>
            </w:pPr>
            <w:r w:rsidRPr="0087559A">
              <w:rPr>
                <w:b/>
              </w:rPr>
              <w:t>Stall (stagnation or increase in fertility)</w:t>
            </w:r>
          </w:p>
          <w:p w14:paraId="60B20338" w14:textId="77777777" w:rsidR="00455C25" w:rsidRDefault="00455C25" w:rsidP="00455C25">
            <w:pPr>
              <w:pStyle w:val="Tables"/>
              <w:jc w:val="center"/>
              <w:rPr>
                <w:b/>
              </w:rPr>
            </w:pPr>
          </w:p>
          <w:p w14:paraId="0E7AAD71" w14:textId="77777777" w:rsidR="00455C25" w:rsidRDefault="00455C25" w:rsidP="00455C25">
            <w:pPr>
              <w:pStyle w:val="Tables"/>
              <w:jc w:val="center"/>
              <w:rPr>
                <w:b/>
              </w:rPr>
            </w:pPr>
          </w:p>
          <w:p w14:paraId="1D4C998C" w14:textId="02AE4342" w:rsidR="00455C25" w:rsidRPr="00455C25" w:rsidRDefault="00455C25" w:rsidP="00455C25">
            <w:pPr>
              <w:pStyle w:val="Tables"/>
              <w:jc w:val="center"/>
              <w:rPr>
                <w:b/>
              </w:rPr>
            </w:pPr>
            <w:r w:rsidRPr="00455C25">
              <w:rPr>
                <w:b/>
              </w:rPr>
              <w:t>19 cases, 16 countries</w:t>
            </w:r>
          </w:p>
        </w:tc>
      </w:tr>
      <w:tr w:rsidR="00455C25" w:rsidRPr="00A64E03" w14:paraId="14D55C59" w14:textId="77777777" w:rsidTr="00597832">
        <w:tc>
          <w:tcPr>
            <w:tcW w:w="1333" w:type="dxa"/>
            <w:tcBorders>
              <w:top w:val="nil"/>
              <w:bottom w:val="nil"/>
            </w:tcBorders>
          </w:tcPr>
          <w:p w14:paraId="6CDA2D05" w14:textId="77777777" w:rsidR="00455C25" w:rsidRPr="00A64E03" w:rsidRDefault="00455C25" w:rsidP="00925A7A">
            <w:pPr>
              <w:pStyle w:val="Tables"/>
              <w:jc w:val="left"/>
            </w:pPr>
          </w:p>
        </w:tc>
        <w:tc>
          <w:tcPr>
            <w:tcW w:w="2636" w:type="dxa"/>
            <w:vMerge/>
          </w:tcPr>
          <w:p w14:paraId="08FE01F2" w14:textId="3BEB2F78" w:rsidR="00455C25" w:rsidRPr="00A64E03" w:rsidRDefault="00455C25" w:rsidP="00455C25">
            <w:pPr>
              <w:pStyle w:val="Tables"/>
            </w:pPr>
          </w:p>
        </w:tc>
        <w:tc>
          <w:tcPr>
            <w:tcW w:w="5070" w:type="dxa"/>
            <w:gridSpan w:val="2"/>
            <w:tcBorders>
              <w:top w:val="nil"/>
            </w:tcBorders>
          </w:tcPr>
          <w:p w14:paraId="139D4E66" w14:textId="768A749A" w:rsidR="00455C25" w:rsidRPr="00455C25" w:rsidRDefault="00455C25" w:rsidP="00396BFB">
            <w:pPr>
              <w:pStyle w:val="Tables"/>
              <w:jc w:val="center"/>
              <w:rPr>
                <w:b/>
              </w:rPr>
            </w:pPr>
            <w:r w:rsidRPr="00455C25">
              <w:rPr>
                <w:b/>
              </w:rPr>
              <w:t>37 cases, 23 countries</w:t>
            </w:r>
          </w:p>
        </w:tc>
      </w:tr>
      <w:tr w:rsidR="00A43D69" w:rsidRPr="00A64E03" w14:paraId="139F7787" w14:textId="77777777" w:rsidTr="00455C25">
        <w:tc>
          <w:tcPr>
            <w:tcW w:w="1333" w:type="dxa"/>
            <w:tcBorders>
              <w:bottom w:val="single" w:sz="4" w:space="0" w:color="auto"/>
            </w:tcBorders>
          </w:tcPr>
          <w:p w14:paraId="3FD976DA" w14:textId="77777777" w:rsidR="00A43D69" w:rsidRPr="00A64E03" w:rsidRDefault="00A43D69" w:rsidP="00925A7A">
            <w:pPr>
              <w:pStyle w:val="Tables"/>
              <w:jc w:val="left"/>
            </w:pPr>
            <w:r w:rsidRPr="00A64E03">
              <w:t>No transition</w:t>
            </w:r>
          </w:p>
        </w:tc>
        <w:tc>
          <w:tcPr>
            <w:tcW w:w="2636" w:type="dxa"/>
            <w:tcBorders>
              <w:bottom w:val="single" w:sz="4" w:space="0" w:color="auto"/>
            </w:tcBorders>
          </w:tcPr>
          <w:p w14:paraId="14B17159" w14:textId="77777777" w:rsidR="00A43D69" w:rsidRPr="00455C25" w:rsidRDefault="00A43D69" w:rsidP="007C5131">
            <w:pPr>
              <w:pStyle w:val="Tables"/>
              <w:jc w:val="center"/>
              <w:rPr>
                <w:b/>
              </w:rPr>
            </w:pPr>
            <w:r w:rsidRPr="00455C25">
              <w:rPr>
                <w:b/>
              </w:rPr>
              <w:t>7 cases, 4 countries</w:t>
            </w:r>
          </w:p>
          <w:p w14:paraId="7656293D" w14:textId="1EB0266A" w:rsidR="00A43D69" w:rsidRPr="00241D4B" w:rsidRDefault="00A43D69" w:rsidP="007D5965">
            <w:pPr>
              <w:pStyle w:val="Tables"/>
              <w:jc w:val="left"/>
            </w:pPr>
            <w:r w:rsidRPr="00A64E03">
              <w:t>DR Congo (2007</w:t>
            </w:r>
            <w:r w:rsidR="008A3F82">
              <w:t>–</w:t>
            </w:r>
            <w:r w:rsidRPr="00A64E03">
              <w:t>2013), Guinea (1999</w:t>
            </w:r>
            <w:r w:rsidR="00AA30A7">
              <w:t>–</w:t>
            </w:r>
            <w:r w:rsidRPr="00A64E03">
              <w:t>2005, 2005</w:t>
            </w:r>
            <w:r w:rsidR="00AA30A7">
              <w:t>–</w:t>
            </w:r>
            <w:r w:rsidRPr="00A64E03">
              <w:t>2012), Mali (1987</w:t>
            </w:r>
            <w:r w:rsidR="00AA30A7">
              <w:t>–</w:t>
            </w:r>
            <w:r w:rsidRPr="00A64E03">
              <w:t>1996, 1996</w:t>
            </w:r>
            <w:r w:rsidR="00AA30A7">
              <w:t>–</w:t>
            </w:r>
            <w:r w:rsidRPr="00A64E03">
              <w:t>2001, 2001</w:t>
            </w:r>
            <w:r w:rsidR="00AA30A7">
              <w:t>–</w:t>
            </w:r>
            <w:r w:rsidRPr="00A64E03">
              <w:t>2006), Niger (1992</w:t>
            </w:r>
            <w:r w:rsidR="00AA30A7">
              <w:t>–</w:t>
            </w:r>
            <w:r w:rsidRPr="00A64E03">
              <w:t>1998)</w:t>
            </w:r>
          </w:p>
        </w:tc>
        <w:tc>
          <w:tcPr>
            <w:tcW w:w="2518" w:type="dxa"/>
            <w:tcBorders>
              <w:bottom w:val="single" w:sz="4" w:space="0" w:color="auto"/>
            </w:tcBorders>
          </w:tcPr>
          <w:p w14:paraId="6278F50E" w14:textId="77777777" w:rsidR="00A43D69" w:rsidRPr="00A64E03" w:rsidRDefault="00A43D69" w:rsidP="00925A7A">
            <w:pPr>
              <w:pStyle w:val="Tables"/>
              <w:jc w:val="left"/>
            </w:pPr>
          </w:p>
        </w:tc>
        <w:tc>
          <w:tcPr>
            <w:tcW w:w="2552" w:type="dxa"/>
            <w:tcBorders>
              <w:bottom w:val="single" w:sz="4" w:space="0" w:color="auto"/>
            </w:tcBorders>
          </w:tcPr>
          <w:p w14:paraId="555E0981" w14:textId="77777777" w:rsidR="00A43D69" w:rsidRPr="00A64E03" w:rsidRDefault="00A43D69" w:rsidP="00925A7A">
            <w:pPr>
              <w:pStyle w:val="Tables"/>
              <w:jc w:val="left"/>
            </w:pPr>
          </w:p>
        </w:tc>
      </w:tr>
      <w:tr w:rsidR="00A43D69" w:rsidRPr="00A64E03" w14:paraId="4F9A1878" w14:textId="77777777" w:rsidTr="00455C25">
        <w:tc>
          <w:tcPr>
            <w:tcW w:w="1333" w:type="dxa"/>
            <w:tcBorders>
              <w:bottom w:val="nil"/>
            </w:tcBorders>
          </w:tcPr>
          <w:p w14:paraId="67B92B77" w14:textId="77777777" w:rsidR="00A43D69" w:rsidRPr="00A64E03" w:rsidRDefault="00A43D69" w:rsidP="00925A7A">
            <w:pPr>
              <w:pStyle w:val="Tables"/>
              <w:jc w:val="left"/>
            </w:pPr>
          </w:p>
        </w:tc>
        <w:tc>
          <w:tcPr>
            <w:tcW w:w="2636" w:type="dxa"/>
            <w:tcBorders>
              <w:bottom w:val="nil"/>
            </w:tcBorders>
          </w:tcPr>
          <w:p w14:paraId="45C561A0" w14:textId="63E3C351" w:rsidR="00A43D69" w:rsidRPr="00455C25" w:rsidRDefault="00455C25" w:rsidP="007C5131">
            <w:pPr>
              <w:pStyle w:val="Tables"/>
              <w:jc w:val="center"/>
              <w:rPr>
                <w:b/>
              </w:rPr>
            </w:pPr>
            <w:r w:rsidRPr="00455C25">
              <w:rPr>
                <w:b/>
              </w:rPr>
              <w:t>39 cases, 20 countries</w:t>
            </w:r>
          </w:p>
        </w:tc>
        <w:tc>
          <w:tcPr>
            <w:tcW w:w="5070" w:type="dxa"/>
            <w:gridSpan w:val="2"/>
            <w:tcBorders>
              <w:bottom w:val="nil"/>
            </w:tcBorders>
          </w:tcPr>
          <w:p w14:paraId="403F1875" w14:textId="77777777" w:rsidR="00A43D69" w:rsidRPr="00455C25" w:rsidRDefault="00A43D69" w:rsidP="00396BFB">
            <w:pPr>
              <w:pStyle w:val="Tables"/>
              <w:jc w:val="center"/>
              <w:rPr>
                <w:b/>
              </w:rPr>
            </w:pPr>
            <w:r w:rsidRPr="00455C25">
              <w:rPr>
                <w:b/>
              </w:rPr>
              <w:t>23 cases, 14 countries</w:t>
            </w:r>
          </w:p>
        </w:tc>
      </w:tr>
      <w:tr w:rsidR="00A43D69" w:rsidRPr="00A64E03" w14:paraId="030B57DD" w14:textId="77777777" w:rsidTr="00455C25">
        <w:tc>
          <w:tcPr>
            <w:tcW w:w="1333" w:type="dxa"/>
            <w:tcBorders>
              <w:top w:val="nil"/>
              <w:bottom w:val="single" w:sz="4" w:space="0" w:color="auto"/>
            </w:tcBorders>
          </w:tcPr>
          <w:p w14:paraId="65A996DF" w14:textId="77777777" w:rsidR="00A43D69" w:rsidRPr="00A64E03" w:rsidRDefault="00A43D69" w:rsidP="00925A7A">
            <w:pPr>
              <w:pStyle w:val="Tables"/>
              <w:jc w:val="left"/>
            </w:pPr>
            <w:r w:rsidRPr="00A64E03">
              <w:t>Early Transition</w:t>
            </w:r>
          </w:p>
        </w:tc>
        <w:tc>
          <w:tcPr>
            <w:tcW w:w="2636" w:type="dxa"/>
            <w:tcBorders>
              <w:top w:val="nil"/>
              <w:bottom w:val="single" w:sz="4" w:space="0" w:color="auto"/>
            </w:tcBorders>
          </w:tcPr>
          <w:p w14:paraId="4CD8AA40" w14:textId="12E48448" w:rsidR="00A43D69" w:rsidRPr="00241D4B" w:rsidRDefault="00A43D69" w:rsidP="007D5965">
            <w:pPr>
              <w:pStyle w:val="Tables"/>
              <w:jc w:val="left"/>
            </w:pPr>
            <w:r w:rsidRPr="00A64E03">
              <w:t>Benin (1996</w:t>
            </w:r>
            <w:r w:rsidR="00AA30A7">
              <w:t>–</w:t>
            </w:r>
            <w:r w:rsidRPr="00A64E03">
              <w:t>2001, 2006</w:t>
            </w:r>
            <w:r w:rsidR="00AA30A7">
              <w:t>–</w:t>
            </w:r>
            <w:r w:rsidRPr="00A64E03">
              <w:t>2012), Burkina Faso (1999</w:t>
            </w:r>
            <w:r w:rsidR="00AA30A7">
              <w:t>–</w:t>
            </w:r>
            <w:r w:rsidRPr="00A64E03">
              <w:t>2003), Burundi (1987</w:t>
            </w:r>
            <w:r w:rsidR="00AA30A7">
              <w:t>–</w:t>
            </w:r>
            <w:r w:rsidRPr="00A64E03">
              <w:t>2010</w:t>
            </w:r>
            <w:r w:rsidR="00396BFB">
              <w:t>, 2010</w:t>
            </w:r>
            <w:r w:rsidR="00AA30A7">
              <w:t>–</w:t>
            </w:r>
            <w:r w:rsidR="00396BFB">
              <w:t>2017</w:t>
            </w:r>
            <w:r w:rsidRPr="00A64E03">
              <w:t>), Cameroon (1991</w:t>
            </w:r>
            <w:r w:rsidR="00AA30A7">
              <w:t>–</w:t>
            </w:r>
            <w:r w:rsidRPr="00A64E03">
              <w:t>1998), Ethiopia (2005</w:t>
            </w:r>
            <w:r w:rsidR="00AA30A7">
              <w:t>–</w:t>
            </w:r>
            <w:r w:rsidRPr="00A64E03">
              <w:t>2010), Ghana (1988</w:t>
            </w:r>
            <w:r w:rsidR="00AA30A7">
              <w:t>–</w:t>
            </w:r>
            <w:r w:rsidRPr="00A64E03">
              <w:t>1993, 1993</w:t>
            </w:r>
            <w:r w:rsidR="00AA30A7">
              <w:t>–</w:t>
            </w:r>
            <w:r w:rsidRPr="00A64E03">
              <w:t>1998), Kenya (1989</w:t>
            </w:r>
            <w:r w:rsidR="00AA30A7">
              <w:t>–</w:t>
            </w:r>
            <w:r w:rsidRPr="00A64E03">
              <w:t>1993, 1993</w:t>
            </w:r>
            <w:r w:rsidR="00AA30A7">
              <w:t>–</w:t>
            </w:r>
            <w:r w:rsidRPr="00A64E03">
              <w:t>1998), Liberia (1986</w:t>
            </w:r>
            <w:r w:rsidR="00AA30A7">
              <w:t>–</w:t>
            </w:r>
            <w:r w:rsidRPr="00A64E03">
              <w:t>2007, 2007</w:t>
            </w:r>
            <w:r w:rsidR="00AA30A7">
              <w:t>–</w:t>
            </w:r>
            <w:r w:rsidRPr="00A64E03">
              <w:t>2013), Madagascar (1997</w:t>
            </w:r>
            <w:r w:rsidR="00AA30A7">
              <w:t>–</w:t>
            </w:r>
            <w:r w:rsidRPr="00A64E03">
              <w:t>2004, 2004</w:t>
            </w:r>
            <w:r w:rsidR="00AA30A7">
              <w:t>–</w:t>
            </w:r>
            <w:r w:rsidRPr="00A64E03">
              <w:t>2009), Malawi (1992</w:t>
            </w:r>
            <w:r w:rsidR="00AA30A7">
              <w:t>–</w:t>
            </w:r>
            <w:r w:rsidRPr="00A64E03">
              <w:t>2000, 2000</w:t>
            </w:r>
            <w:r w:rsidR="00AA30A7">
              <w:t>–</w:t>
            </w:r>
            <w:r w:rsidRPr="00A64E03">
              <w:t>2004, 2004</w:t>
            </w:r>
            <w:r w:rsidR="00AA30A7">
              <w:t>–</w:t>
            </w:r>
            <w:r w:rsidRPr="00A64E03">
              <w:t>2010, 2010</w:t>
            </w:r>
            <w:r w:rsidR="00AA30A7">
              <w:t>–</w:t>
            </w:r>
            <w:r w:rsidRPr="00A64E03">
              <w:t>2015), Mali (2006</w:t>
            </w:r>
            <w:r w:rsidR="00AA30A7">
              <w:t>–</w:t>
            </w:r>
            <w:r w:rsidRPr="00A64E03">
              <w:t>2013), Namibia (1992</w:t>
            </w:r>
            <w:r w:rsidR="00AA30A7">
              <w:t>–</w:t>
            </w:r>
            <w:r w:rsidRPr="00A64E03">
              <w:t>2000), Nigeria (1990</w:t>
            </w:r>
            <w:r w:rsidR="00AA30A7">
              <w:t>–</w:t>
            </w:r>
            <w:r w:rsidRPr="00A64E03">
              <w:t>2003, 2008</w:t>
            </w:r>
            <w:r w:rsidR="00AA30A7">
              <w:t>–</w:t>
            </w:r>
            <w:r w:rsidRPr="00A64E03">
              <w:t>2013), Rwanda (1992</w:t>
            </w:r>
            <w:r w:rsidR="00AA30A7">
              <w:t>–</w:t>
            </w:r>
            <w:r w:rsidRPr="00A64E03">
              <w:t>2000, 2008</w:t>
            </w:r>
            <w:r w:rsidR="00AA30A7">
              <w:t>–</w:t>
            </w:r>
            <w:r w:rsidRPr="00A64E03">
              <w:t>2011), Senegal (1986</w:t>
            </w:r>
            <w:r w:rsidR="00AA30A7">
              <w:t>–</w:t>
            </w:r>
            <w:r w:rsidRPr="00A64E03">
              <w:t>1993, 1993</w:t>
            </w:r>
            <w:r w:rsidR="00AA30A7">
              <w:t>–</w:t>
            </w:r>
            <w:r w:rsidRPr="00A64E03">
              <w:t>1997, 1997</w:t>
            </w:r>
            <w:r w:rsidR="00AA30A7">
              <w:t>–</w:t>
            </w:r>
            <w:r w:rsidRPr="00A64E03">
              <w:t>2005, 2005</w:t>
            </w:r>
            <w:r w:rsidR="00AA30A7">
              <w:t>–</w:t>
            </w:r>
            <w:r w:rsidRPr="00A64E03">
              <w:t>2011), Tanzania (1992</w:t>
            </w:r>
            <w:r w:rsidR="00AA30A7">
              <w:t>–</w:t>
            </w:r>
            <w:r w:rsidRPr="00A64E03">
              <w:t>1996, 2010</w:t>
            </w:r>
            <w:r w:rsidR="00AA30A7">
              <w:t>–</w:t>
            </w:r>
            <w:r w:rsidRPr="00A64E03">
              <w:t>2015), Togo (1988</w:t>
            </w:r>
            <w:r w:rsidR="00AA30A7">
              <w:t>–</w:t>
            </w:r>
            <w:r w:rsidRPr="00A64E03">
              <w:t>1998, 1998</w:t>
            </w:r>
            <w:r w:rsidR="00AA30A7">
              <w:t>–</w:t>
            </w:r>
            <w:r w:rsidRPr="00A64E03">
              <w:t>2014), Uganda (1988</w:t>
            </w:r>
            <w:r w:rsidR="00AA30A7">
              <w:t>–</w:t>
            </w:r>
            <w:r w:rsidRPr="00A64E03">
              <w:t>1995, 2006</w:t>
            </w:r>
            <w:r w:rsidR="00AA30A7">
              <w:t>–</w:t>
            </w:r>
            <w:r w:rsidRPr="00A64E03">
              <w:t>2011</w:t>
            </w:r>
            <w:r>
              <w:t>, 2011</w:t>
            </w:r>
            <w:r w:rsidR="00AA30A7">
              <w:t>–</w:t>
            </w:r>
            <w:r>
              <w:t>2016</w:t>
            </w:r>
            <w:r w:rsidRPr="00A64E03">
              <w:t>), Zambia (1992</w:t>
            </w:r>
            <w:r w:rsidR="00AA30A7">
              <w:t>–</w:t>
            </w:r>
            <w:r w:rsidRPr="00A64E03">
              <w:t>1996, 2007</w:t>
            </w:r>
            <w:r w:rsidR="00AA30A7">
              <w:t>–</w:t>
            </w:r>
            <w:r w:rsidRPr="00A64E03">
              <w:t>2013), Zimbabwe (1988</w:t>
            </w:r>
            <w:r w:rsidR="00AA30A7">
              <w:t>–</w:t>
            </w:r>
            <w:r w:rsidRPr="00A64E03">
              <w:t xml:space="preserve">1994).  </w:t>
            </w:r>
          </w:p>
        </w:tc>
        <w:tc>
          <w:tcPr>
            <w:tcW w:w="2518" w:type="dxa"/>
            <w:tcBorders>
              <w:top w:val="nil"/>
              <w:bottom w:val="single" w:sz="4" w:space="0" w:color="auto"/>
            </w:tcBorders>
          </w:tcPr>
          <w:p w14:paraId="2F083051" w14:textId="77777777" w:rsidR="00A43D69" w:rsidRPr="00455C25" w:rsidRDefault="00A43D69" w:rsidP="00455C25">
            <w:pPr>
              <w:pStyle w:val="Tables"/>
              <w:jc w:val="center"/>
              <w:rPr>
                <w:b/>
              </w:rPr>
            </w:pPr>
            <w:r w:rsidRPr="00455C25">
              <w:rPr>
                <w:b/>
              </w:rPr>
              <w:t>13 cases, 10 countries</w:t>
            </w:r>
          </w:p>
          <w:p w14:paraId="68326FCF" w14:textId="3A8E5F68" w:rsidR="00A43D69" w:rsidRPr="00A64E03" w:rsidRDefault="00A43D69" w:rsidP="00925A7A">
            <w:pPr>
              <w:pStyle w:val="Tables"/>
              <w:jc w:val="left"/>
            </w:pPr>
            <w:r w:rsidRPr="00A64E03">
              <w:t>Burkina Faso (1993</w:t>
            </w:r>
            <w:r w:rsidR="00AA30A7">
              <w:t>–</w:t>
            </w:r>
            <w:r w:rsidRPr="00A64E03">
              <w:t>1999),  Chad (1997</w:t>
            </w:r>
            <w:r w:rsidR="00AA30A7">
              <w:t>–</w:t>
            </w:r>
            <w:r w:rsidRPr="00A64E03">
              <w:t>2004), Cote d’Ivoire (1994</w:t>
            </w:r>
            <w:r w:rsidR="00AA30A7">
              <w:t>–</w:t>
            </w:r>
            <w:r w:rsidRPr="00A64E03">
              <w:t>1999, 1999</w:t>
            </w:r>
            <w:r w:rsidR="00AA30A7">
              <w:t>–</w:t>
            </w:r>
            <w:r w:rsidRPr="00A64E03">
              <w:t>2012), Ethiopia (2000</w:t>
            </w:r>
            <w:r w:rsidR="00AA30A7">
              <w:t>–</w:t>
            </w:r>
            <w:r w:rsidRPr="00A64E03">
              <w:t>2005), Madagascar (1992</w:t>
            </w:r>
            <w:r w:rsidR="00AA30A7">
              <w:t>–</w:t>
            </w:r>
            <w:r w:rsidRPr="00A64E03">
              <w:t>1997), Niger (1998</w:t>
            </w:r>
            <w:r w:rsidR="00AA30A7">
              <w:t>–</w:t>
            </w:r>
            <w:r w:rsidRPr="00A64E03">
              <w:t>2006), Sierra Leone (2008</w:t>
            </w:r>
            <w:r w:rsidR="00AA30A7">
              <w:t>–</w:t>
            </w:r>
            <w:r w:rsidRPr="00A64E03">
              <w:t>2013), Tanzania (1996</w:t>
            </w:r>
            <w:r w:rsidR="00AA30A7">
              <w:t>–</w:t>
            </w:r>
            <w:r w:rsidRPr="00A64E03">
              <w:t>1999, 2004</w:t>
            </w:r>
            <w:r w:rsidR="00AA30A7">
              <w:t>–</w:t>
            </w:r>
            <w:r w:rsidRPr="00A64E03">
              <w:t>2010), Uganda (1995</w:t>
            </w:r>
            <w:r w:rsidR="00AA30A7">
              <w:t>–</w:t>
            </w:r>
            <w:r w:rsidRPr="00A64E03">
              <w:t>2001, 2001</w:t>
            </w:r>
            <w:r w:rsidR="00AA30A7">
              <w:t>–</w:t>
            </w:r>
            <w:r w:rsidRPr="00A64E03">
              <w:t>2006), Zambia (1996</w:t>
            </w:r>
            <w:r w:rsidR="00AA30A7">
              <w:t>–</w:t>
            </w:r>
            <w:r w:rsidRPr="00A64E03">
              <w:t xml:space="preserve">2002). </w:t>
            </w:r>
          </w:p>
          <w:p w14:paraId="71F856FA" w14:textId="5856E376" w:rsidR="00A43D69" w:rsidRPr="00A64E03" w:rsidRDefault="00A43D69" w:rsidP="00925A7A">
            <w:pPr>
              <w:pStyle w:val="Tables"/>
              <w:jc w:val="left"/>
            </w:pPr>
          </w:p>
          <w:p w14:paraId="5F2D9B8C" w14:textId="18611D9B" w:rsidR="00A43D69" w:rsidRPr="00A64E03" w:rsidRDefault="00A43D69" w:rsidP="00925A7A">
            <w:pPr>
              <w:pStyle w:val="Tables"/>
              <w:jc w:val="left"/>
            </w:pPr>
          </w:p>
          <w:p w14:paraId="73B524E5" w14:textId="60B980D3" w:rsidR="00A43D69" w:rsidRPr="00A64E03" w:rsidRDefault="00A43D69" w:rsidP="00925A7A">
            <w:pPr>
              <w:pStyle w:val="Tables"/>
              <w:jc w:val="left"/>
            </w:pPr>
          </w:p>
          <w:p w14:paraId="075559A2" w14:textId="478FFD5D" w:rsidR="00A43D69" w:rsidRPr="00A64E03" w:rsidRDefault="00A43D69" w:rsidP="00925A7A">
            <w:pPr>
              <w:pStyle w:val="Tables"/>
              <w:jc w:val="left"/>
            </w:pPr>
          </w:p>
          <w:p w14:paraId="705C59D1" w14:textId="79F7A309" w:rsidR="00A43D69" w:rsidRPr="00A64E03" w:rsidRDefault="00A43D69" w:rsidP="00925A7A">
            <w:pPr>
              <w:pStyle w:val="Tables"/>
              <w:jc w:val="left"/>
            </w:pPr>
          </w:p>
          <w:p w14:paraId="21EE8916" w14:textId="77777777" w:rsidR="00A43D69" w:rsidRPr="00A64E03" w:rsidRDefault="00A43D69" w:rsidP="00925A7A">
            <w:pPr>
              <w:pStyle w:val="Tables"/>
              <w:jc w:val="left"/>
            </w:pPr>
          </w:p>
        </w:tc>
        <w:tc>
          <w:tcPr>
            <w:tcW w:w="2552" w:type="dxa"/>
            <w:tcBorders>
              <w:top w:val="nil"/>
              <w:bottom w:val="single" w:sz="4" w:space="0" w:color="auto"/>
            </w:tcBorders>
          </w:tcPr>
          <w:p w14:paraId="570DC2AB" w14:textId="77777777" w:rsidR="00A43D69" w:rsidRPr="00455C25" w:rsidRDefault="00A43D69" w:rsidP="00455C25">
            <w:pPr>
              <w:pStyle w:val="Tables"/>
              <w:jc w:val="center"/>
              <w:rPr>
                <w:b/>
              </w:rPr>
            </w:pPr>
            <w:r w:rsidRPr="00455C25">
              <w:rPr>
                <w:b/>
              </w:rPr>
              <w:t>10 cases, 9 countries</w:t>
            </w:r>
          </w:p>
          <w:p w14:paraId="45F2045F" w14:textId="3DCB7173" w:rsidR="00A43D69" w:rsidRPr="00A64E03" w:rsidRDefault="00A43D69" w:rsidP="00925A7A">
            <w:pPr>
              <w:pStyle w:val="Tables"/>
              <w:jc w:val="left"/>
            </w:pPr>
            <w:r w:rsidRPr="00A64E03">
              <w:t>Benin (2001</w:t>
            </w:r>
            <w:r w:rsidR="00AA30A7">
              <w:t>–</w:t>
            </w:r>
            <w:r w:rsidRPr="00A64E03">
              <w:t>2006), Burkina Faso (2003</w:t>
            </w:r>
            <w:r w:rsidR="00AA30A7">
              <w:t>–</w:t>
            </w:r>
            <w:r w:rsidRPr="00A64E03">
              <w:t>2010), Chad (2004</w:t>
            </w:r>
            <w:r w:rsidR="00AA30A7">
              <w:t>–</w:t>
            </w:r>
            <w:r w:rsidRPr="00A64E03">
              <w:t>2015), Mozambique (1997</w:t>
            </w:r>
            <w:r w:rsidR="00AA30A7">
              <w:t>–</w:t>
            </w:r>
            <w:r w:rsidRPr="00A64E03">
              <w:t>2003,  2003</w:t>
            </w:r>
            <w:r w:rsidR="00AA30A7">
              <w:t>–</w:t>
            </w:r>
            <w:r w:rsidRPr="00A64E03">
              <w:t>2011), Niger (2006</w:t>
            </w:r>
            <w:r w:rsidR="00AA30A7">
              <w:t>–</w:t>
            </w:r>
            <w:r w:rsidRPr="00A64E03">
              <w:t>2012), Nigeria (2003</w:t>
            </w:r>
            <w:r w:rsidR="00AA30A7">
              <w:t>–</w:t>
            </w:r>
            <w:r w:rsidRPr="00A64E03">
              <w:t>2008), Rwanda (2000</w:t>
            </w:r>
            <w:r w:rsidR="00AA30A7">
              <w:t>–</w:t>
            </w:r>
            <w:r w:rsidRPr="00A64E03">
              <w:t>2005), Tanzania (1999</w:t>
            </w:r>
            <w:r w:rsidR="00AA30A7">
              <w:t>–</w:t>
            </w:r>
            <w:r w:rsidRPr="00A64E03">
              <w:t>2004),  Zambia (2002</w:t>
            </w:r>
            <w:r w:rsidR="00AA30A7">
              <w:t>–</w:t>
            </w:r>
            <w:r w:rsidRPr="00A64E03">
              <w:t xml:space="preserve">2007)  </w:t>
            </w:r>
          </w:p>
          <w:p w14:paraId="709E79B7" w14:textId="36DE91A7" w:rsidR="00A43D69" w:rsidRPr="00A64E03" w:rsidRDefault="00A43D69" w:rsidP="00925A7A">
            <w:pPr>
              <w:pStyle w:val="Tables"/>
              <w:jc w:val="left"/>
            </w:pPr>
          </w:p>
          <w:p w14:paraId="0AB04D15" w14:textId="13868245" w:rsidR="00A43D69" w:rsidRPr="00A64E03" w:rsidRDefault="00A43D69" w:rsidP="00925A7A">
            <w:pPr>
              <w:pStyle w:val="Tables"/>
              <w:jc w:val="left"/>
            </w:pPr>
          </w:p>
          <w:p w14:paraId="2889CBD0" w14:textId="2A40594D" w:rsidR="00A43D69" w:rsidRPr="00A64E03" w:rsidRDefault="00A43D69" w:rsidP="00925A7A">
            <w:pPr>
              <w:pStyle w:val="Tables"/>
              <w:jc w:val="left"/>
            </w:pPr>
          </w:p>
          <w:p w14:paraId="495CB258" w14:textId="01AE9659" w:rsidR="00A43D69" w:rsidRPr="00A64E03" w:rsidRDefault="00A43D69" w:rsidP="00925A7A">
            <w:pPr>
              <w:pStyle w:val="Tables"/>
              <w:jc w:val="left"/>
            </w:pPr>
          </w:p>
          <w:p w14:paraId="0432B443" w14:textId="21CA90BA" w:rsidR="00A43D69" w:rsidRPr="00A64E03" w:rsidRDefault="00A43D69" w:rsidP="00925A7A">
            <w:pPr>
              <w:pStyle w:val="Tables"/>
              <w:jc w:val="left"/>
            </w:pPr>
          </w:p>
          <w:p w14:paraId="283A1D19" w14:textId="0452486A" w:rsidR="00A43D69" w:rsidRPr="00A64E03" w:rsidRDefault="00A43D69" w:rsidP="00925A7A">
            <w:pPr>
              <w:pStyle w:val="Tables"/>
              <w:jc w:val="left"/>
            </w:pPr>
          </w:p>
          <w:p w14:paraId="587B08BE" w14:textId="77777777" w:rsidR="00A43D69" w:rsidRPr="00A64E03" w:rsidRDefault="00A43D69" w:rsidP="00925A7A">
            <w:pPr>
              <w:pStyle w:val="Tables"/>
              <w:jc w:val="left"/>
            </w:pPr>
          </w:p>
        </w:tc>
      </w:tr>
      <w:tr w:rsidR="00A43D69" w:rsidRPr="00A64E03" w14:paraId="2BE65460" w14:textId="77777777" w:rsidTr="00455C25">
        <w:tc>
          <w:tcPr>
            <w:tcW w:w="1333" w:type="dxa"/>
            <w:tcBorders>
              <w:bottom w:val="nil"/>
            </w:tcBorders>
          </w:tcPr>
          <w:p w14:paraId="65366FE8" w14:textId="77777777" w:rsidR="00A43D69" w:rsidRPr="00A64E03" w:rsidRDefault="00A43D69" w:rsidP="00925A7A">
            <w:pPr>
              <w:pStyle w:val="Tables"/>
              <w:jc w:val="left"/>
            </w:pPr>
          </w:p>
        </w:tc>
        <w:tc>
          <w:tcPr>
            <w:tcW w:w="2636" w:type="dxa"/>
            <w:tcBorders>
              <w:bottom w:val="nil"/>
            </w:tcBorders>
          </w:tcPr>
          <w:p w14:paraId="74700114" w14:textId="15D1AA52" w:rsidR="00A43D69" w:rsidRPr="00455C25" w:rsidRDefault="00455C25" w:rsidP="00455C25">
            <w:pPr>
              <w:pStyle w:val="Tables"/>
              <w:jc w:val="center"/>
              <w:rPr>
                <w:b/>
              </w:rPr>
            </w:pPr>
            <w:r w:rsidRPr="00455C25">
              <w:rPr>
                <w:b/>
              </w:rPr>
              <w:t>10 cases, 9 countries</w:t>
            </w:r>
          </w:p>
        </w:tc>
        <w:tc>
          <w:tcPr>
            <w:tcW w:w="5070" w:type="dxa"/>
            <w:gridSpan w:val="2"/>
            <w:tcBorders>
              <w:bottom w:val="nil"/>
            </w:tcBorders>
          </w:tcPr>
          <w:p w14:paraId="07E65F65" w14:textId="77777777" w:rsidR="00A43D69" w:rsidRPr="00455C25" w:rsidRDefault="00A43D69" w:rsidP="00396BFB">
            <w:pPr>
              <w:pStyle w:val="Tables"/>
              <w:jc w:val="center"/>
              <w:rPr>
                <w:b/>
              </w:rPr>
            </w:pPr>
            <w:r w:rsidRPr="00455C25">
              <w:rPr>
                <w:b/>
              </w:rPr>
              <w:t>14 cases, 10 countries</w:t>
            </w:r>
          </w:p>
        </w:tc>
      </w:tr>
      <w:tr w:rsidR="00A43D69" w:rsidRPr="00844A07" w14:paraId="66736E15" w14:textId="77777777" w:rsidTr="00455C25">
        <w:tc>
          <w:tcPr>
            <w:tcW w:w="1333" w:type="dxa"/>
            <w:tcBorders>
              <w:top w:val="nil"/>
            </w:tcBorders>
          </w:tcPr>
          <w:p w14:paraId="3E3FA092" w14:textId="32BB971E" w:rsidR="00A43D69" w:rsidRPr="00A64E03" w:rsidRDefault="00455C25" w:rsidP="00455C25">
            <w:pPr>
              <w:pStyle w:val="Tables"/>
              <w:jc w:val="left"/>
            </w:pPr>
            <w:r>
              <w:t>Mid Transition</w:t>
            </w:r>
          </w:p>
        </w:tc>
        <w:tc>
          <w:tcPr>
            <w:tcW w:w="2636" w:type="dxa"/>
            <w:tcBorders>
              <w:top w:val="nil"/>
            </w:tcBorders>
          </w:tcPr>
          <w:p w14:paraId="56B38476" w14:textId="47D2C449" w:rsidR="00A43D69" w:rsidRPr="00241D4B" w:rsidRDefault="00A43D69" w:rsidP="00AF1E04">
            <w:pPr>
              <w:pStyle w:val="Tables"/>
              <w:jc w:val="left"/>
            </w:pPr>
            <w:r w:rsidRPr="00A64E03">
              <w:t>Comoros (1996</w:t>
            </w:r>
            <w:r w:rsidR="00AA30A7">
              <w:t>–</w:t>
            </w:r>
            <w:r w:rsidRPr="00A64E03">
              <w:t>2012), Ghana (2003</w:t>
            </w:r>
            <w:r w:rsidR="00AA30A7">
              <w:t>–</w:t>
            </w:r>
            <w:r w:rsidRPr="00A64E03">
              <w:t>2008), Kenya (2003</w:t>
            </w:r>
            <w:r w:rsidR="00AA30A7">
              <w:t>–</w:t>
            </w:r>
            <w:r w:rsidRPr="00A64E03">
              <w:t>2009, 2009</w:t>
            </w:r>
            <w:r w:rsidR="00AA30A7">
              <w:t>–</w:t>
            </w:r>
            <w:r w:rsidRPr="00A64E03">
              <w:t xml:space="preserve">2014), </w:t>
            </w:r>
            <w:r>
              <w:t>Lesotho (2004</w:t>
            </w:r>
            <w:r w:rsidR="00AA30A7">
              <w:t>–</w:t>
            </w:r>
            <w:r>
              <w:t xml:space="preserve">2009), </w:t>
            </w:r>
            <w:r w:rsidRPr="00A64E03">
              <w:t>Namibia (2000</w:t>
            </w:r>
            <w:r w:rsidR="00AA30A7">
              <w:t>–</w:t>
            </w:r>
            <w:r w:rsidRPr="00A64E03">
              <w:t>2007), Rwanda (2011</w:t>
            </w:r>
            <w:r w:rsidR="00AA30A7">
              <w:t>–</w:t>
            </w:r>
            <w:r w:rsidRPr="00A64E03">
              <w:t>2015), Senegal (2013</w:t>
            </w:r>
            <w:r w:rsidR="00AA30A7">
              <w:t>–</w:t>
            </w:r>
            <w:r w:rsidRPr="00A64E03">
              <w:t xml:space="preserve">2015), </w:t>
            </w:r>
            <w:r w:rsidR="00503D24">
              <w:t>South Africa (1998</w:t>
            </w:r>
            <w:r w:rsidR="00AA30A7">
              <w:t>–</w:t>
            </w:r>
            <w:r w:rsidR="00503D24">
              <w:t xml:space="preserve">2016), </w:t>
            </w:r>
            <w:r w:rsidRPr="00A64E03">
              <w:t>Zimbabwe (1994</w:t>
            </w:r>
            <w:r w:rsidR="00AA30A7">
              <w:t>–</w:t>
            </w:r>
            <w:r w:rsidRPr="00A64E03">
              <w:t>1999)</w:t>
            </w:r>
          </w:p>
        </w:tc>
        <w:tc>
          <w:tcPr>
            <w:tcW w:w="2518" w:type="dxa"/>
            <w:tcBorders>
              <w:top w:val="nil"/>
            </w:tcBorders>
          </w:tcPr>
          <w:p w14:paraId="3FED9030" w14:textId="77777777" w:rsidR="00A43D69" w:rsidRPr="00455C25" w:rsidRDefault="00A43D69" w:rsidP="00455C25">
            <w:pPr>
              <w:pStyle w:val="Tables"/>
              <w:jc w:val="center"/>
              <w:rPr>
                <w:b/>
              </w:rPr>
            </w:pPr>
            <w:r w:rsidRPr="00455C25">
              <w:rPr>
                <w:b/>
              </w:rPr>
              <w:t>5 cases, 4 countries</w:t>
            </w:r>
          </w:p>
          <w:p w14:paraId="17C15BCE" w14:textId="05E67301" w:rsidR="00A43D69" w:rsidRPr="00A64E03" w:rsidRDefault="00A43D69" w:rsidP="00925A7A">
            <w:pPr>
              <w:pStyle w:val="Tables"/>
              <w:jc w:val="left"/>
            </w:pPr>
            <w:r w:rsidRPr="00A64E03">
              <w:t>Ethiopia (2011</w:t>
            </w:r>
            <w:r w:rsidR="00AA30A7">
              <w:t>–</w:t>
            </w:r>
            <w:r w:rsidRPr="00A64E03">
              <w:t>2016), Gabon (2000</w:t>
            </w:r>
            <w:r w:rsidR="00AA30A7">
              <w:t>–</w:t>
            </w:r>
            <w:r w:rsidRPr="00A64E03">
              <w:t>2012), Lesotho (2009</w:t>
            </w:r>
            <w:r w:rsidR="00AA30A7">
              <w:t>–</w:t>
            </w:r>
            <w:r w:rsidRPr="00A64E03">
              <w:t>2014), Zimbabwe (1999</w:t>
            </w:r>
            <w:r w:rsidR="00AA30A7">
              <w:t>–</w:t>
            </w:r>
            <w:r w:rsidRPr="00A64E03">
              <w:t>2005, 2011</w:t>
            </w:r>
            <w:r w:rsidR="00AA30A7">
              <w:t>–</w:t>
            </w:r>
            <w:r w:rsidRPr="00A64E03">
              <w:t>2015)</w:t>
            </w:r>
          </w:p>
          <w:p w14:paraId="6FEBA38F" w14:textId="65313A79" w:rsidR="00A43D69" w:rsidRPr="00A64E03" w:rsidRDefault="00A43D69" w:rsidP="00925A7A">
            <w:pPr>
              <w:pStyle w:val="Tables"/>
              <w:jc w:val="left"/>
            </w:pPr>
          </w:p>
          <w:p w14:paraId="3DEE87DB" w14:textId="77777777" w:rsidR="00A43D69" w:rsidRPr="00A64E03" w:rsidRDefault="00A43D69" w:rsidP="00925A7A">
            <w:pPr>
              <w:pStyle w:val="Tables"/>
              <w:jc w:val="left"/>
            </w:pPr>
          </w:p>
        </w:tc>
        <w:tc>
          <w:tcPr>
            <w:tcW w:w="2552" w:type="dxa"/>
            <w:tcBorders>
              <w:top w:val="nil"/>
            </w:tcBorders>
            <w:shd w:val="clear" w:color="auto" w:fill="F2F2F2" w:themeFill="background1" w:themeFillShade="F2"/>
          </w:tcPr>
          <w:p w14:paraId="02DEAD69" w14:textId="77777777" w:rsidR="00A43D69" w:rsidRPr="00455C25" w:rsidRDefault="00A43D69" w:rsidP="00455C25">
            <w:pPr>
              <w:pStyle w:val="Tables"/>
              <w:jc w:val="center"/>
              <w:rPr>
                <w:b/>
              </w:rPr>
            </w:pPr>
            <w:r w:rsidRPr="00455C25">
              <w:rPr>
                <w:b/>
              </w:rPr>
              <w:t>9 cases, 7 countries</w:t>
            </w:r>
          </w:p>
          <w:p w14:paraId="33AF483F" w14:textId="5833C7A4" w:rsidR="00A43D69" w:rsidRPr="00241D4B" w:rsidRDefault="00A43D69" w:rsidP="002235C8">
            <w:pPr>
              <w:pStyle w:val="Tables"/>
              <w:jc w:val="left"/>
            </w:pPr>
            <w:r w:rsidRPr="00A64E03">
              <w:t>Cameroon (1998</w:t>
            </w:r>
            <w:r w:rsidR="00AA30A7">
              <w:t>–</w:t>
            </w:r>
            <w:r w:rsidRPr="00A64E03">
              <w:t>2004, 2004</w:t>
            </w:r>
            <w:r w:rsidR="00AA30A7">
              <w:t>–</w:t>
            </w:r>
            <w:r w:rsidRPr="00A64E03">
              <w:t>2011), Congo (2005</w:t>
            </w:r>
            <w:r w:rsidR="00AA30A7">
              <w:t>–</w:t>
            </w:r>
            <w:r w:rsidRPr="00A64E03">
              <w:t>2011), Ghana (199</w:t>
            </w:r>
            <w:r>
              <w:t>8</w:t>
            </w:r>
            <w:r w:rsidR="00AA30A7">
              <w:t>–</w:t>
            </w:r>
            <w:r w:rsidRPr="00A64E03">
              <w:t>2003, 2008</w:t>
            </w:r>
            <w:r w:rsidR="00AA30A7">
              <w:t>–</w:t>
            </w:r>
            <w:r w:rsidRPr="00A64E03">
              <w:t>2014), Kenya (1998</w:t>
            </w:r>
            <w:r w:rsidR="00AA30A7">
              <w:t>–</w:t>
            </w:r>
            <w:r w:rsidRPr="00A64E03">
              <w:t>2003), Namibia (2007</w:t>
            </w:r>
            <w:r w:rsidR="00AA30A7">
              <w:t>–</w:t>
            </w:r>
            <w:r w:rsidRPr="00A64E03">
              <w:t>2013), Senegal (2011</w:t>
            </w:r>
            <w:r w:rsidR="00AA30A7">
              <w:t>–</w:t>
            </w:r>
            <w:r w:rsidRPr="00A64E03">
              <w:t>2013), Zimbabwe (2005</w:t>
            </w:r>
            <w:r w:rsidR="00AA30A7">
              <w:t>–</w:t>
            </w:r>
            <w:r w:rsidRPr="00A64E03">
              <w:t>2011).</w:t>
            </w:r>
          </w:p>
        </w:tc>
      </w:tr>
    </w:tbl>
    <w:p w14:paraId="7552FA43" w14:textId="77777777" w:rsidR="00A43D69" w:rsidRPr="00241D4B" w:rsidRDefault="00A43D69" w:rsidP="00925A7A">
      <w:pPr>
        <w:jc w:val="left"/>
        <w:rPr>
          <w:snapToGrid w:val="0"/>
          <w:w w:val="0"/>
          <w:u w:color="000000"/>
          <w:bdr w:val="none" w:sz="0" w:space="0" w:color="000000"/>
          <w:shd w:val="clear" w:color="000000" w:fill="000000"/>
        </w:rPr>
      </w:pPr>
    </w:p>
    <w:p w14:paraId="0B57C5FE" w14:textId="77777777" w:rsidR="00A43D69" w:rsidRDefault="00A43D69" w:rsidP="00925A7A">
      <w:pPr>
        <w:spacing w:after="200" w:line="276" w:lineRule="auto"/>
        <w:jc w:val="left"/>
      </w:pPr>
      <w:r>
        <w:br w:type="page"/>
      </w:r>
    </w:p>
    <w:p w14:paraId="4153593F" w14:textId="4007FC56" w:rsidR="00A43D69" w:rsidRPr="00C30DE5" w:rsidRDefault="00A43D69" w:rsidP="00ED01CC">
      <w:pPr>
        <w:spacing w:line="360" w:lineRule="auto"/>
        <w:jc w:val="left"/>
        <w:rPr>
          <w:rStyle w:val="Rfrenceintense"/>
        </w:rPr>
      </w:pPr>
      <w:bookmarkStart w:id="7" w:name="_Ref506558122"/>
      <w:proofErr w:type="gramStart"/>
      <w:r w:rsidRPr="00C30DE5">
        <w:rPr>
          <w:rStyle w:val="Rfrenceintense"/>
        </w:rPr>
        <w:lastRenderedPageBreak/>
        <w:t xml:space="preserve">Table </w:t>
      </w:r>
      <w:r w:rsidRPr="00C30DE5">
        <w:rPr>
          <w:rStyle w:val="Rfrenceintense"/>
        </w:rPr>
        <w:fldChar w:fldCharType="begin"/>
      </w:r>
      <w:r w:rsidRPr="00C30DE5">
        <w:rPr>
          <w:rStyle w:val="Rfrenceintense"/>
        </w:rPr>
        <w:instrText xml:space="preserve"> SEQ Table \* ARABIC </w:instrText>
      </w:r>
      <w:r w:rsidRPr="00C30DE5">
        <w:rPr>
          <w:rStyle w:val="Rfrenceintense"/>
        </w:rPr>
        <w:fldChar w:fldCharType="separate"/>
      </w:r>
      <w:r w:rsidR="00943572">
        <w:rPr>
          <w:rStyle w:val="Rfrenceintense"/>
          <w:noProof/>
        </w:rPr>
        <w:t>3</w:t>
      </w:r>
      <w:r w:rsidRPr="00C30DE5">
        <w:rPr>
          <w:rStyle w:val="Rfrenceintense"/>
        </w:rPr>
        <w:fldChar w:fldCharType="end"/>
      </w:r>
      <w:bookmarkEnd w:id="7"/>
      <w:r w:rsidRPr="00C30DE5">
        <w:rPr>
          <w:rStyle w:val="Rfrenceintense"/>
        </w:rPr>
        <w:t>.</w:t>
      </w:r>
      <w:proofErr w:type="gramEnd"/>
      <w:r w:rsidR="004C0B8C">
        <w:rPr>
          <w:rStyle w:val="Rfrenceintense"/>
        </w:rPr>
        <w:t xml:space="preserve"> </w:t>
      </w:r>
      <w:r w:rsidR="00C23393">
        <w:rPr>
          <w:rStyle w:val="Rfrenceintense"/>
        </w:rPr>
        <w:t>N</w:t>
      </w:r>
      <w:r w:rsidRPr="00C30DE5">
        <w:rPr>
          <w:rStyle w:val="Rfrenceintense"/>
        </w:rPr>
        <w:t xml:space="preserve">umber of cases of stalls and countries experiencing stalls using various definitions of stalls </w:t>
      </w:r>
    </w:p>
    <w:tbl>
      <w:tblPr>
        <w:tblStyle w:val="Grilledutableau"/>
        <w:tblW w:w="0" w:type="auto"/>
        <w:jc w:val="center"/>
        <w:tblLook w:val="04A0" w:firstRow="1" w:lastRow="0" w:firstColumn="1" w:lastColumn="0" w:noHBand="0" w:noVBand="1"/>
      </w:tblPr>
      <w:tblGrid>
        <w:gridCol w:w="2387"/>
        <w:gridCol w:w="1285"/>
        <w:gridCol w:w="1367"/>
      </w:tblGrid>
      <w:tr w:rsidR="00A43D69" w:rsidRPr="0012018E" w14:paraId="02283997" w14:textId="77777777" w:rsidTr="00C357F6">
        <w:trPr>
          <w:jc w:val="center"/>
        </w:trPr>
        <w:tc>
          <w:tcPr>
            <w:tcW w:w="2387" w:type="dxa"/>
          </w:tcPr>
          <w:p w14:paraId="359393AA" w14:textId="77777777" w:rsidR="00A43D69" w:rsidRPr="0012018E" w:rsidRDefault="00A43D69" w:rsidP="00925A7A">
            <w:pPr>
              <w:pStyle w:val="Tables"/>
              <w:jc w:val="left"/>
            </w:pPr>
            <w:r w:rsidRPr="0012018E">
              <w:t>Types of stalls</w:t>
            </w:r>
          </w:p>
        </w:tc>
        <w:tc>
          <w:tcPr>
            <w:tcW w:w="1285" w:type="dxa"/>
          </w:tcPr>
          <w:p w14:paraId="7994A90F" w14:textId="77777777" w:rsidR="00A43D69" w:rsidRPr="0012018E" w:rsidRDefault="00A43D69" w:rsidP="00925A7A">
            <w:pPr>
              <w:pStyle w:val="Tables"/>
              <w:jc w:val="left"/>
            </w:pPr>
            <w:r w:rsidRPr="0012018E">
              <w:t>Cumulated number of countries</w:t>
            </w:r>
          </w:p>
        </w:tc>
        <w:tc>
          <w:tcPr>
            <w:tcW w:w="1367" w:type="dxa"/>
          </w:tcPr>
          <w:p w14:paraId="5726AF84" w14:textId="77777777" w:rsidR="00A43D69" w:rsidRPr="0012018E" w:rsidRDefault="00A43D69" w:rsidP="00925A7A">
            <w:pPr>
              <w:pStyle w:val="Tables"/>
              <w:jc w:val="left"/>
            </w:pPr>
            <w:r w:rsidRPr="0012018E">
              <w:t>Cumulated number of cases</w:t>
            </w:r>
          </w:p>
        </w:tc>
      </w:tr>
      <w:tr w:rsidR="00A43D69" w:rsidRPr="0012018E" w14:paraId="42ED6557" w14:textId="77777777" w:rsidTr="00C357F6">
        <w:trPr>
          <w:jc w:val="center"/>
        </w:trPr>
        <w:tc>
          <w:tcPr>
            <w:tcW w:w="2387" w:type="dxa"/>
          </w:tcPr>
          <w:p w14:paraId="5C361924" w14:textId="1D938953" w:rsidR="00A43D69" w:rsidRPr="0012018E" w:rsidRDefault="00A43D69" w:rsidP="002235C8">
            <w:pPr>
              <w:pStyle w:val="Tables"/>
              <w:jc w:val="left"/>
            </w:pPr>
            <w:r w:rsidRPr="0012018E">
              <w:t>Mid</w:t>
            </w:r>
            <w:r w:rsidR="002235C8">
              <w:t>-</w:t>
            </w:r>
            <w:r w:rsidRPr="0012018E">
              <w:t>transition stalls</w:t>
            </w:r>
          </w:p>
        </w:tc>
        <w:tc>
          <w:tcPr>
            <w:tcW w:w="1285" w:type="dxa"/>
          </w:tcPr>
          <w:p w14:paraId="226F5844" w14:textId="77777777" w:rsidR="00A43D69" w:rsidRPr="0012018E" w:rsidRDefault="00A43D69" w:rsidP="00925A7A">
            <w:pPr>
              <w:pStyle w:val="Tables"/>
              <w:jc w:val="left"/>
            </w:pPr>
            <w:r>
              <w:t>7</w:t>
            </w:r>
            <w:r w:rsidRPr="0012018E">
              <w:t xml:space="preserve"> countries</w:t>
            </w:r>
          </w:p>
        </w:tc>
        <w:tc>
          <w:tcPr>
            <w:tcW w:w="1367" w:type="dxa"/>
          </w:tcPr>
          <w:p w14:paraId="2499FF8C" w14:textId="77777777" w:rsidR="00A43D69" w:rsidRPr="0012018E" w:rsidRDefault="00A43D69" w:rsidP="00925A7A">
            <w:pPr>
              <w:pStyle w:val="Tables"/>
              <w:jc w:val="left"/>
            </w:pPr>
            <w:r>
              <w:t>9</w:t>
            </w:r>
            <w:r w:rsidRPr="0012018E">
              <w:t xml:space="preserve"> cases</w:t>
            </w:r>
          </w:p>
        </w:tc>
      </w:tr>
      <w:tr w:rsidR="00A43D69" w:rsidRPr="0012018E" w14:paraId="0F4DEF82" w14:textId="77777777" w:rsidTr="00C357F6">
        <w:trPr>
          <w:jc w:val="center"/>
        </w:trPr>
        <w:tc>
          <w:tcPr>
            <w:tcW w:w="2387" w:type="dxa"/>
          </w:tcPr>
          <w:p w14:paraId="28559F63" w14:textId="77777777" w:rsidR="00A43D69" w:rsidRPr="0012018E" w:rsidRDefault="00A43D69" w:rsidP="00925A7A">
            <w:pPr>
              <w:pStyle w:val="Tables"/>
              <w:jc w:val="left"/>
            </w:pPr>
            <w:r w:rsidRPr="0012018E">
              <w:t>+ Mid-transition slight stalls</w:t>
            </w:r>
          </w:p>
        </w:tc>
        <w:tc>
          <w:tcPr>
            <w:tcW w:w="1285" w:type="dxa"/>
          </w:tcPr>
          <w:p w14:paraId="77D05834" w14:textId="77777777" w:rsidR="00A43D69" w:rsidRPr="0012018E" w:rsidRDefault="00A43D69" w:rsidP="00925A7A">
            <w:pPr>
              <w:pStyle w:val="Tables"/>
              <w:jc w:val="left"/>
            </w:pPr>
            <w:r w:rsidRPr="0012018E">
              <w:t>1</w:t>
            </w:r>
            <w:r>
              <w:t>0</w:t>
            </w:r>
            <w:r w:rsidRPr="0012018E">
              <w:t xml:space="preserve"> countries</w:t>
            </w:r>
          </w:p>
        </w:tc>
        <w:tc>
          <w:tcPr>
            <w:tcW w:w="1367" w:type="dxa"/>
          </w:tcPr>
          <w:p w14:paraId="0ED4A86C" w14:textId="77777777" w:rsidR="00A43D69" w:rsidRPr="0012018E" w:rsidRDefault="00A43D69" w:rsidP="00925A7A">
            <w:pPr>
              <w:pStyle w:val="Tables"/>
              <w:jc w:val="left"/>
            </w:pPr>
            <w:r w:rsidRPr="0012018E">
              <w:t>1</w:t>
            </w:r>
            <w:r>
              <w:t>4</w:t>
            </w:r>
            <w:r w:rsidRPr="0012018E">
              <w:t xml:space="preserve"> cases</w:t>
            </w:r>
          </w:p>
        </w:tc>
      </w:tr>
      <w:tr w:rsidR="00A43D69" w:rsidRPr="0012018E" w14:paraId="6255FEE6" w14:textId="77777777" w:rsidTr="00C357F6">
        <w:trPr>
          <w:jc w:val="center"/>
        </w:trPr>
        <w:tc>
          <w:tcPr>
            <w:tcW w:w="2387" w:type="dxa"/>
          </w:tcPr>
          <w:p w14:paraId="3BEA1183" w14:textId="0D683827" w:rsidR="00A43D69" w:rsidRPr="0012018E" w:rsidRDefault="00A43D69" w:rsidP="00925A7A">
            <w:pPr>
              <w:pStyle w:val="Tables"/>
              <w:jc w:val="left"/>
            </w:pPr>
            <w:r w:rsidRPr="0012018E">
              <w:t>+ Early</w:t>
            </w:r>
            <w:r w:rsidR="00C5524C">
              <w:t>-</w:t>
            </w:r>
            <w:r w:rsidRPr="0012018E">
              <w:t>transition stalls</w:t>
            </w:r>
          </w:p>
        </w:tc>
        <w:tc>
          <w:tcPr>
            <w:tcW w:w="1285" w:type="dxa"/>
          </w:tcPr>
          <w:p w14:paraId="1DAEACC7" w14:textId="77777777" w:rsidR="00A43D69" w:rsidRPr="0012018E" w:rsidRDefault="00A43D69" w:rsidP="00925A7A">
            <w:pPr>
              <w:pStyle w:val="Tables"/>
              <w:jc w:val="left"/>
            </w:pPr>
            <w:r>
              <w:t>19</w:t>
            </w:r>
            <w:r w:rsidRPr="0012018E">
              <w:t xml:space="preserve"> countries</w:t>
            </w:r>
          </w:p>
        </w:tc>
        <w:tc>
          <w:tcPr>
            <w:tcW w:w="1367" w:type="dxa"/>
          </w:tcPr>
          <w:p w14:paraId="51270E22" w14:textId="77777777" w:rsidR="00A43D69" w:rsidRPr="0012018E" w:rsidRDefault="00A43D69" w:rsidP="00925A7A">
            <w:pPr>
              <w:pStyle w:val="Tables"/>
              <w:jc w:val="left"/>
            </w:pPr>
            <w:r w:rsidRPr="0012018E">
              <w:t>2</w:t>
            </w:r>
            <w:r>
              <w:t>4</w:t>
            </w:r>
            <w:r w:rsidRPr="0012018E">
              <w:t xml:space="preserve"> cases</w:t>
            </w:r>
          </w:p>
        </w:tc>
      </w:tr>
      <w:tr w:rsidR="00A43D69" w:rsidRPr="0012018E" w14:paraId="069463F3" w14:textId="77777777" w:rsidTr="00C357F6">
        <w:trPr>
          <w:jc w:val="center"/>
        </w:trPr>
        <w:tc>
          <w:tcPr>
            <w:tcW w:w="2387" w:type="dxa"/>
          </w:tcPr>
          <w:p w14:paraId="1820A183" w14:textId="723ED987" w:rsidR="00A43D69" w:rsidRPr="0012018E" w:rsidRDefault="00A43D69" w:rsidP="00925A7A">
            <w:pPr>
              <w:pStyle w:val="Tables"/>
              <w:jc w:val="left"/>
            </w:pPr>
            <w:r w:rsidRPr="0012018E">
              <w:t>+ Early</w:t>
            </w:r>
            <w:r w:rsidR="00C5524C">
              <w:t>-</w:t>
            </w:r>
            <w:r w:rsidRPr="0012018E">
              <w:t>transition slight stalls</w:t>
            </w:r>
          </w:p>
        </w:tc>
        <w:tc>
          <w:tcPr>
            <w:tcW w:w="1285" w:type="dxa"/>
          </w:tcPr>
          <w:p w14:paraId="36E0DDE8" w14:textId="77777777" w:rsidR="00A43D69" w:rsidRPr="0012018E" w:rsidRDefault="00A43D69" w:rsidP="00925A7A">
            <w:pPr>
              <w:pStyle w:val="Tables"/>
              <w:jc w:val="left"/>
            </w:pPr>
            <w:r w:rsidRPr="0012018E">
              <w:t>2</w:t>
            </w:r>
            <w:r>
              <w:t>3</w:t>
            </w:r>
            <w:r w:rsidRPr="0012018E">
              <w:t xml:space="preserve"> countries</w:t>
            </w:r>
          </w:p>
        </w:tc>
        <w:tc>
          <w:tcPr>
            <w:tcW w:w="1367" w:type="dxa"/>
          </w:tcPr>
          <w:p w14:paraId="6BADD369" w14:textId="77777777" w:rsidR="00A43D69" w:rsidRPr="0012018E" w:rsidRDefault="00A43D69" w:rsidP="00925A7A">
            <w:pPr>
              <w:pStyle w:val="Tables"/>
              <w:jc w:val="left"/>
            </w:pPr>
            <w:r>
              <w:t>37</w:t>
            </w:r>
            <w:r w:rsidRPr="0012018E">
              <w:t xml:space="preserve"> cases</w:t>
            </w:r>
          </w:p>
        </w:tc>
      </w:tr>
    </w:tbl>
    <w:p w14:paraId="05CB1E0C" w14:textId="77777777" w:rsidR="00A43D69" w:rsidRDefault="00A43D69" w:rsidP="00925A7A">
      <w:pPr>
        <w:jc w:val="left"/>
      </w:pPr>
    </w:p>
    <w:p w14:paraId="5C4C71BF" w14:textId="77777777" w:rsidR="005B18E3" w:rsidRDefault="005B18E3" w:rsidP="00925A7A">
      <w:pPr>
        <w:spacing w:after="200" w:line="276" w:lineRule="auto"/>
        <w:jc w:val="left"/>
      </w:pPr>
      <w:r>
        <w:br w:type="page"/>
      </w:r>
    </w:p>
    <w:p w14:paraId="7BB49FD9" w14:textId="77777777" w:rsidR="005B18E3" w:rsidRPr="00C30DE5" w:rsidRDefault="005B18E3" w:rsidP="00925A7A">
      <w:pPr>
        <w:jc w:val="left"/>
        <w:rPr>
          <w:rStyle w:val="Rfrenceintense"/>
        </w:rPr>
      </w:pPr>
      <w:bookmarkStart w:id="8" w:name="_Ref516059843"/>
      <w:r w:rsidRPr="00C30DE5">
        <w:rPr>
          <w:rStyle w:val="Rfrenceintense"/>
        </w:rPr>
        <w:lastRenderedPageBreak/>
        <w:t xml:space="preserve">Table </w:t>
      </w:r>
      <w:r w:rsidRPr="00C30DE5">
        <w:rPr>
          <w:rStyle w:val="Rfrenceintense"/>
        </w:rPr>
        <w:fldChar w:fldCharType="begin"/>
      </w:r>
      <w:r w:rsidRPr="00C30DE5">
        <w:rPr>
          <w:rStyle w:val="Rfrenceintense"/>
        </w:rPr>
        <w:instrText xml:space="preserve"> SEQ Table \* ARABIC </w:instrText>
      </w:r>
      <w:r w:rsidRPr="00C30DE5">
        <w:rPr>
          <w:rStyle w:val="Rfrenceintense"/>
        </w:rPr>
        <w:fldChar w:fldCharType="separate"/>
      </w:r>
      <w:r w:rsidR="00943572">
        <w:rPr>
          <w:rStyle w:val="Rfrenceintense"/>
          <w:noProof/>
        </w:rPr>
        <w:t>4</w:t>
      </w:r>
      <w:r w:rsidRPr="00C30DE5">
        <w:rPr>
          <w:rStyle w:val="Rfrenceintense"/>
        </w:rPr>
        <w:fldChar w:fldCharType="end"/>
      </w:r>
      <w:bookmarkEnd w:id="8"/>
      <w:r w:rsidRPr="00C30DE5">
        <w:rPr>
          <w:rStyle w:val="Rfrenceintense"/>
        </w:rPr>
        <w:t>. Consistency in fertility trends across sources in Zimbabwe</w:t>
      </w:r>
    </w:p>
    <w:tbl>
      <w:tblPr>
        <w:tblW w:w="7926"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51"/>
        <w:gridCol w:w="1015"/>
        <w:gridCol w:w="1015"/>
        <w:gridCol w:w="1015"/>
        <w:gridCol w:w="1015"/>
        <w:gridCol w:w="1115"/>
      </w:tblGrid>
      <w:tr w:rsidR="005B18E3" w:rsidRPr="00DF751F" w14:paraId="0B525015" w14:textId="77777777" w:rsidTr="00C357F6">
        <w:trPr>
          <w:trHeight w:val="300"/>
          <w:jc w:val="center"/>
        </w:trPr>
        <w:tc>
          <w:tcPr>
            <w:tcW w:w="2751" w:type="dxa"/>
          </w:tcPr>
          <w:p w14:paraId="5B654483" w14:textId="77777777" w:rsidR="005B18E3" w:rsidRPr="000E7722" w:rsidRDefault="005B18E3" w:rsidP="00925A7A">
            <w:pPr>
              <w:pStyle w:val="Tables"/>
              <w:jc w:val="left"/>
              <w:rPr>
                <w:lang w:eastAsia="fr-BE"/>
              </w:rPr>
            </w:pPr>
          </w:p>
        </w:tc>
        <w:tc>
          <w:tcPr>
            <w:tcW w:w="5175" w:type="dxa"/>
            <w:gridSpan w:val="5"/>
            <w:shd w:val="clear" w:color="auto" w:fill="auto"/>
            <w:noWrap/>
            <w:vAlign w:val="bottom"/>
            <w:hideMark/>
          </w:tcPr>
          <w:p w14:paraId="57023905" w14:textId="77777777" w:rsidR="005B18E3" w:rsidRPr="00DF751F" w:rsidRDefault="005B18E3" w:rsidP="00027D11">
            <w:pPr>
              <w:pStyle w:val="Tables"/>
              <w:jc w:val="center"/>
              <w:rPr>
                <w:lang w:val="fr-BE" w:eastAsia="fr-BE"/>
              </w:rPr>
            </w:pPr>
            <w:r>
              <w:rPr>
                <w:lang w:val="fr-BE" w:eastAsia="fr-BE"/>
              </w:rPr>
              <w:t>Period</w:t>
            </w:r>
          </w:p>
        </w:tc>
      </w:tr>
      <w:tr w:rsidR="005B18E3" w:rsidRPr="00DF751F" w14:paraId="7C204EB9" w14:textId="77777777" w:rsidTr="00C357F6">
        <w:trPr>
          <w:trHeight w:val="300"/>
          <w:jc w:val="center"/>
        </w:trPr>
        <w:tc>
          <w:tcPr>
            <w:tcW w:w="2751" w:type="dxa"/>
            <w:tcBorders>
              <w:bottom w:val="single" w:sz="4" w:space="0" w:color="auto"/>
            </w:tcBorders>
          </w:tcPr>
          <w:p w14:paraId="6FD6F23E" w14:textId="77777777" w:rsidR="005B18E3" w:rsidRPr="00DF751F" w:rsidRDefault="005B18E3" w:rsidP="00925A7A">
            <w:pPr>
              <w:pStyle w:val="Tables"/>
              <w:jc w:val="left"/>
              <w:rPr>
                <w:lang w:val="fr-BE" w:eastAsia="fr-BE"/>
              </w:rPr>
            </w:pPr>
          </w:p>
        </w:tc>
        <w:tc>
          <w:tcPr>
            <w:tcW w:w="1015" w:type="dxa"/>
            <w:tcBorders>
              <w:bottom w:val="single" w:sz="4" w:space="0" w:color="auto"/>
            </w:tcBorders>
            <w:shd w:val="clear" w:color="auto" w:fill="auto"/>
            <w:noWrap/>
            <w:vAlign w:val="bottom"/>
            <w:hideMark/>
          </w:tcPr>
          <w:p w14:paraId="241832B4" w14:textId="702BF412" w:rsidR="005B18E3" w:rsidRPr="00DF751F" w:rsidRDefault="005B18E3" w:rsidP="00925A7A">
            <w:pPr>
              <w:pStyle w:val="Tables"/>
              <w:jc w:val="left"/>
              <w:rPr>
                <w:lang w:val="fr-BE" w:eastAsia="fr-BE"/>
              </w:rPr>
            </w:pPr>
            <w:r w:rsidRPr="00DF751F">
              <w:rPr>
                <w:lang w:val="fr-BE" w:eastAsia="fr-BE"/>
              </w:rPr>
              <w:t>1988</w:t>
            </w:r>
            <w:r w:rsidR="008A3F82">
              <w:rPr>
                <w:lang w:val="fr-BE" w:eastAsia="fr-BE"/>
              </w:rPr>
              <w:t>–</w:t>
            </w:r>
            <w:r w:rsidRPr="00DF751F">
              <w:rPr>
                <w:lang w:val="fr-BE" w:eastAsia="fr-BE"/>
              </w:rPr>
              <w:t>1994</w:t>
            </w:r>
          </w:p>
        </w:tc>
        <w:tc>
          <w:tcPr>
            <w:tcW w:w="1015" w:type="dxa"/>
            <w:tcBorders>
              <w:bottom w:val="single" w:sz="4" w:space="0" w:color="auto"/>
            </w:tcBorders>
            <w:shd w:val="clear" w:color="auto" w:fill="auto"/>
            <w:noWrap/>
            <w:vAlign w:val="bottom"/>
            <w:hideMark/>
          </w:tcPr>
          <w:p w14:paraId="4F5DF8BC" w14:textId="613F4342" w:rsidR="005B18E3" w:rsidRPr="00DF751F" w:rsidRDefault="005B18E3" w:rsidP="00925A7A">
            <w:pPr>
              <w:pStyle w:val="Tables"/>
              <w:jc w:val="left"/>
              <w:rPr>
                <w:lang w:val="fr-BE" w:eastAsia="fr-BE"/>
              </w:rPr>
            </w:pPr>
            <w:r w:rsidRPr="00DF751F">
              <w:rPr>
                <w:lang w:val="fr-BE" w:eastAsia="fr-BE"/>
              </w:rPr>
              <w:t>1994</w:t>
            </w:r>
            <w:r w:rsidR="008A3F82">
              <w:rPr>
                <w:lang w:val="fr-BE" w:eastAsia="fr-BE"/>
              </w:rPr>
              <w:t>–</w:t>
            </w:r>
            <w:r w:rsidRPr="00DF751F">
              <w:rPr>
                <w:lang w:val="fr-BE" w:eastAsia="fr-BE"/>
              </w:rPr>
              <w:t>1999</w:t>
            </w:r>
          </w:p>
        </w:tc>
        <w:tc>
          <w:tcPr>
            <w:tcW w:w="1015" w:type="dxa"/>
            <w:tcBorders>
              <w:bottom w:val="single" w:sz="4" w:space="0" w:color="auto"/>
            </w:tcBorders>
            <w:shd w:val="clear" w:color="auto" w:fill="auto"/>
            <w:noWrap/>
            <w:vAlign w:val="bottom"/>
            <w:hideMark/>
          </w:tcPr>
          <w:p w14:paraId="631C19DD" w14:textId="53042A65" w:rsidR="005B18E3" w:rsidRPr="00DF751F" w:rsidRDefault="005B18E3" w:rsidP="00925A7A">
            <w:pPr>
              <w:pStyle w:val="Tables"/>
              <w:jc w:val="left"/>
              <w:rPr>
                <w:lang w:val="fr-BE" w:eastAsia="fr-BE"/>
              </w:rPr>
            </w:pPr>
            <w:r w:rsidRPr="00DF751F">
              <w:rPr>
                <w:lang w:val="fr-BE" w:eastAsia="fr-BE"/>
              </w:rPr>
              <w:t>1999</w:t>
            </w:r>
            <w:r w:rsidR="008A3F82">
              <w:rPr>
                <w:lang w:val="fr-BE" w:eastAsia="fr-BE"/>
              </w:rPr>
              <w:t>–</w:t>
            </w:r>
            <w:r w:rsidRPr="00DF751F">
              <w:rPr>
                <w:lang w:val="fr-BE" w:eastAsia="fr-BE"/>
              </w:rPr>
              <w:t>2005</w:t>
            </w:r>
          </w:p>
        </w:tc>
        <w:tc>
          <w:tcPr>
            <w:tcW w:w="1015" w:type="dxa"/>
            <w:tcBorders>
              <w:bottom w:val="single" w:sz="4" w:space="0" w:color="auto"/>
            </w:tcBorders>
            <w:shd w:val="clear" w:color="auto" w:fill="auto"/>
            <w:noWrap/>
            <w:vAlign w:val="bottom"/>
            <w:hideMark/>
          </w:tcPr>
          <w:p w14:paraId="48191DC2" w14:textId="61DB425A" w:rsidR="005B18E3" w:rsidRPr="00DF751F" w:rsidRDefault="005B18E3" w:rsidP="00925A7A">
            <w:pPr>
              <w:pStyle w:val="Tables"/>
              <w:jc w:val="left"/>
              <w:rPr>
                <w:lang w:val="fr-BE" w:eastAsia="fr-BE"/>
              </w:rPr>
            </w:pPr>
            <w:r w:rsidRPr="00DF751F">
              <w:rPr>
                <w:lang w:val="fr-BE" w:eastAsia="fr-BE"/>
              </w:rPr>
              <w:t>2005</w:t>
            </w:r>
            <w:r w:rsidR="008A3F82">
              <w:rPr>
                <w:lang w:val="fr-BE" w:eastAsia="fr-BE"/>
              </w:rPr>
              <w:t>–</w:t>
            </w:r>
            <w:r w:rsidRPr="00DF751F">
              <w:rPr>
                <w:lang w:val="fr-BE" w:eastAsia="fr-BE"/>
              </w:rPr>
              <w:t>2011</w:t>
            </w:r>
          </w:p>
        </w:tc>
        <w:tc>
          <w:tcPr>
            <w:tcW w:w="1115" w:type="dxa"/>
            <w:tcBorders>
              <w:bottom w:val="single" w:sz="4" w:space="0" w:color="auto"/>
            </w:tcBorders>
            <w:shd w:val="clear" w:color="auto" w:fill="auto"/>
            <w:noWrap/>
            <w:vAlign w:val="bottom"/>
            <w:hideMark/>
          </w:tcPr>
          <w:p w14:paraId="06977997" w14:textId="338D527C" w:rsidR="005B18E3" w:rsidRPr="00DF751F" w:rsidRDefault="005B18E3" w:rsidP="00925A7A">
            <w:pPr>
              <w:pStyle w:val="Tables"/>
              <w:jc w:val="left"/>
              <w:rPr>
                <w:lang w:val="fr-BE" w:eastAsia="fr-BE"/>
              </w:rPr>
            </w:pPr>
            <w:r w:rsidRPr="00DF751F">
              <w:rPr>
                <w:lang w:val="fr-BE" w:eastAsia="fr-BE"/>
              </w:rPr>
              <w:t>2011</w:t>
            </w:r>
            <w:r w:rsidR="008A3F82">
              <w:rPr>
                <w:lang w:val="fr-BE" w:eastAsia="fr-BE"/>
              </w:rPr>
              <w:t>–</w:t>
            </w:r>
            <w:r w:rsidRPr="00DF751F">
              <w:rPr>
                <w:lang w:val="fr-BE" w:eastAsia="fr-BE"/>
              </w:rPr>
              <w:t>2015</w:t>
            </w:r>
          </w:p>
        </w:tc>
      </w:tr>
      <w:tr w:rsidR="005B18E3" w:rsidRPr="00DF751F" w14:paraId="7A904BE4" w14:textId="77777777" w:rsidTr="00C357F6">
        <w:trPr>
          <w:trHeight w:val="300"/>
          <w:jc w:val="center"/>
        </w:trPr>
        <w:tc>
          <w:tcPr>
            <w:tcW w:w="2751" w:type="dxa"/>
            <w:tcBorders>
              <w:bottom w:val="nil"/>
            </w:tcBorders>
            <w:vAlign w:val="center"/>
          </w:tcPr>
          <w:p w14:paraId="7E790A3C" w14:textId="77777777" w:rsidR="005B18E3" w:rsidRPr="00C23393" w:rsidRDefault="005B18E3" w:rsidP="00925A7A">
            <w:pPr>
              <w:pStyle w:val="Tables"/>
              <w:jc w:val="left"/>
              <w:rPr>
                <w:b/>
                <w:lang w:val="fr-BE" w:eastAsia="fr-BE"/>
              </w:rPr>
            </w:pPr>
            <w:r w:rsidRPr="00C23393">
              <w:rPr>
                <w:b/>
                <w:lang w:val="fr-BE" w:eastAsia="fr-BE"/>
              </w:rPr>
              <w:t>Internal consistency</w:t>
            </w:r>
          </w:p>
        </w:tc>
        <w:tc>
          <w:tcPr>
            <w:tcW w:w="1015" w:type="dxa"/>
            <w:tcBorders>
              <w:bottom w:val="nil"/>
            </w:tcBorders>
            <w:shd w:val="clear" w:color="auto" w:fill="auto"/>
            <w:noWrap/>
            <w:vAlign w:val="center"/>
          </w:tcPr>
          <w:p w14:paraId="048AA9E5" w14:textId="77777777" w:rsidR="005B18E3" w:rsidRPr="00DF751F" w:rsidRDefault="005B18E3" w:rsidP="00925A7A">
            <w:pPr>
              <w:pStyle w:val="Tables"/>
              <w:jc w:val="left"/>
              <w:rPr>
                <w:lang w:val="fr-BE" w:eastAsia="fr-BE"/>
              </w:rPr>
            </w:pPr>
          </w:p>
        </w:tc>
        <w:tc>
          <w:tcPr>
            <w:tcW w:w="1015" w:type="dxa"/>
            <w:tcBorders>
              <w:bottom w:val="nil"/>
            </w:tcBorders>
            <w:shd w:val="clear" w:color="auto" w:fill="auto"/>
            <w:noWrap/>
            <w:vAlign w:val="center"/>
          </w:tcPr>
          <w:p w14:paraId="56A460AD" w14:textId="77777777" w:rsidR="005B18E3" w:rsidRPr="00DF751F" w:rsidRDefault="005B18E3" w:rsidP="00925A7A">
            <w:pPr>
              <w:pStyle w:val="Tables"/>
              <w:jc w:val="left"/>
              <w:rPr>
                <w:lang w:val="fr-BE" w:eastAsia="fr-BE"/>
              </w:rPr>
            </w:pPr>
          </w:p>
        </w:tc>
        <w:tc>
          <w:tcPr>
            <w:tcW w:w="1015" w:type="dxa"/>
            <w:tcBorders>
              <w:bottom w:val="nil"/>
            </w:tcBorders>
            <w:shd w:val="clear" w:color="auto" w:fill="auto"/>
            <w:noWrap/>
            <w:vAlign w:val="center"/>
          </w:tcPr>
          <w:p w14:paraId="7B1DA64F" w14:textId="77777777" w:rsidR="005B18E3" w:rsidRPr="00DF751F" w:rsidRDefault="005B18E3" w:rsidP="00925A7A">
            <w:pPr>
              <w:pStyle w:val="Tables"/>
              <w:jc w:val="left"/>
              <w:rPr>
                <w:lang w:val="fr-BE" w:eastAsia="fr-BE"/>
              </w:rPr>
            </w:pPr>
          </w:p>
        </w:tc>
        <w:tc>
          <w:tcPr>
            <w:tcW w:w="1015" w:type="dxa"/>
            <w:tcBorders>
              <w:bottom w:val="nil"/>
            </w:tcBorders>
            <w:shd w:val="clear" w:color="auto" w:fill="auto"/>
            <w:noWrap/>
            <w:vAlign w:val="center"/>
          </w:tcPr>
          <w:p w14:paraId="3B822042" w14:textId="77777777" w:rsidR="005B18E3" w:rsidRPr="00DF751F" w:rsidRDefault="005B18E3" w:rsidP="00925A7A">
            <w:pPr>
              <w:pStyle w:val="Tables"/>
              <w:jc w:val="left"/>
              <w:rPr>
                <w:lang w:val="fr-BE" w:eastAsia="fr-BE"/>
              </w:rPr>
            </w:pPr>
          </w:p>
        </w:tc>
        <w:tc>
          <w:tcPr>
            <w:tcW w:w="1115" w:type="dxa"/>
            <w:tcBorders>
              <w:bottom w:val="nil"/>
            </w:tcBorders>
            <w:shd w:val="clear" w:color="auto" w:fill="auto"/>
            <w:noWrap/>
            <w:vAlign w:val="center"/>
          </w:tcPr>
          <w:p w14:paraId="0A1C4BB0" w14:textId="77777777" w:rsidR="005B18E3" w:rsidRPr="00DF751F" w:rsidRDefault="005B18E3" w:rsidP="00925A7A">
            <w:pPr>
              <w:pStyle w:val="Tables"/>
              <w:jc w:val="left"/>
              <w:rPr>
                <w:lang w:val="fr-BE" w:eastAsia="fr-BE"/>
              </w:rPr>
            </w:pPr>
          </w:p>
        </w:tc>
      </w:tr>
      <w:tr w:rsidR="005B18E3" w:rsidRPr="00DF751F" w14:paraId="664824B2" w14:textId="77777777" w:rsidTr="00C357F6">
        <w:trPr>
          <w:trHeight w:val="300"/>
          <w:jc w:val="center"/>
        </w:trPr>
        <w:tc>
          <w:tcPr>
            <w:tcW w:w="2751" w:type="dxa"/>
            <w:tcBorders>
              <w:top w:val="nil"/>
              <w:bottom w:val="nil"/>
            </w:tcBorders>
            <w:vAlign w:val="center"/>
          </w:tcPr>
          <w:p w14:paraId="0CBC696F" w14:textId="4FA22614" w:rsidR="005B18E3" w:rsidRPr="00DF751F" w:rsidRDefault="002235C8" w:rsidP="002235C8">
            <w:pPr>
              <w:pStyle w:val="Tables"/>
              <w:jc w:val="left"/>
              <w:rPr>
                <w:lang w:val="fr-BE" w:eastAsia="fr-BE"/>
              </w:rPr>
            </w:pPr>
            <w:proofErr w:type="spellStart"/>
            <w:r>
              <w:rPr>
                <w:lang w:val="fr-BE" w:eastAsia="fr-BE"/>
              </w:rPr>
              <w:t>P</w:t>
            </w:r>
            <w:r w:rsidR="005B18E3" w:rsidRPr="00DF751F">
              <w:rPr>
                <w:lang w:val="fr-BE" w:eastAsia="fr-BE"/>
              </w:rPr>
              <w:t>ublished</w:t>
            </w:r>
            <w:proofErr w:type="spellEnd"/>
            <w:r w:rsidR="005B18E3" w:rsidRPr="00DF751F">
              <w:rPr>
                <w:lang w:val="fr-BE" w:eastAsia="fr-BE"/>
              </w:rPr>
              <w:t xml:space="preserve"> </w:t>
            </w:r>
            <w:r>
              <w:rPr>
                <w:lang w:val="fr-BE" w:eastAsia="fr-BE"/>
              </w:rPr>
              <w:t xml:space="preserve">DHS </w:t>
            </w:r>
            <w:proofErr w:type="spellStart"/>
            <w:r w:rsidR="005B18E3" w:rsidRPr="00DF751F">
              <w:rPr>
                <w:lang w:val="fr-BE" w:eastAsia="fr-BE"/>
              </w:rPr>
              <w:t>estimates</w:t>
            </w:r>
            <w:proofErr w:type="spellEnd"/>
          </w:p>
        </w:tc>
        <w:tc>
          <w:tcPr>
            <w:tcW w:w="1015" w:type="dxa"/>
            <w:tcBorders>
              <w:top w:val="nil"/>
              <w:bottom w:val="nil"/>
            </w:tcBorders>
            <w:shd w:val="clear" w:color="auto" w:fill="auto"/>
            <w:noWrap/>
            <w:vAlign w:val="center"/>
            <w:hideMark/>
          </w:tcPr>
          <w:p w14:paraId="332587B0" w14:textId="77777777" w:rsidR="005B18E3" w:rsidRPr="00DF751F" w:rsidRDefault="005B18E3" w:rsidP="00925A7A">
            <w:pPr>
              <w:pStyle w:val="Tables"/>
              <w:jc w:val="left"/>
              <w:rPr>
                <w:lang w:val="fr-BE" w:eastAsia="fr-BE"/>
              </w:rPr>
            </w:pPr>
            <w:r w:rsidRPr="00DF751F">
              <w:rPr>
                <w:lang w:val="fr-BE" w:eastAsia="fr-BE"/>
              </w:rPr>
              <w:t>-1</w:t>
            </w:r>
            <w:r>
              <w:rPr>
                <w:lang w:val="fr-BE" w:eastAsia="fr-BE"/>
              </w:rPr>
              <w:t>.0</w:t>
            </w:r>
          </w:p>
        </w:tc>
        <w:tc>
          <w:tcPr>
            <w:tcW w:w="1015" w:type="dxa"/>
            <w:tcBorders>
              <w:top w:val="nil"/>
              <w:bottom w:val="nil"/>
            </w:tcBorders>
            <w:shd w:val="clear" w:color="auto" w:fill="auto"/>
            <w:noWrap/>
            <w:vAlign w:val="center"/>
            <w:hideMark/>
          </w:tcPr>
          <w:p w14:paraId="41D345E7" w14:textId="77777777" w:rsidR="005B18E3" w:rsidRPr="00DF751F" w:rsidRDefault="005B18E3" w:rsidP="00925A7A">
            <w:pPr>
              <w:pStyle w:val="Tables"/>
              <w:jc w:val="left"/>
              <w:rPr>
                <w:lang w:val="fr-BE" w:eastAsia="fr-BE"/>
              </w:rPr>
            </w:pPr>
            <w:r w:rsidRPr="00DF751F">
              <w:rPr>
                <w:lang w:val="fr-BE" w:eastAsia="fr-BE"/>
              </w:rPr>
              <w:t>-1</w:t>
            </w:r>
            <w:r>
              <w:rPr>
                <w:lang w:val="fr-BE" w:eastAsia="fr-BE"/>
              </w:rPr>
              <w:t>.0</w:t>
            </w:r>
          </w:p>
        </w:tc>
        <w:tc>
          <w:tcPr>
            <w:tcW w:w="1015" w:type="dxa"/>
            <w:tcBorders>
              <w:top w:val="nil"/>
              <w:bottom w:val="nil"/>
            </w:tcBorders>
            <w:shd w:val="clear" w:color="auto" w:fill="auto"/>
            <w:noWrap/>
            <w:vAlign w:val="center"/>
            <w:hideMark/>
          </w:tcPr>
          <w:p w14:paraId="612D7606" w14:textId="77777777" w:rsidR="005B18E3" w:rsidRPr="00DF751F" w:rsidRDefault="005F6EF4" w:rsidP="005F6EF4">
            <w:pPr>
              <w:pStyle w:val="Tables"/>
              <w:jc w:val="left"/>
              <w:rPr>
                <w:lang w:val="fr-BE" w:eastAsia="fr-BE"/>
              </w:rPr>
            </w:pPr>
            <w:r>
              <w:rPr>
                <w:lang w:val="fr-BE" w:eastAsia="fr-BE"/>
              </w:rPr>
              <w:t>0</w:t>
            </w:r>
            <w:r w:rsidR="005B18E3">
              <w:rPr>
                <w:lang w:val="fr-BE" w:eastAsia="fr-BE"/>
              </w:rPr>
              <w:t>.</w:t>
            </w:r>
            <w:r>
              <w:rPr>
                <w:lang w:val="fr-BE" w:eastAsia="fr-BE"/>
              </w:rPr>
              <w:t>5</w:t>
            </w:r>
          </w:p>
        </w:tc>
        <w:tc>
          <w:tcPr>
            <w:tcW w:w="1015" w:type="dxa"/>
            <w:tcBorders>
              <w:top w:val="nil"/>
              <w:bottom w:val="nil"/>
            </w:tcBorders>
            <w:shd w:val="clear" w:color="auto" w:fill="auto"/>
            <w:noWrap/>
            <w:vAlign w:val="center"/>
            <w:hideMark/>
          </w:tcPr>
          <w:p w14:paraId="2815AC7B" w14:textId="77777777" w:rsidR="005B18E3" w:rsidRPr="00DF751F" w:rsidRDefault="005B18E3" w:rsidP="00925A7A">
            <w:pPr>
              <w:pStyle w:val="Tables"/>
              <w:jc w:val="left"/>
              <w:rPr>
                <w:lang w:val="fr-BE" w:eastAsia="fr-BE"/>
              </w:rPr>
            </w:pPr>
            <w:r w:rsidRPr="00DF751F">
              <w:rPr>
                <w:lang w:val="fr-BE" w:eastAsia="fr-BE"/>
              </w:rPr>
              <w:t>1</w:t>
            </w:r>
            <w:r>
              <w:rPr>
                <w:lang w:val="fr-BE" w:eastAsia="fr-BE"/>
              </w:rPr>
              <w:t>.0</w:t>
            </w:r>
          </w:p>
        </w:tc>
        <w:tc>
          <w:tcPr>
            <w:tcW w:w="1115" w:type="dxa"/>
            <w:tcBorders>
              <w:top w:val="nil"/>
              <w:bottom w:val="nil"/>
            </w:tcBorders>
            <w:shd w:val="clear" w:color="auto" w:fill="auto"/>
            <w:noWrap/>
            <w:vAlign w:val="center"/>
            <w:hideMark/>
          </w:tcPr>
          <w:p w14:paraId="6286BE87" w14:textId="77777777" w:rsidR="005B18E3" w:rsidRPr="00DF751F" w:rsidRDefault="005B18E3" w:rsidP="00925A7A">
            <w:pPr>
              <w:pStyle w:val="Tables"/>
              <w:jc w:val="left"/>
              <w:rPr>
                <w:lang w:val="fr-BE" w:eastAsia="fr-BE"/>
              </w:rPr>
            </w:pPr>
            <w:r w:rsidRPr="00DF751F">
              <w:rPr>
                <w:lang w:val="fr-BE" w:eastAsia="fr-BE"/>
              </w:rPr>
              <w:t>1</w:t>
            </w:r>
            <w:r>
              <w:rPr>
                <w:lang w:val="fr-BE" w:eastAsia="fr-BE"/>
              </w:rPr>
              <w:t>.0</w:t>
            </w:r>
          </w:p>
        </w:tc>
      </w:tr>
      <w:tr w:rsidR="005B18E3" w:rsidRPr="00DF751F" w14:paraId="0A2B9CE0" w14:textId="77777777" w:rsidTr="00C357F6">
        <w:trPr>
          <w:trHeight w:val="300"/>
          <w:jc w:val="center"/>
        </w:trPr>
        <w:tc>
          <w:tcPr>
            <w:tcW w:w="2751" w:type="dxa"/>
            <w:tcBorders>
              <w:top w:val="nil"/>
              <w:bottom w:val="nil"/>
            </w:tcBorders>
            <w:vAlign w:val="center"/>
          </w:tcPr>
          <w:p w14:paraId="78B4B0D4" w14:textId="6185FB8C" w:rsidR="005B18E3" w:rsidRPr="00DF751F" w:rsidRDefault="002235C8" w:rsidP="002235C8">
            <w:pPr>
              <w:pStyle w:val="Tables"/>
              <w:jc w:val="left"/>
              <w:rPr>
                <w:lang w:val="fr-BE" w:eastAsia="fr-BE"/>
              </w:rPr>
            </w:pPr>
            <w:proofErr w:type="spellStart"/>
            <w:r>
              <w:rPr>
                <w:lang w:val="fr-BE" w:eastAsia="fr-BE"/>
              </w:rPr>
              <w:t>R</w:t>
            </w:r>
            <w:r w:rsidR="005B18E3" w:rsidRPr="00DF751F">
              <w:rPr>
                <w:lang w:val="fr-BE" w:eastAsia="fr-BE"/>
              </w:rPr>
              <w:t>econstructed</w:t>
            </w:r>
            <w:proofErr w:type="spellEnd"/>
            <w:r>
              <w:rPr>
                <w:lang w:val="fr-BE" w:eastAsia="fr-BE"/>
              </w:rPr>
              <w:t xml:space="preserve"> DHS</w:t>
            </w:r>
            <w:r w:rsidR="004C0B8C">
              <w:rPr>
                <w:lang w:val="fr-BE" w:eastAsia="fr-BE"/>
              </w:rPr>
              <w:t xml:space="preserve"> </w:t>
            </w:r>
            <w:proofErr w:type="spellStart"/>
            <w:r w:rsidR="005B18E3" w:rsidRPr="00DF751F">
              <w:rPr>
                <w:lang w:val="fr-BE" w:eastAsia="fr-BE"/>
              </w:rPr>
              <w:t>estimates</w:t>
            </w:r>
            <w:proofErr w:type="spellEnd"/>
          </w:p>
        </w:tc>
        <w:tc>
          <w:tcPr>
            <w:tcW w:w="1015" w:type="dxa"/>
            <w:tcBorders>
              <w:top w:val="nil"/>
              <w:bottom w:val="nil"/>
            </w:tcBorders>
            <w:shd w:val="clear" w:color="auto" w:fill="auto"/>
            <w:noWrap/>
            <w:vAlign w:val="center"/>
            <w:hideMark/>
          </w:tcPr>
          <w:p w14:paraId="46F0B1FF" w14:textId="77777777" w:rsidR="005B18E3" w:rsidRPr="00DF751F" w:rsidRDefault="005B18E3" w:rsidP="00925A7A">
            <w:pPr>
              <w:pStyle w:val="Tables"/>
              <w:jc w:val="left"/>
              <w:rPr>
                <w:lang w:val="fr-BE" w:eastAsia="fr-BE"/>
              </w:rPr>
            </w:pPr>
            <w:r w:rsidRPr="00DF751F">
              <w:rPr>
                <w:lang w:val="fr-BE" w:eastAsia="fr-BE"/>
              </w:rPr>
              <w:t>-1</w:t>
            </w:r>
            <w:r>
              <w:rPr>
                <w:lang w:val="fr-BE" w:eastAsia="fr-BE"/>
              </w:rPr>
              <w:t>.0</w:t>
            </w:r>
          </w:p>
        </w:tc>
        <w:tc>
          <w:tcPr>
            <w:tcW w:w="1015" w:type="dxa"/>
            <w:tcBorders>
              <w:top w:val="nil"/>
              <w:bottom w:val="nil"/>
            </w:tcBorders>
            <w:shd w:val="clear" w:color="auto" w:fill="auto"/>
            <w:noWrap/>
            <w:vAlign w:val="center"/>
            <w:hideMark/>
          </w:tcPr>
          <w:p w14:paraId="1AE95C94" w14:textId="77777777" w:rsidR="005B18E3" w:rsidRPr="00DF751F" w:rsidRDefault="005B18E3" w:rsidP="00925A7A">
            <w:pPr>
              <w:pStyle w:val="Tables"/>
              <w:jc w:val="left"/>
              <w:rPr>
                <w:lang w:val="fr-BE" w:eastAsia="fr-BE"/>
              </w:rPr>
            </w:pPr>
            <w:r w:rsidRPr="00DF751F">
              <w:rPr>
                <w:lang w:val="fr-BE" w:eastAsia="fr-BE"/>
              </w:rPr>
              <w:t>-1</w:t>
            </w:r>
            <w:r>
              <w:rPr>
                <w:lang w:val="fr-BE" w:eastAsia="fr-BE"/>
              </w:rPr>
              <w:t>.0</w:t>
            </w:r>
          </w:p>
        </w:tc>
        <w:tc>
          <w:tcPr>
            <w:tcW w:w="1015" w:type="dxa"/>
            <w:tcBorders>
              <w:top w:val="nil"/>
              <w:bottom w:val="nil"/>
            </w:tcBorders>
            <w:shd w:val="clear" w:color="auto" w:fill="auto"/>
            <w:noWrap/>
            <w:vAlign w:val="center"/>
            <w:hideMark/>
          </w:tcPr>
          <w:p w14:paraId="0591648C" w14:textId="77777777" w:rsidR="005B18E3" w:rsidRPr="00DF751F" w:rsidRDefault="005B18E3" w:rsidP="00925A7A">
            <w:pPr>
              <w:pStyle w:val="Tables"/>
              <w:jc w:val="left"/>
              <w:rPr>
                <w:lang w:val="fr-BE" w:eastAsia="fr-BE"/>
              </w:rPr>
            </w:pPr>
            <w:r w:rsidRPr="00DF751F">
              <w:rPr>
                <w:lang w:val="fr-BE" w:eastAsia="fr-BE"/>
              </w:rPr>
              <w:t>-1</w:t>
            </w:r>
            <w:r>
              <w:rPr>
                <w:lang w:val="fr-BE" w:eastAsia="fr-BE"/>
              </w:rPr>
              <w:t>.0</w:t>
            </w:r>
          </w:p>
        </w:tc>
        <w:tc>
          <w:tcPr>
            <w:tcW w:w="1015" w:type="dxa"/>
            <w:tcBorders>
              <w:top w:val="nil"/>
              <w:bottom w:val="nil"/>
            </w:tcBorders>
            <w:shd w:val="clear" w:color="auto" w:fill="auto"/>
            <w:noWrap/>
            <w:vAlign w:val="center"/>
            <w:hideMark/>
          </w:tcPr>
          <w:p w14:paraId="35CB0CFA" w14:textId="77777777" w:rsidR="005B18E3" w:rsidRPr="00DF751F" w:rsidRDefault="005B18E3" w:rsidP="00925A7A">
            <w:pPr>
              <w:pStyle w:val="Tables"/>
              <w:jc w:val="left"/>
              <w:rPr>
                <w:lang w:val="fr-BE" w:eastAsia="fr-BE"/>
              </w:rPr>
            </w:pPr>
            <w:r w:rsidRPr="00DF751F">
              <w:rPr>
                <w:lang w:val="fr-BE" w:eastAsia="fr-BE"/>
              </w:rPr>
              <w:t>1</w:t>
            </w:r>
            <w:r>
              <w:rPr>
                <w:lang w:val="fr-BE" w:eastAsia="fr-BE"/>
              </w:rPr>
              <w:t>.0</w:t>
            </w:r>
          </w:p>
        </w:tc>
        <w:tc>
          <w:tcPr>
            <w:tcW w:w="1115" w:type="dxa"/>
            <w:tcBorders>
              <w:top w:val="nil"/>
              <w:bottom w:val="nil"/>
            </w:tcBorders>
            <w:shd w:val="clear" w:color="auto" w:fill="auto"/>
            <w:noWrap/>
            <w:vAlign w:val="center"/>
            <w:hideMark/>
          </w:tcPr>
          <w:p w14:paraId="49BD9C8D" w14:textId="77777777" w:rsidR="005B18E3" w:rsidRPr="00DF751F" w:rsidRDefault="005B18E3" w:rsidP="00925A7A">
            <w:pPr>
              <w:pStyle w:val="Tables"/>
              <w:jc w:val="left"/>
              <w:rPr>
                <w:lang w:val="fr-BE" w:eastAsia="fr-BE"/>
              </w:rPr>
            </w:pPr>
            <w:r w:rsidRPr="00DF751F">
              <w:rPr>
                <w:lang w:val="fr-BE" w:eastAsia="fr-BE"/>
              </w:rPr>
              <w:t>1</w:t>
            </w:r>
            <w:r>
              <w:rPr>
                <w:lang w:val="fr-BE" w:eastAsia="fr-BE"/>
              </w:rPr>
              <w:t>.0</w:t>
            </w:r>
          </w:p>
        </w:tc>
      </w:tr>
      <w:tr w:rsidR="005B18E3" w:rsidRPr="00DF751F" w14:paraId="5FBEF440" w14:textId="77777777" w:rsidTr="00C357F6">
        <w:trPr>
          <w:trHeight w:val="300"/>
          <w:jc w:val="center"/>
        </w:trPr>
        <w:tc>
          <w:tcPr>
            <w:tcW w:w="2751" w:type="dxa"/>
            <w:tcBorders>
              <w:top w:val="nil"/>
              <w:bottom w:val="nil"/>
            </w:tcBorders>
            <w:vAlign w:val="center"/>
          </w:tcPr>
          <w:p w14:paraId="462DF413" w14:textId="77777777" w:rsidR="005B18E3" w:rsidRPr="00DF751F" w:rsidRDefault="005B18E3" w:rsidP="00925A7A">
            <w:pPr>
              <w:pStyle w:val="Tables"/>
              <w:jc w:val="left"/>
              <w:rPr>
                <w:lang w:val="fr-BE" w:eastAsia="fr-BE"/>
              </w:rPr>
            </w:pPr>
            <w:r>
              <w:rPr>
                <w:lang w:val="fr-BE" w:eastAsia="fr-BE"/>
              </w:rPr>
              <w:t xml:space="preserve">Index </w:t>
            </w:r>
            <w:r w:rsidRPr="00DF751F">
              <w:rPr>
                <w:lang w:val="fr-BE" w:eastAsia="fr-BE"/>
              </w:rPr>
              <w:t>A1</w:t>
            </w:r>
          </w:p>
        </w:tc>
        <w:tc>
          <w:tcPr>
            <w:tcW w:w="1015" w:type="dxa"/>
            <w:tcBorders>
              <w:top w:val="nil"/>
              <w:bottom w:val="nil"/>
            </w:tcBorders>
            <w:shd w:val="clear" w:color="auto" w:fill="auto"/>
            <w:noWrap/>
            <w:vAlign w:val="center"/>
            <w:hideMark/>
          </w:tcPr>
          <w:p w14:paraId="6BF9474E" w14:textId="77777777" w:rsidR="005B18E3" w:rsidRPr="00DF751F" w:rsidRDefault="005B18E3" w:rsidP="00925A7A">
            <w:pPr>
              <w:pStyle w:val="Tables"/>
              <w:jc w:val="left"/>
              <w:rPr>
                <w:lang w:val="fr-BE" w:eastAsia="fr-BE"/>
              </w:rPr>
            </w:pPr>
            <w:r w:rsidRPr="00DF751F">
              <w:rPr>
                <w:lang w:val="fr-BE" w:eastAsia="fr-BE"/>
              </w:rPr>
              <w:t>-2</w:t>
            </w:r>
            <w:r>
              <w:rPr>
                <w:lang w:val="fr-BE" w:eastAsia="fr-BE"/>
              </w:rPr>
              <w:t>.0</w:t>
            </w:r>
          </w:p>
        </w:tc>
        <w:tc>
          <w:tcPr>
            <w:tcW w:w="1015" w:type="dxa"/>
            <w:tcBorders>
              <w:top w:val="nil"/>
              <w:bottom w:val="nil"/>
            </w:tcBorders>
            <w:shd w:val="clear" w:color="auto" w:fill="auto"/>
            <w:noWrap/>
            <w:vAlign w:val="center"/>
            <w:hideMark/>
          </w:tcPr>
          <w:p w14:paraId="55316356" w14:textId="77777777" w:rsidR="005B18E3" w:rsidRPr="00DF751F" w:rsidRDefault="005B18E3" w:rsidP="00925A7A">
            <w:pPr>
              <w:pStyle w:val="Tables"/>
              <w:jc w:val="left"/>
              <w:rPr>
                <w:lang w:val="fr-BE" w:eastAsia="fr-BE"/>
              </w:rPr>
            </w:pPr>
            <w:r w:rsidRPr="00DF751F">
              <w:rPr>
                <w:lang w:val="fr-BE" w:eastAsia="fr-BE"/>
              </w:rPr>
              <w:t>-2</w:t>
            </w:r>
            <w:r>
              <w:rPr>
                <w:lang w:val="fr-BE" w:eastAsia="fr-BE"/>
              </w:rPr>
              <w:t>.0</w:t>
            </w:r>
          </w:p>
        </w:tc>
        <w:tc>
          <w:tcPr>
            <w:tcW w:w="1015" w:type="dxa"/>
            <w:tcBorders>
              <w:top w:val="nil"/>
              <w:bottom w:val="nil"/>
            </w:tcBorders>
            <w:shd w:val="clear" w:color="auto" w:fill="auto"/>
            <w:noWrap/>
            <w:vAlign w:val="center"/>
            <w:hideMark/>
          </w:tcPr>
          <w:p w14:paraId="62BCB893" w14:textId="77777777" w:rsidR="005B18E3" w:rsidRPr="00DF751F" w:rsidRDefault="005B18E3" w:rsidP="00925A7A">
            <w:pPr>
              <w:pStyle w:val="Tables"/>
              <w:jc w:val="left"/>
              <w:rPr>
                <w:lang w:val="fr-BE" w:eastAsia="fr-BE"/>
              </w:rPr>
            </w:pPr>
            <w:r w:rsidRPr="00DF751F">
              <w:rPr>
                <w:lang w:val="fr-BE" w:eastAsia="fr-BE"/>
              </w:rPr>
              <w:t>0</w:t>
            </w:r>
            <w:r>
              <w:rPr>
                <w:lang w:val="fr-BE" w:eastAsia="fr-BE"/>
              </w:rPr>
              <w:t>.0</w:t>
            </w:r>
          </w:p>
        </w:tc>
        <w:tc>
          <w:tcPr>
            <w:tcW w:w="1015" w:type="dxa"/>
            <w:tcBorders>
              <w:top w:val="nil"/>
              <w:bottom w:val="nil"/>
            </w:tcBorders>
            <w:shd w:val="clear" w:color="auto" w:fill="auto"/>
            <w:noWrap/>
            <w:vAlign w:val="center"/>
            <w:hideMark/>
          </w:tcPr>
          <w:p w14:paraId="7D01D38A" w14:textId="77777777" w:rsidR="005B18E3" w:rsidRPr="00DF751F" w:rsidRDefault="005B18E3" w:rsidP="00925A7A">
            <w:pPr>
              <w:pStyle w:val="Tables"/>
              <w:jc w:val="left"/>
              <w:rPr>
                <w:lang w:val="fr-BE" w:eastAsia="fr-BE"/>
              </w:rPr>
            </w:pPr>
            <w:r w:rsidRPr="00DF751F">
              <w:rPr>
                <w:lang w:val="fr-BE" w:eastAsia="fr-BE"/>
              </w:rPr>
              <w:t>2</w:t>
            </w:r>
            <w:r>
              <w:rPr>
                <w:lang w:val="fr-BE" w:eastAsia="fr-BE"/>
              </w:rPr>
              <w:t>.0</w:t>
            </w:r>
          </w:p>
        </w:tc>
        <w:tc>
          <w:tcPr>
            <w:tcW w:w="1115" w:type="dxa"/>
            <w:tcBorders>
              <w:top w:val="nil"/>
              <w:bottom w:val="nil"/>
            </w:tcBorders>
            <w:shd w:val="clear" w:color="auto" w:fill="auto"/>
            <w:noWrap/>
            <w:vAlign w:val="center"/>
            <w:hideMark/>
          </w:tcPr>
          <w:p w14:paraId="4A1D43CD" w14:textId="77777777" w:rsidR="005B18E3" w:rsidRPr="00DF751F" w:rsidRDefault="005B18E3" w:rsidP="00925A7A">
            <w:pPr>
              <w:pStyle w:val="Tables"/>
              <w:jc w:val="left"/>
              <w:rPr>
                <w:lang w:val="fr-BE" w:eastAsia="fr-BE"/>
              </w:rPr>
            </w:pPr>
            <w:r w:rsidRPr="00DF751F">
              <w:rPr>
                <w:lang w:val="fr-BE" w:eastAsia="fr-BE"/>
              </w:rPr>
              <w:t>2</w:t>
            </w:r>
            <w:r>
              <w:rPr>
                <w:lang w:val="fr-BE" w:eastAsia="fr-BE"/>
              </w:rPr>
              <w:t>.0</w:t>
            </w:r>
          </w:p>
        </w:tc>
      </w:tr>
      <w:tr w:rsidR="005B18E3" w:rsidRPr="00780EF0" w14:paraId="6C224025" w14:textId="77777777" w:rsidTr="00C357F6">
        <w:trPr>
          <w:trHeight w:val="300"/>
          <w:jc w:val="center"/>
        </w:trPr>
        <w:tc>
          <w:tcPr>
            <w:tcW w:w="2751" w:type="dxa"/>
            <w:tcBorders>
              <w:top w:val="nil"/>
              <w:bottom w:val="single" w:sz="4" w:space="0" w:color="auto"/>
            </w:tcBorders>
            <w:vAlign w:val="center"/>
          </w:tcPr>
          <w:p w14:paraId="3BAD20DA" w14:textId="77777777" w:rsidR="005B18E3" w:rsidRPr="00780EF0" w:rsidRDefault="005B18E3" w:rsidP="00925A7A">
            <w:pPr>
              <w:pStyle w:val="Tables"/>
              <w:jc w:val="left"/>
              <w:rPr>
                <w:b/>
                <w:lang w:val="fr-BE" w:eastAsia="fr-BE"/>
              </w:rPr>
            </w:pPr>
            <w:r w:rsidRPr="00780EF0">
              <w:rPr>
                <w:b/>
                <w:lang w:val="fr-BE" w:eastAsia="fr-BE"/>
              </w:rPr>
              <w:t>Index B1</w:t>
            </w:r>
          </w:p>
        </w:tc>
        <w:tc>
          <w:tcPr>
            <w:tcW w:w="1015" w:type="dxa"/>
            <w:tcBorders>
              <w:top w:val="nil"/>
              <w:bottom w:val="single" w:sz="4" w:space="0" w:color="auto"/>
            </w:tcBorders>
            <w:shd w:val="clear" w:color="auto" w:fill="auto"/>
            <w:noWrap/>
            <w:vAlign w:val="center"/>
            <w:hideMark/>
          </w:tcPr>
          <w:p w14:paraId="7BD230B8" w14:textId="77777777" w:rsidR="005B18E3" w:rsidRPr="00780EF0" w:rsidRDefault="005B18E3" w:rsidP="00925A7A">
            <w:pPr>
              <w:pStyle w:val="Tables"/>
              <w:jc w:val="left"/>
              <w:rPr>
                <w:b/>
                <w:lang w:val="fr-BE" w:eastAsia="fr-BE"/>
              </w:rPr>
            </w:pPr>
            <w:r w:rsidRPr="00780EF0">
              <w:rPr>
                <w:b/>
                <w:lang w:val="fr-BE" w:eastAsia="fr-BE"/>
              </w:rPr>
              <w:t>-1.00</w:t>
            </w:r>
          </w:p>
        </w:tc>
        <w:tc>
          <w:tcPr>
            <w:tcW w:w="1015" w:type="dxa"/>
            <w:tcBorders>
              <w:top w:val="nil"/>
              <w:bottom w:val="single" w:sz="4" w:space="0" w:color="auto"/>
            </w:tcBorders>
            <w:shd w:val="clear" w:color="auto" w:fill="auto"/>
            <w:noWrap/>
            <w:vAlign w:val="center"/>
            <w:hideMark/>
          </w:tcPr>
          <w:p w14:paraId="49A407C4" w14:textId="77777777" w:rsidR="005B18E3" w:rsidRPr="00780EF0" w:rsidRDefault="005B18E3" w:rsidP="00925A7A">
            <w:pPr>
              <w:pStyle w:val="Tables"/>
              <w:jc w:val="left"/>
              <w:rPr>
                <w:b/>
                <w:lang w:val="fr-BE" w:eastAsia="fr-BE"/>
              </w:rPr>
            </w:pPr>
            <w:r w:rsidRPr="00780EF0">
              <w:rPr>
                <w:b/>
                <w:lang w:val="fr-BE" w:eastAsia="fr-BE"/>
              </w:rPr>
              <w:t>-1.00</w:t>
            </w:r>
          </w:p>
        </w:tc>
        <w:tc>
          <w:tcPr>
            <w:tcW w:w="1015" w:type="dxa"/>
            <w:tcBorders>
              <w:top w:val="nil"/>
              <w:bottom w:val="single" w:sz="4" w:space="0" w:color="auto"/>
            </w:tcBorders>
            <w:shd w:val="clear" w:color="auto" w:fill="auto"/>
            <w:noWrap/>
            <w:vAlign w:val="center"/>
            <w:hideMark/>
          </w:tcPr>
          <w:p w14:paraId="34CACD09" w14:textId="77777777" w:rsidR="005B18E3" w:rsidRPr="00780EF0" w:rsidRDefault="005F6EF4" w:rsidP="00925A7A">
            <w:pPr>
              <w:pStyle w:val="Tables"/>
              <w:jc w:val="left"/>
              <w:rPr>
                <w:b/>
                <w:lang w:val="fr-BE" w:eastAsia="fr-BE"/>
              </w:rPr>
            </w:pPr>
            <w:r>
              <w:rPr>
                <w:b/>
                <w:lang w:val="fr-BE" w:eastAsia="fr-BE"/>
              </w:rPr>
              <w:t>-0.25</w:t>
            </w:r>
          </w:p>
        </w:tc>
        <w:tc>
          <w:tcPr>
            <w:tcW w:w="1015" w:type="dxa"/>
            <w:tcBorders>
              <w:top w:val="nil"/>
              <w:bottom w:val="single" w:sz="4" w:space="0" w:color="auto"/>
            </w:tcBorders>
            <w:shd w:val="clear" w:color="auto" w:fill="auto"/>
            <w:noWrap/>
            <w:vAlign w:val="center"/>
            <w:hideMark/>
          </w:tcPr>
          <w:p w14:paraId="63289C26" w14:textId="77777777" w:rsidR="005B18E3" w:rsidRPr="00780EF0" w:rsidRDefault="005B18E3" w:rsidP="00925A7A">
            <w:pPr>
              <w:pStyle w:val="Tables"/>
              <w:jc w:val="left"/>
              <w:rPr>
                <w:b/>
                <w:lang w:val="fr-BE" w:eastAsia="fr-BE"/>
              </w:rPr>
            </w:pPr>
            <w:r w:rsidRPr="00780EF0">
              <w:rPr>
                <w:b/>
                <w:lang w:val="fr-BE" w:eastAsia="fr-BE"/>
              </w:rPr>
              <w:t>1.00</w:t>
            </w:r>
          </w:p>
        </w:tc>
        <w:tc>
          <w:tcPr>
            <w:tcW w:w="1115" w:type="dxa"/>
            <w:tcBorders>
              <w:top w:val="nil"/>
              <w:bottom w:val="single" w:sz="4" w:space="0" w:color="auto"/>
            </w:tcBorders>
            <w:shd w:val="clear" w:color="auto" w:fill="auto"/>
            <w:noWrap/>
            <w:vAlign w:val="center"/>
            <w:hideMark/>
          </w:tcPr>
          <w:p w14:paraId="27FB3B64" w14:textId="77777777" w:rsidR="005B18E3" w:rsidRPr="00780EF0" w:rsidRDefault="005B18E3" w:rsidP="00925A7A">
            <w:pPr>
              <w:pStyle w:val="Tables"/>
              <w:jc w:val="left"/>
              <w:rPr>
                <w:b/>
                <w:lang w:val="fr-BE" w:eastAsia="fr-BE"/>
              </w:rPr>
            </w:pPr>
            <w:r w:rsidRPr="00780EF0">
              <w:rPr>
                <w:b/>
                <w:lang w:val="fr-BE" w:eastAsia="fr-BE"/>
              </w:rPr>
              <w:t>1.00</w:t>
            </w:r>
          </w:p>
        </w:tc>
      </w:tr>
      <w:tr w:rsidR="005B18E3" w:rsidRPr="005877C0" w14:paraId="6E84F75C" w14:textId="77777777" w:rsidTr="00C357F6">
        <w:trPr>
          <w:trHeight w:val="300"/>
          <w:jc w:val="center"/>
        </w:trPr>
        <w:tc>
          <w:tcPr>
            <w:tcW w:w="2751" w:type="dxa"/>
            <w:tcBorders>
              <w:bottom w:val="nil"/>
            </w:tcBorders>
            <w:vAlign w:val="center"/>
          </w:tcPr>
          <w:p w14:paraId="7903BCF4" w14:textId="77777777" w:rsidR="005B18E3" w:rsidRPr="00C23393" w:rsidRDefault="005B18E3" w:rsidP="00925A7A">
            <w:pPr>
              <w:pStyle w:val="Tables"/>
              <w:jc w:val="left"/>
              <w:rPr>
                <w:b/>
                <w:lang w:eastAsia="fr-BE"/>
              </w:rPr>
            </w:pPr>
            <w:r w:rsidRPr="00C23393">
              <w:rPr>
                <w:b/>
                <w:lang w:eastAsia="fr-BE"/>
              </w:rPr>
              <w:t>External consistency</w:t>
            </w:r>
          </w:p>
        </w:tc>
        <w:tc>
          <w:tcPr>
            <w:tcW w:w="1015" w:type="dxa"/>
            <w:tcBorders>
              <w:bottom w:val="nil"/>
            </w:tcBorders>
            <w:shd w:val="clear" w:color="auto" w:fill="auto"/>
            <w:noWrap/>
            <w:vAlign w:val="center"/>
          </w:tcPr>
          <w:p w14:paraId="1F74E40A" w14:textId="77777777" w:rsidR="005B18E3" w:rsidRPr="005877C0" w:rsidRDefault="005B18E3" w:rsidP="00925A7A">
            <w:pPr>
              <w:pStyle w:val="Tables"/>
              <w:jc w:val="left"/>
              <w:rPr>
                <w:lang w:val="fr-BE" w:eastAsia="fr-BE"/>
              </w:rPr>
            </w:pPr>
          </w:p>
        </w:tc>
        <w:tc>
          <w:tcPr>
            <w:tcW w:w="1015" w:type="dxa"/>
            <w:tcBorders>
              <w:bottom w:val="nil"/>
            </w:tcBorders>
            <w:shd w:val="clear" w:color="auto" w:fill="auto"/>
            <w:noWrap/>
            <w:vAlign w:val="center"/>
          </w:tcPr>
          <w:p w14:paraId="625D0FCC" w14:textId="77777777" w:rsidR="005B18E3" w:rsidRPr="005877C0" w:rsidRDefault="005B18E3" w:rsidP="00925A7A">
            <w:pPr>
              <w:pStyle w:val="Tables"/>
              <w:jc w:val="left"/>
              <w:rPr>
                <w:lang w:val="fr-BE" w:eastAsia="fr-BE"/>
              </w:rPr>
            </w:pPr>
          </w:p>
        </w:tc>
        <w:tc>
          <w:tcPr>
            <w:tcW w:w="1015" w:type="dxa"/>
            <w:tcBorders>
              <w:bottom w:val="nil"/>
            </w:tcBorders>
            <w:shd w:val="clear" w:color="auto" w:fill="auto"/>
            <w:noWrap/>
            <w:vAlign w:val="center"/>
          </w:tcPr>
          <w:p w14:paraId="2733FFD8" w14:textId="77777777" w:rsidR="005B18E3" w:rsidRPr="005877C0" w:rsidRDefault="005B18E3" w:rsidP="00925A7A">
            <w:pPr>
              <w:pStyle w:val="Tables"/>
              <w:jc w:val="left"/>
              <w:rPr>
                <w:lang w:val="fr-BE" w:eastAsia="fr-BE"/>
              </w:rPr>
            </w:pPr>
          </w:p>
        </w:tc>
        <w:tc>
          <w:tcPr>
            <w:tcW w:w="1015" w:type="dxa"/>
            <w:tcBorders>
              <w:bottom w:val="nil"/>
            </w:tcBorders>
            <w:shd w:val="clear" w:color="auto" w:fill="auto"/>
            <w:noWrap/>
            <w:vAlign w:val="center"/>
          </w:tcPr>
          <w:p w14:paraId="10EAC92E" w14:textId="77777777" w:rsidR="005B18E3" w:rsidRPr="005877C0" w:rsidRDefault="005B18E3" w:rsidP="00925A7A">
            <w:pPr>
              <w:pStyle w:val="Tables"/>
              <w:jc w:val="left"/>
              <w:rPr>
                <w:lang w:val="fr-BE" w:eastAsia="fr-BE"/>
              </w:rPr>
            </w:pPr>
          </w:p>
        </w:tc>
        <w:tc>
          <w:tcPr>
            <w:tcW w:w="1115" w:type="dxa"/>
            <w:tcBorders>
              <w:bottom w:val="nil"/>
            </w:tcBorders>
            <w:shd w:val="clear" w:color="auto" w:fill="auto"/>
            <w:noWrap/>
            <w:vAlign w:val="center"/>
          </w:tcPr>
          <w:p w14:paraId="1A3496AC" w14:textId="77777777" w:rsidR="005B18E3" w:rsidRPr="005877C0" w:rsidRDefault="005B18E3" w:rsidP="00925A7A">
            <w:pPr>
              <w:pStyle w:val="Tables"/>
              <w:jc w:val="left"/>
              <w:rPr>
                <w:lang w:val="fr-BE" w:eastAsia="fr-BE"/>
              </w:rPr>
            </w:pPr>
          </w:p>
        </w:tc>
      </w:tr>
      <w:tr w:rsidR="005B18E3" w:rsidRPr="00DF751F" w14:paraId="134D6463" w14:textId="77777777" w:rsidTr="00C357F6">
        <w:trPr>
          <w:trHeight w:val="300"/>
          <w:jc w:val="center"/>
        </w:trPr>
        <w:tc>
          <w:tcPr>
            <w:tcW w:w="2751" w:type="dxa"/>
            <w:tcBorders>
              <w:top w:val="nil"/>
              <w:bottom w:val="nil"/>
            </w:tcBorders>
            <w:vAlign w:val="center"/>
          </w:tcPr>
          <w:p w14:paraId="7E126B12" w14:textId="77777777" w:rsidR="005B18E3" w:rsidRPr="00DF751F" w:rsidRDefault="005F6EF4" w:rsidP="005F6EF4">
            <w:pPr>
              <w:pStyle w:val="Tables"/>
              <w:jc w:val="left"/>
              <w:rPr>
                <w:lang w:val="fr-BE" w:eastAsia="fr-BE"/>
              </w:rPr>
            </w:pPr>
            <w:r>
              <w:rPr>
                <w:lang w:val="fr-BE" w:eastAsia="fr-BE"/>
              </w:rPr>
              <w:t>Censuses</w:t>
            </w:r>
            <w:r w:rsidR="005B18E3" w:rsidRPr="00DF751F">
              <w:rPr>
                <w:lang w:val="fr-BE" w:eastAsia="fr-BE"/>
              </w:rPr>
              <w:t xml:space="preserve"> </w:t>
            </w:r>
            <w:r>
              <w:rPr>
                <w:lang w:val="fr-BE" w:eastAsia="fr-BE"/>
              </w:rPr>
              <w:t>(reverse survival)</w:t>
            </w:r>
          </w:p>
        </w:tc>
        <w:tc>
          <w:tcPr>
            <w:tcW w:w="1015" w:type="dxa"/>
            <w:tcBorders>
              <w:top w:val="nil"/>
              <w:bottom w:val="nil"/>
            </w:tcBorders>
            <w:shd w:val="clear" w:color="auto" w:fill="auto"/>
            <w:noWrap/>
            <w:vAlign w:val="center"/>
            <w:hideMark/>
          </w:tcPr>
          <w:p w14:paraId="23A28C0D" w14:textId="77777777" w:rsidR="005B18E3" w:rsidRPr="00DF751F" w:rsidRDefault="005B18E3" w:rsidP="00925A7A">
            <w:pPr>
              <w:pStyle w:val="Tables"/>
              <w:jc w:val="left"/>
              <w:rPr>
                <w:lang w:val="fr-BE" w:eastAsia="fr-BE"/>
              </w:rPr>
            </w:pPr>
            <w:r w:rsidRPr="00DF751F">
              <w:rPr>
                <w:lang w:val="fr-BE" w:eastAsia="fr-BE"/>
              </w:rPr>
              <w:t>-1</w:t>
            </w:r>
          </w:p>
        </w:tc>
        <w:tc>
          <w:tcPr>
            <w:tcW w:w="1015" w:type="dxa"/>
            <w:tcBorders>
              <w:top w:val="nil"/>
              <w:bottom w:val="nil"/>
            </w:tcBorders>
            <w:shd w:val="clear" w:color="auto" w:fill="auto"/>
            <w:noWrap/>
            <w:vAlign w:val="center"/>
            <w:hideMark/>
          </w:tcPr>
          <w:p w14:paraId="2DE3819A" w14:textId="77777777" w:rsidR="005B18E3" w:rsidRPr="00DF751F" w:rsidRDefault="005F6EF4" w:rsidP="00925A7A">
            <w:pPr>
              <w:pStyle w:val="Tables"/>
              <w:jc w:val="left"/>
              <w:rPr>
                <w:lang w:val="fr-BE" w:eastAsia="fr-BE"/>
              </w:rPr>
            </w:pPr>
            <w:r>
              <w:rPr>
                <w:lang w:val="fr-BE" w:eastAsia="fr-BE"/>
              </w:rPr>
              <w:t>0</w:t>
            </w:r>
          </w:p>
        </w:tc>
        <w:tc>
          <w:tcPr>
            <w:tcW w:w="1015" w:type="dxa"/>
            <w:tcBorders>
              <w:top w:val="nil"/>
              <w:bottom w:val="nil"/>
            </w:tcBorders>
            <w:shd w:val="clear" w:color="auto" w:fill="auto"/>
            <w:noWrap/>
            <w:vAlign w:val="center"/>
            <w:hideMark/>
          </w:tcPr>
          <w:p w14:paraId="0BEFB13D" w14:textId="77777777" w:rsidR="005B18E3" w:rsidRPr="00DF751F" w:rsidRDefault="005F6EF4" w:rsidP="00925A7A">
            <w:pPr>
              <w:pStyle w:val="Tables"/>
              <w:jc w:val="left"/>
              <w:rPr>
                <w:lang w:val="fr-BE" w:eastAsia="fr-BE"/>
              </w:rPr>
            </w:pPr>
            <w:r>
              <w:rPr>
                <w:lang w:val="fr-BE" w:eastAsia="fr-BE"/>
              </w:rPr>
              <w:t>-0.5</w:t>
            </w:r>
          </w:p>
        </w:tc>
        <w:tc>
          <w:tcPr>
            <w:tcW w:w="1015" w:type="dxa"/>
            <w:tcBorders>
              <w:top w:val="nil"/>
              <w:bottom w:val="nil"/>
            </w:tcBorders>
            <w:shd w:val="clear" w:color="auto" w:fill="auto"/>
            <w:noWrap/>
            <w:vAlign w:val="center"/>
            <w:hideMark/>
          </w:tcPr>
          <w:p w14:paraId="056F1ECC" w14:textId="77777777" w:rsidR="005B18E3" w:rsidRPr="00DF751F" w:rsidRDefault="005B18E3" w:rsidP="00925A7A">
            <w:pPr>
              <w:pStyle w:val="Tables"/>
              <w:jc w:val="left"/>
              <w:rPr>
                <w:lang w:val="fr-BE" w:eastAsia="fr-BE"/>
              </w:rPr>
            </w:pPr>
            <w:r w:rsidRPr="00DF751F">
              <w:rPr>
                <w:lang w:val="fr-BE" w:eastAsia="fr-BE"/>
              </w:rPr>
              <w:t>1</w:t>
            </w:r>
          </w:p>
        </w:tc>
        <w:tc>
          <w:tcPr>
            <w:tcW w:w="1115" w:type="dxa"/>
            <w:tcBorders>
              <w:top w:val="nil"/>
              <w:bottom w:val="nil"/>
            </w:tcBorders>
            <w:shd w:val="clear" w:color="auto" w:fill="auto"/>
            <w:noWrap/>
            <w:vAlign w:val="center"/>
            <w:hideMark/>
          </w:tcPr>
          <w:p w14:paraId="12FD1CFA" w14:textId="77777777" w:rsidR="005B18E3" w:rsidRPr="00DF751F" w:rsidRDefault="005B18E3" w:rsidP="00925A7A">
            <w:pPr>
              <w:pStyle w:val="Tables"/>
              <w:jc w:val="left"/>
              <w:rPr>
                <w:lang w:val="fr-BE" w:eastAsia="fr-BE"/>
              </w:rPr>
            </w:pPr>
            <w:r w:rsidRPr="00DF751F">
              <w:rPr>
                <w:lang w:val="fr-BE" w:eastAsia="fr-BE"/>
              </w:rPr>
              <w:t>0.5</w:t>
            </w:r>
          </w:p>
        </w:tc>
      </w:tr>
      <w:tr w:rsidR="005B18E3" w:rsidRPr="00DF751F" w14:paraId="3E7272ED" w14:textId="77777777" w:rsidTr="00C357F6">
        <w:trPr>
          <w:trHeight w:val="300"/>
          <w:jc w:val="center"/>
        </w:trPr>
        <w:tc>
          <w:tcPr>
            <w:tcW w:w="2751" w:type="dxa"/>
            <w:tcBorders>
              <w:top w:val="nil"/>
              <w:bottom w:val="nil"/>
            </w:tcBorders>
            <w:vAlign w:val="center"/>
          </w:tcPr>
          <w:p w14:paraId="1B10DAF8" w14:textId="77777777" w:rsidR="005B18E3" w:rsidRPr="00DF751F" w:rsidRDefault="005B18E3" w:rsidP="00925A7A">
            <w:pPr>
              <w:pStyle w:val="Tables"/>
              <w:jc w:val="left"/>
              <w:rPr>
                <w:lang w:val="fr-BE" w:eastAsia="fr-BE"/>
              </w:rPr>
            </w:pPr>
            <w:r>
              <w:rPr>
                <w:lang w:val="fr-BE" w:eastAsia="fr-BE"/>
              </w:rPr>
              <w:t xml:space="preserve">Census </w:t>
            </w:r>
            <w:r w:rsidR="005F6EF4">
              <w:rPr>
                <w:lang w:val="fr-BE" w:eastAsia="fr-BE"/>
              </w:rPr>
              <w:t>(</w:t>
            </w:r>
            <w:r>
              <w:rPr>
                <w:lang w:val="fr-BE" w:eastAsia="fr-BE"/>
              </w:rPr>
              <w:t>b</w:t>
            </w:r>
            <w:r w:rsidRPr="00DF751F">
              <w:rPr>
                <w:lang w:val="fr-BE" w:eastAsia="fr-BE"/>
              </w:rPr>
              <w:t>irths last 12 months</w:t>
            </w:r>
            <w:r w:rsidR="005F6EF4">
              <w:rPr>
                <w:lang w:val="fr-BE" w:eastAsia="fr-BE"/>
              </w:rPr>
              <w:t>)</w:t>
            </w:r>
          </w:p>
        </w:tc>
        <w:tc>
          <w:tcPr>
            <w:tcW w:w="1015" w:type="dxa"/>
            <w:tcBorders>
              <w:top w:val="nil"/>
              <w:bottom w:val="nil"/>
            </w:tcBorders>
            <w:shd w:val="clear" w:color="auto" w:fill="auto"/>
            <w:noWrap/>
            <w:vAlign w:val="center"/>
            <w:hideMark/>
          </w:tcPr>
          <w:p w14:paraId="70AD2DFD" w14:textId="63C12813" w:rsidR="005B18E3" w:rsidRPr="00AA30A7" w:rsidRDefault="00AA30A7" w:rsidP="00925A7A">
            <w:pPr>
              <w:pStyle w:val="Tables"/>
              <w:jc w:val="left"/>
              <w:rPr>
                <w:i/>
                <w:lang w:val="fr-BE" w:eastAsia="fr-BE"/>
              </w:rPr>
            </w:pPr>
            <w:r>
              <w:rPr>
                <w:i/>
                <w:lang w:val="fr-BE" w:eastAsia="fr-BE"/>
              </w:rPr>
              <w:t>No data</w:t>
            </w:r>
          </w:p>
        </w:tc>
        <w:tc>
          <w:tcPr>
            <w:tcW w:w="1015" w:type="dxa"/>
            <w:tcBorders>
              <w:top w:val="nil"/>
              <w:bottom w:val="nil"/>
            </w:tcBorders>
            <w:shd w:val="clear" w:color="auto" w:fill="auto"/>
            <w:noWrap/>
            <w:vAlign w:val="center"/>
            <w:hideMark/>
          </w:tcPr>
          <w:p w14:paraId="3ECA3134" w14:textId="77777777" w:rsidR="005B18E3" w:rsidRPr="00DF751F" w:rsidRDefault="005B18E3" w:rsidP="00925A7A">
            <w:pPr>
              <w:pStyle w:val="Tables"/>
              <w:jc w:val="left"/>
              <w:rPr>
                <w:lang w:val="fr-BE" w:eastAsia="fr-BE"/>
              </w:rPr>
            </w:pPr>
            <w:r w:rsidRPr="00DF751F">
              <w:rPr>
                <w:lang w:val="fr-BE" w:eastAsia="fr-BE"/>
              </w:rPr>
              <w:t>-1</w:t>
            </w:r>
          </w:p>
        </w:tc>
        <w:tc>
          <w:tcPr>
            <w:tcW w:w="1015" w:type="dxa"/>
            <w:tcBorders>
              <w:top w:val="nil"/>
              <w:bottom w:val="nil"/>
            </w:tcBorders>
            <w:shd w:val="clear" w:color="auto" w:fill="auto"/>
            <w:noWrap/>
            <w:vAlign w:val="center"/>
            <w:hideMark/>
          </w:tcPr>
          <w:p w14:paraId="6DCE801D" w14:textId="77777777" w:rsidR="005B18E3" w:rsidRPr="00DF751F" w:rsidRDefault="005B18E3" w:rsidP="00925A7A">
            <w:pPr>
              <w:pStyle w:val="Tables"/>
              <w:jc w:val="left"/>
              <w:rPr>
                <w:lang w:val="fr-BE" w:eastAsia="fr-BE"/>
              </w:rPr>
            </w:pPr>
            <w:r w:rsidRPr="00DF751F">
              <w:rPr>
                <w:lang w:val="fr-BE" w:eastAsia="fr-BE"/>
              </w:rPr>
              <w:t>-0.5</w:t>
            </w:r>
          </w:p>
        </w:tc>
        <w:tc>
          <w:tcPr>
            <w:tcW w:w="1015" w:type="dxa"/>
            <w:tcBorders>
              <w:top w:val="nil"/>
              <w:bottom w:val="nil"/>
            </w:tcBorders>
            <w:shd w:val="clear" w:color="auto" w:fill="auto"/>
            <w:noWrap/>
            <w:vAlign w:val="center"/>
            <w:hideMark/>
          </w:tcPr>
          <w:p w14:paraId="2615CBC7" w14:textId="77777777" w:rsidR="005B18E3" w:rsidRPr="00DF751F" w:rsidRDefault="005B18E3" w:rsidP="00925A7A">
            <w:pPr>
              <w:pStyle w:val="Tables"/>
              <w:jc w:val="left"/>
              <w:rPr>
                <w:lang w:val="fr-BE" w:eastAsia="fr-BE"/>
              </w:rPr>
            </w:pPr>
            <w:r w:rsidRPr="00DF751F">
              <w:rPr>
                <w:lang w:val="fr-BE" w:eastAsia="fr-BE"/>
              </w:rPr>
              <w:t>1</w:t>
            </w:r>
          </w:p>
        </w:tc>
        <w:tc>
          <w:tcPr>
            <w:tcW w:w="1115" w:type="dxa"/>
            <w:tcBorders>
              <w:top w:val="nil"/>
              <w:bottom w:val="nil"/>
            </w:tcBorders>
            <w:shd w:val="clear" w:color="auto" w:fill="auto"/>
            <w:noWrap/>
            <w:vAlign w:val="center"/>
            <w:hideMark/>
          </w:tcPr>
          <w:p w14:paraId="2D3752DB" w14:textId="77777777" w:rsidR="005B18E3" w:rsidRPr="00DF751F" w:rsidRDefault="005B18E3" w:rsidP="00925A7A">
            <w:pPr>
              <w:pStyle w:val="Tables"/>
              <w:jc w:val="left"/>
              <w:rPr>
                <w:lang w:val="fr-BE" w:eastAsia="fr-BE"/>
              </w:rPr>
            </w:pPr>
            <w:r w:rsidRPr="00DF751F">
              <w:rPr>
                <w:lang w:val="fr-BE" w:eastAsia="fr-BE"/>
              </w:rPr>
              <w:t>0.5</w:t>
            </w:r>
          </w:p>
        </w:tc>
      </w:tr>
      <w:tr w:rsidR="005B18E3" w:rsidRPr="00DF751F" w14:paraId="2788FE50" w14:textId="77777777" w:rsidTr="00C357F6">
        <w:trPr>
          <w:trHeight w:val="300"/>
          <w:jc w:val="center"/>
        </w:trPr>
        <w:tc>
          <w:tcPr>
            <w:tcW w:w="2751" w:type="dxa"/>
            <w:tcBorders>
              <w:top w:val="nil"/>
              <w:bottom w:val="nil"/>
            </w:tcBorders>
            <w:vAlign w:val="center"/>
          </w:tcPr>
          <w:p w14:paraId="47AFBFFE" w14:textId="6C100D23" w:rsidR="005B18E3" w:rsidRPr="00DF751F" w:rsidRDefault="002235C8" w:rsidP="002235C8">
            <w:pPr>
              <w:pStyle w:val="Tables"/>
              <w:jc w:val="left"/>
              <w:rPr>
                <w:lang w:val="fr-BE" w:eastAsia="fr-BE"/>
              </w:rPr>
            </w:pPr>
            <w:proofErr w:type="spellStart"/>
            <w:r>
              <w:rPr>
                <w:lang w:val="fr-BE" w:eastAsia="fr-BE"/>
              </w:rPr>
              <w:t>R</w:t>
            </w:r>
            <w:r w:rsidR="005B18E3">
              <w:rPr>
                <w:lang w:val="fr-BE" w:eastAsia="fr-BE"/>
              </w:rPr>
              <w:t>econstr</w:t>
            </w:r>
            <w:r w:rsidR="005B18E3" w:rsidRPr="00DF751F">
              <w:rPr>
                <w:lang w:val="fr-BE" w:eastAsia="fr-BE"/>
              </w:rPr>
              <w:t>u</w:t>
            </w:r>
            <w:r w:rsidR="005B18E3">
              <w:rPr>
                <w:lang w:val="fr-BE" w:eastAsia="fr-BE"/>
              </w:rPr>
              <w:t>c</w:t>
            </w:r>
            <w:r w:rsidR="005B18E3" w:rsidRPr="00DF751F">
              <w:rPr>
                <w:lang w:val="fr-BE" w:eastAsia="fr-BE"/>
              </w:rPr>
              <w:t>ted</w:t>
            </w:r>
            <w:proofErr w:type="spellEnd"/>
            <w:r w:rsidR="005B18E3" w:rsidRPr="00DF751F">
              <w:rPr>
                <w:lang w:val="fr-BE" w:eastAsia="fr-BE"/>
              </w:rPr>
              <w:t xml:space="preserve"> </w:t>
            </w:r>
            <w:r>
              <w:rPr>
                <w:lang w:val="fr-BE" w:eastAsia="fr-BE"/>
              </w:rPr>
              <w:t xml:space="preserve">MICS </w:t>
            </w:r>
            <w:proofErr w:type="spellStart"/>
            <w:r w:rsidR="005B18E3" w:rsidRPr="00DF751F">
              <w:rPr>
                <w:lang w:val="fr-BE" w:eastAsia="fr-BE"/>
              </w:rPr>
              <w:t>estimates</w:t>
            </w:r>
            <w:proofErr w:type="spellEnd"/>
          </w:p>
        </w:tc>
        <w:tc>
          <w:tcPr>
            <w:tcW w:w="1015" w:type="dxa"/>
            <w:tcBorders>
              <w:top w:val="nil"/>
              <w:bottom w:val="nil"/>
            </w:tcBorders>
            <w:shd w:val="clear" w:color="auto" w:fill="auto"/>
            <w:noWrap/>
            <w:vAlign w:val="center"/>
            <w:hideMark/>
          </w:tcPr>
          <w:p w14:paraId="3C656192" w14:textId="77777777" w:rsidR="005B18E3" w:rsidRPr="00DF751F" w:rsidRDefault="005B18E3" w:rsidP="00925A7A">
            <w:pPr>
              <w:pStyle w:val="Tables"/>
              <w:jc w:val="left"/>
              <w:rPr>
                <w:lang w:val="fr-BE" w:eastAsia="fr-BE"/>
              </w:rPr>
            </w:pPr>
            <w:r w:rsidRPr="00DF751F">
              <w:rPr>
                <w:lang w:val="fr-BE" w:eastAsia="fr-BE"/>
              </w:rPr>
              <w:t>-0.5</w:t>
            </w:r>
          </w:p>
        </w:tc>
        <w:tc>
          <w:tcPr>
            <w:tcW w:w="1015" w:type="dxa"/>
            <w:tcBorders>
              <w:top w:val="nil"/>
              <w:bottom w:val="nil"/>
            </w:tcBorders>
            <w:shd w:val="clear" w:color="auto" w:fill="auto"/>
            <w:noWrap/>
            <w:vAlign w:val="center"/>
            <w:hideMark/>
          </w:tcPr>
          <w:p w14:paraId="185CDFE7" w14:textId="77777777" w:rsidR="005B18E3" w:rsidRPr="00DF751F" w:rsidRDefault="005B18E3" w:rsidP="00925A7A">
            <w:pPr>
              <w:pStyle w:val="Tables"/>
              <w:jc w:val="left"/>
              <w:rPr>
                <w:lang w:val="fr-BE" w:eastAsia="fr-BE"/>
              </w:rPr>
            </w:pPr>
            <w:r w:rsidRPr="00DF751F">
              <w:rPr>
                <w:lang w:val="fr-BE" w:eastAsia="fr-BE"/>
              </w:rPr>
              <w:t>0.5</w:t>
            </w:r>
          </w:p>
        </w:tc>
        <w:tc>
          <w:tcPr>
            <w:tcW w:w="1015" w:type="dxa"/>
            <w:tcBorders>
              <w:top w:val="nil"/>
              <w:bottom w:val="nil"/>
            </w:tcBorders>
            <w:shd w:val="clear" w:color="auto" w:fill="auto"/>
            <w:noWrap/>
            <w:vAlign w:val="center"/>
            <w:hideMark/>
          </w:tcPr>
          <w:p w14:paraId="3E066DCB" w14:textId="77777777" w:rsidR="005B18E3" w:rsidRPr="00DF751F" w:rsidRDefault="005B18E3" w:rsidP="00925A7A">
            <w:pPr>
              <w:pStyle w:val="Tables"/>
              <w:jc w:val="left"/>
              <w:rPr>
                <w:lang w:val="fr-BE" w:eastAsia="fr-BE"/>
              </w:rPr>
            </w:pPr>
            <w:r w:rsidRPr="00DF751F">
              <w:rPr>
                <w:lang w:val="fr-BE" w:eastAsia="fr-BE"/>
              </w:rPr>
              <w:t>-1</w:t>
            </w:r>
          </w:p>
        </w:tc>
        <w:tc>
          <w:tcPr>
            <w:tcW w:w="1015" w:type="dxa"/>
            <w:tcBorders>
              <w:top w:val="nil"/>
              <w:bottom w:val="nil"/>
            </w:tcBorders>
            <w:shd w:val="clear" w:color="auto" w:fill="auto"/>
            <w:noWrap/>
            <w:vAlign w:val="center"/>
            <w:hideMark/>
          </w:tcPr>
          <w:p w14:paraId="17AEEC86" w14:textId="77777777" w:rsidR="005B18E3" w:rsidRPr="00DF751F" w:rsidRDefault="005B18E3" w:rsidP="00925A7A">
            <w:pPr>
              <w:pStyle w:val="Tables"/>
              <w:jc w:val="left"/>
              <w:rPr>
                <w:lang w:val="fr-BE" w:eastAsia="fr-BE"/>
              </w:rPr>
            </w:pPr>
            <w:r w:rsidRPr="00DF751F">
              <w:rPr>
                <w:lang w:val="fr-BE" w:eastAsia="fr-BE"/>
              </w:rPr>
              <w:t>1</w:t>
            </w:r>
          </w:p>
        </w:tc>
        <w:tc>
          <w:tcPr>
            <w:tcW w:w="1115" w:type="dxa"/>
            <w:tcBorders>
              <w:top w:val="nil"/>
              <w:bottom w:val="nil"/>
            </w:tcBorders>
            <w:shd w:val="clear" w:color="auto" w:fill="auto"/>
            <w:noWrap/>
            <w:vAlign w:val="center"/>
            <w:hideMark/>
          </w:tcPr>
          <w:p w14:paraId="2CB49A1C" w14:textId="77777777" w:rsidR="005B18E3" w:rsidRPr="00DF751F" w:rsidRDefault="005B18E3" w:rsidP="00925A7A">
            <w:pPr>
              <w:pStyle w:val="Tables"/>
              <w:jc w:val="left"/>
              <w:rPr>
                <w:lang w:val="fr-BE" w:eastAsia="fr-BE"/>
              </w:rPr>
            </w:pPr>
            <w:r w:rsidRPr="00DF751F">
              <w:rPr>
                <w:lang w:val="fr-BE" w:eastAsia="fr-BE"/>
              </w:rPr>
              <w:t>1</w:t>
            </w:r>
          </w:p>
        </w:tc>
      </w:tr>
      <w:tr w:rsidR="005B18E3" w:rsidRPr="00DF751F" w14:paraId="074EA459" w14:textId="77777777" w:rsidTr="00C357F6">
        <w:trPr>
          <w:trHeight w:val="300"/>
          <w:jc w:val="center"/>
        </w:trPr>
        <w:tc>
          <w:tcPr>
            <w:tcW w:w="2751" w:type="dxa"/>
            <w:tcBorders>
              <w:top w:val="nil"/>
              <w:bottom w:val="nil"/>
            </w:tcBorders>
            <w:vAlign w:val="center"/>
          </w:tcPr>
          <w:p w14:paraId="4D910A3E" w14:textId="77777777" w:rsidR="005B18E3" w:rsidRPr="00DF751F" w:rsidRDefault="005B18E3" w:rsidP="00925A7A">
            <w:pPr>
              <w:pStyle w:val="Tables"/>
              <w:jc w:val="left"/>
              <w:rPr>
                <w:lang w:val="fr-BE" w:eastAsia="fr-BE"/>
              </w:rPr>
            </w:pPr>
            <w:r>
              <w:rPr>
                <w:lang w:val="fr-BE" w:eastAsia="fr-BE"/>
              </w:rPr>
              <w:t xml:space="preserve">Index </w:t>
            </w:r>
            <w:r w:rsidRPr="00DF751F">
              <w:rPr>
                <w:lang w:val="fr-BE" w:eastAsia="fr-BE"/>
              </w:rPr>
              <w:t>A2</w:t>
            </w:r>
          </w:p>
        </w:tc>
        <w:tc>
          <w:tcPr>
            <w:tcW w:w="1015" w:type="dxa"/>
            <w:tcBorders>
              <w:top w:val="nil"/>
              <w:bottom w:val="nil"/>
            </w:tcBorders>
            <w:shd w:val="clear" w:color="auto" w:fill="auto"/>
            <w:noWrap/>
            <w:vAlign w:val="center"/>
            <w:hideMark/>
          </w:tcPr>
          <w:p w14:paraId="5042DBCB" w14:textId="77777777" w:rsidR="005B18E3" w:rsidRPr="00DF751F" w:rsidRDefault="005B18E3" w:rsidP="005F6EF4">
            <w:pPr>
              <w:pStyle w:val="Tables"/>
              <w:jc w:val="left"/>
              <w:rPr>
                <w:lang w:val="fr-BE" w:eastAsia="fr-BE"/>
              </w:rPr>
            </w:pPr>
            <w:r w:rsidRPr="00DF751F">
              <w:rPr>
                <w:lang w:val="fr-BE" w:eastAsia="fr-BE"/>
              </w:rPr>
              <w:t>-</w:t>
            </w:r>
            <w:r w:rsidR="005F6EF4">
              <w:rPr>
                <w:lang w:val="fr-BE" w:eastAsia="fr-BE"/>
              </w:rPr>
              <w:t>1</w:t>
            </w:r>
            <w:r w:rsidRPr="00DF751F">
              <w:rPr>
                <w:lang w:val="fr-BE" w:eastAsia="fr-BE"/>
              </w:rPr>
              <w:t>.5</w:t>
            </w:r>
          </w:p>
        </w:tc>
        <w:tc>
          <w:tcPr>
            <w:tcW w:w="1015" w:type="dxa"/>
            <w:tcBorders>
              <w:top w:val="nil"/>
              <w:bottom w:val="nil"/>
            </w:tcBorders>
            <w:shd w:val="clear" w:color="auto" w:fill="auto"/>
            <w:noWrap/>
            <w:vAlign w:val="center"/>
            <w:hideMark/>
          </w:tcPr>
          <w:p w14:paraId="2FF6CA79" w14:textId="77777777" w:rsidR="005B18E3" w:rsidRPr="00DF751F" w:rsidRDefault="005B18E3" w:rsidP="005F6EF4">
            <w:pPr>
              <w:pStyle w:val="Tables"/>
              <w:jc w:val="left"/>
              <w:rPr>
                <w:lang w:val="fr-BE" w:eastAsia="fr-BE"/>
              </w:rPr>
            </w:pPr>
            <w:r w:rsidRPr="00DF751F">
              <w:rPr>
                <w:lang w:val="fr-BE" w:eastAsia="fr-BE"/>
              </w:rPr>
              <w:t>-</w:t>
            </w:r>
            <w:r w:rsidR="005F6EF4">
              <w:rPr>
                <w:lang w:val="fr-BE" w:eastAsia="fr-BE"/>
              </w:rPr>
              <w:t>0</w:t>
            </w:r>
            <w:r>
              <w:rPr>
                <w:lang w:val="fr-BE" w:eastAsia="fr-BE"/>
              </w:rPr>
              <w:t>.</w:t>
            </w:r>
            <w:r w:rsidR="005F6EF4">
              <w:rPr>
                <w:lang w:val="fr-BE" w:eastAsia="fr-BE"/>
              </w:rPr>
              <w:t>5</w:t>
            </w:r>
          </w:p>
        </w:tc>
        <w:tc>
          <w:tcPr>
            <w:tcW w:w="1015" w:type="dxa"/>
            <w:tcBorders>
              <w:top w:val="nil"/>
              <w:bottom w:val="nil"/>
            </w:tcBorders>
            <w:shd w:val="clear" w:color="auto" w:fill="auto"/>
            <w:noWrap/>
            <w:vAlign w:val="center"/>
            <w:hideMark/>
          </w:tcPr>
          <w:p w14:paraId="29C241A0" w14:textId="77777777" w:rsidR="005B18E3" w:rsidRPr="00DF751F" w:rsidRDefault="005B18E3" w:rsidP="005F6EF4">
            <w:pPr>
              <w:pStyle w:val="Tables"/>
              <w:jc w:val="left"/>
              <w:rPr>
                <w:lang w:val="fr-BE" w:eastAsia="fr-BE"/>
              </w:rPr>
            </w:pPr>
            <w:r w:rsidRPr="00DF751F">
              <w:rPr>
                <w:lang w:val="fr-BE" w:eastAsia="fr-BE"/>
              </w:rPr>
              <w:t>-2.</w:t>
            </w:r>
            <w:r w:rsidR="005F6EF4">
              <w:rPr>
                <w:lang w:val="fr-BE" w:eastAsia="fr-BE"/>
              </w:rPr>
              <w:t>0</w:t>
            </w:r>
          </w:p>
        </w:tc>
        <w:tc>
          <w:tcPr>
            <w:tcW w:w="1015" w:type="dxa"/>
            <w:tcBorders>
              <w:top w:val="nil"/>
              <w:bottom w:val="nil"/>
            </w:tcBorders>
            <w:shd w:val="clear" w:color="auto" w:fill="auto"/>
            <w:noWrap/>
            <w:vAlign w:val="center"/>
            <w:hideMark/>
          </w:tcPr>
          <w:p w14:paraId="1C5C5D69" w14:textId="77777777" w:rsidR="005B18E3" w:rsidRPr="00DF751F" w:rsidRDefault="00180F5B" w:rsidP="00925A7A">
            <w:pPr>
              <w:pStyle w:val="Tables"/>
              <w:jc w:val="left"/>
              <w:rPr>
                <w:lang w:val="fr-BE" w:eastAsia="fr-BE"/>
              </w:rPr>
            </w:pPr>
            <w:r>
              <w:rPr>
                <w:lang w:val="fr-BE" w:eastAsia="fr-BE"/>
              </w:rPr>
              <w:t>3</w:t>
            </w:r>
            <w:r w:rsidR="005B18E3">
              <w:rPr>
                <w:lang w:val="fr-BE" w:eastAsia="fr-BE"/>
              </w:rPr>
              <w:t>.0</w:t>
            </w:r>
          </w:p>
        </w:tc>
        <w:tc>
          <w:tcPr>
            <w:tcW w:w="1115" w:type="dxa"/>
            <w:tcBorders>
              <w:top w:val="nil"/>
              <w:bottom w:val="nil"/>
            </w:tcBorders>
            <w:shd w:val="clear" w:color="auto" w:fill="auto"/>
            <w:noWrap/>
            <w:vAlign w:val="center"/>
            <w:hideMark/>
          </w:tcPr>
          <w:p w14:paraId="1E784729" w14:textId="77777777" w:rsidR="005B18E3" w:rsidRPr="00DF751F" w:rsidRDefault="00180F5B" w:rsidP="00925A7A">
            <w:pPr>
              <w:pStyle w:val="Tables"/>
              <w:jc w:val="left"/>
              <w:rPr>
                <w:lang w:val="fr-BE" w:eastAsia="fr-BE"/>
              </w:rPr>
            </w:pPr>
            <w:r>
              <w:rPr>
                <w:lang w:val="fr-BE" w:eastAsia="fr-BE"/>
              </w:rPr>
              <w:t>2</w:t>
            </w:r>
          </w:p>
        </w:tc>
      </w:tr>
      <w:tr w:rsidR="005B18E3" w:rsidRPr="00780EF0" w14:paraId="7EA7AC23" w14:textId="77777777" w:rsidTr="00C357F6">
        <w:trPr>
          <w:trHeight w:val="300"/>
          <w:jc w:val="center"/>
        </w:trPr>
        <w:tc>
          <w:tcPr>
            <w:tcW w:w="2751" w:type="dxa"/>
            <w:tcBorders>
              <w:top w:val="nil"/>
              <w:bottom w:val="single" w:sz="4" w:space="0" w:color="auto"/>
            </w:tcBorders>
            <w:vAlign w:val="center"/>
          </w:tcPr>
          <w:p w14:paraId="6F03A380" w14:textId="77777777" w:rsidR="005B18E3" w:rsidRPr="00780EF0" w:rsidRDefault="005B18E3" w:rsidP="00925A7A">
            <w:pPr>
              <w:pStyle w:val="Tables"/>
              <w:jc w:val="left"/>
              <w:rPr>
                <w:b/>
                <w:lang w:val="fr-BE" w:eastAsia="fr-BE"/>
              </w:rPr>
            </w:pPr>
            <w:r w:rsidRPr="00780EF0">
              <w:rPr>
                <w:b/>
                <w:lang w:val="fr-BE" w:eastAsia="fr-BE"/>
              </w:rPr>
              <w:t>Index B2</w:t>
            </w:r>
          </w:p>
        </w:tc>
        <w:tc>
          <w:tcPr>
            <w:tcW w:w="1015" w:type="dxa"/>
            <w:tcBorders>
              <w:top w:val="nil"/>
              <w:bottom w:val="single" w:sz="4" w:space="0" w:color="auto"/>
            </w:tcBorders>
            <w:shd w:val="clear" w:color="auto" w:fill="auto"/>
            <w:noWrap/>
            <w:vAlign w:val="center"/>
            <w:hideMark/>
          </w:tcPr>
          <w:p w14:paraId="79A4560A" w14:textId="77777777" w:rsidR="005B18E3" w:rsidRPr="00780EF0" w:rsidRDefault="005F6EF4" w:rsidP="00925A7A">
            <w:pPr>
              <w:pStyle w:val="Tables"/>
              <w:jc w:val="left"/>
              <w:rPr>
                <w:b/>
                <w:lang w:val="fr-BE" w:eastAsia="fr-BE"/>
              </w:rPr>
            </w:pPr>
            <w:r>
              <w:rPr>
                <w:b/>
                <w:lang w:val="fr-BE" w:eastAsia="fr-BE"/>
              </w:rPr>
              <w:t>-0.75</w:t>
            </w:r>
          </w:p>
        </w:tc>
        <w:tc>
          <w:tcPr>
            <w:tcW w:w="1015" w:type="dxa"/>
            <w:tcBorders>
              <w:top w:val="nil"/>
              <w:bottom w:val="single" w:sz="4" w:space="0" w:color="auto"/>
            </w:tcBorders>
            <w:shd w:val="clear" w:color="auto" w:fill="auto"/>
            <w:noWrap/>
            <w:vAlign w:val="center"/>
            <w:hideMark/>
          </w:tcPr>
          <w:p w14:paraId="3085B73E" w14:textId="77777777" w:rsidR="005B18E3" w:rsidRPr="00780EF0" w:rsidRDefault="005F6EF4" w:rsidP="00925A7A">
            <w:pPr>
              <w:pStyle w:val="Tables"/>
              <w:jc w:val="left"/>
              <w:rPr>
                <w:b/>
                <w:lang w:val="fr-BE" w:eastAsia="fr-BE"/>
              </w:rPr>
            </w:pPr>
            <w:r>
              <w:rPr>
                <w:b/>
                <w:lang w:val="fr-BE" w:eastAsia="fr-BE"/>
              </w:rPr>
              <w:t>-0.17</w:t>
            </w:r>
          </w:p>
        </w:tc>
        <w:tc>
          <w:tcPr>
            <w:tcW w:w="1015" w:type="dxa"/>
            <w:tcBorders>
              <w:top w:val="nil"/>
              <w:bottom w:val="single" w:sz="4" w:space="0" w:color="auto"/>
            </w:tcBorders>
            <w:shd w:val="clear" w:color="auto" w:fill="auto"/>
            <w:noWrap/>
            <w:vAlign w:val="center"/>
            <w:hideMark/>
          </w:tcPr>
          <w:p w14:paraId="14D397DF" w14:textId="77777777" w:rsidR="005B18E3" w:rsidRPr="00780EF0" w:rsidRDefault="005F6EF4" w:rsidP="00925A7A">
            <w:pPr>
              <w:pStyle w:val="Tables"/>
              <w:jc w:val="left"/>
              <w:rPr>
                <w:b/>
                <w:lang w:val="fr-BE" w:eastAsia="fr-BE"/>
              </w:rPr>
            </w:pPr>
            <w:r>
              <w:rPr>
                <w:b/>
                <w:lang w:val="fr-BE" w:eastAsia="fr-BE"/>
              </w:rPr>
              <w:t>-0.67</w:t>
            </w:r>
          </w:p>
        </w:tc>
        <w:tc>
          <w:tcPr>
            <w:tcW w:w="1015" w:type="dxa"/>
            <w:tcBorders>
              <w:top w:val="nil"/>
              <w:bottom w:val="single" w:sz="4" w:space="0" w:color="auto"/>
            </w:tcBorders>
            <w:shd w:val="clear" w:color="auto" w:fill="auto"/>
            <w:noWrap/>
            <w:vAlign w:val="center"/>
            <w:hideMark/>
          </w:tcPr>
          <w:p w14:paraId="14761164" w14:textId="77777777" w:rsidR="005B18E3" w:rsidRPr="00780EF0" w:rsidRDefault="005B18E3" w:rsidP="00925A7A">
            <w:pPr>
              <w:pStyle w:val="Tables"/>
              <w:jc w:val="left"/>
              <w:rPr>
                <w:b/>
                <w:lang w:val="fr-BE" w:eastAsia="fr-BE"/>
              </w:rPr>
            </w:pPr>
            <w:r w:rsidRPr="00780EF0">
              <w:rPr>
                <w:b/>
                <w:lang w:val="fr-BE" w:eastAsia="fr-BE"/>
              </w:rPr>
              <w:t>1.00</w:t>
            </w:r>
          </w:p>
        </w:tc>
        <w:tc>
          <w:tcPr>
            <w:tcW w:w="1115" w:type="dxa"/>
            <w:tcBorders>
              <w:top w:val="nil"/>
              <w:bottom w:val="single" w:sz="4" w:space="0" w:color="auto"/>
            </w:tcBorders>
            <w:shd w:val="clear" w:color="auto" w:fill="auto"/>
            <w:noWrap/>
            <w:vAlign w:val="center"/>
            <w:hideMark/>
          </w:tcPr>
          <w:p w14:paraId="1085F8D5" w14:textId="77777777" w:rsidR="005B18E3" w:rsidRPr="00780EF0" w:rsidRDefault="005F6EF4" w:rsidP="00925A7A">
            <w:pPr>
              <w:pStyle w:val="Tables"/>
              <w:jc w:val="left"/>
              <w:rPr>
                <w:b/>
                <w:lang w:val="fr-BE" w:eastAsia="fr-BE"/>
              </w:rPr>
            </w:pPr>
            <w:r>
              <w:rPr>
                <w:b/>
                <w:lang w:val="fr-BE" w:eastAsia="fr-BE"/>
              </w:rPr>
              <w:t>0.67</w:t>
            </w:r>
          </w:p>
        </w:tc>
      </w:tr>
      <w:tr w:rsidR="005B18E3" w:rsidRPr="00697BDE" w14:paraId="3492A789" w14:textId="77777777" w:rsidTr="00C357F6">
        <w:trPr>
          <w:trHeight w:val="300"/>
          <w:jc w:val="center"/>
        </w:trPr>
        <w:tc>
          <w:tcPr>
            <w:tcW w:w="7926" w:type="dxa"/>
            <w:gridSpan w:val="6"/>
          </w:tcPr>
          <w:p w14:paraId="0183B3BA" w14:textId="05799FA6" w:rsidR="005B18E3" w:rsidRPr="00697BDE" w:rsidRDefault="005B18E3" w:rsidP="002235C8">
            <w:pPr>
              <w:pStyle w:val="Tables"/>
              <w:jc w:val="left"/>
              <w:rPr>
                <w:lang w:eastAsia="fr-BE"/>
              </w:rPr>
            </w:pPr>
            <w:r w:rsidRPr="00697BDE">
              <w:rPr>
                <w:lang w:eastAsia="fr-BE"/>
              </w:rPr>
              <w:t xml:space="preserve">Note: </w:t>
            </w:r>
            <w:r w:rsidR="002235C8">
              <w:rPr>
                <w:lang w:eastAsia="fr-BE"/>
              </w:rPr>
              <w:t>A</w:t>
            </w:r>
            <w:r w:rsidRPr="00697BDE">
              <w:rPr>
                <w:lang w:eastAsia="fr-BE"/>
              </w:rPr>
              <w:t xml:space="preserve"> value of 1 corresponds to strong support for a stall, </w:t>
            </w:r>
            <w:r>
              <w:rPr>
                <w:lang w:eastAsia="fr-BE"/>
              </w:rPr>
              <w:t>and a value of -1 strong support for the absence of stall.</w:t>
            </w:r>
            <w:r w:rsidRPr="00697BDE">
              <w:rPr>
                <w:lang w:eastAsia="fr-BE"/>
              </w:rPr>
              <w:t xml:space="preserve"> </w:t>
            </w:r>
          </w:p>
        </w:tc>
      </w:tr>
    </w:tbl>
    <w:p w14:paraId="7931F8C0" w14:textId="77777777" w:rsidR="005B18E3" w:rsidRDefault="005B18E3" w:rsidP="00925A7A">
      <w:pPr>
        <w:jc w:val="left"/>
      </w:pPr>
    </w:p>
    <w:p w14:paraId="0D20DC1F" w14:textId="77777777" w:rsidR="00A43D69" w:rsidRDefault="00A43D69" w:rsidP="00925A7A">
      <w:pPr>
        <w:spacing w:after="200" w:line="276" w:lineRule="auto"/>
        <w:jc w:val="left"/>
      </w:pPr>
    </w:p>
    <w:p w14:paraId="40A93E98" w14:textId="77777777" w:rsidR="009C4F79" w:rsidRPr="00C30DE5" w:rsidRDefault="00F07AAE" w:rsidP="0039671D">
      <w:pPr>
        <w:spacing w:after="200" w:line="276" w:lineRule="auto"/>
        <w:jc w:val="center"/>
        <w:rPr>
          <w:rStyle w:val="Rfrenceintense"/>
        </w:rPr>
      </w:pPr>
      <w:bookmarkStart w:id="9" w:name="_Ref516077481"/>
      <w:r>
        <w:rPr>
          <w:rStyle w:val="Rfrenceintense"/>
        </w:rPr>
        <w:br w:type="page"/>
      </w:r>
      <w:bookmarkStart w:id="10" w:name="_Ref516070270"/>
      <w:bookmarkStart w:id="11" w:name="_Ref516078284"/>
      <w:r w:rsidR="009C4F79" w:rsidRPr="00C30DE5">
        <w:rPr>
          <w:rStyle w:val="Rfrenceintense"/>
        </w:rPr>
        <w:lastRenderedPageBreak/>
        <w:t xml:space="preserve">Table </w:t>
      </w:r>
      <w:r w:rsidR="009C4F79" w:rsidRPr="00C30DE5">
        <w:rPr>
          <w:rStyle w:val="Rfrenceintense"/>
        </w:rPr>
        <w:fldChar w:fldCharType="begin"/>
      </w:r>
      <w:r w:rsidR="009C4F79" w:rsidRPr="00C30DE5">
        <w:rPr>
          <w:rStyle w:val="Rfrenceintense"/>
        </w:rPr>
        <w:instrText xml:space="preserve"> SEQ Table \* ARABIC </w:instrText>
      </w:r>
      <w:r w:rsidR="009C4F79" w:rsidRPr="00C30DE5">
        <w:rPr>
          <w:rStyle w:val="Rfrenceintense"/>
        </w:rPr>
        <w:fldChar w:fldCharType="separate"/>
      </w:r>
      <w:r w:rsidR="00943572">
        <w:rPr>
          <w:rStyle w:val="Rfrenceintense"/>
          <w:noProof/>
        </w:rPr>
        <w:t>5</w:t>
      </w:r>
      <w:r w:rsidR="009C4F79" w:rsidRPr="00C30DE5">
        <w:rPr>
          <w:rStyle w:val="Rfrenceintense"/>
        </w:rPr>
        <w:fldChar w:fldCharType="end"/>
      </w:r>
      <w:bookmarkEnd w:id="10"/>
      <w:r w:rsidR="009C4F79" w:rsidRPr="00C30DE5">
        <w:rPr>
          <w:rStyle w:val="Rfrenceintense"/>
        </w:rPr>
        <w:t>. Classification of fertility stalls based on DHS data and other sources (7</w:t>
      </w:r>
      <w:r w:rsidR="005B682F">
        <w:rPr>
          <w:rStyle w:val="Rfrenceintense"/>
        </w:rPr>
        <w:t>8</w:t>
      </w:r>
      <w:r w:rsidR="009C4F79" w:rsidRPr="00C30DE5">
        <w:rPr>
          <w:rStyle w:val="Rfrenceintense"/>
        </w:rPr>
        <w:t xml:space="preserve"> cases)</w:t>
      </w:r>
      <w:bookmarkEnd w:id="11"/>
    </w:p>
    <w:tbl>
      <w:tblPr>
        <w:tblStyle w:val="Grilledutableau"/>
        <w:tblW w:w="9780" w:type="dxa"/>
        <w:jc w:val="center"/>
        <w:tblInd w:w="534" w:type="dxa"/>
        <w:tblLook w:val="04A0" w:firstRow="1" w:lastRow="0" w:firstColumn="1" w:lastColumn="0" w:noHBand="0" w:noVBand="1"/>
      </w:tblPr>
      <w:tblGrid>
        <w:gridCol w:w="881"/>
        <w:gridCol w:w="1387"/>
        <w:gridCol w:w="850"/>
        <w:gridCol w:w="1276"/>
        <w:gridCol w:w="1984"/>
        <w:gridCol w:w="1985"/>
        <w:gridCol w:w="1417"/>
      </w:tblGrid>
      <w:tr w:rsidR="0039671D" w:rsidRPr="0079026B" w14:paraId="13C87BBE" w14:textId="77777777" w:rsidTr="008577A9">
        <w:trPr>
          <w:jc w:val="center"/>
        </w:trPr>
        <w:tc>
          <w:tcPr>
            <w:tcW w:w="881" w:type="dxa"/>
            <w:tcBorders>
              <w:bottom w:val="nil"/>
              <w:right w:val="nil"/>
            </w:tcBorders>
          </w:tcPr>
          <w:p w14:paraId="14D2788A" w14:textId="77777777" w:rsidR="0039671D" w:rsidRPr="000E3B33" w:rsidRDefault="0039671D" w:rsidP="00925A7A">
            <w:pPr>
              <w:pStyle w:val="Tables"/>
              <w:jc w:val="left"/>
            </w:pPr>
          </w:p>
        </w:tc>
        <w:tc>
          <w:tcPr>
            <w:tcW w:w="1387" w:type="dxa"/>
            <w:tcBorders>
              <w:left w:val="nil"/>
              <w:bottom w:val="nil"/>
            </w:tcBorders>
          </w:tcPr>
          <w:p w14:paraId="37D322F0" w14:textId="466110E8" w:rsidR="0039671D" w:rsidRPr="000E3B33" w:rsidRDefault="0039671D" w:rsidP="00925A7A">
            <w:pPr>
              <w:pStyle w:val="Tables"/>
              <w:jc w:val="left"/>
            </w:pPr>
          </w:p>
        </w:tc>
        <w:tc>
          <w:tcPr>
            <w:tcW w:w="7512" w:type="dxa"/>
            <w:gridSpan w:val="5"/>
          </w:tcPr>
          <w:p w14:paraId="4C848AAA" w14:textId="6F7D1C6F" w:rsidR="0039671D" w:rsidRPr="0039671D" w:rsidRDefault="0039671D" w:rsidP="0039671D">
            <w:pPr>
              <w:pStyle w:val="Tables"/>
              <w:jc w:val="center"/>
              <w:rPr>
                <w:b/>
              </w:rPr>
            </w:pPr>
            <w:r w:rsidRPr="0039671D">
              <w:rPr>
                <w:b/>
              </w:rPr>
              <w:t>B2 index (other sources)</w:t>
            </w:r>
          </w:p>
        </w:tc>
      </w:tr>
      <w:tr w:rsidR="0039671D" w:rsidRPr="00AA30A7" w14:paraId="2C9039D7" w14:textId="77777777" w:rsidTr="008577A9">
        <w:trPr>
          <w:jc w:val="center"/>
        </w:trPr>
        <w:tc>
          <w:tcPr>
            <w:tcW w:w="881" w:type="dxa"/>
            <w:tcBorders>
              <w:top w:val="nil"/>
              <w:right w:val="nil"/>
            </w:tcBorders>
          </w:tcPr>
          <w:p w14:paraId="2EB66504" w14:textId="77777777" w:rsidR="0039671D" w:rsidRPr="00AA30A7" w:rsidRDefault="0039671D" w:rsidP="00925A7A">
            <w:pPr>
              <w:pStyle w:val="Tables"/>
              <w:jc w:val="left"/>
              <w:rPr>
                <w:b/>
              </w:rPr>
            </w:pPr>
          </w:p>
        </w:tc>
        <w:tc>
          <w:tcPr>
            <w:tcW w:w="1387" w:type="dxa"/>
            <w:tcBorders>
              <w:top w:val="nil"/>
              <w:left w:val="nil"/>
            </w:tcBorders>
          </w:tcPr>
          <w:p w14:paraId="0D3FF5A7" w14:textId="5361EC13" w:rsidR="0039671D" w:rsidRPr="00AA30A7" w:rsidRDefault="0039671D" w:rsidP="00925A7A">
            <w:pPr>
              <w:pStyle w:val="Tables"/>
              <w:jc w:val="left"/>
              <w:rPr>
                <w:b/>
              </w:rPr>
            </w:pPr>
          </w:p>
        </w:tc>
        <w:tc>
          <w:tcPr>
            <w:tcW w:w="850" w:type="dxa"/>
          </w:tcPr>
          <w:p w14:paraId="69BFC209" w14:textId="77777777" w:rsidR="0039671D" w:rsidRPr="00AA30A7" w:rsidRDefault="0039671D" w:rsidP="00925A7A">
            <w:pPr>
              <w:pStyle w:val="Tables"/>
              <w:jc w:val="left"/>
              <w:rPr>
                <w:b/>
              </w:rPr>
            </w:pPr>
            <w:r w:rsidRPr="00AA30A7">
              <w:rPr>
                <w:b/>
              </w:rPr>
              <w:t>No other source</w:t>
            </w:r>
          </w:p>
        </w:tc>
        <w:tc>
          <w:tcPr>
            <w:tcW w:w="1276" w:type="dxa"/>
          </w:tcPr>
          <w:p w14:paraId="7C83C036" w14:textId="77777777" w:rsidR="0039671D" w:rsidRPr="00AA30A7" w:rsidRDefault="0039671D" w:rsidP="00925A7A">
            <w:pPr>
              <w:pStyle w:val="Tables"/>
              <w:jc w:val="left"/>
              <w:rPr>
                <w:b/>
              </w:rPr>
            </w:pPr>
            <w:r w:rsidRPr="00AA30A7">
              <w:rPr>
                <w:b/>
              </w:rPr>
              <w:t>&lt;0</w:t>
            </w:r>
          </w:p>
          <w:p w14:paraId="6571DBDD" w14:textId="25EE5954" w:rsidR="0039671D" w:rsidRPr="00AA30A7" w:rsidRDefault="0039671D" w:rsidP="00525A0F">
            <w:pPr>
              <w:pStyle w:val="Tables"/>
              <w:jc w:val="left"/>
              <w:rPr>
                <w:b/>
              </w:rPr>
            </w:pPr>
            <w:r w:rsidRPr="00AA30A7">
              <w:rPr>
                <w:b/>
              </w:rPr>
              <w:t>(no support)</w:t>
            </w:r>
          </w:p>
        </w:tc>
        <w:tc>
          <w:tcPr>
            <w:tcW w:w="1984" w:type="dxa"/>
          </w:tcPr>
          <w:p w14:paraId="5C0C9E0D" w14:textId="77777777" w:rsidR="0039671D" w:rsidRPr="00AA30A7" w:rsidRDefault="0039671D" w:rsidP="00925A7A">
            <w:pPr>
              <w:pStyle w:val="Tables"/>
              <w:jc w:val="left"/>
              <w:rPr>
                <w:b/>
              </w:rPr>
            </w:pPr>
            <w:r w:rsidRPr="00AA30A7">
              <w:rPr>
                <w:b/>
              </w:rPr>
              <w:t>Between 0 and 0.49</w:t>
            </w:r>
          </w:p>
          <w:p w14:paraId="6B1840B9" w14:textId="77777777" w:rsidR="0039671D" w:rsidRPr="00AA30A7" w:rsidRDefault="0039671D" w:rsidP="00925A7A">
            <w:pPr>
              <w:pStyle w:val="Tables"/>
              <w:jc w:val="left"/>
              <w:rPr>
                <w:b/>
              </w:rPr>
            </w:pPr>
            <w:r w:rsidRPr="00AA30A7">
              <w:rPr>
                <w:b/>
              </w:rPr>
              <w:t>(moderate support)</w:t>
            </w:r>
          </w:p>
        </w:tc>
        <w:tc>
          <w:tcPr>
            <w:tcW w:w="1985" w:type="dxa"/>
          </w:tcPr>
          <w:p w14:paraId="1C77D78B" w14:textId="77777777" w:rsidR="0039671D" w:rsidRPr="00AA30A7" w:rsidRDefault="0039671D" w:rsidP="00925A7A">
            <w:pPr>
              <w:pStyle w:val="Tables"/>
              <w:jc w:val="left"/>
              <w:rPr>
                <w:b/>
              </w:rPr>
            </w:pPr>
            <w:r w:rsidRPr="00AA30A7">
              <w:rPr>
                <w:b/>
              </w:rPr>
              <w:t>Between 0.5 and 0.99</w:t>
            </w:r>
          </w:p>
          <w:p w14:paraId="3C94BD59" w14:textId="77777777" w:rsidR="0039671D" w:rsidRPr="00AA30A7" w:rsidRDefault="0039671D" w:rsidP="00925A7A">
            <w:pPr>
              <w:pStyle w:val="Tables"/>
              <w:jc w:val="left"/>
              <w:rPr>
                <w:b/>
              </w:rPr>
            </w:pPr>
            <w:r w:rsidRPr="00AA30A7">
              <w:rPr>
                <w:b/>
              </w:rPr>
              <w:t>(strong support)</w:t>
            </w:r>
          </w:p>
        </w:tc>
        <w:tc>
          <w:tcPr>
            <w:tcW w:w="1417" w:type="dxa"/>
          </w:tcPr>
          <w:p w14:paraId="3130CE9B" w14:textId="77777777" w:rsidR="0039671D" w:rsidRPr="00AA30A7" w:rsidRDefault="0039671D" w:rsidP="00925A7A">
            <w:pPr>
              <w:pStyle w:val="Tables"/>
              <w:jc w:val="left"/>
              <w:rPr>
                <w:b/>
              </w:rPr>
            </w:pPr>
            <w:r w:rsidRPr="00AA30A7">
              <w:rPr>
                <w:b/>
              </w:rPr>
              <w:t>1</w:t>
            </w:r>
          </w:p>
          <w:p w14:paraId="3872F0E4" w14:textId="77777777" w:rsidR="0039671D" w:rsidRPr="00AA30A7" w:rsidRDefault="0039671D" w:rsidP="00925A7A">
            <w:pPr>
              <w:pStyle w:val="Tables"/>
              <w:jc w:val="left"/>
              <w:rPr>
                <w:b/>
              </w:rPr>
            </w:pPr>
            <w:r w:rsidRPr="00AA30A7">
              <w:rPr>
                <w:b/>
              </w:rPr>
              <w:t>(very strong support)</w:t>
            </w:r>
          </w:p>
        </w:tc>
      </w:tr>
      <w:tr w:rsidR="0039671D" w:rsidRPr="0079026B" w14:paraId="28EF077E" w14:textId="77777777" w:rsidTr="008577A9">
        <w:trPr>
          <w:jc w:val="center"/>
        </w:trPr>
        <w:tc>
          <w:tcPr>
            <w:tcW w:w="881" w:type="dxa"/>
            <w:vMerge w:val="restart"/>
          </w:tcPr>
          <w:p w14:paraId="1F239F4D" w14:textId="6EAA6E84" w:rsidR="0039671D" w:rsidRPr="00AA30A7" w:rsidRDefault="0039671D" w:rsidP="00925A7A">
            <w:pPr>
              <w:pStyle w:val="Tables"/>
              <w:jc w:val="left"/>
              <w:rPr>
                <w:b/>
              </w:rPr>
            </w:pPr>
            <w:r w:rsidRPr="00AA30A7">
              <w:rPr>
                <w:b/>
              </w:rPr>
              <w:t>B1</w:t>
            </w:r>
            <w:r>
              <w:rPr>
                <w:b/>
              </w:rPr>
              <w:t xml:space="preserve"> index</w:t>
            </w:r>
            <w:r w:rsidRPr="00AA30A7">
              <w:rPr>
                <w:b/>
              </w:rPr>
              <w:t xml:space="preserve"> (DHS)</w:t>
            </w:r>
          </w:p>
        </w:tc>
        <w:tc>
          <w:tcPr>
            <w:tcW w:w="1387" w:type="dxa"/>
          </w:tcPr>
          <w:p w14:paraId="3407ACDF" w14:textId="264E2664" w:rsidR="0039671D" w:rsidRPr="00AA30A7" w:rsidRDefault="0039671D" w:rsidP="00925A7A">
            <w:pPr>
              <w:pStyle w:val="Tables"/>
              <w:jc w:val="left"/>
              <w:rPr>
                <w:b/>
              </w:rPr>
            </w:pPr>
            <w:r w:rsidRPr="00AA30A7">
              <w:rPr>
                <w:b/>
              </w:rPr>
              <w:t>&lt;0</w:t>
            </w:r>
          </w:p>
          <w:p w14:paraId="257FB098" w14:textId="43E5C3EE" w:rsidR="0039671D" w:rsidRPr="00AA30A7" w:rsidRDefault="0039671D" w:rsidP="00925A7A">
            <w:pPr>
              <w:pStyle w:val="Tables"/>
              <w:jc w:val="left"/>
              <w:rPr>
                <w:b/>
              </w:rPr>
            </w:pPr>
            <w:r w:rsidRPr="00AA30A7">
              <w:rPr>
                <w:b/>
              </w:rPr>
              <w:t>(no support)</w:t>
            </w:r>
          </w:p>
        </w:tc>
        <w:tc>
          <w:tcPr>
            <w:tcW w:w="850" w:type="dxa"/>
          </w:tcPr>
          <w:p w14:paraId="2EA678EF" w14:textId="77777777" w:rsidR="0039671D" w:rsidRPr="000E3B33" w:rsidRDefault="0039671D" w:rsidP="005B682F">
            <w:pPr>
              <w:pStyle w:val="Tables"/>
              <w:jc w:val="left"/>
            </w:pPr>
            <w:r w:rsidRPr="000E3B33">
              <w:t>6 cases</w:t>
            </w:r>
          </w:p>
        </w:tc>
        <w:tc>
          <w:tcPr>
            <w:tcW w:w="1276" w:type="dxa"/>
          </w:tcPr>
          <w:p w14:paraId="437A27C4" w14:textId="77777777" w:rsidR="0039671D" w:rsidRPr="000E3B33" w:rsidRDefault="0039671D" w:rsidP="005B682F">
            <w:pPr>
              <w:pStyle w:val="Tables"/>
              <w:jc w:val="left"/>
            </w:pPr>
            <w:r w:rsidRPr="000E3B33">
              <w:t>32 cases</w:t>
            </w:r>
          </w:p>
        </w:tc>
        <w:tc>
          <w:tcPr>
            <w:tcW w:w="1984" w:type="dxa"/>
          </w:tcPr>
          <w:p w14:paraId="405453DC" w14:textId="77777777" w:rsidR="0039671D" w:rsidRPr="000E3B33" w:rsidRDefault="0039671D" w:rsidP="00925A7A">
            <w:pPr>
              <w:pStyle w:val="Tables"/>
              <w:jc w:val="left"/>
            </w:pPr>
            <w:r w:rsidRPr="000E3B33">
              <w:t>8 cases</w:t>
            </w:r>
          </w:p>
        </w:tc>
        <w:tc>
          <w:tcPr>
            <w:tcW w:w="1985" w:type="dxa"/>
            <w:shd w:val="clear" w:color="auto" w:fill="F2F2F2" w:themeFill="background1" w:themeFillShade="F2"/>
          </w:tcPr>
          <w:p w14:paraId="7E21E799" w14:textId="77777777" w:rsidR="0039671D" w:rsidRPr="000E3B33" w:rsidRDefault="0039671D" w:rsidP="00925A7A">
            <w:pPr>
              <w:pStyle w:val="Tables"/>
              <w:jc w:val="left"/>
            </w:pPr>
            <w:r w:rsidRPr="000E3B33">
              <w:t>3 cases</w:t>
            </w:r>
          </w:p>
          <w:p w14:paraId="75BEE020" w14:textId="266E70B7" w:rsidR="0039671D" w:rsidRPr="000E3B33" w:rsidRDefault="0039671D" w:rsidP="000E3B33">
            <w:pPr>
              <w:pStyle w:val="Tables"/>
              <w:jc w:val="left"/>
            </w:pPr>
            <w:r w:rsidRPr="000E3B33">
              <w:t>Kenya (1993</w:t>
            </w:r>
            <w:r>
              <w:t>–</w:t>
            </w:r>
            <w:r w:rsidRPr="000E3B33">
              <w:t xml:space="preserve">1998), </w:t>
            </w:r>
          </w:p>
          <w:p w14:paraId="36A91C18" w14:textId="7D60057C" w:rsidR="0039671D" w:rsidRPr="000E3B33" w:rsidRDefault="0039671D" w:rsidP="00525A0F">
            <w:pPr>
              <w:pStyle w:val="Tables"/>
              <w:jc w:val="left"/>
            </w:pPr>
            <w:r w:rsidRPr="000E3B33">
              <w:t>Senegal (2005</w:t>
            </w:r>
            <w:r>
              <w:t>–</w:t>
            </w:r>
            <w:r w:rsidRPr="000E3B33">
              <w:t>2011), Uganda (2001</w:t>
            </w:r>
            <w:r>
              <w:t>–</w:t>
            </w:r>
            <w:r w:rsidRPr="000E3B33">
              <w:t>2006)</w:t>
            </w:r>
          </w:p>
        </w:tc>
        <w:tc>
          <w:tcPr>
            <w:tcW w:w="1417" w:type="dxa"/>
            <w:shd w:val="clear" w:color="auto" w:fill="F2F2F2" w:themeFill="background1" w:themeFillShade="F2"/>
          </w:tcPr>
          <w:p w14:paraId="10A790ED" w14:textId="77777777" w:rsidR="0039671D" w:rsidRPr="000E3B33" w:rsidRDefault="0039671D" w:rsidP="00925A7A">
            <w:pPr>
              <w:pStyle w:val="Tables"/>
              <w:jc w:val="left"/>
            </w:pPr>
            <w:r w:rsidRPr="000E3B33">
              <w:t>2 cases</w:t>
            </w:r>
          </w:p>
          <w:p w14:paraId="076F7D2A" w14:textId="67E4F274" w:rsidR="0039671D" w:rsidRPr="000E3B33" w:rsidRDefault="0039671D">
            <w:pPr>
              <w:pStyle w:val="Tables"/>
              <w:jc w:val="left"/>
            </w:pPr>
            <w:r w:rsidRPr="000E3B33">
              <w:t>Ghana (1988</w:t>
            </w:r>
            <w:r>
              <w:t>–</w:t>
            </w:r>
            <w:r w:rsidRPr="000E3B33">
              <w:t>1993), Senegal (1993</w:t>
            </w:r>
            <w:r>
              <w:t>–</w:t>
            </w:r>
            <w:r w:rsidRPr="000E3B33">
              <w:t>1997)</w:t>
            </w:r>
          </w:p>
          <w:p w14:paraId="5B21560D" w14:textId="77777777" w:rsidR="0039671D" w:rsidRPr="000E3B33" w:rsidRDefault="0039671D" w:rsidP="00525A0F">
            <w:pPr>
              <w:pStyle w:val="Tables"/>
              <w:jc w:val="left"/>
            </w:pPr>
          </w:p>
        </w:tc>
      </w:tr>
      <w:tr w:rsidR="0039671D" w:rsidRPr="0079026B" w14:paraId="617B4873" w14:textId="77777777" w:rsidTr="008577A9">
        <w:trPr>
          <w:jc w:val="center"/>
        </w:trPr>
        <w:tc>
          <w:tcPr>
            <w:tcW w:w="881" w:type="dxa"/>
            <w:vMerge/>
          </w:tcPr>
          <w:p w14:paraId="6C384EBD" w14:textId="77777777" w:rsidR="0039671D" w:rsidRPr="00AA30A7" w:rsidRDefault="0039671D" w:rsidP="00925A7A">
            <w:pPr>
              <w:pStyle w:val="Tables"/>
              <w:jc w:val="left"/>
              <w:rPr>
                <w:b/>
              </w:rPr>
            </w:pPr>
          </w:p>
        </w:tc>
        <w:tc>
          <w:tcPr>
            <w:tcW w:w="1387" w:type="dxa"/>
          </w:tcPr>
          <w:p w14:paraId="74FF2D49" w14:textId="34A2FFB3" w:rsidR="0039671D" w:rsidRPr="00AA30A7" w:rsidRDefault="0039671D" w:rsidP="00925A7A">
            <w:pPr>
              <w:pStyle w:val="Tables"/>
              <w:jc w:val="left"/>
              <w:rPr>
                <w:b/>
              </w:rPr>
            </w:pPr>
            <w:r w:rsidRPr="00AA30A7">
              <w:rPr>
                <w:b/>
              </w:rPr>
              <w:t>Between 0 and 0.49</w:t>
            </w:r>
          </w:p>
          <w:p w14:paraId="7C79326A" w14:textId="77777777" w:rsidR="0039671D" w:rsidRPr="00AA30A7" w:rsidRDefault="0039671D" w:rsidP="00925A7A">
            <w:pPr>
              <w:pStyle w:val="Tables"/>
              <w:jc w:val="left"/>
              <w:rPr>
                <w:b/>
              </w:rPr>
            </w:pPr>
            <w:r w:rsidRPr="00AA30A7">
              <w:rPr>
                <w:b/>
              </w:rPr>
              <w:t>(moderate support)</w:t>
            </w:r>
          </w:p>
        </w:tc>
        <w:tc>
          <w:tcPr>
            <w:tcW w:w="850" w:type="dxa"/>
          </w:tcPr>
          <w:p w14:paraId="50901819" w14:textId="346F30A9" w:rsidR="0039671D" w:rsidRPr="000E3B33" w:rsidRDefault="0039671D" w:rsidP="00925A7A">
            <w:pPr>
              <w:pStyle w:val="Tables"/>
              <w:jc w:val="left"/>
            </w:pPr>
            <w:r>
              <w:t>0</w:t>
            </w:r>
            <w:r w:rsidRPr="000E3B33">
              <w:t xml:space="preserve"> case</w:t>
            </w:r>
            <w:r>
              <w:t>s</w:t>
            </w:r>
          </w:p>
        </w:tc>
        <w:tc>
          <w:tcPr>
            <w:tcW w:w="1276" w:type="dxa"/>
          </w:tcPr>
          <w:p w14:paraId="42F96035" w14:textId="77777777" w:rsidR="0039671D" w:rsidRPr="000E3B33" w:rsidRDefault="0039671D" w:rsidP="00925A7A">
            <w:pPr>
              <w:pStyle w:val="Tables"/>
              <w:jc w:val="left"/>
            </w:pPr>
            <w:r>
              <w:t>6</w:t>
            </w:r>
            <w:r w:rsidRPr="000E3B33">
              <w:t xml:space="preserve"> cases</w:t>
            </w:r>
          </w:p>
        </w:tc>
        <w:tc>
          <w:tcPr>
            <w:tcW w:w="1984" w:type="dxa"/>
            <w:shd w:val="clear" w:color="auto" w:fill="F2F2F2" w:themeFill="background1" w:themeFillShade="F2"/>
          </w:tcPr>
          <w:p w14:paraId="73ECA505" w14:textId="77777777" w:rsidR="0039671D" w:rsidRPr="000E3B33" w:rsidRDefault="0039671D" w:rsidP="00925A7A">
            <w:pPr>
              <w:pStyle w:val="Tables"/>
              <w:jc w:val="left"/>
            </w:pPr>
            <w:r w:rsidRPr="000E3B33">
              <w:t>6 cases</w:t>
            </w:r>
          </w:p>
          <w:p w14:paraId="5883B3DD" w14:textId="793991EF" w:rsidR="0039671D" w:rsidRPr="000E3B33" w:rsidRDefault="0039671D" w:rsidP="00525A0F">
            <w:pPr>
              <w:pStyle w:val="Tables"/>
              <w:jc w:val="left"/>
            </w:pPr>
            <w:r w:rsidRPr="000E3B33">
              <w:t>Benin (2001</w:t>
            </w:r>
            <w:r>
              <w:t>–</w:t>
            </w:r>
            <w:r w:rsidRPr="000E3B33">
              <w:t>2006), Burkina Faso (1993</w:t>
            </w:r>
            <w:r>
              <w:t>–</w:t>
            </w:r>
            <w:r w:rsidRPr="000E3B33">
              <w:t>1999), Malawi (2000</w:t>
            </w:r>
            <w:r>
              <w:t>–</w:t>
            </w:r>
            <w:r w:rsidRPr="000E3B33">
              <w:t>2004), Rwanda (2000</w:t>
            </w:r>
            <w:r>
              <w:t>–</w:t>
            </w:r>
            <w:r w:rsidRPr="000E3B33">
              <w:t>2005), Cameroon (2004</w:t>
            </w:r>
            <w:r>
              <w:t>–</w:t>
            </w:r>
            <w:r w:rsidRPr="000E3B33">
              <w:t>2011), Zambia (1992</w:t>
            </w:r>
            <w:r>
              <w:t>–</w:t>
            </w:r>
            <w:r w:rsidRPr="000E3B33">
              <w:t>1996)</w:t>
            </w:r>
          </w:p>
        </w:tc>
        <w:tc>
          <w:tcPr>
            <w:tcW w:w="1985" w:type="dxa"/>
            <w:shd w:val="clear" w:color="auto" w:fill="D9D9D9" w:themeFill="background1" w:themeFillShade="D9"/>
          </w:tcPr>
          <w:p w14:paraId="4F9819A6" w14:textId="77777777" w:rsidR="0039671D" w:rsidRPr="000E3B33" w:rsidRDefault="0039671D" w:rsidP="00925A7A">
            <w:pPr>
              <w:pStyle w:val="Tables"/>
              <w:jc w:val="left"/>
            </w:pPr>
            <w:r w:rsidRPr="000E3B33">
              <w:t>5 cases</w:t>
            </w:r>
          </w:p>
          <w:p w14:paraId="191CD285" w14:textId="6D8F3731" w:rsidR="0039671D" w:rsidRPr="000E3B33" w:rsidRDefault="0039671D" w:rsidP="00925A7A">
            <w:pPr>
              <w:pStyle w:val="Tables"/>
              <w:jc w:val="left"/>
              <w:rPr>
                <w:b/>
              </w:rPr>
            </w:pPr>
            <w:r w:rsidRPr="000E3B33">
              <w:t>Tanzania (1999</w:t>
            </w:r>
            <w:r>
              <w:t>–</w:t>
            </w:r>
            <w:r w:rsidRPr="000E3B33">
              <w:t>2004), South Africa (1998</w:t>
            </w:r>
            <w:r>
              <w:t>–</w:t>
            </w:r>
            <w:r w:rsidRPr="000E3B33">
              <w:t>2016), Nigeria (1990</w:t>
            </w:r>
            <w:r>
              <w:t>–</w:t>
            </w:r>
            <w:r w:rsidRPr="000E3B33">
              <w:t>2003; 2003</w:t>
            </w:r>
            <w:r>
              <w:t>–</w:t>
            </w:r>
            <w:r w:rsidRPr="000E3B33">
              <w:t>2008), Côte d’Ivoire (1999</w:t>
            </w:r>
            <w:r>
              <w:t>–</w:t>
            </w:r>
            <w:r w:rsidRPr="000E3B33">
              <w:t>2012)</w:t>
            </w:r>
          </w:p>
          <w:p w14:paraId="01C4EA4C" w14:textId="77777777" w:rsidR="0039671D" w:rsidRPr="000E3B33" w:rsidRDefault="0039671D" w:rsidP="00925A7A">
            <w:pPr>
              <w:pStyle w:val="Tables"/>
              <w:jc w:val="left"/>
            </w:pPr>
          </w:p>
        </w:tc>
        <w:tc>
          <w:tcPr>
            <w:tcW w:w="1417" w:type="dxa"/>
            <w:shd w:val="clear" w:color="auto" w:fill="BFBFBF" w:themeFill="background1" w:themeFillShade="BF"/>
          </w:tcPr>
          <w:p w14:paraId="7A5D1F00" w14:textId="1E87B244" w:rsidR="0039671D" w:rsidRPr="000E3B33" w:rsidRDefault="0039671D" w:rsidP="00925A7A">
            <w:pPr>
              <w:pStyle w:val="Tables"/>
              <w:jc w:val="left"/>
            </w:pPr>
            <w:r w:rsidRPr="000E3B33">
              <w:t>0 case</w:t>
            </w:r>
            <w:r>
              <w:t>s</w:t>
            </w:r>
          </w:p>
        </w:tc>
      </w:tr>
      <w:tr w:rsidR="0039671D" w:rsidRPr="0079026B" w14:paraId="1761E9B3" w14:textId="77777777" w:rsidTr="008577A9">
        <w:trPr>
          <w:jc w:val="center"/>
        </w:trPr>
        <w:tc>
          <w:tcPr>
            <w:tcW w:w="881" w:type="dxa"/>
            <w:vMerge/>
          </w:tcPr>
          <w:p w14:paraId="5783F3E4" w14:textId="77777777" w:rsidR="0039671D" w:rsidRPr="00AA30A7" w:rsidRDefault="0039671D" w:rsidP="00925A7A">
            <w:pPr>
              <w:pStyle w:val="Tables"/>
              <w:jc w:val="left"/>
              <w:rPr>
                <w:b/>
              </w:rPr>
            </w:pPr>
          </w:p>
        </w:tc>
        <w:tc>
          <w:tcPr>
            <w:tcW w:w="1387" w:type="dxa"/>
          </w:tcPr>
          <w:p w14:paraId="51974183" w14:textId="4731AB43" w:rsidR="0039671D" w:rsidRPr="00AA30A7" w:rsidRDefault="0039671D" w:rsidP="00925A7A">
            <w:pPr>
              <w:pStyle w:val="Tables"/>
              <w:jc w:val="left"/>
              <w:rPr>
                <w:b/>
              </w:rPr>
            </w:pPr>
            <w:r w:rsidRPr="00AA30A7">
              <w:rPr>
                <w:b/>
              </w:rPr>
              <w:t>Between 0.5 and 0.99</w:t>
            </w:r>
          </w:p>
          <w:p w14:paraId="32B92159" w14:textId="77777777" w:rsidR="0039671D" w:rsidRPr="00AA30A7" w:rsidRDefault="0039671D" w:rsidP="00925A7A">
            <w:pPr>
              <w:pStyle w:val="Tables"/>
              <w:jc w:val="left"/>
              <w:rPr>
                <w:b/>
              </w:rPr>
            </w:pPr>
            <w:r w:rsidRPr="00AA30A7">
              <w:rPr>
                <w:b/>
              </w:rPr>
              <w:t>(strong support)</w:t>
            </w:r>
          </w:p>
        </w:tc>
        <w:tc>
          <w:tcPr>
            <w:tcW w:w="850" w:type="dxa"/>
            <w:shd w:val="clear" w:color="auto" w:fill="F2F2F2" w:themeFill="background1" w:themeFillShade="F2"/>
          </w:tcPr>
          <w:p w14:paraId="0341163F" w14:textId="630D74B7" w:rsidR="0039671D" w:rsidRPr="000E3B33" w:rsidRDefault="0039671D" w:rsidP="00925A7A">
            <w:pPr>
              <w:pStyle w:val="Tables"/>
              <w:jc w:val="left"/>
            </w:pPr>
            <w:r w:rsidRPr="000E3B33">
              <w:t>0 case</w:t>
            </w:r>
            <w:r>
              <w:t>s</w:t>
            </w:r>
          </w:p>
        </w:tc>
        <w:tc>
          <w:tcPr>
            <w:tcW w:w="1276" w:type="dxa"/>
            <w:shd w:val="clear" w:color="auto" w:fill="F2F2F2" w:themeFill="background1" w:themeFillShade="F2"/>
          </w:tcPr>
          <w:p w14:paraId="72FF2A3A" w14:textId="3F3B5A8C" w:rsidR="0039671D" w:rsidRPr="000E3B33" w:rsidRDefault="0039671D" w:rsidP="00925A7A">
            <w:pPr>
              <w:pStyle w:val="Tables"/>
              <w:jc w:val="left"/>
            </w:pPr>
            <w:r>
              <w:t>0</w:t>
            </w:r>
            <w:r w:rsidRPr="000E3B33">
              <w:t xml:space="preserve"> case</w:t>
            </w:r>
            <w:r>
              <w:t>s</w:t>
            </w:r>
          </w:p>
          <w:p w14:paraId="4203EDE1" w14:textId="77777777" w:rsidR="0039671D" w:rsidRPr="000E3B33" w:rsidRDefault="0039671D" w:rsidP="00925A7A">
            <w:pPr>
              <w:pStyle w:val="Tables"/>
              <w:jc w:val="left"/>
            </w:pPr>
          </w:p>
        </w:tc>
        <w:tc>
          <w:tcPr>
            <w:tcW w:w="1984" w:type="dxa"/>
            <w:shd w:val="clear" w:color="auto" w:fill="D9D9D9" w:themeFill="background1" w:themeFillShade="D9"/>
          </w:tcPr>
          <w:p w14:paraId="2BC9B66B" w14:textId="77777777" w:rsidR="0039671D" w:rsidRPr="000E3B33" w:rsidRDefault="0039671D" w:rsidP="00925A7A">
            <w:pPr>
              <w:pStyle w:val="Tables"/>
              <w:jc w:val="left"/>
            </w:pPr>
            <w:r>
              <w:t>2</w:t>
            </w:r>
            <w:r w:rsidRPr="000E3B33">
              <w:t xml:space="preserve"> case</w:t>
            </w:r>
            <w:r>
              <w:t>s</w:t>
            </w:r>
          </w:p>
          <w:p w14:paraId="7467ED00" w14:textId="1324D8CC" w:rsidR="0039671D" w:rsidRPr="000E3B33" w:rsidRDefault="0039671D" w:rsidP="00525A0F">
            <w:pPr>
              <w:pStyle w:val="Tables"/>
              <w:jc w:val="left"/>
            </w:pPr>
            <w:r w:rsidRPr="000E3B33">
              <w:t>Gabon (2000</w:t>
            </w:r>
            <w:r>
              <w:t>–</w:t>
            </w:r>
            <w:r w:rsidRPr="000E3B33">
              <w:t>2012)</w:t>
            </w:r>
            <w:r>
              <w:t xml:space="preserve">, </w:t>
            </w:r>
            <w:r w:rsidRPr="000E3B33">
              <w:t>Madagascar (1992</w:t>
            </w:r>
            <w:r>
              <w:t>–</w:t>
            </w:r>
            <w:r w:rsidRPr="000E3B33">
              <w:t>1997)</w:t>
            </w:r>
          </w:p>
        </w:tc>
        <w:tc>
          <w:tcPr>
            <w:tcW w:w="1985" w:type="dxa"/>
            <w:shd w:val="clear" w:color="auto" w:fill="BFBFBF" w:themeFill="background1" w:themeFillShade="BF"/>
          </w:tcPr>
          <w:p w14:paraId="51FC19CD" w14:textId="4C965B14" w:rsidR="0039671D" w:rsidRPr="000E3B33" w:rsidRDefault="0039671D" w:rsidP="00925A7A">
            <w:pPr>
              <w:pStyle w:val="Tables"/>
              <w:jc w:val="left"/>
            </w:pPr>
            <w:r w:rsidRPr="000E3B33">
              <w:t>0 case</w:t>
            </w:r>
            <w:r>
              <w:t>s</w:t>
            </w:r>
          </w:p>
        </w:tc>
        <w:tc>
          <w:tcPr>
            <w:tcW w:w="1417" w:type="dxa"/>
            <w:shd w:val="clear" w:color="auto" w:fill="808080" w:themeFill="background1" w:themeFillShade="80"/>
          </w:tcPr>
          <w:p w14:paraId="4F76B09A" w14:textId="153C23F0" w:rsidR="0039671D" w:rsidRPr="000E3B33" w:rsidRDefault="0039671D" w:rsidP="00925A7A">
            <w:pPr>
              <w:pStyle w:val="Tables"/>
              <w:jc w:val="left"/>
            </w:pPr>
            <w:r w:rsidRPr="000E3B33">
              <w:t>0 case</w:t>
            </w:r>
            <w:r>
              <w:t>s</w:t>
            </w:r>
          </w:p>
        </w:tc>
      </w:tr>
      <w:tr w:rsidR="0039671D" w:rsidRPr="0079026B" w14:paraId="3BD28C3B" w14:textId="77777777" w:rsidTr="008577A9">
        <w:trPr>
          <w:jc w:val="center"/>
        </w:trPr>
        <w:tc>
          <w:tcPr>
            <w:tcW w:w="881" w:type="dxa"/>
            <w:vMerge/>
          </w:tcPr>
          <w:p w14:paraId="6809A04B" w14:textId="77777777" w:rsidR="0039671D" w:rsidRPr="00AA30A7" w:rsidRDefault="0039671D" w:rsidP="00925A7A">
            <w:pPr>
              <w:pStyle w:val="Tables"/>
              <w:jc w:val="left"/>
              <w:rPr>
                <w:b/>
              </w:rPr>
            </w:pPr>
          </w:p>
        </w:tc>
        <w:tc>
          <w:tcPr>
            <w:tcW w:w="1387" w:type="dxa"/>
          </w:tcPr>
          <w:p w14:paraId="224F4521" w14:textId="7C3067C3" w:rsidR="0039671D" w:rsidRPr="00AA30A7" w:rsidRDefault="0039671D" w:rsidP="00925A7A">
            <w:pPr>
              <w:pStyle w:val="Tables"/>
              <w:jc w:val="left"/>
              <w:rPr>
                <w:b/>
              </w:rPr>
            </w:pPr>
            <w:r w:rsidRPr="00AA30A7">
              <w:rPr>
                <w:b/>
              </w:rPr>
              <w:t>1</w:t>
            </w:r>
          </w:p>
          <w:p w14:paraId="561BD94E" w14:textId="77777777" w:rsidR="0039671D" w:rsidRPr="00AA30A7" w:rsidRDefault="0039671D" w:rsidP="00925A7A">
            <w:pPr>
              <w:pStyle w:val="Tables"/>
              <w:jc w:val="left"/>
              <w:rPr>
                <w:b/>
              </w:rPr>
            </w:pPr>
            <w:r w:rsidRPr="00AA30A7">
              <w:rPr>
                <w:b/>
              </w:rPr>
              <w:t>(very strong support)</w:t>
            </w:r>
          </w:p>
        </w:tc>
        <w:tc>
          <w:tcPr>
            <w:tcW w:w="850" w:type="dxa"/>
            <w:shd w:val="clear" w:color="auto" w:fill="F2F2F2" w:themeFill="background1" w:themeFillShade="F2"/>
          </w:tcPr>
          <w:p w14:paraId="056C68C5" w14:textId="164371BE" w:rsidR="0039671D" w:rsidRPr="000E3B33" w:rsidRDefault="0039671D" w:rsidP="00925A7A">
            <w:pPr>
              <w:pStyle w:val="Tables"/>
              <w:jc w:val="left"/>
            </w:pPr>
            <w:r w:rsidRPr="000E3B33">
              <w:t>0 case</w:t>
            </w:r>
            <w:r>
              <w:t>s</w:t>
            </w:r>
          </w:p>
          <w:p w14:paraId="2AFC0278" w14:textId="77777777" w:rsidR="0039671D" w:rsidRPr="000E3B33" w:rsidRDefault="0039671D" w:rsidP="00925A7A">
            <w:pPr>
              <w:pStyle w:val="Tables"/>
              <w:jc w:val="left"/>
            </w:pPr>
          </w:p>
        </w:tc>
        <w:tc>
          <w:tcPr>
            <w:tcW w:w="1276" w:type="dxa"/>
            <w:shd w:val="clear" w:color="auto" w:fill="F2F2F2" w:themeFill="background1" w:themeFillShade="F2"/>
          </w:tcPr>
          <w:p w14:paraId="20F77237" w14:textId="77B3ECF5" w:rsidR="0039671D" w:rsidRPr="000E3B33" w:rsidRDefault="0039671D" w:rsidP="00925A7A">
            <w:pPr>
              <w:pStyle w:val="Tables"/>
              <w:jc w:val="left"/>
            </w:pPr>
            <w:r w:rsidRPr="000E3B33">
              <w:t>1</w:t>
            </w:r>
            <w:r>
              <w:t xml:space="preserve"> case</w:t>
            </w:r>
          </w:p>
          <w:p w14:paraId="4FE5596F" w14:textId="4B36C160" w:rsidR="0039671D" w:rsidRPr="000E3B33" w:rsidRDefault="0039671D" w:rsidP="00746AF7">
            <w:pPr>
              <w:pStyle w:val="Tables"/>
              <w:jc w:val="left"/>
            </w:pPr>
            <w:r w:rsidRPr="000E3B33">
              <w:t>Ghana (1998</w:t>
            </w:r>
            <w:r>
              <w:t>–</w:t>
            </w:r>
            <w:r w:rsidRPr="000E3B33">
              <w:t>2003)</w:t>
            </w:r>
          </w:p>
        </w:tc>
        <w:tc>
          <w:tcPr>
            <w:tcW w:w="1984" w:type="dxa"/>
            <w:shd w:val="clear" w:color="auto" w:fill="BFBFBF" w:themeFill="background1" w:themeFillShade="BF"/>
          </w:tcPr>
          <w:p w14:paraId="2CA4CCAB" w14:textId="44EF481F" w:rsidR="0039671D" w:rsidRPr="000E3B33" w:rsidRDefault="00C6751D" w:rsidP="00925A7A">
            <w:pPr>
              <w:pStyle w:val="Tables"/>
              <w:jc w:val="left"/>
            </w:pPr>
            <w:r>
              <w:t>1 case</w:t>
            </w:r>
          </w:p>
          <w:p w14:paraId="494C91B0" w14:textId="7B9D0E8D" w:rsidR="0039671D" w:rsidRPr="000E3B33" w:rsidRDefault="0039671D" w:rsidP="00925A7A">
            <w:pPr>
              <w:pStyle w:val="Tables"/>
              <w:jc w:val="left"/>
            </w:pPr>
            <w:r w:rsidRPr="000E3B33">
              <w:t>Cameroon (1998</w:t>
            </w:r>
            <w:r>
              <w:t>–</w:t>
            </w:r>
            <w:r w:rsidRPr="000E3B33">
              <w:t>2004)</w:t>
            </w:r>
          </w:p>
        </w:tc>
        <w:tc>
          <w:tcPr>
            <w:tcW w:w="1985" w:type="dxa"/>
            <w:shd w:val="clear" w:color="auto" w:fill="808080" w:themeFill="background1" w:themeFillShade="80"/>
          </w:tcPr>
          <w:p w14:paraId="197DF76A" w14:textId="77777777" w:rsidR="0039671D" w:rsidRPr="000E3B33" w:rsidRDefault="0039671D" w:rsidP="00925A7A">
            <w:pPr>
              <w:pStyle w:val="Tables"/>
              <w:jc w:val="left"/>
            </w:pPr>
            <w:r w:rsidRPr="000E3B33">
              <w:t>4 cases</w:t>
            </w:r>
          </w:p>
          <w:p w14:paraId="10895542" w14:textId="159BCE0A" w:rsidR="0039671D" w:rsidRPr="000E3B33" w:rsidRDefault="0039671D" w:rsidP="00525A0F">
            <w:pPr>
              <w:pStyle w:val="Tables"/>
              <w:jc w:val="left"/>
            </w:pPr>
            <w:r w:rsidRPr="000E3B33">
              <w:t>Congo (2005</w:t>
            </w:r>
            <w:r>
              <w:t>–</w:t>
            </w:r>
            <w:r w:rsidRPr="000E3B33">
              <w:t>2011), Kenya (1998</w:t>
            </w:r>
            <w:r>
              <w:t>–</w:t>
            </w:r>
            <w:r w:rsidRPr="000E3B33">
              <w:t>2003), Zambia (2002</w:t>
            </w:r>
            <w:r>
              <w:t>–</w:t>
            </w:r>
            <w:r w:rsidRPr="000E3B33">
              <w:t>2007), Zimbabwe (2011</w:t>
            </w:r>
            <w:r>
              <w:t>–</w:t>
            </w:r>
            <w:r w:rsidRPr="000E3B33">
              <w:t>20</w:t>
            </w:r>
            <w:r>
              <w:t>15)</w:t>
            </w:r>
          </w:p>
        </w:tc>
        <w:tc>
          <w:tcPr>
            <w:tcW w:w="1417" w:type="dxa"/>
            <w:shd w:val="clear" w:color="auto" w:fill="262626" w:themeFill="text1" w:themeFillTint="D9"/>
          </w:tcPr>
          <w:p w14:paraId="7F987DD8" w14:textId="77777777" w:rsidR="0039671D" w:rsidRPr="000E3B33" w:rsidRDefault="0039671D" w:rsidP="00925A7A">
            <w:pPr>
              <w:pStyle w:val="Tables"/>
              <w:jc w:val="left"/>
            </w:pPr>
            <w:r w:rsidRPr="000E3B33">
              <w:t>2 cases</w:t>
            </w:r>
          </w:p>
          <w:p w14:paraId="1820C281" w14:textId="31E81250" w:rsidR="0039671D" w:rsidRPr="000E3B33" w:rsidRDefault="0039671D" w:rsidP="00525A0F">
            <w:pPr>
              <w:pStyle w:val="Tables"/>
              <w:jc w:val="left"/>
            </w:pPr>
            <w:r w:rsidRPr="000E3B33">
              <w:t>Zimbabwe (2005</w:t>
            </w:r>
            <w:r>
              <w:t>–</w:t>
            </w:r>
            <w:r w:rsidRPr="000E3B33">
              <w:t>2011), Namibia (2007</w:t>
            </w:r>
            <w:r>
              <w:t>–</w:t>
            </w:r>
            <w:r w:rsidRPr="000E3B33">
              <w:t>20</w:t>
            </w:r>
            <w:r>
              <w:t>13)</w:t>
            </w:r>
          </w:p>
        </w:tc>
      </w:tr>
      <w:tr w:rsidR="0039671D" w:rsidRPr="0079026B" w14:paraId="068EB7C1" w14:textId="77777777" w:rsidTr="008577A9">
        <w:trPr>
          <w:jc w:val="center"/>
        </w:trPr>
        <w:tc>
          <w:tcPr>
            <w:tcW w:w="9780" w:type="dxa"/>
            <w:gridSpan w:val="7"/>
          </w:tcPr>
          <w:p w14:paraId="175A8436" w14:textId="54575235" w:rsidR="0039671D" w:rsidRPr="003F518C" w:rsidRDefault="0039671D" w:rsidP="0087559A">
            <w:pPr>
              <w:pStyle w:val="Tables"/>
              <w:jc w:val="left"/>
            </w:pPr>
            <w:r w:rsidRPr="006F0283">
              <w:t xml:space="preserve">The following 15 cases are not included, because </w:t>
            </w:r>
            <w:r>
              <w:t xml:space="preserve">– </w:t>
            </w:r>
            <w:r w:rsidRPr="006F0283">
              <w:t xml:space="preserve">based on reconstructed fertility trends with DHS </w:t>
            </w:r>
            <w:r>
              <w:t xml:space="preserve">– </w:t>
            </w:r>
            <w:r w:rsidRPr="006F0283">
              <w:t>fertility decline had not started</w:t>
            </w:r>
            <w:r>
              <w:t xml:space="preserve"> by the beginning of the period</w:t>
            </w:r>
            <w:r w:rsidRPr="006F0283">
              <w:t>: Chad (1997</w:t>
            </w:r>
            <w:r>
              <w:t>–</w:t>
            </w:r>
            <w:r w:rsidRPr="006F0283">
              <w:t>2004, 2004</w:t>
            </w:r>
            <w:r>
              <w:t>–</w:t>
            </w:r>
            <w:r w:rsidRPr="006F0283">
              <w:t>2015), DR Congo (2007</w:t>
            </w:r>
            <w:r>
              <w:t>–</w:t>
            </w:r>
            <w:r w:rsidRPr="006F0283">
              <w:t>2013), Guinea (1999</w:t>
            </w:r>
            <w:r>
              <w:t>–</w:t>
            </w:r>
            <w:r w:rsidRPr="006F0283">
              <w:t>2005, 2005</w:t>
            </w:r>
            <w:r>
              <w:t>–</w:t>
            </w:r>
            <w:r w:rsidRPr="006F0283">
              <w:t>2012), Mali (1987</w:t>
            </w:r>
            <w:r>
              <w:t>–</w:t>
            </w:r>
            <w:r w:rsidRPr="006F0283">
              <w:t>1996, 1996</w:t>
            </w:r>
            <w:r>
              <w:t>–</w:t>
            </w:r>
            <w:r w:rsidRPr="006F0283">
              <w:t>2001, 2001</w:t>
            </w:r>
            <w:r>
              <w:t>–</w:t>
            </w:r>
            <w:r w:rsidRPr="006F0283">
              <w:t>2006), Mozambique (1997</w:t>
            </w:r>
            <w:r>
              <w:t>–</w:t>
            </w:r>
            <w:r w:rsidRPr="006F0283">
              <w:t>2003, 2003</w:t>
            </w:r>
            <w:r>
              <w:t>–</w:t>
            </w:r>
            <w:r w:rsidRPr="006F0283">
              <w:t>2011), Niger (1992</w:t>
            </w:r>
            <w:r>
              <w:t>–</w:t>
            </w:r>
            <w:r w:rsidRPr="006F0283">
              <w:t>1998, 1998</w:t>
            </w:r>
            <w:r>
              <w:t>–</w:t>
            </w:r>
            <w:r w:rsidRPr="006F0283">
              <w:t>2006, 2006</w:t>
            </w:r>
            <w:r>
              <w:t>–</w:t>
            </w:r>
            <w:r w:rsidRPr="006F0283">
              <w:t>2012), Uganda (1986</w:t>
            </w:r>
            <w:r>
              <w:t>–</w:t>
            </w:r>
            <w:r w:rsidRPr="006F0283">
              <w:t>1995, 1995</w:t>
            </w:r>
            <w:r>
              <w:t>–</w:t>
            </w:r>
            <w:r w:rsidRPr="006F0283">
              <w:t>2001),</w:t>
            </w:r>
            <w:r>
              <w:t xml:space="preserve"> </w:t>
            </w:r>
          </w:p>
        </w:tc>
      </w:tr>
      <w:bookmarkEnd w:id="9"/>
    </w:tbl>
    <w:p w14:paraId="2C2C1A11" w14:textId="77777777" w:rsidR="00746AF7" w:rsidRDefault="00746AF7" w:rsidP="00746AF7">
      <w:pPr>
        <w:jc w:val="left"/>
        <w:rPr>
          <w:rStyle w:val="Rfrenceintense"/>
        </w:rPr>
      </w:pPr>
    </w:p>
    <w:p w14:paraId="32F0C56F" w14:textId="77777777" w:rsidR="00746AF7" w:rsidRDefault="00746AF7">
      <w:pPr>
        <w:spacing w:after="200" w:line="276" w:lineRule="auto"/>
        <w:jc w:val="left"/>
        <w:rPr>
          <w:rStyle w:val="Rfrenceintense"/>
        </w:rPr>
      </w:pPr>
    </w:p>
    <w:p w14:paraId="59D30332" w14:textId="48315C70" w:rsidR="00E10350" w:rsidRDefault="00E10350">
      <w:pPr>
        <w:spacing w:after="200" w:line="276" w:lineRule="auto"/>
        <w:jc w:val="left"/>
        <w:rPr>
          <w:rStyle w:val="Rfrenceintense"/>
        </w:rPr>
      </w:pPr>
    </w:p>
    <w:sectPr w:rsidR="00E10350">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9C956" w14:textId="77777777" w:rsidR="00000B07" w:rsidRDefault="00000B07" w:rsidP="003A77F8">
      <w:r>
        <w:separator/>
      </w:r>
    </w:p>
  </w:endnote>
  <w:endnote w:type="continuationSeparator" w:id="0">
    <w:p w14:paraId="6408C93E" w14:textId="77777777" w:rsidR="00000B07" w:rsidRDefault="00000B07" w:rsidP="003A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619038"/>
      <w:docPartObj>
        <w:docPartGallery w:val="Page Numbers (Bottom of Page)"/>
        <w:docPartUnique/>
      </w:docPartObj>
    </w:sdtPr>
    <w:sdtEndPr/>
    <w:sdtContent>
      <w:p w14:paraId="09630D81" w14:textId="77777777" w:rsidR="00030EBE" w:rsidRDefault="00030EBE" w:rsidP="003A77F8">
        <w:pPr>
          <w:pStyle w:val="Pieddepage"/>
        </w:pPr>
        <w:r>
          <w:fldChar w:fldCharType="begin"/>
        </w:r>
        <w:r>
          <w:instrText>PAGE   \* MERGEFORMAT</w:instrText>
        </w:r>
        <w:r>
          <w:fldChar w:fldCharType="separate"/>
        </w:r>
        <w:r w:rsidR="00CC2859" w:rsidRPr="00CC2859">
          <w:rPr>
            <w:noProof/>
            <w:lang w:val="fr-FR"/>
          </w:rPr>
          <w:t>30</w:t>
        </w:r>
        <w:r>
          <w:fldChar w:fldCharType="end"/>
        </w:r>
      </w:p>
    </w:sdtContent>
  </w:sdt>
  <w:p w14:paraId="3809BAF9" w14:textId="77777777" w:rsidR="00030EBE" w:rsidRDefault="00030EBE" w:rsidP="003A77F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AD971" w14:textId="77777777" w:rsidR="00000B07" w:rsidRDefault="00000B07" w:rsidP="003A77F8">
      <w:r>
        <w:separator/>
      </w:r>
    </w:p>
  </w:footnote>
  <w:footnote w:type="continuationSeparator" w:id="0">
    <w:p w14:paraId="0159B4A3" w14:textId="77777777" w:rsidR="00000B07" w:rsidRDefault="00000B07" w:rsidP="003A77F8">
      <w:r>
        <w:continuationSeparator/>
      </w:r>
    </w:p>
  </w:footnote>
  <w:footnote w:id="1">
    <w:p w14:paraId="0972F16F" w14:textId="293B7934" w:rsidR="00030EBE" w:rsidRPr="00294EA2" w:rsidRDefault="00030EBE" w:rsidP="008C00FB">
      <w:pPr>
        <w:pStyle w:val="Titre3"/>
        <w:rPr>
          <w:rFonts w:ascii="Times" w:hAnsi="Times"/>
          <w:i w:val="0"/>
          <w:iCs w:val="0"/>
          <w:smallCaps w:val="0"/>
          <w:spacing w:val="0"/>
          <w:sz w:val="16"/>
          <w:szCs w:val="20"/>
        </w:rPr>
      </w:pPr>
      <w:r w:rsidRPr="00D55F13">
        <w:rPr>
          <w:rStyle w:val="Appelnotedebasdep"/>
          <w:i w:val="0"/>
        </w:rPr>
        <w:footnoteRef/>
      </w:r>
      <w:r w:rsidRPr="00D55F13">
        <w:rPr>
          <w:i w:val="0"/>
        </w:rPr>
        <w:t xml:space="preserve"> </w:t>
      </w:r>
      <w:r w:rsidRPr="0016083F">
        <w:rPr>
          <w:rFonts w:ascii="Times" w:hAnsi="Times"/>
          <w:i w:val="0"/>
          <w:iCs w:val="0"/>
          <w:smallCaps w:val="0"/>
          <w:spacing w:val="0"/>
          <w:sz w:val="16"/>
          <w:szCs w:val="20"/>
        </w:rPr>
        <w:t xml:space="preserve">Reports are mainly available from statistical offices’ websites, </w:t>
      </w:r>
      <w:r>
        <w:rPr>
          <w:rFonts w:ascii="Times" w:hAnsi="Times"/>
          <w:i w:val="0"/>
          <w:iCs w:val="0"/>
          <w:smallCaps w:val="0"/>
          <w:spacing w:val="0"/>
          <w:sz w:val="16"/>
          <w:szCs w:val="20"/>
        </w:rPr>
        <w:t>c</w:t>
      </w:r>
      <w:r w:rsidRPr="0016083F">
        <w:rPr>
          <w:rFonts w:ascii="Times" w:hAnsi="Times"/>
          <w:i w:val="0"/>
          <w:iCs w:val="0"/>
          <w:smallCaps w:val="0"/>
          <w:spacing w:val="0"/>
          <w:sz w:val="16"/>
          <w:szCs w:val="20"/>
        </w:rPr>
        <w:t>ensus and demographic survey data archives (IREDA, ceped.org/</w:t>
      </w:r>
      <w:proofErr w:type="spellStart"/>
      <w:r w:rsidRPr="0016083F">
        <w:rPr>
          <w:rFonts w:ascii="Times" w:hAnsi="Times"/>
          <w:i w:val="0"/>
          <w:iCs w:val="0"/>
          <w:smallCaps w:val="0"/>
          <w:spacing w:val="0"/>
          <w:sz w:val="16"/>
          <w:szCs w:val="20"/>
        </w:rPr>
        <w:t>ireda</w:t>
      </w:r>
      <w:proofErr w:type="spellEnd"/>
      <w:r w:rsidRPr="0016083F">
        <w:rPr>
          <w:rFonts w:ascii="Times" w:hAnsi="Times"/>
          <w:i w:val="0"/>
          <w:iCs w:val="0"/>
          <w:smallCaps w:val="0"/>
          <w:spacing w:val="0"/>
          <w:sz w:val="16"/>
          <w:szCs w:val="20"/>
        </w:rPr>
        <w:t xml:space="preserve">), and the International Household Survey Network (IHSN, http://catalog.ihsn.org). Data on age structure </w:t>
      </w:r>
      <w:r>
        <w:rPr>
          <w:rFonts w:ascii="Times" w:hAnsi="Times"/>
          <w:i w:val="0"/>
          <w:iCs w:val="0"/>
          <w:smallCaps w:val="0"/>
          <w:spacing w:val="0"/>
          <w:sz w:val="16"/>
          <w:szCs w:val="20"/>
        </w:rPr>
        <w:t>are</w:t>
      </w:r>
      <w:r w:rsidRPr="0016083F">
        <w:rPr>
          <w:rFonts w:ascii="Times" w:hAnsi="Times"/>
          <w:i w:val="0"/>
          <w:iCs w:val="0"/>
          <w:smallCaps w:val="0"/>
          <w:spacing w:val="0"/>
          <w:sz w:val="16"/>
          <w:szCs w:val="20"/>
        </w:rPr>
        <w:t xml:space="preserve"> also available from the United Nations Statistics Division </w:t>
      </w:r>
      <w:hyperlink r:id="rId1" w:history="1">
        <w:r w:rsidRPr="0016083F">
          <w:rPr>
            <w:rFonts w:ascii="Times" w:hAnsi="Times"/>
            <w:i w:val="0"/>
            <w:iCs w:val="0"/>
            <w:smallCaps w:val="0"/>
            <w:spacing w:val="0"/>
            <w:sz w:val="16"/>
            <w:szCs w:val="20"/>
          </w:rPr>
          <w:t>(data.un.org/Data.aspx?d=POP&amp;f=tableCode%3a22</w:t>
        </w:r>
      </w:hyperlink>
      <w:r w:rsidRPr="0016083F">
        <w:rPr>
          <w:rFonts w:ascii="Times" w:hAnsi="Times"/>
          <w:i w:val="0"/>
          <w:iCs w:val="0"/>
          <w:smallCaps w:val="0"/>
          <w:spacing w:val="0"/>
          <w:sz w:val="16"/>
          <w:szCs w:val="20"/>
        </w:rPr>
        <w:t xml:space="preserve">). Microdata from the Integrated Public Use Microdata Series  (IPUMS, </w:t>
      </w:r>
      <w:hyperlink r:id="rId2" w:history="1">
        <w:r w:rsidRPr="0016083F">
          <w:rPr>
            <w:rFonts w:ascii="Times" w:hAnsi="Times"/>
            <w:i w:val="0"/>
            <w:iCs w:val="0"/>
            <w:smallCaps w:val="0"/>
            <w:spacing w:val="0"/>
            <w:sz w:val="16"/>
            <w:szCs w:val="20"/>
          </w:rPr>
          <w:t>www.ipums.org</w:t>
        </w:r>
      </w:hyperlink>
      <w:r w:rsidRPr="003A77F8">
        <w:rPr>
          <w:rFonts w:ascii="Times" w:hAnsi="Times"/>
          <w:i w:val="0"/>
          <w:iCs w:val="0"/>
          <w:smallCaps w:val="0"/>
          <w:spacing w:val="0"/>
          <w:sz w:val="16"/>
          <w:szCs w:val="20"/>
        </w:rPr>
        <w:t>) are used in a few cases where p</w:t>
      </w:r>
      <w:r>
        <w:rPr>
          <w:rFonts w:ascii="Times" w:hAnsi="Times"/>
          <w:i w:val="0"/>
          <w:iCs w:val="0"/>
          <w:smallCaps w:val="0"/>
          <w:spacing w:val="0"/>
          <w:sz w:val="16"/>
          <w:szCs w:val="20"/>
        </w:rPr>
        <w:t xml:space="preserve">ublished data is not available </w:t>
      </w:r>
      <w:r w:rsidRPr="00294EA2">
        <w:rPr>
          <w:rFonts w:ascii="Times" w:hAnsi="Times"/>
          <w:i w:val="0"/>
          <w:iCs w:val="0"/>
          <w:smallCaps w:val="0"/>
          <w:spacing w:val="0"/>
          <w:sz w:val="16"/>
          <w:szCs w:val="20"/>
        </w:rPr>
        <w:t>(Minnesota Population Center 2015)</w:t>
      </w:r>
      <w:r w:rsidRPr="003A77F8">
        <w:rPr>
          <w:rFonts w:ascii="Times" w:hAnsi="Times"/>
          <w:i w:val="0"/>
          <w:iCs w:val="0"/>
          <w:smallCaps w:val="0"/>
          <w:spacing w:val="0"/>
          <w:sz w:val="16"/>
          <w:szCs w:val="20"/>
        </w:rPr>
        <w:t>.</w:t>
      </w:r>
      <w:r>
        <w:rPr>
          <w:rFonts w:ascii="Times" w:hAnsi="Times"/>
          <w:i w:val="0"/>
          <w:iCs w:val="0"/>
          <w:smallCaps w:val="0"/>
          <w:spacing w:val="0"/>
          <w:sz w:val="16"/>
          <w:szCs w:val="20"/>
        </w:rPr>
        <w:t xml:space="preserve"> TFRs from births in the last 12 months were also obtained from the United Nations World Fertility </w:t>
      </w:r>
      <w:r w:rsidRPr="00294EA2">
        <w:rPr>
          <w:rFonts w:ascii="Times" w:hAnsi="Times"/>
          <w:i w:val="0"/>
          <w:iCs w:val="0"/>
          <w:smallCaps w:val="0"/>
          <w:spacing w:val="0"/>
          <w:sz w:val="16"/>
          <w:szCs w:val="20"/>
        </w:rPr>
        <w:t>Data (United Nations Population Division 2017</w:t>
      </w:r>
      <w:r>
        <w:rPr>
          <w:rFonts w:ascii="Times" w:hAnsi="Times"/>
          <w:i w:val="0"/>
          <w:iCs w:val="0"/>
          <w:smallCaps w:val="0"/>
          <w:spacing w:val="0"/>
          <w:sz w:val="16"/>
          <w:szCs w:val="20"/>
        </w:rPr>
        <w:t>a</w:t>
      </w:r>
      <w:r w:rsidRPr="00294EA2">
        <w:rPr>
          <w:rFonts w:ascii="Times" w:hAnsi="Times"/>
          <w:i w:val="0"/>
          <w:iCs w:val="0"/>
          <w:smallCaps w:val="0"/>
          <w:spacing w:val="0"/>
          <w:sz w:val="16"/>
          <w:szCs w:val="20"/>
        </w:rPr>
        <w:t>).</w:t>
      </w:r>
    </w:p>
  </w:footnote>
  <w:footnote w:id="2">
    <w:p w14:paraId="19A4EABF" w14:textId="77777777" w:rsidR="00030EBE" w:rsidRPr="0016083F" w:rsidRDefault="00030EBE" w:rsidP="003A77F8">
      <w:pPr>
        <w:pStyle w:val="Notedebasdepage"/>
        <w:rPr>
          <w:lang w:val="en-US"/>
        </w:rPr>
      </w:pPr>
      <w:r w:rsidRPr="006035D1">
        <w:rPr>
          <w:rStyle w:val="Appelnotedebasdep"/>
        </w:rPr>
        <w:footnoteRef/>
      </w:r>
      <w:r w:rsidRPr="0016083F">
        <w:rPr>
          <w:lang w:val="en-US"/>
        </w:rPr>
        <w:t xml:space="preserve"> Actually, TFRs and their standard errors are computed for the three years preceding the survey using the tfr2 Stata command </w:t>
      </w:r>
      <w:r w:rsidRPr="00883724">
        <w:rPr>
          <w:rFonts w:cs="Times"/>
          <w:lang w:val="en-US"/>
        </w:rPr>
        <w:t>(Schoumaker 2013b)</w:t>
      </w:r>
      <w:r w:rsidRPr="0016083F">
        <w:rPr>
          <w:lang w:val="en-US"/>
        </w:rPr>
        <w:t>.</w:t>
      </w:r>
      <w:r>
        <w:rPr>
          <w:lang w:val="en-US"/>
        </w:rPr>
        <w:t xml:space="preserve"> </w:t>
      </w:r>
      <w:r w:rsidRPr="0016083F">
        <w:rPr>
          <w:lang w:val="en-US"/>
        </w:rPr>
        <w:t xml:space="preserve">These are identical to the TFRs published on STATcompiler and in DHS reports. Using the tfr2 command allows </w:t>
      </w:r>
      <w:r>
        <w:rPr>
          <w:lang w:val="en-US"/>
        </w:rPr>
        <w:t xml:space="preserve">the </w:t>
      </w:r>
      <w:r w:rsidRPr="0016083F">
        <w:rPr>
          <w:lang w:val="en-US"/>
        </w:rPr>
        <w:t xml:space="preserve">computing </w:t>
      </w:r>
      <w:r>
        <w:rPr>
          <w:lang w:val="en-US"/>
        </w:rPr>
        <w:t xml:space="preserve">of </w:t>
      </w:r>
      <w:r w:rsidRPr="0016083F">
        <w:rPr>
          <w:lang w:val="en-US"/>
        </w:rPr>
        <w:t>standard errors for all the surveys.</w:t>
      </w:r>
    </w:p>
  </w:footnote>
  <w:footnote w:id="3">
    <w:p w14:paraId="66CE6D6D" w14:textId="41BBC422" w:rsidR="00030EBE" w:rsidRPr="00F67AE4" w:rsidRDefault="00030EBE" w:rsidP="00D55F13">
      <w:pPr>
        <w:spacing w:after="0" w:line="240" w:lineRule="auto"/>
        <w:ind w:firstLine="1"/>
      </w:pPr>
      <w:r w:rsidRPr="006035D1">
        <w:rPr>
          <w:rStyle w:val="Appelnotedebasdep"/>
        </w:rPr>
        <w:footnoteRef/>
      </w:r>
      <w:r w:rsidRPr="00F67AE4">
        <w:t xml:space="preserve"> </w:t>
      </w:r>
      <w:r w:rsidRPr="0016083F">
        <w:rPr>
          <w:rFonts w:ascii="Times" w:hAnsi="Times"/>
          <w:sz w:val="16"/>
          <w:szCs w:val="20"/>
        </w:rPr>
        <w:t xml:space="preserve">The age pattern of fertility is considered to be constant for each survey. </w:t>
      </w:r>
      <w:r>
        <w:rPr>
          <w:rFonts w:ascii="Times" w:hAnsi="Times"/>
          <w:sz w:val="16"/>
          <w:szCs w:val="20"/>
        </w:rPr>
        <w:t>A pattern of proportionate</w:t>
      </w:r>
      <w:r w:rsidRPr="0016083F">
        <w:rPr>
          <w:rFonts w:ascii="Times" w:hAnsi="Times"/>
          <w:sz w:val="16"/>
          <w:szCs w:val="20"/>
        </w:rPr>
        <w:t xml:space="preserve"> age-specific fertility rates for each survey</w:t>
      </w:r>
      <w:r>
        <w:rPr>
          <w:rFonts w:ascii="Times" w:hAnsi="Times"/>
          <w:sz w:val="16"/>
          <w:szCs w:val="20"/>
        </w:rPr>
        <w:t xml:space="preserve"> is computed;</w:t>
      </w:r>
      <w:r w:rsidRPr="0016083F">
        <w:rPr>
          <w:rFonts w:ascii="Times" w:hAnsi="Times"/>
          <w:sz w:val="16"/>
          <w:szCs w:val="20"/>
        </w:rPr>
        <w:t xml:space="preserve"> the pattern is multiplied by exposure and controlled for in the offset</w:t>
      </w:r>
      <w:r>
        <w:rPr>
          <w:rFonts w:ascii="Times" w:hAnsi="Times"/>
          <w:sz w:val="16"/>
          <w:szCs w:val="20"/>
        </w:rPr>
        <w:t xml:space="preserve"> </w:t>
      </w:r>
      <w:r w:rsidRPr="004F435F">
        <w:rPr>
          <w:rFonts w:ascii="Times" w:hAnsi="Times" w:cs="Times"/>
          <w:sz w:val="16"/>
        </w:rPr>
        <w:t>(Schoumaker 2014)</w:t>
      </w:r>
      <w:r>
        <w:rPr>
          <w:rFonts w:ascii="Times" w:hAnsi="Times"/>
          <w:sz w:val="16"/>
          <w:szCs w:val="20"/>
        </w:rPr>
        <w:t>.</w:t>
      </w:r>
    </w:p>
  </w:footnote>
  <w:footnote w:id="4">
    <w:p w14:paraId="1848ED91" w14:textId="10688D6D" w:rsidR="00030EBE" w:rsidRPr="0016083F" w:rsidRDefault="00030EBE" w:rsidP="003A77F8">
      <w:pPr>
        <w:pStyle w:val="Notedebasdepage"/>
        <w:rPr>
          <w:lang w:val="en-US"/>
        </w:rPr>
      </w:pPr>
      <w:r w:rsidRPr="006035D1">
        <w:rPr>
          <w:rStyle w:val="Appelnotedebasdep"/>
        </w:rPr>
        <w:footnoteRef/>
      </w:r>
      <w:r w:rsidRPr="0016083F">
        <w:rPr>
          <w:lang w:val="en-US"/>
        </w:rPr>
        <w:t xml:space="preserve"> Restricted cubic splines are piecewise polynomial functions constrained to join at predefined years (knots) </w:t>
      </w:r>
      <w:r w:rsidRPr="00883724">
        <w:rPr>
          <w:rFonts w:cs="Times"/>
          <w:lang w:val="en-US"/>
        </w:rPr>
        <w:t>(Andersen 2009)</w:t>
      </w:r>
      <w:r w:rsidRPr="0016083F">
        <w:rPr>
          <w:lang w:val="en-US"/>
        </w:rPr>
        <w:t xml:space="preserve">. Cubic splines are flexible and allow a large variety of shapes </w:t>
      </w:r>
      <w:r>
        <w:rPr>
          <w:lang w:val="en-US"/>
        </w:rPr>
        <w:t xml:space="preserve">to be fitted </w:t>
      </w:r>
      <w:r w:rsidRPr="0016083F">
        <w:rPr>
          <w:lang w:val="en-US"/>
        </w:rPr>
        <w:t xml:space="preserve">with relatively few parameters </w:t>
      </w:r>
      <w:r w:rsidRPr="00883724">
        <w:rPr>
          <w:rFonts w:cs="Times"/>
          <w:lang w:val="en-US"/>
        </w:rPr>
        <w:t>(Harrell 2001)</w:t>
      </w:r>
      <w:r w:rsidRPr="0016083F">
        <w:rPr>
          <w:lang w:val="en-US"/>
        </w:rPr>
        <w:t xml:space="preserve">. In this case, knots were spaced by </w:t>
      </w:r>
      <w:r>
        <w:rPr>
          <w:lang w:val="en-US"/>
        </w:rPr>
        <w:t>five</w:t>
      </w:r>
      <w:r w:rsidRPr="0016083F">
        <w:rPr>
          <w:lang w:val="en-US"/>
        </w:rPr>
        <w:t xml:space="preserve"> years. </w:t>
      </w:r>
    </w:p>
  </w:footnote>
  <w:footnote w:id="5">
    <w:p w14:paraId="40CE9251" w14:textId="16064719" w:rsidR="00030EBE" w:rsidRPr="0016083F" w:rsidRDefault="00030EBE" w:rsidP="003A77F8">
      <w:pPr>
        <w:pStyle w:val="Notedebasdepage"/>
        <w:rPr>
          <w:lang w:val="en-US"/>
        </w:rPr>
      </w:pPr>
      <w:r w:rsidRPr="006035D1">
        <w:rPr>
          <w:rStyle w:val="Appelnotedebasdep"/>
        </w:rPr>
        <w:footnoteRef/>
      </w:r>
      <w:r w:rsidRPr="0016083F">
        <w:rPr>
          <w:lang w:val="en-US"/>
        </w:rPr>
        <w:t xml:space="preserve"> We use data for the 20 years preceding the survey in the MICS, and for the 15 years preceding the survey for the DHS. Using a long period with MICS allows</w:t>
      </w:r>
      <w:r>
        <w:rPr>
          <w:lang w:val="en-US"/>
        </w:rPr>
        <w:t xml:space="preserve"> for</w:t>
      </w:r>
      <w:r w:rsidRPr="0016083F">
        <w:rPr>
          <w:lang w:val="en-US"/>
        </w:rPr>
        <w:t xml:space="preserve"> comparisons with DHS over longer periods. </w:t>
      </w:r>
    </w:p>
  </w:footnote>
  <w:footnote w:id="6">
    <w:p w14:paraId="4FD00192" w14:textId="47212B77" w:rsidR="00030EBE" w:rsidRPr="0016083F" w:rsidRDefault="00030EBE" w:rsidP="003A77F8">
      <w:pPr>
        <w:pStyle w:val="Notedebasdepage"/>
        <w:rPr>
          <w:lang w:val="en-US"/>
        </w:rPr>
      </w:pPr>
      <w:r w:rsidRPr="006035D1">
        <w:rPr>
          <w:rStyle w:val="Appelnotedebasdep"/>
        </w:rPr>
        <w:footnoteRef/>
      </w:r>
      <w:r w:rsidRPr="0016083F">
        <w:rPr>
          <w:lang w:val="en-US"/>
        </w:rPr>
        <w:t xml:space="preserve"> When several censuses are available, all estimates are used together for the smoothing of fertility trends. The method of smoothing (restricted cubic splines) is similar </w:t>
      </w:r>
      <w:r>
        <w:rPr>
          <w:lang w:val="en-US"/>
        </w:rPr>
        <w:t>to</w:t>
      </w:r>
      <w:r w:rsidRPr="0016083F">
        <w:rPr>
          <w:lang w:val="en-US"/>
        </w:rPr>
        <w:t xml:space="preserve"> the one used with birth histories, with knots spaced by five</w:t>
      </w:r>
      <w:r>
        <w:rPr>
          <w:lang w:val="en-US"/>
        </w:rPr>
        <w:t xml:space="preserve"> </w:t>
      </w:r>
      <w:r w:rsidRPr="0016083F">
        <w:rPr>
          <w:lang w:val="en-US"/>
        </w:rPr>
        <w:t>years.</w:t>
      </w:r>
    </w:p>
  </w:footnote>
  <w:footnote w:id="7">
    <w:p w14:paraId="79D91733" w14:textId="77777777" w:rsidR="00030EBE" w:rsidRPr="008C00FB" w:rsidRDefault="00030EBE" w:rsidP="008C00FB">
      <w:pPr>
        <w:pStyle w:val="Notedebasdepage"/>
        <w:rPr>
          <w:lang w:val="en-US"/>
        </w:rPr>
      </w:pPr>
      <w:r>
        <w:rPr>
          <w:rStyle w:val="Appelnotedebasdep"/>
        </w:rPr>
        <w:footnoteRef/>
      </w:r>
      <w:r w:rsidRPr="008C00FB">
        <w:rPr>
          <w:lang w:val="en-US"/>
        </w:rPr>
        <w:t xml:space="preserve"> </w:t>
      </w:r>
      <w:r>
        <w:rPr>
          <w:lang w:val="en-US"/>
        </w:rPr>
        <w:t xml:space="preserve">This is based on the common threshold (10 percent decrease in fertility) to identify the onset of the fertility transition </w:t>
      </w:r>
      <w:r w:rsidRPr="000774C3">
        <w:rPr>
          <w:rFonts w:cs="Times"/>
          <w:lang w:val="en-US"/>
        </w:rPr>
        <w:t>(Bongaarts 2008)</w:t>
      </w:r>
      <w:r>
        <w:rPr>
          <w:lang w:val="en-US"/>
        </w:rPr>
        <w:t xml:space="preserve">. Bongaarts </w:t>
      </w:r>
      <w:r w:rsidRPr="000774C3">
        <w:rPr>
          <w:rFonts w:cs="Times"/>
          <w:lang w:val="en-US"/>
        </w:rPr>
        <w:t>(2008)</w:t>
      </w:r>
      <w:r>
        <w:rPr>
          <w:lang w:val="en-US"/>
        </w:rPr>
        <w:t xml:space="preserve"> considers the decline has started if </w:t>
      </w:r>
      <w:r w:rsidRPr="000774C3">
        <w:rPr>
          <w:lang w:val="en-US"/>
        </w:rPr>
        <w:t>contraceptive prevalence among married women is 10 percent or less</w:t>
      </w:r>
      <w:r>
        <w:rPr>
          <w:lang w:val="en-US"/>
        </w:rPr>
        <w:t xml:space="preserve">, because of lack of data on past fertility. </w:t>
      </w:r>
      <w:proofErr w:type="spellStart"/>
      <w:r>
        <w:rPr>
          <w:lang w:val="en-US"/>
        </w:rPr>
        <w:t>Gendell’s</w:t>
      </w:r>
      <w:proofErr w:type="spellEnd"/>
      <w:r>
        <w:rPr>
          <w:lang w:val="en-US"/>
        </w:rPr>
        <w:t xml:space="preserve"> approach </w:t>
      </w:r>
      <w:r w:rsidRPr="008C00FB">
        <w:rPr>
          <w:rFonts w:cs="Times"/>
          <w:lang w:val="en-US"/>
        </w:rPr>
        <w:t>(1985)</w:t>
      </w:r>
      <w:r>
        <w:rPr>
          <w:lang w:val="en-US"/>
        </w:rPr>
        <w:t xml:space="preserve"> is more conservative, as he limits his analyses to countries where fertility had decreased by at least 20 percent, and where the decline had been rapid (at least 0.15 children per year for at least 5 years), followed by a stop or a deceleration in the decline for at least 4 to 5 years. </w:t>
      </w:r>
    </w:p>
  </w:footnote>
  <w:footnote w:id="8">
    <w:p w14:paraId="185C0594" w14:textId="6FFE42EE" w:rsidR="00030EBE" w:rsidRPr="00FD7F2A" w:rsidRDefault="00030EBE">
      <w:pPr>
        <w:pStyle w:val="Notedebasdepage"/>
        <w:rPr>
          <w:lang w:val="en-US"/>
        </w:rPr>
      </w:pPr>
      <w:r>
        <w:rPr>
          <w:rStyle w:val="Appelnotedebasdep"/>
        </w:rPr>
        <w:footnoteRef/>
      </w:r>
      <w:r w:rsidRPr="00FD7F2A">
        <w:rPr>
          <w:lang w:val="en-US"/>
        </w:rPr>
        <w:t xml:space="preserve"> </w:t>
      </w:r>
      <w:r>
        <w:rPr>
          <w:lang w:val="en-US"/>
        </w:rPr>
        <w:t xml:space="preserve">The </w:t>
      </w:r>
      <w:r w:rsidRPr="00C00D43">
        <w:rPr>
          <w:lang w:val="en-US"/>
        </w:rPr>
        <w:t>number of countries that have not started their transition will be revised upward</w:t>
      </w:r>
      <w:r>
        <w:rPr>
          <w:lang w:val="en-US"/>
        </w:rPr>
        <w:t xml:space="preserve"> later in this paper.</w:t>
      </w:r>
    </w:p>
  </w:footnote>
  <w:footnote w:id="9">
    <w:p w14:paraId="1D4EB098" w14:textId="085A9754" w:rsidR="00030EBE" w:rsidRPr="0016083F" w:rsidRDefault="00030EBE" w:rsidP="003A77F8">
      <w:pPr>
        <w:pStyle w:val="Notedebasdepage"/>
        <w:rPr>
          <w:lang w:val="en-US"/>
        </w:rPr>
      </w:pPr>
      <w:r w:rsidRPr="006035D1">
        <w:rPr>
          <w:rStyle w:val="Appelnotedebasdep"/>
        </w:rPr>
        <w:footnoteRef/>
      </w:r>
      <w:r w:rsidRPr="0016083F">
        <w:rPr>
          <w:lang w:val="en-US"/>
        </w:rPr>
        <w:t xml:space="preserve"> Standard errors of </w:t>
      </w:r>
      <w:r>
        <w:rPr>
          <w:lang w:val="en-US"/>
        </w:rPr>
        <w:t>TFRs</w:t>
      </w:r>
      <w:r w:rsidRPr="0016083F">
        <w:rPr>
          <w:lang w:val="en-US"/>
        </w:rPr>
        <w:t xml:space="preserve"> are computed taking account of clustering using the jackknife method </w:t>
      </w:r>
      <w:r w:rsidRPr="00883724">
        <w:rPr>
          <w:rFonts w:ascii="Calibri" w:hAnsi="Calibri"/>
          <w:lang w:val="en-US"/>
        </w:rPr>
        <w:t>(Schoumaker 2013b)</w:t>
      </w:r>
      <w:r w:rsidRPr="0016083F">
        <w:rPr>
          <w:lang w:val="en-US"/>
        </w:rPr>
        <w:t xml:space="preserve">. A one-tailed </w:t>
      </w:r>
      <w:r w:rsidRPr="00D55F13">
        <w:rPr>
          <w:i/>
          <w:lang w:val="en-US"/>
        </w:rPr>
        <w:t>t</w:t>
      </w:r>
      <w:r w:rsidRPr="0016083F">
        <w:rPr>
          <w:lang w:val="en-US"/>
        </w:rPr>
        <w:t xml:space="preserve">-test is used to test the significance of fertility decrease (p&lt;0.10). </w:t>
      </w:r>
    </w:p>
  </w:footnote>
  <w:footnote w:id="10">
    <w:p w14:paraId="6ED9890A" w14:textId="5F18ED24" w:rsidR="00030EBE" w:rsidRPr="00134D7F" w:rsidRDefault="00030EBE" w:rsidP="003A77F8">
      <w:pPr>
        <w:pStyle w:val="Notedebasdepage"/>
        <w:rPr>
          <w:lang w:val="en-US"/>
        </w:rPr>
      </w:pPr>
      <w:r w:rsidRPr="006035D1">
        <w:rPr>
          <w:rStyle w:val="Appelnotedebasdep"/>
        </w:rPr>
        <w:footnoteRef/>
      </w:r>
      <w:r w:rsidRPr="0016083F">
        <w:rPr>
          <w:lang w:val="en-US"/>
        </w:rPr>
        <w:t xml:space="preserve"> For the stall in Zimbabwe, see </w:t>
      </w:r>
      <w:proofErr w:type="spellStart"/>
      <w:r w:rsidRPr="0016083F">
        <w:rPr>
          <w:lang w:val="en-US"/>
        </w:rPr>
        <w:t>Sayi</w:t>
      </w:r>
      <w:proofErr w:type="spellEnd"/>
      <w:r w:rsidRPr="0016083F">
        <w:rPr>
          <w:lang w:val="en-US"/>
        </w:rPr>
        <w:t xml:space="preserve"> </w:t>
      </w:r>
      <w:r w:rsidRPr="00883724">
        <w:rPr>
          <w:rFonts w:cs="Times"/>
          <w:lang w:val="en-US"/>
        </w:rPr>
        <w:t>(2015)</w:t>
      </w:r>
      <w:r>
        <w:rPr>
          <w:rFonts w:cs="Times"/>
          <w:lang w:val="en-US"/>
        </w:rPr>
        <w:t xml:space="preserve">, </w:t>
      </w:r>
      <w:proofErr w:type="spellStart"/>
      <w:r w:rsidRPr="001B6803">
        <w:rPr>
          <w:lang w:val="en-US"/>
        </w:rPr>
        <w:t>Ndagurwa</w:t>
      </w:r>
      <w:proofErr w:type="spellEnd"/>
      <w:r>
        <w:rPr>
          <w:lang w:val="en-US"/>
        </w:rPr>
        <w:t xml:space="preserve"> </w:t>
      </w:r>
      <w:r w:rsidRPr="001B6803">
        <w:rPr>
          <w:lang w:val="en-US"/>
        </w:rPr>
        <w:t xml:space="preserve">and </w:t>
      </w:r>
      <w:proofErr w:type="spellStart"/>
      <w:r w:rsidRPr="001B6803">
        <w:rPr>
          <w:lang w:val="en-US"/>
        </w:rPr>
        <w:t>Odimegwu</w:t>
      </w:r>
      <w:proofErr w:type="spellEnd"/>
      <w:r>
        <w:rPr>
          <w:lang w:val="en-US"/>
        </w:rPr>
        <w:t xml:space="preserve"> (2019)</w:t>
      </w:r>
      <w:r w:rsidRPr="0016083F">
        <w:rPr>
          <w:lang w:val="en-US"/>
        </w:rPr>
        <w:t xml:space="preserve">, </w:t>
      </w:r>
      <w:proofErr w:type="spellStart"/>
      <w:r w:rsidRPr="0016083F">
        <w:rPr>
          <w:lang w:val="en-US"/>
        </w:rPr>
        <w:t>Goujon</w:t>
      </w:r>
      <w:proofErr w:type="spellEnd"/>
      <w:r w:rsidRPr="0016083F">
        <w:rPr>
          <w:lang w:val="en-US"/>
        </w:rPr>
        <w:t xml:space="preserve"> et al. </w:t>
      </w:r>
      <w:r w:rsidRPr="00134D7F">
        <w:rPr>
          <w:rFonts w:cs="Times"/>
          <w:lang w:val="en-US"/>
        </w:rPr>
        <w:t>(2015)</w:t>
      </w:r>
      <w:r>
        <w:rPr>
          <w:rFonts w:cs="Times"/>
          <w:lang w:val="en-US"/>
        </w:rPr>
        <w:t>,</w:t>
      </w:r>
      <w:r w:rsidRPr="00134D7F">
        <w:rPr>
          <w:lang w:val="en-US"/>
        </w:rPr>
        <w:t xml:space="preserve"> and Ezeh et al. </w:t>
      </w:r>
      <w:r w:rsidRPr="00134D7F">
        <w:rPr>
          <w:rFonts w:cs="Times"/>
          <w:lang w:val="en-US"/>
        </w:rPr>
        <w:t>(2009)</w:t>
      </w:r>
      <w:r w:rsidRPr="00134D7F">
        <w:rPr>
          <w:lang w:val="en-US"/>
        </w:rPr>
        <w:t xml:space="preserve">; for the stall in Namibia, see Palamuleni </w:t>
      </w:r>
      <w:r w:rsidRPr="00134D7F">
        <w:rPr>
          <w:rFonts w:cs="Times"/>
          <w:lang w:val="en-US"/>
        </w:rPr>
        <w:t>(2015)</w:t>
      </w:r>
      <w:r>
        <w:rPr>
          <w:rFonts w:cs="Times"/>
          <w:lang w:val="en-US"/>
        </w:rPr>
        <w:t>.</w:t>
      </w:r>
    </w:p>
  </w:footnote>
  <w:footnote w:id="11">
    <w:p w14:paraId="2A6B2BF6" w14:textId="5AC1E442" w:rsidR="00030EBE" w:rsidRPr="00031A58" w:rsidRDefault="00030EBE" w:rsidP="00D11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w:hAnsi="Times"/>
          <w:sz w:val="16"/>
          <w:szCs w:val="20"/>
        </w:rPr>
      </w:pPr>
      <w:r>
        <w:rPr>
          <w:rStyle w:val="Appelnotedebasdep"/>
        </w:rPr>
        <w:footnoteRef/>
      </w:r>
      <w:r w:rsidRPr="00031A58">
        <w:t xml:space="preserve"> </w:t>
      </w:r>
      <w:r w:rsidRPr="00031A58">
        <w:rPr>
          <w:rFonts w:ascii="Times" w:hAnsi="Times"/>
          <w:sz w:val="16"/>
          <w:szCs w:val="20"/>
        </w:rPr>
        <w:t xml:space="preserve">In two-thirds of the cases, the duration between successive surveys is between </w:t>
      </w:r>
      <w:r>
        <w:rPr>
          <w:rFonts w:ascii="Times" w:hAnsi="Times"/>
          <w:sz w:val="16"/>
          <w:szCs w:val="20"/>
        </w:rPr>
        <w:t>five</w:t>
      </w:r>
      <w:r w:rsidRPr="00031A58">
        <w:rPr>
          <w:rFonts w:ascii="Times" w:hAnsi="Times"/>
          <w:sz w:val="16"/>
          <w:szCs w:val="20"/>
        </w:rPr>
        <w:t xml:space="preserve"> and </w:t>
      </w:r>
      <w:r>
        <w:rPr>
          <w:rFonts w:ascii="Times" w:hAnsi="Times"/>
          <w:sz w:val="16"/>
          <w:szCs w:val="20"/>
        </w:rPr>
        <w:t>seven</w:t>
      </w:r>
      <w:r w:rsidRPr="00031A58">
        <w:rPr>
          <w:rFonts w:ascii="Times" w:hAnsi="Times"/>
          <w:sz w:val="16"/>
          <w:szCs w:val="20"/>
        </w:rPr>
        <w:t xml:space="preserve"> years, and in 85% of the cases, it is between </w:t>
      </w:r>
      <w:r>
        <w:rPr>
          <w:rFonts w:ascii="Times" w:hAnsi="Times"/>
          <w:sz w:val="16"/>
          <w:szCs w:val="20"/>
        </w:rPr>
        <w:t>four</w:t>
      </w:r>
      <w:r w:rsidRPr="00031A58">
        <w:rPr>
          <w:rFonts w:ascii="Times" w:hAnsi="Times"/>
          <w:sz w:val="16"/>
          <w:szCs w:val="20"/>
        </w:rPr>
        <w:t xml:space="preserve"> and </w:t>
      </w:r>
      <w:r>
        <w:rPr>
          <w:rFonts w:ascii="Times" w:hAnsi="Times"/>
          <w:sz w:val="16"/>
          <w:szCs w:val="20"/>
        </w:rPr>
        <w:t>eight</w:t>
      </w:r>
      <w:r w:rsidRPr="00031A58">
        <w:rPr>
          <w:rFonts w:ascii="Times" w:hAnsi="Times"/>
          <w:sz w:val="16"/>
          <w:szCs w:val="20"/>
        </w:rPr>
        <w:t xml:space="preserve"> years. But in ten cases, the duration is greater than or equal to 10 years, most notably in South Africa (1998 to 2016) and Burundi (1987 to 2010), but also Togo, Côte d’Ivoire, Nigeria, Comoros, Liberia, Gabon, and Chad.</w:t>
      </w:r>
    </w:p>
    <w:p w14:paraId="6C82426C" w14:textId="77777777" w:rsidR="00030EBE" w:rsidRPr="00031A58" w:rsidRDefault="00030EBE" w:rsidP="00D11649">
      <w:pPr>
        <w:pStyle w:val="Notedebasdepage"/>
        <w:rPr>
          <w:lang w:val="en-US"/>
        </w:rPr>
      </w:pPr>
    </w:p>
  </w:footnote>
  <w:footnote w:id="12">
    <w:p w14:paraId="5C3B2311" w14:textId="2A7C64DC" w:rsidR="00030EBE" w:rsidRPr="00D0783F" w:rsidRDefault="00030EBE">
      <w:pPr>
        <w:pStyle w:val="Notedebasdepage"/>
        <w:rPr>
          <w:lang w:val="en-US"/>
        </w:rPr>
      </w:pPr>
      <w:r>
        <w:rPr>
          <w:rStyle w:val="Appelnotedebasdep"/>
        </w:rPr>
        <w:footnoteRef/>
      </w:r>
      <w:r w:rsidRPr="00D0783F">
        <w:rPr>
          <w:lang w:val="en-US"/>
        </w:rPr>
        <w:t xml:space="preserve"> The 2003 DHS was not used in this paper as the data files were not available and the TFR was not published on </w:t>
      </w:r>
      <w:proofErr w:type="spellStart"/>
      <w:r w:rsidRPr="00D0783F">
        <w:rPr>
          <w:lang w:val="en-US"/>
        </w:rPr>
        <w:t>STATcompiler</w:t>
      </w:r>
      <w:proofErr w:type="spellEnd"/>
      <w:r w:rsidRPr="00D0783F">
        <w:rPr>
          <w:lang w:val="en-US"/>
        </w:rPr>
        <w:t>. However, the TFR in the report of 2003 survey suggest</w:t>
      </w:r>
      <w:r>
        <w:rPr>
          <w:lang w:val="en-US"/>
        </w:rPr>
        <w:t>s</w:t>
      </w:r>
      <w:r w:rsidRPr="00D0783F">
        <w:rPr>
          <w:lang w:val="en-US"/>
        </w:rPr>
        <w:t xml:space="preserve"> fertility stalled between the 2003 </w:t>
      </w:r>
      <w:r>
        <w:rPr>
          <w:lang w:val="en-US"/>
        </w:rPr>
        <w:t xml:space="preserve">and 2016 </w:t>
      </w:r>
      <w:r w:rsidRPr="00D0783F">
        <w:rPr>
          <w:lang w:val="en-US"/>
        </w:rPr>
        <w:t>survey</w:t>
      </w:r>
      <w:r>
        <w:rPr>
          <w:lang w:val="en-US"/>
        </w:rPr>
        <w:t xml:space="preserve">s. </w:t>
      </w:r>
    </w:p>
  </w:footnote>
  <w:footnote w:id="13">
    <w:p w14:paraId="63BD2A80" w14:textId="07A52B22" w:rsidR="00030EBE" w:rsidRPr="00B36860" w:rsidRDefault="00030EBE">
      <w:pPr>
        <w:pStyle w:val="Notedebasdepage"/>
        <w:rPr>
          <w:lang w:val="en-US"/>
        </w:rPr>
      </w:pPr>
      <w:r>
        <w:rPr>
          <w:rStyle w:val="Appelnotedebasdep"/>
        </w:rPr>
        <w:footnoteRef/>
      </w:r>
      <w:r w:rsidRPr="00031A58">
        <w:rPr>
          <w:lang w:val="en-US"/>
        </w:rPr>
        <w:t xml:space="preserve"> No clea</w:t>
      </w:r>
      <w:r>
        <w:rPr>
          <w:lang w:val="en-US"/>
        </w:rPr>
        <w:t xml:space="preserve">r </w:t>
      </w:r>
      <w:r w:rsidRPr="00B36860">
        <w:rPr>
          <w:lang w:val="en-US"/>
        </w:rPr>
        <w:t xml:space="preserve">signs of stalls were found </w:t>
      </w:r>
      <w:r>
        <w:rPr>
          <w:lang w:val="en-US"/>
        </w:rPr>
        <w:t xml:space="preserve">in other countries, including in Swaziland, where two MICS suggest a sustained fertility decline from 1990 to 2014.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70E"/>
    <w:multiLevelType w:val="hybridMultilevel"/>
    <w:tmpl w:val="C2886F4C"/>
    <w:lvl w:ilvl="0" w:tplc="2440311C">
      <w:start w:val="1"/>
      <w:numFmt w:val="decimal"/>
      <w:pStyle w:val="Titre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3224C1E"/>
    <w:multiLevelType w:val="hybridMultilevel"/>
    <w:tmpl w:val="DA8E018C"/>
    <w:lvl w:ilvl="0" w:tplc="DF9E6F5E">
      <w:start w:val="15"/>
      <w:numFmt w:val="bullet"/>
      <w:lvlText w:val="-"/>
      <w:lvlJc w:val="left"/>
      <w:pPr>
        <w:ind w:left="720" w:hanging="360"/>
      </w:pPr>
      <w:rPr>
        <w:rFonts w:ascii="Calibri" w:eastAsia="Times New Roman"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3D667DF"/>
    <w:multiLevelType w:val="hybridMultilevel"/>
    <w:tmpl w:val="27CC2C22"/>
    <w:lvl w:ilvl="0" w:tplc="06FE7A30">
      <w:start w:val="1"/>
      <w:numFmt w:val="decimal"/>
      <w:lvlText w:val="%1)"/>
      <w:lvlJc w:val="left"/>
      <w:pPr>
        <w:tabs>
          <w:tab w:val="num" w:pos="1068"/>
        </w:tabs>
        <w:ind w:left="1068" w:hanging="360"/>
      </w:pPr>
      <w:rPr>
        <w:rFonts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3">
    <w:nsid w:val="0C1D5E0B"/>
    <w:multiLevelType w:val="multilevel"/>
    <w:tmpl w:val="2E2E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5B11CA"/>
    <w:multiLevelType w:val="hybridMultilevel"/>
    <w:tmpl w:val="D30E561A"/>
    <w:lvl w:ilvl="0" w:tplc="013EEEE2">
      <w:start w:val="1"/>
      <w:numFmt w:val="bullet"/>
      <w:lvlText w:val="-"/>
      <w:lvlJc w:val="left"/>
      <w:pPr>
        <w:ind w:left="720" w:hanging="360"/>
      </w:pPr>
      <w:rPr>
        <w:rFonts w:ascii="Calibri" w:eastAsia="Times New Roman" w:hAnsi="Calibri"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F8E34D4"/>
    <w:multiLevelType w:val="hybridMultilevel"/>
    <w:tmpl w:val="B12C6B56"/>
    <w:lvl w:ilvl="0" w:tplc="E0D04724">
      <w:start w:val="4"/>
      <w:numFmt w:val="bullet"/>
      <w:lvlText w:val="-"/>
      <w:lvlJc w:val="left"/>
      <w:pPr>
        <w:ind w:left="360" w:hanging="360"/>
      </w:pPr>
      <w:rPr>
        <w:rFonts w:ascii="Calibri" w:eastAsia="Times New Roman" w:hAnsi="Calibri"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nsid w:val="242B36D5"/>
    <w:multiLevelType w:val="hybridMultilevel"/>
    <w:tmpl w:val="3BA0CC8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31D20800"/>
    <w:multiLevelType w:val="hybridMultilevel"/>
    <w:tmpl w:val="E7622EAE"/>
    <w:lvl w:ilvl="0" w:tplc="3F6C6BE0">
      <w:start w:val="24"/>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D04D71"/>
    <w:multiLevelType w:val="hybridMultilevel"/>
    <w:tmpl w:val="392464F8"/>
    <w:lvl w:ilvl="0" w:tplc="57E69074">
      <w:start w:val="5"/>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494943FF"/>
    <w:multiLevelType w:val="multilevel"/>
    <w:tmpl w:val="89F04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4C276A"/>
    <w:multiLevelType w:val="hybridMultilevel"/>
    <w:tmpl w:val="F88E0B30"/>
    <w:lvl w:ilvl="0" w:tplc="75141E26">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nsid w:val="55B36E71"/>
    <w:multiLevelType w:val="multilevel"/>
    <w:tmpl w:val="7C7C14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5A7DAA"/>
    <w:multiLevelType w:val="hybridMultilevel"/>
    <w:tmpl w:val="F88E0B30"/>
    <w:lvl w:ilvl="0" w:tplc="75141E2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79B2E9A"/>
    <w:multiLevelType w:val="hybridMultilevel"/>
    <w:tmpl w:val="F6581A9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nsid w:val="5E5C3B0E"/>
    <w:multiLevelType w:val="hybridMultilevel"/>
    <w:tmpl w:val="D03E8302"/>
    <w:lvl w:ilvl="0" w:tplc="39F0FE5C">
      <w:start w:val="2"/>
      <w:numFmt w:val="bullet"/>
      <w:lvlText w:val="-"/>
      <w:lvlJc w:val="left"/>
      <w:pPr>
        <w:ind w:left="360" w:hanging="360"/>
      </w:pPr>
      <w:rPr>
        <w:rFonts w:ascii="Times New Roman" w:eastAsia="Times New Roman" w:hAnsi="Times New Roman"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5">
    <w:nsid w:val="60D057F9"/>
    <w:multiLevelType w:val="hybridMultilevel"/>
    <w:tmpl w:val="EE8C35CE"/>
    <w:lvl w:ilvl="0" w:tplc="375E9E92">
      <w:start w:val="15"/>
      <w:numFmt w:val="bullet"/>
      <w:lvlText w:val="-"/>
      <w:lvlJc w:val="left"/>
      <w:pPr>
        <w:ind w:left="360" w:hanging="360"/>
      </w:pPr>
      <w:rPr>
        <w:rFonts w:ascii="Calibri" w:eastAsia="Times New Roman" w:hAnsi="Calibri"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nsid w:val="61210897"/>
    <w:multiLevelType w:val="multilevel"/>
    <w:tmpl w:val="5044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4E1C7B"/>
    <w:multiLevelType w:val="hybridMultilevel"/>
    <w:tmpl w:val="F88E0B30"/>
    <w:lvl w:ilvl="0" w:tplc="75141E2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75B43E92"/>
    <w:multiLevelType w:val="hybridMultilevel"/>
    <w:tmpl w:val="6ABAB928"/>
    <w:lvl w:ilvl="0" w:tplc="EC4002BE">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num w:numId="1">
    <w:abstractNumId w:val="8"/>
  </w:num>
  <w:num w:numId="2">
    <w:abstractNumId w:val="6"/>
  </w:num>
  <w:num w:numId="3">
    <w:abstractNumId w:val="0"/>
  </w:num>
  <w:num w:numId="4">
    <w:abstractNumId w:val="0"/>
  </w:num>
  <w:num w:numId="5">
    <w:abstractNumId w:val="2"/>
  </w:num>
  <w:num w:numId="6">
    <w:abstractNumId w:val="14"/>
  </w:num>
  <w:num w:numId="7">
    <w:abstractNumId w:val="1"/>
  </w:num>
  <w:num w:numId="8">
    <w:abstractNumId w:val="15"/>
  </w:num>
  <w:num w:numId="9">
    <w:abstractNumId w:val="0"/>
  </w:num>
  <w:num w:numId="10">
    <w:abstractNumId w:val="0"/>
    <w:lvlOverride w:ilvl="0">
      <w:startOverride w:val="1"/>
    </w:lvlOverride>
  </w:num>
  <w:num w:numId="11">
    <w:abstractNumId w:val="0"/>
    <w:lvlOverride w:ilvl="0">
      <w:startOverride w:val="1"/>
    </w:lvlOverride>
  </w:num>
  <w:num w:numId="12">
    <w:abstractNumId w:val="4"/>
  </w:num>
  <w:num w:numId="13">
    <w:abstractNumId w:val="10"/>
  </w:num>
  <w:num w:numId="14">
    <w:abstractNumId w:val="12"/>
  </w:num>
  <w:num w:numId="15">
    <w:abstractNumId w:val="17"/>
  </w:num>
  <w:num w:numId="16">
    <w:abstractNumId w:val="13"/>
  </w:num>
  <w:num w:numId="17">
    <w:abstractNumId w:val="18"/>
  </w:num>
  <w:num w:numId="18">
    <w:abstractNumId w:val="5"/>
  </w:num>
  <w:num w:numId="19">
    <w:abstractNumId w:val="0"/>
    <w:lvlOverride w:ilvl="0">
      <w:startOverride w:val="1"/>
    </w:lvlOverride>
  </w:num>
  <w:num w:numId="20">
    <w:abstractNumId w:val="0"/>
  </w:num>
  <w:num w:numId="21">
    <w:abstractNumId w:val="0"/>
  </w:num>
  <w:num w:numId="22">
    <w:abstractNumId w:val="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
  </w:num>
  <w:num w:numId="26">
    <w:abstractNumId w:val="11"/>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D1C"/>
    <w:rsid w:val="000002D7"/>
    <w:rsid w:val="00000B07"/>
    <w:rsid w:val="00002F2E"/>
    <w:rsid w:val="0000477B"/>
    <w:rsid w:val="0000704D"/>
    <w:rsid w:val="00007437"/>
    <w:rsid w:val="00010FA0"/>
    <w:rsid w:val="00011161"/>
    <w:rsid w:val="00011C1B"/>
    <w:rsid w:val="00013CE1"/>
    <w:rsid w:val="00016B2C"/>
    <w:rsid w:val="00016FD0"/>
    <w:rsid w:val="0001703D"/>
    <w:rsid w:val="00020CB6"/>
    <w:rsid w:val="000244B1"/>
    <w:rsid w:val="00025C98"/>
    <w:rsid w:val="00026A1B"/>
    <w:rsid w:val="00027D11"/>
    <w:rsid w:val="00030304"/>
    <w:rsid w:val="00030EBE"/>
    <w:rsid w:val="00031A58"/>
    <w:rsid w:val="0003345B"/>
    <w:rsid w:val="00034589"/>
    <w:rsid w:val="0003464C"/>
    <w:rsid w:val="00034BB7"/>
    <w:rsid w:val="00042024"/>
    <w:rsid w:val="00050274"/>
    <w:rsid w:val="00051185"/>
    <w:rsid w:val="000525A0"/>
    <w:rsid w:val="000548B0"/>
    <w:rsid w:val="00060CB5"/>
    <w:rsid w:val="00062040"/>
    <w:rsid w:val="0006443B"/>
    <w:rsid w:val="000663F7"/>
    <w:rsid w:val="00066D6B"/>
    <w:rsid w:val="0007007B"/>
    <w:rsid w:val="00073A4C"/>
    <w:rsid w:val="00074031"/>
    <w:rsid w:val="000749DC"/>
    <w:rsid w:val="000769DE"/>
    <w:rsid w:val="000774C3"/>
    <w:rsid w:val="00081034"/>
    <w:rsid w:val="0008231D"/>
    <w:rsid w:val="00083E8A"/>
    <w:rsid w:val="00085719"/>
    <w:rsid w:val="00087109"/>
    <w:rsid w:val="00093EED"/>
    <w:rsid w:val="000940B7"/>
    <w:rsid w:val="00095E3D"/>
    <w:rsid w:val="00096B4B"/>
    <w:rsid w:val="000A018D"/>
    <w:rsid w:val="000A1945"/>
    <w:rsid w:val="000A4BAB"/>
    <w:rsid w:val="000A5728"/>
    <w:rsid w:val="000A7BEC"/>
    <w:rsid w:val="000B0FB3"/>
    <w:rsid w:val="000B2441"/>
    <w:rsid w:val="000B299F"/>
    <w:rsid w:val="000B2F66"/>
    <w:rsid w:val="000B5ECB"/>
    <w:rsid w:val="000C00E6"/>
    <w:rsid w:val="000C089E"/>
    <w:rsid w:val="000C53AF"/>
    <w:rsid w:val="000C7AA3"/>
    <w:rsid w:val="000D0234"/>
    <w:rsid w:val="000D2A42"/>
    <w:rsid w:val="000D4B26"/>
    <w:rsid w:val="000D647B"/>
    <w:rsid w:val="000D7F2E"/>
    <w:rsid w:val="000D7F85"/>
    <w:rsid w:val="000E1A96"/>
    <w:rsid w:val="000E2911"/>
    <w:rsid w:val="000E3B33"/>
    <w:rsid w:val="000E533C"/>
    <w:rsid w:val="000E7722"/>
    <w:rsid w:val="000F072C"/>
    <w:rsid w:val="000F3204"/>
    <w:rsid w:val="000F60F9"/>
    <w:rsid w:val="000F67A7"/>
    <w:rsid w:val="0010075E"/>
    <w:rsid w:val="00100909"/>
    <w:rsid w:val="00113E9A"/>
    <w:rsid w:val="00115E22"/>
    <w:rsid w:val="00117C7C"/>
    <w:rsid w:val="0012018E"/>
    <w:rsid w:val="00121FA7"/>
    <w:rsid w:val="00122566"/>
    <w:rsid w:val="0012271A"/>
    <w:rsid w:val="00123809"/>
    <w:rsid w:val="00124028"/>
    <w:rsid w:val="00124325"/>
    <w:rsid w:val="00125D0B"/>
    <w:rsid w:val="00127965"/>
    <w:rsid w:val="001301DD"/>
    <w:rsid w:val="00130F73"/>
    <w:rsid w:val="0013155A"/>
    <w:rsid w:val="0013155B"/>
    <w:rsid w:val="00131A14"/>
    <w:rsid w:val="0013250F"/>
    <w:rsid w:val="00132CFA"/>
    <w:rsid w:val="00134D7F"/>
    <w:rsid w:val="00140A38"/>
    <w:rsid w:val="00144B6E"/>
    <w:rsid w:val="00144D57"/>
    <w:rsid w:val="0015122D"/>
    <w:rsid w:val="001516BF"/>
    <w:rsid w:val="00153E83"/>
    <w:rsid w:val="0015430B"/>
    <w:rsid w:val="00154D1C"/>
    <w:rsid w:val="0015515C"/>
    <w:rsid w:val="001566A0"/>
    <w:rsid w:val="0015673D"/>
    <w:rsid w:val="001573DB"/>
    <w:rsid w:val="001600AF"/>
    <w:rsid w:val="0016083F"/>
    <w:rsid w:val="00163418"/>
    <w:rsid w:val="001637DE"/>
    <w:rsid w:val="001652DE"/>
    <w:rsid w:val="00166287"/>
    <w:rsid w:val="00166ED2"/>
    <w:rsid w:val="00170D13"/>
    <w:rsid w:val="00172B32"/>
    <w:rsid w:val="00173907"/>
    <w:rsid w:val="0017708E"/>
    <w:rsid w:val="0018057B"/>
    <w:rsid w:val="00180D5C"/>
    <w:rsid w:val="00180F4E"/>
    <w:rsid w:val="00180F5B"/>
    <w:rsid w:val="00185A04"/>
    <w:rsid w:val="00185DC9"/>
    <w:rsid w:val="0018633C"/>
    <w:rsid w:val="0018691E"/>
    <w:rsid w:val="001876BC"/>
    <w:rsid w:val="0019079A"/>
    <w:rsid w:val="00197F51"/>
    <w:rsid w:val="001A026B"/>
    <w:rsid w:val="001A0305"/>
    <w:rsid w:val="001A1C6D"/>
    <w:rsid w:val="001A3C19"/>
    <w:rsid w:val="001A7C5F"/>
    <w:rsid w:val="001B38E6"/>
    <w:rsid w:val="001B3F14"/>
    <w:rsid w:val="001B4533"/>
    <w:rsid w:val="001B4F37"/>
    <w:rsid w:val="001B60F3"/>
    <w:rsid w:val="001B6803"/>
    <w:rsid w:val="001C42A6"/>
    <w:rsid w:val="001C47E3"/>
    <w:rsid w:val="001C5F20"/>
    <w:rsid w:val="001C790F"/>
    <w:rsid w:val="001D09A3"/>
    <w:rsid w:val="001D1D19"/>
    <w:rsid w:val="001D47B2"/>
    <w:rsid w:val="001D6A3F"/>
    <w:rsid w:val="001D7DA5"/>
    <w:rsid w:val="001E0ED6"/>
    <w:rsid w:val="001E1BA5"/>
    <w:rsid w:val="001E26F2"/>
    <w:rsid w:val="001E3853"/>
    <w:rsid w:val="001E74EC"/>
    <w:rsid w:val="001E7607"/>
    <w:rsid w:val="001F4CAB"/>
    <w:rsid w:val="001F6812"/>
    <w:rsid w:val="001F7C6F"/>
    <w:rsid w:val="0020128C"/>
    <w:rsid w:val="002018B5"/>
    <w:rsid w:val="00203B93"/>
    <w:rsid w:val="002061FC"/>
    <w:rsid w:val="00213F6B"/>
    <w:rsid w:val="00215943"/>
    <w:rsid w:val="002167DA"/>
    <w:rsid w:val="002201F8"/>
    <w:rsid w:val="0022230A"/>
    <w:rsid w:val="00222722"/>
    <w:rsid w:val="002235C8"/>
    <w:rsid w:val="00223B1A"/>
    <w:rsid w:val="00225793"/>
    <w:rsid w:val="00225A91"/>
    <w:rsid w:val="002265F1"/>
    <w:rsid w:val="00227D26"/>
    <w:rsid w:val="00232B16"/>
    <w:rsid w:val="00233AB7"/>
    <w:rsid w:val="00237D53"/>
    <w:rsid w:val="00240700"/>
    <w:rsid w:val="00241C41"/>
    <w:rsid w:val="00241D4B"/>
    <w:rsid w:val="00242AD2"/>
    <w:rsid w:val="002431DC"/>
    <w:rsid w:val="00244D1E"/>
    <w:rsid w:val="00245264"/>
    <w:rsid w:val="00251A99"/>
    <w:rsid w:val="00254864"/>
    <w:rsid w:val="00256E1B"/>
    <w:rsid w:val="00261271"/>
    <w:rsid w:val="00263C55"/>
    <w:rsid w:val="002703C0"/>
    <w:rsid w:val="00275E25"/>
    <w:rsid w:val="00280122"/>
    <w:rsid w:val="002819CE"/>
    <w:rsid w:val="00283A3A"/>
    <w:rsid w:val="00283AF2"/>
    <w:rsid w:val="002849A1"/>
    <w:rsid w:val="00286707"/>
    <w:rsid w:val="0028779D"/>
    <w:rsid w:val="00291B08"/>
    <w:rsid w:val="00294728"/>
    <w:rsid w:val="00294EA2"/>
    <w:rsid w:val="00296D2F"/>
    <w:rsid w:val="002A418B"/>
    <w:rsid w:val="002A676F"/>
    <w:rsid w:val="002A7423"/>
    <w:rsid w:val="002B0495"/>
    <w:rsid w:val="002B122B"/>
    <w:rsid w:val="002B225B"/>
    <w:rsid w:val="002B2E48"/>
    <w:rsid w:val="002B7BDC"/>
    <w:rsid w:val="002C0AA8"/>
    <w:rsid w:val="002C1451"/>
    <w:rsid w:val="002C2CC4"/>
    <w:rsid w:val="002C7A02"/>
    <w:rsid w:val="002D2A0F"/>
    <w:rsid w:val="002D42AB"/>
    <w:rsid w:val="002D4FB1"/>
    <w:rsid w:val="002E2914"/>
    <w:rsid w:val="002E510F"/>
    <w:rsid w:val="002F39ED"/>
    <w:rsid w:val="002F50F7"/>
    <w:rsid w:val="002F5862"/>
    <w:rsid w:val="002F5B23"/>
    <w:rsid w:val="002F6A37"/>
    <w:rsid w:val="00302B47"/>
    <w:rsid w:val="0030483E"/>
    <w:rsid w:val="003076E8"/>
    <w:rsid w:val="00311A38"/>
    <w:rsid w:val="003121AB"/>
    <w:rsid w:val="003136AA"/>
    <w:rsid w:val="00314C67"/>
    <w:rsid w:val="00317381"/>
    <w:rsid w:val="00320E32"/>
    <w:rsid w:val="00320EA6"/>
    <w:rsid w:val="00321FEC"/>
    <w:rsid w:val="00322652"/>
    <w:rsid w:val="003262FF"/>
    <w:rsid w:val="00327732"/>
    <w:rsid w:val="00334256"/>
    <w:rsid w:val="003357BA"/>
    <w:rsid w:val="003369CE"/>
    <w:rsid w:val="003418A1"/>
    <w:rsid w:val="00342C13"/>
    <w:rsid w:val="00347AB1"/>
    <w:rsid w:val="0035046C"/>
    <w:rsid w:val="00353D2E"/>
    <w:rsid w:val="00357B4F"/>
    <w:rsid w:val="003626FD"/>
    <w:rsid w:val="003627D8"/>
    <w:rsid w:val="003639EA"/>
    <w:rsid w:val="00363BD6"/>
    <w:rsid w:val="00370C9C"/>
    <w:rsid w:val="00372D82"/>
    <w:rsid w:val="00380CD5"/>
    <w:rsid w:val="00381288"/>
    <w:rsid w:val="00382D1F"/>
    <w:rsid w:val="00390D8D"/>
    <w:rsid w:val="00392C6E"/>
    <w:rsid w:val="003947DA"/>
    <w:rsid w:val="003949DC"/>
    <w:rsid w:val="0039671D"/>
    <w:rsid w:val="00396BFB"/>
    <w:rsid w:val="00397A2F"/>
    <w:rsid w:val="003A09D2"/>
    <w:rsid w:val="003A5FB5"/>
    <w:rsid w:val="003A77F8"/>
    <w:rsid w:val="003A79A7"/>
    <w:rsid w:val="003B02BC"/>
    <w:rsid w:val="003B0A4D"/>
    <w:rsid w:val="003B2F45"/>
    <w:rsid w:val="003B7B86"/>
    <w:rsid w:val="003C2FA8"/>
    <w:rsid w:val="003C2FBC"/>
    <w:rsid w:val="003C3258"/>
    <w:rsid w:val="003C499B"/>
    <w:rsid w:val="003C6DAC"/>
    <w:rsid w:val="003C7297"/>
    <w:rsid w:val="003C75E3"/>
    <w:rsid w:val="003C7E2C"/>
    <w:rsid w:val="003D20AC"/>
    <w:rsid w:val="003D50DC"/>
    <w:rsid w:val="003E0950"/>
    <w:rsid w:val="003E20F3"/>
    <w:rsid w:val="003E21F7"/>
    <w:rsid w:val="003E7DDA"/>
    <w:rsid w:val="003F3304"/>
    <w:rsid w:val="003F3AF7"/>
    <w:rsid w:val="003F518C"/>
    <w:rsid w:val="004129CE"/>
    <w:rsid w:val="00412C6D"/>
    <w:rsid w:val="00415BE2"/>
    <w:rsid w:val="004207D8"/>
    <w:rsid w:val="00422245"/>
    <w:rsid w:val="00424D2E"/>
    <w:rsid w:val="00425A27"/>
    <w:rsid w:val="004262C8"/>
    <w:rsid w:val="00426E29"/>
    <w:rsid w:val="0043042B"/>
    <w:rsid w:val="00430E41"/>
    <w:rsid w:val="004311FF"/>
    <w:rsid w:val="00431355"/>
    <w:rsid w:val="004334AE"/>
    <w:rsid w:val="0043481B"/>
    <w:rsid w:val="0043589F"/>
    <w:rsid w:val="00437CE8"/>
    <w:rsid w:val="004423F9"/>
    <w:rsid w:val="004438F9"/>
    <w:rsid w:val="004457AE"/>
    <w:rsid w:val="00445C52"/>
    <w:rsid w:val="00446BD6"/>
    <w:rsid w:val="00450E9E"/>
    <w:rsid w:val="00450FAC"/>
    <w:rsid w:val="004526D9"/>
    <w:rsid w:val="00452E27"/>
    <w:rsid w:val="00453171"/>
    <w:rsid w:val="00453658"/>
    <w:rsid w:val="00454613"/>
    <w:rsid w:val="00455C25"/>
    <w:rsid w:val="004564B1"/>
    <w:rsid w:val="0045743A"/>
    <w:rsid w:val="00457833"/>
    <w:rsid w:val="00460861"/>
    <w:rsid w:val="00460B36"/>
    <w:rsid w:val="0046288A"/>
    <w:rsid w:val="00465184"/>
    <w:rsid w:val="0047407D"/>
    <w:rsid w:val="004751EB"/>
    <w:rsid w:val="004825B0"/>
    <w:rsid w:val="004830D6"/>
    <w:rsid w:val="00486B2B"/>
    <w:rsid w:val="00487848"/>
    <w:rsid w:val="00490CFA"/>
    <w:rsid w:val="00490FA5"/>
    <w:rsid w:val="00493B5B"/>
    <w:rsid w:val="00494C32"/>
    <w:rsid w:val="00496125"/>
    <w:rsid w:val="00497FC8"/>
    <w:rsid w:val="004A0044"/>
    <w:rsid w:val="004A0439"/>
    <w:rsid w:val="004A1480"/>
    <w:rsid w:val="004A1EB4"/>
    <w:rsid w:val="004A1F75"/>
    <w:rsid w:val="004A4AF6"/>
    <w:rsid w:val="004A4EEF"/>
    <w:rsid w:val="004A5A43"/>
    <w:rsid w:val="004B2CAE"/>
    <w:rsid w:val="004B2D9F"/>
    <w:rsid w:val="004B371F"/>
    <w:rsid w:val="004C0B8C"/>
    <w:rsid w:val="004C5571"/>
    <w:rsid w:val="004C5B48"/>
    <w:rsid w:val="004C721E"/>
    <w:rsid w:val="004D1E4B"/>
    <w:rsid w:val="004D2D05"/>
    <w:rsid w:val="004D2FFD"/>
    <w:rsid w:val="004D3752"/>
    <w:rsid w:val="004D6174"/>
    <w:rsid w:val="004D64D9"/>
    <w:rsid w:val="004E0EC8"/>
    <w:rsid w:val="004E1DB4"/>
    <w:rsid w:val="004E2647"/>
    <w:rsid w:val="004F0301"/>
    <w:rsid w:val="004F2F4B"/>
    <w:rsid w:val="004F301E"/>
    <w:rsid w:val="004F30F5"/>
    <w:rsid w:val="004F435F"/>
    <w:rsid w:val="004F6649"/>
    <w:rsid w:val="004F7F2A"/>
    <w:rsid w:val="00502C59"/>
    <w:rsid w:val="00503C00"/>
    <w:rsid w:val="00503D24"/>
    <w:rsid w:val="00505070"/>
    <w:rsid w:val="00506EBE"/>
    <w:rsid w:val="005214D3"/>
    <w:rsid w:val="0052278A"/>
    <w:rsid w:val="00525A0F"/>
    <w:rsid w:val="00527F93"/>
    <w:rsid w:val="005312A1"/>
    <w:rsid w:val="005315E2"/>
    <w:rsid w:val="00531BB6"/>
    <w:rsid w:val="00532063"/>
    <w:rsid w:val="005328CA"/>
    <w:rsid w:val="00534488"/>
    <w:rsid w:val="005418CD"/>
    <w:rsid w:val="00543F94"/>
    <w:rsid w:val="00544F8D"/>
    <w:rsid w:val="005457A8"/>
    <w:rsid w:val="00547B39"/>
    <w:rsid w:val="00550ACD"/>
    <w:rsid w:val="005525AB"/>
    <w:rsid w:val="005542E1"/>
    <w:rsid w:val="005578FB"/>
    <w:rsid w:val="00560350"/>
    <w:rsid w:val="005650CB"/>
    <w:rsid w:val="0056739C"/>
    <w:rsid w:val="00567DFD"/>
    <w:rsid w:val="00576F9C"/>
    <w:rsid w:val="00577B24"/>
    <w:rsid w:val="00580EBC"/>
    <w:rsid w:val="00586860"/>
    <w:rsid w:val="0058767B"/>
    <w:rsid w:val="005877C0"/>
    <w:rsid w:val="00591143"/>
    <w:rsid w:val="005920A7"/>
    <w:rsid w:val="00592529"/>
    <w:rsid w:val="00595581"/>
    <w:rsid w:val="00596968"/>
    <w:rsid w:val="00597832"/>
    <w:rsid w:val="00597D04"/>
    <w:rsid w:val="005A0422"/>
    <w:rsid w:val="005A287D"/>
    <w:rsid w:val="005A4E6E"/>
    <w:rsid w:val="005A4EBD"/>
    <w:rsid w:val="005B07DA"/>
    <w:rsid w:val="005B18E3"/>
    <w:rsid w:val="005B1E36"/>
    <w:rsid w:val="005B2B2C"/>
    <w:rsid w:val="005B3F4A"/>
    <w:rsid w:val="005B41FB"/>
    <w:rsid w:val="005B5A7D"/>
    <w:rsid w:val="005B682F"/>
    <w:rsid w:val="005B781E"/>
    <w:rsid w:val="005C05C0"/>
    <w:rsid w:val="005C0693"/>
    <w:rsid w:val="005C0BFF"/>
    <w:rsid w:val="005C16EA"/>
    <w:rsid w:val="005C31BA"/>
    <w:rsid w:val="005C6130"/>
    <w:rsid w:val="005D0D65"/>
    <w:rsid w:val="005D19A4"/>
    <w:rsid w:val="005D4034"/>
    <w:rsid w:val="005D6459"/>
    <w:rsid w:val="005E1895"/>
    <w:rsid w:val="005E5618"/>
    <w:rsid w:val="005E736E"/>
    <w:rsid w:val="005F1956"/>
    <w:rsid w:val="005F49DB"/>
    <w:rsid w:val="005F4EA8"/>
    <w:rsid w:val="005F5E9B"/>
    <w:rsid w:val="005F6212"/>
    <w:rsid w:val="005F62BF"/>
    <w:rsid w:val="005F64D1"/>
    <w:rsid w:val="005F6EF4"/>
    <w:rsid w:val="00601556"/>
    <w:rsid w:val="00602C9E"/>
    <w:rsid w:val="006035D1"/>
    <w:rsid w:val="006038A0"/>
    <w:rsid w:val="00603932"/>
    <w:rsid w:val="00605427"/>
    <w:rsid w:val="00611CF5"/>
    <w:rsid w:val="00614FC1"/>
    <w:rsid w:val="0061529E"/>
    <w:rsid w:val="0061767F"/>
    <w:rsid w:val="00620431"/>
    <w:rsid w:val="006210B0"/>
    <w:rsid w:val="00626FA3"/>
    <w:rsid w:val="00632C85"/>
    <w:rsid w:val="00633B29"/>
    <w:rsid w:val="006340AA"/>
    <w:rsid w:val="00634B2F"/>
    <w:rsid w:val="00634FA9"/>
    <w:rsid w:val="00637A9A"/>
    <w:rsid w:val="006401C9"/>
    <w:rsid w:val="006412B9"/>
    <w:rsid w:val="00641D29"/>
    <w:rsid w:val="00644880"/>
    <w:rsid w:val="00646336"/>
    <w:rsid w:val="00651368"/>
    <w:rsid w:val="00654DCE"/>
    <w:rsid w:val="006550A3"/>
    <w:rsid w:val="00655317"/>
    <w:rsid w:val="00655495"/>
    <w:rsid w:val="00655C3C"/>
    <w:rsid w:val="0065652D"/>
    <w:rsid w:val="00656E6A"/>
    <w:rsid w:val="006607E3"/>
    <w:rsid w:val="006609E4"/>
    <w:rsid w:val="00663840"/>
    <w:rsid w:val="00664A7E"/>
    <w:rsid w:val="00672B08"/>
    <w:rsid w:val="00672E3C"/>
    <w:rsid w:val="00675952"/>
    <w:rsid w:val="00675DC0"/>
    <w:rsid w:val="006771D9"/>
    <w:rsid w:val="00677333"/>
    <w:rsid w:val="00687F7A"/>
    <w:rsid w:val="00693EDC"/>
    <w:rsid w:val="006946F6"/>
    <w:rsid w:val="006948CD"/>
    <w:rsid w:val="00694A07"/>
    <w:rsid w:val="00694F8C"/>
    <w:rsid w:val="00697BDE"/>
    <w:rsid w:val="006A10E4"/>
    <w:rsid w:val="006A121D"/>
    <w:rsid w:val="006A1A71"/>
    <w:rsid w:val="006A36D9"/>
    <w:rsid w:val="006A3CC0"/>
    <w:rsid w:val="006A50A8"/>
    <w:rsid w:val="006A69B7"/>
    <w:rsid w:val="006B1282"/>
    <w:rsid w:val="006B32A4"/>
    <w:rsid w:val="006B7BAD"/>
    <w:rsid w:val="006C0BA1"/>
    <w:rsid w:val="006C0C89"/>
    <w:rsid w:val="006C176F"/>
    <w:rsid w:val="006C190F"/>
    <w:rsid w:val="006C32F3"/>
    <w:rsid w:val="006C4A1A"/>
    <w:rsid w:val="006D09B6"/>
    <w:rsid w:val="006D16FE"/>
    <w:rsid w:val="006D1DE0"/>
    <w:rsid w:val="006D3970"/>
    <w:rsid w:val="006D6EC3"/>
    <w:rsid w:val="006E0098"/>
    <w:rsid w:val="006E17BC"/>
    <w:rsid w:val="006E1A21"/>
    <w:rsid w:val="006E2FE5"/>
    <w:rsid w:val="006E33CA"/>
    <w:rsid w:val="006E560E"/>
    <w:rsid w:val="006E5BB8"/>
    <w:rsid w:val="006E615B"/>
    <w:rsid w:val="006E681B"/>
    <w:rsid w:val="006E76A3"/>
    <w:rsid w:val="006F0283"/>
    <w:rsid w:val="006F2585"/>
    <w:rsid w:val="006F746B"/>
    <w:rsid w:val="006F79DD"/>
    <w:rsid w:val="00701989"/>
    <w:rsid w:val="00701E4D"/>
    <w:rsid w:val="007028E3"/>
    <w:rsid w:val="00704A99"/>
    <w:rsid w:val="00704AC2"/>
    <w:rsid w:val="00712417"/>
    <w:rsid w:val="007131C7"/>
    <w:rsid w:val="00714562"/>
    <w:rsid w:val="0071491E"/>
    <w:rsid w:val="0071653C"/>
    <w:rsid w:val="007166E5"/>
    <w:rsid w:val="007175C8"/>
    <w:rsid w:val="00725AED"/>
    <w:rsid w:val="00727E18"/>
    <w:rsid w:val="00727E52"/>
    <w:rsid w:val="00730540"/>
    <w:rsid w:val="00731D47"/>
    <w:rsid w:val="0073262E"/>
    <w:rsid w:val="0074323A"/>
    <w:rsid w:val="00743970"/>
    <w:rsid w:val="00745B04"/>
    <w:rsid w:val="00746179"/>
    <w:rsid w:val="00746AF7"/>
    <w:rsid w:val="00747006"/>
    <w:rsid w:val="007541B8"/>
    <w:rsid w:val="00760FE7"/>
    <w:rsid w:val="00764539"/>
    <w:rsid w:val="00765F71"/>
    <w:rsid w:val="00771163"/>
    <w:rsid w:val="00771341"/>
    <w:rsid w:val="00771DA0"/>
    <w:rsid w:val="00773B22"/>
    <w:rsid w:val="0077432B"/>
    <w:rsid w:val="007747AD"/>
    <w:rsid w:val="0077675A"/>
    <w:rsid w:val="00776DF6"/>
    <w:rsid w:val="007800E8"/>
    <w:rsid w:val="007804DD"/>
    <w:rsid w:val="00780EF0"/>
    <w:rsid w:val="00781A55"/>
    <w:rsid w:val="00781E8D"/>
    <w:rsid w:val="007834E8"/>
    <w:rsid w:val="00783EF5"/>
    <w:rsid w:val="00784510"/>
    <w:rsid w:val="00784BDE"/>
    <w:rsid w:val="0079026B"/>
    <w:rsid w:val="0079028E"/>
    <w:rsid w:val="00794E06"/>
    <w:rsid w:val="00794F02"/>
    <w:rsid w:val="007965A3"/>
    <w:rsid w:val="007A0321"/>
    <w:rsid w:val="007A122E"/>
    <w:rsid w:val="007A3D25"/>
    <w:rsid w:val="007A77E9"/>
    <w:rsid w:val="007B188C"/>
    <w:rsid w:val="007B441E"/>
    <w:rsid w:val="007B4D9F"/>
    <w:rsid w:val="007B54D0"/>
    <w:rsid w:val="007B58B3"/>
    <w:rsid w:val="007B5961"/>
    <w:rsid w:val="007B7FF8"/>
    <w:rsid w:val="007C02B9"/>
    <w:rsid w:val="007C05A8"/>
    <w:rsid w:val="007C05FB"/>
    <w:rsid w:val="007C1132"/>
    <w:rsid w:val="007C35C5"/>
    <w:rsid w:val="007C5131"/>
    <w:rsid w:val="007C7AC3"/>
    <w:rsid w:val="007C7C1C"/>
    <w:rsid w:val="007D0FEF"/>
    <w:rsid w:val="007D5965"/>
    <w:rsid w:val="007D75C8"/>
    <w:rsid w:val="007D7C31"/>
    <w:rsid w:val="007E14A7"/>
    <w:rsid w:val="007E2BC4"/>
    <w:rsid w:val="007E35BC"/>
    <w:rsid w:val="007E3B62"/>
    <w:rsid w:val="007E4F91"/>
    <w:rsid w:val="007E5AD2"/>
    <w:rsid w:val="007E672C"/>
    <w:rsid w:val="007E780C"/>
    <w:rsid w:val="007E785B"/>
    <w:rsid w:val="007F26FD"/>
    <w:rsid w:val="007F53F5"/>
    <w:rsid w:val="007F64DC"/>
    <w:rsid w:val="007F6CF8"/>
    <w:rsid w:val="007F7395"/>
    <w:rsid w:val="007F798F"/>
    <w:rsid w:val="00801369"/>
    <w:rsid w:val="008041A7"/>
    <w:rsid w:val="00810045"/>
    <w:rsid w:val="0081465A"/>
    <w:rsid w:val="008157D6"/>
    <w:rsid w:val="008158DF"/>
    <w:rsid w:val="008176D4"/>
    <w:rsid w:val="00817E51"/>
    <w:rsid w:val="008216D6"/>
    <w:rsid w:val="00822F62"/>
    <w:rsid w:val="008242D2"/>
    <w:rsid w:val="00824E6E"/>
    <w:rsid w:val="0082543F"/>
    <w:rsid w:val="00825593"/>
    <w:rsid w:val="00825839"/>
    <w:rsid w:val="008263A0"/>
    <w:rsid w:val="00827472"/>
    <w:rsid w:val="00841AD7"/>
    <w:rsid w:val="00841CD6"/>
    <w:rsid w:val="00844A07"/>
    <w:rsid w:val="008468A6"/>
    <w:rsid w:val="008526FA"/>
    <w:rsid w:val="00853956"/>
    <w:rsid w:val="008577A9"/>
    <w:rsid w:val="00860E89"/>
    <w:rsid w:val="008612F2"/>
    <w:rsid w:val="0086293B"/>
    <w:rsid w:val="00864B2A"/>
    <w:rsid w:val="0086702F"/>
    <w:rsid w:val="008671BD"/>
    <w:rsid w:val="0087559A"/>
    <w:rsid w:val="00881F5A"/>
    <w:rsid w:val="0088234F"/>
    <w:rsid w:val="0088352D"/>
    <w:rsid w:val="00883724"/>
    <w:rsid w:val="00883BBE"/>
    <w:rsid w:val="0088554C"/>
    <w:rsid w:val="00885A47"/>
    <w:rsid w:val="00887095"/>
    <w:rsid w:val="00887282"/>
    <w:rsid w:val="008909F3"/>
    <w:rsid w:val="00894ABC"/>
    <w:rsid w:val="008952A1"/>
    <w:rsid w:val="00896370"/>
    <w:rsid w:val="00896EA3"/>
    <w:rsid w:val="008A08F8"/>
    <w:rsid w:val="008A1658"/>
    <w:rsid w:val="008A2009"/>
    <w:rsid w:val="008A3F82"/>
    <w:rsid w:val="008A66C8"/>
    <w:rsid w:val="008A6B45"/>
    <w:rsid w:val="008B24A7"/>
    <w:rsid w:val="008B3904"/>
    <w:rsid w:val="008B3F35"/>
    <w:rsid w:val="008B6823"/>
    <w:rsid w:val="008C00FB"/>
    <w:rsid w:val="008C15B9"/>
    <w:rsid w:val="008C1DC9"/>
    <w:rsid w:val="008C67CD"/>
    <w:rsid w:val="008C6A19"/>
    <w:rsid w:val="008C6DA6"/>
    <w:rsid w:val="008D1F4F"/>
    <w:rsid w:val="008D2711"/>
    <w:rsid w:val="008D7648"/>
    <w:rsid w:val="008D782A"/>
    <w:rsid w:val="008E2965"/>
    <w:rsid w:val="008F61DF"/>
    <w:rsid w:val="008F6842"/>
    <w:rsid w:val="008F7E5C"/>
    <w:rsid w:val="00900360"/>
    <w:rsid w:val="00900DD9"/>
    <w:rsid w:val="0090304A"/>
    <w:rsid w:val="00903D83"/>
    <w:rsid w:val="00904D7C"/>
    <w:rsid w:val="009061B2"/>
    <w:rsid w:val="009068BA"/>
    <w:rsid w:val="00907035"/>
    <w:rsid w:val="0091058C"/>
    <w:rsid w:val="00910DB1"/>
    <w:rsid w:val="0091717E"/>
    <w:rsid w:val="00920655"/>
    <w:rsid w:val="00925A7A"/>
    <w:rsid w:val="00925FE5"/>
    <w:rsid w:val="0092746B"/>
    <w:rsid w:val="00930A0B"/>
    <w:rsid w:val="00931B6A"/>
    <w:rsid w:val="00934B43"/>
    <w:rsid w:val="00936B8A"/>
    <w:rsid w:val="00940255"/>
    <w:rsid w:val="00940DD2"/>
    <w:rsid w:val="00941599"/>
    <w:rsid w:val="00943572"/>
    <w:rsid w:val="009443D7"/>
    <w:rsid w:val="009460EF"/>
    <w:rsid w:val="00947217"/>
    <w:rsid w:val="00952C19"/>
    <w:rsid w:val="009548E4"/>
    <w:rsid w:val="0095780C"/>
    <w:rsid w:val="009608FA"/>
    <w:rsid w:val="00962853"/>
    <w:rsid w:val="00966AAA"/>
    <w:rsid w:val="00966D62"/>
    <w:rsid w:val="00967FB7"/>
    <w:rsid w:val="0097315A"/>
    <w:rsid w:val="00973ACD"/>
    <w:rsid w:val="00977C61"/>
    <w:rsid w:val="00981183"/>
    <w:rsid w:val="00981471"/>
    <w:rsid w:val="00984243"/>
    <w:rsid w:val="00987869"/>
    <w:rsid w:val="00990865"/>
    <w:rsid w:val="00990A94"/>
    <w:rsid w:val="00990C38"/>
    <w:rsid w:val="009912A4"/>
    <w:rsid w:val="00992F68"/>
    <w:rsid w:val="009A53F1"/>
    <w:rsid w:val="009A6913"/>
    <w:rsid w:val="009A7E14"/>
    <w:rsid w:val="009B0384"/>
    <w:rsid w:val="009B0A6E"/>
    <w:rsid w:val="009B106F"/>
    <w:rsid w:val="009B372D"/>
    <w:rsid w:val="009B3FCC"/>
    <w:rsid w:val="009B4BCB"/>
    <w:rsid w:val="009C09BE"/>
    <w:rsid w:val="009C0D75"/>
    <w:rsid w:val="009C2ABD"/>
    <w:rsid w:val="009C4F79"/>
    <w:rsid w:val="009C50C1"/>
    <w:rsid w:val="009C7221"/>
    <w:rsid w:val="009C7C74"/>
    <w:rsid w:val="009D1698"/>
    <w:rsid w:val="009D7289"/>
    <w:rsid w:val="009E1AAD"/>
    <w:rsid w:val="009E3711"/>
    <w:rsid w:val="009E427A"/>
    <w:rsid w:val="009E766B"/>
    <w:rsid w:val="009E7BA8"/>
    <w:rsid w:val="009F4C43"/>
    <w:rsid w:val="009F5A41"/>
    <w:rsid w:val="009F6611"/>
    <w:rsid w:val="00A01FD2"/>
    <w:rsid w:val="00A049B1"/>
    <w:rsid w:val="00A13577"/>
    <w:rsid w:val="00A14DC3"/>
    <w:rsid w:val="00A15A3E"/>
    <w:rsid w:val="00A167AB"/>
    <w:rsid w:val="00A21A14"/>
    <w:rsid w:val="00A2392A"/>
    <w:rsid w:val="00A24FD3"/>
    <w:rsid w:val="00A26818"/>
    <w:rsid w:val="00A340A9"/>
    <w:rsid w:val="00A35443"/>
    <w:rsid w:val="00A35FAC"/>
    <w:rsid w:val="00A37703"/>
    <w:rsid w:val="00A378ED"/>
    <w:rsid w:val="00A37E37"/>
    <w:rsid w:val="00A400C3"/>
    <w:rsid w:val="00A40776"/>
    <w:rsid w:val="00A43D69"/>
    <w:rsid w:val="00A452E9"/>
    <w:rsid w:val="00A4760A"/>
    <w:rsid w:val="00A500D0"/>
    <w:rsid w:val="00A51515"/>
    <w:rsid w:val="00A52627"/>
    <w:rsid w:val="00A54000"/>
    <w:rsid w:val="00A62369"/>
    <w:rsid w:val="00A62556"/>
    <w:rsid w:val="00A62694"/>
    <w:rsid w:val="00A62B4C"/>
    <w:rsid w:val="00A645C4"/>
    <w:rsid w:val="00A64E03"/>
    <w:rsid w:val="00A64FC3"/>
    <w:rsid w:val="00A6550C"/>
    <w:rsid w:val="00A66F95"/>
    <w:rsid w:val="00A717E5"/>
    <w:rsid w:val="00A8009E"/>
    <w:rsid w:val="00A84DAD"/>
    <w:rsid w:val="00A8582A"/>
    <w:rsid w:val="00A93411"/>
    <w:rsid w:val="00A93C8D"/>
    <w:rsid w:val="00AA03EE"/>
    <w:rsid w:val="00AA1048"/>
    <w:rsid w:val="00AA258F"/>
    <w:rsid w:val="00AA30A7"/>
    <w:rsid w:val="00AA35F0"/>
    <w:rsid w:val="00AA5148"/>
    <w:rsid w:val="00AA6E9C"/>
    <w:rsid w:val="00AB469B"/>
    <w:rsid w:val="00AB78D9"/>
    <w:rsid w:val="00AB7EEF"/>
    <w:rsid w:val="00AC22C9"/>
    <w:rsid w:val="00AC657E"/>
    <w:rsid w:val="00AC7654"/>
    <w:rsid w:val="00AC7E3D"/>
    <w:rsid w:val="00AD00A7"/>
    <w:rsid w:val="00AD03E1"/>
    <w:rsid w:val="00AD11D5"/>
    <w:rsid w:val="00AE4FC6"/>
    <w:rsid w:val="00AF1E04"/>
    <w:rsid w:val="00AF2984"/>
    <w:rsid w:val="00AF5034"/>
    <w:rsid w:val="00AF5BC3"/>
    <w:rsid w:val="00AF756D"/>
    <w:rsid w:val="00B0079B"/>
    <w:rsid w:val="00B174F2"/>
    <w:rsid w:val="00B207C7"/>
    <w:rsid w:val="00B21819"/>
    <w:rsid w:val="00B223C3"/>
    <w:rsid w:val="00B22719"/>
    <w:rsid w:val="00B22869"/>
    <w:rsid w:val="00B23B28"/>
    <w:rsid w:val="00B26C3C"/>
    <w:rsid w:val="00B30B09"/>
    <w:rsid w:val="00B30B8F"/>
    <w:rsid w:val="00B32E9E"/>
    <w:rsid w:val="00B3612E"/>
    <w:rsid w:val="00B36860"/>
    <w:rsid w:val="00B372B5"/>
    <w:rsid w:val="00B41B1D"/>
    <w:rsid w:val="00B4243E"/>
    <w:rsid w:val="00B4257C"/>
    <w:rsid w:val="00B42FD0"/>
    <w:rsid w:val="00B45EC8"/>
    <w:rsid w:val="00B50D78"/>
    <w:rsid w:val="00B602F5"/>
    <w:rsid w:val="00B6075D"/>
    <w:rsid w:val="00B66914"/>
    <w:rsid w:val="00B674DC"/>
    <w:rsid w:val="00B6766F"/>
    <w:rsid w:val="00B71153"/>
    <w:rsid w:val="00B71E02"/>
    <w:rsid w:val="00B758BA"/>
    <w:rsid w:val="00B8005C"/>
    <w:rsid w:val="00B815AC"/>
    <w:rsid w:val="00B8408E"/>
    <w:rsid w:val="00B90BDD"/>
    <w:rsid w:val="00B91002"/>
    <w:rsid w:val="00B91CFF"/>
    <w:rsid w:val="00B92334"/>
    <w:rsid w:val="00B9311C"/>
    <w:rsid w:val="00B95223"/>
    <w:rsid w:val="00B95B6E"/>
    <w:rsid w:val="00B97671"/>
    <w:rsid w:val="00B97950"/>
    <w:rsid w:val="00BA01E5"/>
    <w:rsid w:val="00BA1561"/>
    <w:rsid w:val="00BA2475"/>
    <w:rsid w:val="00BA37D2"/>
    <w:rsid w:val="00BA424E"/>
    <w:rsid w:val="00BB0544"/>
    <w:rsid w:val="00BB0FE4"/>
    <w:rsid w:val="00BB1411"/>
    <w:rsid w:val="00BB1AB1"/>
    <w:rsid w:val="00BB37E3"/>
    <w:rsid w:val="00BB39AA"/>
    <w:rsid w:val="00BB401B"/>
    <w:rsid w:val="00BB61BC"/>
    <w:rsid w:val="00BB7583"/>
    <w:rsid w:val="00BC13AC"/>
    <w:rsid w:val="00BC1E29"/>
    <w:rsid w:val="00BC334F"/>
    <w:rsid w:val="00BC37C4"/>
    <w:rsid w:val="00BC4E8E"/>
    <w:rsid w:val="00BC654E"/>
    <w:rsid w:val="00BD1DEF"/>
    <w:rsid w:val="00BD50EA"/>
    <w:rsid w:val="00BE411D"/>
    <w:rsid w:val="00BE50E7"/>
    <w:rsid w:val="00BE5711"/>
    <w:rsid w:val="00BE7830"/>
    <w:rsid w:val="00BE7F8A"/>
    <w:rsid w:val="00BF1D00"/>
    <w:rsid w:val="00BF3BBE"/>
    <w:rsid w:val="00BF45C3"/>
    <w:rsid w:val="00BF5422"/>
    <w:rsid w:val="00BF69DE"/>
    <w:rsid w:val="00BF6C63"/>
    <w:rsid w:val="00C00D43"/>
    <w:rsid w:val="00C02258"/>
    <w:rsid w:val="00C04627"/>
    <w:rsid w:val="00C06DC0"/>
    <w:rsid w:val="00C06FEA"/>
    <w:rsid w:val="00C101DF"/>
    <w:rsid w:val="00C1150A"/>
    <w:rsid w:val="00C141E1"/>
    <w:rsid w:val="00C159B3"/>
    <w:rsid w:val="00C15A5E"/>
    <w:rsid w:val="00C165B5"/>
    <w:rsid w:val="00C217A4"/>
    <w:rsid w:val="00C21AE7"/>
    <w:rsid w:val="00C23393"/>
    <w:rsid w:val="00C239BC"/>
    <w:rsid w:val="00C25D05"/>
    <w:rsid w:val="00C26E14"/>
    <w:rsid w:val="00C26EE5"/>
    <w:rsid w:val="00C30DE5"/>
    <w:rsid w:val="00C31775"/>
    <w:rsid w:val="00C336CB"/>
    <w:rsid w:val="00C34039"/>
    <w:rsid w:val="00C34252"/>
    <w:rsid w:val="00C3509F"/>
    <w:rsid w:val="00C357F6"/>
    <w:rsid w:val="00C35D01"/>
    <w:rsid w:val="00C36AA2"/>
    <w:rsid w:val="00C4148C"/>
    <w:rsid w:val="00C4459A"/>
    <w:rsid w:val="00C453CC"/>
    <w:rsid w:val="00C462B7"/>
    <w:rsid w:val="00C46E11"/>
    <w:rsid w:val="00C541C3"/>
    <w:rsid w:val="00C5524C"/>
    <w:rsid w:val="00C56B86"/>
    <w:rsid w:val="00C60DD6"/>
    <w:rsid w:val="00C613D7"/>
    <w:rsid w:val="00C63A13"/>
    <w:rsid w:val="00C63C50"/>
    <w:rsid w:val="00C648A9"/>
    <w:rsid w:val="00C64991"/>
    <w:rsid w:val="00C653DC"/>
    <w:rsid w:val="00C6751D"/>
    <w:rsid w:val="00C70A61"/>
    <w:rsid w:val="00C72EF5"/>
    <w:rsid w:val="00C750D7"/>
    <w:rsid w:val="00C75D8C"/>
    <w:rsid w:val="00C774EC"/>
    <w:rsid w:val="00C844E6"/>
    <w:rsid w:val="00C85D0A"/>
    <w:rsid w:val="00C92C7B"/>
    <w:rsid w:val="00C94ECC"/>
    <w:rsid w:val="00C957CE"/>
    <w:rsid w:val="00C96DDC"/>
    <w:rsid w:val="00CA22BC"/>
    <w:rsid w:val="00CA27A1"/>
    <w:rsid w:val="00CA285B"/>
    <w:rsid w:val="00CA487E"/>
    <w:rsid w:val="00CA499E"/>
    <w:rsid w:val="00CA4E7D"/>
    <w:rsid w:val="00CA553E"/>
    <w:rsid w:val="00CA6B07"/>
    <w:rsid w:val="00CB0415"/>
    <w:rsid w:val="00CB12D4"/>
    <w:rsid w:val="00CB14C9"/>
    <w:rsid w:val="00CB3BBD"/>
    <w:rsid w:val="00CC14FB"/>
    <w:rsid w:val="00CC2859"/>
    <w:rsid w:val="00CC28BD"/>
    <w:rsid w:val="00CC4324"/>
    <w:rsid w:val="00CC498A"/>
    <w:rsid w:val="00CC6BF6"/>
    <w:rsid w:val="00CC7421"/>
    <w:rsid w:val="00CD5BAF"/>
    <w:rsid w:val="00CE03CF"/>
    <w:rsid w:val="00CE0566"/>
    <w:rsid w:val="00CE1298"/>
    <w:rsid w:val="00CF2DB3"/>
    <w:rsid w:val="00CF3F55"/>
    <w:rsid w:val="00D00FE8"/>
    <w:rsid w:val="00D01B68"/>
    <w:rsid w:val="00D05278"/>
    <w:rsid w:val="00D06276"/>
    <w:rsid w:val="00D0678E"/>
    <w:rsid w:val="00D07369"/>
    <w:rsid w:val="00D076D6"/>
    <w:rsid w:val="00D0783F"/>
    <w:rsid w:val="00D11649"/>
    <w:rsid w:val="00D125C4"/>
    <w:rsid w:val="00D148C4"/>
    <w:rsid w:val="00D1674F"/>
    <w:rsid w:val="00D1726E"/>
    <w:rsid w:val="00D17A14"/>
    <w:rsid w:val="00D22305"/>
    <w:rsid w:val="00D31AAF"/>
    <w:rsid w:val="00D31FE0"/>
    <w:rsid w:val="00D32E34"/>
    <w:rsid w:val="00D35237"/>
    <w:rsid w:val="00D41B15"/>
    <w:rsid w:val="00D42236"/>
    <w:rsid w:val="00D45237"/>
    <w:rsid w:val="00D45369"/>
    <w:rsid w:val="00D4580D"/>
    <w:rsid w:val="00D47931"/>
    <w:rsid w:val="00D50823"/>
    <w:rsid w:val="00D5520F"/>
    <w:rsid w:val="00D55F13"/>
    <w:rsid w:val="00D60826"/>
    <w:rsid w:val="00D62950"/>
    <w:rsid w:val="00D67362"/>
    <w:rsid w:val="00D70FE6"/>
    <w:rsid w:val="00D73C18"/>
    <w:rsid w:val="00D73FCF"/>
    <w:rsid w:val="00D7402B"/>
    <w:rsid w:val="00D75F3B"/>
    <w:rsid w:val="00D77CE3"/>
    <w:rsid w:val="00D81E31"/>
    <w:rsid w:val="00D83E0A"/>
    <w:rsid w:val="00D9229C"/>
    <w:rsid w:val="00D951DF"/>
    <w:rsid w:val="00DA50B4"/>
    <w:rsid w:val="00DA525F"/>
    <w:rsid w:val="00DA5531"/>
    <w:rsid w:val="00DA683B"/>
    <w:rsid w:val="00DA6DFD"/>
    <w:rsid w:val="00DA7828"/>
    <w:rsid w:val="00DB0283"/>
    <w:rsid w:val="00DB0B98"/>
    <w:rsid w:val="00DB0EBD"/>
    <w:rsid w:val="00DB1803"/>
    <w:rsid w:val="00DC0F2D"/>
    <w:rsid w:val="00DC194F"/>
    <w:rsid w:val="00DC5642"/>
    <w:rsid w:val="00DD00BE"/>
    <w:rsid w:val="00DD1F75"/>
    <w:rsid w:val="00DD24B2"/>
    <w:rsid w:val="00DD5C51"/>
    <w:rsid w:val="00DE0090"/>
    <w:rsid w:val="00DE0435"/>
    <w:rsid w:val="00DE2B9F"/>
    <w:rsid w:val="00DE5EBA"/>
    <w:rsid w:val="00DE70AC"/>
    <w:rsid w:val="00DF1FC8"/>
    <w:rsid w:val="00DF27A2"/>
    <w:rsid w:val="00DF3F58"/>
    <w:rsid w:val="00DF484F"/>
    <w:rsid w:val="00DF5E2C"/>
    <w:rsid w:val="00DF6B96"/>
    <w:rsid w:val="00DF751F"/>
    <w:rsid w:val="00DF7600"/>
    <w:rsid w:val="00E01B5D"/>
    <w:rsid w:val="00E0306A"/>
    <w:rsid w:val="00E032A5"/>
    <w:rsid w:val="00E0602E"/>
    <w:rsid w:val="00E10350"/>
    <w:rsid w:val="00E12705"/>
    <w:rsid w:val="00E13923"/>
    <w:rsid w:val="00E14363"/>
    <w:rsid w:val="00E17758"/>
    <w:rsid w:val="00E22EA4"/>
    <w:rsid w:val="00E24E7D"/>
    <w:rsid w:val="00E27DBF"/>
    <w:rsid w:val="00E34BB7"/>
    <w:rsid w:val="00E3529F"/>
    <w:rsid w:val="00E377D7"/>
    <w:rsid w:val="00E4094C"/>
    <w:rsid w:val="00E4294E"/>
    <w:rsid w:val="00E42D6B"/>
    <w:rsid w:val="00E43DB1"/>
    <w:rsid w:val="00E45844"/>
    <w:rsid w:val="00E50214"/>
    <w:rsid w:val="00E52BEC"/>
    <w:rsid w:val="00E54691"/>
    <w:rsid w:val="00E550A2"/>
    <w:rsid w:val="00E55CB2"/>
    <w:rsid w:val="00E576E4"/>
    <w:rsid w:val="00E60910"/>
    <w:rsid w:val="00E62BE3"/>
    <w:rsid w:val="00E643A5"/>
    <w:rsid w:val="00E64936"/>
    <w:rsid w:val="00E6504D"/>
    <w:rsid w:val="00E65844"/>
    <w:rsid w:val="00E671B4"/>
    <w:rsid w:val="00E74D31"/>
    <w:rsid w:val="00E77402"/>
    <w:rsid w:val="00E8042F"/>
    <w:rsid w:val="00E81121"/>
    <w:rsid w:val="00E83C35"/>
    <w:rsid w:val="00E91714"/>
    <w:rsid w:val="00E96AAA"/>
    <w:rsid w:val="00E97540"/>
    <w:rsid w:val="00EA0672"/>
    <w:rsid w:val="00EA1664"/>
    <w:rsid w:val="00EA19BD"/>
    <w:rsid w:val="00EA285B"/>
    <w:rsid w:val="00EA40B6"/>
    <w:rsid w:val="00EA648F"/>
    <w:rsid w:val="00EB151E"/>
    <w:rsid w:val="00EB2DCB"/>
    <w:rsid w:val="00EB4265"/>
    <w:rsid w:val="00EB5E6B"/>
    <w:rsid w:val="00EB7A03"/>
    <w:rsid w:val="00EB7E8D"/>
    <w:rsid w:val="00EC23CD"/>
    <w:rsid w:val="00EC2456"/>
    <w:rsid w:val="00EC3E38"/>
    <w:rsid w:val="00EC76AD"/>
    <w:rsid w:val="00ED01CC"/>
    <w:rsid w:val="00ED0598"/>
    <w:rsid w:val="00ED10A2"/>
    <w:rsid w:val="00ED1EC8"/>
    <w:rsid w:val="00ED4893"/>
    <w:rsid w:val="00ED4A3A"/>
    <w:rsid w:val="00ED5821"/>
    <w:rsid w:val="00EE226D"/>
    <w:rsid w:val="00EE37DC"/>
    <w:rsid w:val="00EE412E"/>
    <w:rsid w:val="00EE5458"/>
    <w:rsid w:val="00EE5AA0"/>
    <w:rsid w:val="00EF1653"/>
    <w:rsid w:val="00EF3D4B"/>
    <w:rsid w:val="00EF596F"/>
    <w:rsid w:val="00EF75A5"/>
    <w:rsid w:val="00F01C08"/>
    <w:rsid w:val="00F033F3"/>
    <w:rsid w:val="00F03B43"/>
    <w:rsid w:val="00F056FE"/>
    <w:rsid w:val="00F076AC"/>
    <w:rsid w:val="00F07AAE"/>
    <w:rsid w:val="00F07FB2"/>
    <w:rsid w:val="00F10AA0"/>
    <w:rsid w:val="00F11612"/>
    <w:rsid w:val="00F1254B"/>
    <w:rsid w:val="00F14F71"/>
    <w:rsid w:val="00F208CA"/>
    <w:rsid w:val="00F2127D"/>
    <w:rsid w:val="00F24057"/>
    <w:rsid w:val="00F24A23"/>
    <w:rsid w:val="00F24DD0"/>
    <w:rsid w:val="00F319F3"/>
    <w:rsid w:val="00F31B8A"/>
    <w:rsid w:val="00F32778"/>
    <w:rsid w:val="00F3384B"/>
    <w:rsid w:val="00F33F08"/>
    <w:rsid w:val="00F455B6"/>
    <w:rsid w:val="00F5222E"/>
    <w:rsid w:val="00F541A1"/>
    <w:rsid w:val="00F54C80"/>
    <w:rsid w:val="00F61E7C"/>
    <w:rsid w:val="00F6206D"/>
    <w:rsid w:val="00F636B2"/>
    <w:rsid w:val="00F6469B"/>
    <w:rsid w:val="00F67167"/>
    <w:rsid w:val="00F671C6"/>
    <w:rsid w:val="00F67AE4"/>
    <w:rsid w:val="00F70158"/>
    <w:rsid w:val="00F71DE9"/>
    <w:rsid w:val="00F72CB8"/>
    <w:rsid w:val="00F75C18"/>
    <w:rsid w:val="00F77D21"/>
    <w:rsid w:val="00F80E6F"/>
    <w:rsid w:val="00F8249B"/>
    <w:rsid w:val="00F8485A"/>
    <w:rsid w:val="00F85099"/>
    <w:rsid w:val="00F8637C"/>
    <w:rsid w:val="00F91367"/>
    <w:rsid w:val="00F9347B"/>
    <w:rsid w:val="00F936DB"/>
    <w:rsid w:val="00F95535"/>
    <w:rsid w:val="00F96C11"/>
    <w:rsid w:val="00F97329"/>
    <w:rsid w:val="00FA083D"/>
    <w:rsid w:val="00FA0C08"/>
    <w:rsid w:val="00FA10D5"/>
    <w:rsid w:val="00FA2485"/>
    <w:rsid w:val="00FA30D8"/>
    <w:rsid w:val="00FA4842"/>
    <w:rsid w:val="00FA53F4"/>
    <w:rsid w:val="00FA5549"/>
    <w:rsid w:val="00FA713E"/>
    <w:rsid w:val="00FA75FE"/>
    <w:rsid w:val="00FB0295"/>
    <w:rsid w:val="00FB1222"/>
    <w:rsid w:val="00FB162C"/>
    <w:rsid w:val="00FB2419"/>
    <w:rsid w:val="00FB336F"/>
    <w:rsid w:val="00FC274C"/>
    <w:rsid w:val="00FC3A34"/>
    <w:rsid w:val="00FD0CE6"/>
    <w:rsid w:val="00FD233B"/>
    <w:rsid w:val="00FD44C4"/>
    <w:rsid w:val="00FD6188"/>
    <w:rsid w:val="00FD7F2A"/>
    <w:rsid w:val="00FE0B5A"/>
    <w:rsid w:val="00FE15E6"/>
    <w:rsid w:val="00FE371C"/>
    <w:rsid w:val="00FE466C"/>
    <w:rsid w:val="00FE730F"/>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7E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7F8"/>
    <w:pPr>
      <w:spacing w:after="120" w:line="480" w:lineRule="auto"/>
      <w:jc w:val="both"/>
    </w:pPr>
    <w:rPr>
      <w:rFonts w:ascii="Calibri" w:eastAsia="Times New Roman" w:hAnsi="Calibri" w:cs="Times New Roman"/>
      <w:sz w:val="24"/>
      <w:lang w:val="en-US" w:eastAsia="fr-FR"/>
    </w:rPr>
  </w:style>
  <w:style w:type="paragraph" w:styleId="Titre1">
    <w:name w:val="heading 1"/>
    <w:basedOn w:val="Normal"/>
    <w:next w:val="Normal"/>
    <w:link w:val="Titre1Car"/>
    <w:uiPriority w:val="9"/>
    <w:qFormat/>
    <w:rsid w:val="00780EF0"/>
    <w:pPr>
      <w:keepNext/>
      <w:keepLines/>
      <w:numPr>
        <w:numId w:val="3"/>
      </w:numPr>
      <w:spacing w:before="480" w:after="0"/>
      <w:ind w:left="714" w:hanging="357"/>
      <w:contextualSpacing/>
      <w:outlineLvl w:val="0"/>
    </w:pPr>
    <w:rPr>
      <w:smallCaps/>
      <w:spacing w:val="5"/>
      <w:sz w:val="28"/>
      <w:szCs w:val="36"/>
    </w:rPr>
  </w:style>
  <w:style w:type="paragraph" w:styleId="Titre2">
    <w:name w:val="heading 2"/>
    <w:basedOn w:val="Normal"/>
    <w:next w:val="Normal"/>
    <w:link w:val="Titre2Car"/>
    <w:uiPriority w:val="9"/>
    <w:unhideWhenUsed/>
    <w:qFormat/>
    <w:rsid w:val="00543F94"/>
    <w:pPr>
      <w:spacing w:before="200" w:line="271" w:lineRule="auto"/>
      <w:outlineLvl w:val="1"/>
    </w:pPr>
    <w:rPr>
      <w:i/>
      <w:smallCaps/>
      <w:sz w:val="28"/>
      <w:szCs w:val="28"/>
    </w:rPr>
  </w:style>
  <w:style w:type="paragraph" w:styleId="Titre3">
    <w:name w:val="heading 3"/>
    <w:basedOn w:val="Normal"/>
    <w:next w:val="Normal"/>
    <w:link w:val="Titre3Car"/>
    <w:uiPriority w:val="9"/>
    <w:unhideWhenUsed/>
    <w:qFormat/>
    <w:rsid w:val="00422245"/>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422245"/>
    <w:pPr>
      <w:spacing w:after="0" w:line="271" w:lineRule="auto"/>
      <w:outlineLvl w:val="3"/>
    </w:pPr>
    <w:rPr>
      <w:b/>
      <w:bCs/>
      <w:spacing w:val="5"/>
      <w:szCs w:val="24"/>
    </w:rPr>
  </w:style>
  <w:style w:type="paragraph" w:styleId="Titre5">
    <w:name w:val="heading 5"/>
    <w:basedOn w:val="Normal"/>
    <w:next w:val="Normal"/>
    <w:link w:val="Titre5Car"/>
    <w:uiPriority w:val="9"/>
    <w:semiHidden/>
    <w:unhideWhenUsed/>
    <w:qFormat/>
    <w:rsid w:val="00422245"/>
    <w:pPr>
      <w:spacing w:after="0" w:line="271" w:lineRule="auto"/>
      <w:outlineLvl w:val="4"/>
    </w:pPr>
    <w:rPr>
      <w:i/>
      <w:iCs/>
      <w:szCs w:val="24"/>
    </w:rPr>
  </w:style>
  <w:style w:type="paragraph" w:styleId="Titre6">
    <w:name w:val="heading 6"/>
    <w:basedOn w:val="Normal"/>
    <w:next w:val="Normal"/>
    <w:link w:val="Titre6Car"/>
    <w:uiPriority w:val="9"/>
    <w:semiHidden/>
    <w:unhideWhenUsed/>
    <w:qFormat/>
    <w:rsid w:val="00422245"/>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422245"/>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422245"/>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422245"/>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2245"/>
    <w:pPr>
      <w:ind w:left="720"/>
      <w:contextualSpacing/>
    </w:pPr>
  </w:style>
  <w:style w:type="character" w:styleId="Appelnotedebasdep">
    <w:name w:val="footnote reference"/>
    <w:basedOn w:val="Policepardfaut"/>
    <w:uiPriority w:val="99"/>
    <w:semiHidden/>
    <w:rsid w:val="003121AB"/>
    <w:rPr>
      <w:position w:val="6"/>
      <w:sz w:val="14"/>
      <w:lang w:val="fr-CA"/>
    </w:rPr>
  </w:style>
  <w:style w:type="paragraph" w:styleId="Notedebasdepage">
    <w:name w:val="footnote text"/>
    <w:basedOn w:val="Normal"/>
    <w:link w:val="NotedebasdepageCar"/>
    <w:uiPriority w:val="99"/>
    <w:semiHidden/>
    <w:rsid w:val="003121AB"/>
    <w:pPr>
      <w:spacing w:after="0" w:line="240" w:lineRule="auto"/>
    </w:pPr>
    <w:rPr>
      <w:rFonts w:ascii="Times" w:hAnsi="Times"/>
      <w:sz w:val="16"/>
      <w:szCs w:val="20"/>
      <w:lang w:val="fr-FR"/>
    </w:rPr>
  </w:style>
  <w:style w:type="character" w:customStyle="1" w:styleId="NotedebasdepageCar">
    <w:name w:val="Note de bas de page Car"/>
    <w:basedOn w:val="Policepardfaut"/>
    <w:link w:val="Notedebasdepage"/>
    <w:uiPriority w:val="99"/>
    <w:semiHidden/>
    <w:rsid w:val="003121AB"/>
    <w:rPr>
      <w:rFonts w:ascii="Times" w:eastAsia="Times New Roman" w:hAnsi="Times" w:cs="Times New Roman"/>
      <w:sz w:val="16"/>
      <w:szCs w:val="20"/>
      <w:lang w:val="fr-FR" w:eastAsia="fr-FR"/>
    </w:rPr>
  </w:style>
  <w:style w:type="paragraph" w:customStyle="1" w:styleId="Textenormal">
    <w:name w:val="Texte normal"/>
    <w:basedOn w:val="Normal"/>
    <w:rsid w:val="003121AB"/>
    <w:pPr>
      <w:spacing w:before="60" w:after="0" w:line="240" w:lineRule="auto"/>
      <w:ind w:firstLine="709"/>
    </w:pPr>
    <w:rPr>
      <w:rFonts w:ascii="Times" w:hAnsi="Times"/>
      <w:sz w:val="20"/>
      <w:szCs w:val="20"/>
      <w:lang w:val="fr-FR"/>
    </w:rPr>
  </w:style>
  <w:style w:type="paragraph" w:customStyle="1" w:styleId="tableau">
    <w:name w:val="tableau"/>
    <w:basedOn w:val="Normal"/>
    <w:rsid w:val="003121AB"/>
    <w:pPr>
      <w:spacing w:before="20" w:after="20" w:line="240" w:lineRule="auto"/>
    </w:pPr>
    <w:rPr>
      <w:rFonts w:ascii="Times New Roman" w:hAnsi="Times New Roman"/>
      <w:sz w:val="18"/>
      <w:szCs w:val="18"/>
      <w:lang w:val="fr-FR"/>
    </w:rPr>
  </w:style>
  <w:style w:type="paragraph" w:styleId="Lgende">
    <w:name w:val="caption"/>
    <w:basedOn w:val="Normal"/>
    <w:next w:val="Normal"/>
    <w:uiPriority w:val="35"/>
    <w:unhideWhenUsed/>
    <w:rsid w:val="00422245"/>
    <w:rPr>
      <w:b/>
      <w:bCs/>
      <w:caps/>
      <w:sz w:val="16"/>
      <w:szCs w:val="18"/>
    </w:rPr>
  </w:style>
  <w:style w:type="table" w:styleId="Grilledutableau">
    <w:name w:val="Table Grid"/>
    <w:basedOn w:val="TableauNormal"/>
    <w:rsid w:val="003121AB"/>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80EF0"/>
    <w:rPr>
      <w:rFonts w:ascii="Calibri" w:eastAsia="Times New Roman" w:hAnsi="Calibri" w:cs="Times New Roman"/>
      <w:smallCaps/>
      <w:spacing w:val="5"/>
      <w:sz w:val="28"/>
      <w:szCs w:val="36"/>
      <w:lang w:val="en-US" w:eastAsia="fr-FR"/>
    </w:rPr>
  </w:style>
  <w:style w:type="character" w:customStyle="1" w:styleId="Titre2Car">
    <w:name w:val="Titre 2 Car"/>
    <w:basedOn w:val="Policepardfaut"/>
    <w:link w:val="Titre2"/>
    <w:uiPriority w:val="9"/>
    <w:rsid w:val="00543F94"/>
    <w:rPr>
      <w:rFonts w:asciiTheme="minorHAnsi" w:eastAsia="Times New Roman" w:hAnsiTheme="minorHAnsi" w:cs="Times New Roman"/>
      <w:i/>
      <w:smallCaps/>
      <w:sz w:val="28"/>
      <w:szCs w:val="28"/>
      <w:lang w:val="en-US" w:eastAsia="fr-FR"/>
    </w:rPr>
  </w:style>
  <w:style w:type="character" w:customStyle="1" w:styleId="Titre3Car">
    <w:name w:val="Titre 3 Car"/>
    <w:basedOn w:val="Policepardfaut"/>
    <w:link w:val="Titre3"/>
    <w:uiPriority w:val="9"/>
    <w:rsid w:val="00422245"/>
    <w:rPr>
      <w:i/>
      <w:iCs/>
      <w:smallCaps/>
      <w:spacing w:val="5"/>
      <w:sz w:val="26"/>
      <w:szCs w:val="26"/>
    </w:rPr>
  </w:style>
  <w:style w:type="character" w:customStyle="1" w:styleId="Titre4Car">
    <w:name w:val="Titre 4 Car"/>
    <w:basedOn w:val="Policepardfaut"/>
    <w:link w:val="Titre4"/>
    <w:uiPriority w:val="9"/>
    <w:semiHidden/>
    <w:rsid w:val="00422245"/>
    <w:rPr>
      <w:b/>
      <w:bCs/>
      <w:spacing w:val="5"/>
      <w:sz w:val="24"/>
      <w:szCs w:val="24"/>
    </w:rPr>
  </w:style>
  <w:style w:type="character" w:customStyle="1" w:styleId="Titre5Car">
    <w:name w:val="Titre 5 Car"/>
    <w:basedOn w:val="Policepardfaut"/>
    <w:link w:val="Titre5"/>
    <w:uiPriority w:val="9"/>
    <w:semiHidden/>
    <w:rsid w:val="00422245"/>
    <w:rPr>
      <w:i/>
      <w:iCs/>
      <w:sz w:val="24"/>
      <w:szCs w:val="24"/>
    </w:rPr>
  </w:style>
  <w:style w:type="character" w:customStyle="1" w:styleId="Titre6Car">
    <w:name w:val="Titre 6 Car"/>
    <w:basedOn w:val="Policepardfaut"/>
    <w:link w:val="Titre6"/>
    <w:uiPriority w:val="9"/>
    <w:semiHidden/>
    <w:rsid w:val="00422245"/>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422245"/>
    <w:rPr>
      <w:b/>
      <w:bCs/>
      <w:i/>
      <w:iCs/>
      <w:color w:val="5A5A5A" w:themeColor="text1" w:themeTint="A5"/>
      <w:sz w:val="20"/>
      <w:szCs w:val="20"/>
    </w:rPr>
  </w:style>
  <w:style w:type="character" w:customStyle="1" w:styleId="Titre8Car">
    <w:name w:val="Titre 8 Car"/>
    <w:basedOn w:val="Policepardfaut"/>
    <w:link w:val="Titre8"/>
    <w:uiPriority w:val="9"/>
    <w:semiHidden/>
    <w:rsid w:val="00422245"/>
    <w:rPr>
      <w:b/>
      <w:bCs/>
      <w:color w:val="7F7F7F" w:themeColor="text1" w:themeTint="80"/>
      <w:sz w:val="20"/>
      <w:szCs w:val="20"/>
    </w:rPr>
  </w:style>
  <w:style w:type="character" w:customStyle="1" w:styleId="Titre9Car">
    <w:name w:val="Titre 9 Car"/>
    <w:basedOn w:val="Policepardfaut"/>
    <w:link w:val="Titre9"/>
    <w:uiPriority w:val="9"/>
    <w:semiHidden/>
    <w:rsid w:val="00422245"/>
    <w:rPr>
      <w:b/>
      <w:bCs/>
      <w:i/>
      <w:iCs/>
      <w:color w:val="7F7F7F" w:themeColor="text1" w:themeTint="80"/>
      <w:sz w:val="18"/>
      <w:szCs w:val="18"/>
    </w:rPr>
  </w:style>
  <w:style w:type="paragraph" w:styleId="Titre">
    <w:name w:val="Title"/>
    <w:basedOn w:val="Normal"/>
    <w:next w:val="Normal"/>
    <w:link w:val="TitreCar"/>
    <w:uiPriority w:val="10"/>
    <w:qFormat/>
    <w:rsid w:val="00422245"/>
    <w:pPr>
      <w:spacing w:after="300" w:line="240" w:lineRule="auto"/>
      <w:contextualSpacing/>
    </w:pPr>
    <w:rPr>
      <w:smallCaps/>
      <w:sz w:val="52"/>
      <w:szCs w:val="52"/>
    </w:rPr>
  </w:style>
  <w:style w:type="character" w:customStyle="1" w:styleId="TitreCar">
    <w:name w:val="Titre Car"/>
    <w:basedOn w:val="Policepardfaut"/>
    <w:link w:val="Titre"/>
    <w:uiPriority w:val="10"/>
    <w:rsid w:val="00422245"/>
    <w:rPr>
      <w:smallCaps/>
      <w:sz w:val="52"/>
      <w:szCs w:val="52"/>
    </w:rPr>
  </w:style>
  <w:style w:type="paragraph" w:styleId="Sous-titre">
    <w:name w:val="Subtitle"/>
    <w:basedOn w:val="Normal"/>
    <w:next w:val="Normal"/>
    <w:link w:val="Sous-titreCar"/>
    <w:uiPriority w:val="11"/>
    <w:qFormat/>
    <w:rsid w:val="00422245"/>
    <w:rPr>
      <w:i/>
      <w:iCs/>
      <w:smallCaps/>
      <w:spacing w:val="10"/>
      <w:sz w:val="28"/>
      <w:szCs w:val="28"/>
    </w:rPr>
  </w:style>
  <w:style w:type="character" w:customStyle="1" w:styleId="Sous-titreCar">
    <w:name w:val="Sous-titre Car"/>
    <w:basedOn w:val="Policepardfaut"/>
    <w:link w:val="Sous-titre"/>
    <w:uiPriority w:val="11"/>
    <w:rsid w:val="00422245"/>
    <w:rPr>
      <w:i/>
      <w:iCs/>
      <w:smallCaps/>
      <w:spacing w:val="10"/>
      <w:sz w:val="28"/>
      <w:szCs w:val="28"/>
    </w:rPr>
  </w:style>
  <w:style w:type="character" w:styleId="lev">
    <w:name w:val="Strong"/>
    <w:uiPriority w:val="22"/>
    <w:qFormat/>
    <w:rsid w:val="00422245"/>
    <w:rPr>
      <w:b/>
      <w:bCs/>
    </w:rPr>
  </w:style>
  <w:style w:type="character" w:styleId="Accentuation">
    <w:name w:val="Emphasis"/>
    <w:uiPriority w:val="20"/>
    <w:qFormat/>
    <w:rsid w:val="00422245"/>
    <w:rPr>
      <w:b/>
      <w:bCs/>
      <w:i/>
      <w:iCs/>
      <w:spacing w:val="10"/>
    </w:rPr>
  </w:style>
  <w:style w:type="paragraph" w:styleId="Sansinterligne">
    <w:name w:val="No Spacing"/>
    <w:basedOn w:val="Normal"/>
    <w:link w:val="SansinterligneCar"/>
    <w:uiPriority w:val="1"/>
    <w:qFormat/>
    <w:rsid w:val="00422245"/>
    <w:pPr>
      <w:spacing w:after="0" w:line="240" w:lineRule="auto"/>
    </w:pPr>
  </w:style>
  <w:style w:type="character" w:customStyle="1" w:styleId="SansinterligneCar">
    <w:name w:val="Sans interligne Car"/>
    <w:basedOn w:val="Policepardfaut"/>
    <w:link w:val="Sansinterligne"/>
    <w:uiPriority w:val="1"/>
    <w:rsid w:val="00422245"/>
  </w:style>
  <w:style w:type="paragraph" w:styleId="Citation">
    <w:name w:val="Quote"/>
    <w:basedOn w:val="Normal"/>
    <w:next w:val="Normal"/>
    <w:link w:val="CitationCar"/>
    <w:uiPriority w:val="29"/>
    <w:qFormat/>
    <w:rsid w:val="00422245"/>
    <w:rPr>
      <w:i/>
      <w:iCs/>
    </w:rPr>
  </w:style>
  <w:style w:type="character" w:customStyle="1" w:styleId="CitationCar">
    <w:name w:val="Citation Car"/>
    <w:basedOn w:val="Policepardfaut"/>
    <w:link w:val="Citation"/>
    <w:uiPriority w:val="29"/>
    <w:rsid w:val="00422245"/>
    <w:rPr>
      <w:i/>
      <w:iCs/>
    </w:rPr>
  </w:style>
  <w:style w:type="paragraph" w:styleId="Citationintense">
    <w:name w:val="Intense Quote"/>
    <w:basedOn w:val="Normal"/>
    <w:next w:val="Normal"/>
    <w:link w:val="CitationintenseCar"/>
    <w:uiPriority w:val="30"/>
    <w:qFormat/>
    <w:rsid w:val="00422245"/>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422245"/>
    <w:rPr>
      <w:i/>
      <w:iCs/>
    </w:rPr>
  </w:style>
  <w:style w:type="character" w:styleId="Emphaseple">
    <w:name w:val="Subtle Emphasis"/>
    <w:uiPriority w:val="19"/>
    <w:qFormat/>
    <w:rsid w:val="00422245"/>
    <w:rPr>
      <w:i/>
      <w:iCs/>
    </w:rPr>
  </w:style>
  <w:style w:type="character" w:styleId="Emphaseintense">
    <w:name w:val="Intense Emphasis"/>
    <w:uiPriority w:val="21"/>
    <w:qFormat/>
    <w:rsid w:val="00422245"/>
    <w:rPr>
      <w:b/>
      <w:bCs/>
      <w:i/>
      <w:iCs/>
    </w:rPr>
  </w:style>
  <w:style w:type="character" w:styleId="Rfrenceple">
    <w:name w:val="Subtle Reference"/>
    <w:basedOn w:val="Policepardfaut"/>
    <w:uiPriority w:val="31"/>
    <w:qFormat/>
    <w:rsid w:val="00422245"/>
    <w:rPr>
      <w:smallCaps/>
    </w:rPr>
  </w:style>
  <w:style w:type="character" w:styleId="Rfrenceintense">
    <w:name w:val="Intense Reference"/>
    <w:uiPriority w:val="32"/>
    <w:qFormat/>
    <w:rsid w:val="00113E9A"/>
  </w:style>
  <w:style w:type="character" w:styleId="Titredulivre">
    <w:name w:val="Book Title"/>
    <w:basedOn w:val="Policepardfaut"/>
    <w:uiPriority w:val="33"/>
    <w:qFormat/>
    <w:rsid w:val="00422245"/>
    <w:rPr>
      <w:i/>
      <w:iCs/>
      <w:smallCaps/>
      <w:spacing w:val="5"/>
    </w:rPr>
  </w:style>
  <w:style w:type="paragraph" w:styleId="En-ttedetabledesmatires">
    <w:name w:val="TOC Heading"/>
    <w:basedOn w:val="Titre1"/>
    <w:next w:val="Normal"/>
    <w:uiPriority w:val="39"/>
    <w:semiHidden/>
    <w:unhideWhenUsed/>
    <w:qFormat/>
    <w:rsid w:val="00422245"/>
    <w:pPr>
      <w:outlineLvl w:val="9"/>
    </w:pPr>
    <w:rPr>
      <w:lang w:bidi="en-US"/>
    </w:rPr>
  </w:style>
  <w:style w:type="character" w:styleId="Marquedecommentaire">
    <w:name w:val="annotation reference"/>
    <w:basedOn w:val="Policepardfaut"/>
    <w:uiPriority w:val="99"/>
    <w:semiHidden/>
    <w:unhideWhenUsed/>
    <w:rsid w:val="009F5A41"/>
    <w:rPr>
      <w:sz w:val="16"/>
      <w:szCs w:val="16"/>
    </w:rPr>
  </w:style>
  <w:style w:type="paragraph" w:styleId="Commentaire">
    <w:name w:val="annotation text"/>
    <w:basedOn w:val="Normal"/>
    <w:link w:val="CommentaireCar"/>
    <w:uiPriority w:val="99"/>
    <w:semiHidden/>
    <w:unhideWhenUsed/>
    <w:rsid w:val="009F5A41"/>
    <w:pPr>
      <w:spacing w:line="240" w:lineRule="auto"/>
    </w:pPr>
    <w:rPr>
      <w:sz w:val="20"/>
      <w:szCs w:val="20"/>
    </w:rPr>
  </w:style>
  <w:style w:type="character" w:customStyle="1" w:styleId="CommentaireCar">
    <w:name w:val="Commentaire Car"/>
    <w:basedOn w:val="Policepardfaut"/>
    <w:link w:val="Commentaire"/>
    <w:uiPriority w:val="99"/>
    <w:semiHidden/>
    <w:rsid w:val="009F5A41"/>
    <w:rPr>
      <w:sz w:val="20"/>
      <w:szCs w:val="20"/>
    </w:rPr>
  </w:style>
  <w:style w:type="paragraph" w:styleId="Objetducommentaire">
    <w:name w:val="annotation subject"/>
    <w:basedOn w:val="Commentaire"/>
    <w:next w:val="Commentaire"/>
    <w:link w:val="ObjetducommentaireCar"/>
    <w:uiPriority w:val="99"/>
    <w:semiHidden/>
    <w:unhideWhenUsed/>
    <w:rsid w:val="009F5A41"/>
    <w:rPr>
      <w:b/>
      <w:bCs/>
    </w:rPr>
  </w:style>
  <w:style w:type="character" w:customStyle="1" w:styleId="ObjetducommentaireCar">
    <w:name w:val="Objet du commentaire Car"/>
    <w:basedOn w:val="CommentaireCar"/>
    <w:link w:val="Objetducommentaire"/>
    <w:uiPriority w:val="99"/>
    <w:semiHidden/>
    <w:rsid w:val="009F5A41"/>
    <w:rPr>
      <w:b/>
      <w:bCs/>
      <w:sz w:val="20"/>
      <w:szCs w:val="20"/>
    </w:rPr>
  </w:style>
  <w:style w:type="paragraph" w:styleId="Textedebulles">
    <w:name w:val="Balloon Text"/>
    <w:basedOn w:val="Normal"/>
    <w:link w:val="TextedebullesCar"/>
    <w:uiPriority w:val="99"/>
    <w:semiHidden/>
    <w:unhideWhenUsed/>
    <w:rsid w:val="009F5A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5A41"/>
    <w:rPr>
      <w:rFonts w:ascii="Tahoma" w:hAnsi="Tahoma" w:cs="Tahoma"/>
      <w:sz w:val="16"/>
      <w:szCs w:val="16"/>
    </w:rPr>
  </w:style>
  <w:style w:type="character" w:styleId="Lienhypertexte">
    <w:name w:val="Hyperlink"/>
    <w:basedOn w:val="Policepardfaut"/>
    <w:uiPriority w:val="99"/>
    <w:unhideWhenUsed/>
    <w:rsid w:val="00E55CB2"/>
    <w:rPr>
      <w:color w:val="0000FF" w:themeColor="hyperlink"/>
      <w:u w:val="single"/>
    </w:rPr>
  </w:style>
  <w:style w:type="character" w:styleId="Appeldenotedefin">
    <w:name w:val="endnote reference"/>
    <w:basedOn w:val="Policepardfaut"/>
    <w:uiPriority w:val="99"/>
    <w:semiHidden/>
    <w:unhideWhenUsed/>
    <w:rsid w:val="00634FA9"/>
    <w:rPr>
      <w:vertAlign w:val="superscript"/>
    </w:rPr>
  </w:style>
  <w:style w:type="character" w:customStyle="1" w:styleId="apple-converted-space">
    <w:name w:val="apple-converted-space"/>
    <w:basedOn w:val="Policepardfaut"/>
    <w:rsid w:val="002849A1"/>
  </w:style>
  <w:style w:type="character" w:customStyle="1" w:styleId="figpopup-sensitive-area">
    <w:name w:val="figpopup-sensitive-area"/>
    <w:basedOn w:val="Policepardfaut"/>
    <w:rsid w:val="002849A1"/>
  </w:style>
  <w:style w:type="paragraph" w:styleId="Bibliographie">
    <w:name w:val="Bibliography"/>
    <w:basedOn w:val="Normal"/>
    <w:next w:val="Normal"/>
    <w:uiPriority w:val="37"/>
    <w:unhideWhenUsed/>
    <w:rsid w:val="00771163"/>
    <w:pPr>
      <w:spacing w:after="0" w:line="240" w:lineRule="auto"/>
      <w:ind w:left="720" w:hanging="720"/>
    </w:pPr>
  </w:style>
  <w:style w:type="paragraph" w:styleId="En-tte">
    <w:name w:val="header"/>
    <w:basedOn w:val="Normal"/>
    <w:link w:val="En-tteCar"/>
    <w:uiPriority w:val="99"/>
    <w:unhideWhenUsed/>
    <w:rsid w:val="00446BD6"/>
    <w:pPr>
      <w:tabs>
        <w:tab w:val="center" w:pos="4536"/>
        <w:tab w:val="right" w:pos="9072"/>
      </w:tabs>
      <w:spacing w:after="0" w:line="240" w:lineRule="auto"/>
    </w:pPr>
  </w:style>
  <w:style w:type="character" w:customStyle="1" w:styleId="En-tteCar">
    <w:name w:val="En-tête Car"/>
    <w:basedOn w:val="Policepardfaut"/>
    <w:link w:val="En-tte"/>
    <w:uiPriority w:val="99"/>
    <w:rsid w:val="00446BD6"/>
    <w:rPr>
      <w:rFonts w:asciiTheme="minorHAnsi" w:eastAsia="Times New Roman" w:hAnsiTheme="minorHAnsi" w:cs="Times New Roman"/>
      <w:sz w:val="24"/>
      <w:lang w:val="en-US" w:eastAsia="fr-FR"/>
    </w:rPr>
  </w:style>
  <w:style w:type="paragraph" w:styleId="Pieddepage">
    <w:name w:val="footer"/>
    <w:basedOn w:val="Normal"/>
    <w:link w:val="PieddepageCar"/>
    <w:uiPriority w:val="99"/>
    <w:unhideWhenUsed/>
    <w:rsid w:val="00446B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6BD6"/>
    <w:rPr>
      <w:rFonts w:asciiTheme="minorHAnsi" w:eastAsia="Times New Roman" w:hAnsiTheme="minorHAnsi" w:cs="Times New Roman"/>
      <w:sz w:val="24"/>
      <w:lang w:val="en-US" w:eastAsia="fr-FR"/>
    </w:rPr>
  </w:style>
  <w:style w:type="paragraph" w:customStyle="1" w:styleId="Tables">
    <w:name w:val="Tables"/>
    <w:basedOn w:val="Normal"/>
    <w:link w:val="TablesCar"/>
    <w:qFormat/>
    <w:rsid w:val="00780EF0"/>
    <w:pPr>
      <w:spacing w:after="0" w:line="240" w:lineRule="auto"/>
    </w:pPr>
    <w:rPr>
      <w:sz w:val="18"/>
      <w:szCs w:val="18"/>
    </w:rPr>
  </w:style>
  <w:style w:type="character" w:customStyle="1" w:styleId="TablesCar">
    <w:name w:val="Tables Car"/>
    <w:basedOn w:val="Policepardfaut"/>
    <w:link w:val="Tables"/>
    <w:rsid w:val="00780EF0"/>
    <w:rPr>
      <w:rFonts w:ascii="Calibri" w:eastAsia="Times New Roman" w:hAnsi="Calibri" w:cs="Times New Roman"/>
      <w:sz w:val="18"/>
      <w:szCs w:val="18"/>
      <w:lang w:val="en-US" w:eastAsia="fr-FR"/>
    </w:rPr>
  </w:style>
  <w:style w:type="paragraph" w:styleId="Explorateurdedocuments">
    <w:name w:val="Document Map"/>
    <w:basedOn w:val="Normal"/>
    <w:link w:val="ExplorateurdedocumentsCar"/>
    <w:uiPriority w:val="99"/>
    <w:semiHidden/>
    <w:unhideWhenUsed/>
    <w:rsid w:val="004C0B8C"/>
    <w:pPr>
      <w:spacing w:after="0" w:line="240" w:lineRule="auto"/>
    </w:pPr>
    <w:rPr>
      <w:rFonts w:ascii="Lucida Grande" w:hAnsi="Lucida Grande" w:cs="Lucida Grande"/>
      <w:szCs w:val="24"/>
    </w:rPr>
  </w:style>
  <w:style w:type="character" w:customStyle="1" w:styleId="ExplorateurdedocumentsCar">
    <w:name w:val="Explorateur de documents Car"/>
    <w:basedOn w:val="Policepardfaut"/>
    <w:link w:val="Explorateurdedocuments"/>
    <w:uiPriority w:val="99"/>
    <w:semiHidden/>
    <w:rsid w:val="004C0B8C"/>
    <w:rPr>
      <w:rFonts w:ascii="Lucida Grande" w:eastAsia="Times New Roman" w:hAnsi="Lucida Grande" w:cs="Lucida Grande"/>
      <w:sz w:val="24"/>
      <w:szCs w:val="24"/>
      <w:lang w:val="en-US" w:eastAsia="fr-FR"/>
    </w:rPr>
  </w:style>
  <w:style w:type="paragraph" w:styleId="Rvision">
    <w:name w:val="Revision"/>
    <w:hidden/>
    <w:uiPriority w:val="99"/>
    <w:semiHidden/>
    <w:rsid w:val="007D5965"/>
    <w:pPr>
      <w:spacing w:after="0" w:line="240" w:lineRule="auto"/>
    </w:pPr>
    <w:rPr>
      <w:rFonts w:ascii="Calibri" w:eastAsia="Times New Roman" w:hAnsi="Calibri" w:cs="Times New Roman"/>
      <w:sz w:val="24"/>
      <w:lang w:val="en-US" w:eastAsia="fr-FR"/>
    </w:rPr>
  </w:style>
  <w:style w:type="character" w:styleId="CitationHTML">
    <w:name w:val="HTML Cite"/>
    <w:basedOn w:val="Policepardfaut"/>
    <w:uiPriority w:val="99"/>
    <w:semiHidden/>
    <w:unhideWhenUsed/>
    <w:rsid w:val="007B188C"/>
    <w:rPr>
      <w:i/>
      <w:iCs/>
    </w:rPr>
  </w:style>
  <w:style w:type="paragraph" w:styleId="NormalWeb">
    <w:name w:val="Normal (Web)"/>
    <w:basedOn w:val="Normal"/>
    <w:uiPriority w:val="99"/>
    <w:semiHidden/>
    <w:unhideWhenUsed/>
    <w:rsid w:val="001B6803"/>
    <w:pPr>
      <w:spacing w:before="100" w:beforeAutospacing="1" w:after="100" w:afterAutospacing="1" w:line="240" w:lineRule="auto"/>
      <w:jc w:val="left"/>
    </w:pPr>
    <w:rPr>
      <w:rFonts w:ascii="Times New Roman" w:hAnsi="Times New Roman"/>
      <w:szCs w:val="24"/>
      <w:lang w:val="fr-BE" w:eastAsia="fr-BE"/>
    </w:rPr>
  </w:style>
  <w:style w:type="character" w:customStyle="1" w:styleId="journaltitle">
    <w:name w:val="journaltitle"/>
    <w:basedOn w:val="Policepardfaut"/>
    <w:rsid w:val="001B6803"/>
  </w:style>
  <w:style w:type="paragraph" w:customStyle="1" w:styleId="icon--meta-keyline">
    <w:name w:val="icon--meta-keyline"/>
    <w:basedOn w:val="Normal"/>
    <w:rsid w:val="001B6803"/>
    <w:pPr>
      <w:spacing w:before="100" w:beforeAutospacing="1" w:after="100" w:afterAutospacing="1" w:line="240" w:lineRule="auto"/>
      <w:jc w:val="left"/>
    </w:pPr>
    <w:rPr>
      <w:rFonts w:ascii="Times New Roman" w:hAnsi="Times New Roman"/>
      <w:szCs w:val="24"/>
      <w:lang w:val="fr-BE" w:eastAsia="fr-BE"/>
    </w:rPr>
  </w:style>
  <w:style w:type="character" w:customStyle="1" w:styleId="articlecitationpages">
    <w:name w:val="articlecitation_pages"/>
    <w:basedOn w:val="Policepardfaut"/>
    <w:rsid w:val="001B6803"/>
  </w:style>
  <w:style w:type="character" w:customStyle="1" w:styleId="u-inline-block">
    <w:name w:val="u-inline-block"/>
    <w:basedOn w:val="Policepardfaut"/>
    <w:rsid w:val="001B6803"/>
  </w:style>
  <w:style w:type="character" w:customStyle="1" w:styleId="authorsname">
    <w:name w:val="authors__name"/>
    <w:basedOn w:val="Policepardfaut"/>
    <w:rsid w:val="001B6803"/>
  </w:style>
  <w:style w:type="character" w:customStyle="1" w:styleId="authorscontact">
    <w:name w:val="authors__contact"/>
    <w:basedOn w:val="Policepardfaut"/>
    <w:rsid w:val="001B6803"/>
  </w:style>
  <w:style w:type="character" w:customStyle="1" w:styleId="affiliationcount">
    <w:name w:val="affiliation__count"/>
    <w:basedOn w:val="Policepardfaut"/>
    <w:rsid w:val="001B6803"/>
  </w:style>
  <w:style w:type="character" w:customStyle="1" w:styleId="test-render-category">
    <w:name w:val="test-render-category"/>
    <w:basedOn w:val="Policepardfaut"/>
    <w:rsid w:val="001B6803"/>
  </w:style>
  <w:style w:type="character" w:customStyle="1" w:styleId="article-dateslabel">
    <w:name w:val="article-dates__label"/>
    <w:basedOn w:val="Policepardfaut"/>
    <w:rsid w:val="001B6803"/>
  </w:style>
  <w:style w:type="character" w:customStyle="1" w:styleId="article-datesfirst-online">
    <w:name w:val="article-dates__first-online"/>
    <w:basedOn w:val="Policepardfaut"/>
    <w:rsid w:val="001B68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7F8"/>
    <w:pPr>
      <w:spacing w:after="120" w:line="480" w:lineRule="auto"/>
      <w:jc w:val="both"/>
    </w:pPr>
    <w:rPr>
      <w:rFonts w:ascii="Calibri" w:eastAsia="Times New Roman" w:hAnsi="Calibri" w:cs="Times New Roman"/>
      <w:sz w:val="24"/>
      <w:lang w:val="en-US" w:eastAsia="fr-FR"/>
    </w:rPr>
  </w:style>
  <w:style w:type="paragraph" w:styleId="Titre1">
    <w:name w:val="heading 1"/>
    <w:basedOn w:val="Normal"/>
    <w:next w:val="Normal"/>
    <w:link w:val="Titre1Car"/>
    <w:uiPriority w:val="9"/>
    <w:qFormat/>
    <w:rsid w:val="00780EF0"/>
    <w:pPr>
      <w:keepNext/>
      <w:keepLines/>
      <w:numPr>
        <w:numId w:val="3"/>
      </w:numPr>
      <w:spacing w:before="480" w:after="0"/>
      <w:ind w:left="714" w:hanging="357"/>
      <w:contextualSpacing/>
      <w:outlineLvl w:val="0"/>
    </w:pPr>
    <w:rPr>
      <w:smallCaps/>
      <w:spacing w:val="5"/>
      <w:sz w:val="28"/>
      <w:szCs w:val="36"/>
    </w:rPr>
  </w:style>
  <w:style w:type="paragraph" w:styleId="Titre2">
    <w:name w:val="heading 2"/>
    <w:basedOn w:val="Normal"/>
    <w:next w:val="Normal"/>
    <w:link w:val="Titre2Car"/>
    <w:uiPriority w:val="9"/>
    <w:unhideWhenUsed/>
    <w:qFormat/>
    <w:rsid w:val="00543F94"/>
    <w:pPr>
      <w:spacing w:before="200" w:line="271" w:lineRule="auto"/>
      <w:outlineLvl w:val="1"/>
    </w:pPr>
    <w:rPr>
      <w:i/>
      <w:smallCaps/>
      <w:sz w:val="28"/>
      <w:szCs w:val="28"/>
    </w:rPr>
  </w:style>
  <w:style w:type="paragraph" w:styleId="Titre3">
    <w:name w:val="heading 3"/>
    <w:basedOn w:val="Normal"/>
    <w:next w:val="Normal"/>
    <w:link w:val="Titre3Car"/>
    <w:uiPriority w:val="9"/>
    <w:unhideWhenUsed/>
    <w:qFormat/>
    <w:rsid w:val="00422245"/>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422245"/>
    <w:pPr>
      <w:spacing w:after="0" w:line="271" w:lineRule="auto"/>
      <w:outlineLvl w:val="3"/>
    </w:pPr>
    <w:rPr>
      <w:b/>
      <w:bCs/>
      <w:spacing w:val="5"/>
      <w:szCs w:val="24"/>
    </w:rPr>
  </w:style>
  <w:style w:type="paragraph" w:styleId="Titre5">
    <w:name w:val="heading 5"/>
    <w:basedOn w:val="Normal"/>
    <w:next w:val="Normal"/>
    <w:link w:val="Titre5Car"/>
    <w:uiPriority w:val="9"/>
    <w:semiHidden/>
    <w:unhideWhenUsed/>
    <w:qFormat/>
    <w:rsid w:val="00422245"/>
    <w:pPr>
      <w:spacing w:after="0" w:line="271" w:lineRule="auto"/>
      <w:outlineLvl w:val="4"/>
    </w:pPr>
    <w:rPr>
      <w:i/>
      <w:iCs/>
      <w:szCs w:val="24"/>
    </w:rPr>
  </w:style>
  <w:style w:type="paragraph" w:styleId="Titre6">
    <w:name w:val="heading 6"/>
    <w:basedOn w:val="Normal"/>
    <w:next w:val="Normal"/>
    <w:link w:val="Titre6Car"/>
    <w:uiPriority w:val="9"/>
    <w:semiHidden/>
    <w:unhideWhenUsed/>
    <w:qFormat/>
    <w:rsid w:val="00422245"/>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422245"/>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422245"/>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422245"/>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2245"/>
    <w:pPr>
      <w:ind w:left="720"/>
      <w:contextualSpacing/>
    </w:pPr>
  </w:style>
  <w:style w:type="character" w:styleId="Appelnotedebasdep">
    <w:name w:val="footnote reference"/>
    <w:basedOn w:val="Policepardfaut"/>
    <w:uiPriority w:val="99"/>
    <w:semiHidden/>
    <w:rsid w:val="003121AB"/>
    <w:rPr>
      <w:position w:val="6"/>
      <w:sz w:val="14"/>
      <w:lang w:val="fr-CA"/>
    </w:rPr>
  </w:style>
  <w:style w:type="paragraph" w:styleId="Notedebasdepage">
    <w:name w:val="footnote text"/>
    <w:basedOn w:val="Normal"/>
    <w:link w:val="NotedebasdepageCar"/>
    <w:uiPriority w:val="99"/>
    <w:semiHidden/>
    <w:rsid w:val="003121AB"/>
    <w:pPr>
      <w:spacing w:after="0" w:line="240" w:lineRule="auto"/>
    </w:pPr>
    <w:rPr>
      <w:rFonts w:ascii="Times" w:hAnsi="Times"/>
      <w:sz w:val="16"/>
      <w:szCs w:val="20"/>
      <w:lang w:val="fr-FR"/>
    </w:rPr>
  </w:style>
  <w:style w:type="character" w:customStyle="1" w:styleId="NotedebasdepageCar">
    <w:name w:val="Note de bas de page Car"/>
    <w:basedOn w:val="Policepardfaut"/>
    <w:link w:val="Notedebasdepage"/>
    <w:uiPriority w:val="99"/>
    <w:semiHidden/>
    <w:rsid w:val="003121AB"/>
    <w:rPr>
      <w:rFonts w:ascii="Times" w:eastAsia="Times New Roman" w:hAnsi="Times" w:cs="Times New Roman"/>
      <w:sz w:val="16"/>
      <w:szCs w:val="20"/>
      <w:lang w:val="fr-FR" w:eastAsia="fr-FR"/>
    </w:rPr>
  </w:style>
  <w:style w:type="paragraph" w:customStyle="1" w:styleId="Textenormal">
    <w:name w:val="Texte normal"/>
    <w:basedOn w:val="Normal"/>
    <w:rsid w:val="003121AB"/>
    <w:pPr>
      <w:spacing w:before="60" w:after="0" w:line="240" w:lineRule="auto"/>
      <w:ind w:firstLine="709"/>
    </w:pPr>
    <w:rPr>
      <w:rFonts w:ascii="Times" w:hAnsi="Times"/>
      <w:sz w:val="20"/>
      <w:szCs w:val="20"/>
      <w:lang w:val="fr-FR"/>
    </w:rPr>
  </w:style>
  <w:style w:type="paragraph" w:customStyle="1" w:styleId="tableau">
    <w:name w:val="tableau"/>
    <w:basedOn w:val="Normal"/>
    <w:rsid w:val="003121AB"/>
    <w:pPr>
      <w:spacing w:before="20" w:after="20" w:line="240" w:lineRule="auto"/>
    </w:pPr>
    <w:rPr>
      <w:rFonts w:ascii="Times New Roman" w:hAnsi="Times New Roman"/>
      <w:sz w:val="18"/>
      <w:szCs w:val="18"/>
      <w:lang w:val="fr-FR"/>
    </w:rPr>
  </w:style>
  <w:style w:type="paragraph" w:styleId="Lgende">
    <w:name w:val="caption"/>
    <w:basedOn w:val="Normal"/>
    <w:next w:val="Normal"/>
    <w:uiPriority w:val="35"/>
    <w:unhideWhenUsed/>
    <w:rsid w:val="00422245"/>
    <w:rPr>
      <w:b/>
      <w:bCs/>
      <w:caps/>
      <w:sz w:val="16"/>
      <w:szCs w:val="18"/>
    </w:rPr>
  </w:style>
  <w:style w:type="table" w:styleId="Grilledutableau">
    <w:name w:val="Table Grid"/>
    <w:basedOn w:val="TableauNormal"/>
    <w:rsid w:val="003121AB"/>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80EF0"/>
    <w:rPr>
      <w:rFonts w:ascii="Calibri" w:eastAsia="Times New Roman" w:hAnsi="Calibri" w:cs="Times New Roman"/>
      <w:smallCaps/>
      <w:spacing w:val="5"/>
      <w:sz w:val="28"/>
      <w:szCs w:val="36"/>
      <w:lang w:val="en-US" w:eastAsia="fr-FR"/>
    </w:rPr>
  </w:style>
  <w:style w:type="character" w:customStyle="1" w:styleId="Titre2Car">
    <w:name w:val="Titre 2 Car"/>
    <w:basedOn w:val="Policepardfaut"/>
    <w:link w:val="Titre2"/>
    <w:uiPriority w:val="9"/>
    <w:rsid w:val="00543F94"/>
    <w:rPr>
      <w:rFonts w:asciiTheme="minorHAnsi" w:eastAsia="Times New Roman" w:hAnsiTheme="minorHAnsi" w:cs="Times New Roman"/>
      <w:i/>
      <w:smallCaps/>
      <w:sz w:val="28"/>
      <w:szCs w:val="28"/>
      <w:lang w:val="en-US" w:eastAsia="fr-FR"/>
    </w:rPr>
  </w:style>
  <w:style w:type="character" w:customStyle="1" w:styleId="Titre3Car">
    <w:name w:val="Titre 3 Car"/>
    <w:basedOn w:val="Policepardfaut"/>
    <w:link w:val="Titre3"/>
    <w:uiPriority w:val="9"/>
    <w:rsid w:val="00422245"/>
    <w:rPr>
      <w:i/>
      <w:iCs/>
      <w:smallCaps/>
      <w:spacing w:val="5"/>
      <w:sz w:val="26"/>
      <w:szCs w:val="26"/>
    </w:rPr>
  </w:style>
  <w:style w:type="character" w:customStyle="1" w:styleId="Titre4Car">
    <w:name w:val="Titre 4 Car"/>
    <w:basedOn w:val="Policepardfaut"/>
    <w:link w:val="Titre4"/>
    <w:uiPriority w:val="9"/>
    <w:semiHidden/>
    <w:rsid w:val="00422245"/>
    <w:rPr>
      <w:b/>
      <w:bCs/>
      <w:spacing w:val="5"/>
      <w:sz w:val="24"/>
      <w:szCs w:val="24"/>
    </w:rPr>
  </w:style>
  <w:style w:type="character" w:customStyle="1" w:styleId="Titre5Car">
    <w:name w:val="Titre 5 Car"/>
    <w:basedOn w:val="Policepardfaut"/>
    <w:link w:val="Titre5"/>
    <w:uiPriority w:val="9"/>
    <w:semiHidden/>
    <w:rsid w:val="00422245"/>
    <w:rPr>
      <w:i/>
      <w:iCs/>
      <w:sz w:val="24"/>
      <w:szCs w:val="24"/>
    </w:rPr>
  </w:style>
  <w:style w:type="character" w:customStyle="1" w:styleId="Titre6Car">
    <w:name w:val="Titre 6 Car"/>
    <w:basedOn w:val="Policepardfaut"/>
    <w:link w:val="Titre6"/>
    <w:uiPriority w:val="9"/>
    <w:semiHidden/>
    <w:rsid w:val="00422245"/>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422245"/>
    <w:rPr>
      <w:b/>
      <w:bCs/>
      <w:i/>
      <w:iCs/>
      <w:color w:val="5A5A5A" w:themeColor="text1" w:themeTint="A5"/>
      <w:sz w:val="20"/>
      <w:szCs w:val="20"/>
    </w:rPr>
  </w:style>
  <w:style w:type="character" w:customStyle="1" w:styleId="Titre8Car">
    <w:name w:val="Titre 8 Car"/>
    <w:basedOn w:val="Policepardfaut"/>
    <w:link w:val="Titre8"/>
    <w:uiPriority w:val="9"/>
    <w:semiHidden/>
    <w:rsid w:val="00422245"/>
    <w:rPr>
      <w:b/>
      <w:bCs/>
      <w:color w:val="7F7F7F" w:themeColor="text1" w:themeTint="80"/>
      <w:sz w:val="20"/>
      <w:szCs w:val="20"/>
    </w:rPr>
  </w:style>
  <w:style w:type="character" w:customStyle="1" w:styleId="Titre9Car">
    <w:name w:val="Titre 9 Car"/>
    <w:basedOn w:val="Policepardfaut"/>
    <w:link w:val="Titre9"/>
    <w:uiPriority w:val="9"/>
    <w:semiHidden/>
    <w:rsid w:val="00422245"/>
    <w:rPr>
      <w:b/>
      <w:bCs/>
      <w:i/>
      <w:iCs/>
      <w:color w:val="7F7F7F" w:themeColor="text1" w:themeTint="80"/>
      <w:sz w:val="18"/>
      <w:szCs w:val="18"/>
    </w:rPr>
  </w:style>
  <w:style w:type="paragraph" w:styleId="Titre">
    <w:name w:val="Title"/>
    <w:basedOn w:val="Normal"/>
    <w:next w:val="Normal"/>
    <w:link w:val="TitreCar"/>
    <w:uiPriority w:val="10"/>
    <w:qFormat/>
    <w:rsid w:val="00422245"/>
    <w:pPr>
      <w:spacing w:after="300" w:line="240" w:lineRule="auto"/>
      <w:contextualSpacing/>
    </w:pPr>
    <w:rPr>
      <w:smallCaps/>
      <w:sz w:val="52"/>
      <w:szCs w:val="52"/>
    </w:rPr>
  </w:style>
  <w:style w:type="character" w:customStyle="1" w:styleId="TitreCar">
    <w:name w:val="Titre Car"/>
    <w:basedOn w:val="Policepardfaut"/>
    <w:link w:val="Titre"/>
    <w:uiPriority w:val="10"/>
    <w:rsid w:val="00422245"/>
    <w:rPr>
      <w:smallCaps/>
      <w:sz w:val="52"/>
      <w:szCs w:val="52"/>
    </w:rPr>
  </w:style>
  <w:style w:type="paragraph" w:styleId="Sous-titre">
    <w:name w:val="Subtitle"/>
    <w:basedOn w:val="Normal"/>
    <w:next w:val="Normal"/>
    <w:link w:val="Sous-titreCar"/>
    <w:uiPriority w:val="11"/>
    <w:qFormat/>
    <w:rsid w:val="00422245"/>
    <w:rPr>
      <w:i/>
      <w:iCs/>
      <w:smallCaps/>
      <w:spacing w:val="10"/>
      <w:sz w:val="28"/>
      <w:szCs w:val="28"/>
    </w:rPr>
  </w:style>
  <w:style w:type="character" w:customStyle="1" w:styleId="Sous-titreCar">
    <w:name w:val="Sous-titre Car"/>
    <w:basedOn w:val="Policepardfaut"/>
    <w:link w:val="Sous-titre"/>
    <w:uiPriority w:val="11"/>
    <w:rsid w:val="00422245"/>
    <w:rPr>
      <w:i/>
      <w:iCs/>
      <w:smallCaps/>
      <w:spacing w:val="10"/>
      <w:sz w:val="28"/>
      <w:szCs w:val="28"/>
    </w:rPr>
  </w:style>
  <w:style w:type="character" w:styleId="lev">
    <w:name w:val="Strong"/>
    <w:uiPriority w:val="22"/>
    <w:qFormat/>
    <w:rsid w:val="00422245"/>
    <w:rPr>
      <w:b/>
      <w:bCs/>
    </w:rPr>
  </w:style>
  <w:style w:type="character" w:styleId="Accentuation">
    <w:name w:val="Emphasis"/>
    <w:uiPriority w:val="20"/>
    <w:qFormat/>
    <w:rsid w:val="00422245"/>
    <w:rPr>
      <w:b/>
      <w:bCs/>
      <w:i/>
      <w:iCs/>
      <w:spacing w:val="10"/>
    </w:rPr>
  </w:style>
  <w:style w:type="paragraph" w:styleId="Sansinterligne">
    <w:name w:val="No Spacing"/>
    <w:basedOn w:val="Normal"/>
    <w:link w:val="SansinterligneCar"/>
    <w:uiPriority w:val="1"/>
    <w:qFormat/>
    <w:rsid w:val="00422245"/>
    <w:pPr>
      <w:spacing w:after="0" w:line="240" w:lineRule="auto"/>
    </w:pPr>
  </w:style>
  <w:style w:type="character" w:customStyle="1" w:styleId="SansinterligneCar">
    <w:name w:val="Sans interligne Car"/>
    <w:basedOn w:val="Policepardfaut"/>
    <w:link w:val="Sansinterligne"/>
    <w:uiPriority w:val="1"/>
    <w:rsid w:val="00422245"/>
  </w:style>
  <w:style w:type="paragraph" w:styleId="Citation">
    <w:name w:val="Quote"/>
    <w:basedOn w:val="Normal"/>
    <w:next w:val="Normal"/>
    <w:link w:val="CitationCar"/>
    <w:uiPriority w:val="29"/>
    <w:qFormat/>
    <w:rsid w:val="00422245"/>
    <w:rPr>
      <w:i/>
      <w:iCs/>
    </w:rPr>
  </w:style>
  <w:style w:type="character" w:customStyle="1" w:styleId="CitationCar">
    <w:name w:val="Citation Car"/>
    <w:basedOn w:val="Policepardfaut"/>
    <w:link w:val="Citation"/>
    <w:uiPriority w:val="29"/>
    <w:rsid w:val="00422245"/>
    <w:rPr>
      <w:i/>
      <w:iCs/>
    </w:rPr>
  </w:style>
  <w:style w:type="paragraph" w:styleId="Citationintense">
    <w:name w:val="Intense Quote"/>
    <w:basedOn w:val="Normal"/>
    <w:next w:val="Normal"/>
    <w:link w:val="CitationintenseCar"/>
    <w:uiPriority w:val="30"/>
    <w:qFormat/>
    <w:rsid w:val="00422245"/>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422245"/>
    <w:rPr>
      <w:i/>
      <w:iCs/>
    </w:rPr>
  </w:style>
  <w:style w:type="character" w:styleId="Emphaseple">
    <w:name w:val="Subtle Emphasis"/>
    <w:uiPriority w:val="19"/>
    <w:qFormat/>
    <w:rsid w:val="00422245"/>
    <w:rPr>
      <w:i/>
      <w:iCs/>
    </w:rPr>
  </w:style>
  <w:style w:type="character" w:styleId="Emphaseintense">
    <w:name w:val="Intense Emphasis"/>
    <w:uiPriority w:val="21"/>
    <w:qFormat/>
    <w:rsid w:val="00422245"/>
    <w:rPr>
      <w:b/>
      <w:bCs/>
      <w:i/>
      <w:iCs/>
    </w:rPr>
  </w:style>
  <w:style w:type="character" w:styleId="Rfrenceple">
    <w:name w:val="Subtle Reference"/>
    <w:basedOn w:val="Policepardfaut"/>
    <w:uiPriority w:val="31"/>
    <w:qFormat/>
    <w:rsid w:val="00422245"/>
    <w:rPr>
      <w:smallCaps/>
    </w:rPr>
  </w:style>
  <w:style w:type="character" w:styleId="Rfrenceintense">
    <w:name w:val="Intense Reference"/>
    <w:uiPriority w:val="32"/>
    <w:qFormat/>
    <w:rsid w:val="00113E9A"/>
  </w:style>
  <w:style w:type="character" w:styleId="Titredulivre">
    <w:name w:val="Book Title"/>
    <w:basedOn w:val="Policepardfaut"/>
    <w:uiPriority w:val="33"/>
    <w:qFormat/>
    <w:rsid w:val="00422245"/>
    <w:rPr>
      <w:i/>
      <w:iCs/>
      <w:smallCaps/>
      <w:spacing w:val="5"/>
    </w:rPr>
  </w:style>
  <w:style w:type="paragraph" w:styleId="En-ttedetabledesmatires">
    <w:name w:val="TOC Heading"/>
    <w:basedOn w:val="Titre1"/>
    <w:next w:val="Normal"/>
    <w:uiPriority w:val="39"/>
    <w:semiHidden/>
    <w:unhideWhenUsed/>
    <w:qFormat/>
    <w:rsid w:val="00422245"/>
    <w:pPr>
      <w:outlineLvl w:val="9"/>
    </w:pPr>
    <w:rPr>
      <w:lang w:bidi="en-US"/>
    </w:rPr>
  </w:style>
  <w:style w:type="character" w:styleId="Marquedecommentaire">
    <w:name w:val="annotation reference"/>
    <w:basedOn w:val="Policepardfaut"/>
    <w:uiPriority w:val="99"/>
    <w:semiHidden/>
    <w:unhideWhenUsed/>
    <w:rsid w:val="009F5A41"/>
    <w:rPr>
      <w:sz w:val="16"/>
      <w:szCs w:val="16"/>
    </w:rPr>
  </w:style>
  <w:style w:type="paragraph" w:styleId="Commentaire">
    <w:name w:val="annotation text"/>
    <w:basedOn w:val="Normal"/>
    <w:link w:val="CommentaireCar"/>
    <w:uiPriority w:val="99"/>
    <w:semiHidden/>
    <w:unhideWhenUsed/>
    <w:rsid w:val="009F5A41"/>
    <w:pPr>
      <w:spacing w:line="240" w:lineRule="auto"/>
    </w:pPr>
    <w:rPr>
      <w:sz w:val="20"/>
      <w:szCs w:val="20"/>
    </w:rPr>
  </w:style>
  <w:style w:type="character" w:customStyle="1" w:styleId="CommentaireCar">
    <w:name w:val="Commentaire Car"/>
    <w:basedOn w:val="Policepardfaut"/>
    <w:link w:val="Commentaire"/>
    <w:uiPriority w:val="99"/>
    <w:semiHidden/>
    <w:rsid w:val="009F5A41"/>
    <w:rPr>
      <w:sz w:val="20"/>
      <w:szCs w:val="20"/>
    </w:rPr>
  </w:style>
  <w:style w:type="paragraph" w:styleId="Objetducommentaire">
    <w:name w:val="annotation subject"/>
    <w:basedOn w:val="Commentaire"/>
    <w:next w:val="Commentaire"/>
    <w:link w:val="ObjetducommentaireCar"/>
    <w:uiPriority w:val="99"/>
    <w:semiHidden/>
    <w:unhideWhenUsed/>
    <w:rsid w:val="009F5A41"/>
    <w:rPr>
      <w:b/>
      <w:bCs/>
    </w:rPr>
  </w:style>
  <w:style w:type="character" w:customStyle="1" w:styleId="ObjetducommentaireCar">
    <w:name w:val="Objet du commentaire Car"/>
    <w:basedOn w:val="CommentaireCar"/>
    <w:link w:val="Objetducommentaire"/>
    <w:uiPriority w:val="99"/>
    <w:semiHidden/>
    <w:rsid w:val="009F5A41"/>
    <w:rPr>
      <w:b/>
      <w:bCs/>
      <w:sz w:val="20"/>
      <w:szCs w:val="20"/>
    </w:rPr>
  </w:style>
  <w:style w:type="paragraph" w:styleId="Textedebulles">
    <w:name w:val="Balloon Text"/>
    <w:basedOn w:val="Normal"/>
    <w:link w:val="TextedebullesCar"/>
    <w:uiPriority w:val="99"/>
    <w:semiHidden/>
    <w:unhideWhenUsed/>
    <w:rsid w:val="009F5A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5A41"/>
    <w:rPr>
      <w:rFonts w:ascii="Tahoma" w:hAnsi="Tahoma" w:cs="Tahoma"/>
      <w:sz w:val="16"/>
      <w:szCs w:val="16"/>
    </w:rPr>
  </w:style>
  <w:style w:type="character" w:styleId="Lienhypertexte">
    <w:name w:val="Hyperlink"/>
    <w:basedOn w:val="Policepardfaut"/>
    <w:uiPriority w:val="99"/>
    <w:unhideWhenUsed/>
    <w:rsid w:val="00E55CB2"/>
    <w:rPr>
      <w:color w:val="0000FF" w:themeColor="hyperlink"/>
      <w:u w:val="single"/>
    </w:rPr>
  </w:style>
  <w:style w:type="character" w:styleId="Appeldenotedefin">
    <w:name w:val="endnote reference"/>
    <w:basedOn w:val="Policepardfaut"/>
    <w:uiPriority w:val="99"/>
    <w:semiHidden/>
    <w:unhideWhenUsed/>
    <w:rsid w:val="00634FA9"/>
    <w:rPr>
      <w:vertAlign w:val="superscript"/>
    </w:rPr>
  </w:style>
  <w:style w:type="character" w:customStyle="1" w:styleId="apple-converted-space">
    <w:name w:val="apple-converted-space"/>
    <w:basedOn w:val="Policepardfaut"/>
    <w:rsid w:val="002849A1"/>
  </w:style>
  <w:style w:type="character" w:customStyle="1" w:styleId="figpopup-sensitive-area">
    <w:name w:val="figpopup-sensitive-area"/>
    <w:basedOn w:val="Policepardfaut"/>
    <w:rsid w:val="002849A1"/>
  </w:style>
  <w:style w:type="paragraph" w:styleId="Bibliographie">
    <w:name w:val="Bibliography"/>
    <w:basedOn w:val="Normal"/>
    <w:next w:val="Normal"/>
    <w:uiPriority w:val="37"/>
    <w:unhideWhenUsed/>
    <w:rsid w:val="00771163"/>
    <w:pPr>
      <w:spacing w:after="0" w:line="240" w:lineRule="auto"/>
      <w:ind w:left="720" w:hanging="720"/>
    </w:pPr>
  </w:style>
  <w:style w:type="paragraph" w:styleId="En-tte">
    <w:name w:val="header"/>
    <w:basedOn w:val="Normal"/>
    <w:link w:val="En-tteCar"/>
    <w:uiPriority w:val="99"/>
    <w:unhideWhenUsed/>
    <w:rsid w:val="00446BD6"/>
    <w:pPr>
      <w:tabs>
        <w:tab w:val="center" w:pos="4536"/>
        <w:tab w:val="right" w:pos="9072"/>
      </w:tabs>
      <w:spacing w:after="0" w:line="240" w:lineRule="auto"/>
    </w:pPr>
  </w:style>
  <w:style w:type="character" w:customStyle="1" w:styleId="En-tteCar">
    <w:name w:val="En-tête Car"/>
    <w:basedOn w:val="Policepardfaut"/>
    <w:link w:val="En-tte"/>
    <w:uiPriority w:val="99"/>
    <w:rsid w:val="00446BD6"/>
    <w:rPr>
      <w:rFonts w:asciiTheme="minorHAnsi" w:eastAsia="Times New Roman" w:hAnsiTheme="minorHAnsi" w:cs="Times New Roman"/>
      <w:sz w:val="24"/>
      <w:lang w:val="en-US" w:eastAsia="fr-FR"/>
    </w:rPr>
  </w:style>
  <w:style w:type="paragraph" w:styleId="Pieddepage">
    <w:name w:val="footer"/>
    <w:basedOn w:val="Normal"/>
    <w:link w:val="PieddepageCar"/>
    <w:uiPriority w:val="99"/>
    <w:unhideWhenUsed/>
    <w:rsid w:val="00446B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6BD6"/>
    <w:rPr>
      <w:rFonts w:asciiTheme="minorHAnsi" w:eastAsia="Times New Roman" w:hAnsiTheme="minorHAnsi" w:cs="Times New Roman"/>
      <w:sz w:val="24"/>
      <w:lang w:val="en-US" w:eastAsia="fr-FR"/>
    </w:rPr>
  </w:style>
  <w:style w:type="paragraph" w:customStyle="1" w:styleId="Tables">
    <w:name w:val="Tables"/>
    <w:basedOn w:val="Normal"/>
    <w:link w:val="TablesCar"/>
    <w:qFormat/>
    <w:rsid w:val="00780EF0"/>
    <w:pPr>
      <w:spacing w:after="0" w:line="240" w:lineRule="auto"/>
    </w:pPr>
    <w:rPr>
      <w:sz w:val="18"/>
      <w:szCs w:val="18"/>
    </w:rPr>
  </w:style>
  <w:style w:type="character" w:customStyle="1" w:styleId="TablesCar">
    <w:name w:val="Tables Car"/>
    <w:basedOn w:val="Policepardfaut"/>
    <w:link w:val="Tables"/>
    <w:rsid w:val="00780EF0"/>
    <w:rPr>
      <w:rFonts w:ascii="Calibri" w:eastAsia="Times New Roman" w:hAnsi="Calibri" w:cs="Times New Roman"/>
      <w:sz w:val="18"/>
      <w:szCs w:val="18"/>
      <w:lang w:val="en-US" w:eastAsia="fr-FR"/>
    </w:rPr>
  </w:style>
  <w:style w:type="paragraph" w:styleId="Explorateurdedocuments">
    <w:name w:val="Document Map"/>
    <w:basedOn w:val="Normal"/>
    <w:link w:val="ExplorateurdedocumentsCar"/>
    <w:uiPriority w:val="99"/>
    <w:semiHidden/>
    <w:unhideWhenUsed/>
    <w:rsid w:val="004C0B8C"/>
    <w:pPr>
      <w:spacing w:after="0" w:line="240" w:lineRule="auto"/>
    </w:pPr>
    <w:rPr>
      <w:rFonts w:ascii="Lucida Grande" w:hAnsi="Lucida Grande" w:cs="Lucida Grande"/>
      <w:szCs w:val="24"/>
    </w:rPr>
  </w:style>
  <w:style w:type="character" w:customStyle="1" w:styleId="ExplorateurdedocumentsCar">
    <w:name w:val="Explorateur de documents Car"/>
    <w:basedOn w:val="Policepardfaut"/>
    <w:link w:val="Explorateurdedocuments"/>
    <w:uiPriority w:val="99"/>
    <w:semiHidden/>
    <w:rsid w:val="004C0B8C"/>
    <w:rPr>
      <w:rFonts w:ascii="Lucida Grande" w:eastAsia="Times New Roman" w:hAnsi="Lucida Grande" w:cs="Lucida Grande"/>
      <w:sz w:val="24"/>
      <w:szCs w:val="24"/>
      <w:lang w:val="en-US" w:eastAsia="fr-FR"/>
    </w:rPr>
  </w:style>
  <w:style w:type="paragraph" w:styleId="Rvision">
    <w:name w:val="Revision"/>
    <w:hidden/>
    <w:uiPriority w:val="99"/>
    <w:semiHidden/>
    <w:rsid w:val="007D5965"/>
    <w:pPr>
      <w:spacing w:after="0" w:line="240" w:lineRule="auto"/>
    </w:pPr>
    <w:rPr>
      <w:rFonts w:ascii="Calibri" w:eastAsia="Times New Roman" w:hAnsi="Calibri" w:cs="Times New Roman"/>
      <w:sz w:val="24"/>
      <w:lang w:val="en-US" w:eastAsia="fr-FR"/>
    </w:rPr>
  </w:style>
  <w:style w:type="character" w:styleId="CitationHTML">
    <w:name w:val="HTML Cite"/>
    <w:basedOn w:val="Policepardfaut"/>
    <w:uiPriority w:val="99"/>
    <w:semiHidden/>
    <w:unhideWhenUsed/>
    <w:rsid w:val="007B188C"/>
    <w:rPr>
      <w:i/>
      <w:iCs/>
    </w:rPr>
  </w:style>
  <w:style w:type="paragraph" w:styleId="NormalWeb">
    <w:name w:val="Normal (Web)"/>
    <w:basedOn w:val="Normal"/>
    <w:uiPriority w:val="99"/>
    <w:semiHidden/>
    <w:unhideWhenUsed/>
    <w:rsid w:val="001B6803"/>
    <w:pPr>
      <w:spacing w:before="100" w:beforeAutospacing="1" w:after="100" w:afterAutospacing="1" w:line="240" w:lineRule="auto"/>
      <w:jc w:val="left"/>
    </w:pPr>
    <w:rPr>
      <w:rFonts w:ascii="Times New Roman" w:hAnsi="Times New Roman"/>
      <w:szCs w:val="24"/>
      <w:lang w:val="fr-BE" w:eastAsia="fr-BE"/>
    </w:rPr>
  </w:style>
  <w:style w:type="character" w:customStyle="1" w:styleId="journaltitle">
    <w:name w:val="journaltitle"/>
    <w:basedOn w:val="Policepardfaut"/>
    <w:rsid w:val="001B6803"/>
  </w:style>
  <w:style w:type="paragraph" w:customStyle="1" w:styleId="icon--meta-keyline">
    <w:name w:val="icon--meta-keyline"/>
    <w:basedOn w:val="Normal"/>
    <w:rsid w:val="001B6803"/>
    <w:pPr>
      <w:spacing w:before="100" w:beforeAutospacing="1" w:after="100" w:afterAutospacing="1" w:line="240" w:lineRule="auto"/>
      <w:jc w:val="left"/>
    </w:pPr>
    <w:rPr>
      <w:rFonts w:ascii="Times New Roman" w:hAnsi="Times New Roman"/>
      <w:szCs w:val="24"/>
      <w:lang w:val="fr-BE" w:eastAsia="fr-BE"/>
    </w:rPr>
  </w:style>
  <w:style w:type="character" w:customStyle="1" w:styleId="articlecitationpages">
    <w:name w:val="articlecitation_pages"/>
    <w:basedOn w:val="Policepardfaut"/>
    <w:rsid w:val="001B6803"/>
  </w:style>
  <w:style w:type="character" w:customStyle="1" w:styleId="u-inline-block">
    <w:name w:val="u-inline-block"/>
    <w:basedOn w:val="Policepardfaut"/>
    <w:rsid w:val="001B6803"/>
  </w:style>
  <w:style w:type="character" w:customStyle="1" w:styleId="authorsname">
    <w:name w:val="authors__name"/>
    <w:basedOn w:val="Policepardfaut"/>
    <w:rsid w:val="001B6803"/>
  </w:style>
  <w:style w:type="character" w:customStyle="1" w:styleId="authorscontact">
    <w:name w:val="authors__contact"/>
    <w:basedOn w:val="Policepardfaut"/>
    <w:rsid w:val="001B6803"/>
  </w:style>
  <w:style w:type="character" w:customStyle="1" w:styleId="affiliationcount">
    <w:name w:val="affiliation__count"/>
    <w:basedOn w:val="Policepardfaut"/>
    <w:rsid w:val="001B6803"/>
  </w:style>
  <w:style w:type="character" w:customStyle="1" w:styleId="test-render-category">
    <w:name w:val="test-render-category"/>
    <w:basedOn w:val="Policepardfaut"/>
    <w:rsid w:val="001B6803"/>
  </w:style>
  <w:style w:type="character" w:customStyle="1" w:styleId="article-dateslabel">
    <w:name w:val="article-dates__label"/>
    <w:basedOn w:val="Policepardfaut"/>
    <w:rsid w:val="001B6803"/>
  </w:style>
  <w:style w:type="character" w:customStyle="1" w:styleId="article-datesfirst-online">
    <w:name w:val="article-dates__first-online"/>
    <w:basedOn w:val="Policepardfaut"/>
    <w:rsid w:val="001B6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9846">
      <w:bodyDiv w:val="1"/>
      <w:marLeft w:val="0"/>
      <w:marRight w:val="0"/>
      <w:marTop w:val="0"/>
      <w:marBottom w:val="0"/>
      <w:divBdr>
        <w:top w:val="none" w:sz="0" w:space="0" w:color="auto"/>
        <w:left w:val="none" w:sz="0" w:space="0" w:color="auto"/>
        <w:bottom w:val="none" w:sz="0" w:space="0" w:color="auto"/>
        <w:right w:val="none" w:sz="0" w:space="0" w:color="auto"/>
      </w:divBdr>
    </w:div>
    <w:div w:id="132715711">
      <w:bodyDiv w:val="1"/>
      <w:marLeft w:val="0"/>
      <w:marRight w:val="0"/>
      <w:marTop w:val="0"/>
      <w:marBottom w:val="0"/>
      <w:divBdr>
        <w:top w:val="none" w:sz="0" w:space="0" w:color="auto"/>
        <w:left w:val="none" w:sz="0" w:space="0" w:color="auto"/>
        <w:bottom w:val="none" w:sz="0" w:space="0" w:color="auto"/>
        <w:right w:val="none" w:sz="0" w:space="0" w:color="auto"/>
      </w:divBdr>
    </w:div>
    <w:div w:id="443114192">
      <w:bodyDiv w:val="1"/>
      <w:marLeft w:val="0"/>
      <w:marRight w:val="0"/>
      <w:marTop w:val="0"/>
      <w:marBottom w:val="0"/>
      <w:divBdr>
        <w:top w:val="none" w:sz="0" w:space="0" w:color="auto"/>
        <w:left w:val="none" w:sz="0" w:space="0" w:color="auto"/>
        <w:bottom w:val="none" w:sz="0" w:space="0" w:color="auto"/>
        <w:right w:val="none" w:sz="0" w:space="0" w:color="auto"/>
      </w:divBdr>
    </w:div>
    <w:div w:id="712078526">
      <w:bodyDiv w:val="1"/>
      <w:marLeft w:val="0"/>
      <w:marRight w:val="0"/>
      <w:marTop w:val="0"/>
      <w:marBottom w:val="0"/>
      <w:divBdr>
        <w:top w:val="none" w:sz="0" w:space="0" w:color="auto"/>
        <w:left w:val="none" w:sz="0" w:space="0" w:color="auto"/>
        <w:bottom w:val="none" w:sz="0" w:space="0" w:color="auto"/>
        <w:right w:val="none" w:sz="0" w:space="0" w:color="auto"/>
      </w:divBdr>
    </w:div>
    <w:div w:id="870915244">
      <w:bodyDiv w:val="1"/>
      <w:marLeft w:val="0"/>
      <w:marRight w:val="0"/>
      <w:marTop w:val="0"/>
      <w:marBottom w:val="0"/>
      <w:divBdr>
        <w:top w:val="none" w:sz="0" w:space="0" w:color="auto"/>
        <w:left w:val="none" w:sz="0" w:space="0" w:color="auto"/>
        <w:bottom w:val="none" w:sz="0" w:space="0" w:color="auto"/>
        <w:right w:val="none" w:sz="0" w:space="0" w:color="auto"/>
      </w:divBdr>
    </w:div>
    <w:div w:id="884832359">
      <w:bodyDiv w:val="1"/>
      <w:marLeft w:val="0"/>
      <w:marRight w:val="0"/>
      <w:marTop w:val="0"/>
      <w:marBottom w:val="0"/>
      <w:divBdr>
        <w:top w:val="none" w:sz="0" w:space="0" w:color="auto"/>
        <w:left w:val="none" w:sz="0" w:space="0" w:color="auto"/>
        <w:bottom w:val="none" w:sz="0" w:space="0" w:color="auto"/>
        <w:right w:val="none" w:sz="0" w:space="0" w:color="auto"/>
      </w:divBdr>
    </w:div>
    <w:div w:id="935089123">
      <w:bodyDiv w:val="1"/>
      <w:marLeft w:val="0"/>
      <w:marRight w:val="0"/>
      <w:marTop w:val="0"/>
      <w:marBottom w:val="0"/>
      <w:divBdr>
        <w:top w:val="none" w:sz="0" w:space="0" w:color="auto"/>
        <w:left w:val="none" w:sz="0" w:space="0" w:color="auto"/>
        <w:bottom w:val="none" w:sz="0" w:space="0" w:color="auto"/>
        <w:right w:val="none" w:sz="0" w:space="0" w:color="auto"/>
      </w:divBdr>
    </w:div>
    <w:div w:id="1197356216">
      <w:bodyDiv w:val="1"/>
      <w:marLeft w:val="0"/>
      <w:marRight w:val="0"/>
      <w:marTop w:val="0"/>
      <w:marBottom w:val="0"/>
      <w:divBdr>
        <w:top w:val="none" w:sz="0" w:space="0" w:color="auto"/>
        <w:left w:val="none" w:sz="0" w:space="0" w:color="auto"/>
        <w:bottom w:val="none" w:sz="0" w:space="0" w:color="auto"/>
        <w:right w:val="none" w:sz="0" w:space="0" w:color="auto"/>
      </w:divBdr>
    </w:div>
    <w:div w:id="1381899489">
      <w:bodyDiv w:val="1"/>
      <w:marLeft w:val="0"/>
      <w:marRight w:val="0"/>
      <w:marTop w:val="0"/>
      <w:marBottom w:val="0"/>
      <w:divBdr>
        <w:top w:val="none" w:sz="0" w:space="0" w:color="auto"/>
        <w:left w:val="none" w:sz="0" w:space="0" w:color="auto"/>
        <w:bottom w:val="none" w:sz="0" w:space="0" w:color="auto"/>
        <w:right w:val="none" w:sz="0" w:space="0" w:color="auto"/>
      </w:divBdr>
    </w:div>
    <w:div w:id="1409883681">
      <w:bodyDiv w:val="1"/>
      <w:marLeft w:val="0"/>
      <w:marRight w:val="0"/>
      <w:marTop w:val="0"/>
      <w:marBottom w:val="0"/>
      <w:divBdr>
        <w:top w:val="none" w:sz="0" w:space="0" w:color="auto"/>
        <w:left w:val="none" w:sz="0" w:space="0" w:color="auto"/>
        <w:bottom w:val="none" w:sz="0" w:space="0" w:color="auto"/>
        <w:right w:val="none" w:sz="0" w:space="0" w:color="auto"/>
      </w:divBdr>
    </w:div>
    <w:div w:id="1752846168">
      <w:bodyDiv w:val="1"/>
      <w:marLeft w:val="0"/>
      <w:marRight w:val="0"/>
      <w:marTop w:val="0"/>
      <w:marBottom w:val="0"/>
      <w:divBdr>
        <w:top w:val="none" w:sz="0" w:space="0" w:color="auto"/>
        <w:left w:val="none" w:sz="0" w:space="0" w:color="auto"/>
        <w:bottom w:val="none" w:sz="0" w:space="0" w:color="auto"/>
        <w:right w:val="none" w:sz="0" w:space="0" w:color="auto"/>
      </w:divBdr>
    </w:div>
    <w:div w:id="1768967356">
      <w:bodyDiv w:val="1"/>
      <w:marLeft w:val="0"/>
      <w:marRight w:val="0"/>
      <w:marTop w:val="0"/>
      <w:marBottom w:val="0"/>
      <w:divBdr>
        <w:top w:val="none" w:sz="0" w:space="0" w:color="auto"/>
        <w:left w:val="none" w:sz="0" w:space="0" w:color="auto"/>
        <w:bottom w:val="none" w:sz="0" w:space="0" w:color="auto"/>
        <w:right w:val="none" w:sz="0" w:space="0" w:color="auto"/>
      </w:divBdr>
    </w:div>
    <w:div w:id="1925607659">
      <w:bodyDiv w:val="1"/>
      <w:marLeft w:val="0"/>
      <w:marRight w:val="0"/>
      <w:marTop w:val="0"/>
      <w:marBottom w:val="0"/>
      <w:divBdr>
        <w:top w:val="none" w:sz="0" w:space="0" w:color="auto"/>
        <w:left w:val="none" w:sz="0" w:space="0" w:color="auto"/>
        <w:bottom w:val="none" w:sz="0" w:space="0" w:color="auto"/>
        <w:right w:val="none" w:sz="0" w:space="0" w:color="auto"/>
      </w:divBdr>
    </w:div>
    <w:div w:id="1979719480">
      <w:bodyDiv w:val="1"/>
      <w:marLeft w:val="0"/>
      <w:marRight w:val="0"/>
      <w:marTop w:val="0"/>
      <w:marBottom w:val="0"/>
      <w:divBdr>
        <w:top w:val="none" w:sz="0" w:space="0" w:color="auto"/>
        <w:left w:val="none" w:sz="0" w:space="0" w:color="auto"/>
        <w:bottom w:val="none" w:sz="0" w:space="0" w:color="auto"/>
        <w:right w:val="none" w:sz="0" w:space="0" w:color="auto"/>
      </w:divBdr>
    </w:div>
    <w:div w:id="2017030547">
      <w:bodyDiv w:val="1"/>
      <w:marLeft w:val="0"/>
      <w:marRight w:val="0"/>
      <w:marTop w:val="0"/>
      <w:marBottom w:val="0"/>
      <w:divBdr>
        <w:top w:val="none" w:sz="0" w:space="0" w:color="auto"/>
        <w:left w:val="none" w:sz="0" w:space="0" w:color="auto"/>
        <w:bottom w:val="none" w:sz="0" w:space="0" w:color="auto"/>
        <w:right w:val="none" w:sz="0" w:space="0" w:color="auto"/>
      </w:divBdr>
    </w:div>
    <w:div w:id="2104253709">
      <w:bodyDiv w:val="1"/>
      <w:marLeft w:val="0"/>
      <w:marRight w:val="0"/>
      <w:marTop w:val="0"/>
      <w:marBottom w:val="0"/>
      <w:divBdr>
        <w:top w:val="none" w:sz="0" w:space="0" w:color="auto"/>
        <w:left w:val="none" w:sz="0" w:space="0" w:color="auto"/>
        <w:bottom w:val="none" w:sz="0" w:space="0" w:color="auto"/>
        <w:right w:val="none" w:sz="0" w:space="0" w:color="auto"/>
      </w:divBdr>
      <w:divsChild>
        <w:div w:id="475922836">
          <w:marLeft w:val="0"/>
          <w:marRight w:val="0"/>
          <w:marTop w:val="0"/>
          <w:marBottom w:val="120"/>
          <w:divBdr>
            <w:top w:val="none" w:sz="0" w:space="0" w:color="auto"/>
            <w:left w:val="none" w:sz="0" w:space="0" w:color="auto"/>
            <w:bottom w:val="none" w:sz="0" w:space="0" w:color="auto"/>
            <w:right w:val="none" w:sz="0" w:space="0" w:color="auto"/>
          </w:divBdr>
        </w:div>
        <w:div w:id="442961163">
          <w:marLeft w:val="0"/>
          <w:marRight w:val="0"/>
          <w:marTop w:val="0"/>
          <w:marBottom w:val="360"/>
          <w:divBdr>
            <w:top w:val="none" w:sz="0" w:space="0" w:color="auto"/>
            <w:left w:val="none" w:sz="0" w:space="0" w:color="auto"/>
            <w:bottom w:val="none" w:sz="0" w:space="0" w:color="auto"/>
            <w:right w:val="none" w:sz="0" w:space="0" w:color="auto"/>
          </w:divBdr>
        </w:div>
        <w:div w:id="1259756205">
          <w:marLeft w:val="0"/>
          <w:marRight w:val="0"/>
          <w:marTop w:val="0"/>
          <w:marBottom w:val="0"/>
          <w:divBdr>
            <w:top w:val="none" w:sz="0" w:space="0" w:color="auto"/>
            <w:left w:val="none" w:sz="0" w:space="0" w:color="auto"/>
            <w:bottom w:val="none" w:sz="0" w:space="0" w:color="auto"/>
            <w:right w:val="none" w:sz="0" w:space="0" w:color="auto"/>
          </w:divBdr>
          <w:divsChild>
            <w:div w:id="986321159">
              <w:marLeft w:val="0"/>
              <w:marRight w:val="0"/>
              <w:marTop w:val="0"/>
              <w:marBottom w:val="0"/>
              <w:divBdr>
                <w:top w:val="none" w:sz="0" w:space="0" w:color="auto"/>
                <w:left w:val="none" w:sz="0" w:space="0" w:color="auto"/>
                <w:bottom w:val="none" w:sz="0" w:space="0" w:color="auto"/>
                <w:right w:val="none" w:sz="0" w:space="0" w:color="auto"/>
              </w:divBdr>
            </w:div>
            <w:div w:id="1916549656">
              <w:marLeft w:val="0"/>
              <w:marRight w:val="0"/>
              <w:marTop w:val="0"/>
              <w:marBottom w:val="0"/>
              <w:divBdr>
                <w:top w:val="none" w:sz="0" w:space="0" w:color="auto"/>
                <w:left w:val="none" w:sz="0" w:space="0" w:color="auto"/>
                <w:bottom w:val="none" w:sz="0" w:space="0" w:color="auto"/>
                <w:right w:val="none" w:sz="0" w:space="0" w:color="auto"/>
              </w:divBdr>
              <w:divsChild>
                <w:div w:id="57077575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934172421">
          <w:marLeft w:val="0"/>
          <w:marRight w:val="0"/>
          <w:marTop w:val="0"/>
          <w:marBottom w:val="0"/>
          <w:divBdr>
            <w:top w:val="none" w:sz="0" w:space="0" w:color="auto"/>
            <w:left w:val="none" w:sz="0" w:space="0" w:color="auto"/>
            <w:bottom w:val="none" w:sz="0" w:space="0" w:color="auto"/>
            <w:right w:val="none" w:sz="0" w:space="0" w:color="auto"/>
          </w:divBdr>
          <w:divsChild>
            <w:div w:id="335888003">
              <w:marLeft w:val="0"/>
              <w:marRight w:val="0"/>
              <w:marTop w:val="0"/>
              <w:marBottom w:val="0"/>
              <w:divBdr>
                <w:top w:val="none" w:sz="0" w:space="0" w:color="auto"/>
                <w:left w:val="none" w:sz="0" w:space="0" w:color="auto"/>
                <w:bottom w:val="none" w:sz="0" w:space="0" w:color="auto"/>
                <w:right w:val="none" w:sz="0" w:space="0" w:color="auto"/>
              </w:divBdr>
              <w:divsChild>
                <w:div w:id="12385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hyperlink" Target="https://population.un.org/wpp/Publications/Files/WPP2017_Volume-I_Comprehensive-Tables.pdf"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ipums.org" TargetMode="External"/><Relationship Id="rId1" Type="http://schemas.openxmlformats.org/officeDocument/2006/relationships/hyperlink" Target="http://(data.un.org/Data.aspx?d=POP&amp;f=tableCode%3a2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35444-229A-464F-8676-D1A518494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35</Pages>
  <Words>7874</Words>
  <Characters>43310</Characters>
  <Application>Microsoft Office Word</Application>
  <DocSecurity>0</DocSecurity>
  <Lines>360</Lines>
  <Paragraphs>102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51082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Schoumaker</dc:creator>
  <cp:lastModifiedBy>Bruno Schoumaker</cp:lastModifiedBy>
  <cp:revision>13</cp:revision>
  <cp:lastPrinted>2019-03-15T17:34:00Z</cp:lastPrinted>
  <dcterms:created xsi:type="dcterms:W3CDTF">2019-03-15T15:42:00Z</dcterms:created>
  <dcterms:modified xsi:type="dcterms:W3CDTF">2019-03-16T17:19:00Z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zotero-version="5.0.60"&gt;&lt;session id="35T4jE02"/&gt;&lt;style id="http://www.zotero.org/styles/chicago-author-date" locale="en-GB" hasBibliography="1" bibliographyStyleHasBeenSet="1"/&gt;&lt;prefs&gt;&lt;pref name="fieldType" value="Field"/&gt;&lt;pref name</vt:lpwstr>
  </property>
  <property fmtid="{D5CDD505-2E9C-101B-9397-08002B2CF9AE}" pid="3" name="ZOTERO_PREF_2">
    <vt:lpwstr>="storeReferences" value="true"/&gt;&lt;/prefs&gt;&lt;/data&gt;</vt:lpwstr>
  </property>
</Properties>
</file>