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333AF0" w14:textId="77777777" w:rsidR="00D1220C" w:rsidRPr="00176F2B" w:rsidRDefault="00D1220C" w:rsidP="00D1220C">
      <w:pPr>
        <w:pStyle w:val="Authors"/>
        <w:spacing w:line="360" w:lineRule="auto"/>
        <w:rPr>
          <w:rFonts w:ascii="Avenir Book" w:hAnsi="Avenir Book"/>
          <w:b/>
          <w:sz w:val="22"/>
          <w:szCs w:val="22"/>
          <w:lang w:val="en-GB"/>
        </w:rPr>
      </w:pPr>
      <w:r w:rsidRPr="00596667">
        <w:rPr>
          <w:rFonts w:ascii="Avenir Book" w:hAnsi="Avenir Book"/>
          <w:b/>
          <w:sz w:val="22"/>
          <w:szCs w:val="22"/>
          <w:lang w:val="en-GB"/>
        </w:rPr>
        <w:t>The balanced act of crossmodal and intramodal plasticity: Enhanced representation of auditory categories in the occipital cortex of early but not late blind people links to reduced temporal coding</w:t>
      </w:r>
      <w:r>
        <w:rPr>
          <w:rFonts w:ascii="Avenir Book" w:hAnsi="Avenir Book"/>
          <w:b/>
          <w:sz w:val="22"/>
          <w:szCs w:val="22"/>
          <w:lang w:val="en-GB"/>
        </w:rPr>
        <w:t xml:space="preserve"> </w:t>
      </w:r>
      <w:bookmarkStart w:id="0" w:name="_GoBack"/>
      <w:bookmarkEnd w:id="0"/>
    </w:p>
    <w:p w14:paraId="0668E08F" w14:textId="77777777" w:rsidR="00D1220C" w:rsidRPr="00176F2B" w:rsidRDefault="00D1220C" w:rsidP="00D1220C">
      <w:pPr>
        <w:pStyle w:val="Authors"/>
        <w:jc w:val="both"/>
        <w:outlineLvl w:val="0"/>
        <w:rPr>
          <w:rFonts w:ascii="Avenir Book" w:hAnsi="Avenir Book"/>
          <w:sz w:val="22"/>
          <w:szCs w:val="22"/>
        </w:rPr>
      </w:pPr>
      <w:r w:rsidRPr="00176F2B">
        <w:rPr>
          <w:rFonts w:ascii="Avenir Book" w:hAnsi="Avenir Book"/>
          <w:b/>
          <w:sz w:val="22"/>
          <w:szCs w:val="22"/>
          <w:lang w:val="en-GB"/>
        </w:rPr>
        <w:t>Authors:</w:t>
      </w:r>
      <w:r w:rsidRPr="00176F2B">
        <w:rPr>
          <w:rFonts w:ascii="Avenir Book" w:hAnsi="Avenir Book"/>
          <w:sz w:val="22"/>
          <w:szCs w:val="22"/>
          <w:lang w:val="en-GB"/>
        </w:rPr>
        <w:t xml:space="preserve">  </w:t>
      </w:r>
    </w:p>
    <w:p w14:paraId="007B797D" w14:textId="77777777" w:rsidR="00D1220C" w:rsidRPr="003C4775" w:rsidRDefault="00D1220C" w:rsidP="00D1220C">
      <w:pPr>
        <w:pStyle w:val="Authors"/>
        <w:spacing w:line="360" w:lineRule="auto"/>
        <w:rPr>
          <w:rFonts w:ascii="Avenir Book" w:eastAsiaTheme="minorEastAsia" w:hAnsi="Avenir Book" w:cstheme="minorBidi"/>
          <w:color w:val="auto"/>
          <w:sz w:val="22"/>
          <w:szCs w:val="22"/>
          <w:lang w:val="en-GB"/>
        </w:rPr>
      </w:pPr>
      <w:r w:rsidRPr="003C4775">
        <w:rPr>
          <w:rFonts w:ascii="Avenir Book" w:eastAsiaTheme="minorEastAsia" w:hAnsi="Avenir Book" w:cstheme="minorBidi"/>
          <w:color w:val="auto"/>
          <w:sz w:val="22"/>
          <w:szCs w:val="22"/>
          <w:lang w:val="en-GB"/>
        </w:rPr>
        <w:t>Mattioni Stefania</w:t>
      </w:r>
      <w:r w:rsidRPr="003C4775">
        <w:rPr>
          <w:rFonts w:ascii="Avenir Book" w:eastAsiaTheme="minorEastAsia" w:hAnsi="Avenir Book" w:cstheme="minorBidi"/>
          <w:color w:val="auto"/>
          <w:sz w:val="22"/>
          <w:szCs w:val="22"/>
          <w:vertAlign w:val="superscript"/>
          <w:lang w:val="en-GB"/>
        </w:rPr>
        <w:t>(1,2)</w:t>
      </w:r>
      <w:r w:rsidRPr="003C4775">
        <w:rPr>
          <w:rFonts w:ascii="Avenir Book" w:eastAsiaTheme="minorEastAsia" w:hAnsi="Avenir Book" w:cstheme="minorBidi"/>
          <w:color w:val="auto"/>
          <w:sz w:val="22"/>
          <w:szCs w:val="22"/>
          <w:lang w:val="en-GB"/>
        </w:rPr>
        <w:t>, Rezk Mohamed</w:t>
      </w:r>
      <w:r w:rsidRPr="003C4775">
        <w:rPr>
          <w:rFonts w:ascii="Avenir Book" w:eastAsiaTheme="minorEastAsia" w:hAnsi="Avenir Book" w:cstheme="minorBidi"/>
          <w:color w:val="auto"/>
          <w:sz w:val="22"/>
          <w:szCs w:val="22"/>
          <w:vertAlign w:val="superscript"/>
          <w:lang w:val="en-GB"/>
        </w:rPr>
        <w:t>(1,2)</w:t>
      </w:r>
      <w:r w:rsidRPr="003C4775">
        <w:rPr>
          <w:rFonts w:ascii="Avenir Book" w:eastAsiaTheme="minorEastAsia" w:hAnsi="Avenir Book" w:cstheme="minorBidi"/>
          <w:color w:val="auto"/>
          <w:sz w:val="22"/>
          <w:szCs w:val="22"/>
          <w:lang w:val="en-GB"/>
        </w:rPr>
        <w:t xml:space="preserve">, </w:t>
      </w:r>
      <w:r>
        <w:rPr>
          <w:rFonts w:ascii="Avenir Book" w:eastAsiaTheme="minorEastAsia" w:hAnsi="Avenir Book" w:cstheme="minorBidi"/>
          <w:color w:val="auto"/>
          <w:sz w:val="22"/>
          <w:szCs w:val="22"/>
          <w:lang w:val="en-GB"/>
        </w:rPr>
        <w:t>Battal Ceren</w:t>
      </w:r>
      <w:r w:rsidRPr="003C4775">
        <w:rPr>
          <w:rFonts w:ascii="Avenir Book" w:eastAsiaTheme="minorEastAsia" w:hAnsi="Avenir Book" w:cstheme="minorBidi"/>
          <w:color w:val="auto"/>
          <w:sz w:val="22"/>
          <w:szCs w:val="22"/>
          <w:vertAlign w:val="superscript"/>
          <w:lang w:val="en-GB"/>
        </w:rPr>
        <w:t>(1,2)</w:t>
      </w:r>
      <w:r w:rsidRPr="003C4775">
        <w:rPr>
          <w:rFonts w:ascii="Avenir Book" w:eastAsiaTheme="minorEastAsia" w:hAnsi="Avenir Book" w:cstheme="minorBidi"/>
          <w:color w:val="auto"/>
          <w:sz w:val="22"/>
          <w:szCs w:val="22"/>
          <w:lang w:val="en-GB"/>
        </w:rPr>
        <w:t>,</w:t>
      </w:r>
      <w:r>
        <w:rPr>
          <w:rFonts w:ascii="Avenir Book" w:eastAsiaTheme="minorEastAsia" w:hAnsi="Avenir Book" w:cstheme="minorBidi"/>
          <w:color w:val="auto"/>
          <w:sz w:val="22"/>
          <w:szCs w:val="22"/>
          <w:lang w:val="en-GB"/>
        </w:rPr>
        <w:t xml:space="preserve"> </w:t>
      </w:r>
      <w:r w:rsidRPr="00FB2DE7">
        <w:rPr>
          <w:rFonts w:ascii="Avenir Book" w:eastAsiaTheme="minorEastAsia" w:hAnsi="Avenir Book" w:cstheme="minorBidi"/>
          <w:color w:val="auto"/>
          <w:sz w:val="22"/>
          <w:szCs w:val="22"/>
          <w:lang w:val="en-GB"/>
        </w:rPr>
        <w:t xml:space="preserve">Jyothirmayi Vadlamudi </w:t>
      </w:r>
      <w:r>
        <w:rPr>
          <w:rFonts w:ascii="Avenir Book" w:eastAsiaTheme="minorEastAsia" w:hAnsi="Avenir Book" w:cstheme="minorBidi"/>
          <w:color w:val="auto"/>
          <w:sz w:val="22"/>
          <w:szCs w:val="22"/>
          <w:vertAlign w:val="superscript"/>
          <w:lang w:val="en-GB"/>
        </w:rPr>
        <w:t>(2</w:t>
      </w:r>
      <w:r w:rsidRPr="003C4775">
        <w:rPr>
          <w:rFonts w:ascii="Avenir Book" w:eastAsiaTheme="minorEastAsia" w:hAnsi="Avenir Book" w:cstheme="minorBidi"/>
          <w:color w:val="auto"/>
          <w:sz w:val="22"/>
          <w:szCs w:val="22"/>
          <w:vertAlign w:val="superscript"/>
          <w:lang w:val="en-GB"/>
        </w:rPr>
        <w:t>)</w:t>
      </w:r>
      <w:r w:rsidRPr="003C4775">
        <w:rPr>
          <w:rFonts w:ascii="Avenir Book" w:eastAsiaTheme="minorEastAsia" w:hAnsi="Avenir Book" w:cstheme="minorBidi"/>
          <w:color w:val="auto"/>
          <w:sz w:val="22"/>
          <w:szCs w:val="22"/>
          <w:lang w:val="en-GB"/>
        </w:rPr>
        <w:t>, Collignon Olivier</w:t>
      </w:r>
      <w:r w:rsidRPr="003C4775">
        <w:rPr>
          <w:rFonts w:ascii="Avenir Book" w:eastAsiaTheme="minorEastAsia" w:hAnsi="Avenir Book" w:cstheme="minorBidi"/>
          <w:color w:val="auto"/>
          <w:sz w:val="22"/>
          <w:szCs w:val="22"/>
          <w:vertAlign w:val="superscript"/>
          <w:lang w:val="en-GB"/>
        </w:rPr>
        <w:t>(1,2)</w:t>
      </w:r>
    </w:p>
    <w:p w14:paraId="1BF051FB" w14:textId="77777777" w:rsidR="00D1220C" w:rsidRPr="00176F2B" w:rsidRDefault="00D1220C" w:rsidP="00D1220C">
      <w:pPr>
        <w:pStyle w:val="Paragraph"/>
        <w:spacing w:line="480" w:lineRule="auto"/>
        <w:ind w:firstLine="0"/>
        <w:jc w:val="both"/>
        <w:outlineLvl w:val="0"/>
        <w:rPr>
          <w:rFonts w:ascii="Avenir Book" w:hAnsi="Avenir Book"/>
          <w:sz w:val="22"/>
          <w:szCs w:val="22"/>
        </w:rPr>
      </w:pPr>
      <w:r w:rsidRPr="00176F2B">
        <w:rPr>
          <w:rFonts w:ascii="Avenir Book" w:hAnsi="Avenir Book"/>
          <w:b/>
          <w:sz w:val="22"/>
          <w:szCs w:val="22"/>
          <w:lang w:val="en-GB"/>
        </w:rPr>
        <w:t>Affiliations:</w:t>
      </w:r>
    </w:p>
    <w:p w14:paraId="6D85CC0B" w14:textId="77777777" w:rsidR="00D1220C" w:rsidRPr="00176F2B" w:rsidRDefault="00D1220C" w:rsidP="00D1220C">
      <w:pPr>
        <w:pStyle w:val="Paragraph"/>
        <w:spacing w:line="480" w:lineRule="auto"/>
        <w:ind w:firstLine="0"/>
        <w:jc w:val="both"/>
        <w:outlineLvl w:val="0"/>
        <w:rPr>
          <w:rFonts w:ascii="Avenir Book" w:hAnsi="Avenir Book"/>
          <w:sz w:val="22"/>
          <w:szCs w:val="22"/>
        </w:rPr>
      </w:pPr>
      <w:r w:rsidRPr="00176F2B">
        <w:rPr>
          <w:rFonts w:ascii="Avenir Book" w:hAnsi="Avenir Book"/>
          <w:sz w:val="22"/>
          <w:szCs w:val="22"/>
          <w:vertAlign w:val="superscript"/>
          <w:lang w:val="en-GB"/>
        </w:rPr>
        <w:t>1</w:t>
      </w:r>
      <w:r w:rsidRPr="00176F2B">
        <w:rPr>
          <w:rFonts w:ascii="Avenir Book" w:hAnsi="Avenir Book"/>
          <w:sz w:val="22"/>
          <w:szCs w:val="22"/>
          <w:lang w:val="en-GB"/>
        </w:rPr>
        <w:t xml:space="preserve"> Center for Mind/Brain Studies, University of Trento, Trento, Italy</w:t>
      </w:r>
    </w:p>
    <w:p w14:paraId="40F1C0BD" w14:textId="77777777" w:rsidR="00D1220C" w:rsidRPr="00176F2B" w:rsidRDefault="00D1220C" w:rsidP="00D1220C">
      <w:pPr>
        <w:pStyle w:val="Paragraph"/>
        <w:spacing w:line="480" w:lineRule="auto"/>
        <w:ind w:firstLine="0"/>
        <w:jc w:val="both"/>
        <w:rPr>
          <w:rFonts w:ascii="Avenir Book" w:hAnsi="Avenir Book"/>
          <w:sz w:val="22"/>
          <w:szCs w:val="22"/>
        </w:rPr>
      </w:pPr>
      <w:r w:rsidRPr="00176F2B">
        <w:rPr>
          <w:rFonts w:ascii="Avenir Book" w:hAnsi="Avenir Book"/>
          <w:sz w:val="22"/>
          <w:szCs w:val="22"/>
          <w:vertAlign w:val="superscript"/>
          <w:lang w:val="en-GB"/>
        </w:rPr>
        <w:t xml:space="preserve">2 </w:t>
      </w:r>
      <w:r w:rsidRPr="00176F2B">
        <w:rPr>
          <w:rFonts w:ascii="Avenir Book" w:hAnsi="Avenir Book"/>
          <w:sz w:val="22"/>
          <w:szCs w:val="22"/>
          <w:lang w:val="en-GB"/>
        </w:rPr>
        <w:t>Institute of research in Psychology (IPSY) &amp; Institute of Neuroscience (IoNS) - University of Louvain (UCL), Louvain, Belgium</w:t>
      </w:r>
    </w:p>
    <w:p w14:paraId="157BE2C3" w14:textId="77777777" w:rsidR="00D1220C" w:rsidRDefault="00D1220C" w:rsidP="00734B11">
      <w:pPr>
        <w:spacing w:line="360" w:lineRule="auto"/>
        <w:jc w:val="center"/>
        <w:outlineLvl w:val="0"/>
        <w:rPr>
          <w:rFonts w:ascii="Avenir Book" w:hAnsi="Avenir Book"/>
          <w:b/>
          <w:sz w:val="22"/>
          <w:szCs w:val="22"/>
          <w:lang w:val="en-GB"/>
        </w:rPr>
      </w:pPr>
    </w:p>
    <w:p w14:paraId="4CB70CFC" w14:textId="77777777" w:rsidR="00734B11" w:rsidRDefault="00734B11" w:rsidP="00E90109">
      <w:pPr>
        <w:spacing w:line="360" w:lineRule="auto"/>
        <w:jc w:val="both"/>
        <w:rPr>
          <w:rFonts w:ascii="Avenir Book" w:hAnsi="Avenir Book"/>
          <w:sz w:val="22"/>
          <w:szCs w:val="22"/>
          <w:lang w:val="en-GB"/>
        </w:rPr>
      </w:pPr>
      <w:r>
        <w:rPr>
          <w:rFonts w:ascii="Avenir Book" w:hAnsi="Avenir Book"/>
          <w:sz w:val="22"/>
          <w:szCs w:val="22"/>
          <w:lang w:val="en-GB"/>
        </w:rPr>
        <w:t>Visual</w:t>
      </w:r>
      <w:r w:rsidRPr="002A1C20">
        <w:rPr>
          <w:rFonts w:ascii="Avenir Book" w:hAnsi="Avenir Book"/>
          <w:sz w:val="22"/>
          <w:szCs w:val="22"/>
          <w:lang w:val="en-GB"/>
        </w:rPr>
        <w:t xml:space="preserve"> deprivation triggers enhanced representation of auditory information in the occipital cortex. </w:t>
      </w:r>
      <w:r w:rsidR="00E90109">
        <w:rPr>
          <w:rFonts w:ascii="Avenir Book" w:hAnsi="Avenir Book"/>
          <w:sz w:val="22"/>
          <w:szCs w:val="22"/>
          <w:lang w:val="en-GB"/>
        </w:rPr>
        <w:t xml:space="preserve">How this crossmodal </w:t>
      </w:r>
      <w:r w:rsidR="00CF0876">
        <w:rPr>
          <w:rFonts w:ascii="Avenir Book" w:hAnsi="Avenir Book"/>
          <w:sz w:val="22"/>
          <w:szCs w:val="22"/>
          <w:lang w:val="en-GB"/>
        </w:rPr>
        <w:t>reorganization impacts on the temporal regions typically responsive to sounds?</w:t>
      </w:r>
      <w:r>
        <w:rPr>
          <w:rFonts w:ascii="Avenir Book" w:hAnsi="Avenir Book"/>
          <w:sz w:val="22"/>
          <w:szCs w:val="22"/>
          <w:lang w:val="en-GB"/>
        </w:rPr>
        <w:t xml:space="preserve"> </w:t>
      </w:r>
      <w:r w:rsidR="00CF0876">
        <w:rPr>
          <w:rFonts w:ascii="Avenir Book" w:hAnsi="Avenir Book"/>
          <w:sz w:val="22"/>
          <w:szCs w:val="22"/>
          <w:lang w:val="en-GB"/>
        </w:rPr>
        <w:t xml:space="preserve">How does blindness onset </w:t>
      </w:r>
      <w:r w:rsidR="00CD275C">
        <w:rPr>
          <w:rFonts w:ascii="Avenir Book" w:hAnsi="Avenir Book"/>
          <w:sz w:val="22"/>
          <w:szCs w:val="22"/>
          <w:lang w:val="en-GB"/>
        </w:rPr>
        <w:t>impact</w:t>
      </w:r>
      <w:r w:rsidR="00CF0876">
        <w:rPr>
          <w:rFonts w:ascii="Avenir Book" w:hAnsi="Avenir Book"/>
          <w:sz w:val="22"/>
          <w:szCs w:val="22"/>
          <w:lang w:val="en-GB"/>
        </w:rPr>
        <w:t xml:space="preserve"> on the interplay between occipital and temporal regions?</w:t>
      </w:r>
      <w:r>
        <w:rPr>
          <w:rFonts w:ascii="Avenir Book" w:hAnsi="Avenir Book"/>
          <w:sz w:val="22"/>
          <w:szCs w:val="22"/>
          <w:lang w:val="en-GB"/>
        </w:rPr>
        <w:t xml:space="preserve"> To address the</w:t>
      </w:r>
      <w:r w:rsidRPr="002A1C20">
        <w:rPr>
          <w:rFonts w:ascii="Avenir Book" w:hAnsi="Avenir Book"/>
          <w:sz w:val="22"/>
          <w:szCs w:val="22"/>
          <w:lang w:val="en-GB"/>
        </w:rPr>
        <w:t>s</w:t>
      </w:r>
      <w:r>
        <w:rPr>
          <w:rFonts w:ascii="Avenir Book" w:hAnsi="Avenir Book"/>
          <w:sz w:val="22"/>
          <w:szCs w:val="22"/>
          <w:lang w:val="en-GB"/>
        </w:rPr>
        <w:t>e</w:t>
      </w:r>
      <w:r w:rsidRPr="002A1C20">
        <w:rPr>
          <w:rFonts w:ascii="Avenir Book" w:hAnsi="Avenir Book"/>
          <w:sz w:val="22"/>
          <w:szCs w:val="22"/>
          <w:lang w:val="en-GB"/>
        </w:rPr>
        <w:t xml:space="preserve"> question</w:t>
      </w:r>
      <w:r>
        <w:rPr>
          <w:rFonts w:ascii="Avenir Book" w:hAnsi="Avenir Book"/>
          <w:sz w:val="22"/>
          <w:szCs w:val="22"/>
          <w:lang w:val="en-GB"/>
        </w:rPr>
        <w:t>s</w:t>
      </w:r>
      <w:r w:rsidRPr="002A1C20">
        <w:rPr>
          <w:rFonts w:ascii="Avenir Book" w:hAnsi="Avenir Book"/>
          <w:sz w:val="22"/>
          <w:szCs w:val="22"/>
          <w:lang w:val="en-GB"/>
        </w:rPr>
        <w:t>, we used fMRI to characterize brain responses of early blind (EB)</w:t>
      </w:r>
      <w:r>
        <w:rPr>
          <w:rFonts w:ascii="Avenir Book" w:hAnsi="Avenir Book"/>
          <w:sz w:val="22"/>
          <w:szCs w:val="22"/>
          <w:lang w:val="en-GB"/>
        </w:rPr>
        <w:t>, late blind (LB)</w:t>
      </w:r>
      <w:r w:rsidRPr="002A1C20">
        <w:rPr>
          <w:rFonts w:ascii="Avenir Book" w:hAnsi="Avenir Book"/>
          <w:sz w:val="22"/>
          <w:szCs w:val="22"/>
          <w:lang w:val="en-GB"/>
        </w:rPr>
        <w:t xml:space="preserve"> and</w:t>
      </w:r>
      <w:r>
        <w:rPr>
          <w:rFonts w:ascii="Avenir Book" w:hAnsi="Avenir Book"/>
          <w:sz w:val="22"/>
          <w:szCs w:val="22"/>
          <w:lang w:val="en-GB"/>
        </w:rPr>
        <w:t xml:space="preserve"> matched</w:t>
      </w:r>
      <w:r w:rsidRPr="002A1C20">
        <w:rPr>
          <w:rFonts w:ascii="Avenir Book" w:hAnsi="Avenir Book"/>
          <w:sz w:val="22"/>
          <w:szCs w:val="22"/>
          <w:lang w:val="en-GB"/>
        </w:rPr>
        <w:t xml:space="preserve"> sighted control (SC) individuals listening to sounds from four different categories (human, animal, objects and places). Multivariate pattern analysis was used to decode these four classes of stimuli into individually defined occipital and temporal anatomical parcels. </w:t>
      </w:r>
      <w:r w:rsidR="00CF0876">
        <w:rPr>
          <w:rFonts w:ascii="Avenir Book" w:hAnsi="Avenir Book"/>
          <w:sz w:val="22"/>
          <w:szCs w:val="22"/>
          <w:lang w:val="en-GB"/>
        </w:rPr>
        <w:t>In the EB, w</w:t>
      </w:r>
      <w:r>
        <w:rPr>
          <w:rFonts w:ascii="Avenir Book" w:hAnsi="Avenir Book"/>
          <w:sz w:val="22"/>
          <w:szCs w:val="22"/>
          <w:lang w:val="en-GB"/>
        </w:rPr>
        <w:t>e</w:t>
      </w:r>
      <w:r w:rsidRPr="002A1C20">
        <w:rPr>
          <w:rFonts w:ascii="Avenir Book" w:hAnsi="Avenir Book"/>
          <w:sz w:val="22"/>
          <w:szCs w:val="22"/>
          <w:lang w:val="en-GB"/>
        </w:rPr>
        <w:t xml:space="preserve"> observed </w:t>
      </w:r>
      <w:r>
        <w:rPr>
          <w:rFonts w:ascii="Avenir Book" w:hAnsi="Avenir Book"/>
          <w:sz w:val="22"/>
          <w:szCs w:val="22"/>
          <w:lang w:val="en-GB"/>
        </w:rPr>
        <w:t>that</w:t>
      </w:r>
      <w:r w:rsidRPr="002A1C20">
        <w:rPr>
          <w:rFonts w:ascii="Avenir Book" w:hAnsi="Avenir Book"/>
          <w:sz w:val="22"/>
          <w:szCs w:val="22"/>
          <w:lang w:val="en-GB"/>
        </w:rPr>
        <w:t xml:space="preserve"> occipital regions contained more information abo</w:t>
      </w:r>
      <w:r>
        <w:rPr>
          <w:rFonts w:ascii="Avenir Book" w:hAnsi="Avenir Book"/>
          <w:sz w:val="22"/>
          <w:szCs w:val="22"/>
          <w:lang w:val="en-GB"/>
        </w:rPr>
        <w:t>ut sound categories</w:t>
      </w:r>
      <w:r w:rsidRPr="002A1C20">
        <w:rPr>
          <w:rFonts w:ascii="Avenir Book" w:hAnsi="Avenir Book"/>
          <w:sz w:val="22"/>
          <w:szCs w:val="22"/>
          <w:lang w:val="en-GB"/>
        </w:rPr>
        <w:t xml:space="preserve">, </w:t>
      </w:r>
      <w:r>
        <w:rPr>
          <w:rFonts w:ascii="Avenir Book" w:hAnsi="Avenir Book"/>
          <w:sz w:val="22"/>
          <w:szCs w:val="22"/>
          <w:lang w:val="en-GB"/>
        </w:rPr>
        <w:t xml:space="preserve">while </w:t>
      </w:r>
      <w:r w:rsidRPr="002A1C20">
        <w:rPr>
          <w:rFonts w:ascii="Avenir Book" w:hAnsi="Avenir Book"/>
          <w:sz w:val="22"/>
          <w:szCs w:val="22"/>
          <w:lang w:val="en-GB"/>
        </w:rPr>
        <w:t xml:space="preserve">the temporal cortex showed </w:t>
      </w:r>
      <w:r w:rsidR="00CD275C">
        <w:rPr>
          <w:rFonts w:ascii="Avenir Book" w:hAnsi="Avenir Book"/>
          <w:sz w:val="22"/>
          <w:szCs w:val="22"/>
          <w:lang w:val="en-GB"/>
        </w:rPr>
        <w:t>less information</w:t>
      </w:r>
      <w:r w:rsidRPr="002A1C20">
        <w:rPr>
          <w:rFonts w:ascii="Avenir Book" w:hAnsi="Avenir Book"/>
          <w:sz w:val="22"/>
          <w:szCs w:val="22"/>
          <w:lang w:val="en-GB"/>
        </w:rPr>
        <w:t xml:space="preserve"> </w:t>
      </w:r>
      <w:r w:rsidR="00CF0876">
        <w:rPr>
          <w:rFonts w:ascii="Avenir Book" w:hAnsi="Avenir Book"/>
          <w:sz w:val="22"/>
          <w:szCs w:val="22"/>
          <w:lang w:val="en-GB"/>
        </w:rPr>
        <w:t>when compared to SC</w:t>
      </w:r>
      <w:r w:rsidRPr="002A1C20">
        <w:rPr>
          <w:rFonts w:ascii="Avenir Book" w:hAnsi="Avenir Book"/>
          <w:sz w:val="22"/>
          <w:szCs w:val="22"/>
          <w:lang w:val="en-GB"/>
        </w:rPr>
        <w:t xml:space="preserve">. Moreover, we observed a negative correlation between occipital and temporal decoding of sound categories in EB, </w:t>
      </w:r>
      <w:r w:rsidRPr="00CF0876">
        <w:rPr>
          <w:rFonts w:ascii="Avenir Book" w:hAnsi="Avenir Book"/>
          <w:sz w:val="22"/>
          <w:szCs w:val="22"/>
          <w:lang w:val="en-GB"/>
        </w:rPr>
        <w:t>suggesting that these intramodal and crossmodal reorganizations might be inter-connected</w:t>
      </w:r>
      <w:r w:rsidRPr="002A1C20">
        <w:rPr>
          <w:rFonts w:ascii="Avenir Book" w:hAnsi="Avenir Book"/>
          <w:sz w:val="22"/>
          <w:szCs w:val="22"/>
          <w:lang w:val="en-GB"/>
        </w:rPr>
        <w:t xml:space="preserve">. Interestingly, we found </w:t>
      </w:r>
      <w:r>
        <w:rPr>
          <w:rFonts w:ascii="Avenir Book" w:hAnsi="Avenir Book"/>
          <w:sz w:val="22"/>
          <w:szCs w:val="22"/>
          <w:lang w:val="en-GB"/>
        </w:rPr>
        <w:t>a different functional profile in the LB group</w:t>
      </w:r>
      <w:r w:rsidR="00CF0876">
        <w:rPr>
          <w:rFonts w:ascii="Avenir Book" w:hAnsi="Avenir Book"/>
          <w:sz w:val="22"/>
          <w:szCs w:val="22"/>
          <w:lang w:val="en-GB"/>
        </w:rPr>
        <w:t xml:space="preserve"> for who the</w:t>
      </w:r>
      <w:r>
        <w:rPr>
          <w:rFonts w:ascii="Avenir Book" w:hAnsi="Avenir Book"/>
          <w:sz w:val="22"/>
          <w:szCs w:val="22"/>
          <w:lang w:val="en-GB"/>
        </w:rPr>
        <w:t xml:space="preserve"> increased representation of the sound categories in the occipital cortex was not linked with a significant decreased representation in the temporal cortex. </w:t>
      </w:r>
      <w:r w:rsidR="00CD275C">
        <w:rPr>
          <w:rFonts w:ascii="Avenir Book" w:hAnsi="Avenir Book"/>
          <w:sz w:val="22"/>
          <w:szCs w:val="22"/>
          <w:lang w:val="en-GB"/>
        </w:rPr>
        <w:t>In fact</w:t>
      </w:r>
      <w:r>
        <w:rPr>
          <w:rFonts w:ascii="Avenir Book" w:hAnsi="Avenir Book"/>
          <w:sz w:val="22"/>
          <w:szCs w:val="22"/>
          <w:lang w:val="en-GB"/>
        </w:rPr>
        <w:t xml:space="preserve">, </w:t>
      </w:r>
      <w:r>
        <w:rPr>
          <w:rFonts w:ascii="Avenir Book" w:hAnsi="Avenir Book"/>
          <w:sz w:val="22"/>
          <w:szCs w:val="22"/>
          <w:lang w:val="en-GB"/>
        </w:rPr>
        <w:lastRenderedPageBreak/>
        <w:t>the decoding accuracy in the two cortices showed a positive correlation</w:t>
      </w:r>
      <w:r w:rsidR="00CD275C">
        <w:rPr>
          <w:rFonts w:ascii="Avenir Book" w:hAnsi="Avenir Book"/>
          <w:sz w:val="22"/>
          <w:szCs w:val="22"/>
          <w:lang w:val="en-GB"/>
        </w:rPr>
        <w:t xml:space="preserve"> in LB</w:t>
      </w:r>
      <w:r>
        <w:rPr>
          <w:rFonts w:ascii="Avenir Book" w:hAnsi="Avenir Book"/>
          <w:sz w:val="22"/>
          <w:szCs w:val="22"/>
          <w:lang w:val="en-GB"/>
        </w:rPr>
        <w:t xml:space="preserve">, suggesting a qualitatively different crossmodal plasticity mechanism in LB </w:t>
      </w:r>
      <w:r w:rsidR="00CD275C">
        <w:rPr>
          <w:rFonts w:ascii="Avenir Book" w:hAnsi="Avenir Book"/>
          <w:sz w:val="22"/>
          <w:szCs w:val="22"/>
          <w:lang w:val="en-GB"/>
        </w:rPr>
        <w:t xml:space="preserve">when </w:t>
      </w:r>
      <w:r>
        <w:rPr>
          <w:rFonts w:ascii="Avenir Book" w:hAnsi="Avenir Book"/>
          <w:sz w:val="22"/>
          <w:szCs w:val="22"/>
          <w:lang w:val="en-GB"/>
        </w:rPr>
        <w:t xml:space="preserve">compared to EB individuals. We therefore suggest that, only in the case of early-acquired blindness, </w:t>
      </w:r>
      <w:r w:rsidRPr="002A1C20">
        <w:rPr>
          <w:rFonts w:ascii="Avenir Book" w:hAnsi="Avenir Book"/>
          <w:sz w:val="22"/>
          <w:szCs w:val="22"/>
          <w:lang w:val="en-GB"/>
        </w:rPr>
        <w:t>the extension of non-visual functions in the occipital cortex triggers a network-level reorganization that may reduce the computational load of the regions typically coding for th</w:t>
      </w:r>
      <w:r>
        <w:rPr>
          <w:rFonts w:ascii="Avenir Book" w:hAnsi="Avenir Book"/>
          <w:sz w:val="22"/>
          <w:szCs w:val="22"/>
          <w:lang w:val="en-GB"/>
        </w:rPr>
        <w:t>e remaining senses.</w:t>
      </w:r>
    </w:p>
    <w:p w14:paraId="2579F797" w14:textId="77777777" w:rsidR="008E1415" w:rsidRDefault="008E1415"/>
    <w:sectPr w:rsidR="008E1415" w:rsidSect="00CF1D7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tilisateur Microsoft Office">
    <w15:presenceInfo w15:providerId="None" w15:userId="Utilisateur Microsoft Offi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B11"/>
    <w:rsid w:val="003D6F5D"/>
    <w:rsid w:val="00616295"/>
    <w:rsid w:val="00734B11"/>
    <w:rsid w:val="008E1415"/>
    <w:rsid w:val="00CD275C"/>
    <w:rsid w:val="00CF0876"/>
    <w:rsid w:val="00CF1D75"/>
    <w:rsid w:val="00D1220C"/>
    <w:rsid w:val="00E9010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8FA85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B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010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90109"/>
    <w:rPr>
      <w:rFonts w:ascii="Times New Roman" w:hAnsi="Times New Roman" w:cs="Times New Roman"/>
      <w:sz w:val="18"/>
      <w:szCs w:val="18"/>
    </w:rPr>
  </w:style>
  <w:style w:type="character" w:customStyle="1" w:styleId="InternetLink">
    <w:name w:val="Internet Link"/>
    <w:basedOn w:val="DefaultParagraphFont"/>
    <w:rsid w:val="00D1220C"/>
    <w:rPr>
      <w:color w:val="0000FF"/>
      <w:u w:val="single"/>
      <w:lang w:val="uz-Cyrl-UZ" w:eastAsia="uz-Cyrl-UZ" w:bidi="uz-Cyrl-UZ"/>
    </w:rPr>
  </w:style>
  <w:style w:type="paragraph" w:customStyle="1" w:styleId="Authors">
    <w:name w:val="Authors"/>
    <w:basedOn w:val="Normal"/>
    <w:link w:val="AuthorsChar"/>
    <w:rsid w:val="00D1220C"/>
    <w:pPr>
      <w:suppressAutoHyphens/>
      <w:spacing w:before="120" w:after="360"/>
      <w:jc w:val="center"/>
    </w:pPr>
    <w:rPr>
      <w:rFonts w:ascii="Times New Roman" w:eastAsia="Times New Roman" w:hAnsi="Times New Roman" w:cs="Times New Roman"/>
      <w:color w:val="00000A"/>
      <w:lang w:val="en-US"/>
    </w:rPr>
  </w:style>
  <w:style w:type="paragraph" w:customStyle="1" w:styleId="Paragraph">
    <w:name w:val="Paragraph"/>
    <w:basedOn w:val="Normal"/>
    <w:rsid w:val="00D1220C"/>
    <w:pPr>
      <w:suppressAutoHyphens/>
      <w:spacing w:before="120"/>
      <w:ind w:firstLine="720"/>
    </w:pPr>
    <w:rPr>
      <w:rFonts w:ascii="Times New Roman" w:eastAsia="Times New Roman" w:hAnsi="Times New Roman" w:cs="Times New Roman"/>
      <w:color w:val="00000A"/>
      <w:lang w:val="en-US"/>
    </w:rPr>
  </w:style>
  <w:style w:type="character" w:customStyle="1" w:styleId="AuthorsChar">
    <w:name w:val="Authors Char"/>
    <w:link w:val="Authors"/>
    <w:rsid w:val="00D1220C"/>
    <w:rPr>
      <w:rFonts w:ascii="Times New Roman" w:eastAsia="Times New Roman" w:hAnsi="Times New Roman" w:cs="Times New Roman"/>
      <w:color w:val="00000A"/>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B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010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90109"/>
    <w:rPr>
      <w:rFonts w:ascii="Times New Roman" w:hAnsi="Times New Roman" w:cs="Times New Roman"/>
      <w:sz w:val="18"/>
      <w:szCs w:val="18"/>
    </w:rPr>
  </w:style>
  <w:style w:type="character" w:customStyle="1" w:styleId="InternetLink">
    <w:name w:val="Internet Link"/>
    <w:basedOn w:val="DefaultParagraphFont"/>
    <w:rsid w:val="00D1220C"/>
    <w:rPr>
      <w:color w:val="0000FF"/>
      <w:u w:val="single"/>
      <w:lang w:val="uz-Cyrl-UZ" w:eastAsia="uz-Cyrl-UZ" w:bidi="uz-Cyrl-UZ"/>
    </w:rPr>
  </w:style>
  <w:style w:type="paragraph" w:customStyle="1" w:styleId="Authors">
    <w:name w:val="Authors"/>
    <w:basedOn w:val="Normal"/>
    <w:link w:val="AuthorsChar"/>
    <w:rsid w:val="00D1220C"/>
    <w:pPr>
      <w:suppressAutoHyphens/>
      <w:spacing w:before="120" w:after="360"/>
      <w:jc w:val="center"/>
    </w:pPr>
    <w:rPr>
      <w:rFonts w:ascii="Times New Roman" w:eastAsia="Times New Roman" w:hAnsi="Times New Roman" w:cs="Times New Roman"/>
      <w:color w:val="00000A"/>
      <w:lang w:val="en-US"/>
    </w:rPr>
  </w:style>
  <w:style w:type="paragraph" w:customStyle="1" w:styleId="Paragraph">
    <w:name w:val="Paragraph"/>
    <w:basedOn w:val="Normal"/>
    <w:rsid w:val="00D1220C"/>
    <w:pPr>
      <w:suppressAutoHyphens/>
      <w:spacing w:before="120"/>
      <w:ind w:firstLine="720"/>
    </w:pPr>
    <w:rPr>
      <w:rFonts w:ascii="Times New Roman" w:eastAsia="Times New Roman" w:hAnsi="Times New Roman" w:cs="Times New Roman"/>
      <w:color w:val="00000A"/>
      <w:lang w:val="en-US"/>
    </w:rPr>
  </w:style>
  <w:style w:type="character" w:customStyle="1" w:styleId="AuthorsChar">
    <w:name w:val="Authors Char"/>
    <w:link w:val="Authors"/>
    <w:rsid w:val="00D1220C"/>
    <w:rPr>
      <w:rFonts w:ascii="Times New Roman" w:eastAsia="Times New Roman" w:hAnsi="Times New Roman" w:cs="Times New Roman"/>
      <w:color w:val="00000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11/relationships/people" Target="people.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341</Words>
  <Characters>1950</Characters>
  <Application>Microsoft Macintosh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Mattioni</dc:creator>
  <cp:keywords/>
  <dc:description/>
  <cp:lastModifiedBy>Stefania Mattioni</cp:lastModifiedBy>
  <cp:revision>3</cp:revision>
  <dcterms:created xsi:type="dcterms:W3CDTF">2018-08-23T12:30:00Z</dcterms:created>
  <dcterms:modified xsi:type="dcterms:W3CDTF">2018-08-27T14:45:00Z</dcterms:modified>
</cp:coreProperties>
</file>