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42ADE" w14:textId="020B9289" w:rsidR="00A30BA8" w:rsidRPr="00B77291" w:rsidRDefault="00037F65" w:rsidP="00037F65">
      <w:pPr>
        <w:jc w:val="both"/>
        <w:rPr>
          <w:color w:val="000000"/>
          <w:shd w:val="clear" w:color="auto" w:fill="FFFFFF"/>
          <w:lang w:val="fr-FR"/>
        </w:rPr>
      </w:pPr>
      <w:r w:rsidRPr="00B77291">
        <w:rPr>
          <w:color w:val="000000"/>
          <w:shd w:val="clear" w:color="auto" w:fill="FFFFFF"/>
          <w:lang w:val="fr-FR"/>
        </w:rPr>
        <w:t>Emily </w:t>
      </w:r>
      <w:r w:rsidRPr="00B77291">
        <w:rPr>
          <w:smallCaps/>
          <w:color w:val="000000"/>
          <w:shd w:val="clear" w:color="auto" w:fill="FFFFFF"/>
          <w:lang w:val="fr-FR"/>
        </w:rPr>
        <w:t>Steiner</w:t>
      </w:r>
      <w:r w:rsidRPr="00B77291">
        <w:rPr>
          <w:color w:val="000000"/>
          <w:shd w:val="clear" w:color="auto" w:fill="FFFFFF"/>
          <w:lang w:val="fr-FR"/>
        </w:rPr>
        <w:t>, </w:t>
      </w:r>
      <w:r w:rsidRPr="00B77291">
        <w:rPr>
          <w:b/>
          <w:bCs/>
          <w:color w:val="000000"/>
          <w:shd w:val="clear" w:color="auto" w:fill="FFFFFF"/>
          <w:lang w:val="fr-FR"/>
        </w:rPr>
        <w:t>John </w:t>
      </w:r>
      <w:r w:rsidRPr="00B77291">
        <w:rPr>
          <w:rStyle w:val="il"/>
          <w:b/>
          <w:bCs/>
          <w:color w:val="000000"/>
          <w:shd w:val="clear" w:color="auto" w:fill="FFFFFF"/>
          <w:lang w:val="fr-FR"/>
        </w:rPr>
        <w:t>Trevisa</w:t>
      </w:r>
      <w:r w:rsidRPr="00B77291">
        <w:rPr>
          <w:b/>
          <w:bCs/>
          <w:color w:val="000000"/>
          <w:shd w:val="clear" w:color="auto" w:fill="FFFFFF"/>
          <w:lang w:val="fr-FR"/>
        </w:rPr>
        <w:t>’s Information Age: Knowledge and the Pursuit of Literature, c. 1400</w:t>
      </w:r>
      <w:r w:rsidRPr="00B77291">
        <w:rPr>
          <w:color w:val="000000"/>
          <w:shd w:val="clear" w:color="auto" w:fill="FFFFFF"/>
          <w:lang w:val="fr-FR"/>
        </w:rPr>
        <w:t>, Oxford, Oxford U.P., 2021 ; 1 vol., XII-287 p. (</w:t>
      </w:r>
      <w:hyperlink r:id="rId4" w:tgtFrame="_blank" w:history="1">
        <w:r w:rsidRPr="00B77291">
          <w:rPr>
            <w:rStyle w:val="Hyperlink"/>
            <w:i/>
            <w:iCs/>
            <w:color w:val="auto"/>
            <w:u w:val="none"/>
            <w:shd w:val="clear" w:color="auto" w:fill="FFFFFF"/>
            <w:lang w:val="fr-FR"/>
          </w:rPr>
          <w:t>Oxford Studies in Medieval Literature and Culture</w:t>
        </w:r>
      </w:hyperlink>
      <w:r w:rsidRPr="00B77291">
        <w:rPr>
          <w:color w:val="000000"/>
          <w:shd w:val="clear" w:color="auto" w:fill="FFFFFF"/>
          <w:lang w:val="fr-FR"/>
        </w:rPr>
        <w:t>). ISBN : 978-0-19-289690-2. Prix : GBP 60.</w:t>
      </w:r>
    </w:p>
    <w:p w14:paraId="26D2DA40" w14:textId="1F63C294" w:rsidR="00037F65" w:rsidRDefault="00037F65" w:rsidP="00037F65">
      <w:pPr>
        <w:jc w:val="both"/>
        <w:rPr>
          <w:lang w:val="fr-FR"/>
        </w:rPr>
      </w:pPr>
    </w:p>
    <w:p w14:paraId="5ECF867D" w14:textId="7EBB45E4" w:rsidR="00306B2C" w:rsidRDefault="00D70177" w:rsidP="00037F65">
      <w:pPr>
        <w:jc w:val="both"/>
        <w:rPr>
          <w:lang w:val="fr-FR"/>
        </w:rPr>
      </w:pPr>
      <w:r>
        <w:rPr>
          <w:lang w:val="fr-FR"/>
        </w:rPr>
        <w:t>D</w:t>
      </w:r>
      <w:r w:rsidR="003C3C9A">
        <w:rPr>
          <w:lang w:val="fr-FR"/>
        </w:rPr>
        <w:t xml:space="preserve">ans cet ouvrage </w:t>
      </w:r>
      <w:r>
        <w:rPr>
          <w:lang w:val="fr-FR"/>
        </w:rPr>
        <w:t xml:space="preserve">Emily Steiner défend </w:t>
      </w:r>
      <w:r w:rsidR="003C3C9A">
        <w:rPr>
          <w:lang w:val="fr-FR"/>
        </w:rPr>
        <w:t>la thèse que l’apport de J</w:t>
      </w:r>
      <w:r w:rsidR="002D4C7C">
        <w:rPr>
          <w:lang w:val="fr-FR"/>
        </w:rPr>
        <w:t>ohn (</w:t>
      </w:r>
      <w:r w:rsidR="00632D7F">
        <w:rPr>
          <w:lang w:val="fr-FR"/>
        </w:rPr>
        <w:t xml:space="preserve">ou </w:t>
      </w:r>
      <w:r w:rsidR="002D4C7C">
        <w:rPr>
          <w:lang w:val="fr-FR"/>
        </w:rPr>
        <w:t xml:space="preserve">Jean) </w:t>
      </w:r>
      <w:r w:rsidR="003C3C9A">
        <w:rPr>
          <w:lang w:val="fr-FR"/>
        </w:rPr>
        <w:t>Trevisa (</w:t>
      </w:r>
      <w:r w:rsidR="003C3C9A">
        <w:rPr>
          <w:rFonts w:cstheme="minorHAnsi"/>
          <w:lang w:val="fr-FR"/>
        </w:rPr>
        <w:t>†</w:t>
      </w:r>
      <w:r w:rsidR="003C3C9A">
        <w:rPr>
          <w:lang w:val="fr-FR"/>
        </w:rPr>
        <w:t xml:space="preserve"> 1402) pour la littérature (médiévale) anglaise est tout à fait capitale, </w:t>
      </w:r>
      <w:r>
        <w:rPr>
          <w:lang w:val="fr-FR"/>
        </w:rPr>
        <w:t xml:space="preserve">bien que </w:t>
      </w:r>
      <w:r>
        <w:rPr>
          <w:lang w:val="de-DE"/>
        </w:rPr>
        <w:t xml:space="preserve">ce soit </w:t>
      </w:r>
      <w:r w:rsidR="003C3C9A">
        <w:rPr>
          <w:lang w:val="fr-FR"/>
        </w:rPr>
        <w:t>son contemporain Geoffrey Chaucer (</w:t>
      </w:r>
      <w:r w:rsidR="003C3C9A">
        <w:rPr>
          <w:rFonts w:cstheme="minorHAnsi"/>
          <w:lang w:val="fr-FR"/>
        </w:rPr>
        <w:t xml:space="preserve">† </w:t>
      </w:r>
      <w:r w:rsidR="003C3C9A">
        <w:rPr>
          <w:lang w:val="fr-FR"/>
        </w:rPr>
        <w:t>1400)</w:t>
      </w:r>
      <w:r>
        <w:rPr>
          <w:lang w:val="fr-FR"/>
        </w:rPr>
        <w:t xml:space="preserve"> qui occupe le devant de la scène</w:t>
      </w:r>
      <w:r w:rsidR="003C3C9A">
        <w:rPr>
          <w:lang w:val="fr-FR"/>
        </w:rPr>
        <w:t>.</w:t>
      </w:r>
      <w:r w:rsidR="002D4C7C">
        <w:rPr>
          <w:lang w:val="fr-FR"/>
        </w:rPr>
        <w:t xml:space="preserve"> La professeure d’anglais </w:t>
      </w:r>
      <w:r w:rsidR="0020333C">
        <w:rPr>
          <w:lang w:val="fr-FR"/>
        </w:rPr>
        <w:t>de</w:t>
      </w:r>
      <w:r w:rsidR="002D4C7C">
        <w:rPr>
          <w:lang w:val="fr-FR"/>
        </w:rPr>
        <w:t xml:space="preserve"> l’University of Pennsylvania souligne que (p. 25 et 28) : « This study maintains that [massive reference books like those of Trevisa] had a major impact on English poetry and prose. […] through Trevisa’s œuvre, we see that English literature as we know it emerged as part of a medieval information age. » Parmi les œuvres latines que</w:t>
      </w:r>
      <w:r w:rsidR="00632D7F">
        <w:rPr>
          <w:lang w:val="fr-FR"/>
        </w:rPr>
        <w:t xml:space="preserve"> Trevisa </w:t>
      </w:r>
      <w:r w:rsidR="002D4C7C">
        <w:rPr>
          <w:lang w:val="fr-FR"/>
        </w:rPr>
        <w:t xml:space="preserve">a traduites en anglais figurent le texte </w:t>
      </w:r>
      <w:r w:rsidR="002D4C7C" w:rsidRPr="00844BCA">
        <w:rPr>
          <w:i/>
          <w:iCs/>
          <w:lang w:val="fr-FR"/>
        </w:rPr>
        <w:t xml:space="preserve">Polychronicon </w:t>
      </w:r>
      <w:r w:rsidR="002D4C7C">
        <w:rPr>
          <w:lang w:val="fr-FR"/>
        </w:rPr>
        <w:t xml:space="preserve">de Ranulf Higden, le </w:t>
      </w:r>
      <w:r w:rsidR="002D4C7C" w:rsidRPr="00844BCA">
        <w:rPr>
          <w:i/>
          <w:iCs/>
          <w:lang w:val="fr-FR"/>
        </w:rPr>
        <w:t>De proprietatibus rerum</w:t>
      </w:r>
      <w:r w:rsidR="002D4C7C">
        <w:rPr>
          <w:lang w:val="fr-FR"/>
        </w:rPr>
        <w:t xml:space="preserve"> de Barthélemy l’Anglais et le </w:t>
      </w:r>
      <w:r w:rsidR="002D4C7C" w:rsidRPr="00844BCA">
        <w:rPr>
          <w:i/>
          <w:iCs/>
          <w:lang w:val="fr-FR"/>
        </w:rPr>
        <w:t>De regimine principum</w:t>
      </w:r>
      <w:r w:rsidR="002D4C7C">
        <w:rPr>
          <w:lang w:val="fr-FR"/>
        </w:rPr>
        <w:t xml:space="preserve"> de Gilles de Rome. </w:t>
      </w:r>
      <w:r w:rsidR="003D53B5">
        <w:rPr>
          <w:lang w:val="fr-FR"/>
        </w:rPr>
        <w:t>Dans ce volume l</w:t>
      </w:r>
      <w:r w:rsidR="002D4C7C">
        <w:rPr>
          <w:lang w:val="fr-FR"/>
        </w:rPr>
        <w:t xml:space="preserve">es trois traductions sont analysées </w:t>
      </w:r>
      <w:r w:rsidR="003D53B5">
        <w:rPr>
          <w:lang w:val="fr-FR"/>
        </w:rPr>
        <w:t>de façon détaillée</w:t>
      </w:r>
      <w:r w:rsidR="002D4C7C">
        <w:rPr>
          <w:lang w:val="fr-FR"/>
        </w:rPr>
        <w:t xml:space="preserve">. </w:t>
      </w:r>
      <w:r w:rsidR="00835B73">
        <w:rPr>
          <w:lang w:val="fr-FR"/>
        </w:rPr>
        <w:t xml:space="preserve">Deux facteurs ont été profitables au travail de traducteur de John Trevisa </w:t>
      </w:r>
      <w:r w:rsidR="002D4C7C">
        <w:rPr>
          <w:lang w:val="fr-FR"/>
        </w:rPr>
        <w:t xml:space="preserve">: d’une part le soutien </w:t>
      </w:r>
      <w:r w:rsidR="00F34135">
        <w:rPr>
          <w:lang w:val="fr-FR"/>
        </w:rPr>
        <w:t xml:space="preserve">financier </w:t>
      </w:r>
      <w:r w:rsidR="002D4C7C">
        <w:rPr>
          <w:lang w:val="fr-FR"/>
        </w:rPr>
        <w:t>d</w:t>
      </w:r>
      <w:r w:rsidR="00F34135">
        <w:rPr>
          <w:lang w:val="fr-FR"/>
        </w:rPr>
        <w:t>u baron</w:t>
      </w:r>
      <w:r w:rsidR="002D4C7C">
        <w:rPr>
          <w:lang w:val="fr-FR"/>
        </w:rPr>
        <w:t xml:space="preserve"> Thomas de Berkeley</w:t>
      </w:r>
      <w:r w:rsidR="00F34135">
        <w:rPr>
          <w:lang w:val="fr-FR"/>
        </w:rPr>
        <w:t xml:space="preserve"> (1352/53-1417)</w:t>
      </w:r>
      <w:r w:rsidR="002D4C7C">
        <w:rPr>
          <w:lang w:val="fr-FR"/>
        </w:rPr>
        <w:t xml:space="preserve">, d’autre part l’absence d’une scène littéraire royale </w:t>
      </w:r>
      <w:r w:rsidR="00835B73">
        <w:rPr>
          <w:lang w:val="fr-FR"/>
        </w:rPr>
        <w:t>telle qu’elle existait</w:t>
      </w:r>
      <w:r w:rsidR="002D4C7C">
        <w:rPr>
          <w:lang w:val="fr-FR"/>
        </w:rPr>
        <w:t xml:space="preserve"> en France sous Charles V.</w:t>
      </w:r>
      <w:r w:rsidR="00306B2C">
        <w:rPr>
          <w:lang w:val="fr-FR"/>
        </w:rPr>
        <w:t xml:space="preserve"> </w:t>
      </w:r>
    </w:p>
    <w:p w14:paraId="7C237E8F" w14:textId="1FE068A5" w:rsidR="001200E1" w:rsidRDefault="005D5695" w:rsidP="00306B2C">
      <w:pPr>
        <w:jc w:val="both"/>
        <w:rPr>
          <w:lang w:val="fr-FR"/>
        </w:rPr>
      </w:pPr>
      <w:r>
        <w:rPr>
          <w:lang w:val="fr-FR"/>
        </w:rPr>
        <w:t>La monographie est structurée en sept grands chapitres (</w:t>
      </w:r>
      <w:r w:rsidR="00835B73">
        <w:rPr>
          <w:lang w:val="fr-FR"/>
        </w:rPr>
        <w:t xml:space="preserve">citons </w:t>
      </w:r>
      <w:r>
        <w:rPr>
          <w:lang w:val="fr-FR"/>
        </w:rPr>
        <w:t xml:space="preserve">entre autres </w:t>
      </w:r>
      <w:r w:rsidR="00835B73">
        <w:rPr>
          <w:lang w:val="fr-FR"/>
        </w:rPr>
        <w:t xml:space="preserve">chap. </w:t>
      </w:r>
      <w:r>
        <w:rPr>
          <w:lang w:val="fr-FR"/>
        </w:rPr>
        <w:t xml:space="preserve">2 Big form: Trevisa’s Vernacular Megagenre ; </w:t>
      </w:r>
      <w:r w:rsidR="007103E5">
        <w:rPr>
          <w:lang w:val="fr-FR"/>
        </w:rPr>
        <w:t xml:space="preserve">chap. </w:t>
      </w:r>
      <w:r w:rsidR="002D0F31">
        <w:rPr>
          <w:lang w:val="fr-FR"/>
        </w:rPr>
        <w:t xml:space="preserve">6 Encyclopedic Verse and Vernacular Science : </w:t>
      </w:r>
      <w:r w:rsidR="002D0F31" w:rsidRPr="002D0F31">
        <w:rPr>
          <w:i/>
          <w:iCs/>
          <w:lang w:val="fr-FR"/>
        </w:rPr>
        <w:t>The Book of Sydrac</w:t>
      </w:r>
      <w:r w:rsidR="002D0F31">
        <w:rPr>
          <w:lang w:val="fr-FR"/>
        </w:rPr>
        <w:t xml:space="preserve"> ; </w:t>
      </w:r>
      <w:r w:rsidR="007103E5">
        <w:rPr>
          <w:lang w:val="fr-FR"/>
        </w:rPr>
        <w:t xml:space="preserve">chap. </w:t>
      </w:r>
      <w:r>
        <w:rPr>
          <w:lang w:val="fr-FR"/>
        </w:rPr>
        <w:t>7 Holy Encyclopedism: Stephen Batman’s Middle Ages).</w:t>
      </w:r>
      <w:r w:rsidR="00306B2C">
        <w:rPr>
          <w:lang w:val="fr-FR"/>
        </w:rPr>
        <w:t xml:space="preserve"> </w:t>
      </w:r>
      <w:r w:rsidR="00C2626E">
        <w:rPr>
          <w:lang w:val="fr-FR"/>
        </w:rPr>
        <w:t xml:space="preserve">Un certain nombre d’éléments du chapitre 3 (p. 66-105) ont déjà été publiés dans « Radical Historiography: Langland, Trevisa, and the </w:t>
      </w:r>
      <w:r w:rsidR="00C2626E" w:rsidRPr="00F42DB2">
        <w:rPr>
          <w:i/>
          <w:iCs/>
          <w:lang w:val="fr-FR"/>
        </w:rPr>
        <w:t>Polychronicon</w:t>
      </w:r>
      <w:r w:rsidR="00C2626E">
        <w:rPr>
          <w:lang w:val="fr-FR"/>
        </w:rPr>
        <w:t xml:space="preserve"> », in </w:t>
      </w:r>
      <w:r w:rsidR="00C2626E" w:rsidRPr="00F42DB2">
        <w:rPr>
          <w:i/>
          <w:iCs/>
          <w:lang w:val="fr-FR"/>
        </w:rPr>
        <w:t>Studies in the Age of Chaucer</w:t>
      </w:r>
      <w:r w:rsidR="00C2626E">
        <w:rPr>
          <w:lang w:val="fr-FR"/>
        </w:rPr>
        <w:t xml:space="preserve"> 27 (2005), p. 171-211.</w:t>
      </w:r>
      <w:r w:rsidR="00292393">
        <w:rPr>
          <w:lang w:val="fr-FR"/>
        </w:rPr>
        <w:t xml:space="preserve"> </w:t>
      </w:r>
      <w:r w:rsidR="00B32D6B">
        <w:rPr>
          <w:lang w:val="fr-FR"/>
        </w:rPr>
        <w:t xml:space="preserve">Steiner souligne que </w:t>
      </w:r>
      <w:r w:rsidR="00DD17D8">
        <w:rPr>
          <w:lang w:val="fr-FR"/>
        </w:rPr>
        <w:t>l’index, établi</w:t>
      </w:r>
      <w:r w:rsidR="00140AC0">
        <w:rPr>
          <w:lang w:val="fr-FR"/>
        </w:rPr>
        <w:t xml:space="preserve"> par </w:t>
      </w:r>
      <w:r w:rsidR="00306B2C">
        <w:rPr>
          <w:lang w:val="fr-FR"/>
        </w:rPr>
        <w:t>Trevisa</w:t>
      </w:r>
      <w:r w:rsidR="00B32D6B">
        <w:rPr>
          <w:lang w:val="fr-FR"/>
        </w:rPr>
        <w:t xml:space="preserve"> pour </w:t>
      </w:r>
      <w:r w:rsidR="00140AC0">
        <w:rPr>
          <w:lang w:val="fr-FR"/>
        </w:rPr>
        <w:t>sa traduction du</w:t>
      </w:r>
      <w:r w:rsidR="00B32D6B">
        <w:rPr>
          <w:lang w:val="fr-FR"/>
        </w:rPr>
        <w:t xml:space="preserve"> </w:t>
      </w:r>
      <w:r w:rsidR="00B32D6B" w:rsidRPr="00393D1C">
        <w:rPr>
          <w:i/>
          <w:iCs/>
          <w:lang w:val="fr-FR"/>
        </w:rPr>
        <w:t>Polychronicon</w:t>
      </w:r>
      <w:r w:rsidR="007103E5">
        <w:rPr>
          <w:lang w:val="fr-FR"/>
        </w:rPr>
        <w:t>, est antérieur</w:t>
      </w:r>
      <w:r w:rsidR="000611A2">
        <w:rPr>
          <w:lang w:val="fr-FR"/>
        </w:rPr>
        <w:t xml:space="preserve"> de quelques décennies </w:t>
      </w:r>
      <w:r w:rsidR="007103E5">
        <w:rPr>
          <w:lang w:val="fr-FR"/>
        </w:rPr>
        <w:t xml:space="preserve">à </w:t>
      </w:r>
      <w:r w:rsidR="000611A2">
        <w:rPr>
          <w:lang w:val="fr-FR"/>
        </w:rPr>
        <w:t>celui</w:t>
      </w:r>
      <w:r w:rsidR="00B32D6B">
        <w:rPr>
          <w:lang w:val="fr-FR"/>
        </w:rPr>
        <w:t xml:space="preserve"> </w:t>
      </w:r>
      <w:r w:rsidR="000611A2">
        <w:rPr>
          <w:lang w:val="fr-FR"/>
        </w:rPr>
        <w:t xml:space="preserve">de </w:t>
      </w:r>
      <w:r w:rsidR="00B32D6B">
        <w:rPr>
          <w:lang w:val="fr-FR"/>
        </w:rPr>
        <w:t xml:space="preserve">la Bible </w:t>
      </w:r>
      <w:r w:rsidR="007103E5">
        <w:rPr>
          <w:lang w:val="fr-FR"/>
        </w:rPr>
        <w:t xml:space="preserve">traduite </w:t>
      </w:r>
      <w:r w:rsidR="00B32D6B">
        <w:rPr>
          <w:lang w:val="fr-FR"/>
        </w:rPr>
        <w:t xml:space="preserve">en anglais </w:t>
      </w:r>
      <w:r w:rsidR="000611A2">
        <w:rPr>
          <w:lang w:val="fr-FR"/>
        </w:rPr>
        <w:t xml:space="preserve">(vers 1425), </w:t>
      </w:r>
      <w:r w:rsidR="00FD4F9F">
        <w:rPr>
          <w:lang w:val="fr-FR"/>
        </w:rPr>
        <w:t xml:space="preserve">et </w:t>
      </w:r>
      <w:r w:rsidR="000611A2">
        <w:rPr>
          <w:lang w:val="fr-FR"/>
        </w:rPr>
        <w:t xml:space="preserve">serait </w:t>
      </w:r>
      <w:r w:rsidR="00FD4F9F">
        <w:rPr>
          <w:lang w:val="fr-FR"/>
        </w:rPr>
        <w:t xml:space="preserve">de fait </w:t>
      </w:r>
      <w:r w:rsidR="00C2626E">
        <w:rPr>
          <w:lang w:val="fr-FR"/>
        </w:rPr>
        <w:t>le</w:t>
      </w:r>
      <w:r w:rsidR="00B32D6B">
        <w:rPr>
          <w:lang w:val="fr-FR"/>
        </w:rPr>
        <w:t xml:space="preserve"> premier index </w:t>
      </w:r>
      <w:r w:rsidR="00393D1C">
        <w:rPr>
          <w:lang w:val="fr-FR"/>
        </w:rPr>
        <w:t>alphabétique officiel</w:t>
      </w:r>
      <w:r w:rsidR="00B32D6B">
        <w:rPr>
          <w:lang w:val="fr-FR"/>
        </w:rPr>
        <w:t xml:space="preserve"> en anglais </w:t>
      </w:r>
      <w:r w:rsidR="00393D1C">
        <w:rPr>
          <w:lang w:val="fr-FR"/>
        </w:rPr>
        <w:t xml:space="preserve">(p. 26). </w:t>
      </w:r>
      <w:r w:rsidR="00C2626E">
        <w:rPr>
          <w:lang w:val="fr-FR"/>
        </w:rPr>
        <w:t>Cet index</w:t>
      </w:r>
      <w:r w:rsidR="00393D1C">
        <w:rPr>
          <w:lang w:val="fr-FR"/>
        </w:rPr>
        <w:t xml:space="preserve"> est édité dans l’appendice (p. 229-255)</w:t>
      </w:r>
      <w:r w:rsidR="00C2626E">
        <w:rPr>
          <w:lang w:val="fr-FR"/>
        </w:rPr>
        <w:t xml:space="preserve"> d’après le manuscrit London, BL, Add. MS 24194, f. 28rb-35vb.</w:t>
      </w:r>
      <w:r w:rsidR="00292393">
        <w:rPr>
          <w:lang w:val="fr-FR"/>
        </w:rPr>
        <w:t xml:space="preserve"> </w:t>
      </w:r>
      <w:r w:rsidR="00FD4F9F">
        <w:rPr>
          <w:lang w:val="fr-FR"/>
        </w:rPr>
        <w:t xml:space="preserve">Au chapitre 5 Steiner examine le style développé par John Trevisa, style qu’elle qualifie </w:t>
      </w:r>
      <w:r w:rsidR="0012152A">
        <w:rPr>
          <w:lang w:val="fr-FR"/>
        </w:rPr>
        <w:t>d’</w:t>
      </w:r>
      <w:r w:rsidR="0012152A">
        <w:rPr>
          <w:rFonts w:cstheme="minorHAnsi"/>
          <w:lang w:val="fr-FR"/>
        </w:rPr>
        <w:t>«</w:t>
      </w:r>
      <w:r w:rsidR="0012152A">
        <w:rPr>
          <w:lang w:val="fr-FR"/>
        </w:rPr>
        <w:t xml:space="preserve"> </w:t>
      </w:r>
      <w:r w:rsidR="00292393">
        <w:rPr>
          <w:lang w:val="fr-FR"/>
        </w:rPr>
        <w:t>encyclopédique</w:t>
      </w:r>
      <w:r w:rsidR="0012152A">
        <w:rPr>
          <w:lang w:val="fr-FR"/>
        </w:rPr>
        <w:t xml:space="preserve"> </w:t>
      </w:r>
      <w:r w:rsidR="0012152A">
        <w:rPr>
          <w:rFonts w:cstheme="minorHAnsi"/>
          <w:lang w:val="fr-FR"/>
        </w:rPr>
        <w:t>»</w:t>
      </w:r>
      <w:r w:rsidR="00292393">
        <w:rPr>
          <w:lang w:val="fr-FR"/>
        </w:rPr>
        <w:t>. Dans ce style</w:t>
      </w:r>
      <w:r w:rsidR="00DD17D8">
        <w:rPr>
          <w:lang w:val="fr-FR"/>
        </w:rPr>
        <w:t>,</w:t>
      </w:r>
      <w:r w:rsidR="00292393">
        <w:rPr>
          <w:lang w:val="fr-FR"/>
        </w:rPr>
        <w:t xml:space="preserve"> la propriété </w:t>
      </w:r>
      <w:r w:rsidR="00D87321">
        <w:rPr>
          <w:lang w:val="fr-FR"/>
        </w:rPr>
        <w:t xml:space="preserve">d’une </w:t>
      </w:r>
      <w:r w:rsidR="00D87321" w:rsidRPr="00D87321">
        <w:rPr>
          <w:i/>
          <w:iCs/>
          <w:lang w:val="fr-FR"/>
        </w:rPr>
        <w:t>res</w:t>
      </w:r>
      <w:r w:rsidR="00D87321">
        <w:rPr>
          <w:lang w:val="fr-FR"/>
        </w:rPr>
        <w:t xml:space="preserve"> </w:t>
      </w:r>
      <w:r w:rsidR="00292393">
        <w:rPr>
          <w:lang w:val="fr-FR"/>
        </w:rPr>
        <w:t xml:space="preserve">se veut à la fois </w:t>
      </w:r>
      <w:r w:rsidR="00F70AAC">
        <w:rPr>
          <w:lang w:val="fr-FR"/>
        </w:rPr>
        <w:t>ornement</w:t>
      </w:r>
      <w:r w:rsidR="00292393">
        <w:rPr>
          <w:lang w:val="fr-FR"/>
        </w:rPr>
        <w:t xml:space="preserve"> littéraire et caractère de celle-ci. </w:t>
      </w:r>
      <w:r w:rsidR="0007572A">
        <w:rPr>
          <w:lang w:val="fr-FR"/>
        </w:rPr>
        <w:t xml:space="preserve">Dans le chapitre final, Steiner examine </w:t>
      </w:r>
      <w:r w:rsidR="002633EF">
        <w:rPr>
          <w:lang w:val="fr-FR"/>
        </w:rPr>
        <w:t>une</w:t>
      </w:r>
      <w:r w:rsidR="0007572A">
        <w:rPr>
          <w:lang w:val="fr-FR"/>
        </w:rPr>
        <w:t xml:space="preserve"> version </w:t>
      </w:r>
      <w:r w:rsidR="002633EF">
        <w:rPr>
          <w:lang w:val="fr-FR"/>
        </w:rPr>
        <w:t xml:space="preserve">fortement </w:t>
      </w:r>
      <w:r w:rsidR="0007572A">
        <w:rPr>
          <w:lang w:val="fr-FR"/>
        </w:rPr>
        <w:t xml:space="preserve">annotée </w:t>
      </w:r>
      <w:r w:rsidR="002633EF">
        <w:rPr>
          <w:lang w:val="fr-FR"/>
        </w:rPr>
        <w:t xml:space="preserve">de la traduction de </w:t>
      </w:r>
      <w:r w:rsidR="00306B2C">
        <w:rPr>
          <w:lang w:val="fr-FR"/>
        </w:rPr>
        <w:t>John Trevisa</w:t>
      </w:r>
      <w:r w:rsidR="002633EF">
        <w:rPr>
          <w:lang w:val="fr-FR"/>
        </w:rPr>
        <w:t xml:space="preserve"> du </w:t>
      </w:r>
      <w:r w:rsidR="002633EF" w:rsidRPr="002633EF">
        <w:rPr>
          <w:i/>
          <w:iCs/>
          <w:lang w:val="fr-FR"/>
        </w:rPr>
        <w:t>De proprietatibus rerum</w:t>
      </w:r>
      <w:r w:rsidR="002633EF">
        <w:rPr>
          <w:lang w:val="fr-FR"/>
        </w:rPr>
        <w:t xml:space="preserve"> (</w:t>
      </w:r>
      <w:r w:rsidR="002633EF" w:rsidRPr="002633EF">
        <w:rPr>
          <w:i/>
          <w:iCs/>
          <w:lang w:val="fr-FR"/>
        </w:rPr>
        <w:t>Batman vppon Bartholome</w:t>
      </w:r>
      <w:r w:rsidR="002633EF">
        <w:rPr>
          <w:lang w:val="fr-FR"/>
        </w:rPr>
        <w:t>, Londres, 1582). De nouvelles connaissances provenant des Amériques sont intégrées dans cette version.</w:t>
      </w:r>
    </w:p>
    <w:p w14:paraId="11C17A99" w14:textId="1B248D82" w:rsidR="00B77291" w:rsidRDefault="0012152A" w:rsidP="00037F65">
      <w:pPr>
        <w:jc w:val="both"/>
        <w:rPr>
          <w:lang w:val="fr-FR"/>
        </w:rPr>
      </w:pPr>
      <w:r>
        <w:rPr>
          <w:lang w:val="fr-FR"/>
        </w:rPr>
        <w:t>Steiner elle-même fait preuve d’un</w:t>
      </w:r>
      <w:r w:rsidR="00306B2C">
        <w:rPr>
          <w:lang w:val="fr-FR"/>
        </w:rPr>
        <w:t xml:space="preserve"> style bien fluide</w:t>
      </w:r>
      <w:r w:rsidR="00D87321">
        <w:rPr>
          <w:lang w:val="fr-FR"/>
        </w:rPr>
        <w:t xml:space="preserve"> ; on peut cependant regretter </w:t>
      </w:r>
      <w:r w:rsidR="00306B2C">
        <w:rPr>
          <w:lang w:val="fr-FR"/>
        </w:rPr>
        <w:t xml:space="preserve">que les titres </w:t>
      </w:r>
      <w:r w:rsidR="001200E1">
        <w:rPr>
          <w:lang w:val="fr-FR"/>
        </w:rPr>
        <w:t xml:space="preserve">utilisés </w:t>
      </w:r>
      <w:r w:rsidR="00306B2C">
        <w:rPr>
          <w:lang w:val="fr-FR"/>
        </w:rPr>
        <w:t>s</w:t>
      </w:r>
      <w:r w:rsidR="00D87321">
        <w:rPr>
          <w:lang w:val="fr-FR"/>
        </w:rPr>
        <w:t>oient</w:t>
      </w:r>
      <w:r w:rsidR="00306B2C">
        <w:rPr>
          <w:lang w:val="fr-FR"/>
        </w:rPr>
        <w:t xml:space="preserve"> peu explicites au point de rester énigmatiques.</w:t>
      </w:r>
      <w:r w:rsidR="001200E1">
        <w:rPr>
          <w:lang w:val="fr-FR"/>
        </w:rPr>
        <w:t xml:space="preserve"> </w:t>
      </w:r>
      <w:r w:rsidR="00D87321">
        <w:rPr>
          <w:lang w:val="fr-FR"/>
        </w:rPr>
        <w:t>Une bibliographie avec davantage</w:t>
      </w:r>
      <w:r w:rsidR="00A26EA0">
        <w:rPr>
          <w:lang w:val="fr-FR"/>
        </w:rPr>
        <w:t xml:space="preserve"> </w:t>
      </w:r>
      <w:r w:rsidR="001200E1">
        <w:rPr>
          <w:lang w:val="fr-FR"/>
        </w:rPr>
        <w:t>de références</w:t>
      </w:r>
      <w:r w:rsidR="00A26EA0">
        <w:rPr>
          <w:lang w:val="fr-FR"/>
        </w:rPr>
        <w:t xml:space="preserve"> non anglais</w:t>
      </w:r>
      <w:r w:rsidR="001200E1">
        <w:rPr>
          <w:lang w:val="fr-FR"/>
        </w:rPr>
        <w:t>es</w:t>
      </w:r>
      <w:r w:rsidR="008C4775">
        <w:rPr>
          <w:lang w:val="fr-FR"/>
        </w:rPr>
        <w:t xml:space="preserve">, </w:t>
      </w:r>
      <w:r w:rsidR="00A26EA0">
        <w:rPr>
          <w:lang w:val="fr-FR"/>
        </w:rPr>
        <w:t>surtout pour la partie sur les encyclopédies</w:t>
      </w:r>
      <w:r w:rsidR="008C4775">
        <w:rPr>
          <w:lang w:val="fr-FR"/>
        </w:rPr>
        <w:t>,</w:t>
      </w:r>
      <w:r w:rsidR="00A26EA0">
        <w:rPr>
          <w:lang w:val="fr-FR"/>
        </w:rPr>
        <w:t xml:space="preserve"> aurait été bénéfique</w:t>
      </w:r>
      <w:r w:rsidR="00D87321">
        <w:rPr>
          <w:lang w:val="fr-FR"/>
        </w:rPr>
        <w:t xml:space="preserve"> à l’ouvrage</w:t>
      </w:r>
      <w:r w:rsidR="00A26EA0">
        <w:rPr>
          <w:lang w:val="fr-FR"/>
        </w:rPr>
        <w:t>.</w:t>
      </w:r>
      <w:r w:rsidR="00601F8D">
        <w:rPr>
          <w:lang w:val="fr-FR"/>
        </w:rPr>
        <w:t xml:space="preserve"> </w:t>
      </w:r>
      <w:r w:rsidR="00D87321">
        <w:rPr>
          <w:lang w:val="fr-FR"/>
        </w:rPr>
        <w:t>Font p. ex. défaut les</w:t>
      </w:r>
      <w:r w:rsidR="00601F8D">
        <w:rPr>
          <w:lang w:val="fr-FR"/>
        </w:rPr>
        <w:t xml:space="preserve"> volumes (74</w:t>
      </w:r>
      <w:r w:rsidR="005E045B">
        <w:rPr>
          <w:lang w:val="fr-FR"/>
        </w:rPr>
        <w:t xml:space="preserve"> et</w:t>
      </w:r>
      <w:r w:rsidR="00601F8D">
        <w:rPr>
          <w:lang w:val="fr-FR"/>
        </w:rPr>
        <w:t xml:space="preserve"> 78</w:t>
      </w:r>
      <w:r w:rsidR="008C4775">
        <w:rPr>
          <w:lang w:val="fr-FR"/>
        </w:rPr>
        <w:t>-</w:t>
      </w:r>
      <w:r w:rsidR="00901302">
        <w:rPr>
          <w:lang w:val="fr-FR"/>
        </w:rPr>
        <w:t>79</w:t>
      </w:r>
      <w:r w:rsidR="00601F8D">
        <w:rPr>
          <w:lang w:val="fr-FR"/>
        </w:rPr>
        <w:t xml:space="preserve">) </w:t>
      </w:r>
      <w:r w:rsidR="008C4775">
        <w:rPr>
          <w:lang w:val="fr-FR"/>
        </w:rPr>
        <w:t>consacrés à</w:t>
      </w:r>
      <w:r w:rsidR="00601F8D">
        <w:rPr>
          <w:lang w:val="fr-FR"/>
        </w:rPr>
        <w:t xml:space="preserve"> Barthélemy l’Anglais paru</w:t>
      </w:r>
      <w:r w:rsidR="00901302">
        <w:rPr>
          <w:lang w:val="fr-FR"/>
        </w:rPr>
        <w:t>s</w:t>
      </w:r>
      <w:r w:rsidR="00601F8D">
        <w:rPr>
          <w:lang w:val="fr-FR"/>
        </w:rPr>
        <w:t xml:space="preserve"> dans la collection De diversis artibus chez Brepols.</w:t>
      </w:r>
      <w:r w:rsidR="001200E1">
        <w:rPr>
          <w:lang w:val="fr-FR"/>
        </w:rPr>
        <w:t xml:space="preserve"> </w:t>
      </w:r>
      <w:r w:rsidR="005E045B">
        <w:rPr>
          <w:lang w:val="fr-FR"/>
        </w:rPr>
        <w:t>P</w:t>
      </w:r>
      <w:r w:rsidR="00406FE6">
        <w:rPr>
          <w:lang w:val="fr-FR"/>
        </w:rPr>
        <w:t>récis</w:t>
      </w:r>
      <w:r w:rsidR="005E045B">
        <w:rPr>
          <w:lang w:val="fr-FR"/>
        </w:rPr>
        <w:t>ons aussi</w:t>
      </w:r>
      <w:r w:rsidR="00406FE6">
        <w:rPr>
          <w:lang w:val="fr-FR"/>
        </w:rPr>
        <w:t xml:space="preserve"> que l’illustration 1.6b (p. 22) n’est pas </w:t>
      </w:r>
      <w:r w:rsidR="0081562F">
        <w:rPr>
          <w:lang w:val="fr-FR"/>
        </w:rPr>
        <w:t xml:space="preserve">issue de l’œuvre </w:t>
      </w:r>
      <w:r w:rsidR="0081562F" w:rsidRPr="0081562F">
        <w:rPr>
          <w:i/>
          <w:iCs/>
          <w:lang w:val="fr-FR"/>
        </w:rPr>
        <w:t>Le Songe du vergier</w:t>
      </w:r>
      <w:r w:rsidR="0081562F">
        <w:rPr>
          <w:lang w:val="fr-FR"/>
        </w:rPr>
        <w:t xml:space="preserve"> (en français) mais bien du </w:t>
      </w:r>
      <w:r w:rsidR="0081562F" w:rsidRPr="0081562F">
        <w:rPr>
          <w:i/>
          <w:iCs/>
          <w:lang w:val="fr-FR"/>
        </w:rPr>
        <w:t>Somnium viridarii</w:t>
      </w:r>
      <w:r w:rsidR="0081562F">
        <w:rPr>
          <w:lang w:val="fr-FR"/>
        </w:rPr>
        <w:t xml:space="preserve"> (en latin). </w:t>
      </w:r>
      <w:r>
        <w:rPr>
          <w:lang w:val="fr-FR"/>
        </w:rPr>
        <w:t>Finalement d</w:t>
      </w:r>
      <w:r w:rsidR="00B77291" w:rsidRPr="00B77291">
        <w:rPr>
          <w:lang w:val="fr-FR"/>
        </w:rPr>
        <w:t xml:space="preserve">ans la subdivision des manuscrits </w:t>
      </w:r>
      <w:r w:rsidR="001200E1" w:rsidRPr="00B77291">
        <w:rPr>
          <w:lang w:val="fr-FR"/>
        </w:rPr>
        <w:t xml:space="preserve">(p. 257-259) </w:t>
      </w:r>
      <w:r w:rsidR="00B77291" w:rsidRPr="00B77291">
        <w:rPr>
          <w:lang w:val="fr-FR"/>
        </w:rPr>
        <w:t xml:space="preserve">au sein de la bibliographie les cotes berlinoises </w:t>
      </w:r>
      <w:r w:rsidR="00F56CC2">
        <w:rPr>
          <w:lang w:val="fr-FR"/>
        </w:rPr>
        <w:t xml:space="preserve">et viennoise </w:t>
      </w:r>
      <w:r w:rsidR="00B77291" w:rsidRPr="00B77291">
        <w:rPr>
          <w:lang w:val="fr-FR"/>
        </w:rPr>
        <w:t>sont à</w:t>
      </w:r>
      <w:r w:rsidR="00B77291">
        <w:rPr>
          <w:lang w:val="fr-FR"/>
        </w:rPr>
        <w:t xml:space="preserve"> corriger</w:t>
      </w:r>
      <w:r w:rsidR="00385274">
        <w:rPr>
          <w:lang w:val="fr-FR"/>
        </w:rPr>
        <w:t> </w:t>
      </w:r>
      <w:r w:rsidR="005E045B">
        <w:rPr>
          <w:lang w:val="fr-FR"/>
        </w:rPr>
        <w:t>légèrement</w:t>
      </w:r>
      <w:r w:rsidR="005E045B">
        <w:rPr>
          <w:lang w:val="fr-FR"/>
        </w:rPr>
        <w:t xml:space="preserve"> </w:t>
      </w:r>
      <w:r w:rsidR="00385274">
        <w:rPr>
          <w:lang w:val="fr-FR"/>
        </w:rPr>
        <w:t xml:space="preserve">: </w:t>
      </w:r>
      <w:r w:rsidR="00B77291">
        <w:rPr>
          <w:lang w:val="fr-FR"/>
        </w:rPr>
        <w:t>Berlin, SB</w:t>
      </w:r>
      <w:r w:rsidR="00385274">
        <w:rPr>
          <w:lang w:val="fr-FR"/>
        </w:rPr>
        <w:t>B</w:t>
      </w:r>
      <w:r w:rsidR="00B77291">
        <w:rPr>
          <w:lang w:val="fr-FR"/>
        </w:rPr>
        <w:t xml:space="preserve">-PK, </w:t>
      </w:r>
      <w:r w:rsidR="00433696">
        <w:rPr>
          <w:lang w:val="fr-FR"/>
        </w:rPr>
        <w:t>M</w:t>
      </w:r>
      <w:r w:rsidR="00B77291">
        <w:rPr>
          <w:lang w:val="fr-FR"/>
        </w:rPr>
        <w:t>s. Diez</w:t>
      </w:r>
      <w:r w:rsidR="00385274">
        <w:rPr>
          <w:lang w:val="fr-FR"/>
        </w:rPr>
        <w:t>. B.</w:t>
      </w:r>
      <w:r w:rsidR="00B77291">
        <w:rPr>
          <w:lang w:val="fr-FR"/>
        </w:rPr>
        <w:t xml:space="preserve"> Sant</w:t>
      </w:r>
      <w:r w:rsidR="00433696">
        <w:rPr>
          <w:lang w:val="fr-FR"/>
        </w:rPr>
        <w:t>.</w:t>
      </w:r>
      <w:r w:rsidR="00B77291">
        <w:rPr>
          <w:lang w:val="fr-FR"/>
        </w:rPr>
        <w:t xml:space="preserve"> 1 et </w:t>
      </w:r>
      <w:r w:rsidR="00385274">
        <w:rPr>
          <w:lang w:val="fr-FR"/>
        </w:rPr>
        <w:t>4</w:t>
      </w:r>
      <w:r w:rsidR="00F56CC2">
        <w:rPr>
          <w:lang w:val="fr-FR"/>
        </w:rPr>
        <w:t> ; Wien, ÖNB, Cod. 102, f. 339v-341v.</w:t>
      </w:r>
      <w:r w:rsidR="00B77291" w:rsidRPr="00B77291">
        <w:rPr>
          <w:lang w:val="fr-FR"/>
        </w:rPr>
        <w:t xml:space="preserve">  </w:t>
      </w:r>
    </w:p>
    <w:p w14:paraId="07C469B6" w14:textId="2AE6CC0B" w:rsidR="0007572A" w:rsidRPr="00B77291" w:rsidRDefault="0007572A" w:rsidP="0007572A">
      <w:pPr>
        <w:jc w:val="right"/>
        <w:rPr>
          <w:lang w:val="fr-FR"/>
        </w:rPr>
      </w:pPr>
      <w:r>
        <w:rPr>
          <w:lang w:val="fr-FR"/>
        </w:rPr>
        <w:t>Max Schmitz</w:t>
      </w:r>
    </w:p>
    <w:sectPr w:rsidR="0007572A" w:rsidRPr="00B77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00"/>
    <w:rsid w:val="00015243"/>
    <w:rsid w:val="00027045"/>
    <w:rsid w:val="00037F65"/>
    <w:rsid w:val="000508BF"/>
    <w:rsid w:val="000611A2"/>
    <w:rsid w:val="00065273"/>
    <w:rsid w:val="0007572A"/>
    <w:rsid w:val="00077C8C"/>
    <w:rsid w:val="000C6881"/>
    <w:rsid w:val="000E7842"/>
    <w:rsid w:val="001200E1"/>
    <w:rsid w:val="0012152A"/>
    <w:rsid w:val="00131E68"/>
    <w:rsid w:val="00140457"/>
    <w:rsid w:val="00140AC0"/>
    <w:rsid w:val="001422CA"/>
    <w:rsid w:val="0014768C"/>
    <w:rsid w:val="00152267"/>
    <w:rsid w:val="001C4A13"/>
    <w:rsid w:val="001E49A7"/>
    <w:rsid w:val="001F6553"/>
    <w:rsid w:val="0020333C"/>
    <w:rsid w:val="00217401"/>
    <w:rsid w:val="002633EF"/>
    <w:rsid w:val="00292393"/>
    <w:rsid w:val="0029285A"/>
    <w:rsid w:val="00296982"/>
    <w:rsid w:val="002D0F31"/>
    <w:rsid w:val="002D1AE9"/>
    <w:rsid w:val="002D4C7C"/>
    <w:rsid w:val="00306B2C"/>
    <w:rsid w:val="00312E6B"/>
    <w:rsid w:val="00323545"/>
    <w:rsid w:val="003247E6"/>
    <w:rsid w:val="00336CA2"/>
    <w:rsid w:val="00337593"/>
    <w:rsid w:val="00345C03"/>
    <w:rsid w:val="00350892"/>
    <w:rsid w:val="00354036"/>
    <w:rsid w:val="00364E81"/>
    <w:rsid w:val="0037791B"/>
    <w:rsid w:val="00383CDB"/>
    <w:rsid w:val="00385274"/>
    <w:rsid w:val="00393D1C"/>
    <w:rsid w:val="003C3C9A"/>
    <w:rsid w:val="003C414D"/>
    <w:rsid w:val="003C6283"/>
    <w:rsid w:val="003D53B5"/>
    <w:rsid w:val="00400048"/>
    <w:rsid w:val="00403EDD"/>
    <w:rsid w:val="00406FE6"/>
    <w:rsid w:val="004141B7"/>
    <w:rsid w:val="00420046"/>
    <w:rsid w:val="00433696"/>
    <w:rsid w:val="00452BD1"/>
    <w:rsid w:val="0045555F"/>
    <w:rsid w:val="004B17CB"/>
    <w:rsid w:val="004B34D8"/>
    <w:rsid w:val="004D33FB"/>
    <w:rsid w:val="004E4F44"/>
    <w:rsid w:val="00501433"/>
    <w:rsid w:val="005027B0"/>
    <w:rsid w:val="00503378"/>
    <w:rsid w:val="00503830"/>
    <w:rsid w:val="0052789C"/>
    <w:rsid w:val="00546DDE"/>
    <w:rsid w:val="00554EEE"/>
    <w:rsid w:val="0057387F"/>
    <w:rsid w:val="00585443"/>
    <w:rsid w:val="005903F2"/>
    <w:rsid w:val="005D5695"/>
    <w:rsid w:val="005E045B"/>
    <w:rsid w:val="00601F8D"/>
    <w:rsid w:val="0063071B"/>
    <w:rsid w:val="00632D7F"/>
    <w:rsid w:val="00661181"/>
    <w:rsid w:val="00675CDB"/>
    <w:rsid w:val="006A6E8E"/>
    <w:rsid w:val="006B2BDA"/>
    <w:rsid w:val="006C3499"/>
    <w:rsid w:val="006D3DE5"/>
    <w:rsid w:val="006E0109"/>
    <w:rsid w:val="006E4249"/>
    <w:rsid w:val="006E63A4"/>
    <w:rsid w:val="006F4DC5"/>
    <w:rsid w:val="007103E5"/>
    <w:rsid w:val="00742D9A"/>
    <w:rsid w:val="0075010C"/>
    <w:rsid w:val="00755776"/>
    <w:rsid w:val="00761D87"/>
    <w:rsid w:val="007646EA"/>
    <w:rsid w:val="007775FD"/>
    <w:rsid w:val="007847A2"/>
    <w:rsid w:val="007A3BDF"/>
    <w:rsid w:val="0080370B"/>
    <w:rsid w:val="0081562F"/>
    <w:rsid w:val="0082633A"/>
    <w:rsid w:val="00827894"/>
    <w:rsid w:val="00835B73"/>
    <w:rsid w:val="00844BCA"/>
    <w:rsid w:val="008B763D"/>
    <w:rsid w:val="008C2600"/>
    <w:rsid w:val="008C4775"/>
    <w:rsid w:val="008E5082"/>
    <w:rsid w:val="00901302"/>
    <w:rsid w:val="00915008"/>
    <w:rsid w:val="00926E14"/>
    <w:rsid w:val="0096501C"/>
    <w:rsid w:val="0097653E"/>
    <w:rsid w:val="00991196"/>
    <w:rsid w:val="009969D4"/>
    <w:rsid w:val="009D253E"/>
    <w:rsid w:val="009D5A88"/>
    <w:rsid w:val="009E6FA2"/>
    <w:rsid w:val="009E76BB"/>
    <w:rsid w:val="00A036DF"/>
    <w:rsid w:val="00A05DF0"/>
    <w:rsid w:val="00A26EA0"/>
    <w:rsid w:val="00A709B0"/>
    <w:rsid w:val="00A77B51"/>
    <w:rsid w:val="00A80439"/>
    <w:rsid w:val="00A818E6"/>
    <w:rsid w:val="00A83F08"/>
    <w:rsid w:val="00AA0A25"/>
    <w:rsid w:val="00AA65D7"/>
    <w:rsid w:val="00AB27ED"/>
    <w:rsid w:val="00AB431C"/>
    <w:rsid w:val="00AD039B"/>
    <w:rsid w:val="00B32D6B"/>
    <w:rsid w:val="00B77291"/>
    <w:rsid w:val="00B91459"/>
    <w:rsid w:val="00B97851"/>
    <w:rsid w:val="00C2626E"/>
    <w:rsid w:val="00C438C4"/>
    <w:rsid w:val="00C45A79"/>
    <w:rsid w:val="00C47DCB"/>
    <w:rsid w:val="00C8047D"/>
    <w:rsid w:val="00C81527"/>
    <w:rsid w:val="00CB00D6"/>
    <w:rsid w:val="00CC1507"/>
    <w:rsid w:val="00CD3240"/>
    <w:rsid w:val="00CE7B5D"/>
    <w:rsid w:val="00CF6969"/>
    <w:rsid w:val="00D00C7C"/>
    <w:rsid w:val="00D16BAA"/>
    <w:rsid w:val="00D20413"/>
    <w:rsid w:val="00D22546"/>
    <w:rsid w:val="00D41DBC"/>
    <w:rsid w:val="00D45E5A"/>
    <w:rsid w:val="00D617E1"/>
    <w:rsid w:val="00D636BC"/>
    <w:rsid w:val="00D70177"/>
    <w:rsid w:val="00D80BFA"/>
    <w:rsid w:val="00D81A0A"/>
    <w:rsid w:val="00D87321"/>
    <w:rsid w:val="00DD0073"/>
    <w:rsid w:val="00DD17D8"/>
    <w:rsid w:val="00DD74B9"/>
    <w:rsid w:val="00DE5714"/>
    <w:rsid w:val="00E03B2C"/>
    <w:rsid w:val="00E058CB"/>
    <w:rsid w:val="00E14611"/>
    <w:rsid w:val="00E14B87"/>
    <w:rsid w:val="00E328E6"/>
    <w:rsid w:val="00E370F1"/>
    <w:rsid w:val="00E52F3A"/>
    <w:rsid w:val="00E95573"/>
    <w:rsid w:val="00EA5CA9"/>
    <w:rsid w:val="00EA643B"/>
    <w:rsid w:val="00EB30F7"/>
    <w:rsid w:val="00EC10B3"/>
    <w:rsid w:val="00EC5260"/>
    <w:rsid w:val="00EF1542"/>
    <w:rsid w:val="00EF2028"/>
    <w:rsid w:val="00F055E3"/>
    <w:rsid w:val="00F306AF"/>
    <w:rsid w:val="00F34135"/>
    <w:rsid w:val="00F34893"/>
    <w:rsid w:val="00F42DB2"/>
    <w:rsid w:val="00F46E52"/>
    <w:rsid w:val="00F56CC2"/>
    <w:rsid w:val="00F70AAC"/>
    <w:rsid w:val="00F73847"/>
    <w:rsid w:val="00F74B9B"/>
    <w:rsid w:val="00F85636"/>
    <w:rsid w:val="00FA60FA"/>
    <w:rsid w:val="00FC1D38"/>
    <w:rsid w:val="00FD13C8"/>
    <w:rsid w:val="00FD4F9F"/>
    <w:rsid w:val="00FE098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3C54F"/>
  <w15:chartTrackingRefBased/>
  <w15:docId w15:val="{4D6F5AEE-943B-4FE3-BEA1-4F31ABF1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l">
    <w:name w:val="il"/>
    <w:basedOn w:val="Absatz-Standardschriftart"/>
    <w:rsid w:val="00037F65"/>
  </w:style>
  <w:style w:type="character" w:styleId="Hyperlink">
    <w:name w:val="Hyperlink"/>
    <w:basedOn w:val="Absatz-Standardschriftart"/>
    <w:uiPriority w:val="99"/>
    <w:semiHidden/>
    <w:unhideWhenUsed/>
    <w:rsid w:val="00037F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lobal.oup.com/academic/content/series/o/oxford-studies-in-medieval-literature-and-culture-osmlc/?lang=en&amp;cc=b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16</cp:revision>
  <dcterms:created xsi:type="dcterms:W3CDTF">2022-05-30T20:45:00Z</dcterms:created>
  <dcterms:modified xsi:type="dcterms:W3CDTF">2022-06-05T18:21:00Z</dcterms:modified>
</cp:coreProperties>
</file>