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F0836" w14:textId="01FE7D50" w:rsidR="00AD7008" w:rsidRPr="00A86EDE" w:rsidRDefault="00AD7008" w:rsidP="00DF7238">
      <w:pPr>
        <w:pStyle w:val="NormalWeb"/>
        <w:jc w:val="both"/>
        <w:rPr>
          <w:rFonts w:ascii="Avenir Book" w:hAnsi="Avenir Book"/>
          <w:b/>
          <w:bCs/>
          <w:color w:val="000000"/>
          <w:lang w:val="en-US"/>
        </w:rPr>
      </w:pPr>
      <w:r w:rsidRPr="00A86EDE">
        <w:rPr>
          <w:rFonts w:ascii="Avenir Book" w:hAnsi="Avenir Book"/>
          <w:b/>
          <w:bCs/>
          <w:color w:val="000000"/>
          <w:lang w:val="en-US"/>
        </w:rPr>
        <w:t>Sign language representation in the visual brain</w:t>
      </w:r>
    </w:p>
    <w:p w14:paraId="042F9322" w14:textId="1A6BDFA2" w:rsidR="00264F00" w:rsidRPr="00DF7238" w:rsidRDefault="00264F00" w:rsidP="00DF7238">
      <w:pPr>
        <w:pStyle w:val="NormalWeb"/>
        <w:spacing w:before="0" w:beforeAutospacing="0" w:after="0" w:afterAutospacing="0" w:line="276" w:lineRule="auto"/>
        <w:jc w:val="both"/>
        <w:rPr>
          <w:rFonts w:ascii="Avenir Book" w:hAnsi="Avenir Book"/>
          <w:color w:val="000000"/>
        </w:rPr>
      </w:pPr>
      <w:r w:rsidRPr="00DF7238">
        <w:rPr>
          <w:rFonts w:ascii="Avenir Book" w:hAnsi="Avenir Book"/>
          <w:color w:val="000000"/>
        </w:rPr>
        <w:t>Sign languages are richly visual linguistic systems that rely on multiple articulators—the hands, body, and face—to convey meaning. Unlike spoken languages, sign languages are perceived directly through vision and require the brain to extract linguistic information from complex, dynamic visual signals</w:t>
      </w:r>
      <w:r w:rsidR="002E3773">
        <w:rPr>
          <w:rFonts w:ascii="Avenir Book" w:hAnsi="Avenir Book"/>
          <w:color w:val="000000"/>
          <w:vertAlign w:val="superscript"/>
        </w:rPr>
        <w:t>(1)</w:t>
      </w:r>
      <w:r w:rsidRPr="00DF7238">
        <w:rPr>
          <w:rFonts w:ascii="Avenir Book" w:hAnsi="Avenir Book"/>
          <w:color w:val="000000"/>
        </w:rPr>
        <w:t xml:space="preserve">. These visual articulators engage the brain’s visual </w:t>
      </w:r>
      <w:r w:rsidR="00DF7238">
        <w:rPr>
          <w:rFonts w:ascii="Avenir Book" w:hAnsi="Avenir Book"/>
          <w:color w:val="000000"/>
        </w:rPr>
        <w:t>infer</w:t>
      </w:r>
      <w:r w:rsidR="00AD7008" w:rsidRPr="00A86EDE">
        <w:rPr>
          <w:rFonts w:ascii="Avenir Book" w:hAnsi="Avenir Book"/>
          <w:color w:val="000000"/>
          <w:lang w:val="en-US"/>
        </w:rPr>
        <w:t>o</w:t>
      </w:r>
      <w:r w:rsidR="00DF7238">
        <w:rPr>
          <w:rFonts w:ascii="Avenir Book" w:hAnsi="Avenir Book"/>
          <w:color w:val="000000"/>
        </w:rPr>
        <w:t>-temporal cortex</w:t>
      </w:r>
      <w:r w:rsidR="00DF7238">
        <w:rPr>
          <w:rFonts w:ascii="Avenir Book" w:hAnsi="Avenir Book"/>
          <w:color w:val="000000"/>
          <w:vertAlign w:val="superscript"/>
        </w:rPr>
        <w:t>(</w:t>
      </w:r>
      <w:r w:rsidR="002E3773">
        <w:rPr>
          <w:rFonts w:ascii="Avenir Book" w:hAnsi="Avenir Book"/>
          <w:color w:val="000000"/>
          <w:vertAlign w:val="superscript"/>
        </w:rPr>
        <w:t>2</w:t>
      </w:r>
      <w:r w:rsidR="00DF7238">
        <w:rPr>
          <w:rFonts w:ascii="Avenir Book" w:hAnsi="Avenir Book"/>
          <w:color w:val="000000"/>
          <w:vertAlign w:val="superscript"/>
        </w:rPr>
        <w:t>)</w:t>
      </w:r>
      <w:r w:rsidRPr="00DF7238">
        <w:rPr>
          <w:rFonts w:ascii="Avenir Book" w:hAnsi="Avenir Book"/>
          <w:color w:val="000000"/>
        </w:rPr>
        <w:t xml:space="preserve">, which is organized into category-selective areas specialized for faces, bodies, and </w:t>
      </w:r>
      <w:r w:rsidR="00AD7008" w:rsidRPr="00A86EDE">
        <w:rPr>
          <w:rFonts w:ascii="Avenir Book" w:hAnsi="Avenir Book"/>
          <w:color w:val="000000"/>
          <w:lang w:val="en-US"/>
        </w:rPr>
        <w:t>words</w:t>
      </w:r>
      <w:r w:rsidRPr="00DF7238">
        <w:rPr>
          <w:rFonts w:ascii="Avenir Book" w:hAnsi="Avenir Book"/>
          <w:color w:val="000000"/>
        </w:rPr>
        <w:t xml:space="preserve">. While the involvement of classical fronto-temporal language regions in sign language processing is well established, the specific contribution of </w:t>
      </w:r>
      <w:r w:rsidR="00A86EDE">
        <w:rPr>
          <w:rFonts w:ascii="Avenir Book" w:hAnsi="Avenir Book"/>
          <w:color w:val="000000"/>
        </w:rPr>
        <w:t>Ventral Occipito Temporal Cortex (</w:t>
      </w:r>
      <w:r w:rsidRPr="00DF7238">
        <w:rPr>
          <w:rFonts w:ascii="Avenir Book" w:hAnsi="Avenir Book"/>
          <w:color w:val="000000"/>
        </w:rPr>
        <w:t>VOTC</w:t>
      </w:r>
      <w:r w:rsidR="00A86EDE">
        <w:rPr>
          <w:rFonts w:ascii="Avenir Book" w:hAnsi="Avenir Book"/>
          <w:color w:val="000000"/>
        </w:rPr>
        <w:t>)</w:t>
      </w:r>
      <w:r w:rsidRPr="00DF7238">
        <w:rPr>
          <w:rFonts w:ascii="Avenir Book" w:hAnsi="Avenir Book"/>
          <w:color w:val="000000"/>
        </w:rPr>
        <w:t xml:space="preserve"> to linguistic versus visual aspects of sign processing remains underexplored.</w:t>
      </w:r>
    </w:p>
    <w:p w14:paraId="302C41AA" w14:textId="362F013B" w:rsidR="00264F00" w:rsidRPr="00A86EDE" w:rsidRDefault="00264F00" w:rsidP="00DF7238">
      <w:pPr>
        <w:pStyle w:val="NormalWeb"/>
        <w:spacing w:before="0" w:beforeAutospacing="0" w:after="0" w:afterAutospacing="0" w:line="276" w:lineRule="auto"/>
        <w:jc w:val="both"/>
        <w:rPr>
          <w:rFonts w:ascii="Avenir Book" w:hAnsi="Avenir Book"/>
          <w:color w:val="000000"/>
          <w:lang w:val="en-US"/>
        </w:rPr>
      </w:pPr>
      <w:r w:rsidRPr="00DF7238">
        <w:rPr>
          <w:rFonts w:ascii="Avenir Book" w:hAnsi="Avenir Book"/>
          <w:color w:val="000000"/>
        </w:rPr>
        <w:t>The VOTC encompasses several functionally specialized regions</w:t>
      </w:r>
      <w:r w:rsidR="002E3773">
        <w:rPr>
          <w:rFonts w:ascii="Avenir Book" w:hAnsi="Avenir Book"/>
          <w:color w:val="000000"/>
          <w:vertAlign w:val="superscript"/>
        </w:rPr>
        <w:t>(3)</w:t>
      </w:r>
      <w:r w:rsidRPr="00DF7238">
        <w:rPr>
          <w:rFonts w:ascii="Avenir Book" w:hAnsi="Avenir Book"/>
          <w:color w:val="000000"/>
        </w:rPr>
        <w:t>, including the fusiform face area (FFA) and occipital face area (OFA); the extrastriate body area (EBA) and hand-selective occipital regions; and the visual word form area (VWFA</w:t>
      </w:r>
      <w:r w:rsidR="00AD7008" w:rsidRPr="00A86EDE">
        <w:rPr>
          <w:rFonts w:ascii="Avenir Book" w:hAnsi="Avenir Book"/>
          <w:color w:val="000000"/>
          <w:lang w:val="en-US"/>
        </w:rPr>
        <w:t>)</w:t>
      </w:r>
      <w:r w:rsidRPr="00DF7238">
        <w:rPr>
          <w:rFonts w:ascii="Avenir Book" w:hAnsi="Avenir Book"/>
          <w:color w:val="000000"/>
        </w:rPr>
        <w:t>.  In sign language, manual and bodily movements, together with facial expressions, convey linguistic content at multiple levels of structure. However, VOTC activation during sign perception has often been attributed to domain-general visual processing, rather than language-specific mechanisms</w:t>
      </w:r>
      <w:r w:rsidR="002E3773">
        <w:rPr>
          <w:rFonts w:ascii="Avenir Book" w:hAnsi="Avenir Book"/>
          <w:color w:val="000000"/>
          <w:vertAlign w:val="superscript"/>
        </w:rPr>
        <w:t>(2,5)</w:t>
      </w:r>
      <w:r w:rsidRPr="00DF7238">
        <w:rPr>
          <w:rFonts w:ascii="Avenir Book" w:hAnsi="Avenir Book"/>
          <w:color w:val="000000"/>
        </w:rPr>
        <w:t xml:space="preserve">. Whether activity in these regions reflects </w:t>
      </w:r>
      <w:r w:rsidR="00AD7008" w:rsidRPr="00A86EDE">
        <w:rPr>
          <w:rFonts w:ascii="Avenir Book" w:hAnsi="Avenir Book"/>
          <w:color w:val="000000"/>
          <w:lang w:val="en-US"/>
        </w:rPr>
        <w:t xml:space="preserve">simple </w:t>
      </w:r>
      <w:r w:rsidRPr="00DF7238">
        <w:rPr>
          <w:rFonts w:ascii="Avenir Book" w:hAnsi="Avenir Book"/>
          <w:color w:val="000000"/>
        </w:rPr>
        <w:t>perceptual encoding of articulator movements or deeper linguistic processing remains an open question central to understanding how visual and linguistic representations interact in the brain.</w:t>
      </w:r>
      <w:r w:rsidR="00AD7008" w:rsidRPr="00A86EDE">
        <w:rPr>
          <w:rFonts w:ascii="Avenir Book" w:hAnsi="Avenir Book"/>
          <w:color w:val="000000"/>
          <w:lang w:val="en-US"/>
        </w:rPr>
        <w:t xml:space="preserve"> In other words, whether and where expertise with sign language change</w:t>
      </w:r>
      <w:r w:rsidR="00A86EDE">
        <w:rPr>
          <w:rFonts w:ascii="Avenir Book" w:hAnsi="Avenir Book"/>
          <w:color w:val="000000"/>
          <w:lang w:val="en-US"/>
        </w:rPr>
        <w:t>s</w:t>
      </w:r>
      <w:r w:rsidR="00AD7008" w:rsidRPr="00A86EDE">
        <w:rPr>
          <w:rFonts w:ascii="Avenir Book" w:hAnsi="Avenir Book"/>
          <w:color w:val="000000"/>
          <w:lang w:val="en-US"/>
        </w:rPr>
        <w:t xml:space="preserve"> the visual brain responses to signs (versus </w:t>
      </w:r>
      <w:r w:rsidR="00A86EDE">
        <w:rPr>
          <w:rFonts w:ascii="Avenir Book" w:hAnsi="Avenir Book"/>
          <w:color w:val="000000"/>
          <w:lang w:val="en-US"/>
        </w:rPr>
        <w:t>pseudo-</w:t>
      </w:r>
      <w:r w:rsidR="00AD7008" w:rsidRPr="00A86EDE">
        <w:rPr>
          <w:rFonts w:ascii="Avenir Book" w:hAnsi="Avenir Book"/>
          <w:color w:val="000000"/>
          <w:lang w:val="en-US"/>
        </w:rPr>
        <w:t>signs) remains unknown.</w:t>
      </w:r>
    </w:p>
    <w:p w14:paraId="2CDFE715" w14:textId="3AEB89F9" w:rsidR="00264F00" w:rsidRPr="00DF7238" w:rsidRDefault="00264F00" w:rsidP="00DF7238">
      <w:pPr>
        <w:pStyle w:val="NormalWeb"/>
        <w:spacing w:before="0" w:beforeAutospacing="0" w:after="0" w:afterAutospacing="0" w:line="276" w:lineRule="auto"/>
        <w:jc w:val="both"/>
        <w:rPr>
          <w:rFonts w:ascii="Avenir Book" w:hAnsi="Avenir Book"/>
          <w:color w:val="000000"/>
        </w:rPr>
      </w:pPr>
      <w:r w:rsidRPr="00DF7238">
        <w:rPr>
          <w:rFonts w:ascii="Avenir Book" w:hAnsi="Avenir Book"/>
          <w:color w:val="000000"/>
        </w:rPr>
        <w:t xml:space="preserve">In this study, we investigated the involvement of </w:t>
      </w:r>
      <w:r w:rsidR="00570664">
        <w:rPr>
          <w:rFonts w:ascii="Avenir Book" w:hAnsi="Avenir Book"/>
          <w:color w:val="000000"/>
        </w:rPr>
        <w:t>individually-localized</w:t>
      </w:r>
      <w:r w:rsidRPr="00DF7238">
        <w:rPr>
          <w:rFonts w:ascii="Avenir Book" w:hAnsi="Avenir Book"/>
          <w:color w:val="000000"/>
        </w:rPr>
        <w:t xml:space="preserve"> category-selective VOTC regions—</w:t>
      </w:r>
      <w:r w:rsidR="00570664">
        <w:rPr>
          <w:rFonts w:ascii="Avenir Book" w:hAnsi="Avenir Book"/>
          <w:color w:val="000000"/>
        </w:rPr>
        <w:t xml:space="preserve">including </w:t>
      </w:r>
      <w:r w:rsidRPr="00DF7238">
        <w:rPr>
          <w:rFonts w:ascii="Avenir Book" w:hAnsi="Avenir Book"/>
          <w:color w:val="000000"/>
        </w:rPr>
        <w:t>the anterior and posterior VWFA, FFA, OFA, EBA, and a hand-selective occipital region</w:t>
      </w:r>
      <w:r w:rsidR="007B6801" w:rsidRPr="00A86EDE">
        <w:rPr>
          <w:rFonts w:ascii="Avenir Book" w:hAnsi="Avenir Book"/>
          <w:color w:val="000000"/>
          <w:lang w:val="en-US"/>
        </w:rPr>
        <w:t xml:space="preserve"> as well as the early visual cortex (EVC)</w:t>
      </w:r>
      <w:r w:rsidRPr="00DF7238">
        <w:rPr>
          <w:rFonts w:ascii="Avenir Book" w:hAnsi="Avenir Book"/>
          <w:color w:val="000000"/>
        </w:rPr>
        <w:t>—during the perception of real non-iconic signs versus pseudo-signs</w:t>
      </w:r>
      <w:r w:rsidR="00570664">
        <w:rPr>
          <w:rFonts w:ascii="Avenir Book" w:hAnsi="Avenir Book"/>
          <w:color w:val="000000"/>
        </w:rPr>
        <w:t xml:space="preserve"> (figure 1)</w:t>
      </w:r>
      <w:r w:rsidRPr="00DF7238">
        <w:rPr>
          <w:rFonts w:ascii="Avenir Book" w:hAnsi="Avenir Book"/>
          <w:color w:val="000000"/>
        </w:rPr>
        <w:t xml:space="preserve">. </w:t>
      </w:r>
      <w:r w:rsidR="007B6801" w:rsidRPr="00A86EDE">
        <w:rPr>
          <w:rFonts w:ascii="Avenir Book" w:hAnsi="Avenir Book"/>
          <w:color w:val="000000"/>
          <w:lang w:val="en-US"/>
        </w:rPr>
        <w:t xml:space="preserve"> Given that r</w:t>
      </w:r>
      <w:r w:rsidR="007B6801" w:rsidRPr="00DF7238">
        <w:rPr>
          <w:rFonts w:ascii="Avenir Book" w:hAnsi="Avenir Book"/>
          <w:color w:val="000000"/>
        </w:rPr>
        <w:t>ecent research suggests that the anterior</w:t>
      </w:r>
      <w:r w:rsidR="007B6801" w:rsidRPr="00A86EDE">
        <w:rPr>
          <w:rFonts w:ascii="Avenir Book" w:hAnsi="Avenir Book"/>
          <w:color w:val="000000"/>
          <w:lang w:val="en-US"/>
        </w:rPr>
        <w:t>, but not posterior,</w:t>
      </w:r>
      <w:r w:rsidR="007B6801" w:rsidRPr="00DF7238">
        <w:rPr>
          <w:rFonts w:ascii="Avenir Book" w:hAnsi="Avenir Book"/>
          <w:color w:val="000000"/>
        </w:rPr>
        <w:t xml:space="preserve"> portion of the VWFA may </w:t>
      </w:r>
      <w:r w:rsidR="007B6801" w:rsidRPr="00A86EDE">
        <w:rPr>
          <w:rFonts w:ascii="Avenir Book" w:hAnsi="Avenir Book"/>
          <w:color w:val="000000"/>
          <w:lang w:val="en-US"/>
        </w:rPr>
        <w:t xml:space="preserve">specifically </w:t>
      </w:r>
      <w:r w:rsidR="007B6801" w:rsidRPr="00DF7238">
        <w:rPr>
          <w:rFonts w:ascii="Avenir Book" w:hAnsi="Avenir Book"/>
          <w:color w:val="000000"/>
        </w:rPr>
        <w:t xml:space="preserve">support lexical and semantic processing, </w:t>
      </w:r>
      <w:r w:rsidR="007B6801" w:rsidRPr="00A86EDE">
        <w:rPr>
          <w:rFonts w:ascii="Avenir Book" w:hAnsi="Avenir Book"/>
          <w:color w:val="000000"/>
          <w:lang w:val="en-US"/>
        </w:rPr>
        <w:t>VWFA was split into anterior and posterior sub-ROIs</w:t>
      </w:r>
      <w:r w:rsidR="007B6801">
        <w:rPr>
          <w:rFonts w:ascii="Avenir Book" w:hAnsi="Avenir Book"/>
          <w:color w:val="000000"/>
          <w:vertAlign w:val="superscript"/>
        </w:rPr>
        <w:t>(4)</w:t>
      </w:r>
      <w:r w:rsidR="007B6801" w:rsidRPr="00DF7238">
        <w:rPr>
          <w:rFonts w:ascii="Avenir Book" w:hAnsi="Avenir Book"/>
          <w:color w:val="000000"/>
        </w:rPr>
        <w:t>.</w:t>
      </w:r>
      <w:r w:rsidR="00322A34">
        <w:rPr>
          <w:rFonts w:ascii="Avenir Book" w:hAnsi="Avenir Book"/>
          <w:color w:val="000000"/>
          <w:lang w:val="en-US"/>
        </w:rPr>
        <w:t xml:space="preserve"> </w:t>
      </w:r>
      <w:r w:rsidRPr="00DF7238">
        <w:rPr>
          <w:rFonts w:ascii="Avenir Book" w:hAnsi="Avenir Book"/>
          <w:color w:val="000000"/>
        </w:rPr>
        <w:t>Using representational similarity analysis (RSA) applied to fMRI data from hearing signers (Children of Deaf Adults - CODAs)  and hearing non-signers, we characterized fine-grained neural representations associated with sign perception.</w:t>
      </w:r>
      <w:r w:rsidRPr="00DF7238">
        <w:rPr>
          <w:rFonts w:ascii="Avenir Book" w:hAnsi="Avenir Book"/>
          <w:color w:val="000000"/>
          <w:sz w:val="27"/>
          <w:szCs w:val="27"/>
        </w:rPr>
        <w:t xml:space="preserve"> </w:t>
      </w:r>
      <w:r w:rsidRPr="00DF7238">
        <w:rPr>
          <w:rFonts w:ascii="Avenir Book" w:hAnsi="Avenir Book"/>
          <w:color w:val="000000"/>
        </w:rPr>
        <w:t>Importantly, the RSA examined sign versus pseudo-sign distinctions</w:t>
      </w:r>
      <w:r w:rsidRPr="00DF7238">
        <w:rPr>
          <w:rFonts w:ascii="Avenir Book" w:hAnsi="Avenir Book"/>
        </w:rPr>
        <w:t> after controlling for low-level visual and kinematic factors</w:t>
      </w:r>
      <w:r w:rsidRPr="00DF7238">
        <w:rPr>
          <w:rFonts w:ascii="Avenir Book" w:hAnsi="Avenir Book"/>
          <w:color w:val="000000"/>
        </w:rPr>
        <w:t>. This approach allowed us to isolate neural patterns reflecting linguistic rather than purely perceptual properties of the stimuli.</w:t>
      </w:r>
    </w:p>
    <w:p w14:paraId="24B0DFAE" w14:textId="3F45B6D7" w:rsidR="00264F00" w:rsidRPr="00DF7238" w:rsidRDefault="00264F00" w:rsidP="00DF7238">
      <w:pPr>
        <w:pStyle w:val="NormalWeb"/>
        <w:spacing w:before="0" w:beforeAutospacing="0" w:after="0" w:afterAutospacing="0" w:line="276" w:lineRule="auto"/>
        <w:jc w:val="both"/>
        <w:rPr>
          <w:rFonts w:ascii="Avenir Book" w:hAnsi="Avenir Book"/>
          <w:color w:val="000000"/>
        </w:rPr>
      </w:pPr>
      <w:r w:rsidRPr="00DF7238">
        <w:rPr>
          <w:rFonts w:ascii="Avenir Book" w:hAnsi="Avenir Book"/>
          <w:color w:val="000000"/>
        </w:rPr>
        <w:lastRenderedPageBreak/>
        <w:t xml:space="preserve">Our results revealed </w:t>
      </w:r>
      <w:r w:rsidR="007B6801" w:rsidRPr="00A86EDE">
        <w:rPr>
          <w:rFonts w:ascii="Avenir Book" w:hAnsi="Avenir Book"/>
          <w:color w:val="000000"/>
          <w:lang w:val="en-US"/>
        </w:rPr>
        <w:t xml:space="preserve">stronger </w:t>
      </w:r>
      <w:r w:rsidRPr="00DF7238">
        <w:rPr>
          <w:rFonts w:ascii="Avenir Book" w:hAnsi="Avenir Book"/>
          <w:color w:val="000000"/>
        </w:rPr>
        <w:t>distinct</w:t>
      </w:r>
      <w:r w:rsidR="007B6801" w:rsidRPr="00A86EDE">
        <w:rPr>
          <w:rFonts w:ascii="Avenir Book" w:hAnsi="Avenir Book"/>
          <w:color w:val="000000"/>
          <w:lang w:val="en-US"/>
        </w:rPr>
        <w:t>ion in the brain</w:t>
      </w:r>
      <w:r w:rsidRPr="00DF7238">
        <w:rPr>
          <w:rFonts w:ascii="Avenir Book" w:hAnsi="Avenir Book"/>
          <w:color w:val="000000"/>
        </w:rPr>
        <w:t xml:space="preserve"> </w:t>
      </w:r>
      <w:r w:rsidR="007B6801" w:rsidRPr="00A86EDE">
        <w:rPr>
          <w:rFonts w:ascii="Avenir Book" w:hAnsi="Avenir Book"/>
          <w:color w:val="000000"/>
          <w:lang w:val="en-US"/>
        </w:rPr>
        <w:t>representation</w:t>
      </w:r>
      <w:r w:rsidRPr="00DF7238">
        <w:rPr>
          <w:rFonts w:ascii="Avenir Book" w:hAnsi="Avenir Book"/>
          <w:color w:val="000000"/>
        </w:rPr>
        <w:t xml:space="preserve"> </w:t>
      </w:r>
      <w:r w:rsidR="007B6801" w:rsidRPr="00A86EDE">
        <w:rPr>
          <w:rFonts w:ascii="Avenir Book" w:hAnsi="Avenir Book"/>
          <w:color w:val="000000"/>
          <w:lang w:val="en-US"/>
        </w:rPr>
        <w:t>of</w:t>
      </w:r>
      <w:r w:rsidR="007B6801" w:rsidRPr="00DF7238">
        <w:rPr>
          <w:rFonts w:ascii="Avenir Book" w:hAnsi="Avenir Book"/>
          <w:color w:val="000000"/>
        </w:rPr>
        <w:t xml:space="preserve"> </w:t>
      </w:r>
      <w:r w:rsidRPr="00DF7238">
        <w:rPr>
          <w:rFonts w:ascii="Avenir Book" w:hAnsi="Avenir Book"/>
          <w:color w:val="000000"/>
        </w:rPr>
        <w:t>real versus pseudo-signs</w:t>
      </w:r>
      <w:r w:rsidR="007B6801" w:rsidRPr="00A86EDE">
        <w:rPr>
          <w:rFonts w:ascii="Avenir Book" w:hAnsi="Avenir Book"/>
          <w:color w:val="000000"/>
          <w:lang w:val="en-US"/>
        </w:rPr>
        <w:t xml:space="preserve"> </w:t>
      </w:r>
      <w:r w:rsidRPr="00DF7238">
        <w:rPr>
          <w:rFonts w:ascii="Avenir Book" w:hAnsi="Avenir Book"/>
          <w:color w:val="000000"/>
        </w:rPr>
        <w:t>in signers than in non-signers</w:t>
      </w:r>
      <w:r w:rsidR="007B6801" w:rsidRPr="00A86EDE">
        <w:rPr>
          <w:rFonts w:ascii="Avenir Book" w:hAnsi="Avenir Book"/>
          <w:color w:val="000000"/>
          <w:lang w:val="en-US"/>
        </w:rPr>
        <w:t xml:space="preserve"> </w:t>
      </w:r>
      <w:r w:rsidR="007B6801" w:rsidRPr="00DF7238">
        <w:rPr>
          <w:rFonts w:ascii="Avenir Book" w:hAnsi="Avenir Book"/>
          <w:color w:val="000000"/>
        </w:rPr>
        <w:t>in the anterior VWFA, FFA, OFA, EBA, and the hand-selective occipital region</w:t>
      </w:r>
      <w:r w:rsidR="007B6801" w:rsidRPr="00A86EDE">
        <w:rPr>
          <w:rFonts w:ascii="Avenir Book" w:hAnsi="Avenir Book"/>
          <w:color w:val="000000"/>
          <w:lang w:val="en-US"/>
        </w:rPr>
        <w:t xml:space="preserve"> (but not in </w:t>
      </w:r>
      <w:proofErr w:type="spellStart"/>
      <w:r w:rsidR="007B6801" w:rsidRPr="00A86EDE">
        <w:rPr>
          <w:rFonts w:ascii="Avenir Book" w:hAnsi="Avenir Book"/>
          <w:color w:val="000000"/>
          <w:lang w:val="en-US"/>
        </w:rPr>
        <w:t>pVWFA</w:t>
      </w:r>
      <w:proofErr w:type="spellEnd"/>
      <w:r w:rsidR="007B6801" w:rsidRPr="00A86EDE">
        <w:rPr>
          <w:rFonts w:ascii="Avenir Book" w:hAnsi="Avenir Book"/>
          <w:color w:val="000000"/>
          <w:lang w:val="en-US"/>
        </w:rPr>
        <w:t xml:space="preserve"> and V1)</w:t>
      </w:r>
      <w:r w:rsidRPr="00DF7238">
        <w:rPr>
          <w:rFonts w:ascii="Avenir Book" w:hAnsi="Avenir Book"/>
          <w:color w:val="000000"/>
        </w:rPr>
        <w:t>, indicating that sign language expertise sharpens representational specificity within visual–linguistic networks</w:t>
      </w:r>
      <w:r w:rsidR="00570664">
        <w:rPr>
          <w:rFonts w:ascii="Avenir Book" w:hAnsi="Avenir Book"/>
          <w:color w:val="000000"/>
        </w:rPr>
        <w:t xml:space="preserve"> (figure 2)</w:t>
      </w:r>
      <w:r w:rsidRPr="00DF7238">
        <w:rPr>
          <w:rFonts w:ascii="Avenir Book" w:hAnsi="Avenir Book"/>
          <w:color w:val="000000"/>
        </w:rPr>
        <w:t>. The anterior VWFA (but not the posterior VWFA), showed a pattern consistent with sensitivity to the linguistic properties of signs rather than their purely visual form, suggesting a modality-independent role in processing symbolic visual language.</w:t>
      </w:r>
    </w:p>
    <w:p w14:paraId="5BC7B7BC" w14:textId="77777777" w:rsidR="00322A34" w:rsidRDefault="00322A34" w:rsidP="00DF7238">
      <w:pPr>
        <w:pStyle w:val="NormalWeb"/>
        <w:spacing w:before="0" w:beforeAutospacing="0" w:after="0" w:afterAutospacing="0" w:line="276" w:lineRule="auto"/>
        <w:jc w:val="both"/>
        <w:rPr>
          <w:rFonts w:ascii="Avenir Book" w:hAnsi="Avenir Book"/>
          <w:color w:val="000000"/>
        </w:rPr>
      </w:pPr>
      <w:r w:rsidRPr="00322A34">
        <w:rPr>
          <w:rFonts w:ascii="Avenir Book" w:hAnsi="Avenir Book"/>
          <w:color w:val="000000"/>
        </w:rPr>
        <w:t>Complementary searchlight analyses uncovered a distributed network spanning ventral occipito-temporal and parietal cortices that differentiated real from pseudo-signs,</w:t>
      </w:r>
      <w:r w:rsidRPr="00322A34">
        <w:rPr>
          <w:rFonts w:ascii="Avenir Book" w:hAnsi="Avenir Book"/>
        </w:rPr>
        <w:t> </w:t>
      </w:r>
      <w:r w:rsidRPr="00322A34">
        <w:rPr>
          <w:rFonts w:ascii="Avenir Book" w:hAnsi="Avenir Book"/>
          <w:b/>
          <w:bCs/>
        </w:rPr>
        <w:t>specifically in signers compared to non-signers</w:t>
      </w:r>
      <w:r w:rsidRPr="00322A34">
        <w:rPr>
          <w:rFonts w:ascii="Avenir Book" w:hAnsi="Avenir Book"/>
          <w:color w:val="000000"/>
        </w:rPr>
        <w:t>.</w:t>
      </w:r>
      <w:r>
        <w:rPr>
          <w:rFonts w:ascii="Avenir Book" w:hAnsi="Avenir Book"/>
          <w:color w:val="000000"/>
        </w:rPr>
        <w:t xml:space="preserve"> </w:t>
      </w:r>
    </w:p>
    <w:p w14:paraId="01C3ACD7" w14:textId="494F021E" w:rsidR="00264F00" w:rsidRPr="00DF7238" w:rsidRDefault="00264F00" w:rsidP="00DF7238">
      <w:pPr>
        <w:pStyle w:val="NormalWeb"/>
        <w:spacing w:before="0" w:beforeAutospacing="0" w:after="0" w:afterAutospacing="0" w:line="276" w:lineRule="auto"/>
        <w:jc w:val="both"/>
        <w:rPr>
          <w:rFonts w:ascii="Avenir Book" w:hAnsi="Avenir Book"/>
          <w:color w:val="000000"/>
        </w:rPr>
      </w:pPr>
      <w:r w:rsidRPr="00DF7238">
        <w:rPr>
          <w:rFonts w:ascii="Avenir Book" w:hAnsi="Avenir Book"/>
          <w:color w:val="000000"/>
        </w:rPr>
        <w:t xml:space="preserve">Overall, our findings reveal that </w:t>
      </w:r>
      <w:r w:rsidR="007B6801" w:rsidRPr="00A86EDE">
        <w:rPr>
          <w:rFonts w:ascii="Avenir Book" w:hAnsi="Avenir Book"/>
          <w:color w:val="000000"/>
          <w:lang w:val="en-US"/>
        </w:rPr>
        <w:t xml:space="preserve">expertise with </w:t>
      </w:r>
      <w:r w:rsidRPr="00DF7238">
        <w:rPr>
          <w:rFonts w:ascii="Avenir Book" w:hAnsi="Avenir Book"/>
          <w:color w:val="000000"/>
        </w:rPr>
        <w:t>sign language</w:t>
      </w:r>
      <w:r w:rsidR="007B6801" w:rsidRPr="00A86EDE">
        <w:rPr>
          <w:rFonts w:ascii="Avenir Book" w:hAnsi="Avenir Book"/>
          <w:color w:val="000000"/>
          <w:lang w:val="en-US"/>
        </w:rPr>
        <w:t xml:space="preserve"> change</w:t>
      </w:r>
      <w:r w:rsidR="00322A34">
        <w:rPr>
          <w:rFonts w:ascii="Avenir Book" w:hAnsi="Avenir Book"/>
          <w:color w:val="000000"/>
          <w:lang w:val="en-US"/>
        </w:rPr>
        <w:t>s</w:t>
      </w:r>
      <w:r w:rsidR="007B6801" w:rsidRPr="00A86EDE">
        <w:rPr>
          <w:rFonts w:ascii="Avenir Book" w:hAnsi="Avenir Book"/>
          <w:color w:val="000000"/>
          <w:lang w:val="en-US"/>
        </w:rPr>
        <w:t xml:space="preserve"> the brain response to signs beyond the classical « language network », instead</w:t>
      </w:r>
      <w:r w:rsidRPr="00DF7238">
        <w:rPr>
          <w:rFonts w:ascii="Avenir Book" w:hAnsi="Avenir Book"/>
          <w:color w:val="000000"/>
        </w:rPr>
        <w:t xml:space="preserve"> </w:t>
      </w:r>
      <w:r w:rsidR="007B6801" w:rsidRPr="00A86EDE">
        <w:rPr>
          <w:rFonts w:ascii="Avenir Book" w:hAnsi="Avenir Book"/>
          <w:color w:val="000000"/>
          <w:lang w:val="en-US"/>
        </w:rPr>
        <w:t>engaging</w:t>
      </w:r>
      <w:r w:rsidRPr="00DF7238">
        <w:rPr>
          <w:rFonts w:ascii="Avenir Book" w:hAnsi="Avenir Book"/>
          <w:color w:val="000000"/>
        </w:rPr>
        <w:t xml:space="preserve"> a distributed occipito-temporal–parietal network that integrates perceptual and linguistic processes. </w:t>
      </w:r>
      <w:r w:rsidR="007B6801" w:rsidRPr="00A86EDE">
        <w:rPr>
          <w:rFonts w:ascii="Avenir Book" w:hAnsi="Avenir Book"/>
          <w:color w:val="000000"/>
          <w:lang w:val="en-US"/>
        </w:rPr>
        <w:t>More precisely, our</w:t>
      </w:r>
      <w:r w:rsidRPr="00DF7238">
        <w:rPr>
          <w:rFonts w:ascii="Avenir Book" w:hAnsi="Avenir Book"/>
          <w:color w:val="000000"/>
        </w:rPr>
        <w:t xml:space="preserve"> results</w:t>
      </w:r>
      <w:r w:rsidR="00DF7238" w:rsidRPr="00DF7238">
        <w:rPr>
          <w:rFonts w:ascii="Avenir Book" w:hAnsi="Avenir Book"/>
          <w:color w:val="000000"/>
        </w:rPr>
        <w:t xml:space="preserve"> </w:t>
      </w:r>
      <w:r w:rsidR="007B6801" w:rsidRPr="00A86EDE">
        <w:rPr>
          <w:rFonts w:ascii="Avenir Book" w:hAnsi="Avenir Book"/>
          <w:color w:val="000000"/>
          <w:lang w:val="en-US"/>
        </w:rPr>
        <w:t>unequivocally demonstrate</w:t>
      </w:r>
      <w:r w:rsidR="007B6801" w:rsidRPr="00DF7238">
        <w:rPr>
          <w:rFonts w:ascii="Avenir Book" w:hAnsi="Avenir Book"/>
          <w:color w:val="000000"/>
        </w:rPr>
        <w:t xml:space="preserve"> </w:t>
      </w:r>
      <w:r w:rsidRPr="00DF7238">
        <w:rPr>
          <w:rFonts w:ascii="Avenir Book" w:hAnsi="Avenir Book"/>
          <w:color w:val="000000"/>
        </w:rPr>
        <w:t xml:space="preserve">that category-selective VOTC regions, traditionally viewed as domain-specific visual processors, are </w:t>
      </w:r>
      <w:r w:rsidR="007B6801" w:rsidRPr="00A86EDE">
        <w:rPr>
          <w:rFonts w:ascii="Avenir Book" w:hAnsi="Avenir Book"/>
          <w:color w:val="000000"/>
          <w:lang w:val="en-US"/>
        </w:rPr>
        <w:t xml:space="preserve">instead </w:t>
      </w:r>
      <w:r w:rsidRPr="00DF7238">
        <w:rPr>
          <w:rFonts w:ascii="Avenir Book" w:hAnsi="Avenir Book"/>
          <w:color w:val="000000"/>
        </w:rPr>
        <w:t>flexibly recruited to support the complex visual–linguistic demands of sign language.</w:t>
      </w:r>
    </w:p>
    <w:p w14:paraId="5DBB4719" w14:textId="77777777" w:rsidR="00E230B2" w:rsidRDefault="00E230B2">
      <w:pPr>
        <w:rPr>
          <w:rFonts w:ascii="Avenir Book" w:hAnsi="Avenir Book"/>
        </w:rPr>
      </w:pPr>
    </w:p>
    <w:p w14:paraId="365CFA12" w14:textId="77777777" w:rsidR="00DF7238" w:rsidRPr="002E3773" w:rsidRDefault="00DF7238" w:rsidP="002E3773">
      <w:pPr>
        <w:jc w:val="both"/>
        <w:rPr>
          <w:rFonts w:ascii="Avenir Book" w:eastAsia="Times New Roman" w:hAnsi="Avenir Book" w:cs="Times New Roman"/>
          <w:color w:val="000000"/>
          <w:kern w:val="0"/>
          <w:sz w:val="21"/>
          <w:szCs w:val="21"/>
          <w:lang w:eastAsia="en-GB"/>
          <w14:ligatures w14:val="none"/>
        </w:rPr>
      </w:pPr>
    </w:p>
    <w:p w14:paraId="517F56DC" w14:textId="77777777" w:rsidR="002E3773" w:rsidRPr="002E3773" w:rsidRDefault="002E3773" w:rsidP="002E3773">
      <w:pPr>
        <w:pStyle w:val="ListParagraph"/>
        <w:numPr>
          <w:ilvl w:val="0"/>
          <w:numId w:val="1"/>
        </w:numPr>
        <w:jc w:val="both"/>
        <w:rPr>
          <w:rFonts w:ascii="Avenir Book" w:eastAsia="Times New Roman" w:hAnsi="Avenir Book" w:cs="Times New Roman"/>
          <w:color w:val="000000"/>
          <w:kern w:val="0"/>
          <w:sz w:val="21"/>
          <w:szCs w:val="21"/>
          <w:lang w:eastAsia="en-GB"/>
          <w14:ligatures w14:val="none"/>
        </w:rPr>
      </w:pPr>
      <w:r w:rsidRPr="002E3773">
        <w:rPr>
          <w:rFonts w:ascii="Avenir Book" w:eastAsia="Times New Roman" w:hAnsi="Avenir Book" w:cs="Times New Roman"/>
          <w:color w:val="000000"/>
          <w:kern w:val="0"/>
          <w:sz w:val="21"/>
          <w:szCs w:val="21"/>
          <w:lang w:eastAsia="en-GB"/>
          <w14:ligatures w14:val="none"/>
        </w:rPr>
        <w:t>EMMOREY, Karen. New perspectives on the neurobiology of sign languages. Frontiers in communication, 2021, vol. 6, p. 748430.</w:t>
      </w:r>
    </w:p>
    <w:p w14:paraId="7036AA0E" w14:textId="77777777" w:rsidR="002E3773" w:rsidRPr="002E3773" w:rsidRDefault="002E3773" w:rsidP="002E3773">
      <w:pPr>
        <w:pStyle w:val="ListParagraph"/>
        <w:jc w:val="both"/>
        <w:rPr>
          <w:rFonts w:ascii="Avenir Book" w:eastAsia="Times New Roman" w:hAnsi="Avenir Book" w:cs="Times New Roman"/>
          <w:color w:val="000000"/>
          <w:kern w:val="0"/>
          <w:sz w:val="21"/>
          <w:szCs w:val="21"/>
          <w:lang w:eastAsia="en-GB"/>
          <w14:ligatures w14:val="none"/>
        </w:rPr>
      </w:pPr>
    </w:p>
    <w:p w14:paraId="174C8A39" w14:textId="17DB41FD" w:rsidR="00DF7238" w:rsidRDefault="00DF7238" w:rsidP="002E3773">
      <w:pPr>
        <w:pStyle w:val="ListParagraph"/>
        <w:numPr>
          <w:ilvl w:val="0"/>
          <w:numId w:val="1"/>
        </w:numPr>
        <w:jc w:val="both"/>
        <w:rPr>
          <w:rFonts w:ascii="Avenir Book" w:eastAsia="Times New Roman" w:hAnsi="Avenir Book" w:cs="Times New Roman"/>
          <w:color w:val="000000"/>
          <w:kern w:val="0"/>
          <w:sz w:val="21"/>
          <w:szCs w:val="21"/>
          <w:lang w:eastAsia="en-GB"/>
          <w14:ligatures w14:val="none"/>
        </w:rPr>
      </w:pPr>
      <w:r w:rsidRPr="00DF7238">
        <w:rPr>
          <w:rFonts w:ascii="Avenir Book" w:eastAsia="Times New Roman" w:hAnsi="Avenir Book" w:cs="Times New Roman"/>
          <w:color w:val="000000"/>
          <w:kern w:val="0"/>
          <w:sz w:val="21"/>
          <w:szCs w:val="21"/>
          <w:lang w:eastAsia="en-GB"/>
          <w14:ligatures w14:val="none"/>
        </w:rPr>
        <w:t>Trettenbrein, P. C., Papitto, G., Friederici, A. D., &amp; Zaccarella, E. (2021). Functional neuroanatomy of language without speech: An ALE meta</w:t>
      </w:r>
      <w:r w:rsidRPr="00DF7238">
        <w:rPr>
          <w:rFonts w:ascii="Cambria Math" w:eastAsia="Times New Roman" w:hAnsi="Cambria Math" w:cs="Cambria Math"/>
          <w:color w:val="000000"/>
          <w:kern w:val="0"/>
          <w:sz w:val="21"/>
          <w:szCs w:val="21"/>
          <w:lang w:eastAsia="en-GB"/>
          <w14:ligatures w14:val="none"/>
        </w:rPr>
        <w:t>‐</w:t>
      </w:r>
      <w:r w:rsidRPr="00DF7238">
        <w:rPr>
          <w:rFonts w:ascii="Avenir Book" w:eastAsia="Times New Roman" w:hAnsi="Avenir Book" w:cs="Times New Roman"/>
          <w:color w:val="000000"/>
          <w:kern w:val="0"/>
          <w:sz w:val="21"/>
          <w:szCs w:val="21"/>
          <w:lang w:eastAsia="en-GB"/>
          <w14:ligatures w14:val="none"/>
        </w:rPr>
        <w:t>analysis of sign language. Human Brain Mapping, 42(3), 699-712.</w:t>
      </w:r>
    </w:p>
    <w:p w14:paraId="5D5CCC2D" w14:textId="77777777" w:rsidR="002E3773" w:rsidRDefault="002E3773" w:rsidP="002E3773">
      <w:pPr>
        <w:pStyle w:val="ListParagraph"/>
        <w:jc w:val="both"/>
        <w:rPr>
          <w:rFonts w:ascii="Avenir Book" w:eastAsia="Times New Roman" w:hAnsi="Avenir Book" w:cs="Times New Roman"/>
          <w:color w:val="000000"/>
          <w:kern w:val="0"/>
          <w:sz w:val="21"/>
          <w:szCs w:val="21"/>
          <w:lang w:eastAsia="en-GB"/>
          <w14:ligatures w14:val="none"/>
        </w:rPr>
      </w:pPr>
    </w:p>
    <w:p w14:paraId="18A19CD4" w14:textId="72810B21" w:rsidR="002E3773" w:rsidRDefault="002E3773" w:rsidP="002E3773">
      <w:pPr>
        <w:pStyle w:val="ListParagraph"/>
        <w:numPr>
          <w:ilvl w:val="0"/>
          <w:numId w:val="1"/>
        </w:numPr>
        <w:jc w:val="both"/>
        <w:rPr>
          <w:rFonts w:ascii="Avenir Book" w:eastAsia="Times New Roman" w:hAnsi="Avenir Book" w:cs="Times New Roman"/>
          <w:color w:val="000000"/>
          <w:kern w:val="0"/>
          <w:sz w:val="21"/>
          <w:szCs w:val="21"/>
          <w:lang w:eastAsia="en-GB"/>
          <w14:ligatures w14:val="none"/>
        </w:rPr>
      </w:pPr>
      <w:r w:rsidRPr="002E3773">
        <w:rPr>
          <w:rFonts w:ascii="Avenir Book" w:eastAsia="Times New Roman" w:hAnsi="Avenir Book" w:cs="Times New Roman"/>
          <w:color w:val="000000"/>
          <w:kern w:val="0"/>
          <w:sz w:val="21"/>
          <w:szCs w:val="21"/>
          <w:lang w:eastAsia="en-GB"/>
          <w14:ligatures w14:val="none"/>
        </w:rPr>
        <w:t>Kanwisher, N. (2010). Functional specificity in the human brain: a window into the functional architecture of the mind. Proceedings of the national academy of sciences, 107(25), 11163-11170.</w:t>
      </w:r>
    </w:p>
    <w:p w14:paraId="591AFE09" w14:textId="77777777" w:rsidR="002E3773" w:rsidRPr="002E3773" w:rsidRDefault="002E3773" w:rsidP="002E3773">
      <w:pPr>
        <w:pStyle w:val="ListParagraph"/>
        <w:jc w:val="both"/>
        <w:rPr>
          <w:rFonts w:ascii="Avenir Book" w:eastAsia="Times New Roman" w:hAnsi="Avenir Book" w:cs="Times New Roman"/>
          <w:color w:val="000000"/>
          <w:kern w:val="0"/>
          <w:sz w:val="21"/>
          <w:szCs w:val="21"/>
          <w:lang w:eastAsia="en-GB"/>
          <w14:ligatures w14:val="none"/>
        </w:rPr>
      </w:pPr>
    </w:p>
    <w:p w14:paraId="6A79AE27" w14:textId="488BF201" w:rsidR="002E3773" w:rsidRDefault="002E3773" w:rsidP="002E3773">
      <w:pPr>
        <w:pStyle w:val="ListParagraph"/>
        <w:numPr>
          <w:ilvl w:val="0"/>
          <w:numId w:val="1"/>
        </w:numPr>
        <w:jc w:val="both"/>
        <w:rPr>
          <w:rFonts w:ascii="Avenir Book" w:eastAsia="Times New Roman" w:hAnsi="Avenir Book" w:cs="Times New Roman"/>
          <w:color w:val="000000"/>
          <w:kern w:val="0"/>
          <w:sz w:val="21"/>
          <w:szCs w:val="21"/>
          <w:lang w:eastAsia="en-GB"/>
          <w14:ligatures w14:val="none"/>
        </w:rPr>
      </w:pPr>
      <w:r w:rsidRPr="002E3773">
        <w:rPr>
          <w:rFonts w:ascii="Avenir Book" w:eastAsia="Times New Roman" w:hAnsi="Avenir Book" w:cs="Times New Roman"/>
          <w:color w:val="000000"/>
          <w:kern w:val="0"/>
          <w:sz w:val="21"/>
          <w:szCs w:val="21"/>
          <w:lang w:eastAsia="en-GB"/>
          <w14:ligatures w14:val="none"/>
        </w:rPr>
        <w:t>Qin, L., Lyu, B., Shu, S., Yin, Y., Wang, X., Ge, J., ... &amp; Gao, J. H. (2021). A heteromodal word-meaning binding site in the visual word form area under top-down frontoparietal control. Journal of Neuroscience, 41(17), 3854-3869.</w:t>
      </w:r>
    </w:p>
    <w:p w14:paraId="716C8576" w14:textId="77777777" w:rsidR="002E3773" w:rsidRPr="002E3773" w:rsidRDefault="002E3773" w:rsidP="002E3773">
      <w:pPr>
        <w:pStyle w:val="ListParagraph"/>
        <w:jc w:val="both"/>
        <w:rPr>
          <w:rFonts w:ascii="Avenir Book" w:eastAsia="Times New Roman" w:hAnsi="Avenir Book" w:cs="Times New Roman"/>
          <w:color w:val="000000"/>
          <w:kern w:val="0"/>
          <w:sz w:val="21"/>
          <w:szCs w:val="21"/>
          <w:lang w:eastAsia="en-GB"/>
          <w14:ligatures w14:val="none"/>
        </w:rPr>
      </w:pPr>
    </w:p>
    <w:p w14:paraId="5F08D8A8" w14:textId="410E8473" w:rsidR="002E3773" w:rsidRDefault="002E3773" w:rsidP="002E3773">
      <w:pPr>
        <w:pStyle w:val="ListParagraph"/>
        <w:numPr>
          <w:ilvl w:val="0"/>
          <w:numId w:val="1"/>
        </w:numPr>
        <w:jc w:val="both"/>
        <w:rPr>
          <w:rFonts w:ascii="Avenir Book" w:eastAsia="Times New Roman" w:hAnsi="Avenir Book" w:cs="Times New Roman"/>
          <w:color w:val="000000"/>
          <w:kern w:val="0"/>
          <w:sz w:val="21"/>
          <w:szCs w:val="21"/>
          <w:lang w:eastAsia="en-GB"/>
          <w14:ligatures w14:val="none"/>
        </w:rPr>
      </w:pPr>
      <w:r w:rsidRPr="002E3773">
        <w:rPr>
          <w:rFonts w:ascii="Avenir Book" w:eastAsia="Times New Roman" w:hAnsi="Avenir Book" w:cs="Times New Roman"/>
          <w:color w:val="000000"/>
          <w:kern w:val="0"/>
          <w:sz w:val="21"/>
          <w:szCs w:val="21"/>
          <w:lang w:eastAsia="en-GB"/>
          <w14:ligatures w14:val="none"/>
        </w:rPr>
        <w:t>Terhune</w:t>
      </w:r>
      <w:r w:rsidRPr="002E3773">
        <w:rPr>
          <w:rFonts w:ascii="Cambria Math" w:eastAsia="Times New Roman" w:hAnsi="Cambria Math" w:cs="Cambria Math"/>
          <w:color w:val="000000"/>
          <w:kern w:val="0"/>
          <w:sz w:val="21"/>
          <w:szCs w:val="21"/>
          <w:lang w:eastAsia="en-GB"/>
          <w14:ligatures w14:val="none"/>
        </w:rPr>
        <w:t>‐</w:t>
      </w:r>
      <w:r w:rsidRPr="002E3773">
        <w:rPr>
          <w:rFonts w:ascii="Avenir Book" w:eastAsia="Times New Roman" w:hAnsi="Avenir Book" w:cs="Times New Roman"/>
          <w:color w:val="000000"/>
          <w:kern w:val="0"/>
          <w:sz w:val="21"/>
          <w:szCs w:val="21"/>
          <w:lang w:eastAsia="en-GB"/>
          <w14:ligatures w14:val="none"/>
        </w:rPr>
        <w:t>Cotter, B., &amp; Emmorey, K. (2025). The Neural Network for Sign Language Comprehension. Language and linguistics compass, 19(4), e70018.</w:t>
      </w:r>
    </w:p>
    <w:p w14:paraId="38A7800D" w14:textId="77777777" w:rsidR="002E3773" w:rsidRDefault="002E3773" w:rsidP="002E3773">
      <w:pPr>
        <w:jc w:val="both"/>
        <w:rPr>
          <w:rFonts w:ascii="Avenir Book" w:eastAsia="Times New Roman" w:hAnsi="Avenir Book" w:cs="Times New Roman"/>
          <w:color w:val="000000"/>
          <w:kern w:val="0"/>
          <w:sz w:val="21"/>
          <w:szCs w:val="21"/>
          <w:lang w:eastAsia="en-GB"/>
          <w14:ligatures w14:val="none"/>
        </w:rPr>
      </w:pPr>
    </w:p>
    <w:p w14:paraId="1086938E" w14:textId="77777777" w:rsidR="002E3773" w:rsidRDefault="002E3773" w:rsidP="002E3773">
      <w:pPr>
        <w:jc w:val="both"/>
        <w:rPr>
          <w:rFonts w:ascii="Avenir Book" w:eastAsia="Times New Roman" w:hAnsi="Avenir Book" w:cs="Times New Roman"/>
          <w:color w:val="000000"/>
          <w:kern w:val="0"/>
          <w:sz w:val="21"/>
          <w:szCs w:val="21"/>
          <w:lang w:eastAsia="en-GB"/>
          <w14:ligatures w14:val="none"/>
        </w:rPr>
      </w:pPr>
    </w:p>
    <w:p w14:paraId="0335CD5A" w14:textId="77777777" w:rsidR="002E3773" w:rsidRDefault="002E3773" w:rsidP="002E3773">
      <w:pPr>
        <w:rPr>
          <w:rFonts w:ascii="Avenir Book" w:eastAsia="Times New Roman" w:hAnsi="Avenir Book" w:cs="Times New Roman"/>
          <w:color w:val="000000"/>
          <w:kern w:val="0"/>
          <w:sz w:val="21"/>
          <w:szCs w:val="21"/>
          <w:lang w:eastAsia="en-GB"/>
          <w14:ligatures w14:val="none"/>
        </w:rPr>
      </w:pPr>
    </w:p>
    <w:p w14:paraId="04B8AC68" w14:textId="77777777" w:rsidR="002E3773" w:rsidRDefault="002E3773" w:rsidP="002E3773">
      <w:pPr>
        <w:rPr>
          <w:rFonts w:ascii="Avenir Book" w:eastAsia="Times New Roman" w:hAnsi="Avenir Book" w:cs="Times New Roman"/>
          <w:color w:val="000000"/>
          <w:kern w:val="0"/>
          <w:sz w:val="21"/>
          <w:szCs w:val="21"/>
          <w:lang w:eastAsia="en-GB"/>
          <w14:ligatures w14:val="none"/>
        </w:rPr>
      </w:pPr>
    </w:p>
    <w:p w14:paraId="32BD24CD" w14:textId="1B2993AA" w:rsidR="002E3773" w:rsidRDefault="002E3773" w:rsidP="002E3773">
      <w:pPr>
        <w:rPr>
          <w:rFonts w:ascii="Avenir Book" w:eastAsia="Times New Roman" w:hAnsi="Avenir Book" w:cs="Times New Roman"/>
          <w:color w:val="000000"/>
          <w:kern w:val="0"/>
          <w:sz w:val="21"/>
          <w:szCs w:val="21"/>
          <w:lang w:eastAsia="en-GB"/>
          <w14:ligatures w14:val="none"/>
        </w:rPr>
      </w:pPr>
    </w:p>
    <w:p w14:paraId="42798E4F" w14:textId="77777777" w:rsidR="00570664" w:rsidRDefault="00570664" w:rsidP="002E3773">
      <w:pPr>
        <w:rPr>
          <w:rFonts w:ascii="Avenir Book" w:eastAsia="Times New Roman" w:hAnsi="Avenir Book" w:cs="Times New Roman"/>
          <w:color w:val="000000"/>
          <w:kern w:val="0"/>
          <w:sz w:val="21"/>
          <w:szCs w:val="21"/>
          <w:lang w:eastAsia="en-GB"/>
          <w14:ligatures w14:val="none"/>
        </w:rPr>
      </w:pPr>
    </w:p>
    <w:p w14:paraId="5A17A1CA" w14:textId="77777777" w:rsidR="00570664" w:rsidRDefault="00570664" w:rsidP="002E3773">
      <w:pPr>
        <w:rPr>
          <w:rFonts w:ascii="Avenir Book" w:eastAsia="Times New Roman" w:hAnsi="Avenir Book" w:cs="Times New Roman"/>
          <w:color w:val="000000"/>
          <w:kern w:val="0"/>
          <w:sz w:val="21"/>
          <w:szCs w:val="21"/>
          <w:lang w:eastAsia="en-GB"/>
          <w14:ligatures w14:val="none"/>
        </w:rPr>
      </w:pPr>
    </w:p>
    <w:p w14:paraId="2E4B224D" w14:textId="73394BED" w:rsidR="00570664" w:rsidRDefault="00322A34" w:rsidP="002E3773">
      <w:pPr>
        <w:rPr>
          <w:rFonts w:ascii="Avenir Book" w:eastAsia="Times New Roman" w:hAnsi="Avenir Book" w:cs="Times New Roman"/>
          <w:color w:val="000000"/>
          <w:kern w:val="0"/>
          <w:sz w:val="21"/>
          <w:szCs w:val="21"/>
          <w:lang w:eastAsia="en-GB"/>
          <w14:ligatures w14:val="none"/>
        </w:rPr>
      </w:pPr>
      <w:r>
        <w:rPr>
          <w:rFonts w:ascii="Avenir Book" w:eastAsia="Times New Roman" w:hAnsi="Avenir Book" w:cs="Times New Roman"/>
          <w:noProof/>
          <w:color w:val="000000"/>
          <w:kern w:val="0"/>
          <w:sz w:val="21"/>
          <w:szCs w:val="21"/>
          <w:lang w:eastAsia="en-GB"/>
        </w:rPr>
        <w:drawing>
          <wp:inline distT="0" distB="0" distL="0" distR="0" wp14:anchorId="7822B057" wp14:editId="060AA476">
            <wp:extent cx="5727700" cy="7524115"/>
            <wp:effectExtent l="0" t="0" r="0" b="0"/>
            <wp:docPr id="17626539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653996" name="Picture 1762653996"/>
                    <pic:cNvPicPr/>
                  </pic:nvPicPr>
                  <pic:blipFill>
                    <a:blip r:embed="rId5"/>
                    <a:stretch>
                      <a:fillRect/>
                    </a:stretch>
                  </pic:blipFill>
                  <pic:spPr>
                    <a:xfrm>
                      <a:off x="0" y="0"/>
                      <a:ext cx="5727700" cy="7524115"/>
                    </a:xfrm>
                    <a:prstGeom prst="rect">
                      <a:avLst/>
                    </a:prstGeom>
                  </pic:spPr>
                </pic:pic>
              </a:graphicData>
            </a:graphic>
          </wp:inline>
        </w:drawing>
      </w:r>
    </w:p>
    <w:p w14:paraId="11C5929B" w14:textId="3DE6A45B" w:rsidR="00322A34" w:rsidRPr="00322A34" w:rsidRDefault="00322A34" w:rsidP="00322A34">
      <w:pPr>
        <w:jc w:val="both"/>
        <w:rPr>
          <w:rFonts w:ascii="Avenir Book" w:eastAsia="Times New Roman" w:hAnsi="Avenir Book" w:cs="Times New Roman"/>
          <w:color w:val="000000"/>
          <w:kern w:val="0"/>
          <w:sz w:val="21"/>
          <w:szCs w:val="21"/>
          <w:lang w:eastAsia="en-GB"/>
          <w14:ligatures w14:val="none"/>
        </w:rPr>
      </w:pPr>
      <w:r w:rsidRPr="00322A34">
        <w:rPr>
          <w:rFonts w:ascii="Avenir Book" w:eastAsia="Times New Roman" w:hAnsi="Avenir Book" w:cs="Times New Roman"/>
          <w:b/>
          <w:bCs/>
          <w:color w:val="000000"/>
          <w:kern w:val="0"/>
          <w:sz w:val="21"/>
          <w:szCs w:val="21"/>
          <w:lang w:eastAsia="en-GB"/>
          <w14:ligatures w14:val="none"/>
        </w:rPr>
        <w:t>Figure 1 – Experimental design and description of the individual ROIs definition.</w:t>
      </w:r>
      <w:r w:rsidRPr="00322A34">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b/>
          <w:bCs/>
          <w:color w:val="000000"/>
          <w:kern w:val="0"/>
          <w:sz w:val="21"/>
          <w:szCs w:val="21"/>
          <w:lang w:eastAsia="en-GB"/>
          <w14:ligatures w14:val="none"/>
        </w:rPr>
        <w:t>(A)</w:t>
      </w:r>
      <w:r w:rsidRPr="00322A34">
        <w:rPr>
          <w:rFonts w:ascii="Avenir Book" w:eastAsia="Times New Roman" w:hAnsi="Avenir Book" w:cs="Times New Roman"/>
          <w:color w:val="000000"/>
          <w:kern w:val="0"/>
          <w:sz w:val="21"/>
          <w:szCs w:val="21"/>
          <w:lang w:eastAsia="en-GB"/>
          <w14:ligatures w14:val="none"/>
        </w:rPr>
        <w:t xml:space="preserve"> Stimuli used in</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the 4 conditions of the localizer experiment (words, hands, bodies and faces). Each condition was repeated</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 xml:space="preserve">4 times per run, in a block-design. Participants performed a one-back task. </w:t>
      </w:r>
      <w:r w:rsidRPr="00322A34">
        <w:rPr>
          <w:rFonts w:ascii="Avenir Book" w:eastAsia="Times New Roman" w:hAnsi="Avenir Book" w:cs="Times New Roman"/>
          <w:b/>
          <w:bCs/>
          <w:color w:val="000000"/>
          <w:kern w:val="0"/>
          <w:sz w:val="21"/>
          <w:szCs w:val="21"/>
          <w:lang w:eastAsia="en-GB"/>
          <w14:ligatures w14:val="none"/>
        </w:rPr>
        <w:t>(B)</w:t>
      </w:r>
      <w:r w:rsidRPr="00322A34">
        <w:rPr>
          <w:rFonts w:ascii="Avenir Book" w:eastAsia="Times New Roman" w:hAnsi="Avenir Book" w:cs="Times New Roman"/>
          <w:color w:val="000000"/>
          <w:kern w:val="0"/>
          <w:sz w:val="21"/>
          <w:szCs w:val="21"/>
          <w:lang w:eastAsia="en-GB"/>
          <w14:ligatures w14:val="none"/>
        </w:rPr>
        <w:t xml:space="preserve"> In the sign languag</w:t>
      </w:r>
      <w:r>
        <w:rPr>
          <w:rFonts w:ascii="Avenir Book" w:eastAsia="Times New Roman" w:hAnsi="Avenir Book" w:cs="Times New Roman"/>
          <w:color w:val="000000"/>
          <w:kern w:val="0"/>
          <w:sz w:val="21"/>
          <w:szCs w:val="21"/>
          <w:lang w:eastAsia="en-GB"/>
          <w14:ligatures w14:val="none"/>
        </w:rPr>
        <w:t xml:space="preserve">e </w:t>
      </w:r>
      <w:r w:rsidRPr="00322A34">
        <w:rPr>
          <w:rFonts w:ascii="Avenir Book" w:eastAsia="Times New Roman" w:hAnsi="Avenir Book" w:cs="Times New Roman"/>
          <w:color w:val="000000"/>
          <w:kern w:val="0"/>
          <w:sz w:val="21"/>
          <w:szCs w:val="21"/>
          <w:lang w:eastAsia="en-GB"/>
          <w14:ligatures w14:val="none"/>
        </w:rPr>
        <w:t>experiment, runs were composed of signs and pseudo-signs presented in an event-related design. During</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 xml:space="preserve">catch trials (indicated by a red frame), participants decided if the </w:t>
      </w:r>
      <w:r w:rsidRPr="00322A34">
        <w:rPr>
          <w:rFonts w:ascii="Avenir Book" w:eastAsia="Times New Roman" w:hAnsi="Avenir Book" w:cs="Times New Roman"/>
          <w:color w:val="000000"/>
          <w:kern w:val="0"/>
          <w:sz w:val="21"/>
          <w:szCs w:val="21"/>
          <w:lang w:eastAsia="en-GB"/>
          <w14:ligatures w14:val="none"/>
        </w:rPr>
        <w:lastRenderedPageBreak/>
        <w:t>gesture was the same or different from the</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 xml:space="preserve">previous stimulus, independently of the actor, by pressing buttons with their thumb or index. </w:t>
      </w:r>
      <w:r w:rsidRPr="00322A34">
        <w:rPr>
          <w:rFonts w:ascii="Avenir Book" w:eastAsia="Times New Roman" w:hAnsi="Avenir Book" w:cs="Times New Roman"/>
          <w:b/>
          <w:bCs/>
          <w:color w:val="000000"/>
          <w:kern w:val="0"/>
          <w:sz w:val="21"/>
          <w:szCs w:val="21"/>
          <w:lang w:eastAsia="en-GB"/>
          <w14:ligatures w14:val="none"/>
        </w:rPr>
        <w:t>(C)</w:t>
      </w:r>
      <w:r w:rsidRPr="00322A34">
        <w:rPr>
          <w:rFonts w:ascii="Avenir Book" w:eastAsia="Times New Roman" w:hAnsi="Avenir Book" w:cs="Times New Roman"/>
          <w:color w:val="000000"/>
          <w:kern w:val="0"/>
          <w:sz w:val="21"/>
          <w:szCs w:val="21"/>
          <w:lang w:eastAsia="en-GB"/>
          <w14:ligatures w14:val="none"/>
        </w:rPr>
        <w:t xml:space="preserve"> Individual</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ROIs were defined by extracting the peak coordinates from the relevant contrast, constrained within</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independent anatomical or functional masks (represented in top panel). All individual peak coordinates</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across ROIs are shown in the bottom left panel. ROIs were non-overlapping for each subject. Individual</w:t>
      </w:r>
      <w:r>
        <w:rPr>
          <w:rFonts w:ascii="Avenir Book" w:eastAsia="Times New Roman" w:hAnsi="Avenir Book" w:cs="Times New Roman"/>
          <w:color w:val="000000"/>
          <w:kern w:val="0"/>
          <w:sz w:val="21"/>
          <w:szCs w:val="21"/>
          <w:lang w:eastAsia="en-GB"/>
          <w14:ligatures w14:val="none"/>
        </w:rPr>
        <w:t xml:space="preserve"> </w:t>
      </w:r>
      <w:r w:rsidRPr="00322A34">
        <w:rPr>
          <w:rFonts w:ascii="Avenir Book" w:eastAsia="Times New Roman" w:hAnsi="Avenir Book" w:cs="Times New Roman"/>
          <w:color w:val="000000"/>
          <w:kern w:val="0"/>
          <w:sz w:val="21"/>
          <w:szCs w:val="21"/>
          <w:lang w:eastAsia="en-GB"/>
          <w14:ligatures w14:val="none"/>
        </w:rPr>
        <w:t>ROIs (comprising 120 voxels) for a single subject are presented in the bottom right panel, for illustration.</w:t>
      </w:r>
    </w:p>
    <w:p w14:paraId="6BCB2EE6" w14:textId="77777777" w:rsidR="00322A34" w:rsidRDefault="00322A34" w:rsidP="002E3773">
      <w:pPr>
        <w:rPr>
          <w:rFonts w:ascii="Avenir Book" w:eastAsia="Times New Roman" w:hAnsi="Avenir Book" w:cs="Times New Roman"/>
          <w:color w:val="000000"/>
          <w:kern w:val="0"/>
          <w:sz w:val="21"/>
          <w:szCs w:val="21"/>
          <w:lang w:eastAsia="en-GB"/>
          <w14:ligatures w14:val="none"/>
        </w:rPr>
      </w:pPr>
    </w:p>
    <w:p w14:paraId="1D824BC3" w14:textId="77777777" w:rsidR="00322A34" w:rsidRDefault="00322A34" w:rsidP="002E3773">
      <w:pPr>
        <w:rPr>
          <w:rFonts w:ascii="Avenir Book" w:eastAsia="Times New Roman" w:hAnsi="Avenir Book" w:cs="Times New Roman"/>
          <w:color w:val="000000"/>
          <w:kern w:val="0"/>
          <w:sz w:val="21"/>
          <w:szCs w:val="21"/>
          <w:lang w:eastAsia="en-GB"/>
          <w14:ligatures w14:val="none"/>
        </w:rPr>
      </w:pPr>
    </w:p>
    <w:p w14:paraId="03527C40" w14:textId="77777777" w:rsidR="00322A34" w:rsidRDefault="00322A34" w:rsidP="002E3773">
      <w:pPr>
        <w:rPr>
          <w:rFonts w:ascii="Avenir Book" w:eastAsia="Times New Roman" w:hAnsi="Avenir Book" w:cs="Times New Roman"/>
          <w:color w:val="000000"/>
          <w:kern w:val="0"/>
          <w:sz w:val="21"/>
          <w:szCs w:val="21"/>
          <w:lang w:eastAsia="en-GB"/>
          <w14:ligatures w14:val="none"/>
        </w:rPr>
      </w:pPr>
    </w:p>
    <w:p w14:paraId="32AF5A25" w14:textId="4ABC2E4F" w:rsidR="00322A34" w:rsidRDefault="00322A34" w:rsidP="002E3773">
      <w:pPr>
        <w:rPr>
          <w:rFonts w:ascii="Avenir Book" w:eastAsia="Times New Roman" w:hAnsi="Avenir Book" w:cs="Times New Roman"/>
          <w:color w:val="000000"/>
          <w:kern w:val="0"/>
          <w:sz w:val="21"/>
          <w:szCs w:val="21"/>
          <w:lang w:eastAsia="en-GB"/>
          <w14:ligatures w14:val="none"/>
        </w:rPr>
      </w:pPr>
      <w:r>
        <w:rPr>
          <w:rFonts w:ascii="Avenir Book" w:eastAsia="Times New Roman" w:hAnsi="Avenir Book" w:cs="Times New Roman"/>
          <w:noProof/>
          <w:color w:val="000000"/>
          <w:kern w:val="0"/>
          <w:sz w:val="21"/>
          <w:szCs w:val="21"/>
          <w:lang w:eastAsia="en-GB"/>
        </w:rPr>
        <w:drawing>
          <wp:inline distT="0" distB="0" distL="0" distR="0" wp14:anchorId="30497B38" wp14:editId="29BC8443">
            <wp:extent cx="5727700" cy="7180580"/>
            <wp:effectExtent l="0" t="0" r="0" b="0"/>
            <wp:docPr id="4100810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81025" name="Picture 410081025"/>
                    <pic:cNvPicPr/>
                  </pic:nvPicPr>
                  <pic:blipFill>
                    <a:blip r:embed="rId6"/>
                    <a:stretch>
                      <a:fillRect/>
                    </a:stretch>
                  </pic:blipFill>
                  <pic:spPr>
                    <a:xfrm>
                      <a:off x="0" y="0"/>
                      <a:ext cx="5727700" cy="7180580"/>
                    </a:xfrm>
                    <a:prstGeom prst="rect">
                      <a:avLst/>
                    </a:prstGeom>
                  </pic:spPr>
                </pic:pic>
              </a:graphicData>
            </a:graphic>
          </wp:inline>
        </w:drawing>
      </w:r>
    </w:p>
    <w:p w14:paraId="076BD330" w14:textId="26D1D06B" w:rsidR="00FF5B6B" w:rsidRDefault="00FF5B6B" w:rsidP="00FF5B6B">
      <w:pPr>
        <w:jc w:val="both"/>
        <w:rPr>
          <w:rFonts w:ascii="Avenir Book" w:eastAsia="Times New Roman" w:hAnsi="Avenir Book" w:cs="Times New Roman"/>
          <w:color w:val="000000"/>
          <w:kern w:val="0"/>
          <w:sz w:val="21"/>
          <w:szCs w:val="21"/>
          <w:lang w:eastAsia="en-GB"/>
          <w14:ligatures w14:val="none"/>
        </w:rPr>
      </w:pPr>
      <w:r w:rsidRPr="00FF5B6B">
        <w:rPr>
          <w:rFonts w:ascii="Avenir Book" w:eastAsia="Times New Roman" w:hAnsi="Avenir Book" w:cs="Times New Roman"/>
          <w:b/>
          <w:bCs/>
          <w:color w:val="000000"/>
          <w:kern w:val="0"/>
          <w:sz w:val="21"/>
          <w:szCs w:val="21"/>
          <w:lang w:eastAsia="en-GB"/>
          <w14:ligatures w14:val="none"/>
        </w:rPr>
        <w:lastRenderedPageBreak/>
        <w:t>Figure 2 – Representational similarity analysis of signs and pseudo-signs.</w:t>
      </w:r>
      <w:r w:rsidRPr="00FF5B6B">
        <w:rPr>
          <w:rFonts w:ascii="Avenir Book" w:eastAsia="Times New Roman" w:hAnsi="Avenir Book" w:cs="Times New Roman"/>
          <w:color w:val="000000"/>
          <w:kern w:val="0"/>
          <w:sz w:val="21"/>
          <w:szCs w:val="21"/>
          <w:lang w:eastAsia="en-GB"/>
          <w14:ligatures w14:val="none"/>
        </w:rPr>
        <w:t xml:space="preserve"> Neural DSMs are extracted</w:t>
      </w:r>
      <w:r>
        <w:rPr>
          <w:rFonts w:ascii="Avenir Book" w:eastAsia="Times New Roman" w:hAnsi="Avenir Book" w:cs="Times New Roman"/>
          <w:color w:val="000000"/>
          <w:kern w:val="0"/>
          <w:sz w:val="21"/>
          <w:szCs w:val="21"/>
          <w:lang w:eastAsia="en-GB"/>
          <w14:ligatures w14:val="none"/>
        </w:rPr>
        <w:t xml:space="preserve"> f</w:t>
      </w:r>
      <w:r w:rsidRPr="00FF5B6B">
        <w:rPr>
          <w:rFonts w:ascii="Avenir Book" w:eastAsia="Times New Roman" w:hAnsi="Avenir Book" w:cs="Times New Roman"/>
          <w:color w:val="000000"/>
          <w:kern w:val="0"/>
          <w:sz w:val="21"/>
          <w:szCs w:val="21"/>
          <w:lang w:eastAsia="en-GB"/>
          <w14:ligatures w14:val="none"/>
        </w:rPr>
        <w:t>rom all ROIs across subjects. Spearman’s partial correlation is computed between each neural DSM and</w:t>
      </w:r>
      <w:r>
        <w:rPr>
          <w:rFonts w:ascii="Avenir Book" w:eastAsia="Times New Roman" w:hAnsi="Avenir Book" w:cs="Times New Roman"/>
          <w:color w:val="000000"/>
          <w:kern w:val="0"/>
          <w:sz w:val="21"/>
          <w:szCs w:val="21"/>
          <w:lang w:eastAsia="en-GB"/>
          <w14:ligatures w14:val="none"/>
        </w:rPr>
        <w:t xml:space="preserve"> </w:t>
      </w:r>
      <w:r w:rsidRPr="00FF5B6B">
        <w:rPr>
          <w:rFonts w:ascii="Avenir Book" w:eastAsia="Times New Roman" w:hAnsi="Avenir Book" w:cs="Times New Roman"/>
          <w:color w:val="000000"/>
          <w:kern w:val="0"/>
          <w:sz w:val="21"/>
          <w:szCs w:val="21"/>
          <w:lang w:eastAsia="en-GB"/>
          <w14:ligatures w14:val="none"/>
        </w:rPr>
        <w:t>each model, after regressing out the shared correlation with 4 other models (represented in lowest matrix).</w:t>
      </w:r>
      <w:r>
        <w:rPr>
          <w:rFonts w:ascii="Avenir Book" w:eastAsia="Times New Roman" w:hAnsi="Avenir Book" w:cs="Times New Roman"/>
          <w:color w:val="000000"/>
          <w:kern w:val="0"/>
          <w:sz w:val="21"/>
          <w:szCs w:val="21"/>
          <w:lang w:eastAsia="en-GB"/>
          <w14:ligatures w14:val="none"/>
        </w:rPr>
        <w:t xml:space="preserve"> </w:t>
      </w:r>
      <w:r w:rsidRPr="00FF5B6B">
        <w:rPr>
          <w:rFonts w:ascii="Avenir Book" w:eastAsia="Times New Roman" w:hAnsi="Avenir Book" w:cs="Times New Roman"/>
          <w:b/>
          <w:bCs/>
          <w:color w:val="000000"/>
          <w:kern w:val="0"/>
          <w:sz w:val="21"/>
          <w:szCs w:val="21"/>
          <w:lang w:eastAsia="en-GB"/>
          <w14:ligatures w14:val="none"/>
        </w:rPr>
        <w:t>(A)</w:t>
      </w:r>
      <w:r w:rsidRPr="00FF5B6B">
        <w:rPr>
          <w:rFonts w:ascii="Avenir Book" w:eastAsia="Times New Roman" w:hAnsi="Avenir Book" w:cs="Times New Roman"/>
          <w:color w:val="000000"/>
          <w:kern w:val="0"/>
          <w:sz w:val="21"/>
          <w:szCs w:val="21"/>
          <w:lang w:eastAsia="en-GB"/>
          <w14:ligatures w14:val="none"/>
        </w:rPr>
        <w:t xml:space="preserve"> Dots represent individual subjects’ correlation values (Spearman’s rho) with the categorical model after</w:t>
      </w:r>
      <w:r>
        <w:rPr>
          <w:rFonts w:ascii="Avenir Book" w:eastAsia="Times New Roman" w:hAnsi="Avenir Book" w:cs="Times New Roman"/>
          <w:color w:val="000000"/>
          <w:kern w:val="0"/>
          <w:sz w:val="21"/>
          <w:szCs w:val="21"/>
          <w:lang w:eastAsia="en-GB"/>
          <w14:ligatures w14:val="none"/>
        </w:rPr>
        <w:t xml:space="preserve"> </w:t>
      </w:r>
      <w:r w:rsidRPr="00FF5B6B">
        <w:rPr>
          <w:rFonts w:ascii="Avenir Book" w:eastAsia="Times New Roman" w:hAnsi="Avenir Book" w:cs="Times New Roman"/>
          <w:color w:val="000000"/>
          <w:kern w:val="0"/>
          <w:sz w:val="21"/>
          <w:szCs w:val="21"/>
          <w:lang w:eastAsia="en-GB"/>
          <w14:ligatures w14:val="none"/>
        </w:rPr>
        <w:t xml:space="preserve">regression of the correlation with other models. Similarly, in </w:t>
      </w:r>
      <w:r w:rsidRPr="00FF5B6B">
        <w:rPr>
          <w:rFonts w:ascii="Avenir Book" w:eastAsia="Times New Roman" w:hAnsi="Avenir Book" w:cs="Times New Roman"/>
          <w:b/>
          <w:bCs/>
          <w:color w:val="000000"/>
          <w:kern w:val="0"/>
          <w:sz w:val="21"/>
          <w:szCs w:val="21"/>
          <w:lang w:eastAsia="en-GB"/>
          <w14:ligatures w14:val="none"/>
        </w:rPr>
        <w:t>(B-E)</w:t>
      </w:r>
      <w:r w:rsidRPr="00FF5B6B">
        <w:rPr>
          <w:rFonts w:ascii="Avenir Book" w:eastAsia="Times New Roman" w:hAnsi="Avenir Book" w:cs="Times New Roman"/>
          <w:color w:val="000000"/>
          <w:kern w:val="0"/>
          <w:sz w:val="21"/>
          <w:szCs w:val="21"/>
          <w:lang w:eastAsia="en-GB"/>
          <w14:ligatures w14:val="none"/>
        </w:rPr>
        <w:t xml:space="preserve"> are shown correlations with GIST, face-motion, hands/body-motion and complexity models, respectively. Statistical significance of the within-group correlation against 0 is tested with a non-parametric one-sample Wilcoxon sign-ranked test. Group</w:t>
      </w:r>
      <w:r>
        <w:rPr>
          <w:rFonts w:ascii="Avenir Book" w:eastAsia="Times New Roman" w:hAnsi="Avenir Book" w:cs="Times New Roman"/>
          <w:color w:val="000000"/>
          <w:kern w:val="0"/>
          <w:sz w:val="21"/>
          <w:szCs w:val="21"/>
          <w:lang w:eastAsia="en-GB"/>
          <w14:ligatures w14:val="none"/>
        </w:rPr>
        <w:t xml:space="preserve"> </w:t>
      </w:r>
      <w:r w:rsidRPr="00FF5B6B">
        <w:rPr>
          <w:rFonts w:ascii="Avenir Book" w:eastAsia="Times New Roman" w:hAnsi="Avenir Book" w:cs="Times New Roman"/>
          <w:color w:val="000000"/>
          <w:kern w:val="0"/>
          <w:sz w:val="21"/>
          <w:szCs w:val="21"/>
          <w:lang w:eastAsia="en-GB"/>
          <w14:ligatures w14:val="none"/>
        </w:rPr>
        <w:t>differences are tested with a non-parametric Mann-Whitney U test, with significance indicated by blac</w:t>
      </w:r>
      <w:r>
        <w:rPr>
          <w:rFonts w:ascii="Avenir Book" w:eastAsia="Times New Roman" w:hAnsi="Avenir Book" w:cs="Times New Roman"/>
          <w:color w:val="000000"/>
          <w:kern w:val="0"/>
          <w:sz w:val="21"/>
          <w:szCs w:val="21"/>
          <w:lang w:eastAsia="en-GB"/>
          <w14:ligatures w14:val="none"/>
        </w:rPr>
        <w:t xml:space="preserve">k </w:t>
      </w:r>
      <w:r w:rsidRPr="00FF5B6B">
        <w:rPr>
          <w:rFonts w:ascii="Avenir Book" w:eastAsia="Times New Roman" w:hAnsi="Avenir Book" w:cs="Times New Roman"/>
          <w:color w:val="000000"/>
          <w:kern w:val="0"/>
          <w:sz w:val="21"/>
          <w:szCs w:val="21"/>
          <w:lang w:eastAsia="en-GB"/>
          <w14:ligatures w14:val="none"/>
        </w:rPr>
        <w:t>stars. All results are FDR-corrected for 8 ROIs (*p &lt; 0.05, **p &lt; 0.01, ***p &lt; 0.001).</w:t>
      </w:r>
    </w:p>
    <w:p w14:paraId="42A95CF1" w14:textId="77777777" w:rsidR="00322A34" w:rsidRPr="002E3773" w:rsidRDefault="00322A34" w:rsidP="002E3773">
      <w:pPr>
        <w:rPr>
          <w:rFonts w:ascii="Avenir Book" w:eastAsia="Times New Roman" w:hAnsi="Avenir Book" w:cs="Times New Roman"/>
          <w:color w:val="000000"/>
          <w:kern w:val="0"/>
          <w:sz w:val="21"/>
          <w:szCs w:val="21"/>
          <w:lang w:eastAsia="en-GB"/>
          <w14:ligatures w14:val="none"/>
        </w:rPr>
      </w:pPr>
    </w:p>
    <w:sectPr w:rsidR="00322A34" w:rsidRPr="002E3773" w:rsidSect="00E108C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venir Book">
    <w:panose1 w:val="02000503020000020003"/>
    <w:charset w:val="00"/>
    <w:family w:val="auto"/>
    <w:pitch w:val="variable"/>
    <w:sig w:usb0="800000AF" w:usb1="5000204A" w:usb2="00000000" w:usb3="00000000" w:csb0="0000009B"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16262"/>
    <w:multiLevelType w:val="hybridMultilevel"/>
    <w:tmpl w:val="B938472A"/>
    <w:lvl w:ilvl="0" w:tplc="B7BE8A9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442320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6"/>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F00"/>
    <w:rsid w:val="00055477"/>
    <w:rsid w:val="000E0213"/>
    <w:rsid w:val="00264F00"/>
    <w:rsid w:val="00284511"/>
    <w:rsid w:val="002E3773"/>
    <w:rsid w:val="00322A34"/>
    <w:rsid w:val="003D42C2"/>
    <w:rsid w:val="004D662E"/>
    <w:rsid w:val="00570664"/>
    <w:rsid w:val="00797859"/>
    <w:rsid w:val="007B6801"/>
    <w:rsid w:val="00970884"/>
    <w:rsid w:val="009B7DA4"/>
    <w:rsid w:val="00A86EDE"/>
    <w:rsid w:val="00AD7008"/>
    <w:rsid w:val="00DF7238"/>
    <w:rsid w:val="00E108CC"/>
    <w:rsid w:val="00E230B2"/>
    <w:rsid w:val="00ED7756"/>
    <w:rsid w:val="00FF5B6B"/>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3565B6B2"/>
  <w15:chartTrackingRefBased/>
  <w15:docId w15:val="{2716393C-565C-CC48-8AEF-FA2D4E91D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64F0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64F0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64F0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64F0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64F0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64F0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64F0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64F0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64F0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4F0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64F0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64F0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64F0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64F0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64F0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64F0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64F0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64F00"/>
    <w:rPr>
      <w:rFonts w:eastAsiaTheme="majorEastAsia" w:cstheme="majorBidi"/>
      <w:color w:val="272727" w:themeColor="text1" w:themeTint="D8"/>
    </w:rPr>
  </w:style>
  <w:style w:type="paragraph" w:styleId="Title">
    <w:name w:val="Title"/>
    <w:basedOn w:val="Normal"/>
    <w:next w:val="Normal"/>
    <w:link w:val="TitleChar"/>
    <w:uiPriority w:val="10"/>
    <w:qFormat/>
    <w:rsid w:val="00264F0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4F0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4F0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64F0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64F0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64F00"/>
    <w:rPr>
      <w:i/>
      <w:iCs/>
      <w:color w:val="404040" w:themeColor="text1" w:themeTint="BF"/>
    </w:rPr>
  </w:style>
  <w:style w:type="paragraph" w:styleId="ListParagraph">
    <w:name w:val="List Paragraph"/>
    <w:basedOn w:val="Normal"/>
    <w:uiPriority w:val="34"/>
    <w:qFormat/>
    <w:rsid w:val="00264F00"/>
    <w:pPr>
      <w:ind w:left="720"/>
      <w:contextualSpacing/>
    </w:pPr>
  </w:style>
  <w:style w:type="character" w:styleId="IntenseEmphasis">
    <w:name w:val="Intense Emphasis"/>
    <w:basedOn w:val="DefaultParagraphFont"/>
    <w:uiPriority w:val="21"/>
    <w:qFormat/>
    <w:rsid w:val="00264F00"/>
    <w:rPr>
      <w:i/>
      <w:iCs/>
      <w:color w:val="0F4761" w:themeColor="accent1" w:themeShade="BF"/>
    </w:rPr>
  </w:style>
  <w:style w:type="paragraph" w:styleId="IntenseQuote">
    <w:name w:val="Intense Quote"/>
    <w:basedOn w:val="Normal"/>
    <w:next w:val="Normal"/>
    <w:link w:val="IntenseQuoteChar"/>
    <w:uiPriority w:val="30"/>
    <w:qFormat/>
    <w:rsid w:val="00264F0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64F00"/>
    <w:rPr>
      <w:i/>
      <w:iCs/>
      <w:color w:val="0F4761" w:themeColor="accent1" w:themeShade="BF"/>
    </w:rPr>
  </w:style>
  <w:style w:type="character" w:styleId="IntenseReference">
    <w:name w:val="Intense Reference"/>
    <w:basedOn w:val="DefaultParagraphFont"/>
    <w:uiPriority w:val="32"/>
    <w:qFormat/>
    <w:rsid w:val="00264F00"/>
    <w:rPr>
      <w:b/>
      <w:bCs/>
      <w:smallCaps/>
      <w:color w:val="0F4761" w:themeColor="accent1" w:themeShade="BF"/>
      <w:spacing w:val="5"/>
    </w:rPr>
  </w:style>
  <w:style w:type="paragraph" w:styleId="NormalWeb">
    <w:name w:val="Normal (Web)"/>
    <w:basedOn w:val="Normal"/>
    <w:uiPriority w:val="99"/>
    <w:semiHidden/>
    <w:unhideWhenUsed/>
    <w:rsid w:val="00264F00"/>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264F00"/>
  </w:style>
  <w:style w:type="character" w:styleId="Strong">
    <w:name w:val="Strong"/>
    <w:basedOn w:val="DefaultParagraphFont"/>
    <w:uiPriority w:val="22"/>
    <w:qFormat/>
    <w:rsid w:val="00264F00"/>
    <w:rPr>
      <w:b/>
      <w:bCs/>
    </w:rPr>
  </w:style>
  <w:style w:type="paragraph" w:styleId="Revision">
    <w:name w:val="Revision"/>
    <w:hidden/>
    <w:uiPriority w:val="99"/>
    <w:semiHidden/>
    <w:rsid w:val="00AD7008"/>
  </w:style>
  <w:style w:type="character" w:styleId="CommentReference">
    <w:name w:val="annotation reference"/>
    <w:basedOn w:val="DefaultParagraphFont"/>
    <w:uiPriority w:val="99"/>
    <w:semiHidden/>
    <w:unhideWhenUsed/>
    <w:rsid w:val="00AD7008"/>
    <w:rPr>
      <w:sz w:val="16"/>
      <w:szCs w:val="16"/>
    </w:rPr>
  </w:style>
  <w:style w:type="paragraph" w:styleId="CommentText">
    <w:name w:val="annotation text"/>
    <w:basedOn w:val="Normal"/>
    <w:link w:val="CommentTextChar"/>
    <w:uiPriority w:val="99"/>
    <w:semiHidden/>
    <w:unhideWhenUsed/>
    <w:rsid w:val="00AD7008"/>
    <w:rPr>
      <w:sz w:val="20"/>
      <w:szCs w:val="20"/>
    </w:rPr>
  </w:style>
  <w:style w:type="character" w:customStyle="1" w:styleId="CommentTextChar">
    <w:name w:val="Comment Text Char"/>
    <w:basedOn w:val="DefaultParagraphFont"/>
    <w:link w:val="CommentText"/>
    <w:uiPriority w:val="99"/>
    <w:semiHidden/>
    <w:rsid w:val="00AD7008"/>
    <w:rPr>
      <w:sz w:val="20"/>
      <w:szCs w:val="20"/>
    </w:rPr>
  </w:style>
  <w:style w:type="paragraph" w:styleId="CommentSubject">
    <w:name w:val="annotation subject"/>
    <w:basedOn w:val="CommentText"/>
    <w:next w:val="CommentText"/>
    <w:link w:val="CommentSubjectChar"/>
    <w:uiPriority w:val="99"/>
    <w:semiHidden/>
    <w:unhideWhenUsed/>
    <w:rsid w:val="00AD7008"/>
    <w:rPr>
      <w:b/>
      <w:bCs/>
    </w:rPr>
  </w:style>
  <w:style w:type="character" w:customStyle="1" w:styleId="CommentSubjectChar">
    <w:name w:val="Comment Subject Char"/>
    <w:basedOn w:val="CommentTextChar"/>
    <w:link w:val="CommentSubject"/>
    <w:uiPriority w:val="99"/>
    <w:semiHidden/>
    <w:rsid w:val="00AD700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5</Pages>
  <Words>1040</Words>
  <Characters>5931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Mattioni</dc:creator>
  <cp:keywords/>
  <dc:description/>
  <cp:lastModifiedBy>Stefania Mattioni</cp:lastModifiedBy>
  <cp:revision>7</cp:revision>
  <dcterms:created xsi:type="dcterms:W3CDTF">2025-10-25T07:35:00Z</dcterms:created>
  <dcterms:modified xsi:type="dcterms:W3CDTF">2025-10-25T09:35:00Z</dcterms:modified>
</cp:coreProperties>
</file>