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F32ED7B" w14:textId="77777777" w:rsidR="001076F4" w:rsidRDefault="001076F4" w:rsidP="001076F4">
      <w:pPr>
        <w:spacing w:line="360" w:lineRule="auto"/>
        <w:ind w:firstLine="360"/>
        <w:rPr>
          <w:lang w:val="fr-BE"/>
        </w:rPr>
      </w:pPr>
    </w:p>
    <w:p w14:paraId="5FCD7E5F" w14:textId="77777777" w:rsidR="001076F4" w:rsidRDefault="001076F4" w:rsidP="001076F4">
      <w:pPr>
        <w:spacing w:line="360" w:lineRule="auto"/>
        <w:ind w:firstLine="360"/>
        <w:rPr>
          <w:lang w:val="fr-BE"/>
        </w:rPr>
      </w:pPr>
    </w:p>
    <w:p w14:paraId="6975DD19" w14:textId="77777777" w:rsidR="007D12B7" w:rsidRPr="00094FEA" w:rsidRDefault="007D12B7" w:rsidP="007D12B7">
      <w:pPr>
        <w:jc w:val="center"/>
        <w:rPr>
          <w:i/>
          <w:sz w:val="24"/>
          <w:szCs w:val="24"/>
          <w:lang w:val="fr-BE"/>
        </w:rPr>
      </w:pPr>
    </w:p>
    <w:p w14:paraId="69AFF912" w14:textId="635790AE" w:rsidR="007D12B7" w:rsidRPr="00766D63" w:rsidRDefault="007D12B7" w:rsidP="007D12B7">
      <w:pPr>
        <w:jc w:val="center"/>
        <w:rPr>
          <w:i/>
          <w:sz w:val="28"/>
          <w:szCs w:val="28"/>
          <w:lang w:val="fr-BE"/>
        </w:rPr>
      </w:pPr>
      <w:r w:rsidRPr="00766D63">
        <w:rPr>
          <w:i/>
          <w:sz w:val="28"/>
          <w:szCs w:val="28"/>
          <w:lang w:val="fr-BE"/>
        </w:rPr>
        <w:t xml:space="preserve">Banque, </w:t>
      </w:r>
      <w:r w:rsidR="0086079E" w:rsidRPr="00766D63">
        <w:rPr>
          <w:i/>
          <w:sz w:val="28"/>
          <w:szCs w:val="28"/>
          <w:lang w:val="fr-BE"/>
        </w:rPr>
        <w:t>crise</w:t>
      </w:r>
      <w:r w:rsidRPr="00766D63">
        <w:rPr>
          <w:i/>
          <w:sz w:val="28"/>
          <w:szCs w:val="28"/>
          <w:lang w:val="fr-BE"/>
        </w:rPr>
        <w:t xml:space="preserve"> et droit : retour aux sources et réflexions autour d’un défi mondial </w:t>
      </w:r>
    </w:p>
    <w:p w14:paraId="1EF32472" w14:textId="77777777" w:rsidR="007D12B7" w:rsidRPr="00094FEA" w:rsidRDefault="007D12B7" w:rsidP="007D12B7">
      <w:pPr>
        <w:jc w:val="center"/>
        <w:rPr>
          <w:i/>
          <w:sz w:val="24"/>
          <w:szCs w:val="24"/>
          <w:lang w:val="fr-BE"/>
        </w:rPr>
      </w:pPr>
    </w:p>
    <w:p w14:paraId="70C9FB62" w14:textId="77777777" w:rsidR="00660178" w:rsidRPr="00094FEA" w:rsidRDefault="00660178" w:rsidP="007D12B7">
      <w:pPr>
        <w:jc w:val="center"/>
        <w:rPr>
          <w:i/>
          <w:sz w:val="24"/>
          <w:szCs w:val="24"/>
          <w:lang w:val="fr-BE"/>
        </w:rPr>
      </w:pPr>
    </w:p>
    <w:p w14:paraId="0FBDD3DE" w14:textId="77777777" w:rsidR="007D12B7" w:rsidRPr="00094FEA" w:rsidRDefault="007D12B7" w:rsidP="007D12B7">
      <w:pPr>
        <w:jc w:val="center"/>
        <w:rPr>
          <w:sz w:val="24"/>
          <w:szCs w:val="24"/>
          <w:lang w:val="fr-BE"/>
        </w:rPr>
      </w:pPr>
    </w:p>
    <w:p w14:paraId="0075A978" w14:textId="31563C60" w:rsidR="007D12B7" w:rsidRPr="00094FEA" w:rsidRDefault="007D12B7" w:rsidP="007D12B7">
      <w:pPr>
        <w:jc w:val="right"/>
        <w:rPr>
          <w:sz w:val="24"/>
          <w:szCs w:val="24"/>
          <w:lang w:val="fr-BE"/>
        </w:rPr>
      </w:pPr>
      <w:r w:rsidRPr="00094FEA">
        <w:rPr>
          <w:sz w:val="24"/>
          <w:szCs w:val="24"/>
          <w:lang w:val="fr-BE"/>
        </w:rPr>
        <w:t>Pauline Bégasse de Dhaem</w:t>
      </w:r>
      <w:r w:rsidR="0021173D">
        <w:rPr>
          <w:rStyle w:val="FootnoteReference"/>
          <w:i/>
          <w:szCs w:val="28"/>
          <w:lang w:val="fr-BE"/>
        </w:rPr>
        <w:footnoteReference w:id="1"/>
      </w:r>
    </w:p>
    <w:p w14:paraId="3CF30E73" w14:textId="41A4E84F" w:rsidR="007D12B7" w:rsidRPr="00094FEA" w:rsidRDefault="007D12B7" w:rsidP="007D12B7">
      <w:pPr>
        <w:jc w:val="right"/>
        <w:rPr>
          <w:sz w:val="24"/>
          <w:szCs w:val="24"/>
          <w:lang w:val="fr-BE"/>
        </w:rPr>
      </w:pPr>
      <w:r w:rsidRPr="00094FEA">
        <w:rPr>
          <w:sz w:val="24"/>
          <w:szCs w:val="24"/>
          <w:lang w:val="fr-BE"/>
        </w:rPr>
        <w:t xml:space="preserve">Chercheure au SIEJ </w:t>
      </w:r>
      <w:r w:rsidR="004F75B4">
        <w:rPr>
          <w:sz w:val="24"/>
          <w:szCs w:val="24"/>
          <w:lang w:val="fr-BE"/>
        </w:rPr>
        <w:t>(Université Saint-Louis – Bruxelles)</w:t>
      </w:r>
      <w:r w:rsidR="00913895">
        <w:rPr>
          <w:sz w:val="24"/>
          <w:szCs w:val="24"/>
          <w:lang w:val="fr-BE"/>
        </w:rPr>
        <w:t>, au CRIDES (Université Catholique de Louvain)</w:t>
      </w:r>
      <w:r w:rsidR="004F75B4">
        <w:rPr>
          <w:sz w:val="24"/>
          <w:szCs w:val="24"/>
          <w:lang w:val="fr-BE"/>
        </w:rPr>
        <w:t xml:space="preserve"> </w:t>
      </w:r>
      <w:r w:rsidRPr="00094FEA">
        <w:rPr>
          <w:sz w:val="24"/>
          <w:szCs w:val="24"/>
          <w:lang w:val="fr-BE"/>
        </w:rPr>
        <w:t>et au Centre Perelman de philosophie du droit</w:t>
      </w:r>
      <w:r w:rsidR="004F75B4">
        <w:rPr>
          <w:sz w:val="24"/>
          <w:szCs w:val="24"/>
          <w:lang w:val="fr-BE"/>
        </w:rPr>
        <w:t xml:space="preserve"> (Université Libre de Bruxelles)</w:t>
      </w:r>
      <w:r w:rsidRPr="00094FEA">
        <w:rPr>
          <w:sz w:val="24"/>
          <w:szCs w:val="24"/>
          <w:lang w:val="fr-BE"/>
        </w:rPr>
        <w:t xml:space="preserve"> </w:t>
      </w:r>
    </w:p>
    <w:p w14:paraId="537E31E9" w14:textId="6FEFB4EB" w:rsidR="007D12B7" w:rsidRPr="00094FEA" w:rsidRDefault="004F75B4" w:rsidP="007D12B7">
      <w:pPr>
        <w:jc w:val="right"/>
        <w:rPr>
          <w:sz w:val="24"/>
          <w:szCs w:val="24"/>
          <w:lang w:val="fr-BE"/>
        </w:rPr>
      </w:pPr>
      <w:r>
        <w:rPr>
          <w:sz w:val="24"/>
          <w:szCs w:val="24"/>
          <w:lang w:val="fr-BE"/>
        </w:rPr>
        <w:t>Conseiller</w:t>
      </w:r>
      <w:r w:rsidR="007D12B7" w:rsidRPr="00094FEA">
        <w:rPr>
          <w:sz w:val="24"/>
          <w:szCs w:val="24"/>
          <w:lang w:val="fr-BE"/>
        </w:rPr>
        <w:t xml:space="preserve"> juridique auprès de la Banque nationale de </w:t>
      </w:r>
      <w:r w:rsidR="00CE6FCA">
        <w:rPr>
          <w:sz w:val="24"/>
          <w:szCs w:val="24"/>
          <w:lang w:val="fr-BE"/>
        </w:rPr>
        <w:t>Belgique ( département de supervision bancaire)</w:t>
      </w:r>
    </w:p>
    <w:p w14:paraId="2B4D9EAC" w14:textId="77777777" w:rsidR="001076F4" w:rsidRPr="00094FEA" w:rsidRDefault="001076F4" w:rsidP="001076F4">
      <w:pPr>
        <w:spacing w:line="360" w:lineRule="auto"/>
        <w:ind w:firstLine="360"/>
        <w:rPr>
          <w:sz w:val="24"/>
          <w:szCs w:val="24"/>
          <w:lang w:val="fr-BE"/>
        </w:rPr>
      </w:pPr>
    </w:p>
    <w:p w14:paraId="5BCCFCF5" w14:textId="77777777" w:rsidR="001076F4" w:rsidRPr="00094FEA" w:rsidRDefault="001076F4" w:rsidP="001076F4">
      <w:pPr>
        <w:spacing w:line="360" w:lineRule="auto"/>
        <w:ind w:firstLine="360"/>
        <w:rPr>
          <w:sz w:val="24"/>
          <w:szCs w:val="24"/>
          <w:lang w:val="fr-BE"/>
        </w:rPr>
      </w:pPr>
    </w:p>
    <w:p w14:paraId="62111FFD" w14:textId="77777777" w:rsidR="001076F4" w:rsidRPr="00094FEA" w:rsidRDefault="001076F4" w:rsidP="001076F4">
      <w:pPr>
        <w:spacing w:line="360" w:lineRule="auto"/>
        <w:ind w:firstLine="360"/>
        <w:rPr>
          <w:sz w:val="24"/>
          <w:szCs w:val="24"/>
          <w:lang w:val="fr-BE"/>
        </w:rPr>
      </w:pPr>
    </w:p>
    <w:p w14:paraId="53E5E482" w14:textId="21D40208" w:rsidR="00786B04" w:rsidRDefault="001076F4" w:rsidP="00786B04">
      <w:pPr>
        <w:spacing w:line="360" w:lineRule="auto"/>
        <w:ind w:firstLine="360"/>
        <w:rPr>
          <w:sz w:val="24"/>
          <w:szCs w:val="24"/>
          <w:lang w:val="fr-BE"/>
        </w:rPr>
      </w:pPr>
      <w:r w:rsidRPr="00094FEA">
        <w:rPr>
          <w:sz w:val="24"/>
          <w:szCs w:val="24"/>
          <w:lang w:val="fr-BE"/>
        </w:rPr>
        <w:t xml:space="preserve">La crise bancaire et financière de 2007-2010 a mis en exergue le caractère transnational de la question de la stabilité </w:t>
      </w:r>
      <w:r w:rsidR="00C6412E">
        <w:rPr>
          <w:sz w:val="24"/>
          <w:szCs w:val="24"/>
          <w:lang w:val="fr-BE"/>
        </w:rPr>
        <w:t>bancaire.</w:t>
      </w:r>
      <w:r w:rsidRPr="00094FEA">
        <w:rPr>
          <w:sz w:val="24"/>
          <w:szCs w:val="24"/>
          <w:lang w:val="fr-BE"/>
        </w:rPr>
        <w:t xml:space="preserve">  Des prêts octroyés à des personnes peu solvables aux Etats-Unis ont en effet conduit à un cataclysme mondial</w:t>
      </w:r>
      <w:r w:rsidR="00FE47DD">
        <w:rPr>
          <w:sz w:val="24"/>
          <w:szCs w:val="24"/>
          <w:lang w:val="fr-BE"/>
        </w:rPr>
        <w:t>isé</w:t>
      </w:r>
      <w:r w:rsidRPr="00094FEA">
        <w:rPr>
          <w:sz w:val="24"/>
          <w:szCs w:val="24"/>
          <w:lang w:val="fr-BE"/>
        </w:rPr>
        <w:t xml:space="preserve"> dont les effets sont encore ressentis aujourd’hui par l’économie réelle.   Ces évènements ont fait prendre conscience tant de l’urgence</w:t>
      </w:r>
      <w:r w:rsidR="00FE47DD">
        <w:rPr>
          <w:sz w:val="24"/>
          <w:szCs w:val="24"/>
          <w:lang w:val="fr-BE"/>
        </w:rPr>
        <w:t xml:space="preserve"> que de la dimension mondiale</w:t>
      </w:r>
      <w:r w:rsidRPr="00094FEA">
        <w:rPr>
          <w:sz w:val="24"/>
          <w:szCs w:val="24"/>
          <w:lang w:val="fr-BE"/>
        </w:rPr>
        <w:t xml:space="preserve"> du défi de la régulation et de la supervision de ce secteur.  C’est donc sans surprise que les dirigeants </w:t>
      </w:r>
      <w:r w:rsidR="00B40DB7">
        <w:rPr>
          <w:sz w:val="24"/>
          <w:szCs w:val="24"/>
          <w:lang w:val="fr-BE"/>
        </w:rPr>
        <w:t xml:space="preserve">du </w:t>
      </w:r>
      <w:r w:rsidRPr="00094FEA">
        <w:rPr>
          <w:sz w:val="24"/>
          <w:szCs w:val="24"/>
          <w:lang w:val="fr-BE"/>
        </w:rPr>
        <w:t xml:space="preserve">G20 insistèrent sur l’importance de développer une réponse </w:t>
      </w:r>
      <w:r w:rsidR="007D12B7" w:rsidRPr="00094FEA">
        <w:rPr>
          <w:sz w:val="24"/>
          <w:szCs w:val="24"/>
          <w:lang w:val="fr-BE"/>
        </w:rPr>
        <w:t>globale aux problèmes rencontrés</w:t>
      </w:r>
      <w:r w:rsidRPr="00094FEA">
        <w:rPr>
          <w:sz w:val="24"/>
          <w:szCs w:val="24"/>
          <w:lang w:val="fr-BE"/>
        </w:rPr>
        <w:t xml:space="preserve">. </w:t>
      </w:r>
      <w:r w:rsidR="004F75B4">
        <w:rPr>
          <w:sz w:val="24"/>
          <w:szCs w:val="24"/>
          <w:lang w:val="fr-BE"/>
        </w:rPr>
        <w:t xml:space="preserve"> </w:t>
      </w:r>
      <w:r w:rsidR="004F75B4" w:rsidRPr="004F75B4">
        <w:rPr>
          <w:sz w:val="24"/>
          <w:szCs w:val="24"/>
          <w:lang w:val="fr-BE"/>
        </w:rPr>
        <w:t>U</w:t>
      </w:r>
      <w:r w:rsidRPr="004F75B4">
        <w:rPr>
          <w:sz w:val="24"/>
          <w:szCs w:val="24"/>
          <w:lang w:val="fr-BE"/>
        </w:rPr>
        <w:t>ne crise mondiale requiert</w:t>
      </w:r>
      <w:r w:rsidR="004F75B4" w:rsidRPr="004F75B4">
        <w:rPr>
          <w:sz w:val="24"/>
          <w:szCs w:val="24"/>
          <w:lang w:val="fr-BE"/>
        </w:rPr>
        <w:t xml:space="preserve"> en effet à leur yeux</w:t>
      </w:r>
      <w:r w:rsidRPr="004F75B4">
        <w:rPr>
          <w:sz w:val="24"/>
          <w:szCs w:val="24"/>
          <w:lang w:val="fr-BE"/>
        </w:rPr>
        <w:t xml:space="preserve"> une </w:t>
      </w:r>
      <w:r w:rsidR="004F75B4">
        <w:rPr>
          <w:i/>
          <w:sz w:val="24"/>
          <w:szCs w:val="24"/>
          <w:lang w:val="fr-BE"/>
        </w:rPr>
        <w:t>« </w:t>
      </w:r>
      <w:r w:rsidRPr="00094FEA">
        <w:rPr>
          <w:i/>
          <w:sz w:val="24"/>
          <w:szCs w:val="24"/>
          <w:lang w:val="fr-BE"/>
        </w:rPr>
        <w:t>solution mondiale</w:t>
      </w:r>
      <w:r w:rsidRPr="00094FEA">
        <w:rPr>
          <w:sz w:val="24"/>
          <w:szCs w:val="24"/>
          <w:lang w:val="fr-BE"/>
        </w:rPr>
        <w:t> ».  La clarté de ce constat contraste cependant avec la réalité</w:t>
      </w:r>
      <w:r w:rsidR="004F75B4">
        <w:rPr>
          <w:sz w:val="24"/>
          <w:szCs w:val="24"/>
          <w:lang w:val="fr-BE"/>
        </w:rPr>
        <w:t xml:space="preserve"> du</w:t>
      </w:r>
      <w:r w:rsidRPr="00094FEA">
        <w:rPr>
          <w:sz w:val="24"/>
          <w:szCs w:val="24"/>
          <w:lang w:val="fr-BE"/>
        </w:rPr>
        <w:t xml:space="preserve"> </w:t>
      </w:r>
      <w:r w:rsidR="007D12B7" w:rsidRPr="00094FEA">
        <w:rPr>
          <w:sz w:val="24"/>
          <w:szCs w:val="24"/>
          <w:lang w:val="fr-BE"/>
        </w:rPr>
        <w:t>terrain et en particulier avec celle du droit</w:t>
      </w:r>
      <w:r w:rsidRPr="00094FEA">
        <w:rPr>
          <w:sz w:val="24"/>
          <w:szCs w:val="24"/>
          <w:lang w:val="fr-BE"/>
        </w:rPr>
        <w:t xml:space="preserve">.  La règlementation bancaire tout comme </w:t>
      </w:r>
      <w:r w:rsidR="007D12B7" w:rsidRPr="00094FEA">
        <w:rPr>
          <w:sz w:val="24"/>
          <w:szCs w:val="24"/>
          <w:lang w:val="fr-BE"/>
        </w:rPr>
        <w:t xml:space="preserve">le contrôle sectoriel </w:t>
      </w:r>
      <w:r w:rsidRPr="00094FEA">
        <w:rPr>
          <w:sz w:val="24"/>
          <w:szCs w:val="24"/>
          <w:lang w:val="fr-BE"/>
        </w:rPr>
        <w:t xml:space="preserve">se sont en effet construits sur </w:t>
      </w:r>
      <w:r w:rsidR="007D12B7" w:rsidRPr="00094FEA">
        <w:rPr>
          <w:sz w:val="24"/>
          <w:szCs w:val="24"/>
          <w:lang w:val="fr-BE"/>
        </w:rPr>
        <w:t xml:space="preserve">la </w:t>
      </w:r>
      <w:r w:rsidRPr="00094FEA">
        <w:rPr>
          <w:sz w:val="24"/>
          <w:szCs w:val="24"/>
          <w:lang w:val="fr-BE"/>
        </w:rPr>
        <w:t>base</w:t>
      </w:r>
      <w:r w:rsidR="007D12B7" w:rsidRPr="00094FEA">
        <w:rPr>
          <w:sz w:val="24"/>
          <w:szCs w:val="24"/>
          <w:lang w:val="fr-BE"/>
        </w:rPr>
        <w:t xml:space="preserve"> du droit</w:t>
      </w:r>
      <w:r w:rsidRPr="00094FEA">
        <w:rPr>
          <w:sz w:val="24"/>
          <w:szCs w:val="24"/>
          <w:lang w:val="fr-BE"/>
        </w:rPr>
        <w:t xml:space="preserve"> natio</w:t>
      </w:r>
      <w:r w:rsidR="007D12B7" w:rsidRPr="00094FEA">
        <w:rPr>
          <w:sz w:val="24"/>
          <w:szCs w:val="24"/>
          <w:lang w:val="fr-BE"/>
        </w:rPr>
        <w:t>nal</w:t>
      </w:r>
      <w:r w:rsidR="00B40DB7">
        <w:rPr>
          <w:sz w:val="24"/>
          <w:szCs w:val="24"/>
          <w:lang w:val="fr-BE"/>
        </w:rPr>
        <w:t xml:space="preserve"> dans la mesure où</w:t>
      </w:r>
      <w:r w:rsidRPr="00094FEA">
        <w:rPr>
          <w:sz w:val="24"/>
          <w:szCs w:val="24"/>
          <w:lang w:val="fr-BE"/>
        </w:rPr>
        <w:t xml:space="preserve"> la banque et la finance ont de longue date été considéré</w:t>
      </w:r>
      <w:r w:rsidR="001143EF">
        <w:rPr>
          <w:sz w:val="24"/>
          <w:szCs w:val="24"/>
          <w:lang w:val="fr-BE"/>
        </w:rPr>
        <w:t>e</w:t>
      </w:r>
      <w:r w:rsidRPr="00094FEA">
        <w:rPr>
          <w:sz w:val="24"/>
          <w:szCs w:val="24"/>
          <w:lang w:val="fr-BE"/>
        </w:rPr>
        <w:t xml:space="preserve">s comme la chasse gardée des souverains.  </w:t>
      </w:r>
      <w:r w:rsidR="00660178" w:rsidRPr="00094FEA">
        <w:rPr>
          <w:sz w:val="24"/>
          <w:szCs w:val="24"/>
          <w:lang w:val="fr-BE"/>
        </w:rPr>
        <w:t xml:space="preserve">Dès lors, les </w:t>
      </w:r>
      <w:r w:rsidR="00FE47DD">
        <w:rPr>
          <w:sz w:val="24"/>
          <w:szCs w:val="24"/>
          <w:lang w:val="fr-BE"/>
        </w:rPr>
        <w:t>instruments</w:t>
      </w:r>
      <w:r w:rsidR="00660178" w:rsidRPr="00094FEA">
        <w:rPr>
          <w:sz w:val="24"/>
          <w:szCs w:val="24"/>
          <w:lang w:val="fr-BE"/>
        </w:rPr>
        <w:t xml:space="preserve"> de droit international public tout comme l’intégration européenne en matière bancaire ont rencontré la réticence des Etats</w:t>
      </w:r>
      <w:r w:rsidR="00786B04">
        <w:rPr>
          <w:sz w:val="24"/>
          <w:szCs w:val="24"/>
          <w:lang w:val="fr-BE"/>
        </w:rPr>
        <w:t>.  Celle-ci s’est traduite</w:t>
      </w:r>
      <w:r w:rsidR="00FE47DD">
        <w:rPr>
          <w:lang w:val="fr-BE"/>
        </w:rPr>
        <w:t xml:space="preserve"> </w:t>
      </w:r>
      <w:r w:rsidR="00786B04">
        <w:rPr>
          <w:sz w:val="24"/>
          <w:szCs w:val="24"/>
          <w:lang w:val="fr-BE"/>
        </w:rPr>
        <w:t xml:space="preserve">dans </w:t>
      </w:r>
      <w:r w:rsidR="00FE47DD">
        <w:rPr>
          <w:sz w:val="24"/>
          <w:szCs w:val="24"/>
          <w:lang w:val="fr-BE"/>
        </w:rPr>
        <w:t>une pauvreté des outils jurid</w:t>
      </w:r>
      <w:r w:rsidR="00786B04">
        <w:rPr>
          <w:sz w:val="24"/>
          <w:szCs w:val="24"/>
          <w:lang w:val="fr-BE"/>
        </w:rPr>
        <w:t>iques classiques de droit</w:t>
      </w:r>
      <w:r w:rsidR="00FE47DD">
        <w:rPr>
          <w:sz w:val="24"/>
          <w:szCs w:val="24"/>
          <w:lang w:val="fr-BE"/>
        </w:rPr>
        <w:t xml:space="preserve"> </w:t>
      </w:r>
      <w:r w:rsidR="00786B04">
        <w:rPr>
          <w:sz w:val="24"/>
          <w:szCs w:val="24"/>
          <w:lang w:val="fr-BE"/>
        </w:rPr>
        <w:t>développés</w:t>
      </w:r>
      <w:r w:rsidR="00FE47DD">
        <w:rPr>
          <w:sz w:val="24"/>
          <w:szCs w:val="24"/>
          <w:lang w:val="fr-BE"/>
        </w:rPr>
        <w:t xml:space="preserve"> aux échelles</w:t>
      </w:r>
      <w:r w:rsidR="00C6412E">
        <w:rPr>
          <w:sz w:val="24"/>
          <w:szCs w:val="24"/>
          <w:lang w:val="fr-BE"/>
        </w:rPr>
        <w:t xml:space="preserve"> internationale et européenne. </w:t>
      </w:r>
      <w:r w:rsidR="00FE47DD">
        <w:rPr>
          <w:sz w:val="24"/>
          <w:szCs w:val="24"/>
          <w:lang w:val="fr-BE"/>
        </w:rPr>
        <w:t xml:space="preserve"> Face à cette pénurie et pour répondre aux besoins de la globalisation du marché bancaire et des risques qui en découlent, les autorités de contrôle ont façonné des dispositifs normatifs alternatifs aux contours protéifo</w:t>
      </w:r>
      <w:r w:rsidR="00C6412E">
        <w:rPr>
          <w:sz w:val="24"/>
          <w:szCs w:val="24"/>
          <w:lang w:val="fr-BE"/>
        </w:rPr>
        <w:t>rmes et au</w:t>
      </w:r>
      <w:r w:rsidR="00F919DC">
        <w:rPr>
          <w:sz w:val="24"/>
          <w:szCs w:val="24"/>
          <w:lang w:val="fr-BE"/>
        </w:rPr>
        <w:t>x</w:t>
      </w:r>
      <w:r w:rsidR="00C6412E">
        <w:rPr>
          <w:sz w:val="24"/>
          <w:szCs w:val="24"/>
          <w:lang w:val="fr-BE"/>
        </w:rPr>
        <w:t xml:space="preserve"> contenu</w:t>
      </w:r>
      <w:r w:rsidR="00F919DC">
        <w:rPr>
          <w:sz w:val="24"/>
          <w:szCs w:val="24"/>
          <w:lang w:val="fr-BE"/>
        </w:rPr>
        <w:t>s</w:t>
      </w:r>
      <w:r w:rsidR="00C6412E">
        <w:rPr>
          <w:sz w:val="24"/>
          <w:szCs w:val="24"/>
          <w:lang w:val="fr-BE"/>
        </w:rPr>
        <w:t xml:space="preserve"> diversifié</w:t>
      </w:r>
      <w:r w:rsidR="00F919DC">
        <w:rPr>
          <w:sz w:val="24"/>
          <w:szCs w:val="24"/>
          <w:lang w:val="fr-BE"/>
        </w:rPr>
        <w:t>s</w:t>
      </w:r>
      <w:r w:rsidR="00C6412E">
        <w:rPr>
          <w:sz w:val="24"/>
          <w:szCs w:val="24"/>
          <w:lang w:val="fr-BE"/>
        </w:rPr>
        <w:t xml:space="preserve">.  </w:t>
      </w:r>
      <w:r w:rsidR="00786B04">
        <w:rPr>
          <w:sz w:val="24"/>
          <w:szCs w:val="24"/>
          <w:lang w:val="fr-BE"/>
        </w:rPr>
        <w:t xml:space="preserve"> </w:t>
      </w:r>
    </w:p>
    <w:p w14:paraId="7665CCAC" w14:textId="77777777" w:rsidR="00786B04" w:rsidRDefault="00786B04" w:rsidP="00786B04">
      <w:pPr>
        <w:spacing w:line="360" w:lineRule="auto"/>
        <w:ind w:firstLine="360"/>
        <w:rPr>
          <w:sz w:val="24"/>
          <w:szCs w:val="24"/>
          <w:lang w:val="fr-BE"/>
        </w:rPr>
      </w:pPr>
    </w:p>
    <w:p w14:paraId="5660FA22" w14:textId="13863267" w:rsidR="00C6412E" w:rsidRDefault="00FE47DD" w:rsidP="00786B04">
      <w:pPr>
        <w:spacing w:line="360" w:lineRule="auto"/>
        <w:ind w:firstLine="360"/>
        <w:rPr>
          <w:sz w:val="24"/>
          <w:szCs w:val="24"/>
          <w:lang w:val="fr-BE"/>
        </w:rPr>
      </w:pPr>
      <w:r>
        <w:rPr>
          <w:sz w:val="24"/>
          <w:szCs w:val="24"/>
          <w:lang w:val="fr-BE"/>
        </w:rPr>
        <w:t>Cette complexification du champs juridico-norm</w:t>
      </w:r>
      <w:r w:rsidR="007111C2">
        <w:rPr>
          <w:sz w:val="24"/>
          <w:szCs w:val="24"/>
          <w:lang w:val="fr-BE"/>
        </w:rPr>
        <w:t xml:space="preserve">atif suffira-t-elle cependant pour </w:t>
      </w:r>
      <w:r w:rsidR="001749F1">
        <w:rPr>
          <w:sz w:val="24"/>
          <w:szCs w:val="24"/>
          <w:lang w:val="fr-BE"/>
        </w:rPr>
        <w:t>éviter</w:t>
      </w:r>
      <w:r>
        <w:rPr>
          <w:sz w:val="24"/>
          <w:szCs w:val="24"/>
          <w:lang w:val="fr-BE"/>
        </w:rPr>
        <w:t xml:space="preserve"> la pro</w:t>
      </w:r>
      <w:r w:rsidR="00C6412E">
        <w:rPr>
          <w:sz w:val="24"/>
          <w:szCs w:val="24"/>
          <w:lang w:val="fr-BE"/>
        </w:rPr>
        <w:t>chaine crise ?</w:t>
      </w:r>
      <w:r w:rsidR="00786B04">
        <w:rPr>
          <w:sz w:val="24"/>
          <w:szCs w:val="24"/>
          <w:lang w:val="fr-BE"/>
        </w:rPr>
        <w:t xml:space="preserve">  Si </w:t>
      </w:r>
      <w:r w:rsidR="00B40DB7">
        <w:rPr>
          <w:sz w:val="24"/>
          <w:szCs w:val="24"/>
          <w:lang w:val="fr-BE"/>
        </w:rPr>
        <w:t>ceci</w:t>
      </w:r>
      <w:r w:rsidR="00C6412E">
        <w:rPr>
          <w:sz w:val="24"/>
          <w:szCs w:val="24"/>
          <w:lang w:val="fr-BE"/>
        </w:rPr>
        <w:t xml:space="preserve"> questionnable, ses effets potentiels le sont </w:t>
      </w:r>
      <w:r w:rsidR="00786B04">
        <w:rPr>
          <w:sz w:val="24"/>
          <w:szCs w:val="24"/>
          <w:lang w:val="fr-BE"/>
        </w:rPr>
        <w:t xml:space="preserve">probablement tout </w:t>
      </w:r>
      <w:r w:rsidR="00C6412E">
        <w:rPr>
          <w:sz w:val="24"/>
          <w:szCs w:val="24"/>
          <w:lang w:val="fr-BE"/>
        </w:rPr>
        <w:t xml:space="preserve">autant. </w:t>
      </w:r>
      <w:r w:rsidR="00786B04">
        <w:rPr>
          <w:sz w:val="24"/>
          <w:szCs w:val="24"/>
          <w:lang w:val="fr-BE"/>
        </w:rPr>
        <w:t xml:space="preserve">  Ces solutions transnationales </w:t>
      </w:r>
      <w:r w:rsidR="001749F1">
        <w:rPr>
          <w:sz w:val="24"/>
          <w:szCs w:val="24"/>
          <w:lang w:val="fr-BE"/>
        </w:rPr>
        <w:t xml:space="preserve">innovantes </w:t>
      </w:r>
      <w:r w:rsidR="00786B04">
        <w:rPr>
          <w:sz w:val="24"/>
          <w:szCs w:val="24"/>
          <w:lang w:val="fr-BE"/>
        </w:rPr>
        <w:t xml:space="preserve">dites de « droit souple » ont en effet peu à peu compléter, concurrencer voire remplacer les sources classiques du </w:t>
      </w:r>
      <w:r w:rsidR="001749F1">
        <w:rPr>
          <w:sz w:val="24"/>
          <w:szCs w:val="24"/>
          <w:lang w:val="fr-BE"/>
        </w:rPr>
        <w:t>droit européen et international</w:t>
      </w:r>
      <w:r w:rsidR="00F721FE">
        <w:rPr>
          <w:sz w:val="24"/>
          <w:szCs w:val="24"/>
          <w:lang w:val="fr-BE"/>
        </w:rPr>
        <w:t xml:space="preserve">. </w:t>
      </w:r>
    </w:p>
    <w:p w14:paraId="58748644" w14:textId="77777777" w:rsidR="00786B04" w:rsidRDefault="00786B04" w:rsidP="00786B04">
      <w:pPr>
        <w:spacing w:line="360" w:lineRule="auto"/>
        <w:ind w:firstLine="360"/>
        <w:rPr>
          <w:sz w:val="24"/>
          <w:szCs w:val="24"/>
          <w:lang w:val="fr-BE"/>
        </w:rPr>
      </w:pPr>
    </w:p>
    <w:p w14:paraId="523F3FFA" w14:textId="25C3A925" w:rsidR="00786B04" w:rsidRDefault="00485A60" w:rsidP="00485A60">
      <w:pPr>
        <w:spacing w:line="360" w:lineRule="auto"/>
        <w:ind w:firstLine="360"/>
        <w:rPr>
          <w:sz w:val="24"/>
          <w:szCs w:val="24"/>
          <w:lang w:val="fr-BE"/>
        </w:rPr>
      </w:pPr>
      <w:r>
        <w:rPr>
          <w:sz w:val="24"/>
          <w:szCs w:val="24"/>
          <w:lang w:val="fr-BE"/>
        </w:rPr>
        <w:t>Dans c</w:t>
      </w:r>
      <w:r w:rsidR="00786B04">
        <w:rPr>
          <w:sz w:val="24"/>
          <w:szCs w:val="24"/>
          <w:lang w:val="fr-BE"/>
        </w:rPr>
        <w:t>et article</w:t>
      </w:r>
      <w:r>
        <w:rPr>
          <w:sz w:val="24"/>
          <w:szCs w:val="24"/>
          <w:lang w:val="fr-BE"/>
        </w:rPr>
        <w:t>, nous proposons</w:t>
      </w:r>
      <w:r w:rsidR="00786B04">
        <w:rPr>
          <w:sz w:val="24"/>
          <w:szCs w:val="24"/>
          <w:lang w:val="fr-BE"/>
        </w:rPr>
        <w:t xml:space="preserve"> de revenir sur le problème d’inadéquation des systèmes</w:t>
      </w:r>
      <w:r w:rsidR="00FB4921">
        <w:rPr>
          <w:sz w:val="24"/>
          <w:szCs w:val="24"/>
          <w:lang w:val="fr-BE"/>
        </w:rPr>
        <w:t xml:space="preserve"> de</w:t>
      </w:r>
      <w:r w:rsidR="00786B04">
        <w:rPr>
          <w:sz w:val="24"/>
          <w:szCs w:val="24"/>
          <w:lang w:val="fr-BE"/>
        </w:rPr>
        <w:t xml:space="preserve"> droit basés sur l’Etat-nation face au phénomène de la mondialisation du secteur bancaire, </w:t>
      </w:r>
      <w:r w:rsidR="001F7D61">
        <w:rPr>
          <w:sz w:val="24"/>
          <w:szCs w:val="24"/>
          <w:lang w:val="fr-BE"/>
        </w:rPr>
        <w:t xml:space="preserve">et </w:t>
      </w:r>
      <w:r w:rsidR="00786B04">
        <w:rPr>
          <w:sz w:val="24"/>
          <w:szCs w:val="24"/>
          <w:lang w:val="fr-BE"/>
        </w:rPr>
        <w:t xml:space="preserve">d’en étudier les solutions </w:t>
      </w:r>
      <w:r>
        <w:rPr>
          <w:sz w:val="24"/>
          <w:szCs w:val="24"/>
          <w:lang w:val="fr-BE"/>
        </w:rPr>
        <w:t>afin</w:t>
      </w:r>
      <w:r w:rsidR="00786B04">
        <w:rPr>
          <w:sz w:val="24"/>
          <w:szCs w:val="24"/>
          <w:lang w:val="fr-BE"/>
        </w:rPr>
        <w:t xml:space="preserve"> d’en évaluer les avantages et les limites.   </w:t>
      </w:r>
      <w:r>
        <w:rPr>
          <w:sz w:val="24"/>
          <w:szCs w:val="24"/>
          <w:lang w:val="fr-BE"/>
        </w:rPr>
        <w:t>Nous procédons</w:t>
      </w:r>
      <w:r w:rsidR="00786B04">
        <w:rPr>
          <w:sz w:val="24"/>
          <w:szCs w:val="24"/>
          <w:lang w:val="fr-BE"/>
        </w:rPr>
        <w:t xml:space="preserve"> pour ce faire </w:t>
      </w:r>
      <w:r w:rsidR="000825A9">
        <w:rPr>
          <w:sz w:val="24"/>
          <w:szCs w:val="24"/>
          <w:lang w:val="fr-BE"/>
        </w:rPr>
        <w:t>en quatre</w:t>
      </w:r>
      <w:r w:rsidR="00F721FE">
        <w:rPr>
          <w:sz w:val="24"/>
          <w:szCs w:val="24"/>
          <w:lang w:val="fr-BE"/>
        </w:rPr>
        <w:t xml:space="preserve"> étapes</w:t>
      </w:r>
      <w:r w:rsidR="000825A9">
        <w:rPr>
          <w:sz w:val="24"/>
          <w:szCs w:val="24"/>
          <w:lang w:val="fr-BE"/>
        </w:rPr>
        <w:t>.  Alors qu’une</w:t>
      </w:r>
      <w:r w:rsidR="008802A6">
        <w:rPr>
          <w:sz w:val="24"/>
          <w:szCs w:val="24"/>
          <w:lang w:val="fr-BE"/>
        </w:rPr>
        <w:t xml:space="preserve"> première section </w:t>
      </w:r>
      <w:r>
        <w:rPr>
          <w:sz w:val="24"/>
          <w:szCs w:val="24"/>
          <w:lang w:val="fr-BE"/>
        </w:rPr>
        <w:t>est dédiée</w:t>
      </w:r>
      <w:r w:rsidR="008802A6">
        <w:rPr>
          <w:sz w:val="24"/>
          <w:szCs w:val="24"/>
          <w:lang w:val="fr-BE"/>
        </w:rPr>
        <w:t xml:space="preserve"> </w:t>
      </w:r>
      <w:r w:rsidR="000825A9">
        <w:rPr>
          <w:sz w:val="24"/>
          <w:szCs w:val="24"/>
          <w:lang w:val="fr-BE"/>
        </w:rPr>
        <w:t>au problème</w:t>
      </w:r>
      <w:r w:rsidR="00FB4921">
        <w:rPr>
          <w:sz w:val="24"/>
          <w:szCs w:val="24"/>
          <w:lang w:val="fr-BE"/>
        </w:rPr>
        <w:t xml:space="preserve"> de la construction étatique du droit face à la globalisation du secteur bancaire</w:t>
      </w:r>
      <w:r w:rsidR="000825A9">
        <w:rPr>
          <w:sz w:val="24"/>
          <w:szCs w:val="24"/>
          <w:lang w:val="fr-BE"/>
        </w:rPr>
        <w:t xml:space="preserve">, </w:t>
      </w:r>
      <w:r w:rsidR="00F919DC">
        <w:rPr>
          <w:sz w:val="24"/>
          <w:szCs w:val="24"/>
          <w:lang w:val="fr-BE"/>
        </w:rPr>
        <w:t>une</w:t>
      </w:r>
      <w:r>
        <w:rPr>
          <w:sz w:val="24"/>
          <w:szCs w:val="24"/>
          <w:lang w:val="fr-BE"/>
        </w:rPr>
        <w:t xml:space="preserve"> deuxième section fait</w:t>
      </w:r>
      <w:r w:rsidR="000825A9">
        <w:rPr>
          <w:sz w:val="24"/>
          <w:szCs w:val="24"/>
          <w:lang w:val="fr-BE"/>
        </w:rPr>
        <w:t xml:space="preserve"> un détour historique pour expliquer le développement de solutions normatives alternatives.  Une troisième section </w:t>
      </w:r>
      <w:r>
        <w:rPr>
          <w:sz w:val="24"/>
          <w:szCs w:val="24"/>
          <w:lang w:val="fr-BE"/>
        </w:rPr>
        <w:t xml:space="preserve">est consacrée à l’étude </w:t>
      </w:r>
      <w:r w:rsidR="000825A9">
        <w:rPr>
          <w:sz w:val="24"/>
          <w:szCs w:val="24"/>
          <w:lang w:val="fr-BE"/>
        </w:rPr>
        <w:t xml:space="preserve">du </w:t>
      </w:r>
      <w:r w:rsidR="001749F1">
        <w:rPr>
          <w:sz w:val="24"/>
          <w:szCs w:val="24"/>
          <w:lang w:val="fr-BE"/>
        </w:rPr>
        <w:t xml:space="preserve">nouveau </w:t>
      </w:r>
      <w:r w:rsidR="000825A9">
        <w:rPr>
          <w:sz w:val="24"/>
          <w:szCs w:val="24"/>
          <w:lang w:val="fr-BE"/>
        </w:rPr>
        <w:t>modèle normatif à l’œuvre.  Enfin,</w:t>
      </w:r>
      <w:r>
        <w:rPr>
          <w:sz w:val="24"/>
          <w:szCs w:val="24"/>
          <w:lang w:val="fr-BE"/>
        </w:rPr>
        <w:t xml:space="preserve"> nous nous interrogeons dans</w:t>
      </w:r>
      <w:r w:rsidR="000825A9">
        <w:rPr>
          <w:sz w:val="24"/>
          <w:szCs w:val="24"/>
          <w:lang w:val="fr-BE"/>
        </w:rPr>
        <w:t xml:space="preserve"> une quatrième section </w:t>
      </w:r>
      <w:r>
        <w:rPr>
          <w:sz w:val="24"/>
          <w:szCs w:val="24"/>
          <w:lang w:val="fr-BE"/>
        </w:rPr>
        <w:t>sur ce dernier</w:t>
      </w:r>
      <w:r w:rsidR="00B96BEC">
        <w:rPr>
          <w:sz w:val="24"/>
          <w:szCs w:val="24"/>
          <w:lang w:val="fr-BE"/>
        </w:rPr>
        <w:t xml:space="preserve"> </w:t>
      </w:r>
      <w:r w:rsidR="00FB4921">
        <w:rPr>
          <w:sz w:val="24"/>
          <w:szCs w:val="24"/>
          <w:lang w:val="fr-BE"/>
        </w:rPr>
        <w:t>et mett</w:t>
      </w:r>
      <w:r>
        <w:rPr>
          <w:sz w:val="24"/>
          <w:szCs w:val="24"/>
          <w:lang w:val="fr-BE"/>
        </w:rPr>
        <w:t>ons</w:t>
      </w:r>
      <w:r w:rsidR="00FB4921">
        <w:rPr>
          <w:sz w:val="24"/>
          <w:szCs w:val="24"/>
          <w:lang w:val="fr-BE"/>
        </w:rPr>
        <w:t xml:space="preserve"> en lumière </w:t>
      </w:r>
      <w:r w:rsidR="001749F1">
        <w:rPr>
          <w:sz w:val="24"/>
          <w:szCs w:val="24"/>
          <w:lang w:val="fr-BE"/>
        </w:rPr>
        <w:t xml:space="preserve">ses bénéfices et limites </w:t>
      </w:r>
      <w:r w:rsidR="00FB4921">
        <w:rPr>
          <w:sz w:val="24"/>
          <w:szCs w:val="24"/>
          <w:lang w:val="fr-BE"/>
        </w:rPr>
        <w:t>grâce à</w:t>
      </w:r>
      <w:r w:rsidR="000825A9">
        <w:rPr>
          <w:sz w:val="24"/>
          <w:szCs w:val="24"/>
          <w:lang w:val="fr-BE"/>
        </w:rPr>
        <w:t xml:space="preserve"> des exemples concrets</w:t>
      </w:r>
      <w:r w:rsidR="00B96BEC">
        <w:rPr>
          <w:sz w:val="24"/>
          <w:szCs w:val="24"/>
          <w:lang w:val="fr-BE"/>
        </w:rPr>
        <w:t xml:space="preserve">. </w:t>
      </w:r>
    </w:p>
    <w:p w14:paraId="226B38B0" w14:textId="77777777" w:rsidR="008802A6" w:rsidRDefault="008802A6" w:rsidP="00786B04">
      <w:pPr>
        <w:spacing w:line="360" w:lineRule="auto"/>
        <w:ind w:firstLine="360"/>
        <w:rPr>
          <w:sz w:val="24"/>
          <w:szCs w:val="24"/>
          <w:lang w:val="fr-BE"/>
        </w:rPr>
      </w:pPr>
    </w:p>
    <w:p w14:paraId="066A8C3C" w14:textId="77777777" w:rsidR="008802A6" w:rsidRDefault="008802A6" w:rsidP="00786B04">
      <w:pPr>
        <w:spacing w:line="360" w:lineRule="auto"/>
        <w:ind w:firstLine="360"/>
        <w:rPr>
          <w:sz w:val="24"/>
          <w:szCs w:val="24"/>
          <w:lang w:val="fr-BE"/>
        </w:rPr>
      </w:pPr>
    </w:p>
    <w:p w14:paraId="03198759" w14:textId="77777777" w:rsidR="008802A6" w:rsidRPr="00A6711D" w:rsidRDefault="008802A6" w:rsidP="00786B04">
      <w:pPr>
        <w:spacing w:line="360" w:lineRule="auto"/>
        <w:ind w:firstLine="360"/>
        <w:rPr>
          <w:b/>
          <w:sz w:val="24"/>
          <w:szCs w:val="24"/>
          <w:lang w:val="fr-BE"/>
        </w:rPr>
      </w:pPr>
      <w:r w:rsidRPr="00A6711D">
        <w:rPr>
          <w:b/>
          <w:sz w:val="24"/>
          <w:szCs w:val="24"/>
          <w:lang w:val="fr-BE"/>
        </w:rPr>
        <w:t xml:space="preserve">Section 1. Un droit étatique inadéquat pour faire face à la mondialisation du secteur bancaire ? </w:t>
      </w:r>
    </w:p>
    <w:p w14:paraId="52B58EF9" w14:textId="77777777" w:rsidR="008802A6" w:rsidRDefault="008802A6" w:rsidP="00786B04">
      <w:pPr>
        <w:spacing w:line="360" w:lineRule="auto"/>
        <w:ind w:firstLine="360"/>
        <w:rPr>
          <w:sz w:val="24"/>
          <w:szCs w:val="24"/>
          <w:lang w:val="fr-BE"/>
        </w:rPr>
      </w:pPr>
    </w:p>
    <w:p w14:paraId="1A73C80E" w14:textId="0AA39F31" w:rsidR="005A655E" w:rsidRDefault="00F73C09" w:rsidP="00DD1977">
      <w:pPr>
        <w:spacing w:line="360" w:lineRule="auto"/>
        <w:ind w:firstLine="360"/>
        <w:rPr>
          <w:sz w:val="24"/>
          <w:szCs w:val="24"/>
          <w:lang w:val="fr-BE"/>
        </w:rPr>
      </w:pPr>
      <w:r>
        <w:rPr>
          <w:sz w:val="24"/>
          <w:szCs w:val="24"/>
          <w:lang w:val="fr-BE"/>
        </w:rPr>
        <w:t>Depuis la deuxième partie du 20è siècle, la finance et les banques se sont mondialisée</w:t>
      </w:r>
      <w:r w:rsidR="00B84647">
        <w:rPr>
          <w:sz w:val="24"/>
          <w:szCs w:val="24"/>
          <w:lang w:val="fr-BE"/>
        </w:rPr>
        <w:t>s</w:t>
      </w:r>
      <w:r>
        <w:rPr>
          <w:sz w:val="24"/>
          <w:szCs w:val="24"/>
          <w:lang w:val="fr-BE"/>
        </w:rPr>
        <w:t xml:space="preserve">.  D’une part, les établissements de crédit se sont établis à travers le monde par le biais de succursales, filiales ou encore de partenariats privilégiés.  D’autre part, ces derniers </w:t>
      </w:r>
      <w:r w:rsidR="00B84647">
        <w:rPr>
          <w:sz w:val="24"/>
          <w:szCs w:val="24"/>
          <w:lang w:val="fr-BE"/>
        </w:rPr>
        <w:t>se sont livrés à des transactions transfrontalières multipliant de la sorte les flux financiers internationaux.  Cette mondialisation du secteur a créé des</w:t>
      </w:r>
      <w:r w:rsidR="00CF734C">
        <w:rPr>
          <w:sz w:val="24"/>
          <w:szCs w:val="24"/>
          <w:lang w:val="fr-BE"/>
        </w:rPr>
        <w:t xml:space="preserve"> interdépendances mondiales.  Un problème local peut de la sorte avoir des effets globaux à l’image de la crise américaine des subprimes qui déclencha une cri</w:t>
      </w:r>
      <w:r w:rsidR="00913895">
        <w:rPr>
          <w:sz w:val="24"/>
          <w:szCs w:val="24"/>
          <w:lang w:val="fr-BE"/>
        </w:rPr>
        <w:t>se financière globale</w:t>
      </w:r>
      <w:r w:rsidR="00785F12">
        <w:rPr>
          <w:sz w:val="24"/>
          <w:szCs w:val="24"/>
          <w:lang w:val="fr-BE"/>
        </w:rPr>
        <w:t xml:space="preserve">. </w:t>
      </w:r>
      <w:r w:rsidR="00DD1977">
        <w:rPr>
          <w:sz w:val="24"/>
          <w:szCs w:val="24"/>
          <w:lang w:val="fr-BE"/>
        </w:rPr>
        <w:t xml:space="preserve">  Cette globalisation du marché bancaire et de</w:t>
      </w:r>
      <w:r w:rsidR="003C76F7">
        <w:rPr>
          <w:sz w:val="24"/>
          <w:szCs w:val="24"/>
          <w:lang w:val="fr-BE"/>
        </w:rPr>
        <w:t>s potentiels défauts interroge</w:t>
      </w:r>
      <w:r w:rsidR="00DD1977">
        <w:rPr>
          <w:sz w:val="24"/>
          <w:szCs w:val="24"/>
          <w:lang w:val="fr-BE"/>
        </w:rPr>
        <w:t xml:space="preserve"> sur la</w:t>
      </w:r>
      <w:r w:rsidR="003C76F7">
        <w:rPr>
          <w:sz w:val="24"/>
          <w:szCs w:val="24"/>
          <w:lang w:val="fr-BE"/>
        </w:rPr>
        <w:t xml:space="preserve"> capacite de l’Etat</w:t>
      </w:r>
      <w:r w:rsidR="00DD1977">
        <w:rPr>
          <w:sz w:val="24"/>
          <w:szCs w:val="24"/>
          <w:lang w:val="fr-BE"/>
        </w:rPr>
        <w:t xml:space="preserve"> </w:t>
      </w:r>
      <w:r w:rsidR="003C76F7">
        <w:rPr>
          <w:sz w:val="24"/>
          <w:szCs w:val="24"/>
          <w:lang w:val="fr-BE"/>
        </w:rPr>
        <w:t xml:space="preserve">– nation de </w:t>
      </w:r>
      <w:r w:rsidR="00DD1977">
        <w:rPr>
          <w:sz w:val="24"/>
          <w:szCs w:val="24"/>
          <w:lang w:val="fr-BE"/>
        </w:rPr>
        <w:t>contenir ou de résoudre une crise</w:t>
      </w:r>
      <w:r w:rsidR="003C76F7">
        <w:rPr>
          <w:sz w:val="24"/>
          <w:szCs w:val="24"/>
          <w:lang w:val="fr-BE"/>
        </w:rPr>
        <w:t xml:space="preserve"> globalisée</w:t>
      </w:r>
      <w:r w:rsidR="00DD1977">
        <w:rPr>
          <w:sz w:val="24"/>
          <w:szCs w:val="24"/>
          <w:lang w:val="fr-BE"/>
        </w:rPr>
        <w:t xml:space="preserve">.  En effet, le droit qui instituent </w:t>
      </w:r>
      <w:r w:rsidR="00E62A44">
        <w:rPr>
          <w:sz w:val="24"/>
          <w:szCs w:val="24"/>
          <w:lang w:val="fr-BE"/>
        </w:rPr>
        <w:t>la banque et la finance</w:t>
      </w:r>
      <w:r w:rsidR="00DD1977">
        <w:rPr>
          <w:sz w:val="24"/>
          <w:szCs w:val="24"/>
          <w:lang w:val="fr-BE"/>
        </w:rPr>
        <w:t xml:space="preserve"> est traditionnellement é</w:t>
      </w:r>
      <w:r w:rsidR="00002D0D">
        <w:rPr>
          <w:sz w:val="24"/>
          <w:szCs w:val="24"/>
          <w:lang w:val="fr-BE"/>
        </w:rPr>
        <w:t>tabli sur une base nationale</w:t>
      </w:r>
      <w:r w:rsidR="00DD1977">
        <w:rPr>
          <w:sz w:val="24"/>
          <w:szCs w:val="24"/>
          <w:lang w:val="fr-BE"/>
        </w:rPr>
        <w:t xml:space="preserve">.  Par ailleurs, les agences de contrôle bancaire </w:t>
      </w:r>
      <w:r w:rsidR="0021173D">
        <w:rPr>
          <w:sz w:val="24"/>
          <w:szCs w:val="24"/>
          <w:lang w:val="fr-BE"/>
        </w:rPr>
        <w:t>cré</w:t>
      </w:r>
      <w:r w:rsidR="00E62A44">
        <w:rPr>
          <w:sz w:val="24"/>
          <w:szCs w:val="24"/>
          <w:lang w:val="fr-BE"/>
        </w:rPr>
        <w:t>é</w:t>
      </w:r>
      <w:r w:rsidR="0021173D">
        <w:rPr>
          <w:sz w:val="24"/>
          <w:szCs w:val="24"/>
          <w:lang w:val="fr-BE"/>
        </w:rPr>
        <w:t>es</w:t>
      </w:r>
      <w:r w:rsidR="00DD1977">
        <w:rPr>
          <w:sz w:val="24"/>
          <w:szCs w:val="24"/>
          <w:lang w:val="fr-BE"/>
        </w:rPr>
        <w:t xml:space="preserve"> pour s’assurer de la résilience du secteur ont également </w:t>
      </w:r>
      <w:r w:rsidR="00002D0D">
        <w:rPr>
          <w:sz w:val="24"/>
          <w:szCs w:val="24"/>
          <w:lang w:val="fr-BE"/>
        </w:rPr>
        <w:t>un ancrage étatique</w:t>
      </w:r>
      <w:r w:rsidR="003A3F90">
        <w:rPr>
          <w:sz w:val="24"/>
          <w:szCs w:val="24"/>
          <w:lang w:val="fr-BE"/>
        </w:rPr>
        <w:t>.</w:t>
      </w:r>
      <w:r w:rsidR="003C76F7">
        <w:rPr>
          <w:sz w:val="24"/>
          <w:szCs w:val="24"/>
          <w:lang w:val="fr-BE"/>
        </w:rPr>
        <w:t xml:space="preserve"> Dès lors</w:t>
      </w:r>
      <w:r w:rsidR="00337ACC">
        <w:rPr>
          <w:sz w:val="24"/>
          <w:szCs w:val="24"/>
          <w:lang w:val="fr-BE"/>
        </w:rPr>
        <w:t>,</w:t>
      </w:r>
      <w:r w:rsidR="003C76F7">
        <w:rPr>
          <w:sz w:val="24"/>
          <w:szCs w:val="24"/>
          <w:lang w:val="fr-BE"/>
        </w:rPr>
        <w:t xml:space="preserve"> comment réconcilier </w:t>
      </w:r>
      <w:r w:rsidR="00337ACC">
        <w:rPr>
          <w:sz w:val="24"/>
          <w:szCs w:val="24"/>
          <w:lang w:val="fr-BE"/>
        </w:rPr>
        <w:t xml:space="preserve">cet enracinement national et la </w:t>
      </w:r>
      <w:r w:rsidR="00337ACC">
        <w:rPr>
          <w:sz w:val="24"/>
          <w:szCs w:val="24"/>
          <w:lang w:val="fr-BE"/>
        </w:rPr>
        <w:lastRenderedPageBreak/>
        <w:t>globalisation progressive du secteur bancaire et des défauts y relatif</w:t>
      </w:r>
      <w:r w:rsidR="00D41F23">
        <w:rPr>
          <w:sz w:val="24"/>
          <w:szCs w:val="24"/>
          <w:lang w:val="fr-BE"/>
        </w:rPr>
        <w:t>s</w:t>
      </w:r>
      <w:r w:rsidR="00337ACC">
        <w:rPr>
          <w:sz w:val="24"/>
          <w:szCs w:val="24"/>
          <w:lang w:val="fr-BE"/>
        </w:rPr>
        <w:t xml:space="preserve"> ? </w:t>
      </w:r>
      <w:r w:rsidR="00984721">
        <w:rPr>
          <w:sz w:val="24"/>
          <w:szCs w:val="24"/>
          <w:lang w:val="fr-BE"/>
        </w:rPr>
        <w:t xml:space="preserve"> En particulier, comment </w:t>
      </w:r>
      <w:r w:rsidR="009127C6">
        <w:rPr>
          <w:sz w:val="24"/>
          <w:szCs w:val="24"/>
          <w:lang w:val="fr-BE"/>
        </w:rPr>
        <w:t>éviter une course réglementaire vers le bas découlant de la mise en con</w:t>
      </w:r>
      <w:r w:rsidR="0067348F">
        <w:rPr>
          <w:sz w:val="24"/>
          <w:szCs w:val="24"/>
          <w:lang w:val="fr-BE"/>
        </w:rPr>
        <w:t>currence des systèmes juridiques</w:t>
      </w:r>
      <w:r w:rsidR="009127C6">
        <w:rPr>
          <w:sz w:val="24"/>
          <w:szCs w:val="24"/>
          <w:lang w:val="fr-BE"/>
        </w:rPr>
        <w:t xml:space="preserve"> et de contrôle ? </w:t>
      </w:r>
      <w:r w:rsidR="00337ACC">
        <w:rPr>
          <w:sz w:val="24"/>
          <w:szCs w:val="24"/>
          <w:lang w:val="fr-BE"/>
        </w:rPr>
        <w:t xml:space="preserve">Cette section examinera cette problématique en revenant sur l’institution juridique de la finance (i), la naissance des autorités de contrôle bancaire (ii), et en mettant en exergue les difficultés découlant de l’écart entre des opérateurs mondiaux et des modes de régulation nationaux (iii).  </w:t>
      </w:r>
    </w:p>
    <w:p w14:paraId="1B4BD39D" w14:textId="77777777" w:rsidR="005A655E" w:rsidRDefault="005A655E" w:rsidP="00337ACC">
      <w:pPr>
        <w:spacing w:line="360" w:lineRule="auto"/>
        <w:rPr>
          <w:sz w:val="24"/>
          <w:szCs w:val="24"/>
          <w:lang w:val="fr-BE"/>
        </w:rPr>
      </w:pPr>
    </w:p>
    <w:p w14:paraId="4701F105" w14:textId="48F860CC" w:rsidR="005A655E" w:rsidRPr="00E431C4" w:rsidRDefault="00785F12" w:rsidP="00785F12">
      <w:pPr>
        <w:pStyle w:val="ListParagraph"/>
        <w:numPr>
          <w:ilvl w:val="0"/>
          <w:numId w:val="16"/>
        </w:numPr>
        <w:spacing w:line="360" w:lineRule="auto"/>
        <w:rPr>
          <w:i/>
          <w:sz w:val="24"/>
          <w:szCs w:val="24"/>
          <w:lang w:val="fr-BE"/>
        </w:rPr>
      </w:pPr>
      <w:r w:rsidRPr="00E431C4">
        <w:rPr>
          <w:i/>
          <w:sz w:val="24"/>
          <w:szCs w:val="24"/>
          <w:lang w:val="fr-BE"/>
        </w:rPr>
        <w:t xml:space="preserve">La finance, une institution qui ne se pense pas sans droit ? </w:t>
      </w:r>
    </w:p>
    <w:p w14:paraId="69F754B9" w14:textId="77777777" w:rsidR="00785F12" w:rsidRPr="00785F12" w:rsidRDefault="00785F12" w:rsidP="00785F12">
      <w:pPr>
        <w:spacing w:line="360" w:lineRule="auto"/>
        <w:rPr>
          <w:sz w:val="24"/>
          <w:szCs w:val="24"/>
          <w:lang w:val="fr-BE"/>
        </w:rPr>
      </w:pPr>
    </w:p>
    <w:p w14:paraId="3DEAA737" w14:textId="5C235022" w:rsidR="0072425C" w:rsidRDefault="00A6711D" w:rsidP="00785F12">
      <w:pPr>
        <w:spacing w:line="360" w:lineRule="auto"/>
        <w:rPr>
          <w:sz w:val="24"/>
          <w:szCs w:val="24"/>
          <w:lang w:val="fr-BE"/>
        </w:rPr>
      </w:pPr>
      <w:r>
        <w:rPr>
          <w:sz w:val="24"/>
          <w:szCs w:val="24"/>
          <w:lang w:val="fr-BE"/>
        </w:rPr>
        <w:t xml:space="preserve"> </w:t>
      </w:r>
      <w:r>
        <w:rPr>
          <w:sz w:val="24"/>
          <w:szCs w:val="24"/>
          <w:lang w:val="fr-BE"/>
        </w:rPr>
        <w:tab/>
        <w:t xml:space="preserve">Si </w:t>
      </w:r>
      <w:r w:rsidR="00785F12">
        <w:rPr>
          <w:sz w:val="24"/>
          <w:szCs w:val="24"/>
          <w:lang w:val="fr-BE"/>
        </w:rPr>
        <w:t>la finance fait généralement partie du cursus des études éc</w:t>
      </w:r>
      <w:r>
        <w:rPr>
          <w:sz w:val="24"/>
          <w:szCs w:val="24"/>
          <w:lang w:val="fr-BE"/>
        </w:rPr>
        <w:t>onomiques, force est de constater</w:t>
      </w:r>
      <w:r w:rsidR="00785F12">
        <w:rPr>
          <w:sz w:val="24"/>
          <w:szCs w:val="24"/>
          <w:lang w:val="fr-BE"/>
        </w:rPr>
        <w:t xml:space="preserve"> que l</w:t>
      </w:r>
      <w:r w:rsidR="0045637B">
        <w:rPr>
          <w:sz w:val="24"/>
          <w:szCs w:val="24"/>
          <w:lang w:val="fr-BE"/>
        </w:rPr>
        <w:t xml:space="preserve">e secteur </w:t>
      </w:r>
      <w:r w:rsidR="0067348F">
        <w:rPr>
          <w:sz w:val="24"/>
          <w:szCs w:val="24"/>
          <w:lang w:val="fr-BE"/>
        </w:rPr>
        <w:t>bancai</w:t>
      </w:r>
      <w:r w:rsidR="00CE47EB">
        <w:rPr>
          <w:sz w:val="24"/>
          <w:szCs w:val="24"/>
          <w:lang w:val="fr-BE"/>
        </w:rPr>
        <w:t xml:space="preserve">re et </w:t>
      </w:r>
      <w:r w:rsidR="0045637B">
        <w:rPr>
          <w:sz w:val="24"/>
          <w:szCs w:val="24"/>
          <w:lang w:val="fr-BE"/>
        </w:rPr>
        <w:t>financi</w:t>
      </w:r>
      <w:r w:rsidR="00785F12">
        <w:rPr>
          <w:sz w:val="24"/>
          <w:szCs w:val="24"/>
          <w:lang w:val="fr-BE"/>
        </w:rPr>
        <w:t>er est construit sur des règles de droit</w:t>
      </w:r>
      <w:r w:rsidR="0045637B">
        <w:rPr>
          <w:sz w:val="24"/>
          <w:szCs w:val="24"/>
          <w:lang w:val="fr-BE"/>
        </w:rPr>
        <w:t xml:space="preserve">. Comme l’écrit K. </w:t>
      </w:r>
      <w:r w:rsidR="0045637B" w:rsidRPr="00EC3EE4">
        <w:rPr>
          <w:smallCaps/>
          <w:sz w:val="24"/>
          <w:szCs w:val="24"/>
          <w:lang w:val="fr-BE"/>
        </w:rPr>
        <w:t>Pistor</w:t>
      </w:r>
      <w:r w:rsidR="0045637B">
        <w:rPr>
          <w:sz w:val="24"/>
          <w:szCs w:val="24"/>
          <w:lang w:val="fr-BE"/>
        </w:rPr>
        <w:t xml:space="preserve"> la finance est « </w:t>
      </w:r>
      <w:r w:rsidR="0045637B" w:rsidRPr="0045637B">
        <w:rPr>
          <w:i/>
          <w:sz w:val="24"/>
          <w:szCs w:val="24"/>
          <w:lang w:val="fr-BE"/>
        </w:rPr>
        <w:t>juridiquement constituée et n’existe pas en dehors du droit </w:t>
      </w:r>
      <w:r w:rsidR="0045637B">
        <w:rPr>
          <w:sz w:val="24"/>
          <w:szCs w:val="24"/>
          <w:lang w:val="fr-BE"/>
        </w:rPr>
        <w:t>»</w:t>
      </w:r>
      <w:r w:rsidR="0045637B">
        <w:rPr>
          <w:rStyle w:val="FootnoteReference"/>
          <w:szCs w:val="24"/>
          <w:lang w:val="fr-BE"/>
        </w:rPr>
        <w:footnoteReference w:id="2"/>
      </w:r>
      <w:r w:rsidR="0045637B">
        <w:rPr>
          <w:sz w:val="24"/>
          <w:szCs w:val="24"/>
          <w:lang w:val="fr-BE"/>
        </w:rPr>
        <w:t xml:space="preserve">. </w:t>
      </w:r>
      <w:r w:rsidR="00BA2309">
        <w:rPr>
          <w:sz w:val="24"/>
          <w:szCs w:val="24"/>
          <w:lang w:val="fr-BE"/>
        </w:rPr>
        <w:t xml:space="preserve"> Les actifs financiers sont en effet autant de contrats dont la mise en œuvre – et dès lors la valeur effective – dépend de règles de droit qui permettent leur interprétation et, le cas échéant, leur exécution forcée par les cours et tribunaux.  </w:t>
      </w:r>
      <w:r>
        <w:rPr>
          <w:sz w:val="24"/>
          <w:szCs w:val="24"/>
          <w:lang w:val="fr-BE"/>
        </w:rPr>
        <w:t xml:space="preserve"> Par ailleurs, les</w:t>
      </w:r>
      <w:r w:rsidR="0072425C">
        <w:rPr>
          <w:sz w:val="24"/>
          <w:szCs w:val="24"/>
          <w:lang w:val="fr-BE"/>
        </w:rPr>
        <w:t xml:space="preserve"> sociétés financières et </w:t>
      </w:r>
      <w:r>
        <w:rPr>
          <w:sz w:val="24"/>
          <w:szCs w:val="24"/>
          <w:lang w:val="fr-BE"/>
        </w:rPr>
        <w:t>établisse</w:t>
      </w:r>
      <w:r w:rsidR="0072425C">
        <w:rPr>
          <w:sz w:val="24"/>
          <w:szCs w:val="24"/>
          <w:lang w:val="fr-BE"/>
        </w:rPr>
        <w:t>ments de crédits sont autant de personnes morales obéissant aux règles du droit des sociétés tant lors de leur constitution qu’au courant de leurs évolutions.   Enfi</w:t>
      </w:r>
      <w:r w:rsidR="00E62A44">
        <w:rPr>
          <w:sz w:val="24"/>
          <w:szCs w:val="24"/>
          <w:lang w:val="fr-BE"/>
        </w:rPr>
        <w:t>n, ces véhicules juridiques so</w:t>
      </w:r>
      <w:r w:rsidR="0072425C">
        <w:rPr>
          <w:sz w:val="24"/>
          <w:szCs w:val="24"/>
          <w:lang w:val="fr-BE"/>
        </w:rPr>
        <w:t xml:space="preserve">nt, en cas de difficultés, soumises aux règles du droit des insolvabilités et de la faillite.   </w:t>
      </w:r>
      <w:r w:rsidR="00B42E8F">
        <w:rPr>
          <w:sz w:val="24"/>
          <w:szCs w:val="24"/>
          <w:lang w:val="fr-BE"/>
        </w:rPr>
        <w:t xml:space="preserve">Il en découle une impossibilité de penser la finance sans penser les institutions juridiques à sa base.  </w:t>
      </w:r>
      <w:r w:rsidR="009F7E98">
        <w:rPr>
          <w:sz w:val="24"/>
          <w:szCs w:val="24"/>
          <w:lang w:val="fr-BE"/>
        </w:rPr>
        <w:t xml:space="preserve">Or, </w:t>
      </w:r>
      <w:r w:rsidR="00002D0D">
        <w:rPr>
          <w:sz w:val="24"/>
          <w:szCs w:val="24"/>
          <w:lang w:val="fr-BE"/>
        </w:rPr>
        <w:t xml:space="preserve">celles-ci sont construites sur une base étatique, le droit étant </w:t>
      </w:r>
      <w:r w:rsidR="00E62A44">
        <w:rPr>
          <w:sz w:val="24"/>
          <w:szCs w:val="24"/>
          <w:lang w:val="fr-BE"/>
        </w:rPr>
        <w:t>traditionnellement</w:t>
      </w:r>
      <w:r w:rsidR="00002D0D">
        <w:rPr>
          <w:sz w:val="24"/>
          <w:szCs w:val="24"/>
          <w:lang w:val="fr-BE"/>
        </w:rPr>
        <w:t xml:space="preserve"> l’apanage du souverain.  </w:t>
      </w:r>
    </w:p>
    <w:p w14:paraId="05A850E6" w14:textId="77777777" w:rsidR="0072425C" w:rsidRDefault="0072425C" w:rsidP="00785F12">
      <w:pPr>
        <w:spacing w:line="360" w:lineRule="auto"/>
        <w:rPr>
          <w:sz w:val="24"/>
          <w:szCs w:val="24"/>
          <w:lang w:val="fr-BE"/>
        </w:rPr>
      </w:pPr>
    </w:p>
    <w:p w14:paraId="21E8A43C" w14:textId="0085BF81" w:rsidR="0072425C" w:rsidRDefault="0072425C" w:rsidP="00EC3EE4">
      <w:pPr>
        <w:spacing w:line="360" w:lineRule="auto"/>
        <w:ind w:firstLine="360"/>
        <w:rPr>
          <w:sz w:val="24"/>
          <w:szCs w:val="24"/>
          <w:lang w:val="fr-BE"/>
        </w:rPr>
      </w:pPr>
      <w:r>
        <w:rPr>
          <w:sz w:val="24"/>
          <w:szCs w:val="24"/>
          <w:lang w:val="fr-BE"/>
        </w:rPr>
        <w:t>(ii)</w:t>
      </w:r>
      <w:r>
        <w:rPr>
          <w:sz w:val="24"/>
          <w:szCs w:val="24"/>
          <w:lang w:val="fr-BE"/>
        </w:rPr>
        <w:tab/>
        <w:t xml:space="preserve"> </w:t>
      </w:r>
      <w:r>
        <w:rPr>
          <w:sz w:val="24"/>
          <w:szCs w:val="24"/>
          <w:lang w:val="fr-BE"/>
        </w:rPr>
        <w:tab/>
      </w:r>
      <w:r w:rsidRPr="00E431C4">
        <w:rPr>
          <w:i/>
          <w:sz w:val="24"/>
          <w:szCs w:val="24"/>
          <w:lang w:val="fr-BE"/>
        </w:rPr>
        <w:t xml:space="preserve">La régulation sectorielle de la finance </w:t>
      </w:r>
      <w:r w:rsidR="00CE47EB" w:rsidRPr="00E431C4">
        <w:rPr>
          <w:i/>
          <w:sz w:val="24"/>
          <w:szCs w:val="24"/>
          <w:lang w:val="fr-BE"/>
        </w:rPr>
        <w:t>et son contrôle</w:t>
      </w:r>
    </w:p>
    <w:p w14:paraId="02A33E90" w14:textId="77777777" w:rsidR="005A655E" w:rsidRDefault="005A655E" w:rsidP="00786B04">
      <w:pPr>
        <w:spacing w:line="360" w:lineRule="auto"/>
        <w:ind w:firstLine="360"/>
        <w:rPr>
          <w:sz w:val="24"/>
          <w:szCs w:val="24"/>
          <w:lang w:val="fr-BE"/>
        </w:rPr>
      </w:pPr>
    </w:p>
    <w:p w14:paraId="7B8332A1" w14:textId="4DF1DB97" w:rsidR="00D41F23" w:rsidRDefault="00CE47EB" w:rsidP="0072425C">
      <w:pPr>
        <w:spacing w:line="360" w:lineRule="auto"/>
        <w:ind w:firstLine="360"/>
        <w:rPr>
          <w:sz w:val="24"/>
          <w:szCs w:val="24"/>
          <w:lang w:val="fr-BE"/>
        </w:rPr>
      </w:pPr>
      <w:r>
        <w:rPr>
          <w:sz w:val="24"/>
          <w:szCs w:val="24"/>
          <w:lang w:val="fr-BE"/>
        </w:rPr>
        <w:t>Au-delà du droit commun, la banque a fait l’objet depuis la deuxième partie du 20</w:t>
      </w:r>
      <w:r w:rsidRPr="00CE47EB">
        <w:rPr>
          <w:sz w:val="24"/>
          <w:szCs w:val="24"/>
          <w:vertAlign w:val="superscript"/>
          <w:lang w:val="fr-BE"/>
        </w:rPr>
        <w:t>ème</w:t>
      </w:r>
      <w:r>
        <w:rPr>
          <w:sz w:val="24"/>
          <w:szCs w:val="24"/>
          <w:lang w:val="fr-BE"/>
        </w:rPr>
        <w:t xml:space="preserve"> siècle de règles spécifiques</w:t>
      </w:r>
      <w:r w:rsidR="00EC3EE4">
        <w:rPr>
          <w:sz w:val="24"/>
          <w:szCs w:val="24"/>
          <w:lang w:val="fr-BE"/>
        </w:rPr>
        <w:t xml:space="preserve"> au regard des fonctions primordiales économique</w:t>
      </w:r>
      <w:r w:rsidR="004B38EB">
        <w:rPr>
          <w:sz w:val="24"/>
          <w:szCs w:val="24"/>
          <w:lang w:val="fr-BE"/>
        </w:rPr>
        <w:t>s</w:t>
      </w:r>
      <w:r w:rsidR="00EC3EE4">
        <w:rPr>
          <w:sz w:val="24"/>
          <w:szCs w:val="24"/>
          <w:lang w:val="fr-BE"/>
        </w:rPr>
        <w:t xml:space="preserve"> qu’elles remplissent</w:t>
      </w:r>
      <w:r>
        <w:rPr>
          <w:sz w:val="24"/>
          <w:szCs w:val="24"/>
          <w:lang w:val="fr-BE"/>
        </w:rPr>
        <w:t>.  En effet, de part leur rôle d’intermédiaire entre les détenteurs de capitaux et ceux qui en ont besoin, les établissements de crédit opère</w:t>
      </w:r>
      <w:r w:rsidR="004B38EB">
        <w:rPr>
          <w:sz w:val="24"/>
          <w:szCs w:val="24"/>
          <w:lang w:val="fr-BE"/>
        </w:rPr>
        <w:t>nt</w:t>
      </w:r>
      <w:r>
        <w:rPr>
          <w:sz w:val="24"/>
          <w:szCs w:val="24"/>
          <w:lang w:val="fr-BE"/>
        </w:rPr>
        <w:t xml:space="preserve"> un rôle crucial </w:t>
      </w:r>
      <w:r w:rsidR="00AD57F8">
        <w:rPr>
          <w:sz w:val="24"/>
          <w:szCs w:val="24"/>
          <w:lang w:val="fr-BE"/>
        </w:rPr>
        <w:t>pour le financement de l’économie réelle</w:t>
      </w:r>
      <w:r w:rsidR="00AD57F8">
        <w:rPr>
          <w:rStyle w:val="FootnoteReference"/>
          <w:szCs w:val="24"/>
          <w:lang w:val="fr-BE"/>
        </w:rPr>
        <w:footnoteReference w:id="3"/>
      </w:r>
      <w:r w:rsidR="00AD57F8">
        <w:rPr>
          <w:sz w:val="24"/>
          <w:szCs w:val="24"/>
          <w:lang w:val="fr-BE"/>
        </w:rPr>
        <w:t xml:space="preserve">.   En Europe, cette fonction est particulièrement importante dans la mesure où le taux de financement </w:t>
      </w:r>
      <w:r w:rsidR="00AD57F8">
        <w:rPr>
          <w:sz w:val="24"/>
          <w:szCs w:val="24"/>
          <w:lang w:val="fr-BE"/>
        </w:rPr>
        <w:lastRenderedPageBreak/>
        <w:t xml:space="preserve">bancaire au sein de l’économie réelle </w:t>
      </w:r>
      <w:r w:rsidR="00D41F23">
        <w:rPr>
          <w:sz w:val="24"/>
          <w:szCs w:val="24"/>
          <w:lang w:val="fr-BE"/>
        </w:rPr>
        <w:t>dépasse les</w:t>
      </w:r>
      <w:r w:rsidR="00AD57F8">
        <w:rPr>
          <w:sz w:val="24"/>
          <w:szCs w:val="24"/>
          <w:lang w:val="fr-BE"/>
        </w:rPr>
        <w:t xml:space="preserve"> 70%</w:t>
      </w:r>
      <w:r w:rsidR="00AD57F8">
        <w:rPr>
          <w:rStyle w:val="FootnoteReference"/>
          <w:szCs w:val="24"/>
          <w:lang w:val="fr-BE"/>
        </w:rPr>
        <w:footnoteReference w:id="4"/>
      </w:r>
      <w:r w:rsidR="00AD57F8">
        <w:rPr>
          <w:sz w:val="24"/>
          <w:szCs w:val="24"/>
          <w:lang w:val="fr-BE"/>
        </w:rPr>
        <w:t>.   Par ailleurs, les banques sont clés pour les s</w:t>
      </w:r>
      <w:r w:rsidR="004B38EB">
        <w:rPr>
          <w:sz w:val="24"/>
          <w:szCs w:val="24"/>
          <w:lang w:val="fr-BE"/>
        </w:rPr>
        <w:t>ystèmes de paiement et pour</w:t>
      </w:r>
      <w:r w:rsidR="00AD57F8">
        <w:rPr>
          <w:sz w:val="24"/>
          <w:szCs w:val="24"/>
          <w:lang w:val="fr-BE"/>
        </w:rPr>
        <w:t xml:space="preserve"> la liquidité des marchés financiers.  Enfin, les établissements de crédit détiennent la plus g</w:t>
      </w:r>
      <w:r w:rsidR="00EC3EE4">
        <w:rPr>
          <w:sz w:val="24"/>
          <w:szCs w:val="24"/>
          <w:lang w:val="fr-BE"/>
        </w:rPr>
        <w:t>rande partie du stock monétaire</w:t>
      </w:r>
      <w:r w:rsidR="00EC3EE4">
        <w:rPr>
          <w:rStyle w:val="FootnoteReference"/>
          <w:szCs w:val="24"/>
          <w:lang w:val="fr-BE"/>
        </w:rPr>
        <w:footnoteReference w:id="5"/>
      </w:r>
      <w:r w:rsidR="00EC3EE4">
        <w:rPr>
          <w:sz w:val="24"/>
          <w:szCs w:val="24"/>
          <w:lang w:val="fr-BE"/>
        </w:rPr>
        <w:t xml:space="preserve">.   </w:t>
      </w:r>
    </w:p>
    <w:p w14:paraId="1FCBA8FB" w14:textId="77777777" w:rsidR="00D41F23" w:rsidRDefault="00D41F23" w:rsidP="0072425C">
      <w:pPr>
        <w:spacing w:line="360" w:lineRule="auto"/>
        <w:ind w:firstLine="360"/>
        <w:rPr>
          <w:sz w:val="24"/>
          <w:szCs w:val="24"/>
          <w:lang w:val="fr-BE"/>
        </w:rPr>
      </w:pPr>
    </w:p>
    <w:p w14:paraId="354B76C8" w14:textId="361A8BCD" w:rsidR="008802A6" w:rsidRDefault="00D41F23" w:rsidP="00777359">
      <w:pPr>
        <w:spacing w:line="360" w:lineRule="auto"/>
        <w:rPr>
          <w:sz w:val="24"/>
          <w:szCs w:val="24"/>
          <w:lang w:val="fr-BE"/>
        </w:rPr>
      </w:pPr>
      <w:r>
        <w:rPr>
          <w:sz w:val="24"/>
          <w:szCs w:val="24"/>
          <w:lang w:val="fr-BE"/>
        </w:rPr>
        <w:t>Cette importance du secteur bancaire a justifié tant la création d’une législation spécifique que l’institution d’autorité</w:t>
      </w:r>
      <w:r w:rsidR="00C0261C">
        <w:rPr>
          <w:sz w:val="24"/>
          <w:szCs w:val="24"/>
          <w:lang w:val="fr-BE"/>
        </w:rPr>
        <w:t>s</w:t>
      </w:r>
      <w:r>
        <w:rPr>
          <w:sz w:val="24"/>
          <w:szCs w:val="24"/>
          <w:lang w:val="fr-BE"/>
        </w:rPr>
        <w:t xml:space="preserve"> chargée</w:t>
      </w:r>
      <w:r w:rsidR="00C0261C">
        <w:rPr>
          <w:sz w:val="24"/>
          <w:szCs w:val="24"/>
          <w:lang w:val="fr-BE"/>
        </w:rPr>
        <w:t>s</w:t>
      </w:r>
      <w:r>
        <w:rPr>
          <w:sz w:val="24"/>
          <w:szCs w:val="24"/>
          <w:lang w:val="fr-BE"/>
        </w:rPr>
        <w:t xml:space="preserve"> de leur contrôle. </w:t>
      </w:r>
      <w:r w:rsidR="00EC3EE4">
        <w:rPr>
          <w:sz w:val="24"/>
          <w:szCs w:val="24"/>
          <w:lang w:val="fr-BE"/>
        </w:rPr>
        <w:t xml:space="preserve">La réglementation bancaire s’est </w:t>
      </w:r>
      <w:r>
        <w:rPr>
          <w:sz w:val="24"/>
          <w:szCs w:val="24"/>
          <w:lang w:val="fr-BE"/>
        </w:rPr>
        <w:t>en effet</w:t>
      </w:r>
      <w:r w:rsidR="00EC3EE4">
        <w:rPr>
          <w:sz w:val="24"/>
          <w:szCs w:val="24"/>
          <w:lang w:val="fr-BE"/>
        </w:rPr>
        <w:t xml:space="preserve"> étoffée au fil des crises financière pour assurer la résilience de ce secteur.  </w:t>
      </w:r>
      <w:r w:rsidR="002F764B">
        <w:rPr>
          <w:sz w:val="24"/>
          <w:szCs w:val="24"/>
          <w:lang w:val="fr-BE"/>
        </w:rPr>
        <w:t xml:space="preserve">En sus des règles spécifiques relatives aux capitaux devant être détenus par les banques en fonction de leur exposition aux risques, des réglementations ont été </w:t>
      </w:r>
      <w:r>
        <w:rPr>
          <w:sz w:val="24"/>
          <w:szCs w:val="24"/>
          <w:lang w:val="fr-BE"/>
        </w:rPr>
        <w:t>adoptées</w:t>
      </w:r>
      <w:r w:rsidR="002F764B">
        <w:rPr>
          <w:sz w:val="24"/>
          <w:szCs w:val="24"/>
          <w:lang w:val="fr-BE"/>
        </w:rPr>
        <w:t xml:space="preserve"> en matière de prise de décision au sein des établissements de crédit, de compétence et d’honorabilité des administrateurs, de rémunération de ceux-ci ou encore de blanchiment d’argent au sein du secteur bancaire et</w:t>
      </w:r>
      <w:r w:rsidR="00707D5F">
        <w:rPr>
          <w:sz w:val="24"/>
          <w:szCs w:val="24"/>
          <w:lang w:val="fr-BE"/>
        </w:rPr>
        <w:t xml:space="preserve"> financier</w:t>
      </w:r>
      <w:r w:rsidR="002F764B">
        <w:rPr>
          <w:sz w:val="24"/>
          <w:szCs w:val="24"/>
          <w:lang w:val="fr-BE"/>
        </w:rPr>
        <w:t xml:space="preserve">. </w:t>
      </w:r>
      <w:r w:rsidR="00EC3EE4">
        <w:rPr>
          <w:sz w:val="24"/>
          <w:szCs w:val="24"/>
          <w:lang w:val="fr-BE"/>
        </w:rPr>
        <w:t>Par ailleurs, les tâches importantes dévolues aux banques et la libéralisation</w:t>
      </w:r>
      <w:r w:rsidR="00EC3EE4">
        <w:rPr>
          <w:rStyle w:val="FootnoteReference"/>
          <w:szCs w:val="24"/>
          <w:lang w:val="fr-BE"/>
        </w:rPr>
        <w:footnoteReference w:id="6"/>
      </w:r>
      <w:r w:rsidR="00EC3EE4">
        <w:rPr>
          <w:sz w:val="24"/>
          <w:szCs w:val="24"/>
          <w:lang w:val="fr-BE"/>
        </w:rPr>
        <w:t xml:space="preserve"> de ce secteur ont conduit à l’Etat a se réinventer pour assurer le contrôle de ce secteur.  </w:t>
      </w:r>
      <w:r w:rsidR="005A655E">
        <w:rPr>
          <w:sz w:val="24"/>
          <w:szCs w:val="24"/>
          <w:lang w:val="fr-BE"/>
        </w:rPr>
        <w:t xml:space="preserve">En son sein ont été mises </w:t>
      </w:r>
      <w:r w:rsidR="00BA368B">
        <w:rPr>
          <w:sz w:val="24"/>
          <w:szCs w:val="24"/>
          <w:lang w:val="fr-BE"/>
        </w:rPr>
        <w:t>en place</w:t>
      </w:r>
      <w:r w:rsidR="005A655E">
        <w:rPr>
          <w:sz w:val="24"/>
          <w:szCs w:val="24"/>
          <w:lang w:val="fr-BE"/>
        </w:rPr>
        <w:t xml:space="preserve"> des agences indépendantes lui octroyant un pouvoir de contrôle indirect</w:t>
      </w:r>
      <w:r w:rsidR="005A655E">
        <w:rPr>
          <w:rStyle w:val="FootnoteReference"/>
          <w:szCs w:val="24"/>
          <w:lang w:val="fr-BE"/>
        </w:rPr>
        <w:footnoteReference w:id="7"/>
      </w:r>
      <w:r w:rsidR="005A655E">
        <w:rPr>
          <w:sz w:val="24"/>
          <w:szCs w:val="24"/>
          <w:lang w:val="fr-BE"/>
        </w:rPr>
        <w:t xml:space="preserve"> suivant l’exemple du modèle américain</w:t>
      </w:r>
      <w:r w:rsidR="005A655E">
        <w:rPr>
          <w:rStyle w:val="FootnoteReference"/>
          <w:szCs w:val="24"/>
          <w:lang w:val="fr-BE"/>
        </w:rPr>
        <w:footnoteReference w:id="8"/>
      </w:r>
      <w:r w:rsidR="004B38EB">
        <w:rPr>
          <w:sz w:val="24"/>
          <w:szCs w:val="24"/>
          <w:lang w:val="fr-BE"/>
        </w:rPr>
        <w:t>.</w:t>
      </w:r>
      <w:r w:rsidR="004B38EB">
        <w:rPr>
          <w:sz w:val="24"/>
          <w:szCs w:val="24"/>
          <w:lang w:val="fr-BE"/>
        </w:rPr>
        <w:t xml:space="preserve"> </w:t>
      </w:r>
      <w:r w:rsidR="0011605B">
        <w:rPr>
          <w:sz w:val="24"/>
          <w:szCs w:val="24"/>
          <w:lang w:val="fr-BE"/>
        </w:rPr>
        <w:t xml:space="preserve"> </w:t>
      </w:r>
      <w:r w:rsidR="006B7ECF">
        <w:rPr>
          <w:sz w:val="24"/>
          <w:szCs w:val="24"/>
          <w:lang w:val="fr-BE"/>
        </w:rPr>
        <w:t>L’émergence des autorités a mis en question l’organisation des pouvoirs étatiques.  En effet, du fait de leur indépendance, ces autorités ne sont pas rattachés aux pouvoirs étatiques traditionnels, à savoir le législatif, le judiciaire ou l’exécutif, ce qui interroge sur la place qu’il convient de leur donner sur le plan institutionnel</w:t>
      </w:r>
      <w:r w:rsidR="006B7ECF">
        <w:rPr>
          <w:rStyle w:val="FootnoteReference"/>
          <w:szCs w:val="24"/>
          <w:lang w:val="fr-BE"/>
        </w:rPr>
        <w:footnoteReference w:id="9"/>
      </w:r>
      <w:r w:rsidR="006B7ECF">
        <w:rPr>
          <w:sz w:val="24"/>
          <w:szCs w:val="24"/>
          <w:lang w:val="fr-BE"/>
        </w:rPr>
        <w:t xml:space="preserve">.  D’un point de vue fonctionnel, elles sont généralement qualifiée de </w:t>
      </w:r>
      <w:r w:rsidR="006B7ECF" w:rsidRPr="006B7ECF">
        <w:rPr>
          <w:i/>
          <w:sz w:val="24"/>
          <w:szCs w:val="24"/>
          <w:lang w:val="fr-BE"/>
        </w:rPr>
        <w:t>« nouvelles magistrature</w:t>
      </w:r>
      <w:r w:rsidR="006B7ECF">
        <w:rPr>
          <w:sz w:val="24"/>
          <w:szCs w:val="24"/>
          <w:lang w:val="fr-BE"/>
        </w:rPr>
        <w:t> » ou de « </w:t>
      </w:r>
      <w:r w:rsidR="006B7ECF" w:rsidRPr="006B7ECF">
        <w:rPr>
          <w:i/>
          <w:sz w:val="24"/>
          <w:szCs w:val="24"/>
          <w:lang w:val="fr-BE"/>
        </w:rPr>
        <w:t>magistrature morale</w:t>
      </w:r>
      <w:r w:rsidR="006B7ECF">
        <w:rPr>
          <w:sz w:val="24"/>
          <w:szCs w:val="24"/>
          <w:lang w:val="fr-BE"/>
        </w:rPr>
        <w:t xml:space="preserve"> » en </w:t>
      </w:r>
      <w:r w:rsidR="004B38EB">
        <w:rPr>
          <w:sz w:val="24"/>
          <w:szCs w:val="24"/>
          <w:lang w:val="fr-BE"/>
        </w:rPr>
        <w:t xml:space="preserve">France.   </w:t>
      </w:r>
      <w:r w:rsidR="0052774B">
        <w:rPr>
          <w:sz w:val="24"/>
          <w:szCs w:val="24"/>
          <w:lang w:val="fr-BE"/>
        </w:rPr>
        <w:t xml:space="preserve"> </w:t>
      </w:r>
      <w:r w:rsidR="004B38EB">
        <w:rPr>
          <w:sz w:val="24"/>
          <w:szCs w:val="24"/>
          <w:lang w:val="fr-BE"/>
        </w:rPr>
        <w:t xml:space="preserve">Ces autorités font-elles ainsi de l’ombre aux juges ? </w:t>
      </w:r>
      <w:r w:rsidR="00BA368B">
        <w:rPr>
          <w:sz w:val="24"/>
          <w:szCs w:val="24"/>
          <w:lang w:val="fr-BE"/>
        </w:rPr>
        <w:t xml:space="preserve">A. </w:t>
      </w:r>
      <w:proofErr w:type="spellStart"/>
      <w:r w:rsidR="00BA368B" w:rsidRPr="00777359">
        <w:rPr>
          <w:smallCaps/>
          <w:sz w:val="24"/>
          <w:szCs w:val="24"/>
          <w:lang w:val="fr-BE"/>
        </w:rPr>
        <w:t>Vermeule</w:t>
      </w:r>
      <w:proofErr w:type="spellEnd"/>
      <w:r w:rsidR="00BA368B">
        <w:rPr>
          <w:sz w:val="24"/>
          <w:szCs w:val="24"/>
          <w:lang w:val="fr-BE"/>
        </w:rPr>
        <w:t xml:space="preserve"> défend à cet égard que ces agences mettent à mal l’empire du droit de R. </w:t>
      </w:r>
      <w:proofErr w:type="spellStart"/>
      <w:r w:rsidR="00BA368B" w:rsidRPr="00777359">
        <w:rPr>
          <w:smallCaps/>
          <w:sz w:val="24"/>
          <w:szCs w:val="24"/>
          <w:lang w:val="fr-BE"/>
        </w:rPr>
        <w:t>Dworkin</w:t>
      </w:r>
      <w:proofErr w:type="spellEnd"/>
      <w:r w:rsidR="00BA368B">
        <w:rPr>
          <w:sz w:val="24"/>
          <w:szCs w:val="24"/>
          <w:lang w:val="fr-BE"/>
        </w:rPr>
        <w:t xml:space="preserve"> en reléguant le juge – qui accepte un pouvoir de contrôle limité des actes de ces agences -  à un rôle de second plan</w:t>
      </w:r>
      <w:r w:rsidR="00BA368B">
        <w:rPr>
          <w:rStyle w:val="FootnoteReference"/>
          <w:szCs w:val="24"/>
          <w:lang w:val="fr-BE"/>
        </w:rPr>
        <w:footnoteReference w:id="10"/>
      </w:r>
      <w:r w:rsidR="00BA368B">
        <w:rPr>
          <w:sz w:val="24"/>
          <w:szCs w:val="24"/>
          <w:lang w:val="fr-BE"/>
        </w:rPr>
        <w:t xml:space="preserve">.  H. </w:t>
      </w:r>
      <w:r w:rsidR="00BA368B" w:rsidRPr="00BA368B">
        <w:rPr>
          <w:smallCaps/>
          <w:sz w:val="24"/>
          <w:szCs w:val="24"/>
          <w:lang w:val="fr-BE"/>
        </w:rPr>
        <w:t>Hervieu</w:t>
      </w:r>
      <w:r w:rsidR="00BA368B">
        <w:rPr>
          <w:sz w:val="24"/>
          <w:szCs w:val="24"/>
          <w:lang w:val="fr-BE"/>
        </w:rPr>
        <w:t xml:space="preserve"> va plus loin et défend que les pouvoirs de ces agences </w:t>
      </w:r>
      <w:r w:rsidR="00BA368B">
        <w:rPr>
          <w:sz w:val="24"/>
          <w:szCs w:val="24"/>
          <w:lang w:val="fr-BE"/>
        </w:rPr>
        <w:lastRenderedPageBreak/>
        <w:t>ainsi que les normes souples qu’elles établissent conduisent ces autorités administratives à agir également en tant que juge et législateur</w:t>
      </w:r>
      <w:r w:rsidR="00BA368B">
        <w:rPr>
          <w:rStyle w:val="FootnoteReference"/>
          <w:szCs w:val="24"/>
          <w:lang w:val="fr-BE"/>
        </w:rPr>
        <w:footnoteReference w:id="11"/>
      </w:r>
      <w:r w:rsidR="00BA368B">
        <w:rPr>
          <w:sz w:val="24"/>
          <w:szCs w:val="24"/>
          <w:lang w:val="fr-BE"/>
        </w:rPr>
        <w:t>.  Ces normes</w:t>
      </w:r>
      <w:r w:rsidR="00B30B5C">
        <w:rPr>
          <w:sz w:val="24"/>
          <w:szCs w:val="24"/>
          <w:lang w:val="fr-BE"/>
        </w:rPr>
        <w:t xml:space="preserve"> </w:t>
      </w:r>
      <w:r w:rsidR="001F7D61">
        <w:rPr>
          <w:sz w:val="24"/>
          <w:szCs w:val="24"/>
          <w:lang w:val="fr-BE"/>
        </w:rPr>
        <w:t xml:space="preserve">souples </w:t>
      </w:r>
      <w:r w:rsidR="0061597D">
        <w:rPr>
          <w:sz w:val="24"/>
          <w:szCs w:val="24"/>
          <w:lang w:val="fr-BE"/>
        </w:rPr>
        <w:t xml:space="preserve">sont pour S. </w:t>
      </w:r>
      <w:proofErr w:type="spellStart"/>
      <w:r w:rsidR="0061597D" w:rsidRPr="0061597D">
        <w:rPr>
          <w:smallCaps/>
          <w:sz w:val="24"/>
          <w:szCs w:val="24"/>
          <w:lang w:val="fr-BE"/>
        </w:rPr>
        <w:t>Hubac</w:t>
      </w:r>
      <w:proofErr w:type="spellEnd"/>
      <w:r w:rsidR="0061597D">
        <w:rPr>
          <w:sz w:val="24"/>
          <w:szCs w:val="24"/>
          <w:lang w:val="fr-BE"/>
        </w:rPr>
        <w:t xml:space="preserve"> et E. </w:t>
      </w:r>
      <w:proofErr w:type="spellStart"/>
      <w:r w:rsidR="0061597D" w:rsidRPr="0061597D">
        <w:rPr>
          <w:smallCaps/>
          <w:sz w:val="24"/>
          <w:szCs w:val="24"/>
          <w:lang w:val="fr-BE"/>
        </w:rPr>
        <w:t>Pisier</w:t>
      </w:r>
      <w:proofErr w:type="spellEnd"/>
      <w:r w:rsidR="0061597D">
        <w:rPr>
          <w:sz w:val="24"/>
          <w:szCs w:val="24"/>
          <w:lang w:val="fr-BE"/>
        </w:rPr>
        <w:t xml:space="preserve"> la réelle originalité du pouvoir d’action de ces agences</w:t>
      </w:r>
      <w:r w:rsidR="0061597D">
        <w:rPr>
          <w:rStyle w:val="FootnoteReference"/>
          <w:szCs w:val="24"/>
          <w:lang w:val="fr-BE"/>
        </w:rPr>
        <w:footnoteReference w:id="12"/>
      </w:r>
      <w:r w:rsidR="0061597D">
        <w:rPr>
          <w:sz w:val="24"/>
          <w:szCs w:val="24"/>
          <w:lang w:val="fr-BE"/>
        </w:rPr>
        <w:t>.</w:t>
      </w:r>
      <w:r w:rsidR="00777359">
        <w:rPr>
          <w:sz w:val="24"/>
          <w:szCs w:val="24"/>
          <w:lang w:val="fr-BE"/>
        </w:rPr>
        <w:t xml:space="preserve">   </w:t>
      </w:r>
      <w:r w:rsidR="004B38EB">
        <w:rPr>
          <w:sz w:val="24"/>
          <w:szCs w:val="24"/>
          <w:lang w:val="fr-BE"/>
        </w:rPr>
        <w:t xml:space="preserve"> Ce sont ces normes, en particulier celles établies à l’échelle mondiale et de l’Union européenne que nous étudierons dans cet article. </w:t>
      </w:r>
    </w:p>
    <w:p w14:paraId="4DCBE1E9" w14:textId="77777777" w:rsidR="0011605B" w:rsidRDefault="0011605B" w:rsidP="00B95454">
      <w:pPr>
        <w:spacing w:line="360" w:lineRule="auto"/>
        <w:rPr>
          <w:sz w:val="24"/>
          <w:szCs w:val="24"/>
          <w:lang w:val="fr-BE"/>
        </w:rPr>
      </w:pPr>
    </w:p>
    <w:p w14:paraId="44F32DD4" w14:textId="2FFB7EDA" w:rsidR="0072425C" w:rsidRPr="00B95454" w:rsidRDefault="00B95454" w:rsidP="00B95454">
      <w:pPr>
        <w:spacing w:line="360" w:lineRule="auto"/>
        <w:rPr>
          <w:sz w:val="24"/>
          <w:szCs w:val="24"/>
          <w:lang w:val="fr-BE"/>
        </w:rPr>
      </w:pPr>
      <w:r>
        <w:rPr>
          <w:sz w:val="24"/>
          <w:szCs w:val="24"/>
          <w:lang w:val="fr-BE"/>
        </w:rPr>
        <w:t>(iii)</w:t>
      </w:r>
      <w:r>
        <w:rPr>
          <w:sz w:val="24"/>
          <w:szCs w:val="24"/>
          <w:lang w:val="fr-BE"/>
        </w:rPr>
        <w:tab/>
      </w:r>
      <w:r>
        <w:rPr>
          <w:sz w:val="24"/>
          <w:szCs w:val="24"/>
          <w:lang w:val="fr-BE"/>
        </w:rPr>
        <w:tab/>
      </w:r>
      <w:r w:rsidR="00913895" w:rsidRPr="00E431C4">
        <w:rPr>
          <w:i/>
          <w:sz w:val="24"/>
          <w:szCs w:val="24"/>
          <w:lang w:val="fr-BE"/>
        </w:rPr>
        <w:t>Droit, banque et mondialisation : u</w:t>
      </w:r>
      <w:r w:rsidRPr="00E431C4">
        <w:rPr>
          <w:i/>
          <w:sz w:val="24"/>
          <w:szCs w:val="24"/>
          <w:lang w:val="fr-BE"/>
        </w:rPr>
        <w:t xml:space="preserve">ne inadéquation ? </w:t>
      </w:r>
    </w:p>
    <w:p w14:paraId="01C5B929" w14:textId="77777777" w:rsidR="00913895" w:rsidRDefault="00913895" w:rsidP="00913895">
      <w:pPr>
        <w:spacing w:line="360" w:lineRule="auto"/>
        <w:rPr>
          <w:sz w:val="24"/>
          <w:szCs w:val="24"/>
          <w:lang w:val="fr-BE"/>
        </w:rPr>
      </w:pPr>
    </w:p>
    <w:p w14:paraId="1166A116" w14:textId="38B28E8D" w:rsidR="001337A9" w:rsidRDefault="00913895" w:rsidP="001337A9">
      <w:pPr>
        <w:spacing w:line="360" w:lineRule="auto"/>
        <w:ind w:left="360" w:firstLine="360"/>
        <w:rPr>
          <w:sz w:val="24"/>
          <w:szCs w:val="24"/>
          <w:lang w:val="fr-BE"/>
        </w:rPr>
      </w:pPr>
      <w:r>
        <w:rPr>
          <w:sz w:val="24"/>
          <w:szCs w:val="24"/>
          <w:lang w:val="fr-BE"/>
        </w:rPr>
        <w:t xml:space="preserve">Le droit commun, ces règlementations spécifiques mais aussi les autorités de contrôle bancaire </w:t>
      </w:r>
      <w:r w:rsidR="00D41F23">
        <w:rPr>
          <w:sz w:val="24"/>
          <w:szCs w:val="24"/>
          <w:lang w:val="fr-BE"/>
        </w:rPr>
        <w:t>sont</w:t>
      </w:r>
      <w:r w:rsidR="00707D5F">
        <w:rPr>
          <w:sz w:val="24"/>
          <w:szCs w:val="24"/>
          <w:lang w:val="fr-BE"/>
        </w:rPr>
        <w:t xml:space="preserve"> des p</w:t>
      </w:r>
      <w:r w:rsidR="004B38EB">
        <w:rPr>
          <w:sz w:val="24"/>
          <w:szCs w:val="24"/>
          <w:lang w:val="fr-BE"/>
        </w:rPr>
        <w:t>roduits de l’Etat et se sont à c</w:t>
      </w:r>
      <w:r w:rsidR="00707D5F">
        <w:rPr>
          <w:sz w:val="24"/>
          <w:szCs w:val="24"/>
          <w:lang w:val="fr-BE"/>
        </w:rPr>
        <w:t xml:space="preserve">e titre formés sur une base nationale. </w:t>
      </w:r>
      <w:r w:rsidR="008A40E9">
        <w:rPr>
          <w:sz w:val="24"/>
          <w:szCs w:val="24"/>
          <w:lang w:val="fr-BE"/>
        </w:rPr>
        <w:t xml:space="preserve"> </w:t>
      </w:r>
      <w:r w:rsidR="0068289C">
        <w:rPr>
          <w:sz w:val="24"/>
          <w:szCs w:val="24"/>
          <w:lang w:val="fr-BE"/>
        </w:rPr>
        <w:t xml:space="preserve"> Cette construction étatique du juridique et du contrôle bancaire est cependant</w:t>
      </w:r>
      <w:r w:rsidR="008C3D68">
        <w:rPr>
          <w:sz w:val="24"/>
          <w:szCs w:val="24"/>
          <w:lang w:val="fr-BE"/>
        </w:rPr>
        <w:t xml:space="preserve"> devenue</w:t>
      </w:r>
      <w:r w:rsidR="0068289C">
        <w:rPr>
          <w:sz w:val="24"/>
          <w:szCs w:val="24"/>
          <w:lang w:val="fr-BE"/>
        </w:rPr>
        <w:t xml:space="preserve"> questionnable face au phénomène de mondialis</w:t>
      </w:r>
      <w:r w:rsidR="001B4853">
        <w:rPr>
          <w:sz w:val="24"/>
          <w:szCs w:val="24"/>
          <w:lang w:val="fr-BE"/>
        </w:rPr>
        <w:t xml:space="preserve">ation du secteur bancaire. </w:t>
      </w:r>
      <w:r w:rsidR="00281700">
        <w:rPr>
          <w:sz w:val="24"/>
          <w:szCs w:val="24"/>
          <w:lang w:val="fr-BE"/>
        </w:rPr>
        <w:t xml:space="preserve"> </w:t>
      </w:r>
      <w:r w:rsidR="001B4853">
        <w:rPr>
          <w:sz w:val="24"/>
          <w:szCs w:val="24"/>
          <w:lang w:val="fr-BE"/>
        </w:rPr>
        <w:t xml:space="preserve">En effet, comment assurer la stabilité d’un système mondiale quand les normes et les mécanismes de prévention des crises est établi à l’échelle de l’Etat Nation ? </w:t>
      </w:r>
      <w:r w:rsidR="00F457DC">
        <w:rPr>
          <w:sz w:val="24"/>
          <w:szCs w:val="24"/>
          <w:lang w:val="fr-BE"/>
        </w:rPr>
        <w:t xml:space="preserve"> En particulier, comment faire face à un risque de course règlementaire vers le bas</w:t>
      </w:r>
      <w:r w:rsidR="00281700">
        <w:rPr>
          <w:rStyle w:val="FootnoteReference"/>
          <w:szCs w:val="24"/>
          <w:lang w:val="fr-BE"/>
        </w:rPr>
        <w:footnoteReference w:id="13"/>
      </w:r>
      <w:r w:rsidR="00F457DC">
        <w:rPr>
          <w:sz w:val="24"/>
          <w:szCs w:val="24"/>
          <w:lang w:val="fr-BE"/>
        </w:rPr>
        <w:t xml:space="preserve"> </w:t>
      </w:r>
      <w:r w:rsidR="00E62A44">
        <w:rPr>
          <w:sz w:val="24"/>
          <w:szCs w:val="24"/>
          <w:lang w:val="fr-BE"/>
        </w:rPr>
        <w:t xml:space="preserve">lorsque </w:t>
      </w:r>
      <w:r w:rsidR="00F457DC">
        <w:rPr>
          <w:sz w:val="24"/>
          <w:szCs w:val="24"/>
          <w:lang w:val="fr-BE"/>
        </w:rPr>
        <w:t>les acteurs financiers sont en mesure de bénéficier des différenciations entre réglementation</w:t>
      </w:r>
      <w:r w:rsidR="00281700">
        <w:rPr>
          <w:sz w:val="24"/>
          <w:szCs w:val="24"/>
          <w:lang w:val="fr-BE"/>
        </w:rPr>
        <w:t xml:space="preserve">s étatiques et de s’établir dans les pays offrant les règles les plus souples en faisant ainsi pression sur les autres pour qu’ils s’alignent ? </w:t>
      </w:r>
      <w:r w:rsidR="00281700" w:rsidRPr="00281700">
        <w:rPr>
          <w:smallCaps/>
          <w:sz w:val="24"/>
          <w:szCs w:val="24"/>
          <w:lang w:val="fr-BE"/>
        </w:rPr>
        <w:t>W.G. Ringe</w:t>
      </w:r>
      <w:r w:rsidR="00281700" w:rsidRPr="00281700">
        <w:rPr>
          <w:sz w:val="24"/>
          <w:szCs w:val="24"/>
          <w:lang w:val="fr-BE"/>
        </w:rPr>
        <w:t xml:space="preserve"> rapporte à cet égard l’exemple de banques anglaises menaçant de migrer, propos étant considérés comme constituant une stratégie utilisée par les banques afin d’encourager à un assouplissement de la régulation du secteur financier</w:t>
      </w:r>
      <w:r w:rsidR="00281700" w:rsidRPr="00281700">
        <w:rPr>
          <w:rStyle w:val="FootnoteReference"/>
          <w:lang w:val="fr-BE"/>
        </w:rPr>
        <w:footnoteReference w:id="14"/>
      </w:r>
      <w:r w:rsidR="00281700" w:rsidRPr="00984721">
        <w:rPr>
          <w:sz w:val="16"/>
          <w:szCs w:val="16"/>
          <w:lang w:val="fr-BE"/>
        </w:rPr>
        <w:t xml:space="preserve">. </w:t>
      </w:r>
      <w:r w:rsidR="00281700">
        <w:rPr>
          <w:sz w:val="24"/>
          <w:szCs w:val="24"/>
          <w:lang w:val="fr-BE"/>
        </w:rPr>
        <w:t xml:space="preserve">Cette situation induit immanquablement des incitants pour les Etats </w:t>
      </w:r>
      <w:r w:rsidR="00E62A44">
        <w:rPr>
          <w:sz w:val="24"/>
          <w:szCs w:val="24"/>
          <w:lang w:val="fr-BE"/>
        </w:rPr>
        <w:t>de baisser leurs exigences régle</w:t>
      </w:r>
      <w:r w:rsidR="00281700">
        <w:rPr>
          <w:sz w:val="24"/>
          <w:szCs w:val="24"/>
          <w:lang w:val="fr-BE"/>
        </w:rPr>
        <w:t>mentaires pour attirer des fournisseurs de capitaux ou favoriser leur</w:t>
      </w:r>
      <w:r w:rsidR="001337A9">
        <w:rPr>
          <w:sz w:val="24"/>
          <w:szCs w:val="24"/>
          <w:lang w:val="fr-BE"/>
        </w:rPr>
        <w:t>s</w:t>
      </w:r>
      <w:r w:rsidR="00281700">
        <w:rPr>
          <w:sz w:val="24"/>
          <w:szCs w:val="24"/>
          <w:lang w:val="fr-BE"/>
        </w:rPr>
        <w:t xml:space="preserve"> acteurs nationaux opérant sur la scène internationa</w:t>
      </w:r>
      <w:r w:rsidR="00E62A44">
        <w:rPr>
          <w:sz w:val="24"/>
          <w:szCs w:val="24"/>
          <w:lang w:val="fr-BE"/>
        </w:rPr>
        <w:t>le et soumises à la concurrence</w:t>
      </w:r>
      <w:r w:rsidR="00281700">
        <w:rPr>
          <w:sz w:val="24"/>
          <w:szCs w:val="24"/>
          <w:lang w:val="fr-BE"/>
        </w:rPr>
        <w:t xml:space="preserve"> d’établissements étrangers</w:t>
      </w:r>
      <w:r w:rsidR="00281700" w:rsidRPr="00984721">
        <w:rPr>
          <w:rFonts w:ascii="Times New Roman" w:hAnsi="Times New Roman"/>
          <w:lang w:val="fr-BE"/>
        </w:rPr>
        <w:t xml:space="preserve">.  </w:t>
      </w:r>
      <w:r w:rsidR="00281700" w:rsidRPr="00281700">
        <w:rPr>
          <w:sz w:val="24"/>
          <w:szCs w:val="24"/>
          <w:lang w:val="fr-BE"/>
        </w:rPr>
        <w:t>L’impact de la réglementation en matière de capitaux minimum</w:t>
      </w:r>
      <w:r w:rsidR="00E62A44">
        <w:rPr>
          <w:sz w:val="24"/>
          <w:szCs w:val="24"/>
          <w:lang w:val="fr-BE"/>
        </w:rPr>
        <w:t>s</w:t>
      </w:r>
      <w:r w:rsidR="00281700" w:rsidRPr="00281700">
        <w:rPr>
          <w:sz w:val="24"/>
          <w:szCs w:val="24"/>
          <w:lang w:val="fr-BE"/>
        </w:rPr>
        <w:t xml:space="preserve"> fournit </w:t>
      </w:r>
      <w:r w:rsidR="002C7D4A">
        <w:rPr>
          <w:sz w:val="24"/>
          <w:szCs w:val="24"/>
          <w:lang w:val="fr-BE"/>
        </w:rPr>
        <w:t>à ce sujet</w:t>
      </w:r>
      <w:r w:rsidR="00281700" w:rsidRPr="00281700">
        <w:rPr>
          <w:sz w:val="24"/>
          <w:szCs w:val="24"/>
          <w:lang w:val="fr-BE"/>
        </w:rPr>
        <w:t xml:space="preserve"> un exemple remarquable.  Ainsi, </w:t>
      </w:r>
      <w:r w:rsidR="00281700" w:rsidRPr="00281700">
        <w:rPr>
          <w:sz w:val="24"/>
          <w:szCs w:val="24"/>
          <w:lang w:val="fr-BE"/>
        </w:rPr>
        <w:lastRenderedPageBreak/>
        <w:t>dans les années 80’ alors qu’une banque américaine devait détenir 6 dollars pour chaque 100 dollars investis, son compétiteur japonais ne devait posséder que 2 voire  3 dollars.  Grâce à cet avantage comparatif, les parts de marché détenues par les banques japonaises sur le marché bancaire mondial augmentèrent de 17 pourcents à 38 pourcents entre 1983 et 1988.  Sur la même période, les parts détenues par les banques américaines s’écroulèrent de 26 pourcents à 15 pourcents</w:t>
      </w:r>
      <w:r w:rsidR="00281700" w:rsidRPr="00281700">
        <w:rPr>
          <w:rStyle w:val="FootnoteReference"/>
          <w:lang w:val="fr-BE"/>
        </w:rPr>
        <w:footnoteReference w:id="15"/>
      </w:r>
      <w:r w:rsidR="00281700" w:rsidRPr="00281700">
        <w:rPr>
          <w:sz w:val="24"/>
          <w:szCs w:val="24"/>
          <w:lang w:val="fr-BE"/>
        </w:rPr>
        <w:t>.</w:t>
      </w:r>
      <w:r w:rsidR="00B51152">
        <w:rPr>
          <w:sz w:val="24"/>
          <w:szCs w:val="24"/>
          <w:lang w:val="fr-BE"/>
        </w:rPr>
        <w:t xml:space="preserve">  Outre l’enjeux d’établir un terrain de jeu commun pour tous les acteurs d’un même secteur, il est aisé de comprendre que cette course règlementaire vers le bas conduit à des risques pour la stabil</w:t>
      </w:r>
      <w:r w:rsidR="009535D7">
        <w:rPr>
          <w:sz w:val="24"/>
          <w:szCs w:val="24"/>
          <w:lang w:val="fr-BE"/>
        </w:rPr>
        <w:t>ité du système bancaire mondial</w:t>
      </w:r>
      <w:r w:rsidR="00B51152">
        <w:rPr>
          <w:sz w:val="24"/>
          <w:szCs w:val="24"/>
          <w:lang w:val="fr-BE"/>
        </w:rPr>
        <w:t xml:space="preserve"> et à des faillites bancaires.  Dans ce dernier cas, la construction étatique des régimes d’insolvabilité et l’ancrage national des banques</w:t>
      </w:r>
      <w:r w:rsidR="00AD1A26">
        <w:rPr>
          <w:sz w:val="24"/>
          <w:szCs w:val="24"/>
          <w:lang w:val="fr-BE"/>
        </w:rPr>
        <w:t xml:space="preserve"> peut également poser question pour résoudre les situations</w:t>
      </w:r>
      <w:r w:rsidR="009535D7">
        <w:rPr>
          <w:sz w:val="24"/>
          <w:szCs w:val="24"/>
          <w:lang w:val="fr-BE"/>
        </w:rPr>
        <w:t xml:space="preserve"> de</w:t>
      </w:r>
      <w:r w:rsidR="00AD1A26">
        <w:rPr>
          <w:sz w:val="24"/>
          <w:szCs w:val="24"/>
          <w:lang w:val="fr-BE"/>
        </w:rPr>
        <w:t xml:space="preserve"> défaut</w:t>
      </w:r>
      <w:r w:rsidR="002C7D4A" w:rsidRPr="002C7D4A">
        <w:rPr>
          <w:sz w:val="24"/>
          <w:szCs w:val="24"/>
          <w:lang w:val="fr-BE"/>
        </w:rPr>
        <w:t xml:space="preserve">.  En effet, comment </w:t>
      </w:r>
      <w:r w:rsidR="00E62A44">
        <w:rPr>
          <w:sz w:val="24"/>
          <w:szCs w:val="24"/>
          <w:lang w:val="fr-BE"/>
        </w:rPr>
        <w:t>trouver une solution</w:t>
      </w:r>
      <w:r w:rsidR="002C7D4A" w:rsidRPr="002C7D4A">
        <w:rPr>
          <w:sz w:val="24"/>
          <w:szCs w:val="24"/>
          <w:lang w:val="fr-BE"/>
        </w:rPr>
        <w:t xml:space="preserve"> </w:t>
      </w:r>
      <w:r w:rsidR="006A116F">
        <w:rPr>
          <w:sz w:val="24"/>
          <w:szCs w:val="24"/>
          <w:lang w:val="fr-BE"/>
        </w:rPr>
        <w:t>à l’échelle</w:t>
      </w:r>
      <w:r w:rsidR="002C7D4A" w:rsidRPr="002C7D4A">
        <w:rPr>
          <w:sz w:val="24"/>
          <w:szCs w:val="24"/>
          <w:lang w:val="fr-BE"/>
        </w:rPr>
        <w:t xml:space="preserve"> national</w:t>
      </w:r>
      <w:r w:rsidR="006A116F">
        <w:rPr>
          <w:sz w:val="24"/>
          <w:szCs w:val="24"/>
          <w:lang w:val="fr-BE"/>
        </w:rPr>
        <w:t>e</w:t>
      </w:r>
      <w:r w:rsidR="00E62A44">
        <w:rPr>
          <w:sz w:val="24"/>
          <w:szCs w:val="24"/>
          <w:lang w:val="fr-BE"/>
        </w:rPr>
        <w:t xml:space="preserve"> à</w:t>
      </w:r>
      <w:r w:rsidR="002C7D4A" w:rsidRPr="002C7D4A">
        <w:rPr>
          <w:sz w:val="24"/>
          <w:szCs w:val="24"/>
          <w:lang w:val="fr-BE"/>
        </w:rPr>
        <w:t xml:space="preserve"> des problèmes liés à des é</w:t>
      </w:r>
      <w:r w:rsidR="00E62A44">
        <w:rPr>
          <w:sz w:val="24"/>
          <w:szCs w:val="24"/>
          <w:lang w:val="fr-BE"/>
        </w:rPr>
        <w:t>tablissements de cré</w:t>
      </w:r>
      <w:r w:rsidR="002C7D4A" w:rsidRPr="002C7D4A">
        <w:rPr>
          <w:sz w:val="24"/>
          <w:szCs w:val="24"/>
          <w:lang w:val="fr-BE"/>
        </w:rPr>
        <w:t>dit mondia</w:t>
      </w:r>
      <w:r w:rsidR="009535D7">
        <w:rPr>
          <w:sz w:val="24"/>
          <w:szCs w:val="24"/>
          <w:lang w:val="fr-BE"/>
        </w:rPr>
        <w:t>ux?  Les cas F</w:t>
      </w:r>
      <w:r w:rsidR="00AD1A26">
        <w:rPr>
          <w:sz w:val="24"/>
          <w:szCs w:val="24"/>
          <w:lang w:val="fr-BE"/>
        </w:rPr>
        <w:t xml:space="preserve">ortis ou Dexia ont fourni </w:t>
      </w:r>
      <w:r w:rsidR="002C7D4A" w:rsidRPr="002C7D4A">
        <w:rPr>
          <w:sz w:val="24"/>
          <w:szCs w:val="24"/>
          <w:lang w:val="fr-BE"/>
        </w:rPr>
        <w:t>autant d’exemple des diff</w:t>
      </w:r>
      <w:r w:rsidR="002C7D4A">
        <w:rPr>
          <w:sz w:val="24"/>
          <w:szCs w:val="24"/>
          <w:lang w:val="fr-BE"/>
        </w:rPr>
        <w:t>icultés de gérer à plusieurs</w:t>
      </w:r>
      <w:r w:rsidR="00AD1A26">
        <w:rPr>
          <w:sz w:val="24"/>
          <w:szCs w:val="24"/>
          <w:lang w:val="fr-BE"/>
        </w:rPr>
        <w:t xml:space="preserve"> Etats</w:t>
      </w:r>
      <w:r w:rsidR="002C7D4A">
        <w:rPr>
          <w:sz w:val="24"/>
          <w:szCs w:val="24"/>
          <w:lang w:val="fr-BE"/>
        </w:rPr>
        <w:t xml:space="preserve"> les suites de mise</w:t>
      </w:r>
      <w:r w:rsidR="009535D7">
        <w:rPr>
          <w:sz w:val="24"/>
          <w:szCs w:val="24"/>
          <w:lang w:val="fr-BE"/>
        </w:rPr>
        <w:t>s</w:t>
      </w:r>
      <w:r w:rsidR="002C7D4A">
        <w:rPr>
          <w:sz w:val="24"/>
          <w:szCs w:val="24"/>
          <w:lang w:val="fr-BE"/>
        </w:rPr>
        <w:t xml:space="preserve"> à mal de bilans bancaires. </w:t>
      </w:r>
      <w:r w:rsidR="00B51152">
        <w:rPr>
          <w:sz w:val="24"/>
          <w:szCs w:val="24"/>
          <w:lang w:val="fr-BE"/>
        </w:rPr>
        <w:t xml:space="preserve">  L’injonction par les états de capitaux important con</w:t>
      </w:r>
      <w:r w:rsidR="00AD1A26">
        <w:rPr>
          <w:sz w:val="24"/>
          <w:szCs w:val="24"/>
          <w:lang w:val="fr-BE"/>
        </w:rPr>
        <w:t xml:space="preserve">duit en effet à la question de la répartition des </w:t>
      </w:r>
      <w:r w:rsidR="00B51152">
        <w:rPr>
          <w:sz w:val="24"/>
          <w:szCs w:val="24"/>
          <w:lang w:val="fr-BE"/>
        </w:rPr>
        <w:t>coûts des faillites bancaires entre Etats</w:t>
      </w:r>
      <w:r w:rsidR="00B51152">
        <w:rPr>
          <w:rStyle w:val="FootnoteReference"/>
          <w:szCs w:val="24"/>
          <w:lang w:val="fr-BE"/>
        </w:rPr>
        <w:footnoteReference w:id="16"/>
      </w:r>
      <w:r w:rsidR="00B51152">
        <w:rPr>
          <w:sz w:val="24"/>
          <w:szCs w:val="24"/>
          <w:lang w:val="fr-BE"/>
        </w:rPr>
        <w:t xml:space="preserve">. </w:t>
      </w:r>
    </w:p>
    <w:p w14:paraId="1521732C" w14:textId="3F4C1AA1" w:rsidR="001337A9" w:rsidRDefault="001337A9" w:rsidP="001337A9">
      <w:pPr>
        <w:spacing w:line="360" w:lineRule="auto"/>
        <w:ind w:left="360" w:firstLine="360"/>
        <w:rPr>
          <w:sz w:val="24"/>
          <w:szCs w:val="24"/>
          <w:lang w:val="fr-BE"/>
        </w:rPr>
      </w:pPr>
    </w:p>
    <w:p w14:paraId="3E1BA82B" w14:textId="418697E0" w:rsidR="00AC7181" w:rsidRDefault="001337A9" w:rsidP="00073F36">
      <w:pPr>
        <w:spacing w:line="360" w:lineRule="auto"/>
        <w:ind w:left="360" w:firstLine="360"/>
        <w:rPr>
          <w:sz w:val="24"/>
          <w:szCs w:val="24"/>
          <w:lang w:val="fr-BE"/>
        </w:rPr>
      </w:pPr>
      <w:r>
        <w:rPr>
          <w:sz w:val="24"/>
          <w:szCs w:val="24"/>
          <w:lang w:val="fr-BE"/>
        </w:rPr>
        <w:t>Ainsi, tant la prévention des crises que leur résolution est problématique lorsque le droit et les au</w:t>
      </w:r>
      <w:r w:rsidR="009535D7">
        <w:rPr>
          <w:sz w:val="24"/>
          <w:szCs w:val="24"/>
          <w:lang w:val="fr-BE"/>
        </w:rPr>
        <w:t>torités compétentes sont établi</w:t>
      </w:r>
      <w:r w:rsidR="00073F36">
        <w:rPr>
          <w:sz w:val="24"/>
          <w:szCs w:val="24"/>
          <w:lang w:val="fr-BE"/>
        </w:rPr>
        <w:t xml:space="preserve">s sur une base nationale. </w:t>
      </w:r>
    </w:p>
    <w:p w14:paraId="637D36C7" w14:textId="77777777" w:rsidR="00073F36" w:rsidRDefault="00073F36" w:rsidP="00073F36">
      <w:pPr>
        <w:spacing w:line="360" w:lineRule="auto"/>
        <w:ind w:left="360" w:firstLine="360"/>
        <w:rPr>
          <w:sz w:val="24"/>
          <w:szCs w:val="24"/>
          <w:lang w:val="fr-BE"/>
        </w:rPr>
      </w:pPr>
    </w:p>
    <w:p w14:paraId="56073BC5" w14:textId="77777777" w:rsidR="00AC7181" w:rsidRPr="00913895" w:rsidRDefault="00AC7181" w:rsidP="00913895">
      <w:pPr>
        <w:spacing w:line="360" w:lineRule="auto"/>
        <w:rPr>
          <w:sz w:val="24"/>
          <w:szCs w:val="24"/>
          <w:lang w:val="fr-BE"/>
        </w:rPr>
      </w:pPr>
    </w:p>
    <w:p w14:paraId="5C30BA2B" w14:textId="6236710D" w:rsidR="008802A6" w:rsidRPr="00310E69" w:rsidRDefault="008802A6" w:rsidP="008802A6">
      <w:pPr>
        <w:spacing w:line="360" w:lineRule="auto"/>
        <w:rPr>
          <w:b/>
          <w:sz w:val="24"/>
          <w:szCs w:val="24"/>
          <w:lang w:val="fr-BE"/>
        </w:rPr>
      </w:pPr>
      <w:r w:rsidRPr="00310E69">
        <w:rPr>
          <w:b/>
          <w:sz w:val="24"/>
          <w:szCs w:val="24"/>
          <w:lang w:val="fr-BE"/>
        </w:rPr>
        <w:t>Section 2. L</w:t>
      </w:r>
      <w:r w:rsidR="00AD1A26">
        <w:rPr>
          <w:b/>
          <w:sz w:val="24"/>
          <w:szCs w:val="24"/>
          <w:lang w:val="fr-BE"/>
        </w:rPr>
        <w:t xml:space="preserve">’émergence </w:t>
      </w:r>
      <w:r w:rsidRPr="00310E69">
        <w:rPr>
          <w:b/>
          <w:sz w:val="24"/>
          <w:szCs w:val="24"/>
          <w:lang w:val="fr-BE"/>
        </w:rPr>
        <w:t>de solutions normative</w:t>
      </w:r>
      <w:r w:rsidR="009535D7">
        <w:rPr>
          <w:b/>
          <w:sz w:val="24"/>
          <w:szCs w:val="24"/>
          <w:lang w:val="fr-BE"/>
        </w:rPr>
        <w:t>s</w:t>
      </w:r>
      <w:r w:rsidRPr="00310E69">
        <w:rPr>
          <w:b/>
          <w:sz w:val="24"/>
          <w:szCs w:val="24"/>
          <w:lang w:val="fr-BE"/>
        </w:rPr>
        <w:t xml:space="preserve"> alternatives</w:t>
      </w:r>
    </w:p>
    <w:p w14:paraId="08A90878" w14:textId="77777777" w:rsidR="002C7D4A" w:rsidRDefault="002C7D4A" w:rsidP="008802A6">
      <w:pPr>
        <w:spacing w:line="360" w:lineRule="auto"/>
        <w:rPr>
          <w:sz w:val="24"/>
          <w:szCs w:val="24"/>
          <w:lang w:val="fr-BE"/>
        </w:rPr>
      </w:pPr>
    </w:p>
    <w:p w14:paraId="7FAD4078" w14:textId="5A08C767" w:rsidR="00310E69" w:rsidRDefault="00B71C7C" w:rsidP="008802A6">
      <w:pPr>
        <w:spacing w:line="360" w:lineRule="auto"/>
        <w:rPr>
          <w:sz w:val="24"/>
          <w:szCs w:val="24"/>
          <w:lang w:val="fr-BE"/>
        </w:rPr>
      </w:pPr>
      <w:r>
        <w:rPr>
          <w:sz w:val="24"/>
          <w:szCs w:val="24"/>
          <w:lang w:val="fr-BE"/>
        </w:rPr>
        <w:tab/>
        <w:t>Malgré son caractère transfrontalier, la question de la stabilité bancaire n’a pas fait l’objet de traités internationaux</w:t>
      </w:r>
      <w:r w:rsidR="00360523">
        <w:rPr>
          <w:rStyle w:val="FootnoteReference"/>
          <w:szCs w:val="24"/>
          <w:lang w:val="fr-BE"/>
        </w:rPr>
        <w:footnoteReference w:id="17"/>
      </w:r>
      <w:r>
        <w:rPr>
          <w:sz w:val="24"/>
          <w:szCs w:val="24"/>
          <w:lang w:val="fr-BE"/>
        </w:rPr>
        <w:t>.</w:t>
      </w:r>
      <w:r w:rsidR="00A22313">
        <w:rPr>
          <w:sz w:val="24"/>
          <w:szCs w:val="24"/>
          <w:lang w:val="fr-BE"/>
        </w:rPr>
        <w:t xml:space="preserve">  De même, l’intégration européenne en matière bancaire a été freinée. </w:t>
      </w:r>
      <w:r>
        <w:rPr>
          <w:sz w:val="24"/>
          <w:szCs w:val="24"/>
          <w:lang w:val="fr-BE"/>
        </w:rPr>
        <w:t xml:space="preserve"> Différentes raisons expliquent </w:t>
      </w:r>
      <w:r w:rsidR="00A22313">
        <w:rPr>
          <w:sz w:val="24"/>
          <w:szCs w:val="24"/>
          <w:lang w:val="fr-BE"/>
        </w:rPr>
        <w:t>cette situation</w:t>
      </w:r>
      <w:r>
        <w:rPr>
          <w:sz w:val="24"/>
          <w:szCs w:val="24"/>
          <w:lang w:val="fr-BE"/>
        </w:rPr>
        <w:t xml:space="preserve"> </w:t>
      </w:r>
      <w:r w:rsidR="00AA4AF8">
        <w:rPr>
          <w:sz w:val="24"/>
          <w:szCs w:val="24"/>
          <w:lang w:val="fr-BE"/>
        </w:rPr>
        <w:t xml:space="preserve">dont la principale est </w:t>
      </w:r>
      <w:r w:rsidR="00360523">
        <w:rPr>
          <w:sz w:val="24"/>
          <w:szCs w:val="24"/>
          <w:lang w:val="fr-BE"/>
        </w:rPr>
        <w:t>sans doute la</w:t>
      </w:r>
      <w:r w:rsidR="00AA4AF8">
        <w:rPr>
          <w:sz w:val="24"/>
          <w:szCs w:val="24"/>
          <w:lang w:val="fr-BE"/>
        </w:rPr>
        <w:t xml:space="preserve"> volonté </w:t>
      </w:r>
      <w:r w:rsidR="00073F36">
        <w:rPr>
          <w:sz w:val="24"/>
          <w:szCs w:val="24"/>
          <w:lang w:val="fr-BE"/>
        </w:rPr>
        <w:t>des</w:t>
      </w:r>
      <w:r w:rsidR="00AA4AF8">
        <w:rPr>
          <w:sz w:val="24"/>
          <w:szCs w:val="24"/>
          <w:lang w:val="fr-BE"/>
        </w:rPr>
        <w:t xml:space="preserve"> Etats de ne pas restreindre leur main-mise sur un secteur clef </w:t>
      </w:r>
      <w:r w:rsidR="007A5B9E">
        <w:rPr>
          <w:sz w:val="24"/>
          <w:szCs w:val="24"/>
          <w:lang w:val="fr-BE"/>
        </w:rPr>
        <w:t xml:space="preserve">pour leur économie et leur propre financement par le biais de </w:t>
      </w:r>
      <w:r w:rsidR="007A5B9E">
        <w:rPr>
          <w:sz w:val="24"/>
          <w:szCs w:val="24"/>
          <w:lang w:val="fr-BE"/>
        </w:rPr>
        <w:lastRenderedPageBreak/>
        <w:t>solutions de droit dure</w:t>
      </w:r>
      <w:r w:rsidR="00360523">
        <w:rPr>
          <w:rStyle w:val="FootnoteReference"/>
          <w:szCs w:val="24"/>
          <w:lang w:val="fr-BE"/>
        </w:rPr>
        <w:footnoteReference w:id="18"/>
      </w:r>
      <w:r w:rsidR="007A5B9E">
        <w:rPr>
          <w:sz w:val="24"/>
          <w:szCs w:val="24"/>
          <w:lang w:val="fr-BE"/>
        </w:rPr>
        <w:t>.   En</w:t>
      </w:r>
      <w:r w:rsidR="0006461D">
        <w:rPr>
          <w:sz w:val="24"/>
          <w:szCs w:val="24"/>
          <w:lang w:val="fr-BE"/>
        </w:rPr>
        <w:t xml:space="preserve"> cette absence, des normes ne répondant pas à la théorie classique des sources du droit ont émergées puis proliférées</w:t>
      </w:r>
      <w:r w:rsidR="007A5B9E">
        <w:rPr>
          <w:sz w:val="24"/>
          <w:szCs w:val="24"/>
          <w:lang w:val="fr-BE"/>
        </w:rPr>
        <w:t xml:space="preserve"> tant </w:t>
      </w:r>
      <w:r w:rsidR="0006461D">
        <w:rPr>
          <w:sz w:val="24"/>
          <w:szCs w:val="24"/>
          <w:lang w:val="fr-BE"/>
        </w:rPr>
        <w:t>à l’échelle</w:t>
      </w:r>
      <w:r w:rsidR="007A5B9E">
        <w:rPr>
          <w:sz w:val="24"/>
          <w:szCs w:val="24"/>
          <w:lang w:val="fr-BE"/>
        </w:rPr>
        <w:t xml:space="preserve"> (i) mondial</w:t>
      </w:r>
      <w:r w:rsidR="0006461D">
        <w:rPr>
          <w:sz w:val="24"/>
          <w:szCs w:val="24"/>
          <w:lang w:val="fr-BE"/>
        </w:rPr>
        <w:t>e</w:t>
      </w:r>
      <w:r w:rsidR="007A5B9E">
        <w:rPr>
          <w:sz w:val="24"/>
          <w:szCs w:val="24"/>
          <w:lang w:val="fr-BE"/>
        </w:rPr>
        <w:t xml:space="preserve"> qu’ (ii) européen</w:t>
      </w:r>
      <w:r w:rsidR="0006461D">
        <w:rPr>
          <w:sz w:val="24"/>
          <w:szCs w:val="24"/>
          <w:lang w:val="fr-BE"/>
        </w:rPr>
        <w:t>ne pour venir compléter, concurrencer voire mettre à mal les règles juridiques classiques</w:t>
      </w:r>
      <w:r w:rsidR="0006461D">
        <w:rPr>
          <w:rStyle w:val="FootnoteReference"/>
          <w:szCs w:val="24"/>
          <w:lang w:val="fr-BE"/>
        </w:rPr>
        <w:footnoteReference w:id="19"/>
      </w:r>
      <w:r w:rsidR="007A5B9E">
        <w:rPr>
          <w:sz w:val="24"/>
          <w:szCs w:val="24"/>
          <w:lang w:val="fr-BE"/>
        </w:rPr>
        <w:t xml:space="preserve">.  </w:t>
      </w:r>
      <w:r w:rsidR="0006461D">
        <w:rPr>
          <w:sz w:val="24"/>
          <w:szCs w:val="24"/>
          <w:lang w:val="fr-BE"/>
        </w:rPr>
        <w:t>Cette sectio</w:t>
      </w:r>
      <w:r w:rsidR="00E431C4">
        <w:rPr>
          <w:sz w:val="24"/>
          <w:szCs w:val="24"/>
          <w:lang w:val="fr-BE"/>
        </w:rPr>
        <w:t xml:space="preserve">n reviendra sur les origines de ces solutions. </w:t>
      </w:r>
    </w:p>
    <w:p w14:paraId="028A853C" w14:textId="77777777" w:rsidR="007A5B9E" w:rsidRDefault="007A5B9E" w:rsidP="007A5B9E">
      <w:pPr>
        <w:spacing w:line="360" w:lineRule="auto"/>
        <w:rPr>
          <w:sz w:val="24"/>
          <w:szCs w:val="24"/>
          <w:lang w:val="fr-BE"/>
        </w:rPr>
      </w:pPr>
    </w:p>
    <w:p w14:paraId="2CF772D2" w14:textId="28A503EF" w:rsidR="008802A6" w:rsidRPr="00E431C4" w:rsidRDefault="00F27CAE" w:rsidP="007A5B9E">
      <w:pPr>
        <w:pStyle w:val="ListParagraph"/>
        <w:numPr>
          <w:ilvl w:val="0"/>
          <w:numId w:val="13"/>
        </w:numPr>
        <w:spacing w:line="360" w:lineRule="auto"/>
        <w:rPr>
          <w:i/>
          <w:sz w:val="24"/>
          <w:szCs w:val="24"/>
          <w:lang w:val="fr-BE"/>
        </w:rPr>
      </w:pPr>
      <w:r w:rsidRPr="00E431C4">
        <w:rPr>
          <w:i/>
          <w:sz w:val="24"/>
          <w:szCs w:val="24"/>
          <w:lang w:val="fr-BE"/>
        </w:rPr>
        <w:t>Au niveau mondial</w:t>
      </w:r>
    </w:p>
    <w:p w14:paraId="492D3450" w14:textId="77777777" w:rsidR="007A5B9E" w:rsidRDefault="007A5B9E" w:rsidP="007A5B9E">
      <w:pPr>
        <w:spacing w:line="360" w:lineRule="auto"/>
        <w:ind w:left="360"/>
        <w:rPr>
          <w:sz w:val="24"/>
          <w:szCs w:val="24"/>
          <w:lang w:val="fr-BE"/>
        </w:rPr>
      </w:pPr>
    </w:p>
    <w:p w14:paraId="0AD1DCC2" w14:textId="7F2AF507" w:rsidR="00E431C4" w:rsidRDefault="00E431C4" w:rsidP="0049071D">
      <w:pPr>
        <w:spacing w:line="360" w:lineRule="auto"/>
        <w:ind w:left="360" w:firstLine="360"/>
        <w:rPr>
          <w:sz w:val="24"/>
          <w:szCs w:val="24"/>
          <w:lang w:val="fr-BE"/>
        </w:rPr>
      </w:pPr>
      <w:r>
        <w:rPr>
          <w:sz w:val="24"/>
          <w:szCs w:val="24"/>
          <w:lang w:val="fr-BE"/>
        </w:rPr>
        <w:t>Au lendemain de la seconde guerre mondiale, les dirigeants réunis à Bretton Woods n’incluent pas la question de la stabilité bancaire mondiale au sein des traités relatifs au Fonds monétaire international, à la Banque mondiale ou à ce qui deviendra l’Organisation mondiale du commerce.   En cette absence, ce problème est laissé à la responsabilité des autorités nationales</w:t>
      </w:r>
      <w:r>
        <w:rPr>
          <w:rStyle w:val="FootnoteReference"/>
          <w:szCs w:val="24"/>
          <w:lang w:val="fr-BE"/>
        </w:rPr>
        <w:footnoteReference w:id="20"/>
      </w:r>
      <w:r>
        <w:rPr>
          <w:sz w:val="24"/>
          <w:szCs w:val="24"/>
          <w:lang w:val="fr-BE"/>
        </w:rPr>
        <w:t>.   Ceci se comprend tant au regard du caractère national des systèmes juridiques</w:t>
      </w:r>
      <w:r w:rsidR="006A116F">
        <w:rPr>
          <w:sz w:val="24"/>
          <w:szCs w:val="24"/>
          <w:lang w:val="fr-BE"/>
        </w:rPr>
        <w:t xml:space="preserve"> qu’au vu des contrôles de capitaux instaurés à la suite de la guerre qui ne laissai</w:t>
      </w:r>
      <w:r w:rsidR="006C340F">
        <w:rPr>
          <w:sz w:val="24"/>
          <w:szCs w:val="24"/>
          <w:lang w:val="fr-BE"/>
        </w:rPr>
        <w:t>en</w:t>
      </w:r>
      <w:r w:rsidR="006A116F">
        <w:rPr>
          <w:sz w:val="24"/>
          <w:szCs w:val="24"/>
          <w:lang w:val="fr-BE"/>
        </w:rPr>
        <w:t>t pas envisager une telle mondialisation du secteur bancaire et financier</w:t>
      </w:r>
      <w:r w:rsidR="006A116F">
        <w:rPr>
          <w:rStyle w:val="FootnoteReference"/>
          <w:szCs w:val="24"/>
          <w:lang w:val="fr-BE"/>
        </w:rPr>
        <w:footnoteReference w:id="21"/>
      </w:r>
      <w:r w:rsidR="006A116F">
        <w:rPr>
          <w:sz w:val="24"/>
          <w:szCs w:val="24"/>
          <w:lang w:val="fr-BE"/>
        </w:rPr>
        <w:t>.  C’est la levée des contrôles à la suite de la montée en puissance de l’ idéo</w:t>
      </w:r>
      <w:r w:rsidR="00E62A44">
        <w:rPr>
          <w:sz w:val="24"/>
          <w:szCs w:val="24"/>
          <w:lang w:val="fr-BE"/>
        </w:rPr>
        <w:t xml:space="preserve">logie d’efficience des marchés </w:t>
      </w:r>
      <w:r w:rsidR="006A116F">
        <w:rPr>
          <w:sz w:val="24"/>
          <w:szCs w:val="24"/>
          <w:lang w:val="fr-BE"/>
        </w:rPr>
        <w:t xml:space="preserve">dans les années qui suivent la seconde guerre </w:t>
      </w:r>
      <w:r w:rsidR="006C340F">
        <w:rPr>
          <w:sz w:val="24"/>
          <w:szCs w:val="24"/>
          <w:lang w:val="fr-BE"/>
        </w:rPr>
        <w:t>m</w:t>
      </w:r>
      <w:r w:rsidR="006A116F">
        <w:rPr>
          <w:sz w:val="24"/>
          <w:szCs w:val="24"/>
          <w:lang w:val="fr-BE"/>
        </w:rPr>
        <w:t>ondiale qui crée les conditions nécessaires à cette internationalisation du secteur</w:t>
      </w:r>
      <w:r w:rsidR="006A116F">
        <w:rPr>
          <w:rStyle w:val="FootnoteReference"/>
          <w:szCs w:val="24"/>
          <w:lang w:val="fr-BE"/>
        </w:rPr>
        <w:footnoteReference w:id="22"/>
      </w:r>
      <w:r w:rsidR="006A116F">
        <w:rPr>
          <w:sz w:val="24"/>
          <w:szCs w:val="24"/>
          <w:lang w:val="fr-BE"/>
        </w:rPr>
        <w:t xml:space="preserve">. </w:t>
      </w:r>
    </w:p>
    <w:p w14:paraId="6E0CE6A4" w14:textId="77777777" w:rsidR="006A116F" w:rsidRDefault="006A116F" w:rsidP="00E431C4">
      <w:pPr>
        <w:spacing w:line="360" w:lineRule="auto"/>
        <w:ind w:left="360" w:firstLine="360"/>
        <w:rPr>
          <w:sz w:val="24"/>
          <w:szCs w:val="24"/>
          <w:lang w:val="fr-BE"/>
        </w:rPr>
      </w:pPr>
    </w:p>
    <w:p w14:paraId="55E0F7E2" w14:textId="7919683D" w:rsidR="00570B02" w:rsidRDefault="006A116F" w:rsidP="006C340F">
      <w:pPr>
        <w:spacing w:line="360" w:lineRule="auto"/>
        <w:ind w:left="360" w:firstLine="360"/>
        <w:rPr>
          <w:sz w:val="24"/>
          <w:szCs w:val="24"/>
          <w:lang w:val="fr-BE"/>
        </w:rPr>
      </w:pPr>
      <w:r>
        <w:rPr>
          <w:sz w:val="24"/>
          <w:szCs w:val="24"/>
          <w:lang w:val="fr-BE"/>
        </w:rPr>
        <w:t xml:space="preserve">Par ailleurs, tant le FMI que les autorités nationales encouragent cette mondialisation qu’ils pensent </w:t>
      </w:r>
      <w:r w:rsidR="00E62A44">
        <w:rPr>
          <w:sz w:val="24"/>
          <w:szCs w:val="24"/>
          <w:lang w:val="fr-BE"/>
        </w:rPr>
        <w:t>bénéfique</w:t>
      </w:r>
      <w:r w:rsidR="0098340D">
        <w:rPr>
          <w:sz w:val="24"/>
          <w:szCs w:val="24"/>
          <w:lang w:val="fr-BE"/>
        </w:rPr>
        <w:t xml:space="preserve"> à la stabilité du système bancaire au regard de la dispersion mondiale des risques qui s’ensuit</w:t>
      </w:r>
      <w:r w:rsidR="0098340D">
        <w:rPr>
          <w:rStyle w:val="FootnoteReference"/>
          <w:szCs w:val="24"/>
          <w:lang w:val="fr-BE"/>
        </w:rPr>
        <w:footnoteReference w:id="23"/>
      </w:r>
      <w:r w:rsidR="0098340D">
        <w:rPr>
          <w:sz w:val="24"/>
          <w:szCs w:val="24"/>
          <w:lang w:val="fr-BE"/>
        </w:rPr>
        <w:t xml:space="preserve">.   Au regard de cette perception et de l’idée qu’une gestion nationale du risque bancaire est suffisante, </w:t>
      </w:r>
      <w:r w:rsidR="0098340D">
        <w:rPr>
          <w:sz w:val="24"/>
          <w:szCs w:val="24"/>
          <w:lang w:val="fr-BE"/>
        </w:rPr>
        <w:lastRenderedPageBreak/>
        <w:t>l’internatio</w:t>
      </w:r>
      <w:r w:rsidR="00E62A44">
        <w:rPr>
          <w:sz w:val="24"/>
          <w:szCs w:val="24"/>
          <w:lang w:val="fr-BE"/>
        </w:rPr>
        <w:t>nalisation du secteur n’a</w:t>
      </w:r>
      <w:r w:rsidR="0098340D">
        <w:rPr>
          <w:sz w:val="24"/>
          <w:szCs w:val="24"/>
          <w:lang w:val="fr-BE"/>
        </w:rPr>
        <w:t xml:space="preserve"> pas </w:t>
      </w:r>
      <w:r w:rsidR="00E62A44">
        <w:rPr>
          <w:sz w:val="24"/>
          <w:szCs w:val="24"/>
          <w:lang w:val="fr-BE"/>
        </w:rPr>
        <w:t xml:space="preserve">conduit </w:t>
      </w:r>
      <w:r w:rsidR="0098340D">
        <w:rPr>
          <w:sz w:val="24"/>
          <w:szCs w:val="24"/>
          <w:lang w:val="fr-BE"/>
        </w:rPr>
        <w:t>à une révision de traités existants ou à l’institution d’une organisation mondiale bancaire et financière</w:t>
      </w:r>
      <w:r w:rsidR="0098340D">
        <w:rPr>
          <w:rStyle w:val="FootnoteReference"/>
          <w:szCs w:val="24"/>
          <w:lang w:val="fr-BE"/>
        </w:rPr>
        <w:footnoteReference w:id="24"/>
      </w:r>
      <w:r w:rsidR="0098340D">
        <w:rPr>
          <w:sz w:val="24"/>
          <w:szCs w:val="24"/>
          <w:lang w:val="fr-BE"/>
        </w:rPr>
        <w:t xml:space="preserve">. </w:t>
      </w:r>
      <w:r w:rsidR="00570B02">
        <w:rPr>
          <w:sz w:val="24"/>
          <w:szCs w:val="24"/>
          <w:lang w:val="fr-BE"/>
        </w:rPr>
        <w:t>L’</w:t>
      </w:r>
      <w:r w:rsidR="006C340F">
        <w:rPr>
          <w:sz w:val="24"/>
          <w:szCs w:val="24"/>
          <w:lang w:val="fr-BE"/>
        </w:rPr>
        <w:t>impératif</w:t>
      </w:r>
      <w:r w:rsidR="00570B02">
        <w:rPr>
          <w:sz w:val="24"/>
          <w:szCs w:val="24"/>
          <w:lang w:val="fr-BE"/>
        </w:rPr>
        <w:t xml:space="preserve"> d’une coopération en matière bancaire </w:t>
      </w:r>
      <w:r w:rsidR="006C340F">
        <w:rPr>
          <w:sz w:val="24"/>
          <w:szCs w:val="24"/>
          <w:lang w:val="fr-BE"/>
        </w:rPr>
        <w:t>devient cependant</w:t>
      </w:r>
      <w:r w:rsidR="00570B02">
        <w:rPr>
          <w:sz w:val="24"/>
          <w:szCs w:val="24"/>
          <w:lang w:val="fr-BE"/>
        </w:rPr>
        <w:t xml:space="preserve"> claire à la suite de la faillite de la banque allemande Bankhaus Herstatt en octobre 1974.  Celle-ci est contrainte de fermer ses portes </w:t>
      </w:r>
      <w:r w:rsidR="006C340F">
        <w:rPr>
          <w:sz w:val="24"/>
          <w:szCs w:val="24"/>
          <w:lang w:val="fr-BE"/>
        </w:rPr>
        <w:t>après un retrait de son agrément de l’autorité de contrôle allemande</w:t>
      </w:r>
      <w:r w:rsidR="00570B02">
        <w:rPr>
          <w:sz w:val="24"/>
          <w:szCs w:val="24"/>
          <w:lang w:val="fr-BE"/>
        </w:rPr>
        <w:t xml:space="preserve">.  Cette fermeture </w:t>
      </w:r>
      <w:r w:rsidR="006C340F">
        <w:rPr>
          <w:sz w:val="24"/>
          <w:szCs w:val="24"/>
          <w:lang w:val="fr-BE"/>
        </w:rPr>
        <w:t>crée</w:t>
      </w:r>
      <w:r w:rsidR="00570B02">
        <w:rPr>
          <w:sz w:val="24"/>
          <w:szCs w:val="24"/>
          <w:lang w:val="fr-BE"/>
        </w:rPr>
        <w:t xml:space="preserve"> un raz de marée au sein du système bancaire et financier internationale au vu des échanges transatlantiques opérés</w:t>
      </w:r>
      <w:r w:rsidR="006C340F">
        <w:rPr>
          <w:sz w:val="24"/>
          <w:szCs w:val="24"/>
          <w:lang w:val="fr-BE"/>
        </w:rPr>
        <w:t xml:space="preserve"> par cette banque.  Il s’en su</w:t>
      </w:r>
      <w:r w:rsidR="00570B02">
        <w:rPr>
          <w:sz w:val="24"/>
          <w:szCs w:val="24"/>
          <w:lang w:val="fr-BE"/>
        </w:rPr>
        <w:t>it une prise de conscience des interdépendance</w:t>
      </w:r>
      <w:r w:rsidR="006C340F">
        <w:rPr>
          <w:sz w:val="24"/>
          <w:szCs w:val="24"/>
          <w:lang w:val="fr-BE"/>
        </w:rPr>
        <w:t xml:space="preserve">s transfrontalières du système </w:t>
      </w:r>
      <w:r w:rsidR="00570B02">
        <w:rPr>
          <w:sz w:val="24"/>
          <w:szCs w:val="24"/>
          <w:lang w:val="fr-BE"/>
        </w:rPr>
        <w:t>financier.   Pour faire face à ce problème</w:t>
      </w:r>
      <w:r w:rsidR="006C340F">
        <w:rPr>
          <w:sz w:val="24"/>
          <w:szCs w:val="24"/>
          <w:lang w:val="fr-BE"/>
        </w:rPr>
        <w:t xml:space="preserve"> et organiser la coopération en matière bancaire</w:t>
      </w:r>
      <w:r w:rsidR="00570B02">
        <w:rPr>
          <w:sz w:val="24"/>
          <w:szCs w:val="24"/>
          <w:lang w:val="fr-BE"/>
        </w:rPr>
        <w:t>, un comité est créé en 1974 réunissant les représentants de banques centrales et d’autorités de contrôle bancaire du G10 : le comité de Bâle sur le contrôle bancaire</w:t>
      </w:r>
      <w:r w:rsidR="00570B02">
        <w:rPr>
          <w:rStyle w:val="FootnoteReference"/>
          <w:szCs w:val="24"/>
          <w:lang w:val="fr-BE"/>
        </w:rPr>
        <w:footnoteReference w:id="25"/>
      </w:r>
      <w:r w:rsidR="00570B02">
        <w:rPr>
          <w:sz w:val="24"/>
          <w:szCs w:val="24"/>
          <w:lang w:val="fr-BE"/>
        </w:rPr>
        <w:t>.   Cette instance est un forum informel sans personnalité juridique.  Son deu</w:t>
      </w:r>
      <w:r w:rsidR="006C340F">
        <w:rPr>
          <w:sz w:val="24"/>
          <w:szCs w:val="24"/>
          <w:lang w:val="fr-BE"/>
        </w:rPr>
        <w:t>xième Président, P. Cooke, dit que</w:t>
      </w:r>
      <w:r w:rsidR="00DB0F42">
        <w:rPr>
          <w:sz w:val="24"/>
          <w:szCs w:val="24"/>
          <w:lang w:val="fr-BE"/>
        </w:rPr>
        <w:t xml:space="preserve"> « </w:t>
      </w:r>
      <w:r w:rsidR="00DB0F42" w:rsidRPr="00DB0F42">
        <w:rPr>
          <w:i/>
          <w:sz w:val="24"/>
          <w:szCs w:val="24"/>
          <w:lang w:val="fr-BE"/>
        </w:rPr>
        <w:t>le Comité n’assume aucun rôle de contrôle international : ses conclusions n’ont pas, et n’ont jamais eut l’intention d’être dotée d’une force contraignante</w:t>
      </w:r>
      <w:r w:rsidR="00DB0F42">
        <w:rPr>
          <w:sz w:val="24"/>
          <w:szCs w:val="24"/>
          <w:lang w:val="fr-BE"/>
        </w:rPr>
        <w:t> »</w:t>
      </w:r>
      <w:r w:rsidR="00DB0F42">
        <w:rPr>
          <w:rStyle w:val="FootnoteReference"/>
          <w:szCs w:val="24"/>
          <w:lang w:val="fr-BE"/>
        </w:rPr>
        <w:footnoteReference w:id="26"/>
      </w:r>
      <w:r w:rsidR="00DB0F42">
        <w:rPr>
          <w:sz w:val="24"/>
          <w:szCs w:val="24"/>
          <w:lang w:val="fr-BE"/>
        </w:rPr>
        <w:t xml:space="preserve">. </w:t>
      </w:r>
    </w:p>
    <w:p w14:paraId="0D9BA0E6" w14:textId="77777777" w:rsidR="00DB0F42" w:rsidRDefault="00DB0F42" w:rsidP="00570B02">
      <w:pPr>
        <w:spacing w:line="360" w:lineRule="auto"/>
        <w:ind w:left="360" w:firstLine="360"/>
        <w:rPr>
          <w:sz w:val="24"/>
          <w:szCs w:val="24"/>
          <w:lang w:val="fr-BE"/>
        </w:rPr>
      </w:pPr>
    </w:p>
    <w:p w14:paraId="02141E18" w14:textId="42982F49" w:rsidR="008E59F3" w:rsidRDefault="00240E9F" w:rsidP="00BE0BAF">
      <w:pPr>
        <w:spacing w:line="360" w:lineRule="auto"/>
        <w:ind w:left="360" w:firstLine="360"/>
        <w:rPr>
          <w:sz w:val="24"/>
          <w:szCs w:val="24"/>
          <w:lang w:val="fr-BE"/>
        </w:rPr>
      </w:pPr>
      <w:r>
        <w:rPr>
          <w:sz w:val="24"/>
          <w:szCs w:val="24"/>
          <w:lang w:val="fr-BE"/>
        </w:rPr>
        <w:t xml:space="preserve">Si l’intention est </w:t>
      </w:r>
      <w:r w:rsidR="00360525">
        <w:rPr>
          <w:sz w:val="24"/>
          <w:szCs w:val="24"/>
          <w:lang w:val="fr-BE"/>
        </w:rPr>
        <w:t xml:space="preserve">claire la réalité l’est sans doute moins.  En effet, le Comité est amené au fur et à mesure des crises à développer des standards de plus en plus élaborés et sur des sujets de plus en plus vastes afin de répondre </w:t>
      </w:r>
      <w:r w:rsidR="006C340F">
        <w:rPr>
          <w:sz w:val="24"/>
          <w:szCs w:val="24"/>
          <w:lang w:val="fr-BE"/>
        </w:rPr>
        <w:t>aux défis posés par les évolutions</w:t>
      </w:r>
      <w:r w:rsidR="00310676">
        <w:rPr>
          <w:sz w:val="24"/>
          <w:szCs w:val="24"/>
          <w:lang w:val="fr-BE"/>
        </w:rPr>
        <w:t xml:space="preserve"> </w:t>
      </w:r>
      <w:r w:rsidR="006C340F">
        <w:rPr>
          <w:sz w:val="24"/>
          <w:szCs w:val="24"/>
          <w:lang w:val="fr-BE"/>
        </w:rPr>
        <w:t xml:space="preserve">de la banque et de la </w:t>
      </w:r>
      <w:r w:rsidR="00310676">
        <w:rPr>
          <w:sz w:val="24"/>
          <w:szCs w:val="24"/>
          <w:lang w:val="fr-BE"/>
        </w:rPr>
        <w:t xml:space="preserve">finance. </w:t>
      </w:r>
      <w:r w:rsidR="002338E2">
        <w:rPr>
          <w:sz w:val="24"/>
          <w:szCs w:val="24"/>
          <w:lang w:val="fr-BE"/>
        </w:rPr>
        <w:t xml:space="preserve"> Ainsi, </w:t>
      </w:r>
      <w:r w:rsidR="000668B1">
        <w:rPr>
          <w:sz w:val="24"/>
          <w:szCs w:val="24"/>
          <w:lang w:val="fr-BE"/>
        </w:rPr>
        <w:t>il passe d’</w:t>
      </w:r>
      <w:r w:rsidR="002338E2">
        <w:rPr>
          <w:sz w:val="24"/>
          <w:szCs w:val="24"/>
          <w:lang w:val="fr-BE"/>
        </w:rPr>
        <w:t xml:space="preserve">un rôle de coordination en </w:t>
      </w:r>
      <w:r w:rsidR="002B09C0">
        <w:rPr>
          <w:sz w:val="24"/>
          <w:szCs w:val="24"/>
          <w:lang w:val="fr-BE"/>
        </w:rPr>
        <w:t>réglant</w:t>
      </w:r>
      <w:r w:rsidR="002338E2">
        <w:rPr>
          <w:sz w:val="24"/>
          <w:szCs w:val="24"/>
          <w:lang w:val="fr-BE"/>
        </w:rPr>
        <w:t xml:space="preserve"> via </w:t>
      </w:r>
      <w:r w:rsidR="002948D5">
        <w:rPr>
          <w:sz w:val="24"/>
          <w:szCs w:val="24"/>
          <w:lang w:val="fr-BE"/>
        </w:rPr>
        <w:t>un texte</w:t>
      </w:r>
      <w:r w:rsidR="002338E2">
        <w:rPr>
          <w:sz w:val="24"/>
          <w:szCs w:val="24"/>
          <w:lang w:val="fr-BE"/>
        </w:rPr>
        <w:t xml:space="preserve"> </w:t>
      </w:r>
      <w:r w:rsidR="002B09C0">
        <w:rPr>
          <w:sz w:val="24"/>
          <w:szCs w:val="24"/>
          <w:lang w:val="fr-BE"/>
        </w:rPr>
        <w:t xml:space="preserve">intitulé </w:t>
      </w:r>
      <w:r w:rsidR="002338E2">
        <w:rPr>
          <w:sz w:val="24"/>
          <w:szCs w:val="24"/>
          <w:lang w:val="fr-BE"/>
        </w:rPr>
        <w:t>« concordat »</w:t>
      </w:r>
      <w:r w:rsidR="006C340F">
        <w:rPr>
          <w:sz w:val="24"/>
          <w:szCs w:val="24"/>
          <w:lang w:val="fr-BE"/>
        </w:rPr>
        <w:t xml:space="preserve"> </w:t>
      </w:r>
      <w:r w:rsidR="002338E2">
        <w:rPr>
          <w:sz w:val="24"/>
          <w:szCs w:val="24"/>
          <w:lang w:val="fr-BE"/>
        </w:rPr>
        <w:t xml:space="preserve">les responsabilités des autorités de contrôle nationales sur les groupes transfrontaliers,  </w:t>
      </w:r>
      <w:r w:rsidR="000668B1">
        <w:rPr>
          <w:sz w:val="24"/>
          <w:szCs w:val="24"/>
          <w:lang w:val="fr-BE"/>
        </w:rPr>
        <w:t>à un rôle de créateur de normes</w:t>
      </w:r>
      <w:r w:rsidR="006C340F">
        <w:rPr>
          <w:sz w:val="24"/>
          <w:szCs w:val="24"/>
          <w:lang w:val="fr-BE"/>
        </w:rPr>
        <w:t xml:space="preserve"> en adoptant de</w:t>
      </w:r>
      <w:r w:rsidR="000668B1">
        <w:rPr>
          <w:sz w:val="24"/>
          <w:szCs w:val="24"/>
          <w:lang w:val="fr-BE"/>
        </w:rPr>
        <w:t xml:space="preserve">s standards en matière </w:t>
      </w:r>
      <w:r w:rsidR="006C340F">
        <w:rPr>
          <w:sz w:val="24"/>
          <w:szCs w:val="24"/>
          <w:lang w:val="fr-BE"/>
        </w:rPr>
        <w:t>de capitaux minimum ou encore d</w:t>
      </w:r>
      <w:r w:rsidR="009C395C">
        <w:rPr>
          <w:sz w:val="24"/>
          <w:szCs w:val="24"/>
          <w:lang w:val="fr-BE"/>
        </w:rPr>
        <w:t xml:space="preserve">es principes fondamentaux </w:t>
      </w:r>
      <w:r w:rsidR="005807EB">
        <w:rPr>
          <w:sz w:val="24"/>
          <w:szCs w:val="24"/>
          <w:lang w:val="fr-BE"/>
        </w:rPr>
        <w:t>p</w:t>
      </w:r>
      <w:r w:rsidR="009C395C">
        <w:rPr>
          <w:sz w:val="24"/>
          <w:szCs w:val="24"/>
          <w:lang w:val="fr-BE"/>
        </w:rPr>
        <w:t>our un contrôle bancaire effectif</w:t>
      </w:r>
      <w:r w:rsidR="009C395C">
        <w:rPr>
          <w:rStyle w:val="FootnoteReference"/>
          <w:szCs w:val="24"/>
          <w:lang w:val="fr-BE"/>
        </w:rPr>
        <w:footnoteReference w:id="27"/>
      </w:r>
      <w:r w:rsidR="009C395C">
        <w:rPr>
          <w:sz w:val="24"/>
          <w:szCs w:val="24"/>
          <w:lang w:val="fr-BE"/>
        </w:rPr>
        <w:t xml:space="preserve">. </w:t>
      </w:r>
    </w:p>
    <w:p w14:paraId="635AED8B" w14:textId="3257C829" w:rsidR="001F7D61" w:rsidRDefault="001F7D61" w:rsidP="00BE0BAF">
      <w:pPr>
        <w:spacing w:line="360" w:lineRule="auto"/>
        <w:ind w:left="360" w:firstLine="360"/>
        <w:rPr>
          <w:sz w:val="24"/>
          <w:szCs w:val="24"/>
          <w:lang w:val="fr-BE"/>
        </w:rPr>
      </w:pPr>
    </w:p>
    <w:p w14:paraId="6CA69E7D" w14:textId="77777777" w:rsidR="001F7D61" w:rsidRDefault="001F7D61" w:rsidP="00BE0BAF">
      <w:pPr>
        <w:spacing w:line="360" w:lineRule="auto"/>
        <w:ind w:left="360" w:firstLine="360"/>
        <w:rPr>
          <w:sz w:val="24"/>
          <w:szCs w:val="24"/>
          <w:lang w:val="fr-BE"/>
        </w:rPr>
      </w:pPr>
    </w:p>
    <w:p w14:paraId="01AD7D81" w14:textId="77777777" w:rsidR="002338E2" w:rsidRPr="007A5B9E" w:rsidRDefault="002338E2" w:rsidP="007A5B9E">
      <w:pPr>
        <w:spacing w:line="360" w:lineRule="auto"/>
        <w:ind w:left="360"/>
        <w:rPr>
          <w:sz w:val="24"/>
          <w:szCs w:val="24"/>
          <w:lang w:val="fr-BE"/>
        </w:rPr>
      </w:pPr>
    </w:p>
    <w:p w14:paraId="1AB47AE1" w14:textId="66667360" w:rsidR="00F27CAE" w:rsidRDefault="00F27CAE" w:rsidP="00F27CAE">
      <w:pPr>
        <w:pStyle w:val="ListParagraph"/>
        <w:numPr>
          <w:ilvl w:val="0"/>
          <w:numId w:val="13"/>
        </w:numPr>
        <w:spacing w:line="360" w:lineRule="auto"/>
        <w:rPr>
          <w:i/>
          <w:sz w:val="24"/>
          <w:szCs w:val="24"/>
          <w:lang w:val="fr-BE"/>
        </w:rPr>
      </w:pPr>
      <w:r w:rsidRPr="00E431C4">
        <w:rPr>
          <w:i/>
          <w:sz w:val="24"/>
          <w:szCs w:val="24"/>
          <w:lang w:val="fr-BE"/>
        </w:rPr>
        <w:t xml:space="preserve">Au niveau </w:t>
      </w:r>
      <w:r w:rsidR="001337A9">
        <w:rPr>
          <w:i/>
          <w:sz w:val="24"/>
          <w:szCs w:val="24"/>
          <w:lang w:val="fr-BE"/>
        </w:rPr>
        <w:t>de l’Union européenne</w:t>
      </w:r>
    </w:p>
    <w:p w14:paraId="4A6A5BDF" w14:textId="77777777" w:rsidR="009C395C" w:rsidRDefault="009C395C" w:rsidP="009C395C">
      <w:pPr>
        <w:spacing w:line="360" w:lineRule="auto"/>
        <w:rPr>
          <w:sz w:val="24"/>
          <w:szCs w:val="24"/>
          <w:lang w:val="fr-BE"/>
        </w:rPr>
      </w:pPr>
    </w:p>
    <w:p w14:paraId="1DD3A215" w14:textId="5F3985B2" w:rsidR="00BE0BAF" w:rsidRDefault="00223007" w:rsidP="005D5696">
      <w:pPr>
        <w:spacing w:line="360" w:lineRule="auto"/>
        <w:ind w:left="360" w:firstLine="360"/>
        <w:rPr>
          <w:sz w:val="24"/>
          <w:szCs w:val="24"/>
          <w:lang w:val="fr-BE"/>
        </w:rPr>
      </w:pPr>
      <w:r>
        <w:rPr>
          <w:sz w:val="24"/>
          <w:szCs w:val="24"/>
          <w:lang w:val="fr-BE"/>
        </w:rPr>
        <w:lastRenderedPageBreak/>
        <w:t>L’intégration européenne en matière bancaire ne fut elle aussi pas une évidence.  En effet, l</w:t>
      </w:r>
      <w:r w:rsidR="005C78E5">
        <w:rPr>
          <w:sz w:val="24"/>
          <w:szCs w:val="24"/>
          <w:lang w:val="fr-BE"/>
        </w:rPr>
        <w:t>e terrain est miné par le nationalisme de souverains refusant de perdre leur contrôle sur les banques.   Ce nationalisme a des racines historiques bien ancrée</w:t>
      </w:r>
      <w:r w:rsidR="006C340F">
        <w:rPr>
          <w:sz w:val="24"/>
          <w:szCs w:val="24"/>
          <w:lang w:val="fr-BE"/>
        </w:rPr>
        <w:t>s</w:t>
      </w:r>
      <w:r w:rsidR="005C78E5">
        <w:rPr>
          <w:sz w:val="24"/>
          <w:szCs w:val="24"/>
          <w:lang w:val="fr-BE"/>
        </w:rPr>
        <w:t xml:space="preserve"> puisque ce sont les banquie</w:t>
      </w:r>
      <w:r w:rsidR="005D5696">
        <w:rPr>
          <w:sz w:val="24"/>
          <w:szCs w:val="24"/>
          <w:lang w:val="fr-BE"/>
        </w:rPr>
        <w:t xml:space="preserve">rs qui ont influencé </w:t>
      </w:r>
      <w:r w:rsidR="006C340F">
        <w:rPr>
          <w:sz w:val="24"/>
          <w:szCs w:val="24"/>
          <w:lang w:val="fr-BE"/>
        </w:rPr>
        <w:t xml:space="preserve">depuis des siècles </w:t>
      </w:r>
      <w:r w:rsidR="005D5696">
        <w:rPr>
          <w:sz w:val="24"/>
          <w:szCs w:val="24"/>
          <w:lang w:val="fr-BE"/>
        </w:rPr>
        <w:t>l’issue des guerres en les finançant</w:t>
      </w:r>
      <w:r w:rsidR="005D5696">
        <w:rPr>
          <w:rStyle w:val="FootnoteReference"/>
          <w:szCs w:val="24"/>
          <w:lang w:val="fr-BE"/>
        </w:rPr>
        <w:footnoteReference w:id="28"/>
      </w:r>
      <w:r w:rsidR="001F7D61">
        <w:rPr>
          <w:sz w:val="24"/>
          <w:szCs w:val="24"/>
          <w:lang w:val="fr-BE"/>
        </w:rPr>
        <w:t>.   Par ailleurs, la</w:t>
      </w:r>
      <w:r w:rsidR="005D5696">
        <w:rPr>
          <w:sz w:val="24"/>
          <w:szCs w:val="24"/>
          <w:lang w:val="fr-BE"/>
        </w:rPr>
        <w:t xml:space="preserve"> fonction de transmission de liquidité </w:t>
      </w:r>
      <w:r w:rsidR="006574E8">
        <w:rPr>
          <w:sz w:val="24"/>
          <w:szCs w:val="24"/>
          <w:lang w:val="fr-BE"/>
        </w:rPr>
        <w:t>vers l’économie réelle</w:t>
      </w:r>
      <w:r w:rsidR="001F7D61">
        <w:rPr>
          <w:sz w:val="24"/>
          <w:szCs w:val="24"/>
          <w:lang w:val="fr-BE"/>
        </w:rPr>
        <w:t xml:space="preserve"> des banques</w:t>
      </w:r>
      <w:r w:rsidR="006574E8">
        <w:rPr>
          <w:sz w:val="24"/>
          <w:szCs w:val="24"/>
          <w:lang w:val="fr-BE"/>
        </w:rPr>
        <w:t xml:space="preserve"> les rendent importantes pour </w:t>
      </w:r>
      <w:r w:rsidR="00073F36">
        <w:rPr>
          <w:sz w:val="24"/>
          <w:szCs w:val="24"/>
          <w:lang w:val="fr-BE"/>
        </w:rPr>
        <w:t>les Etats en vue du financement</w:t>
      </w:r>
      <w:r w:rsidR="006574E8">
        <w:rPr>
          <w:sz w:val="24"/>
          <w:szCs w:val="24"/>
          <w:lang w:val="fr-BE"/>
        </w:rPr>
        <w:t xml:space="preserve"> des entreprises nationales et dès lors pour la création d’emploi</w:t>
      </w:r>
      <w:r w:rsidR="006574E8">
        <w:rPr>
          <w:rStyle w:val="FootnoteReference"/>
          <w:szCs w:val="24"/>
          <w:lang w:val="fr-BE"/>
        </w:rPr>
        <w:footnoteReference w:id="29"/>
      </w:r>
      <w:r w:rsidR="006574E8">
        <w:rPr>
          <w:sz w:val="24"/>
          <w:szCs w:val="24"/>
          <w:lang w:val="fr-BE"/>
        </w:rPr>
        <w:t>.  Enfin, les coûts faramineux des sauvetages bancaires par les Etats ont souvent servi de justification à un maintien du contrôle national des Etats sur leur secteur bancaire</w:t>
      </w:r>
      <w:r w:rsidR="006574E8">
        <w:rPr>
          <w:rStyle w:val="FootnoteReference"/>
          <w:szCs w:val="24"/>
          <w:lang w:val="fr-BE"/>
        </w:rPr>
        <w:footnoteReference w:id="30"/>
      </w:r>
      <w:r w:rsidR="006574E8">
        <w:rPr>
          <w:sz w:val="24"/>
          <w:szCs w:val="24"/>
          <w:lang w:val="fr-BE"/>
        </w:rPr>
        <w:t xml:space="preserve">. </w:t>
      </w:r>
    </w:p>
    <w:p w14:paraId="543CA86A" w14:textId="77777777" w:rsidR="00BE0BAF" w:rsidRDefault="00BE0BAF" w:rsidP="005D5696">
      <w:pPr>
        <w:spacing w:line="360" w:lineRule="auto"/>
        <w:ind w:left="360" w:firstLine="360"/>
        <w:rPr>
          <w:sz w:val="24"/>
          <w:szCs w:val="24"/>
          <w:lang w:val="fr-BE"/>
        </w:rPr>
      </w:pPr>
    </w:p>
    <w:p w14:paraId="4545A222" w14:textId="2907CB3E" w:rsidR="00223007" w:rsidRDefault="00BE0BAF" w:rsidP="00BE0BAF">
      <w:pPr>
        <w:spacing w:line="360" w:lineRule="auto"/>
        <w:ind w:left="360"/>
        <w:rPr>
          <w:sz w:val="24"/>
          <w:szCs w:val="24"/>
          <w:lang w:val="fr-BE"/>
        </w:rPr>
      </w:pPr>
      <w:r>
        <w:rPr>
          <w:sz w:val="24"/>
          <w:szCs w:val="24"/>
          <w:lang w:val="fr-BE"/>
        </w:rPr>
        <w:t xml:space="preserve"> </w:t>
      </w:r>
      <w:r>
        <w:rPr>
          <w:sz w:val="24"/>
          <w:szCs w:val="24"/>
          <w:lang w:val="fr-BE"/>
        </w:rPr>
        <w:tab/>
        <w:t>Compte tenu de ce nationalisme, les</w:t>
      </w:r>
      <w:r w:rsidR="007D0FE8">
        <w:rPr>
          <w:sz w:val="24"/>
          <w:szCs w:val="24"/>
          <w:lang w:val="fr-BE"/>
        </w:rPr>
        <w:t xml:space="preserve"> ambitions du Traité de Rome en matière bancaire</w:t>
      </w:r>
      <w:r>
        <w:rPr>
          <w:sz w:val="24"/>
          <w:szCs w:val="24"/>
          <w:lang w:val="fr-BE"/>
        </w:rPr>
        <w:t xml:space="preserve"> furent relativement modestes</w:t>
      </w:r>
      <w:r w:rsidR="007D0FE8">
        <w:rPr>
          <w:sz w:val="24"/>
          <w:szCs w:val="24"/>
          <w:lang w:val="fr-BE"/>
        </w:rPr>
        <w:t>.  Ce dernier soumet en effet les décisions relatives à l’accès et à l’exercice de la profession bancaire à l’unanimité du Conseil</w:t>
      </w:r>
      <w:r w:rsidR="007D0FE8">
        <w:rPr>
          <w:rStyle w:val="FootnoteReference"/>
          <w:szCs w:val="24"/>
          <w:lang w:val="fr-BE"/>
        </w:rPr>
        <w:footnoteReference w:id="31"/>
      </w:r>
      <w:r w:rsidR="007D0FE8">
        <w:rPr>
          <w:sz w:val="24"/>
          <w:szCs w:val="24"/>
          <w:lang w:val="fr-BE"/>
        </w:rPr>
        <w:t xml:space="preserve">.  </w:t>
      </w:r>
      <w:r w:rsidR="00E62A44">
        <w:rPr>
          <w:sz w:val="24"/>
          <w:szCs w:val="24"/>
          <w:lang w:val="fr-BE"/>
        </w:rPr>
        <w:t>De plus</w:t>
      </w:r>
      <w:r w:rsidR="007D0FE8">
        <w:rPr>
          <w:sz w:val="24"/>
          <w:szCs w:val="24"/>
          <w:lang w:val="fr-BE"/>
        </w:rPr>
        <w:t>, l’article 61.2</w:t>
      </w:r>
      <w:r w:rsidR="005807EB">
        <w:rPr>
          <w:sz w:val="24"/>
          <w:szCs w:val="24"/>
          <w:lang w:val="fr-BE"/>
        </w:rPr>
        <w:t xml:space="preserve"> du même texte dispose que « </w:t>
      </w:r>
      <w:r w:rsidR="005807EB" w:rsidRPr="00120236">
        <w:rPr>
          <w:i/>
          <w:sz w:val="24"/>
          <w:szCs w:val="24"/>
          <w:lang w:val="fr-BE"/>
        </w:rPr>
        <w:t>la libéralisation des services financiers et bancaires connectée</w:t>
      </w:r>
      <w:r w:rsidR="00E72D9A" w:rsidRPr="00120236">
        <w:rPr>
          <w:i/>
          <w:sz w:val="24"/>
          <w:szCs w:val="24"/>
          <w:lang w:val="fr-BE"/>
        </w:rPr>
        <w:t xml:space="preserve"> </w:t>
      </w:r>
      <w:r w:rsidR="00120236" w:rsidRPr="00120236">
        <w:rPr>
          <w:i/>
          <w:sz w:val="24"/>
          <w:szCs w:val="24"/>
          <w:lang w:val="fr-BE"/>
        </w:rPr>
        <w:t>au mouvement des capitaux doit être rendue effective en harmonie avec la libéralisation des capitaux </w:t>
      </w:r>
      <w:r w:rsidR="00120236">
        <w:rPr>
          <w:sz w:val="24"/>
          <w:szCs w:val="24"/>
          <w:lang w:val="fr-BE"/>
        </w:rPr>
        <w:t>»</w:t>
      </w:r>
      <w:r w:rsidR="00120236">
        <w:rPr>
          <w:rStyle w:val="FootnoteReference"/>
          <w:szCs w:val="24"/>
          <w:lang w:val="fr-BE"/>
        </w:rPr>
        <w:footnoteReference w:id="32"/>
      </w:r>
      <w:r w:rsidR="00120236">
        <w:rPr>
          <w:sz w:val="24"/>
          <w:szCs w:val="24"/>
          <w:lang w:val="fr-BE"/>
        </w:rPr>
        <w:t>.  Or, la circulation des capitaux est la liberté la moins ambieuse au moment de la signature du traité de Rome.  Suivant son article 67</w:t>
      </w:r>
      <w:r w:rsidR="00214D42">
        <w:rPr>
          <w:sz w:val="24"/>
          <w:szCs w:val="24"/>
          <w:lang w:val="fr-BE"/>
        </w:rPr>
        <w:t>, les barrières à la circulation des capitaux doivent être abolies « </w:t>
      </w:r>
      <w:r w:rsidR="00214D42" w:rsidRPr="00214D42">
        <w:rPr>
          <w:i/>
          <w:sz w:val="24"/>
          <w:szCs w:val="24"/>
          <w:lang w:val="fr-BE"/>
        </w:rPr>
        <w:t>dans la mesure nécessaire au bon focntionnement du marché commun </w:t>
      </w:r>
      <w:r w:rsidR="00214D42">
        <w:rPr>
          <w:sz w:val="24"/>
          <w:szCs w:val="24"/>
          <w:lang w:val="fr-BE"/>
        </w:rPr>
        <w:t>»</w:t>
      </w:r>
      <w:r w:rsidR="00214D42">
        <w:rPr>
          <w:rStyle w:val="FootnoteReference"/>
          <w:szCs w:val="24"/>
          <w:lang w:val="fr-BE"/>
        </w:rPr>
        <w:footnoteReference w:id="33"/>
      </w:r>
      <w:r w:rsidR="00214D42">
        <w:rPr>
          <w:sz w:val="24"/>
          <w:szCs w:val="24"/>
          <w:lang w:val="fr-BE"/>
        </w:rPr>
        <w:t xml:space="preserve">. </w:t>
      </w:r>
    </w:p>
    <w:p w14:paraId="5D697DDE" w14:textId="77777777" w:rsidR="00BE0BAF" w:rsidRDefault="00BE0BAF" w:rsidP="005D5696">
      <w:pPr>
        <w:spacing w:line="360" w:lineRule="auto"/>
        <w:ind w:left="360" w:firstLine="360"/>
        <w:rPr>
          <w:sz w:val="24"/>
          <w:szCs w:val="24"/>
          <w:lang w:val="fr-BE"/>
        </w:rPr>
      </w:pPr>
    </w:p>
    <w:p w14:paraId="5FCB4FB2" w14:textId="07BE04E7" w:rsidR="00BE0BAF" w:rsidRDefault="00BE0BAF" w:rsidP="005D5696">
      <w:pPr>
        <w:spacing w:line="360" w:lineRule="auto"/>
        <w:ind w:left="360" w:firstLine="360"/>
        <w:rPr>
          <w:sz w:val="24"/>
          <w:szCs w:val="24"/>
          <w:lang w:val="fr-BE"/>
        </w:rPr>
      </w:pPr>
      <w:r>
        <w:rPr>
          <w:sz w:val="24"/>
          <w:szCs w:val="24"/>
          <w:lang w:val="fr-BE"/>
        </w:rPr>
        <w:t>Par ailleurs, la convergence du cadre règlementaire en matière b</w:t>
      </w:r>
      <w:r w:rsidR="00D40B62">
        <w:rPr>
          <w:sz w:val="24"/>
          <w:szCs w:val="24"/>
          <w:lang w:val="fr-BE"/>
        </w:rPr>
        <w:t>ancaire est elle relativement lente.  Alors que la Commission envisage une harmonisation du cadre réglementaire en une seule directive et la dévolution du pouvoir de contrôle à la Commision europénne</w:t>
      </w:r>
      <w:r w:rsidR="00D40B62">
        <w:rPr>
          <w:rStyle w:val="FootnoteReference"/>
          <w:szCs w:val="24"/>
          <w:lang w:val="fr-BE"/>
        </w:rPr>
        <w:footnoteReference w:id="34"/>
      </w:r>
      <w:r w:rsidR="00D40B62">
        <w:rPr>
          <w:sz w:val="24"/>
          <w:szCs w:val="24"/>
          <w:lang w:val="fr-BE"/>
        </w:rPr>
        <w:t>, les Etat membres s’opposent au projet et la Grande-Bretagne – en phase d’adhésion à la Communauté é</w:t>
      </w:r>
      <w:r w:rsidR="00E62A44">
        <w:rPr>
          <w:sz w:val="24"/>
          <w:szCs w:val="24"/>
          <w:lang w:val="fr-BE"/>
        </w:rPr>
        <w:t xml:space="preserve">conomique </w:t>
      </w:r>
      <w:r w:rsidR="00E62A44">
        <w:rPr>
          <w:sz w:val="24"/>
          <w:szCs w:val="24"/>
          <w:lang w:val="fr-BE"/>
        </w:rPr>
        <w:lastRenderedPageBreak/>
        <w:t>européenne – y met</w:t>
      </w:r>
      <w:r w:rsidR="00D40B62">
        <w:rPr>
          <w:sz w:val="24"/>
          <w:szCs w:val="24"/>
          <w:lang w:val="fr-BE"/>
        </w:rPr>
        <w:t xml:space="preserve"> son véto</w:t>
      </w:r>
      <w:r w:rsidR="00D40B62">
        <w:rPr>
          <w:rStyle w:val="FootnoteReference"/>
          <w:szCs w:val="24"/>
          <w:lang w:val="fr-BE"/>
        </w:rPr>
        <w:footnoteReference w:id="35"/>
      </w:r>
      <w:r w:rsidR="00D40B62">
        <w:rPr>
          <w:sz w:val="24"/>
          <w:szCs w:val="24"/>
          <w:lang w:val="fr-BE"/>
        </w:rPr>
        <w:t>.    Les ambitions de la Commission rencontrent également l’opposition des autorités de contrôle nationales qui craignent une vision européenne trop</w:t>
      </w:r>
      <w:r w:rsidR="006A0C10">
        <w:rPr>
          <w:sz w:val="24"/>
          <w:szCs w:val="24"/>
          <w:lang w:val="fr-BE"/>
        </w:rPr>
        <w:t xml:space="preserve"> légaliste du contrôle bancaire </w:t>
      </w:r>
      <w:r w:rsidR="00073F36">
        <w:rPr>
          <w:sz w:val="24"/>
          <w:szCs w:val="24"/>
          <w:lang w:val="fr-BE"/>
        </w:rPr>
        <w:t>qui nuise</w:t>
      </w:r>
      <w:r w:rsidR="006A0C10">
        <w:rPr>
          <w:sz w:val="24"/>
          <w:szCs w:val="24"/>
          <w:lang w:val="fr-BE"/>
        </w:rPr>
        <w:t xml:space="preserve"> à l’exigence de rapidité inhérente à l’exercice de ce contrôle</w:t>
      </w:r>
      <w:r w:rsidR="006A0C10">
        <w:rPr>
          <w:rStyle w:val="FootnoteReference"/>
          <w:szCs w:val="24"/>
          <w:lang w:val="fr-BE"/>
        </w:rPr>
        <w:footnoteReference w:id="36"/>
      </w:r>
      <w:r w:rsidR="00237B32">
        <w:rPr>
          <w:sz w:val="24"/>
          <w:szCs w:val="24"/>
          <w:lang w:val="fr-BE"/>
        </w:rPr>
        <w:t xml:space="preserve">.  </w:t>
      </w:r>
    </w:p>
    <w:p w14:paraId="4647CC4F" w14:textId="77777777" w:rsidR="00237B32" w:rsidRDefault="00237B32" w:rsidP="005D5696">
      <w:pPr>
        <w:spacing w:line="360" w:lineRule="auto"/>
        <w:ind w:left="360" w:firstLine="360"/>
        <w:rPr>
          <w:sz w:val="24"/>
          <w:szCs w:val="24"/>
          <w:lang w:val="fr-BE"/>
        </w:rPr>
      </w:pPr>
    </w:p>
    <w:p w14:paraId="013D3B6C" w14:textId="08480D38" w:rsidR="00237B32" w:rsidRDefault="00237B32" w:rsidP="005D5696">
      <w:pPr>
        <w:spacing w:line="360" w:lineRule="auto"/>
        <w:ind w:left="360" w:firstLine="360"/>
        <w:rPr>
          <w:sz w:val="24"/>
          <w:szCs w:val="24"/>
          <w:lang w:val="fr-BE"/>
        </w:rPr>
      </w:pPr>
      <w:r>
        <w:rPr>
          <w:sz w:val="24"/>
          <w:szCs w:val="24"/>
          <w:lang w:val="fr-BE"/>
        </w:rPr>
        <w:t>Au vu de ces réticence</w:t>
      </w:r>
      <w:r w:rsidR="00E62A44">
        <w:rPr>
          <w:sz w:val="24"/>
          <w:szCs w:val="24"/>
          <w:lang w:val="fr-BE"/>
        </w:rPr>
        <w:t>s</w:t>
      </w:r>
      <w:r>
        <w:rPr>
          <w:sz w:val="24"/>
          <w:szCs w:val="24"/>
          <w:lang w:val="fr-BE"/>
        </w:rPr>
        <w:t>, la Communauté économique européenne, et en particulier, la Commission</w:t>
      </w:r>
      <w:r w:rsidR="00C0261C">
        <w:rPr>
          <w:sz w:val="24"/>
          <w:szCs w:val="24"/>
          <w:lang w:val="fr-BE"/>
        </w:rPr>
        <w:t xml:space="preserve"> est amenée à adopter</w:t>
      </w:r>
      <w:r w:rsidR="0049554C">
        <w:rPr>
          <w:sz w:val="24"/>
          <w:szCs w:val="24"/>
          <w:lang w:val="fr-BE"/>
        </w:rPr>
        <w:t xml:space="preserve"> une approche plus modeste.  Dans ce cadre, elle associe les au</w:t>
      </w:r>
      <w:r w:rsidR="00073F36">
        <w:rPr>
          <w:sz w:val="24"/>
          <w:szCs w:val="24"/>
          <w:lang w:val="fr-BE"/>
        </w:rPr>
        <w:t>torités de contrôle natio</w:t>
      </w:r>
      <w:r w:rsidR="0049554C">
        <w:rPr>
          <w:sz w:val="24"/>
          <w:szCs w:val="24"/>
          <w:lang w:val="fr-BE"/>
        </w:rPr>
        <w:t>n</w:t>
      </w:r>
      <w:r w:rsidR="00073F36">
        <w:rPr>
          <w:sz w:val="24"/>
          <w:szCs w:val="24"/>
          <w:lang w:val="fr-BE"/>
        </w:rPr>
        <w:t>a</w:t>
      </w:r>
      <w:r w:rsidR="0049554C">
        <w:rPr>
          <w:sz w:val="24"/>
          <w:szCs w:val="24"/>
          <w:lang w:val="fr-BE"/>
        </w:rPr>
        <w:t>le au processus législatif et de coordination des pratiques de contrôle bancaire.  Ainsi, la première directive en matière bancaire</w:t>
      </w:r>
      <w:r w:rsidR="0049554C">
        <w:rPr>
          <w:rStyle w:val="FootnoteReference"/>
          <w:szCs w:val="24"/>
          <w:lang w:val="fr-BE"/>
        </w:rPr>
        <w:footnoteReference w:id="37"/>
      </w:r>
      <w:r w:rsidR="0049554C">
        <w:rPr>
          <w:sz w:val="24"/>
          <w:szCs w:val="24"/>
          <w:lang w:val="fr-BE"/>
        </w:rPr>
        <w:t xml:space="preserve"> donne un rôle officiel à un forum de rencontre et de discussions des autorités de contrôle nationale jusqu’ici officieux : le Groupe de contact.  Suivant l’article 7 de cette directive : « </w:t>
      </w:r>
      <w:r w:rsidR="0049554C" w:rsidRPr="00F3745A">
        <w:rPr>
          <w:i/>
          <w:sz w:val="24"/>
          <w:szCs w:val="24"/>
          <w:lang w:val="fr-BE"/>
        </w:rPr>
        <w:t>la Commission et les représentants des autorités chargés dans les Etats membre</w:t>
      </w:r>
      <w:r w:rsidR="00F3745A" w:rsidRPr="00F3745A">
        <w:rPr>
          <w:i/>
          <w:sz w:val="24"/>
          <w:szCs w:val="24"/>
          <w:lang w:val="fr-BE"/>
        </w:rPr>
        <w:t>s</w:t>
      </w:r>
      <w:r w:rsidR="0049554C" w:rsidRPr="00F3745A">
        <w:rPr>
          <w:i/>
          <w:sz w:val="24"/>
          <w:szCs w:val="24"/>
          <w:lang w:val="fr-BE"/>
        </w:rPr>
        <w:t xml:space="preserve"> du contrôle des banques </w:t>
      </w:r>
      <w:r w:rsidR="00F3745A" w:rsidRPr="00F3745A">
        <w:rPr>
          <w:i/>
          <w:sz w:val="24"/>
          <w:szCs w:val="24"/>
          <w:lang w:val="fr-BE"/>
        </w:rPr>
        <w:t>et autres établissements financiers se réunissent régulièr</w:t>
      </w:r>
      <w:r w:rsidR="001F7D61">
        <w:rPr>
          <w:i/>
          <w:sz w:val="24"/>
          <w:szCs w:val="24"/>
          <w:lang w:val="fr-BE"/>
        </w:rPr>
        <w:t>e</w:t>
      </w:r>
      <w:r w:rsidR="00F3745A" w:rsidRPr="00F3745A">
        <w:rPr>
          <w:i/>
          <w:sz w:val="24"/>
          <w:szCs w:val="24"/>
          <w:lang w:val="fr-BE"/>
        </w:rPr>
        <w:t>ment de manière à faciliter, dans la perspective de la mise en œuvre de la présente directive, la solution des questions qui pourraient se poser aux autorités en matière de contrôle des activités visées par la présente directive et assurent entre eux toute coopération dans les limites de leurs compétences respectives </w:t>
      </w:r>
      <w:r w:rsidR="00F3745A">
        <w:rPr>
          <w:sz w:val="24"/>
          <w:szCs w:val="24"/>
          <w:lang w:val="fr-BE"/>
        </w:rPr>
        <w:t>»</w:t>
      </w:r>
      <w:r w:rsidR="00F3745A">
        <w:rPr>
          <w:rStyle w:val="FootnoteReference"/>
          <w:szCs w:val="24"/>
          <w:lang w:val="fr-BE"/>
        </w:rPr>
        <w:footnoteReference w:id="38"/>
      </w:r>
      <w:r w:rsidR="00F3745A">
        <w:rPr>
          <w:sz w:val="24"/>
          <w:szCs w:val="24"/>
          <w:lang w:val="fr-BE"/>
        </w:rPr>
        <w:t xml:space="preserve">. </w:t>
      </w:r>
      <w:r w:rsidR="007607EF">
        <w:rPr>
          <w:sz w:val="24"/>
          <w:szCs w:val="24"/>
          <w:lang w:val="fr-BE"/>
        </w:rPr>
        <w:t xml:space="preserve"> </w:t>
      </w:r>
    </w:p>
    <w:p w14:paraId="7A3D7D90" w14:textId="77777777" w:rsidR="007607EF" w:rsidRDefault="007607EF" w:rsidP="005D5696">
      <w:pPr>
        <w:spacing w:line="360" w:lineRule="auto"/>
        <w:ind w:left="360" w:firstLine="360"/>
        <w:rPr>
          <w:sz w:val="24"/>
          <w:szCs w:val="24"/>
          <w:lang w:val="fr-BE"/>
        </w:rPr>
      </w:pPr>
    </w:p>
    <w:p w14:paraId="27ADF498" w14:textId="312E9F74" w:rsidR="00F47185" w:rsidRDefault="007607EF" w:rsidP="00F47185">
      <w:pPr>
        <w:spacing w:line="360" w:lineRule="auto"/>
        <w:ind w:left="360" w:firstLine="360"/>
        <w:rPr>
          <w:sz w:val="24"/>
          <w:szCs w:val="24"/>
          <w:lang w:val="fr-BE"/>
        </w:rPr>
      </w:pPr>
      <w:r>
        <w:rPr>
          <w:sz w:val="24"/>
          <w:szCs w:val="24"/>
          <w:lang w:val="fr-BE"/>
        </w:rPr>
        <w:t>Plus tard, la première directive de coordination bancaire</w:t>
      </w:r>
      <w:r>
        <w:rPr>
          <w:rStyle w:val="FootnoteReference"/>
          <w:szCs w:val="24"/>
          <w:lang w:val="fr-BE"/>
        </w:rPr>
        <w:footnoteReference w:id="39"/>
      </w:r>
      <w:r w:rsidR="007B613A">
        <w:rPr>
          <w:sz w:val="24"/>
          <w:szCs w:val="24"/>
          <w:lang w:val="fr-BE"/>
        </w:rPr>
        <w:t xml:space="preserve"> établit un nouveau </w:t>
      </w:r>
      <w:r w:rsidR="00073F36">
        <w:rPr>
          <w:sz w:val="24"/>
          <w:szCs w:val="24"/>
          <w:lang w:val="fr-BE"/>
        </w:rPr>
        <w:t>comité chargé de conseiller la C</w:t>
      </w:r>
      <w:r w:rsidR="007B613A">
        <w:rPr>
          <w:sz w:val="24"/>
          <w:szCs w:val="24"/>
          <w:lang w:val="fr-BE"/>
        </w:rPr>
        <w:t>ommission sur les directives relatives à l’harmonisation des règlementations bancaires : le comité consultatif des autorités compétentes.  Selon l’article 11 de ce texte, «</w:t>
      </w:r>
      <w:r w:rsidR="007B613A" w:rsidRPr="007B613A">
        <w:rPr>
          <w:i/>
          <w:sz w:val="24"/>
          <w:szCs w:val="24"/>
          <w:lang w:val="fr-BE"/>
        </w:rPr>
        <w:t>il assiste la Commission dans la tâc</w:t>
      </w:r>
      <w:r w:rsidR="00E62A44">
        <w:rPr>
          <w:i/>
          <w:sz w:val="24"/>
          <w:szCs w:val="24"/>
          <w:lang w:val="fr-BE"/>
        </w:rPr>
        <w:t>h</w:t>
      </w:r>
      <w:r w:rsidR="007B613A" w:rsidRPr="007B613A">
        <w:rPr>
          <w:i/>
          <w:sz w:val="24"/>
          <w:szCs w:val="24"/>
          <w:lang w:val="fr-BE"/>
        </w:rPr>
        <w:t xml:space="preserve">e d’assurer une bonne application de la présente directive,…, il s’acquitte des autres tâches prescrites par la présente directive et aide la commission dans l’élaboration de nouvelles propositions à présenter au Conseil en ce qui concerne la coordination à poursuivre dans le domaine des </w:t>
      </w:r>
      <w:r w:rsidR="007B613A" w:rsidRPr="007B613A">
        <w:rPr>
          <w:i/>
          <w:sz w:val="24"/>
          <w:szCs w:val="24"/>
          <w:lang w:val="fr-BE"/>
        </w:rPr>
        <w:lastRenderedPageBreak/>
        <w:t>établissements de crédit </w:t>
      </w:r>
      <w:r w:rsidR="007B613A">
        <w:rPr>
          <w:sz w:val="24"/>
          <w:szCs w:val="24"/>
          <w:lang w:val="fr-BE"/>
        </w:rPr>
        <w:t>»</w:t>
      </w:r>
      <w:r w:rsidR="007B613A">
        <w:rPr>
          <w:rStyle w:val="FootnoteReference"/>
          <w:szCs w:val="24"/>
          <w:lang w:val="fr-BE"/>
        </w:rPr>
        <w:footnoteReference w:id="40"/>
      </w:r>
      <w:r w:rsidR="007B613A">
        <w:rPr>
          <w:sz w:val="24"/>
          <w:szCs w:val="24"/>
          <w:lang w:val="fr-BE"/>
        </w:rPr>
        <w:t xml:space="preserve">. </w:t>
      </w:r>
      <w:r w:rsidR="00554A1E">
        <w:rPr>
          <w:sz w:val="24"/>
          <w:szCs w:val="24"/>
          <w:lang w:val="fr-BE"/>
        </w:rPr>
        <w:t xml:space="preserve"> Ce comité </w:t>
      </w:r>
      <w:r w:rsidR="00C0261C">
        <w:rPr>
          <w:sz w:val="24"/>
          <w:szCs w:val="24"/>
          <w:lang w:val="fr-BE"/>
        </w:rPr>
        <w:t>a bénéficié</w:t>
      </w:r>
      <w:r w:rsidR="00554A1E">
        <w:rPr>
          <w:sz w:val="24"/>
          <w:szCs w:val="24"/>
          <w:lang w:val="fr-BE"/>
        </w:rPr>
        <w:t xml:space="preserve"> d’un pouvoir important et assurer le bon succès des textes de la Com</w:t>
      </w:r>
      <w:r w:rsidR="00F47185">
        <w:rPr>
          <w:sz w:val="24"/>
          <w:szCs w:val="24"/>
          <w:lang w:val="fr-BE"/>
        </w:rPr>
        <w:t>m</w:t>
      </w:r>
      <w:r w:rsidR="00554A1E">
        <w:rPr>
          <w:sz w:val="24"/>
          <w:szCs w:val="24"/>
          <w:lang w:val="fr-BE"/>
        </w:rPr>
        <w:t>ission</w:t>
      </w:r>
      <w:r w:rsidR="00554A1E">
        <w:rPr>
          <w:rStyle w:val="FootnoteReference"/>
          <w:szCs w:val="24"/>
          <w:lang w:val="fr-BE"/>
        </w:rPr>
        <w:footnoteReference w:id="41"/>
      </w:r>
      <w:r w:rsidR="00554A1E">
        <w:rPr>
          <w:sz w:val="24"/>
          <w:szCs w:val="24"/>
          <w:lang w:val="fr-BE"/>
        </w:rPr>
        <w:t xml:space="preserve">. </w:t>
      </w:r>
      <w:r w:rsidR="00F47185">
        <w:rPr>
          <w:sz w:val="24"/>
          <w:szCs w:val="24"/>
          <w:lang w:val="fr-BE"/>
        </w:rPr>
        <w:t xml:space="preserve"> Cette dernière n’avait en l’an 2000 jamais proposé de mesure à l’encontre de la vue majorité du Comité consultatif</w:t>
      </w:r>
      <w:r w:rsidR="00F47185">
        <w:rPr>
          <w:rStyle w:val="FootnoteReference"/>
          <w:szCs w:val="24"/>
          <w:lang w:val="fr-BE"/>
        </w:rPr>
        <w:footnoteReference w:id="42"/>
      </w:r>
      <w:r w:rsidR="00F47185">
        <w:rPr>
          <w:sz w:val="24"/>
          <w:szCs w:val="24"/>
          <w:lang w:val="fr-BE"/>
        </w:rPr>
        <w:t xml:space="preserve">. </w:t>
      </w:r>
      <w:r w:rsidR="00554A1E">
        <w:rPr>
          <w:sz w:val="24"/>
          <w:szCs w:val="24"/>
          <w:lang w:val="fr-BE"/>
        </w:rPr>
        <w:t xml:space="preserve"> </w:t>
      </w:r>
    </w:p>
    <w:p w14:paraId="5E2CA9D3" w14:textId="77777777" w:rsidR="00F47185" w:rsidRDefault="00F47185" w:rsidP="00F47185">
      <w:pPr>
        <w:spacing w:line="360" w:lineRule="auto"/>
        <w:ind w:left="360" w:firstLine="360"/>
        <w:rPr>
          <w:sz w:val="24"/>
          <w:szCs w:val="24"/>
          <w:lang w:val="fr-BE"/>
        </w:rPr>
      </w:pPr>
    </w:p>
    <w:p w14:paraId="4F201BB4" w14:textId="4EF10164" w:rsidR="00BE0BAF" w:rsidRDefault="00F47185" w:rsidP="00855513">
      <w:pPr>
        <w:spacing w:line="360" w:lineRule="auto"/>
        <w:ind w:left="360" w:firstLine="360"/>
        <w:rPr>
          <w:sz w:val="24"/>
          <w:szCs w:val="24"/>
          <w:lang w:val="fr-BE"/>
        </w:rPr>
      </w:pPr>
      <w:r>
        <w:rPr>
          <w:sz w:val="24"/>
          <w:szCs w:val="24"/>
          <w:lang w:val="fr-BE"/>
        </w:rPr>
        <w:t>Dans les années 80’, l’intégration européenne en matière bancaire s’accélère suivant une nouvelle approche alliant une harmonisation minimale des standards prudentiel</w:t>
      </w:r>
      <w:r w:rsidR="00D046DC">
        <w:rPr>
          <w:sz w:val="24"/>
          <w:szCs w:val="24"/>
          <w:lang w:val="fr-BE"/>
        </w:rPr>
        <w:t>s, la reconnaissance mutuelle du</w:t>
      </w:r>
      <w:r>
        <w:rPr>
          <w:sz w:val="24"/>
          <w:szCs w:val="24"/>
          <w:lang w:val="fr-BE"/>
        </w:rPr>
        <w:t xml:space="preserve"> contrôle et des réglementations des autres Etats membres</w:t>
      </w:r>
      <w:r w:rsidR="00FE1BFE">
        <w:rPr>
          <w:sz w:val="24"/>
          <w:szCs w:val="24"/>
          <w:lang w:val="fr-BE"/>
        </w:rPr>
        <w:t>, et le contrôle du pays d’origine des établissements opérant dans d’autres Etats membres</w:t>
      </w:r>
      <w:r w:rsidR="00FE1BFE">
        <w:rPr>
          <w:rStyle w:val="FootnoteReference"/>
          <w:szCs w:val="24"/>
          <w:lang w:val="fr-BE"/>
        </w:rPr>
        <w:footnoteReference w:id="43"/>
      </w:r>
      <w:r w:rsidR="00FE1BFE">
        <w:rPr>
          <w:sz w:val="24"/>
          <w:szCs w:val="24"/>
          <w:lang w:val="fr-BE"/>
        </w:rPr>
        <w:t xml:space="preserve">. </w:t>
      </w:r>
      <w:r w:rsidR="00D046DC">
        <w:rPr>
          <w:sz w:val="24"/>
          <w:szCs w:val="24"/>
          <w:lang w:val="fr-BE"/>
        </w:rPr>
        <w:t xml:space="preserve"> Selon ce dernier principe, le contrôl</w:t>
      </w:r>
      <w:r w:rsidR="00073F36">
        <w:rPr>
          <w:sz w:val="24"/>
          <w:szCs w:val="24"/>
          <w:lang w:val="fr-BE"/>
        </w:rPr>
        <w:t>e d’une banque est confié</w:t>
      </w:r>
      <w:r w:rsidR="00D046DC">
        <w:rPr>
          <w:sz w:val="24"/>
          <w:szCs w:val="24"/>
          <w:lang w:val="fr-BE"/>
        </w:rPr>
        <w:t xml:space="preserve"> aux au</w:t>
      </w:r>
      <w:r w:rsidR="00C0261C">
        <w:rPr>
          <w:sz w:val="24"/>
          <w:szCs w:val="24"/>
          <w:lang w:val="fr-BE"/>
        </w:rPr>
        <w:t>torités compétentes de l’Etat où</w:t>
      </w:r>
      <w:r w:rsidR="00D046DC">
        <w:rPr>
          <w:sz w:val="24"/>
          <w:szCs w:val="24"/>
          <w:lang w:val="fr-BE"/>
        </w:rPr>
        <w:t xml:space="preserve"> l’établissement de crédit a été établi. </w:t>
      </w:r>
      <w:r w:rsidR="00FB41B3">
        <w:rPr>
          <w:sz w:val="24"/>
          <w:szCs w:val="24"/>
          <w:lang w:val="fr-BE"/>
        </w:rPr>
        <w:t xml:space="preserve">  Cette approche est traduite dans la seconde directive de coordination bancaire</w:t>
      </w:r>
      <w:r w:rsidR="00FB41B3">
        <w:rPr>
          <w:rStyle w:val="FootnoteReference"/>
          <w:szCs w:val="24"/>
          <w:lang w:val="fr-BE"/>
        </w:rPr>
        <w:footnoteReference w:id="44"/>
      </w:r>
      <w:r w:rsidR="00FB41B3">
        <w:rPr>
          <w:sz w:val="24"/>
          <w:szCs w:val="24"/>
          <w:lang w:val="fr-BE"/>
        </w:rPr>
        <w:t xml:space="preserve">. </w:t>
      </w:r>
      <w:r w:rsidR="00855513">
        <w:rPr>
          <w:sz w:val="24"/>
          <w:szCs w:val="24"/>
          <w:lang w:val="fr-BE"/>
        </w:rPr>
        <w:t xml:space="preserve">  </w:t>
      </w:r>
    </w:p>
    <w:p w14:paraId="1F348771" w14:textId="77777777" w:rsidR="00855513" w:rsidRDefault="00855513" w:rsidP="00855513">
      <w:pPr>
        <w:spacing w:line="360" w:lineRule="auto"/>
        <w:ind w:left="360" w:firstLine="360"/>
        <w:rPr>
          <w:sz w:val="24"/>
          <w:szCs w:val="24"/>
          <w:lang w:val="fr-BE"/>
        </w:rPr>
      </w:pPr>
    </w:p>
    <w:p w14:paraId="5E32AAAF" w14:textId="3CB04FA1" w:rsidR="00855513" w:rsidRDefault="00855513" w:rsidP="00855513">
      <w:pPr>
        <w:spacing w:line="360" w:lineRule="auto"/>
        <w:ind w:left="360" w:firstLine="360"/>
        <w:rPr>
          <w:sz w:val="24"/>
          <w:szCs w:val="24"/>
          <w:lang w:val="fr-BE"/>
        </w:rPr>
      </w:pPr>
      <w:r>
        <w:rPr>
          <w:sz w:val="24"/>
          <w:szCs w:val="24"/>
          <w:lang w:val="fr-BE"/>
        </w:rPr>
        <w:t>La fin des années 90’ sont marquée</w:t>
      </w:r>
      <w:r w:rsidR="00E62A44">
        <w:rPr>
          <w:sz w:val="24"/>
          <w:szCs w:val="24"/>
          <w:lang w:val="fr-BE"/>
        </w:rPr>
        <w:t>s</w:t>
      </w:r>
      <w:r>
        <w:rPr>
          <w:sz w:val="24"/>
          <w:szCs w:val="24"/>
          <w:lang w:val="fr-BE"/>
        </w:rPr>
        <w:t xml:space="preserve"> par un nouveau tournant pour l’intégration financière et bancaire européenne.  Afin de faire face aux nouveaux développements du marché et de permettre des adoptions législatives plus rapide, un comité des sage</w:t>
      </w:r>
      <w:r w:rsidR="00073F36">
        <w:rPr>
          <w:sz w:val="24"/>
          <w:szCs w:val="24"/>
          <w:lang w:val="fr-BE"/>
        </w:rPr>
        <w:t>s</w:t>
      </w:r>
      <w:r>
        <w:rPr>
          <w:sz w:val="24"/>
          <w:szCs w:val="24"/>
          <w:lang w:val="fr-BE"/>
        </w:rPr>
        <w:t xml:space="preserve"> présidé par le Baron Alexandre Lamfalussy et composé de banquiers centraux européens est établi. </w:t>
      </w:r>
      <w:r w:rsidR="00073F36">
        <w:rPr>
          <w:sz w:val="24"/>
          <w:szCs w:val="24"/>
          <w:lang w:val="fr-BE"/>
        </w:rPr>
        <w:t>Pour</w:t>
      </w:r>
      <w:r w:rsidR="00CD6C1F">
        <w:rPr>
          <w:sz w:val="24"/>
          <w:szCs w:val="24"/>
          <w:lang w:val="fr-BE"/>
        </w:rPr>
        <w:t xml:space="preserve"> remédier au problème de lenteur du processus législatif européen, le comité propose une approche en quatre étapes qui sera d’abord adopté</w:t>
      </w:r>
      <w:r w:rsidR="00073F36">
        <w:rPr>
          <w:sz w:val="24"/>
          <w:szCs w:val="24"/>
          <w:lang w:val="fr-BE"/>
        </w:rPr>
        <w:t>e</w:t>
      </w:r>
      <w:r w:rsidR="00CD6C1F">
        <w:rPr>
          <w:sz w:val="24"/>
          <w:szCs w:val="24"/>
          <w:lang w:val="fr-BE"/>
        </w:rPr>
        <w:t xml:space="preserve"> en matière de valeurs mobilières avant d’être introduite pour les questions bancaires.  La première étape de cette approche est constituée par l’adoption des directives et règlements suivant la procédure législative ordinaire.  Celle-ci doit se concentrer sur les éléments e</w:t>
      </w:r>
      <w:r w:rsidR="00E62A44">
        <w:rPr>
          <w:sz w:val="24"/>
          <w:szCs w:val="24"/>
          <w:lang w:val="fr-BE"/>
        </w:rPr>
        <w:t>ssentiels du texte.  En effet,</w:t>
      </w:r>
      <w:r w:rsidR="00CD6C1F">
        <w:rPr>
          <w:sz w:val="24"/>
          <w:szCs w:val="24"/>
          <w:lang w:val="fr-BE"/>
        </w:rPr>
        <w:t xml:space="preserve"> ces textes « cadres » </w:t>
      </w:r>
      <w:r w:rsidR="00E62A44">
        <w:rPr>
          <w:sz w:val="24"/>
          <w:szCs w:val="24"/>
          <w:lang w:val="fr-BE"/>
        </w:rPr>
        <w:t>sont complétées par d</w:t>
      </w:r>
      <w:r w:rsidR="00CD6C1F">
        <w:rPr>
          <w:sz w:val="24"/>
          <w:szCs w:val="24"/>
          <w:lang w:val="fr-BE"/>
        </w:rPr>
        <w:t xml:space="preserve">es mesures techniques </w:t>
      </w:r>
      <w:r w:rsidR="00E62A44">
        <w:rPr>
          <w:sz w:val="24"/>
          <w:szCs w:val="24"/>
          <w:lang w:val="fr-BE"/>
        </w:rPr>
        <w:t>à un deuxième niveau par</w:t>
      </w:r>
      <w:r w:rsidR="00CD6C1F">
        <w:rPr>
          <w:sz w:val="24"/>
          <w:szCs w:val="24"/>
          <w:lang w:val="fr-BE"/>
        </w:rPr>
        <w:t xml:space="preserve"> la Commission qui est aidée, pour ce faire, par un comité composé de représentant d’autorités de contrôle compétentes pour le domaine concerné.  En matière bancaire, il s’agit du comité bancaire européen.  Par ailleurs, à un troisième </w:t>
      </w:r>
      <w:r w:rsidR="00CD6C1F">
        <w:rPr>
          <w:sz w:val="24"/>
          <w:szCs w:val="24"/>
          <w:lang w:val="fr-BE"/>
        </w:rPr>
        <w:lastRenderedPageBreak/>
        <w:t>niveau, ce même comité va créer des li</w:t>
      </w:r>
      <w:r w:rsidR="001F7D61">
        <w:rPr>
          <w:sz w:val="24"/>
          <w:szCs w:val="24"/>
          <w:lang w:val="fr-BE"/>
        </w:rPr>
        <w:t>gnes de conduites et des recomma</w:t>
      </w:r>
      <w:r w:rsidR="00CD6C1F">
        <w:rPr>
          <w:sz w:val="24"/>
          <w:szCs w:val="24"/>
          <w:lang w:val="fr-BE"/>
        </w:rPr>
        <w:t>ndation</w:t>
      </w:r>
      <w:r w:rsidR="001F7D61">
        <w:rPr>
          <w:sz w:val="24"/>
          <w:szCs w:val="24"/>
          <w:lang w:val="fr-BE"/>
        </w:rPr>
        <w:t>s</w:t>
      </w:r>
      <w:r w:rsidR="00CD6C1F">
        <w:rPr>
          <w:sz w:val="24"/>
          <w:szCs w:val="24"/>
          <w:lang w:val="fr-BE"/>
        </w:rPr>
        <w:t xml:space="preserve"> pour s’assurer que les pratiques de contrôle soient harmonisées et cohérentes.  Enfin, le niveau 4 concerne le contrôle du respect de la législation européenne par les Etats membre, compétence qui est attribuée à la Commission européenne</w:t>
      </w:r>
      <w:r w:rsidR="00CD6C1F">
        <w:rPr>
          <w:rStyle w:val="FootnoteReference"/>
          <w:szCs w:val="24"/>
          <w:lang w:val="fr-BE"/>
        </w:rPr>
        <w:footnoteReference w:id="45"/>
      </w:r>
      <w:r w:rsidR="00CD6C1F">
        <w:rPr>
          <w:sz w:val="24"/>
          <w:szCs w:val="24"/>
          <w:lang w:val="fr-BE"/>
        </w:rPr>
        <w:t xml:space="preserve">. </w:t>
      </w:r>
    </w:p>
    <w:p w14:paraId="2227A52D" w14:textId="77777777" w:rsidR="00862AE1" w:rsidRDefault="00862AE1" w:rsidP="00855513">
      <w:pPr>
        <w:spacing w:line="360" w:lineRule="auto"/>
        <w:ind w:left="360" w:firstLine="360"/>
        <w:rPr>
          <w:sz w:val="24"/>
          <w:szCs w:val="24"/>
          <w:lang w:val="fr-BE"/>
        </w:rPr>
      </w:pPr>
    </w:p>
    <w:p w14:paraId="65F86E8C" w14:textId="4119F682" w:rsidR="00862AE1" w:rsidRDefault="001923C5" w:rsidP="001923C5">
      <w:pPr>
        <w:spacing w:line="360" w:lineRule="auto"/>
        <w:ind w:left="360" w:firstLine="360"/>
        <w:rPr>
          <w:sz w:val="24"/>
          <w:szCs w:val="24"/>
          <w:lang w:val="fr-BE"/>
        </w:rPr>
      </w:pPr>
      <w:r>
        <w:rPr>
          <w:sz w:val="24"/>
          <w:szCs w:val="24"/>
          <w:lang w:val="fr-BE"/>
        </w:rPr>
        <w:t>Les autorités de contrôle sont ainsi inclu</w:t>
      </w:r>
      <w:r w:rsidR="00E62A44">
        <w:rPr>
          <w:sz w:val="24"/>
          <w:szCs w:val="24"/>
          <w:lang w:val="fr-BE"/>
        </w:rPr>
        <w:t>e</w:t>
      </w:r>
      <w:r>
        <w:rPr>
          <w:sz w:val="24"/>
          <w:szCs w:val="24"/>
          <w:lang w:val="fr-BE"/>
        </w:rPr>
        <w:t xml:space="preserve">s au processus législatif européen tant en qualité de conseillers de la Commission que par les textes de </w:t>
      </w:r>
      <w:r w:rsidRPr="00C0261C">
        <w:rPr>
          <w:i/>
          <w:sz w:val="24"/>
          <w:szCs w:val="24"/>
          <w:lang w:val="fr-BE"/>
        </w:rPr>
        <w:t>soft law</w:t>
      </w:r>
      <w:r>
        <w:rPr>
          <w:sz w:val="24"/>
          <w:szCs w:val="24"/>
          <w:lang w:val="fr-BE"/>
        </w:rPr>
        <w:t xml:space="preserve"> adoptés en aval.  En 2007, lors d’une évaluation de la procédure Lamfalussy, la Commission</w:t>
      </w:r>
      <w:r w:rsidR="004E51A8">
        <w:rPr>
          <w:sz w:val="24"/>
          <w:szCs w:val="24"/>
          <w:lang w:val="fr-BE"/>
        </w:rPr>
        <w:t xml:space="preserve"> souhaite augmenter les pouvoirs du niveau trois, à savoir celui revenant au comité bancaire européen pour renforcer la standardisation des pratiques de contrôle</w:t>
      </w:r>
      <w:r w:rsidR="004E51A8">
        <w:rPr>
          <w:rStyle w:val="FootnoteReference"/>
          <w:szCs w:val="24"/>
          <w:lang w:val="fr-BE"/>
        </w:rPr>
        <w:footnoteReference w:id="46"/>
      </w:r>
      <w:r w:rsidR="004E51A8">
        <w:rPr>
          <w:sz w:val="24"/>
          <w:szCs w:val="24"/>
          <w:lang w:val="fr-BE"/>
        </w:rPr>
        <w:t xml:space="preserve">. </w:t>
      </w:r>
      <w:r>
        <w:rPr>
          <w:sz w:val="24"/>
          <w:szCs w:val="24"/>
          <w:lang w:val="fr-BE"/>
        </w:rPr>
        <w:t xml:space="preserve"> </w:t>
      </w:r>
    </w:p>
    <w:p w14:paraId="1D8DB910" w14:textId="77777777" w:rsidR="006574E8" w:rsidRDefault="006574E8" w:rsidP="00B41EBF">
      <w:pPr>
        <w:spacing w:line="360" w:lineRule="auto"/>
        <w:rPr>
          <w:sz w:val="24"/>
          <w:szCs w:val="24"/>
          <w:lang w:val="fr-BE"/>
        </w:rPr>
      </w:pPr>
    </w:p>
    <w:p w14:paraId="61016C1C" w14:textId="3742973B" w:rsidR="006574E8" w:rsidRDefault="00B41EBF" w:rsidP="004976E6">
      <w:pPr>
        <w:spacing w:line="360" w:lineRule="auto"/>
        <w:ind w:left="360" w:firstLine="360"/>
        <w:rPr>
          <w:sz w:val="24"/>
          <w:szCs w:val="24"/>
          <w:lang w:val="fr-BE"/>
        </w:rPr>
      </w:pPr>
      <w:r>
        <w:rPr>
          <w:sz w:val="24"/>
          <w:szCs w:val="24"/>
          <w:lang w:val="fr-BE"/>
        </w:rPr>
        <w:t xml:space="preserve">A la suite de la crise </w:t>
      </w:r>
      <w:r w:rsidR="00B95633">
        <w:rPr>
          <w:sz w:val="24"/>
          <w:szCs w:val="24"/>
          <w:lang w:val="fr-BE"/>
        </w:rPr>
        <w:t xml:space="preserve">de 2007-2009, la question de la surveillance bancaire et financière européenne fut de nouveau à l’ordre du jour et fit l’objet </w:t>
      </w:r>
      <w:r w:rsidR="00AD34E9">
        <w:rPr>
          <w:sz w:val="24"/>
          <w:szCs w:val="24"/>
          <w:lang w:val="fr-BE"/>
        </w:rPr>
        <w:t xml:space="preserve">d’un rapport : </w:t>
      </w:r>
      <w:r w:rsidR="00E62A44">
        <w:rPr>
          <w:sz w:val="24"/>
          <w:szCs w:val="24"/>
          <w:lang w:val="fr-BE"/>
        </w:rPr>
        <w:t>le</w:t>
      </w:r>
      <w:r w:rsidR="00AD34E9">
        <w:rPr>
          <w:sz w:val="24"/>
          <w:szCs w:val="24"/>
          <w:lang w:val="fr-BE"/>
        </w:rPr>
        <w:t xml:space="preserve"> rapport Larosière. </w:t>
      </w:r>
      <w:r w:rsidR="00E62A44">
        <w:rPr>
          <w:sz w:val="24"/>
          <w:szCs w:val="24"/>
          <w:lang w:val="fr-BE"/>
        </w:rPr>
        <w:t>U</w:t>
      </w:r>
      <w:r w:rsidR="00AD34E9">
        <w:rPr>
          <w:sz w:val="24"/>
          <w:szCs w:val="24"/>
          <w:lang w:val="fr-BE"/>
        </w:rPr>
        <w:t>n nouveau système européen de surveillance est établi en 2010</w:t>
      </w:r>
      <w:r w:rsidR="00E62A44">
        <w:rPr>
          <w:sz w:val="24"/>
          <w:szCs w:val="24"/>
          <w:lang w:val="fr-BE"/>
        </w:rPr>
        <w:t xml:space="preserve"> suivant ce dernier</w:t>
      </w:r>
      <w:r w:rsidR="00AD34E9">
        <w:rPr>
          <w:sz w:val="24"/>
          <w:szCs w:val="24"/>
          <w:lang w:val="fr-BE"/>
        </w:rPr>
        <w:t>.  Le comité bancaire européen reçoit des pouvoir</w:t>
      </w:r>
      <w:r w:rsidR="00E62A44">
        <w:rPr>
          <w:sz w:val="24"/>
          <w:szCs w:val="24"/>
          <w:lang w:val="fr-BE"/>
        </w:rPr>
        <w:t>s élargis</w:t>
      </w:r>
      <w:r w:rsidR="006949C1">
        <w:rPr>
          <w:sz w:val="24"/>
          <w:szCs w:val="24"/>
          <w:lang w:val="fr-BE"/>
        </w:rPr>
        <w:t xml:space="preserve"> et change de nom en devenant </w:t>
      </w:r>
      <w:r w:rsidR="00AD34E9">
        <w:rPr>
          <w:sz w:val="24"/>
          <w:szCs w:val="24"/>
          <w:lang w:val="fr-BE"/>
        </w:rPr>
        <w:t>l</w:t>
      </w:r>
      <w:r w:rsidR="006949C1">
        <w:rPr>
          <w:sz w:val="24"/>
          <w:szCs w:val="24"/>
          <w:lang w:val="fr-BE"/>
        </w:rPr>
        <w:t>’autorité bancaire européenne</w:t>
      </w:r>
      <w:r w:rsidR="00AD34E9">
        <w:rPr>
          <w:rStyle w:val="FootnoteReference"/>
          <w:szCs w:val="24"/>
          <w:lang w:val="fr-BE"/>
        </w:rPr>
        <w:footnoteReference w:id="47"/>
      </w:r>
      <w:r w:rsidR="00AD34E9">
        <w:rPr>
          <w:sz w:val="24"/>
          <w:szCs w:val="24"/>
          <w:lang w:val="fr-BE"/>
        </w:rPr>
        <w:t xml:space="preserve">. </w:t>
      </w:r>
      <w:r w:rsidR="004914BC">
        <w:rPr>
          <w:sz w:val="24"/>
          <w:szCs w:val="24"/>
          <w:lang w:val="fr-BE"/>
        </w:rPr>
        <w:t xml:space="preserve"> </w:t>
      </w:r>
      <w:r w:rsidR="006949C1">
        <w:rPr>
          <w:sz w:val="24"/>
          <w:szCs w:val="24"/>
          <w:lang w:val="fr-BE"/>
        </w:rPr>
        <w:t xml:space="preserve"> Cette autorité agit entre autres par le biais</w:t>
      </w:r>
      <w:r w:rsidR="004914BC">
        <w:rPr>
          <w:sz w:val="24"/>
          <w:szCs w:val="24"/>
          <w:lang w:val="fr-BE"/>
        </w:rPr>
        <w:t xml:space="preserve"> </w:t>
      </w:r>
      <w:r w:rsidR="006949C1">
        <w:rPr>
          <w:sz w:val="24"/>
          <w:szCs w:val="24"/>
          <w:lang w:val="fr-BE"/>
        </w:rPr>
        <w:t>d’</w:t>
      </w:r>
      <w:r w:rsidR="004914BC">
        <w:rPr>
          <w:sz w:val="24"/>
          <w:szCs w:val="24"/>
          <w:lang w:val="fr-BE"/>
        </w:rPr>
        <w:t xml:space="preserve">orientations et </w:t>
      </w:r>
      <w:r w:rsidR="006949C1">
        <w:rPr>
          <w:sz w:val="24"/>
          <w:szCs w:val="24"/>
          <w:lang w:val="fr-BE"/>
        </w:rPr>
        <w:t>de recommandations</w:t>
      </w:r>
      <w:r w:rsidR="004914BC">
        <w:rPr>
          <w:sz w:val="24"/>
          <w:szCs w:val="24"/>
          <w:lang w:val="fr-BE"/>
        </w:rPr>
        <w:t xml:space="preserve"> qui sont soumises au principes de</w:t>
      </w:r>
      <w:r w:rsidR="006949C1">
        <w:rPr>
          <w:sz w:val="24"/>
          <w:szCs w:val="24"/>
          <w:lang w:val="fr-BE"/>
        </w:rPr>
        <w:t> </w:t>
      </w:r>
      <w:r w:rsidR="004914BC">
        <w:rPr>
          <w:sz w:val="24"/>
          <w:szCs w:val="24"/>
          <w:lang w:val="fr-BE"/>
        </w:rPr>
        <w:t>« </w:t>
      </w:r>
      <w:proofErr w:type="spellStart"/>
      <w:r w:rsidR="004914BC" w:rsidRPr="006949C1">
        <w:rPr>
          <w:i/>
          <w:sz w:val="24"/>
          <w:szCs w:val="24"/>
          <w:lang w:val="fr-BE"/>
        </w:rPr>
        <w:t>comply</w:t>
      </w:r>
      <w:proofErr w:type="spellEnd"/>
      <w:r w:rsidR="004914BC" w:rsidRPr="006949C1">
        <w:rPr>
          <w:i/>
          <w:sz w:val="24"/>
          <w:szCs w:val="24"/>
          <w:lang w:val="fr-BE"/>
        </w:rPr>
        <w:t xml:space="preserve"> or explain</w:t>
      </w:r>
      <w:r w:rsidR="004914BC">
        <w:rPr>
          <w:sz w:val="24"/>
          <w:szCs w:val="24"/>
          <w:lang w:val="fr-BE"/>
        </w:rPr>
        <w:t xml:space="preserve"> », ce qui </w:t>
      </w:r>
      <w:r w:rsidR="00E62A44">
        <w:rPr>
          <w:sz w:val="24"/>
          <w:szCs w:val="24"/>
          <w:lang w:val="fr-BE"/>
        </w:rPr>
        <w:t>oblige les autorités à motiver</w:t>
      </w:r>
      <w:r w:rsidR="004914BC">
        <w:rPr>
          <w:sz w:val="24"/>
          <w:szCs w:val="24"/>
          <w:lang w:val="fr-BE"/>
        </w:rPr>
        <w:t xml:space="preserve"> une déviation à celle-ci</w:t>
      </w:r>
      <w:r w:rsidR="004914BC">
        <w:rPr>
          <w:rStyle w:val="FootnoteReference"/>
          <w:szCs w:val="24"/>
          <w:lang w:val="fr-BE"/>
        </w:rPr>
        <w:footnoteReference w:id="48"/>
      </w:r>
      <w:r w:rsidR="004914BC">
        <w:rPr>
          <w:sz w:val="24"/>
          <w:szCs w:val="24"/>
          <w:lang w:val="fr-BE"/>
        </w:rPr>
        <w:t xml:space="preserve">. </w:t>
      </w:r>
      <w:r w:rsidR="00C85D66">
        <w:rPr>
          <w:sz w:val="24"/>
          <w:szCs w:val="24"/>
          <w:lang w:val="fr-BE"/>
        </w:rPr>
        <w:t xml:space="preserve"> En d’autre termes, il y a une </w:t>
      </w:r>
      <w:r w:rsidR="00E62A44">
        <w:rPr>
          <w:sz w:val="24"/>
          <w:szCs w:val="24"/>
          <w:lang w:val="fr-BE"/>
        </w:rPr>
        <w:t>exigence implicite</w:t>
      </w:r>
      <w:r w:rsidR="00C85D66">
        <w:rPr>
          <w:sz w:val="24"/>
          <w:szCs w:val="24"/>
          <w:lang w:val="fr-BE"/>
        </w:rPr>
        <w:t xml:space="preserve"> de respect de ces textes dit de « </w:t>
      </w:r>
      <w:r w:rsidR="00C85D66" w:rsidRPr="004976E6">
        <w:rPr>
          <w:i/>
          <w:sz w:val="24"/>
          <w:szCs w:val="24"/>
          <w:lang w:val="fr-BE"/>
        </w:rPr>
        <w:t>soft law </w:t>
      </w:r>
      <w:r w:rsidR="00E62A44">
        <w:rPr>
          <w:sz w:val="24"/>
          <w:szCs w:val="24"/>
          <w:lang w:val="fr-BE"/>
        </w:rPr>
        <w:t>» sauf justification spécifique</w:t>
      </w:r>
      <w:r w:rsidR="00C85D66">
        <w:rPr>
          <w:sz w:val="24"/>
          <w:szCs w:val="24"/>
          <w:lang w:val="fr-BE"/>
        </w:rPr>
        <w:t xml:space="preserve">.  Les textes adoptés dans ce cadre sont importants et concernent des matières diversifiées comme la gouvernance interne des établissements de crédit, la rémunération des dirigeants ou encore </w:t>
      </w:r>
      <w:r w:rsidR="004976E6">
        <w:rPr>
          <w:sz w:val="24"/>
          <w:szCs w:val="24"/>
          <w:lang w:val="fr-BE"/>
        </w:rPr>
        <w:t>la coopération et l’échange d’information en matière de blanchiment d’argent</w:t>
      </w:r>
      <w:r w:rsidR="004976E6">
        <w:rPr>
          <w:rStyle w:val="FootnoteReference"/>
          <w:szCs w:val="24"/>
          <w:lang w:val="fr-BE"/>
        </w:rPr>
        <w:footnoteReference w:id="49"/>
      </w:r>
      <w:r w:rsidR="004976E6">
        <w:rPr>
          <w:sz w:val="24"/>
          <w:szCs w:val="24"/>
          <w:lang w:val="fr-BE"/>
        </w:rPr>
        <w:t xml:space="preserve">. </w:t>
      </w:r>
    </w:p>
    <w:p w14:paraId="3A24A732" w14:textId="2B2F0328" w:rsidR="002B09C0" w:rsidRDefault="002B09C0" w:rsidP="004976E6">
      <w:pPr>
        <w:spacing w:line="360" w:lineRule="auto"/>
        <w:ind w:left="360" w:firstLine="360"/>
        <w:rPr>
          <w:sz w:val="24"/>
          <w:szCs w:val="24"/>
          <w:lang w:val="fr-BE"/>
        </w:rPr>
      </w:pPr>
    </w:p>
    <w:p w14:paraId="4598CEC7" w14:textId="0715FD57" w:rsidR="002B09C0" w:rsidRDefault="00C23152" w:rsidP="004976E6">
      <w:pPr>
        <w:spacing w:line="360" w:lineRule="auto"/>
        <w:ind w:left="360" w:firstLine="360"/>
        <w:rPr>
          <w:sz w:val="24"/>
          <w:szCs w:val="24"/>
          <w:lang w:val="fr-BE"/>
        </w:rPr>
      </w:pPr>
      <w:r>
        <w:rPr>
          <w:sz w:val="24"/>
          <w:szCs w:val="24"/>
          <w:lang w:val="fr-BE"/>
        </w:rPr>
        <w:lastRenderedPageBreak/>
        <w:t xml:space="preserve">Cette </w:t>
      </w:r>
      <w:r w:rsidR="006949C1">
        <w:rPr>
          <w:sz w:val="24"/>
          <w:szCs w:val="24"/>
          <w:lang w:val="fr-BE"/>
        </w:rPr>
        <w:t>assise</w:t>
      </w:r>
      <w:r>
        <w:rPr>
          <w:sz w:val="24"/>
          <w:szCs w:val="24"/>
          <w:lang w:val="fr-BE"/>
        </w:rPr>
        <w:t xml:space="preserve"> des sources de « </w:t>
      </w:r>
      <w:r w:rsidRPr="00C23152">
        <w:rPr>
          <w:i/>
          <w:sz w:val="24"/>
          <w:szCs w:val="24"/>
          <w:lang w:val="fr-BE"/>
        </w:rPr>
        <w:t xml:space="preserve">soft </w:t>
      </w:r>
      <w:proofErr w:type="spellStart"/>
      <w:r w:rsidRPr="00C23152">
        <w:rPr>
          <w:i/>
          <w:sz w:val="24"/>
          <w:szCs w:val="24"/>
          <w:lang w:val="fr-BE"/>
        </w:rPr>
        <w:t>law</w:t>
      </w:r>
      <w:proofErr w:type="spellEnd"/>
      <w:r>
        <w:rPr>
          <w:i/>
          <w:sz w:val="24"/>
          <w:szCs w:val="24"/>
          <w:lang w:val="fr-BE"/>
        </w:rPr>
        <w:t> »</w:t>
      </w:r>
      <w:r>
        <w:rPr>
          <w:sz w:val="24"/>
          <w:szCs w:val="24"/>
          <w:lang w:val="fr-BE"/>
        </w:rPr>
        <w:t xml:space="preserve"> </w:t>
      </w:r>
      <w:r w:rsidR="00CC534A">
        <w:rPr>
          <w:sz w:val="24"/>
          <w:szCs w:val="24"/>
          <w:lang w:val="fr-BE"/>
        </w:rPr>
        <w:t>continue</w:t>
      </w:r>
      <w:r>
        <w:rPr>
          <w:sz w:val="24"/>
          <w:szCs w:val="24"/>
          <w:lang w:val="fr-BE"/>
        </w:rPr>
        <w:t xml:space="preserve"> en avec la création de l’Union bancaire par laquelle </w:t>
      </w:r>
      <w:r w:rsidR="00CC534A">
        <w:rPr>
          <w:sz w:val="24"/>
          <w:szCs w:val="24"/>
          <w:lang w:val="fr-BE"/>
        </w:rPr>
        <w:t xml:space="preserve">la Banque centrale européenne reçoit </w:t>
      </w:r>
      <w:r w:rsidR="00606050">
        <w:rPr>
          <w:sz w:val="24"/>
          <w:szCs w:val="24"/>
          <w:lang w:val="fr-BE"/>
        </w:rPr>
        <w:t xml:space="preserve"> à partir de 2014 </w:t>
      </w:r>
      <w:r w:rsidR="00CC534A">
        <w:rPr>
          <w:sz w:val="24"/>
          <w:szCs w:val="24"/>
          <w:lang w:val="fr-BE"/>
        </w:rPr>
        <w:t xml:space="preserve">des compétences en matière de supervision bancaire pour la zone Euro.  </w:t>
      </w:r>
      <w:r w:rsidR="00D56C65">
        <w:rPr>
          <w:sz w:val="24"/>
          <w:szCs w:val="24"/>
          <w:lang w:val="fr-BE"/>
        </w:rPr>
        <w:t>D’une part, l’autorité bancaire européenne continue de publier des orientation</w:t>
      </w:r>
      <w:r w:rsidR="0083546E">
        <w:rPr>
          <w:sz w:val="24"/>
          <w:szCs w:val="24"/>
          <w:lang w:val="fr-BE"/>
        </w:rPr>
        <w:t>s</w:t>
      </w:r>
      <w:r w:rsidR="00D56C65">
        <w:rPr>
          <w:sz w:val="24"/>
          <w:szCs w:val="24"/>
          <w:lang w:val="fr-BE"/>
        </w:rPr>
        <w:t xml:space="preserve"> pour toute l’Union européenne et, d’autre part, la Banque centrale européenne prend e</w:t>
      </w:r>
      <w:r w:rsidR="0083546E">
        <w:rPr>
          <w:sz w:val="24"/>
          <w:szCs w:val="24"/>
          <w:lang w:val="fr-BE"/>
        </w:rPr>
        <w:t>lle-même position sur des</w:t>
      </w:r>
      <w:r w:rsidR="00D56C65">
        <w:rPr>
          <w:sz w:val="24"/>
          <w:szCs w:val="24"/>
          <w:lang w:val="fr-BE"/>
        </w:rPr>
        <w:t xml:space="preserve"> prudentiels </w:t>
      </w:r>
      <w:r w:rsidR="0083546E">
        <w:rPr>
          <w:sz w:val="24"/>
          <w:szCs w:val="24"/>
          <w:lang w:val="fr-BE"/>
        </w:rPr>
        <w:t>dans</w:t>
      </w:r>
      <w:r w:rsidR="00D56C65">
        <w:rPr>
          <w:sz w:val="24"/>
          <w:szCs w:val="24"/>
          <w:lang w:val="fr-BE"/>
        </w:rPr>
        <w:t xml:space="preserve"> ses publications</w:t>
      </w:r>
      <w:r w:rsidR="0083546E">
        <w:rPr>
          <w:sz w:val="24"/>
          <w:szCs w:val="24"/>
          <w:lang w:val="fr-BE"/>
        </w:rPr>
        <w:t xml:space="preserve"> et guides en la matière</w:t>
      </w:r>
      <w:r w:rsidR="00A972B0">
        <w:rPr>
          <w:rStyle w:val="FootnoteReference"/>
          <w:szCs w:val="24"/>
          <w:lang w:val="fr-BE"/>
        </w:rPr>
        <w:footnoteReference w:id="50"/>
      </w:r>
      <w:r w:rsidR="00D56C65">
        <w:rPr>
          <w:sz w:val="24"/>
          <w:szCs w:val="24"/>
          <w:lang w:val="fr-BE"/>
        </w:rPr>
        <w:t xml:space="preserve">. </w:t>
      </w:r>
    </w:p>
    <w:p w14:paraId="4C8A56FB" w14:textId="77777777" w:rsidR="009C395C" w:rsidRPr="009C395C" w:rsidRDefault="009C395C" w:rsidP="009C395C">
      <w:pPr>
        <w:spacing w:line="360" w:lineRule="auto"/>
        <w:ind w:left="360"/>
        <w:rPr>
          <w:sz w:val="24"/>
          <w:szCs w:val="24"/>
          <w:lang w:val="fr-BE"/>
        </w:rPr>
      </w:pPr>
    </w:p>
    <w:p w14:paraId="18881E26" w14:textId="4EE69989" w:rsidR="008802A6" w:rsidRPr="004976E6" w:rsidRDefault="008802A6" w:rsidP="008802A6">
      <w:pPr>
        <w:spacing w:line="360" w:lineRule="auto"/>
        <w:rPr>
          <w:b/>
          <w:sz w:val="24"/>
          <w:szCs w:val="24"/>
          <w:lang w:val="fr-BE"/>
        </w:rPr>
      </w:pPr>
      <w:r w:rsidRPr="004976E6">
        <w:rPr>
          <w:b/>
          <w:sz w:val="24"/>
          <w:szCs w:val="24"/>
          <w:lang w:val="fr-BE"/>
        </w:rPr>
        <w:t>Section 3. Comprendre et conceptualiser le système actuel</w:t>
      </w:r>
    </w:p>
    <w:p w14:paraId="5E0EF96F" w14:textId="77777777" w:rsidR="00D2246F" w:rsidRDefault="00D2246F" w:rsidP="008802A6">
      <w:pPr>
        <w:spacing w:line="360" w:lineRule="auto"/>
        <w:rPr>
          <w:sz w:val="24"/>
          <w:szCs w:val="24"/>
          <w:lang w:val="fr-BE"/>
        </w:rPr>
      </w:pPr>
    </w:p>
    <w:p w14:paraId="4754F312" w14:textId="5525E3C3" w:rsidR="00AF25C9" w:rsidRDefault="001F7D61" w:rsidP="00A972B0">
      <w:pPr>
        <w:spacing w:line="360" w:lineRule="auto"/>
        <w:rPr>
          <w:sz w:val="24"/>
          <w:szCs w:val="24"/>
          <w:lang w:val="fr-BE"/>
        </w:rPr>
      </w:pPr>
      <w:r>
        <w:rPr>
          <w:sz w:val="24"/>
          <w:szCs w:val="24"/>
          <w:lang w:val="fr-BE"/>
        </w:rPr>
        <w:tab/>
        <w:t>Tant à l’échelle nationale qu’</w:t>
      </w:r>
      <w:r w:rsidR="00D2246F">
        <w:rPr>
          <w:sz w:val="24"/>
          <w:szCs w:val="24"/>
          <w:lang w:val="fr-BE"/>
        </w:rPr>
        <w:t xml:space="preserve">internationale, </w:t>
      </w:r>
      <w:r w:rsidR="00E62A44">
        <w:rPr>
          <w:sz w:val="24"/>
          <w:szCs w:val="24"/>
          <w:lang w:val="fr-BE"/>
        </w:rPr>
        <w:t>les autorités de contrôle bancaire ont été amené</w:t>
      </w:r>
      <w:r>
        <w:rPr>
          <w:sz w:val="24"/>
          <w:szCs w:val="24"/>
          <w:lang w:val="fr-BE"/>
        </w:rPr>
        <w:t>es</w:t>
      </w:r>
      <w:r w:rsidR="00E62A44">
        <w:rPr>
          <w:sz w:val="24"/>
          <w:szCs w:val="24"/>
          <w:lang w:val="fr-BE"/>
        </w:rPr>
        <w:t xml:space="preserve"> via divers comités à créer des standards.  Ces innovations normatives interrogent sur la manière de saisir ces textes de soft law.</w:t>
      </w:r>
      <w:r w:rsidR="00D2246F">
        <w:rPr>
          <w:sz w:val="24"/>
          <w:szCs w:val="24"/>
          <w:lang w:val="fr-BE"/>
        </w:rPr>
        <w:t xml:space="preserve">  A priori, on pourrait les comprendre dans </w:t>
      </w:r>
      <w:r w:rsidR="00C0261C">
        <w:rPr>
          <w:sz w:val="24"/>
          <w:szCs w:val="24"/>
          <w:lang w:val="fr-BE"/>
        </w:rPr>
        <w:t xml:space="preserve">le cadre </w:t>
      </w:r>
      <w:r w:rsidR="006949C1">
        <w:rPr>
          <w:sz w:val="24"/>
          <w:szCs w:val="24"/>
          <w:lang w:val="fr-BE"/>
        </w:rPr>
        <w:t xml:space="preserve">de </w:t>
      </w:r>
      <w:r w:rsidR="00C0261C">
        <w:rPr>
          <w:sz w:val="24"/>
          <w:szCs w:val="24"/>
          <w:lang w:val="fr-BE"/>
        </w:rPr>
        <w:t>la pyramide des normes</w:t>
      </w:r>
      <w:r w:rsidR="00E62A44">
        <w:rPr>
          <w:sz w:val="24"/>
          <w:szCs w:val="24"/>
          <w:lang w:val="fr-BE"/>
        </w:rPr>
        <w:t xml:space="preserve"> et</w:t>
      </w:r>
      <w:r w:rsidR="00C0261C">
        <w:rPr>
          <w:sz w:val="24"/>
          <w:szCs w:val="24"/>
          <w:lang w:val="fr-BE"/>
        </w:rPr>
        <w:t>,</w:t>
      </w:r>
      <w:r w:rsidR="00E62A44">
        <w:rPr>
          <w:sz w:val="24"/>
          <w:szCs w:val="24"/>
          <w:lang w:val="fr-BE"/>
        </w:rPr>
        <w:t xml:space="preserve"> </w:t>
      </w:r>
      <w:r w:rsidR="00C0261C">
        <w:rPr>
          <w:sz w:val="24"/>
          <w:szCs w:val="24"/>
          <w:lang w:val="fr-BE"/>
        </w:rPr>
        <w:t>partant</w:t>
      </w:r>
      <w:r w:rsidR="00E62A44">
        <w:rPr>
          <w:sz w:val="24"/>
          <w:szCs w:val="24"/>
          <w:lang w:val="fr-BE"/>
        </w:rPr>
        <w:t xml:space="preserve">, avoir tendance </w:t>
      </w:r>
      <w:r w:rsidR="00AB14F9">
        <w:rPr>
          <w:sz w:val="24"/>
          <w:szCs w:val="24"/>
          <w:lang w:val="fr-BE"/>
        </w:rPr>
        <w:t xml:space="preserve">à les placer au bas de l’échelle et </w:t>
      </w:r>
      <w:r w:rsidR="00E62A44">
        <w:rPr>
          <w:sz w:val="24"/>
          <w:szCs w:val="24"/>
          <w:lang w:val="fr-BE"/>
        </w:rPr>
        <w:t>à minimiser leur importance  au regard de leur absence de force juridiquement contraignante.</w:t>
      </w:r>
      <w:r w:rsidR="00AB14F9">
        <w:rPr>
          <w:sz w:val="24"/>
          <w:szCs w:val="24"/>
          <w:lang w:val="fr-BE"/>
        </w:rPr>
        <w:t xml:space="preserve"> </w:t>
      </w:r>
      <w:r w:rsidR="00E62A44">
        <w:rPr>
          <w:sz w:val="24"/>
          <w:szCs w:val="24"/>
          <w:lang w:val="fr-BE"/>
        </w:rPr>
        <w:t xml:space="preserve">  </w:t>
      </w:r>
      <w:r w:rsidR="00D2246F" w:rsidRPr="00D2246F">
        <w:rPr>
          <w:sz w:val="24"/>
          <w:szCs w:val="24"/>
          <w:lang w:val="fr-BE"/>
        </w:rPr>
        <w:t xml:space="preserve">Si une telle compréhension </w:t>
      </w:r>
      <w:r w:rsidR="00E62A44">
        <w:rPr>
          <w:sz w:val="24"/>
          <w:szCs w:val="24"/>
          <w:lang w:val="fr-BE"/>
        </w:rPr>
        <w:t>est formellement défendable</w:t>
      </w:r>
      <w:r w:rsidR="00D2246F">
        <w:rPr>
          <w:sz w:val="24"/>
          <w:szCs w:val="24"/>
          <w:lang w:val="fr-BE"/>
        </w:rPr>
        <w:t xml:space="preserve">, </w:t>
      </w:r>
      <w:r w:rsidR="0083546E">
        <w:rPr>
          <w:sz w:val="24"/>
          <w:szCs w:val="24"/>
          <w:lang w:val="fr-BE"/>
        </w:rPr>
        <w:t>cette</w:t>
      </w:r>
      <w:r w:rsidR="00E62A44">
        <w:rPr>
          <w:sz w:val="24"/>
          <w:szCs w:val="24"/>
          <w:lang w:val="fr-BE"/>
        </w:rPr>
        <w:t xml:space="preserve"> approche </w:t>
      </w:r>
      <w:r w:rsidR="00D2246F">
        <w:rPr>
          <w:sz w:val="24"/>
          <w:szCs w:val="24"/>
          <w:lang w:val="fr-BE"/>
        </w:rPr>
        <w:t xml:space="preserve">risque </w:t>
      </w:r>
      <w:r w:rsidR="00E62A44">
        <w:rPr>
          <w:sz w:val="24"/>
          <w:szCs w:val="24"/>
          <w:lang w:val="fr-BE"/>
        </w:rPr>
        <w:t xml:space="preserve">cependant </w:t>
      </w:r>
      <w:r w:rsidR="00D2246F">
        <w:rPr>
          <w:sz w:val="24"/>
          <w:szCs w:val="24"/>
          <w:lang w:val="fr-BE"/>
        </w:rPr>
        <w:t xml:space="preserve">bien de ne pas refléter l’importance pratique des textes de </w:t>
      </w:r>
      <w:r w:rsidR="00D2246F" w:rsidRPr="00D2246F">
        <w:rPr>
          <w:i/>
          <w:sz w:val="24"/>
          <w:szCs w:val="24"/>
          <w:lang w:val="fr-BE"/>
        </w:rPr>
        <w:t>soft law</w:t>
      </w:r>
      <w:r w:rsidR="00D2246F">
        <w:rPr>
          <w:sz w:val="24"/>
          <w:szCs w:val="24"/>
          <w:lang w:val="fr-BE"/>
        </w:rPr>
        <w:t xml:space="preserve">.  En effet, d’une part (i) ces textes viennent déterminer des éléments fondamentaux de </w:t>
      </w:r>
      <w:r w:rsidR="00C0261C">
        <w:rPr>
          <w:sz w:val="24"/>
          <w:szCs w:val="24"/>
          <w:lang w:val="fr-BE"/>
        </w:rPr>
        <w:t>la règlementation</w:t>
      </w:r>
      <w:r w:rsidR="00AF25C9">
        <w:rPr>
          <w:sz w:val="24"/>
          <w:szCs w:val="24"/>
          <w:lang w:val="fr-BE"/>
        </w:rPr>
        <w:t>, et, d’autre</w:t>
      </w:r>
      <w:r w:rsidR="00D2246F">
        <w:rPr>
          <w:sz w:val="24"/>
          <w:szCs w:val="24"/>
          <w:lang w:val="fr-BE"/>
        </w:rPr>
        <w:t xml:space="preserve"> part (ii) ces standards sont essentiels de part </w:t>
      </w:r>
      <w:r w:rsidR="00AF25C9">
        <w:rPr>
          <w:sz w:val="24"/>
          <w:szCs w:val="24"/>
          <w:lang w:val="fr-BE"/>
        </w:rPr>
        <w:t>l’utilisation qui en est faite</w:t>
      </w:r>
      <w:r w:rsidR="00D2246F">
        <w:rPr>
          <w:sz w:val="24"/>
          <w:szCs w:val="24"/>
          <w:lang w:val="fr-BE"/>
        </w:rPr>
        <w:t xml:space="preserve">. </w:t>
      </w:r>
    </w:p>
    <w:p w14:paraId="04DB582F" w14:textId="77777777" w:rsidR="00D2246F" w:rsidRDefault="00D2246F" w:rsidP="00D2246F">
      <w:pPr>
        <w:spacing w:line="360" w:lineRule="auto"/>
        <w:ind w:left="360" w:firstLine="360"/>
        <w:rPr>
          <w:sz w:val="24"/>
          <w:szCs w:val="24"/>
          <w:lang w:val="fr-BE"/>
        </w:rPr>
      </w:pPr>
    </w:p>
    <w:p w14:paraId="5E1D485A" w14:textId="77777777" w:rsidR="006E61A5" w:rsidRDefault="00D2246F" w:rsidP="00D2246F">
      <w:pPr>
        <w:pStyle w:val="ListParagraph"/>
        <w:numPr>
          <w:ilvl w:val="0"/>
          <w:numId w:val="19"/>
        </w:numPr>
        <w:spacing w:line="360" w:lineRule="auto"/>
        <w:rPr>
          <w:sz w:val="24"/>
          <w:szCs w:val="24"/>
          <w:lang w:val="fr-BE"/>
        </w:rPr>
      </w:pPr>
      <w:r w:rsidRPr="00D2246F">
        <w:rPr>
          <w:sz w:val="24"/>
          <w:szCs w:val="24"/>
          <w:lang w:val="fr-BE"/>
        </w:rPr>
        <w:t>Des textes fondamentaux</w:t>
      </w:r>
      <w:r>
        <w:rPr>
          <w:sz w:val="24"/>
          <w:szCs w:val="24"/>
          <w:lang w:val="fr-BE"/>
        </w:rPr>
        <w:t xml:space="preserve"> d’un point de vue matériel</w:t>
      </w:r>
    </w:p>
    <w:p w14:paraId="1B78F2F5" w14:textId="77777777" w:rsidR="006E61A5" w:rsidRDefault="006E61A5" w:rsidP="006E61A5">
      <w:pPr>
        <w:pStyle w:val="ListParagraph"/>
        <w:spacing w:line="360" w:lineRule="auto"/>
        <w:ind w:left="1440"/>
        <w:rPr>
          <w:sz w:val="24"/>
          <w:szCs w:val="24"/>
          <w:lang w:val="fr-BE"/>
        </w:rPr>
      </w:pPr>
    </w:p>
    <w:p w14:paraId="585A1E2E" w14:textId="060EB07B" w:rsidR="00DC7E52" w:rsidRDefault="000D3CA2" w:rsidP="00DC7E52">
      <w:pPr>
        <w:pStyle w:val="ListParagraph"/>
        <w:spacing w:line="360" w:lineRule="auto"/>
        <w:ind w:left="1440"/>
        <w:rPr>
          <w:sz w:val="24"/>
          <w:szCs w:val="24"/>
          <w:lang w:val="fr-BE"/>
        </w:rPr>
      </w:pPr>
      <w:r>
        <w:rPr>
          <w:sz w:val="24"/>
          <w:szCs w:val="24"/>
          <w:lang w:val="fr-BE"/>
        </w:rPr>
        <w:t xml:space="preserve">Ces normes dites de </w:t>
      </w:r>
      <w:r w:rsidRPr="00AF25C9">
        <w:rPr>
          <w:i/>
          <w:sz w:val="24"/>
          <w:szCs w:val="24"/>
          <w:lang w:val="fr-BE"/>
        </w:rPr>
        <w:t>soft law</w:t>
      </w:r>
      <w:r>
        <w:rPr>
          <w:sz w:val="24"/>
          <w:szCs w:val="24"/>
          <w:lang w:val="fr-BE"/>
        </w:rPr>
        <w:t xml:space="preserve"> ne doivent certainement </w:t>
      </w:r>
      <w:r w:rsidR="006949C1">
        <w:rPr>
          <w:sz w:val="24"/>
          <w:szCs w:val="24"/>
          <w:lang w:val="fr-BE"/>
        </w:rPr>
        <w:t xml:space="preserve">pas </w:t>
      </w:r>
      <w:r>
        <w:rPr>
          <w:sz w:val="24"/>
          <w:szCs w:val="24"/>
          <w:lang w:val="fr-BE"/>
        </w:rPr>
        <w:t>être négligée</w:t>
      </w:r>
      <w:r w:rsidR="00383467">
        <w:rPr>
          <w:sz w:val="24"/>
          <w:szCs w:val="24"/>
          <w:lang w:val="fr-BE"/>
        </w:rPr>
        <w:t>s</w:t>
      </w:r>
      <w:r>
        <w:rPr>
          <w:sz w:val="24"/>
          <w:szCs w:val="24"/>
          <w:lang w:val="fr-BE"/>
        </w:rPr>
        <w:t xml:space="preserve"> au regard de leur contenu</w:t>
      </w:r>
      <w:r w:rsidR="00DC7E52">
        <w:rPr>
          <w:sz w:val="24"/>
          <w:szCs w:val="24"/>
          <w:lang w:val="fr-BE"/>
        </w:rPr>
        <w:t xml:space="preserve"> qui peut s’avérer </w:t>
      </w:r>
      <w:r w:rsidR="00DC7E52" w:rsidRPr="00DC7E52">
        <w:rPr>
          <w:i/>
          <w:sz w:val="24"/>
          <w:szCs w:val="24"/>
          <w:lang w:val="fr-BE"/>
        </w:rPr>
        <w:t>per se</w:t>
      </w:r>
      <w:r w:rsidR="00DC7E52">
        <w:rPr>
          <w:sz w:val="24"/>
          <w:szCs w:val="24"/>
          <w:lang w:val="fr-BE"/>
        </w:rPr>
        <w:t xml:space="preserve"> fondamental ou essentiel à la mise en œuvre des règles de droit classiques</w:t>
      </w:r>
      <w:r>
        <w:rPr>
          <w:sz w:val="24"/>
          <w:szCs w:val="24"/>
          <w:lang w:val="fr-BE"/>
        </w:rPr>
        <w:t xml:space="preserve">. </w:t>
      </w:r>
    </w:p>
    <w:p w14:paraId="2B8E62AF" w14:textId="77777777" w:rsidR="00DC7E52" w:rsidRDefault="00DC7E52" w:rsidP="00DC7E52">
      <w:pPr>
        <w:pStyle w:val="ListParagraph"/>
        <w:spacing w:line="360" w:lineRule="auto"/>
        <w:ind w:left="1440"/>
        <w:rPr>
          <w:sz w:val="24"/>
          <w:szCs w:val="24"/>
          <w:lang w:val="fr-BE"/>
        </w:rPr>
      </w:pPr>
    </w:p>
    <w:p w14:paraId="6383B655" w14:textId="5BB5DD90" w:rsidR="00DC7E52" w:rsidRDefault="00DA59AA" w:rsidP="00DC7E52">
      <w:pPr>
        <w:pStyle w:val="ListParagraph"/>
        <w:spacing w:line="360" w:lineRule="auto"/>
        <w:ind w:left="1440" w:firstLine="360"/>
        <w:rPr>
          <w:sz w:val="24"/>
          <w:szCs w:val="24"/>
          <w:lang w:val="fr-BE"/>
        </w:rPr>
      </w:pPr>
      <w:r w:rsidRPr="005660F6">
        <w:rPr>
          <w:sz w:val="24"/>
          <w:szCs w:val="24"/>
          <w:lang w:val="fr-BE"/>
        </w:rPr>
        <w:t xml:space="preserve">Les questions traitées par les normes </w:t>
      </w:r>
      <w:r w:rsidR="00A972F7" w:rsidRPr="005660F6">
        <w:rPr>
          <w:sz w:val="24"/>
          <w:szCs w:val="24"/>
          <w:lang w:val="fr-BE"/>
        </w:rPr>
        <w:t>souples peuvent</w:t>
      </w:r>
      <w:r w:rsidR="00394D94" w:rsidRPr="005660F6">
        <w:rPr>
          <w:sz w:val="24"/>
          <w:szCs w:val="24"/>
          <w:lang w:val="fr-BE"/>
        </w:rPr>
        <w:t xml:space="preserve"> en effet</w:t>
      </w:r>
      <w:r w:rsidRPr="005660F6">
        <w:rPr>
          <w:sz w:val="24"/>
          <w:szCs w:val="24"/>
          <w:lang w:val="fr-BE"/>
        </w:rPr>
        <w:t xml:space="preserve"> s’avérer quelque</w:t>
      </w:r>
      <w:r w:rsidR="002E0041">
        <w:rPr>
          <w:sz w:val="24"/>
          <w:szCs w:val="24"/>
          <w:lang w:val="fr-BE"/>
        </w:rPr>
        <w:t>s</w:t>
      </w:r>
      <w:r w:rsidRPr="005660F6">
        <w:rPr>
          <w:sz w:val="24"/>
          <w:szCs w:val="24"/>
          <w:lang w:val="fr-BE"/>
        </w:rPr>
        <w:t xml:space="preserve"> fois fondamentales.  Nous penserons à ce titre au </w:t>
      </w:r>
      <w:r w:rsidR="005660F6" w:rsidRPr="005660F6">
        <w:rPr>
          <w:sz w:val="24"/>
          <w:szCs w:val="24"/>
          <w:lang w:val="fr-BE"/>
        </w:rPr>
        <w:t xml:space="preserve">concordat qui visait à organiser les responsabilités des différentes autorités de contrôle bancaire nationales ou </w:t>
      </w:r>
      <w:r w:rsidR="005660F6">
        <w:rPr>
          <w:sz w:val="24"/>
          <w:szCs w:val="24"/>
          <w:lang w:val="fr-BE"/>
        </w:rPr>
        <w:t xml:space="preserve">encore </w:t>
      </w:r>
      <w:r w:rsidR="005660F6" w:rsidRPr="005660F6">
        <w:rPr>
          <w:sz w:val="24"/>
          <w:szCs w:val="24"/>
          <w:lang w:val="fr-BE"/>
        </w:rPr>
        <w:t xml:space="preserve">aux </w:t>
      </w:r>
      <w:r w:rsidRPr="005660F6">
        <w:rPr>
          <w:sz w:val="24"/>
          <w:szCs w:val="24"/>
          <w:lang w:val="fr-BE"/>
        </w:rPr>
        <w:t xml:space="preserve">principes </w:t>
      </w:r>
      <w:r w:rsidRPr="005660F6">
        <w:rPr>
          <w:sz w:val="24"/>
          <w:szCs w:val="24"/>
          <w:lang w:val="fr-BE"/>
        </w:rPr>
        <w:lastRenderedPageBreak/>
        <w:t xml:space="preserve">fondamentaux pour un contrôle bancaire </w:t>
      </w:r>
      <w:r w:rsidR="005660F6">
        <w:rPr>
          <w:sz w:val="24"/>
          <w:szCs w:val="24"/>
          <w:lang w:val="fr-BE"/>
        </w:rPr>
        <w:t>efficace</w:t>
      </w:r>
      <w:r w:rsidRPr="005660F6">
        <w:rPr>
          <w:sz w:val="24"/>
          <w:szCs w:val="24"/>
          <w:lang w:val="fr-BE"/>
        </w:rPr>
        <w:t xml:space="preserve"> établis par le Comité </w:t>
      </w:r>
      <w:r w:rsidR="005660F6">
        <w:rPr>
          <w:sz w:val="24"/>
          <w:szCs w:val="24"/>
          <w:lang w:val="fr-BE"/>
        </w:rPr>
        <w:t xml:space="preserve">de Bâle </w:t>
      </w:r>
      <w:r w:rsidRPr="005660F6">
        <w:rPr>
          <w:sz w:val="24"/>
          <w:szCs w:val="24"/>
          <w:lang w:val="fr-BE"/>
        </w:rPr>
        <w:t xml:space="preserve">qui reprennent, comme leur nom l’indique, des balises clefs pour permettre une surveillance du secteur bancaire. </w:t>
      </w:r>
      <w:r w:rsidR="005660F6" w:rsidRPr="005660F6">
        <w:rPr>
          <w:sz w:val="24"/>
          <w:szCs w:val="24"/>
          <w:lang w:val="fr-BE"/>
        </w:rPr>
        <w:t xml:space="preserve"> </w:t>
      </w:r>
      <w:r w:rsidR="00DC7E52">
        <w:rPr>
          <w:sz w:val="24"/>
          <w:szCs w:val="24"/>
          <w:lang w:val="fr-BE"/>
        </w:rPr>
        <w:t>Sont couvertes par le texte des questions aussi importantes que celle</w:t>
      </w:r>
      <w:r w:rsidR="00AF25C9">
        <w:rPr>
          <w:sz w:val="24"/>
          <w:szCs w:val="24"/>
          <w:lang w:val="fr-BE"/>
        </w:rPr>
        <w:t>s</w:t>
      </w:r>
      <w:r w:rsidR="00DC7E52">
        <w:rPr>
          <w:sz w:val="24"/>
          <w:szCs w:val="24"/>
          <w:lang w:val="fr-BE"/>
        </w:rPr>
        <w:t xml:space="preserve"> des pouvoirs des autorités de contrôle, de leur indépendance et protection juridique, de leur coopération, des critères d’agrément ou encore des mesures correctrices et sanctions à la disposition des autorités de contrôle.  </w:t>
      </w:r>
      <w:r w:rsidR="005660F6" w:rsidRPr="005660F6">
        <w:rPr>
          <w:sz w:val="24"/>
          <w:szCs w:val="24"/>
          <w:lang w:val="fr-BE"/>
        </w:rPr>
        <w:t>A ce titre, la dernière version de ces principes dispose que « </w:t>
      </w:r>
      <w:r w:rsidR="005660F6" w:rsidRPr="005660F6">
        <w:rPr>
          <w:i/>
          <w:sz w:val="24"/>
          <w:szCs w:val="24"/>
          <w:lang w:val="fr-BE"/>
        </w:rPr>
        <w:t>les principes fondamentaux sont un cadre de normes minimums pour une pratique de contrôle saine et sont considérés comme universellement applicables </w:t>
      </w:r>
      <w:r w:rsidR="005660F6" w:rsidRPr="005660F6">
        <w:rPr>
          <w:sz w:val="24"/>
          <w:szCs w:val="24"/>
          <w:lang w:val="fr-BE"/>
        </w:rPr>
        <w:t>»</w:t>
      </w:r>
      <w:r w:rsidR="005660F6">
        <w:rPr>
          <w:rStyle w:val="FootnoteReference"/>
          <w:szCs w:val="24"/>
          <w:lang w:val="fr-BE"/>
        </w:rPr>
        <w:footnoteReference w:id="51"/>
      </w:r>
      <w:r w:rsidR="00A972B0">
        <w:rPr>
          <w:sz w:val="24"/>
          <w:szCs w:val="24"/>
          <w:lang w:val="fr-BE"/>
        </w:rPr>
        <w:t>.  Dans une note de bas</w:t>
      </w:r>
      <w:r w:rsidR="005660F6" w:rsidRPr="005660F6">
        <w:rPr>
          <w:sz w:val="24"/>
          <w:szCs w:val="24"/>
          <w:lang w:val="fr-BE"/>
        </w:rPr>
        <w:t xml:space="preserve"> de page, le comité r</w:t>
      </w:r>
      <w:r w:rsidR="006949C1">
        <w:rPr>
          <w:sz w:val="24"/>
          <w:szCs w:val="24"/>
          <w:lang w:val="fr-BE"/>
        </w:rPr>
        <w:t>appelle toutefois qu’il s’agit</w:t>
      </w:r>
      <w:r w:rsidR="005660F6" w:rsidRPr="005660F6">
        <w:rPr>
          <w:sz w:val="24"/>
          <w:szCs w:val="24"/>
          <w:lang w:val="fr-BE"/>
        </w:rPr>
        <w:t xml:space="preserve"> toujours d’une approche volontaire</w:t>
      </w:r>
      <w:r w:rsidR="005660F6">
        <w:rPr>
          <w:rStyle w:val="FootnoteReference"/>
          <w:szCs w:val="24"/>
          <w:lang w:val="fr-BE"/>
        </w:rPr>
        <w:footnoteReference w:id="52"/>
      </w:r>
      <w:r w:rsidR="005660F6" w:rsidRPr="005660F6">
        <w:rPr>
          <w:sz w:val="24"/>
          <w:szCs w:val="24"/>
          <w:lang w:val="fr-BE"/>
        </w:rPr>
        <w:t xml:space="preserve">. Le texte laisse de </w:t>
      </w:r>
      <w:r w:rsidR="0083546E">
        <w:rPr>
          <w:sz w:val="24"/>
          <w:szCs w:val="24"/>
          <w:lang w:val="fr-BE"/>
        </w:rPr>
        <w:t>la sorte entrevoir l’écart qui</w:t>
      </w:r>
      <w:r w:rsidR="005660F6" w:rsidRPr="005660F6">
        <w:rPr>
          <w:sz w:val="24"/>
          <w:szCs w:val="24"/>
          <w:lang w:val="fr-BE"/>
        </w:rPr>
        <w:t xml:space="preserve"> existe entre le caractère fondamental des matières traitées par les normes et leur forme de </w:t>
      </w:r>
      <w:r w:rsidR="005660F6" w:rsidRPr="00DC7E52">
        <w:rPr>
          <w:i/>
          <w:sz w:val="24"/>
          <w:szCs w:val="24"/>
          <w:lang w:val="fr-BE"/>
        </w:rPr>
        <w:t>soft law</w:t>
      </w:r>
      <w:r w:rsidR="005660F6" w:rsidRPr="005660F6">
        <w:rPr>
          <w:sz w:val="24"/>
          <w:szCs w:val="24"/>
          <w:lang w:val="fr-BE"/>
        </w:rPr>
        <w:t xml:space="preserve">. </w:t>
      </w:r>
    </w:p>
    <w:p w14:paraId="642CD543" w14:textId="77777777" w:rsidR="00DC7E52" w:rsidRDefault="00DC7E52" w:rsidP="009C25B6">
      <w:pPr>
        <w:pStyle w:val="ListParagraph"/>
        <w:spacing w:line="360" w:lineRule="auto"/>
        <w:ind w:left="1440"/>
        <w:rPr>
          <w:sz w:val="24"/>
          <w:szCs w:val="24"/>
          <w:lang w:val="fr-BE"/>
        </w:rPr>
      </w:pPr>
    </w:p>
    <w:p w14:paraId="1ABC44EB" w14:textId="44A21C4E" w:rsidR="00CE6FCA" w:rsidRPr="009C25B6" w:rsidRDefault="008027F6" w:rsidP="009C25B6">
      <w:pPr>
        <w:spacing w:line="360" w:lineRule="auto"/>
        <w:ind w:left="1440" w:firstLine="360"/>
        <w:rPr>
          <w:rFonts w:ascii="Helvetica" w:hAnsi="Helvetica"/>
          <w:sz w:val="24"/>
          <w:szCs w:val="24"/>
          <w:lang w:val="fr-BE" w:eastAsia="nl-NL"/>
        </w:rPr>
      </w:pPr>
      <w:r>
        <w:rPr>
          <w:sz w:val="24"/>
          <w:szCs w:val="24"/>
          <w:lang w:val="fr-BE"/>
        </w:rPr>
        <w:t>Cet écart entre la forme souple et la matière traitée s’observe également quand le standard donne son sens à des questions traitées par des règles de droit classique</w:t>
      </w:r>
      <w:r w:rsidR="00E5430E">
        <w:rPr>
          <w:sz w:val="24"/>
          <w:szCs w:val="24"/>
          <w:lang w:val="fr-BE"/>
        </w:rPr>
        <w:t>s</w:t>
      </w:r>
      <w:r>
        <w:rPr>
          <w:sz w:val="24"/>
          <w:szCs w:val="24"/>
          <w:lang w:val="fr-BE"/>
        </w:rPr>
        <w:t xml:space="preserve"> en déterminant, par exemple, les critères d’application </w:t>
      </w:r>
      <w:r w:rsidR="00711A5F">
        <w:rPr>
          <w:sz w:val="24"/>
          <w:szCs w:val="24"/>
          <w:lang w:val="fr-BE"/>
        </w:rPr>
        <w:t>d’un régime légal</w:t>
      </w:r>
      <w:r w:rsidR="00DC7E52">
        <w:rPr>
          <w:sz w:val="24"/>
          <w:szCs w:val="24"/>
          <w:lang w:val="fr-BE"/>
        </w:rPr>
        <w:t xml:space="preserve">. </w:t>
      </w:r>
      <w:r>
        <w:rPr>
          <w:sz w:val="24"/>
          <w:szCs w:val="24"/>
          <w:lang w:val="fr-BE"/>
        </w:rPr>
        <w:t xml:space="preserve">  Ainsi, en matière de rémunération des dirigeants des établissements de crédit, </w:t>
      </w:r>
      <w:r w:rsidR="00E5430E">
        <w:rPr>
          <w:sz w:val="24"/>
          <w:szCs w:val="24"/>
          <w:lang w:val="fr-BE"/>
        </w:rPr>
        <w:t xml:space="preserve">les critères de qualification d’éléments de rémunération comme </w:t>
      </w:r>
      <w:r w:rsidR="002404AB">
        <w:rPr>
          <w:sz w:val="24"/>
          <w:szCs w:val="24"/>
          <w:lang w:val="fr-BE"/>
        </w:rPr>
        <w:t>« </w:t>
      </w:r>
      <w:r w:rsidR="00E5430E">
        <w:rPr>
          <w:sz w:val="24"/>
          <w:szCs w:val="24"/>
          <w:lang w:val="fr-BE"/>
        </w:rPr>
        <w:t>fixe</w:t>
      </w:r>
      <w:r w:rsidR="002404AB">
        <w:rPr>
          <w:sz w:val="24"/>
          <w:szCs w:val="24"/>
          <w:lang w:val="fr-BE"/>
        </w:rPr>
        <w:t> »</w:t>
      </w:r>
      <w:r w:rsidR="00E5430E">
        <w:rPr>
          <w:sz w:val="24"/>
          <w:szCs w:val="24"/>
          <w:lang w:val="fr-BE"/>
        </w:rPr>
        <w:t xml:space="preserve"> ou </w:t>
      </w:r>
      <w:r w:rsidR="002404AB">
        <w:rPr>
          <w:sz w:val="24"/>
          <w:szCs w:val="24"/>
          <w:lang w:val="fr-BE"/>
        </w:rPr>
        <w:t>« </w:t>
      </w:r>
      <w:r w:rsidR="00E5430E">
        <w:rPr>
          <w:sz w:val="24"/>
          <w:szCs w:val="24"/>
          <w:lang w:val="fr-BE"/>
        </w:rPr>
        <w:t>variable</w:t>
      </w:r>
      <w:r w:rsidR="002404AB">
        <w:rPr>
          <w:sz w:val="24"/>
          <w:szCs w:val="24"/>
          <w:lang w:val="fr-BE"/>
        </w:rPr>
        <w:t> »</w:t>
      </w:r>
      <w:r w:rsidR="00E5430E">
        <w:rPr>
          <w:sz w:val="24"/>
          <w:szCs w:val="24"/>
          <w:lang w:val="fr-BE"/>
        </w:rPr>
        <w:t xml:space="preserve"> sont contenu</w:t>
      </w:r>
      <w:r w:rsidR="002404AB">
        <w:rPr>
          <w:sz w:val="24"/>
          <w:szCs w:val="24"/>
          <w:lang w:val="fr-BE"/>
        </w:rPr>
        <w:t>s</w:t>
      </w:r>
      <w:r w:rsidR="00E5430E">
        <w:rPr>
          <w:sz w:val="24"/>
          <w:szCs w:val="24"/>
          <w:lang w:val="fr-BE"/>
        </w:rPr>
        <w:t xml:space="preserve"> dans des or</w:t>
      </w:r>
      <w:r w:rsidR="0083546E">
        <w:rPr>
          <w:sz w:val="24"/>
          <w:szCs w:val="24"/>
          <w:lang w:val="fr-BE"/>
        </w:rPr>
        <w:t>i</w:t>
      </w:r>
      <w:r w:rsidR="00E5430E">
        <w:rPr>
          <w:sz w:val="24"/>
          <w:szCs w:val="24"/>
          <w:lang w:val="fr-BE"/>
        </w:rPr>
        <w:t>entations de l’Autorité bancaire européenne</w:t>
      </w:r>
      <w:r w:rsidR="00E5430E">
        <w:rPr>
          <w:rStyle w:val="FootnoteReference"/>
          <w:szCs w:val="24"/>
          <w:lang w:val="fr-BE"/>
        </w:rPr>
        <w:footnoteReference w:id="53"/>
      </w:r>
      <w:r w:rsidR="00E5430E">
        <w:rPr>
          <w:sz w:val="24"/>
          <w:szCs w:val="24"/>
          <w:lang w:val="fr-BE"/>
        </w:rPr>
        <w:t xml:space="preserve">. </w:t>
      </w:r>
      <w:r w:rsidR="002404AB">
        <w:rPr>
          <w:sz w:val="24"/>
          <w:szCs w:val="24"/>
          <w:lang w:val="fr-BE"/>
        </w:rPr>
        <w:t xml:space="preserve"> Or, la détermination du caractère fixe ou variable est essentielle au regard des règles spécifiques en matière de rémunération variable établies par</w:t>
      </w:r>
      <w:r w:rsidR="00E5430E">
        <w:rPr>
          <w:sz w:val="24"/>
          <w:szCs w:val="24"/>
          <w:lang w:val="fr-BE"/>
        </w:rPr>
        <w:t xml:space="preserve"> </w:t>
      </w:r>
      <w:r w:rsidR="00DC7E52">
        <w:rPr>
          <w:sz w:val="24"/>
          <w:szCs w:val="24"/>
          <w:lang w:val="fr-BE"/>
        </w:rPr>
        <w:t>la directive 2013/36/UE du parlement européen et du conseil du 26 juin 2013 concernant l’accès à l’activité des établissements de crédit et la surveillance prudentielle des établissements de crédit et des entreprises d’investissement (ci-</w:t>
      </w:r>
      <w:r w:rsidR="00DC7E52">
        <w:rPr>
          <w:sz w:val="24"/>
          <w:szCs w:val="24"/>
          <w:lang w:val="fr-BE"/>
        </w:rPr>
        <w:lastRenderedPageBreak/>
        <w:t>après « </w:t>
      </w:r>
      <w:r w:rsidR="00DC7E52" w:rsidRPr="00E5430E">
        <w:rPr>
          <w:b/>
          <w:sz w:val="24"/>
          <w:szCs w:val="24"/>
          <w:lang w:val="fr-BE"/>
        </w:rPr>
        <w:t>Directive CRD IV</w:t>
      </w:r>
      <w:r w:rsidR="00DC7E52" w:rsidRPr="00CE6FCA">
        <w:rPr>
          <w:sz w:val="24"/>
          <w:szCs w:val="24"/>
          <w:lang w:val="fr-BE"/>
        </w:rPr>
        <w:t> </w:t>
      </w:r>
      <w:r w:rsidR="002404AB">
        <w:rPr>
          <w:sz w:val="24"/>
          <w:szCs w:val="24"/>
          <w:lang w:val="fr-BE"/>
        </w:rPr>
        <w:t>»)</w:t>
      </w:r>
      <w:r w:rsidR="00E5430E">
        <w:rPr>
          <w:rStyle w:val="FootnoteReference"/>
        </w:rPr>
        <w:footnoteReference w:id="54"/>
      </w:r>
      <w:r w:rsidR="005A75FA">
        <w:rPr>
          <w:sz w:val="24"/>
          <w:szCs w:val="24"/>
          <w:lang w:val="fr-BE"/>
        </w:rPr>
        <w:t>.</w:t>
      </w:r>
      <w:r w:rsidR="002404AB">
        <w:rPr>
          <w:sz w:val="24"/>
          <w:szCs w:val="24"/>
          <w:lang w:val="fr-BE"/>
        </w:rPr>
        <w:t xml:space="preserve"> </w:t>
      </w:r>
      <w:r w:rsidR="0019530C">
        <w:rPr>
          <w:sz w:val="24"/>
          <w:szCs w:val="24"/>
          <w:lang w:val="fr-BE"/>
        </w:rPr>
        <w:t xml:space="preserve"> En d’autres termes, </w:t>
      </w:r>
      <w:r w:rsidR="00450107">
        <w:rPr>
          <w:sz w:val="24"/>
          <w:szCs w:val="24"/>
          <w:lang w:val="fr-BE"/>
        </w:rPr>
        <w:t xml:space="preserve">l’application de règles contenue dans cette directive peut dépendre </w:t>
      </w:r>
      <w:r w:rsidR="00AB14F9">
        <w:rPr>
          <w:sz w:val="24"/>
          <w:szCs w:val="24"/>
          <w:lang w:val="fr-BE"/>
        </w:rPr>
        <w:t>du contenu de</w:t>
      </w:r>
      <w:r w:rsidR="00450107">
        <w:rPr>
          <w:sz w:val="24"/>
          <w:szCs w:val="24"/>
          <w:lang w:val="fr-BE"/>
        </w:rPr>
        <w:t xml:space="preserve"> normes de droit souple. </w:t>
      </w:r>
    </w:p>
    <w:tbl>
      <w:tblPr>
        <w:tblW w:w="5000" w:type="pct"/>
        <w:tblCellSpacing w:w="0" w:type="dxa"/>
        <w:tblCellMar>
          <w:left w:w="0" w:type="dxa"/>
          <w:right w:w="0" w:type="dxa"/>
        </w:tblCellMar>
        <w:tblLook w:val="04A0" w:firstRow="1" w:lastRow="0" w:firstColumn="1" w:lastColumn="0" w:noHBand="0" w:noVBand="1"/>
      </w:tblPr>
      <w:tblGrid>
        <w:gridCol w:w="4394"/>
        <w:gridCol w:w="4395"/>
      </w:tblGrid>
      <w:tr w:rsidR="00CE6FCA" w:rsidRPr="003A4076" w14:paraId="4545755C" w14:textId="77777777" w:rsidTr="00CE6FCA">
        <w:trPr>
          <w:tblCellSpacing w:w="0" w:type="dxa"/>
        </w:trPr>
        <w:tc>
          <w:tcPr>
            <w:tcW w:w="0" w:type="auto"/>
            <w:hideMark/>
          </w:tcPr>
          <w:p w14:paraId="43AC9C13" w14:textId="77777777" w:rsidR="00CE6FCA" w:rsidRPr="00CE6FCA" w:rsidRDefault="00CE6FCA" w:rsidP="00CE6FCA">
            <w:pPr>
              <w:spacing w:line="240" w:lineRule="auto"/>
              <w:jc w:val="left"/>
              <w:rPr>
                <w:rFonts w:ascii="Times" w:hAnsi="Times"/>
                <w:lang w:val="fr-BE" w:eastAsia="nl-NL"/>
              </w:rPr>
            </w:pPr>
          </w:p>
        </w:tc>
        <w:tc>
          <w:tcPr>
            <w:tcW w:w="0" w:type="auto"/>
            <w:hideMark/>
          </w:tcPr>
          <w:p w14:paraId="53537F3F" w14:textId="77777777" w:rsidR="00CE6FCA" w:rsidRPr="00CE6FCA" w:rsidRDefault="00CE6FCA" w:rsidP="00CE6FCA">
            <w:pPr>
              <w:spacing w:line="240" w:lineRule="auto"/>
              <w:jc w:val="left"/>
              <w:rPr>
                <w:rFonts w:ascii="Times" w:hAnsi="Times"/>
                <w:lang w:val="fr-BE" w:eastAsia="nl-NL"/>
              </w:rPr>
            </w:pPr>
          </w:p>
        </w:tc>
      </w:tr>
    </w:tbl>
    <w:p w14:paraId="6DD2C755" w14:textId="77777777" w:rsidR="00D2246F" w:rsidRDefault="00D2246F" w:rsidP="00B139B7">
      <w:pPr>
        <w:spacing w:line="360" w:lineRule="auto"/>
        <w:rPr>
          <w:sz w:val="24"/>
          <w:szCs w:val="24"/>
          <w:lang w:val="fr-BE"/>
        </w:rPr>
      </w:pPr>
    </w:p>
    <w:p w14:paraId="5505D218" w14:textId="3A052D27" w:rsidR="00B139B7" w:rsidRPr="00B139B7" w:rsidRDefault="00B139B7" w:rsidP="00B139B7">
      <w:pPr>
        <w:pStyle w:val="ListParagraph"/>
        <w:numPr>
          <w:ilvl w:val="0"/>
          <w:numId w:val="19"/>
        </w:numPr>
        <w:spacing w:line="360" w:lineRule="auto"/>
        <w:rPr>
          <w:sz w:val="24"/>
          <w:szCs w:val="24"/>
          <w:lang w:val="fr-BE"/>
        </w:rPr>
      </w:pPr>
      <w:r w:rsidRPr="00B139B7">
        <w:rPr>
          <w:sz w:val="24"/>
          <w:szCs w:val="24"/>
          <w:lang w:val="fr-BE"/>
        </w:rPr>
        <w:t xml:space="preserve">Des textes importants </w:t>
      </w:r>
      <w:r w:rsidR="007469C0">
        <w:rPr>
          <w:sz w:val="24"/>
          <w:szCs w:val="24"/>
          <w:lang w:val="fr-BE"/>
        </w:rPr>
        <w:t>au regard de leur utilisation</w:t>
      </w:r>
    </w:p>
    <w:p w14:paraId="3D41B158" w14:textId="77777777" w:rsidR="00684BE4" w:rsidRDefault="00684BE4" w:rsidP="00684BE4">
      <w:pPr>
        <w:spacing w:line="360" w:lineRule="auto"/>
        <w:rPr>
          <w:sz w:val="24"/>
          <w:szCs w:val="24"/>
          <w:lang w:val="fr-BE"/>
        </w:rPr>
      </w:pPr>
    </w:p>
    <w:p w14:paraId="1BAB8850" w14:textId="30AF501F" w:rsidR="00543F52" w:rsidRDefault="009C25B6" w:rsidP="00D25720">
      <w:pPr>
        <w:spacing w:line="360" w:lineRule="auto"/>
        <w:ind w:left="1080" w:firstLine="360"/>
        <w:rPr>
          <w:sz w:val="24"/>
          <w:szCs w:val="24"/>
          <w:lang w:val="fr-BE"/>
        </w:rPr>
      </w:pPr>
      <w:r>
        <w:rPr>
          <w:sz w:val="24"/>
          <w:szCs w:val="24"/>
          <w:lang w:val="fr-BE"/>
        </w:rPr>
        <w:t xml:space="preserve">Outre leur contenu, ces standards ne doivent en aucun cas être négligés au regard </w:t>
      </w:r>
      <w:r w:rsidR="007E1C19">
        <w:rPr>
          <w:sz w:val="24"/>
          <w:szCs w:val="24"/>
          <w:lang w:val="fr-BE"/>
        </w:rPr>
        <w:t xml:space="preserve">de l’importance qui leur est accordée par les autorité </w:t>
      </w:r>
      <w:r w:rsidR="008921D2">
        <w:rPr>
          <w:sz w:val="24"/>
          <w:szCs w:val="24"/>
          <w:lang w:val="fr-BE"/>
        </w:rPr>
        <w:t>de contrôle qui en sont auteurs</w:t>
      </w:r>
      <w:r>
        <w:rPr>
          <w:sz w:val="24"/>
          <w:szCs w:val="24"/>
          <w:lang w:val="fr-BE"/>
        </w:rPr>
        <w:t xml:space="preserve">. </w:t>
      </w:r>
      <w:r w:rsidR="00FB141F">
        <w:rPr>
          <w:sz w:val="24"/>
          <w:szCs w:val="24"/>
          <w:lang w:val="fr-BE"/>
        </w:rPr>
        <w:t xml:space="preserve"> Ainsi, lors de l’adoption en 1988 des premiers standards en matière de capitaux par le Comité de Bâle, le gouverneur de la Banque du Canada a-t-il déclaré que « </w:t>
      </w:r>
      <w:r w:rsidR="00FB141F" w:rsidRPr="00FB141F">
        <w:rPr>
          <w:i/>
          <w:sz w:val="24"/>
          <w:szCs w:val="24"/>
          <w:lang w:val="fr-BE"/>
        </w:rPr>
        <w:t>ce n’est pas un traité international, mais si on s’engage pour quelque chose comme cela, ceci doit être pris très sérieusement</w:t>
      </w:r>
      <w:r w:rsidR="00FB141F">
        <w:rPr>
          <w:sz w:val="24"/>
          <w:szCs w:val="24"/>
          <w:lang w:val="fr-BE"/>
        </w:rPr>
        <w:t> »</w:t>
      </w:r>
      <w:r w:rsidR="00FB141F">
        <w:rPr>
          <w:rStyle w:val="FootnoteReference"/>
          <w:szCs w:val="24"/>
          <w:lang w:val="fr-BE"/>
        </w:rPr>
        <w:footnoteReference w:id="55"/>
      </w:r>
      <w:r w:rsidR="00FB141F">
        <w:rPr>
          <w:sz w:val="24"/>
          <w:szCs w:val="24"/>
          <w:lang w:val="fr-BE"/>
        </w:rPr>
        <w:t xml:space="preserve">. </w:t>
      </w:r>
      <w:r w:rsidR="008921D2">
        <w:rPr>
          <w:sz w:val="24"/>
          <w:szCs w:val="24"/>
          <w:lang w:val="fr-BE"/>
        </w:rPr>
        <w:t xml:space="preserve"> </w:t>
      </w:r>
      <w:r w:rsidR="00483341">
        <w:rPr>
          <w:sz w:val="24"/>
          <w:szCs w:val="24"/>
          <w:lang w:val="fr-BE"/>
        </w:rPr>
        <w:t xml:space="preserve"> </w:t>
      </w:r>
      <w:r w:rsidR="00253FE9">
        <w:rPr>
          <w:sz w:val="24"/>
          <w:szCs w:val="24"/>
          <w:lang w:val="fr-BE"/>
        </w:rPr>
        <w:t>Ce sérieux est refléter dans les textes du comité de Bâle qui contiennent des dispositions visant à encourager le respect des norme</w:t>
      </w:r>
      <w:r w:rsidR="00BC3C1A">
        <w:rPr>
          <w:sz w:val="24"/>
          <w:szCs w:val="24"/>
          <w:lang w:val="fr-BE"/>
        </w:rPr>
        <w:t>s adoptées.  A cet égard, le Con</w:t>
      </w:r>
      <w:r w:rsidR="00253FE9">
        <w:rPr>
          <w:sz w:val="24"/>
          <w:szCs w:val="24"/>
          <w:lang w:val="fr-BE"/>
        </w:rPr>
        <w:t>cordat (voir ci-avant section 2) recommande qu’une autorité de contrôle d’un pays d’accueil n’autorise l’ouverture d’une succursale qu’à la condition que le contrôle soit adéquat au regard des critères développés dans les principes fondamentaux pour un contrôle bancaire efficace.  En d’autres termes, le comité de Bâle entend faire du respect de ses normes une condition d’accès aux marchés nationaux de ses membres</w:t>
      </w:r>
      <w:r w:rsidR="00253FE9">
        <w:rPr>
          <w:rStyle w:val="FootnoteReference"/>
          <w:szCs w:val="24"/>
          <w:lang w:val="fr-BE"/>
        </w:rPr>
        <w:footnoteReference w:id="56"/>
      </w:r>
      <w:r w:rsidR="00253FE9">
        <w:rPr>
          <w:sz w:val="24"/>
          <w:szCs w:val="24"/>
          <w:lang w:val="fr-BE"/>
        </w:rPr>
        <w:t xml:space="preserve">. </w:t>
      </w:r>
      <w:r w:rsidR="00A05398">
        <w:rPr>
          <w:sz w:val="24"/>
          <w:szCs w:val="24"/>
          <w:lang w:val="fr-BE"/>
        </w:rPr>
        <w:t xml:space="preserve">  </w:t>
      </w:r>
      <w:r w:rsidR="0012168F">
        <w:rPr>
          <w:sz w:val="24"/>
          <w:szCs w:val="24"/>
          <w:lang w:val="fr-BE"/>
        </w:rPr>
        <w:t>P</w:t>
      </w:r>
      <w:r w:rsidR="00D25720">
        <w:rPr>
          <w:sz w:val="24"/>
          <w:szCs w:val="24"/>
          <w:lang w:val="fr-BE"/>
        </w:rPr>
        <w:t xml:space="preserve">ar ailleurs, le comité de Bâle a mise en place une évaluation du respect des réglementations nationales </w:t>
      </w:r>
      <w:r w:rsidR="000A2D95">
        <w:rPr>
          <w:sz w:val="24"/>
          <w:szCs w:val="24"/>
          <w:lang w:val="fr-BE"/>
        </w:rPr>
        <w:t>de ses</w:t>
      </w:r>
      <w:r w:rsidR="00D25720">
        <w:rPr>
          <w:sz w:val="24"/>
          <w:szCs w:val="24"/>
          <w:lang w:val="fr-BE"/>
        </w:rPr>
        <w:t xml:space="preserve"> standards</w:t>
      </w:r>
      <w:r w:rsidR="00D25720">
        <w:rPr>
          <w:rStyle w:val="FootnoteReference"/>
          <w:szCs w:val="24"/>
          <w:lang w:val="fr-BE"/>
        </w:rPr>
        <w:footnoteReference w:id="57"/>
      </w:r>
      <w:r w:rsidR="00D25720">
        <w:rPr>
          <w:sz w:val="24"/>
          <w:szCs w:val="24"/>
          <w:lang w:val="fr-BE"/>
        </w:rPr>
        <w:t xml:space="preserve">. </w:t>
      </w:r>
      <w:r w:rsidR="00543F52">
        <w:rPr>
          <w:sz w:val="24"/>
          <w:szCs w:val="24"/>
          <w:lang w:val="fr-BE"/>
        </w:rPr>
        <w:t xml:space="preserve"> Les résultats affichés sur le site du comité de Bâ</w:t>
      </w:r>
      <w:r w:rsidR="004D02D3">
        <w:rPr>
          <w:sz w:val="24"/>
          <w:szCs w:val="24"/>
          <w:lang w:val="fr-BE"/>
        </w:rPr>
        <w:t>le démontrent</w:t>
      </w:r>
      <w:r w:rsidR="00543F52">
        <w:rPr>
          <w:sz w:val="24"/>
          <w:szCs w:val="24"/>
          <w:lang w:val="fr-BE"/>
        </w:rPr>
        <w:t xml:space="preserve"> un respect </w:t>
      </w:r>
      <w:r w:rsidR="004D02D3">
        <w:rPr>
          <w:sz w:val="24"/>
          <w:szCs w:val="24"/>
          <w:lang w:val="fr-BE"/>
        </w:rPr>
        <w:t xml:space="preserve">général </w:t>
      </w:r>
      <w:r w:rsidR="00543F52">
        <w:rPr>
          <w:sz w:val="24"/>
          <w:szCs w:val="24"/>
          <w:lang w:val="fr-BE"/>
        </w:rPr>
        <w:t>de ces normes (voi</w:t>
      </w:r>
      <w:r w:rsidR="000A2D95">
        <w:rPr>
          <w:sz w:val="24"/>
          <w:szCs w:val="24"/>
          <w:lang w:val="fr-BE"/>
        </w:rPr>
        <w:t>r tableau</w:t>
      </w:r>
      <w:r w:rsidR="00543F52">
        <w:rPr>
          <w:sz w:val="24"/>
          <w:szCs w:val="24"/>
          <w:lang w:val="fr-BE"/>
        </w:rPr>
        <w:t xml:space="preserve"> dessous)</w:t>
      </w:r>
      <w:r w:rsidR="00543F52">
        <w:rPr>
          <w:rStyle w:val="FootnoteReference"/>
          <w:szCs w:val="24"/>
          <w:lang w:val="fr-BE"/>
        </w:rPr>
        <w:footnoteReference w:id="58"/>
      </w:r>
      <w:r w:rsidR="00543F52">
        <w:rPr>
          <w:sz w:val="24"/>
          <w:szCs w:val="24"/>
          <w:lang w:val="fr-BE"/>
        </w:rPr>
        <w:t xml:space="preserve">. </w:t>
      </w:r>
    </w:p>
    <w:p w14:paraId="727A55DD" w14:textId="77777777" w:rsidR="00543F52" w:rsidRDefault="00543F52" w:rsidP="00D25720">
      <w:pPr>
        <w:spacing w:line="360" w:lineRule="auto"/>
        <w:ind w:left="1080" w:firstLine="360"/>
        <w:rPr>
          <w:sz w:val="24"/>
          <w:szCs w:val="24"/>
          <w:lang w:val="fr-BE"/>
        </w:rPr>
      </w:pPr>
    </w:p>
    <w:p w14:paraId="14E6F083" w14:textId="0B24513F" w:rsidR="00543F52" w:rsidRDefault="00543F52" w:rsidP="000A2D95">
      <w:pPr>
        <w:spacing w:line="360" w:lineRule="auto"/>
        <w:ind w:left="1080" w:firstLine="360"/>
        <w:rPr>
          <w:sz w:val="24"/>
          <w:szCs w:val="24"/>
          <w:lang w:val="fr-BE"/>
        </w:rPr>
      </w:pPr>
      <w:r>
        <w:rPr>
          <w:noProof/>
          <w:sz w:val="24"/>
          <w:szCs w:val="24"/>
          <w:lang w:val="en-US" w:eastAsia="nl-NL"/>
        </w:rPr>
        <w:lastRenderedPageBreak/>
        <w:drawing>
          <wp:inline distT="0" distB="0" distL="0" distR="0" wp14:anchorId="3EBE803C" wp14:editId="1D6E81F6">
            <wp:extent cx="5581015" cy="5046459"/>
            <wp:effectExtent l="0" t="0" r="6985" b="8255"/>
            <wp:docPr id="7" name="Afbeelding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5581015" cy="5046459"/>
                    </a:xfrm>
                    <a:prstGeom prst="rect">
                      <a:avLst/>
                    </a:prstGeom>
                    <a:noFill/>
                    <a:ln>
                      <a:noFill/>
                    </a:ln>
                  </pic:spPr>
                </pic:pic>
              </a:graphicData>
            </a:graphic>
          </wp:inline>
        </w:drawing>
      </w:r>
    </w:p>
    <w:p w14:paraId="7AA58FC7" w14:textId="77777777" w:rsidR="00543F52" w:rsidRDefault="00543F52" w:rsidP="00D25720">
      <w:pPr>
        <w:spacing w:line="360" w:lineRule="auto"/>
        <w:ind w:left="1080" w:firstLine="360"/>
        <w:rPr>
          <w:sz w:val="24"/>
          <w:szCs w:val="24"/>
          <w:lang w:val="fr-BE"/>
        </w:rPr>
      </w:pPr>
    </w:p>
    <w:p w14:paraId="021831F4" w14:textId="3B1880AA" w:rsidR="00A10484" w:rsidRPr="00543F52" w:rsidRDefault="00A10484" w:rsidP="00A10484">
      <w:pPr>
        <w:spacing w:line="360" w:lineRule="auto"/>
        <w:ind w:left="1080" w:firstLine="360"/>
        <w:rPr>
          <w:sz w:val="24"/>
          <w:szCs w:val="24"/>
          <w:lang w:val="fr-BE"/>
        </w:rPr>
      </w:pPr>
      <w:r>
        <w:rPr>
          <w:sz w:val="24"/>
          <w:szCs w:val="24"/>
          <w:lang w:val="fr-BE"/>
        </w:rPr>
        <w:t>Enfin, des mécanismes furent mis en place à l’échelle internationale par les institutions de Bretton Woods afin d’assurer l’effectivité des normes au sein des ordre nationaux.  De la sorte, la Banque mondiale et le Fonds monétaire utilise</w:t>
      </w:r>
      <w:r w:rsidR="00AF25C9">
        <w:rPr>
          <w:sz w:val="24"/>
          <w:szCs w:val="24"/>
          <w:lang w:val="fr-BE"/>
        </w:rPr>
        <w:t>nt</w:t>
      </w:r>
      <w:r>
        <w:rPr>
          <w:sz w:val="24"/>
          <w:szCs w:val="24"/>
          <w:lang w:val="fr-BE"/>
        </w:rPr>
        <w:t xml:space="preserve"> les normes de Bâle c</w:t>
      </w:r>
      <w:r w:rsidR="00AF25C9">
        <w:rPr>
          <w:sz w:val="24"/>
          <w:szCs w:val="24"/>
          <w:lang w:val="fr-BE"/>
        </w:rPr>
        <w:t>omme benchmark conditionnant leurs</w:t>
      </w:r>
      <w:r>
        <w:rPr>
          <w:sz w:val="24"/>
          <w:szCs w:val="24"/>
          <w:lang w:val="fr-BE"/>
        </w:rPr>
        <w:t xml:space="preserve"> programmes de prêt d’ajustement</w:t>
      </w:r>
      <w:r>
        <w:rPr>
          <w:rStyle w:val="FootnoteReference"/>
          <w:szCs w:val="24"/>
          <w:lang w:val="fr-BE"/>
        </w:rPr>
        <w:footnoteReference w:id="59"/>
      </w:r>
      <w:r>
        <w:rPr>
          <w:sz w:val="24"/>
          <w:szCs w:val="24"/>
          <w:lang w:val="fr-BE"/>
        </w:rPr>
        <w:t>.   Par exemple, le résumé du programme économique du « Stand-By Arrangement »</w:t>
      </w:r>
      <w:r w:rsidR="00AF25C9">
        <w:rPr>
          <w:sz w:val="24"/>
          <w:szCs w:val="24"/>
          <w:lang w:val="fr-BE"/>
        </w:rPr>
        <w:t xml:space="preserve"> du FMI</w:t>
      </w:r>
      <w:r>
        <w:rPr>
          <w:sz w:val="24"/>
          <w:szCs w:val="24"/>
          <w:lang w:val="fr-BE"/>
        </w:rPr>
        <w:t xml:space="preserve"> avec la Corée du 5 décembre 1997 dispose qu’un « c</w:t>
      </w:r>
      <w:r w:rsidRPr="008F658A">
        <w:rPr>
          <w:i/>
          <w:sz w:val="24"/>
          <w:szCs w:val="24"/>
          <w:lang w:val="fr-BE"/>
        </w:rPr>
        <w:t>alendrier sera établi suivant lequel toutes les banques devront rencontrer ou excéder les normes de Bâle </w:t>
      </w:r>
      <w:r>
        <w:rPr>
          <w:sz w:val="24"/>
          <w:szCs w:val="24"/>
          <w:lang w:val="fr-BE"/>
        </w:rPr>
        <w:t>»</w:t>
      </w:r>
      <w:r>
        <w:rPr>
          <w:rStyle w:val="FootnoteReference"/>
          <w:szCs w:val="24"/>
          <w:lang w:val="fr-BE"/>
        </w:rPr>
        <w:footnoteReference w:id="60"/>
      </w:r>
      <w:r>
        <w:rPr>
          <w:sz w:val="24"/>
          <w:szCs w:val="24"/>
          <w:lang w:val="fr-BE"/>
        </w:rPr>
        <w:t xml:space="preserve">.  Par ailleurs, le respect des standards développés </w:t>
      </w:r>
      <w:r>
        <w:rPr>
          <w:sz w:val="24"/>
          <w:szCs w:val="24"/>
          <w:lang w:val="fr-BE"/>
        </w:rPr>
        <w:lastRenderedPageBreak/>
        <w:t>par le Comité de Bâle sont un élément important du programme de</w:t>
      </w:r>
      <w:r w:rsidR="00AF25C9">
        <w:rPr>
          <w:sz w:val="24"/>
          <w:szCs w:val="24"/>
          <w:lang w:val="fr-BE"/>
        </w:rPr>
        <w:t xml:space="preserve"> surveillance de la résilie</w:t>
      </w:r>
      <w:r>
        <w:rPr>
          <w:sz w:val="24"/>
          <w:szCs w:val="24"/>
          <w:lang w:val="fr-BE"/>
        </w:rPr>
        <w:t>nce du système financier opéré par le FMI</w:t>
      </w:r>
      <w:r>
        <w:rPr>
          <w:rStyle w:val="FootnoteReference"/>
          <w:szCs w:val="24"/>
          <w:lang w:val="fr-BE"/>
        </w:rPr>
        <w:footnoteReference w:id="61"/>
      </w:r>
      <w:r>
        <w:rPr>
          <w:sz w:val="24"/>
          <w:szCs w:val="24"/>
          <w:lang w:val="fr-BE"/>
        </w:rPr>
        <w:t xml:space="preserve">. </w:t>
      </w:r>
    </w:p>
    <w:p w14:paraId="3C89BC5B" w14:textId="77777777" w:rsidR="00543F52" w:rsidRDefault="00543F52" w:rsidP="00D25720">
      <w:pPr>
        <w:spacing w:line="360" w:lineRule="auto"/>
        <w:ind w:left="1080" w:firstLine="360"/>
        <w:rPr>
          <w:sz w:val="24"/>
          <w:szCs w:val="24"/>
          <w:lang w:val="fr-BE"/>
        </w:rPr>
      </w:pPr>
    </w:p>
    <w:p w14:paraId="047C19E8" w14:textId="3C77DDAC" w:rsidR="0012168F" w:rsidRDefault="00DA6821" w:rsidP="00D25720">
      <w:pPr>
        <w:spacing w:line="360" w:lineRule="auto"/>
        <w:ind w:left="1080" w:firstLine="360"/>
        <w:rPr>
          <w:sz w:val="24"/>
          <w:szCs w:val="24"/>
          <w:lang w:val="fr-BE"/>
        </w:rPr>
      </w:pPr>
      <w:r>
        <w:rPr>
          <w:sz w:val="24"/>
          <w:szCs w:val="24"/>
          <w:lang w:val="fr-BE"/>
        </w:rPr>
        <w:t xml:space="preserve">De même, à l’échelle </w:t>
      </w:r>
      <w:r w:rsidR="007E4A17">
        <w:rPr>
          <w:sz w:val="24"/>
          <w:szCs w:val="24"/>
          <w:lang w:val="fr-BE"/>
        </w:rPr>
        <w:t>de l’Union européenne</w:t>
      </w:r>
      <w:r>
        <w:rPr>
          <w:sz w:val="24"/>
          <w:szCs w:val="24"/>
          <w:lang w:val="fr-BE"/>
        </w:rPr>
        <w:t>, les orientations de l’Autorité bancaire européenne en matière d’évaluation prudentielle (en anglais « </w:t>
      </w:r>
      <w:r w:rsidRPr="00DA6821">
        <w:rPr>
          <w:i/>
          <w:sz w:val="24"/>
          <w:szCs w:val="24"/>
          <w:lang w:val="fr-BE"/>
        </w:rPr>
        <w:t>supervisory review and evaluation process</w:t>
      </w:r>
      <w:r>
        <w:rPr>
          <w:sz w:val="24"/>
          <w:szCs w:val="24"/>
          <w:lang w:val="fr-BE"/>
        </w:rPr>
        <w:t> » ou « </w:t>
      </w:r>
      <w:r w:rsidRPr="00DA6821">
        <w:rPr>
          <w:i/>
          <w:sz w:val="24"/>
          <w:szCs w:val="24"/>
          <w:lang w:val="fr-BE"/>
        </w:rPr>
        <w:t>SREP</w:t>
      </w:r>
      <w:r>
        <w:rPr>
          <w:sz w:val="24"/>
          <w:szCs w:val="24"/>
          <w:lang w:val="fr-BE"/>
        </w:rPr>
        <w:t> ») se réfère</w:t>
      </w:r>
      <w:r w:rsidR="009D2A1B">
        <w:rPr>
          <w:sz w:val="24"/>
          <w:szCs w:val="24"/>
          <w:lang w:val="fr-BE"/>
        </w:rPr>
        <w:t>nt</w:t>
      </w:r>
      <w:r>
        <w:rPr>
          <w:sz w:val="24"/>
          <w:szCs w:val="24"/>
          <w:lang w:val="fr-BE"/>
        </w:rPr>
        <w:t xml:space="preserve"> aux autres orientations adoptées par l’</w:t>
      </w:r>
      <w:r w:rsidR="007000C8">
        <w:rPr>
          <w:sz w:val="24"/>
          <w:szCs w:val="24"/>
          <w:lang w:val="fr-BE"/>
        </w:rPr>
        <w:t>Autorité bancaire européenne</w:t>
      </w:r>
      <w:r w:rsidR="009D2A1B">
        <w:rPr>
          <w:rStyle w:val="FootnoteReference"/>
          <w:szCs w:val="24"/>
          <w:lang w:val="fr-BE"/>
        </w:rPr>
        <w:footnoteReference w:id="62"/>
      </w:r>
      <w:r w:rsidR="009D2A1B">
        <w:rPr>
          <w:sz w:val="24"/>
          <w:szCs w:val="24"/>
          <w:lang w:val="fr-BE"/>
        </w:rPr>
        <w:t xml:space="preserve">.  </w:t>
      </w:r>
      <w:r w:rsidR="004D02D3">
        <w:rPr>
          <w:sz w:val="24"/>
          <w:szCs w:val="24"/>
          <w:lang w:val="fr-BE"/>
        </w:rPr>
        <w:t xml:space="preserve">En d’autres termes, </w:t>
      </w:r>
      <w:r w:rsidR="007E4A17">
        <w:rPr>
          <w:sz w:val="24"/>
          <w:szCs w:val="24"/>
          <w:lang w:val="fr-BE"/>
        </w:rPr>
        <w:t>l’évaluation prudentielle</w:t>
      </w:r>
      <w:r w:rsidR="007000C8">
        <w:rPr>
          <w:sz w:val="24"/>
          <w:szCs w:val="24"/>
          <w:lang w:val="fr-BE"/>
        </w:rPr>
        <w:t xml:space="preserve"> des établissements de crédit doit</w:t>
      </w:r>
      <w:r w:rsidR="000A2D95">
        <w:rPr>
          <w:sz w:val="24"/>
          <w:szCs w:val="24"/>
          <w:lang w:val="fr-BE"/>
        </w:rPr>
        <w:t>,</w:t>
      </w:r>
      <w:r w:rsidR="007000C8">
        <w:rPr>
          <w:sz w:val="24"/>
          <w:szCs w:val="24"/>
          <w:lang w:val="fr-BE"/>
        </w:rPr>
        <w:t xml:space="preserve"> aux yeux de cette autorité</w:t>
      </w:r>
      <w:r w:rsidR="000A2D95">
        <w:rPr>
          <w:sz w:val="24"/>
          <w:szCs w:val="24"/>
          <w:lang w:val="fr-BE"/>
        </w:rPr>
        <w:t>,</w:t>
      </w:r>
      <w:r w:rsidR="007000C8">
        <w:rPr>
          <w:sz w:val="24"/>
          <w:szCs w:val="24"/>
          <w:lang w:val="fr-BE"/>
        </w:rPr>
        <w:t xml:space="preserve"> s’opérer au regard des orientations qu’elle a établi.  </w:t>
      </w:r>
      <w:r w:rsidR="000A2D95">
        <w:rPr>
          <w:sz w:val="24"/>
          <w:szCs w:val="24"/>
          <w:lang w:val="fr-BE"/>
        </w:rPr>
        <w:t>Par le biais d’un jeu de référence</w:t>
      </w:r>
      <w:r w:rsidR="00A972B0">
        <w:rPr>
          <w:sz w:val="24"/>
          <w:szCs w:val="24"/>
          <w:lang w:val="fr-BE"/>
        </w:rPr>
        <w:t>s</w:t>
      </w:r>
      <w:r w:rsidR="000A2D95">
        <w:rPr>
          <w:sz w:val="24"/>
          <w:szCs w:val="24"/>
          <w:lang w:val="fr-BE"/>
        </w:rPr>
        <w:t xml:space="preserve"> croisé</w:t>
      </w:r>
      <w:r w:rsidR="00A972B0">
        <w:rPr>
          <w:sz w:val="24"/>
          <w:szCs w:val="24"/>
          <w:lang w:val="fr-BE"/>
        </w:rPr>
        <w:t>e</w:t>
      </w:r>
      <w:r w:rsidR="000A2D95">
        <w:rPr>
          <w:sz w:val="24"/>
          <w:szCs w:val="24"/>
          <w:lang w:val="fr-BE"/>
        </w:rPr>
        <w:t>s, les</w:t>
      </w:r>
      <w:r w:rsidR="007000C8">
        <w:rPr>
          <w:sz w:val="24"/>
          <w:szCs w:val="24"/>
          <w:lang w:val="fr-BE"/>
        </w:rPr>
        <w:t xml:space="preserve"> textes des orientations se</w:t>
      </w:r>
      <w:r w:rsidR="009D2A1B">
        <w:rPr>
          <w:sz w:val="24"/>
          <w:szCs w:val="24"/>
          <w:lang w:val="fr-BE"/>
        </w:rPr>
        <w:t xml:space="preserve"> r</w:t>
      </w:r>
      <w:r w:rsidR="007000C8">
        <w:rPr>
          <w:sz w:val="24"/>
          <w:szCs w:val="24"/>
          <w:lang w:val="fr-BE"/>
        </w:rPr>
        <w:t>enforcent</w:t>
      </w:r>
      <w:r w:rsidR="000A2D95">
        <w:rPr>
          <w:sz w:val="24"/>
          <w:szCs w:val="24"/>
          <w:lang w:val="fr-BE"/>
        </w:rPr>
        <w:t xml:space="preserve"> ainsi</w:t>
      </w:r>
      <w:r w:rsidR="007000C8">
        <w:rPr>
          <w:sz w:val="24"/>
          <w:szCs w:val="24"/>
          <w:lang w:val="fr-BE"/>
        </w:rPr>
        <w:t xml:space="preserve"> les uns et les autres</w:t>
      </w:r>
      <w:r w:rsidR="009D2A1B">
        <w:rPr>
          <w:sz w:val="24"/>
          <w:szCs w:val="24"/>
          <w:lang w:val="fr-BE"/>
        </w:rPr>
        <w:t xml:space="preserve">. </w:t>
      </w:r>
      <w:r w:rsidR="0012168F">
        <w:rPr>
          <w:sz w:val="24"/>
          <w:szCs w:val="24"/>
          <w:lang w:val="fr-BE"/>
        </w:rPr>
        <w:t xml:space="preserve"> </w:t>
      </w:r>
      <w:r w:rsidR="00A10484">
        <w:rPr>
          <w:sz w:val="24"/>
          <w:szCs w:val="24"/>
          <w:lang w:val="fr-BE"/>
        </w:rPr>
        <w:t>Ces orientations so</w:t>
      </w:r>
      <w:r w:rsidR="007E4A17">
        <w:rPr>
          <w:sz w:val="24"/>
          <w:szCs w:val="24"/>
          <w:lang w:val="fr-BE"/>
        </w:rPr>
        <w:t>nt par ailleurs consolidées par</w:t>
      </w:r>
      <w:r w:rsidR="00A10484">
        <w:rPr>
          <w:sz w:val="24"/>
          <w:szCs w:val="24"/>
          <w:lang w:val="fr-BE"/>
        </w:rPr>
        <w:t xml:space="preserve"> </w:t>
      </w:r>
      <w:r w:rsidR="000A2D95">
        <w:rPr>
          <w:sz w:val="24"/>
          <w:szCs w:val="24"/>
          <w:lang w:val="fr-BE"/>
        </w:rPr>
        <w:t xml:space="preserve">la Banque centrale européenne </w:t>
      </w:r>
      <w:r w:rsidR="00A10484">
        <w:rPr>
          <w:sz w:val="24"/>
          <w:szCs w:val="24"/>
          <w:lang w:val="fr-BE"/>
        </w:rPr>
        <w:t xml:space="preserve">qui les reprend </w:t>
      </w:r>
      <w:r w:rsidR="000A2D95">
        <w:rPr>
          <w:sz w:val="24"/>
          <w:szCs w:val="24"/>
          <w:lang w:val="fr-BE"/>
        </w:rPr>
        <w:t>dans sa propre méthodologie en matière d’évaluation prudentielle</w:t>
      </w:r>
      <w:r w:rsidR="000A2D95">
        <w:rPr>
          <w:rStyle w:val="FootnoteReference"/>
          <w:szCs w:val="24"/>
          <w:lang w:val="fr-BE"/>
        </w:rPr>
        <w:footnoteReference w:id="63"/>
      </w:r>
      <w:r w:rsidR="000A2D95">
        <w:rPr>
          <w:sz w:val="24"/>
          <w:szCs w:val="24"/>
          <w:lang w:val="fr-BE"/>
        </w:rPr>
        <w:t xml:space="preserve">. </w:t>
      </w:r>
      <w:r w:rsidR="00A10484">
        <w:rPr>
          <w:sz w:val="24"/>
          <w:szCs w:val="24"/>
          <w:lang w:val="fr-BE"/>
        </w:rPr>
        <w:t xml:space="preserve"> Au regard de cette reprise, les établissements de crédit </w:t>
      </w:r>
      <w:r w:rsidR="007E4A17">
        <w:rPr>
          <w:sz w:val="24"/>
          <w:szCs w:val="24"/>
          <w:lang w:val="fr-BE"/>
        </w:rPr>
        <w:t xml:space="preserve">soumis au contrôle de la Banque centrale européenne dans le cadre de l’Union bancaire </w:t>
      </w:r>
      <w:r w:rsidR="00A10484">
        <w:rPr>
          <w:sz w:val="24"/>
          <w:szCs w:val="24"/>
          <w:lang w:val="fr-BE"/>
        </w:rPr>
        <w:t>ne peuvent que difficilement</w:t>
      </w:r>
      <w:r w:rsidR="007E4A17">
        <w:rPr>
          <w:sz w:val="24"/>
          <w:szCs w:val="24"/>
          <w:lang w:val="fr-BE"/>
        </w:rPr>
        <w:t xml:space="preserve"> ignorer les orientations de l’A</w:t>
      </w:r>
      <w:r w:rsidR="00A10484">
        <w:rPr>
          <w:sz w:val="24"/>
          <w:szCs w:val="24"/>
          <w:lang w:val="fr-BE"/>
        </w:rPr>
        <w:t>utorité bancaire européenne dans la mesure où ils sont susceptibles d’être évalué</w:t>
      </w:r>
      <w:r w:rsidR="007E4A17">
        <w:rPr>
          <w:sz w:val="24"/>
          <w:szCs w:val="24"/>
          <w:lang w:val="fr-BE"/>
        </w:rPr>
        <w:t>s</w:t>
      </w:r>
      <w:r w:rsidR="00A10484">
        <w:rPr>
          <w:sz w:val="24"/>
          <w:szCs w:val="24"/>
          <w:lang w:val="fr-BE"/>
        </w:rPr>
        <w:t xml:space="preserve"> </w:t>
      </w:r>
      <w:r w:rsidR="004A223D">
        <w:rPr>
          <w:sz w:val="24"/>
          <w:szCs w:val="24"/>
          <w:lang w:val="fr-BE"/>
        </w:rPr>
        <w:t>à la lumière de leurs exigences</w:t>
      </w:r>
      <w:r w:rsidR="00A10484">
        <w:rPr>
          <w:sz w:val="24"/>
          <w:szCs w:val="24"/>
          <w:lang w:val="fr-BE"/>
        </w:rPr>
        <w:t xml:space="preserve">. </w:t>
      </w:r>
      <w:r w:rsidR="004E766B">
        <w:rPr>
          <w:sz w:val="24"/>
          <w:szCs w:val="24"/>
          <w:lang w:val="fr-BE"/>
        </w:rPr>
        <w:t xml:space="preserve"> </w:t>
      </w:r>
    </w:p>
    <w:p w14:paraId="71D135CF" w14:textId="2219F6D5" w:rsidR="00BC3C1A" w:rsidRDefault="00BC3C1A" w:rsidP="00A05398">
      <w:pPr>
        <w:spacing w:line="360" w:lineRule="auto"/>
        <w:rPr>
          <w:sz w:val="24"/>
          <w:szCs w:val="24"/>
          <w:lang w:val="fr-BE"/>
        </w:rPr>
      </w:pPr>
    </w:p>
    <w:p w14:paraId="56E1F15E" w14:textId="77777777" w:rsidR="00A10484" w:rsidRPr="00AF25C9" w:rsidRDefault="00A10484" w:rsidP="00AF25C9">
      <w:pPr>
        <w:spacing w:line="360" w:lineRule="auto"/>
        <w:rPr>
          <w:sz w:val="24"/>
          <w:szCs w:val="24"/>
          <w:lang w:val="fr-BE"/>
        </w:rPr>
      </w:pPr>
    </w:p>
    <w:p w14:paraId="7F9CF34F" w14:textId="3D94C28F" w:rsidR="008802A6" w:rsidRPr="00443477" w:rsidRDefault="008802A6" w:rsidP="008802A6">
      <w:pPr>
        <w:spacing w:line="360" w:lineRule="auto"/>
        <w:rPr>
          <w:b/>
          <w:sz w:val="24"/>
          <w:szCs w:val="24"/>
          <w:lang w:val="fr-BE"/>
        </w:rPr>
      </w:pPr>
      <w:r w:rsidRPr="00443477">
        <w:rPr>
          <w:b/>
          <w:sz w:val="24"/>
          <w:szCs w:val="24"/>
          <w:lang w:val="fr-BE"/>
        </w:rPr>
        <w:t xml:space="preserve">Section 4. </w:t>
      </w:r>
      <w:r w:rsidR="004E766B" w:rsidRPr="00443477">
        <w:rPr>
          <w:b/>
          <w:sz w:val="24"/>
          <w:szCs w:val="24"/>
          <w:lang w:val="fr-BE"/>
        </w:rPr>
        <w:t>Qualités et limites du système actuel</w:t>
      </w:r>
    </w:p>
    <w:p w14:paraId="3A8C909E" w14:textId="77777777" w:rsidR="004E766B" w:rsidRDefault="004E766B" w:rsidP="008802A6">
      <w:pPr>
        <w:spacing w:line="360" w:lineRule="auto"/>
        <w:rPr>
          <w:sz w:val="24"/>
          <w:szCs w:val="24"/>
          <w:lang w:val="fr-BE"/>
        </w:rPr>
      </w:pPr>
    </w:p>
    <w:p w14:paraId="6003D696" w14:textId="5E22E558" w:rsidR="00164761" w:rsidRDefault="00021518" w:rsidP="00A972B0">
      <w:pPr>
        <w:spacing w:line="360" w:lineRule="auto"/>
        <w:rPr>
          <w:sz w:val="24"/>
          <w:szCs w:val="24"/>
          <w:lang w:val="fr-BE"/>
        </w:rPr>
      </w:pPr>
      <w:r>
        <w:rPr>
          <w:sz w:val="24"/>
          <w:szCs w:val="24"/>
          <w:lang w:val="fr-BE"/>
        </w:rPr>
        <w:tab/>
      </w:r>
      <w:r w:rsidR="00C81581">
        <w:rPr>
          <w:sz w:val="24"/>
          <w:szCs w:val="24"/>
          <w:lang w:val="fr-BE"/>
        </w:rPr>
        <w:t>Dans le cadre de la</w:t>
      </w:r>
      <w:r>
        <w:rPr>
          <w:sz w:val="24"/>
          <w:szCs w:val="24"/>
          <w:lang w:val="fr-BE"/>
        </w:rPr>
        <w:t xml:space="preserve"> section précédente</w:t>
      </w:r>
      <w:r w:rsidR="00C81581">
        <w:rPr>
          <w:sz w:val="24"/>
          <w:szCs w:val="24"/>
          <w:lang w:val="fr-BE"/>
        </w:rPr>
        <w:t xml:space="preserve">, nous avons </w:t>
      </w:r>
      <w:r>
        <w:rPr>
          <w:sz w:val="24"/>
          <w:szCs w:val="24"/>
          <w:lang w:val="fr-BE"/>
        </w:rPr>
        <w:t>démontré l’importance des normes bancaires adoptées dans un contexte de mondialisation et d’intégration européenne.</w:t>
      </w:r>
      <w:r w:rsidR="00C81581">
        <w:rPr>
          <w:sz w:val="24"/>
          <w:szCs w:val="24"/>
          <w:lang w:val="fr-BE"/>
        </w:rPr>
        <w:t xml:space="preserve">  Il semble </w:t>
      </w:r>
      <w:r w:rsidR="00DF49DF">
        <w:rPr>
          <w:sz w:val="24"/>
          <w:szCs w:val="24"/>
          <w:lang w:val="fr-BE"/>
        </w:rPr>
        <w:t>à ce titre</w:t>
      </w:r>
      <w:r w:rsidR="00C81581">
        <w:rPr>
          <w:sz w:val="24"/>
          <w:szCs w:val="24"/>
          <w:lang w:val="fr-BE"/>
        </w:rPr>
        <w:t xml:space="preserve"> </w:t>
      </w:r>
      <w:r w:rsidR="00DF49DF">
        <w:rPr>
          <w:sz w:val="24"/>
          <w:szCs w:val="24"/>
          <w:lang w:val="fr-BE"/>
        </w:rPr>
        <w:t>qu’</w:t>
      </w:r>
      <w:r w:rsidR="000F7B4B">
        <w:rPr>
          <w:sz w:val="24"/>
          <w:szCs w:val="24"/>
          <w:lang w:val="fr-BE"/>
        </w:rPr>
        <w:t>approcher</w:t>
      </w:r>
      <w:r w:rsidR="00DF49DF">
        <w:rPr>
          <w:sz w:val="24"/>
          <w:szCs w:val="24"/>
          <w:lang w:val="fr-BE"/>
        </w:rPr>
        <w:t xml:space="preserve"> ces instruments normatifs</w:t>
      </w:r>
      <w:r w:rsidR="000F7B4B">
        <w:rPr>
          <w:sz w:val="24"/>
          <w:szCs w:val="24"/>
          <w:lang w:val="fr-BE"/>
        </w:rPr>
        <w:t xml:space="preserve"> par le biais du paradigme de la </w:t>
      </w:r>
      <w:r w:rsidR="00DF49DF">
        <w:rPr>
          <w:sz w:val="24"/>
          <w:szCs w:val="24"/>
          <w:lang w:val="fr-BE"/>
        </w:rPr>
        <w:t>pyramide</w:t>
      </w:r>
      <w:r w:rsidR="000F7B4B">
        <w:rPr>
          <w:sz w:val="24"/>
          <w:szCs w:val="24"/>
          <w:lang w:val="fr-BE"/>
        </w:rPr>
        <w:t xml:space="preserve"> ne permette pas de rendre compte de l’importance qu’elles reçoivent dans une logique de réseau.   En effet, ces normes jouissent d’une grande effectivité : </w:t>
      </w:r>
      <w:r w:rsidR="00561C1C">
        <w:rPr>
          <w:sz w:val="24"/>
          <w:szCs w:val="24"/>
          <w:lang w:val="fr-BE"/>
        </w:rPr>
        <w:t xml:space="preserve"> elles produisent des effets en étant adoptées au sein des </w:t>
      </w:r>
      <w:r w:rsidR="00561C1C">
        <w:rPr>
          <w:sz w:val="24"/>
          <w:szCs w:val="24"/>
          <w:lang w:val="fr-BE"/>
        </w:rPr>
        <w:lastRenderedPageBreak/>
        <w:t xml:space="preserve">ordres nationaux et/ou appliqués </w:t>
      </w:r>
      <w:r w:rsidR="007911AC">
        <w:rPr>
          <w:sz w:val="24"/>
          <w:szCs w:val="24"/>
          <w:lang w:val="fr-BE"/>
        </w:rPr>
        <w:t xml:space="preserve">par des autorités de contrôle.  </w:t>
      </w:r>
      <w:r w:rsidR="000F7B4B">
        <w:rPr>
          <w:sz w:val="24"/>
          <w:szCs w:val="24"/>
          <w:lang w:val="fr-BE"/>
        </w:rPr>
        <w:t xml:space="preserve"> </w:t>
      </w:r>
      <w:r w:rsidR="004C3A6D">
        <w:rPr>
          <w:sz w:val="24"/>
          <w:szCs w:val="24"/>
          <w:lang w:val="fr-BE"/>
        </w:rPr>
        <w:t>Devons-nous cependant nous réjouir ou nous effrayer de l’émergence de ces normes ra</w:t>
      </w:r>
      <w:r w:rsidR="00164761">
        <w:rPr>
          <w:sz w:val="24"/>
          <w:szCs w:val="24"/>
          <w:lang w:val="fr-BE"/>
        </w:rPr>
        <w:t>mpantes ? La réponse n’est à nos yeux ni noire ni blanche mais mérite d’être nuancée</w:t>
      </w:r>
      <w:r w:rsidR="00F35974">
        <w:rPr>
          <w:sz w:val="24"/>
          <w:szCs w:val="24"/>
          <w:lang w:val="fr-BE"/>
        </w:rPr>
        <w:t xml:space="preserve"> suivant la perspective que l’on adopte</w:t>
      </w:r>
      <w:r w:rsidR="00164761">
        <w:rPr>
          <w:sz w:val="24"/>
          <w:szCs w:val="24"/>
          <w:lang w:val="fr-BE"/>
        </w:rPr>
        <w:t xml:space="preserve">.    Dans cette section nous analyserons </w:t>
      </w:r>
      <w:r w:rsidR="00F35974">
        <w:rPr>
          <w:sz w:val="24"/>
          <w:szCs w:val="24"/>
          <w:lang w:val="fr-BE"/>
        </w:rPr>
        <w:t>tour à</w:t>
      </w:r>
      <w:r w:rsidR="00DF49DF">
        <w:rPr>
          <w:sz w:val="24"/>
          <w:szCs w:val="24"/>
          <w:lang w:val="fr-BE"/>
        </w:rPr>
        <w:t xml:space="preserve"> tour c</w:t>
      </w:r>
      <w:r w:rsidR="00F35974">
        <w:rPr>
          <w:sz w:val="24"/>
          <w:szCs w:val="24"/>
          <w:lang w:val="fr-BE"/>
        </w:rPr>
        <w:t xml:space="preserve">es </w:t>
      </w:r>
      <w:r w:rsidR="00DF49DF">
        <w:rPr>
          <w:sz w:val="24"/>
          <w:szCs w:val="24"/>
          <w:lang w:val="fr-BE"/>
        </w:rPr>
        <w:t>standards</w:t>
      </w:r>
      <w:r w:rsidR="00F35974">
        <w:rPr>
          <w:sz w:val="24"/>
          <w:szCs w:val="24"/>
          <w:lang w:val="fr-BE"/>
        </w:rPr>
        <w:t xml:space="preserve"> aux regard des objectifs de stabilité du système</w:t>
      </w:r>
      <w:r w:rsidR="00DF49DF">
        <w:rPr>
          <w:sz w:val="24"/>
          <w:szCs w:val="24"/>
          <w:lang w:val="fr-BE"/>
        </w:rPr>
        <w:t xml:space="preserve"> bancaire</w:t>
      </w:r>
      <w:r w:rsidR="00F35974">
        <w:rPr>
          <w:sz w:val="24"/>
          <w:szCs w:val="24"/>
          <w:lang w:val="fr-BE"/>
        </w:rPr>
        <w:t xml:space="preserve">, de création d’un terrain de jeu commun, et </w:t>
      </w:r>
      <w:r w:rsidR="00033174">
        <w:rPr>
          <w:sz w:val="24"/>
          <w:szCs w:val="24"/>
          <w:lang w:val="fr-BE"/>
        </w:rPr>
        <w:t>de clarté du système</w:t>
      </w:r>
      <w:r w:rsidR="00F35974">
        <w:rPr>
          <w:sz w:val="24"/>
          <w:szCs w:val="24"/>
          <w:lang w:val="fr-BE"/>
        </w:rPr>
        <w:t xml:space="preserve">. </w:t>
      </w:r>
    </w:p>
    <w:p w14:paraId="3468F31E" w14:textId="394383B7" w:rsidR="00F35974" w:rsidRDefault="00F35974" w:rsidP="00A972B0">
      <w:pPr>
        <w:spacing w:line="360" w:lineRule="auto"/>
        <w:rPr>
          <w:sz w:val="24"/>
          <w:szCs w:val="24"/>
          <w:lang w:val="fr-BE"/>
        </w:rPr>
      </w:pPr>
    </w:p>
    <w:p w14:paraId="6E20D7B3" w14:textId="4696204D" w:rsidR="00F35974" w:rsidRPr="00F35974" w:rsidRDefault="00F35974" w:rsidP="00F35974">
      <w:pPr>
        <w:pStyle w:val="ListParagraph"/>
        <w:numPr>
          <w:ilvl w:val="0"/>
          <w:numId w:val="21"/>
        </w:numPr>
        <w:spacing w:line="360" w:lineRule="auto"/>
        <w:rPr>
          <w:sz w:val="24"/>
          <w:szCs w:val="24"/>
          <w:lang w:val="fr-BE"/>
        </w:rPr>
      </w:pPr>
      <w:r>
        <w:rPr>
          <w:sz w:val="24"/>
          <w:szCs w:val="24"/>
          <w:lang w:val="fr-BE"/>
        </w:rPr>
        <w:t>La stabilité du système bancaire</w:t>
      </w:r>
    </w:p>
    <w:p w14:paraId="302EF91E" w14:textId="77777777" w:rsidR="00991ECC" w:rsidRDefault="00991ECC" w:rsidP="008802A6">
      <w:pPr>
        <w:spacing w:line="360" w:lineRule="auto"/>
        <w:rPr>
          <w:sz w:val="24"/>
          <w:szCs w:val="24"/>
          <w:lang w:val="fr-BE"/>
        </w:rPr>
      </w:pPr>
    </w:p>
    <w:p w14:paraId="1517C3A0" w14:textId="299F91EC" w:rsidR="00991ECC" w:rsidRDefault="00991ECC" w:rsidP="008802A6">
      <w:pPr>
        <w:spacing w:line="360" w:lineRule="auto"/>
        <w:rPr>
          <w:sz w:val="24"/>
          <w:szCs w:val="24"/>
          <w:lang w:val="fr-BE"/>
        </w:rPr>
      </w:pPr>
      <w:r>
        <w:rPr>
          <w:sz w:val="24"/>
          <w:szCs w:val="24"/>
          <w:lang w:val="fr-BE"/>
        </w:rPr>
        <w:tab/>
      </w:r>
      <w:r w:rsidR="00AC51B1">
        <w:rPr>
          <w:sz w:val="24"/>
          <w:szCs w:val="24"/>
          <w:lang w:val="fr-BE"/>
        </w:rPr>
        <w:t xml:space="preserve">La stabilité du système bancaire fait indéniablement partie des grands thèmes de l’après-crise et </w:t>
      </w:r>
      <w:r w:rsidR="0061694F">
        <w:rPr>
          <w:sz w:val="24"/>
          <w:szCs w:val="24"/>
          <w:lang w:val="fr-BE"/>
        </w:rPr>
        <w:t xml:space="preserve">est sans doute le but principal du contrôle prudentiel.  </w:t>
      </w:r>
      <w:r w:rsidR="00AC51B1">
        <w:rPr>
          <w:sz w:val="24"/>
          <w:szCs w:val="24"/>
          <w:lang w:val="fr-BE"/>
        </w:rPr>
        <w:t xml:space="preserve"> </w:t>
      </w:r>
      <w:r w:rsidR="0061694F">
        <w:rPr>
          <w:sz w:val="24"/>
          <w:szCs w:val="24"/>
          <w:lang w:val="fr-BE"/>
        </w:rPr>
        <w:t xml:space="preserve">Les normes souples peuvent dès lors s’analyser en tant que moyen permettant d’atteindre cette stabilité. L’instrument est-il pertinent pour ce faire ? </w:t>
      </w:r>
      <w:r w:rsidR="00DF49DF">
        <w:rPr>
          <w:sz w:val="24"/>
          <w:szCs w:val="24"/>
          <w:lang w:val="fr-BE"/>
        </w:rPr>
        <w:t>Indéniablement, ces dernières participent à l’effort des autorités de contrôle bancaire pour atteindre cette fin en déterminant des exigences techniques pour tous les acteurs d’un secteur</w:t>
      </w:r>
      <w:r w:rsidR="002147A8">
        <w:rPr>
          <w:sz w:val="24"/>
          <w:szCs w:val="24"/>
          <w:lang w:val="fr-BE"/>
        </w:rPr>
        <w:t xml:space="preserve"> à des fins de prudence</w:t>
      </w:r>
      <w:r w:rsidR="00DF49DF">
        <w:rPr>
          <w:sz w:val="24"/>
          <w:szCs w:val="24"/>
          <w:lang w:val="fr-BE"/>
        </w:rPr>
        <w:t xml:space="preserve">. </w:t>
      </w:r>
      <w:r w:rsidR="001D3651">
        <w:rPr>
          <w:sz w:val="24"/>
          <w:szCs w:val="24"/>
          <w:lang w:val="fr-BE"/>
        </w:rPr>
        <w:t xml:space="preserve"> </w:t>
      </w:r>
      <w:r w:rsidR="006949C1">
        <w:rPr>
          <w:sz w:val="24"/>
          <w:szCs w:val="24"/>
          <w:lang w:val="fr-BE"/>
        </w:rPr>
        <w:t>En visant à assoir un terrain de jeu commun, elles</w:t>
      </w:r>
      <w:r w:rsidR="001D3651">
        <w:rPr>
          <w:sz w:val="24"/>
          <w:szCs w:val="24"/>
          <w:lang w:val="fr-BE"/>
        </w:rPr>
        <w:t xml:space="preserve"> constituent un outil à l’encontre de la course réglementaire vers le bas expliquée ci-avant. </w:t>
      </w:r>
      <w:r w:rsidR="00DF49DF">
        <w:rPr>
          <w:sz w:val="24"/>
          <w:szCs w:val="24"/>
          <w:lang w:val="fr-BE"/>
        </w:rPr>
        <w:t xml:space="preserve"> Par ailleurs, au regard du nationalisme bancaire, elle ont certainement le mérite </w:t>
      </w:r>
      <w:r w:rsidR="002147A8">
        <w:rPr>
          <w:sz w:val="24"/>
          <w:szCs w:val="24"/>
          <w:lang w:val="fr-BE"/>
        </w:rPr>
        <w:t>de porter moins atteinte à la</w:t>
      </w:r>
      <w:r w:rsidR="00DF49DF">
        <w:rPr>
          <w:sz w:val="24"/>
          <w:szCs w:val="24"/>
          <w:lang w:val="fr-BE"/>
        </w:rPr>
        <w:t xml:space="preserve"> souveraineté des Etats</w:t>
      </w:r>
      <w:r w:rsidR="002147A8">
        <w:rPr>
          <w:sz w:val="24"/>
          <w:szCs w:val="24"/>
          <w:lang w:val="fr-BE"/>
        </w:rPr>
        <w:t xml:space="preserve"> et dès lors de pouvoir être plus facilement adoptées</w:t>
      </w:r>
      <w:r w:rsidR="00DF49DF">
        <w:rPr>
          <w:sz w:val="24"/>
          <w:szCs w:val="24"/>
          <w:lang w:val="fr-BE"/>
        </w:rPr>
        <w:t xml:space="preserve">. </w:t>
      </w:r>
      <w:r w:rsidR="00103D12">
        <w:rPr>
          <w:sz w:val="24"/>
          <w:szCs w:val="24"/>
          <w:lang w:val="fr-BE"/>
        </w:rPr>
        <w:t xml:space="preserve"> La souplesse permet</w:t>
      </w:r>
      <w:r w:rsidR="002147A8">
        <w:rPr>
          <w:sz w:val="24"/>
          <w:szCs w:val="24"/>
          <w:lang w:val="fr-BE"/>
        </w:rPr>
        <w:t xml:space="preserve"> enfin</w:t>
      </w:r>
      <w:r w:rsidR="00103D12">
        <w:rPr>
          <w:sz w:val="24"/>
          <w:szCs w:val="24"/>
          <w:lang w:val="fr-BE"/>
        </w:rPr>
        <w:t>, d’adapter si nécessaire plus facilement la norme</w:t>
      </w:r>
      <w:r w:rsidR="00DF49DF">
        <w:rPr>
          <w:sz w:val="24"/>
          <w:szCs w:val="24"/>
          <w:lang w:val="fr-BE"/>
        </w:rPr>
        <w:t xml:space="preserve"> </w:t>
      </w:r>
      <w:r w:rsidR="00103D12">
        <w:rPr>
          <w:sz w:val="24"/>
          <w:szCs w:val="24"/>
          <w:lang w:val="fr-BE"/>
        </w:rPr>
        <w:t>aux spécificités du cas concret, ce qui permettra un</w:t>
      </w:r>
      <w:r w:rsidR="001F7D61">
        <w:rPr>
          <w:sz w:val="24"/>
          <w:szCs w:val="24"/>
          <w:lang w:val="fr-BE"/>
        </w:rPr>
        <w:t>e</w:t>
      </w:r>
      <w:r w:rsidR="00103D12">
        <w:rPr>
          <w:sz w:val="24"/>
          <w:szCs w:val="24"/>
          <w:lang w:val="fr-BE"/>
        </w:rPr>
        <w:t xml:space="preserve"> plus grande proportionnalité de l’instrument</w:t>
      </w:r>
      <w:r w:rsidR="001D3651">
        <w:rPr>
          <w:sz w:val="24"/>
          <w:szCs w:val="24"/>
          <w:lang w:val="fr-BE"/>
        </w:rPr>
        <w:t xml:space="preserve"> vis-à-vis de l’objectif de stabilité du système</w:t>
      </w:r>
      <w:r w:rsidR="00103D12">
        <w:rPr>
          <w:sz w:val="24"/>
          <w:szCs w:val="24"/>
          <w:lang w:val="fr-BE"/>
        </w:rPr>
        <w:t xml:space="preserve">.   </w:t>
      </w:r>
      <w:r w:rsidR="00DF49DF">
        <w:rPr>
          <w:sz w:val="24"/>
          <w:szCs w:val="24"/>
          <w:lang w:val="fr-BE"/>
        </w:rPr>
        <w:t xml:space="preserve">Cependant, </w:t>
      </w:r>
      <w:r w:rsidR="00972A54">
        <w:rPr>
          <w:sz w:val="24"/>
          <w:szCs w:val="24"/>
          <w:lang w:val="fr-BE"/>
        </w:rPr>
        <w:t>l</w:t>
      </w:r>
      <w:r w:rsidR="00C920BE">
        <w:rPr>
          <w:sz w:val="24"/>
          <w:szCs w:val="24"/>
          <w:lang w:val="fr-BE"/>
        </w:rPr>
        <w:t>es cri</w:t>
      </w:r>
      <w:r w:rsidR="00AF25C9">
        <w:rPr>
          <w:sz w:val="24"/>
          <w:szCs w:val="24"/>
          <w:lang w:val="fr-BE"/>
        </w:rPr>
        <w:t>ses successives permettent de questionner</w:t>
      </w:r>
      <w:r w:rsidR="00DF49DF">
        <w:rPr>
          <w:sz w:val="24"/>
          <w:szCs w:val="24"/>
          <w:lang w:val="fr-BE"/>
        </w:rPr>
        <w:t xml:space="preserve"> le système normatif mis en place</w:t>
      </w:r>
      <w:r w:rsidR="00103D12">
        <w:rPr>
          <w:sz w:val="24"/>
          <w:szCs w:val="24"/>
          <w:lang w:val="fr-BE"/>
        </w:rPr>
        <w:t xml:space="preserve"> et sa capacité à prévenir celles-ci</w:t>
      </w:r>
      <w:r w:rsidR="00972A54">
        <w:rPr>
          <w:sz w:val="24"/>
          <w:szCs w:val="24"/>
          <w:lang w:val="fr-BE"/>
        </w:rPr>
        <w:t xml:space="preserve">. </w:t>
      </w:r>
      <w:r w:rsidR="00DF49DF">
        <w:rPr>
          <w:sz w:val="24"/>
          <w:szCs w:val="24"/>
          <w:lang w:val="fr-BE"/>
        </w:rPr>
        <w:t xml:space="preserve"> Est-il en effet suffisant de mettre en place des normes souples</w:t>
      </w:r>
      <w:r w:rsidR="00103D12">
        <w:rPr>
          <w:sz w:val="24"/>
          <w:szCs w:val="24"/>
          <w:lang w:val="fr-BE"/>
        </w:rPr>
        <w:t xml:space="preserve"> pour faire face aux dangers et aux trop grandes prises de risques au sein du secteur bancaire</w:t>
      </w:r>
      <w:r w:rsidR="00DF49DF">
        <w:rPr>
          <w:sz w:val="24"/>
          <w:szCs w:val="24"/>
          <w:lang w:val="fr-BE"/>
        </w:rPr>
        <w:t xml:space="preserve"> ?  Le fait que la dernière crise financière ait ses sources aux Etats-Unis, pays </w:t>
      </w:r>
      <w:r w:rsidR="00103D12">
        <w:rPr>
          <w:sz w:val="24"/>
          <w:szCs w:val="24"/>
          <w:lang w:val="fr-BE"/>
        </w:rPr>
        <w:t>n’ayant avant cet événement que très partiellement adopté les normes prudentielles dites de « Bâle II » établies par le Comité de Bâle</w:t>
      </w:r>
      <w:r w:rsidR="00103D12">
        <w:rPr>
          <w:rStyle w:val="FootnoteReference"/>
          <w:szCs w:val="24"/>
          <w:lang w:val="fr-BE"/>
        </w:rPr>
        <w:footnoteReference w:id="64"/>
      </w:r>
      <w:r w:rsidR="00103D12">
        <w:rPr>
          <w:sz w:val="24"/>
          <w:szCs w:val="24"/>
          <w:lang w:val="fr-BE"/>
        </w:rPr>
        <w:t xml:space="preserve"> est sans doute révélateur des limites d’un système souple.  </w:t>
      </w:r>
      <w:r w:rsidR="00972A54">
        <w:rPr>
          <w:sz w:val="24"/>
          <w:szCs w:val="24"/>
          <w:lang w:val="fr-BE"/>
        </w:rPr>
        <w:t>P</w:t>
      </w:r>
      <w:r w:rsidR="00C920BE">
        <w:rPr>
          <w:sz w:val="24"/>
          <w:szCs w:val="24"/>
          <w:lang w:val="fr-BE"/>
        </w:rPr>
        <w:t xml:space="preserve">eut-être peut-on se demander </w:t>
      </w:r>
      <w:r w:rsidR="00972A54">
        <w:rPr>
          <w:sz w:val="24"/>
          <w:szCs w:val="24"/>
          <w:lang w:val="fr-BE"/>
        </w:rPr>
        <w:t xml:space="preserve">à cet égard </w:t>
      </w:r>
      <w:r w:rsidR="00C920BE">
        <w:rPr>
          <w:sz w:val="24"/>
          <w:szCs w:val="24"/>
          <w:lang w:val="fr-BE"/>
        </w:rPr>
        <w:t xml:space="preserve">dans quelle mesure les auteurs de ces normes </w:t>
      </w:r>
      <w:r w:rsidR="00972A54">
        <w:rPr>
          <w:sz w:val="24"/>
          <w:szCs w:val="24"/>
          <w:lang w:val="fr-BE"/>
        </w:rPr>
        <w:t xml:space="preserve">n’ont pas eux-mêmes </w:t>
      </w:r>
      <w:r w:rsidR="00AF25C9">
        <w:rPr>
          <w:sz w:val="24"/>
          <w:szCs w:val="24"/>
          <w:lang w:val="fr-BE"/>
        </w:rPr>
        <w:t xml:space="preserve">compris les limites d’un système de </w:t>
      </w:r>
      <w:r w:rsidR="00AF25C9" w:rsidRPr="00AF25C9">
        <w:rPr>
          <w:i/>
          <w:sz w:val="24"/>
          <w:szCs w:val="24"/>
          <w:lang w:val="fr-BE"/>
        </w:rPr>
        <w:t>soft law</w:t>
      </w:r>
      <w:r w:rsidR="00972A54">
        <w:rPr>
          <w:sz w:val="24"/>
          <w:szCs w:val="24"/>
          <w:lang w:val="fr-BE"/>
        </w:rPr>
        <w:t xml:space="preserve"> </w:t>
      </w:r>
      <w:r w:rsidR="007F762B">
        <w:rPr>
          <w:sz w:val="24"/>
          <w:szCs w:val="24"/>
          <w:lang w:val="fr-BE"/>
        </w:rPr>
        <w:t>au vu de la</w:t>
      </w:r>
      <w:r w:rsidR="007A385D">
        <w:rPr>
          <w:sz w:val="24"/>
          <w:szCs w:val="24"/>
          <w:lang w:val="fr-BE"/>
        </w:rPr>
        <w:t xml:space="preserve"> solidification progressive au fil des crises.  </w:t>
      </w:r>
      <w:r w:rsidR="00017774">
        <w:rPr>
          <w:sz w:val="24"/>
          <w:szCs w:val="24"/>
          <w:lang w:val="fr-BE"/>
        </w:rPr>
        <w:t>D</w:t>
      </w:r>
      <w:r w:rsidR="007A385D">
        <w:rPr>
          <w:sz w:val="24"/>
          <w:szCs w:val="24"/>
          <w:lang w:val="fr-BE"/>
        </w:rPr>
        <w:t>es méthodes de</w:t>
      </w:r>
      <w:r w:rsidR="00072F60">
        <w:rPr>
          <w:sz w:val="24"/>
          <w:szCs w:val="24"/>
          <w:lang w:val="fr-BE"/>
        </w:rPr>
        <w:t xml:space="preserve"> contrôle</w:t>
      </w:r>
      <w:r w:rsidR="007A385D">
        <w:rPr>
          <w:sz w:val="24"/>
          <w:szCs w:val="24"/>
          <w:lang w:val="fr-BE"/>
        </w:rPr>
        <w:t xml:space="preserve"> du respect de ces normes </w:t>
      </w:r>
      <w:r w:rsidR="00017774">
        <w:rPr>
          <w:sz w:val="24"/>
          <w:szCs w:val="24"/>
          <w:lang w:val="fr-BE"/>
        </w:rPr>
        <w:t>ont en effet été mise</w:t>
      </w:r>
      <w:r w:rsidR="001D3651">
        <w:rPr>
          <w:sz w:val="24"/>
          <w:szCs w:val="24"/>
          <w:lang w:val="fr-BE"/>
        </w:rPr>
        <w:t>s</w:t>
      </w:r>
      <w:r w:rsidR="00017774">
        <w:rPr>
          <w:sz w:val="24"/>
          <w:szCs w:val="24"/>
          <w:lang w:val="fr-BE"/>
        </w:rPr>
        <w:t xml:space="preserve"> en place par ces acteurs et les organisations </w:t>
      </w:r>
      <w:r w:rsidR="00017774">
        <w:rPr>
          <w:sz w:val="24"/>
          <w:szCs w:val="24"/>
          <w:lang w:val="fr-BE"/>
        </w:rPr>
        <w:lastRenderedPageBreak/>
        <w:t>internat</w:t>
      </w:r>
      <w:r w:rsidR="001D3651">
        <w:rPr>
          <w:sz w:val="24"/>
          <w:szCs w:val="24"/>
          <w:lang w:val="fr-BE"/>
        </w:rPr>
        <w:t xml:space="preserve">ionales </w:t>
      </w:r>
      <w:r w:rsidR="007A385D">
        <w:rPr>
          <w:sz w:val="24"/>
          <w:szCs w:val="24"/>
          <w:lang w:val="fr-BE"/>
        </w:rPr>
        <w:t>à l’image des évaluation</w:t>
      </w:r>
      <w:r w:rsidR="001D3651">
        <w:rPr>
          <w:sz w:val="24"/>
          <w:szCs w:val="24"/>
          <w:lang w:val="fr-BE"/>
        </w:rPr>
        <w:t>s</w:t>
      </w:r>
      <w:r w:rsidR="007A385D">
        <w:rPr>
          <w:sz w:val="24"/>
          <w:szCs w:val="24"/>
          <w:lang w:val="fr-BE"/>
        </w:rPr>
        <w:t xml:space="preserve"> du FMI de l’adoption des standards dans les systèmes juridiques</w:t>
      </w:r>
      <w:r w:rsidR="001D3651">
        <w:rPr>
          <w:sz w:val="24"/>
          <w:szCs w:val="24"/>
          <w:lang w:val="fr-BE"/>
        </w:rPr>
        <w:t xml:space="preserve"> nationaux, de l’évaluation de leur adoption par les paires ou encore de leur utilisation comme condition aux prêts du FMI et de la Banque mondiale</w:t>
      </w:r>
      <w:r w:rsidR="007A385D">
        <w:rPr>
          <w:sz w:val="24"/>
          <w:szCs w:val="24"/>
          <w:lang w:val="fr-BE"/>
        </w:rPr>
        <w:t xml:space="preserve"> </w:t>
      </w:r>
      <w:r w:rsidR="00C920BE">
        <w:rPr>
          <w:sz w:val="24"/>
          <w:szCs w:val="24"/>
          <w:lang w:val="fr-BE"/>
        </w:rPr>
        <w:t xml:space="preserve">(voir section 3) </w:t>
      </w:r>
      <w:r w:rsidR="00C920BE">
        <w:rPr>
          <w:rStyle w:val="FootnoteReference"/>
          <w:szCs w:val="24"/>
          <w:lang w:val="fr-BE"/>
        </w:rPr>
        <w:footnoteReference w:id="65"/>
      </w:r>
      <w:r w:rsidR="00C920BE">
        <w:rPr>
          <w:sz w:val="24"/>
          <w:szCs w:val="24"/>
          <w:lang w:val="fr-BE"/>
        </w:rPr>
        <w:t xml:space="preserve">. </w:t>
      </w:r>
      <w:r w:rsidR="007A385D">
        <w:rPr>
          <w:sz w:val="24"/>
          <w:szCs w:val="24"/>
          <w:lang w:val="fr-BE"/>
        </w:rPr>
        <w:t xml:space="preserve"> </w:t>
      </w:r>
      <w:r w:rsidR="007F762B">
        <w:rPr>
          <w:sz w:val="24"/>
          <w:szCs w:val="24"/>
          <w:lang w:val="fr-BE"/>
        </w:rPr>
        <w:t xml:space="preserve">L’arsenal </w:t>
      </w:r>
      <w:r w:rsidR="001D3651">
        <w:rPr>
          <w:sz w:val="24"/>
          <w:szCs w:val="24"/>
          <w:lang w:val="fr-BE"/>
        </w:rPr>
        <w:t xml:space="preserve">normatif mondial </w:t>
      </w:r>
      <w:r w:rsidR="00930883">
        <w:rPr>
          <w:sz w:val="24"/>
          <w:szCs w:val="24"/>
          <w:lang w:val="fr-BE"/>
        </w:rPr>
        <w:t xml:space="preserve">actuel </w:t>
      </w:r>
      <w:r w:rsidR="007F762B">
        <w:rPr>
          <w:sz w:val="24"/>
          <w:szCs w:val="24"/>
          <w:lang w:val="fr-BE"/>
        </w:rPr>
        <w:t>ne constitue</w:t>
      </w:r>
      <w:r w:rsidR="00B01EBB">
        <w:rPr>
          <w:sz w:val="24"/>
          <w:szCs w:val="24"/>
          <w:lang w:val="fr-BE"/>
        </w:rPr>
        <w:t xml:space="preserve"> sans doute</w:t>
      </w:r>
      <w:r w:rsidR="007F762B">
        <w:rPr>
          <w:sz w:val="24"/>
          <w:szCs w:val="24"/>
          <w:lang w:val="fr-BE"/>
        </w:rPr>
        <w:t xml:space="preserve"> à ce titre que la dernière version d’un système en formation se créant par le biais d’essais et d’erreurs au gré des défauts bancaires.   </w:t>
      </w:r>
      <w:r w:rsidR="001D3651">
        <w:rPr>
          <w:sz w:val="24"/>
          <w:szCs w:val="24"/>
          <w:lang w:val="fr-BE"/>
        </w:rPr>
        <w:t>Le futur nous conduira sans doute à la mise en place de nouvelles solutions normatives, peut-être par le biais des nouvelles technologies, qui rendront la qualification de « souple » de ce</w:t>
      </w:r>
      <w:r w:rsidR="0074285B">
        <w:rPr>
          <w:sz w:val="24"/>
          <w:szCs w:val="24"/>
          <w:lang w:val="fr-BE"/>
        </w:rPr>
        <w:t>s</w:t>
      </w:r>
      <w:r w:rsidR="001D3651">
        <w:rPr>
          <w:sz w:val="24"/>
          <w:szCs w:val="24"/>
          <w:lang w:val="fr-BE"/>
        </w:rPr>
        <w:t xml:space="preserve"> normes de pl</w:t>
      </w:r>
      <w:r w:rsidR="00930883">
        <w:rPr>
          <w:sz w:val="24"/>
          <w:szCs w:val="24"/>
          <w:lang w:val="fr-BE"/>
        </w:rPr>
        <w:t>us en plus sujette à précaution</w:t>
      </w:r>
      <w:r w:rsidR="001D3651">
        <w:rPr>
          <w:sz w:val="24"/>
          <w:szCs w:val="24"/>
          <w:lang w:val="fr-BE"/>
        </w:rPr>
        <w:t xml:space="preserve"> et conduiront à d’autres types de risques. </w:t>
      </w:r>
    </w:p>
    <w:p w14:paraId="3336345D" w14:textId="4183B14C" w:rsidR="00F35974" w:rsidRDefault="00F35974" w:rsidP="008802A6">
      <w:pPr>
        <w:spacing w:line="360" w:lineRule="auto"/>
        <w:rPr>
          <w:sz w:val="24"/>
          <w:szCs w:val="24"/>
          <w:lang w:val="fr-BE"/>
        </w:rPr>
      </w:pPr>
    </w:p>
    <w:p w14:paraId="74357E75" w14:textId="2B659DA3" w:rsidR="00F35974" w:rsidRPr="00F35974" w:rsidRDefault="00F35974" w:rsidP="00F35974">
      <w:pPr>
        <w:pStyle w:val="ListParagraph"/>
        <w:numPr>
          <w:ilvl w:val="0"/>
          <w:numId w:val="21"/>
        </w:numPr>
        <w:spacing w:line="360" w:lineRule="auto"/>
        <w:rPr>
          <w:sz w:val="24"/>
          <w:szCs w:val="24"/>
          <w:lang w:val="fr-BE"/>
        </w:rPr>
      </w:pPr>
      <w:r>
        <w:rPr>
          <w:sz w:val="24"/>
          <w:szCs w:val="24"/>
          <w:lang w:val="fr-BE"/>
        </w:rPr>
        <w:t>La création de normes communes</w:t>
      </w:r>
    </w:p>
    <w:p w14:paraId="5A2D040A" w14:textId="77777777" w:rsidR="00301116" w:rsidRDefault="00301116" w:rsidP="008802A6">
      <w:pPr>
        <w:spacing w:line="360" w:lineRule="auto"/>
        <w:rPr>
          <w:sz w:val="24"/>
          <w:szCs w:val="24"/>
          <w:lang w:val="fr-BE"/>
        </w:rPr>
      </w:pPr>
    </w:p>
    <w:p w14:paraId="7663E377" w14:textId="6F888255" w:rsidR="008802A6" w:rsidRDefault="00301116" w:rsidP="008802A6">
      <w:pPr>
        <w:spacing w:line="360" w:lineRule="auto"/>
        <w:rPr>
          <w:sz w:val="24"/>
          <w:szCs w:val="24"/>
          <w:lang w:val="fr-BE"/>
        </w:rPr>
      </w:pPr>
      <w:r>
        <w:rPr>
          <w:sz w:val="24"/>
          <w:szCs w:val="24"/>
          <w:lang w:val="fr-BE"/>
        </w:rPr>
        <w:tab/>
      </w:r>
      <w:r w:rsidR="001D3651">
        <w:rPr>
          <w:sz w:val="24"/>
          <w:szCs w:val="24"/>
          <w:lang w:val="fr-BE"/>
        </w:rPr>
        <w:t xml:space="preserve">Les normes prudentielles mondiales et de l’Union européenne ont également toujours eu une visée de concurrence loyale.  Elles tendent à cet égard à créer un terrain de jeu commun ou, en anglais, un </w:t>
      </w:r>
      <w:proofErr w:type="spellStart"/>
      <w:r w:rsidR="001D3651" w:rsidRPr="001D3651">
        <w:rPr>
          <w:i/>
          <w:sz w:val="24"/>
          <w:szCs w:val="24"/>
          <w:lang w:val="fr-BE"/>
        </w:rPr>
        <w:t>level</w:t>
      </w:r>
      <w:proofErr w:type="spellEnd"/>
      <w:r w:rsidR="001D3651" w:rsidRPr="001D3651">
        <w:rPr>
          <w:i/>
          <w:sz w:val="24"/>
          <w:szCs w:val="24"/>
          <w:lang w:val="fr-BE"/>
        </w:rPr>
        <w:t xml:space="preserve"> </w:t>
      </w:r>
      <w:proofErr w:type="spellStart"/>
      <w:r w:rsidR="001D3651" w:rsidRPr="001D3651">
        <w:rPr>
          <w:i/>
          <w:sz w:val="24"/>
          <w:szCs w:val="24"/>
          <w:lang w:val="fr-BE"/>
        </w:rPr>
        <w:t>playing</w:t>
      </w:r>
      <w:proofErr w:type="spellEnd"/>
      <w:r w:rsidR="001D3651" w:rsidRPr="001D3651">
        <w:rPr>
          <w:i/>
          <w:sz w:val="24"/>
          <w:szCs w:val="24"/>
          <w:lang w:val="fr-BE"/>
        </w:rPr>
        <w:t xml:space="preserve"> </w:t>
      </w:r>
      <w:proofErr w:type="spellStart"/>
      <w:r w:rsidR="001D3651" w:rsidRPr="001D3651">
        <w:rPr>
          <w:i/>
          <w:sz w:val="24"/>
          <w:szCs w:val="24"/>
          <w:lang w:val="fr-BE"/>
        </w:rPr>
        <w:t>field</w:t>
      </w:r>
      <w:proofErr w:type="spellEnd"/>
      <w:r w:rsidR="006A2D62">
        <w:rPr>
          <w:sz w:val="24"/>
          <w:szCs w:val="24"/>
          <w:lang w:val="fr-BE"/>
        </w:rPr>
        <w:t xml:space="preserve"> en établissant</w:t>
      </w:r>
      <w:r w:rsidR="0074285B">
        <w:rPr>
          <w:sz w:val="24"/>
          <w:szCs w:val="24"/>
          <w:lang w:val="fr-BE"/>
        </w:rPr>
        <w:t xml:space="preserve"> des exigences prudentielles </w:t>
      </w:r>
      <w:r w:rsidR="006A2D62">
        <w:rPr>
          <w:sz w:val="24"/>
          <w:szCs w:val="24"/>
          <w:lang w:val="fr-BE"/>
        </w:rPr>
        <w:t xml:space="preserve">communes à tous.  </w:t>
      </w:r>
      <w:r w:rsidR="00F143FD">
        <w:rPr>
          <w:sz w:val="24"/>
          <w:szCs w:val="24"/>
          <w:lang w:val="fr-BE"/>
        </w:rPr>
        <w:t xml:space="preserve"> Si les normes sont donc positives et utiles pour atteindre cet objectif</w:t>
      </w:r>
      <w:r w:rsidR="004974D1">
        <w:rPr>
          <w:sz w:val="24"/>
          <w:szCs w:val="24"/>
          <w:lang w:val="fr-BE"/>
        </w:rPr>
        <w:t>, nous devons également ici nuancer notre propos.</w:t>
      </w:r>
      <w:r w:rsidR="00F143FD">
        <w:rPr>
          <w:sz w:val="24"/>
          <w:szCs w:val="24"/>
          <w:lang w:val="fr-BE"/>
        </w:rPr>
        <w:t xml:space="preserve"> </w:t>
      </w:r>
      <w:r w:rsidR="00B01EBB">
        <w:rPr>
          <w:sz w:val="24"/>
          <w:szCs w:val="24"/>
          <w:lang w:val="fr-BE"/>
        </w:rPr>
        <w:t xml:space="preserve"> </w:t>
      </w:r>
      <w:r w:rsidR="004974D1">
        <w:rPr>
          <w:sz w:val="24"/>
          <w:szCs w:val="24"/>
          <w:lang w:val="fr-BE"/>
        </w:rPr>
        <w:t>En effet,</w:t>
      </w:r>
      <w:r w:rsidR="00B01EBB">
        <w:rPr>
          <w:sz w:val="24"/>
          <w:szCs w:val="24"/>
          <w:lang w:val="fr-BE"/>
        </w:rPr>
        <w:t xml:space="preserve"> ces normes s’intègrent au sein de systèmes juridiques et règlementaire</w:t>
      </w:r>
      <w:r w:rsidR="00F143FD">
        <w:rPr>
          <w:sz w:val="24"/>
          <w:szCs w:val="24"/>
          <w:lang w:val="fr-BE"/>
        </w:rPr>
        <w:t>s</w:t>
      </w:r>
      <w:r w:rsidR="00B01EBB">
        <w:rPr>
          <w:sz w:val="24"/>
          <w:szCs w:val="24"/>
          <w:lang w:val="fr-BE"/>
        </w:rPr>
        <w:t xml:space="preserve"> différenciés. </w:t>
      </w:r>
      <w:r w:rsidR="000E7A0D">
        <w:rPr>
          <w:sz w:val="24"/>
          <w:szCs w:val="24"/>
          <w:lang w:val="fr-BE"/>
        </w:rPr>
        <w:t>A cet égard,</w:t>
      </w:r>
      <w:r w:rsidR="00443477">
        <w:rPr>
          <w:sz w:val="24"/>
          <w:szCs w:val="24"/>
          <w:lang w:val="fr-BE"/>
        </w:rPr>
        <w:t xml:space="preserve"> nous pouvons nous poser la question de savoir si</w:t>
      </w:r>
      <w:r w:rsidR="00AF25C9">
        <w:rPr>
          <w:sz w:val="24"/>
          <w:szCs w:val="24"/>
          <w:lang w:val="fr-BE"/>
        </w:rPr>
        <w:t xml:space="preserve"> harmoniser par le biais de </w:t>
      </w:r>
      <w:r w:rsidR="00AF25C9" w:rsidRPr="00013EA8">
        <w:rPr>
          <w:i/>
          <w:sz w:val="24"/>
          <w:szCs w:val="24"/>
          <w:lang w:val="fr-BE"/>
        </w:rPr>
        <w:t>s</w:t>
      </w:r>
      <w:r w:rsidR="0098400B" w:rsidRPr="00013EA8">
        <w:rPr>
          <w:i/>
          <w:sz w:val="24"/>
          <w:szCs w:val="24"/>
          <w:lang w:val="fr-BE"/>
        </w:rPr>
        <w:t xml:space="preserve">oft </w:t>
      </w:r>
      <w:proofErr w:type="spellStart"/>
      <w:r w:rsidR="0098400B" w:rsidRPr="00013EA8">
        <w:rPr>
          <w:i/>
          <w:sz w:val="24"/>
          <w:szCs w:val="24"/>
          <w:lang w:val="fr-BE"/>
        </w:rPr>
        <w:t>law</w:t>
      </w:r>
      <w:proofErr w:type="spellEnd"/>
      <w:r w:rsidR="0098400B">
        <w:rPr>
          <w:sz w:val="24"/>
          <w:szCs w:val="24"/>
          <w:lang w:val="fr-BE"/>
        </w:rPr>
        <w:t xml:space="preserve"> des systèmes différent</w:t>
      </w:r>
      <w:r w:rsidR="00AF25C9">
        <w:rPr>
          <w:sz w:val="24"/>
          <w:szCs w:val="24"/>
          <w:lang w:val="fr-BE"/>
        </w:rPr>
        <w:t>s</w:t>
      </w:r>
      <w:r w:rsidR="00443477">
        <w:rPr>
          <w:sz w:val="24"/>
          <w:szCs w:val="24"/>
          <w:lang w:val="fr-BE"/>
        </w:rPr>
        <w:t xml:space="preserve"> ne contribuent pas </w:t>
      </w:r>
      <w:r w:rsidR="00E6779F">
        <w:rPr>
          <w:sz w:val="24"/>
          <w:szCs w:val="24"/>
          <w:lang w:val="fr-BE"/>
        </w:rPr>
        <w:t xml:space="preserve">quelques fois </w:t>
      </w:r>
      <w:r w:rsidR="00443477">
        <w:rPr>
          <w:sz w:val="24"/>
          <w:szCs w:val="24"/>
          <w:lang w:val="fr-BE"/>
        </w:rPr>
        <w:t xml:space="preserve">à </w:t>
      </w:r>
      <w:r w:rsidR="00B01EBB">
        <w:rPr>
          <w:sz w:val="24"/>
          <w:szCs w:val="24"/>
          <w:lang w:val="fr-BE"/>
        </w:rPr>
        <w:t>accen</w:t>
      </w:r>
      <w:r w:rsidR="0098400B">
        <w:rPr>
          <w:sz w:val="24"/>
          <w:szCs w:val="24"/>
          <w:lang w:val="fr-BE"/>
        </w:rPr>
        <w:t>tuer des différences.   P</w:t>
      </w:r>
      <w:r w:rsidR="00B01EBB">
        <w:rPr>
          <w:sz w:val="24"/>
          <w:szCs w:val="24"/>
          <w:lang w:val="fr-BE"/>
        </w:rPr>
        <w:t>ar le biais de</w:t>
      </w:r>
      <w:r w:rsidR="00443477">
        <w:rPr>
          <w:sz w:val="24"/>
          <w:szCs w:val="24"/>
          <w:lang w:val="fr-BE"/>
        </w:rPr>
        <w:t xml:space="preserve"> normes </w:t>
      </w:r>
      <w:r w:rsidR="00B01EBB">
        <w:rPr>
          <w:sz w:val="24"/>
          <w:szCs w:val="24"/>
          <w:lang w:val="fr-BE"/>
        </w:rPr>
        <w:t>communes</w:t>
      </w:r>
      <w:r w:rsidR="00443477">
        <w:rPr>
          <w:sz w:val="24"/>
          <w:szCs w:val="24"/>
          <w:lang w:val="fr-BE"/>
        </w:rPr>
        <w:t xml:space="preserve">, un même dispositif </w:t>
      </w:r>
      <w:r w:rsidR="00E81237">
        <w:rPr>
          <w:sz w:val="24"/>
          <w:szCs w:val="24"/>
          <w:lang w:val="fr-BE"/>
        </w:rPr>
        <w:t>s’applique</w:t>
      </w:r>
      <w:r w:rsidR="00443477">
        <w:rPr>
          <w:sz w:val="24"/>
          <w:szCs w:val="24"/>
          <w:lang w:val="fr-BE"/>
        </w:rPr>
        <w:t xml:space="preserve"> </w:t>
      </w:r>
      <w:r w:rsidR="0098400B">
        <w:rPr>
          <w:sz w:val="24"/>
          <w:szCs w:val="24"/>
          <w:lang w:val="fr-BE"/>
        </w:rPr>
        <w:t xml:space="preserve">ainsi </w:t>
      </w:r>
      <w:r w:rsidR="00443477">
        <w:rPr>
          <w:sz w:val="24"/>
          <w:szCs w:val="24"/>
          <w:lang w:val="fr-BE"/>
        </w:rPr>
        <w:t xml:space="preserve">à des règles de droit différentes ce qui pourrait avoir comme effet pervers d’augmenter </w:t>
      </w:r>
      <w:r w:rsidR="0098400B">
        <w:rPr>
          <w:sz w:val="24"/>
          <w:szCs w:val="24"/>
          <w:lang w:val="fr-BE"/>
        </w:rPr>
        <w:t>les différenciations</w:t>
      </w:r>
      <w:r w:rsidR="00E81237">
        <w:rPr>
          <w:sz w:val="24"/>
          <w:szCs w:val="24"/>
          <w:lang w:val="fr-BE"/>
        </w:rPr>
        <w:t xml:space="preserve"> plutôt que de les</w:t>
      </w:r>
      <w:r w:rsidR="00443477">
        <w:rPr>
          <w:sz w:val="24"/>
          <w:szCs w:val="24"/>
          <w:lang w:val="fr-BE"/>
        </w:rPr>
        <w:t xml:space="preserve"> atténuer.  L’exemple des orientations de l’Autorité bancaire européenne en matière de rémunération est assez révélateur à cet égard.  Le texte défini des critère</w:t>
      </w:r>
      <w:r w:rsidR="00333445">
        <w:rPr>
          <w:sz w:val="24"/>
          <w:szCs w:val="24"/>
          <w:lang w:val="fr-BE"/>
        </w:rPr>
        <w:t>s</w:t>
      </w:r>
      <w:r w:rsidR="00443477">
        <w:rPr>
          <w:sz w:val="24"/>
          <w:szCs w:val="24"/>
          <w:lang w:val="fr-BE"/>
        </w:rPr>
        <w:t xml:space="preserve"> de détermination d’une rémunération variable ou fixe</w:t>
      </w:r>
      <w:r w:rsidR="00333445">
        <w:rPr>
          <w:sz w:val="24"/>
          <w:szCs w:val="24"/>
          <w:lang w:val="fr-BE"/>
        </w:rPr>
        <w:t xml:space="preserve">. </w:t>
      </w:r>
      <w:r w:rsidR="0098400B">
        <w:rPr>
          <w:sz w:val="24"/>
          <w:szCs w:val="24"/>
          <w:lang w:val="fr-BE"/>
        </w:rPr>
        <w:t xml:space="preserve"> Cette distinction est importante dans la mesure où les règles en matière de rémunération variable des dirigeants sont plus exigeantes depuis la crise afin d’éviter de donner des incitants pervers qui conduiraient ceux-ci à des prises de risques importantes p</w:t>
      </w:r>
      <w:r w:rsidR="00013EA8">
        <w:rPr>
          <w:sz w:val="24"/>
          <w:szCs w:val="24"/>
          <w:lang w:val="fr-BE"/>
        </w:rPr>
        <w:t>our gonfler leurs revenus</w:t>
      </w:r>
      <w:r w:rsidR="0098400B">
        <w:rPr>
          <w:sz w:val="24"/>
          <w:szCs w:val="24"/>
          <w:lang w:val="fr-BE"/>
        </w:rPr>
        <w:t>. Une des mesures prise fut de limiter la rémunération variable des dirigeants en instaurant un ratio entre celle-ci et la rémunération fixe.  Or, c</w:t>
      </w:r>
      <w:r w:rsidR="00333445">
        <w:rPr>
          <w:sz w:val="24"/>
          <w:szCs w:val="24"/>
          <w:lang w:val="fr-BE"/>
        </w:rPr>
        <w:t xml:space="preserve">e ratio entre ces deux </w:t>
      </w:r>
      <w:r w:rsidR="00333445">
        <w:rPr>
          <w:sz w:val="24"/>
          <w:szCs w:val="24"/>
          <w:lang w:val="fr-BE"/>
        </w:rPr>
        <w:lastRenderedPageBreak/>
        <w:t>éléments qui plafonne le taux de rémunération variable qu’un dirigeant peut recevoir est défini</w:t>
      </w:r>
      <w:r w:rsidR="0098400B">
        <w:rPr>
          <w:sz w:val="24"/>
          <w:szCs w:val="24"/>
          <w:lang w:val="fr-BE"/>
        </w:rPr>
        <w:t xml:space="preserve"> par la législation nationale et est donc différent selon la règlementation étatique.   Par conséquent</w:t>
      </w:r>
      <w:r w:rsidR="00333445">
        <w:rPr>
          <w:sz w:val="24"/>
          <w:szCs w:val="24"/>
          <w:lang w:val="fr-BE"/>
        </w:rPr>
        <w:t xml:space="preserve">, </w:t>
      </w:r>
      <w:r w:rsidR="00E81CD8">
        <w:rPr>
          <w:sz w:val="24"/>
          <w:szCs w:val="24"/>
          <w:lang w:val="fr-BE"/>
        </w:rPr>
        <w:t>le critère partagé</w:t>
      </w:r>
      <w:r w:rsidR="00B01EBB">
        <w:rPr>
          <w:sz w:val="24"/>
          <w:szCs w:val="24"/>
          <w:lang w:val="fr-BE"/>
        </w:rPr>
        <w:t xml:space="preserve"> au sein des normes communes</w:t>
      </w:r>
      <w:r w:rsidR="0098400B">
        <w:rPr>
          <w:sz w:val="24"/>
          <w:szCs w:val="24"/>
          <w:lang w:val="fr-BE"/>
        </w:rPr>
        <w:t xml:space="preserve"> de l’Autorité bancaire européenne </w:t>
      </w:r>
      <w:r w:rsidR="00E81CD8">
        <w:rPr>
          <w:sz w:val="24"/>
          <w:szCs w:val="24"/>
          <w:lang w:val="fr-BE"/>
        </w:rPr>
        <w:t xml:space="preserve">aura des conséquences différenciées </w:t>
      </w:r>
      <w:r w:rsidR="00E81237">
        <w:rPr>
          <w:sz w:val="24"/>
          <w:szCs w:val="24"/>
          <w:lang w:val="fr-BE"/>
        </w:rPr>
        <w:t>s</w:t>
      </w:r>
      <w:r w:rsidR="0098400B">
        <w:rPr>
          <w:sz w:val="24"/>
          <w:szCs w:val="24"/>
          <w:lang w:val="fr-BE"/>
        </w:rPr>
        <w:t>uivant la législation applicable</w:t>
      </w:r>
      <w:r w:rsidR="00B01EBB">
        <w:rPr>
          <w:sz w:val="24"/>
          <w:szCs w:val="24"/>
          <w:lang w:val="fr-BE"/>
        </w:rPr>
        <w:t>.</w:t>
      </w:r>
      <w:r w:rsidR="0098400B">
        <w:rPr>
          <w:sz w:val="24"/>
          <w:szCs w:val="24"/>
          <w:lang w:val="fr-BE"/>
        </w:rPr>
        <w:t xml:space="preserve"> </w:t>
      </w:r>
      <w:r w:rsidR="00B01EBB">
        <w:rPr>
          <w:sz w:val="24"/>
          <w:szCs w:val="24"/>
          <w:lang w:val="fr-BE"/>
        </w:rPr>
        <w:t xml:space="preserve"> </w:t>
      </w:r>
      <w:r w:rsidR="00E81237">
        <w:rPr>
          <w:sz w:val="24"/>
          <w:szCs w:val="24"/>
          <w:lang w:val="fr-BE"/>
        </w:rPr>
        <w:t xml:space="preserve"> </w:t>
      </w:r>
      <w:r w:rsidR="00B01EBB">
        <w:rPr>
          <w:sz w:val="24"/>
          <w:szCs w:val="24"/>
          <w:lang w:val="fr-BE"/>
        </w:rPr>
        <w:t>Ceci pourrai</w:t>
      </w:r>
      <w:r w:rsidR="00E81CD8">
        <w:rPr>
          <w:sz w:val="24"/>
          <w:szCs w:val="24"/>
          <w:lang w:val="fr-BE"/>
        </w:rPr>
        <w:t>t mettre à mal la compétitivité d’un secteur national pour attirer les meilleurs dirigeant</w:t>
      </w:r>
      <w:r w:rsidR="00E81237">
        <w:rPr>
          <w:sz w:val="24"/>
          <w:szCs w:val="24"/>
          <w:lang w:val="fr-BE"/>
        </w:rPr>
        <w:t xml:space="preserve">s ou conduire à donner des incitants aux législateurs nationaux de minimiser les conséquences de la qualification d’une rémunération comme variable. </w:t>
      </w:r>
      <w:r w:rsidR="00013EA8">
        <w:rPr>
          <w:sz w:val="24"/>
          <w:szCs w:val="24"/>
          <w:lang w:val="fr-BE"/>
        </w:rPr>
        <w:t xml:space="preserve"> En d’autres termes, le fait d’établir des normes communes ne permet pas toujours d’atteindre l’objectif de terrain de jeu commun quand les loi</w:t>
      </w:r>
      <w:r w:rsidR="00033174">
        <w:rPr>
          <w:sz w:val="24"/>
          <w:szCs w:val="24"/>
          <w:lang w:val="fr-BE"/>
        </w:rPr>
        <w:t>s</w:t>
      </w:r>
      <w:r w:rsidR="00013EA8">
        <w:rPr>
          <w:sz w:val="24"/>
          <w:szCs w:val="24"/>
          <w:lang w:val="fr-BE"/>
        </w:rPr>
        <w:t xml:space="preserve"> restent nationales et peut même quelques fois conduire à l’effet </w:t>
      </w:r>
      <w:r w:rsidR="009F0B68">
        <w:rPr>
          <w:sz w:val="24"/>
          <w:szCs w:val="24"/>
          <w:lang w:val="fr-BE"/>
        </w:rPr>
        <w:t>pervers</w:t>
      </w:r>
      <w:r w:rsidR="00013EA8">
        <w:rPr>
          <w:sz w:val="24"/>
          <w:szCs w:val="24"/>
          <w:lang w:val="fr-BE"/>
        </w:rPr>
        <w:t xml:space="preserve"> d’augmenter des différences.  </w:t>
      </w:r>
    </w:p>
    <w:p w14:paraId="0C6F8115" w14:textId="745D3B85" w:rsidR="00A972B0" w:rsidRDefault="00A972B0" w:rsidP="00A972B0">
      <w:pPr>
        <w:pStyle w:val="FootnoteText"/>
        <w:spacing w:line="360" w:lineRule="auto"/>
        <w:rPr>
          <w:sz w:val="24"/>
          <w:szCs w:val="24"/>
          <w:lang w:val="fr-BE"/>
        </w:rPr>
      </w:pPr>
    </w:p>
    <w:p w14:paraId="37C15E32" w14:textId="463F644D" w:rsidR="00F35974" w:rsidRDefault="00033174" w:rsidP="00F35974">
      <w:pPr>
        <w:pStyle w:val="FootnoteText"/>
        <w:numPr>
          <w:ilvl w:val="0"/>
          <w:numId w:val="21"/>
        </w:numPr>
        <w:spacing w:line="360" w:lineRule="auto"/>
        <w:rPr>
          <w:sz w:val="24"/>
          <w:szCs w:val="24"/>
          <w:lang w:val="fr-BE"/>
        </w:rPr>
      </w:pPr>
      <w:r>
        <w:rPr>
          <w:sz w:val="24"/>
          <w:szCs w:val="24"/>
          <w:lang w:val="fr-BE"/>
        </w:rPr>
        <w:t>Clarté du système</w:t>
      </w:r>
    </w:p>
    <w:p w14:paraId="1174E8F0" w14:textId="77777777" w:rsidR="00F35974" w:rsidRDefault="00F35974" w:rsidP="00F35974">
      <w:pPr>
        <w:pStyle w:val="FootnoteText"/>
        <w:spacing w:line="360" w:lineRule="auto"/>
        <w:ind w:left="1080"/>
        <w:rPr>
          <w:sz w:val="24"/>
          <w:szCs w:val="24"/>
          <w:lang w:val="fr-BE"/>
        </w:rPr>
      </w:pPr>
    </w:p>
    <w:p w14:paraId="1E1CE3A1" w14:textId="043DA6B8" w:rsidR="00A972B0" w:rsidRDefault="00C44DB9" w:rsidP="00F7276F">
      <w:pPr>
        <w:pStyle w:val="FootnoteText"/>
        <w:spacing w:line="360" w:lineRule="auto"/>
        <w:ind w:firstLine="360"/>
        <w:rPr>
          <w:sz w:val="24"/>
          <w:szCs w:val="24"/>
          <w:lang w:val="fr-BE"/>
        </w:rPr>
      </w:pPr>
      <w:r>
        <w:rPr>
          <w:sz w:val="24"/>
          <w:szCs w:val="24"/>
          <w:lang w:val="fr-BE"/>
        </w:rPr>
        <w:t>L’émergence de normes souple</w:t>
      </w:r>
      <w:r w:rsidR="00930883">
        <w:rPr>
          <w:sz w:val="24"/>
          <w:szCs w:val="24"/>
          <w:lang w:val="fr-BE"/>
        </w:rPr>
        <w:t>s</w:t>
      </w:r>
      <w:r>
        <w:rPr>
          <w:sz w:val="24"/>
          <w:szCs w:val="24"/>
          <w:lang w:val="fr-BE"/>
        </w:rPr>
        <w:t xml:space="preserve"> peut également être interroger du point de vue de la facilité de leur utilisation pour les utilisateurs</w:t>
      </w:r>
      <w:r w:rsidR="00E81237">
        <w:rPr>
          <w:sz w:val="24"/>
          <w:szCs w:val="24"/>
          <w:lang w:val="fr-BE"/>
        </w:rPr>
        <w:t xml:space="preserve">. </w:t>
      </w:r>
      <w:r w:rsidR="00B01EBB">
        <w:rPr>
          <w:sz w:val="24"/>
          <w:szCs w:val="24"/>
          <w:lang w:val="fr-BE"/>
        </w:rPr>
        <w:t xml:space="preserve"> </w:t>
      </w:r>
      <w:r>
        <w:rPr>
          <w:sz w:val="24"/>
          <w:szCs w:val="24"/>
          <w:lang w:val="fr-BE"/>
        </w:rPr>
        <w:t>En effet</w:t>
      </w:r>
      <w:r w:rsidR="00B01EBB">
        <w:rPr>
          <w:sz w:val="24"/>
          <w:szCs w:val="24"/>
          <w:lang w:val="fr-BE"/>
        </w:rPr>
        <w:t>, l</w:t>
      </w:r>
      <w:r w:rsidR="00EE77A9">
        <w:rPr>
          <w:sz w:val="24"/>
          <w:szCs w:val="24"/>
          <w:lang w:val="fr-BE"/>
        </w:rPr>
        <w:t xml:space="preserve">’émergence de forums normatifs informels a  contribué à complexifier le champ régulatoire en matière bancaire et à augmenter le nombre de textes y relatifs. </w:t>
      </w:r>
      <w:r>
        <w:rPr>
          <w:sz w:val="24"/>
          <w:szCs w:val="24"/>
          <w:lang w:val="fr-BE"/>
        </w:rPr>
        <w:t xml:space="preserve"> Ceci est positif quand les normes clarifient certaines exigences réglementaires pour tous les acteurs mais peut également conduire à créer du flou normatif du fait d’une densification trop importante des standards applicables à un même domaine.  Ainsi, la composition du conseil d’administration d’un établissement de crédit sera sujet </w:t>
      </w:r>
      <w:r w:rsidR="00DA0A09">
        <w:rPr>
          <w:sz w:val="24"/>
          <w:szCs w:val="24"/>
          <w:lang w:val="fr-BE"/>
        </w:rPr>
        <w:t xml:space="preserve">en Belgique </w:t>
      </w:r>
      <w:r>
        <w:rPr>
          <w:sz w:val="24"/>
          <w:szCs w:val="24"/>
          <w:lang w:val="fr-BE"/>
        </w:rPr>
        <w:t>aux règles du code des sociétés, de la loi bancaire, des orientations de l’Autorité bancaire européenne en matière de gouvernance inter</w:t>
      </w:r>
      <w:r w:rsidR="00DA0A09">
        <w:rPr>
          <w:sz w:val="24"/>
          <w:szCs w:val="24"/>
          <w:lang w:val="fr-BE"/>
        </w:rPr>
        <w:t>ne</w:t>
      </w:r>
      <w:r w:rsidR="00DA0A09">
        <w:rPr>
          <w:rStyle w:val="FootnoteReference"/>
          <w:szCs w:val="24"/>
          <w:lang w:val="fr-BE"/>
        </w:rPr>
        <w:footnoteReference w:id="66"/>
      </w:r>
      <w:r w:rsidR="00DA0A09">
        <w:rPr>
          <w:sz w:val="24"/>
          <w:szCs w:val="24"/>
          <w:lang w:val="fr-BE"/>
        </w:rPr>
        <w:t>, des orientations jointes de l’Autorité bancaire européenne et de l’Autorité européenne des marchés financier</w:t>
      </w:r>
      <w:r w:rsidR="00CE380C">
        <w:rPr>
          <w:sz w:val="24"/>
          <w:szCs w:val="24"/>
          <w:lang w:val="fr-BE"/>
        </w:rPr>
        <w:t>s</w:t>
      </w:r>
      <w:r w:rsidR="00DA0A09">
        <w:rPr>
          <w:sz w:val="24"/>
          <w:szCs w:val="24"/>
          <w:lang w:val="fr-BE"/>
        </w:rPr>
        <w:t xml:space="preserve"> sur l’évaluation</w:t>
      </w:r>
      <w:r w:rsidR="00CE380C">
        <w:rPr>
          <w:sz w:val="24"/>
          <w:szCs w:val="24"/>
          <w:lang w:val="fr-BE"/>
        </w:rPr>
        <w:t xml:space="preserve"> de l’aptitude</w:t>
      </w:r>
      <w:r w:rsidR="00DA0A09">
        <w:rPr>
          <w:sz w:val="24"/>
          <w:szCs w:val="24"/>
          <w:lang w:val="fr-BE"/>
        </w:rPr>
        <w:t xml:space="preserve"> des membres </w:t>
      </w:r>
      <w:r w:rsidR="00CE380C">
        <w:rPr>
          <w:sz w:val="24"/>
          <w:szCs w:val="24"/>
          <w:lang w:val="fr-BE"/>
        </w:rPr>
        <w:t>de l’organe de direction</w:t>
      </w:r>
      <w:r w:rsidR="00DA0A09">
        <w:rPr>
          <w:rStyle w:val="FootnoteReference"/>
          <w:szCs w:val="24"/>
          <w:lang w:val="fr-BE"/>
        </w:rPr>
        <w:footnoteReference w:id="67"/>
      </w:r>
      <w:r w:rsidR="00DA0A09">
        <w:rPr>
          <w:sz w:val="24"/>
          <w:szCs w:val="24"/>
          <w:lang w:val="fr-BE"/>
        </w:rPr>
        <w:t>,</w:t>
      </w:r>
      <w:r w:rsidR="00CE380C">
        <w:rPr>
          <w:sz w:val="24"/>
          <w:szCs w:val="24"/>
          <w:lang w:val="fr-BE"/>
        </w:rPr>
        <w:t xml:space="preserve"> aux principes en matière de gouvernance d’entreprise du Comité de Bâle</w:t>
      </w:r>
      <w:r w:rsidR="00CE380C">
        <w:rPr>
          <w:rStyle w:val="FootnoteReference"/>
          <w:szCs w:val="24"/>
          <w:lang w:val="fr-BE"/>
        </w:rPr>
        <w:footnoteReference w:id="68"/>
      </w:r>
      <w:r w:rsidR="00CE380C">
        <w:rPr>
          <w:sz w:val="24"/>
          <w:szCs w:val="24"/>
          <w:lang w:val="fr-BE"/>
        </w:rPr>
        <w:t xml:space="preserve">, </w:t>
      </w:r>
      <w:r w:rsidR="00DA0A09">
        <w:rPr>
          <w:sz w:val="24"/>
          <w:szCs w:val="24"/>
          <w:lang w:val="fr-BE"/>
        </w:rPr>
        <w:t xml:space="preserve"> </w:t>
      </w:r>
      <w:r w:rsidR="00CE380C">
        <w:rPr>
          <w:sz w:val="24"/>
          <w:szCs w:val="24"/>
          <w:lang w:val="fr-BE"/>
        </w:rPr>
        <w:t>aux attentes</w:t>
      </w:r>
      <w:r w:rsidR="00DA0A09">
        <w:rPr>
          <w:sz w:val="24"/>
          <w:szCs w:val="24"/>
          <w:lang w:val="fr-BE"/>
        </w:rPr>
        <w:t xml:space="preserve"> de la Banque centrale européenne</w:t>
      </w:r>
      <w:r w:rsidR="00CE380C">
        <w:rPr>
          <w:rStyle w:val="FootnoteReference"/>
          <w:szCs w:val="24"/>
          <w:lang w:val="fr-BE"/>
        </w:rPr>
        <w:footnoteReference w:id="69"/>
      </w:r>
      <w:r w:rsidR="00DA0A09">
        <w:rPr>
          <w:sz w:val="24"/>
          <w:szCs w:val="24"/>
          <w:lang w:val="fr-BE"/>
        </w:rPr>
        <w:t xml:space="preserve"> et/ou encore au</w:t>
      </w:r>
      <w:r w:rsidR="00CE380C">
        <w:rPr>
          <w:sz w:val="24"/>
          <w:szCs w:val="24"/>
          <w:lang w:val="fr-BE"/>
        </w:rPr>
        <w:t xml:space="preserve"> manuel de </w:t>
      </w:r>
      <w:r w:rsidR="00CE380C">
        <w:rPr>
          <w:sz w:val="24"/>
          <w:szCs w:val="24"/>
          <w:lang w:val="fr-BE"/>
        </w:rPr>
        <w:lastRenderedPageBreak/>
        <w:t>gouvernance pour le secteur bancaire de la Banque nationale de Belgique</w:t>
      </w:r>
      <w:r w:rsidR="00CE380C">
        <w:rPr>
          <w:rStyle w:val="FootnoteReference"/>
          <w:szCs w:val="24"/>
          <w:lang w:val="fr-BE"/>
        </w:rPr>
        <w:footnoteReference w:id="70"/>
      </w:r>
      <w:r w:rsidR="00CE380C">
        <w:rPr>
          <w:sz w:val="24"/>
          <w:szCs w:val="24"/>
          <w:lang w:val="fr-BE"/>
        </w:rPr>
        <w:t xml:space="preserve">. </w:t>
      </w:r>
      <w:r w:rsidR="00DA0A09">
        <w:rPr>
          <w:sz w:val="24"/>
          <w:szCs w:val="24"/>
          <w:lang w:val="fr-BE"/>
        </w:rPr>
        <w:t xml:space="preserve">  </w:t>
      </w:r>
      <w:r w:rsidR="00CE380C">
        <w:rPr>
          <w:sz w:val="24"/>
          <w:szCs w:val="24"/>
          <w:lang w:val="fr-BE"/>
        </w:rPr>
        <w:t xml:space="preserve">L’on peut donc s’interroger sur la question de savoir si la toile du réseau normatif est encore aujourd’hui navigable pour les acteurs du secteur concerné.   </w:t>
      </w:r>
      <w:r w:rsidR="00EE77A9">
        <w:rPr>
          <w:sz w:val="24"/>
          <w:szCs w:val="24"/>
          <w:lang w:val="fr-BE"/>
        </w:rPr>
        <w:t xml:space="preserve">E. </w:t>
      </w:r>
      <w:proofErr w:type="spellStart"/>
      <w:r w:rsidR="00EE77A9" w:rsidRPr="00984721">
        <w:rPr>
          <w:smallCaps/>
          <w:sz w:val="24"/>
          <w:szCs w:val="24"/>
          <w:lang w:val="fr-BE"/>
        </w:rPr>
        <w:t>Wymeersch</w:t>
      </w:r>
      <w:proofErr w:type="spellEnd"/>
      <w:r w:rsidR="00EE77A9">
        <w:rPr>
          <w:sz w:val="24"/>
          <w:szCs w:val="24"/>
          <w:lang w:val="fr-BE"/>
        </w:rPr>
        <w:t xml:space="preserve"> écrit à cet égard que « </w:t>
      </w:r>
      <w:r w:rsidR="00EE77A9" w:rsidRPr="00EE77A9">
        <w:rPr>
          <w:i/>
          <w:sz w:val="24"/>
          <w:szCs w:val="24"/>
          <w:lang w:val="fr-BE"/>
        </w:rPr>
        <w:t>les praticiens de ce domaine se plaignent de ne pas être en mesure de suivre les différents développement, en particulier dans la mesure où ils émanent de différentes sources qui ne sont pas nécessairement liées</w:t>
      </w:r>
      <w:r w:rsidR="00EE77A9">
        <w:rPr>
          <w:sz w:val="24"/>
          <w:szCs w:val="24"/>
          <w:lang w:val="fr-BE"/>
        </w:rPr>
        <w:t> »</w:t>
      </w:r>
      <w:r w:rsidR="00A95EB4">
        <w:rPr>
          <w:sz w:val="24"/>
          <w:szCs w:val="24"/>
          <w:lang w:val="fr-BE"/>
        </w:rPr>
        <w:t>,  que « </w:t>
      </w:r>
      <w:r w:rsidR="00A95EB4" w:rsidRPr="003F681E">
        <w:rPr>
          <w:i/>
          <w:sz w:val="24"/>
          <w:szCs w:val="24"/>
          <w:lang w:val="fr-BE"/>
        </w:rPr>
        <w:t xml:space="preserve">les entitées controlées se plaignent d’être confrontée à différentes couches </w:t>
      </w:r>
      <w:r w:rsidR="00B01EBB">
        <w:rPr>
          <w:i/>
          <w:sz w:val="24"/>
          <w:szCs w:val="24"/>
          <w:lang w:val="fr-BE"/>
        </w:rPr>
        <w:t>de r</w:t>
      </w:r>
      <w:r w:rsidR="00CE380C">
        <w:rPr>
          <w:i/>
          <w:sz w:val="24"/>
          <w:szCs w:val="24"/>
          <w:lang w:val="fr-BE"/>
        </w:rPr>
        <w:t>è</w:t>
      </w:r>
      <w:r w:rsidR="00B01EBB">
        <w:rPr>
          <w:i/>
          <w:sz w:val="24"/>
          <w:szCs w:val="24"/>
          <w:lang w:val="fr-BE"/>
        </w:rPr>
        <w:t>glementations,…, répétitiv</w:t>
      </w:r>
      <w:r w:rsidR="00A95EB4" w:rsidRPr="003F681E">
        <w:rPr>
          <w:i/>
          <w:sz w:val="24"/>
          <w:szCs w:val="24"/>
          <w:lang w:val="fr-BE"/>
        </w:rPr>
        <w:t>e</w:t>
      </w:r>
      <w:r w:rsidR="00B01EBB">
        <w:rPr>
          <w:i/>
          <w:sz w:val="24"/>
          <w:szCs w:val="24"/>
          <w:lang w:val="fr-BE"/>
        </w:rPr>
        <w:t>s</w:t>
      </w:r>
      <w:r w:rsidR="00A95EB4" w:rsidRPr="003F681E">
        <w:rPr>
          <w:i/>
          <w:sz w:val="24"/>
          <w:szCs w:val="24"/>
          <w:lang w:val="fr-BE"/>
        </w:rPr>
        <w:t> </w:t>
      </w:r>
      <w:r w:rsidR="00A95EB4">
        <w:rPr>
          <w:sz w:val="24"/>
          <w:szCs w:val="24"/>
          <w:lang w:val="fr-BE"/>
        </w:rPr>
        <w:t>» et que « </w:t>
      </w:r>
      <w:r w:rsidR="00A95EB4" w:rsidRPr="003F681E">
        <w:rPr>
          <w:i/>
          <w:sz w:val="24"/>
          <w:szCs w:val="24"/>
          <w:lang w:val="fr-BE"/>
        </w:rPr>
        <w:t>les régulateur</w:t>
      </w:r>
      <w:r w:rsidR="006A2837">
        <w:rPr>
          <w:i/>
          <w:sz w:val="24"/>
          <w:szCs w:val="24"/>
          <w:lang w:val="fr-BE"/>
        </w:rPr>
        <w:t>s</w:t>
      </w:r>
      <w:r w:rsidR="00A95EB4" w:rsidRPr="003F681E">
        <w:rPr>
          <w:i/>
          <w:sz w:val="24"/>
          <w:szCs w:val="24"/>
          <w:lang w:val="fr-BE"/>
        </w:rPr>
        <w:t xml:space="preserve"> et autorités de contrôle se plaignent de la complexité, </w:t>
      </w:r>
      <w:r w:rsidR="003F681E" w:rsidRPr="003F681E">
        <w:rPr>
          <w:i/>
          <w:sz w:val="24"/>
          <w:szCs w:val="24"/>
          <w:lang w:val="fr-BE"/>
        </w:rPr>
        <w:t xml:space="preserve">en particulier </w:t>
      </w:r>
      <w:r w:rsidR="00B01EBB">
        <w:rPr>
          <w:i/>
          <w:sz w:val="24"/>
          <w:szCs w:val="24"/>
          <w:lang w:val="fr-BE"/>
        </w:rPr>
        <w:t>quant à la difficulté de coordonner</w:t>
      </w:r>
      <w:r w:rsidR="003F681E" w:rsidRPr="003F681E">
        <w:rPr>
          <w:i/>
          <w:sz w:val="24"/>
          <w:szCs w:val="24"/>
          <w:lang w:val="fr-BE"/>
        </w:rPr>
        <w:t xml:space="preserve"> les dispositions légales européenne</w:t>
      </w:r>
      <w:r w:rsidR="00EE4F02">
        <w:rPr>
          <w:i/>
          <w:sz w:val="24"/>
          <w:szCs w:val="24"/>
          <w:lang w:val="fr-BE"/>
        </w:rPr>
        <w:t>s</w:t>
      </w:r>
      <w:r w:rsidR="003F681E" w:rsidRPr="003F681E">
        <w:rPr>
          <w:i/>
          <w:sz w:val="24"/>
          <w:szCs w:val="24"/>
          <w:lang w:val="fr-BE"/>
        </w:rPr>
        <w:t xml:space="preserve"> avec les règles et pratiques nationales qui sont applicables simultanément ou part défaut</w:t>
      </w:r>
      <w:r w:rsidR="003F681E">
        <w:rPr>
          <w:sz w:val="24"/>
          <w:szCs w:val="24"/>
          <w:lang w:val="fr-BE"/>
        </w:rPr>
        <w:t> »</w:t>
      </w:r>
      <w:r w:rsidR="00A95EB4">
        <w:rPr>
          <w:sz w:val="24"/>
          <w:szCs w:val="24"/>
          <w:lang w:val="fr-BE"/>
        </w:rPr>
        <w:t xml:space="preserve"> </w:t>
      </w:r>
      <w:r w:rsidR="00EE77A9">
        <w:rPr>
          <w:rStyle w:val="FootnoteReference"/>
          <w:szCs w:val="24"/>
          <w:lang w:val="fr-BE"/>
        </w:rPr>
        <w:footnoteReference w:id="71"/>
      </w:r>
      <w:r w:rsidR="00EE77A9">
        <w:rPr>
          <w:sz w:val="24"/>
          <w:szCs w:val="24"/>
          <w:lang w:val="fr-BE"/>
        </w:rPr>
        <w:t xml:space="preserve">. </w:t>
      </w:r>
      <w:r w:rsidR="006A2837">
        <w:rPr>
          <w:sz w:val="24"/>
          <w:szCs w:val="24"/>
          <w:lang w:val="fr-BE"/>
        </w:rPr>
        <w:t xml:space="preserve"> </w:t>
      </w:r>
      <w:r w:rsidR="001B0C80">
        <w:rPr>
          <w:sz w:val="24"/>
          <w:szCs w:val="24"/>
          <w:lang w:val="fr-BE"/>
        </w:rPr>
        <w:t xml:space="preserve"> Il propose à cet égard une simplication du processus d’adoption de texte</w:t>
      </w:r>
      <w:r w:rsidR="009F0B68">
        <w:rPr>
          <w:sz w:val="24"/>
          <w:szCs w:val="24"/>
          <w:lang w:val="fr-BE"/>
        </w:rPr>
        <w:t>s</w:t>
      </w:r>
      <w:r w:rsidR="001B0C80">
        <w:rPr>
          <w:sz w:val="24"/>
          <w:szCs w:val="24"/>
          <w:lang w:val="fr-BE"/>
        </w:rPr>
        <w:t xml:space="preserve"> et une codification des textes en vigueur</w:t>
      </w:r>
      <w:r w:rsidR="00F7276F">
        <w:rPr>
          <w:rStyle w:val="FootnoteReference"/>
          <w:szCs w:val="24"/>
          <w:lang w:val="fr-BE"/>
        </w:rPr>
        <w:footnoteReference w:id="72"/>
      </w:r>
      <w:r w:rsidR="001B0C80">
        <w:rPr>
          <w:sz w:val="24"/>
          <w:szCs w:val="24"/>
          <w:lang w:val="fr-BE"/>
        </w:rPr>
        <w:t xml:space="preserve">. </w:t>
      </w:r>
      <w:r w:rsidR="00EE4F02">
        <w:rPr>
          <w:sz w:val="24"/>
          <w:szCs w:val="24"/>
          <w:lang w:val="fr-BE"/>
        </w:rPr>
        <w:t xml:space="preserve"> </w:t>
      </w:r>
      <w:r w:rsidR="00122F1E">
        <w:rPr>
          <w:sz w:val="24"/>
          <w:szCs w:val="24"/>
          <w:lang w:val="fr-BE"/>
        </w:rPr>
        <w:t xml:space="preserve"> Si l’idée peut séduire, </w:t>
      </w:r>
      <w:r w:rsidR="009F0B68">
        <w:rPr>
          <w:sz w:val="24"/>
          <w:szCs w:val="24"/>
          <w:lang w:val="fr-BE"/>
        </w:rPr>
        <w:t xml:space="preserve">sa mise en œuvre pourrait </w:t>
      </w:r>
      <w:r w:rsidR="00F7276F">
        <w:rPr>
          <w:sz w:val="24"/>
          <w:szCs w:val="24"/>
          <w:lang w:val="fr-BE"/>
        </w:rPr>
        <w:t xml:space="preserve">se heurter à la difficulté de devoir s’accorder sur un code, voire sur la manière d’ordonner un champs épars. </w:t>
      </w:r>
    </w:p>
    <w:p w14:paraId="4882255A" w14:textId="77777777" w:rsidR="00A972B0" w:rsidRDefault="00A972B0" w:rsidP="00EE77A9">
      <w:pPr>
        <w:spacing w:line="360" w:lineRule="auto"/>
        <w:ind w:firstLine="360"/>
        <w:rPr>
          <w:sz w:val="24"/>
          <w:szCs w:val="24"/>
          <w:lang w:val="fr-BE"/>
        </w:rPr>
      </w:pPr>
    </w:p>
    <w:p w14:paraId="061245D8" w14:textId="68E84EDE" w:rsidR="00FE47DD" w:rsidRPr="00EE4F02" w:rsidRDefault="00EE4F02" w:rsidP="00FE47DD">
      <w:pPr>
        <w:spacing w:line="360" w:lineRule="auto"/>
        <w:ind w:firstLine="360"/>
        <w:rPr>
          <w:b/>
          <w:sz w:val="24"/>
          <w:szCs w:val="24"/>
          <w:lang w:val="fr-BE"/>
        </w:rPr>
      </w:pPr>
      <w:r w:rsidRPr="00EE4F02">
        <w:rPr>
          <w:b/>
          <w:sz w:val="24"/>
          <w:szCs w:val="24"/>
          <w:lang w:val="fr-BE"/>
        </w:rPr>
        <w:t>Conclusion</w:t>
      </w:r>
      <w:r w:rsidR="00301593">
        <w:rPr>
          <w:b/>
          <w:sz w:val="24"/>
          <w:szCs w:val="24"/>
          <w:lang w:val="fr-BE"/>
        </w:rPr>
        <w:t>s</w:t>
      </w:r>
    </w:p>
    <w:p w14:paraId="65B8E298" w14:textId="77777777" w:rsidR="00FE47DD" w:rsidRDefault="00FE47DD" w:rsidP="00FE47DD">
      <w:pPr>
        <w:spacing w:line="360" w:lineRule="auto"/>
        <w:ind w:firstLine="360"/>
        <w:rPr>
          <w:sz w:val="24"/>
          <w:szCs w:val="24"/>
          <w:lang w:val="fr-BE"/>
        </w:rPr>
      </w:pPr>
    </w:p>
    <w:p w14:paraId="1BADE0FE" w14:textId="50E78889" w:rsidR="00EE4F02" w:rsidRDefault="00EE4F02" w:rsidP="00FE47DD">
      <w:pPr>
        <w:spacing w:line="360" w:lineRule="auto"/>
        <w:ind w:firstLine="360"/>
        <w:rPr>
          <w:sz w:val="24"/>
          <w:szCs w:val="24"/>
          <w:lang w:val="fr-BE"/>
        </w:rPr>
      </w:pPr>
      <w:r>
        <w:rPr>
          <w:sz w:val="24"/>
          <w:szCs w:val="24"/>
          <w:lang w:val="fr-BE"/>
        </w:rPr>
        <w:t xml:space="preserve">La mondialisation du secteur bancaire et des risques qui y sont liés </w:t>
      </w:r>
      <w:r w:rsidR="00E04904">
        <w:rPr>
          <w:sz w:val="24"/>
          <w:szCs w:val="24"/>
          <w:lang w:val="fr-BE"/>
        </w:rPr>
        <w:t>pose la question de</w:t>
      </w:r>
      <w:r w:rsidR="00DE4C24">
        <w:rPr>
          <w:sz w:val="24"/>
          <w:szCs w:val="24"/>
          <w:lang w:val="fr-BE"/>
        </w:rPr>
        <w:t xml:space="preserve"> la</w:t>
      </w:r>
      <w:r w:rsidR="00E04904">
        <w:rPr>
          <w:sz w:val="24"/>
          <w:szCs w:val="24"/>
          <w:lang w:val="fr-BE"/>
        </w:rPr>
        <w:t xml:space="preserve"> régulation de</w:t>
      </w:r>
      <w:r w:rsidR="001A20E2">
        <w:rPr>
          <w:sz w:val="24"/>
          <w:szCs w:val="24"/>
          <w:lang w:val="fr-BE"/>
        </w:rPr>
        <w:t xml:space="preserve"> ce marché mondial</w:t>
      </w:r>
      <w:r w:rsidR="00590247">
        <w:rPr>
          <w:sz w:val="24"/>
          <w:szCs w:val="24"/>
          <w:lang w:val="fr-BE"/>
        </w:rPr>
        <w:t xml:space="preserve"> au regard de l’ancrage national des systèmes juridiques et de contrôle.  En l’absence d’une organisation mondiale bancaire, les autorités de contrôle nationales se sont réuni</w:t>
      </w:r>
      <w:r w:rsidR="00C0739C">
        <w:rPr>
          <w:sz w:val="24"/>
          <w:szCs w:val="24"/>
          <w:lang w:val="fr-BE"/>
        </w:rPr>
        <w:t>e</w:t>
      </w:r>
      <w:r w:rsidR="00590247">
        <w:rPr>
          <w:sz w:val="24"/>
          <w:szCs w:val="24"/>
          <w:lang w:val="fr-BE"/>
        </w:rPr>
        <w:t>s pour créer des normes souples à l’éc</w:t>
      </w:r>
      <w:r w:rsidR="000B1139">
        <w:rPr>
          <w:sz w:val="24"/>
          <w:szCs w:val="24"/>
          <w:lang w:val="fr-BE"/>
        </w:rPr>
        <w:t xml:space="preserve">helle mondiale, puis </w:t>
      </w:r>
      <w:r w:rsidR="00122F1E">
        <w:rPr>
          <w:sz w:val="24"/>
          <w:szCs w:val="24"/>
          <w:lang w:val="fr-BE"/>
        </w:rPr>
        <w:t xml:space="preserve">de l’Union </w:t>
      </w:r>
      <w:r w:rsidR="000B1139">
        <w:rPr>
          <w:sz w:val="24"/>
          <w:szCs w:val="24"/>
          <w:lang w:val="fr-BE"/>
        </w:rPr>
        <w:t xml:space="preserve">européenne </w:t>
      </w:r>
      <w:r w:rsidR="00590247">
        <w:rPr>
          <w:sz w:val="24"/>
          <w:szCs w:val="24"/>
          <w:lang w:val="fr-BE"/>
        </w:rPr>
        <w:t>dans le c</w:t>
      </w:r>
      <w:r w:rsidR="000B1139">
        <w:rPr>
          <w:sz w:val="24"/>
          <w:szCs w:val="24"/>
          <w:lang w:val="fr-BE"/>
        </w:rPr>
        <w:t xml:space="preserve">adre de l’intégration européenne en matière bancaire.  Cette création </w:t>
      </w:r>
      <w:r w:rsidR="000B1139" w:rsidRPr="00C0739C">
        <w:rPr>
          <w:i/>
          <w:sz w:val="24"/>
          <w:szCs w:val="24"/>
          <w:lang w:val="fr-BE"/>
        </w:rPr>
        <w:t>ad hoc</w:t>
      </w:r>
      <w:r w:rsidR="000B1139">
        <w:rPr>
          <w:sz w:val="24"/>
          <w:szCs w:val="24"/>
          <w:lang w:val="fr-BE"/>
        </w:rPr>
        <w:t xml:space="preserve"> a couvert des matières de plus en plus vastes et essentielles venant de la sorte compléter voire concurrencer les règles des systèmes juridiques classiques.  </w:t>
      </w:r>
      <w:r w:rsidR="006E1FA8">
        <w:rPr>
          <w:sz w:val="24"/>
          <w:szCs w:val="24"/>
          <w:lang w:val="fr-BE"/>
        </w:rPr>
        <w:t xml:space="preserve">Les matières traitées et leur utilisation obligent en effet les juristes à leur accorder de l’importance.  Cependant, la complexification du cadre réglementaire dont ils sont à </w:t>
      </w:r>
      <w:r w:rsidR="001F7D61">
        <w:rPr>
          <w:sz w:val="24"/>
          <w:szCs w:val="24"/>
          <w:lang w:val="fr-BE"/>
        </w:rPr>
        <w:t xml:space="preserve">la source met à mal la clarté du système </w:t>
      </w:r>
      <w:r w:rsidR="006E1FA8">
        <w:rPr>
          <w:sz w:val="24"/>
          <w:szCs w:val="24"/>
          <w:lang w:val="fr-BE"/>
        </w:rPr>
        <w:t>et interroge quant à la nécessité d’une recodification des normes y afférente.  Par ailleurs,</w:t>
      </w:r>
      <w:r w:rsidR="001F7D61">
        <w:rPr>
          <w:sz w:val="24"/>
          <w:szCs w:val="24"/>
          <w:lang w:val="fr-BE"/>
        </w:rPr>
        <w:t xml:space="preserve"> la</w:t>
      </w:r>
      <w:r w:rsidR="006E1FA8">
        <w:rPr>
          <w:sz w:val="24"/>
          <w:szCs w:val="24"/>
          <w:lang w:val="fr-BE"/>
        </w:rPr>
        <w:t xml:space="preserve"> </w:t>
      </w:r>
      <w:r w:rsidR="001F7D61">
        <w:rPr>
          <w:sz w:val="24"/>
          <w:szCs w:val="24"/>
          <w:lang w:val="fr-BE"/>
        </w:rPr>
        <w:t>capacité</w:t>
      </w:r>
      <w:r w:rsidR="00C0739C">
        <w:rPr>
          <w:sz w:val="24"/>
          <w:szCs w:val="24"/>
          <w:lang w:val="fr-BE"/>
        </w:rPr>
        <w:t xml:space="preserve"> du système </w:t>
      </w:r>
      <w:r w:rsidR="001F7D61">
        <w:rPr>
          <w:sz w:val="24"/>
          <w:szCs w:val="24"/>
          <w:lang w:val="fr-BE"/>
        </w:rPr>
        <w:t xml:space="preserve"> à assurer la stabilité du secteur bancaire et à y installer un terrain de jeu commun peut être discutable.  A cet égard</w:t>
      </w:r>
      <w:r w:rsidR="005D34A5">
        <w:rPr>
          <w:sz w:val="24"/>
          <w:szCs w:val="24"/>
          <w:lang w:val="fr-BE"/>
        </w:rPr>
        <w:t xml:space="preserve">, le système normatif bancaire actuel, amélioré au gré des crises, doit </w:t>
      </w:r>
      <w:r w:rsidR="001F7D61">
        <w:rPr>
          <w:sz w:val="24"/>
          <w:szCs w:val="24"/>
          <w:lang w:val="fr-BE"/>
        </w:rPr>
        <w:t xml:space="preserve">certainement </w:t>
      </w:r>
      <w:r w:rsidR="005D34A5">
        <w:rPr>
          <w:sz w:val="24"/>
          <w:szCs w:val="24"/>
          <w:lang w:val="fr-BE"/>
        </w:rPr>
        <w:t xml:space="preserve">encore prouver son efficacité face aux chocs futurs.   Ceux-ci nous conduiront sans doute dans un futur article à compléter notre analyse </w:t>
      </w:r>
      <w:r w:rsidR="001F7D61">
        <w:rPr>
          <w:sz w:val="24"/>
          <w:szCs w:val="24"/>
          <w:lang w:val="fr-BE"/>
        </w:rPr>
        <w:t xml:space="preserve">critique du système en vigueur face à la matérialisation de nouveaux risques. </w:t>
      </w:r>
      <w:bookmarkStart w:id="0" w:name="_GoBack"/>
      <w:bookmarkEnd w:id="0"/>
    </w:p>
    <w:p w14:paraId="19D3C93C" w14:textId="77777777" w:rsidR="00FE47DD" w:rsidRPr="00FE47DD" w:rsidRDefault="00FE47DD" w:rsidP="00FE47DD">
      <w:pPr>
        <w:spacing w:line="360" w:lineRule="auto"/>
        <w:ind w:firstLine="360"/>
        <w:rPr>
          <w:sz w:val="24"/>
          <w:szCs w:val="24"/>
          <w:lang w:val="fr-BE"/>
        </w:rPr>
      </w:pPr>
    </w:p>
    <w:sectPr w:rsidR="00FE47DD" w:rsidRPr="00FE47DD" w:rsidSect="00CA177B">
      <w:headerReference w:type="even" r:id="rId9"/>
      <w:headerReference w:type="default" r:id="rId10"/>
      <w:footerReference w:type="default" r:id="rId11"/>
      <w:headerReference w:type="first" r:id="rId12"/>
      <w:pgSz w:w="11907" w:h="16840" w:code="9"/>
      <w:pgMar w:top="1134" w:right="1559" w:bottom="1134" w:left="1559" w:header="567" w:footer="567"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78584D47" w14:textId="77777777" w:rsidR="00C44DB9" w:rsidRDefault="00C44DB9">
      <w:r>
        <w:separator/>
      </w:r>
    </w:p>
  </w:endnote>
  <w:endnote w:type="continuationSeparator" w:id="0">
    <w:p w14:paraId="14D2A3B4" w14:textId="77777777" w:rsidR="00C44DB9" w:rsidRDefault="00C44DB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A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imes">
    <w:altName w:val="Times New Roman"/>
    <w:panose1 w:val="02020603050405020304"/>
    <w:charset w:val="00"/>
    <w:family w:val="roman"/>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Lucida Grande">
    <w:altName w:val="Segoe UI"/>
    <w:charset w:val="00"/>
    <w:family w:val="auto"/>
    <w:pitch w:val="variable"/>
    <w:sig w:usb0="E1000AEF" w:usb1="5000A1FF" w:usb2="00000000" w:usb3="00000000" w:csb0="000001BF" w:csb1="00000000"/>
  </w:font>
  <w:font w:name="Helvetica">
    <w:altName w:val="Sylfaen"/>
    <w:panose1 w:val="020B0604020202020204"/>
    <w:charset w:val="00"/>
    <w:family w:val="swiss"/>
    <w:pitch w:val="variable"/>
    <w:sig w:usb0="E0002EFF" w:usb1="C0007843"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Cambria">
    <w:panose1 w:val="02040503050406030204"/>
    <w:charset w:val="00"/>
    <w:family w:val="roman"/>
    <w:pitch w:val="variable"/>
    <w:sig w:usb0="A00002EF" w:usb1="4000004B" w:usb2="00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 w:name="Calibri">
    <w:panose1 w:val="020F0502020204030204"/>
    <w:charset w:val="00"/>
    <w:family w:val="swiss"/>
    <w:pitch w:val="variable"/>
    <w:sig w:usb0="E0002AFF" w:usb1="4000ACFF" w:usb2="00000001"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0D826303" w14:textId="43D11D5F" w:rsidR="00C44DB9" w:rsidRPr="00DF49DF" w:rsidRDefault="00C44DB9">
    <w:pPr>
      <w:pStyle w:val="Footer"/>
      <w:jc w:val="right"/>
      <w:rPr>
        <w:noProof/>
        <w:lang w:val="fr-BE"/>
      </w:rPr>
    </w:pPr>
    <w:r>
      <w:rPr>
        <w:noProof/>
      </w:rPr>
      <w:fldChar w:fldCharType="begin"/>
    </w:r>
    <w:r w:rsidRPr="00DF49DF">
      <w:rPr>
        <w:noProof/>
        <w:lang w:val="fr-BE"/>
      </w:rPr>
      <w:instrText xml:space="preserve">filename </w:instrText>
    </w:r>
    <w:r>
      <w:rPr>
        <w:noProof/>
      </w:rPr>
      <w:fldChar w:fldCharType="separate"/>
    </w:r>
    <w:r w:rsidR="001F7D61">
      <w:rPr>
        <w:noProof/>
        <w:lang w:val="fr-BE"/>
      </w:rPr>
      <w:t>Banque - droit et société - version finale13.docx</w:t>
    </w:r>
    <w:r>
      <w:rPr>
        <w:noProof/>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26314CFD" w14:textId="77777777" w:rsidR="00C44DB9" w:rsidRDefault="00C44DB9">
      <w:r>
        <w:separator/>
      </w:r>
    </w:p>
  </w:footnote>
  <w:footnote w:type="continuationSeparator" w:id="0">
    <w:p w14:paraId="1635B5C9" w14:textId="77777777" w:rsidR="00C44DB9" w:rsidRDefault="00C44DB9">
      <w:r>
        <w:continuationSeparator/>
      </w:r>
    </w:p>
  </w:footnote>
  <w:footnote w:id="1">
    <w:p w14:paraId="54570E8F" w14:textId="74AF8334" w:rsidR="00C44DB9" w:rsidRPr="003A4076" w:rsidRDefault="00C44DB9" w:rsidP="0021173D">
      <w:pPr>
        <w:pStyle w:val="FootnoteText"/>
        <w:rPr>
          <w:lang w:val="fr-BE"/>
        </w:rPr>
      </w:pPr>
      <w:r>
        <w:rPr>
          <w:rStyle w:val="FootnoteReference"/>
        </w:rPr>
        <w:footnoteRef/>
      </w:r>
      <w:r w:rsidRPr="00984721">
        <w:rPr>
          <w:lang w:val="fr-BE"/>
        </w:rPr>
        <w:t xml:space="preserve"> Ce texte est rédigé par l’auteur en sa qualité de chercheuse académique et reprend ses idées personnelles.  </w:t>
      </w:r>
      <w:r>
        <w:rPr>
          <w:lang w:val="fr-BE"/>
        </w:rPr>
        <w:t xml:space="preserve">Il ne représente pas les vues et opinions de la Banque Nationale de Belgique. </w:t>
      </w:r>
    </w:p>
  </w:footnote>
  <w:footnote w:id="2">
    <w:p w14:paraId="3184DEA9" w14:textId="40A7D27C" w:rsidR="00C44DB9" w:rsidRPr="00984721" w:rsidRDefault="00C44DB9">
      <w:pPr>
        <w:pStyle w:val="FootnoteText"/>
        <w:rPr>
          <w:sz w:val="20"/>
          <w:lang w:val="en-US"/>
        </w:rPr>
      </w:pPr>
      <w:r w:rsidRPr="00AD57F8">
        <w:rPr>
          <w:rStyle w:val="FootnoteReference"/>
          <w:sz w:val="20"/>
        </w:rPr>
        <w:footnoteRef/>
      </w:r>
      <w:r w:rsidRPr="00AD57F8">
        <w:rPr>
          <w:sz w:val="20"/>
        </w:rPr>
        <w:t xml:space="preserve"> </w:t>
      </w:r>
      <w:r w:rsidRPr="00984721">
        <w:rPr>
          <w:sz w:val="20"/>
          <w:lang w:val="en-US"/>
        </w:rPr>
        <w:t xml:space="preserve">K. </w:t>
      </w:r>
      <w:proofErr w:type="spellStart"/>
      <w:r w:rsidRPr="00984721">
        <w:rPr>
          <w:smallCaps/>
          <w:sz w:val="20"/>
          <w:lang w:val="en-US"/>
        </w:rPr>
        <w:t>Pistor</w:t>
      </w:r>
      <w:proofErr w:type="spellEnd"/>
      <w:r w:rsidRPr="00984721">
        <w:rPr>
          <w:sz w:val="20"/>
          <w:lang w:val="en-US"/>
        </w:rPr>
        <w:t xml:space="preserve">, “A legal theory of finance”, </w:t>
      </w:r>
      <w:r w:rsidRPr="00984721">
        <w:rPr>
          <w:i/>
          <w:sz w:val="20"/>
          <w:lang w:val="en-US"/>
        </w:rPr>
        <w:t>Journal of Comparative Economics</w:t>
      </w:r>
      <w:r w:rsidRPr="00984721">
        <w:rPr>
          <w:sz w:val="20"/>
          <w:lang w:val="en-US"/>
        </w:rPr>
        <w:t xml:space="preserve">, 2013, p. 325. </w:t>
      </w:r>
    </w:p>
  </w:footnote>
  <w:footnote w:id="3">
    <w:p w14:paraId="1FE40704" w14:textId="2DB68DE6" w:rsidR="00C44DB9" w:rsidRPr="00984721" w:rsidRDefault="00C44DB9">
      <w:pPr>
        <w:pStyle w:val="FootnoteText"/>
        <w:rPr>
          <w:sz w:val="20"/>
          <w:lang w:val="en-US"/>
        </w:rPr>
      </w:pPr>
      <w:r w:rsidRPr="00AD57F8">
        <w:rPr>
          <w:rStyle w:val="FootnoteReference"/>
          <w:sz w:val="20"/>
        </w:rPr>
        <w:footnoteRef/>
      </w:r>
      <w:r w:rsidRPr="00AD57F8">
        <w:rPr>
          <w:sz w:val="20"/>
        </w:rPr>
        <w:t xml:space="preserve"> S. </w:t>
      </w:r>
      <w:r w:rsidRPr="00984721">
        <w:rPr>
          <w:smallCaps/>
          <w:sz w:val="20"/>
          <w:lang w:val="en-US"/>
        </w:rPr>
        <w:t>Gleeson</w:t>
      </w:r>
      <w:r w:rsidRPr="00AD57F8">
        <w:rPr>
          <w:sz w:val="20"/>
        </w:rPr>
        <w:t xml:space="preserve">, </w:t>
      </w:r>
      <w:r w:rsidRPr="00AD57F8">
        <w:rPr>
          <w:i/>
          <w:sz w:val="20"/>
        </w:rPr>
        <w:t>International Regulation of Banking. Capital and Risk Requirements</w:t>
      </w:r>
      <w:r w:rsidRPr="00AD57F8">
        <w:rPr>
          <w:sz w:val="20"/>
        </w:rPr>
        <w:t xml:space="preserve">, Oxford, Oxford University Press, 2012, p. 12. </w:t>
      </w:r>
    </w:p>
  </w:footnote>
  <w:footnote w:id="4">
    <w:p w14:paraId="0C5490A2" w14:textId="55CBAD45" w:rsidR="00C44DB9" w:rsidRPr="0052774B" w:rsidRDefault="00C44DB9">
      <w:pPr>
        <w:pStyle w:val="FootnoteText"/>
        <w:rPr>
          <w:sz w:val="16"/>
          <w:szCs w:val="16"/>
          <w:lang w:val="fr-BE"/>
        </w:rPr>
      </w:pPr>
      <w:r w:rsidRPr="0052774B">
        <w:rPr>
          <w:rStyle w:val="FootnoteReference"/>
          <w:szCs w:val="16"/>
        </w:rPr>
        <w:footnoteRef/>
      </w:r>
      <w:r w:rsidRPr="0052774B">
        <w:rPr>
          <w:sz w:val="16"/>
          <w:szCs w:val="16"/>
          <w:lang w:val="fr-BE"/>
        </w:rPr>
        <w:t xml:space="preserve"> M. </w:t>
      </w:r>
      <w:r w:rsidRPr="0052774B">
        <w:rPr>
          <w:smallCaps/>
          <w:sz w:val="16"/>
          <w:szCs w:val="16"/>
          <w:lang w:val="fr-BE"/>
        </w:rPr>
        <w:t>Barnier</w:t>
      </w:r>
      <w:r w:rsidRPr="0052774B">
        <w:rPr>
          <w:sz w:val="16"/>
          <w:szCs w:val="16"/>
          <w:lang w:val="fr-BE"/>
        </w:rPr>
        <w:t xml:space="preserve">, Le financement de l’économie réelle, clé pour accélérer la reprise en Europe, texte prononcé à l’occasion des 4eme entretiens du Trésor, disponible sur </w:t>
      </w:r>
      <w:hyperlink r:id="rId1" w:history="1">
        <w:r w:rsidRPr="0052774B">
          <w:rPr>
            <w:sz w:val="16"/>
            <w:szCs w:val="16"/>
            <w:lang w:val="fr-BE"/>
          </w:rPr>
          <w:t>www.europa.eu</w:t>
        </w:r>
      </w:hyperlink>
      <w:r w:rsidRPr="0052774B">
        <w:rPr>
          <w:sz w:val="16"/>
          <w:szCs w:val="16"/>
          <w:lang w:val="fr-BE"/>
        </w:rPr>
        <w:t xml:space="preserve">, 13 décembre 2013, consulté pour la dernière fois le 6 décembre 2018. </w:t>
      </w:r>
    </w:p>
  </w:footnote>
  <w:footnote w:id="5">
    <w:p w14:paraId="1D4CBBFD" w14:textId="05DC1A80" w:rsidR="00C44DB9" w:rsidRPr="0052774B" w:rsidRDefault="00C44DB9">
      <w:pPr>
        <w:pStyle w:val="FootnoteText"/>
        <w:rPr>
          <w:sz w:val="16"/>
          <w:szCs w:val="16"/>
          <w:lang w:val="en-US"/>
        </w:rPr>
      </w:pPr>
      <w:r w:rsidRPr="0052774B">
        <w:rPr>
          <w:rStyle w:val="FootnoteReference"/>
          <w:szCs w:val="16"/>
        </w:rPr>
        <w:footnoteRef/>
      </w:r>
      <w:r w:rsidRPr="0052774B">
        <w:rPr>
          <w:sz w:val="16"/>
          <w:szCs w:val="16"/>
        </w:rPr>
        <w:t xml:space="preserve"> </w:t>
      </w:r>
      <w:r w:rsidRPr="0052774B">
        <w:rPr>
          <w:smallCaps/>
          <w:sz w:val="16"/>
          <w:szCs w:val="16"/>
          <w:lang w:val="en-US"/>
        </w:rPr>
        <w:t xml:space="preserve">B. </w:t>
      </w:r>
      <w:proofErr w:type="spellStart"/>
      <w:r w:rsidRPr="0052774B">
        <w:rPr>
          <w:smallCaps/>
          <w:sz w:val="16"/>
          <w:szCs w:val="16"/>
          <w:lang w:val="en-US"/>
        </w:rPr>
        <w:t>Casu</w:t>
      </w:r>
      <w:proofErr w:type="spellEnd"/>
      <w:r w:rsidRPr="0052774B">
        <w:rPr>
          <w:smallCaps/>
          <w:sz w:val="16"/>
          <w:szCs w:val="16"/>
          <w:lang w:val="en-US"/>
        </w:rPr>
        <w:t xml:space="preserve">, C. </w:t>
      </w:r>
      <w:proofErr w:type="spellStart"/>
      <w:r w:rsidRPr="0052774B">
        <w:rPr>
          <w:smallCaps/>
          <w:sz w:val="16"/>
          <w:szCs w:val="16"/>
          <w:lang w:val="en-US"/>
        </w:rPr>
        <w:t>Girardone</w:t>
      </w:r>
      <w:proofErr w:type="spellEnd"/>
      <w:r w:rsidRPr="0052774B">
        <w:rPr>
          <w:sz w:val="16"/>
          <w:szCs w:val="16"/>
          <w:lang w:val="en-US"/>
        </w:rPr>
        <w:t>, et P</w:t>
      </w:r>
      <w:r w:rsidRPr="0052774B">
        <w:rPr>
          <w:smallCaps/>
          <w:sz w:val="16"/>
          <w:szCs w:val="16"/>
          <w:lang w:val="en-US"/>
        </w:rPr>
        <w:t xml:space="preserve">. </w:t>
      </w:r>
      <w:proofErr w:type="spellStart"/>
      <w:r w:rsidRPr="0052774B">
        <w:rPr>
          <w:smallCaps/>
          <w:sz w:val="16"/>
          <w:szCs w:val="16"/>
          <w:lang w:val="en-US"/>
        </w:rPr>
        <w:t>Molyneux</w:t>
      </w:r>
      <w:proofErr w:type="spellEnd"/>
      <w:r w:rsidRPr="0052774B">
        <w:rPr>
          <w:sz w:val="16"/>
          <w:szCs w:val="16"/>
          <w:lang w:val="en-US"/>
        </w:rPr>
        <w:t xml:space="preserve">, Introduction to Banking, Harlow, Person Education, 2006, p. 22. </w:t>
      </w:r>
    </w:p>
  </w:footnote>
  <w:footnote w:id="6">
    <w:p w14:paraId="7EB9E9A3" w14:textId="77777777" w:rsidR="00C44DB9" w:rsidRPr="0052774B" w:rsidRDefault="00C44DB9" w:rsidP="00EC3EE4">
      <w:pPr>
        <w:pStyle w:val="FootnoteText"/>
        <w:rPr>
          <w:sz w:val="16"/>
          <w:szCs w:val="16"/>
          <w:lang w:val="en-US"/>
        </w:rPr>
      </w:pPr>
      <w:r w:rsidRPr="0052774B">
        <w:rPr>
          <w:rStyle w:val="FootnoteReference"/>
          <w:szCs w:val="16"/>
        </w:rPr>
        <w:footnoteRef/>
      </w:r>
      <w:r w:rsidRPr="0052774B">
        <w:rPr>
          <w:sz w:val="16"/>
          <w:szCs w:val="16"/>
        </w:rPr>
        <w:t xml:space="preserve"> </w:t>
      </w:r>
      <w:r w:rsidRPr="0052774B">
        <w:rPr>
          <w:smallCaps/>
          <w:sz w:val="16"/>
          <w:szCs w:val="16"/>
        </w:rPr>
        <w:t xml:space="preserve">F. </w:t>
      </w:r>
      <w:proofErr w:type="spellStart"/>
      <w:r w:rsidRPr="0052774B">
        <w:rPr>
          <w:smallCaps/>
          <w:sz w:val="16"/>
          <w:szCs w:val="16"/>
        </w:rPr>
        <w:t>Gilardi</w:t>
      </w:r>
      <w:proofErr w:type="spellEnd"/>
      <w:r w:rsidRPr="0052774B">
        <w:rPr>
          <w:sz w:val="16"/>
          <w:szCs w:val="16"/>
        </w:rPr>
        <w:t xml:space="preserve">, “The Institutional Foundations of Regulatory Capitalism: The Diffusion of </w:t>
      </w:r>
      <w:proofErr w:type="spellStart"/>
      <w:r w:rsidRPr="0052774B">
        <w:rPr>
          <w:sz w:val="16"/>
          <w:szCs w:val="16"/>
        </w:rPr>
        <w:t>Independant</w:t>
      </w:r>
      <w:proofErr w:type="spellEnd"/>
      <w:r w:rsidRPr="0052774B">
        <w:rPr>
          <w:sz w:val="16"/>
          <w:szCs w:val="16"/>
        </w:rPr>
        <w:t xml:space="preserve"> Regulatory Agencies in Western Europe”, </w:t>
      </w:r>
      <w:r w:rsidRPr="0052774B">
        <w:rPr>
          <w:i/>
          <w:sz w:val="16"/>
          <w:szCs w:val="16"/>
        </w:rPr>
        <w:t>The Annals of American Academy of Political and Social</w:t>
      </w:r>
      <w:r w:rsidRPr="0052774B">
        <w:rPr>
          <w:sz w:val="16"/>
          <w:szCs w:val="16"/>
        </w:rPr>
        <w:t xml:space="preserve">, March 2005, p. 84. </w:t>
      </w:r>
    </w:p>
  </w:footnote>
  <w:footnote w:id="7">
    <w:p w14:paraId="57DC3AB0" w14:textId="4C4A0D3A" w:rsidR="00C44DB9" w:rsidRPr="0052774B" w:rsidRDefault="00C44DB9">
      <w:pPr>
        <w:pStyle w:val="FootnoteText"/>
        <w:rPr>
          <w:sz w:val="16"/>
          <w:szCs w:val="16"/>
          <w:lang w:val="fr-BE"/>
        </w:rPr>
      </w:pPr>
      <w:r w:rsidRPr="0052774B">
        <w:rPr>
          <w:rStyle w:val="FootnoteReference"/>
          <w:szCs w:val="16"/>
        </w:rPr>
        <w:footnoteRef/>
      </w:r>
      <w:r w:rsidRPr="0052774B">
        <w:rPr>
          <w:sz w:val="16"/>
          <w:szCs w:val="16"/>
          <w:lang w:val="fr-BE"/>
        </w:rPr>
        <w:t xml:space="preserve"> </w:t>
      </w:r>
      <w:r w:rsidRPr="0052774B">
        <w:rPr>
          <w:smallCaps/>
          <w:sz w:val="16"/>
          <w:szCs w:val="16"/>
          <w:lang w:val="fr-BE"/>
        </w:rPr>
        <w:t xml:space="preserve">P. </w:t>
      </w:r>
      <w:proofErr w:type="spellStart"/>
      <w:r w:rsidRPr="0052774B">
        <w:rPr>
          <w:smallCaps/>
          <w:sz w:val="16"/>
          <w:szCs w:val="16"/>
          <w:lang w:val="fr-BE"/>
        </w:rPr>
        <w:t>Quentainmont</w:t>
      </w:r>
      <w:proofErr w:type="spellEnd"/>
      <w:r w:rsidRPr="0052774B">
        <w:rPr>
          <w:sz w:val="16"/>
          <w:szCs w:val="16"/>
          <w:lang w:val="fr-BE"/>
        </w:rPr>
        <w:t xml:space="preserve">, “La régulation économique sectorielle en Belgique et le rôle du juge administratif”, </w:t>
      </w:r>
      <w:r w:rsidRPr="0052774B">
        <w:rPr>
          <w:i/>
          <w:sz w:val="16"/>
          <w:szCs w:val="16"/>
          <w:lang w:val="fr-BE"/>
        </w:rPr>
        <w:t>A.P.T</w:t>
      </w:r>
      <w:r w:rsidRPr="0052774B">
        <w:rPr>
          <w:sz w:val="16"/>
          <w:szCs w:val="16"/>
          <w:lang w:val="fr-BE"/>
        </w:rPr>
        <w:t xml:space="preserve">., 2014, p. 545. </w:t>
      </w:r>
    </w:p>
  </w:footnote>
  <w:footnote w:id="8">
    <w:p w14:paraId="5E9CEE4F" w14:textId="2F3ADE6D" w:rsidR="00C44DB9" w:rsidRPr="0052774B" w:rsidRDefault="00C44DB9">
      <w:pPr>
        <w:pStyle w:val="FootnoteText"/>
        <w:rPr>
          <w:sz w:val="16"/>
          <w:szCs w:val="16"/>
          <w:lang w:val="fr-BE"/>
        </w:rPr>
      </w:pPr>
      <w:r w:rsidRPr="0052774B">
        <w:rPr>
          <w:rStyle w:val="FootnoteReference"/>
          <w:szCs w:val="16"/>
        </w:rPr>
        <w:footnoteRef/>
      </w:r>
      <w:r w:rsidRPr="0052774B">
        <w:rPr>
          <w:sz w:val="16"/>
          <w:szCs w:val="16"/>
          <w:lang w:val="fr-BE"/>
        </w:rPr>
        <w:t xml:space="preserve"> M. </w:t>
      </w:r>
      <w:proofErr w:type="spellStart"/>
      <w:r w:rsidRPr="0052774B">
        <w:rPr>
          <w:smallCaps/>
          <w:sz w:val="16"/>
          <w:szCs w:val="16"/>
          <w:lang w:val="fr-BE"/>
        </w:rPr>
        <w:t>Gentot</w:t>
      </w:r>
      <w:proofErr w:type="spellEnd"/>
      <w:r w:rsidRPr="0052774B">
        <w:rPr>
          <w:sz w:val="16"/>
          <w:szCs w:val="16"/>
          <w:lang w:val="fr-BE"/>
        </w:rPr>
        <w:t xml:space="preserve">, </w:t>
      </w:r>
      <w:r w:rsidRPr="0052774B">
        <w:rPr>
          <w:i/>
          <w:sz w:val="16"/>
          <w:szCs w:val="16"/>
          <w:lang w:val="fr-BE"/>
        </w:rPr>
        <w:t>Les autorités administratives indépendantes</w:t>
      </w:r>
      <w:r w:rsidRPr="0052774B">
        <w:rPr>
          <w:sz w:val="16"/>
          <w:szCs w:val="16"/>
          <w:lang w:val="fr-BE"/>
        </w:rPr>
        <w:t xml:space="preserve">, Paris, Montchrestien, 1994, p. 9. </w:t>
      </w:r>
    </w:p>
  </w:footnote>
  <w:footnote w:id="9">
    <w:p w14:paraId="37552F38" w14:textId="7EDB0D3D" w:rsidR="00C44DB9" w:rsidRPr="0052774B" w:rsidRDefault="00C44DB9">
      <w:pPr>
        <w:pStyle w:val="FootnoteText"/>
        <w:rPr>
          <w:sz w:val="16"/>
          <w:szCs w:val="16"/>
          <w:lang w:val="fr-BE"/>
        </w:rPr>
      </w:pPr>
      <w:r w:rsidRPr="0052774B">
        <w:rPr>
          <w:rStyle w:val="FootnoteReference"/>
          <w:szCs w:val="16"/>
        </w:rPr>
        <w:footnoteRef/>
      </w:r>
      <w:r w:rsidRPr="0052774B">
        <w:rPr>
          <w:sz w:val="16"/>
          <w:szCs w:val="16"/>
          <w:lang w:val="fr-BE"/>
        </w:rPr>
        <w:t xml:space="preserve"> F. </w:t>
      </w:r>
      <w:r w:rsidRPr="0052774B">
        <w:rPr>
          <w:smallCaps/>
          <w:sz w:val="16"/>
          <w:szCs w:val="16"/>
          <w:lang w:val="fr-BE"/>
        </w:rPr>
        <w:t>Ost</w:t>
      </w:r>
      <w:r w:rsidRPr="0052774B">
        <w:rPr>
          <w:sz w:val="16"/>
          <w:szCs w:val="16"/>
          <w:lang w:val="fr-BE"/>
        </w:rPr>
        <w:t xml:space="preserve"> et M. </w:t>
      </w:r>
      <w:r w:rsidRPr="0052774B">
        <w:rPr>
          <w:smallCaps/>
          <w:sz w:val="16"/>
          <w:szCs w:val="16"/>
          <w:lang w:val="fr-BE"/>
        </w:rPr>
        <w:t>Van</w:t>
      </w:r>
      <w:r w:rsidRPr="0052774B">
        <w:rPr>
          <w:sz w:val="16"/>
          <w:szCs w:val="16"/>
          <w:lang w:val="fr-BE"/>
        </w:rPr>
        <w:t xml:space="preserve"> </w:t>
      </w:r>
      <w:r w:rsidRPr="0052774B">
        <w:rPr>
          <w:smallCaps/>
          <w:sz w:val="16"/>
          <w:szCs w:val="16"/>
          <w:lang w:val="fr-BE"/>
        </w:rPr>
        <w:t>de</w:t>
      </w:r>
      <w:r w:rsidRPr="0052774B">
        <w:rPr>
          <w:sz w:val="16"/>
          <w:szCs w:val="16"/>
          <w:lang w:val="fr-BE"/>
        </w:rPr>
        <w:t xml:space="preserve"> </w:t>
      </w:r>
      <w:proofErr w:type="spellStart"/>
      <w:r w:rsidRPr="0052774B">
        <w:rPr>
          <w:smallCaps/>
          <w:sz w:val="16"/>
          <w:szCs w:val="16"/>
          <w:lang w:val="fr-BE"/>
        </w:rPr>
        <w:t>Kerchove</w:t>
      </w:r>
      <w:proofErr w:type="spellEnd"/>
      <w:r w:rsidRPr="0052774B">
        <w:rPr>
          <w:sz w:val="16"/>
          <w:szCs w:val="16"/>
          <w:lang w:val="fr-BE"/>
        </w:rPr>
        <w:t xml:space="preserve">, </w:t>
      </w:r>
      <w:r w:rsidRPr="0052774B">
        <w:rPr>
          <w:i/>
          <w:sz w:val="16"/>
          <w:szCs w:val="16"/>
          <w:lang w:val="fr-BE"/>
        </w:rPr>
        <w:t>De la pyramide au réseau ? Pour une théorie dialectique du droit</w:t>
      </w:r>
      <w:r w:rsidRPr="0052774B">
        <w:rPr>
          <w:sz w:val="16"/>
          <w:szCs w:val="16"/>
          <w:lang w:val="fr-BE"/>
        </w:rPr>
        <w:t xml:space="preserve">, Bruxelles, Publication des Facultés universitaires Saint Louis, 2002, p. 90. </w:t>
      </w:r>
    </w:p>
  </w:footnote>
  <w:footnote w:id="10">
    <w:p w14:paraId="1B4739AA" w14:textId="62B04FF2" w:rsidR="00C44DB9" w:rsidRPr="00BA368B" w:rsidRDefault="00C44DB9" w:rsidP="00BA368B">
      <w:pPr>
        <w:pStyle w:val="FootnoteText"/>
        <w:spacing w:after="80"/>
        <w:rPr>
          <w:lang w:val="en-US"/>
        </w:rPr>
      </w:pPr>
      <w:r>
        <w:rPr>
          <w:rStyle w:val="FootnoteReference"/>
        </w:rPr>
        <w:footnoteRef/>
      </w:r>
      <w:r w:rsidRPr="00BA368B">
        <w:rPr>
          <w:lang w:val="en-US"/>
        </w:rPr>
        <w:t xml:space="preserve"> A. </w:t>
      </w:r>
      <w:proofErr w:type="spellStart"/>
      <w:r w:rsidRPr="00BA368B">
        <w:rPr>
          <w:rFonts w:ascii="Times New Roman" w:hAnsi="Times New Roman"/>
          <w:smallCaps/>
          <w:sz w:val="20"/>
          <w:lang w:val="fr-BE"/>
        </w:rPr>
        <w:t>Vermeule</w:t>
      </w:r>
      <w:proofErr w:type="spellEnd"/>
      <w:r w:rsidRPr="00BA368B">
        <w:rPr>
          <w:lang w:val="en-US"/>
        </w:rPr>
        <w:t xml:space="preserve">, </w:t>
      </w:r>
      <w:r w:rsidRPr="00BA368B">
        <w:rPr>
          <w:i/>
          <w:lang w:val="en-US"/>
        </w:rPr>
        <w:t>Law’s abnegation.  From Law’s Empire to the Administrative State</w:t>
      </w:r>
      <w:r>
        <w:rPr>
          <w:lang w:val="en-US"/>
        </w:rPr>
        <w:t xml:space="preserve">, Cambridge, Harvard University Press, 2016, p. 4. </w:t>
      </w:r>
    </w:p>
  </w:footnote>
  <w:footnote w:id="11">
    <w:p w14:paraId="6973720F" w14:textId="5B27FF88" w:rsidR="00C44DB9" w:rsidRPr="00BA368B" w:rsidRDefault="00C44DB9" w:rsidP="00BA368B">
      <w:pPr>
        <w:pStyle w:val="FootnoteText"/>
        <w:spacing w:after="80"/>
        <w:rPr>
          <w:lang w:val="fr-BE"/>
        </w:rPr>
      </w:pPr>
      <w:r>
        <w:rPr>
          <w:rStyle w:val="FootnoteReference"/>
        </w:rPr>
        <w:footnoteRef/>
      </w:r>
      <w:r w:rsidRPr="00BA368B">
        <w:rPr>
          <w:lang w:val="fr-BE"/>
        </w:rPr>
        <w:t xml:space="preserve"> </w:t>
      </w:r>
      <w:r>
        <w:rPr>
          <w:lang w:val="fr-BE"/>
        </w:rPr>
        <w:t xml:space="preserve">M. </w:t>
      </w:r>
      <w:r w:rsidRPr="00BA368B">
        <w:rPr>
          <w:rFonts w:ascii="Times New Roman" w:hAnsi="Times New Roman"/>
          <w:smallCaps/>
          <w:sz w:val="20"/>
          <w:lang w:val="fr-BE"/>
        </w:rPr>
        <w:t>Hervieu</w:t>
      </w:r>
      <w:r>
        <w:rPr>
          <w:lang w:val="fr-BE"/>
        </w:rPr>
        <w:t xml:space="preserve">, </w:t>
      </w:r>
      <w:r w:rsidRPr="00BA368B">
        <w:rPr>
          <w:i/>
          <w:lang w:val="fr-BE"/>
        </w:rPr>
        <w:t>Les autorités administratives indépendantes et le renouvellement du droit commun des contrats</w:t>
      </w:r>
      <w:r>
        <w:rPr>
          <w:lang w:val="fr-BE"/>
        </w:rPr>
        <w:t xml:space="preserve">, Paris, Dalloz, 2012, p. 185. </w:t>
      </w:r>
    </w:p>
  </w:footnote>
  <w:footnote w:id="12">
    <w:p w14:paraId="6B9B337A" w14:textId="471A435F" w:rsidR="00C44DB9" w:rsidRPr="0061597D" w:rsidRDefault="00C44DB9" w:rsidP="0061597D">
      <w:pPr>
        <w:pStyle w:val="FootnoteText"/>
        <w:spacing w:after="80"/>
        <w:rPr>
          <w:lang w:val="fr-BE"/>
        </w:rPr>
      </w:pPr>
      <w:r>
        <w:rPr>
          <w:rStyle w:val="FootnoteReference"/>
        </w:rPr>
        <w:footnoteRef/>
      </w:r>
      <w:r w:rsidRPr="0061597D">
        <w:rPr>
          <w:lang w:val="fr-BE"/>
        </w:rPr>
        <w:t xml:space="preserve"> </w:t>
      </w:r>
      <w:r>
        <w:rPr>
          <w:lang w:val="fr-BE"/>
        </w:rPr>
        <w:t xml:space="preserve">S. </w:t>
      </w:r>
      <w:proofErr w:type="spellStart"/>
      <w:r w:rsidRPr="0061597D">
        <w:rPr>
          <w:rFonts w:ascii="Times New Roman" w:hAnsi="Times New Roman"/>
          <w:smallCaps/>
          <w:sz w:val="20"/>
          <w:lang w:val="fr-BE"/>
        </w:rPr>
        <w:t>Hubac</w:t>
      </w:r>
      <w:proofErr w:type="spellEnd"/>
      <w:r>
        <w:rPr>
          <w:lang w:val="fr-BE"/>
        </w:rPr>
        <w:t xml:space="preserve">, E. </w:t>
      </w:r>
      <w:proofErr w:type="spellStart"/>
      <w:r w:rsidRPr="0061597D">
        <w:rPr>
          <w:rFonts w:ascii="Times New Roman" w:hAnsi="Times New Roman"/>
          <w:smallCaps/>
          <w:sz w:val="20"/>
          <w:lang w:val="fr-BE"/>
        </w:rPr>
        <w:t>Pisier</w:t>
      </w:r>
      <w:proofErr w:type="spellEnd"/>
      <w:r>
        <w:rPr>
          <w:lang w:val="fr-BE"/>
        </w:rPr>
        <w:t xml:space="preserve">, « Les autorités face aux pouvoirs », </w:t>
      </w:r>
      <w:r w:rsidRPr="0061597D">
        <w:rPr>
          <w:i/>
          <w:lang w:val="fr-BE"/>
        </w:rPr>
        <w:t>Les autorités administratives indépendantes</w:t>
      </w:r>
      <w:r>
        <w:rPr>
          <w:lang w:val="fr-BE"/>
        </w:rPr>
        <w:t xml:space="preserve"> , C.A. </w:t>
      </w:r>
      <w:proofErr w:type="spellStart"/>
      <w:r>
        <w:rPr>
          <w:lang w:val="fr-BE"/>
        </w:rPr>
        <w:t>Colliard</w:t>
      </w:r>
      <w:proofErr w:type="spellEnd"/>
      <w:r>
        <w:rPr>
          <w:lang w:val="fr-BE"/>
        </w:rPr>
        <w:t xml:space="preserve"> et G. </w:t>
      </w:r>
      <w:proofErr w:type="spellStart"/>
      <w:r>
        <w:rPr>
          <w:lang w:val="fr-BE"/>
        </w:rPr>
        <w:t>Timsit</w:t>
      </w:r>
      <w:proofErr w:type="spellEnd"/>
      <w:r>
        <w:rPr>
          <w:lang w:val="fr-BE"/>
        </w:rPr>
        <w:t xml:space="preserve"> (</w:t>
      </w:r>
      <w:proofErr w:type="spellStart"/>
      <w:r>
        <w:rPr>
          <w:lang w:val="fr-BE"/>
        </w:rPr>
        <w:t>dir</w:t>
      </w:r>
      <w:proofErr w:type="spellEnd"/>
      <w:r>
        <w:rPr>
          <w:lang w:val="fr-BE"/>
        </w:rPr>
        <w:t xml:space="preserve">.), Paris, Presses Universitaires de France, 1988, p. 126. </w:t>
      </w:r>
    </w:p>
  </w:footnote>
  <w:footnote w:id="13">
    <w:p w14:paraId="5853E001" w14:textId="32C31147" w:rsidR="00C44DB9" w:rsidRPr="00984721" w:rsidRDefault="00C44DB9" w:rsidP="0049071D">
      <w:pPr>
        <w:pStyle w:val="FootnoteText"/>
        <w:spacing w:after="80"/>
        <w:rPr>
          <w:rFonts w:ascii="Times New Roman" w:hAnsi="Times New Roman"/>
          <w:sz w:val="20"/>
          <w:lang w:val="fr-BE"/>
        </w:rPr>
      </w:pPr>
      <w:r>
        <w:rPr>
          <w:rStyle w:val="FootnoteReference"/>
        </w:rPr>
        <w:footnoteRef/>
      </w:r>
      <w:r w:rsidRPr="00984721">
        <w:rPr>
          <w:lang w:val="fr-BE"/>
        </w:rPr>
        <w:t xml:space="preserve"> Sur la course règlementaire vers le bas dans le cadre de la mondialisation voir B. </w:t>
      </w:r>
      <w:r w:rsidRPr="00984721">
        <w:rPr>
          <w:rFonts w:ascii="Times New Roman" w:hAnsi="Times New Roman"/>
          <w:smallCaps/>
          <w:sz w:val="20"/>
          <w:lang w:val="fr-BE"/>
        </w:rPr>
        <w:t>Frydman, “</w:t>
      </w:r>
      <w:r w:rsidRPr="00984721">
        <w:rPr>
          <w:lang w:val="fr-BE"/>
        </w:rPr>
        <w:t>Comment penser le droit global?</w:t>
      </w:r>
      <w:r w:rsidRPr="00984721">
        <w:rPr>
          <w:rFonts w:ascii="Times New Roman" w:hAnsi="Times New Roman"/>
          <w:smallCaps/>
          <w:sz w:val="20"/>
          <w:lang w:val="fr-BE"/>
        </w:rPr>
        <w:t xml:space="preserve">”, </w:t>
      </w:r>
      <w:r w:rsidRPr="00984721">
        <w:rPr>
          <w:rFonts w:ascii="Times New Roman" w:hAnsi="Times New Roman"/>
          <w:i/>
          <w:iCs/>
          <w:sz w:val="20"/>
          <w:lang w:val="fr-BE"/>
        </w:rPr>
        <w:t>La science du droit dans la globalisation</w:t>
      </w:r>
      <w:r w:rsidRPr="00984721">
        <w:rPr>
          <w:rFonts w:ascii="Times New Roman" w:hAnsi="Times New Roman"/>
          <w:i/>
          <w:smallCaps/>
          <w:sz w:val="20"/>
          <w:lang w:val="fr-BE"/>
        </w:rPr>
        <w:t xml:space="preserve">, </w:t>
      </w:r>
      <w:r w:rsidRPr="00984721">
        <w:rPr>
          <w:rFonts w:ascii="Times New Roman" w:hAnsi="Times New Roman"/>
          <w:smallCaps/>
          <w:sz w:val="20"/>
          <w:lang w:val="fr-BE"/>
        </w:rPr>
        <w:t>J</w:t>
      </w:r>
      <w:r w:rsidRPr="00984721">
        <w:rPr>
          <w:rFonts w:ascii="Times New Roman" w:hAnsi="Times New Roman"/>
          <w:sz w:val="20"/>
          <w:lang w:val="fr-BE"/>
        </w:rPr>
        <w:t>. Y. Chérot et B. Frydman (</w:t>
      </w:r>
      <w:proofErr w:type="spellStart"/>
      <w:r w:rsidRPr="00984721">
        <w:rPr>
          <w:rFonts w:ascii="Times New Roman" w:hAnsi="Times New Roman"/>
          <w:sz w:val="20"/>
          <w:lang w:val="fr-BE"/>
        </w:rPr>
        <w:t>dir</w:t>
      </w:r>
      <w:proofErr w:type="spellEnd"/>
      <w:r w:rsidRPr="00984721">
        <w:rPr>
          <w:rFonts w:ascii="Times New Roman" w:hAnsi="Times New Roman"/>
          <w:sz w:val="20"/>
          <w:lang w:val="fr-BE"/>
        </w:rPr>
        <w:t xml:space="preserve">.), Bruxelles, Bruylant, 2012, p. 17 à 48. </w:t>
      </w:r>
    </w:p>
  </w:footnote>
  <w:footnote w:id="14">
    <w:p w14:paraId="388797DA" w14:textId="77777777" w:rsidR="00C44DB9" w:rsidRPr="00DD3A0C" w:rsidRDefault="00C44DB9" w:rsidP="00281700">
      <w:pPr>
        <w:pStyle w:val="FootnoteText"/>
        <w:spacing w:after="80"/>
        <w:rPr>
          <w:rFonts w:ascii="Times New Roman" w:hAnsi="Times New Roman"/>
          <w:sz w:val="20"/>
          <w:lang w:val="en-US"/>
        </w:rPr>
      </w:pPr>
      <w:r w:rsidRPr="00DD3A0C">
        <w:rPr>
          <w:rStyle w:val="FootnoteReference"/>
          <w:rFonts w:ascii="Times New Roman" w:hAnsi="Times New Roman"/>
          <w:sz w:val="20"/>
        </w:rPr>
        <w:footnoteRef/>
      </w:r>
      <w:r w:rsidRPr="00DD3A0C">
        <w:rPr>
          <w:rFonts w:ascii="Times New Roman" w:hAnsi="Times New Roman"/>
          <w:sz w:val="20"/>
          <w:lang w:val="en-US"/>
        </w:rPr>
        <w:t xml:space="preserve"> W. G. </w:t>
      </w:r>
      <w:proofErr w:type="spellStart"/>
      <w:r w:rsidRPr="00066B3D">
        <w:rPr>
          <w:rFonts w:ascii="Times New Roman" w:hAnsi="Times New Roman"/>
          <w:smallCaps/>
          <w:sz w:val="20"/>
        </w:rPr>
        <w:t>Ringe</w:t>
      </w:r>
      <w:proofErr w:type="spellEnd"/>
      <w:r w:rsidRPr="00DD3A0C">
        <w:rPr>
          <w:rFonts w:ascii="Times New Roman" w:hAnsi="Times New Roman"/>
          <w:sz w:val="20"/>
          <w:lang w:val="en-US"/>
        </w:rPr>
        <w:t xml:space="preserve">, </w:t>
      </w:r>
      <w:r w:rsidRPr="00DD3A0C">
        <w:rPr>
          <w:rFonts w:ascii="Times New Roman" w:hAnsi="Times New Roman"/>
          <w:i/>
          <w:iCs/>
          <w:sz w:val="20"/>
          <w:lang w:val="en-US"/>
        </w:rPr>
        <w:t>Regulatory Competition in Global Financial Markets –the Case for a Special Resolution Regime</w:t>
      </w:r>
      <w:r w:rsidRPr="00DD3A0C">
        <w:rPr>
          <w:rFonts w:ascii="Times New Roman" w:hAnsi="Times New Roman"/>
          <w:sz w:val="20"/>
          <w:lang w:val="en-US"/>
        </w:rPr>
        <w:t xml:space="preserve">, Oxford Legal Research Paper Series, n° 49/2015, </w:t>
      </w:r>
      <w:proofErr w:type="spellStart"/>
      <w:r w:rsidRPr="00DD3A0C">
        <w:rPr>
          <w:rFonts w:ascii="Times New Roman" w:hAnsi="Times New Roman"/>
          <w:sz w:val="20"/>
          <w:lang w:val="en-US"/>
        </w:rPr>
        <w:t>disponible</w:t>
      </w:r>
      <w:proofErr w:type="spellEnd"/>
      <w:r w:rsidRPr="00DD3A0C">
        <w:rPr>
          <w:rFonts w:ascii="Times New Roman" w:hAnsi="Times New Roman"/>
          <w:sz w:val="20"/>
          <w:lang w:val="en-US"/>
        </w:rPr>
        <w:t xml:space="preserve"> sur papers.ssrn.com, </w:t>
      </w:r>
      <w:proofErr w:type="spellStart"/>
      <w:r w:rsidRPr="00DD3A0C">
        <w:rPr>
          <w:rFonts w:ascii="Times New Roman" w:hAnsi="Times New Roman"/>
          <w:sz w:val="20"/>
          <w:lang w:val="en-US"/>
        </w:rPr>
        <w:t>janvier</w:t>
      </w:r>
      <w:proofErr w:type="spellEnd"/>
      <w:r w:rsidRPr="00DD3A0C">
        <w:rPr>
          <w:rFonts w:ascii="Times New Roman" w:hAnsi="Times New Roman"/>
          <w:sz w:val="20"/>
          <w:lang w:val="en-US"/>
        </w:rPr>
        <w:t xml:space="preserve"> 2016, 51 p.  </w:t>
      </w:r>
    </w:p>
  </w:footnote>
  <w:footnote w:id="15">
    <w:p w14:paraId="57263C4C" w14:textId="77777777" w:rsidR="00C44DB9" w:rsidRPr="00984721" w:rsidRDefault="00C44DB9" w:rsidP="00281700">
      <w:pPr>
        <w:pStyle w:val="FootnoteText"/>
        <w:spacing w:after="80"/>
        <w:rPr>
          <w:rFonts w:ascii="Times New Roman" w:hAnsi="Times New Roman"/>
          <w:sz w:val="20"/>
          <w:lang w:val="en-US"/>
        </w:rPr>
      </w:pPr>
      <w:r w:rsidRPr="005D4669">
        <w:rPr>
          <w:rStyle w:val="FootnoteReference"/>
          <w:rFonts w:ascii="Times New Roman" w:hAnsi="Times New Roman"/>
          <w:sz w:val="20"/>
        </w:rPr>
        <w:footnoteRef/>
      </w:r>
      <w:r w:rsidRPr="00984721">
        <w:rPr>
          <w:rFonts w:ascii="Times New Roman" w:hAnsi="Times New Roman"/>
          <w:sz w:val="20"/>
          <w:lang w:val="en-US"/>
        </w:rPr>
        <w:t xml:space="preserve">  S. </w:t>
      </w:r>
      <w:r w:rsidRPr="00984721">
        <w:rPr>
          <w:rFonts w:ascii="Times New Roman" w:hAnsi="Times New Roman"/>
          <w:smallCaps/>
          <w:sz w:val="20"/>
          <w:lang w:val="en-US"/>
        </w:rPr>
        <w:t>Salomon</w:t>
      </w:r>
      <w:r w:rsidRPr="00984721">
        <w:rPr>
          <w:rFonts w:ascii="Times New Roman" w:hAnsi="Times New Roman"/>
          <w:sz w:val="20"/>
          <w:lang w:val="en-US"/>
        </w:rPr>
        <w:t xml:space="preserve">, </w:t>
      </w:r>
      <w:r w:rsidRPr="005D4669">
        <w:rPr>
          <w:rFonts w:ascii="Times New Roman" w:hAnsi="Times New Roman"/>
          <w:i/>
          <w:sz w:val="20"/>
        </w:rPr>
        <w:t>The Confidence Game: How Unelected Central Bankers a</w:t>
      </w:r>
      <w:r>
        <w:rPr>
          <w:rFonts w:ascii="Times New Roman" w:hAnsi="Times New Roman"/>
          <w:i/>
          <w:sz w:val="20"/>
        </w:rPr>
        <w:t xml:space="preserve">re Governing the Changed Global </w:t>
      </w:r>
      <w:r w:rsidRPr="005D4669">
        <w:rPr>
          <w:rFonts w:ascii="Times New Roman" w:hAnsi="Times New Roman"/>
          <w:i/>
          <w:sz w:val="20"/>
        </w:rPr>
        <w:t>Economy</w:t>
      </w:r>
      <w:r w:rsidRPr="005D4669">
        <w:rPr>
          <w:rFonts w:ascii="Times New Roman" w:hAnsi="Times New Roman"/>
          <w:sz w:val="20"/>
        </w:rPr>
        <w:t>, New York, Simon &amp; Schuster, 1995</w:t>
      </w:r>
      <w:r>
        <w:rPr>
          <w:rFonts w:ascii="Times New Roman" w:hAnsi="Times New Roman"/>
          <w:sz w:val="20"/>
        </w:rPr>
        <w:t xml:space="preserve">, </w:t>
      </w:r>
      <w:r w:rsidRPr="00984721">
        <w:rPr>
          <w:rFonts w:ascii="Times New Roman" w:hAnsi="Times New Roman"/>
          <w:sz w:val="20"/>
          <w:lang w:val="en-US"/>
        </w:rPr>
        <w:t xml:space="preserve">p. 413- 415. </w:t>
      </w:r>
    </w:p>
  </w:footnote>
  <w:footnote w:id="16">
    <w:p w14:paraId="1041D58E" w14:textId="47198FE6" w:rsidR="00C44DB9" w:rsidRPr="0049071D" w:rsidRDefault="00C44DB9">
      <w:pPr>
        <w:pStyle w:val="FootnoteText"/>
        <w:rPr>
          <w:rFonts w:ascii="Times New Roman" w:hAnsi="Times New Roman"/>
          <w:sz w:val="20"/>
        </w:rPr>
      </w:pPr>
      <w:r>
        <w:rPr>
          <w:rStyle w:val="FootnoteReference"/>
        </w:rPr>
        <w:footnoteRef/>
      </w:r>
      <w:r>
        <w:t xml:space="preserve"> S. </w:t>
      </w:r>
      <w:r w:rsidRPr="00984721">
        <w:rPr>
          <w:rFonts w:ascii="Times New Roman" w:hAnsi="Times New Roman"/>
          <w:smallCaps/>
          <w:sz w:val="20"/>
          <w:lang w:val="en-US"/>
        </w:rPr>
        <w:t xml:space="preserve">Grunewald, </w:t>
      </w:r>
      <w:r w:rsidRPr="0049071D">
        <w:rPr>
          <w:rFonts w:ascii="Times New Roman" w:hAnsi="Times New Roman"/>
          <w:i/>
          <w:sz w:val="20"/>
        </w:rPr>
        <w:t>T</w:t>
      </w:r>
      <w:r>
        <w:rPr>
          <w:rFonts w:ascii="Times New Roman" w:hAnsi="Times New Roman"/>
          <w:i/>
          <w:sz w:val="20"/>
        </w:rPr>
        <w:t xml:space="preserve">he Resolution of Cross-Border Banking Crisis in the European Union.  A legal Study from the Perspective of Burden Sharing, </w:t>
      </w:r>
      <w:r>
        <w:rPr>
          <w:rFonts w:ascii="Times New Roman" w:hAnsi="Times New Roman"/>
          <w:sz w:val="20"/>
        </w:rPr>
        <w:t xml:space="preserve">Alphen </w:t>
      </w:r>
      <w:proofErr w:type="spellStart"/>
      <w:r>
        <w:rPr>
          <w:rFonts w:ascii="Times New Roman" w:hAnsi="Times New Roman"/>
          <w:sz w:val="20"/>
        </w:rPr>
        <w:t>aan</w:t>
      </w:r>
      <w:proofErr w:type="spellEnd"/>
      <w:r>
        <w:rPr>
          <w:rFonts w:ascii="Times New Roman" w:hAnsi="Times New Roman"/>
          <w:sz w:val="20"/>
        </w:rPr>
        <w:t xml:space="preserve"> den Rijn, Kluwer Law International, 2014. </w:t>
      </w:r>
    </w:p>
  </w:footnote>
  <w:footnote w:id="17">
    <w:p w14:paraId="38CE43C2" w14:textId="2718EABE" w:rsidR="00C44DB9" w:rsidRPr="00984721" w:rsidRDefault="00C44DB9" w:rsidP="002338E2">
      <w:pPr>
        <w:pStyle w:val="FootnoteText"/>
        <w:spacing w:after="80"/>
        <w:rPr>
          <w:lang w:val="en-US"/>
        </w:rPr>
      </w:pPr>
      <w:r>
        <w:rPr>
          <w:rStyle w:val="FootnoteReference"/>
        </w:rPr>
        <w:footnoteRef/>
      </w:r>
      <w:r>
        <w:t xml:space="preserve"> </w:t>
      </w:r>
      <w:r w:rsidRPr="00984721">
        <w:rPr>
          <w:lang w:val="en-US"/>
        </w:rPr>
        <w:t xml:space="preserve">C. </w:t>
      </w:r>
      <w:r w:rsidRPr="00984721">
        <w:rPr>
          <w:rFonts w:ascii="Times New Roman" w:hAnsi="Times New Roman"/>
          <w:smallCaps/>
          <w:sz w:val="20"/>
          <w:lang w:val="en-US"/>
        </w:rPr>
        <w:t>Brummer</w:t>
      </w:r>
      <w:r w:rsidRPr="00984721">
        <w:rPr>
          <w:lang w:val="en-US"/>
        </w:rPr>
        <w:t xml:space="preserve">, “Why Soft Law Dominates International Finance – And Not Trade”, </w:t>
      </w:r>
      <w:r w:rsidRPr="00984721">
        <w:rPr>
          <w:i/>
          <w:lang w:val="en-US"/>
        </w:rPr>
        <w:t>J. Int’l Econ. L</w:t>
      </w:r>
      <w:r w:rsidRPr="00984721">
        <w:rPr>
          <w:lang w:val="en-US"/>
        </w:rPr>
        <w:t xml:space="preserve">., 2010, p. 623 à 643. </w:t>
      </w:r>
    </w:p>
  </w:footnote>
  <w:footnote w:id="18">
    <w:p w14:paraId="1205548D" w14:textId="57C24BF7" w:rsidR="00C44DB9" w:rsidRPr="00984721" w:rsidRDefault="00C44DB9">
      <w:pPr>
        <w:pStyle w:val="FootnoteText"/>
        <w:rPr>
          <w:lang w:val="fr-BE"/>
        </w:rPr>
      </w:pPr>
      <w:r>
        <w:rPr>
          <w:rStyle w:val="FootnoteReference"/>
        </w:rPr>
        <w:footnoteRef/>
      </w:r>
      <w:r w:rsidRPr="00984721">
        <w:rPr>
          <w:lang w:val="fr-BE"/>
        </w:rPr>
        <w:t xml:space="preserve"> Sur cette question voir P. </w:t>
      </w:r>
      <w:proofErr w:type="spellStart"/>
      <w:r w:rsidRPr="00984721">
        <w:rPr>
          <w:rFonts w:ascii="Times New Roman" w:hAnsi="Times New Roman"/>
          <w:smallCaps/>
          <w:sz w:val="20"/>
          <w:lang w:val="fr-BE"/>
        </w:rPr>
        <w:t>Bégasse</w:t>
      </w:r>
      <w:proofErr w:type="spellEnd"/>
      <w:r w:rsidRPr="00984721">
        <w:rPr>
          <w:rFonts w:ascii="Times New Roman" w:hAnsi="Times New Roman"/>
          <w:smallCaps/>
          <w:sz w:val="20"/>
          <w:lang w:val="fr-BE"/>
        </w:rPr>
        <w:t xml:space="preserve"> de Dhaem</w:t>
      </w:r>
      <w:r w:rsidRPr="00984721">
        <w:rPr>
          <w:lang w:val="fr-BE"/>
        </w:rPr>
        <w:t xml:space="preserve">, La concurrence des normativités: le cas des régulations bancaires”, dissertation doctorale, 2017, p. 214 et suivantes. </w:t>
      </w:r>
    </w:p>
  </w:footnote>
  <w:footnote w:id="19">
    <w:p w14:paraId="4B5D6D26" w14:textId="548D0F7E" w:rsidR="00C44DB9" w:rsidRPr="00984721" w:rsidRDefault="00C44DB9">
      <w:pPr>
        <w:pStyle w:val="FootnoteText"/>
        <w:rPr>
          <w:lang w:val="fr-BE"/>
        </w:rPr>
      </w:pPr>
      <w:r>
        <w:rPr>
          <w:rStyle w:val="FootnoteReference"/>
        </w:rPr>
        <w:footnoteRef/>
      </w:r>
      <w:r w:rsidR="001F7D61">
        <w:rPr>
          <w:lang w:val="fr-BE"/>
        </w:rPr>
        <w:t xml:space="preserve"> Ce thème de la conc</w:t>
      </w:r>
      <w:r w:rsidRPr="00984721">
        <w:rPr>
          <w:lang w:val="fr-BE"/>
        </w:rPr>
        <w:t>u</w:t>
      </w:r>
      <w:r w:rsidR="001F7D61">
        <w:rPr>
          <w:lang w:val="fr-BE"/>
        </w:rPr>
        <w:t>r</w:t>
      </w:r>
      <w:r w:rsidRPr="00984721">
        <w:rPr>
          <w:lang w:val="fr-BE"/>
        </w:rPr>
        <w:t xml:space="preserve">rence des normativités à fait l’objet d’une recherche collective entre l’Université Libre de Bruxelles (Centre </w:t>
      </w:r>
      <w:proofErr w:type="spellStart"/>
      <w:r w:rsidRPr="00984721">
        <w:rPr>
          <w:lang w:val="fr-BE"/>
        </w:rPr>
        <w:t>Perelman</w:t>
      </w:r>
      <w:proofErr w:type="spellEnd"/>
      <w:r w:rsidRPr="00984721">
        <w:rPr>
          <w:lang w:val="fr-BE"/>
        </w:rPr>
        <w:t xml:space="preserve">) et l’Université Saint-Louis – Bruxelles  (SIEJ).  Sur cette question voir </w:t>
      </w:r>
      <w:r w:rsidRPr="00984721">
        <w:rPr>
          <w:smallCaps/>
          <w:szCs w:val="18"/>
          <w:lang w:val="fr-BE"/>
        </w:rPr>
        <w:t>F. Ost</w:t>
      </w:r>
      <w:r w:rsidRPr="00984721">
        <w:rPr>
          <w:lang w:val="fr-BE"/>
        </w:rPr>
        <w:t xml:space="preserve"> </w:t>
      </w:r>
      <w:r w:rsidRPr="00984721">
        <w:rPr>
          <w:i/>
          <w:lang w:val="fr-BE"/>
        </w:rPr>
        <w:t>A Quoi sert le droit</w:t>
      </w:r>
      <w:r w:rsidRPr="00984721">
        <w:rPr>
          <w:lang w:val="fr-BE"/>
        </w:rPr>
        <w:t xml:space="preserve">, </w:t>
      </w:r>
      <w:r w:rsidRPr="00984721">
        <w:rPr>
          <w:i/>
          <w:lang w:val="fr-BE"/>
        </w:rPr>
        <w:t xml:space="preserve">Usages, fonctions, finalités, </w:t>
      </w:r>
      <w:r w:rsidRPr="00984721">
        <w:rPr>
          <w:lang w:val="fr-BE"/>
        </w:rPr>
        <w:t>Bruxelles, 2016; B</w:t>
      </w:r>
      <w:r w:rsidRPr="00984721">
        <w:rPr>
          <w:smallCaps/>
          <w:szCs w:val="18"/>
          <w:lang w:val="fr-BE"/>
        </w:rPr>
        <w:t xml:space="preserve">. Frydman, A. Van </w:t>
      </w:r>
      <w:proofErr w:type="spellStart"/>
      <w:r w:rsidRPr="00984721">
        <w:rPr>
          <w:smallCaps/>
          <w:szCs w:val="18"/>
          <w:lang w:val="fr-BE"/>
        </w:rPr>
        <w:t>Waeyenberge</w:t>
      </w:r>
      <w:proofErr w:type="spellEnd"/>
      <w:r w:rsidRPr="00984721">
        <w:rPr>
          <w:smallCaps/>
          <w:szCs w:val="18"/>
          <w:lang w:val="fr-BE"/>
        </w:rPr>
        <w:t xml:space="preserve"> (</w:t>
      </w:r>
      <w:proofErr w:type="spellStart"/>
      <w:r w:rsidRPr="00984721">
        <w:rPr>
          <w:lang w:val="fr-BE"/>
        </w:rPr>
        <w:t>dir</w:t>
      </w:r>
      <w:proofErr w:type="spellEnd"/>
      <w:r w:rsidRPr="00984721">
        <w:rPr>
          <w:smallCaps/>
          <w:szCs w:val="18"/>
          <w:lang w:val="fr-BE"/>
        </w:rPr>
        <w:t>.)</w:t>
      </w:r>
      <w:r w:rsidRPr="00984721">
        <w:rPr>
          <w:lang w:val="fr-BE"/>
        </w:rPr>
        <w:t xml:space="preserve">, </w:t>
      </w:r>
      <w:r w:rsidRPr="00984721">
        <w:rPr>
          <w:i/>
          <w:lang w:val="fr-BE"/>
        </w:rPr>
        <w:t xml:space="preserve">Gouverner par les indicateurs: de Hume aux </w:t>
      </w:r>
      <w:proofErr w:type="spellStart"/>
      <w:r w:rsidRPr="00984721">
        <w:rPr>
          <w:i/>
          <w:lang w:val="fr-BE"/>
        </w:rPr>
        <w:t>rankings</w:t>
      </w:r>
      <w:proofErr w:type="spellEnd"/>
      <w:r w:rsidRPr="00984721">
        <w:rPr>
          <w:lang w:val="fr-BE"/>
        </w:rPr>
        <w:t xml:space="preserve">, Bruxelles, Bruylant, 2013; A. </w:t>
      </w:r>
      <w:r w:rsidRPr="00984721">
        <w:rPr>
          <w:smallCaps/>
          <w:szCs w:val="18"/>
          <w:lang w:val="fr-BE"/>
        </w:rPr>
        <w:t xml:space="preserve">Van </w:t>
      </w:r>
      <w:proofErr w:type="spellStart"/>
      <w:r w:rsidRPr="00984721">
        <w:rPr>
          <w:smallCaps/>
          <w:szCs w:val="18"/>
          <w:lang w:val="fr-BE"/>
        </w:rPr>
        <w:t>Waeyenberge</w:t>
      </w:r>
      <w:proofErr w:type="spellEnd"/>
      <w:r w:rsidRPr="00984721">
        <w:rPr>
          <w:lang w:val="fr-BE"/>
        </w:rPr>
        <w:t xml:space="preserve">. </w:t>
      </w:r>
      <w:r w:rsidRPr="00984721">
        <w:rPr>
          <w:i/>
          <w:lang w:val="fr-BE"/>
        </w:rPr>
        <w:t>Nouveaux instruments juridiques de l’Union européenne. Evolution de la méthode communautaire</w:t>
      </w:r>
      <w:r w:rsidRPr="00984721">
        <w:rPr>
          <w:lang w:val="fr-BE"/>
        </w:rPr>
        <w:t xml:space="preserve">, Bruxelles, Larcier, 2015. </w:t>
      </w:r>
    </w:p>
  </w:footnote>
  <w:footnote w:id="20">
    <w:p w14:paraId="659C6E54" w14:textId="007A8EEA" w:rsidR="00C44DB9" w:rsidRPr="00984721" w:rsidRDefault="00C44DB9">
      <w:pPr>
        <w:pStyle w:val="FootnoteText"/>
        <w:rPr>
          <w:lang w:val="en-US"/>
        </w:rPr>
      </w:pPr>
      <w:r>
        <w:rPr>
          <w:rStyle w:val="FootnoteReference"/>
        </w:rPr>
        <w:footnoteRef/>
      </w:r>
      <w:r>
        <w:t xml:space="preserve"> </w:t>
      </w:r>
      <w:r w:rsidRPr="00984721">
        <w:rPr>
          <w:lang w:val="en-US"/>
        </w:rPr>
        <w:t>J</w:t>
      </w:r>
      <w:r w:rsidRPr="00984721">
        <w:rPr>
          <w:rFonts w:ascii="Times New Roman" w:hAnsi="Times New Roman"/>
          <w:smallCaps/>
          <w:sz w:val="20"/>
          <w:lang w:val="en-US"/>
        </w:rPr>
        <w:t>.J. Norton</w:t>
      </w:r>
      <w:r w:rsidRPr="00984721">
        <w:rPr>
          <w:lang w:val="en-US"/>
        </w:rPr>
        <w:t xml:space="preserve">, “NIFA –II or ’Bretton Woods –II?: The G)20 (Leaders) summit process on managing global financial markets and the world economy – quo </w:t>
      </w:r>
      <w:proofErr w:type="spellStart"/>
      <w:r w:rsidRPr="00984721">
        <w:rPr>
          <w:lang w:val="en-US"/>
        </w:rPr>
        <w:t>vadis</w:t>
      </w:r>
      <w:proofErr w:type="spellEnd"/>
      <w:r w:rsidRPr="00984721">
        <w:rPr>
          <w:lang w:val="en-US"/>
        </w:rPr>
        <w:t xml:space="preserve">?”, </w:t>
      </w:r>
      <w:r w:rsidRPr="00984721">
        <w:rPr>
          <w:i/>
          <w:lang w:val="en-US"/>
        </w:rPr>
        <w:t xml:space="preserve">Journal of Banking Regulation, </w:t>
      </w:r>
      <w:r w:rsidRPr="00984721">
        <w:rPr>
          <w:lang w:val="en-US"/>
        </w:rPr>
        <w:t xml:space="preserve">2010, p. 262. </w:t>
      </w:r>
    </w:p>
  </w:footnote>
  <w:footnote w:id="21">
    <w:p w14:paraId="0394914E" w14:textId="230C1EF0" w:rsidR="00C44DB9" w:rsidRPr="00984721" w:rsidRDefault="00C44DB9">
      <w:pPr>
        <w:pStyle w:val="FootnoteText"/>
        <w:rPr>
          <w:lang w:val="en-US"/>
        </w:rPr>
      </w:pPr>
      <w:r>
        <w:rPr>
          <w:rStyle w:val="FootnoteReference"/>
        </w:rPr>
        <w:footnoteRef/>
      </w:r>
      <w:r>
        <w:t xml:space="preserve"> </w:t>
      </w:r>
      <w:r w:rsidRPr="00984721">
        <w:rPr>
          <w:rFonts w:ascii="Times New Roman" w:hAnsi="Times New Roman"/>
          <w:smallCaps/>
          <w:sz w:val="20"/>
          <w:lang w:val="en-US"/>
        </w:rPr>
        <w:t>A. Elson</w:t>
      </w:r>
      <w:r w:rsidRPr="00984721">
        <w:rPr>
          <w:lang w:val="en-US"/>
        </w:rPr>
        <w:t xml:space="preserve">, </w:t>
      </w:r>
      <w:r w:rsidRPr="00984721">
        <w:rPr>
          <w:i/>
          <w:lang w:val="en-US"/>
        </w:rPr>
        <w:t xml:space="preserve">Governing Global Finance. The Evolution and Reform of the International Financial Architecture, </w:t>
      </w:r>
      <w:r w:rsidRPr="00984721">
        <w:rPr>
          <w:lang w:val="en-US"/>
        </w:rPr>
        <w:t xml:space="preserve">New York, Palgrave Macmillan, 2011, p. 41. </w:t>
      </w:r>
    </w:p>
  </w:footnote>
  <w:footnote w:id="22">
    <w:p w14:paraId="509479CD" w14:textId="6E7C4F7F" w:rsidR="00C44DB9" w:rsidRPr="00984721" w:rsidRDefault="00C44DB9">
      <w:pPr>
        <w:pStyle w:val="FootnoteText"/>
        <w:rPr>
          <w:i/>
          <w:lang w:val="en-US"/>
        </w:rPr>
      </w:pPr>
      <w:r w:rsidRPr="002338E2">
        <w:rPr>
          <w:rFonts w:ascii="Times New Roman" w:hAnsi="Times New Roman"/>
          <w:smallCaps/>
          <w:sz w:val="20"/>
          <w:lang w:val="nl-BE"/>
        </w:rPr>
        <w:footnoteRef/>
      </w:r>
      <w:r w:rsidRPr="00984721">
        <w:rPr>
          <w:rFonts w:ascii="Times New Roman" w:hAnsi="Times New Roman"/>
          <w:smallCaps/>
          <w:sz w:val="20"/>
          <w:lang w:val="en-US"/>
        </w:rPr>
        <w:t xml:space="preserve"> D.R. Wood</w:t>
      </w:r>
      <w:r w:rsidRPr="00984721">
        <w:rPr>
          <w:lang w:val="en-US"/>
        </w:rPr>
        <w:t xml:space="preserve">, </w:t>
      </w:r>
      <w:r w:rsidRPr="00984721">
        <w:rPr>
          <w:i/>
          <w:lang w:val="en-US"/>
        </w:rPr>
        <w:t xml:space="preserve">Governing Global Banking. The Basel Committee and the Politics of Financial </w:t>
      </w:r>
      <w:proofErr w:type="spellStart"/>
      <w:r w:rsidRPr="00984721">
        <w:rPr>
          <w:i/>
          <w:lang w:val="en-US"/>
        </w:rPr>
        <w:t>Globalisation</w:t>
      </w:r>
      <w:proofErr w:type="spellEnd"/>
      <w:r w:rsidRPr="00984721">
        <w:rPr>
          <w:lang w:val="en-US"/>
        </w:rPr>
        <w:t xml:space="preserve">, Burlington, Ashgate Publishing, 2005, p. 22. </w:t>
      </w:r>
    </w:p>
  </w:footnote>
  <w:footnote w:id="23">
    <w:p w14:paraId="4CD4E30A" w14:textId="2033056E" w:rsidR="00C44DB9" w:rsidRPr="00984721" w:rsidRDefault="00C44DB9">
      <w:pPr>
        <w:pStyle w:val="FootnoteText"/>
        <w:rPr>
          <w:lang w:val="en-US"/>
        </w:rPr>
      </w:pPr>
      <w:r>
        <w:rPr>
          <w:rStyle w:val="FootnoteReference"/>
        </w:rPr>
        <w:footnoteRef/>
      </w:r>
      <w:r>
        <w:t xml:space="preserve"> </w:t>
      </w:r>
      <w:r w:rsidRPr="00984721">
        <w:rPr>
          <w:lang w:val="en-US"/>
        </w:rPr>
        <w:t xml:space="preserve">M.D. </w:t>
      </w:r>
      <w:r w:rsidRPr="00984721">
        <w:rPr>
          <w:rFonts w:ascii="Times New Roman" w:hAnsi="Times New Roman"/>
          <w:smallCaps/>
          <w:sz w:val="20"/>
          <w:lang w:val="en-US"/>
        </w:rPr>
        <w:t>Knight</w:t>
      </w:r>
      <w:r w:rsidRPr="00984721">
        <w:rPr>
          <w:lang w:val="en-US"/>
        </w:rPr>
        <w:t xml:space="preserve">, Reforming the Global Architecture of Financial Regulation.  The G20, the IMF and the FSB, CIGI Papers, n°42, </w:t>
      </w:r>
      <w:proofErr w:type="spellStart"/>
      <w:r w:rsidRPr="00984721">
        <w:rPr>
          <w:lang w:val="en-US"/>
        </w:rPr>
        <w:t>disponible</w:t>
      </w:r>
      <w:proofErr w:type="spellEnd"/>
      <w:r w:rsidRPr="00984721">
        <w:rPr>
          <w:lang w:val="en-US"/>
        </w:rPr>
        <w:t xml:space="preserve"> sur </w:t>
      </w:r>
      <w:hyperlink r:id="rId2" w:history="1">
        <w:r w:rsidRPr="00984721">
          <w:rPr>
            <w:rStyle w:val="Hyperlink"/>
            <w:lang w:val="en-US"/>
          </w:rPr>
          <w:t>www.cigionline.org</w:t>
        </w:r>
      </w:hyperlink>
      <w:r w:rsidRPr="00984721">
        <w:rPr>
          <w:lang w:val="en-US"/>
        </w:rPr>
        <w:t xml:space="preserve">. </w:t>
      </w:r>
    </w:p>
  </w:footnote>
  <w:footnote w:id="24">
    <w:p w14:paraId="1DFCDB44" w14:textId="3CCAAE77" w:rsidR="00C44DB9" w:rsidRPr="00984721" w:rsidRDefault="00C44DB9">
      <w:pPr>
        <w:pStyle w:val="FootnoteText"/>
        <w:rPr>
          <w:lang w:val="en-US"/>
        </w:rPr>
      </w:pPr>
      <w:r w:rsidRPr="00E31ACC">
        <w:rPr>
          <w:rStyle w:val="FootnoteReference"/>
        </w:rPr>
        <w:footnoteRef/>
      </w:r>
      <w:r w:rsidRPr="00E31ACC">
        <w:t xml:space="preserve"> </w:t>
      </w:r>
      <w:r w:rsidRPr="00984721">
        <w:rPr>
          <w:lang w:val="en-US"/>
        </w:rPr>
        <w:t xml:space="preserve">M.S. </w:t>
      </w:r>
      <w:r w:rsidRPr="00984721">
        <w:rPr>
          <w:rFonts w:ascii="Times New Roman" w:hAnsi="Times New Roman"/>
          <w:smallCaps/>
          <w:sz w:val="20"/>
          <w:lang w:val="en-US"/>
        </w:rPr>
        <w:t>Barr</w:t>
      </w:r>
      <w:r w:rsidRPr="00984721">
        <w:rPr>
          <w:lang w:val="en-US"/>
        </w:rPr>
        <w:t xml:space="preserve">, </w:t>
      </w:r>
      <w:r w:rsidRPr="00984721">
        <w:rPr>
          <w:i/>
          <w:lang w:val="en-US"/>
        </w:rPr>
        <w:t>“</w:t>
      </w:r>
      <w:r w:rsidRPr="00984721">
        <w:rPr>
          <w:lang w:val="en-US"/>
        </w:rPr>
        <w:t>Who’s in Charge of Global Finance?</w:t>
      </w:r>
      <w:r w:rsidRPr="00984721">
        <w:rPr>
          <w:i/>
          <w:lang w:val="en-US"/>
        </w:rPr>
        <w:t>”</w:t>
      </w:r>
      <w:r w:rsidRPr="00984721">
        <w:rPr>
          <w:lang w:val="en-US"/>
        </w:rPr>
        <w:t xml:space="preserve">, </w:t>
      </w:r>
      <w:r w:rsidRPr="00984721">
        <w:rPr>
          <w:i/>
          <w:lang w:val="en-US"/>
        </w:rPr>
        <w:t xml:space="preserve">Georgetown Journal of International Law, </w:t>
      </w:r>
      <w:r w:rsidRPr="00984721">
        <w:rPr>
          <w:lang w:val="en-US"/>
        </w:rPr>
        <w:t xml:space="preserve">2014, p. 980. </w:t>
      </w:r>
    </w:p>
  </w:footnote>
  <w:footnote w:id="25">
    <w:p w14:paraId="583BFD84" w14:textId="02D500B4" w:rsidR="00C44DB9" w:rsidRPr="00984721" w:rsidRDefault="00C44DB9">
      <w:pPr>
        <w:pStyle w:val="FootnoteText"/>
        <w:rPr>
          <w:lang w:val="en-US"/>
        </w:rPr>
      </w:pPr>
      <w:r>
        <w:rPr>
          <w:rStyle w:val="FootnoteReference"/>
        </w:rPr>
        <w:footnoteRef/>
      </w:r>
      <w:r>
        <w:t xml:space="preserve"> </w:t>
      </w:r>
      <w:r w:rsidRPr="00984721">
        <w:rPr>
          <w:lang w:val="en-US"/>
        </w:rPr>
        <w:t xml:space="preserve">G.A. </w:t>
      </w:r>
      <w:r w:rsidRPr="00984721">
        <w:rPr>
          <w:rFonts w:ascii="Times New Roman" w:hAnsi="Times New Roman"/>
          <w:smallCaps/>
          <w:sz w:val="20"/>
          <w:lang w:val="en-US"/>
        </w:rPr>
        <w:t>Walker</w:t>
      </w:r>
      <w:r w:rsidRPr="00984721">
        <w:rPr>
          <w:lang w:val="en-US"/>
        </w:rPr>
        <w:t xml:space="preserve">, </w:t>
      </w:r>
      <w:r w:rsidRPr="00984721">
        <w:rPr>
          <w:i/>
          <w:lang w:val="en-US"/>
        </w:rPr>
        <w:t>International Banking Regulation. Law, Policy and Practice</w:t>
      </w:r>
      <w:r w:rsidRPr="00984721">
        <w:rPr>
          <w:lang w:val="en-US"/>
        </w:rPr>
        <w:t xml:space="preserve">, </w:t>
      </w:r>
      <w:proofErr w:type="spellStart"/>
      <w:r w:rsidRPr="00984721">
        <w:rPr>
          <w:lang w:val="en-US"/>
        </w:rPr>
        <w:t>Londres</w:t>
      </w:r>
      <w:proofErr w:type="spellEnd"/>
      <w:r w:rsidRPr="00984721">
        <w:rPr>
          <w:lang w:val="en-US"/>
        </w:rPr>
        <w:t xml:space="preserve">, Kluwer Law International, 2001, p. 41. </w:t>
      </w:r>
    </w:p>
  </w:footnote>
  <w:footnote w:id="26">
    <w:p w14:paraId="3F8E6E95" w14:textId="754FB33A" w:rsidR="00C44DB9" w:rsidRPr="00984721" w:rsidRDefault="00C44DB9">
      <w:pPr>
        <w:pStyle w:val="FootnoteText"/>
        <w:rPr>
          <w:lang w:val="en-US"/>
        </w:rPr>
      </w:pPr>
      <w:r>
        <w:rPr>
          <w:rStyle w:val="FootnoteReference"/>
        </w:rPr>
        <w:footnoteRef/>
      </w:r>
      <w:r>
        <w:t xml:space="preserve"> </w:t>
      </w:r>
      <w:r w:rsidRPr="00984721">
        <w:rPr>
          <w:lang w:val="en-US"/>
        </w:rPr>
        <w:t xml:space="preserve">P. </w:t>
      </w:r>
      <w:r w:rsidRPr="00984721">
        <w:rPr>
          <w:rFonts w:ascii="Times New Roman" w:hAnsi="Times New Roman"/>
          <w:smallCaps/>
          <w:sz w:val="20"/>
          <w:lang w:val="en-US"/>
        </w:rPr>
        <w:t>Cooke</w:t>
      </w:r>
      <w:r w:rsidRPr="00984721">
        <w:rPr>
          <w:lang w:val="en-US"/>
        </w:rPr>
        <w:t xml:space="preserve">, “The committee does not undertake a formal supranational supervisory role: its conclusions do not have, and were never intended to have, legal force, </w:t>
      </w:r>
      <w:proofErr w:type="spellStart"/>
      <w:r w:rsidRPr="00984721">
        <w:rPr>
          <w:lang w:val="en-US"/>
        </w:rPr>
        <w:t>traduction</w:t>
      </w:r>
      <w:proofErr w:type="spellEnd"/>
      <w:r w:rsidRPr="00984721">
        <w:rPr>
          <w:lang w:val="en-US"/>
        </w:rPr>
        <w:t xml:space="preserve"> </w:t>
      </w:r>
      <w:proofErr w:type="spellStart"/>
      <w:r w:rsidRPr="00984721">
        <w:rPr>
          <w:lang w:val="en-US"/>
        </w:rPr>
        <w:t>libre</w:t>
      </w:r>
      <w:proofErr w:type="spellEnd"/>
      <w:r w:rsidRPr="00984721">
        <w:rPr>
          <w:lang w:val="en-US"/>
        </w:rPr>
        <w:t xml:space="preserve">, </w:t>
      </w:r>
      <w:proofErr w:type="spellStart"/>
      <w:r w:rsidRPr="00984721">
        <w:rPr>
          <w:lang w:val="en-US"/>
        </w:rPr>
        <w:t>cité</w:t>
      </w:r>
      <w:proofErr w:type="spellEnd"/>
      <w:r w:rsidRPr="00984721">
        <w:rPr>
          <w:lang w:val="en-US"/>
        </w:rPr>
        <w:t xml:space="preserve"> par J.J. </w:t>
      </w:r>
      <w:r w:rsidRPr="00984721">
        <w:rPr>
          <w:rFonts w:ascii="Times New Roman" w:hAnsi="Times New Roman"/>
          <w:smallCaps/>
          <w:sz w:val="20"/>
          <w:lang w:val="en-US"/>
        </w:rPr>
        <w:t>Norton</w:t>
      </w:r>
      <w:r w:rsidRPr="00984721">
        <w:rPr>
          <w:lang w:val="en-US"/>
        </w:rPr>
        <w:t xml:space="preserve">, “ Capital Adequacy Standards: A legitimate Regulatory Concern for Prudential Supervision of Banking </w:t>
      </w:r>
      <w:proofErr w:type="spellStart"/>
      <w:r w:rsidRPr="00984721">
        <w:rPr>
          <w:lang w:val="en-US"/>
        </w:rPr>
        <w:t>Activitiés</w:t>
      </w:r>
      <w:proofErr w:type="spellEnd"/>
      <w:r w:rsidRPr="00984721">
        <w:rPr>
          <w:lang w:val="en-US"/>
        </w:rPr>
        <w:t xml:space="preserve">?”, </w:t>
      </w:r>
      <w:r w:rsidRPr="00984721">
        <w:rPr>
          <w:i/>
          <w:lang w:val="en-US"/>
        </w:rPr>
        <w:t>Ohio State Law Journal</w:t>
      </w:r>
      <w:r w:rsidRPr="00984721">
        <w:rPr>
          <w:lang w:val="en-US"/>
        </w:rPr>
        <w:t xml:space="preserve">, 1989, p. 1337. </w:t>
      </w:r>
    </w:p>
  </w:footnote>
  <w:footnote w:id="27">
    <w:p w14:paraId="4729C20E" w14:textId="2717782F" w:rsidR="00C44DB9" w:rsidRPr="00984721" w:rsidRDefault="00C44DB9">
      <w:pPr>
        <w:pStyle w:val="FootnoteText"/>
        <w:rPr>
          <w:szCs w:val="18"/>
          <w:lang w:val="fr-BE"/>
        </w:rPr>
      </w:pPr>
      <w:r w:rsidRPr="00120236">
        <w:rPr>
          <w:rStyle w:val="FootnoteReference"/>
          <w:sz w:val="18"/>
          <w:szCs w:val="18"/>
        </w:rPr>
        <w:footnoteRef/>
      </w:r>
      <w:r w:rsidRPr="00984721">
        <w:rPr>
          <w:szCs w:val="18"/>
          <w:lang w:val="fr-BE"/>
        </w:rPr>
        <w:t xml:space="preserve"> Sur l’évolution de ce rôle voir P. </w:t>
      </w:r>
      <w:proofErr w:type="spellStart"/>
      <w:r w:rsidRPr="00984721">
        <w:rPr>
          <w:szCs w:val="18"/>
          <w:lang w:val="fr-BE"/>
        </w:rPr>
        <w:t>Bégasse</w:t>
      </w:r>
      <w:proofErr w:type="spellEnd"/>
      <w:r w:rsidRPr="00984721">
        <w:rPr>
          <w:szCs w:val="18"/>
          <w:lang w:val="fr-BE"/>
        </w:rPr>
        <w:t xml:space="preserve">, “la concurrence…”, </w:t>
      </w:r>
      <w:r w:rsidRPr="00984721">
        <w:rPr>
          <w:i/>
          <w:szCs w:val="18"/>
          <w:lang w:val="fr-BE"/>
        </w:rPr>
        <w:t>op.cit</w:t>
      </w:r>
      <w:r w:rsidRPr="00984721">
        <w:rPr>
          <w:szCs w:val="18"/>
          <w:lang w:val="fr-BE"/>
        </w:rPr>
        <w:t xml:space="preserve">., p. 109 à 129. </w:t>
      </w:r>
    </w:p>
  </w:footnote>
  <w:footnote w:id="28">
    <w:p w14:paraId="369E801A" w14:textId="2B466540" w:rsidR="00C44DB9" w:rsidRPr="00984721" w:rsidRDefault="00C44DB9">
      <w:pPr>
        <w:pStyle w:val="FootnoteText"/>
        <w:rPr>
          <w:szCs w:val="18"/>
          <w:lang w:val="en-US"/>
        </w:rPr>
      </w:pPr>
      <w:r w:rsidRPr="00120236">
        <w:rPr>
          <w:rStyle w:val="FootnoteReference"/>
          <w:sz w:val="18"/>
          <w:szCs w:val="18"/>
        </w:rPr>
        <w:footnoteRef/>
      </w:r>
      <w:r w:rsidRPr="00120236">
        <w:rPr>
          <w:szCs w:val="18"/>
        </w:rPr>
        <w:t xml:space="preserve"> </w:t>
      </w:r>
      <w:r w:rsidRPr="00984721">
        <w:rPr>
          <w:szCs w:val="18"/>
          <w:lang w:val="en-US"/>
        </w:rPr>
        <w:t xml:space="preserve">K.H.F. </w:t>
      </w:r>
      <w:r w:rsidRPr="00984721">
        <w:rPr>
          <w:rFonts w:ascii="Times New Roman" w:hAnsi="Times New Roman"/>
          <w:smallCaps/>
          <w:sz w:val="20"/>
          <w:lang w:val="en-US"/>
        </w:rPr>
        <w:t>Dyson</w:t>
      </w:r>
      <w:r w:rsidRPr="00984721">
        <w:rPr>
          <w:szCs w:val="18"/>
          <w:lang w:val="en-US"/>
        </w:rPr>
        <w:t xml:space="preserve">, States, Debt, and Power. ‘Saint’ and ‘Sinners’ in European History and Integration, Oxford, Oxford University Press, 2014. </w:t>
      </w:r>
    </w:p>
  </w:footnote>
  <w:footnote w:id="29">
    <w:p w14:paraId="6E56B9AB" w14:textId="79FEA9F4" w:rsidR="00C44DB9" w:rsidRPr="00984721" w:rsidRDefault="00C44DB9">
      <w:pPr>
        <w:pStyle w:val="FootnoteText"/>
        <w:rPr>
          <w:szCs w:val="18"/>
          <w:lang w:val="en-US"/>
        </w:rPr>
      </w:pPr>
      <w:r w:rsidRPr="00120236">
        <w:rPr>
          <w:rStyle w:val="FootnoteReference"/>
          <w:sz w:val="18"/>
          <w:szCs w:val="18"/>
        </w:rPr>
        <w:footnoteRef/>
      </w:r>
      <w:r w:rsidRPr="00120236">
        <w:rPr>
          <w:szCs w:val="18"/>
        </w:rPr>
        <w:t xml:space="preserve"> </w:t>
      </w:r>
      <w:r w:rsidRPr="00984721">
        <w:rPr>
          <w:szCs w:val="18"/>
          <w:lang w:val="en-US"/>
        </w:rPr>
        <w:t xml:space="preserve">T. </w:t>
      </w:r>
      <w:proofErr w:type="spellStart"/>
      <w:r w:rsidRPr="00984721">
        <w:rPr>
          <w:rFonts w:ascii="Times New Roman" w:hAnsi="Times New Roman"/>
          <w:smallCaps/>
          <w:sz w:val="20"/>
          <w:lang w:val="en-US"/>
        </w:rPr>
        <w:t>Padoa</w:t>
      </w:r>
      <w:proofErr w:type="spellEnd"/>
      <w:r w:rsidRPr="00984721">
        <w:rPr>
          <w:rFonts w:ascii="Times New Roman" w:hAnsi="Times New Roman"/>
          <w:smallCaps/>
          <w:sz w:val="20"/>
          <w:lang w:val="en-US"/>
        </w:rPr>
        <w:t xml:space="preserve">- </w:t>
      </w:r>
      <w:proofErr w:type="spellStart"/>
      <w:r w:rsidRPr="00984721">
        <w:rPr>
          <w:rFonts w:ascii="Times New Roman" w:hAnsi="Times New Roman"/>
          <w:smallCaps/>
          <w:sz w:val="20"/>
          <w:lang w:val="en-US"/>
        </w:rPr>
        <w:t>Schioppa</w:t>
      </w:r>
      <w:proofErr w:type="spellEnd"/>
      <w:r w:rsidRPr="00984721">
        <w:rPr>
          <w:szCs w:val="18"/>
          <w:lang w:val="en-US"/>
        </w:rPr>
        <w:t xml:space="preserve">, The Euro and its Central Bank.  Getting United after the Union, </w:t>
      </w:r>
      <w:proofErr w:type="spellStart"/>
      <w:r w:rsidRPr="00984721">
        <w:rPr>
          <w:szCs w:val="18"/>
          <w:lang w:val="en-US"/>
        </w:rPr>
        <w:t>Cambrigde</w:t>
      </w:r>
      <w:proofErr w:type="spellEnd"/>
      <w:r w:rsidRPr="00984721">
        <w:rPr>
          <w:szCs w:val="18"/>
          <w:lang w:val="en-US"/>
        </w:rPr>
        <w:t xml:space="preserve">, the MIT Press, 2004, p. 106. </w:t>
      </w:r>
    </w:p>
  </w:footnote>
  <w:footnote w:id="30">
    <w:p w14:paraId="7B361FA0" w14:textId="2995D939" w:rsidR="00C44DB9" w:rsidRPr="00984721" w:rsidRDefault="00C44DB9">
      <w:pPr>
        <w:pStyle w:val="FootnoteText"/>
        <w:rPr>
          <w:szCs w:val="18"/>
          <w:lang w:val="en-US"/>
        </w:rPr>
      </w:pPr>
      <w:r w:rsidRPr="00120236">
        <w:rPr>
          <w:rStyle w:val="FootnoteReference"/>
          <w:sz w:val="18"/>
          <w:szCs w:val="18"/>
        </w:rPr>
        <w:footnoteRef/>
      </w:r>
      <w:r w:rsidRPr="00120236">
        <w:rPr>
          <w:szCs w:val="18"/>
        </w:rPr>
        <w:t xml:space="preserve"> </w:t>
      </w:r>
      <w:r w:rsidRPr="00984721">
        <w:rPr>
          <w:szCs w:val="18"/>
          <w:lang w:val="en-US"/>
        </w:rPr>
        <w:t xml:space="preserve">D.E. </w:t>
      </w:r>
      <w:r w:rsidRPr="00984721">
        <w:rPr>
          <w:rFonts w:ascii="Times New Roman" w:hAnsi="Times New Roman"/>
          <w:smallCaps/>
          <w:sz w:val="20"/>
          <w:lang w:val="en-US"/>
        </w:rPr>
        <w:t>Alford,</w:t>
      </w:r>
      <w:r w:rsidRPr="00984721">
        <w:rPr>
          <w:szCs w:val="18"/>
          <w:lang w:val="en-US"/>
        </w:rPr>
        <w:t xml:space="preserve"> “The </w:t>
      </w:r>
      <w:proofErr w:type="spellStart"/>
      <w:r w:rsidRPr="00984721">
        <w:rPr>
          <w:szCs w:val="18"/>
          <w:lang w:val="en-US"/>
        </w:rPr>
        <w:t>Lamfalussy</w:t>
      </w:r>
      <w:proofErr w:type="spellEnd"/>
      <w:r w:rsidRPr="00984721">
        <w:rPr>
          <w:szCs w:val="18"/>
          <w:lang w:val="en-US"/>
        </w:rPr>
        <w:t xml:space="preserve"> Process and EU Bank Regulation: Another Step on the Road Pan –European Regulation”, </w:t>
      </w:r>
      <w:r w:rsidRPr="00984721">
        <w:rPr>
          <w:i/>
          <w:szCs w:val="18"/>
          <w:lang w:val="en-US"/>
        </w:rPr>
        <w:t xml:space="preserve">Annual Review of Banking &amp; Financial Law, </w:t>
      </w:r>
      <w:r w:rsidRPr="00984721">
        <w:rPr>
          <w:szCs w:val="18"/>
          <w:lang w:val="en-US"/>
        </w:rPr>
        <w:t xml:space="preserve">2006, p. 392. </w:t>
      </w:r>
    </w:p>
  </w:footnote>
  <w:footnote w:id="31">
    <w:p w14:paraId="580ECC47" w14:textId="51FE209F" w:rsidR="00C44DB9" w:rsidRPr="00984721" w:rsidRDefault="00C44DB9">
      <w:pPr>
        <w:pStyle w:val="FootnoteText"/>
        <w:rPr>
          <w:szCs w:val="18"/>
          <w:lang w:val="fr-BE"/>
        </w:rPr>
      </w:pPr>
      <w:r w:rsidRPr="00120236">
        <w:rPr>
          <w:rStyle w:val="FootnoteReference"/>
          <w:sz w:val="18"/>
          <w:szCs w:val="18"/>
        </w:rPr>
        <w:footnoteRef/>
      </w:r>
      <w:r w:rsidRPr="00984721">
        <w:rPr>
          <w:szCs w:val="18"/>
          <w:lang w:val="fr-BE"/>
        </w:rPr>
        <w:t xml:space="preserve"> Voir article 57 du Traité de Rome. </w:t>
      </w:r>
    </w:p>
  </w:footnote>
  <w:footnote w:id="32">
    <w:p w14:paraId="6A78C508" w14:textId="0B5D0A63" w:rsidR="00C44DB9" w:rsidRPr="00984721" w:rsidRDefault="00C44DB9">
      <w:pPr>
        <w:pStyle w:val="FootnoteText"/>
        <w:rPr>
          <w:lang w:val="fr-BE"/>
        </w:rPr>
      </w:pPr>
      <w:r w:rsidRPr="00120236">
        <w:rPr>
          <w:rStyle w:val="FootnoteReference"/>
          <w:sz w:val="18"/>
          <w:szCs w:val="18"/>
        </w:rPr>
        <w:footnoteRef/>
      </w:r>
      <w:r w:rsidRPr="00984721">
        <w:rPr>
          <w:lang w:val="fr-BE"/>
        </w:rPr>
        <w:t xml:space="preserve"> Article 61.2 du Traité de Rome. </w:t>
      </w:r>
    </w:p>
  </w:footnote>
  <w:footnote w:id="33">
    <w:p w14:paraId="4C931EDF" w14:textId="6C7A3B8B" w:rsidR="00C44DB9" w:rsidRPr="00984721" w:rsidRDefault="00C44DB9">
      <w:pPr>
        <w:pStyle w:val="FootnoteText"/>
        <w:rPr>
          <w:lang w:val="fr-BE"/>
        </w:rPr>
      </w:pPr>
      <w:r>
        <w:rPr>
          <w:rStyle w:val="FootnoteReference"/>
        </w:rPr>
        <w:footnoteRef/>
      </w:r>
      <w:r w:rsidRPr="00984721">
        <w:rPr>
          <w:lang w:val="fr-BE"/>
        </w:rPr>
        <w:t xml:space="preserve"> Article 67 du traité de Rome. </w:t>
      </w:r>
    </w:p>
  </w:footnote>
  <w:footnote w:id="34">
    <w:p w14:paraId="7E5C8F23" w14:textId="0B166814" w:rsidR="00C44DB9" w:rsidRPr="00984721" w:rsidRDefault="00C44DB9">
      <w:pPr>
        <w:pStyle w:val="FootnoteText"/>
        <w:rPr>
          <w:lang w:val="fr-BE"/>
        </w:rPr>
      </w:pPr>
      <w:r>
        <w:rPr>
          <w:rStyle w:val="FootnoteReference"/>
        </w:rPr>
        <w:footnoteRef/>
      </w:r>
      <w:r w:rsidRPr="00984721">
        <w:rPr>
          <w:lang w:val="fr-BE"/>
        </w:rPr>
        <w:t xml:space="preserve"> </w:t>
      </w:r>
      <w:r w:rsidRPr="00984721">
        <w:rPr>
          <w:rFonts w:ascii="Times New Roman" w:hAnsi="Times New Roman"/>
          <w:smallCaps/>
          <w:sz w:val="20"/>
          <w:lang w:val="fr-BE"/>
        </w:rPr>
        <w:t>E. Van den Haute</w:t>
      </w:r>
      <w:r w:rsidRPr="00984721">
        <w:rPr>
          <w:lang w:val="fr-BE"/>
        </w:rPr>
        <w:t xml:space="preserve">, </w:t>
      </w:r>
      <w:r w:rsidRPr="00984721">
        <w:rPr>
          <w:i/>
          <w:lang w:val="fr-BE"/>
        </w:rPr>
        <w:t xml:space="preserve">Harmonisation européenne du </w:t>
      </w:r>
      <w:proofErr w:type="spellStart"/>
      <w:r w:rsidRPr="00984721">
        <w:rPr>
          <w:i/>
          <w:lang w:val="fr-BE"/>
        </w:rPr>
        <w:t>credit</w:t>
      </w:r>
      <w:proofErr w:type="spellEnd"/>
      <w:r w:rsidRPr="00984721">
        <w:rPr>
          <w:i/>
          <w:lang w:val="fr-BE"/>
        </w:rPr>
        <w:t xml:space="preserve"> hypothécaire</w:t>
      </w:r>
      <w:r w:rsidRPr="00984721">
        <w:rPr>
          <w:lang w:val="fr-BE"/>
        </w:rPr>
        <w:t xml:space="preserve">, Bruxelles, Bruylant, 2010, p. 28. </w:t>
      </w:r>
    </w:p>
  </w:footnote>
  <w:footnote w:id="35">
    <w:p w14:paraId="60E708A4" w14:textId="22C30177" w:rsidR="00C44DB9" w:rsidRPr="00984721" w:rsidRDefault="00C44DB9">
      <w:pPr>
        <w:pStyle w:val="FootnoteText"/>
        <w:rPr>
          <w:lang w:val="fr-BE"/>
        </w:rPr>
      </w:pPr>
      <w:r>
        <w:rPr>
          <w:rStyle w:val="FootnoteReference"/>
        </w:rPr>
        <w:footnoteRef/>
      </w:r>
      <w:r w:rsidRPr="00984721">
        <w:rPr>
          <w:lang w:val="fr-BE"/>
        </w:rPr>
        <w:t xml:space="preserve"> J. </w:t>
      </w:r>
      <w:r w:rsidRPr="00984721">
        <w:rPr>
          <w:rFonts w:ascii="Times New Roman" w:hAnsi="Times New Roman"/>
          <w:smallCaps/>
          <w:sz w:val="20"/>
          <w:lang w:val="fr-BE"/>
        </w:rPr>
        <w:t>Lebrun</w:t>
      </w:r>
      <w:r w:rsidRPr="00984721">
        <w:rPr>
          <w:lang w:val="fr-BE"/>
        </w:rPr>
        <w:t xml:space="preserve">, “Une première étape vers l’harmonisation européenne des réglementations bancaires”, </w:t>
      </w:r>
      <w:r w:rsidRPr="00984721">
        <w:rPr>
          <w:i/>
          <w:lang w:val="fr-BE"/>
        </w:rPr>
        <w:t xml:space="preserve">Revue de la Banque, </w:t>
      </w:r>
      <w:r w:rsidRPr="00984721">
        <w:rPr>
          <w:lang w:val="fr-BE"/>
        </w:rPr>
        <w:t xml:space="preserve">1979, p. 32. </w:t>
      </w:r>
    </w:p>
  </w:footnote>
  <w:footnote w:id="36">
    <w:p w14:paraId="774EE5D9" w14:textId="5F1C8B53" w:rsidR="00C44DB9" w:rsidRPr="00984721" w:rsidRDefault="00C44DB9">
      <w:pPr>
        <w:pStyle w:val="FootnoteText"/>
        <w:rPr>
          <w:lang w:val="en-US"/>
        </w:rPr>
      </w:pPr>
      <w:r>
        <w:rPr>
          <w:rStyle w:val="FootnoteReference"/>
        </w:rPr>
        <w:footnoteRef/>
      </w:r>
      <w:r>
        <w:t xml:space="preserve"> C.A.E. </w:t>
      </w:r>
      <w:r w:rsidRPr="00984721">
        <w:rPr>
          <w:rFonts w:ascii="Times New Roman" w:hAnsi="Times New Roman"/>
          <w:smallCaps/>
          <w:sz w:val="20"/>
          <w:lang w:val="en-US"/>
        </w:rPr>
        <w:t>Goodhart</w:t>
      </w:r>
      <w:r>
        <w:t xml:space="preserve">, “From National towards European/Global Financial Regulation”, </w:t>
      </w:r>
      <w:r w:rsidRPr="00237B32">
        <w:rPr>
          <w:i/>
        </w:rPr>
        <w:t>50 Years of Money and Finance: Lessons and Challenges</w:t>
      </w:r>
      <w:r>
        <w:t xml:space="preserve">, </w:t>
      </w:r>
      <w:r w:rsidRPr="00984721">
        <w:rPr>
          <w:rFonts w:ascii="Times New Roman" w:hAnsi="Times New Roman"/>
          <w:smallCaps/>
          <w:sz w:val="20"/>
          <w:lang w:val="en-US"/>
        </w:rPr>
        <w:t xml:space="preserve">M. Balling et E. </w:t>
      </w:r>
      <w:proofErr w:type="spellStart"/>
      <w:r w:rsidRPr="00984721">
        <w:rPr>
          <w:rFonts w:ascii="Times New Roman" w:hAnsi="Times New Roman"/>
          <w:smallCaps/>
          <w:sz w:val="20"/>
          <w:lang w:val="en-US"/>
        </w:rPr>
        <w:t>Gnan</w:t>
      </w:r>
      <w:proofErr w:type="spellEnd"/>
      <w:r>
        <w:t xml:space="preserve"> (dir.), </w:t>
      </w:r>
      <w:proofErr w:type="spellStart"/>
      <w:r>
        <w:t>Bruxelles</w:t>
      </w:r>
      <w:proofErr w:type="spellEnd"/>
      <w:r>
        <w:t xml:space="preserve">, </w:t>
      </w:r>
      <w:proofErr w:type="spellStart"/>
      <w:r>
        <w:t>Larcier</w:t>
      </w:r>
      <w:proofErr w:type="spellEnd"/>
      <w:r>
        <w:t xml:space="preserve"> 2013, p. 236. </w:t>
      </w:r>
    </w:p>
  </w:footnote>
  <w:footnote w:id="37">
    <w:p w14:paraId="023BC1AF" w14:textId="301510A6" w:rsidR="00C44DB9" w:rsidRPr="00984721" w:rsidRDefault="00C44DB9">
      <w:pPr>
        <w:pStyle w:val="FootnoteText"/>
        <w:rPr>
          <w:lang w:val="fr-BE"/>
        </w:rPr>
      </w:pPr>
      <w:r>
        <w:rPr>
          <w:rStyle w:val="FootnoteReference"/>
        </w:rPr>
        <w:footnoteRef/>
      </w:r>
      <w:r w:rsidRPr="00984721">
        <w:rPr>
          <w:lang w:val="fr-BE"/>
        </w:rPr>
        <w:t xml:space="preserve"> Directive 73/183/CEE du 28 juin 1973 concernant la suppression des restrictions à la liberté d’</w:t>
      </w:r>
      <w:proofErr w:type="spellStart"/>
      <w:r w:rsidRPr="00984721">
        <w:rPr>
          <w:lang w:val="fr-BE"/>
        </w:rPr>
        <w:t>éatablissement</w:t>
      </w:r>
      <w:proofErr w:type="spellEnd"/>
      <w:r w:rsidRPr="00984721">
        <w:rPr>
          <w:lang w:val="fr-BE"/>
        </w:rPr>
        <w:t xml:space="preserve"> et à la libre prestation des services en matière d’activités non salaries des banques. </w:t>
      </w:r>
    </w:p>
  </w:footnote>
  <w:footnote w:id="38">
    <w:p w14:paraId="42F546CF" w14:textId="574EDDBB" w:rsidR="00C44DB9" w:rsidRPr="00984721" w:rsidRDefault="00C44DB9">
      <w:pPr>
        <w:pStyle w:val="FootnoteText"/>
        <w:rPr>
          <w:lang w:val="fr-BE"/>
        </w:rPr>
      </w:pPr>
      <w:r>
        <w:rPr>
          <w:rStyle w:val="FootnoteReference"/>
        </w:rPr>
        <w:footnoteRef/>
      </w:r>
      <w:r w:rsidRPr="00984721">
        <w:rPr>
          <w:lang w:val="fr-BE"/>
        </w:rPr>
        <w:t xml:space="preserve"> Article 7 de la directive 73/183/CEE du 28 juin 1973 concernant la suppression des restrictions à la liberté d’</w:t>
      </w:r>
      <w:proofErr w:type="spellStart"/>
      <w:r w:rsidRPr="00984721">
        <w:rPr>
          <w:lang w:val="fr-BE"/>
        </w:rPr>
        <w:t>éatablissement</w:t>
      </w:r>
      <w:proofErr w:type="spellEnd"/>
      <w:r w:rsidRPr="00984721">
        <w:rPr>
          <w:lang w:val="fr-BE"/>
        </w:rPr>
        <w:t xml:space="preserve"> et à la libre prestation des services en matière d’activités non salaries des banques</w:t>
      </w:r>
    </w:p>
  </w:footnote>
  <w:footnote w:id="39">
    <w:p w14:paraId="6F95ACA2" w14:textId="086478CF" w:rsidR="00C44DB9" w:rsidRPr="00984721" w:rsidRDefault="00C44DB9">
      <w:pPr>
        <w:pStyle w:val="FootnoteText"/>
        <w:rPr>
          <w:szCs w:val="18"/>
          <w:lang w:val="fr-BE"/>
        </w:rPr>
      </w:pPr>
      <w:r w:rsidRPr="007B613A">
        <w:rPr>
          <w:rStyle w:val="FootnoteReference"/>
          <w:sz w:val="18"/>
          <w:szCs w:val="18"/>
        </w:rPr>
        <w:footnoteRef/>
      </w:r>
      <w:r w:rsidRPr="00984721">
        <w:rPr>
          <w:szCs w:val="18"/>
          <w:lang w:val="fr-BE"/>
        </w:rPr>
        <w:t xml:space="preserve"> Directive 77/780/CEE du 12 décembre 1977 visant la coordination des dispositions législatives, réglementaires et administratives concernant l’accès à l’</w:t>
      </w:r>
      <w:proofErr w:type="spellStart"/>
      <w:r w:rsidRPr="00984721">
        <w:rPr>
          <w:szCs w:val="18"/>
          <w:lang w:val="fr-BE"/>
        </w:rPr>
        <w:t>éctivité</w:t>
      </w:r>
      <w:proofErr w:type="spellEnd"/>
      <w:r w:rsidRPr="00984721">
        <w:rPr>
          <w:szCs w:val="18"/>
          <w:lang w:val="fr-BE"/>
        </w:rPr>
        <w:t xml:space="preserve"> des établissements de crédit et son exercice. </w:t>
      </w:r>
    </w:p>
  </w:footnote>
  <w:footnote w:id="40">
    <w:p w14:paraId="56F9E5CA" w14:textId="26204590" w:rsidR="00C44DB9" w:rsidRPr="00984721" w:rsidRDefault="00C44DB9">
      <w:pPr>
        <w:pStyle w:val="FootnoteText"/>
        <w:rPr>
          <w:lang w:val="fr-BE"/>
        </w:rPr>
      </w:pPr>
      <w:r w:rsidRPr="007B613A">
        <w:rPr>
          <w:rStyle w:val="FootnoteReference"/>
          <w:sz w:val="18"/>
          <w:szCs w:val="18"/>
        </w:rPr>
        <w:footnoteRef/>
      </w:r>
      <w:r w:rsidRPr="00984721">
        <w:rPr>
          <w:lang w:val="fr-BE"/>
        </w:rPr>
        <w:t xml:space="preserve"> </w:t>
      </w:r>
      <w:proofErr w:type="spellStart"/>
      <w:r w:rsidRPr="00984721">
        <w:rPr>
          <w:lang w:val="fr-BE"/>
        </w:rPr>
        <w:t>Ibid</w:t>
      </w:r>
      <w:proofErr w:type="spellEnd"/>
      <w:r w:rsidRPr="00984721">
        <w:rPr>
          <w:lang w:val="fr-BE"/>
        </w:rPr>
        <w:t xml:space="preserve">, article 11.  </w:t>
      </w:r>
    </w:p>
  </w:footnote>
  <w:footnote w:id="41">
    <w:p w14:paraId="774300FB" w14:textId="409C4128" w:rsidR="00C44DB9" w:rsidRPr="00984721" w:rsidRDefault="00C44DB9">
      <w:pPr>
        <w:pStyle w:val="FootnoteText"/>
        <w:rPr>
          <w:lang w:val="fr-BE"/>
        </w:rPr>
      </w:pPr>
      <w:r>
        <w:rPr>
          <w:rStyle w:val="FootnoteReference"/>
        </w:rPr>
        <w:footnoteRef/>
      </w:r>
      <w:r w:rsidRPr="00984721">
        <w:rPr>
          <w:lang w:val="fr-BE"/>
        </w:rPr>
        <w:t xml:space="preserve"> J.-L. </w:t>
      </w:r>
      <w:r w:rsidRPr="00984721">
        <w:rPr>
          <w:smallCaps/>
          <w:szCs w:val="18"/>
          <w:lang w:val="fr-BE"/>
        </w:rPr>
        <w:t>Fort</w:t>
      </w:r>
      <w:r w:rsidRPr="00984721">
        <w:rPr>
          <w:lang w:val="fr-BE"/>
        </w:rPr>
        <w:t xml:space="preserve">, “La coopération internationale entre autorités de </w:t>
      </w:r>
      <w:proofErr w:type="spellStart"/>
      <w:r w:rsidRPr="00984721">
        <w:rPr>
          <w:lang w:val="fr-BE"/>
        </w:rPr>
        <w:t>controle</w:t>
      </w:r>
      <w:proofErr w:type="spellEnd"/>
      <w:r w:rsidRPr="00984721">
        <w:rPr>
          <w:lang w:val="fr-BE"/>
        </w:rPr>
        <w:t xml:space="preserve"> bancaire”, Revue d’économie </w:t>
      </w:r>
      <w:proofErr w:type="spellStart"/>
      <w:r w:rsidRPr="00984721">
        <w:rPr>
          <w:lang w:val="fr-BE"/>
        </w:rPr>
        <w:t>fiancnière</w:t>
      </w:r>
      <w:proofErr w:type="spellEnd"/>
      <w:r w:rsidRPr="00984721">
        <w:rPr>
          <w:lang w:val="fr-BE"/>
        </w:rPr>
        <w:t xml:space="preserve">, 1995, n°33, p. 75. </w:t>
      </w:r>
    </w:p>
  </w:footnote>
  <w:footnote w:id="42">
    <w:p w14:paraId="42E663CF" w14:textId="30F3A7C4" w:rsidR="00C44DB9" w:rsidRPr="00984721" w:rsidRDefault="00C44DB9">
      <w:pPr>
        <w:pStyle w:val="FootnoteText"/>
        <w:rPr>
          <w:lang w:val="en-US"/>
        </w:rPr>
      </w:pPr>
      <w:r>
        <w:rPr>
          <w:rStyle w:val="FootnoteReference"/>
        </w:rPr>
        <w:footnoteRef/>
      </w:r>
      <w:r>
        <w:t xml:space="preserve"> </w:t>
      </w:r>
      <w:r w:rsidRPr="00984721">
        <w:rPr>
          <w:lang w:val="en-US"/>
        </w:rPr>
        <w:t xml:space="preserve">European Commission Internal Market Directorate General, Institutional Arrangements for the Regulation and Supervision of the Financial Sector, 2000, p. 4. </w:t>
      </w:r>
    </w:p>
  </w:footnote>
  <w:footnote w:id="43">
    <w:p w14:paraId="5DE9981C" w14:textId="668159D8" w:rsidR="00C44DB9" w:rsidRPr="00984721" w:rsidRDefault="00C44DB9">
      <w:pPr>
        <w:pStyle w:val="FootnoteText"/>
        <w:rPr>
          <w:lang w:val="en-US"/>
        </w:rPr>
      </w:pPr>
      <w:r>
        <w:rPr>
          <w:rStyle w:val="FootnoteReference"/>
        </w:rPr>
        <w:footnoteRef/>
      </w:r>
      <w:r>
        <w:t xml:space="preserve"> </w:t>
      </w:r>
      <w:r w:rsidRPr="00984721">
        <w:rPr>
          <w:smallCaps/>
          <w:szCs w:val="18"/>
          <w:lang w:val="en-US"/>
        </w:rPr>
        <w:t>N. L. Kessler</w:t>
      </w:r>
      <w:r w:rsidRPr="00984721">
        <w:rPr>
          <w:lang w:val="en-US"/>
        </w:rPr>
        <w:t xml:space="preserve">, “Banking on Europe: 1992 and EMU”, </w:t>
      </w:r>
      <w:r w:rsidRPr="00984721">
        <w:rPr>
          <w:i/>
          <w:lang w:val="en-US"/>
        </w:rPr>
        <w:t>Fordham Law Review</w:t>
      </w:r>
      <w:r w:rsidRPr="00984721">
        <w:rPr>
          <w:lang w:val="en-US"/>
        </w:rPr>
        <w:t xml:space="preserve">, 1992, p. 397. </w:t>
      </w:r>
    </w:p>
  </w:footnote>
  <w:footnote w:id="44">
    <w:p w14:paraId="6A7F417B" w14:textId="33873EF2" w:rsidR="00C44DB9" w:rsidRPr="00984721" w:rsidRDefault="00C44DB9">
      <w:pPr>
        <w:pStyle w:val="FootnoteText"/>
        <w:rPr>
          <w:lang w:val="fr-BE"/>
        </w:rPr>
      </w:pPr>
      <w:r>
        <w:rPr>
          <w:rStyle w:val="FootnoteReference"/>
        </w:rPr>
        <w:footnoteRef/>
      </w:r>
      <w:r w:rsidRPr="00984721">
        <w:rPr>
          <w:lang w:val="fr-BE"/>
        </w:rPr>
        <w:t xml:space="preserve"> Directive 89/646/CE du Conseil du 15 décembre 1989 visant à la </w:t>
      </w:r>
      <w:proofErr w:type="spellStart"/>
      <w:r w:rsidRPr="00984721">
        <w:rPr>
          <w:lang w:val="fr-BE"/>
        </w:rPr>
        <w:t>oordination</w:t>
      </w:r>
      <w:proofErr w:type="spellEnd"/>
      <w:r w:rsidRPr="00984721">
        <w:rPr>
          <w:lang w:val="fr-BE"/>
        </w:rPr>
        <w:t xml:space="preserve"> des dispositions législatives, réglementaires et administratives concernant l’accès à l’activité des établissements de crédit et son exercice et modifiant la directive 77/780/CEE. </w:t>
      </w:r>
    </w:p>
  </w:footnote>
  <w:footnote w:id="45">
    <w:p w14:paraId="5D7DEF2C" w14:textId="1A3C15C6" w:rsidR="00C44DB9" w:rsidRPr="00984721" w:rsidRDefault="00C44DB9">
      <w:pPr>
        <w:pStyle w:val="FootnoteText"/>
        <w:rPr>
          <w:lang w:val="fr-BE"/>
        </w:rPr>
      </w:pPr>
      <w:r>
        <w:rPr>
          <w:rStyle w:val="FootnoteReference"/>
        </w:rPr>
        <w:footnoteRef/>
      </w:r>
      <w:r w:rsidRPr="00984721">
        <w:rPr>
          <w:lang w:val="fr-BE"/>
        </w:rPr>
        <w:t xml:space="preserve"> D. </w:t>
      </w:r>
      <w:r w:rsidRPr="00984721">
        <w:rPr>
          <w:smallCaps/>
          <w:szCs w:val="18"/>
          <w:lang w:val="fr-BE"/>
        </w:rPr>
        <w:t>Servais</w:t>
      </w:r>
      <w:r w:rsidRPr="00984721">
        <w:rPr>
          <w:lang w:val="fr-BE"/>
        </w:rPr>
        <w:t xml:space="preserve"> (</w:t>
      </w:r>
      <w:proofErr w:type="spellStart"/>
      <w:r w:rsidRPr="00984721">
        <w:rPr>
          <w:lang w:val="fr-BE"/>
        </w:rPr>
        <w:t>dir</w:t>
      </w:r>
      <w:proofErr w:type="spellEnd"/>
      <w:r w:rsidRPr="00984721">
        <w:rPr>
          <w:lang w:val="fr-BE"/>
        </w:rPr>
        <w:t xml:space="preserve">.), Intégration des marchés financiers, Commentaire J. Mégret, Bruxelles, éditions de l’Université Libre de Bruxelles, 2007, p. 25. </w:t>
      </w:r>
    </w:p>
  </w:footnote>
  <w:footnote w:id="46">
    <w:p w14:paraId="27F50BB5" w14:textId="0F40AD4F" w:rsidR="00C44DB9" w:rsidRPr="00984721" w:rsidRDefault="00C44DB9">
      <w:pPr>
        <w:pStyle w:val="FootnoteText"/>
        <w:rPr>
          <w:lang w:val="en-US"/>
        </w:rPr>
      </w:pPr>
      <w:r>
        <w:rPr>
          <w:rStyle w:val="FootnoteReference"/>
        </w:rPr>
        <w:footnoteRef/>
      </w:r>
      <w:r>
        <w:t xml:space="preserve"> </w:t>
      </w:r>
      <w:r w:rsidRPr="00984721">
        <w:rPr>
          <w:lang w:val="en-US"/>
        </w:rPr>
        <w:t xml:space="preserve">Communication from the Commission (COM (2007) 727 final), Review of the </w:t>
      </w:r>
      <w:proofErr w:type="spellStart"/>
      <w:r w:rsidRPr="00984721">
        <w:rPr>
          <w:lang w:val="en-US"/>
        </w:rPr>
        <w:t>Lamfalussy</w:t>
      </w:r>
      <w:proofErr w:type="spellEnd"/>
      <w:r w:rsidRPr="00984721">
        <w:rPr>
          <w:lang w:val="en-US"/>
        </w:rPr>
        <w:t xml:space="preserve"> process – Strengthening supervisory convergence, </w:t>
      </w:r>
      <w:proofErr w:type="spellStart"/>
      <w:r w:rsidRPr="00984721">
        <w:rPr>
          <w:lang w:val="en-US"/>
        </w:rPr>
        <w:t>disponible</w:t>
      </w:r>
      <w:proofErr w:type="spellEnd"/>
      <w:r w:rsidRPr="00984721">
        <w:rPr>
          <w:lang w:val="en-US"/>
        </w:rPr>
        <w:t xml:space="preserve"> sur </w:t>
      </w:r>
      <w:hyperlink r:id="rId3" w:history="1">
        <w:r w:rsidRPr="00984721">
          <w:rPr>
            <w:rStyle w:val="Hyperlink"/>
            <w:lang w:val="en-US"/>
          </w:rPr>
          <w:t>www.eur-lex.europa.eu</w:t>
        </w:r>
      </w:hyperlink>
      <w:r w:rsidRPr="00984721">
        <w:rPr>
          <w:lang w:val="en-US"/>
        </w:rPr>
        <w:t xml:space="preserve">. </w:t>
      </w:r>
    </w:p>
  </w:footnote>
  <w:footnote w:id="47">
    <w:p w14:paraId="7E68483E" w14:textId="512D0DC1" w:rsidR="00C44DB9" w:rsidRPr="00984721" w:rsidRDefault="00C44DB9">
      <w:pPr>
        <w:pStyle w:val="FootnoteText"/>
        <w:rPr>
          <w:lang w:val="en-US"/>
        </w:rPr>
      </w:pPr>
      <w:r>
        <w:rPr>
          <w:rStyle w:val="FootnoteReference"/>
        </w:rPr>
        <w:footnoteRef/>
      </w:r>
      <w:r>
        <w:t xml:space="preserve"> </w:t>
      </w:r>
      <w:r w:rsidRPr="00984721">
        <w:rPr>
          <w:lang w:val="en-US"/>
        </w:rPr>
        <w:t xml:space="preserve">A. </w:t>
      </w:r>
      <w:r w:rsidRPr="00984721">
        <w:rPr>
          <w:smallCaps/>
          <w:szCs w:val="18"/>
          <w:lang w:val="en-US"/>
        </w:rPr>
        <w:t>Witte</w:t>
      </w:r>
      <w:r w:rsidRPr="00984721">
        <w:rPr>
          <w:lang w:val="en-US"/>
        </w:rPr>
        <w:t>, “The application of National Banking Supervision Law by th</w:t>
      </w:r>
      <w:r>
        <w:rPr>
          <w:lang w:val="en-US"/>
        </w:rPr>
        <w:t>e</w:t>
      </w:r>
      <w:r w:rsidRPr="00984721">
        <w:rPr>
          <w:lang w:val="en-US"/>
        </w:rPr>
        <w:t xml:space="preserve"> ECB: Three Parallel Modes of Executing EU Law?”, </w:t>
      </w:r>
      <w:r>
        <w:rPr>
          <w:i/>
          <w:lang w:val="en-US"/>
        </w:rPr>
        <w:t>Maa</w:t>
      </w:r>
      <w:r w:rsidRPr="00984721">
        <w:rPr>
          <w:i/>
          <w:lang w:val="en-US"/>
        </w:rPr>
        <w:t>stricht Journal of European and Comparative Law</w:t>
      </w:r>
      <w:r w:rsidRPr="00984721">
        <w:rPr>
          <w:lang w:val="en-US"/>
        </w:rPr>
        <w:t xml:space="preserve">, 2014, p.91. </w:t>
      </w:r>
    </w:p>
  </w:footnote>
  <w:footnote w:id="48">
    <w:p w14:paraId="7E12EE02" w14:textId="6CB8BDBB" w:rsidR="00C44DB9" w:rsidRPr="00984721" w:rsidRDefault="00C44DB9">
      <w:pPr>
        <w:pStyle w:val="FootnoteText"/>
        <w:rPr>
          <w:lang w:val="fr-BE"/>
        </w:rPr>
      </w:pPr>
      <w:r>
        <w:rPr>
          <w:rStyle w:val="FootnoteReference"/>
        </w:rPr>
        <w:footnoteRef/>
      </w:r>
      <w:r w:rsidRPr="00984721">
        <w:rPr>
          <w:lang w:val="fr-BE"/>
        </w:rPr>
        <w:t xml:space="preserve"> Règlement n°1093/2010 du parlement et du conseil du 24 novembre 2010 instituan</w:t>
      </w:r>
      <w:r>
        <w:rPr>
          <w:lang w:val="fr-BE"/>
        </w:rPr>
        <w:t>t une Autorité européenne de su</w:t>
      </w:r>
      <w:r w:rsidRPr="00984721">
        <w:rPr>
          <w:lang w:val="fr-BE"/>
        </w:rPr>
        <w:t xml:space="preserve">rveillance (Autorité bancaire européenne), modifiant la décision n°716/2009/CE et abrogeant la décision 2099/Ce de la Commission, article 16. </w:t>
      </w:r>
    </w:p>
  </w:footnote>
  <w:footnote w:id="49">
    <w:p w14:paraId="507C4534" w14:textId="558CA999" w:rsidR="00C44DB9" w:rsidRPr="00984721" w:rsidRDefault="00C44DB9">
      <w:pPr>
        <w:pStyle w:val="FootnoteText"/>
        <w:rPr>
          <w:lang w:val="fr-BE"/>
        </w:rPr>
      </w:pPr>
      <w:r>
        <w:rPr>
          <w:rStyle w:val="FootnoteReference"/>
        </w:rPr>
        <w:footnoteRef/>
      </w:r>
      <w:r w:rsidRPr="00984721">
        <w:rPr>
          <w:lang w:val="fr-BE"/>
        </w:rPr>
        <w:t xml:space="preserve"> Voir site de l’autorité bancaire </w:t>
      </w:r>
      <w:r>
        <w:rPr>
          <w:lang w:val="fr-BE"/>
        </w:rPr>
        <w:t xml:space="preserve">européenne: www. eba.europa.eu, consulté pour la dernière fois le 27 janvier 2019. </w:t>
      </w:r>
    </w:p>
  </w:footnote>
  <w:footnote w:id="50">
    <w:p w14:paraId="5FB4C5F2" w14:textId="4374E3A9" w:rsidR="00C44DB9" w:rsidRPr="00BC3C1A" w:rsidRDefault="00C44DB9">
      <w:pPr>
        <w:pStyle w:val="FootnoteText"/>
        <w:rPr>
          <w:lang w:val="fr-BE"/>
        </w:rPr>
      </w:pPr>
      <w:r>
        <w:rPr>
          <w:rStyle w:val="FootnoteReference"/>
        </w:rPr>
        <w:footnoteRef/>
      </w:r>
      <w:r w:rsidRPr="00BC3C1A">
        <w:rPr>
          <w:lang w:val="fr-BE"/>
        </w:rPr>
        <w:t xml:space="preserve"> Voir en particulier</w:t>
      </w:r>
      <w:r>
        <w:rPr>
          <w:lang w:val="fr-BE"/>
        </w:rPr>
        <w:t xml:space="preserve">, le manuel en matière de supervision disponible sur </w:t>
      </w:r>
      <w:hyperlink r:id="rId4" w:history="1">
        <w:r w:rsidRPr="00DE32E5">
          <w:rPr>
            <w:rStyle w:val="Hyperlink"/>
            <w:lang w:val="fr-BE"/>
          </w:rPr>
          <w:t>https://www.bankingsupervision.europa.eu/press/publications/html/index.en.html</w:t>
        </w:r>
      </w:hyperlink>
      <w:r>
        <w:rPr>
          <w:lang w:val="fr-BE"/>
        </w:rPr>
        <w:t xml:space="preserve">, consulté pour la dernière fois le 27 janvier 2019. </w:t>
      </w:r>
    </w:p>
  </w:footnote>
  <w:footnote w:id="51">
    <w:p w14:paraId="6E78C215" w14:textId="61E737B4" w:rsidR="00C44DB9" w:rsidRPr="00984721" w:rsidRDefault="00C44DB9">
      <w:pPr>
        <w:pStyle w:val="FootnoteText"/>
        <w:rPr>
          <w:lang w:val="en-US"/>
        </w:rPr>
      </w:pPr>
      <w:r>
        <w:rPr>
          <w:rStyle w:val="FootnoteReference"/>
        </w:rPr>
        <w:footnoteRef/>
      </w:r>
      <w:r>
        <w:t xml:space="preserve"> </w:t>
      </w:r>
      <w:r w:rsidRPr="00984721">
        <w:rPr>
          <w:lang w:val="en-US"/>
        </w:rPr>
        <w:t>“</w:t>
      </w:r>
      <w:r w:rsidRPr="00D56C65">
        <w:rPr>
          <w:i/>
          <w:lang w:val="en-US"/>
        </w:rPr>
        <w:t>The Core principles are a framework of minimum standards for sound supervisory practices and are considered universally applicable</w:t>
      </w:r>
      <w:r w:rsidRPr="00984721">
        <w:rPr>
          <w:lang w:val="en-US"/>
        </w:rPr>
        <w:t xml:space="preserve">”, </w:t>
      </w:r>
      <w:proofErr w:type="spellStart"/>
      <w:r w:rsidRPr="00984721">
        <w:rPr>
          <w:lang w:val="en-US"/>
        </w:rPr>
        <w:t>traduction</w:t>
      </w:r>
      <w:proofErr w:type="spellEnd"/>
      <w:r w:rsidRPr="00984721">
        <w:rPr>
          <w:lang w:val="en-US"/>
        </w:rPr>
        <w:t xml:space="preserve"> </w:t>
      </w:r>
      <w:proofErr w:type="spellStart"/>
      <w:r w:rsidRPr="00984721">
        <w:rPr>
          <w:lang w:val="en-US"/>
        </w:rPr>
        <w:t>libre</w:t>
      </w:r>
      <w:proofErr w:type="spellEnd"/>
      <w:r w:rsidRPr="00984721">
        <w:rPr>
          <w:lang w:val="en-US"/>
        </w:rPr>
        <w:t xml:space="preserve"> in Bank for international settlements – Basel Committee on Banking Supervision, Core principles for Effective Banking Supervision, 2012, p. 9, </w:t>
      </w:r>
      <w:proofErr w:type="spellStart"/>
      <w:r w:rsidRPr="00984721">
        <w:rPr>
          <w:lang w:val="en-US"/>
        </w:rPr>
        <w:t>disponible</w:t>
      </w:r>
      <w:proofErr w:type="spellEnd"/>
      <w:r w:rsidRPr="00984721">
        <w:rPr>
          <w:lang w:val="en-US"/>
        </w:rPr>
        <w:t xml:space="preserve"> sur </w:t>
      </w:r>
      <w:hyperlink r:id="rId5" w:history="1">
        <w:r w:rsidRPr="00984721">
          <w:rPr>
            <w:rStyle w:val="Hyperlink"/>
            <w:lang w:val="en-US"/>
          </w:rPr>
          <w:t>www.bis.org</w:t>
        </w:r>
      </w:hyperlink>
      <w:r w:rsidRPr="00984721">
        <w:rPr>
          <w:lang w:val="en-US"/>
        </w:rPr>
        <w:t xml:space="preserve">.  </w:t>
      </w:r>
    </w:p>
  </w:footnote>
  <w:footnote w:id="52">
    <w:p w14:paraId="56669744" w14:textId="2AB55DDF" w:rsidR="00C44DB9" w:rsidRPr="0067348F" w:rsidRDefault="00C44DB9">
      <w:pPr>
        <w:pStyle w:val="FootnoteText"/>
        <w:rPr>
          <w:lang w:val="en-US"/>
        </w:rPr>
      </w:pPr>
      <w:r>
        <w:rPr>
          <w:rStyle w:val="FootnoteReference"/>
        </w:rPr>
        <w:footnoteRef/>
      </w:r>
      <w:r>
        <w:t xml:space="preserve"> </w:t>
      </w:r>
      <w:r w:rsidRPr="0067348F">
        <w:rPr>
          <w:i/>
          <w:lang w:val="en-US"/>
        </w:rPr>
        <w:t>ibid</w:t>
      </w:r>
      <w:r w:rsidRPr="0067348F">
        <w:rPr>
          <w:lang w:val="en-US"/>
        </w:rPr>
        <w:t xml:space="preserve">. </w:t>
      </w:r>
    </w:p>
  </w:footnote>
  <w:footnote w:id="53">
    <w:p w14:paraId="537890AF" w14:textId="3856C465" w:rsidR="00C44DB9" w:rsidRPr="00984721" w:rsidRDefault="00C44DB9">
      <w:pPr>
        <w:pStyle w:val="FootnoteText"/>
        <w:rPr>
          <w:lang w:val="en-US"/>
        </w:rPr>
      </w:pPr>
      <w:r>
        <w:rPr>
          <w:rStyle w:val="FootnoteReference"/>
        </w:rPr>
        <w:footnoteRef/>
      </w:r>
      <w:r>
        <w:t xml:space="preserve"> </w:t>
      </w:r>
      <w:proofErr w:type="spellStart"/>
      <w:r>
        <w:t>Voir</w:t>
      </w:r>
      <w:proofErr w:type="spellEnd"/>
      <w:r>
        <w:t xml:space="preserve"> § 136 et 137 European Banking Authority, Guidelines on sound remuneration policies under Articles 74 (3) and 75 (2) of Directive 2013/36/EU and disclosures under Article 450 of Regulation (EU) No 575/2013. </w:t>
      </w:r>
    </w:p>
  </w:footnote>
  <w:footnote w:id="54">
    <w:p w14:paraId="0CC3F44D" w14:textId="02ADAE8F" w:rsidR="00C44DB9" w:rsidRPr="00984721" w:rsidRDefault="00C44DB9">
      <w:pPr>
        <w:pStyle w:val="FootnoteText"/>
        <w:rPr>
          <w:lang w:val="fr-BE"/>
        </w:rPr>
      </w:pPr>
      <w:r>
        <w:rPr>
          <w:rStyle w:val="FootnoteReference"/>
        </w:rPr>
        <w:footnoteRef/>
      </w:r>
      <w:r w:rsidRPr="00984721">
        <w:rPr>
          <w:lang w:val="fr-BE"/>
        </w:rPr>
        <w:t xml:space="preserve"> Article 75, directive 2013/36/UE du parlement européen et du conseil du 26 juin 2013 concernant l’accès à l’activité des établissements de crédit et la surveillance prudentielle des établissements de crédit et des entreprises d’investissement. </w:t>
      </w:r>
    </w:p>
  </w:footnote>
  <w:footnote w:id="55">
    <w:p w14:paraId="4B841E32" w14:textId="66086ED2" w:rsidR="00C44DB9" w:rsidRPr="00984721" w:rsidRDefault="00C44DB9">
      <w:pPr>
        <w:pStyle w:val="FootnoteText"/>
        <w:rPr>
          <w:lang w:val="en-US"/>
        </w:rPr>
      </w:pPr>
      <w:r w:rsidRPr="00B308CE">
        <w:rPr>
          <w:rStyle w:val="FootnoteReference"/>
        </w:rPr>
        <w:footnoteRef/>
      </w:r>
      <w:r w:rsidRPr="00B308CE">
        <w:t xml:space="preserve"> </w:t>
      </w:r>
      <w:r w:rsidRPr="00984721">
        <w:rPr>
          <w:lang w:val="en-US"/>
        </w:rPr>
        <w:t>“</w:t>
      </w:r>
      <w:r w:rsidRPr="00450107">
        <w:rPr>
          <w:i/>
          <w:lang w:val="en-US"/>
        </w:rPr>
        <w:t>It is not an international treaty, but if you sign up to something like that, it must be taken very seriously</w:t>
      </w:r>
      <w:r w:rsidRPr="00984721">
        <w:rPr>
          <w:lang w:val="en-US"/>
        </w:rPr>
        <w:t>”,</w:t>
      </w:r>
      <w:r>
        <w:rPr>
          <w:lang w:val="en-US"/>
        </w:rPr>
        <w:t xml:space="preserve"> </w:t>
      </w:r>
      <w:proofErr w:type="spellStart"/>
      <w:r>
        <w:rPr>
          <w:lang w:val="en-US"/>
        </w:rPr>
        <w:t>traduction</w:t>
      </w:r>
      <w:proofErr w:type="spellEnd"/>
      <w:r>
        <w:rPr>
          <w:lang w:val="en-US"/>
        </w:rPr>
        <w:t xml:space="preserve"> </w:t>
      </w:r>
      <w:proofErr w:type="spellStart"/>
      <w:r>
        <w:rPr>
          <w:lang w:val="en-US"/>
        </w:rPr>
        <w:t>libre</w:t>
      </w:r>
      <w:proofErr w:type="spellEnd"/>
      <w:r w:rsidRPr="00984721">
        <w:rPr>
          <w:lang w:val="en-US"/>
        </w:rPr>
        <w:t xml:space="preserve"> in S. </w:t>
      </w:r>
      <w:r w:rsidRPr="00984721">
        <w:rPr>
          <w:smallCaps/>
          <w:szCs w:val="18"/>
          <w:lang w:val="en-US"/>
        </w:rPr>
        <w:t>Salomon</w:t>
      </w:r>
      <w:r w:rsidRPr="00984721">
        <w:rPr>
          <w:lang w:val="en-US"/>
        </w:rPr>
        <w:t xml:space="preserve">, </w:t>
      </w:r>
      <w:proofErr w:type="spellStart"/>
      <w:r w:rsidRPr="00984721">
        <w:rPr>
          <w:i/>
          <w:lang w:val="en-US"/>
        </w:rPr>
        <w:t>op.cit</w:t>
      </w:r>
      <w:proofErr w:type="spellEnd"/>
      <w:r w:rsidRPr="00984721">
        <w:rPr>
          <w:lang w:val="en-US"/>
        </w:rPr>
        <w:t xml:space="preserve">., p. 435. </w:t>
      </w:r>
    </w:p>
  </w:footnote>
  <w:footnote w:id="56">
    <w:p w14:paraId="5CF05790" w14:textId="20235EA0" w:rsidR="00C44DB9" w:rsidRPr="00984721" w:rsidRDefault="00C44DB9">
      <w:pPr>
        <w:pStyle w:val="FootnoteText"/>
        <w:rPr>
          <w:lang w:val="en-US"/>
        </w:rPr>
      </w:pPr>
      <w:r w:rsidRPr="00B308CE">
        <w:rPr>
          <w:rStyle w:val="FootnoteReference"/>
        </w:rPr>
        <w:footnoteRef/>
      </w:r>
      <w:r w:rsidRPr="00B308CE">
        <w:t xml:space="preserve"> </w:t>
      </w:r>
      <w:r w:rsidRPr="00984721">
        <w:rPr>
          <w:lang w:val="en-US"/>
        </w:rPr>
        <w:t xml:space="preserve">J. </w:t>
      </w:r>
      <w:r w:rsidRPr="00984721">
        <w:rPr>
          <w:smallCaps/>
          <w:szCs w:val="18"/>
          <w:lang w:val="en-US"/>
        </w:rPr>
        <w:t>Ward</w:t>
      </w:r>
      <w:r w:rsidRPr="00984721">
        <w:rPr>
          <w:lang w:val="en-US"/>
        </w:rPr>
        <w:t xml:space="preserve">, The New Basel Accord and Developing Countries : Problems and Alternatives, CFAP Working Paper n°4, </w:t>
      </w:r>
      <w:proofErr w:type="spellStart"/>
      <w:r w:rsidRPr="00984721">
        <w:rPr>
          <w:lang w:val="en-US"/>
        </w:rPr>
        <w:t>disponible</w:t>
      </w:r>
      <w:proofErr w:type="spellEnd"/>
      <w:r w:rsidRPr="00984721">
        <w:rPr>
          <w:lang w:val="en-US"/>
        </w:rPr>
        <w:t xml:space="preserve"> sur </w:t>
      </w:r>
      <w:hyperlink r:id="rId6" w:history="1">
        <w:r w:rsidRPr="00984721">
          <w:rPr>
            <w:rStyle w:val="Hyperlink"/>
            <w:lang w:val="en-US"/>
          </w:rPr>
          <w:t>www.cam.ac.uk</w:t>
        </w:r>
      </w:hyperlink>
      <w:r w:rsidRPr="00984721">
        <w:rPr>
          <w:lang w:val="en-US"/>
        </w:rPr>
        <w:t xml:space="preserve">, 2002, p. 34. </w:t>
      </w:r>
    </w:p>
  </w:footnote>
  <w:footnote w:id="57">
    <w:p w14:paraId="7EF5AB3E" w14:textId="08B63750" w:rsidR="00C44DB9" w:rsidRPr="00984721" w:rsidRDefault="00C44DB9">
      <w:pPr>
        <w:pStyle w:val="FootnoteText"/>
        <w:rPr>
          <w:lang w:val="fr-BE"/>
        </w:rPr>
      </w:pPr>
      <w:r>
        <w:rPr>
          <w:rStyle w:val="FootnoteReference"/>
        </w:rPr>
        <w:footnoteRef/>
      </w:r>
      <w:r w:rsidRPr="00984721">
        <w:rPr>
          <w:lang w:val="fr-BE"/>
        </w:rPr>
        <w:t xml:space="preserve"> Voir. </w:t>
      </w:r>
      <w:hyperlink r:id="rId7" w:history="1">
        <w:r w:rsidRPr="00984721">
          <w:rPr>
            <w:rStyle w:val="Hyperlink"/>
            <w:lang w:val="fr-BE"/>
          </w:rPr>
          <w:t>https://www.bis.org/bcbs/implementation/rcap_jurisdictional.htm</w:t>
        </w:r>
      </w:hyperlink>
      <w:r w:rsidRPr="00984721">
        <w:rPr>
          <w:lang w:val="fr-BE"/>
        </w:rPr>
        <w:t xml:space="preserve">, consulté pour la dernière le 1er décembre 2018. </w:t>
      </w:r>
    </w:p>
  </w:footnote>
  <w:footnote w:id="58">
    <w:p w14:paraId="704C3F0A" w14:textId="3B21CF40" w:rsidR="00C44DB9" w:rsidRPr="00984721" w:rsidRDefault="00C44DB9">
      <w:pPr>
        <w:pStyle w:val="FootnoteText"/>
        <w:rPr>
          <w:lang w:val="en-US"/>
        </w:rPr>
      </w:pPr>
      <w:r>
        <w:rPr>
          <w:rStyle w:val="FootnoteReference"/>
        </w:rPr>
        <w:footnoteRef/>
      </w:r>
      <w:r>
        <w:t xml:space="preserve"> </w:t>
      </w:r>
      <w:r w:rsidRPr="00984721">
        <w:rPr>
          <w:i/>
          <w:lang w:val="en-US"/>
        </w:rPr>
        <w:t>Ibid</w:t>
      </w:r>
      <w:r w:rsidRPr="00984721">
        <w:rPr>
          <w:lang w:val="en-US"/>
        </w:rPr>
        <w:t xml:space="preserve">. </w:t>
      </w:r>
    </w:p>
  </w:footnote>
  <w:footnote w:id="59">
    <w:p w14:paraId="754112E9" w14:textId="2A6EABB1" w:rsidR="00C44DB9" w:rsidRPr="00984721" w:rsidRDefault="00C44DB9" w:rsidP="00A10484">
      <w:pPr>
        <w:pStyle w:val="FootnoteText"/>
        <w:rPr>
          <w:lang w:val="en-US"/>
        </w:rPr>
      </w:pPr>
      <w:r>
        <w:rPr>
          <w:rStyle w:val="FootnoteReference"/>
        </w:rPr>
        <w:footnoteRef/>
      </w:r>
      <w:r>
        <w:t xml:space="preserve"> </w:t>
      </w:r>
      <w:r w:rsidRPr="00984721">
        <w:rPr>
          <w:lang w:val="en-US"/>
        </w:rPr>
        <w:t xml:space="preserve">M.S. </w:t>
      </w:r>
      <w:r w:rsidRPr="00984721">
        <w:rPr>
          <w:smallCaps/>
          <w:szCs w:val="18"/>
          <w:lang w:val="en-US"/>
        </w:rPr>
        <w:t>Barr</w:t>
      </w:r>
      <w:r w:rsidRPr="00984721">
        <w:rPr>
          <w:lang w:val="en-US"/>
        </w:rPr>
        <w:t xml:space="preserve"> et G.P. </w:t>
      </w:r>
      <w:r w:rsidRPr="00984721">
        <w:rPr>
          <w:smallCaps/>
          <w:szCs w:val="18"/>
          <w:lang w:val="en-US"/>
        </w:rPr>
        <w:t>Miller</w:t>
      </w:r>
      <w:r w:rsidRPr="00984721">
        <w:rPr>
          <w:lang w:val="en-US"/>
        </w:rPr>
        <w:t xml:space="preserve">, “Global Administrative Law: The View from Basel”, </w:t>
      </w:r>
      <w:r w:rsidRPr="00984721">
        <w:rPr>
          <w:i/>
          <w:lang w:val="en-US"/>
        </w:rPr>
        <w:t xml:space="preserve">The European Journal of International Law, </w:t>
      </w:r>
      <w:r w:rsidRPr="00984721">
        <w:rPr>
          <w:lang w:val="en-US"/>
        </w:rPr>
        <w:t xml:space="preserve">2006, p. 42. </w:t>
      </w:r>
    </w:p>
  </w:footnote>
  <w:footnote w:id="60">
    <w:p w14:paraId="5C7F7A78" w14:textId="20B80824" w:rsidR="00C44DB9" w:rsidRPr="00984721" w:rsidRDefault="00C44DB9" w:rsidP="00A10484">
      <w:pPr>
        <w:pStyle w:val="FootnoteText"/>
        <w:rPr>
          <w:lang w:val="fr-BE"/>
        </w:rPr>
      </w:pPr>
      <w:r w:rsidRPr="00B308CE">
        <w:rPr>
          <w:rStyle w:val="FootnoteReference"/>
        </w:rPr>
        <w:footnoteRef/>
      </w:r>
      <w:r w:rsidRPr="00B308CE">
        <w:t xml:space="preserve"> </w:t>
      </w:r>
      <w:r w:rsidRPr="00984721">
        <w:rPr>
          <w:lang w:val="en-US"/>
        </w:rPr>
        <w:t xml:space="preserve">“A timetable will be established for all banks to meet or exceed Basle standards”, </w:t>
      </w:r>
      <w:proofErr w:type="spellStart"/>
      <w:r w:rsidRPr="00984721">
        <w:rPr>
          <w:lang w:val="en-US"/>
        </w:rPr>
        <w:t>traduction</w:t>
      </w:r>
      <w:proofErr w:type="spellEnd"/>
      <w:r w:rsidRPr="00984721">
        <w:rPr>
          <w:lang w:val="en-US"/>
        </w:rPr>
        <w:t xml:space="preserve"> </w:t>
      </w:r>
      <w:proofErr w:type="spellStart"/>
      <w:r w:rsidRPr="00984721">
        <w:rPr>
          <w:lang w:val="en-US"/>
        </w:rPr>
        <w:t>libre</w:t>
      </w:r>
      <w:proofErr w:type="spellEnd"/>
      <w:r w:rsidRPr="00984721">
        <w:rPr>
          <w:lang w:val="en-US"/>
        </w:rPr>
        <w:t xml:space="preserve">, International Monetary Fund, Republic of Korea. </w:t>
      </w:r>
      <w:r w:rsidRPr="00984721">
        <w:rPr>
          <w:lang w:val="fr-BE"/>
        </w:rPr>
        <w:t xml:space="preserve">IMF Stand-By Arrangement; </w:t>
      </w:r>
      <w:proofErr w:type="spellStart"/>
      <w:r w:rsidRPr="00984721">
        <w:rPr>
          <w:lang w:val="fr-BE"/>
        </w:rPr>
        <w:t>Summary</w:t>
      </w:r>
      <w:proofErr w:type="spellEnd"/>
      <w:r w:rsidRPr="00984721">
        <w:rPr>
          <w:lang w:val="fr-BE"/>
        </w:rPr>
        <w:t xml:space="preserve"> of the </w:t>
      </w:r>
      <w:proofErr w:type="spellStart"/>
      <w:r w:rsidRPr="00984721">
        <w:rPr>
          <w:lang w:val="fr-BE"/>
        </w:rPr>
        <w:t>Economic</w:t>
      </w:r>
      <w:proofErr w:type="spellEnd"/>
      <w:r w:rsidRPr="00984721">
        <w:rPr>
          <w:lang w:val="fr-BE"/>
        </w:rPr>
        <w:t xml:space="preserve"> Program, disponible sur </w:t>
      </w:r>
      <w:hyperlink r:id="rId8" w:history="1">
        <w:r w:rsidRPr="00984721">
          <w:rPr>
            <w:rStyle w:val="Hyperlink"/>
            <w:lang w:val="fr-BE"/>
          </w:rPr>
          <w:t>www.imf.org</w:t>
        </w:r>
      </w:hyperlink>
      <w:r w:rsidRPr="00984721">
        <w:rPr>
          <w:lang w:val="fr-BE"/>
        </w:rPr>
        <w:t xml:space="preserve">, 5 décembre 1997, consulté pour la dernière fois le 6 décembre 2018.  </w:t>
      </w:r>
    </w:p>
  </w:footnote>
  <w:footnote w:id="61">
    <w:p w14:paraId="218A27E2" w14:textId="749F5C14" w:rsidR="00C44DB9" w:rsidRPr="00984721" w:rsidRDefault="00C44DB9" w:rsidP="00A10484">
      <w:pPr>
        <w:pStyle w:val="FootnoteText"/>
        <w:rPr>
          <w:lang w:val="fr-BE"/>
        </w:rPr>
      </w:pPr>
      <w:r>
        <w:rPr>
          <w:rStyle w:val="FootnoteReference"/>
        </w:rPr>
        <w:footnoteRef/>
      </w:r>
      <w:r w:rsidRPr="00984721">
        <w:rPr>
          <w:lang w:val="fr-BE"/>
        </w:rPr>
        <w:t xml:space="preserve"> </w:t>
      </w:r>
      <w:r w:rsidRPr="00984721">
        <w:rPr>
          <w:smallCaps/>
          <w:szCs w:val="18"/>
          <w:lang w:val="fr-BE"/>
        </w:rPr>
        <w:t xml:space="preserve">C. </w:t>
      </w:r>
      <w:proofErr w:type="spellStart"/>
      <w:r w:rsidRPr="00984721">
        <w:rPr>
          <w:smallCaps/>
          <w:szCs w:val="18"/>
          <w:lang w:val="fr-BE"/>
        </w:rPr>
        <w:t>Gola</w:t>
      </w:r>
      <w:proofErr w:type="spellEnd"/>
      <w:r w:rsidRPr="00984721">
        <w:rPr>
          <w:smallCaps/>
          <w:szCs w:val="18"/>
          <w:lang w:val="fr-BE"/>
        </w:rPr>
        <w:t xml:space="preserve"> et F. </w:t>
      </w:r>
      <w:proofErr w:type="spellStart"/>
      <w:r w:rsidRPr="00984721">
        <w:rPr>
          <w:smallCaps/>
          <w:szCs w:val="18"/>
          <w:lang w:val="fr-BE"/>
        </w:rPr>
        <w:t>Spadafora</w:t>
      </w:r>
      <w:proofErr w:type="spellEnd"/>
      <w:r w:rsidRPr="00984721">
        <w:rPr>
          <w:lang w:val="fr-BE"/>
        </w:rPr>
        <w:t xml:space="preserve">, </w:t>
      </w:r>
      <w:r>
        <w:rPr>
          <w:i/>
          <w:lang w:val="fr-BE"/>
        </w:rPr>
        <w:t xml:space="preserve">Financial </w:t>
      </w:r>
      <w:proofErr w:type="spellStart"/>
      <w:r>
        <w:rPr>
          <w:i/>
          <w:lang w:val="fr-BE"/>
        </w:rPr>
        <w:t>Sector</w:t>
      </w:r>
      <w:proofErr w:type="spellEnd"/>
      <w:r>
        <w:rPr>
          <w:i/>
          <w:lang w:val="fr-BE"/>
        </w:rPr>
        <w:t xml:space="preserve"> Surveillance an</w:t>
      </w:r>
      <w:r w:rsidRPr="00984721">
        <w:rPr>
          <w:i/>
          <w:lang w:val="fr-BE"/>
        </w:rPr>
        <w:t xml:space="preserve">d the IMF, </w:t>
      </w:r>
      <w:r w:rsidRPr="00984721">
        <w:rPr>
          <w:lang w:val="fr-BE"/>
        </w:rPr>
        <w:t xml:space="preserve">IMF </w:t>
      </w:r>
      <w:proofErr w:type="spellStart"/>
      <w:r w:rsidRPr="00984721">
        <w:rPr>
          <w:lang w:val="fr-BE"/>
        </w:rPr>
        <w:t>Working</w:t>
      </w:r>
      <w:proofErr w:type="spellEnd"/>
      <w:r w:rsidRPr="00984721">
        <w:rPr>
          <w:lang w:val="fr-BE"/>
        </w:rPr>
        <w:t xml:space="preserve"> Paper WP/09/247, disponible sur </w:t>
      </w:r>
      <w:hyperlink r:id="rId9" w:history="1">
        <w:r w:rsidRPr="00984721">
          <w:rPr>
            <w:rStyle w:val="Hyperlink"/>
            <w:lang w:val="fr-BE"/>
          </w:rPr>
          <w:t>www.imf.org</w:t>
        </w:r>
      </w:hyperlink>
      <w:r w:rsidRPr="00984721">
        <w:rPr>
          <w:lang w:val="fr-BE"/>
        </w:rPr>
        <w:t xml:space="preserve">, novembre 2009, p. 30. </w:t>
      </w:r>
    </w:p>
  </w:footnote>
  <w:footnote w:id="62">
    <w:p w14:paraId="4895CFD5" w14:textId="415EBB1E" w:rsidR="00C44DB9" w:rsidRPr="00984721" w:rsidRDefault="00C44DB9">
      <w:pPr>
        <w:pStyle w:val="FootnoteText"/>
        <w:rPr>
          <w:lang w:val="fr-BE"/>
        </w:rPr>
      </w:pPr>
      <w:r>
        <w:rPr>
          <w:rStyle w:val="FootnoteReference"/>
        </w:rPr>
        <w:footnoteRef/>
      </w:r>
      <w:r w:rsidRPr="00984721">
        <w:rPr>
          <w:lang w:val="fr-BE"/>
        </w:rPr>
        <w:t xml:space="preserve"> Voir, EBA “Guidelines on the </w:t>
      </w:r>
      <w:proofErr w:type="spellStart"/>
      <w:r w:rsidRPr="00984721">
        <w:rPr>
          <w:lang w:val="fr-BE"/>
        </w:rPr>
        <w:t>revised</w:t>
      </w:r>
      <w:proofErr w:type="spellEnd"/>
      <w:r w:rsidRPr="00984721">
        <w:rPr>
          <w:lang w:val="fr-BE"/>
        </w:rPr>
        <w:t xml:space="preserve"> </w:t>
      </w:r>
      <w:proofErr w:type="spellStart"/>
      <w:r w:rsidRPr="00984721">
        <w:rPr>
          <w:lang w:val="fr-BE"/>
        </w:rPr>
        <w:t>common</w:t>
      </w:r>
      <w:proofErr w:type="spellEnd"/>
      <w:r w:rsidRPr="00984721">
        <w:rPr>
          <w:lang w:val="fr-BE"/>
        </w:rPr>
        <w:t xml:space="preserve"> </w:t>
      </w:r>
      <w:proofErr w:type="spellStart"/>
      <w:r w:rsidRPr="00984721">
        <w:rPr>
          <w:lang w:val="fr-BE"/>
        </w:rPr>
        <w:t>procedures</w:t>
      </w:r>
      <w:proofErr w:type="spellEnd"/>
      <w:r w:rsidRPr="00984721">
        <w:rPr>
          <w:lang w:val="fr-BE"/>
        </w:rPr>
        <w:t xml:space="preserve"> and </w:t>
      </w:r>
      <w:proofErr w:type="spellStart"/>
      <w:r w:rsidRPr="00984721">
        <w:rPr>
          <w:lang w:val="fr-BE"/>
        </w:rPr>
        <w:t>methodologies</w:t>
      </w:r>
      <w:proofErr w:type="spellEnd"/>
      <w:r w:rsidRPr="00984721">
        <w:rPr>
          <w:lang w:val="fr-BE"/>
        </w:rPr>
        <w:t xml:space="preserve"> for the </w:t>
      </w:r>
      <w:proofErr w:type="spellStart"/>
      <w:r w:rsidRPr="00984721">
        <w:rPr>
          <w:lang w:val="fr-BE"/>
        </w:rPr>
        <w:t>supervisory</w:t>
      </w:r>
      <w:proofErr w:type="spellEnd"/>
      <w:r w:rsidRPr="00984721">
        <w:rPr>
          <w:lang w:val="fr-BE"/>
        </w:rPr>
        <w:t xml:space="preserve"> </w:t>
      </w:r>
      <w:proofErr w:type="spellStart"/>
      <w:r w:rsidRPr="00984721">
        <w:rPr>
          <w:lang w:val="fr-BE"/>
        </w:rPr>
        <w:t>review</w:t>
      </w:r>
      <w:proofErr w:type="spellEnd"/>
      <w:r w:rsidRPr="00984721">
        <w:rPr>
          <w:lang w:val="fr-BE"/>
        </w:rPr>
        <w:t xml:space="preserve"> and </w:t>
      </w:r>
      <w:proofErr w:type="spellStart"/>
      <w:r w:rsidRPr="00984721">
        <w:rPr>
          <w:lang w:val="fr-BE"/>
        </w:rPr>
        <w:t>evaluation</w:t>
      </w:r>
      <w:proofErr w:type="spellEnd"/>
      <w:r w:rsidRPr="00984721">
        <w:rPr>
          <w:lang w:val="fr-BE"/>
        </w:rPr>
        <w:t xml:space="preserve"> process (SREP) and </w:t>
      </w:r>
      <w:proofErr w:type="spellStart"/>
      <w:r w:rsidRPr="00984721">
        <w:rPr>
          <w:lang w:val="fr-BE"/>
        </w:rPr>
        <w:t>supervisory</w:t>
      </w:r>
      <w:proofErr w:type="spellEnd"/>
      <w:r w:rsidRPr="00984721">
        <w:rPr>
          <w:lang w:val="fr-BE"/>
        </w:rPr>
        <w:t xml:space="preserve"> stress </w:t>
      </w:r>
      <w:proofErr w:type="spellStart"/>
      <w:r w:rsidRPr="00984721">
        <w:rPr>
          <w:lang w:val="fr-BE"/>
        </w:rPr>
        <w:t>testing</w:t>
      </w:r>
      <w:proofErr w:type="spellEnd"/>
      <w:r w:rsidRPr="00984721">
        <w:rPr>
          <w:lang w:val="fr-BE"/>
        </w:rPr>
        <w:t xml:space="preserve">”, 19 Juillet 2018, disponible sur </w:t>
      </w:r>
      <w:hyperlink r:id="rId10" w:history="1">
        <w:r w:rsidRPr="00984721">
          <w:rPr>
            <w:rStyle w:val="Hyperlink"/>
            <w:lang w:val="fr-BE"/>
          </w:rPr>
          <w:t>www.eba.europea.eu</w:t>
        </w:r>
      </w:hyperlink>
      <w:r w:rsidRPr="00984721">
        <w:rPr>
          <w:lang w:val="fr-BE"/>
        </w:rPr>
        <w:t xml:space="preserve">, consulté pour le dernière fois le 1er décembre 2018. </w:t>
      </w:r>
    </w:p>
  </w:footnote>
  <w:footnote w:id="63">
    <w:p w14:paraId="2598B3F4" w14:textId="2C02D1D0" w:rsidR="00C44DB9" w:rsidRPr="00984721" w:rsidRDefault="00C44DB9">
      <w:pPr>
        <w:pStyle w:val="FootnoteText"/>
        <w:rPr>
          <w:lang w:val="en-US"/>
        </w:rPr>
      </w:pPr>
      <w:r>
        <w:rPr>
          <w:rStyle w:val="FootnoteReference"/>
        </w:rPr>
        <w:footnoteRef/>
      </w:r>
      <w:r>
        <w:t xml:space="preserve">European Central Bank, </w:t>
      </w:r>
      <w:r>
        <w:rPr>
          <w:i/>
        </w:rPr>
        <w:t xml:space="preserve">SSM SREP Methodology Booklet -2017 * to be applied in 2018- , </w:t>
      </w:r>
      <w:proofErr w:type="spellStart"/>
      <w:r>
        <w:t>disponible</w:t>
      </w:r>
      <w:proofErr w:type="spellEnd"/>
      <w:r>
        <w:t xml:space="preserve"> sur </w:t>
      </w:r>
      <w:r w:rsidRPr="000A2D95">
        <w:t>https://www.bankingsupervision.europa.eu/ecb/pub/pdf/ssm.srep_methodology_booklet_2017.en.pdf?508ca0e386f9b91369820bc927863456</w:t>
      </w:r>
    </w:p>
  </w:footnote>
  <w:footnote w:id="64">
    <w:p w14:paraId="7E17B040" w14:textId="16E6BA41" w:rsidR="00C44DB9" w:rsidRPr="00103D12" w:rsidRDefault="00C44DB9">
      <w:pPr>
        <w:pStyle w:val="FootnoteText"/>
        <w:rPr>
          <w:lang w:val="fr-BE"/>
        </w:rPr>
      </w:pPr>
      <w:r>
        <w:rPr>
          <w:rStyle w:val="FootnoteReference"/>
        </w:rPr>
        <w:footnoteRef/>
      </w:r>
      <w:r w:rsidRPr="00103D12">
        <w:rPr>
          <w:lang w:val="fr-BE"/>
        </w:rPr>
        <w:t xml:space="preserve"> </w:t>
      </w:r>
      <w:r>
        <w:rPr>
          <w:lang w:val="fr-BE"/>
        </w:rPr>
        <w:t xml:space="preserve">E. </w:t>
      </w:r>
      <w:proofErr w:type="spellStart"/>
      <w:r w:rsidRPr="00103D12">
        <w:rPr>
          <w:smallCaps/>
          <w:szCs w:val="18"/>
          <w:lang w:val="fr-BE"/>
        </w:rPr>
        <w:t>Conesa</w:t>
      </w:r>
      <w:proofErr w:type="spellEnd"/>
      <w:r>
        <w:rPr>
          <w:lang w:val="fr-BE"/>
        </w:rPr>
        <w:t xml:space="preserve">, « Les Etats-Unis ont tardé à adopter les règles Bâle III », </w:t>
      </w:r>
      <w:r>
        <w:rPr>
          <w:i/>
          <w:lang w:val="fr-BE"/>
        </w:rPr>
        <w:t xml:space="preserve">Les Echos, </w:t>
      </w:r>
      <w:r>
        <w:rPr>
          <w:lang w:val="fr-BE"/>
        </w:rPr>
        <w:t xml:space="preserve">18 mai 2016. </w:t>
      </w:r>
    </w:p>
  </w:footnote>
  <w:footnote w:id="65">
    <w:p w14:paraId="67342CBC" w14:textId="14952713" w:rsidR="00C44DB9" w:rsidRPr="00984721" w:rsidRDefault="00C44DB9">
      <w:pPr>
        <w:pStyle w:val="FootnoteText"/>
        <w:rPr>
          <w:lang w:val="fr-BE"/>
        </w:rPr>
      </w:pPr>
      <w:r>
        <w:rPr>
          <w:rStyle w:val="FootnoteReference"/>
        </w:rPr>
        <w:footnoteRef/>
      </w:r>
      <w:r w:rsidRPr="00984721">
        <w:rPr>
          <w:lang w:val="fr-BE"/>
        </w:rPr>
        <w:t xml:space="preserve"> Pour une étude de cette solidification progressive, voir P. </w:t>
      </w:r>
      <w:proofErr w:type="spellStart"/>
      <w:r w:rsidRPr="00984721">
        <w:rPr>
          <w:smallCaps/>
          <w:szCs w:val="18"/>
          <w:lang w:val="fr-BE"/>
        </w:rPr>
        <w:t>Bégasse</w:t>
      </w:r>
      <w:proofErr w:type="spellEnd"/>
      <w:r w:rsidRPr="00984721">
        <w:rPr>
          <w:smallCaps/>
          <w:szCs w:val="18"/>
          <w:lang w:val="fr-BE"/>
        </w:rPr>
        <w:t xml:space="preserve"> de Dhaem</w:t>
      </w:r>
      <w:r w:rsidRPr="00984721">
        <w:rPr>
          <w:lang w:val="fr-BE"/>
        </w:rPr>
        <w:t>, La concurrence des normativités: le cas des régulations bancaires, thèse rédigée en vue de l’obtention d’un doctorat en sciences juridiques, 2017.</w:t>
      </w:r>
    </w:p>
  </w:footnote>
  <w:footnote w:id="66">
    <w:p w14:paraId="4A5BF5FF" w14:textId="6FDF2C2A" w:rsidR="00DA0A09" w:rsidRPr="00DA0A09" w:rsidRDefault="00DA0A09">
      <w:pPr>
        <w:pStyle w:val="FootnoteText"/>
        <w:rPr>
          <w:lang w:val="fr-BE"/>
        </w:rPr>
      </w:pPr>
      <w:r>
        <w:rPr>
          <w:rStyle w:val="FootnoteReference"/>
        </w:rPr>
        <w:footnoteRef/>
      </w:r>
      <w:r w:rsidRPr="00DA0A09">
        <w:rPr>
          <w:lang w:val="fr-BE"/>
        </w:rPr>
        <w:t xml:space="preserve"> EBA guideline on </w:t>
      </w:r>
      <w:proofErr w:type="spellStart"/>
      <w:r w:rsidRPr="00DA0A09">
        <w:rPr>
          <w:lang w:val="fr-BE"/>
        </w:rPr>
        <w:t>internal</w:t>
      </w:r>
      <w:proofErr w:type="spellEnd"/>
      <w:r w:rsidRPr="00DA0A09">
        <w:rPr>
          <w:lang w:val="fr-BE"/>
        </w:rPr>
        <w:t xml:space="preserve"> </w:t>
      </w:r>
      <w:proofErr w:type="spellStart"/>
      <w:r w:rsidRPr="00DA0A09">
        <w:rPr>
          <w:lang w:val="fr-BE"/>
        </w:rPr>
        <w:t>governace</w:t>
      </w:r>
      <w:proofErr w:type="spellEnd"/>
      <w:r w:rsidRPr="00DA0A09">
        <w:rPr>
          <w:lang w:val="fr-BE"/>
        </w:rPr>
        <w:t xml:space="preserve">, disponible sur </w:t>
      </w:r>
      <w:hyperlink r:id="rId11" w:history="1">
        <w:r w:rsidRPr="00DA0A09">
          <w:rPr>
            <w:rStyle w:val="Hyperlink"/>
            <w:lang w:val="fr-BE"/>
          </w:rPr>
          <w:t>www.eba.eu</w:t>
        </w:r>
      </w:hyperlink>
      <w:r w:rsidRPr="00DA0A09">
        <w:rPr>
          <w:lang w:val="fr-BE"/>
        </w:rPr>
        <w:t>, consulté</w:t>
      </w:r>
      <w:r>
        <w:rPr>
          <w:lang w:val="fr-BE"/>
        </w:rPr>
        <w:t xml:space="preserve"> pour la dernière fois le 30 janvier 2019. </w:t>
      </w:r>
    </w:p>
  </w:footnote>
  <w:footnote w:id="67">
    <w:p w14:paraId="6C196768" w14:textId="1574F83C" w:rsidR="00DA0A09" w:rsidRPr="00DA0A09" w:rsidRDefault="00DA0A09" w:rsidP="00DA0A09">
      <w:pPr>
        <w:pStyle w:val="FootnoteText"/>
        <w:rPr>
          <w:lang w:val="fr-BE"/>
        </w:rPr>
      </w:pPr>
      <w:r>
        <w:rPr>
          <w:rStyle w:val="FootnoteReference"/>
        </w:rPr>
        <w:footnoteRef/>
      </w:r>
      <w:r w:rsidRPr="00DA0A09">
        <w:rPr>
          <w:lang w:val="en-US"/>
        </w:rPr>
        <w:t xml:space="preserve"> Joint ESMA and EBA Guidelines on the assessment of the suitability of members of the management body,</w:t>
      </w:r>
      <w:r>
        <w:rPr>
          <w:lang w:val="en-US"/>
        </w:rPr>
        <w:t xml:space="preserve"> </w:t>
      </w:r>
      <w:proofErr w:type="spellStart"/>
      <w:r>
        <w:rPr>
          <w:lang w:val="en-US"/>
        </w:rPr>
        <w:t>disponible</w:t>
      </w:r>
      <w:proofErr w:type="spellEnd"/>
      <w:r>
        <w:rPr>
          <w:lang w:val="en-US"/>
        </w:rPr>
        <w:t xml:space="preserve"> sur www. </w:t>
      </w:r>
      <w:r w:rsidRPr="00DA0A09">
        <w:rPr>
          <w:lang w:val="fr-BE"/>
        </w:rPr>
        <w:t>Eba.europa.eu, consulté pour la d</w:t>
      </w:r>
      <w:r>
        <w:rPr>
          <w:lang w:val="fr-BE"/>
        </w:rPr>
        <w:t xml:space="preserve">ernière fois le 30 janvier 2019. </w:t>
      </w:r>
    </w:p>
    <w:p w14:paraId="32F3E616" w14:textId="02FDD6BC" w:rsidR="00DA0A09" w:rsidRPr="00DA0A09" w:rsidRDefault="00DA0A09">
      <w:pPr>
        <w:pStyle w:val="FootnoteText"/>
        <w:rPr>
          <w:lang w:val="fr-BE"/>
        </w:rPr>
      </w:pPr>
    </w:p>
  </w:footnote>
  <w:footnote w:id="68">
    <w:p w14:paraId="537B8B36" w14:textId="037EFA40" w:rsidR="00CE380C" w:rsidRPr="00CE380C" w:rsidRDefault="00CE380C">
      <w:pPr>
        <w:pStyle w:val="FootnoteText"/>
        <w:rPr>
          <w:lang w:val="fr-BE"/>
        </w:rPr>
      </w:pPr>
      <w:r>
        <w:rPr>
          <w:rStyle w:val="FootnoteReference"/>
        </w:rPr>
        <w:footnoteRef/>
      </w:r>
      <w:r w:rsidRPr="00CE380C">
        <w:rPr>
          <w:lang w:val="fr-BE"/>
        </w:rPr>
        <w:t xml:space="preserve"> </w:t>
      </w:r>
      <w:r>
        <w:rPr>
          <w:lang w:val="fr-BE"/>
        </w:rPr>
        <w:t xml:space="preserve">Comité de Bâle sur la contrôle bancaire, Principes de gouvernance d’entreprise à l’intention des banques, disponible sur </w:t>
      </w:r>
      <w:hyperlink r:id="rId12" w:history="1">
        <w:r w:rsidRPr="00DE32E5">
          <w:rPr>
            <w:rStyle w:val="Hyperlink"/>
            <w:lang w:val="fr-BE"/>
          </w:rPr>
          <w:t>www.bis.org</w:t>
        </w:r>
      </w:hyperlink>
      <w:r>
        <w:rPr>
          <w:lang w:val="fr-BE"/>
        </w:rPr>
        <w:t xml:space="preserve">, consulté pour la dernière fois le 30 janvier 2019. </w:t>
      </w:r>
    </w:p>
  </w:footnote>
  <w:footnote w:id="69">
    <w:p w14:paraId="16B398CF" w14:textId="4033AD2B" w:rsidR="00CE380C" w:rsidRPr="00CE380C" w:rsidRDefault="00CE380C">
      <w:pPr>
        <w:pStyle w:val="FootnoteText"/>
        <w:rPr>
          <w:lang w:val="fr-BE"/>
        </w:rPr>
      </w:pPr>
      <w:r>
        <w:rPr>
          <w:rStyle w:val="FootnoteReference"/>
        </w:rPr>
        <w:footnoteRef/>
      </w:r>
      <w:r w:rsidRPr="00CE380C">
        <w:rPr>
          <w:lang w:val="fr-BE"/>
        </w:rPr>
        <w:t xml:space="preserve"> Voir </w:t>
      </w:r>
      <w:proofErr w:type="spellStart"/>
      <w:r w:rsidRPr="00CE380C">
        <w:rPr>
          <w:lang w:val="fr-BE"/>
        </w:rPr>
        <w:t>European</w:t>
      </w:r>
      <w:proofErr w:type="spellEnd"/>
      <w:r w:rsidRPr="00CE380C">
        <w:rPr>
          <w:lang w:val="fr-BE"/>
        </w:rPr>
        <w:t xml:space="preserve"> central </w:t>
      </w:r>
      <w:proofErr w:type="spellStart"/>
      <w:r w:rsidRPr="00CE380C">
        <w:rPr>
          <w:lang w:val="fr-BE"/>
        </w:rPr>
        <w:t>bank</w:t>
      </w:r>
      <w:proofErr w:type="spellEnd"/>
      <w:r w:rsidRPr="00CE380C">
        <w:rPr>
          <w:lang w:val="fr-BE"/>
        </w:rPr>
        <w:t xml:space="preserve">, « SSM </w:t>
      </w:r>
      <w:proofErr w:type="spellStart"/>
      <w:r w:rsidRPr="00CE380C">
        <w:rPr>
          <w:lang w:val="fr-BE"/>
        </w:rPr>
        <w:t>supervisory</w:t>
      </w:r>
      <w:proofErr w:type="spellEnd"/>
      <w:r w:rsidRPr="00CE380C">
        <w:rPr>
          <w:lang w:val="fr-BE"/>
        </w:rPr>
        <w:t xml:space="preserve"> </w:t>
      </w:r>
      <w:proofErr w:type="spellStart"/>
      <w:r w:rsidRPr="00CE380C">
        <w:rPr>
          <w:lang w:val="fr-BE"/>
        </w:rPr>
        <w:t>statement</w:t>
      </w:r>
      <w:proofErr w:type="spellEnd"/>
      <w:r w:rsidRPr="00CE380C">
        <w:rPr>
          <w:lang w:val="fr-BE"/>
        </w:rPr>
        <w:t xml:space="preserve"> on </w:t>
      </w:r>
      <w:proofErr w:type="spellStart"/>
      <w:r w:rsidRPr="00CE380C">
        <w:rPr>
          <w:lang w:val="fr-BE"/>
        </w:rPr>
        <w:t>governance</w:t>
      </w:r>
      <w:proofErr w:type="spellEnd"/>
      <w:r w:rsidRPr="00CE380C">
        <w:rPr>
          <w:lang w:val="fr-BE"/>
        </w:rPr>
        <w:t xml:space="preserve"> and </w:t>
      </w:r>
      <w:proofErr w:type="spellStart"/>
      <w:r w:rsidRPr="00CE380C">
        <w:rPr>
          <w:lang w:val="fr-BE"/>
        </w:rPr>
        <w:t>risk</w:t>
      </w:r>
      <w:proofErr w:type="spellEnd"/>
      <w:r w:rsidRPr="00CE380C">
        <w:rPr>
          <w:lang w:val="fr-BE"/>
        </w:rPr>
        <w:t xml:space="preserve"> </w:t>
      </w:r>
      <w:proofErr w:type="spellStart"/>
      <w:r w:rsidRPr="00CE380C">
        <w:rPr>
          <w:lang w:val="fr-BE"/>
        </w:rPr>
        <w:t>appetite</w:t>
      </w:r>
      <w:proofErr w:type="spellEnd"/>
      <w:r w:rsidRPr="00CE380C">
        <w:rPr>
          <w:lang w:val="fr-BE"/>
        </w:rPr>
        <w:t xml:space="preserve">”, juin 2016, disponible sur </w:t>
      </w:r>
      <w:hyperlink r:id="rId13" w:history="1">
        <w:r w:rsidRPr="00CE380C">
          <w:rPr>
            <w:rStyle w:val="Hyperlink"/>
            <w:lang w:val="fr-BE"/>
          </w:rPr>
          <w:t>www.bankinsupervision.europa.eu</w:t>
        </w:r>
      </w:hyperlink>
      <w:r w:rsidRPr="00CE380C">
        <w:rPr>
          <w:lang w:val="fr-BE"/>
        </w:rPr>
        <w:t>, consulté pour</w:t>
      </w:r>
      <w:r>
        <w:rPr>
          <w:lang w:val="fr-BE"/>
        </w:rPr>
        <w:t xml:space="preserve"> la dernière fois le 30 janvier 2019. </w:t>
      </w:r>
    </w:p>
  </w:footnote>
  <w:footnote w:id="70">
    <w:p w14:paraId="3928D9CD" w14:textId="5497B436" w:rsidR="00CE380C" w:rsidRPr="00CE380C" w:rsidRDefault="00CE380C">
      <w:pPr>
        <w:pStyle w:val="FootnoteText"/>
        <w:rPr>
          <w:lang w:val="fr-BE"/>
        </w:rPr>
      </w:pPr>
      <w:r>
        <w:rPr>
          <w:rStyle w:val="FootnoteReference"/>
        </w:rPr>
        <w:footnoteRef/>
      </w:r>
      <w:r w:rsidRPr="00CE380C">
        <w:rPr>
          <w:lang w:val="fr-BE"/>
        </w:rPr>
        <w:t xml:space="preserve"> </w:t>
      </w:r>
      <w:r>
        <w:rPr>
          <w:lang w:val="fr-BE"/>
        </w:rPr>
        <w:t xml:space="preserve">Banque Nationale de Belgique, Manuel de gouvernance pour le secteur bancaire, 2018, disponible sur </w:t>
      </w:r>
      <w:hyperlink r:id="rId14" w:history="1">
        <w:r w:rsidRPr="00DE32E5">
          <w:rPr>
            <w:rStyle w:val="Hyperlink"/>
            <w:lang w:val="fr-BE"/>
          </w:rPr>
          <w:t>www.nbb.be</w:t>
        </w:r>
      </w:hyperlink>
      <w:r>
        <w:rPr>
          <w:lang w:val="fr-BE"/>
        </w:rPr>
        <w:t xml:space="preserve">, consulté pour la dernière fois le 30 janvier 2019. </w:t>
      </w:r>
    </w:p>
  </w:footnote>
  <w:footnote w:id="71">
    <w:p w14:paraId="0173CBAF" w14:textId="44A1CAB0" w:rsidR="00C44DB9" w:rsidRPr="00984721" w:rsidRDefault="00C44DB9">
      <w:pPr>
        <w:pStyle w:val="FootnoteText"/>
        <w:rPr>
          <w:lang w:val="fr-BE"/>
        </w:rPr>
      </w:pPr>
      <w:r>
        <w:rPr>
          <w:rStyle w:val="FootnoteReference"/>
        </w:rPr>
        <w:footnoteRef/>
      </w:r>
      <w:r w:rsidRPr="00984721">
        <w:rPr>
          <w:lang w:val="fr-BE"/>
        </w:rPr>
        <w:t xml:space="preserve"> E. </w:t>
      </w:r>
      <w:proofErr w:type="spellStart"/>
      <w:r w:rsidRPr="00984721">
        <w:rPr>
          <w:smallCaps/>
          <w:szCs w:val="18"/>
          <w:lang w:val="fr-BE"/>
        </w:rPr>
        <w:t>Wymeersch</w:t>
      </w:r>
      <w:proofErr w:type="spellEnd"/>
      <w:r w:rsidRPr="00984721">
        <w:rPr>
          <w:lang w:val="fr-BE"/>
        </w:rPr>
        <w:t>, ““</w:t>
      </w:r>
      <w:proofErr w:type="spellStart"/>
      <w:r w:rsidRPr="00984721">
        <w:rPr>
          <w:lang w:val="fr-BE"/>
        </w:rPr>
        <w:t>European</w:t>
      </w:r>
      <w:proofErr w:type="spellEnd"/>
      <w:r w:rsidRPr="00984721">
        <w:rPr>
          <w:lang w:val="fr-BE"/>
        </w:rPr>
        <w:t xml:space="preserve"> Financial </w:t>
      </w:r>
      <w:proofErr w:type="spellStart"/>
      <w:r w:rsidRPr="00984721">
        <w:rPr>
          <w:lang w:val="fr-BE"/>
        </w:rPr>
        <w:t>Regulation</w:t>
      </w:r>
      <w:proofErr w:type="spellEnd"/>
      <w:r w:rsidRPr="00984721">
        <w:rPr>
          <w:lang w:val="fr-BE"/>
        </w:rPr>
        <w:t xml:space="preserve">: how to </w:t>
      </w:r>
      <w:proofErr w:type="spellStart"/>
      <w:r w:rsidRPr="00984721">
        <w:rPr>
          <w:lang w:val="fr-BE"/>
        </w:rPr>
        <w:t>make</w:t>
      </w:r>
      <w:proofErr w:type="spellEnd"/>
      <w:r w:rsidRPr="00984721">
        <w:rPr>
          <w:lang w:val="fr-BE"/>
        </w:rPr>
        <w:t xml:space="preserve"> </w:t>
      </w:r>
      <w:proofErr w:type="spellStart"/>
      <w:r w:rsidRPr="00984721">
        <w:rPr>
          <w:lang w:val="fr-BE"/>
        </w:rPr>
        <w:t>it</w:t>
      </w:r>
      <w:proofErr w:type="spellEnd"/>
      <w:r w:rsidRPr="00984721">
        <w:rPr>
          <w:lang w:val="fr-BE"/>
        </w:rPr>
        <w:t xml:space="preserve"> more </w:t>
      </w:r>
      <w:proofErr w:type="spellStart"/>
      <w:r w:rsidRPr="00984721">
        <w:rPr>
          <w:lang w:val="fr-BE"/>
        </w:rPr>
        <w:t>workable</w:t>
      </w:r>
      <w:proofErr w:type="spellEnd"/>
      <w:r w:rsidRPr="00984721">
        <w:rPr>
          <w:lang w:val="fr-BE"/>
        </w:rPr>
        <w:t xml:space="preserve">”, </w:t>
      </w:r>
      <w:r w:rsidRPr="00984721">
        <w:rPr>
          <w:i/>
          <w:lang w:val="fr-BE"/>
        </w:rPr>
        <w:t xml:space="preserve">Financial Law Institute </w:t>
      </w:r>
      <w:proofErr w:type="spellStart"/>
      <w:r w:rsidRPr="00984721">
        <w:rPr>
          <w:i/>
          <w:lang w:val="fr-BE"/>
        </w:rPr>
        <w:t>Working</w:t>
      </w:r>
      <w:proofErr w:type="spellEnd"/>
      <w:r w:rsidRPr="00984721">
        <w:rPr>
          <w:i/>
          <w:lang w:val="fr-BE"/>
        </w:rPr>
        <w:t xml:space="preserve"> Paper 2016-4, </w:t>
      </w:r>
      <w:r w:rsidRPr="00984721">
        <w:rPr>
          <w:lang w:val="fr-BE"/>
        </w:rPr>
        <w:t xml:space="preserve">juin 2016, p. 4 disponible sur www. ssrn.com, consulté pour la dernière fois le 9 décembre 2018. </w:t>
      </w:r>
    </w:p>
  </w:footnote>
  <w:footnote w:id="72">
    <w:p w14:paraId="0A8BD4CE" w14:textId="56716092" w:rsidR="00F7276F" w:rsidRPr="00F7276F" w:rsidRDefault="00F7276F">
      <w:pPr>
        <w:pStyle w:val="FootnoteText"/>
        <w:rPr>
          <w:lang w:val="fr-BE"/>
        </w:rPr>
      </w:pPr>
      <w:r>
        <w:rPr>
          <w:rStyle w:val="FootnoteReference"/>
        </w:rPr>
        <w:footnoteRef/>
      </w:r>
      <w:r>
        <w:t xml:space="preserve"> </w:t>
      </w:r>
      <w:r>
        <w:rPr>
          <w:lang w:val="fr-BE"/>
        </w:rPr>
        <w:t xml:space="preserve">Ibid. </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5615E062" w14:textId="77777777" w:rsidR="00C44DB9" w:rsidRDefault="00C44DB9">
    <w:pPr>
      <w:pStyle w:val="Header"/>
      <w:tabs>
        <w:tab w:val="clear" w:pos="4394"/>
        <w:tab w:val="center" w:pos="4395"/>
      </w:tabs>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68044597" w14:textId="77777777" w:rsidR="00C44DB9" w:rsidRDefault="00C44DB9">
    <w:pPr>
      <w:pStyle w:val="Header"/>
      <w:tabs>
        <w:tab w:val="clear" w:pos="4394"/>
        <w:tab w:val="center" w:pos="4395"/>
      </w:tabs>
      <w:jc w:val="right"/>
    </w:pPr>
    <w:r>
      <w:fldChar w:fldCharType="begin"/>
    </w:r>
    <w:r>
      <w:instrText>PAGE</w:instrText>
    </w:r>
    <w:r>
      <w:fldChar w:fldCharType="separate"/>
    </w:r>
    <w:r>
      <w:rPr>
        <w:noProof/>
      </w:rPr>
      <w:t>6</w:t>
    </w:r>
    <w:r>
      <w:rPr>
        <w:noProof/>
      </w:rPr>
      <w:fldChar w:fldCharType="end"/>
    </w:r>
    <w:r>
      <w:t>.</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21205187" w14:textId="77777777" w:rsidR="00C44DB9" w:rsidRDefault="00C44DB9">
    <w:pPr>
      <w:pStyle w:val="Header"/>
      <w:tabs>
        <w:tab w:val="clear" w:pos="4394"/>
        <w:tab w:val="center" w:pos="4395"/>
      </w:tabs>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7C"/>
    <w:multiLevelType w:val="singleLevel"/>
    <w:tmpl w:val="A3884574"/>
    <w:lvl w:ilvl="0">
      <w:start w:val="1"/>
      <w:numFmt w:val="decimal"/>
      <w:lvlText w:val="%1."/>
      <w:lvlJc w:val="left"/>
      <w:pPr>
        <w:tabs>
          <w:tab w:val="num" w:pos="1492"/>
        </w:tabs>
        <w:ind w:left="1492" w:hanging="360"/>
      </w:pPr>
    </w:lvl>
  </w:abstractNum>
  <w:abstractNum w:abstractNumId="1" w15:restartNumberingAfterBreak="0">
    <w:nsid w:val="FFFFFF7D"/>
    <w:multiLevelType w:val="singleLevel"/>
    <w:tmpl w:val="C2C0E6BE"/>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70B8E542"/>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CA84BD08"/>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8562AB46"/>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CD8E51C0"/>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1C983FB0"/>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2A7C1E42"/>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2198347C"/>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BC6E800E"/>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0F0F70DD"/>
    <w:multiLevelType w:val="hybridMultilevel"/>
    <w:tmpl w:val="BB265584"/>
    <w:lvl w:ilvl="0" w:tplc="29309692">
      <w:start w:val="1"/>
      <w:numFmt w:val="lowerRoman"/>
      <w:lvlText w:val="(%1)"/>
      <w:lvlJc w:val="left"/>
      <w:pPr>
        <w:ind w:left="1440" w:hanging="360"/>
      </w:pPr>
      <w:rPr>
        <w:rFonts w:ascii="Arial" w:eastAsia="Times New Roman" w:hAnsi="Arial" w:cs="Times New Roman"/>
      </w:rPr>
    </w:lvl>
    <w:lvl w:ilvl="1" w:tplc="04090003" w:tentative="1">
      <w:start w:val="1"/>
      <w:numFmt w:val="bullet"/>
      <w:lvlText w:val="o"/>
      <w:lvlJc w:val="left"/>
      <w:pPr>
        <w:ind w:left="2160" w:hanging="360"/>
      </w:pPr>
      <w:rPr>
        <w:rFonts w:ascii="Courier New" w:hAnsi="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1" w15:restartNumberingAfterBreak="0">
    <w:nsid w:val="14B45F2C"/>
    <w:multiLevelType w:val="hybridMultilevel"/>
    <w:tmpl w:val="AD36A3F4"/>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2" w15:restartNumberingAfterBreak="0">
    <w:nsid w:val="1A3A5EFC"/>
    <w:multiLevelType w:val="hybridMultilevel"/>
    <w:tmpl w:val="6C44F614"/>
    <w:lvl w:ilvl="0" w:tplc="04090001">
      <w:start w:val="1"/>
      <w:numFmt w:val="bullet"/>
      <w:lvlText w:val=""/>
      <w:lvlJc w:val="left"/>
      <w:pPr>
        <w:ind w:left="1140" w:hanging="360"/>
      </w:pPr>
      <w:rPr>
        <w:rFonts w:ascii="Symbol" w:hAnsi="Symbol" w:hint="default"/>
      </w:rPr>
    </w:lvl>
    <w:lvl w:ilvl="1" w:tplc="04090003" w:tentative="1">
      <w:start w:val="1"/>
      <w:numFmt w:val="bullet"/>
      <w:lvlText w:val="o"/>
      <w:lvlJc w:val="left"/>
      <w:pPr>
        <w:ind w:left="1860" w:hanging="360"/>
      </w:pPr>
      <w:rPr>
        <w:rFonts w:ascii="Courier New" w:hAnsi="Courier New" w:hint="default"/>
      </w:rPr>
    </w:lvl>
    <w:lvl w:ilvl="2" w:tplc="04090005" w:tentative="1">
      <w:start w:val="1"/>
      <w:numFmt w:val="bullet"/>
      <w:lvlText w:val=""/>
      <w:lvlJc w:val="left"/>
      <w:pPr>
        <w:ind w:left="2580" w:hanging="360"/>
      </w:pPr>
      <w:rPr>
        <w:rFonts w:ascii="Wingdings" w:hAnsi="Wingdings" w:hint="default"/>
      </w:rPr>
    </w:lvl>
    <w:lvl w:ilvl="3" w:tplc="04090001" w:tentative="1">
      <w:start w:val="1"/>
      <w:numFmt w:val="bullet"/>
      <w:lvlText w:val=""/>
      <w:lvlJc w:val="left"/>
      <w:pPr>
        <w:ind w:left="3300" w:hanging="360"/>
      </w:pPr>
      <w:rPr>
        <w:rFonts w:ascii="Symbol" w:hAnsi="Symbol" w:hint="default"/>
      </w:rPr>
    </w:lvl>
    <w:lvl w:ilvl="4" w:tplc="04090003" w:tentative="1">
      <w:start w:val="1"/>
      <w:numFmt w:val="bullet"/>
      <w:lvlText w:val="o"/>
      <w:lvlJc w:val="left"/>
      <w:pPr>
        <w:ind w:left="4020" w:hanging="360"/>
      </w:pPr>
      <w:rPr>
        <w:rFonts w:ascii="Courier New" w:hAnsi="Courier New" w:hint="default"/>
      </w:rPr>
    </w:lvl>
    <w:lvl w:ilvl="5" w:tplc="04090005" w:tentative="1">
      <w:start w:val="1"/>
      <w:numFmt w:val="bullet"/>
      <w:lvlText w:val=""/>
      <w:lvlJc w:val="left"/>
      <w:pPr>
        <w:ind w:left="4740" w:hanging="360"/>
      </w:pPr>
      <w:rPr>
        <w:rFonts w:ascii="Wingdings" w:hAnsi="Wingdings" w:hint="default"/>
      </w:rPr>
    </w:lvl>
    <w:lvl w:ilvl="6" w:tplc="04090001" w:tentative="1">
      <w:start w:val="1"/>
      <w:numFmt w:val="bullet"/>
      <w:lvlText w:val=""/>
      <w:lvlJc w:val="left"/>
      <w:pPr>
        <w:ind w:left="5460" w:hanging="360"/>
      </w:pPr>
      <w:rPr>
        <w:rFonts w:ascii="Symbol" w:hAnsi="Symbol" w:hint="default"/>
      </w:rPr>
    </w:lvl>
    <w:lvl w:ilvl="7" w:tplc="04090003" w:tentative="1">
      <w:start w:val="1"/>
      <w:numFmt w:val="bullet"/>
      <w:lvlText w:val="o"/>
      <w:lvlJc w:val="left"/>
      <w:pPr>
        <w:ind w:left="6180" w:hanging="360"/>
      </w:pPr>
      <w:rPr>
        <w:rFonts w:ascii="Courier New" w:hAnsi="Courier New" w:hint="default"/>
      </w:rPr>
    </w:lvl>
    <w:lvl w:ilvl="8" w:tplc="04090005" w:tentative="1">
      <w:start w:val="1"/>
      <w:numFmt w:val="bullet"/>
      <w:lvlText w:val=""/>
      <w:lvlJc w:val="left"/>
      <w:pPr>
        <w:ind w:left="6900" w:hanging="360"/>
      </w:pPr>
      <w:rPr>
        <w:rFonts w:ascii="Wingdings" w:hAnsi="Wingdings" w:hint="default"/>
      </w:rPr>
    </w:lvl>
  </w:abstractNum>
  <w:abstractNum w:abstractNumId="13" w15:restartNumberingAfterBreak="0">
    <w:nsid w:val="31A2577D"/>
    <w:multiLevelType w:val="hybridMultilevel"/>
    <w:tmpl w:val="26E68D82"/>
    <w:lvl w:ilvl="0" w:tplc="04090001">
      <w:start w:val="1"/>
      <w:numFmt w:val="bullet"/>
      <w:lvlText w:val=""/>
      <w:lvlJc w:val="left"/>
      <w:pPr>
        <w:ind w:left="2160" w:hanging="360"/>
      </w:pPr>
      <w:rPr>
        <w:rFonts w:ascii="Symbol" w:hAnsi="Symbol" w:hint="default"/>
      </w:rPr>
    </w:lvl>
    <w:lvl w:ilvl="1" w:tplc="04090003" w:tentative="1">
      <w:start w:val="1"/>
      <w:numFmt w:val="bullet"/>
      <w:lvlText w:val="o"/>
      <w:lvlJc w:val="left"/>
      <w:pPr>
        <w:ind w:left="2880" w:hanging="360"/>
      </w:pPr>
      <w:rPr>
        <w:rFonts w:ascii="Courier New" w:hAnsi="Courier New" w:hint="default"/>
      </w:rPr>
    </w:lvl>
    <w:lvl w:ilvl="2" w:tplc="04090005" w:tentative="1">
      <w:start w:val="1"/>
      <w:numFmt w:val="bullet"/>
      <w:lvlText w:val=""/>
      <w:lvlJc w:val="left"/>
      <w:pPr>
        <w:ind w:left="3600" w:hanging="360"/>
      </w:pPr>
      <w:rPr>
        <w:rFonts w:ascii="Wingdings" w:hAnsi="Wingdings" w:hint="default"/>
      </w:rPr>
    </w:lvl>
    <w:lvl w:ilvl="3" w:tplc="04090001" w:tentative="1">
      <w:start w:val="1"/>
      <w:numFmt w:val="bullet"/>
      <w:lvlText w:val=""/>
      <w:lvlJc w:val="left"/>
      <w:pPr>
        <w:ind w:left="4320" w:hanging="360"/>
      </w:pPr>
      <w:rPr>
        <w:rFonts w:ascii="Symbol" w:hAnsi="Symbol" w:hint="default"/>
      </w:rPr>
    </w:lvl>
    <w:lvl w:ilvl="4" w:tplc="04090003" w:tentative="1">
      <w:start w:val="1"/>
      <w:numFmt w:val="bullet"/>
      <w:lvlText w:val="o"/>
      <w:lvlJc w:val="left"/>
      <w:pPr>
        <w:ind w:left="5040" w:hanging="360"/>
      </w:pPr>
      <w:rPr>
        <w:rFonts w:ascii="Courier New" w:hAnsi="Courier New" w:hint="default"/>
      </w:rPr>
    </w:lvl>
    <w:lvl w:ilvl="5" w:tplc="04090005" w:tentative="1">
      <w:start w:val="1"/>
      <w:numFmt w:val="bullet"/>
      <w:lvlText w:val=""/>
      <w:lvlJc w:val="left"/>
      <w:pPr>
        <w:ind w:left="5760" w:hanging="360"/>
      </w:pPr>
      <w:rPr>
        <w:rFonts w:ascii="Wingdings" w:hAnsi="Wingdings" w:hint="default"/>
      </w:rPr>
    </w:lvl>
    <w:lvl w:ilvl="6" w:tplc="04090001" w:tentative="1">
      <w:start w:val="1"/>
      <w:numFmt w:val="bullet"/>
      <w:lvlText w:val=""/>
      <w:lvlJc w:val="left"/>
      <w:pPr>
        <w:ind w:left="6480" w:hanging="360"/>
      </w:pPr>
      <w:rPr>
        <w:rFonts w:ascii="Symbol" w:hAnsi="Symbol" w:hint="default"/>
      </w:rPr>
    </w:lvl>
    <w:lvl w:ilvl="7" w:tplc="04090003" w:tentative="1">
      <w:start w:val="1"/>
      <w:numFmt w:val="bullet"/>
      <w:lvlText w:val="o"/>
      <w:lvlJc w:val="left"/>
      <w:pPr>
        <w:ind w:left="7200" w:hanging="360"/>
      </w:pPr>
      <w:rPr>
        <w:rFonts w:ascii="Courier New" w:hAnsi="Courier New" w:hint="default"/>
      </w:rPr>
    </w:lvl>
    <w:lvl w:ilvl="8" w:tplc="04090005" w:tentative="1">
      <w:start w:val="1"/>
      <w:numFmt w:val="bullet"/>
      <w:lvlText w:val=""/>
      <w:lvlJc w:val="left"/>
      <w:pPr>
        <w:ind w:left="7920" w:hanging="360"/>
      </w:pPr>
      <w:rPr>
        <w:rFonts w:ascii="Wingdings" w:hAnsi="Wingdings" w:hint="default"/>
      </w:rPr>
    </w:lvl>
  </w:abstractNum>
  <w:abstractNum w:abstractNumId="14" w15:restartNumberingAfterBreak="0">
    <w:nsid w:val="34B24559"/>
    <w:multiLevelType w:val="hybridMultilevel"/>
    <w:tmpl w:val="50927D8C"/>
    <w:lvl w:ilvl="0" w:tplc="E870A0A4">
      <w:start w:val="1"/>
      <w:numFmt w:val="lowerRoman"/>
      <w:lvlText w:val="(%1)"/>
      <w:lvlJc w:val="left"/>
      <w:pPr>
        <w:ind w:left="1080" w:hanging="720"/>
      </w:pPr>
      <w:rPr>
        <w:rFonts w:hint="default"/>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15" w15:restartNumberingAfterBreak="0">
    <w:nsid w:val="3F8F16B0"/>
    <w:multiLevelType w:val="hybridMultilevel"/>
    <w:tmpl w:val="C99844A4"/>
    <w:lvl w:ilvl="0" w:tplc="070A7876">
      <w:start w:val="1"/>
      <w:numFmt w:val="lowerRoman"/>
      <w:lvlText w:val="(%1)"/>
      <w:lvlJc w:val="left"/>
      <w:pPr>
        <w:ind w:left="1440" w:hanging="720"/>
      </w:pPr>
      <w:rPr>
        <w:rFonts w:hint="default"/>
      </w:r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6" w15:restartNumberingAfterBreak="0">
    <w:nsid w:val="42DB039F"/>
    <w:multiLevelType w:val="hybridMultilevel"/>
    <w:tmpl w:val="30E058AA"/>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17" w15:restartNumberingAfterBreak="0">
    <w:nsid w:val="59240EAE"/>
    <w:multiLevelType w:val="hybridMultilevel"/>
    <w:tmpl w:val="6DBE885A"/>
    <w:lvl w:ilvl="0" w:tplc="02F84528">
      <w:start w:val="1"/>
      <w:numFmt w:val="lowerRoman"/>
      <w:lvlText w:val="(%1)"/>
      <w:lvlJc w:val="left"/>
      <w:pPr>
        <w:ind w:left="1080" w:hanging="72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8" w15:restartNumberingAfterBreak="0">
    <w:nsid w:val="5EDB5453"/>
    <w:multiLevelType w:val="hybridMultilevel"/>
    <w:tmpl w:val="80DAA2D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65953F80"/>
    <w:multiLevelType w:val="hybridMultilevel"/>
    <w:tmpl w:val="BC1CF5D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66226719"/>
    <w:multiLevelType w:val="hybridMultilevel"/>
    <w:tmpl w:val="FB38439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0"/>
  </w:num>
  <w:num w:numId="2">
    <w:abstractNumId w:val="1"/>
  </w:num>
  <w:num w:numId="3">
    <w:abstractNumId w:val="2"/>
  </w:num>
  <w:num w:numId="4">
    <w:abstractNumId w:val="3"/>
  </w:num>
  <w:num w:numId="5">
    <w:abstractNumId w:val="8"/>
  </w:num>
  <w:num w:numId="6">
    <w:abstractNumId w:val="4"/>
  </w:num>
  <w:num w:numId="7">
    <w:abstractNumId w:val="5"/>
  </w:num>
  <w:num w:numId="8">
    <w:abstractNumId w:val="6"/>
  </w:num>
  <w:num w:numId="9">
    <w:abstractNumId w:val="7"/>
  </w:num>
  <w:num w:numId="10">
    <w:abstractNumId w:val="9"/>
  </w:num>
  <w:num w:numId="11">
    <w:abstractNumId w:val="12"/>
  </w:num>
  <w:num w:numId="12">
    <w:abstractNumId w:val="19"/>
  </w:num>
  <w:num w:numId="13">
    <w:abstractNumId w:val="10"/>
  </w:num>
  <w:num w:numId="14">
    <w:abstractNumId w:val="11"/>
  </w:num>
  <w:num w:numId="15">
    <w:abstractNumId w:val="20"/>
  </w:num>
  <w:num w:numId="16">
    <w:abstractNumId w:val="17"/>
  </w:num>
  <w:num w:numId="17">
    <w:abstractNumId w:val="18"/>
  </w:num>
  <w:num w:numId="18">
    <w:abstractNumId w:val="16"/>
  </w:num>
  <w:num w:numId="19">
    <w:abstractNumId w:val="15"/>
  </w:num>
  <w:num w:numId="20">
    <w:abstractNumId w:val="13"/>
  </w:num>
  <w:num w:numId="21">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intFractionalCharacterWidth/>
  <w:embedSystemFonts/>
  <w:activeWritingStyle w:appName="MSWord" w:lang="en-GB" w:vendorID="8" w:dllVersion="513" w:checkStyle="1"/>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360"/>
  <w:hyphenationZone w:val="425"/>
  <w:doNotHyphenateCaps/>
  <w:displayHorizontalDrawingGridEvery w:val="0"/>
  <w:displayVerticalDrawingGridEvery w:val="0"/>
  <w:doNotUseMarginsForDrawingGridOrigin/>
  <w:doNotShadeFormData/>
  <w:noPunctuationKerning/>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1076F4"/>
    <w:rsid w:val="00002AB1"/>
    <w:rsid w:val="00002D0D"/>
    <w:rsid w:val="00005848"/>
    <w:rsid w:val="0001064F"/>
    <w:rsid w:val="00013EA8"/>
    <w:rsid w:val="00016588"/>
    <w:rsid w:val="00017774"/>
    <w:rsid w:val="00021518"/>
    <w:rsid w:val="0002547B"/>
    <w:rsid w:val="00033174"/>
    <w:rsid w:val="00037EC1"/>
    <w:rsid w:val="0006461D"/>
    <w:rsid w:val="000668B1"/>
    <w:rsid w:val="00072F60"/>
    <w:rsid w:val="00073F36"/>
    <w:rsid w:val="00074EEE"/>
    <w:rsid w:val="000825A9"/>
    <w:rsid w:val="00082B62"/>
    <w:rsid w:val="00092F24"/>
    <w:rsid w:val="00094FEA"/>
    <w:rsid w:val="000967A4"/>
    <w:rsid w:val="000A2671"/>
    <w:rsid w:val="000A2D95"/>
    <w:rsid w:val="000A43B4"/>
    <w:rsid w:val="000B1139"/>
    <w:rsid w:val="000C2D0A"/>
    <w:rsid w:val="000D0DAA"/>
    <w:rsid w:val="000D3CA2"/>
    <w:rsid w:val="000D6E47"/>
    <w:rsid w:val="000E7A0D"/>
    <w:rsid w:val="000F10B3"/>
    <w:rsid w:val="000F7B4B"/>
    <w:rsid w:val="00103D12"/>
    <w:rsid w:val="001076F4"/>
    <w:rsid w:val="001143EF"/>
    <w:rsid w:val="0011605B"/>
    <w:rsid w:val="00120236"/>
    <w:rsid w:val="0012168F"/>
    <w:rsid w:val="00122F1E"/>
    <w:rsid w:val="00125021"/>
    <w:rsid w:val="00130165"/>
    <w:rsid w:val="001337A9"/>
    <w:rsid w:val="00164761"/>
    <w:rsid w:val="001726FE"/>
    <w:rsid w:val="001749F1"/>
    <w:rsid w:val="001767E5"/>
    <w:rsid w:val="00190BA2"/>
    <w:rsid w:val="001923C5"/>
    <w:rsid w:val="0019530C"/>
    <w:rsid w:val="001A20E2"/>
    <w:rsid w:val="001A4711"/>
    <w:rsid w:val="001B0C80"/>
    <w:rsid w:val="001B4853"/>
    <w:rsid w:val="001B66E2"/>
    <w:rsid w:val="001D3651"/>
    <w:rsid w:val="001E5F62"/>
    <w:rsid w:val="001F7D61"/>
    <w:rsid w:val="0020094E"/>
    <w:rsid w:val="0021173D"/>
    <w:rsid w:val="002147A8"/>
    <w:rsid w:val="00214D42"/>
    <w:rsid w:val="00217B38"/>
    <w:rsid w:val="0022049F"/>
    <w:rsid w:val="00223007"/>
    <w:rsid w:val="002338E2"/>
    <w:rsid w:val="00237B32"/>
    <w:rsid w:val="002404AB"/>
    <w:rsid w:val="00240A47"/>
    <w:rsid w:val="00240E9F"/>
    <w:rsid w:val="00243709"/>
    <w:rsid w:val="0024789E"/>
    <w:rsid w:val="00247B44"/>
    <w:rsid w:val="00253FE9"/>
    <w:rsid w:val="00281700"/>
    <w:rsid w:val="002948D5"/>
    <w:rsid w:val="002968E4"/>
    <w:rsid w:val="002B09C0"/>
    <w:rsid w:val="002C7D4A"/>
    <w:rsid w:val="002D19CB"/>
    <w:rsid w:val="002E0041"/>
    <w:rsid w:val="002F65B9"/>
    <w:rsid w:val="002F764B"/>
    <w:rsid w:val="00301116"/>
    <w:rsid w:val="00301593"/>
    <w:rsid w:val="00310676"/>
    <w:rsid w:val="00310D8D"/>
    <w:rsid w:val="00310E69"/>
    <w:rsid w:val="0031454F"/>
    <w:rsid w:val="00333445"/>
    <w:rsid w:val="00337ACC"/>
    <w:rsid w:val="00352DC7"/>
    <w:rsid w:val="00360523"/>
    <w:rsid w:val="00360525"/>
    <w:rsid w:val="00365FBA"/>
    <w:rsid w:val="00383467"/>
    <w:rsid w:val="00394D94"/>
    <w:rsid w:val="003A3F90"/>
    <w:rsid w:val="003A4076"/>
    <w:rsid w:val="003B6994"/>
    <w:rsid w:val="003C268F"/>
    <w:rsid w:val="003C53DE"/>
    <w:rsid w:val="003C5C0B"/>
    <w:rsid w:val="003C76F7"/>
    <w:rsid w:val="003E4BCA"/>
    <w:rsid w:val="003E562A"/>
    <w:rsid w:val="003F681E"/>
    <w:rsid w:val="00417503"/>
    <w:rsid w:val="00427E05"/>
    <w:rsid w:val="00441597"/>
    <w:rsid w:val="00443477"/>
    <w:rsid w:val="0044611E"/>
    <w:rsid w:val="00450107"/>
    <w:rsid w:val="0045637B"/>
    <w:rsid w:val="00477796"/>
    <w:rsid w:val="00483341"/>
    <w:rsid w:val="00485A60"/>
    <w:rsid w:val="0049071D"/>
    <w:rsid w:val="004914BC"/>
    <w:rsid w:val="0049554C"/>
    <w:rsid w:val="004974D1"/>
    <w:rsid w:val="004976E6"/>
    <w:rsid w:val="004A223D"/>
    <w:rsid w:val="004B38EB"/>
    <w:rsid w:val="004B64E5"/>
    <w:rsid w:val="004C3A6D"/>
    <w:rsid w:val="004D02D3"/>
    <w:rsid w:val="004D41E5"/>
    <w:rsid w:val="004E51A8"/>
    <w:rsid w:val="004E766B"/>
    <w:rsid w:val="004E7BF2"/>
    <w:rsid w:val="004F75B4"/>
    <w:rsid w:val="0052774B"/>
    <w:rsid w:val="00543F52"/>
    <w:rsid w:val="0054489C"/>
    <w:rsid w:val="00554A1E"/>
    <w:rsid w:val="00561C1C"/>
    <w:rsid w:val="005636A8"/>
    <w:rsid w:val="005660F6"/>
    <w:rsid w:val="00570B02"/>
    <w:rsid w:val="00577B66"/>
    <w:rsid w:val="005807EB"/>
    <w:rsid w:val="00590247"/>
    <w:rsid w:val="005945B7"/>
    <w:rsid w:val="005A655E"/>
    <w:rsid w:val="005A75FA"/>
    <w:rsid w:val="005C6BAD"/>
    <w:rsid w:val="005C7148"/>
    <w:rsid w:val="005C78E5"/>
    <w:rsid w:val="005D34A5"/>
    <w:rsid w:val="005D5696"/>
    <w:rsid w:val="005F62D0"/>
    <w:rsid w:val="00606050"/>
    <w:rsid w:val="0061597D"/>
    <w:rsid w:val="0061694F"/>
    <w:rsid w:val="00620C0A"/>
    <w:rsid w:val="006356E0"/>
    <w:rsid w:val="00637909"/>
    <w:rsid w:val="006574E8"/>
    <w:rsid w:val="00660178"/>
    <w:rsid w:val="00661343"/>
    <w:rsid w:val="00662196"/>
    <w:rsid w:val="00665FF1"/>
    <w:rsid w:val="006720E3"/>
    <w:rsid w:val="0067348F"/>
    <w:rsid w:val="0068289C"/>
    <w:rsid w:val="00683E12"/>
    <w:rsid w:val="0068491F"/>
    <w:rsid w:val="00684BE4"/>
    <w:rsid w:val="00692D3A"/>
    <w:rsid w:val="006949C1"/>
    <w:rsid w:val="006A0C10"/>
    <w:rsid w:val="006A116F"/>
    <w:rsid w:val="006A2837"/>
    <w:rsid w:val="006A2D62"/>
    <w:rsid w:val="006A50FA"/>
    <w:rsid w:val="006B7ECF"/>
    <w:rsid w:val="006C340F"/>
    <w:rsid w:val="006E020F"/>
    <w:rsid w:val="006E1FA8"/>
    <w:rsid w:val="006E61A5"/>
    <w:rsid w:val="007000C8"/>
    <w:rsid w:val="00705D5C"/>
    <w:rsid w:val="007060FF"/>
    <w:rsid w:val="00707D5F"/>
    <w:rsid w:val="007111C2"/>
    <w:rsid w:val="00711A5F"/>
    <w:rsid w:val="0071233C"/>
    <w:rsid w:val="0072425C"/>
    <w:rsid w:val="007360DD"/>
    <w:rsid w:val="0074285B"/>
    <w:rsid w:val="007469C0"/>
    <w:rsid w:val="007607EF"/>
    <w:rsid w:val="00766D63"/>
    <w:rsid w:val="00772B0D"/>
    <w:rsid w:val="0077381E"/>
    <w:rsid w:val="00777359"/>
    <w:rsid w:val="00782E97"/>
    <w:rsid w:val="00785F12"/>
    <w:rsid w:val="00786B04"/>
    <w:rsid w:val="007911AC"/>
    <w:rsid w:val="00796132"/>
    <w:rsid w:val="007A385D"/>
    <w:rsid w:val="007A5B9E"/>
    <w:rsid w:val="007B613A"/>
    <w:rsid w:val="007B7057"/>
    <w:rsid w:val="007D0FE8"/>
    <w:rsid w:val="007D12B7"/>
    <w:rsid w:val="007E1C19"/>
    <w:rsid w:val="007E4A17"/>
    <w:rsid w:val="007F0CC7"/>
    <w:rsid w:val="007F2D5D"/>
    <w:rsid w:val="007F762B"/>
    <w:rsid w:val="00801458"/>
    <w:rsid w:val="008027F6"/>
    <w:rsid w:val="00815318"/>
    <w:rsid w:val="0083501D"/>
    <w:rsid w:val="0083546E"/>
    <w:rsid w:val="00840F95"/>
    <w:rsid w:val="00843B42"/>
    <w:rsid w:val="008448B4"/>
    <w:rsid w:val="00850AB3"/>
    <w:rsid w:val="008533D0"/>
    <w:rsid w:val="00855513"/>
    <w:rsid w:val="0086079E"/>
    <w:rsid w:val="00862AE1"/>
    <w:rsid w:val="0087035C"/>
    <w:rsid w:val="00871F80"/>
    <w:rsid w:val="00876A19"/>
    <w:rsid w:val="008802A6"/>
    <w:rsid w:val="00890DC6"/>
    <w:rsid w:val="008921D2"/>
    <w:rsid w:val="00892821"/>
    <w:rsid w:val="008A40E9"/>
    <w:rsid w:val="008A6313"/>
    <w:rsid w:val="008A791C"/>
    <w:rsid w:val="008C3D68"/>
    <w:rsid w:val="008C53AF"/>
    <w:rsid w:val="008E59F3"/>
    <w:rsid w:val="008F658A"/>
    <w:rsid w:val="0090787B"/>
    <w:rsid w:val="009127C6"/>
    <w:rsid w:val="00913394"/>
    <w:rsid w:val="00913895"/>
    <w:rsid w:val="00915009"/>
    <w:rsid w:val="00920E9B"/>
    <w:rsid w:val="00930883"/>
    <w:rsid w:val="00932F74"/>
    <w:rsid w:val="009535D7"/>
    <w:rsid w:val="00960F42"/>
    <w:rsid w:val="0096502C"/>
    <w:rsid w:val="00972A54"/>
    <w:rsid w:val="0098076A"/>
    <w:rsid w:val="0098340D"/>
    <w:rsid w:val="0098400B"/>
    <w:rsid w:val="00984721"/>
    <w:rsid w:val="00991ECC"/>
    <w:rsid w:val="00993CCE"/>
    <w:rsid w:val="009A4ED0"/>
    <w:rsid w:val="009C25B6"/>
    <w:rsid w:val="009C395C"/>
    <w:rsid w:val="009D2A1B"/>
    <w:rsid w:val="009E0AA0"/>
    <w:rsid w:val="009F0B68"/>
    <w:rsid w:val="009F23EB"/>
    <w:rsid w:val="009F7E98"/>
    <w:rsid w:val="00A05398"/>
    <w:rsid w:val="00A10484"/>
    <w:rsid w:val="00A126F9"/>
    <w:rsid w:val="00A22311"/>
    <w:rsid w:val="00A22313"/>
    <w:rsid w:val="00A26646"/>
    <w:rsid w:val="00A41020"/>
    <w:rsid w:val="00A51DD8"/>
    <w:rsid w:val="00A6711D"/>
    <w:rsid w:val="00A70D5F"/>
    <w:rsid w:val="00A80218"/>
    <w:rsid w:val="00A858CE"/>
    <w:rsid w:val="00A86AC8"/>
    <w:rsid w:val="00A95EB4"/>
    <w:rsid w:val="00A972B0"/>
    <w:rsid w:val="00A972F7"/>
    <w:rsid w:val="00AA3C24"/>
    <w:rsid w:val="00AA4AF8"/>
    <w:rsid w:val="00AB14F9"/>
    <w:rsid w:val="00AC51B1"/>
    <w:rsid w:val="00AC7181"/>
    <w:rsid w:val="00AC79A6"/>
    <w:rsid w:val="00AD1A26"/>
    <w:rsid w:val="00AD34E9"/>
    <w:rsid w:val="00AD57F8"/>
    <w:rsid w:val="00AE5BE9"/>
    <w:rsid w:val="00AF25C9"/>
    <w:rsid w:val="00B01EBB"/>
    <w:rsid w:val="00B1013E"/>
    <w:rsid w:val="00B139B7"/>
    <w:rsid w:val="00B308CE"/>
    <w:rsid w:val="00B3096B"/>
    <w:rsid w:val="00B30B5C"/>
    <w:rsid w:val="00B37AA8"/>
    <w:rsid w:val="00B40075"/>
    <w:rsid w:val="00B40DB7"/>
    <w:rsid w:val="00B41EBF"/>
    <w:rsid w:val="00B42E8F"/>
    <w:rsid w:val="00B4459F"/>
    <w:rsid w:val="00B51152"/>
    <w:rsid w:val="00B51260"/>
    <w:rsid w:val="00B53CB3"/>
    <w:rsid w:val="00B71C7C"/>
    <w:rsid w:val="00B84647"/>
    <w:rsid w:val="00B95454"/>
    <w:rsid w:val="00B95633"/>
    <w:rsid w:val="00B96BEC"/>
    <w:rsid w:val="00BA2309"/>
    <w:rsid w:val="00BA368B"/>
    <w:rsid w:val="00BC3C1A"/>
    <w:rsid w:val="00BC6750"/>
    <w:rsid w:val="00BE0BAF"/>
    <w:rsid w:val="00BE791D"/>
    <w:rsid w:val="00BF2700"/>
    <w:rsid w:val="00C0261C"/>
    <w:rsid w:val="00C0739C"/>
    <w:rsid w:val="00C23152"/>
    <w:rsid w:val="00C377BC"/>
    <w:rsid w:val="00C44DB9"/>
    <w:rsid w:val="00C5234A"/>
    <w:rsid w:val="00C6412E"/>
    <w:rsid w:val="00C769A5"/>
    <w:rsid w:val="00C81581"/>
    <w:rsid w:val="00C85D66"/>
    <w:rsid w:val="00C91139"/>
    <w:rsid w:val="00C920BE"/>
    <w:rsid w:val="00C97F1E"/>
    <w:rsid w:val="00CA177B"/>
    <w:rsid w:val="00CA5A74"/>
    <w:rsid w:val="00CB4B76"/>
    <w:rsid w:val="00CC534A"/>
    <w:rsid w:val="00CD268E"/>
    <w:rsid w:val="00CD6C1F"/>
    <w:rsid w:val="00CE380C"/>
    <w:rsid w:val="00CE47EB"/>
    <w:rsid w:val="00CE6FCA"/>
    <w:rsid w:val="00CF734C"/>
    <w:rsid w:val="00D046DC"/>
    <w:rsid w:val="00D2246F"/>
    <w:rsid w:val="00D238AC"/>
    <w:rsid w:val="00D25720"/>
    <w:rsid w:val="00D40B62"/>
    <w:rsid w:val="00D41F23"/>
    <w:rsid w:val="00D47D32"/>
    <w:rsid w:val="00D5116C"/>
    <w:rsid w:val="00D56C65"/>
    <w:rsid w:val="00D84645"/>
    <w:rsid w:val="00D91AAB"/>
    <w:rsid w:val="00DA00A8"/>
    <w:rsid w:val="00DA0A09"/>
    <w:rsid w:val="00DA56C2"/>
    <w:rsid w:val="00DA59AA"/>
    <w:rsid w:val="00DA6821"/>
    <w:rsid w:val="00DB0F42"/>
    <w:rsid w:val="00DC7E52"/>
    <w:rsid w:val="00DD1977"/>
    <w:rsid w:val="00DE2E9A"/>
    <w:rsid w:val="00DE4C24"/>
    <w:rsid w:val="00DF49DF"/>
    <w:rsid w:val="00E010D7"/>
    <w:rsid w:val="00E02090"/>
    <w:rsid w:val="00E04904"/>
    <w:rsid w:val="00E06A62"/>
    <w:rsid w:val="00E2587C"/>
    <w:rsid w:val="00E31ACC"/>
    <w:rsid w:val="00E431C4"/>
    <w:rsid w:val="00E5430E"/>
    <w:rsid w:val="00E62A44"/>
    <w:rsid w:val="00E6779F"/>
    <w:rsid w:val="00E72D9A"/>
    <w:rsid w:val="00E81237"/>
    <w:rsid w:val="00E81CD8"/>
    <w:rsid w:val="00EA01EB"/>
    <w:rsid w:val="00EA5739"/>
    <w:rsid w:val="00EA6773"/>
    <w:rsid w:val="00EC13BA"/>
    <w:rsid w:val="00EC3EE4"/>
    <w:rsid w:val="00ED1B50"/>
    <w:rsid w:val="00EE4F02"/>
    <w:rsid w:val="00EE77A9"/>
    <w:rsid w:val="00EF6D9A"/>
    <w:rsid w:val="00F03015"/>
    <w:rsid w:val="00F143FD"/>
    <w:rsid w:val="00F27CAE"/>
    <w:rsid w:val="00F27D53"/>
    <w:rsid w:val="00F35974"/>
    <w:rsid w:val="00F3745A"/>
    <w:rsid w:val="00F457DC"/>
    <w:rsid w:val="00F46AD0"/>
    <w:rsid w:val="00F47185"/>
    <w:rsid w:val="00F479C7"/>
    <w:rsid w:val="00F721FE"/>
    <w:rsid w:val="00F7258B"/>
    <w:rsid w:val="00F7276F"/>
    <w:rsid w:val="00F73C09"/>
    <w:rsid w:val="00F919DC"/>
    <w:rsid w:val="00F97751"/>
    <w:rsid w:val="00FA5EF5"/>
    <w:rsid w:val="00FB141F"/>
    <w:rsid w:val="00FB41B3"/>
    <w:rsid w:val="00FB4921"/>
    <w:rsid w:val="00FE1BFE"/>
    <w:rsid w:val="00FE47DD"/>
    <w:rsid w:val="00FF5ACD"/>
    <w:rsid w:val="00FF5D64"/>
  </w:rsids>
  <m:mathPr>
    <m:mathFont m:val="Cambria Math"/>
    <m:brkBin m:val="before"/>
    <m:brkBinSub m:val="--"/>
    <m:smallFrac m:val="0"/>
    <m:dispDef/>
    <m:lMargin m:val="0"/>
    <m:rMargin m:val="0"/>
    <m:defJc m:val="centerGroup"/>
    <m:wrapIndent m:val="1440"/>
    <m:intLim m:val="subSup"/>
    <m:naryLim m:val="undOvr"/>
  </m:mathPr>
  <w:themeFontLang w:val="nl-BE" w:eastAsia="ja-JP"/>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4:docId w14:val="203E1533"/>
  <w15:docId w15:val="{35111994-6580-4BA7-B23D-E0AC8D62827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w:eastAsia="Times New Roman" w:hAnsi="Times" w:cs="Times New Roman"/>
        <w:lang w:val="nl-BE" w:eastAsia="nl-BE" w:bidi="ar-SA"/>
      </w:rPr>
    </w:rPrDefault>
    <w:pPrDefault/>
  </w:docDefaults>
  <w:latentStyles w:defLockedState="0" w:defUIPriority="0" w:defSemiHidden="0" w:defUnhideWhenUsed="0" w:defQFormat="0" w:count="375">
    <w:lsdException w:name="Normal" w:qFormat="1"/>
    <w:lsdException w:name="heading 1" w:qFormat="1"/>
    <w:lsdException w:name="heading 2"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iPriority="99" w:unhideWhenUsed="1" w:qFormat="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99"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toa heading" w:semiHidden="1" w:unhideWhenUsed="1"/>
    <w:lsdException w:name="List"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atentStyles>
  <w:style w:type="paragraph" w:default="1" w:styleId="Normal">
    <w:name w:val="Normal"/>
    <w:qFormat/>
    <w:rsid w:val="001076F4"/>
    <w:pPr>
      <w:spacing w:line="260" w:lineRule="atLeast"/>
      <w:jc w:val="both"/>
    </w:pPr>
    <w:rPr>
      <w:rFonts w:ascii="Arial" w:hAnsi="Arial"/>
      <w:lang w:val="en-GB" w:eastAsia="en-US"/>
    </w:rPr>
  </w:style>
  <w:style w:type="paragraph" w:styleId="Heading1">
    <w:name w:val="heading 1"/>
    <w:basedOn w:val="Normal"/>
    <w:next w:val="Normal"/>
    <w:qFormat/>
    <w:rsid w:val="00CA177B"/>
    <w:pPr>
      <w:keepNext/>
      <w:keepLines/>
      <w:spacing w:before="240" w:after="240"/>
      <w:outlineLvl w:val="0"/>
    </w:pPr>
    <w:rPr>
      <w:b/>
      <w:caps/>
      <w:u w:val="single"/>
    </w:rPr>
  </w:style>
  <w:style w:type="paragraph" w:styleId="Heading2">
    <w:name w:val="heading 2"/>
    <w:basedOn w:val="Normal"/>
    <w:next w:val="Normal"/>
    <w:qFormat/>
    <w:rsid w:val="00CA177B"/>
    <w:pPr>
      <w:keepNext/>
      <w:keepLines/>
      <w:spacing w:before="120" w:after="120"/>
      <w:outlineLvl w:val="1"/>
    </w:pPr>
    <w:rPr>
      <w:caps/>
      <w:u w:val="single"/>
    </w:rPr>
  </w:style>
  <w:style w:type="paragraph" w:styleId="Heading3">
    <w:name w:val="heading 3"/>
    <w:basedOn w:val="Normal"/>
    <w:next w:val="Normal"/>
    <w:qFormat/>
    <w:rsid w:val="00CA177B"/>
    <w:pPr>
      <w:keepNext/>
      <w:keepLines/>
      <w:outlineLvl w:val="2"/>
    </w:pPr>
    <w:rPr>
      <w:caps/>
    </w:rPr>
  </w:style>
  <w:style w:type="paragraph" w:styleId="Heading4">
    <w:name w:val="heading 4"/>
    <w:basedOn w:val="Normal"/>
    <w:next w:val="Normal"/>
    <w:qFormat/>
    <w:rsid w:val="00CA177B"/>
    <w:pPr>
      <w:keepNext/>
      <w:keepLines/>
      <w:outlineLvl w:val="3"/>
    </w:pPr>
    <w:rPr>
      <w:u w:val="single"/>
    </w:rPr>
  </w:style>
  <w:style w:type="paragraph" w:styleId="Heading5">
    <w:name w:val="heading 5"/>
    <w:basedOn w:val="Normal"/>
    <w:next w:val="Normal"/>
    <w:qFormat/>
    <w:rsid w:val="00CA177B"/>
    <w:pPr>
      <w:keepNext/>
      <w:keepLines/>
      <w:outlineLvl w:val="4"/>
    </w:pPr>
  </w:style>
  <w:style w:type="paragraph" w:styleId="Heading6">
    <w:name w:val="heading 6"/>
    <w:basedOn w:val="Normal"/>
    <w:next w:val="Normal"/>
    <w:qFormat/>
    <w:rsid w:val="00CA177B"/>
    <w:pPr>
      <w:keepNext/>
      <w:keepLines/>
      <w:outlineLvl w:val="5"/>
    </w:pPr>
  </w:style>
  <w:style w:type="paragraph" w:styleId="Heading7">
    <w:name w:val="heading 7"/>
    <w:basedOn w:val="Normal"/>
    <w:next w:val="Normal"/>
    <w:qFormat/>
    <w:rsid w:val="00CA177B"/>
    <w:pPr>
      <w:keepNext/>
      <w:keepLines/>
      <w:outlineLvl w:val="6"/>
    </w:pPr>
  </w:style>
  <w:style w:type="paragraph" w:styleId="Heading8">
    <w:name w:val="heading 8"/>
    <w:basedOn w:val="Normal"/>
    <w:next w:val="Normal"/>
    <w:qFormat/>
    <w:rsid w:val="00CA177B"/>
    <w:pPr>
      <w:keepNext/>
      <w:keepLines/>
      <w:outlineLvl w:val="7"/>
    </w:pPr>
  </w:style>
  <w:style w:type="paragraph" w:styleId="Heading9">
    <w:name w:val="heading 9"/>
    <w:basedOn w:val="Normal"/>
    <w:next w:val="Normal"/>
    <w:qFormat/>
    <w:rsid w:val="00CA177B"/>
    <w:pPr>
      <w:keepNext/>
      <w:keepLines/>
      <w:outlineLvl w:val="8"/>
    </w:pPr>
  </w:style>
  <w:style w:type="character" w:default="1" w:styleId="DefaultParagraphFont">
    <w:name w:val="Default Paragraph Font"/>
    <w:uiPriority w:val="1"/>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TOC5">
    <w:name w:val="toc 5"/>
    <w:basedOn w:val="Normal"/>
    <w:next w:val="Normal"/>
    <w:semiHidden/>
    <w:rsid w:val="00CA177B"/>
    <w:pPr>
      <w:keepLines/>
      <w:tabs>
        <w:tab w:val="right" w:leader="dot" w:pos="8789"/>
      </w:tabs>
      <w:ind w:left="879" w:right="567" w:hanging="879"/>
      <w:jc w:val="left"/>
    </w:pPr>
  </w:style>
  <w:style w:type="paragraph" w:styleId="TOC4">
    <w:name w:val="toc 4"/>
    <w:basedOn w:val="Normal"/>
    <w:next w:val="Normal"/>
    <w:semiHidden/>
    <w:rsid w:val="00CA177B"/>
    <w:pPr>
      <w:keepLines/>
      <w:tabs>
        <w:tab w:val="right" w:leader="dot" w:pos="8789"/>
      </w:tabs>
      <w:ind w:left="714" w:right="567" w:hanging="714"/>
      <w:jc w:val="left"/>
    </w:pPr>
  </w:style>
  <w:style w:type="paragraph" w:styleId="TOC3">
    <w:name w:val="toc 3"/>
    <w:basedOn w:val="Normal"/>
    <w:next w:val="Normal"/>
    <w:semiHidden/>
    <w:rsid w:val="00CA177B"/>
    <w:pPr>
      <w:keepLines/>
      <w:tabs>
        <w:tab w:val="right" w:leader="dot" w:pos="8789"/>
      </w:tabs>
      <w:ind w:left="556" w:right="567" w:hanging="556"/>
      <w:jc w:val="left"/>
    </w:pPr>
  </w:style>
  <w:style w:type="paragraph" w:styleId="TOC2">
    <w:name w:val="toc 2"/>
    <w:basedOn w:val="Normal"/>
    <w:next w:val="Normal"/>
    <w:semiHidden/>
    <w:rsid w:val="00CA177B"/>
    <w:pPr>
      <w:keepLines/>
      <w:tabs>
        <w:tab w:val="right" w:leader="dot" w:pos="8789"/>
      </w:tabs>
      <w:ind w:left="397" w:right="567" w:hanging="397"/>
      <w:jc w:val="left"/>
    </w:pPr>
  </w:style>
  <w:style w:type="paragraph" w:styleId="TOC1">
    <w:name w:val="toc 1"/>
    <w:basedOn w:val="Normal"/>
    <w:next w:val="Normal"/>
    <w:semiHidden/>
    <w:rsid w:val="00CA177B"/>
    <w:pPr>
      <w:keepLines/>
      <w:tabs>
        <w:tab w:val="right" w:leader="dot" w:pos="8789"/>
      </w:tabs>
      <w:ind w:left="227" w:right="567" w:hanging="227"/>
      <w:jc w:val="left"/>
    </w:pPr>
  </w:style>
  <w:style w:type="paragraph" w:styleId="Footer">
    <w:name w:val="footer"/>
    <w:basedOn w:val="Normal"/>
    <w:rsid w:val="00CA177B"/>
    <w:pPr>
      <w:tabs>
        <w:tab w:val="center" w:pos="4395"/>
        <w:tab w:val="right" w:pos="8789"/>
      </w:tabs>
      <w:spacing w:line="240" w:lineRule="auto"/>
    </w:pPr>
    <w:rPr>
      <w:sz w:val="18"/>
    </w:rPr>
  </w:style>
  <w:style w:type="paragraph" w:styleId="Header">
    <w:name w:val="header"/>
    <w:basedOn w:val="Normal"/>
    <w:rsid w:val="00CA177B"/>
    <w:pPr>
      <w:tabs>
        <w:tab w:val="center" w:pos="4394"/>
        <w:tab w:val="right" w:pos="8789"/>
      </w:tabs>
      <w:spacing w:line="240" w:lineRule="auto"/>
    </w:pPr>
  </w:style>
  <w:style w:type="character" w:styleId="FootnoteReference">
    <w:name w:val="footnote reference"/>
    <w:basedOn w:val="DefaultParagraphFont"/>
    <w:uiPriority w:val="99"/>
    <w:rsid w:val="00CA177B"/>
    <w:rPr>
      <w:position w:val="6"/>
      <w:sz w:val="16"/>
    </w:rPr>
  </w:style>
  <w:style w:type="paragraph" w:styleId="FootnoteText">
    <w:name w:val="footnote text"/>
    <w:aliases w:val="Note de bas de page Car Car Car Car Car,Note de bas de page Car Car Car,Note de bas de page Car Car"/>
    <w:basedOn w:val="Normal"/>
    <w:link w:val="FootnoteTextChar"/>
    <w:uiPriority w:val="99"/>
    <w:qFormat/>
    <w:rsid w:val="00CA177B"/>
    <w:pPr>
      <w:spacing w:line="240" w:lineRule="atLeast"/>
    </w:pPr>
    <w:rPr>
      <w:sz w:val="18"/>
    </w:rPr>
  </w:style>
  <w:style w:type="paragraph" w:styleId="NormalIndent">
    <w:name w:val="Normal Indent"/>
    <w:basedOn w:val="Normal"/>
    <w:rsid w:val="00CA177B"/>
    <w:pPr>
      <w:tabs>
        <w:tab w:val="left" w:pos="567"/>
      </w:tabs>
      <w:ind w:left="284"/>
    </w:pPr>
  </w:style>
  <w:style w:type="paragraph" w:customStyle="1" w:styleId="auteurs">
    <w:name w:val="auteurs"/>
    <w:basedOn w:val="Normal"/>
    <w:rsid w:val="00CA177B"/>
    <w:pPr>
      <w:tabs>
        <w:tab w:val="center" w:pos="1985"/>
        <w:tab w:val="center" w:pos="6521"/>
      </w:tabs>
      <w:jc w:val="left"/>
    </w:pPr>
  </w:style>
  <w:style w:type="paragraph" w:styleId="MacroText">
    <w:name w:val="macro"/>
    <w:semiHidden/>
    <w:rsid w:val="00CA177B"/>
    <w:pPr>
      <w:tabs>
        <w:tab w:val="left" w:pos="567"/>
        <w:tab w:val="left" w:pos="1134"/>
        <w:tab w:val="left" w:pos="1701"/>
        <w:tab w:val="left" w:pos="2268"/>
        <w:tab w:val="left" w:pos="2835"/>
      </w:tabs>
      <w:spacing w:line="240" w:lineRule="atLeast"/>
    </w:pPr>
    <w:rPr>
      <w:lang w:val="en-GB" w:eastAsia="en-US"/>
    </w:rPr>
  </w:style>
  <w:style w:type="paragraph" w:styleId="TOC6">
    <w:name w:val="toc 6"/>
    <w:basedOn w:val="Normal"/>
    <w:next w:val="Normal"/>
    <w:semiHidden/>
    <w:rsid w:val="00CA177B"/>
    <w:pPr>
      <w:keepLines/>
      <w:tabs>
        <w:tab w:val="right" w:leader="dot" w:pos="8789"/>
      </w:tabs>
      <w:ind w:left="1049" w:right="567" w:hanging="1049"/>
      <w:jc w:val="left"/>
    </w:pPr>
  </w:style>
  <w:style w:type="paragraph" w:styleId="TOC7">
    <w:name w:val="toc 7"/>
    <w:basedOn w:val="Normal"/>
    <w:next w:val="Normal"/>
    <w:semiHidden/>
    <w:rsid w:val="00CA177B"/>
    <w:pPr>
      <w:keepLines/>
      <w:tabs>
        <w:tab w:val="right" w:leader="dot" w:pos="8789"/>
      </w:tabs>
      <w:ind w:left="1219" w:right="567" w:hanging="1219"/>
      <w:jc w:val="left"/>
    </w:pPr>
  </w:style>
  <w:style w:type="paragraph" w:styleId="TOC8">
    <w:name w:val="toc 8"/>
    <w:basedOn w:val="Normal"/>
    <w:next w:val="Normal"/>
    <w:semiHidden/>
    <w:rsid w:val="00CA177B"/>
    <w:pPr>
      <w:keepLines/>
      <w:tabs>
        <w:tab w:val="right" w:leader="dot" w:pos="8789"/>
      </w:tabs>
      <w:ind w:left="1378" w:right="567" w:hanging="1378"/>
      <w:jc w:val="left"/>
    </w:pPr>
  </w:style>
  <w:style w:type="paragraph" w:styleId="TOC9">
    <w:name w:val="toc 9"/>
    <w:basedOn w:val="Normal"/>
    <w:next w:val="Normal"/>
    <w:semiHidden/>
    <w:rsid w:val="00CA177B"/>
    <w:pPr>
      <w:keepLines/>
      <w:tabs>
        <w:tab w:val="right" w:leader="dot" w:pos="8789"/>
      </w:tabs>
      <w:ind w:left="1548" w:right="567" w:hanging="1548"/>
      <w:jc w:val="left"/>
    </w:pPr>
  </w:style>
  <w:style w:type="paragraph" w:styleId="DocumentMap">
    <w:name w:val="Document Map"/>
    <w:basedOn w:val="Normal"/>
    <w:semiHidden/>
    <w:rsid w:val="00CA177B"/>
    <w:pPr>
      <w:shd w:val="clear" w:color="auto" w:fill="000080"/>
    </w:pPr>
    <w:rPr>
      <w:rFonts w:ascii="Tahoma" w:hAnsi="Tahoma"/>
    </w:rPr>
  </w:style>
  <w:style w:type="paragraph" w:styleId="ListParagraph">
    <w:name w:val="List Paragraph"/>
    <w:basedOn w:val="Normal"/>
    <w:uiPriority w:val="34"/>
    <w:qFormat/>
    <w:rsid w:val="008802A6"/>
    <w:pPr>
      <w:ind w:left="720"/>
      <w:contextualSpacing/>
    </w:pPr>
  </w:style>
  <w:style w:type="character" w:styleId="Hyperlink">
    <w:name w:val="Hyperlink"/>
    <w:basedOn w:val="DefaultParagraphFont"/>
    <w:unhideWhenUsed/>
    <w:rsid w:val="00AD57F8"/>
    <w:rPr>
      <w:color w:val="0000FF" w:themeColor="hyperlink"/>
      <w:u w:val="single"/>
    </w:rPr>
  </w:style>
  <w:style w:type="character" w:customStyle="1" w:styleId="FootnoteTextChar">
    <w:name w:val="Footnote Text Char"/>
    <w:aliases w:val="Note de bas de page Car Car Car Car Car Char,Note de bas de page Car Car Car Char,Note de bas de page Car Car Char"/>
    <w:basedOn w:val="DefaultParagraphFont"/>
    <w:link w:val="FootnoteText"/>
    <w:uiPriority w:val="99"/>
    <w:rsid w:val="00281700"/>
    <w:rPr>
      <w:rFonts w:ascii="Arial" w:hAnsi="Arial"/>
      <w:sz w:val="18"/>
      <w:lang w:val="en-GB" w:eastAsia="en-US"/>
    </w:rPr>
  </w:style>
  <w:style w:type="paragraph" w:customStyle="1" w:styleId="Normal1">
    <w:name w:val="Normal1"/>
    <w:basedOn w:val="Normal"/>
    <w:rsid w:val="00CE6FCA"/>
    <w:pPr>
      <w:spacing w:before="100" w:beforeAutospacing="1" w:after="100" w:afterAutospacing="1" w:line="240" w:lineRule="auto"/>
      <w:jc w:val="left"/>
    </w:pPr>
    <w:rPr>
      <w:rFonts w:ascii="Times" w:hAnsi="Times"/>
      <w:lang w:val="fr-BE" w:eastAsia="nl-NL"/>
    </w:rPr>
  </w:style>
  <w:style w:type="character" w:styleId="FollowedHyperlink">
    <w:name w:val="FollowedHyperlink"/>
    <w:basedOn w:val="DefaultParagraphFont"/>
    <w:semiHidden/>
    <w:unhideWhenUsed/>
    <w:rsid w:val="00543F52"/>
    <w:rPr>
      <w:color w:val="800080" w:themeColor="followedHyperlink"/>
      <w:u w:val="single"/>
    </w:rPr>
  </w:style>
  <w:style w:type="paragraph" w:styleId="BalloonText">
    <w:name w:val="Balloon Text"/>
    <w:basedOn w:val="Normal"/>
    <w:link w:val="BalloonTextChar"/>
    <w:rsid w:val="00543F52"/>
    <w:pPr>
      <w:spacing w:line="240" w:lineRule="auto"/>
    </w:pPr>
    <w:rPr>
      <w:rFonts w:ascii="Lucida Grande" w:hAnsi="Lucida Grande" w:cs="Lucida Grande"/>
      <w:sz w:val="18"/>
      <w:szCs w:val="18"/>
    </w:rPr>
  </w:style>
  <w:style w:type="character" w:customStyle="1" w:styleId="BalloonTextChar">
    <w:name w:val="Balloon Text Char"/>
    <w:basedOn w:val="DefaultParagraphFont"/>
    <w:link w:val="BalloonText"/>
    <w:rsid w:val="00543F52"/>
    <w:rPr>
      <w:rFonts w:ascii="Lucida Grande" w:hAnsi="Lucida Grande" w:cs="Lucida Grande"/>
      <w:sz w:val="18"/>
      <w:szCs w:val="18"/>
      <w:lang w:val="en-GB" w:eastAsia="en-US"/>
    </w:rPr>
  </w:style>
  <w:style w:type="character" w:styleId="Emphasis">
    <w:name w:val="Emphasis"/>
    <w:basedOn w:val="DefaultParagraphFont"/>
    <w:uiPriority w:val="20"/>
    <w:qFormat/>
    <w:rsid w:val="00417503"/>
    <w:rPr>
      <w:i/>
      <w:iCs/>
    </w:rPr>
  </w:style>
  <w:style w:type="character" w:styleId="UnresolvedMention">
    <w:name w:val="Unresolved Mention"/>
    <w:basedOn w:val="DefaultParagraphFont"/>
    <w:uiPriority w:val="99"/>
    <w:semiHidden/>
    <w:unhideWhenUsed/>
    <w:rsid w:val="00BC3C1A"/>
    <w:rPr>
      <w:color w:val="808080"/>
      <w:shd w:val="clear" w:color="auto" w:fill="E6E6E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00564545">
      <w:bodyDiv w:val="1"/>
      <w:marLeft w:val="0"/>
      <w:marRight w:val="0"/>
      <w:marTop w:val="0"/>
      <w:marBottom w:val="0"/>
      <w:divBdr>
        <w:top w:val="none" w:sz="0" w:space="0" w:color="auto"/>
        <w:left w:val="none" w:sz="0" w:space="0" w:color="auto"/>
        <w:bottom w:val="none" w:sz="0" w:space="0" w:color="auto"/>
        <w:right w:val="none" w:sz="0" w:space="0" w:color="auto"/>
      </w:divBdr>
    </w:div>
    <w:div w:id="129514966">
      <w:bodyDiv w:val="1"/>
      <w:marLeft w:val="0"/>
      <w:marRight w:val="0"/>
      <w:marTop w:val="0"/>
      <w:marBottom w:val="0"/>
      <w:divBdr>
        <w:top w:val="none" w:sz="0" w:space="0" w:color="auto"/>
        <w:left w:val="none" w:sz="0" w:space="0" w:color="auto"/>
        <w:bottom w:val="none" w:sz="0" w:space="0" w:color="auto"/>
        <w:right w:val="none" w:sz="0" w:space="0" w:color="auto"/>
      </w:divBdr>
      <w:divsChild>
        <w:div w:id="812795076">
          <w:marLeft w:val="0"/>
          <w:marRight w:val="0"/>
          <w:marTop w:val="0"/>
          <w:marBottom w:val="0"/>
          <w:divBdr>
            <w:top w:val="none" w:sz="0" w:space="0" w:color="auto"/>
            <w:left w:val="none" w:sz="0" w:space="0" w:color="auto"/>
            <w:bottom w:val="none" w:sz="0" w:space="0" w:color="auto"/>
            <w:right w:val="none" w:sz="0" w:space="0" w:color="auto"/>
          </w:divBdr>
        </w:div>
        <w:div w:id="802113070">
          <w:marLeft w:val="0"/>
          <w:marRight w:val="0"/>
          <w:marTop w:val="0"/>
          <w:marBottom w:val="0"/>
          <w:divBdr>
            <w:top w:val="none" w:sz="0" w:space="0" w:color="auto"/>
            <w:left w:val="none" w:sz="0" w:space="0" w:color="auto"/>
            <w:bottom w:val="none" w:sz="0" w:space="0" w:color="auto"/>
            <w:right w:val="none" w:sz="0" w:space="0" w:color="auto"/>
          </w:divBdr>
        </w:div>
        <w:div w:id="1561557246">
          <w:marLeft w:val="0"/>
          <w:marRight w:val="0"/>
          <w:marTop w:val="0"/>
          <w:marBottom w:val="0"/>
          <w:divBdr>
            <w:top w:val="none" w:sz="0" w:space="0" w:color="auto"/>
            <w:left w:val="none" w:sz="0" w:space="0" w:color="auto"/>
            <w:bottom w:val="none" w:sz="0" w:space="0" w:color="auto"/>
            <w:right w:val="none" w:sz="0" w:space="0" w:color="auto"/>
          </w:divBdr>
        </w:div>
        <w:div w:id="1685210537">
          <w:marLeft w:val="0"/>
          <w:marRight w:val="0"/>
          <w:marTop w:val="0"/>
          <w:marBottom w:val="0"/>
          <w:divBdr>
            <w:top w:val="none" w:sz="0" w:space="0" w:color="auto"/>
            <w:left w:val="none" w:sz="0" w:space="0" w:color="auto"/>
            <w:bottom w:val="none" w:sz="0" w:space="0" w:color="auto"/>
            <w:right w:val="none" w:sz="0" w:space="0" w:color="auto"/>
          </w:divBdr>
        </w:div>
      </w:divsChild>
    </w:div>
    <w:div w:id="120024279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3.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1.xml"/><Relationship Id="rId5" Type="http://schemas.openxmlformats.org/officeDocument/2006/relationships/webSettings" Target="webSettings.xml"/><Relationship Id="rId10" Type="http://schemas.openxmlformats.org/officeDocument/2006/relationships/header" Target="header2.xml"/><Relationship Id="rId4" Type="http://schemas.openxmlformats.org/officeDocument/2006/relationships/settings" Target="settings.xml"/><Relationship Id="rId9" Type="http://schemas.openxmlformats.org/officeDocument/2006/relationships/header" Target="header1.xml"/><Relationship Id="rId14" Type="http://schemas.openxmlformats.org/officeDocument/2006/relationships/theme" Target="theme/theme1.xml"/></Relationships>
</file>

<file path=word/_rels/footnotes.xml.rels><?xml version="1.0" encoding="UTF-8" standalone="yes"?>
<Relationships xmlns="http://schemas.openxmlformats.org/package/2006/relationships"><Relationship Id="rId8" Type="http://schemas.openxmlformats.org/officeDocument/2006/relationships/hyperlink" Target="http://www.imf.org" TargetMode="External"/><Relationship Id="rId13" Type="http://schemas.openxmlformats.org/officeDocument/2006/relationships/hyperlink" Target="http://www.bankinsupervision.europa.eu" TargetMode="External"/><Relationship Id="rId3" Type="http://schemas.openxmlformats.org/officeDocument/2006/relationships/hyperlink" Target="http://www.eur-lex.europa.eu" TargetMode="External"/><Relationship Id="rId7" Type="http://schemas.openxmlformats.org/officeDocument/2006/relationships/hyperlink" Target="https://www.bis.org/bcbs/implementation/rcap_jurisdictional.htm" TargetMode="External"/><Relationship Id="rId12" Type="http://schemas.openxmlformats.org/officeDocument/2006/relationships/hyperlink" Target="http://www.bis.org" TargetMode="External"/><Relationship Id="rId2" Type="http://schemas.openxmlformats.org/officeDocument/2006/relationships/hyperlink" Target="http://www.cigionline.org" TargetMode="External"/><Relationship Id="rId1" Type="http://schemas.openxmlformats.org/officeDocument/2006/relationships/hyperlink" Target="http://www.europa.eu" TargetMode="External"/><Relationship Id="rId6" Type="http://schemas.openxmlformats.org/officeDocument/2006/relationships/hyperlink" Target="http://www.cam.ac.uk" TargetMode="External"/><Relationship Id="rId11" Type="http://schemas.openxmlformats.org/officeDocument/2006/relationships/hyperlink" Target="http://www.eba.eu" TargetMode="External"/><Relationship Id="rId5" Type="http://schemas.openxmlformats.org/officeDocument/2006/relationships/hyperlink" Target="http://www.bis.org" TargetMode="External"/><Relationship Id="rId10" Type="http://schemas.openxmlformats.org/officeDocument/2006/relationships/hyperlink" Target="http://www.eba.europea.eu" TargetMode="External"/><Relationship Id="rId4" Type="http://schemas.openxmlformats.org/officeDocument/2006/relationships/hyperlink" Target="https://www.bankingsupervision.europa.eu/press/publications/html/index.en.html" TargetMode="External"/><Relationship Id="rId9" Type="http://schemas.openxmlformats.org/officeDocument/2006/relationships/hyperlink" Target="http://www.imf.org" TargetMode="External"/><Relationship Id="rId14" Type="http://schemas.openxmlformats.org/officeDocument/2006/relationships/hyperlink" Target="http://www.nbb.be"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7844C89-775E-4971-8DCB-C1D35B654CC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8</TotalTime>
  <Pages>22</Pages>
  <Words>6209</Words>
  <Characters>34150</Characters>
  <Application>Microsoft Office Word</Application>
  <DocSecurity>0</DocSecurity>
  <Lines>284</Lines>
  <Paragraphs>80</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40279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Begasse De Dhaem Pauline</dc:creator>
  <cp:keywords/>
  <dc:description/>
  <cp:lastModifiedBy>Begasse De Dhaem Pauline</cp:lastModifiedBy>
  <cp:revision>2</cp:revision>
  <cp:lastPrinted>2019-01-30T14:42:00Z</cp:lastPrinted>
  <dcterms:created xsi:type="dcterms:W3CDTF">2019-01-30T18:02:00Z</dcterms:created>
  <dcterms:modified xsi:type="dcterms:W3CDTF">2019-01-30T18:02:00Z</dcterms:modified>
</cp:coreProperties>
</file>