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55A" w:rsidRPr="005231D4" w:rsidRDefault="005231D4">
      <w:pPr>
        <w:rPr>
          <w:lang w:val="en-US"/>
        </w:rPr>
      </w:pPr>
      <w:r w:rsidRPr="005231D4">
        <w:rPr>
          <w:lang w:val="en-US"/>
        </w:rPr>
        <w:t xml:space="preserve">Mary L. </w:t>
      </w:r>
      <w:r w:rsidRPr="005231D4">
        <w:rPr>
          <w:smallCaps/>
          <w:lang w:val="en-US"/>
        </w:rPr>
        <w:t>Gautier</w:t>
      </w:r>
      <w:r w:rsidRPr="005231D4">
        <w:rPr>
          <w:lang w:val="en-US"/>
        </w:rPr>
        <w:t xml:space="preserve"> (et al.), </w:t>
      </w:r>
      <w:r w:rsidRPr="005231D4">
        <w:rPr>
          <w:i/>
          <w:lang w:val="en-US"/>
        </w:rPr>
        <w:t xml:space="preserve">Bridging the Gap. </w:t>
      </w:r>
      <w:r w:rsidRPr="00E33BEE">
        <w:rPr>
          <w:i/>
          <w:lang w:val="en-US"/>
        </w:rPr>
        <w:t>International Priests Ministering in the United States</w:t>
      </w:r>
      <w:r>
        <w:rPr>
          <w:lang w:val="en-US"/>
        </w:rPr>
        <w:t xml:space="preserve">, Huntington IN, </w:t>
      </w:r>
      <w:r w:rsidRPr="00E33BEE">
        <w:rPr>
          <w:lang w:val="en-US"/>
        </w:rPr>
        <w:t>Our Sunday Visitor</w:t>
      </w:r>
      <w:r>
        <w:rPr>
          <w:lang w:val="en-US"/>
        </w:rPr>
        <w:t>, 2014, 155 p. ISBN 978-1-61278-736-7</w:t>
      </w:r>
    </w:p>
    <w:p w:rsidR="00FD460B" w:rsidRDefault="005231D4" w:rsidP="00FD460B">
      <w:pPr>
        <w:ind w:firstLine="284"/>
      </w:pPr>
      <w:r w:rsidRPr="002A11D2">
        <w:t xml:space="preserve">S’il est bien une question complexe dans l’Église catholique aujourd’hui, c’est celle des prêtres exerçant un ministère ailleurs que dans leur pays d’origine. </w:t>
      </w:r>
      <w:r>
        <w:t>L</w:t>
      </w:r>
      <w:r w:rsidRPr="002A11D2">
        <w:t xml:space="preserve">e phénomène </w:t>
      </w:r>
      <w:r>
        <w:t xml:space="preserve">de ces </w:t>
      </w:r>
      <w:r>
        <w:rPr>
          <w:i/>
        </w:rPr>
        <w:t xml:space="preserve">international </w:t>
      </w:r>
      <w:proofErr w:type="spellStart"/>
      <w:r>
        <w:rPr>
          <w:i/>
        </w:rPr>
        <w:t>priests</w:t>
      </w:r>
      <w:proofErr w:type="spellEnd"/>
      <w:r>
        <w:rPr>
          <w:i/>
        </w:rPr>
        <w:t xml:space="preserve"> </w:t>
      </w:r>
      <w:r>
        <w:t xml:space="preserve">– en français, </w:t>
      </w:r>
      <w:r w:rsidRPr="002A11D2">
        <w:t xml:space="preserve">la moins mauvaise dénomination </w:t>
      </w:r>
      <w:r>
        <w:t xml:space="preserve">qui s’est imposée </w:t>
      </w:r>
      <w:r w:rsidR="00FD460B">
        <w:t xml:space="preserve">depuis quelques années </w:t>
      </w:r>
      <w:r>
        <w:t>est « </w:t>
      </w:r>
      <w:r w:rsidRPr="002A11D2">
        <w:t>prêtres venus d’ailleurs</w:t>
      </w:r>
      <w:r w:rsidRPr="002A11D2">
        <w:rPr>
          <w:sz w:val="12"/>
        </w:rPr>
        <w:t> </w:t>
      </w:r>
      <w:r w:rsidRPr="002A11D2">
        <w:t>»</w:t>
      </w:r>
      <w:r>
        <w:t xml:space="preserve"> –</w:t>
      </w:r>
      <w:r w:rsidRPr="002A11D2">
        <w:t xml:space="preserve"> est nouveau et massif.</w:t>
      </w:r>
      <w:r w:rsidR="00FD460B">
        <w:t xml:space="preserve"> </w:t>
      </w:r>
      <w:r w:rsidR="00FD460B" w:rsidRPr="002A11D2">
        <w:t>L’importance du phénomène est inversement proportionnelle au nombre d’études menées dans ce domaine. Les rares recherches sur le sujet montrent des dimensions généralisables mais aussi et surtout une abondance de cas particuliers. Ceci rend la tâche plus difficile, tant pour le sociologue que le théologien</w:t>
      </w:r>
      <w:r w:rsidR="00B860C1">
        <w:t xml:space="preserve"> (voir à paraître : </w:t>
      </w:r>
      <w:r w:rsidR="009515A7">
        <w:t xml:space="preserve">A. </w:t>
      </w:r>
      <w:proofErr w:type="spellStart"/>
      <w:r w:rsidR="009515A7">
        <w:t>Join</w:t>
      </w:r>
      <w:proofErr w:type="spellEnd"/>
      <w:r w:rsidR="009515A7">
        <w:t xml:space="preserve">-Lambert, </w:t>
      </w:r>
      <w:r w:rsidR="00B860C1">
        <w:t>« </w:t>
      </w:r>
      <w:r w:rsidR="00B860C1" w:rsidRPr="00B860C1">
        <w:t>Les prêtres venus d’ailleurs dans les diocèses en Occident. Une mutation pastorale et ecclésiologique complexe</w:t>
      </w:r>
      <w:r w:rsidR="00B860C1">
        <w:t> »</w:t>
      </w:r>
      <w:r w:rsidR="00B860C1" w:rsidRPr="00B860C1">
        <w:t>,</w:t>
      </w:r>
      <w:r w:rsidR="00B860C1">
        <w:t xml:space="preserve"> dans M. </w:t>
      </w:r>
      <w:proofErr w:type="spellStart"/>
      <w:r w:rsidR="00B860C1">
        <w:t>Pelchat</w:t>
      </w:r>
      <w:proofErr w:type="spellEnd"/>
      <w:r w:rsidR="00B860C1">
        <w:t xml:space="preserve"> – E. Pouliot</w:t>
      </w:r>
      <w:r w:rsidR="005452FC">
        <w:t xml:space="preserve"> [</w:t>
      </w:r>
      <w:proofErr w:type="spellStart"/>
      <w:r w:rsidR="005452FC">
        <w:t>dir</w:t>
      </w:r>
      <w:proofErr w:type="spellEnd"/>
      <w:r w:rsidR="005452FC">
        <w:t>.]</w:t>
      </w:r>
      <w:r w:rsidR="00B860C1">
        <w:t xml:space="preserve">, </w:t>
      </w:r>
      <w:r w:rsidR="00B860C1" w:rsidRPr="00B860C1">
        <w:rPr>
          <w:i/>
        </w:rPr>
        <w:t>xxx</w:t>
      </w:r>
      <w:r w:rsidR="00B860C1">
        <w:t>, Montréal, Novalis,</w:t>
      </w:r>
      <w:r w:rsidR="00B860C1" w:rsidRPr="00B860C1">
        <w:t xml:space="preserve"> 2015</w:t>
      </w:r>
      <w:r w:rsidR="00B860C1">
        <w:t>)</w:t>
      </w:r>
      <w:r w:rsidR="00FD460B" w:rsidRPr="002A11D2">
        <w:t>.</w:t>
      </w:r>
      <w:r w:rsidR="00FD460B">
        <w:t xml:space="preserve"> C’est dire qu’une recherche comme celle menée ici est précieuse et utile. Elle a été réalisée conjointement par le </w:t>
      </w:r>
      <w:r w:rsidR="00FD460B">
        <w:rPr>
          <w:i/>
        </w:rPr>
        <w:t xml:space="preserve">Center of </w:t>
      </w:r>
      <w:proofErr w:type="spellStart"/>
      <w:r w:rsidR="00FD460B">
        <w:rPr>
          <w:i/>
        </w:rPr>
        <w:t>Applied</w:t>
      </w:r>
      <w:proofErr w:type="spellEnd"/>
      <w:r w:rsidR="00FD460B">
        <w:rPr>
          <w:i/>
        </w:rPr>
        <w:t xml:space="preserve"> </w:t>
      </w:r>
      <w:proofErr w:type="spellStart"/>
      <w:r w:rsidR="00FD460B">
        <w:rPr>
          <w:i/>
        </w:rPr>
        <w:t>Research</w:t>
      </w:r>
      <w:proofErr w:type="spellEnd"/>
      <w:r w:rsidR="00FD460B">
        <w:rPr>
          <w:i/>
        </w:rPr>
        <w:t xml:space="preserve"> of </w:t>
      </w:r>
      <w:proofErr w:type="spellStart"/>
      <w:r w:rsidR="00FD460B">
        <w:rPr>
          <w:i/>
        </w:rPr>
        <w:t>Apostolate</w:t>
      </w:r>
      <w:proofErr w:type="spellEnd"/>
      <w:r w:rsidR="00FD460B">
        <w:rPr>
          <w:i/>
        </w:rPr>
        <w:t xml:space="preserve"> </w:t>
      </w:r>
      <w:r w:rsidR="00FD460B">
        <w:t xml:space="preserve">(CARA, Georgetown </w:t>
      </w:r>
      <w:proofErr w:type="spellStart"/>
      <w:r w:rsidR="00FD460B">
        <w:t>University</w:t>
      </w:r>
      <w:proofErr w:type="spellEnd"/>
      <w:r w:rsidR="00FD460B">
        <w:t xml:space="preserve"> à Washington D.C.), où la question est étudiée depuis </w:t>
      </w:r>
      <w:r w:rsidR="00E16EA6">
        <w:t>plus d’</w:t>
      </w:r>
      <w:r w:rsidR="00FD460B">
        <w:t xml:space="preserve">une dizaine d’années, et </w:t>
      </w:r>
      <w:proofErr w:type="gramStart"/>
      <w:r w:rsidR="00FD460B">
        <w:t xml:space="preserve">la </w:t>
      </w:r>
      <w:r w:rsidR="00FD460B">
        <w:rPr>
          <w:i/>
        </w:rPr>
        <w:t>Oblate</w:t>
      </w:r>
      <w:proofErr w:type="gramEnd"/>
      <w:r w:rsidR="00FD460B">
        <w:rPr>
          <w:i/>
        </w:rPr>
        <w:t xml:space="preserve"> </w:t>
      </w:r>
      <w:proofErr w:type="spellStart"/>
      <w:r w:rsidR="00FD460B">
        <w:rPr>
          <w:i/>
        </w:rPr>
        <w:t>School</w:t>
      </w:r>
      <w:proofErr w:type="spellEnd"/>
      <w:r w:rsidR="00FD460B">
        <w:rPr>
          <w:i/>
        </w:rPr>
        <w:t xml:space="preserve"> of </w:t>
      </w:r>
      <w:proofErr w:type="spellStart"/>
      <w:r w:rsidR="00FD460B">
        <w:rPr>
          <w:i/>
        </w:rPr>
        <w:t>Theology</w:t>
      </w:r>
      <w:proofErr w:type="spellEnd"/>
      <w:r w:rsidR="00FD460B">
        <w:rPr>
          <w:i/>
        </w:rPr>
        <w:t xml:space="preserve"> </w:t>
      </w:r>
      <w:r w:rsidR="00FD460B">
        <w:t xml:space="preserve">(San Antonio, Texas). </w:t>
      </w:r>
    </w:p>
    <w:p w:rsidR="00FD460B" w:rsidRDefault="005231D4" w:rsidP="00FD460B">
      <w:pPr>
        <w:ind w:firstLine="284"/>
      </w:pPr>
      <w:r w:rsidRPr="002A11D2">
        <w:t xml:space="preserve">La première des études de grande ampleur </w:t>
      </w:r>
      <w:r w:rsidR="00E16EA6">
        <w:t xml:space="preserve">(sociologique) </w:t>
      </w:r>
      <w:r w:rsidRPr="002A11D2">
        <w:t xml:space="preserve">fut </w:t>
      </w:r>
      <w:r w:rsidR="00FD460B">
        <w:t xml:space="preserve">déjà </w:t>
      </w:r>
      <w:r w:rsidRPr="002A11D2">
        <w:t>menée aux États-Unis</w:t>
      </w:r>
      <w:r w:rsidR="00FD460B">
        <w:t xml:space="preserve"> dans le cadre du CARA</w:t>
      </w:r>
      <w:r w:rsidRPr="002A11D2">
        <w:t>.</w:t>
      </w:r>
      <w:r>
        <w:t xml:space="preserve"> On peut retenir en bref quatre points de</w:t>
      </w:r>
      <w:r w:rsidRPr="002A11D2">
        <w:t xml:space="preserve"> l’ouvrage incontournable de Dean </w:t>
      </w:r>
      <w:proofErr w:type="spellStart"/>
      <w:r w:rsidRPr="002A11D2">
        <w:t>Hoge</w:t>
      </w:r>
      <w:proofErr w:type="spellEnd"/>
      <w:r w:rsidRPr="002A11D2">
        <w:t xml:space="preserve">, sociologue de la </w:t>
      </w:r>
      <w:proofErr w:type="spellStart"/>
      <w:r w:rsidRPr="002A11D2">
        <w:rPr>
          <w:i/>
        </w:rPr>
        <w:t>Catholic</w:t>
      </w:r>
      <w:proofErr w:type="spellEnd"/>
      <w:r w:rsidRPr="002A11D2">
        <w:rPr>
          <w:i/>
        </w:rPr>
        <w:t xml:space="preserve"> </w:t>
      </w:r>
      <w:proofErr w:type="spellStart"/>
      <w:r w:rsidRPr="002A11D2">
        <w:rPr>
          <w:i/>
        </w:rPr>
        <w:t>University</w:t>
      </w:r>
      <w:proofErr w:type="spellEnd"/>
      <w:r w:rsidRPr="002A11D2">
        <w:rPr>
          <w:i/>
        </w:rPr>
        <w:t xml:space="preserve"> </w:t>
      </w:r>
      <w:r w:rsidRPr="002A11D2">
        <w:t>décédé en 2008</w:t>
      </w:r>
      <w:bookmarkStart w:id="0" w:name="_Ref406012661"/>
      <w:r w:rsidR="00E16EA6">
        <w:t xml:space="preserve"> (</w:t>
      </w:r>
      <w:r w:rsidR="00E16EA6" w:rsidRPr="00E16EA6">
        <w:rPr>
          <w:lang w:val="fr-BE" w:eastAsia="fr-FR"/>
        </w:rPr>
        <w:t xml:space="preserve">Dean R. </w:t>
      </w:r>
      <w:proofErr w:type="spellStart"/>
      <w:r w:rsidR="00E16EA6" w:rsidRPr="00E16EA6">
        <w:rPr>
          <w:bCs/>
          <w:lang w:val="fr-BE" w:eastAsia="fr-FR"/>
        </w:rPr>
        <w:t>Hoge</w:t>
      </w:r>
      <w:proofErr w:type="spellEnd"/>
      <w:r w:rsidR="009515A7">
        <w:rPr>
          <w:bCs/>
          <w:smallCaps/>
          <w:lang w:val="fr-BE" w:eastAsia="fr-FR"/>
        </w:rPr>
        <w:t xml:space="preserve"> –</w:t>
      </w:r>
      <w:r w:rsidR="00E16EA6" w:rsidRPr="00E16EA6">
        <w:rPr>
          <w:lang w:val="fr-BE" w:eastAsia="fr-FR"/>
        </w:rPr>
        <w:t xml:space="preserve"> </w:t>
      </w:r>
      <w:proofErr w:type="spellStart"/>
      <w:r w:rsidR="00E16EA6" w:rsidRPr="00E16EA6">
        <w:rPr>
          <w:lang w:val="fr-BE" w:eastAsia="fr-FR"/>
        </w:rPr>
        <w:t>Aniedi</w:t>
      </w:r>
      <w:proofErr w:type="spellEnd"/>
      <w:r w:rsidR="00E16EA6" w:rsidRPr="00E16EA6">
        <w:rPr>
          <w:lang w:val="fr-BE" w:eastAsia="fr-FR"/>
        </w:rPr>
        <w:t xml:space="preserve"> </w:t>
      </w:r>
      <w:proofErr w:type="spellStart"/>
      <w:r w:rsidR="00E16EA6" w:rsidRPr="00E16EA6">
        <w:rPr>
          <w:lang w:val="fr-BE" w:eastAsia="fr-FR"/>
        </w:rPr>
        <w:t>Okure</w:t>
      </w:r>
      <w:proofErr w:type="spellEnd"/>
      <w:r w:rsidR="00E16EA6" w:rsidRPr="00E16EA6">
        <w:rPr>
          <w:lang w:val="fr-BE" w:eastAsia="fr-FR"/>
        </w:rPr>
        <w:t xml:space="preserve">, </w:t>
      </w:r>
      <w:r w:rsidR="00E16EA6" w:rsidRPr="00E16EA6">
        <w:rPr>
          <w:bCs/>
          <w:i/>
          <w:iCs/>
          <w:lang w:val="fr-BE" w:eastAsia="fr-FR"/>
        </w:rPr>
        <w:t xml:space="preserve">International </w:t>
      </w:r>
      <w:proofErr w:type="spellStart"/>
      <w:r w:rsidR="00E16EA6" w:rsidRPr="00E16EA6">
        <w:rPr>
          <w:bCs/>
          <w:i/>
          <w:iCs/>
          <w:lang w:val="fr-BE" w:eastAsia="fr-FR"/>
        </w:rPr>
        <w:t>Priests</w:t>
      </w:r>
      <w:proofErr w:type="spellEnd"/>
      <w:r w:rsidR="00E16EA6" w:rsidRPr="00E16EA6">
        <w:rPr>
          <w:bCs/>
          <w:i/>
          <w:iCs/>
          <w:lang w:val="fr-BE" w:eastAsia="fr-FR"/>
        </w:rPr>
        <w:t xml:space="preserve"> in </w:t>
      </w:r>
      <w:proofErr w:type="spellStart"/>
      <w:r w:rsidR="00E16EA6" w:rsidRPr="00E16EA6">
        <w:rPr>
          <w:bCs/>
          <w:i/>
          <w:iCs/>
          <w:lang w:val="fr-BE" w:eastAsia="fr-FR"/>
        </w:rPr>
        <w:t>America</w:t>
      </w:r>
      <w:proofErr w:type="spellEnd"/>
      <w:r w:rsidR="00E16EA6" w:rsidRPr="00E16EA6">
        <w:rPr>
          <w:bCs/>
          <w:i/>
          <w:iCs/>
          <w:lang w:val="fr-BE" w:eastAsia="fr-FR"/>
        </w:rPr>
        <w:t xml:space="preserve">. </w:t>
      </w:r>
      <w:r w:rsidR="00E16EA6" w:rsidRPr="001D55AA">
        <w:rPr>
          <w:bCs/>
          <w:i/>
          <w:iCs/>
          <w:lang w:eastAsia="fr-FR"/>
        </w:rPr>
        <w:t xml:space="preserve">Challenges and </w:t>
      </w:r>
      <w:proofErr w:type="spellStart"/>
      <w:r w:rsidR="00E16EA6" w:rsidRPr="001D55AA">
        <w:rPr>
          <w:bCs/>
          <w:i/>
          <w:iCs/>
          <w:lang w:eastAsia="fr-FR"/>
        </w:rPr>
        <w:t>Opportunities</w:t>
      </w:r>
      <w:proofErr w:type="spellEnd"/>
      <w:r w:rsidR="00E16EA6" w:rsidRPr="001D55AA">
        <w:rPr>
          <w:bCs/>
          <w:iCs/>
          <w:lang w:eastAsia="fr-FR"/>
        </w:rPr>
        <w:t>,</w:t>
      </w:r>
      <w:r w:rsidR="00E16EA6" w:rsidRPr="001D55AA">
        <w:rPr>
          <w:bCs/>
          <w:lang w:eastAsia="fr-FR"/>
        </w:rPr>
        <w:t xml:space="preserve"> </w:t>
      </w:r>
      <w:r w:rsidR="00E16EA6" w:rsidRPr="001D55AA">
        <w:rPr>
          <w:lang w:eastAsia="fr-FR"/>
        </w:rPr>
        <w:t>2006</w:t>
      </w:r>
      <w:r w:rsidR="00E16EA6">
        <w:rPr>
          <w:lang w:eastAsia="fr-FR"/>
        </w:rPr>
        <w:t>)</w:t>
      </w:r>
      <w:bookmarkEnd w:id="0"/>
      <w:r>
        <w:t>.</w:t>
      </w:r>
      <w:r w:rsidRPr="002A11D2">
        <w:t xml:space="preserve"> Cette pratique des </w:t>
      </w:r>
      <w:r w:rsidRPr="002A11D2">
        <w:rPr>
          <w:i/>
        </w:rPr>
        <w:t xml:space="preserve">international </w:t>
      </w:r>
      <w:proofErr w:type="spellStart"/>
      <w:r w:rsidRPr="002A11D2">
        <w:rPr>
          <w:i/>
        </w:rPr>
        <w:t>priests</w:t>
      </w:r>
      <w:proofErr w:type="spellEnd"/>
      <w:r w:rsidRPr="002A11D2">
        <w:t xml:space="preserve"> a</w:t>
      </w:r>
      <w:r w:rsidR="0082607D">
        <w:t>vait</w:t>
      </w:r>
      <w:r w:rsidRPr="002A11D2">
        <w:t xml:space="preserve"> des conséquences souvent négligées dans le recrutement des futurs prêtres</w:t>
      </w:r>
      <w:r>
        <w:t xml:space="preserve"> </w:t>
      </w:r>
      <w:r w:rsidRPr="002A11D2">
        <w:t>dans les pays du sud</w:t>
      </w:r>
      <w:r>
        <w:t>. L</w:t>
      </w:r>
      <w:r w:rsidRPr="002A11D2">
        <w:t xml:space="preserve">’identité du prêtre membre d’une congrégation religieuse (théoriquement différente du prêtre séculier) </w:t>
      </w:r>
      <w:r w:rsidR="0082607D">
        <w:t>était</w:t>
      </w:r>
      <w:r w:rsidRPr="002A11D2">
        <w:t xml:space="preserve"> souvent bouleversée</w:t>
      </w:r>
      <w:r>
        <w:rPr>
          <w:sz w:val="12"/>
        </w:rPr>
        <w:t>.</w:t>
      </w:r>
      <w:r w:rsidRPr="002A11D2">
        <w:t xml:space="preserve"> </w:t>
      </w:r>
      <w:r>
        <w:t>U</w:t>
      </w:r>
      <w:r w:rsidRPr="002A11D2">
        <w:t xml:space="preserve">ne grande difficulté de collaboration entre prêtres autochtones et </w:t>
      </w:r>
      <w:r w:rsidR="00E16EA6">
        <w:rPr>
          <w:i/>
        </w:rPr>
        <w:t xml:space="preserve">international </w:t>
      </w:r>
      <w:proofErr w:type="spellStart"/>
      <w:r w:rsidR="00E16EA6">
        <w:rPr>
          <w:i/>
        </w:rPr>
        <w:t>priests</w:t>
      </w:r>
      <w:proofErr w:type="spellEnd"/>
      <w:r w:rsidRPr="002A11D2">
        <w:t xml:space="preserve"> </w:t>
      </w:r>
      <w:r w:rsidR="0082607D">
        <w:t>était</w:t>
      </w:r>
      <w:r w:rsidRPr="002A11D2">
        <w:t xml:space="preserve"> courante, plus grande qu’avec les laïcs</w:t>
      </w:r>
      <w:r>
        <w:t>.</w:t>
      </w:r>
      <w:r w:rsidRPr="002A11D2">
        <w:t xml:space="preserve"> </w:t>
      </w:r>
      <w:r>
        <w:t>L</w:t>
      </w:r>
      <w:r w:rsidRPr="002A11D2">
        <w:t>e recrutement occidental local de fu</w:t>
      </w:r>
      <w:r w:rsidR="0082607D">
        <w:t>turs prêtres en serait affaibli.</w:t>
      </w:r>
      <w:r w:rsidR="00FD460B">
        <w:t xml:space="preserve"> Enfin, Dean </w:t>
      </w:r>
      <w:proofErr w:type="spellStart"/>
      <w:r w:rsidR="00FD460B">
        <w:t>Hoge</w:t>
      </w:r>
      <w:proofErr w:type="spellEnd"/>
      <w:r w:rsidR="00FD460B">
        <w:t xml:space="preserve"> </w:t>
      </w:r>
      <w:proofErr w:type="spellStart"/>
      <w:r w:rsidR="00FD460B">
        <w:t>relèvait</w:t>
      </w:r>
      <w:proofErr w:type="spellEnd"/>
      <w:r w:rsidRPr="002A11D2">
        <w:t xml:space="preserve"> un point inattendu</w:t>
      </w:r>
      <w:r w:rsidRPr="002A11D2">
        <w:rPr>
          <w:sz w:val="12"/>
        </w:rPr>
        <w:t> </w:t>
      </w:r>
      <w:r w:rsidRPr="002A11D2">
        <w:t>: la formation d’un futur prêtre coû</w:t>
      </w:r>
      <w:r w:rsidR="0082607D">
        <w:t>tait alors</w:t>
      </w:r>
      <w:r w:rsidRPr="002A11D2">
        <w:t xml:space="preserve"> cinq à vingt fois moins cher dans un pays du sud</w:t>
      </w:r>
      <w:r w:rsidR="0082607D">
        <w:t>.</w:t>
      </w:r>
      <w:r w:rsidRPr="002A11D2">
        <w:t xml:space="preserve"> Pour des diocèses en faillite ou avec de grandes difficultés financières, cette dimension très terre-à-terre jou</w:t>
      </w:r>
      <w:r w:rsidR="0082607D">
        <w:t>ait</w:t>
      </w:r>
      <w:r w:rsidRPr="002A11D2">
        <w:t xml:space="preserve"> aussi un rôle. Une</w:t>
      </w:r>
      <w:r w:rsidR="00E16EA6">
        <w:t xml:space="preserve"> telle étude sociologique invitait</w:t>
      </w:r>
      <w:r w:rsidRPr="002A11D2">
        <w:t xml:space="preserve"> à considérer t</w:t>
      </w:r>
      <w:r w:rsidR="00E16EA6">
        <w:t>outes les dimensions concernées</w:t>
      </w:r>
      <w:r w:rsidRPr="002A11D2">
        <w:t xml:space="preserve">. </w:t>
      </w:r>
    </w:p>
    <w:p w:rsidR="00E16EA6" w:rsidRDefault="00FD460B" w:rsidP="00FD460B">
      <w:pPr>
        <w:ind w:firstLine="284"/>
      </w:pPr>
      <w:r w:rsidRPr="002A11D2">
        <w:t xml:space="preserve">Aux États-Unis, le nombre </w:t>
      </w:r>
      <w:r w:rsidRPr="00FD460B">
        <w:t>d’</w:t>
      </w:r>
      <w:r>
        <w:rPr>
          <w:i/>
        </w:rPr>
        <w:t xml:space="preserve">international </w:t>
      </w:r>
      <w:proofErr w:type="spellStart"/>
      <w:r>
        <w:rPr>
          <w:i/>
        </w:rPr>
        <w:t>priests</w:t>
      </w:r>
      <w:proofErr w:type="spellEnd"/>
      <w:r>
        <w:rPr>
          <w:i/>
        </w:rPr>
        <w:t xml:space="preserve"> </w:t>
      </w:r>
      <w:r w:rsidR="00BA7CCE">
        <w:t>a augmenté</w:t>
      </w:r>
      <w:r w:rsidRPr="002A11D2">
        <w:t xml:space="preserve"> de 5500 en 2004 à 6617 en 2012. </w:t>
      </w:r>
      <w:r w:rsidR="0082607D">
        <w:t>L</w:t>
      </w:r>
      <w:r>
        <w:t xml:space="preserve">a présente </w:t>
      </w:r>
      <w:r w:rsidR="005231D4" w:rsidRPr="002A11D2">
        <w:t xml:space="preserve">étude </w:t>
      </w:r>
      <w:r>
        <w:t xml:space="preserve">s’inscrit dans la continuité, tant pour la méthode (quantitative) que pour les résultats. </w:t>
      </w:r>
      <w:r w:rsidR="00D65D9E">
        <w:t xml:space="preserve">– </w:t>
      </w:r>
      <w:r>
        <w:t xml:space="preserve">Le volume s’ouvre par </w:t>
      </w:r>
      <w:proofErr w:type="gramStart"/>
      <w:r>
        <w:t>une</w:t>
      </w:r>
      <w:proofErr w:type="gramEnd"/>
      <w:r>
        <w:t xml:space="preserve"> utile mise en contexte </w:t>
      </w:r>
      <w:r w:rsidR="00E16EA6">
        <w:t>historique (ch. 1)</w:t>
      </w:r>
      <w:r>
        <w:t>, puisque les États-Unis actuels ne se sont faits qu’à coup</w:t>
      </w:r>
      <w:r w:rsidR="00E16EA6">
        <w:t>s</w:t>
      </w:r>
      <w:r>
        <w:t xml:space="preserve"> de vagues de migrants. Cette spécificité marque une différence nette avec le continent européen </w:t>
      </w:r>
      <w:r w:rsidR="00E16EA6">
        <w:t xml:space="preserve">dans l’appréciation du phénomène des </w:t>
      </w:r>
      <w:r w:rsidR="00E16EA6">
        <w:rPr>
          <w:i/>
        </w:rPr>
        <w:t xml:space="preserve">international </w:t>
      </w:r>
      <w:proofErr w:type="spellStart"/>
      <w:r w:rsidR="00E16EA6">
        <w:rPr>
          <w:i/>
        </w:rPr>
        <w:t>priests</w:t>
      </w:r>
      <w:proofErr w:type="spellEnd"/>
      <w:r w:rsidR="00E16EA6">
        <w:rPr>
          <w:i/>
        </w:rPr>
        <w:t xml:space="preserve">. </w:t>
      </w:r>
      <w:r w:rsidR="00D65D9E">
        <w:rPr>
          <w:i/>
        </w:rPr>
        <w:t xml:space="preserve">– </w:t>
      </w:r>
      <w:r w:rsidR="00E16EA6">
        <w:t xml:space="preserve">Les chapitres 2 et 3 sont très descriptifs à l’aide de données quantitatives (évolution du nombre depuis 1999, des types de ministères, des provenances, de la répartition selon les diocèses, etc.). Les auteurs ajoutent une donnée très rarement évoquée ailleurs, celle des </w:t>
      </w:r>
      <w:r>
        <w:rPr>
          <w:i/>
        </w:rPr>
        <w:t xml:space="preserve">international </w:t>
      </w:r>
      <w:proofErr w:type="spellStart"/>
      <w:r>
        <w:rPr>
          <w:i/>
        </w:rPr>
        <w:t>seminarians</w:t>
      </w:r>
      <w:proofErr w:type="spellEnd"/>
      <w:r w:rsidRPr="009E73C7">
        <w:rPr>
          <w:i/>
          <w:sz w:val="12"/>
        </w:rPr>
        <w:t> </w:t>
      </w:r>
      <w:r>
        <w:t>: 879 en 2013 provenant de 81 pays, soit le quart des séminaristes des diocèses étatsuniens</w:t>
      </w:r>
      <w:r w:rsidR="00E16EA6">
        <w:t xml:space="preserve"> (p. 51-52)</w:t>
      </w:r>
      <w:r>
        <w:t xml:space="preserve">. </w:t>
      </w:r>
      <w:r w:rsidR="0082607D">
        <w:t xml:space="preserve">Le chapitre </w:t>
      </w:r>
      <w:r w:rsidR="00BD50A5">
        <w:t>3</w:t>
      </w:r>
      <w:r w:rsidR="0082607D">
        <w:t xml:space="preserve"> est novateur, abordant la question de la formation ou préparation à exercer un tel ministère ailleurs que dans son pays d’origine</w:t>
      </w:r>
      <w:r w:rsidR="006A7101">
        <w:t xml:space="preserve"> (</w:t>
      </w:r>
      <w:r w:rsidR="006A7101" w:rsidRPr="006A7101">
        <w:rPr>
          <w:i/>
        </w:rPr>
        <w:t>acculturation programs</w:t>
      </w:r>
      <w:r w:rsidR="006A7101">
        <w:t>)</w:t>
      </w:r>
      <w:r w:rsidR="0082607D">
        <w:t>.</w:t>
      </w:r>
      <w:r w:rsidR="006A7101">
        <w:t xml:space="preserve"> </w:t>
      </w:r>
      <w:r w:rsidR="00D65D9E">
        <w:t xml:space="preserve">– </w:t>
      </w:r>
      <w:r w:rsidR="006A7101">
        <w:t xml:space="preserve">Le chapitre </w:t>
      </w:r>
      <w:r w:rsidR="00BD50A5">
        <w:t>4</w:t>
      </w:r>
      <w:r w:rsidR="006A7101">
        <w:t xml:space="preserve"> esquisse une tension entre deux perspectives : depuis la nef (</w:t>
      </w:r>
      <w:proofErr w:type="spellStart"/>
      <w:r w:rsidR="006A7101">
        <w:rPr>
          <w:i/>
        </w:rPr>
        <w:t>view</w:t>
      </w:r>
      <w:proofErr w:type="spellEnd"/>
      <w:r w:rsidR="006A7101">
        <w:rPr>
          <w:i/>
        </w:rPr>
        <w:t xml:space="preserve"> </w:t>
      </w:r>
      <w:proofErr w:type="spellStart"/>
      <w:r w:rsidR="006A7101">
        <w:rPr>
          <w:i/>
        </w:rPr>
        <w:t>from</w:t>
      </w:r>
      <w:proofErr w:type="spellEnd"/>
      <w:r w:rsidR="006A7101">
        <w:rPr>
          <w:i/>
        </w:rPr>
        <w:t xml:space="preserve"> the </w:t>
      </w:r>
      <w:proofErr w:type="spellStart"/>
      <w:r w:rsidR="006A7101">
        <w:rPr>
          <w:i/>
        </w:rPr>
        <w:t>pews</w:t>
      </w:r>
      <w:proofErr w:type="spellEnd"/>
      <w:r w:rsidR="006A7101">
        <w:t>) ou depuis l’autel.</w:t>
      </w:r>
      <w:r w:rsidR="005A77E9">
        <w:t xml:space="preserve"> </w:t>
      </w:r>
      <w:r w:rsidR="00665E97">
        <w:t>Pour le premier, o</w:t>
      </w:r>
      <w:r w:rsidR="005A77E9">
        <w:t xml:space="preserve">n </w:t>
      </w:r>
      <w:r w:rsidR="00665E97">
        <w:t>relèvera</w:t>
      </w:r>
      <w:r w:rsidR="005A77E9">
        <w:t xml:space="preserve"> le fort taux d’acceptabilité </w:t>
      </w:r>
      <w:r w:rsidR="00665E97">
        <w:t xml:space="preserve">(87 %) </w:t>
      </w:r>
      <w:r w:rsidR="00BA7CCE">
        <w:t>du</w:t>
      </w:r>
      <w:r w:rsidR="00BA7CCE">
        <w:t xml:space="preserve"> recours à un </w:t>
      </w:r>
      <w:r w:rsidR="00BA7CCE">
        <w:rPr>
          <w:i/>
        </w:rPr>
        <w:t xml:space="preserve">international </w:t>
      </w:r>
      <w:proofErr w:type="spellStart"/>
      <w:r w:rsidR="00BA7CCE">
        <w:rPr>
          <w:i/>
        </w:rPr>
        <w:t>priest</w:t>
      </w:r>
      <w:proofErr w:type="spellEnd"/>
      <w:r w:rsidR="00BA7CCE">
        <w:t xml:space="preserve"> </w:t>
      </w:r>
      <w:r w:rsidR="005A77E9">
        <w:t>comme solution alternative à la situation de diminution du nombre de prêtre</w:t>
      </w:r>
      <w:r w:rsidR="00665E97">
        <w:t>s,</w:t>
      </w:r>
      <w:r w:rsidR="00BA7CCE">
        <w:t xml:space="preserve"> </w:t>
      </w:r>
      <w:r w:rsidR="005A77E9">
        <w:t xml:space="preserve">alternative </w:t>
      </w:r>
      <w:r w:rsidR="00BA7CCE">
        <w:t xml:space="preserve">venant </w:t>
      </w:r>
      <w:r w:rsidR="005A77E9">
        <w:t xml:space="preserve">après </w:t>
      </w:r>
      <w:r w:rsidR="00665E97">
        <w:t>le fait de confier plusieurs paroisses à un même prêtre (93 %) et la fusion de paroisses (88 %) (p. 76).</w:t>
      </w:r>
      <w:r w:rsidR="00BD50A5">
        <w:t xml:space="preserve"> </w:t>
      </w:r>
      <w:r w:rsidR="00D65D9E">
        <w:t xml:space="preserve">– </w:t>
      </w:r>
      <w:r w:rsidR="00BD50A5">
        <w:t xml:space="preserve">Le chapitre 5 présente les satisfactions et défis du ministère selon les </w:t>
      </w:r>
      <w:r w:rsidR="00BD50A5">
        <w:rPr>
          <w:i/>
        </w:rPr>
        <w:t xml:space="preserve">international </w:t>
      </w:r>
      <w:proofErr w:type="spellStart"/>
      <w:r w:rsidR="00BD50A5">
        <w:rPr>
          <w:i/>
        </w:rPr>
        <w:t>priests</w:t>
      </w:r>
      <w:proofErr w:type="spellEnd"/>
      <w:r w:rsidR="00BD50A5">
        <w:rPr>
          <w:i/>
        </w:rPr>
        <w:t>.</w:t>
      </w:r>
      <w:r w:rsidR="00BD50A5">
        <w:t xml:space="preserve"> Là aussi le tableau des satisfaction</w:t>
      </w:r>
      <w:r w:rsidR="003C3C8B">
        <w:t>s</w:t>
      </w:r>
      <w:r w:rsidR="00BD50A5">
        <w:t xml:space="preserve"> est instructif</w:t>
      </w:r>
      <w:r w:rsidR="00EE520E">
        <w:t xml:space="preserve"> (p. 96 et 100)</w:t>
      </w:r>
      <w:r w:rsidR="00BD50A5">
        <w:t>. Leur vie comme prêtre (état) l’emporte de loin (88 %</w:t>
      </w:r>
      <w:r w:rsidR="003C3C8B">
        <w:t xml:space="preserve"> des </w:t>
      </w:r>
      <w:proofErr w:type="spellStart"/>
      <w:r w:rsidR="003C3C8B">
        <w:rPr>
          <w:i/>
        </w:rPr>
        <w:t>very</w:t>
      </w:r>
      <w:proofErr w:type="spellEnd"/>
      <w:r w:rsidR="003C3C8B">
        <w:rPr>
          <w:i/>
        </w:rPr>
        <w:t xml:space="preserve"> happy</w:t>
      </w:r>
      <w:r w:rsidR="00BD50A5">
        <w:t xml:space="preserve">) devant le ministère sacramentel (81 %), la relation à l’évêque et au supérieur religieux (71 %), la vie quotidienne </w:t>
      </w:r>
      <w:r w:rsidR="00BD50A5">
        <w:lastRenderedPageBreak/>
        <w:t>(68 %) et la vie spirituelle (68 %).</w:t>
      </w:r>
      <w:r w:rsidR="003C3C8B">
        <w:t xml:space="preserve"> Les conditions du ministère et les relations aux prêtres autochtones passent juste la barre de 50 % de </w:t>
      </w:r>
      <w:proofErr w:type="spellStart"/>
      <w:r w:rsidR="003C3C8B">
        <w:rPr>
          <w:i/>
        </w:rPr>
        <w:t>very</w:t>
      </w:r>
      <w:proofErr w:type="spellEnd"/>
      <w:r w:rsidR="003C3C8B">
        <w:rPr>
          <w:i/>
        </w:rPr>
        <w:t xml:space="preserve"> happy</w:t>
      </w:r>
      <w:r w:rsidR="003C3C8B">
        <w:t>, et suivent ensuite les finances, la gouvernance diocésaine et le plan de pension.</w:t>
      </w:r>
      <w:r w:rsidR="00EE520E">
        <w:t xml:space="preserve"> Le tableau des défis perçus par ces prêtres mérite aussi attention (p. 106), les quatre premiers étant le manque de prêtres (36 %), l’éloignement de la famille (36 %), la difficulté d’atteindre les gens (29 %) et l’adaptation aux différences culturelles (29 %).</w:t>
      </w:r>
      <w:r w:rsidR="00D65D9E">
        <w:t xml:space="preserve"> – Le chapitre 6 propose des enseignements à retirer de l’étude. Le texte se résume à une préparation tant pour les prêtres que les paroissiens, la mise en place d’</w:t>
      </w:r>
      <w:r w:rsidR="00D65D9E">
        <w:rPr>
          <w:i/>
        </w:rPr>
        <w:t>acculturation training</w:t>
      </w:r>
      <w:r w:rsidR="00D65D9E">
        <w:t xml:space="preserve">, l’importance du </w:t>
      </w:r>
      <w:proofErr w:type="spellStart"/>
      <w:r w:rsidR="00D65D9E">
        <w:rPr>
          <w:i/>
        </w:rPr>
        <w:t>mentoring</w:t>
      </w:r>
      <w:proofErr w:type="spellEnd"/>
      <w:r w:rsidR="00D65D9E">
        <w:rPr>
          <w:i/>
        </w:rPr>
        <w:t xml:space="preserve"> </w:t>
      </w:r>
      <w:r w:rsidR="00D65D9E">
        <w:t>et de la formation continue</w:t>
      </w:r>
      <w:r w:rsidR="00B42584">
        <w:t>, un meilleur soutien par les évêques et le presbyterium.</w:t>
      </w:r>
    </w:p>
    <w:p w:rsidR="00BA7CCE" w:rsidRDefault="00BA7CCE" w:rsidP="00FD460B">
      <w:pPr>
        <w:ind w:firstLine="284"/>
      </w:pPr>
      <w:r>
        <w:t>Un tel ouvrage est au</w:t>
      </w:r>
      <w:r w:rsidR="00943173">
        <w:t>tant utile</w:t>
      </w:r>
      <w:r>
        <w:t xml:space="preserve"> qu’il laisse sur sa faim. </w:t>
      </w:r>
      <w:r w:rsidRPr="002A11D2">
        <w:t xml:space="preserve">Les dimensions concernées sont multiples et font </w:t>
      </w:r>
      <w:r w:rsidR="00943173">
        <w:t xml:space="preserve">de ce phénomène </w:t>
      </w:r>
      <w:r w:rsidRPr="002A11D2">
        <w:t>une réalité très complexe. P</w:t>
      </w:r>
      <w:r>
        <w:t xml:space="preserve">ourraient </w:t>
      </w:r>
      <w:r w:rsidRPr="002A11D2">
        <w:t xml:space="preserve">être ici convoquées l’ecclésiologie, la pastorale et la liturgie mais aussi l’anthropologie, la psychologie et même l’économie et le droit. </w:t>
      </w:r>
      <w:r>
        <w:t>Il faudrait donc pousser l’analyse, mais aussi l’investigation, beaucoup plus loin. Des recherches qualitatives, notamment en théologie pratique, permettraient d’entrer dans un questionnement de fond sur cette grande mutation de l’Église catholique, touchant tous les pays du monde.</w:t>
      </w:r>
      <w:r w:rsidRPr="00BA7CCE">
        <w:t xml:space="preserve"> </w:t>
      </w:r>
      <w:r w:rsidR="00943173">
        <w:t xml:space="preserve">Il y a là peut-être un de ces « signe des temps » que le concile Vatican II invitait à scruter avec discernement. </w:t>
      </w:r>
      <w:r>
        <w:t>M</w:t>
      </w:r>
      <w:r w:rsidRPr="002A11D2">
        <w:t xml:space="preserve">ême si </w:t>
      </w:r>
      <w:r>
        <w:t>ces mouvem</w:t>
      </w:r>
      <w:bookmarkStart w:id="1" w:name="_GoBack"/>
      <w:bookmarkEnd w:id="1"/>
      <w:r>
        <w:t>ents de</w:t>
      </w:r>
      <w:r w:rsidRPr="002A11D2">
        <w:t xml:space="preserve"> prêtres s’interrompaient</w:t>
      </w:r>
      <w:r>
        <w:t>, l</w:t>
      </w:r>
      <w:r w:rsidRPr="002A11D2">
        <w:t>a situation est à considérer comme irréversible, en tout cas pour les deux décennies à venir</w:t>
      </w:r>
      <w:r>
        <w:t>, dans les pays occidentaux. Cela mérite d’autant plus l’attention des théologiens et des responsables ecclésiaux.</w:t>
      </w:r>
    </w:p>
    <w:p w:rsidR="00BA7CCE" w:rsidRDefault="00B860C1" w:rsidP="00B860C1">
      <w:pPr>
        <w:ind w:firstLine="284"/>
        <w:jc w:val="right"/>
      </w:pPr>
      <w:r>
        <w:t xml:space="preserve">Arnaud </w:t>
      </w:r>
      <w:proofErr w:type="spellStart"/>
      <w:r>
        <w:t>Join</w:t>
      </w:r>
      <w:proofErr w:type="spellEnd"/>
      <w:r>
        <w:t>-Lambert</w:t>
      </w:r>
    </w:p>
    <w:sectPr w:rsidR="00BA7CCE" w:rsidSect="00BA7CCE">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1D4" w:rsidRDefault="005231D4" w:rsidP="005231D4">
      <w:pPr>
        <w:spacing w:before="0"/>
      </w:pPr>
      <w:r>
        <w:separator/>
      </w:r>
    </w:p>
  </w:endnote>
  <w:endnote w:type="continuationSeparator" w:id="0">
    <w:p w:rsidR="005231D4" w:rsidRDefault="005231D4" w:rsidP="005231D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1D4" w:rsidRDefault="005231D4" w:rsidP="005231D4">
      <w:pPr>
        <w:spacing w:before="0"/>
      </w:pPr>
      <w:r>
        <w:separator/>
      </w:r>
    </w:p>
  </w:footnote>
  <w:footnote w:type="continuationSeparator" w:id="0">
    <w:p w:rsidR="005231D4" w:rsidRDefault="005231D4" w:rsidP="005231D4">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D4"/>
    <w:rsid w:val="00025529"/>
    <w:rsid w:val="003C3C8B"/>
    <w:rsid w:val="005231D4"/>
    <w:rsid w:val="005452FC"/>
    <w:rsid w:val="005755F0"/>
    <w:rsid w:val="005A77E9"/>
    <w:rsid w:val="0065045F"/>
    <w:rsid w:val="00665E97"/>
    <w:rsid w:val="0067055A"/>
    <w:rsid w:val="006A7101"/>
    <w:rsid w:val="007532B4"/>
    <w:rsid w:val="0082607D"/>
    <w:rsid w:val="008E21F0"/>
    <w:rsid w:val="008F258A"/>
    <w:rsid w:val="00943173"/>
    <w:rsid w:val="009515A7"/>
    <w:rsid w:val="00B42584"/>
    <w:rsid w:val="00B860C1"/>
    <w:rsid w:val="00BA7CCE"/>
    <w:rsid w:val="00BD50A5"/>
    <w:rsid w:val="00D47341"/>
    <w:rsid w:val="00D65D9E"/>
    <w:rsid w:val="00E16EA6"/>
    <w:rsid w:val="00EE520E"/>
    <w:rsid w:val="00F73C86"/>
    <w:rsid w:val="00FD460B"/>
    <w:rsid w:val="00FF53A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1D4"/>
    <w:pPr>
      <w:spacing w:before="240" w:after="0" w:line="240" w:lineRule="auto"/>
      <w:jc w:val="both"/>
    </w:pPr>
    <w:rPr>
      <w:rFonts w:ascii="Times New Roman" w:eastAsia="Times New Roman" w:hAnsi="Times New Roman" w:cs="Times New Roman"/>
      <w:sz w:val="24"/>
      <w:szCs w:val="20"/>
      <w:lang w:val="fr-LU" w:eastAsia="fr-CA"/>
    </w:rPr>
  </w:style>
  <w:style w:type="paragraph" w:styleId="Titre1">
    <w:name w:val="heading 1"/>
    <w:basedOn w:val="Normal"/>
    <w:next w:val="Normal"/>
    <w:link w:val="Titre1Car"/>
    <w:uiPriority w:val="9"/>
    <w:qFormat/>
    <w:rsid w:val="008E21F0"/>
    <w:pPr>
      <w:keepNext/>
      <w:keepLines/>
      <w:spacing w:before="480"/>
      <w:jc w:val="left"/>
      <w:outlineLvl w:val="0"/>
    </w:pPr>
    <w:rPr>
      <w:rFonts w:eastAsiaTheme="majorEastAsia" w:cstheme="majorBidi"/>
      <w:b/>
      <w:bCs/>
      <w:sz w:val="28"/>
      <w:szCs w:val="28"/>
    </w:rPr>
  </w:style>
  <w:style w:type="paragraph" w:styleId="Titre2">
    <w:name w:val="heading 2"/>
    <w:basedOn w:val="Normal"/>
    <w:next w:val="Normal"/>
    <w:link w:val="Titre2Car"/>
    <w:qFormat/>
    <w:rsid w:val="008E21F0"/>
    <w:pPr>
      <w:keepNext/>
      <w:spacing w:after="60"/>
      <w:outlineLvl w:val="1"/>
    </w:pPr>
    <w:rPr>
      <w:rFonts w:ascii="Arial" w:hAnsi="Arial" w:cs="Arial"/>
      <w:b/>
      <w:bCs/>
      <w:i/>
      <w:iCs/>
      <w:sz w:val="26"/>
      <w:szCs w:val="28"/>
      <w:lang w:val="fr-FR" w:eastAsia="fr-FR"/>
    </w:rPr>
  </w:style>
  <w:style w:type="paragraph" w:styleId="Titre3">
    <w:name w:val="heading 3"/>
    <w:basedOn w:val="Normal"/>
    <w:next w:val="Normal"/>
    <w:link w:val="Titre3Car"/>
    <w:qFormat/>
    <w:rsid w:val="008E21F0"/>
    <w:pPr>
      <w:keepNext/>
      <w:spacing w:after="60" w:line="360" w:lineRule="auto"/>
      <w:outlineLvl w:val="2"/>
    </w:pPr>
    <w:rPr>
      <w:b/>
      <w:szCs w:val="24"/>
      <w:lang w:val="de-DE" w:eastAsia="fr-FR"/>
    </w:rPr>
  </w:style>
  <w:style w:type="paragraph" w:styleId="Titre4">
    <w:name w:val="heading 4"/>
    <w:basedOn w:val="Normal"/>
    <w:next w:val="Normal"/>
    <w:link w:val="Titre4Car"/>
    <w:qFormat/>
    <w:rsid w:val="008E21F0"/>
    <w:pPr>
      <w:keepNext/>
      <w:spacing w:after="60" w:line="360" w:lineRule="auto"/>
      <w:outlineLvl w:val="3"/>
    </w:pPr>
    <w:rPr>
      <w:i/>
      <w:lang w:val="fr-FR" w:eastAsia="fr-CH"/>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21F0"/>
    <w:rPr>
      <w:rFonts w:ascii="Times New Roman" w:eastAsiaTheme="majorEastAsia" w:hAnsi="Times New Roman" w:cstheme="majorBidi"/>
      <w:b/>
      <w:bCs/>
      <w:sz w:val="28"/>
      <w:szCs w:val="28"/>
    </w:rPr>
  </w:style>
  <w:style w:type="character" w:customStyle="1" w:styleId="Titre2Car">
    <w:name w:val="Titre 2 Car"/>
    <w:basedOn w:val="Policepardfaut"/>
    <w:link w:val="Titre2"/>
    <w:rsid w:val="008E21F0"/>
    <w:rPr>
      <w:rFonts w:ascii="Arial" w:eastAsia="Times New Roman" w:hAnsi="Arial" w:cs="Arial"/>
      <w:b/>
      <w:bCs/>
      <w:i/>
      <w:iCs/>
      <w:sz w:val="26"/>
      <w:szCs w:val="28"/>
      <w:lang w:val="fr-FR" w:eastAsia="fr-FR"/>
    </w:rPr>
  </w:style>
  <w:style w:type="character" w:customStyle="1" w:styleId="Titre3Car">
    <w:name w:val="Titre 3 Car"/>
    <w:basedOn w:val="Policepardfaut"/>
    <w:link w:val="Titre3"/>
    <w:rsid w:val="008E21F0"/>
    <w:rPr>
      <w:rFonts w:ascii="Times New Roman" w:eastAsia="Times New Roman" w:hAnsi="Times New Roman" w:cs="Times New Roman"/>
      <w:b/>
      <w:sz w:val="24"/>
      <w:szCs w:val="24"/>
      <w:lang w:val="de-DE" w:eastAsia="fr-FR"/>
    </w:rPr>
  </w:style>
  <w:style w:type="character" w:customStyle="1" w:styleId="Titre4Car">
    <w:name w:val="Titre 4 Car"/>
    <w:basedOn w:val="Policepardfaut"/>
    <w:link w:val="Titre4"/>
    <w:rsid w:val="008E21F0"/>
    <w:rPr>
      <w:rFonts w:ascii="Times New Roman" w:eastAsia="Times New Roman" w:hAnsi="Times New Roman" w:cs="Times New Roman"/>
      <w:i/>
      <w:sz w:val="24"/>
      <w:szCs w:val="20"/>
      <w:lang w:val="fr-FR" w:eastAsia="fr-CH"/>
    </w:rPr>
  </w:style>
  <w:style w:type="paragraph" w:styleId="Paragraphedeliste">
    <w:name w:val="List Paragraph"/>
    <w:basedOn w:val="Normal"/>
    <w:uiPriority w:val="34"/>
    <w:qFormat/>
    <w:rsid w:val="008E21F0"/>
    <w:pPr>
      <w:ind w:left="720"/>
      <w:contextualSpacing/>
    </w:pPr>
  </w:style>
  <w:style w:type="paragraph" w:styleId="Citation">
    <w:name w:val="Quote"/>
    <w:basedOn w:val="Normal"/>
    <w:next w:val="Normal"/>
    <w:link w:val="CitationCar"/>
    <w:uiPriority w:val="29"/>
    <w:qFormat/>
    <w:rsid w:val="008E21F0"/>
    <w:pPr>
      <w:ind w:left="567" w:right="567"/>
    </w:pPr>
    <w:rPr>
      <w:iCs/>
      <w:color w:val="000000" w:themeColor="text1"/>
      <w:sz w:val="22"/>
    </w:rPr>
  </w:style>
  <w:style w:type="character" w:customStyle="1" w:styleId="CitationCar">
    <w:name w:val="Citation Car"/>
    <w:basedOn w:val="Policepardfaut"/>
    <w:link w:val="Citation"/>
    <w:uiPriority w:val="29"/>
    <w:rsid w:val="008E21F0"/>
    <w:rPr>
      <w:rFonts w:ascii="Times New Roman" w:hAnsi="Times New Roman"/>
      <w:iCs/>
      <w:color w:val="000000" w:themeColor="text1"/>
    </w:rPr>
  </w:style>
  <w:style w:type="paragraph" w:styleId="Notedebasdepage">
    <w:name w:val="footnote text"/>
    <w:basedOn w:val="Normal"/>
    <w:link w:val="NotedebasdepageCar"/>
    <w:qFormat/>
    <w:rsid w:val="005231D4"/>
    <w:pPr>
      <w:tabs>
        <w:tab w:val="left" w:pos="227"/>
      </w:tabs>
      <w:spacing w:before="60"/>
      <w:ind w:left="227" w:hanging="227"/>
    </w:pPr>
    <w:rPr>
      <w:rFonts w:cstheme="minorBidi"/>
      <w:sz w:val="20"/>
      <w:szCs w:val="22"/>
      <w:lang w:eastAsia="en-US"/>
    </w:rPr>
  </w:style>
  <w:style w:type="character" w:customStyle="1" w:styleId="NotedebasdepageCar">
    <w:name w:val="Note de bas de page Car"/>
    <w:basedOn w:val="Policepardfaut"/>
    <w:link w:val="Notedebasdepage"/>
    <w:rsid w:val="005231D4"/>
    <w:rPr>
      <w:rFonts w:ascii="Times New Roman" w:eastAsia="Times New Roman" w:hAnsi="Times New Roman"/>
      <w:sz w:val="20"/>
      <w:lang w:val="fr-LU"/>
    </w:rPr>
  </w:style>
  <w:style w:type="character" w:styleId="Appelnotedebasdep">
    <w:name w:val="footnote reference"/>
    <w:basedOn w:val="Policepardfaut"/>
    <w:unhideWhenUsed/>
    <w:rsid w:val="005231D4"/>
    <w:rPr>
      <w:vertAlign w:val="superscript"/>
    </w:rPr>
  </w:style>
  <w:style w:type="character" w:styleId="Lienhypertexte">
    <w:name w:val="Hyperlink"/>
    <w:uiPriority w:val="99"/>
    <w:rsid w:val="005231D4"/>
    <w:rPr>
      <w:color w:val="0000FF"/>
      <w:u w:val="single"/>
    </w:rPr>
  </w:style>
  <w:style w:type="paragraph" w:styleId="Commentaire">
    <w:name w:val="annotation text"/>
    <w:basedOn w:val="Normal"/>
    <w:link w:val="CommentaireCar"/>
    <w:uiPriority w:val="99"/>
    <w:unhideWhenUsed/>
    <w:rsid w:val="005231D4"/>
    <w:rPr>
      <w:sz w:val="20"/>
    </w:rPr>
  </w:style>
  <w:style w:type="character" w:customStyle="1" w:styleId="CommentaireCar">
    <w:name w:val="Commentaire Car"/>
    <w:basedOn w:val="Policepardfaut"/>
    <w:link w:val="Commentaire"/>
    <w:uiPriority w:val="99"/>
    <w:rsid w:val="005231D4"/>
    <w:rPr>
      <w:rFonts w:ascii="Times New Roman" w:eastAsia="Times New Roman" w:hAnsi="Times New Roman" w:cs="Times New Roman"/>
      <w:sz w:val="20"/>
      <w:szCs w:val="20"/>
      <w:lang w:val="fr-LU" w:eastAsia="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1D4"/>
    <w:pPr>
      <w:spacing w:before="240" w:after="0" w:line="240" w:lineRule="auto"/>
      <w:jc w:val="both"/>
    </w:pPr>
    <w:rPr>
      <w:rFonts w:ascii="Times New Roman" w:eastAsia="Times New Roman" w:hAnsi="Times New Roman" w:cs="Times New Roman"/>
      <w:sz w:val="24"/>
      <w:szCs w:val="20"/>
      <w:lang w:val="fr-LU" w:eastAsia="fr-CA"/>
    </w:rPr>
  </w:style>
  <w:style w:type="paragraph" w:styleId="Titre1">
    <w:name w:val="heading 1"/>
    <w:basedOn w:val="Normal"/>
    <w:next w:val="Normal"/>
    <w:link w:val="Titre1Car"/>
    <w:uiPriority w:val="9"/>
    <w:qFormat/>
    <w:rsid w:val="008E21F0"/>
    <w:pPr>
      <w:keepNext/>
      <w:keepLines/>
      <w:spacing w:before="480"/>
      <w:jc w:val="left"/>
      <w:outlineLvl w:val="0"/>
    </w:pPr>
    <w:rPr>
      <w:rFonts w:eastAsiaTheme="majorEastAsia" w:cstheme="majorBidi"/>
      <w:b/>
      <w:bCs/>
      <w:sz w:val="28"/>
      <w:szCs w:val="28"/>
    </w:rPr>
  </w:style>
  <w:style w:type="paragraph" w:styleId="Titre2">
    <w:name w:val="heading 2"/>
    <w:basedOn w:val="Normal"/>
    <w:next w:val="Normal"/>
    <w:link w:val="Titre2Car"/>
    <w:qFormat/>
    <w:rsid w:val="008E21F0"/>
    <w:pPr>
      <w:keepNext/>
      <w:spacing w:after="60"/>
      <w:outlineLvl w:val="1"/>
    </w:pPr>
    <w:rPr>
      <w:rFonts w:ascii="Arial" w:hAnsi="Arial" w:cs="Arial"/>
      <w:b/>
      <w:bCs/>
      <w:i/>
      <w:iCs/>
      <w:sz w:val="26"/>
      <w:szCs w:val="28"/>
      <w:lang w:val="fr-FR" w:eastAsia="fr-FR"/>
    </w:rPr>
  </w:style>
  <w:style w:type="paragraph" w:styleId="Titre3">
    <w:name w:val="heading 3"/>
    <w:basedOn w:val="Normal"/>
    <w:next w:val="Normal"/>
    <w:link w:val="Titre3Car"/>
    <w:qFormat/>
    <w:rsid w:val="008E21F0"/>
    <w:pPr>
      <w:keepNext/>
      <w:spacing w:after="60" w:line="360" w:lineRule="auto"/>
      <w:outlineLvl w:val="2"/>
    </w:pPr>
    <w:rPr>
      <w:b/>
      <w:szCs w:val="24"/>
      <w:lang w:val="de-DE" w:eastAsia="fr-FR"/>
    </w:rPr>
  </w:style>
  <w:style w:type="paragraph" w:styleId="Titre4">
    <w:name w:val="heading 4"/>
    <w:basedOn w:val="Normal"/>
    <w:next w:val="Normal"/>
    <w:link w:val="Titre4Car"/>
    <w:qFormat/>
    <w:rsid w:val="008E21F0"/>
    <w:pPr>
      <w:keepNext/>
      <w:spacing w:after="60" w:line="360" w:lineRule="auto"/>
      <w:outlineLvl w:val="3"/>
    </w:pPr>
    <w:rPr>
      <w:i/>
      <w:lang w:val="fr-FR" w:eastAsia="fr-CH"/>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21F0"/>
    <w:rPr>
      <w:rFonts w:ascii="Times New Roman" w:eastAsiaTheme="majorEastAsia" w:hAnsi="Times New Roman" w:cstheme="majorBidi"/>
      <w:b/>
      <w:bCs/>
      <w:sz w:val="28"/>
      <w:szCs w:val="28"/>
    </w:rPr>
  </w:style>
  <w:style w:type="character" w:customStyle="1" w:styleId="Titre2Car">
    <w:name w:val="Titre 2 Car"/>
    <w:basedOn w:val="Policepardfaut"/>
    <w:link w:val="Titre2"/>
    <w:rsid w:val="008E21F0"/>
    <w:rPr>
      <w:rFonts w:ascii="Arial" w:eastAsia="Times New Roman" w:hAnsi="Arial" w:cs="Arial"/>
      <w:b/>
      <w:bCs/>
      <w:i/>
      <w:iCs/>
      <w:sz w:val="26"/>
      <w:szCs w:val="28"/>
      <w:lang w:val="fr-FR" w:eastAsia="fr-FR"/>
    </w:rPr>
  </w:style>
  <w:style w:type="character" w:customStyle="1" w:styleId="Titre3Car">
    <w:name w:val="Titre 3 Car"/>
    <w:basedOn w:val="Policepardfaut"/>
    <w:link w:val="Titre3"/>
    <w:rsid w:val="008E21F0"/>
    <w:rPr>
      <w:rFonts w:ascii="Times New Roman" w:eastAsia="Times New Roman" w:hAnsi="Times New Roman" w:cs="Times New Roman"/>
      <w:b/>
      <w:sz w:val="24"/>
      <w:szCs w:val="24"/>
      <w:lang w:val="de-DE" w:eastAsia="fr-FR"/>
    </w:rPr>
  </w:style>
  <w:style w:type="character" w:customStyle="1" w:styleId="Titre4Car">
    <w:name w:val="Titre 4 Car"/>
    <w:basedOn w:val="Policepardfaut"/>
    <w:link w:val="Titre4"/>
    <w:rsid w:val="008E21F0"/>
    <w:rPr>
      <w:rFonts w:ascii="Times New Roman" w:eastAsia="Times New Roman" w:hAnsi="Times New Roman" w:cs="Times New Roman"/>
      <w:i/>
      <w:sz w:val="24"/>
      <w:szCs w:val="20"/>
      <w:lang w:val="fr-FR" w:eastAsia="fr-CH"/>
    </w:rPr>
  </w:style>
  <w:style w:type="paragraph" w:styleId="Paragraphedeliste">
    <w:name w:val="List Paragraph"/>
    <w:basedOn w:val="Normal"/>
    <w:uiPriority w:val="34"/>
    <w:qFormat/>
    <w:rsid w:val="008E21F0"/>
    <w:pPr>
      <w:ind w:left="720"/>
      <w:contextualSpacing/>
    </w:pPr>
  </w:style>
  <w:style w:type="paragraph" w:styleId="Citation">
    <w:name w:val="Quote"/>
    <w:basedOn w:val="Normal"/>
    <w:next w:val="Normal"/>
    <w:link w:val="CitationCar"/>
    <w:uiPriority w:val="29"/>
    <w:qFormat/>
    <w:rsid w:val="008E21F0"/>
    <w:pPr>
      <w:ind w:left="567" w:right="567"/>
    </w:pPr>
    <w:rPr>
      <w:iCs/>
      <w:color w:val="000000" w:themeColor="text1"/>
      <w:sz w:val="22"/>
    </w:rPr>
  </w:style>
  <w:style w:type="character" w:customStyle="1" w:styleId="CitationCar">
    <w:name w:val="Citation Car"/>
    <w:basedOn w:val="Policepardfaut"/>
    <w:link w:val="Citation"/>
    <w:uiPriority w:val="29"/>
    <w:rsid w:val="008E21F0"/>
    <w:rPr>
      <w:rFonts w:ascii="Times New Roman" w:hAnsi="Times New Roman"/>
      <w:iCs/>
      <w:color w:val="000000" w:themeColor="text1"/>
    </w:rPr>
  </w:style>
  <w:style w:type="paragraph" w:styleId="Notedebasdepage">
    <w:name w:val="footnote text"/>
    <w:basedOn w:val="Normal"/>
    <w:link w:val="NotedebasdepageCar"/>
    <w:qFormat/>
    <w:rsid w:val="005231D4"/>
    <w:pPr>
      <w:tabs>
        <w:tab w:val="left" w:pos="227"/>
      </w:tabs>
      <w:spacing w:before="60"/>
      <w:ind w:left="227" w:hanging="227"/>
    </w:pPr>
    <w:rPr>
      <w:rFonts w:cstheme="minorBidi"/>
      <w:sz w:val="20"/>
      <w:szCs w:val="22"/>
      <w:lang w:eastAsia="en-US"/>
    </w:rPr>
  </w:style>
  <w:style w:type="character" w:customStyle="1" w:styleId="NotedebasdepageCar">
    <w:name w:val="Note de bas de page Car"/>
    <w:basedOn w:val="Policepardfaut"/>
    <w:link w:val="Notedebasdepage"/>
    <w:rsid w:val="005231D4"/>
    <w:rPr>
      <w:rFonts w:ascii="Times New Roman" w:eastAsia="Times New Roman" w:hAnsi="Times New Roman"/>
      <w:sz w:val="20"/>
      <w:lang w:val="fr-LU"/>
    </w:rPr>
  </w:style>
  <w:style w:type="character" w:styleId="Appelnotedebasdep">
    <w:name w:val="footnote reference"/>
    <w:basedOn w:val="Policepardfaut"/>
    <w:unhideWhenUsed/>
    <w:rsid w:val="005231D4"/>
    <w:rPr>
      <w:vertAlign w:val="superscript"/>
    </w:rPr>
  </w:style>
  <w:style w:type="character" w:styleId="Lienhypertexte">
    <w:name w:val="Hyperlink"/>
    <w:uiPriority w:val="99"/>
    <w:rsid w:val="005231D4"/>
    <w:rPr>
      <w:color w:val="0000FF"/>
      <w:u w:val="single"/>
    </w:rPr>
  </w:style>
  <w:style w:type="paragraph" w:styleId="Commentaire">
    <w:name w:val="annotation text"/>
    <w:basedOn w:val="Normal"/>
    <w:link w:val="CommentaireCar"/>
    <w:uiPriority w:val="99"/>
    <w:unhideWhenUsed/>
    <w:rsid w:val="005231D4"/>
    <w:rPr>
      <w:sz w:val="20"/>
    </w:rPr>
  </w:style>
  <w:style w:type="character" w:customStyle="1" w:styleId="CommentaireCar">
    <w:name w:val="Commentaire Car"/>
    <w:basedOn w:val="Policepardfaut"/>
    <w:link w:val="Commentaire"/>
    <w:uiPriority w:val="99"/>
    <w:rsid w:val="005231D4"/>
    <w:rPr>
      <w:rFonts w:ascii="Times New Roman" w:eastAsia="Times New Roman" w:hAnsi="Times New Roman" w:cs="Times New Roman"/>
      <w:sz w:val="20"/>
      <w:szCs w:val="20"/>
      <w:lang w:val="fr-LU"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948</Words>
  <Characters>5214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SIWS</cp:lastModifiedBy>
  <cp:revision>10</cp:revision>
  <dcterms:created xsi:type="dcterms:W3CDTF">2015-03-03T09:34:00Z</dcterms:created>
  <dcterms:modified xsi:type="dcterms:W3CDTF">2015-03-03T10:57:00Z</dcterms:modified>
</cp:coreProperties>
</file>