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EBEFA" w14:textId="77777777" w:rsidR="00A25CC5" w:rsidRPr="004F41A6" w:rsidRDefault="008E652F">
      <w:pPr>
        <w:spacing w:line="360" w:lineRule="auto"/>
        <w:jc w:val="center"/>
        <w:rPr>
          <w:rFonts w:ascii="Helvetica" w:hAnsi="Helvetica"/>
        </w:rPr>
      </w:pPr>
      <w:r w:rsidRPr="004F41A6">
        <w:rPr>
          <w:rFonts w:ascii="Helvetica" w:hAnsi="Helvetica" w:cs="Arial"/>
          <w:b/>
        </w:rPr>
        <w:t>The community land trust as a new sustainable housing paradigm</w:t>
      </w:r>
    </w:p>
    <w:p w14:paraId="335131CC" w14:textId="77777777" w:rsidR="00A25CC5" w:rsidRPr="004F41A6" w:rsidRDefault="008E652F">
      <w:pPr>
        <w:spacing w:line="360" w:lineRule="auto"/>
        <w:jc w:val="center"/>
        <w:rPr>
          <w:rFonts w:ascii="Helvetica" w:hAnsi="Helvetica"/>
        </w:rPr>
      </w:pPr>
      <w:r w:rsidRPr="004F41A6">
        <w:rPr>
          <w:rFonts w:ascii="Helvetica" w:hAnsi="Helvetica" w:cs="Arial"/>
          <w:i/>
        </w:rPr>
        <w:t>Nicolas Bernard, Professor at Université Saint-Louis - Brussels</w:t>
      </w:r>
    </w:p>
    <w:p w14:paraId="4CF022B2" w14:textId="77777777" w:rsidR="00A25CC5" w:rsidRPr="004F41A6" w:rsidRDefault="00A25CC5">
      <w:pPr>
        <w:spacing w:line="360" w:lineRule="auto"/>
        <w:jc w:val="both"/>
        <w:rPr>
          <w:rFonts w:ascii="Helvetica" w:hAnsi="Helvetica" w:cs="Arial"/>
        </w:rPr>
      </w:pPr>
    </w:p>
    <w:p w14:paraId="336FDA5C" w14:textId="77777777" w:rsidR="00A25CC5" w:rsidRPr="004F41A6" w:rsidRDefault="00A25CC5">
      <w:pPr>
        <w:spacing w:line="360" w:lineRule="auto"/>
        <w:jc w:val="both"/>
        <w:rPr>
          <w:rFonts w:ascii="Helvetica" w:hAnsi="Helvetica" w:cs="Arial"/>
        </w:rPr>
      </w:pPr>
    </w:p>
    <w:p w14:paraId="6518D123" w14:textId="77777777" w:rsidR="00A25CC5" w:rsidRPr="004F41A6" w:rsidRDefault="008E652F">
      <w:pPr>
        <w:spacing w:line="360" w:lineRule="auto"/>
        <w:jc w:val="both"/>
        <w:rPr>
          <w:rFonts w:ascii="Helvetica" w:hAnsi="Helvetica"/>
        </w:rPr>
      </w:pPr>
      <w:r w:rsidRPr="004F41A6">
        <w:rPr>
          <w:rFonts w:ascii="Helvetica" w:hAnsi="Helvetica" w:cs="Arial"/>
        </w:rPr>
        <w:t xml:space="preserve">I. </w:t>
      </w:r>
      <w:r w:rsidRPr="004F41A6">
        <w:rPr>
          <w:rFonts w:ascii="Helvetica" w:hAnsi="Helvetica" w:cs="Arial"/>
          <w:u w:val="single"/>
        </w:rPr>
        <w:t>Position of the issue</w:t>
      </w:r>
    </w:p>
    <w:p w14:paraId="041C2421" w14:textId="77777777" w:rsidR="00A25CC5" w:rsidRPr="004F41A6" w:rsidRDefault="00A25CC5">
      <w:pPr>
        <w:spacing w:line="360" w:lineRule="auto"/>
        <w:jc w:val="both"/>
        <w:rPr>
          <w:rFonts w:ascii="Helvetica" w:hAnsi="Helvetica" w:cs="Arial"/>
        </w:rPr>
      </w:pPr>
    </w:p>
    <w:p w14:paraId="46A2B57E" w14:textId="77777777" w:rsidR="00A25CC5" w:rsidRPr="004F41A6" w:rsidRDefault="008E652F">
      <w:pPr>
        <w:spacing w:line="360" w:lineRule="auto"/>
        <w:ind w:firstLine="567"/>
        <w:jc w:val="both"/>
        <w:rPr>
          <w:rFonts w:ascii="Helvetica" w:hAnsi="Helvetica"/>
        </w:rPr>
      </w:pPr>
      <w:r w:rsidRPr="004F41A6">
        <w:rPr>
          <w:rFonts w:ascii="Helvetica" w:hAnsi="Helvetica" w:cs="Arial"/>
        </w:rPr>
        <w:t xml:space="preserve">Today, in 2018, the community land trust (CLT) is not an unknown arrangement, one seen solely </w:t>
      </w:r>
      <w:r w:rsidRPr="004F41A6">
        <w:rPr>
          <w:rFonts w:ascii="Helvetica" w:hAnsi="Helvetica" w:cs="Arial"/>
        </w:rPr>
        <w:t>through the prism of the English-speaking world. The idea has taken root and been flourishing in Belgium for a number of years. The concept has made its official entry into the Brussels Housing Code</w:t>
      </w:r>
      <w:r w:rsidRPr="004F41A6">
        <w:rPr>
          <w:rStyle w:val="Ancredenotedebasdepage"/>
          <w:rFonts w:ascii="Helvetica" w:hAnsi="Helvetica" w:cs="Arial"/>
        </w:rPr>
        <w:footnoteReference w:id="1"/>
      </w:r>
      <w:r w:rsidRPr="004F41A6">
        <w:rPr>
          <w:rFonts w:ascii="Helvetica" w:hAnsi="Helvetica" w:cs="Arial"/>
        </w:rPr>
        <w:t xml:space="preserve"> and the first CLT housing units were already inaugurated</w:t>
      </w:r>
      <w:r w:rsidRPr="004F41A6">
        <w:rPr>
          <w:rFonts w:ascii="Helvetica" w:hAnsi="Helvetica" w:cs="Arial"/>
        </w:rPr>
        <w:t xml:space="preserve"> in the Brussels Region three years ago. We know that it is, roughly speaking, a mechanism enabling people to acquire property at a low cost and subject to time limits, one that captures the bulk of the added value in the event of resale and is managed par</w:t>
      </w:r>
      <w:r w:rsidRPr="004F41A6">
        <w:rPr>
          <w:rFonts w:ascii="Helvetica" w:hAnsi="Helvetica" w:cs="Arial"/>
        </w:rPr>
        <w:t>ticipatorily. There is literature on the subject</w:t>
      </w:r>
      <w:r w:rsidRPr="004F41A6">
        <w:rPr>
          <w:rStyle w:val="Ancredenotedebasdepage"/>
          <w:rFonts w:ascii="Helvetica" w:hAnsi="Helvetica" w:cs="Arial"/>
        </w:rPr>
        <w:footnoteReference w:id="2"/>
      </w:r>
      <w:r w:rsidRPr="004F41A6">
        <w:rPr>
          <w:rFonts w:ascii="Helvetica" w:hAnsi="Helvetica" w:cs="Arial"/>
        </w:rPr>
        <w:t xml:space="preserve"> and the topic is covered in conferences and colloquia.</w:t>
      </w:r>
    </w:p>
    <w:p w14:paraId="6B1982C1" w14:textId="77777777" w:rsidR="00A25CC5" w:rsidRPr="004F41A6" w:rsidRDefault="008E652F">
      <w:pPr>
        <w:spacing w:line="360" w:lineRule="auto"/>
        <w:ind w:firstLine="567"/>
        <w:jc w:val="both"/>
        <w:rPr>
          <w:rFonts w:ascii="Helvetica" w:hAnsi="Helvetica"/>
        </w:rPr>
      </w:pPr>
      <w:r w:rsidRPr="004F41A6">
        <w:rPr>
          <w:rFonts w:ascii="Helvetica" w:hAnsi="Helvetica" w:cs="Arial"/>
        </w:rPr>
        <w:t xml:space="preserve">In contrast, the context in which the community land trust arose remains far too often in the shadows. The idea of the CLT cropped up as a reaction to </w:t>
      </w:r>
      <w:r w:rsidRPr="004F41A6">
        <w:rPr>
          <w:rFonts w:ascii="Helvetica" w:hAnsi="Helvetica" w:cs="Arial"/>
        </w:rPr>
        <w:t>the limitations of current first-time home ownership policy. Indeed, these failings are the scheme's primary justification. What is more, beyond the technical specifications of the mechanism, the transformations that the very idea of housing oneself and cr</w:t>
      </w:r>
      <w:r w:rsidRPr="004F41A6">
        <w:rPr>
          <w:rFonts w:ascii="Helvetica" w:hAnsi="Helvetica" w:cs="Arial"/>
        </w:rPr>
        <w:t xml:space="preserve">eating a </w:t>
      </w:r>
      <w:r w:rsidRPr="004F41A6">
        <w:rPr>
          <w:rFonts w:ascii="Helvetica" w:hAnsi="Helvetica" w:cs="Arial"/>
        </w:rPr>
        <w:lastRenderedPageBreak/>
        <w:t>city undergoes as a result of the CLT are not always clearly seen. In this case, it is a both powerful and unprecedented vector of sustainable housing. The present contribution shall thus stress these two points, albeit not without wrapping up wit</w:t>
      </w:r>
      <w:r w:rsidRPr="004F41A6">
        <w:rPr>
          <w:rFonts w:ascii="Helvetica" w:hAnsi="Helvetica" w:cs="Arial"/>
        </w:rPr>
        <w:t>h a more forward-looking note about the future of the community land trust in Brussels.</w:t>
      </w:r>
    </w:p>
    <w:p w14:paraId="4CBA1A1A" w14:textId="77777777" w:rsidR="00A25CC5" w:rsidRPr="004F41A6" w:rsidRDefault="00A25CC5">
      <w:pPr>
        <w:spacing w:line="360" w:lineRule="auto"/>
        <w:jc w:val="both"/>
        <w:rPr>
          <w:rFonts w:ascii="Helvetica" w:hAnsi="Helvetica" w:cs="Arial"/>
        </w:rPr>
      </w:pPr>
    </w:p>
    <w:p w14:paraId="1A88382E" w14:textId="77777777" w:rsidR="00A25CC5" w:rsidRPr="004F41A6" w:rsidRDefault="00A25CC5">
      <w:pPr>
        <w:spacing w:line="360" w:lineRule="auto"/>
        <w:jc w:val="both"/>
        <w:rPr>
          <w:rFonts w:ascii="Helvetica" w:hAnsi="Helvetica" w:cs="Arial"/>
        </w:rPr>
      </w:pPr>
    </w:p>
    <w:p w14:paraId="76E0034A" w14:textId="77777777" w:rsidR="00A25CC5" w:rsidRPr="004F41A6" w:rsidRDefault="008E652F">
      <w:pPr>
        <w:spacing w:line="360" w:lineRule="auto"/>
        <w:jc w:val="both"/>
        <w:rPr>
          <w:rFonts w:ascii="Helvetica" w:hAnsi="Helvetica"/>
        </w:rPr>
      </w:pPr>
      <w:r w:rsidRPr="004F41A6">
        <w:rPr>
          <w:rFonts w:ascii="Helvetica" w:hAnsi="Helvetica" w:cs="Arial"/>
        </w:rPr>
        <w:t xml:space="preserve">II. </w:t>
      </w:r>
      <w:r w:rsidRPr="004F41A6">
        <w:rPr>
          <w:rFonts w:ascii="Helvetica" w:hAnsi="Helvetica" w:cs="Arial"/>
          <w:u w:val="single"/>
        </w:rPr>
        <w:t>The limitations of Brussels's current first-time home ownership policy</w:t>
      </w:r>
    </w:p>
    <w:p w14:paraId="0AEB3223" w14:textId="77777777" w:rsidR="00A25CC5" w:rsidRPr="004F41A6" w:rsidRDefault="00A25CC5">
      <w:pPr>
        <w:spacing w:line="360" w:lineRule="auto"/>
        <w:ind w:firstLine="567"/>
        <w:jc w:val="both"/>
        <w:rPr>
          <w:rFonts w:ascii="Helvetica" w:hAnsi="Helvetica" w:cs="Arial"/>
        </w:rPr>
      </w:pPr>
    </w:p>
    <w:p w14:paraId="7BEF0CC1" w14:textId="77777777" w:rsidR="00A25CC5" w:rsidRPr="004F41A6" w:rsidRDefault="008E652F">
      <w:pPr>
        <w:spacing w:line="360" w:lineRule="auto"/>
        <w:ind w:firstLine="567"/>
        <w:jc w:val="both"/>
        <w:rPr>
          <w:rFonts w:ascii="Helvetica" w:hAnsi="Helvetica"/>
        </w:rPr>
      </w:pPr>
      <w:r w:rsidRPr="004F41A6">
        <w:rPr>
          <w:rFonts w:ascii="Helvetica" w:hAnsi="Helvetica" w:cs="Arial"/>
        </w:rPr>
        <w:t>The community land trust contains a huge paradox</w:t>
      </w:r>
      <w:r w:rsidRPr="004F41A6">
        <w:rPr>
          <w:rFonts w:ascii="Helvetica" w:hAnsi="Helvetica" w:cs="Arial"/>
          <w:i/>
        </w:rPr>
        <w:t>:</w:t>
      </w:r>
      <w:r w:rsidRPr="004F41A6">
        <w:rPr>
          <w:rFonts w:ascii="Helvetica" w:hAnsi="Helvetica" w:cs="Arial"/>
        </w:rPr>
        <w:t xml:space="preserve">  Although it is endowed with its own (an</w:t>
      </w:r>
      <w:r w:rsidRPr="004F41A6">
        <w:rPr>
          <w:rFonts w:ascii="Helvetica" w:hAnsi="Helvetica" w:cs="Arial"/>
        </w:rPr>
        <w:t>d innovative) personality, its added value is revealed only by glimpses of the flaws that are ascribed to another policy, the one that encourages people to buy their homes. Of course, everyone is in agreement overall about recognising the virtues of home o</w:t>
      </w:r>
      <w:r w:rsidRPr="004F41A6">
        <w:rPr>
          <w:rFonts w:ascii="Helvetica" w:hAnsi="Helvetica" w:cs="Arial"/>
        </w:rPr>
        <w:t>wnership when it comes to forced savings, the freedom to run one's property on one's own</w:t>
      </w:r>
      <w:r w:rsidRPr="004F41A6">
        <w:rPr>
          <w:rStyle w:val="Ancredenotedebasdepage"/>
          <w:rFonts w:ascii="Helvetica" w:hAnsi="Helvetica" w:cs="Arial"/>
        </w:rPr>
        <w:footnoteReference w:id="3"/>
      </w:r>
      <w:r w:rsidRPr="004F41A6">
        <w:rPr>
          <w:rFonts w:ascii="Helvetica" w:hAnsi="Helvetica" w:cs="Arial"/>
        </w:rPr>
        <w:t>, and self-esteem, for example. Yet this policy is currently plagued by a spate of more than serious problems. And if these problems are not taken by the horns, they r</w:t>
      </w:r>
      <w:r w:rsidRPr="004F41A6">
        <w:rPr>
          <w:rFonts w:ascii="Helvetica" w:hAnsi="Helvetica" w:cs="Arial"/>
        </w:rPr>
        <w:t>un the risk of shaking the foundations of the credit that is attached to the very institution of ownership. Let us list these issues below.</w:t>
      </w:r>
    </w:p>
    <w:p w14:paraId="1CC9301E" w14:textId="77777777" w:rsidR="00A25CC5" w:rsidRPr="004F41A6" w:rsidRDefault="008E652F">
      <w:pPr>
        <w:pBdr>
          <w:top w:val="single" w:sz="6" w:space="1" w:color="00000A"/>
        </w:pBdr>
        <w:jc w:val="center"/>
        <w:rPr>
          <w:rFonts w:ascii="Helvetica" w:hAnsi="Helvetica"/>
        </w:rPr>
      </w:pPr>
      <w:r w:rsidRPr="004F41A6">
        <w:rPr>
          <w:rFonts w:ascii="Helvetica" w:hAnsi="Helvetica" w:cs="Arial"/>
          <w:vanish/>
          <w:sz w:val="16"/>
          <w:szCs w:val="16"/>
        </w:rPr>
        <w:t>Bas du formulaire</w:t>
      </w:r>
    </w:p>
    <w:p w14:paraId="6D47A6DE" w14:textId="77777777" w:rsidR="00A25CC5" w:rsidRPr="004F41A6" w:rsidRDefault="00A25CC5">
      <w:pPr>
        <w:spacing w:line="360" w:lineRule="auto"/>
        <w:jc w:val="both"/>
        <w:rPr>
          <w:rFonts w:ascii="Helvetica" w:hAnsi="Helvetica" w:cs="Arial"/>
          <w:i/>
        </w:rPr>
      </w:pPr>
    </w:p>
    <w:p w14:paraId="70D986C9" w14:textId="77777777" w:rsidR="00A25CC5" w:rsidRPr="004F41A6" w:rsidRDefault="008E652F">
      <w:pPr>
        <w:spacing w:line="360" w:lineRule="auto"/>
        <w:ind w:firstLine="567"/>
        <w:jc w:val="both"/>
        <w:rPr>
          <w:rFonts w:ascii="Helvetica" w:hAnsi="Helvetica"/>
        </w:rPr>
      </w:pPr>
      <w:r w:rsidRPr="004F41A6">
        <w:rPr>
          <w:rFonts w:ascii="Helvetica" w:hAnsi="Helvetica" w:cs="Arial"/>
        </w:rPr>
        <w:t xml:space="preserve">First of all, sky-rocketing prices eliminate households with modest incomes from this segment de </w:t>
      </w:r>
      <w:r w:rsidRPr="004F41A6">
        <w:rPr>
          <w:rFonts w:ascii="Helvetica" w:hAnsi="Helvetica" w:cs="Arial"/>
        </w:rPr>
        <w:t>facto.</w:t>
      </w:r>
      <w:r w:rsidRPr="004F41A6">
        <w:rPr>
          <w:rStyle w:val="Ancredenotedebasdepage"/>
          <w:rFonts w:ascii="Helvetica" w:hAnsi="Helvetica" w:cs="Arial"/>
        </w:rPr>
        <w:footnoteReference w:id="4"/>
      </w:r>
      <w:r w:rsidRPr="004F41A6">
        <w:rPr>
          <w:rFonts w:ascii="Helvetica" w:hAnsi="Helvetica" w:cs="Arial"/>
        </w:rPr>
        <w:t xml:space="preserve"> Let me call to the bar the fact that the rate of home ownership in Belgium is stagnating (when it is not declining</w:t>
      </w:r>
      <w:r w:rsidRPr="004F41A6">
        <w:rPr>
          <w:rStyle w:val="Ancredenotedebasdepage"/>
          <w:rFonts w:ascii="Helvetica" w:hAnsi="Helvetica" w:cs="Arial"/>
        </w:rPr>
        <w:footnoteReference w:id="5"/>
      </w:r>
      <w:r w:rsidRPr="004F41A6">
        <w:rPr>
          <w:rFonts w:ascii="Helvetica" w:hAnsi="Helvetica" w:cs="Arial"/>
        </w:rPr>
        <w:t>), which is a clear sign that real property ownership is having a tough time “breaking into” the less affluent socio-economic strata.</w:t>
      </w:r>
      <w:r w:rsidRPr="004F41A6">
        <w:rPr>
          <w:rFonts w:ascii="Helvetica" w:hAnsi="Helvetica" w:cs="Arial"/>
        </w:rPr>
        <w:t xml:space="preserve"> Next, the complete absence of taxation of any capital gains made </w:t>
      </w:r>
      <w:r w:rsidRPr="004F41A6">
        <w:rPr>
          <w:rFonts w:ascii="Helvetica" w:hAnsi="Helvetica" w:cs="Arial"/>
        </w:rPr>
        <w:lastRenderedPageBreak/>
        <w:t>on real property sales</w:t>
      </w:r>
      <w:r w:rsidRPr="004F41A6">
        <w:rPr>
          <w:rStyle w:val="Ancredenotedebasdepage"/>
          <w:rFonts w:ascii="Helvetica" w:hAnsi="Helvetica" w:cs="Arial"/>
        </w:rPr>
        <w:footnoteReference w:id="6"/>
      </w:r>
      <w:r w:rsidRPr="004F41A6">
        <w:rPr>
          <w:rFonts w:ascii="Helvetica" w:hAnsi="Helvetica" w:cs="Arial"/>
        </w:rPr>
        <w:t xml:space="preserve"> reinforces speculation and pushes prices even higher.</w:t>
      </w:r>
      <w:r w:rsidRPr="004F41A6">
        <w:rPr>
          <w:rStyle w:val="Ancredenotedebasdepage"/>
          <w:rFonts w:ascii="Helvetica" w:hAnsi="Helvetica" w:cs="Arial"/>
        </w:rPr>
        <w:footnoteReference w:id="7"/>
      </w:r>
      <w:r w:rsidRPr="004F41A6">
        <w:rPr>
          <w:rFonts w:ascii="Helvetica" w:hAnsi="Helvetica" w:cs="Arial"/>
        </w:rPr>
        <w:t xml:space="preserve"> With their massive incentives to get private individuals to acquire real property (bonuses, soft mortgages, tax</w:t>
      </w:r>
      <w:r w:rsidRPr="004F41A6">
        <w:rPr>
          <w:rFonts w:ascii="Helvetica" w:hAnsi="Helvetica" w:cs="Arial"/>
        </w:rPr>
        <w:t xml:space="preserve"> deductions, tax rebates, etc.),</w:t>
      </w:r>
      <w:r w:rsidRPr="004F41A6">
        <w:rPr>
          <w:rStyle w:val="Ancredenotedebasdepage"/>
          <w:rFonts w:ascii="Helvetica" w:hAnsi="Helvetica" w:cs="Arial"/>
        </w:rPr>
        <w:footnoteReference w:id="8"/>
      </w:r>
      <w:r w:rsidRPr="004F41A6">
        <w:rPr>
          <w:rFonts w:ascii="Helvetica" w:hAnsi="Helvetica" w:cs="Arial"/>
        </w:rPr>
        <w:t xml:space="preserve"> the public authorities themselves recover not a penny of the financial aid paid out if the property is subsequently resold,</w:t>
      </w:r>
      <w:r w:rsidRPr="004F41A6">
        <w:rPr>
          <w:rStyle w:val="Ancredenotedebasdepage"/>
          <w:rFonts w:ascii="Helvetica" w:hAnsi="Helvetica" w:cs="Arial"/>
        </w:rPr>
        <w:footnoteReference w:id="9"/>
      </w:r>
      <w:r w:rsidRPr="004F41A6">
        <w:rPr>
          <w:rFonts w:ascii="Helvetica" w:hAnsi="Helvetica" w:cs="Arial"/>
        </w:rPr>
        <w:t xml:space="preserve"> which thus forces them to repeat the same disbursements for the next </w:t>
      </w:r>
      <w:r w:rsidRPr="004F41A6">
        <w:rPr>
          <w:rFonts w:ascii="Helvetica" w:hAnsi="Helvetica" w:cs="Arial"/>
        </w:rPr>
        <w:lastRenderedPageBreak/>
        <w:t xml:space="preserve">buyers, </w:t>
      </w:r>
      <w:r w:rsidRPr="004F41A6">
        <w:rPr>
          <w:rFonts w:ascii="Helvetica" w:hAnsi="Helvetica" w:cs="Arial"/>
          <w:i/>
          <w:iCs/>
        </w:rPr>
        <w:t>ad infinitum,</w:t>
      </w:r>
      <w:r w:rsidRPr="004F41A6">
        <w:rPr>
          <w:rFonts w:ascii="Helvetica" w:hAnsi="Helvetica" w:cs="Arial"/>
        </w:rPr>
        <w:t xml:space="preserve"> wherea</w:t>
      </w:r>
      <w:r w:rsidRPr="004F41A6">
        <w:rPr>
          <w:rFonts w:ascii="Helvetica" w:hAnsi="Helvetica" w:cs="Arial"/>
        </w:rPr>
        <w:t>s the worth of real property rises in the interval. In any event, the fixation on home ownership leads certain households to sink into debt to achieve this goal. This exposes them to the risk of defaulting on their loans at the slightest material problem a</w:t>
      </w:r>
      <w:r w:rsidRPr="004F41A6">
        <w:rPr>
          <w:rFonts w:ascii="Helvetica" w:hAnsi="Helvetica" w:cs="Arial"/>
        </w:rPr>
        <w:t xml:space="preserve">nd, </w:t>
      </w:r>
      <w:r w:rsidRPr="004F41A6">
        <w:rPr>
          <w:rFonts w:ascii="Helvetica" w:hAnsi="Helvetica" w:cs="Arial"/>
          <w:i/>
          <w:iCs/>
        </w:rPr>
        <w:t>ultimately</w:t>
      </w:r>
      <w:r w:rsidRPr="004F41A6">
        <w:rPr>
          <w:rFonts w:ascii="Helvetica" w:hAnsi="Helvetica" w:cs="Arial"/>
          <w:i/>
        </w:rPr>
        <w:t>,</w:t>
      </w:r>
      <w:r w:rsidRPr="004F41A6">
        <w:rPr>
          <w:rFonts w:ascii="Helvetica" w:hAnsi="Helvetica" w:cs="Arial"/>
        </w:rPr>
        <w:t xml:space="preserve"> to the seizure of their property </w:t>
      </w:r>
      <w:proofErr w:type="gramStart"/>
      <w:r w:rsidRPr="004F41A6">
        <w:rPr>
          <w:rFonts w:ascii="Helvetica" w:hAnsi="Helvetica" w:cs="Arial"/>
        </w:rPr>
        <w:t>and  expulsion</w:t>
      </w:r>
      <w:proofErr w:type="gramEnd"/>
      <w:r w:rsidRPr="004F41A6">
        <w:rPr>
          <w:rFonts w:ascii="Helvetica" w:hAnsi="Helvetica" w:cs="Arial"/>
        </w:rPr>
        <w:t xml:space="preserve">. To make matters worse, the only real attraction of property ownership is the fact that it enables the owners to distance themselves from their peers and to increase their living space, which </w:t>
      </w:r>
      <w:r w:rsidRPr="004F41A6">
        <w:rPr>
          <w:rFonts w:ascii="Helvetica" w:hAnsi="Helvetica" w:cs="Arial"/>
        </w:rPr>
        <w:t>leads households to prefer detached or semi-detached houses,</w:t>
      </w:r>
      <w:r w:rsidRPr="004F41A6">
        <w:rPr>
          <w:rStyle w:val="Ancredenotedebasdepage"/>
          <w:rFonts w:ascii="Helvetica" w:hAnsi="Helvetica" w:cs="Arial"/>
        </w:rPr>
        <w:footnoteReference w:id="10"/>
      </w:r>
      <w:r w:rsidRPr="004F41A6">
        <w:rPr>
          <w:rFonts w:ascii="Helvetica" w:hAnsi="Helvetica" w:cs="Arial"/>
        </w:rPr>
        <w:t xml:space="preserve"> despite their higher energy needs, and land reserves.</w:t>
      </w:r>
      <w:r w:rsidRPr="004F41A6">
        <w:rPr>
          <w:rStyle w:val="Ancredenotedebasdepage"/>
          <w:rFonts w:ascii="Helvetica" w:hAnsi="Helvetica" w:cs="Arial"/>
        </w:rPr>
        <w:footnoteReference w:id="11"/>
      </w:r>
      <w:r w:rsidRPr="004F41A6">
        <w:rPr>
          <w:rFonts w:ascii="Helvetica" w:hAnsi="Helvetica" w:cs="Arial"/>
        </w:rPr>
        <w:t xml:space="preserve"> </w:t>
      </w:r>
      <w:r w:rsidRPr="004F41A6">
        <w:rPr>
          <w:rFonts w:ascii="Helvetica" w:eastAsia="Heiti SC Light" w:hAnsi="Helvetica" w:cs="Arial"/>
          <w:shd w:val="clear" w:color="auto" w:fill="00FF00"/>
        </w:rPr>
        <w:t xml:space="preserve">The result is that the “internal migratory balance” in Brussels has been despairingly negative for years, that is, significantly more </w:t>
      </w:r>
      <w:r w:rsidRPr="004F41A6">
        <w:rPr>
          <w:rFonts w:ascii="Helvetica" w:eastAsia="Heiti SC Light" w:hAnsi="Helvetica" w:cs="Arial"/>
          <w:shd w:val="clear" w:color="auto" w:fill="00FF00"/>
        </w:rPr>
        <w:t>households have been leaving the Brussels Region for Wallonia or Flanders than the number moving in the opposite direction.</w:t>
      </w:r>
      <w:r w:rsidRPr="004F41A6">
        <w:rPr>
          <w:rStyle w:val="Ancredenotedebasdepage"/>
          <w:rFonts w:ascii="Helvetica" w:eastAsia="Heiti SC Light" w:hAnsi="Helvetica" w:cs="Arial"/>
          <w:shd w:val="clear" w:color="auto" w:fill="00FF00"/>
        </w:rPr>
        <w:footnoteReference w:id="12"/>
      </w:r>
      <w:r w:rsidRPr="004F41A6">
        <w:rPr>
          <w:rFonts w:ascii="Helvetica" w:eastAsia="Heiti SC Light" w:hAnsi="Helvetica" w:cs="Arial"/>
        </w:rPr>
        <w:t xml:space="preserve"> </w:t>
      </w:r>
      <w:r w:rsidRPr="004F41A6">
        <w:rPr>
          <w:rFonts w:ascii="Helvetica" w:hAnsi="Helvetica" w:cs="Arial"/>
        </w:rPr>
        <w:t>Last but not least, promoting a society of individual home owners runs counter to the idea of parsimonious collective management of</w:t>
      </w:r>
      <w:r w:rsidRPr="004F41A6">
        <w:rPr>
          <w:rFonts w:ascii="Helvetica" w:hAnsi="Helvetica" w:cs="Arial"/>
        </w:rPr>
        <w:t xml:space="preserve"> the land (and of housing, the neighbourhood, and the higher ideal of living together).</w:t>
      </w:r>
    </w:p>
    <w:p w14:paraId="6414BBD6" w14:textId="77777777" w:rsidR="00A25CC5" w:rsidRPr="004F41A6" w:rsidRDefault="00A25CC5">
      <w:pPr>
        <w:spacing w:line="360" w:lineRule="auto"/>
        <w:ind w:firstLine="567"/>
        <w:jc w:val="both"/>
        <w:rPr>
          <w:rFonts w:ascii="Helvetica" w:hAnsi="Helvetica" w:cs="Arial"/>
        </w:rPr>
      </w:pPr>
    </w:p>
    <w:p w14:paraId="0A76F376" w14:textId="77777777" w:rsidR="00A25CC5" w:rsidRPr="004F41A6" w:rsidRDefault="008E652F">
      <w:pPr>
        <w:spacing w:line="360" w:lineRule="auto"/>
        <w:ind w:firstLine="567"/>
        <w:jc w:val="both"/>
        <w:rPr>
          <w:rFonts w:ascii="Helvetica" w:hAnsi="Helvetica"/>
        </w:rPr>
      </w:pPr>
      <w:r w:rsidRPr="004F41A6">
        <w:rPr>
          <w:rFonts w:ascii="Helvetica" w:hAnsi="Helvetica" w:cs="Arial"/>
        </w:rPr>
        <w:t>To sum up:  The traditional policy of support for home ownership gives social welfare short shrift, is not very ecological, entails substantial costs for the public co</w:t>
      </w:r>
      <w:r w:rsidRPr="004F41A6">
        <w:rPr>
          <w:rFonts w:ascii="Helvetica" w:hAnsi="Helvetica" w:cs="Arial"/>
        </w:rPr>
        <w:t>ffers (costs that are constantly rising to boot),</w:t>
      </w:r>
      <w:r w:rsidRPr="004F41A6">
        <w:rPr>
          <w:rStyle w:val="Ancredenotedebasdepage"/>
          <w:rFonts w:ascii="Helvetica" w:hAnsi="Helvetica" w:cs="Arial"/>
        </w:rPr>
        <w:footnoteReference w:id="13"/>
      </w:r>
      <w:r w:rsidRPr="004F41A6">
        <w:rPr>
          <w:rFonts w:ascii="Helvetica" w:hAnsi="Helvetica" w:cs="Arial"/>
        </w:rPr>
        <w:t xml:space="preserve"> and gobbles up space, making it more difficult for those who come after us to acquire property in turn. It thus seems to be the exact antithesis of </w:t>
      </w:r>
      <w:r w:rsidRPr="004F41A6">
        <w:rPr>
          <w:rFonts w:ascii="Helvetica" w:hAnsi="Helvetica" w:cs="Arial"/>
          <w:i/>
          <w:iCs/>
        </w:rPr>
        <w:t xml:space="preserve">sustainable </w:t>
      </w:r>
      <w:r w:rsidRPr="004F41A6">
        <w:rPr>
          <w:rFonts w:ascii="Helvetica" w:hAnsi="Helvetica" w:cs="Arial"/>
        </w:rPr>
        <w:t xml:space="preserve">housing. </w:t>
      </w:r>
    </w:p>
    <w:p w14:paraId="1066ACDE" w14:textId="77777777" w:rsidR="00A25CC5" w:rsidRPr="004F41A6" w:rsidRDefault="00A25CC5">
      <w:pPr>
        <w:spacing w:line="360" w:lineRule="auto"/>
        <w:jc w:val="both"/>
        <w:rPr>
          <w:rFonts w:ascii="Helvetica" w:hAnsi="Helvetica" w:cs="Arial"/>
        </w:rPr>
      </w:pPr>
    </w:p>
    <w:p w14:paraId="4E028090" w14:textId="77777777" w:rsidR="00A25CC5" w:rsidRPr="004F41A6" w:rsidRDefault="00A25CC5">
      <w:pPr>
        <w:spacing w:line="360" w:lineRule="auto"/>
        <w:jc w:val="both"/>
        <w:rPr>
          <w:rFonts w:ascii="Helvetica" w:hAnsi="Helvetica" w:cs="Arial"/>
        </w:rPr>
      </w:pPr>
    </w:p>
    <w:p w14:paraId="510AEBD4" w14:textId="77777777" w:rsidR="00A25CC5" w:rsidRPr="004F41A6" w:rsidRDefault="008E652F">
      <w:pPr>
        <w:spacing w:line="360" w:lineRule="auto"/>
        <w:jc w:val="both"/>
        <w:rPr>
          <w:rFonts w:ascii="Helvetica" w:hAnsi="Helvetica"/>
        </w:rPr>
      </w:pPr>
      <w:r w:rsidRPr="004F41A6">
        <w:rPr>
          <w:rFonts w:ascii="Helvetica" w:hAnsi="Helvetica" w:cs="Arial"/>
        </w:rPr>
        <w:t xml:space="preserve">III. </w:t>
      </w:r>
      <w:r w:rsidRPr="004F41A6">
        <w:rPr>
          <w:rFonts w:ascii="Helvetica" w:hAnsi="Helvetica" w:cs="Arial"/>
          <w:u w:val="single"/>
        </w:rPr>
        <w:t>The three founding principle</w:t>
      </w:r>
      <w:r w:rsidRPr="004F41A6">
        <w:rPr>
          <w:rFonts w:ascii="Helvetica" w:hAnsi="Helvetica" w:cs="Arial"/>
          <w:u w:val="single"/>
        </w:rPr>
        <w:t>s of the CLT that tie in with sustainable housing</w:t>
      </w:r>
    </w:p>
    <w:p w14:paraId="2B0603DA" w14:textId="77777777" w:rsidR="00A25CC5" w:rsidRPr="004F41A6" w:rsidRDefault="00A25CC5">
      <w:pPr>
        <w:spacing w:line="360" w:lineRule="auto"/>
        <w:jc w:val="both"/>
        <w:rPr>
          <w:rFonts w:ascii="Helvetica" w:hAnsi="Helvetica" w:cs="Arial"/>
        </w:rPr>
      </w:pPr>
    </w:p>
    <w:p w14:paraId="20CE81E3" w14:textId="77777777" w:rsidR="00A25CC5" w:rsidRPr="004F41A6" w:rsidRDefault="008E652F">
      <w:pPr>
        <w:spacing w:line="360" w:lineRule="auto"/>
        <w:jc w:val="both"/>
        <w:rPr>
          <w:rFonts w:ascii="Helvetica" w:hAnsi="Helvetica"/>
        </w:rPr>
      </w:pPr>
      <w:r w:rsidRPr="004F41A6">
        <w:rPr>
          <w:rFonts w:ascii="Helvetica" w:hAnsi="Helvetica" w:cs="Arial"/>
          <w:i/>
        </w:rPr>
        <w:t>a) The dismemberment of ownership to immunise the land</w:t>
      </w:r>
    </w:p>
    <w:p w14:paraId="2D59A414" w14:textId="77777777" w:rsidR="00A25CC5" w:rsidRPr="004F41A6" w:rsidRDefault="00A25CC5">
      <w:pPr>
        <w:spacing w:line="360" w:lineRule="auto"/>
        <w:jc w:val="both"/>
        <w:rPr>
          <w:rFonts w:ascii="Helvetica" w:hAnsi="Helvetica" w:cs="Arial"/>
        </w:rPr>
      </w:pPr>
    </w:p>
    <w:p w14:paraId="62F85919" w14:textId="77777777" w:rsidR="00A25CC5" w:rsidRPr="004F41A6" w:rsidRDefault="008E652F">
      <w:pPr>
        <w:spacing w:line="360" w:lineRule="auto"/>
        <w:ind w:firstLine="567"/>
        <w:jc w:val="both"/>
        <w:rPr>
          <w:rFonts w:ascii="Helvetica" w:hAnsi="Helvetica"/>
        </w:rPr>
      </w:pPr>
      <w:r w:rsidRPr="004F41A6">
        <w:rPr>
          <w:rFonts w:ascii="Helvetica" w:hAnsi="Helvetica" w:cs="Arial"/>
        </w:rPr>
        <w:t>The community land trust arose in this specific context as a reaction to these failings. What is special (and novel) in the CLT is that it rests upon</w:t>
      </w:r>
      <w:r w:rsidRPr="004F41A6">
        <w:rPr>
          <w:rFonts w:ascii="Helvetica" w:hAnsi="Helvetica" w:cs="Arial"/>
        </w:rPr>
        <w:t xml:space="preserve"> the legal principle</w:t>
      </w:r>
      <w:r w:rsidRPr="004F41A6">
        <w:rPr>
          <w:rStyle w:val="Ancredenotedebasdepage"/>
          <w:rFonts w:ascii="Helvetica" w:hAnsi="Helvetica" w:cs="Arial"/>
        </w:rPr>
        <w:footnoteReference w:id="14"/>
      </w:r>
      <w:r w:rsidRPr="004F41A6">
        <w:rPr>
          <w:rFonts w:ascii="Helvetica" w:hAnsi="Helvetica" w:cs="Arial"/>
        </w:rPr>
        <w:t xml:space="preserve"> of the dismemberment of ownership or “dual ownership”: The CLT remains the owner of the land whilst granting a “surface right”</w:t>
      </w:r>
      <w:r w:rsidRPr="004F41A6">
        <w:rPr>
          <w:rStyle w:val="Ancredenotedebasdepage"/>
          <w:rFonts w:ascii="Helvetica" w:hAnsi="Helvetica" w:cs="Arial"/>
        </w:rPr>
        <w:footnoteReference w:id="15"/>
      </w:r>
      <w:r w:rsidRPr="004F41A6">
        <w:rPr>
          <w:rFonts w:ascii="Helvetica" w:hAnsi="Helvetica" w:cs="Arial"/>
        </w:rPr>
        <w:t xml:space="preserve"> allowing the recipient to build and/or to occupy the existing property, with owner status, for a period of</w:t>
      </w:r>
      <w:r w:rsidRPr="004F41A6">
        <w:rPr>
          <w:rFonts w:ascii="Helvetica" w:hAnsi="Helvetica" w:cs="Arial"/>
        </w:rPr>
        <w:t xml:space="preserve"> fifty years at most, in a modern adaptation of the Roman civil law notion of the </w:t>
      </w:r>
      <w:r w:rsidRPr="004F41A6">
        <w:rPr>
          <w:rFonts w:ascii="Helvetica" w:hAnsi="Helvetica" w:cs="Arial"/>
          <w:i/>
          <w:iCs/>
        </w:rPr>
        <w:t>superficiarius</w:t>
      </w:r>
      <w:r w:rsidRPr="004F41A6">
        <w:rPr>
          <w:rFonts w:ascii="Helvetica" w:hAnsi="Helvetica" w:cs="Arial"/>
        </w:rPr>
        <w:t>. Make no mistake:  As a dismembered right in rem (or right to someone else's property), this surface right confers an authentic right of ownership on the recip</w:t>
      </w:r>
      <w:r w:rsidRPr="004F41A6">
        <w:rPr>
          <w:rFonts w:ascii="Helvetica" w:hAnsi="Helvetica" w:cs="Arial"/>
        </w:rPr>
        <w:t>ient, even though it is limited in time and concerns the buildings only. As for the rest, unlike a tenant, for example, the holder of this right enjoys all the government aid that is given to support first-time home ownership.</w:t>
      </w:r>
    </w:p>
    <w:p w14:paraId="6C7EF902" w14:textId="77777777" w:rsidR="00A25CC5" w:rsidRPr="004F41A6" w:rsidRDefault="008E652F">
      <w:pPr>
        <w:spacing w:line="360" w:lineRule="auto"/>
        <w:ind w:firstLine="567"/>
        <w:jc w:val="both"/>
        <w:rPr>
          <w:rFonts w:ascii="Helvetica" w:hAnsi="Helvetica"/>
        </w:rPr>
      </w:pPr>
      <w:r w:rsidRPr="004F41A6">
        <w:rPr>
          <w:rFonts w:ascii="Helvetica" w:hAnsi="Helvetica" w:cs="Arial"/>
        </w:rPr>
        <w:t>This dismemberment of ownersh</w:t>
      </w:r>
      <w:r w:rsidRPr="004F41A6">
        <w:rPr>
          <w:rFonts w:ascii="Helvetica" w:hAnsi="Helvetica" w:cs="Arial"/>
        </w:rPr>
        <w:t>ip has at least two advantages. First, the subsoil (the bedrock and mineral rights) is not available for market transactions; since, given that it belongs “forever” to the CLT,</w:t>
      </w:r>
      <w:r w:rsidRPr="004F41A6">
        <w:rPr>
          <w:rStyle w:val="Ancredenotedebasdepage"/>
          <w:rFonts w:ascii="Helvetica" w:hAnsi="Helvetica" w:cs="Arial"/>
        </w:rPr>
        <w:footnoteReference w:id="16"/>
      </w:r>
      <w:r w:rsidRPr="004F41A6">
        <w:rPr>
          <w:rFonts w:ascii="Helvetica" w:hAnsi="Helvetica" w:cs="Arial"/>
        </w:rPr>
        <w:t xml:space="preserve"> it is part of a trust, which gives it the status of community property of sort</w:t>
      </w:r>
      <w:r w:rsidRPr="004F41A6">
        <w:rPr>
          <w:rFonts w:ascii="Helvetica" w:hAnsi="Helvetica" w:cs="Arial"/>
        </w:rPr>
        <w:t>s that is managed collectively because the CLT itself is managed collectively.</w:t>
      </w:r>
      <w:r w:rsidRPr="004F41A6">
        <w:rPr>
          <w:rStyle w:val="Ancredenotedebasdepage"/>
          <w:rFonts w:ascii="Helvetica" w:hAnsi="Helvetica" w:cs="Arial"/>
        </w:rPr>
        <w:footnoteReference w:id="17"/>
      </w:r>
      <w:r w:rsidRPr="004F41A6">
        <w:rPr>
          <w:rFonts w:ascii="Helvetica" w:hAnsi="Helvetica" w:cs="Arial"/>
        </w:rPr>
        <w:t xml:space="preserve"> Moreover, the CLT must belong rather to the associations category.</w:t>
      </w:r>
      <w:r w:rsidRPr="004F41A6">
        <w:rPr>
          <w:rStyle w:val="Ancredenotedebasdepage"/>
          <w:rFonts w:ascii="Helvetica" w:hAnsi="Helvetica" w:cs="Arial"/>
        </w:rPr>
        <w:footnoteReference w:id="18"/>
      </w:r>
      <w:r w:rsidRPr="004F41A6">
        <w:rPr>
          <w:rFonts w:ascii="Helvetica" w:hAnsi="Helvetica" w:cs="Arial"/>
        </w:rPr>
        <w:t xml:space="preserve"> Second, the taxes that apply to the dismemberment operations are much lower than those that apply to “fee si</w:t>
      </w:r>
      <w:r w:rsidRPr="004F41A6">
        <w:rPr>
          <w:rFonts w:ascii="Helvetica" w:hAnsi="Helvetica" w:cs="Arial"/>
        </w:rPr>
        <w:t xml:space="preserve">mple” or full ownership </w:t>
      </w:r>
      <w:r w:rsidRPr="004F41A6">
        <w:rPr>
          <w:rFonts w:ascii="Helvetica" w:hAnsi="Helvetica" w:cs="Arial"/>
        </w:rPr>
        <w:lastRenderedPageBreak/>
        <w:t>operations. When that is combined with the initial subsidy that the CLT</w:t>
      </w:r>
      <w:r w:rsidRPr="004F41A6">
        <w:rPr>
          <w:rStyle w:val="Ancredenotedebasdepage"/>
          <w:rFonts w:ascii="Helvetica" w:hAnsi="Helvetica" w:cs="Arial"/>
        </w:rPr>
        <w:footnoteReference w:id="19"/>
      </w:r>
      <w:r w:rsidRPr="004F41A6">
        <w:rPr>
          <w:rFonts w:ascii="Helvetica" w:hAnsi="Helvetica" w:cs="Arial"/>
        </w:rPr>
        <w:t xml:space="preserve"> enjoys, the total purchase price is reduced accordingly (by about a third compared with market prices) and, as a corollary, puts this new type of property with</w:t>
      </w:r>
      <w:r w:rsidRPr="004F41A6">
        <w:rPr>
          <w:rFonts w:ascii="Helvetica" w:hAnsi="Helvetica" w:cs="Arial"/>
        </w:rPr>
        <w:t>in reach of less affluent people (and/or the elderly</w:t>
      </w:r>
      <w:r w:rsidRPr="004F41A6">
        <w:rPr>
          <w:rStyle w:val="Ancredenotedebasdepage"/>
          <w:rFonts w:ascii="Helvetica" w:hAnsi="Helvetica" w:cs="Arial"/>
        </w:rPr>
        <w:footnoteReference w:id="20"/>
      </w:r>
      <w:r w:rsidRPr="004F41A6">
        <w:rPr>
          <w:rFonts w:ascii="Helvetica" w:hAnsi="Helvetica" w:cs="Arial"/>
        </w:rPr>
        <w:t>). In any event, this concern for affordability is not a vain word, since the purchase price depends directly on the buyer's resources.</w:t>
      </w:r>
      <w:r w:rsidRPr="004F41A6">
        <w:rPr>
          <w:rStyle w:val="Ancredenotedebasdepage"/>
          <w:rFonts w:ascii="Helvetica" w:hAnsi="Helvetica" w:cs="Arial"/>
        </w:rPr>
        <w:footnoteReference w:id="21"/>
      </w:r>
      <w:r w:rsidRPr="004F41A6">
        <w:rPr>
          <w:rFonts w:ascii="Helvetica" w:hAnsi="Helvetica" w:cs="Arial"/>
        </w:rPr>
        <w:t xml:space="preserve"> It is no coincidence, in this regard, that the Housing Fund has entered into a structural relationship with the CLT. And these guard rails to benefit the weakest are all the more called for in that the CLTB (Community Land Trust Bruxelles), which is guide</w:t>
      </w:r>
      <w:r w:rsidRPr="004F41A6">
        <w:rPr>
          <w:rFonts w:ascii="Helvetica" w:hAnsi="Helvetica" w:cs="Arial"/>
        </w:rPr>
        <w:t>d by a social concern, reserves its housing for applicants whose incomes do not exceed the eligibility caps for social housing.</w:t>
      </w:r>
      <w:r w:rsidRPr="004F41A6">
        <w:rPr>
          <w:rStyle w:val="Ancredenotedebasdepage"/>
          <w:rFonts w:ascii="Helvetica" w:hAnsi="Helvetica" w:cs="Arial"/>
        </w:rPr>
        <w:footnoteReference w:id="22"/>
      </w:r>
      <w:r w:rsidRPr="004F41A6">
        <w:rPr>
          <w:rFonts w:ascii="Helvetica" w:hAnsi="Helvetica" w:cs="Arial"/>
        </w:rPr>
        <w:t xml:space="preserve"> This is fully in line, moreover, with the stipulations of the Brussels Housing Code, which limits the scheme to households “in </w:t>
      </w:r>
      <w:r w:rsidRPr="004F41A6">
        <w:rPr>
          <w:rFonts w:ascii="Helvetica" w:hAnsi="Helvetica" w:cs="Arial"/>
        </w:rPr>
        <w:t>a state of social insecurity”</w:t>
      </w:r>
      <w:r w:rsidRPr="004F41A6">
        <w:rPr>
          <w:rStyle w:val="Ancredenotedebasdepage"/>
          <w:rFonts w:ascii="Helvetica" w:hAnsi="Helvetica" w:cs="Arial"/>
        </w:rPr>
        <w:footnoteReference w:id="23"/>
      </w:r>
      <w:r w:rsidRPr="004F41A6">
        <w:rPr>
          <w:rFonts w:ascii="Helvetica" w:hAnsi="Helvetica" w:cs="Arial"/>
        </w:rPr>
        <w:t xml:space="preserve">). Yet, for all that, the CLTB </w:t>
      </w:r>
      <w:r w:rsidRPr="004F41A6">
        <w:rPr>
          <w:rFonts w:ascii="Helvetica" w:hAnsi="Helvetica" w:cs="Arial"/>
          <w:i/>
          <w:iCs/>
        </w:rPr>
        <w:t>cannot</w:t>
      </w:r>
      <w:r w:rsidRPr="004F41A6">
        <w:rPr>
          <w:rFonts w:ascii="Helvetica" w:hAnsi="Helvetica" w:cs="Arial"/>
        </w:rPr>
        <w:t xml:space="preserve"> be equated with</w:t>
      </w:r>
      <w:r w:rsidRPr="004F41A6">
        <w:rPr>
          <w:rFonts w:ascii="Helvetica" w:hAnsi="Helvetica" w:cs="Arial"/>
          <w:i/>
        </w:rPr>
        <w:t xml:space="preserve"> </w:t>
      </w:r>
      <w:r w:rsidRPr="004F41A6">
        <w:rPr>
          <w:rFonts w:ascii="Helvetica" w:hAnsi="Helvetica" w:cs="Arial"/>
        </w:rPr>
        <w:t>social housing,</w:t>
      </w:r>
      <w:r w:rsidRPr="004F41A6">
        <w:rPr>
          <w:rStyle w:val="Ancredenotedebasdepage"/>
          <w:rFonts w:ascii="Helvetica" w:hAnsi="Helvetica" w:cs="Arial"/>
        </w:rPr>
        <w:footnoteReference w:id="24"/>
      </w:r>
      <w:r w:rsidRPr="004F41A6">
        <w:rPr>
          <w:rFonts w:ascii="Helvetica" w:hAnsi="Helvetica" w:cs="Arial"/>
        </w:rPr>
        <w:t xml:space="preserve"> which comes under the category of rentals only.</w:t>
      </w:r>
    </w:p>
    <w:p w14:paraId="5E23B544" w14:textId="77777777" w:rsidR="00A25CC5" w:rsidRPr="004F41A6" w:rsidRDefault="00A25CC5">
      <w:pPr>
        <w:spacing w:line="360" w:lineRule="auto"/>
        <w:ind w:firstLine="567"/>
        <w:jc w:val="both"/>
        <w:rPr>
          <w:rFonts w:ascii="Helvetica" w:hAnsi="Helvetica" w:cs="Arial"/>
        </w:rPr>
      </w:pPr>
    </w:p>
    <w:p w14:paraId="1AEDCF24" w14:textId="77777777" w:rsidR="00A25CC5" w:rsidRPr="004F41A6" w:rsidRDefault="008E652F">
      <w:pPr>
        <w:spacing w:line="360" w:lineRule="auto"/>
        <w:ind w:firstLine="567"/>
        <w:jc w:val="both"/>
        <w:rPr>
          <w:rFonts w:ascii="Helvetica" w:hAnsi="Helvetica"/>
        </w:rPr>
      </w:pPr>
      <w:r w:rsidRPr="004F41A6">
        <w:rPr>
          <w:rFonts w:ascii="Helvetica" w:hAnsi="Helvetica" w:cs="Arial"/>
        </w:rPr>
        <w:t>Like all innovative schemes, the CLT raises questions, even fears. The first of them concerns the duration</w:t>
      </w:r>
      <w:r w:rsidRPr="004F41A6">
        <w:rPr>
          <w:rFonts w:ascii="Helvetica" w:hAnsi="Helvetica" w:cs="Arial"/>
        </w:rPr>
        <w:t>. Long time periods and security of occupancy are known to be markers of lasting and sustainable housing. What happens, in other words, when the fifty years are over? Let us admit, first of all, that such a length of time is already considerably longer tha</w:t>
      </w:r>
      <w:r w:rsidRPr="004F41A6">
        <w:rPr>
          <w:rFonts w:ascii="Helvetica" w:hAnsi="Helvetica" w:cs="Arial"/>
        </w:rPr>
        <w:t xml:space="preserve">n the mean duration of residential leases (two and a half years). Next, and contrary to what the law stipulates for the 99-year lease – the CLT's closest cousin – the fifty-year limit on the surface rights is </w:t>
      </w:r>
      <w:r w:rsidRPr="004F41A6">
        <w:rPr>
          <w:rFonts w:ascii="Helvetica" w:hAnsi="Helvetica" w:cs="Arial"/>
          <w:i/>
        </w:rPr>
        <w:t>renewable</w:t>
      </w:r>
      <w:r w:rsidRPr="004F41A6">
        <w:rPr>
          <w:rFonts w:ascii="Helvetica" w:hAnsi="Helvetica" w:cs="Arial"/>
        </w:rPr>
        <w:t xml:space="preserve"> (provided that the parties agree, of </w:t>
      </w:r>
      <w:r w:rsidRPr="004F41A6">
        <w:rPr>
          <w:rFonts w:ascii="Helvetica" w:hAnsi="Helvetica" w:cs="Arial"/>
        </w:rPr>
        <w:t>course). And if the surface rights owner wishes to leave earlier? The novation clause (being tested at Louvain-la-Neuve</w:t>
      </w:r>
      <w:r w:rsidRPr="004F41A6">
        <w:rPr>
          <w:rStyle w:val="Ancredenotedebasdepage"/>
          <w:rFonts w:ascii="Helvetica" w:hAnsi="Helvetica" w:cs="Arial"/>
        </w:rPr>
        <w:footnoteReference w:id="25"/>
      </w:r>
      <w:r w:rsidRPr="004F41A6">
        <w:rPr>
          <w:rFonts w:ascii="Helvetica" w:hAnsi="Helvetica" w:cs="Arial"/>
        </w:rPr>
        <w:t xml:space="preserve">) allows the surface rights owner to </w:t>
      </w:r>
      <w:r w:rsidRPr="004F41A6">
        <w:rPr>
          <w:rFonts w:ascii="Helvetica" w:hAnsi="Helvetica" w:cs="Arial"/>
          <w:shd w:val="clear" w:color="auto" w:fill="FFFFFF"/>
        </w:rPr>
        <w:t xml:space="preserve">sell this right </w:t>
      </w:r>
      <w:r w:rsidRPr="004F41A6">
        <w:rPr>
          <w:rFonts w:ascii="Helvetica" w:hAnsi="Helvetica" w:cs="Arial"/>
        </w:rPr>
        <w:t xml:space="preserve">early, at which point a new fifty-year period will kick off </w:t>
      </w:r>
      <w:r w:rsidRPr="004F41A6">
        <w:rPr>
          <w:rFonts w:ascii="Helvetica" w:hAnsi="Helvetica" w:cs="Arial"/>
        </w:rPr>
        <w:lastRenderedPageBreak/>
        <w:t xml:space="preserve">for the new buyer, and </w:t>
      </w:r>
      <w:r w:rsidRPr="004F41A6">
        <w:rPr>
          <w:rFonts w:ascii="Helvetica" w:hAnsi="Helvetica" w:cs="Arial"/>
        </w:rPr>
        <w:t>so on and so forth for subsequent buyers. In other words, the clock is reset at each transmission of the title (</w:t>
      </w:r>
      <w:r w:rsidRPr="004F41A6">
        <w:rPr>
          <w:rFonts w:ascii="Helvetica" w:hAnsi="Helvetica" w:cs="Arial"/>
          <w:i/>
          <w:iCs/>
        </w:rPr>
        <w:t>inter vivos</w:t>
      </w:r>
      <w:r w:rsidRPr="004F41A6">
        <w:rPr>
          <w:rFonts w:ascii="Helvetica" w:hAnsi="Helvetica" w:cs="Arial"/>
        </w:rPr>
        <w:t>, that is).</w:t>
      </w:r>
    </w:p>
    <w:p w14:paraId="30305EF6" w14:textId="77777777" w:rsidR="00A25CC5" w:rsidRPr="004F41A6" w:rsidRDefault="008E652F">
      <w:pPr>
        <w:spacing w:line="360" w:lineRule="auto"/>
        <w:ind w:firstLine="567"/>
        <w:jc w:val="both"/>
        <w:rPr>
          <w:rFonts w:ascii="Helvetica" w:hAnsi="Helvetica" w:cs="Arial"/>
        </w:rPr>
      </w:pPr>
      <w:r w:rsidRPr="004F41A6">
        <w:rPr>
          <w:rFonts w:ascii="Helvetica" w:hAnsi="Helvetica" w:cs="Arial"/>
        </w:rPr>
        <w:t xml:space="preserve">That being so, is there nothing to bequeath to one's children (a common – and legitimate – question)? </w:t>
      </w:r>
      <w:proofErr w:type="gramStart"/>
      <w:r w:rsidRPr="004F41A6">
        <w:rPr>
          <w:rFonts w:ascii="Helvetica" w:hAnsi="Helvetica" w:cs="Arial"/>
        </w:rPr>
        <w:t>Yes</w:t>
      </w:r>
      <w:proofErr w:type="gramEnd"/>
      <w:r w:rsidRPr="004F41A6">
        <w:rPr>
          <w:rFonts w:ascii="Helvetica" w:hAnsi="Helvetica" w:cs="Arial"/>
        </w:rPr>
        <w:t xml:space="preserve"> there is! First</w:t>
      </w:r>
      <w:r w:rsidRPr="004F41A6">
        <w:rPr>
          <w:rFonts w:ascii="Helvetica" w:hAnsi="Helvetica" w:cs="Arial"/>
        </w:rPr>
        <w:t xml:space="preserve"> of all, the surface rights owner's death opens up the possibility for the claimants to occupy the property,</w:t>
      </w:r>
      <w:r w:rsidRPr="004F41A6">
        <w:rPr>
          <w:rStyle w:val="Ancredenotedebasdepage"/>
          <w:rFonts w:ascii="Helvetica" w:hAnsi="Helvetica" w:cs="Arial"/>
        </w:rPr>
        <w:footnoteReference w:id="26"/>
      </w:r>
      <w:r w:rsidRPr="004F41A6">
        <w:rPr>
          <w:rFonts w:ascii="Helvetica" w:hAnsi="Helvetica" w:cs="Arial"/>
        </w:rPr>
        <w:t xml:space="preserve"> just as they are free to </w:t>
      </w:r>
      <w:r w:rsidRPr="004F41A6">
        <w:rPr>
          <w:rFonts w:ascii="Helvetica" w:hAnsi="Helvetica" w:cs="Arial"/>
          <w:shd w:val="clear" w:color="auto" w:fill="FFFFFF"/>
        </w:rPr>
        <w:t>sell their surface rights</w:t>
      </w:r>
      <w:r w:rsidRPr="004F41A6">
        <w:rPr>
          <w:rFonts w:ascii="Helvetica" w:hAnsi="Helvetica" w:cs="Arial"/>
        </w:rPr>
        <w:t xml:space="preserve"> before the fifty-year term elapses and recoup the cxinvestment. Unlike rents, which are “lost f</w:t>
      </w:r>
      <w:r w:rsidRPr="004F41A6">
        <w:rPr>
          <w:rFonts w:ascii="Helvetica" w:hAnsi="Helvetica" w:cs="Arial"/>
        </w:rPr>
        <w:t>orever”, the money paid by the surface rights owner (to repay the mortgage) is recovered, in a way, when the title-holder leaves the CLT. This is all the more the case in that, still in contradistinction to a tenancy, the surface rights owner is allowed to</w:t>
      </w:r>
      <w:r w:rsidRPr="004F41A6">
        <w:rPr>
          <w:rFonts w:ascii="Helvetica" w:hAnsi="Helvetica" w:cs="Arial"/>
        </w:rPr>
        <w:t xml:space="preserve"> carry out work and make improvements to the property, just as any home-owner may do, and the resale price will reflect the costs incurred.</w:t>
      </w:r>
    </w:p>
    <w:p w14:paraId="4AB7D6C3" w14:textId="77777777" w:rsidR="00A25CC5" w:rsidRPr="004F41A6" w:rsidRDefault="00A25CC5">
      <w:pPr>
        <w:spacing w:line="360" w:lineRule="auto"/>
        <w:ind w:firstLine="567"/>
        <w:jc w:val="both"/>
        <w:rPr>
          <w:rFonts w:ascii="Helvetica" w:hAnsi="Helvetica" w:cs="Arial"/>
        </w:rPr>
      </w:pPr>
    </w:p>
    <w:p w14:paraId="09B6D70D" w14:textId="77777777" w:rsidR="00A25CC5" w:rsidRPr="004F41A6" w:rsidRDefault="008E652F">
      <w:pPr>
        <w:spacing w:line="360" w:lineRule="auto"/>
        <w:ind w:firstLine="567"/>
        <w:jc w:val="both"/>
        <w:rPr>
          <w:rFonts w:ascii="Helvetica" w:hAnsi="Helvetica"/>
        </w:rPr>
      </w:pPr>
      <w:r w:rsidRPr="004F41A6">
        <w:rPr>
          <w:rFonts w:ascii="Helvetica" w:eastAsia="Heiti SC Light" w:hAnsi="Helvetica" w:cs="Arial"/>
          <w:shd w:val="clear" w:color="auto" w:fill="00FF00"/>
        </w:rPr>
        <w:t>Before wrapping up this point, we must pursue one last train of thought. This placement of the land in trust effect</w:t>
      </w:r>
      <w:r w:rsidRPr="004F41A6">
        <w:rPr>
          <w:rFonts w:ascii="Helvetica" w:eastAsia="Heiti SC Light" w:hAnsi="Helvetica" w:cs="Arial"/>
          <w:shd w:val="clear" w:color="auto" w:fill="00FF00"/>
        </w:rPr>
        <w:t>ively puts the CLT in the “common property” category.</w:t>
      </w:r>
      <w:r w:rsidRPr="004F41A6">
        <w:rPr>
          <w:rStyle w:val="Ancredenotedebasdepage"/>
          <w:rFonts w:ascii="Helvetica" w:eastAsia="Heiti SC Light" w:hAnsi="Helvetica" w:cs="Arial"/>
          <w:shd w:val="clear" w:color="auto" w:fill="00FF00"/>
        </w:rPr>
        <w:footnoteReference w:id="27"/>
      </w:r>
      <w:r w:rsidRPr="004F41A6">
        <w:rPr>
          <w:rFonts w:ascii="Helvetica" w:eastAsia="Heiti SC Light" w:hAnsi="Helvetica" w:cs="Arial"/>
          <w:shd w:val="clear" w:color="auto" w:fill="00FF00"/>
        </w:rPr>
        <w:t xml:space="preserve"> Both the surface and subsoil belong to an organisation in charge of running the whole for the benefit of the common good. In so doing, the CLT belongs to one of two fields likely to see common property</w:t>
      </w:r>
      <w:r w:rsidRPr="004F41A6">
        <w:rPr>
          <w:rFonts w:ascii="Helvetica" w:eastAsia="Heiti SC Light" w:hAnsi="Helvetica" w:cs="Arial"/>
          <w:shd w:val="clear" w:color="auto" w:fill="00FF00"/>
        </w:rPr>
        <w:t xml:space="preserve"> prosper, namely, the “rarefaction of a natural resource”</w:t>
      </w:r>
      <w:r w:rsidRPr="004F41A6">
        <w:rPr>
          <w:rStyle w:val="Ancredenotedebasdepage"/>
          <w:rFonts w:ascii="Helvetica" w:eastAsia="Heiti SC Light" w:hAnsi="Helvetica" w:cs="Arial"/>
          <w:shd w:val="clear" w:color="auto" w:fill="00FF00"/>
        </w:rPr>
        <w:footnoteReference w:id="28"/>
      </w:r>
      <w:r w:rsidRPr="004F41A6">
        <w:rPr>
          <w:rFonts w:ascii="Helvetica" w:eastAsia="Heiti SC Light" w:hAnsi="Helvetica" w:cs="Arial"/>
          <w:shd w:val="clear" w:color="auto" w:fill="00FF00"/>
        </w:rPr>
        <w:t xml:space="preserve"> (land, in this case). Land is indeed a finite, neither expandable nor renewable, resource that whets everyone's appetite.</w:t>
      </w:r>
      <w:r w:rsidRPr="004F41A6">
        <w:rPr>
          <w:rStyle w:val="Ancredenotedebasdepage"/>
          <w:rFonts w:ascii="Helvetica" w:eastAsia="Heiti SC Light" w:hAnsi="Helvetica" w:cs="Arial"/>
          <w:shd w:val="clear" w:color="auto" w:fill="00FF00"/>
        </w:rPr>
        <w:footnoteReference w:id="29"/>
      </w:r>
      <w:r w:rsidRPr="004F41A6">
        <w:rPr>
          <w:rFonts w:ascii="Helvetica" w:eastAsia="Heiti SC Light" w:hAnsi="Helvetica" w:cs="Arial"/>
          <w:shd w:val="clear" w:color="auto" w:fill="00FF00"/>
        </w:rPr>
        <w:t xml:space="preserve"> Today there is reason to remove this rare resource from the realm of unend</w:t>
      </w:r>
      <w:r w:rsidRPr="004F41A6">
        <w:rPr>
          <w:rFonts w:ascii="Helvetica" w:eastAsia="Heiti SC Light" w:hAnsi="Helvetica" w:cs="Arial"/>
          <w:shd w:val="clear" w:color="auto" w:fill="00FF00"/>
        </w:rPr>
        <w:t>ing private ownership to preserve access to the land for the generations to come.</w:t>
      </w:r>
      <w:r w:rsidRPr="004F41A6">
        <w:rPr>
          <w:rFonts w:ascii="Helvetica" w:eastAsia="Heiti SC Light" w:hAnsi="Helvetica" w:cs="Arial"/>
        </w:rPr>
        <w:t xml:space="preserve"> </w:t>
      </w:r>
      <w:r w:rsidRPr="004F41A6">
        <w:rPr>
          <w:rFonts w:ascii="Helvetica" w:eastAsia="Heiti SC Light" w:hAnsi="Helvetica" w:cs="Arial"/>
          <w:shd w:val="clear" w:color="auto" w:fill="FFFF00"/>
          <w:lang w:val="fr-FR"/>
        </w:rPr>
        <w:t xml:space="preserve">« Dans de nombreuses hypothèses, la propriété dite démembrée emporte un accès à une ressource, souvent immobilière </w:t>
      </w:r>
      <w:r w:rsidRPr="004F41A6">
        <w:rPr>
          <w:rFonts w:ascii="Helvetica" w:eastAsia="Heiti SC Light" w:hAnsi="Helvetica" w:cs="Arial"/>
          <w:shd w:val="clear" w:color="auto" w:fill="FFFF00"/>
          <w:lang w:val="fr-FR"/>
        </w:rPr>
        <w:lastRenderedPageBreak/>
        <w:t xml:space="preserve">ou à tout le moins à l’une de ses utilités au profit </w:t>
      </w:r>
      <w:r w:rsidRPr="004F41A6">
        <w:rPr>
          <w:rFonts w:ascii="Helvetica" w:eastAsia="Heiti SC Light" w:hAnsi="Helvetica" w:cs="Arial"/>
          <w:shd w:val="clear" w:color="auto" w:fill="FFFF00"/>
          <w:lang w:val="fr-FR"/>
        </w:rPr>
        <w:t>d’autrui, voire partagé à plusieurs […] En cela elle comporte un élément de définition des communs »</w:t>
      </w:r>
      <w:r w:rsidRPr="004F41A6">
        <w:rPr>
          <w:rStyle w:val="Ancredenotedebasdepage"/>
          <w:rFonts w:ascii="Helvetica" w:eastAsia="Heiti SC Light" w:hAnsi="Helvetica" w:cs="Arial"/>
          <w:shd w:val="clear" w:color="auto" w:fill="FFFF00"/>
          <w:lang w:val="fr-FR"/>
        </w:rPr>
        <w:footnoteReference w:id="30"/>
      </w:r>
      <w:r w:rsidRPr="004F41A6">
        <w:rPr>
          <w:rFonts w:ascii="Helvetica" w:eastAsia="Heiti SC Light" w:hAnsi="Helvetica" w:cs="Arial"/>
          <w:shd w:val="clear" w:color="auto" w:fill="FFFF00"/>
        </w:rPr>
        <w:t>.</w:t>
      </w:r>
    </w:p>
    <w:p w14:paraId="4664C9E4" w14:textId="77777777" w:rsidR="00A25CC5" w:rsidRPr="004F41A6" w:rsidRDefault="00A25CC5">
      <w:pPr>
        <w:spacing w:line="360" w:lineRule="auto"/>
        <w:ind w:firstLine="567"/>
        <w:jc w:val="both"/>
        <w:rPr>
          <w:rFonts w:ascii="Helvetica" w:hAnsi="Helvetica" w:cs="Arial"/>
        </w:rPr>
      </w:pPr>
    </w:p>
    <w:p w14:paraId="23A20433" w14:textId="77777777" w:rsidR="00A25CC5" w:rsidRPr="004F41A6" w:rsidRDefault="008E652F">
      <w:pPr>
        <w:spacing w:line="360" w:lineRule="auto"/>
        <w:jc w:val="both"/>
        <w:rPr>
          <w:rFonts w:ascii="Helvetica" w:hAnsi="Helvetica"/>
        </w:rPr>
      </w:pPr>
      <w:r w:rsidRPr="004F41A6">
        <w:rPr>
          <w:rFonts w:ascii="Helvetica" w:hAnsi="Helvetica" w:cs="Arial"/>
          <w:i/>
        </w:rPr>
        <w:t xml:space="preserve">b) A capped resale price or a long-term affordability guarantee  </w:t>
      </w:r>
    </w:p>
    <w:p w14:paraId="1987E03D" w14:textId="77777777" w:rsidR="00A25CC5" w:rsidRPr="004F41A6" w:rsidRDefault="00A25CC5">
      <w:pPr>
        <w:spacing w:line="360" w:lineRule="auto"/>
        <w:jc w:val="both"/>
        <w:rPr>
          <w:rFonts w:ascii="Helvetica" w:hAnsi="Helvetica" w:cs="Arial"/>
        </w:rPr>
      </w:pPr>
    </w:p>
    <w:p w14:paraId="0CB2311F" w14:textId="77777777" w:rsidR="00A25CC5" w:rsidRPr="004F41A6" w:rsidRDefault="008E652F">
      <w:pPr>
        <w:spacing w:line="360" w:lineRule="auto"/>
        <w:ind w:firstLine="567"/>
        <w:jc w:val="both"/>
        <w:rPr>
          <w:rFonts w:ascii="Helvetica" w:hAnsi="Helvetica"/>
        </w:rPr>
      </w:pPr>
      <w:r w:rsidRPr="004F41A6">
        <w:rPr>
          <w:rFonts w:ascii="Helvetica" w:hAnsi="Helvetica" w:cs="Arial"/>
        </w:rPr>
        <w:t>Let's dwell a minute upon the resale price, for that is where a characteristic featur</w:t>
      </w:r>
      <w:r w:rsidRPr="004F41A6">
        <w:rPr>
          <w:rFonts w:ascii="Helvetica" w:hAnsi="Helvetica" w:cs="Arial"/>
        </w:rPr>
        <w:t>e of the CLT (alongside the separation of ownership) comes into play. In a nutshell, this price is capped.  Rather than leaving the selling surface rights owner free to set the price (in which case the seller alone would pocket all of the capital gains gen</w:t>
      </w:r>
      <w:r w:rsidRPr="004F41A6">
        <w:rPr>
          <w:rFonts w:ascii="Helvetica" w:hAnsi="Helvetica" w:cs="Arial"/>
        </w:rPr>
        <w:t>erated by rising property values), the price corresponds to the initial amount upped by the investments made by the surface rights owner and only a quarter of the aforementioned capital gains. By activating the pre-emptive clause designed in its favour, th</w:t>
      </w:r>
      <w:r w:rsidRPr="004F41A6">
        <w:rPr>
          <w:rFonts w:ascii="Helvetica" w:hAnsi="Helvetica" w:cs="Arial"/>
        </w:rPr>
        <w:t>e CLT buys the right to make it available to the next buyer at a price that remains affordable. In this way, “permanently affordable housing” is guaranteed and the wind is taken out of the sails of the purely speculative rationales that tend to exclude the</w:t>
      </w:r>
      <w:r w:rsidRPr="004F41A6">
        <w:rPr>
          <w:rFonts w:ascii="Helvetica" w:hAnsi="Helvetica" w:cs="Arial"/>
        </w:rPr>
        <w:t xml:space="preserve"> weakest from the property market. What is more, the public authorities no longer have to provide pecuniary assistance </w:t>
      </w:r>
      <w:r w:rsidRPr="004F41A6">
        <w:rPr>
          <w:rFonts w:ascii="Helvetica" w:hAnsi="Helvetica" w:cs="Arial"/>
          <w:i/>
        </w:rPr>
        <w:t>ad libitum</w:t>
      </w:r>
      <w:r w:rsidRPr="004F41A6">
        <w:rPr>
          <w:rFonts w:ascii="Helvetica" w:hAnsi="Helvetica" w:cs="Arial"/>
        </w:rPr>
        <w:t xml:space="preserve"> with each new transaction. So, once past the initial subsidy (to purchase the land, for example), the system is self-sufficien</w:t>
      </w:r>
      <w:r w:rsidRPr="004F41A6">
        <w:rPr>
          <w:rFonts w:ascii="Helvetica" w:hAnsi="Helvetica" w:cs="Arial"/>
        </w:rPr>
        <w:t>t. Boosting poorer households' solvency artificially by means of bonuses and other monetary assists is not the solution, since, through the laws of supply and demand, such actions will themselves fuel a rise in property values.  Instead, those breaking ont</w:t>
      </w:r>
      <w:r w:rsidRPr="004F41A6">
        <w:rPr>
          <w:rFonts w:ascii="Helvetica" w:hAnsi="Helvetica" w:cs="Arial"/>
        </w:rPr>
        <w:t xml:space="preserve">o the property market are helped most effectively by being given access to a supply of properties at affordable, regulated prices. </w:t>
      </w:r>
    </w:p>
    <w:p w14:paraId="2B132524" w14:textId="77777777" w:rsidR="00A25CC5" w:rsidRPr="004F41A6" w:rsidRDefault="00A25CC5">
      <w:pPr>
        <w:spacing w:line="360" w:lineRule="auto"/>
        <w:ind w:firstLine="567"/>
        <w:jc w:val="both"/>
        <w:rPr>
          <w:rFonts w:ascii="Helvetica" w:hAnsi="Helvetica" w:cs="Arial"/>
        </w:rPr>
      </w:pPr>
    </w:p>
    <w:p w14:paraId="1884965F" w14:textId="77777777" w:rsidR="00A25CC5" w:rsidRPr="004F41A6" w:rsidRDefault="008E652F">
      <w:pPr>
        <w:spacing w:line="360" w:lineRule="auto"/>
        <w:jc w:val="both"/>
        <w:rPr>
          <w:rFonts w:ascii="Helvetica" w:hAnsi="Helvetica"/>
        </w:rPr>
      </w:pPr>
      <w:r w:rsidRPr="004F41A6">
        <w:rPr>
          <w:rFonts w:ascii="Helvetica" w:hAnsi="Helvetica" w:cs="Arial"/>
          <w:i/>
        </w:rPr>
        <w:t>c) Tripartite management or the guarantee of the harmonious, concerted, and collective development of the CLT</w:t>
      </w:r>
    </w:p>
    <w:p w14:paraId="31896825" w14:textId="77777777" w:rsidR="00A25CC5" w:rsidRPr="004F41A6" w:rsidRDefault="00A25CC5">
      <w:pPr>
        <w:spacing w:line="360" w:lineRule="auto"/>
        <w:jc w:val="both"/>
        <w:rPr>
          <w:rFonts w:ascii="Helvetica" w:hAnsi="Helvetica" w:cs="Arial"/>
        </w:rPr>
      </w:pPr>
    </w:p>
    <w:p w14:paraId="7F6D1EAA" w14:textId="77777777" w:rsidR="00A25CC5" w:rsidRPr="004F41A6" w:rsidRDefault="008E652F">
      <w:pPr>
        <w:spacing w:line="360" w:lineRule="auto"/>
        <w:ind w:firstLine="567"/>
        <w:jc w:val="both"/>
        <w:rPr>
          <w:rFonts w:ascii="Helvetica" w:hAnsi="Helvetica"/>
        </w:rPr>
      </w:pPr>
      <w:r w:rsidRPr="004F41A6">
        <w:rPr>
          <w:rFonts w:ascii="Helvetica" w:hAnsi="Helvetica" w:cs="Arial"/>
        </w:rPr>
        <w:t>The last fou</w:t>
      </w:r>
      <w:r w:rsidRPr="004F41A6">
        <w:rPr>
          <w:rFonts w:ascii="Helvetica" w:hAnsi="Helvetica" w:cs="Arial"/>
        </w:rPr>
        <w:t xml:space="preserve">nding trait of the community land trust is its tripartite management, mixing CLT residents, neighbours from the surrounding area, and public authorities in </w:t>
      </w:r>
      <w:r w:rsidRPr="004F41A6">
        <w:rPr>
          <w:rFonts w:ascii="Helvetica" w:hAnsi="Helvetica" w:cs="Arial"/>
        </w:rPr>
        <w:lastRenderedPageBreak/>
        <w:t>equal parts.</w:t>
      </w:r>
      <w:r w:rsidRPr="004F41A6">
        <w:rPr>
          <w:rStyle w:val="Ancredenotedebasdepage"/>
          <w:rFonts w:ascii="Helvetica" w:hAnsi="Helvetica" w:cs="Arial"/>
        </w:rPr>
        <w:footnoteReference w:id="31"/>
      </w:r>
      <w:r w:rsidRPr="004F41A6">
        <w:rPr>
          <w:rFonts w:ascii="Helvetica" w:hAnsi="Helvetica" w:cs="Arial"/>
        </w:rPr>
        <w:t xml:space="preserve"> Whilst the CLT is not collective housing </w:t>
      </w:r>
      <w:r w:rsidRPr="004F41A6">
        <w:rPr>
          <w:rFonts w:ascii="Helvetica" w:hAnsi="Helvetica" w:cs="Arial"/>
          <w:i/>
        </w:rPr>
        <w:t xml:space="preserve">sensu stricto, </w:t>
      </w:r>
      <w:r w:rsidRPr="004F41A6">
        <w:rPr>
          <w:rFonts w:ascii="Helvetica" w:hAnsi="Helvetica" w:cs="Arial"/>
        </w:rPr>
        <w:t xml:space="preserve">it is developed collectively. </w:t>
      </w:r>
      <w:r w:rsidRPr="004F41A6">
        <w:rPr>
          <w:rFonts w:ascii="Helvetica" w:hAnsi="Helvetica" w:cs="Arial"/>
        </w:rPr>
        <w:t>Indeed, the principle of participatory management has seldom (if not never) been developed as far in the field of housing as it has in the case of CLTs.  Not only are the residents or occupants urged to take part in running their entire real estate complex</w:t>
      </w:r>
      <w:r w:rsidRPr="004F41A6">
        <w:rPr>
          <w:rStyle w:val="Ancredenotedebasdepage"/>
          <w:rFonts w:ascii="Helvetica" w:hAnsi="Helvetica" w:cs="Arial"/>
        </w:rPr>
        <w:footnoteReference w:id="32"/>
      </w:r>
      <w:r w:rsidRPr="004F41A6">
        <w:rPr>
          <w:rFonts w:ascii="Helvetica" w:hAnsi="Helvetica" w:cs="Arial"/>
        </w:rPr>
        <w:t xml:space="preserve"> (right from the design phase, in fact), but participation goes as far as including the CLT's neighbours in this process. Even if they are not housed on CLT land, such neighbours are directly concerned by the erection of a new building “at their gates” an</w:t>
      </w:r>
      <w:r w:rsidRPr="004F41A6">
        <w:rPr>
          <w:rFonts w:ascii="Helvetica" w:hAnsi="Helvetica" w:cs="Arial"/>
        </w:rPr>
        <w:t>d thus have something to say in the matter. Even more amazingly, their opinions are taken into account when it comes to size of a building (they ask for it to be reasonable) or its use (multipurpose is preferred). The advantages of such involvement are obv</w:t>
      </w:r>
      <w:r w:rsidRPr="004F41A6">
        <w:rPr>
          <w:rFonts w:ascii="Helvetica" w:hAnsi="Helvetica" w:cs="Arial"/>
        </w:rPr>
        <w:t>ious:  Rather than being imposed on and meeting with outright rejection from the neighbourhood (the all too well known “NIMBY effect”), a CLT construction project will be carried out in a well-thought-out manner, in phase with existing needs, and be compat</w:t>
      </w:r>
      <w:r w:rsidRPr="004F41A6">
        <w:rPr>
          <w:rFonts w:ascii="Helvetica" w:hAnsi="Helvetica" w:cs="Arial"/>
        </w:rPr>
        <w:t>ible with the immediate environment, for ultimately better integration in the neighbourhood.</w:t>
      </w:r>
      <w:r w:rsidRPr="004F41A6">
        <w:rPr>
          <w:rStyle w:val="Ancredenotedebasdepage"/>
          <w:rFonts w:ascii="Helvetica" w:hAnsi="Helvetica" w:cs="Arial"/>
        </w:rPr>
        <w:footnoteReference w:id="33"/>
      </w:r>
      <w:r w:rsidRPr="004F41A6">
        <w:rPr>
          <w:rFonts w:ascii="Helvetica" w:hAnsi="Helvetica" w:cs="Arial"/>
        </w:rPr>
        <w:t xml:space="preserve"> At the end of the day, the CLTB's projects are truly characterised by their mixes of both housing types</w:t>
      </w:r>
      <w:r w:rsidRPr="004F41A6">
        <w:rPr>
          <w:rStyle w:val="Ancredenotedebasdepage"/>
          <w:rFonts w:ascii="Helvetica" w:hAnsi="Helvetica" w:cs="Arial"/>
        </w:rPr>
        <w:footnoteReference w:id="34"/>
      </w:r>
      <w:r w:rsidRPr="004F41A6">
        <w:rPr>
          <w:rFonts w:ascii="Helvetica" w:hAnsi="Helvetica" w:cs="Arial"/>
        </w:rPr>
        <w:t xml:space="preserve"> and community functions.</w:t>
      </w:r>
      <w:r w:rsidRPr="004F41A6">
        <w:rPr>
          <w:rStyle w:val="Ancredenotedebasdepage"/>
          <w:rFonts w:ascii="Helvetica" w:hAnsi="Helvetica" w:cs="Arial"/>
        </w:rPr>
        <w:footnoteReference w:id="35"/>
      </w:r>
      <w:r w:rsidRPr="004F41A6">
        <w:rPr>
          <w:rFonts w:ascii="Helvetica" w:hAnsi="Helvetica" w:cs="Arial"/>
        </w:rPr>
        <w:t xml:space="preserve"> Through this achievement, the C</w:t>
      </w:r>
      <w:r w:rsidRPr="004F41A6">
        <w:rPr>
          <w:rFonts w:ascii="Helvetica" w:hAnsi="Helvetica" w:cs="Arial"/>
        </w:rPr>
        <w:t>LTB makes good on the promise enshrined in the Brussels Housing Code, in which the “regional land trust” must “create on these plots of land both housing […] and facilities of community interest”.</w:t>
      </w:r>
      <w:r w:rsidRPr="004F41A6">
        <w:rPr>
          <w:rStyle w:val="Ancredenotedebasdepage"/>
          <w:rFonts w:ascii="Helvetica" w:hAnsi="Helvetica" w:cs="Arial"/>
        </w:rPr>
        <w:footnoteReference w:id="36"/>
      </w:r>
    </w:p>
    <w:p w14:paraId="183E6E0D" w14:textId="77777777" w:rsidR="00A25CC5" w:rsidRPr="004F41A6" w:rsidRDefault="008E652F">
      <w:pPr>
        <w:spacing w:line="360" w:lineRule="auto"/>
        <w:ind w:firstLine="567"/>
        <w:jc w:val="both"/>
        <w:rPr>
          <w:rFonts w:ascii="Helvetica" w:hAnsi="Helvetica" w:cs="Arial"/>
        </w:rPr>
      </w:pPr>
      <w:r w:rsidRPr="004F41A6">
        <w:rPr>
          <w:rFonts w:ascii="Helvetica" w:hAnsi="Helvetica" w:cs="Arial"/>
        </w:rPr>
        <w:t>In this way, much more than a building is erected:  A swat</w:t>
      </w:r>
      <w:r w:rsidRPr="004F41A6">
        <w:rPr>
          <w:rFonts w:ascii="Helvetica" w:hAnsi="Helvetica" w:cs="Arial"/>
        </w:rPr>
        <w:t>ch of urban fabric is unfurled.</w:t>
      </w:r>
    </w:p>
    <w:p w14:paraId="2E1099CD" w14:textId="77777777" w:rsidR="00A25CC5" w:rsidRPr="004F41A6" w:rsidRDefault="00A25CC5">
      <w:pPr>
        <w:spacing w:line="360" w:lineRule="auto"/>
        <w:ind w:firstLine="567"/>
        <w:jc w:val="both"/>
        <w:rPr>
          <w:rFonts w:ascii="Helvetica" w:hAnsi="Helvetica" w:cs="Arial"/>
        </w:rPr>
      </w:pPr>
    </w:p>
    <w:p w14:paraId="4DE92656" w14:textId="77777777" w:rsidR="00A25CC5" w:rsidRPr="004F41A6" w:rsidRDefault="008E652F">
      <w:pPr>
        <w:spacing w:line="360" w:lineRule="auto"/>
        <w:ind w:firstLine="567"/>
        <w:jc w:val="both"/>
        <w:rPr>
          <w:rFonts w:ascii="Helvetica" w:hAnsi="Helvetica"/>
        </w:rPr>
      </w:pPr>
      <w:r w:rsidRPr="004F41A6">
        <w:rPr>
          <w:rFonts w:ascii="Helvetica" w:eastAsia="Heiti SC Light" w:hAnsi="Helvetica" w:cs="Arial"/>
          <w:shd w:val="clear" w:color="auto" w:fill="00FF00"/>
        </w:rPr>
        <w:t xml:space="preserve">Here, too, the kinship with common property is obvious. The ownership right </w:t>
      </w:r>
      <w:r w:rsidRPr="004F41A6">
        <w:rPr>
          <w:rFonts w:ascii="Helvetica" w:eastAsia="Heiti SC Light" w:hAnsi="Helvetica" w:cs="Arial"/>
          <w:i/>
          <w:shd w:val="clear" w:color="auto" w:fill="00FF00"/>
        </w:rPr>
        <w:t>in se</w:t>
      </w:r>
      <w:r w:rsidRPr="004F41A6">
        <w:rPr>
          <w:rFonts w:ascii="Helvetica" w:eastAsia="Heiti SC Light" w:hAnsi="Helvetica" w:cs="Arial"/>
          <w:shd w:val="clear" w:color="auto" w:fill="00FF00"/>
        </w:rPr>
        <w:t xml:space="preserve">, as a given legal prerogative, is not the only thing to have to undergo a change </w:t>
      </w:r>
      <w:proofErr w:type="gramStart"/>
      <w:r w:rsidRPr="004F41A6">
        <w:rPr>
          <w:rFonts w:ascii="Helvetica" w:eastAsia="Heiti SC Light" w:hAnsi="Helvetica" w:cs="Arial"/>
          <w:shd w:val="clear" w:color="auto" w:fill="00FF00"/>
        </w:rPr>
        <w:t xml:space="preserve">in  </w:t>
      </w:r>
      <w:r w:rsidRPr="004F41A6">
        <w:rPr>
          <w:rFonts w:ascii="Helvetica" w:eastAsia="Heiti SC Light" w:hAnsi="Helvetica" w:cs="Arial"/>
          <w:shd w:val="clear" w:color="auto" w:fill="00FF00"/>
        </w:rPr>
        <w:lastRenderedPageBreak/>
        <w:t>exclusivity</w:t>
      </w:r>
      <w:proofErr w:type="gramEnd"/>
      <w:r w:rsidRPr="004F41A6">
        <w:rPr>
          <w:rFonts w:ascii="Helvetica" w:eastAsia="Heiti SC Light" w:hAnsi="Helvetica" w:cs="Arial"/>
          <w:shd w:val="clear" w:color="auto" w:fill="00FF00"/>
        </w:rPr>
        <w:t xml:space="preserve"> to join the realm of the commons; the </w:t>
      </w:r>
      <w:r w:rsidRPr="004F41A6">
        <w:rPr>
          <w:rFonts w:ascii="Helvetica" w:eastAsia="Heiti SC Light" w:hAnsi="Helvetica" w:cs="Arial"/>
          <w:i/>
          <w:shd w:val="clear" w:color="auto" w:fill="00FF00"/>
        </w:rPr>
        <w:t xml:space="preserve">mode </w:t>
      </w:r>
      <w:r w:rsidRPr="004F41A6">
        <w:rPr>
          <w:rFonts w:ascii="Helvetica" w:eastAsia="Heiti SC Light" w:hAnsi="Helvetica" w:cs="Arial"/>
          <w:i/>
          <w:shd w:val="clear" w:color="auto" w:fill="00FF00"/>
        </w:rPr>
        <w:t>of governance</w:t>
      </w:r>
      <w:r w:rsidRPr="004F41A6">
        <w:rPr>
          <w:rFonts w:ascii="Helvetica" w:eastAsia="Heiti SC Light" w:hAnsi="Helvetica" w:cs="Arial"/>
          <w:shd w:val="clear" w:color="auto" w:fill="00FF00"/>
        </w:rPr>
        <w:t xml:space="preserve"> of the whole must also adjust to comply with this collegial requirement. Dividing up a right would be of little use if each of its holders could continue to exercise it according to their discretion, in denial of their consorts' needs. The de</w:t>
      </w:r>
      <w:r w:rsidRPr="004F41A6">
        <w:rPr>
          <w:rFonts w:ascii="Helvetica" w:eastAsia="Heiti SC Light" w:hAnsi="Helvetica" w:cs="Arial"/>
          <w:shd w:val="clear" w:color="auto" w:fill="00FF00"/>
        </w:rPr>
        <w:t>cision making must be collective in turn. Seen from this standpoint,</w:t>
      </w:r>
      <w:r w:rsidRPr="004F41A6">
        <w:rPr>
          <w:rFonts w:ascii="Helvetica" w:eastAsia="Heiti SC Light" w:hAnsi="Helvetica" w:cs="Arial"/>
        </w:rPr>
        <w:t xml:space="preserve"> </w:t>
      </w:r>
      <w:r w:rsidRPr="004F41A6">
        <w:rPr>
          <w:rFonts w:ascii="Helvetica" w:eastAsia="Heiti SC Light" w:hAnsi="Helvetica" w:cs="Arial"/>
          <w:shd w:val="clear" w:color="auto" w:fill="FFFF00"/>
        </w:rPr>
        <w:t>« l’activité d’institution du commun ne peut être que commune […] Le commun est tout à la fois une qualité de l’agir et ce que ce même agir institue »</w:t>
      </w:r>
      <w:r w:rsidRPr="004F41A6">
        <w:rPr>
          <w:rStyle w:val="Ancredenotedebasdepage"/>
          <w:rFonts w:ascii="Helvetica" w:eastAsia="Heiti SC Light" w:hAnsi="Helvetica" w:cs="Arial"/>
          <w:shd w:val="clear" w:color="auto" w:fill="FFFF00"/>
        </w:rPr>
        <w:footnoteReference w:id="37"/>
      </w:r>
      <w:r w:rsidRPr="004F41A6">
        <w:rPr>
          <w:rFonts w:ascii="Helvetica" w:eastAsia="Heiti SC Light" w:hAnsi="Helvetica" w:cs="Arial"/>
          <w:shd w:val="clear" w:color="auto" w:fill="FFFF00"/>
        </w:rPr>
        <w:t>.</w:t>
      </w:r>
    </w:p>
    <w:p w14:paraId="04709B6B" w14:textId="77777777" w:rsidR="00A25CC5" w:rsidRPr="004F41A6" w:rsidRDefault="00A25CC5">
      <w:pPr>
        <w:spacing w:line="360" w:lineRule="auto"/>
        <w:ind w:firstLine="567"/>
        <w:jc w:val="both"/>
        <w:rPr>
          <w:rFonts w:ascii="Helvetica" w:hAnsi="Helvetica" w:cs="Arial"/>
        </w:rPr>
      </w:pPr>
    </w:p>
    <w:p w14:paraId="6F071A1B" w14:textId="77777777" w:rsidR="00A25CC5" w:rsidRPr="004F41A6" w:rsidRDefault="00A25CC5">
      <w:pPr>
        <w:spacing w:line="360" w:lineRule="auto"/>
        <w:ind w:firstLine="567"/>
        <w:jc w:val="both"/>
        <w:rPr>
          <w:rFonts w:ascii="Helvetica" w:hAnsi="Helvetica" w:cs="Arial"/>
        </w:rPr>
      </w:pPr>
    </w:p>
    <w:p w14:paraId="7E816D86" w14:textId="77777777" w:rsidR="00A25CC5" w:rsidRPr="004F41A6" w:rsidRDefault="008E652F">
      <w:pPr>
        <w:spacing w:line="360" w:lineRule="auto"/>
        <w:jc w:val="both"/>
        <w:rPr>
          <w:rFonts w:ascii="Helvetica" w:hAnsi="Helvetica"/>
        </w:rPr>
      </w:pPr>
      <w:r w:rsidRPr="004F41A6">
        <w:rPr>
          <w:rFonts w:ascii="Helvetica" w:hAnsi="Helvetica" w:cs="Arial"/>
          <w:shd w:val="clear" w:color="auto" w:fill="00FFFF"/>
        </w:rPr>
        <w:t xml:space="preserve">IV. </w:t>
      </w:r>
      <w:r w:rsidRPr="004F41A6">
        <w:rPr>
          <w:rFonts w:ascii="Helvetica" w:hAnsi="Helvetica" w:cs="Arial"/>
          <w:u w:val="single"/>
          <w:shd w:val="clear" w:color="auto" w:fill="00FFFF"/>
        </w:rPr>
        <w:t>The land, that eternal objec</w:t>
      </w:r>
      <w:r w:rsidRPr="004F41A6">
        <w:rPr>
          <w:rFonts w:ascii="Helvetica" w:hAnsi="Helvetica" w:cs="Arial"/>
          <w:u w:val="single"/>
          <w:shd w:val="clear" w:color="auto" w:fill="00FFFF"/>
        </w:rPr>
        <w:t>t of greed</w:t>
      </w:r>
    </w:p>
    <w:p w14:paraId="4653A74A" w14:textId="77777777" w:rsidR="00A25CC5" w:rsidRPr="004F41A6" w:rsidRDefault="00A25CC5">
      <w:pPr>
        <w:spacing w:line="360" w:lineRule="auto"/>
        <w:jc w:val="both"/>
        <w:rPr>
          <w:rFonts w:ascii="Helvetica" w:hAnsi="Helvetica" w:cs="Arial"/>
          <w:shd w:val="clear" w:color="auto" w:fill="00FFFF"/>
        </w:rPr>
      </w:pPr>
    </w:p>
    <w:p w14:paraId="1245943B" w14:textId="77777777" w:rsidR="00A25CC5" w:rsidRPr="004F41A6" w:rsidRDefault="008E652F">
      <w:pPr>
        <w:spacing w:line="360" w:lineRule="auto"/>
        <w:ind w:firstLine="567"/>
        <w:jc w:val="both"/>
        <w:rPr>
          <w:rFonts w:ascii="Helvetica" w:hAnsi="Helvetica"/>
        </w:rPr>
      </w:pPr>
      <w:r w:rsidRPr="004F41A6">
        <w:rPr>
          <w:rFonts w:ascii="Helvetica" w:hAnsi="Helvetica" w:cs="Arial"/>
          <w:shd w:val="clear" w:color="auto" w:fill="00FFFF"/>
        </w:rPr>
        <w:t>It is impossible to end this contribution without mentioning a peril that recently hovered over the CLTB to the point of threatening its very existence. This peril concerned the land, the immunisation of which is the very hallmark of the CLT. B</w:t>
      </w:r>
      <w:r w:rsidRPr="004F41A6">
        <w:rPr>
          <w:rFonts w:ascii="Helvetica" w:hAnsi="Helvetica" w:cs="Arial"/>
          <w:shd w:val="clear" w:color="auto" w:fill="00FFFF"/>
        </w:rPr>
        <w:t>y a decision taken at the beginning of 2017, the Government of the Brussels-Capital Region very seriously considered transferring “ownership of the lands held by the CLT Foundation to the Housing Fund”, which would in turn “take over, come what may, the ro</w:t>
      </w:r>
      <w:r w:rsidRPr="004F41A6">
        <w:rPr>
          <w:rFonts w:ascii="Helvetica" w:hAnsi="Helvetica" w:cs="Arial"/>
          <w:shd w:val="clear" w:color="auto" w:fill="00FFFF"/>
        </w:rPr>
        <w:t>le of the Foundation for the new operations that are carried out after completion of the CLT reform”. The two-armed CLTB, which consists of a foundation that owns the land and a non-profit association in charge of managing the housing units, to paint a sim</w:t>
      </w:r>
      <w:r w:rsidRPr="004F41A6">
        <w:rPr>
          <w:rFonts w:ascii="Helvetica" w:hAnsi="Helvetica" w:cs="Arial"/>
          <w:shd w:val="clear" w:color="auto" w:fill="00FFFF"/>
        </w:rPr>
        <w:t>ple picture of the situation, would have been stripped of its land. Like an amputee, it would have carried on only in the form (and with the reduced powers) of a non-profit association, thereby losing all semblance of ownership of the project, for example.</w:t>
      </w:r>
    </w:p>
    <w:p w14:paraId="125466D1" w14:textId="77777777" w:rsidR="00A25CC5" w:rsidRPr="004F41A6" w:rsidRDefault="00A25CC5">
      <w:pPr>
        <w:spacing w:line="360" w:lineRule="auto"/>
        <w:ind w:firstLine="567"/>
        <w:jc w:val="both"/>
        <w:rPr>
          <w:rFonts w:ascii="Helvetica" w:hAnsi="Helvetica" w:cs="Arial"/>
          <w:shd w:val="clear" w:color="auto" w:fill="00FFFF"/>
        </w:rPr>
      </w:pPr>
    </w:p>
    <w:p w14:paraId="4AF90910" w14:textId="77777777" w:rsidR="00A25CC5" w:rsidRPr="004F41A6" w:rsidRDefault="008E652F">
      <w:pPr>
        <w:spacing w:line="360" w:lineRule="auto"/>
        <w:ind w:firstLine="567"/>
        <w:jc w:val="both"/>
        <w:rPr>
          <w:rFonts w:ascii="Helvetica" w:hAnsi="Helvetica"/>
        </w:rPr>
      </w:pPr>
      <w:r w:rsidRPr="004F41A6">
        <w:rPr>
          <w:rFonts w:ascii="Helvetica" w:hAnsi="Helvetica" w:cs="Arial"/>
          <w:shd w:val="clear" w:color="auto" w:fill="00FFFF"/>
        </w:rPr>
        <w:t>It goes without saying that this reform plan triggered great alarm. Let me remind you that in law the deprivation of ownership decided by the State must comply with strict rules. By virtue of the Constitution itself,</w:t>
      </w:r>
      <w:r w:rsidRPr="004F41A6">
        <w:rPr>
          <w:rStyle w:val="Ancredenotedebasdepage"/>
          <w:rFonts w:ascii="Helvetica" w:hAnsi="Helvetica" w:cs="Arial"/>
          <w:shd w:val="clear" w:color="auto" w:fill="00FFFF"/>
        </w:rPr>
        <w:footnoteReference w:id="38"/>
      </w:r>
      <w:r w:rsidRPr="004F41A6">
        <w:rPr>
          <w:rFonts w:ascii="Helvetica" w:hAnsi="Helvetica" w:cs="Arial"/>
          <w:shd w:val="clear" w:color="auto" w:fill="00FFFF"/>
        </w:rPr>
        <w:t xml:space="preserve"> such “expropriation” calls for the p</w:t>
      </w:r>
      <w:r w:rsidRPr="004F41A6">
        <w:rPr>
          <w:rFonts w:ascii="Helvetica" w:hAnsi="Helvetica" w:cs="Arial"/>
          <w:shd w:val="clear" w:color="auto" w:fill="00FFFF"/>
        </w:rPr>
        <w:t xml:space="preserve">ayment of “fair and prior compensation” to the party that has been stripped of its property. In any event, the State must imperatively plead a reason of “public utility”, </w:t>
      </w:r>
      <w:r w:rsidRPr="004F41A6">
        <w:rPr>
          <w:rFonts w:ascii="Helvetica" w:hAnsi="Helvetica" w:cs="Arial"/>
          <w:shd w:val="clear" w:color="auto" w:fill="00FFFF"/>
        </w:rPr>
        <w:lastRenderedPageBreak/>
        <w:t>on pain of losing all justification. More fundamentally, transmitting the CLTB's land</w:t>
      </w:r>
      <w:r w:rsidRPr="004F41A6">
        <w:rPr>
          <w:rFonts w:ascii="Helvetica" w:hAnsi="Helvetica" w:cs="Arial"/>
          <w:shd w:val="clear" w:color="auto" w:fill="00FFFF"/>
        </w:rPr>
        <w:t xml:space="preserve"> to a public real estate operator</w:t>
      </w:r>
      <w:r w:rsidRPr="004F41A6">
        <w:rPr>
          <w:rStyle w:val="Ancredenotedebasdepage"/>
          <w:rFonts w:ascii="Helvetica" w:hAnsi="Helvetica" w:cs="Arial"/>
          <w:shd w:val="clear" w:color="auto" w:fill="00FFFF"/>
        </w:rPr>
        <w:footnoteReference w:id="39"/>
      </w:r>
      <w:r w:rsidRPr="004F41A6">
        <w:rPr>
          <w:rFonts w:ascii="Helvetica" w:hAnsi="Helvetica" w:cs="Arial"/>
          <w:shd w:val="clear" w:color="auto" w:fill="00FFFF"/>
        </w:rPr>
        <w:t xml:space="preserve"> in such an out-of-hand manner would without </w:t>
      </w:r>
      <w:proofErr w:type="gramStart"/>
      <w:r w:rsidRPr="004F41A6">
        <w:rPr>
          <w:rFonts w:ascii="Helvetica" w:hAnsi="Helvetica" w:cs="Arial"/>
          <w:shd w:val="clear" w:color="auto" w:fill="00FFFF"/>
        </w:rPr>
        <w:t>fail  dissolve</w:t>
      </w:r>
      <w:proofErr w:type="gramEnd"/>
      <w:r w:rsidRPr="004F41A6">
        <w:rPr>
          <w:rFonts w:ascii="Helvetica" w:hAnsi="Helvetica" w:cs="Arial"/>
          <w:shd w:val="clear" w:color="auto" w:fill="00FFFF"/>
        </w:rPr>
        <w:t xml:space="preserve"> the participatory rationale that is interwoven with and guides decision-making within the Foundation (and which, in contrast, is entirely missing in the Housing F</w:t>
      </w:r>
      <w:r w:rsidRPr="004F41A6">
        <w:rPr>
          <w:rFonts w:ascii="Helvetica" w:hAnsi="Helvetica" w:cs="Arial"/>
          <w:shd w:val="clear" w:color="auto" w:fill="00FFFF"/>
        </w:rPr>
        <w:t>und). If that occurred, the CLTB's strong role in the sustainable housing dynamic would be seriously weakened.</w:t>
      </w:r>
    </w:p>
    <w:p w14:paraId="4EDD79F0" w14:textId="77777777" w:rsidR="00A25CC5" w:rsidRPr="004F41A6" w:rsidRDefault="008E652F">
      <w:pPr>
        <w:spacing w:line="360" w:lineRule="auto"/>
        <w:ind w:firstLine="567"/>
        <w:jc w:val="both"/>
        <w:rPr>
          <w:rFonts w:ascii="Helvetica" w:hAnsi="Helvetica" w:cs="Arial"/>
          <w:shd w:val="clear" w:color="auto" w:fill="00FFFF"/>
        </w:rPr>
      </w:pPr>
      <w:r w:rsidRPr="004F41A6">
        <w:rPr>
          <w:rFonts w:ascii="Helvetica" w:hAnsi="Helvetica" w:cs="Arial"/>
          <w:shd w:val="clear" w:color="auto" w:fill="00FFFF"/>
        </w:rPr>
        <w:t xml:space="preserve">Luckily, the Brussels Government seems to have back-pedalled in the intervening months. It remains for us to hope that this wise turn-around is </w:t>
      </w:r>
      <w:r w:rsidRPr="004F41A6">
        <w:rPr>
          <w:rFonts w:ascii="Helvetica" w:hAnsi="Helvetica" w:cs="Arial"/>
          <w:shd w:val="clear" w:color="auto" w:fill="00FFFF"/>
        </w:rPr>
        <w:t xml:space="preserve">not a simple stay of execution. Continued vigilance is thus required, especially at a time when a new </w:t>
      </w:r>
      <w:r w:rsidR="004F41A6" w:rsidRPr="004F41A6">
        <w:rPr>
          <w:rFonts w:ascii="Helvetica" w:eastAsia="Times New Roman" w:hAnsi="Helvetica" w:cs="Times New Roman"/>
          <w:color w:val="000000"/>
          <w:highlight w:val="cyan"/>
          <w:lang w:val="fr-FR"/>
        </w:rPr>
        <w:t>regional executive government</w:t>
      </w:r>
      <w:bookmarkStart w:id="0" w:name="_GoBack"/>
      <w:bookmarkEnd w:id="0"/>
      <w:r w:rsidR="004F41A6" w:rsidRPr="004F41A6">
        <w:rPr>
          <w:rFonts w:ascii="Helvetica" w:hAnsi="Helvetica" w:cs="Arial"/>
          <w:shd w:val="clear" w:color="auto" w:fill="00FFFF"/>
        </w:rPr>
        <w:t xml:space="preserve"> </w:t>
      </w:r>
      <w:r w:rsidRPr="004F41A6">
        <w:rPr>
          <w:rFonts w:ascii="Helvetica" w:hAnsi="Helvetica" w:cs="Arial"/>
          <w:shd w:val="clear" w:color="auto" w:fill="00FFFF"/>
        </w:rPr>
        <w:t>committee is getting ready to take up its duties (with potentially different views on the CLTB, for example). As for the subject of our</w:t>
      </w:r>
      <w:r w:rsidRPr="004F41A6">
        <w:rPr>
          <w:rFonts w:ascii="Helvetica" w:hAnsi="Helvetica" w:cs="Arial"/>
          <w:shd w:val="clear" w:color="auto" w:fill="00FFFF"/>
        </w:rPr>
        <w:t xml:space="preserve"> discussion, a (very important) lesson should be learnt from this:  Entrusting land ownership lastingly to a private association tasked with keeping the land in its possession in order to be able to dedicate it to collective use is not a given for certain </w:t>
      </w:r>
      <w:r w:rsidRPr="004F41A6">
        <w:rPr>
          <w:rFonts w:ascii="Helvetica" w:hAnsi="Helvetica" w:cs="Arial"/>
          <w:shd w:val="clear" w:color="auto" w:fill="00FFFF"/>
        </w:rPr>
        <w:t>public authorities, even though it is the most tangible expression of common property in the area of housing. Mentalities are clearly the hardest things to change.</w:t>
      </w:r>
    </w:p>
    <w:p w14:paraId="219BBED6" w14:textId="77777777" w:rsidR="004F41A6" w:rsidRPr="004F41A6" w:rsidRDefault="004F41A6">
      <w:pPr>
        <w:spacing w:line="360" w:lineRule="auto"/>
        <w:ind w:firstLine="567"/>
        <w:jc w:val="both"/>
        <w:rPr>
          <w:rFonts w:ascii="Helvetica" w:hAnsi="Helvetica"/>
        </w:rPr>
      </w:pPr>
    </w:p>
    <w:p w14:paraId="6EF4D8A1" w14:textId="77777777" w:rsidR="00A25CC5" w:rsidRPr="004F41A6" w:rsidRDefault="00A25CC5">
      <w:pPr>
        <w:spacing w:line="360" w:lineRule="auto"/>
        <w:ind w:firstLine="567"/>
        <w:jc w:val="both"/>
        <w:rPr>
          <w:rFonts w:ascii="Helvetica" w:hAnsi="Helvetica" w:cs="Arial"/>
          <w:shd w:val="clear" w:color="auto" w:fill="00FFFF"/>
        </w:rPr>
      </w:pPr>
    </w:p>
    <w:p w14:paraId="42277DDE" w14:textId="77777777" w:rsidR="00A25CC5" w:rsidRPr="004F41A6" w:rsidRDefault="00A25CC5">
      <w:pPr>
        <w:spacing w:line="360" w:lineRule="auto"/>
        <w:jc w:val="both"/>
        <w:rPr>
          <w:rFonts w:ascii="Helvetica" w:hAnsi="Helvetica"/>
        </w:rPr>
      </w:pPr>
    </w:p>
    <w:sectPr w:rsidR="00A25CC5" w:rsidRPr="004F41A6">
      <w:footerReference w:type="default" r:id="rId7"/>
      <w:pgSz w:w="11906" w:h="16838"/>
      <w:pgMar w:top="1417" w:right="1417" w:bottom="1417" w:left="1417" w:header="0" w:footer="708" w:gutter="0"/>
      <w:cols w:space="720"/>
      <w:formProt w:val="0"/>
      <w:docGrid w:linePitch="36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D6855" w14:textId="77777777" w:rsidR="008E652F" w:rsidRDefault="008E652F">
      <w:r>
        <w:separator/>
      </w:r>
    </w:p>
  </w:endnote>
  <w:endnote w:type="continuationSeparator" w:id="0">
    <w:p w14:paraId="13795596" w14:textId="77777777" w:rsidR="008E652F" w:rsidRDefault="008E6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0000000000000000000"/>
    <w:charset w:val="00"/>
    <w:family w:val="swiss"/>
    <w:pitch w:val="variable"/>
    <w:sig w:usb0="E00002FF" w:usb1="5000785B"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iti SC Light">
    <w:panose1 w:val="02000000000000000000"/>
    <w:charset w:val="86"/>
    <w:family w:val="roman"/>
    <w:notTrueType/>
    <w:pitch w:val="default"/>
  </w:font>
  <w:font w:name="Liberation Sans">
    <w:altName w:val="Arial"/>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auto"/>
    <w:pitch w:val="variable"/>
    <w:sig w:usb0="00008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363A9" w14:textId="77777777" w:rsidR="00A25CC5" w:rsidRDefault="008E652F">
    <w:pPr>
      <w:pStyle w:val="Pieddepage"/>
      <w:ind w:right="360"/>
    </w:pPr>
    <w:r>
      <w:rPr>
        <w:noProof/>
        <w:lang w:val="fr-FR"/>
      </w:rPr>
      <mc:AlternateContent>
        <mc:Choice Requires="wps">
          <w:drawing>
            <wp:anchor distT="0" distB="0" distL="0" distR="0" simplePos="0" relativeHeight="12" behindDoc="1" locked="0" layoutInCell="1" allowOverlap="1" wp14:anchorId="15185A4F" wp14:editId="624D47B6">
              <wp:simplePos x="0" y="0"/>
              <wp:positionH relativeFrom="margin">
                <wp:align>right</wp:align>
              </wp:positionH>
              <wp:positionV relativeFrom="paragraph">
                <wp:posOffset>635</wp:posOffset>
              </wp:positionV>
              <wp:extent cx="90805" cy="178435"/>
              <wp:effectExtent l="0" t="0" r="0" b="0"/>
              <wp:wrapSquare wrapText="largest"/>
              <wp:docPr id="1" name="Cadre1"/>
              <wp:cNvGraphicFramePr/>
              <a:graphic xmlns:a="http://schemas.openxmlformats.org/drawingml/2006/main">
                <a:graphicData uri="http://schemas.microsoft.com/office/word/2010/wordprocessingShape">
                  <wps:wsp>
                    <wps:cNvSpPr/>
                    <wps:spPr>
                      <a:xfrm>
                        <a:off x="0" y="0"/>
                        <a:ext cx="90805" cy="178435"/>
                      </a:xfrm>
                      <a:prstGeom prst="rect">
                        <a:avLst/>
                      </a:prstGeom>
                      <a:noFill/>
                      <a:ln>
                        <a:noFill/>
                      </a:ln>
                    </wps:spPr>
                    <wps:style>
                      <a:lnRef idx="0">
                        <a:scrgbClr r="0" g="0" b="0"/>
                      </a:lnRef>
                      <a:fillRef idx="0">
                        <a:scrgbClr r="0" g="0" b="0"/>
                      </a:fillRef>
                      <a:effectRef idx="0">
                        <a:scrgbClr r="0" g="0" b="0"/>
                      </a:effectRef>
                      <a:fontRef idx="minor"/>
                    </wps:style>
                    <wps:txbx>
                      <w:txbxContent>
                        <w:p w14:paraId="38E59243" w14:textId="77777777" w:rsidR="00A25CC5" w:rsidRDefault="008E652F">
                          <w:pPr>
                            <w:pStyle w:val="Pieddepage"/>
                            <w:rPr>
                              <w:color w:val="000000"/>
                            </w:rPr>
                          </w:pPr>
                          <w:r>
                            <w:rPr>
                              <w:color w:val="000000"/>
                            </w:rPr>
                            <w:fldChar w:fldCharType="begin"/>
                          </w:r>
                          <w:r>
                            <w:instrText>PAGE</w:instrText>
                          </w:r>
                          <w:r>
                            <w:fldChar w:fldCharType="separate"/>
                          </w:r>
                          <w:r w:rsidR="004F41A6">
                            <w:rPr>
                              <w:noProof/>
                            </w:rPr>
                            <w:t>1</w:t>
                          </w:r>
                          <w:r>
                            <w:fldChar w:fldCharType="end"/>
                          </w:r>
                        </w:p>
                      </w:txbxContent>
                    </wps:txbx>
                    <wps:bodyPr lIns="0" tIns="0" rIns="0" bIns="0">
                      <a:spAutoFit/>
                    </wps:bodyPr>
                  </wps:wsp>
                </a:graphicData>
              </a:graphic>
            </wp:anchor>
          </w:drawing>
        </mc:Choice>
        <mc:Fallback>
          <w:pict>
            <v:rect w14:anchorId="15185A4F" id="Cadre1" o:spid="_x0000_s1026" style="position:absolute;margin-left:-44.05pt;margin-top:.05pt;width:7.15pt;height:14.05pt;z-index:-503316468;visibility:visible;mso-wrap-style:square;mso-wrap-distance-left:0;mso-wrap-distance-top:0;mso-wrap-distance-right:0;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" filled="f" stroked="f">
              <v:textbox style="mso-fit-shape-to-text:t" inset="0,0,0,0">
                <w:txbxContent>
                  <w:p w14:paraId="38E59243" w14:textId="77777777" w:rsidR="00A25CC5" w:rsidRDefault="008E652F">
                    <w:pPr>
                      <w:pStyle w:val="Pieddepage"/>
                      <w:rPr>
                        <w:color w:val="000000"/>
                      </w:rPr>
                    </w:pPr>
                    <w:r>
                      <w:rPr>
                        <w:color w:val="000000"/>
                      </w:rPr>
                      <w:fldChar w:fldCharType="begin"/>
                    </w:r>
                    <w:r>
                      <w:instrText>PAGE</w:instrText>
                    </w:r>
                    <w:r>
                      <w:fldChar w:fldCharType="separate"/>
                    </w:r>
                    <w:r w:rsidR="004F41A6">
                      <w:rPr>
                        <w:noProof/>
                      </w:rPr>
                      <w:t>1</w:t>
                    </w:r>
                    <w: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5348B" w14:textId="77777777" w:rsidR="008E652F" w:rsidRDefault="008E652F">
      <w:r>
        <w:separator/>
      </w:r>
    </w:p>
  </w:footnote>
  <w:footnote w:type="continuationSeparator" w:id="0">
    <w:p w14:paraId="7F093A16" w14:textId="77777777" w:rsidR="008E652F" w:rsidRDefault="008E652F">
      <w:r>
        <w:continuationSeparator/>
      </w:r>
    </w:p>
  </w:footnote>
  <w:footnote w:id="1">
    <w:p w14:paraId="49C5081A" w14:textId="77777777" w:rsidR="00A25CC5" w:rsidRDefault="008E652F">
      <w:pPr>
        <w:pStyle w:val="Notedebasdepage"/>
      </w:pPr>
      <w:r>
        <w:rPr>
          <w:rStyle w:val="Appelnotedebasdep"/>
          <w:rFonts w:ascii="Helvetica" w:hAnsi="Helvetica" w:cs="Arial"/>
          <w:sz w:val="20"/>
          <w:szCs w:val="20"/>
        </w:rPr>
        <w:footnoteRef/>
      </w:r>
      <w:r>
        <w:rPr>
          <w:rStyle w:val="Appelnotedebasdep"/>
          <w:rFonts w:ascii="Helvetica" w:hAnsi="Helvetica" w:cs="Arial"/>
          <w:sz w:val="20"/>
          <w:szCs w:val="20"/>
        </w:rPr>
        <w:tab/>
      </w:r>
      <w:r>
        <w:rPr>
          <w:rFonts w:ascii="Helvetica" w:hAnsi="Helvetica" w:cs="Arial"/>
          <w:sz w:val="20"/>
          <w:szCs w:val="20"/>
        </w:rPr>
        <w:t xml:space="preserve"> Art. 2, §1</w:t>
      </w:r>
      <w:r>
        <w:rPr>
          <w:rFonts w:ascii="Helvetica" w:hAnsi="Helvetica" w:cs="Arial"/>
          <w:sz w:val="20"/>
          <w:szCs w:val="20"/>
          <w:vertAlign w:val="superscript"/>
        </w:rPr>
        <w:t>er</w:t>
      </w:r>
      <w:r>
        <w:rPr>
          <w:rFonts w:ascii="Helvetica" w:hAnsi="Helvetica" w:cs="Arial"/>
          <w:sz w:val="20"/>
          <w:szCs w:val="20"/>
        </w:rPr>
        <w:t>, 27°, introduced by the ordinance of 11 July </w:t>
      </w:r>
      <w:proofErr w:type="gramStart"/>
      <w:r>
        <w:rPr>
          <w:rFonts w:ascii="Helvetica" w:hAnsi="Helvetica" w:cs="Arial"/>
          <w:sz w:val="20"/>
          <w:szCs w:val="20"/>
        </w:rPr>
        <w:t>2013 :</w:t>
      </w:r>
      <w:proofErr w:type="gramEnd"/>
      <w:r>
        <w:rPr>
          <w:rFonts w:ascii="Helvetica" w:hAnsi="Helvetica" w:cs="Arial"/>
          <w:sz w:val="20"/>
          <w:szCs w:val="20"/>
        </w:rPr>
        <w:t xml:space="preserve"> “</w:t>
      </w:r>
      <w:r>
        <w:rPr>
          <w:rFonts w:ascii="Helvetica" w:eastAsia="Times New Roman" w:hAnsi="Helvetica" w:cs="Arial"/>
          <w:i/>
          <w:iCs/>
          <w:sz w:val="20"/>
          <w:szCs w:val="20"/>
        </w:rPr>
        <w:t>Alliance foncière régionale</w:t>
      </w:r>
      <w:r>
        <w:rPr>
          <w:rFonts w:ascii="Helvetica" w:eastAsia="Times New Roman" w:hAnsi="Helvetica" w:cs="Arial"/>
          <w:sz w:val="20"/>
          <w:szCs w:val="20"/>
        </w:rPr>
        <w:t xml:space="preserve"> (Community land trust): Non-profit organisation approved by and the terms of which are set by the Government for the purpose of acquiring and managing plots of l</w:t>
      </w:r>
      <w:r>
        <w:rPr>
          <w:rFonts w:ascii="Helvetica" w:eastAsia="Times New Roman" w:hAnsi="Helvetica" w:cs="Arial"/>
          <w:sz w:val="20"/>
          <w:szCs w:val="20"/>
        </w:rPr>
        <w:t>and in the Brussels-Capital Region in order to create on such land both affordable housing for socially insecure households and community facilities, amongst other things. The community land trust remains the owner of the land but transfers ownership of th</w:t>
      </w:r>
      <w:r>
        <w:rPr>
          <w:rFonts w:ascii="Helvetica" w:eastAsia="Times New Roman" w:hAnsi="Helvetica" w:cs="Arial"/>
          <w:sz w:val="20"/>
          <w:szCs w:val="20"/>
        </w:rPr>
        <w:t>e buildings to the households via dismemberments of rights in rem. It sets the building resale rules that must ensure that the buildings always remain accessible to families with low incomes. In the case of projects receiving regional subsidies, these rule</w:t>
      </w:r>
      <w:r>
        <w:rPr>
          <w:rFonts w:ascii="Helvetica" w:eastAsia="Times New Roman" w:hAnsi="Helvetica" w:cs="Arial"/>
          <w:sz w:val="20"/>
          <w:szCs w:val="20"/>
        </w:rPr>
        <w:t xml:space="preserve">s must be approved by the Government”. </w:t>
      </w:r>
      <w:r>
        <w:rPr>
          <w:rFonts w:ascii="Helvetica" w:eastAsia="Times New Roman" w:hAnsi="Helvetica" w:cs="Arial"/>
          <w:i/>
          <w:sz w:val="20"/>
          <w:szCs w:val="20"/>
        </w:rPr>
        <w:t>See</w:t>
      </w:r>
      <w:r>
        <w:rPr>
          <w:rFonts w:ascii="Helvetica" w:eastAsia="Times New Roman" w:hAnsi="Helvetica" w:cs="Arial"/>
          <w:sz w:val="20"/>
          <w:szCs w:val="20"/>
        </w:rPr>
        <w:t xml:space="preserve"> </w:t>
      </w:r>
      <w:r>
        <w:rPr>
          <w:rFonts w:ascii="Helvetica" w:eastAsia="Times New Roman" w:hAnsi="Helvetica" w:cs="Arial"/>
          <w:i/>
          <w:sz w:val="20"/>
          <w:szCs w:val="20"/>
        </w:rPr>
        <w:t>a</w:t>
      </w:r>
      <w:r>
        <w:rPr>
          <w:rFonts w:ascii="Helvetica" w:eastAsia="Times New Roman" w:hAnsi="Helvetica" w:cs="Arial"/>
          <w:sz w:val="20"/>
          <w:szCs w:val="20"/>
        </w:rPr>
        <w:t xml:space="preserve"> commentary in </w:t>
      </w:r>
      <w:r>
        <w:rPr>
          <w:rFonts w:ascii="Helvetica" w:hAnsi="Helvetica" w:cs="Arial"/>
          <w:sz w:val="20"/>
          <w:szCs w:val="20"/>
        </w:rPr>
        <w:t xml:space="preserve">N. BERNARD &amp; A. MAHOUX, “Le contenu (et la philosophie) de la réforme du 11 juillet 2013”, </w:t>
      </w:r>
      <w:r>
        <w:rPr>
          <w:rFonts w:ascii="Helvetica" w:hAnsi="Helvetica" w:cs="Arial"/>
          <w:i/>
          <w:sz w:val="20"/>
          <w:szCs w:val="20"/>
        </w:rPr>
        <w:t>Le Code bruxellois du logement en débat(s)</w:t>
      </w:r>
      <w:r>
        <w:rPr>
          <w:rFonts w:ascii="Helvetica" w:hAnsi="Helvetica" w:cs="Arial"/>
          <w:sz w:val="20"/>
          <w:szCs w:val="20"/>
        </w:rPr>
        <w:t xml:space="preserve">, N. Bernard &amp; A. Mahoux (Eds.), Brussels, Larcier, 2014, pp.  </w:t>
      </w:r>
      <w:r>
        <w:rPr>
          <w:rFonts w:ascii="Helvetica" w:hAnsi="Helvetica" w:cs="Arial"/>
          <w:sz w:val="20"/>
          <w:szCs w:val="20"/>
        </w:rPr>
        <w:t>xx-yy.</w:t>
      </w:r>
      <w:r>
        <w:rPr>
          <w:rStyle w:val="Ancredenotedebasdepage"/>
          <w:rFonts w:ascii="Arial" w:hAnsi="Arial" w:cs="Arial"/>
        </w:rPr>
        <w:br/>
      </w:r>
    </w:p>
  </w:footnote>
  <w:footnote w:id="2">
    <w:p w14:paraId="26D4B85F" w14:textId="77777777" w:rsidR="00A25CC5" w:rsidRDefault="008E652F">
      <w:pPr>
        <w:pStyle w:val="Notedebasdepage"/>
      </w:pPr>
      <w:r>
        <w:rPr>
          <w:rStyle w:val="Appelnotedebasdep"/>
          <w:rFonts w:ascii="Helvetica" w:hAnsi="Helvetica" w:cs="Arial"/>
          <w:sz w:val="20"/>
          <w:szCs w:val="20"/>
        </w:rPr>
        <w:footnoteRef/>
      </w:r>
      <w:r>
        <w:rPr>
          <w:rStyle w:val="Appelnotedebasdep"/>
          <w:rFonts w:ascii="Helvetica" w:hAnsi="Helvetica" w:cs="Arial"/>
          <w:sz w:val="20"/>
          <w:szCs w:val="20"/>
        </w:rPr>
        <w:tab/>
      </w:r>
      <w:r>
        <w:rPr>
          <w:rFonts w:ascii="Helvetica" w:hAnsi="Helvetica" w:cs="Arial"/>
          <w:sz w:val="20"/>
          <w:szCs w:val="20"/>
        </w:rPr>
        <w:t xml:space="preserve"> R. TIMMERMANS, </w:t>
      </w:r>
      <w:r>
        <w:rPr>
          <w:rFonts w:ascii="Helvetica" w:hAnsi="Helvetica" w:cs="Arial"/>
          <w:i/>
          <w:sz w:val="20"/>
          <w:szCs w:val="20"/>
        </w:rPr>
        <w:t>De Community land trust</w:t>
      </w:r>
      <w:r>
        <w:rPr>
          <w:rFonts w:ascii="Helvetica" w:hAnsi="Helvetica" w:cs="Arial"/>
          <w:sz w:val="20"/>
          <w:szCs w:val="20"/>
        </w:rPr>
        <w:t xml:space="preserve">, Mechelen, Kluwer, 2016, </w:t>
      </w:r>
      <w:r>
        <w:rPr>
          <w:rFonts w:ascii="Helvetica" w:eastAsia="Times New Roman" w:hAnsi="Helvetica" w:cs="Arial"/>
          <w:bCs/>
          <w:sz w:val="20"/>
          <w:szCs w:val="20"/>
        </w:rPr>
        <w:t xml:space="preserve">T. DAWANCE &amp; C. LOUEY, “L’exemple du Community Land Trust - Bruxelles. Quand l’Europe s’inspire des Etats-Unis”, </w:t>
      </w:r>
      <w:r>
        <w:rPr>
          <w:rFonts w:ascii="Helvetica" w:eastAsia="Times New Roman" w:hAnsi="Helvetica" w:cs="Arial"/>
          <w:i/>
          <w:sz w:val="20"/>
          <w:szCs w:val="20"/>
        </w:rPr>
        <w:t>Echos log</w:t>
      </w:r>
      <w:r>
        <w:rPr>
          <w:rFonts w:ascii="Helvetica" w:eastAsia="Times New Roman" w:hAnsi="Helvetica" w:cs="Arial"/>
          <w:sz w:val="20"/>
          <w:szCs w:val="20"/>
        </w:rPr>
        <w:t xml:space="preserve">., 2015, Issue 1, pp. 17 ff., </w:t>
      </w:r>
      <w:r>
        <w:rPr>
          <w:rFonts w:ascii="Helvetica" w:hAnsi="Helvetica" w:cs="Arial"/>
          <w:sz w:val="20"/>
          <w:szCs w:val="20"/>
        </w:rPr>
        <w:t>N. BERNARD, G. DE PAUW &amp; L. G</w:t>
      </w:r>
      <w:r>
        <w:rPr>
          <w:rFonts w:ascii="Helvetica" w:hAnsi="Helvetica" w:cs="Arial"/>
          <w:sz w:val="20"/>
          <w:szCs w:val="20"/>
        </w:rPr>
        <w:t xml:space="preserve">ÉRONNEZ, « Les Community land </w:t>
      </w:r>
      <w:proofErr w:type="gramStart"/>
      <w:r>
        <w:rPr>
          <w:rFonts w:ascii="Helvetica" w:hAnsi="Helvetica" w:cs="Arial"/>
          <w:sz w:val="20"/>
          <w:szCs w:val="20"/>
        </w:rPr>
        <w:t>trusts :</w:t>
      </w:r>
      <w:proofErr w:type="gramEnd"/>
      <w:r>
        <w:rPr>
          <w:rFonts w:ascii="Helvetica" w:hAnsi="Helvetica" w:cs="Arial"/>
          <w:sz w:val="20"/>
          <w:szCs w:val="20"/>
        </w:rPr>
        <w:t xml:space="preserve"> une réponse (acquisitive) innovante face à la crise du logement », </w:t>
      </w:r>
      <w:r>
        <w:rPr>
          <w:rFonts w:ascii="Helvetica" w:hAnsi="Helvetica" w:cs="Arial"/>
          <w:i/>
          <w:sz w:val="20"/>
          <w:szCs w:val="20"/>
        </w:rPr>
        <w:t>Les Cahiers de l’urbanisme</w:t>
      </w:r>
      <w:r>
        <w:rPr>
          <w:rFonts w:ascii="Helvetica" w:hAnsi="Helvetica" w:cs="Arial"/>
          <w:sz w:val="20"/>
          <w:szCs w:val="20"/>
        </w:rPr>
        <w:t>, Issue 78, August 2011, pp. 91 ff,  N. BERNARD, G. DE PAUW &amp; L. GÉRONNEZ, "Coopératives de logement et community land trust</w:t>
      </w:r>
      <w:r>
        <w:rPr>
          <w:rFonts w:ascii="Helvetica" w:hAnsi="Helvetica" w:cs="Arial"/>
          <w:sz w:val="20"/>
          <w:szCs w:val="20"/>
        </w:rPr>
        <w:t xml:space="preserve">s" (with G. Depauw and L. Géronnez), </w:t>
      </w:r>
      <w:r>
        <w:rPr>
          <w:rFonts w:ascii="Helvetica" w:hAnsi="Helvetica" w:cs="Arial"/>
          <w:i/>
          <w:sz w:val="20"/>
          <w:szCs w:val="20"/>
        </w:rPr>
        <w:t>Courriers hebdomadaires du CRISP</w:t>
      </w:r>
      <w:r>
        <w:rPr>
          <w:rFonts w:ascii="Helvetica" w:hAnsi="Helvetica" w:cs="Arial"/>
          <w:sz w:val="20"/>
          <w:szCs w:val="20"/>
        </w:rPr>
        <w:t>, Issue 2073, 2010.</w:t>
      </w:r>
      <w:r>
        <w:rPr>
          <w:rStyle w:val="Ancredenotedebasdepage"/>
          <w:rFonts w:ascii="Arial" w:hAnsi="Arial" w:cs="Arial"/>
        </w:rPr>
        <w:br/>
      </w:r>
    </w:p>
  </w:footnote>
  <w:footnote w:id="3">
    <w:p w14:paraId="49B1CFB4" w14:textId="77777777" w:rsidR="00A25CC5" w:rsidRDefault="008E652F">
      <w:pPr>
        <w:pStyle w:val="Notedebasdepage"/>
      </w:pPr>
      <w:r>
        <w:rPr>
          <w:rStyle w:val="Appelnotedebasdep"/>
          <w:rFonts w:ascii="Helvetica" w:hAnsi="Helvetica"/>
          <w:sz w:val="20"/>
          <w:szCs w:val="20"/>
        </w:rPr>
        <w:footnoteRef/>
      </w:r>
      <w:r>
        <w:rPr>
          <w:rStyle w:val="Appelnotedebasdep"/>
          <w:rFonts w:ascii="Helvetica" w:hAnsi="Helvetica"/>
          <w:sz w:val="20"/>
          <w:szCs w:val="20"/>
        </w:rPr>
        <w:tab/>
      </w:r>
      <w:r>
        <w:rPr>
          <w:rFonts w:ascii="Helvetica" w:hAnsi="Helvetica"/>
          <w:sz w:val="20"/>
          <w:szCs w:val="20"/>
        </w:rPr>
        <w:t xml:space="preserve"> </w:t>
      </w:r>
      <w:r>
        <w:rPr>
          <w:rFonts w:ascii="Helvetica" w:hAnsi="Helvetica"/>
          <w:sz w:val="20"/>
          <w:szCs w:val="20"/>
          <w:shd w:val="clear" w:color="auto" w:fill="FFFF00"/>
        </w:rPr>
        <w:t xml:space="preserve">J.-M. </w:t>
      </w:r>
      <w:r>
        <w:rPr>
          <w:rFonts w:ascii="Helvetica" w:eastAsia="Heiti SC Light" w:hAnsi="Helvetica"/>
          <w:sz w:val="20"/>
          <w:szCs w:val="20"/>
          <w:shd w:val="clear" w:color="auto" w:fill="FFFF00"/>
          <w:lang w:val="fr-FR"/>
        </w:rPr>
        <w:t xml:space="preserve">BESSE, </w:t>
      </w:r>
      <w:r>
        <w:rPr>
          <w:rFonts w:ascii="Helvetica" w:eastAsia="Heiti SC Light" w:hAnsi="Helvetica"/>
          <w:i/>
          <w:sz w:val="20"/>
          <w:szCs w:val="20"/>
          <w:shd w:val="clear" w:color="auto" w:fill="FFFF00"/>
          <w:lang w:val="fr-FR"/>
        </w:rPr>
        <w:t>Habiter. Un monde à mon image</w:t>
      </w:r>
      <w:r>
        <w:rPr>
          <w:rFonts w:ascii="Helvetica" w:eastAsia="Heiti SC Light" w:hAnsi="Helvetica"/>
          <w:sz w:val="20"/>
          <w:szCs w:val="20"/>
          <w:shd w:val="clear" w:color="auto" w:fill="FFFF00"/>
          <w:lang w:val="fr-FR"/>
        </w:rPr>
        <w:t>, Paris, Flammarion, 2013</w:t>
      </w:r>
      <w:r>
        <w:rPr>
          <w:rFonts w:ascii="Helvetica" w:eastAsia="Heiti SC Light" w:hAnsi="Helvetica"/>
          <w:sz w:val="20"/>
          <w:szCs w:val="20"/>
          <w:lang w:val="fr-FR"/>
        </w:rPr>
        <w:t>.</w:t>
      </w:r>
      <w:r>
        <w:rPr>
          <w:rStyle w:val="Ancredenotedebasdepage"/>
          <w:rFonts w:ascii="Arial" w:hAnsi="Arial" w:cs="Arial"/>
        </w:rPr>
        <w:br/>
      </w:r>
    </w:p>
  </w:footnote>
  <w:footnote w:id="4">
    <w:p w14:paraId="457A1943" w14:textId="77777777" w:rsidR="00A25CC5" w:rsidRDefault="008E652F">
      <w:pPr>
        <w:pStyle w:val="Notedebasdepage"/>
      </w:pPr>
      <w:r>
        <w:rPr>
          <w:rStyle w:val="Appelnotedebasdep"/>
          <w:rFonts w:ascii="Helvetica" w:hAnsi="Helvetica"/>
          <w:sz w:val="20"/>
          <w:szCs w:val="20"/>
        </w:rPr>
        <w:footnoteRef/>
      </w:r>
      <w:r>
        <w:rPr>
          <w:rStyle w:val="Appelnotedebasdep"/>
          <w:rFonts w:ascii="Helvetica" w:hAnsi="Helvetica"/>
          <w:sz w:val="20"/>
          <w:szCs w:val="20"/>
        </w:rPr>
        <w:tab/>
      </w:r>
      <w:r>
        <w:rPr>
          <w:rFonts w:ascii="Helvetica" w:hAnsi="Helvetica"/>
          <w:sz w:val="20"/>
          <w:szCs w:val="20"/>
        </w:rPr>
        <w:t xml:space="preserve"> </w:t>
      </w:r>
      <w:r>
        <w:rPr>
          <w:rFonts w:ascii="Helvetica" w:eastAsia="Heiti SC Light" w:hAnsi="Helvetica"/>
          <w:sz w:val="20"/>
          <w:szCs w:val="20"/>
          <w:shd w:val="clear" w:color="auto" w:fill="FFFF00"/>
          <w:lang w:val="fr-FR"/>
        </w:rPr>
        <w:t xml:space="preserve">M.-N. ANFRIE, </w:t>
      </w:r>
      <w:r>
        <w:rPr>
          <w:rFonts w:ascii="Helvetica" w:eastAsia="Heiti SC Light" w:hAnsi="Helvetica"/>
          <w:i/>
          <w:sz w:val="20"/>
          <w:szCs w:val="20"/>
          <w:shd w:val="clear" w:color="auto" w:fill="FFFF00"/>
          <w:lang w:val="fr-FR"/>
        </w:rPr>
        <w:t>Les chiffres-clés du logement en Wallonie</w:t>
      </w:r>
      <w:r>
        <w:rPr>
          <w:rFonts w:ascii="Helvetica" w:eastAsia="Heiti SC Light" w:hAnsi="Helvetica"/>
          <w:sz w:val="20"/>
          <w:szCs w:val="20"/>
          <w:shd w:val="clear" w:color="auto" w:fill="FFFF00"/>
          <w:lang w:val="fr-FR"/>
        </w:rPr>
        <w:t xml:space="preserve">, Charleroi, Centre d’études en habitat durable, 2017 et L. KAHANE </w:t>
      </w:r>
      <w:r>
        <w:rPr>
          <w:rFonts w:ascii="Helvetica" w:eastAsia="Heiti SC Light" w:hAnsi="Helvetica"/>
          <w:i/>
          <w:sz w:val="20"/>
          <w:szCs w:val="20"/>
          <w:shd w:val="clear" w:color="auto" w:fill="FFFF00"/>
          <w:lang w:val="fr-FR"/>
        </w:rPr>
        <w:t>et al.</w:t>
      </w:r>
      <w:r>
        <w:rPr>
          <w:rFonts w:ascii="Helvetica" w:eastAsia="Heiti SC Light" w:hAnsi="Helvetica"/>
          <w:sz w:val="20"/>
          <w:szCs w:val="20"/>
          <w:shd w:val="clear" w:color="auto" w:fill="FFFF00"/>
          <w:lang w:val="fr-FR"/>
        </w:rPr>
        <w:t>, O</w:t>
      </w:r>
      <w:r>
        <w:rPr>
          <w:rFonts w:ascii="Helvetica" w:eastAsia="Heiti SC Light" w:hAnsi="Helvetica"/>
          <w:i/>
          <w:sz w:val="20"/>
          <w:szCs w:val="20"/>
          <w:shd w:val="clear" w:color="auto" w:fill="FFFF00"/>
          <w:lang w:val="fr-FR"/>
        </w:rPr>
        <w:t>bservatoire des ventes de biens résidentiels en Région de Bruxelles-Capitale 1990-2010</w:t>
      </w:r>
      <w:r>
        <w:rPr>
          <w:rFonts w:ascii="Helvetica" w:eastAsia="Heiti SC Light" w:hAnsi="Helvetica"/>
          <w:sz w:val="20"/>
          <w:szCs w:val="20"/>
          <w:shd w:val="clear" w:color="auto" w:fill="FFFF00"/>
          <w:lang w:val="fr-FR"/>
        </w:rPr>
        <w:t>, Bruxelles, Observatoire de l’habitat de la Région de Bruxelles-Capitale, 2015.</w:t>
      </w:r>
      <w:r>
        <w:rPr>
          <w:rStyle w:val="Ancredenotedebasdepage"/>
          <w:rFonts w:ascii="Arial" w:hAnsi="Arial" w:cs="Arial"/>
        </w:rPr>
        <w:br/>
      </w:r>
    </w:p>
  </w:footnote>
  <w:footnote w:id="5">
    <w:p w14:paraId="7827F641" w14:textId="77777777" w:rsidR="00A25CC5" w:rsidRDefault="008E652F">
      <w:pPr>
        <w:pStyle w:val="Notedebasdepage"/>
      </w:pPr>
      <w:r>
        <w:rPr>
          <w:rStyle w:val="Appelnotedebasdep"/>
          <w:rFonts w:ascii="Helvetica" w:hAnsi="Helvetica"/>
          <w:sz w:val="20"/>
          <w:szCs w:val="20"/>
          <w:lang w:val="fr-FR"/>
        </w:rPr>
        <w:footnoteRef/>
      </w:r>
      <w:r>
        <w:rPr>
          <w:rStyle w:val="Appelnotedebasdep"/>
          <w:rFonts w:ascii="Helvetica" w:hAnsi="Helvetica"/>
          <w:sz w:val="20"/>
          <w:szCs w:val="20"/>
          <w:lang w:val="fr-FR"/>
        </w:rPr>
        <w:tab/>
      </w:r>
      <w:r>
        <w:rPr>
          <w:rFonts w:ascii="Helvetica" w:hAnsi="Helvetica"/>
          <w:sz w:val="20"/>
          <w:szCs w:val="20"/>
          <w:lang w:val="fr-FR"/>
        </w:rPr>
        <w:t xml:space="preserve"> </w:t>
      </w:r>
      <w:r>
        <w:rPr>
          <w:rFonts w:ascii="Helvetica" w:hAnsi="Helvetica"/>
          <w:sz w:val="20"/>
          <w:szCs w:val="20"/>
          <w:shd w:val="clear" w:color="auto" w:fill="00FF00"/>
          <w:lang w:val="fr-FR"/>
        </w:rPr>
        <w:t>I</w:t>
      </w:r>
      <w:r>
        <w:rPr>
          <w:rFonts w:ascii="Helvetica" w:hAnsi="Helvetica"/>
          <w:sz w:val="20"/>
          <w:szCs w:val="20"/>
          <w:shd w:val="clear" w:color="auto" w:fill="00FF00"/>
        </w:rPr>
        <w:t>n the Br</w:t>
      </w:r>
      <w:r>
        <w:rPr>
          <w:rFonts w:ascii="Helvetica" w:hAnsi="Helvetica"/>
          <w:sz w:val="20"/>
          <w:szCs w:val="20"/>
          <w:shd w:val="clear" w:color="auto" w:fill="00FF00"/>
        </w:rPr>
        <w:t>ussels Region, for example, the proportion of home owners fell to (exactly) 38.81% in 2011 from 42.7% a decade earlier (comparison of the “2011 Census” with the census taken in 2011 (a socio-economic survey of 96.9% of the country's households that was con</w:t>
      </w:r>
      <w:r>
        <w:rPr>
          <w:rFonts w:ascii="Helvetica" w:hAnsi="Helvetica"/>
          <w:sz w:val="20"/>
          <w:szCs w:val="20"/>
          <w:shd w:val="clear" w:color="auto" w:fill="00FF00"/>
        </w:rPr>
        <w:t>ducted by the National Statistics Institute in 2001 at the behest of the Economic Affairs Minister of the time)</w:t>
      </w:r>
      <w:r>
        <w:rPr>
          <w:rFonts w:ascii="Helvetica" w:hAnsi="Helvetica" w:cs="Arial"/>
          <w:sz w:val="20"/>
          <w:szCs w:val="20"/>
          <w:shd w:val="clear" w:color="auto" w:fill="00FF00"/>
        </w:rPr>
        <w:t>.</w:t>
      </w:r>
      <w:r>
        <w:rPr>
          <w:rStyle w:val="Ancredenotedebasdepage"/>
          <w:rFonts w:ascii="Arial" w:hAnsi="Arial" w:cs="Arial"/>
        </w:rPr>
        <w:br/>
      </w:r>
    </w:p>
  </w:footnote>
  <w:footnote w:id="6">
    <w:p w14:paraId="301F106E" w14:textId="77777777" w:rsidR="00A25CC5" w:rsidRDefault="008E652F">
      <w:pPr>
        <w:pStyle w:val="Notedebasdepage"/>
      </w:pPr>
      <w:r>
        <w:rPr>
          <w:rStyle w:val="Appelnotedebasdep"/>
          <w:rFonts w:ascii="Helvetica" w:hAnsi="Helvetica" w:cs="Arial"/>
          <w:sz w:val="20"/>
          <w:szCs w:val="20"/>
        </w:rPr>
        <w:footnoteRef/>
      </w:r>
      <w:r>
        <w:rPr>
          <w:rStyle w:val="Appelnotedebasdep"/>
          <w:rFonts w:ascii="Helvetica" w:hAnsi="Helvetica" w:cs="Arial"/>
          <w:sz w:val="20"/>
          <w:szCs w:val="20"/>
        </w:rPr>
        <w:tab/>
      </w:r>
      <w:r>
        <w:rPr>
          <w:rFonts w:ascii="Helvetica" w:hAnsi="Helvetica" w:cs="Arial"/>
          <w:sz w:val="20"/>
          <w:szCs w:val="20"/>
        </w:rPr>
        <w:t xml:space="preserve"> Indeed, the tax </w:t>
      </w:r>
      <w:r>
        <w:rPr>
          <w:rFonts w:ascii="Helvetica" w:hAnsi="Helvetica" w:cs="Arial"/>
          <w:sz w:val="20"/>
          <w:szCs w:val="20"/>
          <w:shd w:val="clear" w:color="auto" w:fill="00FF00"/>
          <w:lang w:val="fr-FR"/>
        </w:rPr>
        <w:t>(16.5% of the added value)</w:t>
      </w:r>
      <w:r>
        <w:rPr>
          <w:rFonts w:ascii="Helvetica" w:hAnsi="Helvetica" w:cs="Arial"/>
          <w:sz w:val="20"/>
          <w:szCs w:val="20"/>
          <w:lang w:val="fr-FR"/>
        </w:rPr>
        <w:t xml:space="preserve"> </w:t>
      </w:r>
      <w:r>
        <w:rPr>
          <w:rFonts w:ascii="Helvetica" w:hAnsi="Helvetica" w:cs="Arial"/>
          <w:sz w:val="20"/>
          <w:szCs w:val="20"/>
        </w:rPr>
        <w:t xml:space="preserve">applies only if the seller does not reside in the building and, cumulatively, the resale takes places less than five years after the purchase. </w:t>
      </w:r>
      <w:r>
        <w:rPr>
          <w:rFonts w:ascii="Helvetica" w:hAnsi="Helvetica" w:cs="Arial"/>
          <w:i/>
          <w:sz w:val="20"/>
          <w:szCs w:val="20"/>
          <w:shd w:val="clear" w:color="auto" w:fill="00FF00"/>
          <w:lang w:val="fr-FR"/>
        </w:rPr>
        <w:t xml:space="preserve">See </w:t>
      </w:r>
      <w:r>
        <w:rPr>
          <w:rFonts w:ascii="Helvetica" w:hAnsi="Helvetica" w:cs="Arial"/>
          <w:sz w:val="20"/>
          <w:szCs w:val="20"/>
          <w:shd w:val="clear" w:color="auto" w:fill="00FF00"/>
          <w:lang w:val="fr-FR"/>
        </w:rPr>
        <w:t xml:space="preserve">Articles 90, Par. 1(10), and 171, Par. 4(e), </w:t>
      </w:r>
      <w:r>
        <w:rPr>
          <w:rFonts w:ascii="Helvetica" w:hAnsi="Helvetica" w:cs="Arial"/>
          <w:i/>
          <w:sz w:val="20"/>
          <w:szCs w:val="20"/>
          <w:shd w:val="clear" w:color="auto" w:fill="00FF00"/>
          <w:lang w:val="fr-FR"/>
        </w:rPr>
        <w:t>in fine</w:t>
      </w:r>
      <w:r>
        <w:rPr>
          <w:rFonts w:ascii="Helvetica" w:hAnsi="Helvetica" w:cs="Arial"/>
          <w:sz w:val="20"/>
          <w:szCs w:val="20"/>
          <w:shd w:val="clear" w:color="auto" w:fill="00FF00"/>
          <w:lang w:val="fr-FR"/>
        </w:rPr>
        <w:t>, of the Belgian income tax code.</w:t>
      </w:r>
      <w:r>
        <w:rPr>
          <w:rStyle w:val="Ancredenotedebasdepage"/>
          <w:rFonts w:ascii="Arial" w:hAnsi="Arial" w:cs="Arial"/>
        </w:rPr>
        <w:br/>
      </w:r>
    </w:p>
  </w:footnote>
  <w:footnote w:id="7">
    <w:p w14:paraId="32C60655" w14:textId="77777777" w:rsidR="00A25CC5" w:rsidRDefault="008E652F">
      <w:pPr>
        <w:pStyle w:val="Notedebasdepage"/>
      </w:pPr>
      <w:r>
        <w:rPr>
          <w:rStyle w:val="Appelnotedebasdep"/>
          <w:rFonts w:ascii="Helvetica" w:hAnsi="Helvetica"/>
          <w:sz w:val="20"/>
          <w:szCs w:val="20"/>
        </w:rPr>
        <w:footnoteRef/>
      </w:r>
      <w:r>
        <w:rPr>
          <w:rStyle w:val="Appelnotedebasdep"/>
          <w:rFonts w:ascii="Helvetica" w:hAnsi="Helvetica"/>
          <w:sz w:val="20"/>
          <w:szCs w:val="20"/>
        </w:rPr>
        <w:tab/>
      </w:r>
      <w:r>
        <w:rPr>
          <w:rFonts w:ascii="Helvetica" w:hAnsi="Helvetica"/>
          <w:sz w:val="20"/>
          <w:szCs w:val="20"/>
        </w:rPr>
        <w:t xml:space="preserve"> </w:t>
      </w:r>
      <w:r>
        <w:rPr>
          <w:rFonts w:ascii="Helvetica" w:hAnsi="Helvetica"/>
          <w:sz w:val="20"/>
          <w:szCs w:val="20"/>
          <w:shd w:val="clear" w:color="auto" w:fill="00FF00"/>
          <w:lang w:val="fr-FR"/>
        </w:rPr>
        <w:t>Without taking acco</w:t>
      </w:r>
      <w:r>
        <w:rPr>
          <w:rFonts w:ascii="Helvetica" w:hAnsi="Helvetica"/>
          <w:sz w:val="20"/>
          <w:szCs w:val="20"/>
          <w:shd w:val="clear" w:color="auto" w:fill="00FF00"/>
          <w:lang w:val="fr-FR"/>
        </w:rPr>
        <w:t>unt of the fact that a third of the registration fee is returned if the property is resold within two years (Art. 212, Par. 1, Brussels-Capital Region's Registration, Mortgage, and Clerk's Office Fees Code)</w:t>
      </w:r>
      <w:r>
        <w:rPr>
          <w:rFonts w:ascii="Helvetica" w:hAnsi="Helvetica"/>
          <w:sz w:val="20"/>
          <w:szCs w:val="20"/>
          <w:lang w:val="fr-FR"/>
        </w:rPr>
        <w:t>.</w:t>
      </w:r>
      <w:r>
        <w:rPr>
          <w:rStyle w:val="Ancredenotedebasdepage"/>
          <w:rFonts w:ascii="Arial" w:hAnsi="Arial" w:cs="Arial"/>
        </w:rPr>
        <w:br/>
      </w:r>
    </w:p>
  </w:footnote>
  <w:footnote w:id="8">
    <w:p w14:paraId="71EDB175" w14:textId="77777777" w:rsidR="00A25CC5" w:rsidRDefault="008E652F">
      <w:pPr>
        <w:pStyle w:val="Pardeliste"/>
        <w:numPr>
          <w:ilvl w:val="0"/>
          <w:numId w:val="1"/>
        </w:numPr>
        <w:suppressAutoHyphens w:val="0"/>
        <w:jc w:val="both"/>
      </w:pPr>
      <w:r>
        <w:rPr>
          <w:rStyle w:val="Appelnotedebasdep"/>
          <w:rFonts w:ascii="Helvetica" w:hAnsi="Helvetica"/>
          <w:sz w:val="20"/>
          <w:szCs w:val="20"/>
        </w:rPr>
        <w:footnoteRef/>
      </w:r>
      <w:r>
        <w:rPr>
          <w:rStyle w:val="Appelnotedebasdep"/>
          <w:rFonts w:ascii="Helvetica" w:hAnsi="Helvetica"/>
          <w:sz w:val="20"/>
          <w:szCs w:val="20"/>
        </w:rPr>
        <w:tab/>
      </w:r>
      <w:r>
        <w:rPr>
          <w:rFonts w:ascii="Helvetica" w:hAnsi="Helvetica"/>
          <w:sz w:val="20"/>
          <w:szCs w:val="20"/>
        </w:rPr>
        <w:t xml:space="preserve"> </w:t>
      </w:r>
      <w:r>
        <w:rPr>
          <w:rFonts w:ascii="Helvetica" w:eastAsia="Heiti SC Light" w:hAnsi="Helvetica" w:cs="Helvetica"/>
          <w:sz w:val="20"/>
          <w:szCs w:val="20"/>
          <w:shd w:val="clear" w:color="auto" w:fill="00FF00"/>
          <w:lang w:bidi="fr-FR"/>
        </w:rPr>
        <w:t xml:space="preserve">Whether: </w:t>
      </w:r>
      <w:r>
        <w:rPr>
          <w:rFonts w:ascii="Helvetica" w:eastAsia="Heiti SC Light" w:hAnsi="Helvetica" w:cs="Helvetica"/>
          <w:sz w:val="20"/>
          <w:szCs w:val="20"/>
          <w:shd w:val="clear" w:color="auto" w:fill="00FF00"/>
          <w:lang w:bidi="fr-FR"/>
        </w:rPr>
        <w:br/>
        <w:t>- the former federal housing bonus</w:t>
      </w:r>
      <w:r>
        <w:rPr>
          <w:rFonts w:ascii="Helvetica" w:eastAsia="Heiti SC Light" w:hAnsi="Helvetica" w:cs="Helvetica"/>
          <w:sz w:val="20"/>
          <w:szCs w:val="20"/>
          <w:shd w:val="clear" w:color="auto" w:fill="00FF00"/>
          <w:lang w:bidi="fr-FR"/>
        </w:rPr>
        <w:t xml:space="preserve"> (deducti</w:t>
      </w:r>
      <w:r>
        <w:rPr>
          <w:rFonts w:ascii="Helvetica" w:hAnsi="Helvetica"/>
          <w:sz w:val="20"/>
          <w:szCs w:val="20"/>
          <w:shd w:val="clear" w:color="auto" w:fill="00FF00"/>
        </w:rPr>
        <w:t>on of mortgage interest payments); Walloon “housing voucher” (tax reb</w:t>
      </w:r>
      <w:r>
        <w:rPr>
          <w:rFonts w:ascii="Helvetica" w:eastAsia="Heiti SC Light" w:hAnsi="Helvetica" w:cs="Helvetica"/>
          <w:sz w:val="20"/>
          <w:szCs w:val="20"/>
          <w:shd w:val="clear" w:color="auto" w:fill="00FF00"/>
          <w:lang w:bidi="fr-FR"/>
        </w:rPr>
        <w:t>ate that replaced the hous</w:t>
      </w:r>
      <w:r>
        <w:rPr>
          <w:rFonts w:ascii="Helvetica" w:eastAsia="Times New Roman" w:hAnsi="Helvetica" w:cs="Times New Roman"/>
          <w:sz w:val="20"/>
          <w:szCs w:val="20"/>
          <w:shd w:val="clear" w:color="auto" w:fill="00FF00"/>
        </w:rPr>
        <w:t>in</w:t>
      </w:r>
      <w:r>
        <w:rPr>
          <w:rFonts w:ascii="Helvetica" w:hAnsi="Helvetica"/>
          <w:sz w:val="20"/>
          <w:szCs w:val="20"/>
          <w:shd w:val="clear" w:color="auto" w:fill="00FF00"/>
        </w:rPr>
        <w:t>g bonus in the southern half of the country: Walloon decree o</w:t>
      </w:r>
      <w:r>
        <w:rPr>
          <w:rFonts w:ascii="Helvetica" w:eastAsia="Times New Roman" w:hAnsi="Helvetica" w:cs="Times New Roman"/>
          <w:sz w:val="20"/>
          <w:szCs w:val="20"/>
          <w:shd w:val="clear" w:color="auto" w:fill="00FF00"/>
        </w:rPr>
        <w:t>f 20 July 2016 on the granting of a tax rebate for the acquisition of one's own home: the</w:t>
      </w:r>
      <w:r>
        <w:rPr>
          <w:rFonts w:ascii="Helvetica" w:eastAsia="Times New Roman" w:hAnsi="Helvetica" w:cs="Times New Roman"/>
          <w:sz w:val="20"/>
          <w:szCs w:val="20"/>
          <w:shd w:val="clear" w:color="auto" w:fill="00FF00"/>
        </w:rPr>
        <w:t xml:space="preserve"> “Chèque Habitat”, </w:t>
      </w:r>
      <w:r>
        <w:rPr>
          <w:rFonts w:ascii="Helvetica" w:eastAsia="Times New Roman" w:hAnsi="Helvetica" w:cs="Times New Roman"/>
          <w:i/>
          <w:sz w:val="20"/>
          <w:szCs w:val="20"/>
          <w:shd w:val="clear" w:color="auto" w:fill="00FF00"/>
        </w:rPr>
        <w:t>Moniteur Belge</w:t>
      </w:r>
      <w:r>
        <w:rPr>
          <w:rFonts w:ascii="Helvetica" w:eastAsia="Times New Roman" w:hAnsi="Helvetica" w:cs="Times New Roman"/>
          <w:sz w:val="20"/>
          <w:szCs w:val="20"/>
          <w:shd w:val="clear" w:color="auto" w:fill="00FF00"/>
        </w:rPr>
        <w:t>, 10 August 2016</w:t>
      </w:r>
      <w:r>
        <w:rPr>
          <w:rFonts w:ascii="Helvetica" w:eastAsia="Heiti SC Light" w:hAnsi="Helvetica" w:cs="Helvetica"/>
          <w:sz w:val="20"/>
          <w:szCs w:val="20"/>
          <w:shd w:val="clear" w:color="auto" w:fill="00FF00"/>
          <w:lang w:bidi="fr-FR"/>
        </w:rPr>
        <w:t>);</w:t>
      </w:r>
      <w:r>
        <w:rPr>
          <w:rFonts w:ascii="Helvetica" w:eastAsia="Heiti SC Light" w:hAnsi="Helvetica" w:cs="Helvetica"/>
          <w:sz w:val="20"/>
          <w:szCs w:val="20"/>
          <w:shd w:val="clear" w:color="auto" w:fill="00FF00"/>
          <w:lang w:bidi="fr-FR"/>
        </w:rPr>
        <w:tab/>
        <w:t>mortgages at preferential rates (this is the main activity of the Flemish, Brussels, and Walloo</w:t>
      </w:r>
      <w:r>
        <w:rPr>
          <w:rFonts w:ascii="Helvetica" w:hAnsi="Helvetica"/>
          <w:sz w:val="20"/>
          <w:szCs w:val="20"/>
          <w:shd w:val="clear" w:color="auto" w:fill="00FF00"/>
        </w:rPr>
        <w:t>n Housing Funds and the Société Wallonne du crédit social (Walloon social lending society);</w:t>
      </w:r>
    </w:p>
    <w:p w14:paraId="46BDD9C1" w14:textId="77777777" w:rsidR="00A25CC5" w:rsidRDefault="008E652F">
      <w:pPr>
        <w:pStyle w:val="Pardeliste"/>
        <w:numPr>
          <w:ilvl w:val="0"/>
          <w:numId w:val="1"/>
        </w:numPr>
        <w:suppressAutoHyphens w:val="0"/>
        <w:jc w:val="both"/>
      </w:pPr>
      <w:r>
        <w:rPr>
          <w:rFonts w:ascii="Helvetica" w:eastAsia="Heiti SC Light" w:hAnsi="Helvetica" w:cs="Times New Roman"/>
          <w:sz w:val="20"/>
          <w:szCs w:val="20"/>
          <w:shd w:val="clear" w:color="auto" w:fill="00FF00"/>
        </w:rPr>
        <w:tab/>
        <w:t>the Walloon mort</w:t>
      </w:r>
      <w:r>
        <w:rPr>
          <w:rFonts w:ascii="Helvetica" w:eastAsia="Heiti SC Light" w:hAnsi="Helvetica" w:cs="Times New Roman"/>
          <w:sz w:val="20"/>
          <w:szCs w:val="20"/>
          <w:shd w:val="clear" w:color="auto" w:fill="00FF00"/>
        </w:rPr>
        <w:t>gage guarantee (whereby the Walloon</w:t>
      </w:r>
      <w:r>
        <w:rPr>
          <w:rFonts w:ascii="Helvetica" w:eastAsia="Times New Roman" w:hAnsi="Helvetica" w:cs="Times New Roman"/>
          <w:sz w:val="20"/>
          <w:szCs w:val="20"/>
          <w:shd w:val="clear" w:color="auto" w:fill="00FF00"/>
        </w:rPr>
        <w:t xml:space="preserve"> Region grants a “guarantee of successful conclusion of payment of the principal and interests and accessory fees” on loans granted by a series of social agencies:  Walloon Government order of 30 April 2009 setting the co</w:t>
      </w:r>
      <w:r>
        <w:rPr>
          <w:rFonts w:ascii="Helvetica" w:eastAsia="Times New Roman" w:hAnsi="Helvetica" w:cs="Times New Roman"/>
          <w:sz w:val="20"/>
          <w:szCs w:val="20"/>
          <w:shd w:val="clear" w:color="auto" w:fill="00FF00"/>
        </w:rPr>
        <w:t xml:space="preserve">nditions under which the Region's guarantee of successful conclusion is granted for the repayment of the loans stipulated in Article 23 of the Walloon Housing Code, </w:t>
      </w:r>
      <w:r>
        <w:rPr>
          <w:rStyle w:val="Marquedecommentaire1"/>
          <w:rFonts w:ascii="Helvetica" w:hAnsi="Helvetica" w:cs="Helvetica"/>
          <w:i/>
          <w:sz w:val="20"/>
          <w:szCs w:val="20"/>
          <w:shd w:val="clear" w:color="auto" w:fill="FFFFFF"/>
        </w:rPr>
        <w:t>M.B.</w:t>
      </w:r>
      <w:r>
        <w:rPr>
          <w:rStyle w:val="Marquedecommentaire1"/>
          <w:rFonts w:ascii="Helvetica" w:hAnsi="Helvetica" w:cs="Helvetica"/>
          <w:sz w:val="20"/>
          <w:szCs w:val="20"/>
          <w:shd w:val="clear" w:color="auto" w:fill="FFFFFF"/>
        </w:rPr>
        <w:t>, 16 June 2009)</w:t>
      </w:r>
      <w:r>
        <w:rPr>
          <w:rFonts w:ascii="Helvetica" w:eastAsia="Heiti SC Light" w:hAnsi="Helvetica" w:cs="Times New Roman"/>
          <w:sz w:val="20"/>
          <w:szCs w:val="20"/>
          <w:shd w:val="clear" w:color="auto" w:fill="00FF00"/>
        </w:rPr>
        <w:t>;</w:t>
      </w:r>
    </w:p>
    <w:p w14:paraId="7C578B84" w14:textId="77777777" w:rsidR="00A25CC5" w:rsidRDefault="008E652F">
      <w:pPr>
        <w:pStyle w:val="Pardeliste"/>
        <w:numPr>
          <w:ilvl w:val="0"/>
          <w:numId w:val="1"/>
        </w:numPr>
        <w:suppressAutoHyphens w:val="0"/>
        <w:jc w:val="both"/>
      </w:pPr>
      <w:r>
        <w:rPr>
          <w:rFonts w:ascii="Helvetica" w:eastAsia="Heiti SC Light" w:hAnsi="Helvetica" w:cs="Helvetica"/>
          <w:sz w:val="20"/>
          <w:szCs w:val="20"/>
          <w:shd w:val="clear" w:color="auto" w:fill="00FF00"/>
          <w:lang w:bidi="fr-FR"/>
        </w:rPr>
        <w:tab/>
        <w:t>the Brussels Region's registration fee reduction (whereby all registr</w:t>
      </w:r>
      <w:r>
        <w:rPr>
          <w:rFonts w:ascii="Helvetica" w:eastAsia="Heiti SC Light" w:hAnsi="Helvetica" w:cs="Helvetica"/>
          <w:sz w:val="20"/>
          <w:szCs w:val="20"/>
          <w:shd w:val="clear" w:color="auto" w:fill="00FF00"/>
          <w:lang w:bidi="fr-FR"/>
        </w:rPr>
        <w:t>ation fees are waived on t</w:t>
      </w:r>
      <w:r>
        <w:rPr>
          <w:rFonts w:ascii="Helvetica" w:hAnsi="Helvetica"/>
          <w:sz w:val="20"/>
          <w:szCs w:val="20"/>
          <w:shd w:val="clear" w:color="auto" w:fill="00FF00"/>
        </w:rPr>
        <w:t>he first 175,000 EUR of a real estate purchase:  Art. 46</w:t>
      </w:r>
      <w:r>
        <w:rPr>
          <w:rFonts w:ascii="Helvetica" w:hAnsi="Helvetica"/>
          <w:i/>
          <w:sz w:val="20"/>
          <w:szCs w:val="20"/>
          <w:shd w:val="clear" w:color="auto" w:fill="00FF00"/>
        </w:rPr>
        <w:t>bis</w:t>
      </w:r>
      <w:r>
        <w:rPr>
          <w:rFonts w:ascii="Helvetica" w:hAnsi="Helvetica"/>
          <w:sz w:val="20"/>
          <w:szCs w:val="20"/>
          <w:shd w:val="clear" w:color="auto" w:fill="00FF00"/>
        </w:rPr>
        <w:t xml:space="preserve"> of Brussels-Capital Region's Registration, Mortgage, and Clerk's Office Fees Code);</w:t>
      </w:r>
    </w:p>
    <w:p w14:paraId="45902EF4" w14:textId="77777777" w:rsidR="00A25CC5" w:rsidRDefault="008E652F">
      <w:pPr>
        <w:pStyle w:val="Pardeliste"/>
        <w:numPr>
          <w:ilvl w:val="0"/>
          <w:numId w:val="1"/>
        </w:numPr>
        <w:suppressAutoHyphens w:val="0"/>
        <w:jc w:val="both"/>
      </w:pPr>
      <w:r>
        <w:rPr>
          <w:rFonts w:ascii="Helvetica" w:eastAsia="Heiti SC Light" w:hAnsi="Helvetica" w:cs="Helvetica"/>
          <w:sz w:val="20"/>
          <w:szCs w:val="20"/>
          <w:shd w:val="clear" w:color="auto" w:fill="00FF00"/>
          <w:lang w:bidi="fr-FR"/>
        </w:rPr>
        <w:tab/>
        <w:t>the portability of the registration fee in Flanders (</w:t>
      </w:r>
      <w:r>
        <w:rPr>
          <w:rFonts w:ascii="Helvetica" w:hAnsi="Helvetica"/>
          <w:sz w:val="20"/>
          <w:szCs w:val="20"/>
          <w:shd w:val="clear" w:color="auto" w:fill="00FF00"/>
        </w:rPr>
        <w:t>after a first purchase, only the</w:t>
      </w:r>
      <w:r>
        <w:rPr>
          <w:rFonts w:ascii="Helvetica" w:hAnsi="Helvetica"/>
          <w:sz w:val="20"/>
          <w:szCs w:val="20"/>
          <w:shd w:val="clear" w:color="auto" w:fill="00FF00"/>
        </w:rPr>
        <w:t xml:space="preserve"> part of the registration fee for a subsequent purchase that exceeds the feed paid on the initial purchase must be paid:  Art. 61.3 of the Flemish Region's Registration, Mortgage, and Clerk's Office Fees Code);</w:t>
      </w:r>
    </w:p>
    <w:p w14:paraId="476624FA" w14:textId="77777777" w:rsidR="00A25CC5" w:rsidRDefault="008E652F">
      <w:pPr>
        <w:pStyle w:val="Pardeliste"/>
        <w:numPr>
          <w:ilvl w:val="0"/>
          <w:numId w:val="1"/>
        </w:numPr>
        <w:suppressAutoHyphens w:val="0"/>
        <w:jc w:val="both"/>
      </w:pPr>
      <w:r>
        <w:rPr>
          <w:rFonts w:ascii="Helvetica" w:eastAsia="Heiti SC Light" w:hAnsi="Helvetica" w:cs="Helvetica"/>
          <w:sz w:val="20"/>
          <w:szCs w:val="20"/>
          <w:shd w:val="clear" w:color="auto" w:fill="00FF00"/>
          <w:lang w:bidi="fr-FR"/>
        </w:rPr>
        <w:tab/>
        <w:t xml:space="preserve">buyers' bonuses (notably </w:t>
      </w:r>
      <w:r>
        <w:rPr>
          <w:rFonts w:ascii="Helvetica" w:eastAsia="Times New Roman" w:hAnsi="Helvetica" w:cs="Times New Roman"/>
          <w:sz w:val="20"/>
          <w:szCs w:val="20"/>
          <w:shd w:val="clear" w:color="auto" w:fill="00FF00"/>
        </w:rPr>
        <w:t xml:space="preserve">the Walloon Government's Order of 21 January 1999 instituting a housing purchase bonus, </w:t>
      </w:r>
      <w:r>
        <w:rPr>
          <w:rFonts w:ascii="Helvetica" w:eastAsia="Times New Roman" w:hAnsi="Helvetica" w:cs="Times New Roman"/>
          <w:i/>
          <w:sz w:val="20"/>
          <w:szCs w:val="20"/>
          <w:shd w:val="clear" w:color="auto" w:fill="00FF00"/>
        </w:rPr>
        <w:t>M.B.</w:t>
      </w:r>
      <w:r>
        <w:rPr>
          <w:rFonts w:ascii="Helvetica" w:eastAsia="Times New Roman" w:hAnsi="Helvetica" w:cs="Times New Roman"/>
          <w:sz w:val="20"/>
          <w:szCs w:val="20"/>
          <w:shd w:val="clear" w:color="auto" w:fill="00FF00"/>
        </w:rPr>
        <w:t>, 25 February 1999)</w:t>
      </w:r>
      <w:r>
        <w:rPr>
          <w:rFonts w:ascii="Helvetica" w:eastAsia="Heiti SC Light" w:hAnsi="Helvetica" w:cs="Helvetica"/>
          <w:sz w:val="20"/>
          <w:szCs w:val="20"/>
          <w:shd w:val="clear" w:color="auto" w:fill="00FF00"/>
          <w:lang w:bidi="fr-FR"/>
        </w:rPr>
        <w:t>;</w:t>
      </w:r>
    </w:p>
    <w:p w14:paraId="34A55899" w14:textId="77777777" w:rsidR="00A25CC5" w:rsidRDefault="008E652F">
      <w:pPr>
        <w:pStyle w:val="Pardeliste"/>
        <w:numPr>
          <w:ilvl w:val="0"/>
          <w:numId w:val="1"/>
        </w:numPr>
        <w:suppressAutoHyphens w:val="0"/>
        <w:jc w:val="both"/>
      </w:pPr>
      <w:r>
        <w:rPr>
          <w:rFonts w:ascii="Helvetica" w:eastAsia="Heiti SC Light" w:hAnsi="Helvetica" w:cs="Helvetica"/>
          <w:sz w:val="20"/>
          <w:szCs w:val="20"/>
          <w:shd w:val="clear" w:color="auto" w:fill="00FF00"/>
          <w:lang w:bidi="fr-FR"/>
        </w:rPr>
        <w:tab/>
        <w:t xml:space="preserve">the construction and sale in Brussels of new housing units at reduced prices for households with so-called “modest incomes” (such as done by </w:t>
      </w:r>
      <w:r>
        <w:rPr>
          <w:rFonts w:ascii="Helvetica" w:hAnsi="Helvetica"/>
          <w:sz w:val="20"/>
          <w:szCs w:val="20"/>
          <w:shd w:val="clear" w:color="auto" w:fill="00FF00"/>
        </w:rPr>
        <w:t>c</w:t>
      </w:r>
      <w:r>
        <w:rPr>
          <w:rFonts w:ascii="Helvetica" w:hAnsi="Helvetica"/>
          <w:sz w:val="20"/>
          <w:szCs w:val="20"/>
          <w:shd w:val="clear" w:color="auto" w:fill="00FF00"/>
        </w:rPr>
        <w:t>itydev.brussels, an office that, manages to reduce the sales prices of its housing to two-thirds of their market value thanks to generous regional support, without accounting for the fact that the buy</w:t>
      </w:r>
      <w:r>
        <w:rPr>
          <w:rStyle w:val="Marquedecommentaire1"/>
          <w:rFonts w:ascii="Helvetica" w:eastAsia="Trebuchet MS" w:hAnsi="Helvetica" w:cs="Helvetica"/>
          <w:sz w:val="20"/>
          <w:szCs w:val="20"/>
          <w:shd w:val="clear" w:color="auto" w:fill="FFFFFF"/>
        </w:rPr>
        <w:t xml:space="preserve">er of one of these properties is eligible for a reduced </w:t>
      </w:r>
      <w:r>
        <w:rPr>
          <w:rStyle w:val="Marquedecommentaire1"/>
          <w:rFonts w:ascii="Helvetica" w:eastAsia="Trebuchet MS" w:hAnsi="Helvetica" w:cs="Helvetica"/>
          <w:sz w:val="20"/>
          <w:szCs w:val="20"/>
          <w:shd w:val="clear" w:color="auto" w:fill="FFFFFF"/>
        </w:rPr>
        <w:t xml:space="preserve">VAT rate of 6%: </w:t>
      </w:r>
      <w:r>
        <w:rPr>
          <w:rFonts w:ascii="Helvetica" w:hAnsi="Helvetica"/>
          <w:sz w:val="20"/>
          <w:szCs w:val="20"/>
          <w:shd w:val="clear" w:color="auto" w:fill="00FF00"/>
        </w:rPr>
        <w:t>A</w:t>
      </w:r>
      <w:r>
        <w:rPr>
          <w:rStyle w:val="Marquedecommentaire1"/>
          <w:rFonts w:ascii="Helvetica" w:hAnsi="Helvetica" w:cs="Helvetica"/>
          <w:sz w:val="20"/>
          <w:szCs w:val="20"/>
          <w:shd w:val="clear" w:color="auto" w:fill="FFFFFF"/>
        </w:rPr>
        <w:t xml:space="preserve">rt. XXXVI of Annex A to the Royal Order of 20 July 1970 setting value-added tax rates and the distribution of goods and services according to these rates, </w:t>
      </w:r>
      <w:r>
        <w:rPr>
          <w:rStyle w:val="Marquedecommentaire1"/>
          <w:rFonts w:ascii="Helvetica" w:hAnsi="Helvetica" w:cs="Helvetica"/>
          <w:i/>
          <w:sz w:val="20"/>
          <w:szCs w:val="20"/>
          <w:shd w:val="clear" w:color="auto" w:fill="FFFFFF"/>
        </w:rPr>
        <w:t>M.B.</w:t>
      </w:r>
      <w:r>
        <w:rPr>
          <w:rStyle w:val="Marquedecommentaire1"/>
          <w:rFonts w:ascii="Helvetica" w:hAnsi="Helvetica" w:cs="Helvetica"/>
          <w:sz w:val="20"/>
          <w:szCs w:val="20"/>
          <w:shd w:val="clear" w:color="auto" w:fill="FFFFFF"/>
        </w:rPr>
        <w:t xml:space="preserve">, 31 July </w:t>
      </w:r>
      <w:r>
        <w:rPr>
          <w:rStyle w:val="Marquedecommentaire1"/>
          <w:rFonts w:ascii="Helvetica" w:eastAsia="Heiti SC Light" w:hAnsi="Helvetica" w:cs="Helvetica"/>
          <w:sz w:val="20"/>
          <w:szCs w:val="20"/>
          <w:shd w:val="clear" w:color="auto" w:fill="00FF00"/>
          <w:lang w:bidi="fr-FR"/>
        </w:rPr>
        <w:t>1970);</w:t>
      </w:r>
    </w:p>
    <w:p w14:paraId="4644ADE3" w14:textId="77777777" w:rsidR="00A25CC5" w:rsidRDefault="008E652F">
      <w:pPr>
        <w:pStyle w:val="Pardeliste"/>
        <w:numPr>
          <w:ilvl w:val="0"/>
          <w:numId w:val="1"/>
        </w:numPr>
        <w:suppressAutoHyphens w:val="0"/>
        <w:jc w:val="both"/>
      </w:pPr>
      <w:r>
        <w:rPr>
          <w:rFonts w:ascii="Helvetica" w:eastAsia="Heiti SC Light" w:hAnsi="Helvetica" w:cs="Helvetica"/>
          <w:sz w:val="20"/>
          <w:szCs w:val="20"/>
          <w:shd w:val="clear" w:color="auto" w:fill="00FF00"/>
          <w:lang w:bidi="fr-FR"/>
        </w:rPr>
        <w:tab/>
        <w:t xml:space="preserve">free loss-of-income insurance in Wallonia (Walloon Government </w:t>
      </w:r>
      <w:r>
        <w:rPr>
          <w:rFonts w:ascii="Helvetica" w:eastAsia="Heiti SC Light" w:hAnsi="Helvetica" w:cs="Helvetica"/>
          <w:sz w:val="20"/>
          <w:szCs w:val="20"/>
          <w:shd w:val="clear" w:color="auto" w:fill="00FF00"/>
          <w:lang w:bidi="fr-FR"/>
        </w:rPr>
        <w:t>O</w:t>
      </w:r>
      <w:r>
        <w:rPr>
          <w:rFonts w:ascii="Helvetica" w:eastAsia="Times New Roman" w:hAnsi="Helvetica" w:cs="Times New Roman"/>
          <w:sz w:val="20"/>
          <w:szCs w:val="20"/>
          <w:shd w:val="clear" w:color="auto" w:fill="00FF00"/>
        </w:rPr>
        <w:t xml:space="preserve">rder of 21 January 1999 instituting insurance against the risk of a loss of income due to job loss or occupational disability, </w:t>
      </w:r>
      <w:r>
        <w:rPr>
          <w:rFonts w:ascii="Helvetica" w:eastAsia="Times New Roman" w:hAnsi="Helvetica" w:cs="Times New Roman"/>
          <w:i/>
          <w:sz w:val="20"/>
          <w:szCs w:val="20"/>
          <w:shd w:val="clear" w:color="auto" w:fill="00FF00"/>
        </w:rPr>
        <w:t>M.B.</w:t>
      </w:r>
      <w:r>
        <w:rPr>
          <w:rFonts w:ascii="Helvetica" w:eastAsia="Times New Roman" w:hAnsi="Helvetica" w:cs="Times New Roman"/>
          <w:sz w:val="20"/>
          <w:szCs w:val="20"/>
          <w:shd w:val="clear" w:color="auto" w:fill="00FF00"/>
        </w:rPr>
        <w:t>, 25 February 1999);</w:t>
      </w:r>
    </w:p>
    <w:p w14:paraId="53CFC22B" w14:textId="77777777" w:rsidR="00A25CC5" w:rsidRDefault="008E652F">
      <w:pPr>
        <w:pStyle w:val="Pardeliste"/>
        <w:numPr>
          <w:ilvl w:val="0"/>
          <w:numId w:val="1"/>
        </w:numPr>
        <w:suppressAutoHyphens w:val="0"/>
        <w:jc w:val="both"/>
        <w:rPr>
          <w:rFonts w:ascii="Helvetica" w:eastAsia="Heiti SC Light" w:hAnsi="Helvetica" w:cs="Helvetica"/>
          <w:sz w:val="20"/>
          <w:szCs w:val="20"/>
          <w:shd w:val="clear" w:color="auto" w:fill="00FF00"/>
          <w:lang w:val="fr-FR" w:bidi="fr-FR"/>
        </w:rPr>
      </w:pPr>
      <w:r>
        <w:rPr>
          <w:rFonts w:ascii="Helvetica" w:eastAsia="Times New Roman" w:hAnsi="Helvetica" w:cs="Times New Roman"/>
          <w:sz w:val="20"/>
          <w:szCs w:val="20"/>
          <w:shd w:val="clear" w:color="auto" w:fill="00FF00"/>
        </w:rPr>
        <w:tab/>
        <w:t>etc.</w:t>
      </w:r>
    </w:p>
    <w:p w14:paraId="6458CA41" w14:textId="77777777" w:rsidR="00A25CC5" w:rsidRDefault="00A25CC5">
      <w:pPr>
        <w:pStyle w:val="Notedebasdepage"/>
      </w:pPr>
    </w:p>
    <w:p w14:paraId="3D540943" w14:textId="77777777" w:rsidR="00A25CC5" w:rsidRDefault="00A25CC5">
      <w:pPr>
        <w:pStyle w:val="Notedebasdepage"/>
      </w:pPr>
    </w:p>
    <w:p w14:paraId="5BF42D86" w14:textId="77777777" w:rsidR="00A25CC5" w:rsidRDefault="00A25CC5">
      <w:pPr>
        <w:pStyle w:val="Notedebasdepage"/>
      </w:pPr>
    </w:p>
    <w:p w14:paraId="418353E2" w14:textId="77777777" w:rsidR="00A25CC5" w:rsidRDefault="00A25CC5">
      <w:pPr>
        <w:pStyle w:val="Notedebasdepage"/>
      </w:pPr>
    </w:p>
  </w:footnote>
  <w:footnote w:id="9">
    <w:p w14:paraId="6635D5A6"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After a certain time of personal occupancy.</w:t>
      </w:r>
    </w:p>
  </w:footnote>
  <w:footnote w:id="10">
    <w:p w14:paraId="3A522542"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sz w:val="20"/>
          <w:szCs w:val="20"/>
        </w:rPr>
        <w:t xml:space="preserve"> </w:t>
      </w:r>
      <w:r>
        <w:rPr>
          <w:rFonts w:ascii="Helvetica" w:hAnsi="Helvetica"/>
          <w:sz w:val="20"/>
          <w:szCs w:val="20"/>
          <w:shd w:val="clear" w:color="auto" w:fill="FFFF00"/>
        </w:rPr>
        <w:t xml:space="preserve">A. </w:t>
      </w:r>
      <w:r>
        <w:rPr>
          <w:rFonts w:ascii="Helvetica" w:eastAsia="Heiti SC Light" w:hAnsi="Helvetica" w:cs="Times New Roman"/>
          <w:sz w:val="20"/>
          <w:szCs w:val="20"/>
          <w:shd w:val="clear" w:color="auto" w:fill="FFFF00"/>
          <w:lang w:val="fr-FR"/>
        </w:rPr>
        <w:t xml:space="preserve">LAMBERT, </w:t>
      </w:r>
      <w:r>
        <w:rPr>
          <w:rStyle w:val="Accentuation"/>
          <w:rFonts w:ascii="Helvetica" w:eastAsia="Heiti SC Light" w:hAnsi="Helvetica" w:cs="Times New Roman"/>
          <w:sz w:val="20"/>
          <w:szCs w:val="20"/>
          <w:shd w:val="clear" w:color="auto" w:fill="FFFF00"/>
          <w:lang w:val="fr-FR"/>
        </w:rPr>
        <w:t xml:space="preserve">Tous </w:t>
      </w:r>
      <w:proofErr w:type="gramStart"/>
      <w:r>
        <w:rPr>
          <w:rStyle w:val="Accentuation"/>
          <w:rFonts w:ascii="Helvetica" w:eastAsia="Heiti SC Light" w:hAnsi="Helvetica" w:cs="Times New Roman"/>
          <w:sz w:val="20"/>
          <w:szCs w:val="20"/>
          <w:shd w:val="clear" w:color="auto" w:fill="FFFF00"/>
          <w:lang w:val="fr-FR"/>
        </w:rPr>
        <w:t>propriétaires :</w:t>
      </w:r>
      <w:proofErr w:type="gramEnd"/>
      <w:r>
        <w:rPr>
          <w:rStyle w:val="Accentuation"/>
          <w:rFonts w:ascii="Helvetica" w:eastAsia="Heiti SC Light" w:hAnsi="Helvetica" w:cs="Times New Roman"/>
          <w:sz w:val="20"/>
          <w:szCs w:val="20"/>
          <w:shd w:val="clear" w:color="auto" w:fill="FFFF00"/>
          <w:lang w:val="fr-FR"/>
        </w:rPr>
        <w:t xml:space="preserve"> l’envers </w:t>
      </w:r>
      <w:r>
        <w:rPr>
          <w:rStyle w:val="Accentuation"/>
          <w:rFonts w:ascii="Helvetica" w:eastAsia="Heiti SC Light" w:hAnsi="Helvetica" w:cs="Times New Roman"/>
          <w:sz w:val="20"/>
          <w:szCs w:val="20"/>
          <w:shd w:val="clear" w:color="auto" w:fill="FFFF00"/>
          <w:lang w:val="fr-FR"/>
        </w:rPr>
        <w:t>du décor pavillonnaire</w:t>
      </w:r>
      <w:r>
        <w:rPr>
          <w:rFonts w:ascii="Helvetica" w:eastAsia="Heiti SC Light" w:hAnsi="Helvetica" w:cs="Times New Roman"/>
          <w:sz w:val="20"/>
          <w:szCs w:val="20"/>
          <w:shd w:val="clear" w:color="auto" w:fill="FFFF00"/>
          <w:lang w:val="fr-FR"/>
        </w:rPr>
        <w:t>, Paris, Seuil, 2015.</w:t>
      </w:r>
    </w:p>
  </w:footnote>
  <w:footnote w:id="11">
    <w:p w14:paraId="7C6C3AA7"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sz w:val="20"/>
          <w:szCs w:val="20"/>
        </w:rPr>
        <w:t xml:space="preserve"> </w:t>
      </w:r>
      <w:r>
        <w:rPr>
          <w:rFonts w:ascii="Helvetica" w:hAnsi="Helvetica"/>
          <w:sz w:val="20"/>
          <w:szCs w:val="20"/>
          <w:shd w:val="clear" w:color="auto" w:fill="FFFF00"/>
        </w:rPr>
        <w:t xml:space="preserve">M. </w:t>
      </w:r>
      <w:r>
        <w:rPr>
          <w:rFonts w:ascii="Helvetica" w:eastAsia="Heiti SC Light" w:hAnsi="Helvetica" w:cs="Times New Roman"/>
          <w:sz w:val="20"/>
          <w:szCs w:val="20"/>
          <w:shd w:val="clear" w:color="auto" w:fill="FFFF00"/>
          <w:lang w:val="fr-FR"/>
        </w:rPr>
        <w:t xml:space="preserve">VERDONCK </w:t>
      </w:r>
      <w:r>
        <w:rPr>
          <w:rFonts w:ascii="Helvetica" w:eastAsia="Heiti SC Light" w:hAnsi="Helvetica" w:cs="Times New Roman"/>
          <w:i/>
          <w:sz w:val="20"/>
          <w:szCs w:val="20"/>
          <w:shd w:val="clear" w:color="auto" w:fill="FFFF00"/>
          <w:lang w:val="fr-FR"/>
        </w:rPr>
        <w:t>et al.</w:t>
      </w:r>
      <w:r>
        <w:rPr>
          <w:rFonts w:ascii="Helvetica" w:eastAsia="Heiti SC Light" w:hAnsi="Helvetica" w:cs="Times New Roman"/>
          <w:sz w:val="20"/>
          <w:szCs w:val="20"/>
          <w:shd w:val="clear" w:color="auto" w:fill="FFFF00"/>
          <w:lang w:val="fr-FR"/>
        </w:rPr>
        <w:t xml:space="preserve">, </w:t>
      </w:r>
      <w:r>
        <w:rPr>
          <w:rStyle w:val="Accentuation"/>
          <w:rFonts w:ascii="Helvetica" w:eastAsia="Heiti SC Light" w:hAnsi="Helvetica" w:cs="Times New Roman"/>
          <w:sz w:val="20"/>
          <w:szCs w:val="20"/>
          <w:shd w:val="clear" w:color="auto" w:fill="FFFF00"/>
          <w:lang w:val="fr-FR"/>
        </w:rPr>
        <w:t>Évolution, caractéristiques et attentes de la classe moyenne bruxelloise</w:t>
      </w:r>
      <w:r>
        <w:rPr>
          <w:rFonts w:ascii="Helvetica" w:eastAsia="Heiti SC Light" w:hAnsi="Helvetica" w:cs="Times New Roman"/>
          <w:sz w:val="20"/>
          <w:szCs w:val="20"/>
          <w:shd w:val="clear" w:color="auto" w:fill="FFFF00"/>
          <w:lang w:val="fr-FR"/>
        </w:rPr>
        <w:t>, Bruxelles, Cahiers de l’IBSA, 2012.</w:t>
      </w:r>
      <w:r>
        <w:rPr>
          <w:rFonts w:ascii="Helvetica" w:eastAsia="Heiti SC Light" w:hAnsi="Helvetica" w:cs="Arial"/>
          <w:sz w:val="20"/>
          <w:szCs w:val="20"/>
          <w:lang w:val="fr-FR"/>
        </w:rPr>
        <w:t xml:space="preserve"> </w:t>
      </w:r>
    </w:p>
  </w:footnote>
  <w:footnote w:id="12">
    <w:p w14:paraId="5F13052A" w14:textId="77777777" w:rsidR="00A25CC5" w:rsidRDefault="008E652F">
      <w:pPr>
        <w:pStyle w:val="Notedebasdepage"/>
      </w:pPr>
      <w:r>
        <w:rPr>
          <w:rStyle w:val="Ancredenotedebasdepage"/>
          <w:rFonts w:ascii="Helvetica" w:eastAsia="Heiti SC Light" w:hAnsi="Helvetica" w:cs="Arial"/>
          <w:shd w:val="clear" w:color="auto" w:fill="00FF00"/>
        </w:rPr>
        <w:footnoteRef/>
      </w:r>
      <w:r>
        <w:rPr>
          <w:rStyle w:val="Ancredenotedebasdepage"/>
          <w:rFonts w:ascii="Helvetica" w:eastAsia="Heiti SC Light" w:hAnsi="Helvetica" w:cs="Arial"/>
          <w:shd w:val="clear" w:color="auto" w:fill="00FF00"/>
        </w:rPr>
        <w:tab/>
      </w:r>
      <w:r>
        <w:rPr>
          <w:rFonts w:ascii="Helvetica" w:hAnsi="Helvetica"/>
          <w:sz w:val="20"/>
          <w:szCs w:val="20"/>
        </w:rPr>
        <w:t xml:space="preserve"> </w:t>
      </w:r>
      <w:r>
        <w:rPr>
          <w:rFonts w:ascii="Helvetica" w:hAnsi="Helvetica"/>
          <w:sz w:val="20"/>
          <w:szCs w:val="20"/>
        </w:rPr>
        <w:t xml:space="preserve">For example, </w:t>
      </w:r>
      <w:r>
        <w:rPr>
          <w:rFonts w:ascii="Helvetica" w:hAnsi="Helvetica"/>
          <w:sz w:val="20"/>
          <w:szCs w:val="20"/>
          <w:shd w:val="clear" w:color="auto" w:fill="00FF00"/>
        </w:rPr>
        <w:t xml:space="preserve">39.000 versus 24.000 in 2016, for a loss of about </w:t>
      </w:r>
      <w:r>
        <w:rPr>
          <w:rFonts w:ascii="Helvetica" w:hAnsi="Helvetica"/>
          <w:sz w:val="20"/>
          <w:szCs w:val="20"/>
          <w:shd w:val="clear" w:color="auto" w:fill="00FF00"/>
        </w:rPr>
        <w:t>15,000 inhabitants, and this haemorrhage is repeated each year. However, this movement is masked statistically by continued strong birth and international immigration rates in Brussels (a positive “natural” net increase of 9,000 due to births and 10,000 </w:t>
      </w:r>
      <w:proofErr w:type="gramStart"/>
      <w:r>
        <w:rPr>
          <w:rFonts w:ascii="Helvetica" w:hAnsi="Helvetica"/>
          <w:sz w:val="20"/>
          <w:szCs w:val="20"/>
          <w:shd w:val="clear" w:color="auto" w:fill="00FF00"/>
        </w:rPr>
        <w:t>du</w:t>
      </w:r>
      <w:r>
        <w:rPr>
          <w:rFonts w:ascii="Helvetica" w:hAnsi="Helvetica"/>
          <w:sz w:val="20"/>
          <w:szCs w:val="20"/>
          <w:shd w:val="clear" w:color="auto" w:fill="00FF00"/>
        </w:rPr>
        <w:t>e</w:t>
      </w:r>
      <w:proofErr w:type="gramEnd"/>
      <w:r>
        <w:rPr>
          <w:rFonts w:ascii="Helvetica" w:hAnsi="Helvetica"/>
          <w:sz w:val="20"/>
          <w:szCs w:val="20"/>
          <w:shd w:val="clear" w:color="auto" w:fill="00FF00"/>
        </w:rPr>
        <w:t xml:space="preserve"> to international immigration) that, together, more than offset the aforementioned urban exodus.</w:t>
      </w:r>
      <w:r>
        <w:rPr>
          <w:rFonts w:ascii="Helvetica" w:hAnsi="Helvetica"/>
          <w:sz w:val="20"/>
          <w:szCs w:val="20"/>
        </w:rPr>
        <w:t xml:space="preserve"> </w:t>
      </w:r>
      <w:r>
        <w:rPr>
          <w:rFonts w:ascii="Helvetica" w:hAnsi="Helvetica"/>
          <w:sz w:val="20"/>
          <w:szCs w:val="20"/>
          <w:shd w:val="clear" w:color="auto" w:fill="FFFF00"/>
        </w:rPr>
        <w:t>See</w:t>
      </w:r>
      <w:r>
        <w:rPr>
          <w:rFonts w:ascii="Helvetica" w:hAnsi="Helvetica"/>
          <w:i/>
          <w:sz w:val="20"/>
          <w:szCs w:val="20"/>
          <w:shd w:val="clear" w:color="auto" w:fill="FFFF00"/>
        </w:rPr>
        <w:t xml:space="preserve"> </w:t>
      </w:r>
      <w:r>
        <w:rPr>
          <w:rFonts w:ascii="Helvetica" w:hAnsi="Helvetica"/>
          <w:sz w:val="20"/>
          <w:szCs w:val="20"/>
          <w:shd w:val="clear" w:color="auto" w:fill="FFFF00"/>
        </w:rPr>
        <w:t xml:space="preserve">J.-P. </w:t>
      </w:r>
      <w:r>
        <w:rPr>
          <w:rFonts w:ascii="Helvetica" w:eastAsia="Heiti SC Light" w:hAnsi="Helvetica"/>
          <w:sz w:val="20"/>
          <w:szCs w:val="20"/>
          <w:shd w:val="clear" w:color="auto" w:fill="FFFF00"/>
        </w:rPr>
        <w:t xml:space="preserve">HERMIA, « Baromètre démographique 2017 de la Région de Bruxelles-Capitale », </w:t>
      </w:r>
      <w:r>
        <w:rPr>
          <w:rFonts w:ascii="Helvetica" w:eastAsia="Heiti SC Light" w:hAnsi="Helvetica"/>
          <w:i/>
          <w:sz w:val="20"/>
          <w:szCs w:val="20"/>
          <w:shd w:val="clear" w:color="auto" w:fill="FFFF00"/>
        </w:rPr>
        <w:t>Focus</w:t>
      </w:r>
      <w:r>
        <w:rPr>
          <w:rFonts w:ascii="Helvetica" w:eastAsia="Heiti SC Light" w:hAnsi="Helvetica"/>
          <w:sz w:val="20"/>
          <w:szCs w:val="20"/>
          <w:shd w:val="clear" w:color="auto" w:fill="FFFF00"/>
        </w:rPr>
        <w:t>, 22 (January 2018</w:t>
      </w:r>
      <w:proofErr w:type="gramStart"/>
      <w:r>
        <w:rPr>
          <w:rFonts w:ascii="Helvetica" w:eastAsia="Heiti SC Light" w:hAnsi="Helvetica"/>
          <w:sz w:val="20"/>
          <w:szCs w:val="20"/>
          <w:shd w:val="clear" w:color="auto" w:fill="FFFF00"/>
        </w:rPr>
        <w:t>).</w:t>
      </w:r>
      <w:r>
        <w:rPr>
          <w:rFonts w:ascii="Helvetica" w:hAnsi="Helvetica"/>
          <w:sz w:val="20"/>
          <w:szCs w:val="20"/>
          <w:shd w:val="clear" w:color="auto" w:fill="FFFF00"/>
        </w:rPr>
        <w:t>p.</w:t>
      </w:r>
      <w:proofErr w:type="gramEnd"/>
      <w:r>
        <w:rPr>
          <w:rFonts w:ascii="Helvetica" w:hAnsi="Helvetica"/>
          <w:sz w:val="20"/>
          <w:szCs w:val="20"/>
          <w:shd w:val="clear" w:color="auto" w:fill="FFFF00"/>
        </w:rPr>
        <w:t xml:space="preserve"> 2.</w:t>
      </w:r>
    </w:p>
  </w:footnote>
  <w:footnote w:id="13">
    <w:p w14:paraId="77B9F6B1"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sz w:val="20"/>
          <w:szCs w:val="20"/>
        </w:rPr>
        <w:t xml:space="preserve"> </w:t>
      </w:r>
      <w:r>
        <w:rPr>
          <w:rFonts w:ascii="Helvetica" w:hAnsi="Helvetica"/>
          <w:sz w:val="20"/>
          <w:szCs w:val="20"/>
          <w:shd w:val="clear" w:color="auto" w:fill="00FF00"/>
        </w:rPr>
        <w:t xml:space="preserve">So, the shortfall in income due to </w:t>
      </w:r>
      <w:r>
        <w:rPr>
          <w:rFonts w:ascii="Helvetica" w:hAnsi="Helvetica"/>
          <w:sz w:val="20"/>
          <w:szCs w:val="20"/>
          <w:shd w:val="clear" w:color="auto" w:fill="00FF00"/>
        </w:rPr>
        <w:t>federal tax masures, including the housing bonus, is an estimated 2.2 billion EUR</w:t>
      </w:r>
      <w:r>
        <w:rPr>
          <w:rFonts w:ascii="Helvetica" w:hAnsi="Helvetica"/>
          <w:sz w:val="20"/>
          <w:szCs w:val="20"/>
        </w:rPr>
        <w:t xml:space="preserve"> </w:t>
      </w:r>
      <w:r>
        <w:rPr>
          <w:rFonts w:ascii="Helvetica" w:hAnsi="Helvetica"/>
          <w:sz w:val="20"/>
          <w:szCs w:val="20"/>
          <w:shd w:val="clear" w:color="auto" w:fill="FFFF00"/>
        </w:rPr>
        <w:t>(</w:t>
      </w:r>
      <w:r>
        <w:rPr>
          <w:rFonts w:ascii="Helvetica" w:hAnsi="Helvetica"/>
          <w:sz w:val="20"/>
          <w:szCs w:val="20"/>
          <w:shd w:val="clear" w:color="auto" w:fill="FFFF00"/>
          <w:lang w:val="fr-FR"/>
        </w:rPr>
        <w:t xml:space="preserve">B. </w:t>
      </w:r>
      <w:r>
        <w:rPr>
          <w:rFonts w:ascii="Helvetica" w:eastAsia="Heiti SC Light" w:hAnsi="Helvetica"/>
          <w:sz w:val="20"/>
          <w:szCs w:val="20"/>
          <w:shd w:val="clear" w:color="auto" w:fill="FFFF00"/>
          <w:lang w:val="fr-FR"/>
        </w:rPr>
        <w:t xml:space="preserve">MONNIER et P. ZIMMER, « Fiscalité </w:t>
      </w:r>
      <w:proofErr w:type="gramStart"/>
      <w:r>
        <w:rPr>
          <w:rFonts w:ascii="Helvetica" w:eastAsia="Heiti SC Light" w:hAnsi="Helvetica"/>
          <w:sz w:val="20"/>
          <w:szCs w:val="20"/>
          <w:shd w:val="clear" w:color="auto" w:fill="FFFF00"/>
          <w:lang w:val="fr-FR"/>
        </w:rPr>
        <w:t>immobilière :</w:t>
      </w:r>
      <w:proofErr w:type="gramEnd"/>
      <w:r>
        <w:rPr>
          <w:rFonts w:ascii="Helvetica" w:eastAsia="Heiti SC Light" w:hAnsi="Helvetica"/>
          <w:sz w:val="20"/>
          <w:szCs w:val="20"/>
          <w:shd w:val="clear" w:color="auto" w:fill="FFFF00"/>
          <w:lang w:val="fr-FR"/>
        </w:rPr>
        <w:t xml:space="preserve"> le coût de la brique dans le ventre », </w:t>
      </w:r>
      <w:r>
        <w:rPr>
          <w:rFonts w:ascii="Helvetica" w:eastAsia="Heiti SC Light" w:hAnsi="Helvetica"/>
          <w:i/>
          <w:sz w:val="20"/>
          <w:szCs w:val="20"/>
          <w:shd w:val="clear" w:color="auto" w:fill="FFFF00"/>
          <w:lang w:val="fr-FR"/>
        </w:rPr>
        <w:t>Les échos du logement</w:t>
      </w:r>
      <w:r>
        <w:rPr>
          <w:rFonts w:ascii="Helvetica" w:eastAsia="Heiti SC Light" w:hAnsi="Helvetica"/>
          <w:sz w:val="20"/>
          <w:szCs w:val="20"/>
          <w:shd w:val="clear" w:color="auto" w:fill="FFFF00"/>
          <w:lang w:val="fr-FR"/>
        </w:rPr>
        <w:t>, 2008, n°2</w:t>
      </w:r>
      <w:r>
        <w:rPr>
          <w:rFonts w:ascii="Helvetica" w:hAnsi="Helvetica"/>
          <w:sz w:val="20"/>
          <w:szCs w:val="20"/>
          <w:shd w:val="clear" w:color="auto" w:fill="FFFF00"/>
          <w:lang w:val="fr-FR"/>
        </w:rPr>
        <w:t>).</w:t>
      </w:r>
      <w:r>
        <w:rPr>
          <w:rFonts w:ascii="Helvetica" w:eastAsia="Heiti SC Light" w:hAnsi="Helvetica" w:cs="Helvetica"/>
          <w:sz w:val="20"/>
          <w:szCs w:val="20"/>
          <w:lang w:bidi="fr-FR"/>
        </w:rPr>
        <w:t xml:space="preserve"> </w:t>
      </w:r>
      <w:r>
        <w:rPr>
          <w:rFonts w:ascii="Helvetica" w:eastAsia="Heiti SC Light" w:hAnsi="Helvetica" w:cs="Helvetica"/>
          <w:sz w:val="20"/>
          <w:szCs w:val="20"/>
          <w:shd w:val="clear" w:color="auto" w:fill="00FF00"/>
          <w:lang w:bidi="fr-FR"/>
        </w:rPr>
        <w:t xml:space="preserve">And this cost is singular in that it is barely </w:t>
      </w:r>
      <w:r>
        <w:rPr>
          <w:rFonts w:ascii="Helvetica" w:eastAsia="Heiti SC Light" w:hAnsi="Helvetica" w:cs="Helvetica"/>
          <w:sz w:val="20"/>
          <w:szCs w:val="20"/>
          <w:shd w:val="clear" w:color="auto" w:fill="00FF00"/>
          <w:lang w:bidi="fr-FR"/>
        </w:rPr>
        <w:t>visible – and thus hardly discussed – since it is a matter of a tax revenue shortfall (the cla</w:t>
      </w:r>
      <w:r>
        <w:rPr>
          <w:rFonts w:ascii="Helvetica" w:hAnsi="Helvetica"/>
          <w:sz w:val="20"/>
          <w:szCs w:val="20"/>
          <w:shd w:val="clear" w:color="auto" w:fill="00FF00"/>
        </w:rPr>
        <w:t>ssic hypothesis of any mortgage interest tax deductibility policy) rather than a disbursement</w:t>
      </w:r>
      <w:r>
        <w:rPr>
          <w:rFonts w:ascii="Helvetica" w:eastAsia="Heiti SC Light" w:hAnsi="Helvetica" w:cs="Helvetica"/>
          <w:sz w:val="20"/>
          <w:szCs w:val="20"/>
          <w:shd w:val="clear" w:color="auto" w:fill="00FF00"/>
          <w:lang w:bidi="fr-FR"/>
        </w:rPr>
        <w:t>.</w:t>
      </w:r>
    </w:p>
  </w:footnote>
  <w:footnote w:id="14">
    <w:p w14:paraId="3439EDB8"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Derived from a Dutch law of 1824 (which is still in force).</w:t>
      </w:r>
    </w:p>
  </w:footnote>
  <w:footnote w:id="15">
    <w:p w14:paraId="2D618AC8"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L</w:t>
      </w:r>
      <w:r>
        <w:rPr>
          <w:rFonts w:ascii="Helvetica" w:hAnsi="Helvetica" w:cs="Arial"/>
          <w:sz w:val="20"/>
          <w:szCs w:val="20"/>
        </w:rPr>
        <w:t>aw of 10 January 1824 on surface rights.</w:t>
      </w:r>
    </w:p>
  </w:footnote>
  <w:footnote w:id="16">
    <w:p w14:paraId="1215D374"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In Brussels, it belongs more specifically to the public utility foundation (</w:t>
      </w:r>
      <w:r>
        <w:rPr>
          <w:rFonts w:ascii="Helvetica" w:hAnsi="Helvetica" w:cs="Arial"/>
          <w:i/>
          <w:iCs/>
          <w:sz w:val="20"/>
          <w:szCs w:val="20"/>
        </w:rPr>
        <w:t>fondation d'utilité publique -</w:t>
      </w:r>
      <w:r>
        <w:rPr>
          <w:rFonts w:ascii="Helvetica" w:hAnsi="Helvetica" w:cs="Arial"/>
          <w:sz w:val="20"/>
          <w:szCs w:val="20"/>
        </w:rPr>
        <w:t xml:space="preserve">  the equivalent of a trust), which owns the land for the CLT. </w:t>
      </w:r>
    </w:p>
  </w:footnote>
  <w:footnote w:id="17">
    <w:p w14:paraId="6A5DD6D7"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See below</w:t>
      </w:r>
      <w:r>
        <w:rPr>
          <w:rFonts w:ascii="Helvetica" w:hAnsi="Helvetica" w:cs="Arial"/>
          <w:i/>
          <w:sz w:val="20"/>
          <w:szCs w:val="20"/>
        </w:rPr>
        <w:t>.</w:t>
      </w:r>
    </w:p>
  </w:footnote>
  <w:footnote w:id="18">
    <w:p w14:paraId="2D07DDCF"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That is why the community land must have the form of a “non-profit organisation”, as stipulated in the Brussels Housing Code (Art. 2, §1</w:t>
      </w:r>
      <w:r>
        <w:rPr>
          <w:rFonts w:ascii="Helvetica" w:hAnsi="Helvetica" w:cs="Arial"/>
          <w:sz w:val="20"/>
          <w:szCs w:val="20"/>
          <w:vertAlign w:val="superscript"/>
        </w:rPr>
        <w:t>er</w:t>
      </w:r>
      <w:r>
        <w:rPr>
          <w:rFonts w:ascii="Helvetica" w:hAnsi="Helvetica" w:cs="Arial"/>
          <w:sz w:val="20"/>
          <w:szCs w:val="20"/>
        </w:rPr>
        <w:t>, 27°), the idea being to preserve the informality, dynamism, independence, and maximal freedom from political influe</w:t>
      </w:r>
      <w:r>
        <w:rPr>
          <w:rFonts w:ascii="Helvetica" w:hAnsi="Helvetica" w:cs="Arial"/>
          <w:sz w:val="20"/>
          <w:szCs w:val="20"/>
        </w:rPr>
        <w:t>nces of the mechanism that originally stemmed from the vitality of American associations. Some, completely to the contrary, demanded that the CLT should be placed in the ranks of public real estate operators (or at least be subject to government oversight)</w:t>
      </w:r>
      <w:r>
        <w:rPr>
          <w:rFonts w:ascii="Helvetica" w:hAnsi="Helvetica" w:cs="Arial"/>
          <w:sz w:val="20"/>
          <w:szCs w:val="20"/>
        </w:rPr>
        <w:t>, if only because this meant they would be eligible for State subsidies, but the lawmakers of 2013 refused to back down. And, let me add in passing, the expression “non-profit organisation” was deliberately very broad so as not to target non-profit associa</w:t>
      </w:r>
      <w:r>
        <w:rPr>
          <w:rFonts w:ascii="Helvetica" w:hAnsi="Helvetica" w:cs="Arial"/>
          <w:sz w:val="20"/>
          <w:szCs w:val="20"/>
        </w:rPr>
        <w:t>tions (the Belgian a.s.b.l.) only.  True to the tradition of compromise, this organisation must be “approved by the Government, which sets its conditions”, and in a similar register, the resale rules adopted by CLTs that “receive regional subsidies” must b</w:t>
      </w:r>
      <w:r>
        <w:rPr>
          <w:rFonts w:ascii="Helvetica" w:hAnsi="Helvetica" w:cs="Arial"/>
          <w:sz w:val="20"/>
          <w:szCs w:val="20"/>
        </w:rPr>
        <w:t>e “approved by the Government” as well.</w:t>
      </w:r>
    </w:p>
  </w:footnote>
  <w:footnote w:id="19">
    <w:p w14:paraId="21D510AA"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To buy the land, for example.</w:t>
      </w:r>
    </w:p>
  </w:footnote>
  <w:footnote w:id="20">
    <w:p w14:paraId="05ED01A8"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For, as a rule, the (less remote) prospect of the death of a mortgage applicant of a certain age all too often deters banks from stepping in. In such a context, a smaller loan may </w:t>
      </w:r>
      <w:r>
        <w:rPr>
          <w:rFonts w:ascii="Helvetica" w:hAnsi="Helvetica" w:cs="Arial"/>
          <w:sz w:val="20"/>
          <w:szCs w:val="20"/>
        </w:rPr>
        <w:t xml:space="preserve">dispel these fears. </w:t>
      </w:r>
    </w:p>
  </w:footnote>
  <w:footnote w:id="21">
    <w:p w14:paraId="706550D6"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It decreases in line with income, as is the case, </w:t>
      </w:r>
      <w:r>
        <w:rPr>
          <w:rFonts w:ascii="Helvetica" w:hAnsi="Helvetica" w:cs="Arial"/>
          <w:i/>
          <w:sz w:val="20"/>
          <w:szCs w:val="20"/>
        </w:rPr>
        <w:t>mutatis mutandis,</w:t>
      </w:r>
      <w:r>
        <w:rPr>
          <w:rFonts w:ascii="Helvetica" w:hAnsi="Helvetica" w:cs="Arial"/>
          <w:sz w:val="20"/>
          <w:szCs w:val="20"/>
        </w:rPr>
        <w:t xml:space="preserve"> in social housing.</w:t>
      </w:r>
    </w:p>
  </w:footnote>
  <w:footnote w:id="22">
    <w:p w14:paraId="79DB1487"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Condition to evaluate on the day that the housing is granted, not at the time of inclusion in the waiting list.</w:t>
      </w:r>
    </w:p>
  </w:footnote>
  <w:footnote w:id="23">
    <w:p w14:paraId="64AF89BC"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Art. 2, §1</w:t>
      </w:r>
      <w:r>
        <w:rPr>
          <w:rFonts w:ascii="Helvetica" w:hAnsi="Helvetica" w:cs="Arial"/>
          <w:sz w:val="20"/>
          <w:szCs w:val="20"/>
          <w:vertAlign w:val="superscript"/>
        </w:rPr>
        <w:t>er</w:t>
      </w:r>
      <w:r>
        <w:rPr>
          <w:rFonts w:ascii="Helvetica" w:hAnsi="Helvetica" w:cs="Arial"/>
          <w:sz w:val="20"/>
          <w:szCs w:val="20"/>
        </w:rPr>
        <w:t>, 27°.</w:t>
      </w:r>
    </w:p>
  </w:footnote>
  <w:footnote w:id="24">
    <w:p w14:paraId="3D43D387"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For e</w:t>
      </w:r>
      <w:r>
        <w:rPr>
          <w:rFonts w:ascii="Helvetica" w:hAnsi="Helvetica" w:cs="Arial"/>
          <w:sz w:val="20"/>
          <w:szCs w:val="20"/>
        </w:rPr>
        <w:t xml:space="preserve">xample, property is not </w:t>
      </w:r>
      <w:r>
        <w:rPr>
          <w:rFonts w:ascii="Helvetica" w:hAnsi="Helvetica" w:cs="Arial"/>
          <w:sz w:val="20"/>
          <w:szCs w:val="20"/>
          <w:shd w:val="clear" w:color="auto" w:fill="FFFFFF"/>
        </w:rPr>
        <w:t>awarded</w:t>
      </w:r>
      <w:r>
        <w:rPr>
          <w:rFonts w:ascii="Helvetica" w:hAnsi="Helvetica" w:cs="Arial"/>
          <w:sz w:val="20"/>
          <w:szCs w:val="20"/>
        </w:rPr>
        <w:t xml:space="preserve"> to candidates on the basis of a complicated equation of priority points but more simply, according to their seniority in the waiting list (provided, of course, that the candidate belongs to the income category that the CLTB </w:t>
      </w:r>
      <w:r>
        <w:rPr>
          <w:rFonts w:ascii="Helvetica" w:hAnsi="Helvetica" w:cs="Arial"/>
          <w:sz w:val="20"/>
          <w:szCs w:val="20"/>
        </w:rPr>
        <w:t>has attached to the housing unit up for sale).</w:t>
      </w:r>
    </w:p>
  </w:footnote>
  <w:footnote w:id="25">
    <w:p w14:paraId="6E16C0E6"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A city built entirely on a similar principle of the dismemberment of ownership (in this case, the 99-year lease conferring a right in rem).</w:t>
      </w:r>
    </w:p>
  </w:footnote>
  <w:footnote w:id="26">
    <w:p w14:paraId="79F3361B"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Up to a thirty-year limit as of the date of acquisition of the </w:t>
      </w:r>
      <w:r>
        <w:rPr>
          <w:rFonts w:ascii="Helvetica" w:hAnsi="Helvetica" w:cs="Arial"/>
          <w:sz w:val="20"/>
          <w:szCs w:val="20"/>
        </w:rPr>
        <w:t>right by the claimant(s)</w:t>
      </w:r>
      <w:r>
        <w:rPr>
          <w:rFonts w:ascii="Helvetica" w:hAnsi="Helvetica" w:cs="Arial"/>
          <w:sz w:val="20"/>
          <w:szCs w:val="20"/>
          <w:shd w:val="clear" w:color="auto" w:fill="FFFF00"/>
        </w:rPr>
        <w:t>.</w:t>
      </w:r>
      <w:r>
        <w:rPr>
          <w:rFonts w:ascii="Helvetica" w:hAnsi="Helvetica" w:cs="Arial"/>
          <w:sz w:val="20"/>
          <w:szCs w:val="20"/>
        </w:rPr>
        <w:t xml:space="preserve"> At that time, the heir whose income does not exceed the social housing eligibility cut-off will be permitted to live there another twenty years, with the possibility of renewing the surface rights.</w:t>
      </w:r>
    </w:p>
  </w:footnote>
  <w:footnote w:id="27">
    <w:p w14:paraId="026FA213" w14:textId="77777777" w:rsidR="00A25CC5" w:rsidRDefault="008E652F">
      <w:pPr>
        <w:pStyle w:val="Notedebasdepage"/>
      </w:pPr>
      <w:r>
        <w:rPr>
          <w:rStyle w:val="Ancredenotedebasdepage"/>
          <w:rFonts w:ascii="Helvetica" w:eastAsia="Heiti SC Light" w:hAnsi="Helvetica" w:cs="Arial"/>
          <w:shd w:val="clear" w:color="auto" w:fill="00FF00"/>
        </w:rPr>
        <w:footnoteRef/>
      </w:r>
      <w:r>
        <w:rPr>
          <w:rStyle w:val="Ancredenotedebasdepage"/>
          <w:rFonts w:ascii="Helvetica" w:eastAsia="Heiti SC Light" w:hAnsi="Helvetica" w:cs="Arial"/>
          <w:shd w:val="clear" w:color="auto" w:fill="00FF00"/>
        </w:rPr>
        <w:tab/>
      </w:r>
      <w:r>
        <w:rPr>
          <w:rFonts w:ascii="Helvetica" w:hAnsi="Helvetica"/>
          <w:sz w:val="20"/>
          <w:szCs w:val="20"/>
        </w:rPr>
        <w:t xml:space="preserve"> </w:t>
      </w:r>
      <w:r>
        <w:rPr>
          <w:rFonts w:ascii="Helvetica" w:hAnsi="Helvetica"/>
          <w:i/>
          <w:sz w:val="20"/>
          <w:szCs w:val="20"/>
          <w:shd w:val="clear" w:color="auto" w:fill="FFFF00"/>
        </w:rPr>
        <w:t>Cf.</w:t>
      </w:r>
      <w:r>
        <w:rPr>
          <w:rFonts w:ascii="Helvetica" w:hAnsi="Helvetica"/>
          <w:sz w:val="20"/>
          <w:szCs w:val="20"/>
          <w:shd w:val="clear" w:color="auto" w:fill="FFFF00"/>
        </w:rPr>
        <w:t xml:space="preserve"> P. </w:t>
      </w:r>
      <w:r>
        <w:rPr>
          <w:rFonts w:ascii="Helvetica" w:eastAsia="Heiti SC Light" w:hAnsi="Helvetica"/>
          <w:sz w:val="20"/>
          <w:szCs w:val="20"/>
          <w:shd w:val="clear" w:color="auto" w:fill="FFFF00"/>
          <w:lang w:val="fr-FR"/>
        </w:rPr>
        <w:t xml:space="preserve">DARDOT et Chr. LAVAL, </w:t>
      </w:r>
      <w:r>
        <w:rPr>
          <w:rFonts w:ascii="Helvetica" w:eastAsia="Heiti SC Light" w:hAnsi="Helvetica"/>
          <w:i/>
          <w:sz w:val="20"/>
          <w:szCs w:val="20"/>
          <w:shd w:val="clear" w:color="auto" w:fill="FFFF00"/>
          <w:lang w:val="fr-FR"/>
        </w:rPr>
        <w:t>Commun. Essai sur la révolution au XXIe siècle</w:t>
      </w:r>
      <w:r>
        <w:rPr>
          <w:rFonts w:ascii="Helvetica" w:eastAsia="Heiti SC Light" w:hAnsi="Helvetica"/>
          <w:sz w:val="20"/>
          <w:szCs w:val="20"/>
          <w:shd w:val="clear" w:color="auto" w:fill="FFFF00"/>
          <w:lang w:val="fr-FR"/>
        </w:rPr>
        <w:t>, Paris, La Découverte, 2014, Th. BOCCON-GIBOD et P. CRETOIS (dir.),</w:t>
      </w:r>
      <w:r>
        <w:rPr>
          <w:rFonts w:ascii="Helvetica" w:eastAsia="Heiti SC Light" w:hAnsi="Helvetica"/>
          <w:i/>
          <w:sz w:val="20"/>
          <w:szCs w:val="20"/>
          <w:shd w:val="clear" w:color="auto" w:fill="FFFF00"/>
          <w:lang w:val="fr-FR"/>
        </w:rPr>
        <w:t xml:space="preserve"> État social, propriété publique et biens communs,</w:t>
      </w:r>
      <w:r>
        <w:rPr>
          <w:rFonts w:ascii="Helvetica" w:eastAsia="Heiti SC Light" w:hAnsi="Helvetica"/>
          <w:sz w:val="20"/>
          <w:szCs w:val="20"/>
          <w:shd w:val="clear" w:color="auto" w:fill="FFFF00"/>
          <w:lang w:val="fr-FR"/>
        </w:rPr>
        <w:t xml:space="preserve"> Lormont, Le bord de l’eau, 2015 et A. </w:t>
      </w:r>
      <w:r>
        <w:rPr>
          <w:rFonts w:ascii="Helvetica" w:eastAsia="Heiti SC Light" w:hAnsi="Helvetica" w:cs="Arial"/>
          <w:sz w:val="20"/>
          <w:szCs w:val="20"/>
          <w:shd w:val="clear" w:color="auto" w:fill="FFFF00"/>
          <w:lang w:val="fr-FR"/>
        </w:rPr>
        <w:t>CHAIGNEAU,</w:t>
      </w:r>
      <w:r>
        <w:rPr>
          <w:rFonts w:ascii="Helvetica" w:eastAsia="Heiti SC Light" w:hAnsi="Helvetica"/>
          <w:sz w:val="20"/>
          <w:szCs w:val="20"/>
          <w:shd w:val="clear" w:color="auto" w:fill="FFFF00"/>
          <w:lang w:val="fr-FR"/>
        </w:rPr>
        <w:t xml:space="preserve"> « Propriété collective », </w:t>
      </w:r>
      <w:r>
        <w:rPr>
          <w:rFonts w:ascii="Helvetica" w:eastAsia="Heiti SC Light" w:hAnsi="Helvetica"/>
          <w:i/>
          <w:sz w:val="20"/>
          <w:szCs w:val="20"/>
          <w:shd w:val="clear" w:color="auto" w:fill="FFFF00"/>
          <w:lang w:val="fr-FR"/>
        </w:rPr>
        <w:t>Dictionnaire des</w:t>
      </w:r>
      <w:r>
        <w:rPr>
          <w:rFonts w:ascii="Helvetica" w:eastAsia="Heiti SC Light" w:hAnsi="Helvetica"/>
          <w:i/>
          <w:sz w:val="20"/>
          <w:szCs w:val="20"/>
          <w:shd w:val="clear" w:color="auto" w:fill="FFFF00"/>
          <w:lang w:val="fr-FR"/>
        </w:rPr>
        <w:t xml:space="preserve"> biens communs, </w:t>
      </w:r>
      <w:r>
        <w:rPr>
          <w:rFonts w:ascii="Helvetica" w:eastAsia="Heiti SC Light" w:hAnsi="Helvetica"/>
          <w:sz w:val="20"/>
          <w:szCs w:val="20"/>
          <w:shd w:val="clear" w:color="auto" w:fill="FFFF00"/>
          <w:lang w:val="fr-FR"/>
        </w:rPr>
        <w:t>sous la direction de M. Cornu</w:t>
      </w:r>
      <w:r>
        <w:rPr>
          <w:rFonts w:ascii="Helvetica" w:eastAsia="Heiti SC Light" w:hAnsi="Helvetica"/>
          <w:i/>
          <w:sz w:val="20"/>
          <w:szCs w:val="20"/>
          <w:shd w:val="clear" w:color="auto" w:fill="FFFF00"/>
          <w:lang w:val="fr-FR"/>
        </w:rPr>
        <w:t xml:space="preserve"> et al</w:t>
      </w:r>
      <w:r>
        <w:rPr>
          <w:rFonts w:ascii="Helvetica" w:eastAsia="Heiti SC Light" w:hAnsi="Helvetica"/>
          <w:sz w:val="20"/>
          <w:szCs w:val="20"/>
          <w:shd w:val="clear" w:color="auto" w:fill="FFFF00"/>
          <w:lang w:val="fr-FR"/>
        </w:rPr>
        <w:t>., Paris, Presses universitaires de France, 2017.</w:t>
      </w:r>
    </w:p>
  </w:footnote>
  <w:footnote w:id="28">
    <w:p w14:paraId="0FA9548C" w14:textId="77777777" w:rsidR="00A25CC5" w:rsidRDefault="008E652F">
      <w:pPr>
        <w:pStyle w:val="Notedebasdepage"/>
      </w:pPr>
      <w:r>
        <w:rPr>
          <w:rStyle w:val="Ancredenotedebasdepage"/>
          <w:rFonts w:ascii="Helvetica" w:eastAsia="Heiti SC Light" w:hAnsi="Helvetica" w:cs="Arial"/>
          <w:shd w:val="clear" w:color="auto" w:fill="00FF00"/>
        </w:rPr>
        <w:footnoteRef/>
      </w:r>
      <w:r>
        <w:rPr>
          <w:rStyle w:val="Ancredenotedebasdepage"/>
          <w:rFonts w:ascii="Helvetica" w:eastAsia="Heiti SC Light" w:hAnsi="Helvetica" w:cs="Arial"/>
          <w:shd w:val="clear" w:color="auto" w:fill="00FF00"/>
        </w:rPr>
        <w:tab/>
      </w:r>
      <w:r>
        <w:rPr>
          <w:rFonts w:ascii="Helvetica" w:hAnsi="Helvetica"/>
          <w:sz w:val="20"/>
          <w:szCs w:val="20"/>
          <w:lang w:val="fr-FR"/>
        </w:rPr>
        <w:t xml:space="preserve"> </w:t>
      </w:r>
      <w:r>
        <w:rPr>
          <w:rFonts w:ascii="Helvetica" w:hAnsi="Helvetica"/>
          <w:sz w:val="20"/>
          <w:szCs w:val="20"/>
          <w:shd w:val="clear" w:color="auto" w:fill="00FF00"/>
          <w:lang w:val="fr-FR"/>
        </w:rPr>
        <w:t xml:space="preserve">Next to its contrary, </w:t>
      </w:r>
      <w:r>
        <w:rPr>
          <w:rFonts w:ascii="Helvetica" w:hAnsi="Helvetica"/>
          <w:i/>
          <w:iCs/>
          <w:sz w:val="20"/>
          <w:szCs w:val="20"/>
          <w:shd w:val="clear" w:color="auto" w:fill="00FF00"/>
          <w:lang w:val="fr-FR"/>
        </w:rPr>
        <w:t>i.e</w:t>
      </w:r>
      <w:r>
        <w:rPr>
          <w:rFonts w:ascii="Helvetica" w:hAnsi="Helvetica"/>
          <w:sz w:val="20"/>
          <w:szCs w:val="20"/>
          <w:shd w:val="clear" w:color="auto" w:fill="00FF00"/>
          <w:lang w:val="fr-FR"/>
        </w:rPr>
        <w:t>, the boundlessness of information and cultural resources.</w:t>
      </w:r>
      <w:r>
        <w:rPr>
          <w:rFonts w:ascii="Helvetica" w:hAnsi="Helvetica"/>
          <w:sz w:val="20"/>
          <w:szCs w:val="20"/>
          <w:lang w:val="fr-FR"/>
        </w:rPr>
        <w:t xml:space="preserve"> </w:t>
      </w:r>
      <w:r>
        <w:rPr>
          <w:rFonts w:ascii="Helvetica" w:hAnsi="Helvetica"/>
          <w:sz w:val="20"/>
          <w:szCs w:val="20"/>
          <w:shd w:val="clear" w:color="auto" w:fill="FFFF00"/>
          <w:lang w:val="fr-FR"/>
        </w:rPr>
        <w:t>See</w:t>
      </w:r>
      <w:r>
        <w:rPr>
          <w:rFonts w:ascii="Helvetica" w:hAnsi="Helvetica"/>
          <w:i/>
          <w:sz w:val="20"/>
          <w:szCs w:val="20"/>
          <w:shd w:val="clear" w:color="auto" w:fill="FFFF00"/>
          <w:lang w:val="fr-FR"/>
        </w:rPr>
        <w:t xml:space="preserve"> </w:t>
      </w:r>
      <w:r>
        <w:rPr>
          <w:rFonts w:ascii="Helvetica" w:hAnsi="Helvetica"/>
          <w:sz w:val="20"/>
          <w:szCs w:val="20"/>
          <w:shd w:val="clear" w:color="auto" w:fill="FFFF00"/>
          <w:lang w:val="fr-FR"/>
        </w:rPr>
        <w:t>F.</w:t>
      </w:r>
      <w:r>
        <w:rPr>
          <w:rFonts w:ascii="Helvetica" w:hAnsi="Helvetica"/>
          <w:i/>
          <w:sz w:val="20"/>
          <w:szCs w:val="20"/>
          <w:shd w:val="clear" w:color="auto" w:fill="FFFF00"/>
          <w:lang w:val="fr-FR"/>
        </w:rPr>
        <w:t xml:space="preserve"> </w:t>
      </w:r>
      <w:r>
        <w:rPr>
          <w:rFonts w:ascii="Helvetica" w:eastAsia="Heiti SC Light" w:hAnsi="Helvetica"/>
          <w:sz w:val="20"/>
          <w:szCs w:val="20"/>
          <w:shd w:val="clear" w:color="auto" w:fill="FFFF00"/>
          <w:lang w:val="fr-FR"/>
        </w:rPr>
        <w:t xml:space="preserve">OST, D. MISONNE et M.-S. de CLIPPELE, « Propriété et biens communs », </w:t>
      </w:r>
      <w:r>
        <w:rPr>
          <w:rFonts w:ascii="Helvetica" w:eastAsia="Heiti SC Light" w:hAnsi="Helvetica"/>
          <w:i/>
          <w:sz w:val="20"/>
          <w:szCs w:val="20"/>
          <w:shd w:val="clear" w:color="auto" w:fill="FFFF00"/>
          <w:lang w:val="fr-FR"/>
        </w:rPr>
        <w:t>La propriété et ses limites. Das Eigentum und seine Grenzen</w:t>
      </w:r>
      <w:r>
        <w:rPr>
          <w:rFonts w:ascii="Helvetica" w:eastAsia="Heiti SC Light" w:hAnsi="Helvetica"/>
          <w:sz w:val="20"/>
          <w:szCs w:val="20"/>
          <w:shd w:val="clear" w:color="auto" w:fill="FFFF00"/>
          <w:lang w:val="fr-FR"/>
        </w:rPr>
        <w:t xml:space="preserve">, sous la direction de B. Winiger </w:t>
      </w:r>
      <w:r>
        <w:rPr>
          <w:rFonts w:ascii="Helvetica" w:eastAsia="Heiti SC Light" w:hAnsi="Helvetica"/>
          <w:i/>
          <w:sz w:val="20"/>
          <w:szCs w:val="20"/>
          <w:shd w:val="clear" w:color="auto" w:fill="FFFF00"/>
          <w:lang w:val="fr-FR"/>
        </w:rPr>
        <w:t>et al.</w:t>
      </w:r>
      <w:r>
        <w:rPr>
          <w:rFonts w:ascii="Helvetica" w:eastAsia="Heiti SC Light" w:hAnsi="Helvetica"/>
          <w:sz w:val="20"/>
          <w:szCs w:val="20"/>
          <w:shd w:val="clear" w:color="auto" w:fill="FFFF00"/>
          <w:lang w:val="fr-FR"/>
        </w:rPr>
        <w:t xml:space="preserve">, Stuttgart, </w:t>
      </w:r>
      <w:r>
        <w:rPr>
          <w:rFonts w:ascii="Helvetica" w:eastAsia="Heiti SC Light" w:hAnsi="Helvetica" w:cs="Helvetica"/>
          <w:sz w:val="20"/>
          <w:szCs w:val="20"/>
          <w:shd w:val="clear" w:color="auto" w:fill="FFFF00"/>
          <w:lang w:val="fr-FR"/>
        </w:rPr>
        <w:t>Franz Steiner Verlag</w:t>
      </w:r>
      <w:r>
        <w:rPr>
          <w:rFonts w:ascii="Helvetica" w:eastAsia="Heiti SC Light" w:hAnsi="Helvetica"/>
          <w:sz w:val="20"/>
          <w:szCs w:val="20"/>
          <w:shd w:val="clear" w:color="auto" w:fill="FFFF00"/>
          <w:lang w:val="fr-FR"/>
        </w:rPr>
        <w:t>, 2017.</w:t>
      </w:r>
      <w:r>
        <w:rPr>
          <w:rFonts w:ascii="Helvetica" w:hAnsi="Helvetica"/>
          <w:sz w:val="20"/>
          <w:szCs w:val="20"/>
          <w:shd w:val="clear" w:color="auto" w:fill="FFFF00"/>
          <w:lang w:val="fr-FR"/>
        </w:rPr>
        <w:t xml:space="preserve"> p. 141.</w:t>
      </w:r>
    </w:p>
  </w:footnote>
  <w:footnote w:id="29">
    <w:p w14:paraId="6E1D47B1" w14:textId="77777777" w:rsidR="00A25CC5" w:rsidRDefault="008E652F">
      <w:pPr>
        <w:pStyle w:val="Notedebasdepage"/>
      </w:pPr>
      <w:r>
        <w:rPr>
          <w:rStyle w:val="Ancredenotedebasdepage"/>
          <w:rFonts w:ascii="Helvetica" w:eastAsia="Heiti SC Light" w:hAnsi="Helvetica" w:cs="Arial"/>
          <w:shd w:val="clear" w:color="auto" w:fill="00FF00"/>
        </w:rPr>
        <w:footnoteRef/>
      </w:r>
      <w:r>
        <w:rPr>
          <w:rStyle w:val="Ancredenotedebasdepage"/>
          <w:rFonts w:ascii="Helvetica" w:eastAsia="Heiti SC Light" w:hAnsi="Helvetica" w:cs="Arial"/>
          <w:shd w:val="clear" w:color="auto" w:fill="00FF00"/>
        </w:rPr>
        <w:tab/>
      </w:r>
      <w:r>
        <w:rPr>
          <w:rFonts w:ascii="Helvetica" w:hAnsi="Helvetica"/>
          <w:sz w:val="20"/>
          <w:szCs w:val="20"/>
        </w:rPr>
        <w:t xml:space="preserve"> </w:t>
      </w:r>
      <w:r>
        <w:rPr>
          <w:rFonts w:ascii="Helvetica" w:eastAsia="Heiti SC Light" w:hAnsi="Helvetica" w:cs="Arial"/>
          <w:sz w:val="20"/>
          <w:szCs w:val="20"/>
          <w:shd w:val="clear" w:color="auto" w:fill="00FF00"/>
          <w:lang w:val="fr-FR"/>
        </w:rPr>
        <w:t xml:space="preserve">This is exacerbated in a region </w:t>
      </w:r>
      <w:r>
        <w:rPr>
          <w:rFonts w:ascii="Helvetica" w:eastAsia="Heiti SC Light" w:hAnsi="Helvetica" w:cs="Arial"/>
          <w:sz w:val="20"/>
          <w:szCs w:val="20"/>
          <w:shd w:val="clear" w:color="auto" w:fill="00FF00"/>
          <w:lang w:val="fr-FR"/>
        </w:rPr>
        <w:t>such as Brussels, which is both subject to very strong demographic pressure and locked within administrative boundaries that cannot be shifted</w:t>
      </w:r>
      <w:r>
        <w:rPr>
          <w:rFonts w:ascii="Helvetica" w:eastAsia="Heiti SC Light" w:hAnsi="Helvetica" w:cs="Arial"/>
          <w:sz w:val="20"/>
          <w:szCs w:val="20"/>
          <w:lang w:val="fr-FR"/>
        </w:rPr>
        <w:t>.</w:t>
      </w:r>
    </w:p>
  </w:footnote>
  <w:footnote w:id="30">
    <w:p w14:paraId="7454310E" w14:textId="77777777" w:rsidR="00A25CC5" w:rsidRDefault="008E652F">
      <w:pPr>
        <w:pStyle w:val="Notedebasdepage"/>
      </w:pPr>
      <w:r>
        <w:rPr>
          <w:rStyle w:val="Ancredenotedebasdepage"/>
          <w:rFonts w:ascii="Helvetica" w:eastAsia="Heiti SC Light" w:hAnsi="Helvetica" w:cs="Arial"/>
          <w:shd w:val="clear" w:color="auto" w:fill="FFFF00"/>
        </w:rPr>
        <w:footnoteRef/>
      </w:r>
      <w:r>
        <w:rPr>
          <w:rStyle w:val="Ancredenotedebasdepage"/>
          <w:rFonts w:ascii="Helvetica" w:eastAsia="Heiti SC Light" w:hAnsi="Helvetica" w:cs="Arial"/>
          <w:shd w:val="clear" w:color="auto" w:fill="FFFF00"/>
        </w:rPr>
        <w:tab/>
      </w:r>
      <w:r>
        <w:rPr>
          <w:rFonts w:ascii="Helvetica" w:hAnsi="Helvetica"/>
          <w:sz w:val="20"/>
          <w:szCs w:val="20"/>
          <w:lang w:val="fr-FR"/>
        </w:rPr>
        <w:t xml:space="preserve"> </w:t>
      </w:r>
      <w:r>
        <w:rPr>
          <w:rFonts w:ascii="Helvetica" w:hAnsi="Helvetica"/>
          <w:sz w:val="20"/>
          <w:szCs w:val="20"/>
          <w:shd w:val="clear" w:color="auto" w:fill="FFFF00"/>
          <w:lang w:val="fr-FR"/>
        </w:rPr>
        <w:t xml:space="preserve">L. </w:t>
      </w:r>
      <w:r>
        <w:rPr>
          <w:rFonts w:ascii="Helvetica" w:eastAsia="Heiti SC Light" w:hAnsi="Helvetica"/>
          <w:sz w:val="20"/>
          <w:szCs w:val="20"/>
          <w:shd w:val="clear" w:color="auto" w:fill="FFFF00"/>
          <w:lang w:val="fr-FR"/>
        </w:rPr>
        <w:t xml:space="preserve">PFISTER, « Propriété démembrée ou démembrements de propriété », in </w:t>
      </w:r>
      <w:r>
        <w:rPr>
          <w:rFonts w:ascii="Helvetica" w:eastAsia="Heiti SC Light" w:hAnsi="Helvetica"/>
          <w:i/>
          <w:sz w:val="20"/>
          <w:szCs w:val="20"/>
          <w:shd w:val="clear" w:color="auto" w:fill="FFFF00"/>
          <w:lang w:val="fr-FR"/>
        </w:rPr>
        <w:t xml:space="preserve">Dictionnaire des biens communs, </w:t>
      </w:r>
      <w:r>
        <w:rPr>
          <w:rFonts w:ascii="Helvetica" w:eastAsia="Heiti SC Light" w:hAnsi="Helvetica"/>
          <w:sz w:val="20"/>
          <w:szCs w:val="20"/>
          <w:shd w:val="clear" w:color="auto" w:fill="FFFF00"/>
          <w:lang w:val="fr-FR"/>
        </w:rPr>
        <w:t>sous la</w:t>
      </w:r>
      <w:r>
        <w:rPr>
          <w:rFonts w:ascii="Helvetica" w:eastAsia="Heiti SC Light" w:hAnsi="Helvetica"/>
          <w:sz w:val="20"/>
          <w:szCs w:val="20"/>
          <w:shd w:val="clear" w:color="auto" w:fill="FFFF00"/>
          <w:lang w:val="fr-FR"/>
        </w:rPr>
        <w:t xml:space="preserve"> direction de M. Cornu</w:t>
      </w:r>
      <w:r>
        <w:rPr>
          <w:rFonts w:ascii="Helvetica" w:eastAsia="Heiti SC Light" w:hAnsi="Helvetica"/>
          <w:i/>
          <w:sz w:val="20"/>
          <w:szCs w:val="20"/>
          <w:shd w:val="clear" w:color="auto" w:fill="FFFF00"/>
          <w:lang w:val="fr-FR"/>
        </w:rPr>
        <w:t xml:space="preserve"> et al</w:t>
      </w:r>
      <w:r>
        <w:rPr>
          <w:rFonts w:ascii="Helvetica" w:eastAsia="Heiti SC Light" w:hAnsi="Helvetica"/>
          <w:sz w:val="20"/>
          <w:szCs w:val="20"/>
          <w:shd w:val="clear" w:color="auto" w:fill="FFFF00"/>
          <w:lang w:val="fr-FR"/>
        </w:rPr>
        <w:t xml:space="preserve">., Paris, Presses universitaires de France, 2017, </w:t>
      </w:r>
      <w:r>
        <w:rPr>
          <w:rFonts w:ascii="Helvetica" w:hAnsi="Helvetica"/>
          <w:sz w:val="20"/>
          <w:szCs w:val="20"/>
          <w:shd w:val="clear" w:color="auto" w:fill="FFFF00"/>
          <w:lang w:val="fr-FR"/>
        </w:rPr>
        <w:t>p. 967.</w:t>
      </w:r>
      <w:r>
        <w:rPr>
          <w:rFonts w:ascii="Helvetica" w:hAnsi="Helvetica"/>
          <w:sz w:val="20"/>
          <w:szCs w:val="20"/>
          <w:lang w:val="fr-FR"/>
        </w:rPr>
        <w:t xml:space="preserve"> </w:t>
      </w:r>
    </w:p>
  </w:footnote>
  <w:footnote w:id="31">
    <w:p w14:paraId="5CEAEBAF"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Each of these three groups has one-third of the votes on the board of directors of the non-profit CLTB. </w:t>
      </w:r>
    </w:p>
  </w:footnote>
  <w:footnote w:id="32">
    <w:p w14:paraId="3B606D52"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To this end they are invited to attend a series of meetings, some of which are presented as being mandatory.</w:t>
      </w:r>
    </w:p>
  </w:footnote>
  <w:footnote w:id="33">
    <w:p w14:paraId="7D4EA6F8"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As proof of this openness to the neighbourhood, some of the CLTB's current projects provide collective facilities, such as a laundry room or co</w:t>
      </w:r>
      <w:r>
        <w:rPr>
          <w:rFonts w:ascii="Helvetica" w:hAnsi="Helvetica" w:cs="Arial"/>
          <w:sz w:val="20"/>
          <w:szCs w:val="20"/>
        </w:rPr>
        <w:t>mmunity hall, that are accessible to area residents.</w:t>
      </w:r>
    </w:p>
  </w:footnote>
  <w:footnote w:id="34">
    <w:p w14:paraId="4D688389"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In so doing, the CLTB takes pains to ensure a mixture of social profiles (or, rather, income brackets, of which there are four in all) in its buildings, in part in order to guarantee the financial fea</w:t>
      </w:r>
      <w:r>
        <w:rPr>
          <w:rFonts w:ascii="Helvetica" w:hAnsi="Helvetica" w:cs="Arial"/>
          <w:sz w:val="20"/>
          <w:szCs w:val="20"/>
        </w:rPr>
        <w:t>sibility of the project.</w:t>
      </w:r>
    </w:p>
  </w:footnote>
  <w:footnote w:id="35">
    <w:p w14:paraId="3D8AF9F5"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Several of the CLTB's current projects thus include a mix of housing and convenience shops, senior citizen daycare centres, and so on.</w:t>
      </w:r>
    </w:p>
  </w:footnote>
  <w:footnote w:id="36">
    <w:p w14:paraId="17A40805" w14:textId="77777777" w:rsidR="00A25CC5" w:rsidRDefault="008E652F">
      <w:pPr>
        <w:pStyle w:val="Notedebasdepage"/>
      </w:pPr>
      <w:r>
        <w:rPr>
          <w:rStyle w:val="Ancredenotedebasdepage"/>
          <w:rFonts w:ascii="Arial" w:hAnsi="Arial" w:cs="Arial"/>
        </w:rPr>
        <w:footnoteRef/>
      </w:r>
      <w:r>
        <w:rPr>
          <w:rStyle w:val="Ancredenotedebasdepage"/>
          <w:rFonts w:ascii="Arial" w:hAnsi="Arial" w:cs="Arial"/>
        </w:rPr>
        <w:tab/>
      </w:r>
      <w:r>
        <w:rPr>
          <w:rFonts w:ascii="Helvetica" w:hAnsi="Helvetica" w:cs="Arial"/>
          <w:sz w:val="20"/>
          <w:szCs w:val="20"/>
        </w:rPr>
        <w:t xml:space="preserve"> Art. 2, §1</w:t>
      </w:r>
      <w:r>
        <w:rPr>
          <w:rFonts w:ascii="Helvetica" w:hAnsi="Helvetica" w:cs="Arial"/>
          <w:sz w:val="20"/>
          <w:szCs w:val="20"/>
          <w:vertAlign w:val="superscript"/>
        </w:rPr>
        <w:t>er</w:t>
      </w:r>
      <w:r>
        <w:rPr>
          <w:rFonts w:ascii="Helvetica" w:hAnsi="Helvetica" w:cs="Arial"/>
          <w:sz w:val="20"/>
          <w:szCs w:val="20"/>
        </w:rPr>
        <w:t>, 27°.</w:t>
      </w:r>
    </w:p>
  </w:footnote>
  <w:footnote w:id="37">
    <w:p w14:paraId="0AD45D65" w14:textId="77777777" w:rsidR="00A25CC5" w:rsidRDefault="008E652F">
      <w:pPr>
        <w:pStyle w:val="Notedebasdepage"/>
      </w:pPr>
      <w:r>
        <w:rPr>
          <w:rStyle w:val="Ancredenotedebasdepage"/>
          <w:rFonts w:ascii="Helvetica" w:eastAsia="Heiti SC Light" w:hAnsi="Helvetica" w:cs="Arial"/>
          <w:shd w:val="clear" w:color="auto" w:fill="FFFF00"/>
        </w:rPr>
        <w:footnoteRef/>
      </w:r>
      <w:r>
        <w:rPr>
          <w:rStyle w:val="Ancredenotedebasdepage"/>
          <w:rFonts w:ascii="Helvetica" w:eastAsia="Heiti SC Light" w:hAnsi="Helvetica" w:cs="Arial"/>
          <w:shd w:val="clear" w:color="auto" w:fill="FFFF00"/>
        </w:rPr>
        <w:tab/>
      </w:r>
      <w:r>
        <w:rPr>
          <w:rFonts w:ascii="Helvetica" w:hAnsi="Helvetica"/>
          <w:sz w:val="20"/>
          <w:szCs w:val="20"/>
          <w:lang w:val="fr-FR"/>
        </w:rPr>
        <w:t xml:space="preserve"> </w:t>
      </w:r>
      <w:r>
        <w:rPr>
          <w:rFonts w:ascii="Helvetica" w:hAnsi="Helvetica"/>
          <w:sz w:val="20"/>
          <w:szCs w:val="20"/>
          <w:shd w:val="clear" w:color="auto" w:fill="FFFF00"/>
        </w:rPr>
        <w:t xml:space="preserve">P. </w:t>
      </w:r>
      <w:r>
        <w:rPr>
          <w:rFonts w:ascii="Helvetica" w:eastAsia="Heiti SC Light" w:hAnsi="Helvetica"/>
          <w:sz w:val="20"/>
          <w:szCs w:val="20"/>
          <w:shd w:val="clear" w:color="auto" w:fill="FFFF00"/>
          <w:lang w:val="fr-FR"/>
        </w:rPr>
        <w:t xml:space="preserve">DARDOT et Chr. LAVAL, </w:t>
      </w:r>
      <w:r>
        <w:rPr>
          <w:rFonts w:ascii="Helvetica" w:eastAsia="Heiti SC Light" w:hAnsi="Helvetica"/>
          <w:i/>
          <w:sz w:val="20"/>
          <w:szCs w:val="20"/>
          <w:shd w:val="clear" w:color="auto" w:fill="FFFF00"/>
          <w:lang w:val="fr-FR"/>
        </w:rPr>
        <w:t>Commun. Essai sur la révolution au XXIe siè</w:t>
      </w:r>
      <w:r>
        <w:rPr>
          <w:rFonts w:ascii="Helvetica" w:eastAsia="Heiti SC Light" w:hAnsi="Helvetica"/>
          <w:i/>
          <w:sz w:val="20"/>
          <w:szCs w:val="20"/>
          <w:shd w:val="clear" w:color="auto" w:fill="FFFF00"/>
          <w:lang w:val="fr-FR"/>
        </w:rPr>
        <w:t>cle</w:t>
      </w:r>
      <w:r>
        <w:rPr>
          <w:rFonts w:ascii="Helvetica" w:eastAsia="Heiti SC Light" w:hAnsi="Helvetica"/>
          <w:sz w:val="20"/>
          <w:szCs w:val="20"/>
          <w:shd w:val="clear" w:color="auto" w:fill="FFFF00"/>
          <w:lang w:val="fr-FR"/>
        </w:rPr>
        <w:t>, Paris, La Découverte, 2014</w:t>
      </w:r>
      <w:r>
        <w:rPr>
          <w:rFonts w:ascii="Helvetica" w:hAnsi="Helvetica"/>
          <w:sz w:val="20"/>
          <w:szCs w:val="20"/>
          <w:shd w:val="clear" w:color="auto" w:fill="FFFF00"/>
          <w:lang w:val="fr-FR"/>
        </w:rPr>
        <w:t>, p. 282.</w:t>
      </w:r>
    </w:p>
  </w:footnote>
  <w:footnote w:id="38">
    <w:p w14:paraId="100F9A4D" w14:textId="77777777" w:rsidR="00A25CC5" w:rsidRDefault="008E652F">
      <w:pPr>
        <w:pStyle w:val="Notedebasdepage"/>
      </w:pPr>
      <w:r>
        <w:rPr>
          <w:rStyle w:val="Ancredenotedebasdepage"/>
          <w:rFonts w:ascii="Arial" w:hAnsi="Arial" w:cs="Arial"/>
          <w:shd w:val="clear" w:color="auto" w:fill="00FFFF"/>
        </w:rPr>
        <w:footnoteRef/>
      </w:r>
      <w:r>
        <w:rPr>
          <w:rStyle w:val="Ancredenotedebasdepage"/>
          <w:rFonts w:ascii="Arial" w:hAnsi="Arial" w:cs="Arial"/>
          <w:shd w:val="clear" w:color="auto" w:fill="00FFFF"/>
        </w:rPr>
        <w:tab/>
      </w:r>
      <w:r>
        <w:rPr>
          <w:rFonts w:ascii="Helvetica" w:hAnsi="Helvetica" w:cs="Arial"/>
          <w:sz w:val="20"/>
          <w:szCs w:val="20"/>
        </w:rPr>
        <w:t xml:space="preserve"> Art. 16.</w:t>
      </w:r>
    </w:p>
  </w:footnote>
  <w:footnote w:id="39">
    <w:p w14:paraId="419F2EB3" w14:textId="77777777" w:rsidR="00A25CC5" w:rsidRDefault="008E652F">
      <w:pPr>
        <w:pStyle w:val="Notedebasdepage"/>
      </w:pPr>
      <w:r>
        <w:rPr>
          <w:rStyle w:val="Ancredenotedebasdepage"/>
          <w:rFonts w:ascii="Arial" w:hAnsi="Arial" w:cs="Arial"/>
          <w:shd w:val="clear" w:color="auto" w:fill="00FFFF"/>
        </w:rPr>
        <w:footnoteRef/>
      </w:r>
      <w:r>
        <w:rPr>
          <w:rStyle w:val="Ancredenotedebasdepage"/>
          <w:rFonts w:ascii="Arial" w:hAnsi="Arial" w:cs="Arial"/>
          <w:shd w:val="clear" w:color="auto" w:fill="00FFFF"/>
        </w:rPr>
        <w:tab/>
      </w:r>
      <w:r>
        <w:rPr>
          <w:rFonts w:ascii="Helvetica" w:hAnsi="Helvetica" w:cs="Arial"/>
          <w:sz w:val="20"/>
          <w:szCs w:val="20"/>
        </w:rPr>
        <w:t xml:space="preserve"> Without even making any appraisal of the operation or even the legitimacy of this operator (the Housing Fund, in this case).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97EF0"/>
    <w:multiLevelType w:val="multilevel"/>
    <w:tmpl w:val="0292195C"/>
    <w:lvl w:ilvl="0">
      <w:start w:val="2"/>
      <w:numFmt w:val="bullet"/>
      <w:lvlText w:val="-"/>
      <w:lvlJc w:val="left"/>
      <w:pPr>
        <w:ind w:left="720" w:hanging="360"/>
      </w:pPr>
      <w:rPr>
        <w:rFonts w:ascii="Helvetica" w:hAnsi="Helvetica" w:cs="Helvetica"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FD70F41"/>
    <w:multiLevelType w:val="multilevel"/>
    <w:tmpl w:val="C6068B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CC5"/>
    <w:rsid w:val="004F41A6"/>
    <w:rsid w:val="008E652F"/>
    <w:rsid w:val="00A25CC5"/>
  </w:rsids>
  <m:mathPr>
    <m:mathFont m:val="Cambria Math"/>
    <m:brkBin m:val="before"/>
    <m:brkBinSub m:val="--"/>
    <m:smallFrac m:val="0"/>
    <m:dispDef/>
    <m:lMargin m:val="0"/>
    <m:rMargin m:val="0"/>
    <m:defJc m:val="centerGroup"/>
    <m:wrapIndent m:val="1440"/>
    <m:intLim m:val="subSup"/>
    <m:naryLim m:val="undOvr"/>
  </m:mathPr>
  <w:themeFontLang w:val="fr-BE" w:eastAsia="ja-JP" w:bidi=""/>
  <w:clrSchemeMapping w:bg1="light1" w:t1="dark1" w:bg2="light2" w:t2="dark2" w:accent1="accent1" w:accent2="accent2" w:accent3="accent3" w:accent4="accent4" w:accent5="accent5" w:accent6="accent6" w:hyperlink="hyperlink" w:followedHyperlink="followedHyperlink"/>
  <w:decimalSymbol w:val=","/>
  <w:listSeparator w:val=";"/>
  <w14:docId w14:val="79E6A4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4"/>
        <w:lang w:val="en-GB" w:eastAsia="fr-F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rFonts w:ascii="Cambria" w:eastAsia="ＭＳ 明朝" w:hAnsi="Cambria"/>
      <w:color w:val="00000A"/>
      <w:sz w:val="24"/>
    </w:rPr>
  </w:style>
  <w:style w:type="paragraph" w:styleId="Titre1">
    <w:name w:val="heading 1"/>
    <w:basedOn w:val="Normal"/>
    <w:link w:val="Titre1Car"/>
    <w:uiPriority w:val="9"/>
    <w:qFormat/>
    <w:rsid w:val="009E1F4D"/>
    <w:pPr>
      <w:spacing w:beforeAutospacing="1" w:afterAutospacing="1"/>
      <w:outlineLvl w:val="0"/>
    </w:pPr>
    <w:rPr>
      <w:rFonts w:ascii="Times" w:hAnsi="Times"/>
      <w:b/>
      <w:bCs/>
      <w:sz w:val="48"/>
      <w:szCs w:val="48"/>
    </w:rPr>
  </w:style>
  <w:style w:type="paragraph" w:styleId="Titre2">
    <w:name w:val="heading 2"/>
    <w:basedOn w:val="Titreprincipal"/>
    <w:pPr>
      <w:outlineLvl w:val="1"/>
    </w:pPr>
  </w:style>
  <w:style w:type="paragraph" w:styleId="Titre3">
    <w:name w:val="heading 3"/>
    <w:basedOn w:val="Titreprincipal"/>
    <w:pPr>
      <w:outlineLvl w:val="2"/>
    </w:pPr>
  </w:style>
  <w:style w:type="paragraph" w:styleId="Titre4">
    <w:name w:val="heading 4"/>
    <w:basedOn w:val="Normal"/>
    <w:link w:val="Titre4Car"/>
    <w:uiPriority w:val="9"/>
    <w:qFormat/>
    <w:rsid w:val="009E1F4D"/>
    <w:pPr>
      <w:spacing w:beforeAutospacing="1"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qFormat/>
    <w:rsid w:val="00770963"/>
  </w:style>
  <w:style w:type="character" w:styleId="Appelnotedebasdep">
    <w:name w:val="footnote reference"/>
    <w:basedOn w:val="Policepardfaut"/>
    <w:unhideWhenUsed/>
    <w:qFormat/>
    <w:rsid w:val="00770963"/>
    <w:rPr>
      <w:vertAlign w:val="superscript"/>
    </w:rPr>
  </w:style>
  <w:style w:type="character" w:customStyle="1" w:styleId="PieddepageCar">
    <w:name w:val="Pied de page Car"/>
    <w:basedOn w:val="Policepardfaut"/>
    <w:link w:val="Pieddepage"/>
    <w:uiPriority w:val="99"/>
    <w:qFormat/>
    <w:rsid w:val="00BE7669"/>
  </w:style>
  <w:style w:type="character" w:styleId="Numrodepage">
    <w:name w:val="page number"/>
    <w:basedOn w:val="Policepardfaut"/>
    <w:uiPriority w:val="99"/>
    <w:semiHidden/>
    <w:unhideWhenUsed/>
    <w:qFormat/>
    <w:rsid w:val="00BE7669"/>
  </w:style>
  <w:style w:type="character" w:customStyle="1" w:styleId="Titre1Car">
    <w:name w:val="Titre 1 Car"/>
    <w:basedOn w:val="Policepardfaut"/>
    <w:link w:val="Titre1"/>
    <w:uiPriority w:val="9"/>
    <w:qFormat/>
    <w:rsid w:val="009E1F4D"/>
    <w:rPr>
      <w:rFonts w:ascii="Times" w:hAnsi="Times"/>
      <w:b/>
      <w:bCs/>
      <w:sz w:val="48"/>
      <w:szCs w:val="48"/>
    </w:rPr>
  </w:style>
  <w:style w:type="character" w:customStyle="1" w:styleId="Titre4Car">
    <w:name w:val="Titre 4 Car"/>
    <w:basedOn w:val="Policepardfaut"/>
    <w:link w:val="Titre4"/>
    <w:uiPriority w:val="9"/>
    <w:qFormat/>
    <w:rsid w:val="009E1F4D"/>
    <w:rPr>
      <w:rFonts w:ascii="Times" w:hAnsi="Times"/>
      <w:b/>
      <w:bCs/>
    </w:rPr>
  </w:style>
  <w:style w:type="character" w:customStyle="1" w:styleId="LienInternet">
    <w:name w:val="Lien Internet"/>
    <w:basedOn w:val="Policepardfaut"/>
    <w:uiPriority w:val="99"/>
    <w:semiHidden/>
    <w:unhideWhenUsed/>
    <w:rsid w:val="009E1F4D"/>
    <w:rPr>
      <w:color w:val="0000FF"/>
      <w:u w:val="single"/>
    </w:rPr>
  </w:style>
  <w:style w:type="character" w:customStyle="1" w:styleId="z-HautdeformulaireCar">
    <w:name w:val="z-Haut de formulaire Car"/>
    <w:basedOn w:val="Policepardfaut"/>
    <w:uiPriority w:val="99"/>
    <w:semiHidden/>
    <w:qFormat/>
    <w:rsid w:val="009E1F4D"/>
    <w:rPr>
      <w:rFonts w:ascii="Arial" w:hAnsi="Arial" w:cs="Arial"/>
      <w:vanish/>
      <w:sz w:val="16"/>
      <w:szCs w:val="16"/>
    </w:rPr>
  </w:style>
  <w:style w:type="character" w:customStyle="1" w:styleId="labelfrlabrefvindplaats">
    <w:name w:val="label_fr_labrefvindplaats"/>
    <w:basedOn w:val="Policepardfaut"/>
    <w:qFormat/>
    <w:rsid w:val="009E1F4D"/>
  </w:style>
  <w:style w:type="character" w:customStyle="1" w:styleId="z-BasdeformulaireCar">
    <w:name w:val="z-Bas de formulaire Car"/>
    <w:basedOn w:val="Policepardfaut"/>
    <w:uiPriority w:val="99"/>
    <w:semiHidden/>
    <w:qFormat/>
    <w:rsid w:val="009E1F4D"/>
    <w:rPr>
      <w:rFonts w:ascii="Arial" w:hAnsi="Arial" w:cs="Arial"/>
      <w:vanish/>
      <w:sz w:val="16"/>
      <w:szCs w:val="16"/>
    </w:rPr>
  </w:style>
  <w:style w:type="character" w:customStyle="1" w:styleId="ListLabel1">
    <w:name w:val="ListLabel 1"/>
    <w:qFormat/>
    <w:rPr>
      <w:sz w:val="20"/>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customStyle="1" w:styleId="Marquedecommentaire1">
    <w:name w:val="Marque de commentaire1"/>
    <w:qFormat/>
    <w:rsid w:val="000E3807"/>
    <w:rPr>
      <w:sz w:val="16"/>
      <w:szCs w:val="16"/>
    </w:rPr>
  </w:style>
  <w:style w:type="character" w:customStyle="1" w:styleId="Accentuation">
    <w:name w:val="Accentuation"/>
    <w:basedOn w:val="Policepardfaut"/>
    <w:uiPriority w:val="20"/>
    <w:qFormat/>
    <w:rsid w:val="00F72814"/>
    <w:rPr>
      <w:i/>
      <w:iCs/>
    </w:rPr>
  </w:style>
  <w:style w:type="character" w:customStyle="1" w:styleId="ListLabel2">
    <w:name w:val="ListLabel 2"/>
    <w:qFormat/>
    <w:rPr>
      <w:rFonts w:ascii="Helvetica" w:eastAsia="Heiti SC Light" w:hAnsi="Helvetica" w:cs="Helvetica"/>
      <w:sz w:val="20"/>
    </w:rPr>
  </w:style>
  <w:style w:type="character" w:customStyle="1" w:styleId="ListLabel3">
    <w:name w:val="ListLabel 3"/>
    <w:qFormat/>
    <w:rPr>
      <w:rFonts w:cs="Courier New"/>
    </w:rPr>
  </w:style>
  <w:style w:type="character" w:customStyle="1" w:styleId="ListLabel4">
    <w:name w:val="ListLabel 4"/>
    <w:qFormat/>
    <w:rPr>
      <w:rFonts w:ascii="Helvetica" w:hAnsi="Helvetica" w:cs="Helvetica"/>
      <w:sz w:val="20"/>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ascii="Helvetica" w:hAnsi="Helvetica" w:cs="Helvetica"/>
      <w:sz w:val="20"/>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ascii="Helvetica" w:hAnsi="Helvetica" w:cs="Helvetica"/>
      <w:sz w:val="20"/>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style>
  <w:style w:type="paragraph" w:styleId="Notedebasdepage">
    <w:name w:val="footnote text"/>
    <w:basedOn w:val="Normal"/>
    <w:link w:val="NotedebasdepageCar"/>
  </w:style>
  <w:style w:type="paragraph" w:styleId="Pardeliste">
    <w:name w:val="List Paragraph"/>
    <w:basedOn w:val="Normal"/>
    <w:uiPriority w:val="34"/>
    <w:qFormat/>
    <w:rsid w:val="00F24234"/>
    <w:pPr>
      <w:ind w:left="720"/>
      <w:contextualSpacing/>
    </w:pPr>
  </w:style>
  <w:style w:type="paragraph" w:styleId="Pieddepage">
    <w:name w:val="footer"/>
    <w:basedOn w:val="Normal"/>
    <w:link w:val="PieddepageCar"/>
    <w:uiPriority w:val="99"/>
    <w:unhideWhenUsed/>
    <w:rsid w:val="00BE7669"/>
    <w:pPr>
      <w:tabs>
        <w:tab w:val="center" w:pos="4536"/>
        <w:tab w:val="right" w:pos="9072"/>
      </w:tabs>
    </w:pPr>
  </w:style>
  <w:style w:type="paragraph" w:styleId="z-Hautduformulaire">
    <w:name w:val="HTML Top of Form"/>
    <w:basedOn w:val="Normal"/>
    <w:next w:val="Normal"/>
    <w:uiPriority w:val="99"/>
    <w:semiHidden/>
    <w:unhideWhenUsed/>
    <w:qFormat/>
    <w:rsid w:val="009E1F4D"/>
    <w:pPr>
      <w:pBdr>
        <w:bottom w:val="single" w:sz="6" w:space="1" w:color="00000A"/>
      </w:pBdr>
      <w:jc w:val="center"/>
    </w:pPr>
    <w:rPr>
      <w:rFonts w:ascii="Arial" w:hAnsi="Arial" w:cs="Arial"/>
      <w:vanish/>
      <w:sz w:val="16"/>
      <w:szCs w:val="16"/>
    </w:rPr>
  </w:style>
  <w:style w:type="paragraph" w:styleId="z-Basduformulaire">
    <w:name w:val="HTML Bottom of Form"/>
    <w:basedOn w:val="Normal"/>
    <w:next w:val="Normal"/>
    <w:uiPriority w:val="99"/>
    <w:semiHidden/>
    <w:unhideWhenUsed/>
    <w:qFormat/>
    <w:rsid w:val="009E1F4D"/>
    <w:pPr>
      <w:pBdr>
        <w:top w:val="single" w:sz="6" w:space="1" w:color="00000A"/>
      </w:pBdr>
      <w:jc w:val="center"/>
    </w:pPr>
    <w:rPr>
      <w:rFonts w:ascii="Arial" w:hAnsi="Arial" w:cs="Arial"/>
      <w:vanish/>
      <w:sz w:val="16"/>
      <w:szCs w:val="16"/>
    </w:rPr>
  </w:style>
  <w:style w:type="paragraph" w:customStyle="1" w:styleId="Contenudecadre">
    <w:name w:val="Contenu de cadre"/>
    <w:basedOn w:val="Normal"/>
    <w:qFormat/>
  </w:style>
  <w:style w:type="paragraph" w:customStyle="1" w:styleId="Quotations">
    <w:name w:val="Quotations"/>
    <w:basedOn w:val="Normal"/>
    <w:qFormat/>
  </w:style>
  <w:style w:type="paragraph" w:styleId="Sous-titre">
    <w:name w:val="Subtitle"/>
    <w:basedOn w:val="Titreprincip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0693">
      <w:bodyDiv w:val="1"/>
      <w:marLeft w:val="0"/>
      <w:marRight w:val="0"/>
      <w:marTop w:val="0"/>
      <w:marBottom w:val="0"/>
      <w:divBdr>
        <w:top w:val="none" w:sz="0" w:space="0" w:color="auto"/>
        <w:left w:val="none" w:sz="0" w:space="0" w:color="auto"/>
        <w:bottom w:val="none" w:sz="0" w:space="0" w:color="auto"/>
        <w:right w:val="none" w:sz="0" w:space="0" w:color="auto"/>
      </w:divBdr>
    </w:div>
    <w:div w:id="147024145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2767</Words>
  <Characters>14476</Characters>
  <Application>Microsoft Macintosh Word</Application>
  <DocSecurity>0</DocSecurity>
  <Lines>249</Lines>
  <Paragraphs>40</Paragraphs>
  <ScaleCrop>false</ScaleCrop>
  <LinksUpToDate>false</LinksUpToDate>
  <CharactersWithSpaces>17203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dc:creator>
  <cp:lastModifiedBy>Utilisateur de Microsoft Office</cp:lastModifiedBy>
  <cp:revision>117</cp:revision>
  <cp:lastPrinted>2018-06-16T22:31:00Z</cp:lastPrinted>
  <dcterms:created xsi:type="dcterms:W3CDTF">2017-04-16T22:18:00Z</dcterms:created>
  <dcterms:modified xsi:type="dcterms:W3CDTF">2018-06-24T14:47:00Z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