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544" w:rsidRPr="00AD5E66" w:rsidRDefault="00D07544" w:rsidP="00D07544">
      <w:pPr>
        <w:spacing w:line="320" w:lineRule="exact"/>
        <w:jc w:val="center"/>
        <w:rPr>
          <w:b/>
          <w:smallCaps/>
        </w:rPr>
      </w:pPr>
      <w:r>
        <w:rPr>
          <w:b/>
          <w:smallCaps/>
        </w:rPr>
        <w:t>Analyse littéraire</w:t>
      </w:r>
      <w:r w:rsidRPr="00AD5E66">
        <w:rPr>
          <w:b/>
          <w:smallCaps/>
        </w:rPr>
        <w:t xml:space="preserve"> et </w:t>
      </w:r>
      <w:r>
        <w:rPr>
          <w:b/>
          <w:smallCaps/>
        </w:rPr>
        <w:t>exégèse biblique</w:t>
      </w:r>
    </w:p>
    <w:p w:rsidR="00D07544" w:rsidRDefault="00D07544" w:rsidP="00D07544">
      <w:pPr>
        <w:spacing w:line="320" w:lineRule="exact"/>
      </w:pPr>
    </w:p>
    <w:p w:rsidR="00D07544" w:rsidRPr="00302604" w:rsidRDefault="00D07544" w:rsidP="00D07544">
      <w:pPr>
        <w:pStyle w:val="Retraitcorpsdetexte"/>
        <w:spacing w:line="320" w:lineRule="exact"/>
        <w:rPr>
          <w:color w:val="auto"/>
        </w:rPr>
      </w:pPr>
      <w:r w:rsidRPr="00302604">
        <w:rPr>
          <w:i/>
          <w:iCs/>
          <w:color w:val="auto"/>
        </w:rPr>
        <w:t>En un certain sens, la sainte Écriture grandit avec ceux qui la lisent</w:t>
      </w:r>
      <w:r w:rsidRPr="00302604">
        <w:rPr>
          <w:color w:val="auto"/>
        </w:rPr>
        <w:t xml:space="preserve">. </w:t>
      </w:r>
    </w:p>
    <w:p w:rsidR="00D07544" w:rsidRPr="00302604" w:rsidRDefault="00D07544" w:rsidP="00D07544">
      <w:pPr>
        <w:spacing w:line="320" w:lineRule="exact"/>
        <w:ind w:left="4500"/>
      </w:pPr>
      <w:r w:rsidRPr="00302604">
        <w:t xml:space="preserve">(Grégoire le Grand, </w:t>
      </w:r>
      <w:proofErr w:type="spellStart"/>
      <w:r w:rsidRPr="00302604">
        <w:t>Moralia</w:t>
      </w:r>
      <w:proofErr w:type="spellEnd"/>
      <w:r w:rsidRPr="00302604">
        <w:t xml:space="preserve"> in Job, XX, 1)</w:t>
      </w:r>
    </w:p>
    <w:p w:rsidR="00D07544" w:rsidRPr="00302604" w:rsidRDefault="00D07544" w:rsidP="00D07544">
      <w:pPr>
        <w:spacing w:line="320" w:lineRule="exact"/>
        <w:ind w:left="4500"/>
      </w:pPr>
    </w:p>
    <w:p w:rsidR="00D07544" w:rsidRPr="00302604" w:rsidRDefault="00D07544" w:rsidP="00D07544">
      <w:pPr>
        <w:spacing w:line="320" w:lineRule="exact"/>
        <w:ind w:left="4500"/>
        <w:rPr>
          <w:lang w:val="fr-FR"/>
        </w:rPr>
      </w:pPr>
      <w:proofErr w:type="spellStart"/>
      <w:r w:rsidRPr="00302604">
        <w:rPr>
          <w:i/>
          <w:iCs/>
          <w:lang w:val="fr-FR"/>
        </w:rPr>
        <w:t>Quidquid</w:t>
      </w:r>
      <w:proofErr w:type="spellEnd"/>
      <w:r w:rsidRPr="00302604">
        <w:rPr>
          <w:i/>
          <w:iCs/>
          <w:lang w:val="fr-FR"/>
        </w:rPr>
        <w:t xml:space="preserve"> </w:t>
      </w:r>
      <w:proofErr w:type="spellStart"/>
      <w:r w:rsidRPr="00302604">
        <w:rPr>
          <w:i/>
          <w:iCs/>
          <w:lang w:val="fr-FR"/>
        </w:rPr>
        <w:t>recipitur</w:t>
      </w:r>
      <w:proofErr w:type="spellEnd"/>
      <w:r w:rsidRPr="00302604">
        <w:rPr>
          <w:i/>
          <w:iCs/>
          <w:lang w:val="fr-FR"/>
        </w:rPr>
        <w:t xml:space="preserve"> ad </w:t>
      </w:r>
      <w:proofErr w:type="spellStart"/>
      <w:r w:rsidRPr="00302604">
        <w:rPr>
          <w:i/>
          <w:iCs/>
          <w:lang w:val="fr-FR"/>
        </w:rPr>
        <w:t>modum</w:t>
      </w:r>
      <w:proofErr w:type="spellEnd"/>
      <w:r w:rsidRPr="00302604">
        <w:rPr>
          <w:i/>
          <w:iCs/>
          <w:lang w:val="fr-FR"/>
        </w:rPr>
        <w:t xml:space="preserve"> </w:t>
      </w:r>
      <w:proofErr w:type="spellStart"/>
      <w:r w:rsidRPr="00302604">
        <w:rPr>
          <w:i/>
          <w:iCs/>
          <w:lang w:val="fr-FR"/>
        </w:rPr>
        <w:t>recipientis</w:t>
      </w:r>
      <w:proofErr w:type="spellEnd"/>
      <w:r w:rsidRPr="00302604">
        <w:rPr>
          <w:i/>
          <w:iCs/>
          <w:lang w:val="fr-FR"/>
        </w:rPr>
        <w:t xml:space="preserve"> </w:t>
      </w:r>
      <w:proofErr w:type="spellStart"/>
      <w:r w:rsidRPr="00302604">
        <w:rPr>
          <w:i/>
          <w:iCs/>
          <w:lang w:val="fr-FR"/>
        </w:rPr>
        <w:t>recipitur</w:t>
      </w:r>
      <w:proofErr w:type="spellEnd"/>
      <w:r w:rsidRPr="00302604">
        <w:rPr>
          <w:lang w:val="fr-FR"/>
        </w:rPr>
        <w:t>.</w:t>
      </w:r>
    </w:p>
    <w:p w:rsidR="00D07544" w:rsidRPr="00302604" w:rsidRDefault="00D07544" w:rsidP="00D07544">
      <w:pPr>
        <w:spacing w:line="320" w:lineRule="exact"/>
        <w:ind w:left="4500"/>
      </w:pPr>
      <w:r w:rsidRPr="00302604">
        <w:t>(</w:t>
      </w:r>
      <w:proofErr w:type="gramStart"/>
      <w:r w:rsidRPr="00302604">
        <w:t>adage</w:t>
      </w:r>
      <w:proofErr w:type="gramEnd"/>
      <w:r w:rsidRPr="00302604">
        <w:t xml:space="preserve"> scolastique)</w:t>
      </w:r>
    </w:p>
    <w:p w:rsidR="00D07544" w:rsidRDefault="00D07544" w:rsidP="00D07544">
      <w:pPr>
        <w:spacing w:line="320" w:lineRule="exact"/>
      </w:pPr>
    </w:p>
    <w:p w:rsidR="00D07544" w:rsidRDefault="00D07544" w:rsidP="00D07544">
      <w:pPr>
        <w:spacing w:line="320" w:lineRule="exact"/>
        <w:ind w:firstLine="567"/>
      </w:pPr>
      <w:r>
        <w:t xml:space="preserve">La Bible fait partie du patrimoine littéraire de l’humanité. Il n’est donc pas étonnant qu’elle soit étudiée comme littérature, avec les méthodes utilisées à chaque époque dans l’analyse littéraire. Cet exposé comportera </w:t>
      </w:r>
      <w:r w:rsidR="006A74DC">
        <w:t>deux</w:t>
      </w:r>
      <w:r>
        <w:t xml:space="preserve"> parties. Dans la première, je voudrais rappeler quelques étapes importantes des relations difficiles entre histoire et fiction dans l'approche de la Bible du 19</w:t>
      </w:r>
      <w:r w:rsidRPr="00225C92">
        <w:rPr>
          <w:vertAlign w:val="superscript"/>
        </w:rPr>
        <w:t>e</w:t>
      </w:r>
      <w:r>
        <w:t xml:space="preserve"> siècle à nos jours. Cela me permettra de situer ma démarche </w:t>
      </w:r>
      <w:r w:rsidR="006772DB">
        <w:t>d</w:t>
      </w:r>
      <w:r w:rsidR="006A74DC">
        <w:t>ans le champ de l’exégès</w:t>
      </w:r>
      <w:r w:rsidR="006772DB">
        <w:t>e</w:t>
      </w:r>
      <w:r w:rsidR="006A74DC">
        <w:t xml:space="preserve"> biblique telle qu'elle se développe aujourd'hui</w:t>
      </w:r>
      <w:r>
        <w:t xml:space="preserve">. Dans </w:t>
      </w:r>
      <w:r w:rsidR="006A74DC">
        <w:t>la seconde</w:t>
      </w:r>
      <w:r w:rsidR="006772DB">
        <w:t xml:space="preserve"> </w:t>
      </w:r>
      <w:r>
        <w:t xml:space="preserve">partie, je donnerai </w:t>
      </w:r>
      <w:r w:rsidR="006A74DC">
        <w:t>un</w:t>
      </w:r>
      <w:r>
        <w:t xml:space="preserve"> exemple</w:t>
      </w:r>
      <w:r w:rsidR="006A74DC">
        <w:t xml:space="preserve"> pratique</w:t>
      </w:r>
      <w:r>
        <w:t xml:space="preserve"> de ce que peut apporter la lecture de l'évangile de Marc comme une œuvre littéraire</w:t>
      </w:r>
      <w:r w:rsidR="006A74DC">
        <w:t xml:space="preserve"> en examinant son code architectural</w:t>
      </w:r>
      <w:r>
        <w:t>.</w:t>
      </w:r>
    </w:p>
    <w:p w:rsidR="00D07544" w:rsidRDefault="00D07544" w:rsidP="00D07544">
      <w:pPr>
        <w:spacing w:line="320" w:lineRule="exact"/>
      </w:pPr>
    </w:p>
    <w:p w:rsidR="00D07544" w:rsidRPr="000E5246" w:rsidRDefault="00D07544" w:rsidP="00D07544">
      <w:pPr>
        <w:spacing w:line="320" w:lineRule="exact"/>
        <w:jc w:val="center"/>
        <w:rPr>
          <w:smallCaps/>
        </w:rPr>
      </w:pPr>
      <w:r w:rsidRPr="000E5246">
        <w:rPr>
          <w:smallCaps/>
        </w:rPr>
        <w:t>I</w:t>
      </w:r>
      <w:r>
        <w:rPr>
          <w:smallCaps/>
        </w:rPr>
        <w:t>.</w:t>
      </w:r>
      <w:r w:rsidRPr="000E5246">
        <w:rPr>
          <w:smallCaps/>
        </w:rPr>
        <w:t xml:space="preserve"> Les rapports difficiles entre histoire et fiction en exégèse biblique</w:t>
      </w:r>
    </w:p>
    <w:p w:rsidR="00D07544" w:rsidRDefault="00D07544" w:rsidP="00D07544">
      <w:pPr>
        <w:spacing w:line="320" w:lineRule="exact"/>
      </w:pPr>
    </w:p>
    <w:p w:rsidR="00D07544" w:rsidRDefault="00D07544" w:rsidP="00D07544">
      <w:pPr>
        <w:spacing w:line="320" w:lineRule="exact"/>
        <w:ind w:firstLine="567"/>
      </w:pPr>
      <w:r>
        <w:t xml:space="preserve">L'interprétation des textes bibliques s'est toujours faite en parallèle avec les méthodes d'analyse littéraire </w:t>
      </w:r>
      <w:r w:rsidR="00A25D2D">
        <w:t>qui ont</w:t>
      </w:r>
      <w:r>
        <w:t xml:space="preserve"> cours dans la culture ambiante</w:t>
      </w:r>
      <w:r w:rsidR="008627A6">
        <w:rPr>
          <w:rStyle w:val="Appelnotedebasdep"/>
        </w:rPr>
        <w:footnoteReference w:id="1"/>
      </w:r>
      <w:r>
        <w:t>.</w:t>
      </w:r>
      <w:r w:rsidR="00571A91">
        <w:t xml:space="preserve"> Ses évolutions sont intimement liées à l'évolution des méthodes d'analyse littéraire, le plus souvent en étant influencées par elles, parfois en les influençant également.</w:t>
      </w:r>
      <w:r>
        <w:t xml:space="preserve"> </w:t>
      </w:r>
      <w:r w:rsidR="00FF61F9">
        <w:t>L'</w:t>
      </w:r>
      <w:r>
        <w:t xml:space="preserve">histoire </w:t>
      </w:r>
      <w:r w:rsidR="00FF61F9">
        <w:t xml:space="preserve">de l'interprétation biblique </w:t>
      </w:r>
      <w:r>
        <w:t xml:space="preserve">témoigne de la relation difficile à bien établir entre histoire et fiction. </w:t>
      </w:r>
    </w:p>
    <w:p w:rsidR="00D07544" w:rsidRDefault="00D07544" w:rsidP="00D07544">
      <w:pPr>
        <w:spacing w:line="320" w:lineRule="exact"/>
        <w:ind w:firstLine="567"/>
      </w:pPr>
      <w:r>
        <w:t xml:space="preserve">Ainsi, par exemple, la méthode allégorique mise en œuvre par Origène, et qui a eu tellement de succès dans l'histoire chrétienne, n'est pas née </w:t>
      </w:r>
      <w:r w:rsidRPr="00CA7760">
        <w:rPr>
          <w:i/>
        </w:rPr>
        <w:t>sui generis</w:t>
      </w:r>
      <w:r>
        <w:t>. Défendre  avec vigueur le caractère divin des Écritures inspirées par l’Esprit Saint</w:t>
      </w:r>
      <w:r>
        <w:rPr>
          <w:rStyle w:val="Appelnotedebasdep"/>
        </w:rPr>
        <w:footnoteReference w:id="2"/>
      </w:r>
      <w:r>
        <w:t xml:space="preserve"> n’empêche pas Origène d’y découvrir des pierres d’achoppement, des éléments qui offensent la raison</w:t>
      </w:r>
      <w:r>
        <w:rPr>
          <w:rStyle w:val="Appelnotedebasdep"/>
        </w:rPr>
        <w:footnoteReference w:id="3"/>
      </w:r>
      <w:r>
        <w:t xml:space="preserve">. Comment faire lorsque l’on se trouve confronté à ce qui n’est pas </w:t>
      </w:r>
      <w:proofErr w:type="gramStart"/>
      <w:r w:rsidRPr="00A904D3">
        <w:rPr>
          <w:rFonts w:ascii="SuperGreek" w:hAnsi="SuperGreek"/>
        </w:rPr>
        <w:t>eu</w:t>
      </w:r>
      <w:r w:rsidR="00A904D3" w:rsidRPr="00A904D3">
        <w:rPr>
          <w:rFonts w:ascii="SuperGreek" w:hAnsi="SuperGreek"/>
        </w:rPr>
        <w:t>[</w:t>
      </w:r>
      <w:proofErr w:type="gramEnd"/>
      <w:r w:rsidRPr="00A904D3">
        <w:rPr>
          <w:rFonts w:ascii="SuperGreek" w:hAnsi="SuperGreek"/>
        </w:rPr>
        <w:t>logon</w:t>
      </w:r>
      <w:r>
        <w:t xml:space="preserve"> (« de bon sens », « raisonnable ») ? Pour résoudre cette difficulté, Origène va recourir aux moyens offerts par sa culture. À son époque, les œuvres d’Homère étaient, elles aussi, considérées </w:t>
      </w:r>
      <w:r w:rsidR="00A25D2D">
        <w:t xml:space="preserve">par les Grecs </w:t>
      </w:r>
      <w:r>
        <w:t>comme inspirées</w:t>
      </w:r>
      <w:r>
        <w:rPr>
          <w:rStyle w:val="Appelnotedebasdep"/>
        </w:rPr>
        <w:footnoteReference w:id="4"/>
      </w:r>
      <w:r>
        <w:t xml:space="preserve">. Cela ne les empêchait pas de s’étonner de la façon dont </w:t>
      </w:r>
      <w:r w:rsidR="00222AB4">
        <w:t>Homère</w:t>
      </w:r>
      <w:r>
        <w:t xml:space="preserve"> présentait les dieux et leur moralité douteuse ou de</w:t>
      </w:r>
      <w:r w:rsidR="00222AB4">
        <w:t xml:space="preserve"> questionner s</w:t>
      </w:r>
      <w:r>
        <w:t xml:space="preserve">es connaissances historiques, </w:t>
      </w:r>
      <w:r>
        <w:lastRenderedPageBreak/>
        <w:t xml:space="preserve">géographiques et scientifiques. Face aux </w:t>
      </w:r>
      <w:proofErr w:type="spellStart"/>
      <w:r w:rsidRPr="00A904D3">
        <w:rPr>
          <w:rFonts w:ascii="SuperGreek" w:hAnsi="SuperGreek"/>
        </w:rPr>
        <w:t>a</w:t>
      </w:r>
      <w:r w:rsidR="00A904D3" w:rsidRPr="00A904D3">
        <w:rPr>
          <w:rFonts w:ascii="SuperGreek" w:hAnsi="SuperGreek"/>
        </w:rPr>
        <w:t>j</w:t>
      </w:r>
      <w:r w:rsidRPr="00A904D3">
        <w:rPr>
          <w:rFonts w:ascii="SuperGreek" w:hAnsi="SuperGreek"/>
        </w:rPr>
        <w:t>du</w:t>
      </w:r>
      <w:r w:rsidR="00A904D3" w:rsidRPr="00A904D3">
        <w:rPr>
          <w:rFonts w:ascii="SuperGreek" w:hAnsi="SuperGreek"/>
        </w:rPr>
        <w:t>v</w:t>
      </w:r>
      <w:r w:rsidRPr="00A904D3">
        <w:rPr>
          <w:rFonts w:ascii="SuperGreek" w:hAnsi="SuperGreek"/>
        </w:rPr>
        <w:t>nata</w:t>
      </w:r>
      <w:proofErr w:type="spellEnd"/>
      <w:r>
        <w:t xml:space="preserve"> relevés dans ses œuvres, dans le but de concilier les mythes avec la philosophie, une des stratégies d’interprétation était de distinguer la vérité historique de la fiction poétique. Origène va procéder de façon parallèle en distinguant le sens littéral, obvie (historique) qu’il faut dépasser pour atteindre le sens caché, symbolique</w:t>
      </w:r>
      <w:r>
        <w:rPr>
          <w:rStyle w:val="Appelnotedebasdep"/>
        </w:rPr>
        <w:footnoteReference w:id="5"/>
      </w:r>
      <w:r>
        <w:t>. L’exégèse allégorique, qui va marquer durablement l’interprétation de la Bible, s’enracine donc dans une théorie grecque de la lecture</w:t>
      </w:r>
      <w:r>
        <w:rPr>
          <w:rStyle w:val="Appelnotedebasdep"/>
        </w:rPr>
        <w:footnoteReference w:id="6"/>
      </w:r>
      <w:r>
        <w:t xml:space="preserve">. </w:t>
      </w:r>
    </w:p>
    <w:p w:rsidR="00D07544" w:rsidRDefault="00D07544" w:rsidP="00D07544">
      <w:pPr>
        <w:spacing w:line="320" w:lineRule="exact"/>
        <w:ind w:firstLine="567"/>
      </w:pPr>
      <w:r>
        <w:t>Même si elle fera débat tout au long de l’histoire chrétienne, cette exégèse allégorique ne verra vraiment la révolte sonner contre elle qu’avec l’avènement de l’exégèse historico-critique au 19</w:t>
      </w:r>
      <w:r w:rsidRPr="009A1F0F">
        <w:rPr>
          <w:vertAlign w:val="superscript"/>
        </w:rPr>
        <w:t>e</w:t>
      </w:r>
      <w:r>
        <w:t xml:space="preserve"> siècle, et en particulier les travaux emblématiques d’Anton </w:t>
      </w:r>
      <w:proofErr w:type="spellStart"/>
      <w:r>
        <w:t>Jülicher</w:t>
      </w:r>
      <w:proofErr w:type="spellEnd"/>
      <w:r>
        <w:t xml:space="preserve"> sur les paraboles</w:t>
      </w:r>
      <w:r>
        <w:rPr>
          <w:rStyle w:val="Appelnotedebasdep"/>
        </w:rPr>
        <w:footnoteReference w:id="7"/>
      </w:r>
      <w:r>
        <w:t>. Si avec l’exégèse historico-critique, on assiste au retour en force de la recherche du sens littéral, force est bien vite de reconnaître la maigreur des résultats obtenus</w:t>
      </w:r>
      <w:r>
        <w:rPr>
          <w:rStyle w:val="Appelnotedebasdep"/>
        </w:rPr>
        <w:footnoteReference w:id="8"/>
      </w:r>
      <w:r>
        <w:t xml:space="preserve"> et un degré d’incertitude relativement élevé</w:t>
      </w:r>
      <w:r>
        <w:rPr>
          <w:rStyle w:val="Appelnotedebasdep"/>
        </w:rPr>
        <w:footnoteReference w:id="9"/>
      </w:r>
      <w:r>
        <w:t>. C’est dans ce contexte qu’intervient Rudolf Bultmann. Lui qui a mené avec grande rigueur critique et beaucoup de sévérité le travail d’historien</w:t>
      </w:r>
      <w:r>
        <w:rPr>
          <w:rStyle w:val="Appelnotedebasdep"/>
        </w:rPr>
        <w:footnoteReference w:id="10"/>
      </w:r>
      <w:r>
        <w:t>, ne peut pas s’en satisfaire sur le plan herméneutique. Après le décapage historique, il ne reste en effet plus grand-chose de certain. Pour la dynamique de la foi, Bultmann va s’appuyer sur une analyse existentiale inspirée de Heidegger. Et toujours pour servir une herméneutique existentiale, il va procéder à ce qu’il appelle une démythologisation : il s’agit d’abandonner la représentation mythologique de l’univers au sein de laquelle la Bonne nouvelle (l’Évangile) s’est exprimée, une représentation cosmologique de type préscientifique, que n’habite plus l’homme moderne. Cette démythologisation « est mue par la volonté de comprendre mieux le texte, c’est-à-dire de réaliser l’intention du texte »</w:t>
      </w:r>
      <w:r>
        <w:rPr>
          <w:rStyle w:val="Appelnotedebasdep"/>
        </w:rPr>
        <w:footnoteReference w:id="11"/>
      </w:r>
      <w:r>
        <w:t xml:space="preserve">. Ce que Paul Ricœur développera en disant que le mythe donne à penser. La visée profonde du mythe est d’exprimer, certes en termes d’outre-monde, une compréhension que l’homme acquiert de lui-même en rapport au fondement de son existence. Pour sauvegarder cette compréhension, il convient d’interpréter </w:t>
      </w:r>
      <w:r>
        <w:lastRenderedPageBreak/>
        <w:t xml:space="preserve">les représentations </w:t>
      </w:r>
      <w:proofErr w:type="spellStart"/>
      <w:r>
        <w:t>objectivantes</w:t>
      </w:r>
      <w:proofErr w:type="spellEnd"/>
      <w:r>
        <w:t xml:space="preserve"> du mythe pour restituer « le sens que l’homme peut prendre de sa dépendance à l’égard de cela qui se tient à la limite et à l’origine de son monde »</w:t>
      </w:r>
      <w:r>
        <w:rPr>
          <w:rStyle w:val="Appelnotedebasdep"/>
        </w:rPr>
        <w:footnoteReference w:id="12"/>
      </w:r>
      <w:r>
        <w:t>.</w:t>
      </w:r>
    </w:p>
    <w:p w:rsidR="00D07544" w:rsidRDefault="00D07544" w:rsidP="00D07544">
      <w:pPr>
        <w:spacing w:line="320" w:lineRule="exact"/>
        <w:ind w:firstLine="567"/>
      </w:pPr>
      <w:r>
        <w:t>L’exégèse historico-critique, dont Bultmann est le plus éminent représentant pour l’étude du Nouveau Testament, a imposé durant les trois premiers quarts du 20</w:t>
      </w:r>
      <w:r w:rsidRPr="000E5246">
        <w:rPr>
          <w:vertAlign w:val="superscript"/>
        </w:rPr>
        <w:t>e</w:t>
      </w:r>
      <w:r>
        <w:t xml:space="preserve"> siècle ses méthodes de critique des formes (</w:t>
      </w:r>
      <w:proofErr w:type="spellStart"/>
      <w:r w:rsidRPr="000E5246">
        <w:rPr>
          <w:i/>
        </w:rPr>
        <w:t>Formgeschichte</w:t>
      </w:r>
      <w:proofErr w:type="spellEnd"/>
      <w:r>
        <w:t>) et de critique de la rédaction (</w:t>
      </w:r>
      <w:proofErr w:type="spellStart"/>
      <w:r w:rsidRPr="000E5246">
        <w:rPr>
          <w:i/>
        </w:rPr>
        <w:t>Redaktionsgeschichte</w:t>
      </w:r>
      <w:proofErr w:type="spellEnd"/>
      <w:r>
        <w:t xml:space="preserve">), avec toujours en arrière-fond la question de la vérification historique. À la fin de son règne sans partage, elle a subi plusieurs attaques frontales. L’une d’elles est celle d’Eugen </w:t>
      </w:r>
      <w:proofErr w:type="spellStart"/>
      <w:r>
        <w:t>Drewermann</w:t>
      </w:r>
      <w:proofErr w:type="spellEnd"/>
      <w:r>
        <w:t xml:space="preserve"> qui conteste au nom de la psychologie des profondeurs la recherche d’une prétendue objectivité fondée sur l’histoire. </w:t>
      </w:r>
      <w:r w:rsidR="00441E61">
        <w:t xml:space="preserve">Ce que </w:t>
      </w:r>
      <w:proofErr w:type="spellStart"/>
      <w:r w:rsidR="00441E61">
        <w:t>Drewermann</w:t>
      </w:r>
      <w:proofErr w:type="spellEnd"/>
      <w:r w:rsidR="00441E61">
        <w:t xml:space="preserve"> appelle psychologie des profondeurs se réfère en fait à la psychanalyse jungienne. </w:t>
      </w:r>
      <w:r>
        <w:t xml:space="preserve">Son souci est de rendre aux images des mythes leur opérationnalité abîmée par le vain souci d’historicité qui amène à les juger subjectives et donc arbitraires et irréelles. À l’inverse, </w:t>
      </w:r>
      <w:proofErr w:type="spellStart"/>
      <w:r>
        <w:t>Drewermann</w:t>
      </w:r>
      <w:proofErr w:type="spellEnd"/>
      <w:r>
        <w:t xml:space="preserve"> veut défendre « le caractère </w:t>
      </w:r>
      <w:r w:rsidRPr="00E467DD">
        <w:rPr>
          <w:i/>
        </w:rPr>
        <w:t>psychiquement obligatoire</w:t>
      </w:r>
      <w:r>
        <w:t xml:space="preserve"> des songes et des mythes », ce qui vaut au plan personnel, mais bien plus encore pour « les grands rêves et les images archétypiques dont parlent les mythes des religions des peuples »</w:t>
      </w:r>
      <w:r>
        <w:rPr>
          <w:rStyle w:val="Appelnotedebasdep"/>
        </w:rPr>
        <w:footnoteReference w:id="13"/>
      </w:r>
      <w:r>
        <w:t>. Dans la perspective psychanalytique, « le mythe plonge ses racines au plus profond de la vie psychique et détermine, à jamais, la nature de cette dernière »</w:t>
      </w:r>
      <w:r>
        <w:rPr>
          <w:rStyle w:val="Appelnotedebasdep"/>
        </w:rPr>
        <w:footnoteReference w:id="14"/>
      </w:r>
      <w:r>
        <w:t xml:space="preserve">. Selon </w:t>
      </w:r>
      <w:proofErr w:type="spellStart"/>
      <w:r>
        <w:t>Drewermann</w:t>
      </w:r>
      <w:proofErr w:type="spellEnd"/>
      <w:r>
        <w:t>, non seulement l’enquête historique ne produit pas de sens, mais, plus grave, elle détourne de la quête du sens. C’est pourquoi il souhaite le renoncement à une méthode d’explication historico-critique qui concède seulement aux représentations archétypiques des mythes une validité momentanée du point de vue de l’histoire culturelle, sans reconnaître leur caractère indispensable et actuel pour l’homme. Il conclut que « la théologie se doit de se corriger et de se définir elle-même de façon nouvelle dans sa compréhension dogmatique unilatérale et l’auto-assurance de son positivisme historique, face aux perspectives ouvertes par la psychanalyse »</w:t>
      </w:r>
      <w:r>
        <w:rPr>
          <w:rStyle w:val="Appelnotedebasdep"/>
        </w:rPr>
        <w:footnoteReference w:id="15"/>
      </w:r>
      <w:r>
        <w:t>.</w:t>
      </w:r>
    </w:p>
    <w:p w:rsidR="00D07544" w:rsidRDefault="00D07544" w:rsidP="00D07544">
      <w:pPr>
        <w:spacing w:line="320" w:lineRule="exact"/>
        <w:ind w:firstLine="567"/>
      </w:pPr>
      <w:r>
        <w:t>Une autre réaction face au monopole de l’exégèse historico-critique a été la mise en valeur de méthodes d’analyse littéraire centrées sur le texte lui-même plutôt que sur sa genèse. Je pense en particulier aux analyses sémiotiques et à la critique narrative ou narratologie. Loin d’être centrées sur l’intention de l’auteur (des auteurs), ces méthodes orientent vers l’intention du texte</w:t>
      </w:r>
      <w:r>
        <w:rPr>
          <w:rStyle w:val="Appelnotedebasdep"/>
        </w:rPr>
        <w:footnoteReference w:id="16"/>
      </w:r>
      <w:r>
        <w:t xml:space="preserve">. Les évangiles, par exemple, y sont traités comme des œuvres littéraires où se mêlent histoire et fiction, histoire et symbole, mettant en œuvre une histoire interprétée. Cela offre de nouvelles perspectives à la théologie, comme l’a bien perçu Adolphe Gesché : </w:t>
      </w:r>
      <w:r w:rsidRPr="003A5BA8">
        <w:t xml:space="preserve">« avant l’identité historique (qu’on ne pourra juger convenablement désormais qu’à partir de l’identité narrative), comme avant l’identité dogmatique (qu’on ne pourra bien saisir que dans son sillage), l’identité narrative constitue en somme l’interface, le lieu où tout se décide. Elle </w:t>
      </w:r>
      <w:r w:rsidRPr="003A5BA8">
        <w:lastRenderedPageBreak/>
        <w:t>constitue le nœud, l’</w:t>
      </w:r>
      <w:r w:rsidRPr="003A5BA8">
        <w:rPr>
          <w:i/>
        </w:rPr>
        <w:t>analogon</w:t>
      </w:r>
      <w:r w:rsidRPr="003A5BA8">
        <w:t xml:space="preserve"> premier de tout déchiffrement de Jésus, et s’il y avait à choisir entre toutes, c’est à elle qu’il faudrait donner le privilège absolu »</w:t>
      </w:r>
      <w:r>
        <w:rPr>
          <w:rStyle w:val="Appelnotedebasdep"/>
        </w:rPr>
        <w:footnoteReference w:id="17"/>
      </w:r>
      <w:r>
        <w:t xml:space="preserve">. Il rappelle d’ailleurs qu’il ne faut jamais oublier combien la fiction peut être plus </w:t>
      </w:r>
      <w:proofErr w:type="spellStart"/>
      <w:r>
        <w:t>révélante</w:t>
      </w:r>
      <w:proofErr w:type="spellEnd"/>
      <w:r>
        <w:t xml:space="preserve"> que l’histoire :</w:t>
      </w:r>
    </w:p>
    <w:p w:rsidR="00D07544" w:rsidRDefault="00D07544" w:rsidP="00D07544">
      <w:pPr>
        <w:spacing w:line="320" w:lineRule="exact"/>
        <w:ind w:firstLine="567"/>
      </w:pPr>
    </w:p>
    <w:p w:rsidR="00D07544" w:rsidRDefault="00D07544" w:rsidP="00D07544">
      <w:pPr>
        <w:spacing w:line="320" w:lineRule="exact"/>
        <w:ind w:left="567"/>
      </w:pPr>
      <w:r w:rsidRPr="003A5BA8">
        <w:t xml:space="preserve">« Le roman qui parle de la peur (et l’on doit évidemment tout autant citer celui qui parle de l’amour, du sacré, de la guerre ou du sexe ; celui qui parle du bonheur, du malheur, du mal, de la souffrance et du cri de l’homme), nous en parle infiniment mieux que le récit, historique ou naturaliste, du combat réel de l’homme contre le loup réel, récit qui élimine presque tout de la part intérieure de confrontation avec la peur. </w:t>
      </w:r>
      <w:r w:rsidRPr="003A5BA8">
        <w:sym w:font="Symbol" w:char="F05B"/>
      </w:r>
      <w:r w:rsidRPr="003A5BA8">
        <w:t>…</w:t>
      </w:r>
      <w:r w:rsidRPr="003A5BA8">
        <w:sym w:font="Symbol" w:char="F05D"/>
      </w:r>
      <w:r w:rsidRPr="003A5BA8">
        <w:t xml:space="preserve"> C’est sans doute ce qui faisait dire à Balzac qu’un </w:t>
      </w:r>
      <w:r>
        <w:t>‘</w:t>
      </w:r>
      <w:r w:rsidRPr="003A5BA8">
        <w:t>rom</w:t>
      </w:r>
      <w:r>
        <w:t>an est plus vrai que l’histoire’</w:t>
      </w:r>
      <w:r w:rsidRPr="003A5BA8">
        <w:t>, en quoi il relayait Aris</w:t>
      </w:r>
      <w:r>
        <w:t>tote pour qui la fiction était ‘</w:t>
      </w:r>
      <w:r w:rsidRPr="003A5BA8">
        <w:t xml:space="preserve">plus vraie et </w:t>
      </w:r>
      <w:r>
        <w:t>plus universelle que l’histoire’</w:t>
      </w:r>
      <w:r w:rsidRPr="003A5BA8">
        <w:t xml:space="preserve"> (</w:t>
      </w:r>
      <w:r w:rsidRPr="003A5BA8">
        <w:rPr>
          <w:i/>
        </w:rPr>
        <w:t>Poétique</w:t>
      </w:r>
      <w:r w:rsidRPr="003A5BA8">
        <w:t xml:space="preserve">). Nous avons tous éprouvé cette différence en lisant </w:t>
      </w:r>
      <w:r w:rsidRPr="003A5BA8">
        <w:rPr>
          <w:i/>
        </w:rPr>
        <w:t>La Chartreuse de Parme</w:t>
      </w:r>
      <w:r w:rsidRPr="003A5BA8">
        <w:t xml:space="preserve">, </w:t>
      </w:r>
      <w:r w:rsidRPr="003A5BA8">
        <w:rPr>
          <w:i/>
        </w:rPr>
        <w:t>Guerre et paix</w:t>
      </w:r>
      <w:r w:rsidRPr="003A5BA8">
        <w:t xml:space="preserve"> ou </w:t>
      </w:r>
      <w:r w:rsidRPr="003A5BA8">
        <w:rPr>
          <w:i/>
        </w:rPr>
        <w:t>Le pavillon des cancéreux</w:t>
      </w:r>
      <w:r w:rsidRPr="003A5BA8">
        <w:t xml:space="preserve"> : n’y entendons-nous pas mieux, avec Fabrice qui est nous-mêmes, le champ de bataille de Waterloo ; avec Pierre et Natacha, qui sont nous-mêmes, la guerre napoléonienne de Russie ; ou l’horreur des camps psychiatriques avec cet homme, qui est nous, et qui avant de mourir implore une compagne de camp de pouvoir caresser une dernière fois les seins d’une femme, en un geste d’absolution du mal qui, depuis le </w:t>
      </w:r>
      <w:r w:rsidRPr="003A5BA8">
        <w:rPr>
          <w:i/>
        </w:rPr>
        <w:t>Cantique des cantiques</w:t>
      </w:r>
      <w:r w:rsidRPr="003A5BA8">
        <w:t>, sauve l’homme. C’est encore toute la différence entre l’</w:t>
      </w:r>
      <w:r w:rsidRPr="003A5BA8">
        <w:rPr>
          <w:i/>
        </w:rPr>
        <w:t>Iliade</w:t>
      </w:r>
      <w:r w:rsidRPr="003A5BA8">
        <w:t xml:space="preserve"> et la guerre de Troie qui, paraît-il, a eu lieu. C’est toute la différence entre le récit appelé l’Exode, et je ne sais quelle sortie d’Égypte qui eut lieu sans doute sous la pression de raisons économiques et sociales</w:t>
      </w:r>
      <w:r>
        <w:t> »</w:t>
      </w:r>
      <w:r>
        <w:rPr>
          <w:rStyle w:val="Appelnotedebasdep"/>
        </w:rPr>
        <w:footnoteReference w:id="18"/>
      </w:r>
      <w:r>
        <w:t>.</w:t>
      </w:r>
    </w:p>
    <w:p w:rsidR="00D07544" w:rsidRDefault="00D07544" w:rsidP="00D07544">
      <w:pPr>
        <w:spacing w:line="320" w:lineRule="exact"/>
        <w:ind w:left="567"/>
      </w:pPr>
    </w:p>
    <w:p w:rsidR="00EC5018" w:rsidRDefault="00D07544" w:rsidP="00D07544">
      <w:pPr>
        <w:spacing w:line="320" w:lineRule="exact"/>
        <w:ind w:firstLine="567"/>
      </w:pPr>
      <w:r>
        <w:t>Et le même Gesché ajoute : « je dirai donc – </w:t>
      </w:r>
      <w:r w:rsidRPr="003A5BA8">
        <w:t>prenant ici mes</w:t>
      </w:r>
      <w:r>
        <w:t xml:space="preserve"> responsabilités de théologien –</w:t>
      </w:r>
      <w:r w:rsidRPr="003A5BA8">
        <w:t xml:space="preserve"> que le rapport n’est pas loin entre ce que les uns appellent « Révélation » (c’est-à-dire ouverture d’un espace où se </w:t>
      </w:r>
      <w:proofErr w:type="spellStart"/>
      <w:r w:rsidRPr="003A5BA8">
        <w:t>dé-couvre</w:t>
      </w:r>
      <w:proofErr w:type="spellEnd"/>
      <w:r w:rsidRPr="003A5BA8">
        <w:t xml:space="preserve"> une réalité invisible cachée dans le visible) et ce que les autres appellent « Imagination » (c’est-à-dire ouverture d’un espace où se découvre le visible caché dans l’invisible) et où, dans les deux cas, il s’agit d’éclairer le visible par l’invisible »</w:t>
      </w:r>
      <w:r>
        <w:rPr>
          <w:rStyle w:val="Appelnotedebasdep"/>
        </w:rPr>
        <w:footnoteReference w:id="19"/>
      </w:r>
      <w:r>
        <w:t xml:space="preserve">. Paul Ricœur parle, lui, d’une </w:t>
      </w:r>
      <w:r w:rsidRPr="003A5BA8">
        <w:t xml:space="preserve">mise en récit </w:t>
      </w:r>
      <w:r>
        <w:t xml:space="preserve">qui </w:t>
      </w:r>
      <w:r w:rsidRPr="003A5BA8">
        <w:t>débouche sur une identité narrative de personnes ou de communautés qui est « le produit de l’entrecroisement entre l’histoire et la fiction</w:t>
      </w:r>
      <w:r>
        <w:t> »</w:t>
      </w:r>
      <w:r>
        <w:rPr>
          <w:rStyle w:val="Appelnotedebasdep"/>
        </w:rPr>
        <w:footnoteReference w:id="20"/>
      </w:r>
      <w:r>
        <w:t xml:space="preserve">. C’est dans cette optique que je travaille aujourd’hui. Le but de mon exégèse n’est pas de séparer histoire et fiction, mais plutôt de voir comment l’œuvre qui les unit indissolublement produit du sens. </w:t>
      </w:r>
    </w:p>
    <w:p w:rsidR="00D07544" w:rsidRDefault="00EC5018" w:rsidP="00D07544">
      <w:pPr>
        <w:spacing w:line="320" w:lineRule="exact"/>
        <w:ind w:firstLine="567"/>
      </w:pPr>
      <w:r>
        <w:t xml:space="preserve"> Pour être clair sur le plan méthodologique, je rappelle que la narratologie moderne travaille sur base de la distinction entre  le "quoi" du récit, qu'on appelle l'</w:t>
      </w:r>
      <w:r w:rsidRPr="00EC5018">
        <w:rPr>
          <w:i/>
        </w:rPr>
        <w:t>histoire racontée</w:t>
      </w:r>
      <w:r>
        <w:t xml:space="preserve"> </w:t>
      </w:r>
      <w:r>
        <w:lastRenderedPageBreak/>
        <w:t xml:space="preserve">(ou </w:t>
      </w:r>
      <w:r w:rsidRPr="00EC5018">
        <w:rPr>
          <w:i/>
        </w:rPr>
        <w:t>story</w:t>
      </w:r>
      <w:r w:rsidRPr="00D02F9A">
        <w:rPr>
          <w:rStyle w:val="Appelnotedebasdep"/>
        </w:rPr>
        <w:footnoteReference w:id="21"/>
      </w:r>
      <w:r>
        <w:t xml:space="preserve">) et (…) la manière de raconter l'histoire, qu'on appelle sa </w:t>
      </w:r>
      <w:r w:rsidRPr="00EC5018">
        <w:rPr>
          <w:i/>
        </w:rPr>
        <w:t>mise en récit</w:t>
      </w:r>
      <w:r>
        <w:t> »</w:t>
      </w:r>
      <w:r w:rsidR="00D02F9A">
        <w:rPr>
          <w:rStyle w:val="Appelnotedebasdep"/>
        </w:rPr>
        <w:footnoteReference w:id="22"/>
      </w:r>
      <w:r w:rsidR="00A25D2D">
        <w:t xml:space="preserve">. Celle-ci </w:t>
      </w:r>
      <w:r w:rsidR="00F471E5">
        <w:t xml:space="preserve">est </w:t>
      </w:r>
      <w:r>
        <w:t xml:space="preserve">« la forme </w:t>
      </w:r>
      <w:r w:rsidR="00F471E5">
        <w:t>particulière</w:t>
      </w:r>
      <w:r>
        <w:t xml:space="preserve"> qui</w:t>
      </w:r>
      <w:r w:rsidR="00F471E5">
        <w:t xml:space="preserve"> </w:t>
      </w:r>
      <w:r>
        <w:t xml:space="preserve">est donnée </w:t>
      </w:r>
      <w:r w:rsidR="00F471E5">
        <w:t xml:space="preserve">[à la </w:t>
      </w:r>
      <w:r w:rsidR="00F471E5" w:rsidRPr="00F471E5">
        <w:rPr>
          <w:i/>
        </w:rPr>
        <w:t>story</w:t>
      </w:r>
      <w:r w:rsidR="00F471E5">
        <w:t>] par</w:t>
      </w:r>
      <w:r>
        <w:t xml:space="preserve"> l'acte de raconter, </w:t>
      </w:r>
      <w:r w:rsidR="00F471E5">
        <w:t>appelé</w:t>
      </w:r>
      <w:r>
        <w:t xml:space="preserve"> </w:t>
      </w:r>
      <w:r w:rsidRPr="00F471E5">
        <w:t>narration</w:t>
      </w:r>
      <w:r>
        <w:t> »</w:t>
      </w:r>
      <w:r w:rsidR="00F471E5">
        <w:rPr>
          <w:rStyle w:val="Appelnotedebasdep"/>
        </w:rPr>
        <w:footnoteReference w:id="23"/>
      </w:r>
      <w:r>
        <w:t xml:space="preserve">. </w:t>
      </w:r>
      <w:r w:rsidR="00A25D2D">
        <w:t>En critique narrative, i</w:t>
      </w:r>
      <w:r w:rsidR="006B46F7">
        <w:t>l s'agit de rechercher les moyens littéraires mis en œuvre dans la narration pour orien</w:t>
      </w:r>
      <w:r w:rsidR="00A25D2D">
        <w:t>ter l'interprétation du lecteur</w:t>
      </w:r>
      <w:r w:rsidR="006B46F7">
        <w:t xml:space="preserve"> ou du narrataire (le destinataire du récit). Dans l'optique de cette méthode, il est entendu que la forme littéraire donnée à l'histoire, la manière dont elle est racontée dans un récit concret est la porte de son sens. Autrement dit, la façon de raconter n'est pas anodine. Il y a de multiples angles d'approche en narratologie : l'intrigue, l'étude des personnages, du cadre temporel ou spatial, de la focalisation… Je me propose d</w:t>
      </w:r>
      <w:r w:rsidR="00D07544">
        <w:t xml:space="preserve">’illustrer </w:t>
      </w:r>
      <w:r w:rsidR="006B46F7">
        <w:t xml:space="preserve">cette méthode en prenant </w:t>
      </w:r>
      <w:r w:rsidR="006A74DC">
        <w:t>un exemple</w:t>
      </w:r>
      <w:r w:rsidR="00D07544">
        <w:t xml:space="preserve"> dans l’évangile de Marc en lien </w:t>
      </w:r>
      <w:r w:rsidR="006A74DC">
        <w:t xml:space="preserve">particulièrement </w:t>
      </w:r>
      <w:r w:rsidR="00D07544">
        <w:t xml:space="preserve">avec </w:t>
      </w:r>
      <w:r w:rsidR="006A74DC">
        <w:t xml:space="preserve">le récit de </w:t>
      </w:r>
      <w:r w:rsidR="00D07544">
        <w:t>la Passion</w:t>
      </w:r>
      <w:r w:rsidR="00822259">
        <w:t xml:space="preserve">. </w:t>
      </w:r>
      <w:r w:rsidR="006A74DC">
        <w:t>Il s'agira de</w:t>
      </w:r>
      <w:r w:rsidR="00822259">
        <w:t xml:space="preserve"> </w:t>
      </w:r>
      <w:r w:rsidR="00D07544">
        <w:t xml:space="preserve">l’examen d’un </w:t>
      </w:r>
      <w:r w:rsidR="00822259">
        <w:t xml:space="preserve">élément transversal, </w:t>
      </w:r>
      <w:r w:rsidR="006A74DC">
        <w:t xml:space="preserve">à savoir </w:t>
      </w:r>
      <w:r w:rsidR="00822259">
        <w:t xml:space="preserve">la façon curieuse selon laquelle fonctionne le </w:t>
      </w:r>
      <w:r w:rsidR="00D07544">
        <w:t xml:space="preserve">code architectural </w:t>
      </w:r>
      <w:r w:rsidR="00822259">
        <w:t>dans cet évangile</w:t>
      </w:r>
      <w:r w:rsidR="00D07544">
        <w:t>.</w:t>
      </w:r>
    </w:p>
    <w:p w:rsidR="00D07544" w:rsidRDefault="00D07544" w:rsidP="00FF61F9">
      <w:pPr>
        <w:spacing w:line="320" w:lineRule="exact"/>
      </w:pPr>
    </w:p>
    <w:p w:rsidR="00D07544" w:rsidRDefault="00D07544" w:rsidP="00D07544">
      <w:pPr>
        <w:spacing w:line="320" w:lineRule="exact"/>
        <w:ind w:firstLine="567"/>
      </w:pPr>
    </w:p>
    <w:p w:rsidR="00D07544" w:rsidRDefault="00D07544" w:rsidP="00D07544">
      <w:pPr>
        <w:spacing w:line="320" w:lineRule="exact"/>
        <w:jc w:val="center"/>
        <w:rPr>
          <w:smallCaps/>
        </w:rPr>
      </w:pPr>
      <w:r w:rsidRPr="00792581">
        <w:rPr>
          <w:smallCaps/>
        </w:rPr>
        <w:t xml:space="preserve">II. La subversion du code </w:t>
      </w:r>
      <w:r>
        <w:rPr>
          <w:smallCaps/>
        </w:rPr>
        <w:t>architectural</w:t>
      </w:r>
      <w:r w:rsidRPr="00792581">
        <w:rPr>
          <w:smallCaps/>
        </w:rPr>
        <w:t xml:space="preserve"> en Marc</w:t>
      </w:r>
    </w:p>
    <w:p w:rsidR="00D07544" w:rsidRPr="00792581" w:rsidRDefault="00D07544" w:rsidP="00D07544">
      <w:pPr>
        <w:spacing w:line="320" w:lineRule="exact"/>
        <w:jc w:val="center"/>
        <w:rPr>
          <w:smallCaps/>
        </w:rPr>
      </w:pPr>
    </w:p>
    <w:p w:rsidR="00D07544" w:rsidRDefault="00D07544" w:rsidP="00D07544">
      <w:pPr>
        <w:tabs>
          <w:tab w:val="left" w:pos="6928"/>
        </w:tabs>
        <w:spacing w:line="320" w:lineRule="exact"/>
        <w:ind w:firstLine="720"/>
      </w:pPr>
      <w:r>
        <w:t xml:space="preserve"> Au fil de l’évangile de Marc, les méprises sur le sens é</w:t>
      </w:r>
      <w:r w:rsidR="00A25D2D">
        <w:t>vangélique de titres tels que « </w:t>
      </w:r>
      <w:r>
        <w:t xml:space="preserve">Messie » ou « Fils de Dieu » </w:t>
      </w:r>
      <w:r w:rsidR="00FF61F9">
        <w:t xml:space="preserve">lorsqu'ils sont appliqués au protagoniste principal du récit qu'est le personnage Jésus </w:t>
      </w:r>
      <w:r>
        <w:t>sont régulièrement dénoncées</w:t>
      </w:r>
      <w:r w:rsidR="00AF10D0">
        <w:rPr>
          <w:rStyle w:val="Appelnotedebasdep"/>
        </w:rPr>
        <w:footnoteReference w:id="24"/>
      </w:r>
      <w:r>
        <w:t xml:space="preserve">. </w:t>
      </w:r>
      <w:r w:rsidR="00FF61F9">
        <w:t>Une explication probable de ce phénomène, c</w:t>
      </w:r>
      <w:r>
        <w:t xml:space="preserve">’est que </w:t>
      </w:r>
      <w:r w:rsidR="006772DB">
        <w:t>la</w:t>
      </w:r>
      <w:r>
        <w:t xml:space="preserve"> légitimité </w:t>
      </w:r>
      <w:r w:rsidR="00FF61F9">
        <w:t>de l'</w:t>
      </w:r>
      <w:r w:rsidR="006772DB">
        <w:t xml:space="preserve">application </w:t>
      </w:r>
      <w:r w:rsidR="00FF61F9">
        <w:t>de ces titres au personnage</w:t>
      </w:r>
      <w:r w:rsidR="006772DB">
        <w:t xml:space="preserve"> Jésus </w:t>
      </w:r>
      <w:r>
        <w:t>dépend de la capacité d’y intégrer la notion de service allant jusqu'au don de sa vie, telle qu'elle est mise en œuvre dans le chemin de croix</w:t>
      </w:r>
      <w:r>
        <w:rPr>
          <w:rStyle w:val="Appelnotedebasdep"/>
        </w:rPr>
        <w:footnoteReference w:id="25"/>
      </w:r>
      <w:r>
        <w:t>.</w:t>
      </w:r>
      <w:r w:rsidR="006772DB">
        <w:t xml:space="preserve"> </w:t>
      </w:r>
      <w:r w:rsidR="00FF61F9">
        <w:t xml:space="preserve">Pour amener le lecteur à cette ligne de compréhension, le narrateur recourt à divers moyens, le plus clair étant des dialogues entre acteurs du récit. Mais des voies plus indirectes concourent au même dessein. </w:t>
      </w:r>
      <w:r w:rsidR="006772DB">
        <w:t xml:space="preserve">Je voudrais </w:t>
      </w:r>
      <w:r w:rsidR="00A25D2D">
        <w:t>le montrer à travers l'examen du</w:t>
      </w:r>
      <w:r w:rsidR="006772DB">
        <w:t xml:space="preserve"> </w:t>
      </w:r>
      <w:r w:rsidR="00FF61F9">
        <w:t xml:space="preserve">fonctionnement du </w:t>
      </w:r>
      <w:r w:rsidR="006772DB">
        <w:t>code spatial</w:t>
      </w:r>
      <w:r w:rsidR="00FF61F9">
        <w:t>, ou plus exactement architectural,</w:t>
      </w:r>
      <w:r w:rsidR="006772DB">
        <w:t xml:space="preserve"> </w:t>
      </w:r>
      <w:r w:rsidR="00FF61F9">
        <w:t>dans le second évangile, pour faire apparaître combien, dans son utilisation, le narrateur</w:t>
      </w:r>
      <w:r w:rsidR="006772DB">
        <w:t xml:space="preserve"> offre une variation sur </w:t>
      </w:r>
      <w:r w:rsidR="00FF61F9">
        <w:t>un</w:t>
      </w:r>
      <w:r w:rsidR="006772DB">
        <w:t xml:space="preserve"> développement</w:t>
      </w:r>
      <w:r w:rsidR="00FF61F9">
        <w:t xml:space="preserve"> parallèle et qui renforce le premier</w:t>
      </w:r>
      <w:r w:rsidR="006772DB">
        <w:t>.</w:t>
      </w:r>
    </w:p>
    <w:p w:rsidR="00A25D2D" w:rsidRDefault="00A25D2D" w:rsidP="00D07544">
      <w:pPr>
        <w:tabs>
          <w:tab w:val="left" w:pos="6928"/>
        </w:tabs>
        <w:spacing w:line="320" w:lineRule="exact"/>
        <w:ind w:firstLine="720"/>
      </w:pPr>
    </w:p>
    <w:p w:rsidR="00A25D2D" w:rsidRPr="00A25D2D" w:rsidRDefault="00A25D2D" w:rsidP="00A25D2D">
      <w:pPr>
        <w:tabs>
          <w:tab w:val="left" w:pos="6928"/>
        </w:tabs>
        <w:spacing w:line="320" w:lineRule="exact"/>
        <w:rPr>
          <w:i/>
        </w:rPr>
      </w:pPr>
      <w:r w:rsidRPr="00A25D2D">
        <w:rPr>
          <w:i/>
        </w:rPr>
        <w:t xml:space="preserve">Le rôle du Temple dans le système juif de pureté </w:t>
      </w:r>
      <w:proofErr w:type="gramStart"/>
      <w:r w:rsidRPr="00A25D2D">
        <w:rPr>
          <w:i/>
        </w:rPr>
        <w:t>au I</w:t>
      </w:r>
      <w:r w:rsidRPr="00A25D2D">
        <w:rPr>
          <w:i/>
          <w:vertAlign w:val="superscript"/>
        </w:rPr>
        <w:t>er</w:t>
      </w:r>
      <w:proofErr w:type="gramEnd"/>
      <w:r w:rsidRPr="00A25D2D">
        <w:rPr>
          <w:i/>
        </w:rPr>
        <w:t xml:space="preserve"> siècle</w:t>
      </w:r>
    </w:p>
    <w:p w:rsidR="00A25D2D" w:rsidRDefault="00A25D2D" w:rsidP="00A25D2D">
      <w:pPr>
        <w:tabs>
          <w:tab w:val="left" w:pos="6928"/>
        </w:tabs>
        <w:spacing w:line="320" w:lineRule="exact"/>
      </w:pPr>
    </w:p>
    <w:p w:rsidR="002855AC" w:rsidRPr="00023E85" w:rsidRDefault="002855AC" w:rsidP="00481710">
      <w:pPr>
        <w:spacing w:line="300" w:lineRule="atLeast"/>
        <w:ind w:firstLine="709"/>
      </w:pPr>
      <w:r>
        <w:t xml:space="preserve">Pour bien comprendre l'originalité de ce que propose l'évangile en la matière, il est </w:t>
      </w:r>
      <w:r w:rsidRPr="00023E85">
        <w:t>nécessaire de tenir compte du rôle joué par le temple de Jérusalem au cœur du système</w:t>
      </w:r>
      <w:r w:rsidR="00756D35">
        <w:t xml:space="preserve"> symbolique</w:t>
      </w:r>
      <w:r w:rsidRPr="00023E85">
        <w:t xml:space="preserve"> juif et pharisien du pur et de l'impur à l'époque. En effet, on ne peut vraiment comprendre les signifiants occasionnels touchant à la pureté qu’en les resituant à l’intérieur </w:t>
      </w:r>
      <w:r w:rsidRPr="00023E85">
        <w:lastRenderedPageBreak/>
        <w:t>d’un système où chacun et chaque lieu a sa place. Ce système va de soi à l’intérieur d’une culture donnée et n’y est guère explicité comme système. Mais si on veut comprendre de l’extérieur les signifiants d’une autre culture, on ne peut vraiment le faire qu’en reconstituant le système où ils s’inscrivent. Mary Douglas a bien mis cela en valeur en étudiant du point de vue de l’anthropologie sociale inspirée de Durkheim comment les sociétés mettent de l’ordre dans leur monde culturel en procédant à des classifications</w:t>
      </w:r>
      <w:r w:rsidR="00481710" w:rsidRPr="00023E85">
        <w:rPr>
          <w:rStyle w:val="Appelnotedebasdep"/>
        </w:rPr>
        <w:footnoteReference w:id="26"/>
      </w:r>
      <w:r w:rsidRPr="00023E85">
        <w:t>. En étudiant la façon dont travaillent dans diverses sociétés les oppositions pur/impur, sacré/profane, pur/souillé, elle a dégagé les systèmes symboliques auxquels elles se réfèrent. L’idée sous-jacente est, selon elle, la défi</w:t>
      </w:r>
      <w:r w:rsidR="00481710" w:rsidRPr="00023E85">
        <w:t>nition suivante de la saleté : « </w:t>
      </w:r>
      <w:r w:rsidRPr="00023E85">
        <w:t>C’est quelque chose qui n’est pas à sa place. Ce point de vue est très fécond. Il suppose, d’une part, l’existence d’un ensemble de relations ordonnées et, d’autre part, le bouleversement de cet ordre. La saleté n’est donc jamais un phénomène unique, isolé. Là où il y a saleté, il y a système. La saleté est le sous-produit d’une organisation et d’une classification de la matière, dans la mesure où toute mise en ordre entraîne le rejet d’éléments non appropriés. Cette interprétation de la saleté nous conduit t</w:t>
      </w:r>
      <w:r w:rsidR="00481710" w:rsidRPr="00023E85">
        <w:t>out droit au domaine symbolique »</w:t>
      </w:r>
      <w:r w:rsidR="00481710" w:rsidRPr="00023E85">
        <w:rPr>
          <w:rStyle w:val="Appelnotedebasdep"/>
        </w:rPr>
        <w:footnoteReference w:id="27"/>
      </w:r>
      <w:r w:rsidRPr="00023E85">
        <w:t xml:space="preserve">. Bref on ne </w:t>
      </w:r>
      <w:r w:rsidR="00481710" w:rsidRPr="00023E85">
        <w:t>qualifie</w:t>
      </w:r>
      <w:r w:rsidRPr="00023E85">
        <w:t xml:space="preserve"> quelqu’un ou quelque chose de souillé qu’à partir d’un système où pureté et souillure sont comme des noms de code représentant le système et sa transgression. Pour comprendre le fonctionnement du système, il importe de savoir à partir de quelles valeurs centrales est structurée la vie du groupe. Si, par exemple, p</w:t>
      </w:r>
      <w:r w:rsidR="00A25D2D">
        <w:t>our la société occidentale du 21</w:t>
      </w:r>
      <w:r w:rsidRPr="00023E85">
        <w:rPr>
          <w:vertAlign w:val="superscript"/>
        </w:rPr>
        <w:t>e</w:t>
      </w:r>
      <w:r w:rsidR="007878E8">
        <w:t xml:space="preserve"> siècle</w:t>
      </w:r>
      <w:r w:rsidRPr="00023E85">
        <w:t>, on peut penser à la démocratie ou aux droits de l’homme, ce ne sont pas ces valeurs-là qui structuraient la communauté juive palestinienne au temps de Jésus.</w:t>
      </w:r>
    </w:p>
    <w:p w:rsidR="002855AC" w:rsidRPr="00023E85" w:rsidRDefault="002855AC" w:rsidP="002855AC">
      <w:pPr>
        <w:spacing w:line="300" w:lineRule="atLeast"/>
      </w:pPr>
      <w:r w:rsidRPr="00023E85">
        <w:tab/>
        <w:t>Quelle image peut-on dégager du monde symbolique juif de la pureté</w:t>
      </w:r>
      <w:r w:rsidR="00481710" w:rsidRPr="00023E85">
        <w:t xml:space="preserve"> à cette époque</w:t>
      </w:r>
      <w:r w:rsidRPr="00023E85">
        <w:t> ? La valeur centrale dans le judaïsme, c’est la sainteté</w:t>
      </w:r>
      <w:r w:rsidR="00481710" w:rsidRPr="00023E85">
        <w:t xml:space="preserve"> de Dieu. Partant de la phrase « </w:t>
      </w:r>
      <w:r w:rsidRPr="00023E85">
        <w:t>Vous serez saints, car je sui</w:t>
      </w:r>
      <w:r w:rsidR="00481710" w:rsidRPr="00023E85">
        <w:t xml:space="preserve">s saint, moi, YHWH, votre Dieu » </w:t>
      </w:r>
      <w:r w:rsidRPr="00023E85">
        <w:t>(</w:t>
      </w:r>
      <w:proofErr w:type="spellStart"/>
      <w:r w:rsidRPr="00023E85">
        <w:t>Lv</w:t>
      </w:r>
      <w:proofErr w:type="spellEnd"/>
      <w:r w:rsidRPr="00023E85">
        <w:t xml:space="preserve"> 19,2), M. Douglas remarque que la sainteté de Dieu lui donne pouvoir de bénir et de maudire, c’est-à-dire de créer l’ordre ou le désordre</w:t>
      </w:r>
      <w:r w:rsidR="00481710" w:rsidRPr="00023E85">
        <w:rPr>
          <w:rStyle w:val="Appelnotedebasdep"/>
        </w:rPr>
        <w:footnoteReference w:id="28"/>
      </w:r>
      <w:r w:rsidRPr="00023E85">
        <w:t>. La première bénédiction divine consiste dans l’ordonnance du monde lors de la création : le temps y est structuré entre jours de travail et sabbat ; les animaux sont créés dans des formes pures, non hybrides, et reçoivent chacun leur localisation propre (l’eau pour les poissons, le ciel pour les oiseaux, la terre pour les bestiaux, reptiles...) ; chacun se voit attribué une nourriture appropriée ; et Adam est au sommet de la création. Pour être saint, il conviendra de respecter les séparations fondamentales établies par la création.</w:t>
      </w:r>
    </w:p>
    <w:p w:rsidR="002855AC" w:rsidRPr="00023E85" w:rsidRDefault="002855AC" w:rsidP="002855AC">
      <w:pPr>
        <w:spacing w:line="300" w:lineRule="atLeast"/>
      </w:pPr>
      <w:r w:rsidRPr="00023E85">
        <w:tab/>
        <w:t>À partir de là vont se définir progressivement ce que</w:t>
      </w:r>
      <w:r w:rsidR="00602CF9">
        <w:t>, dans ses recherches d'anthropologie sociale,</w:t>
      </w:r>
      <w:r w:rsidRPr="00023E85">
        <w:t xml:space="preserve"> </w:t>
      </w:r>
      <w:proofErr w:type="spellStart"/>
      <w:r w:rsidR="00481710" w:rsidRPr="00023E85">
        <w:t>Jerome</w:t>
      </w:r>
      <w:proofErr w:type="spellEnd"/>
      <w:r w:rsidR="00481710" w:rsidRPr="00023E85">
        <w:t xml:space="preserve"> Neyrey</w:t>
      </w:r>
      <w:r w:rsidR="00602CF9">
        <w:t xml:space="preserve"> appelle,</w:t>
      </w:r>
      <w:r w:rsidR="00023E85" w:rsidRPr="00023E85">
        <w:t xml:space="preserve"> à la suite de l'historien juif des religions Jacob </w:t>
      </w:r>
      <w:proofErr w:type="spellStart"/>
      <w:r w:rsidR="00023E85" w:rsidRPr="00023E85">
        <w:t>Neusner</w:t>
      </w:r>
      <w:proofErr w:type="spellEnd"/>
      <w:r w:rsidR="00023E85" w:rsidRPr="00023E85">
        <w:t>,</w:t>
      </w:r>
      <w:r w:rsidR="00481710" w:rsidRPr="00023E85">
        <w:t xml:space="preserve"> des « cartes »</w:t>
      </w:r>
      <w:r w:rsidRPr="00023E85">
        <w:t xml:space="preserve"> de pureté. Elles sont liées au symbole central de la culture israélite, le temple et son système. Dans ce système, on se demande quels animaux peuvent être offerts (des animaux saints, c’est-à-dire purs, parfaits physiquement), qui peut les offrir (un prêtre saint, c’est-à-dire de la bonne lignée, physiquement parfait et en état de pureté), où </w:t>
      </w:r>
      <w:r w:rsidRPr="00023E85">
        <w:lastRenderedPageBreak/>
        <w:t>faire le sacrifice (au temple de Jérusalem, microcosme de la création), qui peut participer à l’offrande (seulement des Israélites sans handicap), et enfin quelle offrande faire à quel moment</w:t>
      </w:r>
      <w:r w:rsidR="00481710" w:rsidRPr="00023E85">
        <w:rPr>
          <w:rStyle w:val="Appelnotedebasdep"/>
        </w:rPr>
        <w:footnoteReference w:id="29"/>
      </w:r>
      <w:r w:rsidRPr="00023E85">
        <w:t>.</w:t>
      </w:r>
    </w:p>
    <w:p w:rsidR="002855AC" w:rsidRPr="00023E85" w:rsidRDefault="002855AC" w:rsidP="002855AC">
      <w:pPr>
        <w:spacing w:line="300" w:lineRule="atLeast"/>
      </w:pPr>
      <w:r w:rsidRPr="00023E85">
        <w:tab/>
        <w:t>Les règles de pureté étaient au départ destinées surtout aux prêtres. Mais, à l’époque de Jésus, certains Juifs, parmi lesquels en tout cas les pharisiens, voulaient les étendre à l’ensemble du peuple. D’où les traces que l’on peu</w:t>
      </w:r>
      <w:r w:rsidR="00023E85" w:rsidRPr="00023E85">
        <w:t>t retrouver d’une série de « cartes »</w:t>
      </w:r>
      <w:r w:rsidRPr="00023E85">
        <w:t>, permettant d’attribuer une place à chaque chose et que chaque chose ait sa place.</w:t>
      </w:r>
    </w:p>
    <w:p w:rsidR="002855AC" w:rsidRPr="00023E85" w:rsidRDefault="002855AC" w:rsidP="002855AC">
      <w:pPr>
        <w:spacing w:line="300" w:lineRule="atLeast"/>
      </w:pPr>
      <w:r w:rsidRPr="00023E85">
        <w:tab/>
        <w:t xml:space="preserve">C’est ainsi qu’on lit dans la </w:t>
      </w:r>
      <w:r w:rsidRPr="0071310A">
        <w:rPr>
          <w:i/>
        </w:rPr>
        <w:t>Mishna</w:t>
      </w:r>
      <w:r w:rsidRPr="00023E85">
        <w:t xml:space="preserve">, au traité </w:t>
      </w:r>
      <w:proofErr w:type="spellStart"/>
      <w:r w:rsidRPr="0071310A">
        <w:rPr>
          <w:i/>
        </w:rPr>
        <w:t>Kélim</w:t>
      </w:r>
      <w:proofErr w:type="spellEnd"/>
      <w:r w:rsidRPr="00023E85">
        <w:t xml:space="preserve"> I,</w:t>
      </w:r>
      <w:r w:rsidR="00023E85" w:rsidRPr="00023E85">
        <w:t>6-9, ce qu’on peut appeler une « carte »</w:t>
      </w:r>
      <w:r w:rsidRPr="00023E85">
        <w:t xml:space="preserve"> des lieux répartis selon dix degrés de sainteté :</w:t>
      </w:r>
    </w:p>
    <w:p w:rsidR="002855AC" w:rsidRPr="00023E85" w:rsidRDefault="002855AC" w:rsidP="002855AC">
      <w:pPr>
        <w:spacing w:line="300" w:lineRule="atLeast"/>
      </w:pPr>
    </w:p>
    <w:p w:rsidR="002855AC" w:rsidRPr="00023E85" w:rsidRDefault="002855AC" w:rsidP="002855AC">
      <w:pPr>
        <w:spacing w:line="300" w:lineRule="atLeast"/>
        <w:ind w:left="280"/>
      </w:pPr>
      <w:r w:rsidRPr="00023E85">
        <w:t>1. La terre d’Israël est plus sainte que n’importe quelle autre terre...</w:t>
      </w:r>
    </w:p>
    <w:p w:rsidR="002855AC" w:rsidRPr="00023E85" w:rsidRDefault="002855AC" w:rsidP="002855AC">
      <w:pPr>
        <w:spacing w:line="300" w:lineRule="atLeast"/>
        <w:ind w:left="280"/>
      </w:pPr>
      <w:r w:rsidRPr="00023E85">
        <w:t>2. Les villes entourées de remparts (de la terre d’Israël) sont encore plus saintes...</w:t>
      </w:r>
    </w:p>
    <w:p w:rsidR="002855AC" w:rsidRPr="00023E85" w:rsidRDefault="002855AC" w:rsidP="002855AC">
      <w:pPr>
        <w:spacing w:line="300" w:lineRule="atLeast"/>
        <w:ind w:left="280"/>
      </w:pPr>
      <w:r w:rsidRPr="00023E85">
        <w:t>3. L’intérieur des remparts (de Jérusalem) est encore plus saint...</w:t>
      </w:r>
    </w:p>
    <w:p w:rsidR="002855AC" w:rsidRPr="00023E85" w:rsidRDefault="002855AC" w:rsidP="002855AC">
      <w:pPr>
        <w:spacing w:line="300" w:lineRule="atLeast"/>
        <w:ind w:left="280"/>
      </w:pPr>
      <w:r w:rsidRPr="00023E85">
        <w:t>4. Le mont du temple est encore plus saint...</w:t>
      </w:r>
    </w:p>
    <w:p w:rsidR="002855AC" w:rsidRPr="00023E85" w:rsidRDefault="002855AC" w:rsidP="002855AC">
      <w:pPr>
        <w:spacing w:line="300" w:lineRule="atLeast"/>
        <w:ind w:left="280"/>
      </w:pPr>
      <w:r w:rsidRPr="00023E85">
        <w:t xml:space="preserve">5. Le </w:t>
      </w:r>
      <w:proofErr w:type="spellStart"/>
      <w:r w:rsidRPr="00DF1E6F">
        <w:rPr>
          <w:i/>
        </w:rPr>
        <w:t>hel</w:t>
      </w:r>
      <w:proofErr w:type="spellEnd"/>
      <w:r w:rsidRPr="00023E85">
        <w:t xml:space="preserve"> (espace intérieur délimité par la barrière) est encore plus saint...</w:t>
      </w:r>
    </w:p>
    <w:p w:rsidR="002855AC" w:rsidRPr="00023E85" w:rsidRDefault="002855AC" w:rsidP="002855AC">
      <w:pPr>
        <w:spacing w:line="300" w:lineRule="atLeast"/>
        <w:ind w:left="280"/>
      </w:pPr>
      <w:r w:rsidRPr="00023E85">
        <w:t>6. La cour des femmes est encore plus sainte...</w:t>
      </w:r>
    </w:p>
    <w:p w:rsidR="002855AC" w:rsidRPr="00023E85" w:rsidRDefault="002855AC" w:rsidP="002855AC">
      <w:pPr>
        <w:spacing w:line="300" w:lineRule="atLeast"/>
        <w:ind w:left="280"/>
      </w:pPr>
      <w:r w:rsidRPr="00023E85">
        <w:t>7. La cour des Israélites est encore plus sainte...</w:t>
      </w:r>
    </w:p>
    <w:p w:rsidR="002855AC" w:rsidRPr="00023E85" w:rsidRDefault="002855AC" w:rsidP="002855AC">
      <w:pPr>
        <w:spacing w:line="300" w:lineRule="atLeast"/>
        <w:ind w:left="280"/>
      </w:pPr>
      <w:r w:rsidRPr="00023E85">
        <w:t>8. La cour des prêtres est encore plus sainte...</w:t>
      </w:r>
    </w:p>
    <w:p w:rsidR="002855AC" w:rsidRPr="00023E85" w:rsidRDefault="002855AC" w:rsidP="002855AC">
      <w:pPr>
        <w:spacing w:line="300" w:lineRule="atLeast"/>
        <w:ind w:left="280"/>
      </w:pPr>
      <w:r w:rsidRPr="00023E85">
        <w:t>9. Entre le porche et l’autel c’est encore plus saint...</w:t>
      </w:r>
    </w:p>
    <w:p w:rsidR="002855AC" w:rsidRPr="00023E85" w:rsidRDefault="002855AC" w:rsidP="002855AC">
      <w:pPr>
        <w:spacing w:line="300" w:lineRule="atLeast"/>
        <w:ind w:left="280"/>
      </w:pPr>
      <w:r w:rsidRPr="00023E85">
        <w:t>10. Le sanctuaire est encore plus saint... Le Saint des saints est encore plus saint...</w:t>
      </w:r>
    </w:p>
    <w:p w:rsidR="002855AC" w:rsidRPr="00023E85" w:rsidRDefault="002855AC" w:rsidP="002855AC">
      <w:pPr>
        <w:spacing w:line="300" w:lineRule="atLeast"/>
        <w:ind w:left="280"/>
      </w:pPr>
    </w:p>
    <w:p w:rsidR="002855AC" w:rsidRPr="00023E85" w:rsidRDefault="002855AC" w:rsidP="002855AC">
      <w:pPr>
        <w:spacing w:line="300" w:lineRule="atLeast"/>
      </w:pPr>
      <w:proofErr w:type="gramStart"/>
      <w:r w:rsidRPr="00023E85">
        <w:t>La</w:t>
      </w:r>
      <w:proofErr w:type="gramEnd"/>
      <w:r w:rsidRPr="00023E85">
        <w:t xml:space="preserve"> quasi absence des païens ressort nettement de cette liste, puisqu’elle commence avec la terre d’Israël. Quant à la classification, elle est gouvernée par la plus ou moins grande proximité par rapport au temple et même au Saint des saints</w:t>
      </w:r>
      <w:r w:rsidR="00023E85" w:rsidRPr="00023E85">
        <w:t>, dont on voit la place systémique centrale</w:t>
      </w:r>
      <w:r w:rsidRPr="00023E85">
        <w:t>.</w:t>
      </w:r>
    </w:p>
    <w:p w:rsidR="002855AC" w:rsidRDefault="002855AC" w:rsidP="00D07544">
      <w:pPr>
        <w:tabs>
          <w:tab w:val="left" w:pos="6928"/>
        </w:tabs>
        <w:spacing w:line="320" w:lineRule="exact"/>
        <w:ind w:firstLine="720"/>
      </w:pPr>
    </w:p>
    <w:p w:rsidR="00D07544" w:rsidRDefault="00FF61F9" w:rsidP="00FF61F9">
      <w:pPr>
        <w:tabs>
          <w:tab w:val="left" w:pos="7875"/>
        </w:tabs>
        <w:spacing w:line="320" w:lineRule="exact"/>
        <w:ind w:firstLine="709"/>
      </w:pPr>
      <w:r>
        <w:tab/>
      </w:r>
    </w:p>
    <w:p w:rsidR="00D07544" w:rsidRPr="00DB376B" w:rsidRDefault="00D07544" w:rsidP="00D07544">
      <w:pPr>
        <w:spacing w:line="320" w:lineRule="exact"/>
        <w:rPr>
          <w:i/>
        </w:rPr>
      </w:pPr>
      <w:r w:rsidRPr="00DB376B">
        <w:rPr>
          <w:i/>
        </w:rPr>
        <w:t>L’annonce de la destruction du sanctuaire et d’une reconstruction en trois jours</w:t>
      </w:r>
      <w:r w:rsidR="0071310A">
        <w:rPr>
          <w:i/>
        </w:rPr>
        <w:t xml:space="preserve"> (Marc 14,58)</w:t>
      </w:r>
    </w:p>
    <w:p w:rsidR="00D07544" w:rsidRDefault="00D07544" w:rsidP="00D07544">
      <w:pPr>
        <w:tabs>
          <w:tab w:val="left" w:pos="6928"/>
        </w:tabs>
        <w:spacing w:line="320" w:lineRule="exact"/>
      </w:pPr>
    </w:p>
    <w:p w:rsidR="00D07544" w:rsidRDefault="00D07544" w:rsidP="00D07544">
      <w:pPr>
        <w:tabs>
          <w:tab w:val="left" w:pos="6928"/>
        </w:tabs>
        <w:spacing w:line="320" w:lineRule="exact"/>
        <w:ind w:firstLine="720"/>
      </w:pPr>
      <w:r>
        <w:t xml:space="preserve">C’est une des caractéristiques </w:t>
      </w:r>
      <w:r w:rsidR="006772DB">
        <w:t>du second</w:t>
      </w:r>
      <w:r>
        <w:t xml:space="preserve"> évangile qu’aucune mention du temple n’y soit faite avant le chapitre 11</w:t>
      </w:r>
      <w:r w:rsidR="00FF61F9">
        <w:t xml:space="preserve"> (sur les 16 qu'il comporte)</w:t>
      </w:r>
      <w:r>
        <w:t xml:space="preserve">. </w:t>
      </w:r>
      <w:r w:rsidRPr="001E3BF1">
        <w:t>Auparavant, les lieux architecturaux où Jésus évolue sont soit des maisons, soit des synagogues, et les premières l'emportent progressivement comme lieu d'activité de Jésus.</w:t>
      </w:r>
      <w:r>
        <w:t xml:space="preserve"> C'est assez frappant dans un milieu culturel et religieux aussi centré sur le temple de Jérusalem comme lieu de la présence de Dieu que l’est la société palestinienne du premier siècle. Ce phénomène a une conséquence directe. Chez Marc, </w:t>
      </w:r>
      <w:r w:rsidRPr="00C23413">
        <w:t xml:space="preserve">à la différence des autres </w:t>
      </w:r>
      <w:r>
        <w:t xml:space="preserve">évangiles </w:t>
      </w:r>
      <w:r w:rsidRPr="00C23413">
        <w:t>synoptiques</w:t>
      </w:r>
      <w:r w:rsidR="00AF10D0">
        <w:t xml:space="preserve"> (Matthieu et Luc)</w:t>
      </w:r>
      <w:r w:rsidRPr="00C23413">
        <w:t xml:space="preserve">, </w:t>
      </w:r>
      <w:r>
        <w:t>le temple</w:t>
      </w:r>
      <w:r w:rsidRPr="00C23413">
        <w:t xml:space="preserve"> </w:t>
      </w:r>
      <w:r>
        <w:t xml:space="preserve">n'est </w:t>
      </w:r>
      <w:r w:rsidR="00AF10D0">
        <w:t xml:space="preserve">pas mis en valeur ; il n'est </w:t>
      </w:r>
      <w:r>
        <w:t>mentionné</w:t>
      </w:r>
      <w:r w:rsidRPr="00C23413">
        <w:t xml:space="preserve"> que dans un contexte polémique : acte de contestation du temple par Jésus, controverses avec ses adversaires dans le temple, allusion à la destruction </w:t>
      </w:r>
      <w:r>
        <w:t>de celui-ci</w:t>
      </w:r>
      <w:r w:rsidRPr="00C23413">
        <w:t xml:space="preserve"> ou du sanctuaire, questionnement </w:t>
      </w:r>
      <w:r w:rsidR="001D54C0">
        <w:t xml:space="preserve">enfin </w:t>
      </w:r>
      <w:r w:rsidRPr="00C23413">
        <w:t xml:space="preserve">sur la liberté que ses adversaires ont laissée </w:t>
      </w:r>
      <w:r>
        <w:t xml:space="preserve">à Jésus </w:t>
      </w:r>
      <w:r w:rsidRPr="00C23413">
        <w:t xml:space="preserve">d'enseigner dans le temple </w:t>
      </w:r>
      <w:r>
        <w:t>avant de</w:t>
      </w:r>
      <w:r w:rsidRPr="00C23413">
        <w:t xml:space="preserve"> venir l'arrêter</w:t>
      </w:r>
      <w:r>
        <w:t>.</w:t>
      </w:r>
    </w:p>
    <w:p w:rsidR="00D07544" w:rsidRDefault="00D07544" w:rsidP="00D07544">
      <w:pPr>
        <w:tabs>
          <w:tab w:val="left" w:pos="6928"/>
        </w:tabs>
        <w:spacing w:line="320" w:lineRule="exact"/>
        <w:ind w:firstLine="720"/>
      </w:pPr>
      <w:r>
        <w:lastRenderedPageBreak/>
        <w:t xml:space="preserve">Cet aspect polémique se manifeste dès la première mention </w:t>
      </w:r>
      <w:proofErr w:type="gramStart"/>
      <w:r>
        <w:t xml:space="preserve">du </w:t>
      </w:r>
      <w:proofErr w:type="spellStart"/>
      <w:r w:rsidR="00AF10D0" w:rsidRPr="00AF10D0">
        <w:rPr>
          <w:rFonts w:ascii="SuperGreek" w:hAnsi="SuperGreek"/>
        </w:rPr>
        <w:t>iJerovn</w:t>
      </w:r>
      <w:proofErr w:type="spellEnd"/>
      <w:proofErr w:type="gramEnd"/>
      <w:r>
        <w:t xml:space="preserve"> : </w:t>
      </w:r>
      <w:r w:rsidRPr="00C23413">
        <w:t xml:space="preserve">les conditions matérielles de mise en œuvre du culte du temple sont </w:t>
      </w:r>
      <w:r>
        <w:t xml:space="preserve">violemment </w:t>
      </w:r>
      <w:r w:rsidRPr="00C23413">
        <w:t>contestées</w:t>
      </w:r>
      <w:r>
        <w:t xml:space="preserve">. Quelle que soit la portée historique des gestes de Jésus, leur sens au plan du récit marcien est éclairé par le contexte dans </w:t>
      </w:r>
      <w:r w:rsidRPr="00C23413">
        <w:t xml:space="preserve">lequel l'action de </w:t>
      </w:r>
      <w:r w:rsidR="00B61FF9">
        <w:t>ce personnage</w:t>
      </w:r>
      <w:r w:rsidRPr="00C23413">
        <w:t xml:space="preserve"> dans le temple </w:t>
      </w:r>
      <w:r>
        <w:t>(</w:t>
      </w:r>
      <w:r w:rsidR="00A904D3">
        <w:t xml:space="preserve">Mc </w:t>
      </w:r>
      <w:r>
        <w:t xml:space="preserve">11,15-19) </w:t>
      </w:r>
      <w:r w:rsidRPr="00C23413">
        <w:t>est enchâssé</w:t>
      </w:r>
      <w:r>
        <w:t xml:space="preserve">e. Elle </w:t>
      </w:r>
      <w:r w:rsidRPr="00C23413">
        <w:t>est intercalé</w:t>
      </w:r>
      <w:r>
        <w:t>e</w:t>
      </w:r>
      <w:r w:rsidRPr="00C23413">
        <w:t xml:space="preserve"> entre la parole de condamnation du figuier (</w:t>
      </w:r>
      <w:r w:rsidR="00A904D3">
        <w:t xml:space="preserve">Mc </w:t>
      </w:r>
      <w:r w:rsidRPr="00C23413">
        <w:t>11,12-14) et le constat de son dessèchement (</w:t>
      </w:r>
      <w:r w:rsidR="00A904D3">
        <w:t xml:space="preserve">Mc </w:t>
      </w:r>
      <w:r w:rsidRPr="00C23413">
        <w:t>11,20-25).</w:t>
      </w:r>
      <w:r>
        <w:t xml:space="preserve"> </w:t>
      </w:r>
      <w:r w:rsidRPr="00C23413">
        <w:t xml:space="preserve">Le châtiment étonnant du figuier </w:t>
      </w:r>
      <w:r>
        <w:t>sans</w:t>
      </w:r>
      <w:r w:rsidRPr="00C23413">
        <w:t xml:space="preserve"> fruit fait penser à la vigne </w:t>
      </w:r>
      <w:r>
        <w:t>du Seigneur</w:t>
      </w:r>
      <w:r w:rsidRPr="00C23413">
        <w:t xml:space="preserve">, la maison d'Israël, qui malgré les soins dont elle est entourée ne produit pas de beaux raisins, mais du verjus. Elle est dès lors vouée à être piétinée et détruite (Is 5,1-7 ; voir aussi Jr 12,13 ; Mi 7,1-2). Le figuier, lui, est desséché jusqu'aux racines. Par ce geste prophétique, Jésus symbolise sans doute le constat de l'échec de la mission d'Israël comme peuple élu et la confirmation </w:t>
      </w:r>
      <w:r>
        <w:t>de la perte de</w:t>
      </w:r>
      <w:r w:rsidRPr="00C23413">
        <w:t xml:space="preserve"> son rôle. De même, le temple a échoué à être une maison de prière, ce qui était sa mission selon Is 56,7 et il s'est transformé en une caverne de bandits, un lieu où ceux-ci sont chez eux pour rapiner (Jr 7,11). Le temple perd du coup son rôle de </w:t>
      </w:r>
      <w:r>
        <w:t xml:space="preserve">« </w:t>
      </w:r>
      <w:r w:rsidRPr="00C23413">
        <w:t>maison de prière pour toutes les nations</w:t>
      </w:r>
      <w:r>
        <w:t xml:space="preserve"> »</w:t>
      </w:r>
      <w:r w:rsidRPr="00C23413">
        <w:t xml:space="preserve"> (</w:t>
      </w:r>
      <w:r w:rsidR="00A904D3">
        <w:t xml:space="preserve">Mc </w:t>
      </w:r>
      <w:r w:rsidRPr="00C23413">
        <w:t>11,17). Le rapprochement avec le figuier suggère que, devenu inutile, à cause de son infidélité à sa mission</w:t>
      </w:r>
      <w:r w:rsidRPr="00C23413">
        <w:rPr>
          <w:rStyle w:val="Appelnotedebasdep"/>
        </w:rPr>
        <w:footnoteReference w:id="30"/>
      </w:r>
      <w:r w:rsidRPr="00C23413">
        <w:t>, le temple est voué à disparaître</w:t>
      </w:r>
      <w:r w:rsidRPr="00C23413">
        <w:rPr>
          <w:rStyle w:val="Appelnotedebasdep"/>
        </w:rPr>
        <w:footnoteReference w:id="31"/>
      </w:r>
      <w:r w:rsidRPr="00C23413">
        <w:t>. Dès que les grands prêtres et les scribes sont tenus au courant de cet enseignement de Jésus, ils s'enquièrent</w:t>
      </w:r>
      <w:r>
        <w:t xml:space="preserve"> aussitôt</w:t>
      </w:r>
      <w:r w:rsidRPr="00C23413">
        <w:t xml:space="preserve"> des moyens de le faire périr (11,18). Dans sa teneur actuelle, le récit fait entrevoir un combat à mort, dont l'enjeu est la disparition du système du temple, d'une part, et celle de Jésus qui </w:t>
      </w:r>
      <w:r>
        <w:t>a eu le tort d’en proférer la</w:t>
      </w:r>
      <w:r w:rsidRPr="00C23413">
        <w:t xml:space="preserve"> menace, d'autre part.</w:t>
      </w:r>
    </w:p>
    <w:p w:rsidR="00D07544" w:rsidRDefault="00D07544" w:rsidP="00D07544">
      <w:pPr>
        <w:spacing w:line="320" w:lineRule="exact"/>
      </w:pPr>
      <w:r w:rsidRPr="00C23413">
        <w:tab/>
        <w:t xml:space="preserve">Le constat de la stérilité définitive du figuier débouche par ailleurs sur un enseignement de Jésus </w:t>
      </w:r>
      <w:r w:rsidR="004D293D">
        <w:t>à ses compagnons de route, que le récit désigne sous le nom de</w:t>
      </w:r>
      <w:r w:rsidRPr="00C23413">
        <w:t xml:space="preserve"> disciples</w:t>
      </w:r>
      <w:r w:rsidR="004D293D">
        <w:t>. Ce bref discours</w:t>
      </w:r>
      <w:r w:rsidRPr="00C23413">
        <w:t xml:space="preserve"> est consacré à la prière étroitement unie au pardon fraternel (</w:t>
      </w:r>
      <w:r w:rsidR="00A904D3">
        <w:t xml:space="preserve">Mc </w:t>
      </w:r>
      <w:r w:rsidRPr="00C23413">
        <w:t>11,22-25). Tout se passe comme si Jésus les préparait à remplir le rôle de maison de prière q</w:t>
      </w:r>
      <w:r>
        <w:t>ue le temple n'accomplit plus. P</w:t>
      </w:r>
      <w:r w:rsidRPr="00C23413">
        <w:t xml:space="preserve">our obtenir </w:t>
      </w:r>
      <w:r>
        <w:t xml:space="preserve">de Dieu </w:t>
      </w:r>
      <w:r w:rsidRPr="00C23413">
        <w:t>la remise de leurs fautes</w:t>
      </w:r>
      <w:r>
        <w:t>,</w:t>
      </w:r>
      <w:r w:rsidRPr="00C23413">
        <w:t xml:space="preserve"> </w:t>
      </w:r>
      <w:r>
        <w:t>i</w:t>
      </w:r>
      <w:r w:rsidRPr="00C23413">
        <w:t>ls sont invités à mettre leur confiance dans la prière et le pardon</w:t>
      </w:r>
      <w:r w:rsidR="0071310A">
        <w:t xml:space="preserve"> mutuel entre humains</w:t>
      </w:r>
      <w:r w:rsidRPr="00C23413">
        <w:t>, et non dans l</w:t>
      </w:r>
      <w:r>
        <w:t>e système sacrificiel du temple</w:t>
      </w:r>
      <w:r w:rsidR="004D293D">
        <w:t xml:space="preserve"> </w:t>
      </w:r>
      <w:r w:rsidR="007878E8">
        <w:t>auquel était attribuée une vertu pardon et de réconciliation avec Dieu</w:t>
      </w:r>
      <w:r w:rsidRPr="00C23413">
        <w:t>.</w:t>
      </w:r>
    </w:p>
    <w:p w:rsidR="00D07544" w:rsidRDefault="00D07544" w:rsidP="00D07544">
      <w:pPr>
        <w:spacing w:line="320" w:lineRule="exact"/>
        <w:ind w:firstLine="709"/>
      </w:pPr>
      <w:r>
        <w:t xml:space="preserve">Alors qu'il est encore utilisé aux chapitres 11 – 13 dans le cadre de l'enseignement de Jésus au temple ou sur le Mont des Oliviers, le mot </w:t>
      </w:r>
      <w:proofErr w:type="spellStart"/>
      <w:r w:rsidR="00AF10D0" w:rsidRPr="00AF10D0">
        <w:rPr>
          <w:rFonts w:ascii="SuperGreek" w:hAnsi="SuperGreek"/>
        </w:rPr>
        <w:t>iJerovn</w:t>
      </w:r>
      <w:proofErr w:type="spellEnd"/>
      <w:r w:rsidR="00AF10D0">
        <w:t xml:space="preserve"> </w:t>
      </w:r>
      <w:r>
        <w:t>ne sera plus utilisé dans le cadre de la Passion (</w:t>
      </w:r>
      <w:r w:rsidR="004D293D">
        <w:t>chap. 14 et 15). Là, i</w:t>
      </w:r>
      <w:r>
        <w:t xml:space="preserve">l sera </w:t>
      </w:r>
      <w:r w:rsidR="004D293D">
        <w:t>toujours</w:t>
      </w:r>
      <w:r>
        <w:t xml:space="preserve"> question du </w:t>
      </w:r>
      <w:proofErr w:type="spellStart"/>
      <w:r w:rsidRPr="00AF10D0">
        <w:rPr>
          <w:rFonts w:ascii="SuperGreek" w:hAnsi="SuperGreek"/>
        </w:rPr>
        <w:t>nao</w:t>
      </w:r>
      <w:r w:rsidR="00AF10D0" w:rsidRPr="00AF10D0">
        <w:rPr>
          <w:rFonts w:ascii="SuperGreek" w:hAnsi="SuperGreek"/>
        </w:rPr>
        <w:t>v</w:t>
      </w:r>
      <w:proofErr w:type="spellEnd"/>
      <w:r w:rsidR="00AF10D0" w:rsidRPr="00AF10D0">
        <w:rPr>
          <w:rFonts w:ascii="SuperGreek" w:hAnsi="SuperGreek"/>
        </w:rPr>
        <w:t>"</w:t>
      </w:r>
      <w:r>
        <w:t xml:space="preserve"> que, pour éviter </w:t>
      </w:r>
      <w:r w:rsidR="004D293D">
        <w:t xml:space="preserve">en français </w:t>
      </w:r>
      <w:r>
        <w:lastRenderedPageBreak/>
        <w:t xml:space="preserve">la confusion avec </w:t>
      </w:r>
      <w:proofErr w:type="spellStart"/>
      <w:r w:rsidR="00AF10D0" w:rsidRPr="00AF10D0">
        <w:rPr>
          <w:rFonts w:ascii="SuperGreek" w:hAnsi="SuperGreek"/>
        </w:rPr>
        <w:t>iJerovn</w:t>
      </w:r>
      <w:proofErr w:type="spellEnd"/>
      <w:r>
        <w:t xml:space="preserve">, je traduis systématiquement par « sanctuaire ». Alors que le </w:t>
      </w:r>
      <w:proofErr w:type="spellStart"/>
      <w:r w:rsidR="00AF10D0" w:rsidRPr="00AF10D0">
        <w:rPr>
          <w:rFonts w:ascii="SuperGreek" w:hAnsi="SuperGreek"/>
        </w:rPr>
        <w:t>iJerovn</w:t>
      </w:r>
      <w:proofErr w:type="spellEnd"/>
      <w:r w:rsidR="00AF10D0">
        <w:t xml:space="preserve"> </w:t>
      </w:r>
      <w:r>
        <w:t xml:space="preserve">désigne un édifice matériel et apparaît le plus souvent dans des parties </w:t>
      </w:r>
      <w:r w:rsidRPr="00C23413">
        <w:t>narratives et non d</w:t>
      </w:r>
      <w:r>
        <w:t>iscursives,</w:t>
      </w:r>
      <w:r w:rsidRPr="00C23413">
        <w:t xml:space="preserve"> le </w:t>
      </w:r>
      <w:proofErr w:type="spellStart"/>
      <w:r w:rsidR="00AF10D0" w:rsidRPr="00AF10D0">
        <w:rPr>
          <w:rFonts w:ascii="SuperGreek" w:hAnsi="SuperGreek"/>
        </w:rPr>
        <w:t>naov</w:t>
      </w:r>
      <w:proofErr w:type="spellEnd"/>
      <w:r w:rsidR="00AF10D0" w:rsidRPr="00AF10D0">
        <w:rPr>
          <w:rFonts w:ascii="SuperGreek" w:hAnsi="SuperGreek"/>
        </w:rPr>
        <w:t>"</w:t>
      </w:r>
      <w:r w:rsidR="004D293D">
        <w:t>, lui,</w:t>
      </w:r>
      <w:r w:rsidR="00AF10D0">
        <w:t xml:space="preserve"> </w:t>
      </w:r>
      <w:r w:rsidRPr="00C23413">
        <w:t>intervient surtout dans des phrases en discours direct (</w:t>
      </w:r>
      <w:r w:rsidR="00A904D3">
        <w:t xml:space="preserve">Mc </w:t>
      </w:r>
      <w:r w:rsidRPr="00C23413">
        <w:t>14,58 ; 15,29)</w:t>
      </w:r>
      <w:r>
        <w:t> ;</w:t>
      </w:r>
      <w:r w:rsidRPr="00C23413">
        <w:t xml:space="preserve"> il semble s'agir d'un symbole qui joue </w:t>
      </w:r>
      <w:r>
        <w:t xml:space="preserve">« </w:t>
      </w:r>
      <w:r w:rsidRPr="00C23413">
        <w:t>sur un registre exclusivement herméneutique</w:t>
      </w:r>
      <w:r w:rsidR="0071310A">
        <w:t> </w:t>
      </w:r>
      <w:r>
        <w:t>»</w:t>
      </w:r>
      <w:r w:rsidRPr="00C51F5A">
        <w:rPr>
          <w:rStyle w:val="Appelnotedebasdep"/>
        </w:rPr>
        <w:t xml:space="preserve"> </w:t>
      </w:r>
      <w:r w:rsidRPr="00C23413">
        <w:rPr>
          <w:rStyle w:val="Appelnotedebasdep"/>
        </w:rPr>
        <w:footnoteReference w:id="32"/>
      </w:r>
      <w:r>
        <w:t>.</w:t>
      </w:r>
    </w:p>
    <w:p w:rsidR="00D07544" w:rsidRDefault="00D07544" w:rsidP="00D07544">
      <w:pPr>
        <w:spacing w:line="320" w:lineRule="exact"/>
        <w:ind w:firstLine="709"/>
      </w:pPr>
      <w:r>
        <w:t xml:space="preserve">Ce symbole fait sa première apparition dans une phrase attribuée à Jésus : « </w:t>
      </w:r>
      <w:r w:rsidRPr="00C23413">
        <w:t>Je détruirai ce sanctuaire fait de main d'homme et en trois jours j'en bâtirai un autre non fait de</w:t>
      </w:r>
      <w:r>
        <w:t xml:space="preserve"> main d'homme »</w:t>
      </w:r>
      <w:r w:rsidRPr="00C23413">
        <w:t xml:space="preserve"> (14,58). Mais ceux qui prétendent l'avoir entendu </w:t>
      </w:r>
      <w:r>
        <w:t>parler ainsi</w:t>
      </w:r>
      <w:r w:rsidRPr="00C23413">
        <w:t xml:space="preserve"> sont présentés comme de faux témoins par le narrateur. Par deux fois, il répète qu'ils témoignaient faussement (</w:t>
      </w:r>
      <w:proofErr w:type="spellStart"/>
      <w:r w:rsidRPr="004D293D">
        <w:rPr>
          <w:rFonts w:ascii="SuperGreek" w:hAnsi="SuperGreek"/>
        </w:rPr>
        <w:t>e</w:t>
      </w:r>
      <w:r w:rsidR="004D293D" w:rsidRPr="00A904D3">
        <w:rPr>
          <w:rFonts w:ascii="SuperGreek" w:hAnsi="SuperGreek"/>
        </w:rPr>
        <w:t>j</w:t>
      </w:r>
      <w:r w:rsidR="00A904D3" w:rsidRPr="00A904D3">
        <w:rPr>
          <w:rFonts w:ascii="SuperGreek" w:hAnsi="SuperGreek"/>
        </w:rPr>
        <w:t>y</w:t>
      </w:r>
      <w:r w:rsidRPr="004D293D">
        <w:rPr>
          <w:rFonts w:ascii="SuperGreek" w:hAnsi="SuperGreek"/>
        </w:rPr>
        <w:t>eudomartu</w:t>
      </w:r>
      <w:r w:rsidR="004D293D" w:rsidRPr="004D293D">
        <w:rPr>
          <w:rFonts w:ascii="SuperGreek" w:hAnsi="SuperGreek"/>
        </w:rPr>
        <w:t>v</w:t>
      </w:r>
      <w:r w:rsidRPr="004D293D">
        <w:rPr>
          <w:rFonts w:ascii="SuperGreek" w:hAnsi="SuperGreek"/>
        </w:rPr>
        <w:t>roun</w:t>
      </w:r>
      <w:proofErr w:type="spellEnd"/>
      <w:r w:rsidRPr="00C23413">
        <w:t xml:space="preserve">, </w:t>
      </w:r>
      <w:r w:rsidR="00A904D3">
        <w:t xml:space="preserve">Mc </w:t>
      </w:r>
      <w:r w:rsidRPr="00C23413">
        <w:t>14,56.57) et que leur témoignage était discordant (</w:t>
      </w:r>
      <w:r w:rsidR="00A904D3">
        <w:t xml:space="preserve">Mc </w:t>
      </w:r>
      <w:r w:rsidRPr="00C23413">
        <w:t>14,56.59).</w:t>
      </w:r>
      <w:r>
        <w:t xml:space="preserve"> L'évangéliste</w:t>
      </w:r>
      <w:r w:rsidRPr="00C23413">
        <w:t xml:space="preserve"> suggère-t-il que </w:t>
      </w:r>
      <w:r w:rsidR="004D293D">
        <w:t>son personnage principal</w:t>
      </w:r>
      <w:r w:rsidRPr="00C23413">
        <w:t xml:space="preserve"> n'a rien dit de tel ou seulement que sa parole a été déformée ?</w:t>
      </w:r>
    </w:p>
    <w:p w:rsidR="00D07544" w:rsidRDefault="00D07544" w:rsidP="00D07544">
      <w:pPr>
        <w:spacing w:line="320" w:lineRule="exact"/>
        <w:ind w:firstLine="709"/>
      </w:pPr>
      <w:r>
        <w:t xml:space="preserve">Par rapport à la seule parole antérieure de Jésus à ce sujet – l'annonce </w:t>
      </w:r>
      <w:r w:rsidRPr="00C23413">
        <w:t>que les pierres des constructions (humaines) du t</w:t>
      </w:r>
      <w:r>
        <w:t>emple seront détruites (</w:t>
      </w:r>
      <w:r w:rsidR="00A904D3">
        <w:t xml:space="preserve">Mc </w:t>
      </w:r>
      <w:r>
        <w:t xml:space="preserve">13,1-2) – une première déformation est d'accuser </w:t>
      </w:r>
      <w:r w:rsidRPr="00C23413">
        <w:t>Jésus de s'être attribué à lui-même la future destruction</w:t>
      </w:r>
      <w:r>
        <w:rPr>
          <w:rStyle w:val="Appelnotedebasdep"/>
        </w:rPr>
        <w:footnoteReference w:id="33"/>
      </w:r>
      <w:r>
        <w:t xml:space="preserve">. </w:t>
      </w:r>
      <w:r w:rsidRPr="00C23413">
        <w:t>Une deuxième déformation possible est de centrer la destruction non plus sur le temple en général, mais sur le sanctuaire présenté comme inadéquat parce que fait de main d'homme</w:t>
      </w:r>
      <w:r>
        <w:t>. Et u</w:t>
      </w:r>
      <w:r w:rsidRPr="00C23413">
        <w:t>ne troisième est d'y ajouter l'annonce de la construction d'un nouveau sanctuaire adéquat parce que non fait de main d'homme.</w:t>
      </w:r>
    </w:p>
    <w:p w:rsidR="00D07544" w:rsidRDefault="004D293D" w:rsidP="00D07544">
      <w:pPr>
        <w:spacing w:line="320" w:lineRule="exact"/>
        <w:ind w:firstLine="709"/>
      </w:pPr>
      <w:r>
        <w:t>Le narrateur évangélique</w:t>
      </w:r>
      <w:r w:rsidR="00D07544">
        <w:t xml:space="preserve"> fait preuve d'une </w:t>
      </w:r>
      <w:r w:rsidR="00D07544" w:rsidRPr="00C23413">
        <w:t xml:space="preserve">certaine ironie narrative </w:t>
      </w:r>
      <w:r w:rsidR="00D07544">
        <w:t>en mettant</w:t>
      </w:r>
      <w:r w:rsidR="00D07544" w:rsidRPr="00C23413">
        <w:t xml:space="preserve"> dans la bouche de ces faux témoins une annonce qui </w:t>
      </w:r>
      <w:r w:rsidR="00D07544">
        <w:t xml:space="preserve">leur paraît absurde alors qu’elle </w:t>
      </w:r>
      <w:r w:rsidR="00D07544" w:rsidRPr="00C23413">
        <w:t>se révélera vraie au plan symbolique</w:t>
      </w:r>
      <w:r w:rsidR="00D07544">
        <w:rPr>
          <w:rStyle w:val="Appelnotedebasdep"/>
        </w:rPr>
        <w:footnoteReference w:id="34"/>
      </w:r>
      <w:r w:rsidR="00D07544" w:rsidRPr="00C23413">
        <w:t>. Au niveau matériel, le délai de trois jours pour bâtir un nouveau sanctuaire serait ridiculement court. Mais au plan narratif, il fait inévitablement penser aux annonces de la passion et aux trois jours après lesquels Jésus ressuscitera (</w:t>
      </w:r>
      <w:r w:rsidR="00A904D3">
        <w:t xml:space="preserve">Mc </w:t>
      </w:r>
      <w:r w:rsidR="00D07544" w:rsidRPr="00C23413">
        <w:t>8,31 ; 9,31 ; 10,34). Dans un tel contexte, l'allusion est transparente : le sanctuaire non fait de main d'homme, c'est-à-dire œuvre de</w:t>
      </w:r>
      <w:r w:rsidR="00D07544">
        <w:t xml:space="preserve"> Dieu, ce sera le R</w:t>
      </w:r>
      <w:r w:rsidR="00D07544" w:rsidRPr="00C23413">
        <w:t>essuscité</w:t>
      </w:r>
      <w:r w:rsidR="00D07544" w:rsidRPr="00C23413">
        <w:rPr>
          <w:rStyle w:val="Appelnotedebasdep"/>
        </w:rPr>
        <w:footnoteReference w:id="35"/>
      </w:r>
      <w:r w:rsidR="00D07544" w:rsidRPr="00C23413">
        <w:t>.</w:t>
      </w:r>
      <w:r w:rsidR="00D07544">
        <w:t xml:space="preserve"> </w:t>
      </w:r>
      <w:r w:rsidR="00D07544" w:rsidRPr="00C23413">
        <w:t xml:space="preserve">Après avoir </w:t>
      </w:r>
      <w:r w:rsidR="00D07544">
        <w:t>été rejeté par les bâtisseurs</w:t>
      </w:r>
      <w:r w:rsidR="00D07544" w:rsidRPr="00C23413">
        <w:t xml:space="preserve"> de l'ancien temple, Jésus deviendra</w:t>
      </w:r>
      <w:r w:rsidR="00D07544">
        <w:t xml:space="preserve">, </w:t>
      </w:r>
      <w:r w:rsidR="00D07544" w:rsidRPr="00C23413">
        <w:t>par sa résurrection</w:t>
      </w:r>
      <w:r w:rsidR="00D07544">
        <w:t>,</w:t>
      </w:r>
      <w:r w:rsidR="00D07544" w:rsidRPr="00C23413">
        <w:t xml:space="preserve"> la pierre d'angle d'un nouveau sanctuaire (</w:t>
      </w:r>
      <w:r w:rsidR="00A904D3">
        <w:t xml:space="preserve">Mc </w:t>
      </w:r>
      <w:r w:rsidR="00D07544" w:rsidRPr="00C23413">
        <w:t>12,10-11), maison de prière pour toutes les nations (</w:t>
      </w:r>
      <w:r w:rsidR="00A904D3">
        <w:t xml:space="preserve">Mc </w:t>
      </w:r>
      <w:r w:rsidR="00D07544" w:rsidRPr="00C23413">
        <w:t>11,17) pouvant rassembler ceux qui ont été dispersés (</w:t>
      </w:r>
      <w:r w:rsidR="00A904D3">
        <w:t xml:space="preserve">Mc </w:t>
      </w:r>
      <w:r w:rsidR="00D07544" w:rsidRPr="00C23413">
        <w:t>14,27).</w:t>
      </w:r>
    </w:p>
    <w:p w:rsidR="00D07544" w:rsidRPr="00C23413" w:rsidRDefault="00D07544" w:rsidP="00D07544">
      <w:pPr>
        <w:spacing w:line="320" w:lineRule="exact"/>
        <w:ind w:firstLine="708"/>
      </w:pPr>
      <w:r w:rsidRPr="001E3BF1">
        <w:t xml:space="preserve">Les propos tenus par les passants qui hochent la tête et se moquent </w:t>
      </w:r>
      <w:r w:rsidR="004D293D">
        <w:t>du crucifié</w:t>
      </w:r>
      <w:r w:rsidRPr="001E3BF1">
        <w:t xml:space="preserve"> en 15,29 reprennent en résumé l'accusation de </w:t>
      </w:r>
      <w:r w:rsidR="00A904D3">
        <w:t xml:space="preserve">Mc </w:t>
      </w:r>
      <w:r w:rsidRPr="001E3BF1">
        <w:t xml:space="preserve">14,58. Au plan narratif, cette reprise permet d'insister sur le thème de la destruction du sanctuaire et d'une reconstruction en trois jours. L'ironie réside en ce que les moqueurs ne se doutent pas que la mort de Jésus en croix va </w:t>
      </w:r>
      <w:r w:rsidRPr="001E3BF1">
        <w:lastRenderedPageBreak/>
        <w:t>réaliser l'abolition de l'ancien ordre religieux symbolisé par le sanctuaire en même temps que le rejet de celui qui deviendra la pierre d'angle</w:t>
      </w:r>
      <w:r w:rsidRPr="001E3BF1">
        <w:rPr>
          <w:rStyle w:val="Appelnotedebasdep"/>
        </w:rPr>
        <w:footnoteReference w:id="36"/>
      </w:r>
      <w:r w:rsidRPr="001E3BF1">
        <w:t xml:space="preserve">. L'usage du participe présent </w:t>
      </w:r>
      <w:proofErr w:type="spellStart"/>
      <w:r w:rsidRPr="009D54F7">
        <w:rPr>
          <w:rFonts w:ascii="SuperGreek" w:hAnsi="SuperGreek"/>
        </w:rPr>
        <w:t>oi</w:t>
      </w:r>
      <w:r w:rsidR="009D54F7" w:rsidRPr="009D54F7">
        <w:rPr>
          <w:rFonts w:ascii="SuperGreek" w:hAnsi="SuperGreek"/>
        </w:rPr>
        <w:t>jkodomw'</w:t>
      </w:r>
      <w:r w:rsidRPr="009D54F7">
        <w:rPr>
          <w:rFonts w:ascii="SuperGreek" w:hAnsi="SuperGreek"/>
        </w:rPr>
        <w:t>n</w:t>
      </w:r>
      <w:proofErr w:type="spellEnd"/>
      <w:r>
        <w:t xml:space="preserve"> (« qui bâtis »)</w:t>
      </w:r>
      <w:r w:rsidRPr="001E3BF1">
        <w:t xml:space="preserve"> et le remplacement de </w:t>
      </w:r>
      <w:r w:rsidRPr="009D54F7">
        <w:rPr>
          <w:rFonts w:ascii="SuperGreek" w:hAnsi="SuperGreek"/>
        </w:rPr>
        <w:t>dia</w:t>
      </w:r>
      <w:r w:rsidR="009D54F7" w:rsidRPr="009D54F7">
        <w:rPr>
          <w:rFonts w:ascii="SuperGreek" w:hAnsi="SuperGreek"/>
        </w:rPr>
        <w:t xml:space="preserve">; </w:t>
      </w:r>
      <w:proofErr w:type="spellStart"/>
      <w:r w:rsidR="009D54F7" w:rsidRPr="009D54F7">
        <w:rPr>
          <w:rFonts w:ascii="SuperGreek" w:hAnsi="SuperGreek"/>
        </w:rPr>
        <w:t>triw'n</w:t>
      </w:r>
      <w:proofErr w:type="spellEnd"/>
      <w:r w:rsidR="009D54F7" w:rsidRPr="009D54F7">
        <w:rPr>
          <w:rFonts w:ascii="SuperGreek" w:hAnsi="SuperGreek"/>
        </w:rPr>
        <w:t xml:space="preserve"> </w:t>
      </w:r>
      <w:proofErr w:type="spellStart"/>
      <w:r w:rsidR="009D54F7" w:rsidRPr="009D54F7">
        <w:rPr>
          <w:rFonts w:ascii="SuperGreek" w:hAnsi="SuperGreek"/>
        </w:rPr>
        <w:t>hJmerw'</w:t>
      </w:r>
      <w:r w:rsidRPr="009D54F7">
        <w:rPr>
          <w:rFonts w:ascii="SuperGreek" w:hAnsi="SuperGreek"/>
        </w:rPr>
        <w:t>n</w:t>
      </w:r>
      <w:proofErr w:type="spellEnd"/>
      <w:r w:rsidRPr="001E3BF1">
        <w:t xml:space="preserve"> par </w:t>
      </w:r>
      <w:proofErr w:type="spellStart"/>
      <w:r w:rsidRPr="009D54F7">
        <w:rPr>
          <w:rFonts w:ascii="SuperGreek" w:hAnsi="SuperGreek"/>
        </w:rPr>
        <w:t>e</w:t>
      </w:r>
      <w:r w:rsidR="009D54F7" w:rsidRPr="009D54F7">
        <w:rPr>
          <w:rFonts w:ascii="SuperGreek" w:hAnsi="SuperGreek"/>
        </w:rPr>
        <w:t>j</w:t>
      </w:r>
      <w:r w:rsidRPr="009D54F7">
        <w:rPr>
          <w:rFonts w:ascii="SuperGreek" w:hAnsi="SuperGreek"/>
        </w:rPr>
        <w:t>n</w:t>
      </w:r>
      <w:proofErr w:type="spellEnd"/>
      <w:r w:rsidRPr="009D54F7">
        <w:rPr>
          <w:rFonts w:ascii="SuperGreek" w:hAnsi="SuperGreek"/>
        </w:rPr>
        <w:t xml:space="preserve"> </w:t>
      </w:r>
      <w:proofErr w:type="spellStart"/>
      <w:r w:rsidRPr="009D54F7">
        <w:rPr>
          <w:rFonts w:ascii="SuperGreek" w:hAnsi="SuperGreek"/>
        </w:rPr>
        <w:t>trisi</w:t>
      </w:r>
      <w:r w:rsidR="009D54F7" w:rsidRPr="009D54F7">
        <w:rPr>
          <w:rFonts w:ascii="SuperGreek" w:hAnsi="SuperGreek"/>
        </w:rPr>
        <w:t>;n</w:t>
      </w:r>
      <w:proofErr w:type="spellEnd"/>
      <w:r w:rsidR="009D54F7" w:rsidRPr="009D54F7">
        <w:rPr>
          <w:rFonts w:ascii="SuperGreek" w:hAnsi="SuperGreek"/>
        </w:rPr>
        <w:t xml:space="preserve"> </w:t>
      </w:r>
      <w:proofErr w:type="spellStart"/>
      <w:r w:rsidR="009D54F7" w:rsidRPr="009D54F7">
        <w:rPr>
          <w:rFonts w:ascii="SuperGreek" w:hAnsi="SuperGreek"/>
        </w:rPr>
        <w:t>hJ</w:t>
      </w:r>
      <w:r w:rsidRPr="009D54F7">
        <w:rPr>
          <w:rFonts w:ascii="SuperGreek" w:hAnsi="SuperGreek"/>
        </w:rPr>
        <w:t>me</w:t>
      </w:r>
      <w:r w:rsidR="009D54F7" w:rsidRPr="009D54F7">
        <w:rPr>
          <w:rFonts w:ascii="SuperGreek" w:hAnsi="SuperGreek"/>
        </w:rPr>
        <w:t>vrai</w:t>
      </w:r>
      <w:proofErr w:type="spellEnd"/>
      <w:r w:rsidR="009D54F7" w:rsidRPr="009D54F7">
        <w:rPr>
          <w:rFonts w:ascii="SuperGreek" w:hAnsi="SuperGreek"/>
        </w:rPr>
        <w:t>"</w:t>
      </w:r>
      <w:r w:rsidRPr="001E3BF1">
        <w:t xml:space="preserve"> suggèrent d'ailleurs que la construction nouvelle est déjà entamée par la crucifixion.</w:t>
      </w:r>
    </w:p>
    <w:p w:rsidR="00D07544" w:rsidRDefault="00D07544" w:rsidP="00D07544">
      <w:pPr>
        <w:spacing w:line="320" w:lineRule="exact"/>
        <w:ind w:firstLine="708"/>
      </w:pPr>
    </w:p>
    <w:p w:rsidR="00D07544" w:rsidRPr="00DB376B" w:rsidRDefault="00D07544" w:rsidP="00D07544">
      <w:pPr>
        <w:spacing w:line="320" w:lineRule="exact"/>
        <w:rPr>
          <w:i/>
        </w:rPr>
      </w:pPr>
      <w:r w:rsidRPr="00DB376B">
        <w:rPr>
          <w:i/>
        </w:rPr>
        <w:t xml:space="preserve">La déchirure du voile du sanctuaire </w:t>
      </w:r>
      <w:r w:rsidR="0071310A">
        <w:rPr>
          <w:i/>
        </w:rPr>
        <w:t>(Marc 15,38)</w:t>
      </w:r>
    </w:p>
    <w:p w:rsidR="00D07544" w:rsidRDefault="00D07544" w:rsidP="00D07544">
      <w:pPr>
        <w:spacing w:line="320" w:lineRule="exact"/>
      </w:pPr>
    </w:p>
    <w:p w:rsidR="00D07544" w:rsidRDefault="00D07544" w:rsidP="00D07544">
      <w:pPr>
        <w:spacing w:line="320" w:lineRule="exact"/>
        <w:ind w:firstLine="708"/>
      </w:pPr>
      <w:r w:rsidRPr="00C23413">
        <w:t xml:space="preserve">Pour le narrateur, il serait évidemment superficiel d'imaginer que Jésus aurait </w:t>
      </w:r>
      <w:r w:rsidR="00E862DF">
        <w:t>eu l'intention de</w:t>
      </w:r>
      <w:r w:rsidRPr="00C23413">
        <w:t xml:space="preserve"> détruire matériellement le sanctuaire. Mais, au moment de la mort de Jésus, l'action de Dieu va confirmer</w:t>
      </w:r>
      <w:r w:rsidR="00E862DF">
        <w:t>, selon lui,</w:t>
      </w:r>
      <w:r w:rsidRPr="00C23413">
        <w:t xml:space="preserve"> que le sanctuaire ne fonctionne plus comme espace séparé, saint des saints, puisque le voile qui le sépare </w:t>
      </w:r>
      <w:r w:rsidR="00E862DF">
        <w:t xml:space="preserve">du reste du temple </w:t>
      </w:r>
      <w:r w:rsidRPr="00C23413">
        <w:t>est détruit (</w:t>
      </w:r>
      <w:r w:rsidR="00A904D3">
        <w:t xml:space="preserve">Mc </w:t>
      </w:r>
      <w:r w:rsidRPr="00C23413">
        <w:t>15,38).</w:t>
      </w:r>
      <w:r w:rsidRPr="000E5636">
        <w:t xml:space="preserve"> </w:t>
      </w:r>
      <w:r w:rsidRPr="00C23413">
        <w:t xml:space="preserve">Deux interprétations du déchirement du voile du sanctuaire ont été proposées. La première y voit positivement la fin de la fonction séparatrice du voile et l'accès </w:t>
      </w:r>
      <w:r>
        <w:t>ouvert pour</w:t>
      </w:r>
      <w:r w:rsidRPr="00C23413">
        <w:t xml:space="preserve"> tous, y compris les païens, à Dieu. La seconde y lit plutôt la ruine du temple et l'abrogation de</w:t>
      </w:r>
      <w:r w:rsidR="00E862DF">
        <w:t xml:space="preserve"> son culte. Au plan de la valeur narrative du signe, c</w:t>
      </w:r>
      <w:r w:rsidRPr="00C23413">
        <w:t>es deux interprétations ne s'excluent pas et il n'y a sans doute pas lieu de choisir</w:t>
      </w:r>
      <w:r w:rsidRPr="00C23413">
        <w:rPr>
          <w:rStyle w:val="Appelnotedebasdep"/>
        </w:rPr>
        <w:footnoteReference w:id="37"/>
      </w:r>
      <w:r w:rsidRPr="00C23413">
        <w:t>.</w:t>
      </w:r>
    </w:p>
    <w:p w:rsidR="00D07544" w:rsidRDefault="00D07544" w:rsidP="00D07544">
      <w:pPr>
        <w:spacing w:line="320" w:lineRule="exact"/>
      </w:pPr>
      <w:r w:rsidRPr="00C23413">
        <w:tab/>
      </w:r>
      <w:r w:rsidR="00994326">
        <w:t>Du point de vue de l'analyse narrative, l'interprétation correcte du</w:t>
      </w:r>
      <w:r w:rsidRPr="00C23413">
        <w:t xml:space="preserve"> déchirement du voile (v. 38) </w:t>
      </w:r>
      <w:r w:rsidR="00994326">
        <w:t>provient de</w:t>
      </w:r>
      <w:r w:rsidRPr="00C23413">
        <w:t xml:space="preserve"> son contexte</w:t>
      </w:r>
      <w:r w:rsidR="00994326">
        <w:t xml:space="preserve"> littéraire</w:t>
      </w:r>
      <w:r>
        <w:t>.</w:t>
      </w:r>
      <w:r w:rsidRPr="00C23413">
        <w:t xml:space="preserve"> </w:t>
      </w:r>
      <w:r w:rsidR="00994326">
        <w:t>Ce déchirement</w:t>
      </w:r>
      <w:r w:rsidRPr="00C23413">
        <w:t xml:space="preserve"> coïncide avec la mort </w:t>
      </w:r>
      <w:r w:rsidR="00994326">
        <w:t>du crucifié</w:t>
      </w:r>
      <w:r w:rsidRPr="00C23413">
        <w:t xml:space="preserve"> qui rend l'esprit (</w:t>
      </w:r>
      <w:proofErr w:type="spellStart"/>
      <w:r w:rsidRPr="00994326">
        <w:rPr>
          <w:rFonts w:ascii="SuperGreek" w:hAnsi="SuperGreek"/>
        </w:rPr>
        <w:t>e</w:t>
      </w:r>
      <w:r w:rsidR="00994326" w:rsidRPr="00994326">
        <w:rPr>
          <w:rFonts w:ascii="SuperGreek" w:hAnsi="SuperGreek"/>
        </w:rPr>
        <w:t>j</w:t>
      </w:r>
      <w:r w:rsidRPr="00994326">
        <w:rPr>
          <w:rFonts w:ascii="SuperGreek" w:hAnsi="SuperGreek"/>
        </w:rPr>
        <w:t>xe</w:t>
      </w:r>
      <w:r w:rsidR="00994326" w:rsidRPr="00994326">
        <w:rPr>
          <w:rFonts w:ascii="SuperGreek" w:hAnsi="SuperGreek"/>
        </w:rPr>
        <w:t>v</w:t>
      </w:r>
      <w:r w:rsidRPr="00994326">
        <w:rPr>
          <w:rFonts w:ascii="SuperGreek" w:hAnsi="SuperGreek"/>
        </w:rPr>
        <w:t>pneusen</w:t>
      </w:r>
      <w:proofErr w:type="spellEnd"/>
      <w:r w:rsidRPr="00C23413">
        <w:t xml:space="preserve">, </w:t>
      </w:r>
      <w:r w:rsidR="00A904D3">
        <w:t xml:space="preserve">Mc </w:t>
      </w:r>
      <w:r w:rsidRPr="00C23413">
        <w:t>15,37). Et il est immédiatement suivi par la confession du centurion qui est en face de Jésus et reconnaît en lui le fils de Dieu (</w:t>
      </w:r>
      <w:r w:rsidR="00A904D3">
        <w:t xml:space="preserve">Mc </w:t>
      </w:r>
      <w:r w:rsidRPr="00C23413">
        <w:t>15,39). On ne peut mieux suggérer que la mort de Jésus révèle sa véritable (</w:t>
      </w:r>
      <w:proofErr w:type="spellStart"/>
      <w:r w:rsidRPr="00994326">
        <w:rPr>
          <w:rFonts w:ascii="SuperGreek" w:hAnsi="SuperGreek"/>
        </w:rPr>
        <w:t>a</w:t>
      </w:r>
      <w:r w:rsidR="00DE772F">
        <w:rPr>
          <w:rFonts w:ascii="SuperGreek" w:hAnsi="SuperGreek"/>
        </w:rPr>
        <w:t>jlhq</w:t>
      </w:r>
      <w:bookmarkStart w:id="0" w:name="_GoBack"/>
      <w:bookmarkEnd w:id="0"/>
      <w:r w:rsidR="00994326" w:rsidRPr="00994326">
        <w:rPr>
          <w:rFonts w:ascii="SuperGreek" w:hAnsi="SuperGreek"/>
        </w:rPr>
        <w:t>w</w:t>
      </w:r>
      <w:proofErr w:type="spellEnd"/>
      <w:r w:rsidR="00994326" w:rsidRPr="00994326">
        <w:rPr>
          <w:rFonts w:ascii="SuperGreek" w:hAnsi="SuperGreek"/>
        </w:rPr>
        <w:t>'"</w:t>
      </w:r>
      <w:r>
        <w:t>,</w:t>
      </w:r>
      <w:r w:rsidRPr="00C23413">
        <w:t xml:space="preserve"> </w:t>
      </w:r>
      <w:r w:rsidR="00AF46CF">
        <w:t xml:space="preserve">Mc </w:t>
      </w:r>
      <w:r w:rsidRPr="00C23413">
        <w:t>15,39) identité et qu'elle est accessible à un païen. Le rôle du déchirement du voile doit s'éclairer à partir de son insertion entre la mention de l'expiration de</w:t>
      </w:r>
      <w:r>
        <w:t xml:space="preserve"> Jésus et la confession </w:t>
      </w:r>
      <w:r w:rsidRPr="00C23413">
        <w:t xml:space="preserve">du centurion. En </w:t>
      </w:r>
      <w:r>
        <w:t>plaçant</w:t>
      </w:r>
      <w:r w:rsidRPr="00C23413">
        <w:t xml:space="preserve"> le déchirement du voile immédiatement après l'expiration de Jésus, </w:t>
      </w:r>
      <w:r>
        <w:t xml:space="preserve">« </w:t>
      </w:r>
      <w:r w:rsidRPr="00C23413">
        <w:t>Marc ne veut pas simplement rapporter une conséquence réelle de la mort de Jésus, mais aussi tout particulièrement exprimer métaphoriquement la puissance auto-révélatrice de cette mort</w:t>
      </w:r>
      <w:r>
        <w:t> »</w:t>
      </w:r>
      <w:r w:rsidRPr="00C23413">
        <w:rPr>
          <w:rStyle w:val="Appelnotedebasdep"/>
        </w:rPr>
        <w:footnoteReference w:id="38"/>
      </w:r>
      <w:r>
        <w:t>.</w:t>
      </w:r>
      <w:r w:rsidRPr="00185F98">
        <w:t xml:space="preserve"> </w:t>
      </w:r>
      <w:r w:rsidRPr="00C23413">
        <w:t>La présence de Dieu n'est plus derrière le voile du saint de</w:t>
      </w:r>
      <w:r>
        <w:t xml:space="preserve">s saints ; celui-ci </w:t>
      </w:r>
      <w:r w:rsidRPr="00C23413">
        <w:t>peut donc être déchiré, ce qui prélude à la destruction annoncée du temple</w:t>
      </w:r>
      <w:r w:rsidRPr="00C23413">
        <w:rPr>
          <w:rStyle w:val="Appelnotedebasdep"/>
        </w:rPr>
        <w:footnoteReference w:id="39"/>
      </w:r>
      <w:r>
        <w:t xml:space="preserve">. Elle se trouve dans le </w:t>
      </w:r>
      <w:r w:rsidR="00994326">
        <w:t>c</w:t>
      </w:r>
      <w:r w:rsidRPr="00C23413">
        <w:t xml:space="preserve">rucifié, pierre rejetée qui devient la pierre d'angle d'une maison de prière pour toutes les nations. Celles-ci, à qui l'Évangile doit être </w:t>
      </w:r>
      <w:r w:rsidR="00603FE1">
        <w:t>annoncé</w:t>
      </w:r>
      <w:r w:rsidRPr="00C23413">
        <w:t xml:space="preserve"> (</w:t>
      </w:r>
      <w:r w:rsidR="00AF46CF">
        <w:t xml:space="preserve">Mc </w:t>
      </w:r>
      <w:r w:rsidRPr="00C23413">
        <w:t xml:space="preserve">13,10 ; 14,9), sont représentées symboliquement par le centurion. Ce dernier est, en Marc, le seul </w:t>
      </w:r>
      <w:r w:rsidR="00603FE1">
        <w:t>personnage humain</w:t>
      </w:r>
      <w:r w:rsidRPr="00C23413">
        <w:t xml:space="preserve"> qui professe la filiation divine de Jésus.</w:t>
      </w:r>
      <w:r w:rsidRPr="00185F98">
        <w:t xml:space="preserve"> </w:t>
      </w:r>
      <w:r w:rsidRPr="00C23413">
        <w:t xml:space="preserve">Le </w:t>
      </w:r>
      <w:r>
        <w:t xml:space="preserve">« </w:t>
      </w:r>
      <w:r w:rsidRPr="00C23413">
        <w:t>sanctuaire non fait de</w:t>
      </w:r>
      <w:r>
        <w:t xml:space="preserve"> main d'homme »</w:t>
      </w:r>
      <w:r w:rsidRPr="00C23413">
        <w:t xml:space="preserve"> ou plutôt la maison de prière pour les nations</w:t>
      </w:r>
      <w:r w:rsidRPr="00C23413">
        <w:rPr>
          <w:rStyle w:val="Appelnotedebasdep"/>
        </w:rPr>
        <w:footnoteReference w:id="40"/>
      </w:r>
      <w:r w:rsidRPr="00C23413">
        <w:t xml:space="preserve"> sera dorénavant partout où Jésus crucifié et ressuscité </w:t>
      </w:r>
      <w:r w:rsidRPr="00C23413">
        <w:lastRenderedPageBreak/>
        <w:t>précède (</w:t>
      </w:r>
      <w:r w:rsidR="00AF46CF">
        <w:t xml:space="preserve">Mc </w:t>
      </w:r>
      <w:r w:rsidRPr="00C23413">
        <w:t xml:space="preserve">14,28 ; 16,7) ses </w:t>
      </w:r>
      <w:r w:rsidR="00603FE1">
        <w:t>compagnons-</w:t>
      </w:r>
      <w:r w:rsidRPr="00C23413">
        <w:t>disciples</w:t>
      </w:r>
      <w:r w:rsidRPr="00C23413">
        <w:rPr>
          <w:rStyle w:val="Appelnotedebasdep"/>
        </w:rPr>
        <w:footnoteReference w:id="41"/>
      </w:r>
      <w:r w:rsidRPr="00C23413">
        <w:t xml:space="preserve">. Sur base d'un parallèle souvent fait avec la scène du baptême de Jésus (Mc 1,10-11), Reinhard </w:t>
      </w:r>
      <w:proofErr w:type="spellStart"/>
      <w:r w:rsidRPr="00C23413">
        <w:t>Feldmeier</w:t>
      </w:r>
      <w:proofErr w:type="spellEnd"/>
      <w:r w:rsidRPr="00C23413">
        <w:t xml:space="preserve"> propose à juste titre d'interpréter le déchirement du voile du temple dans son cadre littéraire actuel comme </w:t>
      </w:r>
      <w:r>
        <w:t>« </w:t>
      </w:r>
      <w:r w:rsidRPr="00C23413">
        <w:t xml:space="preserve">une action de Dieu </w:t>
      </w:r>
      <w:r>
        <w:t>qui confirme la prédication du F</w:t>
      </w:r>
      <w:r w:rsidRPr="00C23413">
        <w:t>ils de</w:t>
      </w:r>
      <w:r>
        <w:t xml:space="preserve"> Dieu »</w:t>
      </w:r>
      <w:r w:rsidRPr="00C23413">
        <w:t xml:space="preserve"> ; </w:t>
      </w:r>
      <w:r>
        <w:t>il</w:t>
      </w:r>
      <w:r w:rsidRPr="00C23413">
        <w:t xml:space="preserve"> confirme aussi le crucifié comme </w:t>
      </w:r>
      <w:r>
        <w:t xml:space="preserve">« </w:t>
      </w:r>
      <w:r w:rsidRPr="00C23413">
        <w:t>lieu de la rencontre avec Dieu</w:t>
      </w:r>
      <w:r>
        <w:t> »</w:t>
      </w:r>
      <w:r w:rsidRPr="00C23413">
        <w:rPr>
          <w:rStyle w:val="Appelnotedebasdep"/>
        </w:rPr>
        <w:footnoteReference w:id="42"/>
      </w:r>
      <w:r>
        <w:t>.</w:t>
      </w:r>
    </w:p>
    <w:p w:rsidR="00D07544" w:rsidRDefault="00D07544" w:rsidP="00D07544">
      <w:pPr>
        <w:spacing w:line="320" w:lineRule="exact"/>
      </w:pPr>
    </w:p>
    <w:p w:rsidR="00D07544" w:rsidRPr="00DB376B" w:rsidRDefault="00D07544" w:rsidP="00D07544">
      <w:pPr>
        <w:spacing w:line="320" w:lineRule="exact"/>
        <w:rPr>
          <w:i/>
        </w:rPr>
      </w:pPr>
      <w:r w:rsidRPr="00DB376B">
        <w:rPr>
          <w:i/>
        </w:rPr>
        <w:t>La place du temple dans le code architectural en Marc</w:t>
      </w:r>
      <w:r>
        <w:rPr>
          <w:i/>
        </w:rPr>
        <w:t> : temple, maison du lépreux, tombeau</w:t>
      </w:r>
    </w:p>
    <w:p w:rsidR="00D07544" w:rsidRPr="00C23413" w:rsidRDefault="00D07544" w:rsidP="00D07544">
      <w:pPr>
        <w:spacing w:line="320" w:lineRule="exact"/>
      </w:pPr>
    </w:p>
    <w:p w:rsidR="00D07544" w:rsidRDefault="00D07544" w:rsidP="00D07544">
      <w:pPr>
        <w:spacing w:line="320" w:lineRule="exact"/>
        <w:ind w:firstLine="709"/>
      </w:pPr>
      <w:r>
        <w:t xml:space="preserve">Alors que le temple est </w:t>
      </w:r>
      <w:r w:rsidR="00227A9A">
        <w:t xml:space="preserve">le lieu </w:t>
      </w:r>
      <w:r>
        <w:t xml:space="preserve">par excellence de la rencontre avec Dieu dans la culture juive de l’époque, Marc opère une sorte de subversion du code architectural.  Sous l'apparente permanence que lui assure sa dénomination, un lieu peut </w:t>
      </w:r>
      <w:r w:rsidR="00227A9A">
        <w:t xml:space="preserve">en effet </w:t>
      </w:r>
      <w:r>
        <w:t>être investi de valeurs inhabituelles en fonction des parcours inhabituels, eux aussi, de certains personnages</w:t>
      </w:r>
      <w:r w:rsidR="00227A9A">
        <w:t xml:space="preserve"> (par exemple, un parlement envahi par des révolutionnaires ou un tombeau qui devient un lieu d'habitation)</w:t>
      </w:r>
      <w:r>
        <w:t>. En M</w:t>
      </w:r>
      <w:r w:rsidRPr="00C23413">
        <w:t xml:space="preserve">c, </w:t>
      </w:r>
      <w:r>
        <w:t xml:space="preserve">on voit </w:t>
      </w:r>
      <w:r w:rsidRPr="00C23413">
        <w:t xml:space="preserve">la communauté nouvelle </w:t>
      </w:r>
      <w:r>
        <w:t>des disciples</w:t>
      </w:r>
      <w:r w:rsidRPr="00C23413">
        <w:t xml:space="preserve"> davantage orientée vers la maison que vers la synagogue. Tout se passe comme si le monde sacré de la synagogue ne pouvait inclure l'enseignement nouveau que Jésus dispense avec autorité</w:t>
      </w:r>
      <w:r w:rsidRPr="00C23413">
        <w:rPr>
          <w:rStyle w:val="Appelnotedebasdep"/>
        </w:rPr>
        <w:footnoteReference w:id="43"/>
      </w:r>
      <w:r w:rsidRPr="00C23413">
        <w:t xml:space="preserve">. Le lieu où </w:t>
      </w:r>
      <w:r w:rsidR="00227A9A">
        <w:t>celui-ci</w:t>
      </w:r>
      <w:r w:rsidRPr="00C23413">
        <w:t xml:space="preserve"> enseigne et guérit, c'est plutôt la maison</w:t>
      </w:r>
      <w:r>
        <w:t>.</w:t>
      </w:r>
      <w:r w:rsidRPr="00C23413">
        <w:t xml:space="preserve"> Celle-ci est également en antithèse avec le temple dans les derniers chapitres de Marc. Il est, en effet, symptomati</w:t>
      </w:r>
      <w:r>
        <w:t>que que l'onction de Jésus, le M</w:t>
      </w:r>
      <w:r w:rsidRPr="00C23413">
        <w:t>essie</w:t>
      </w:r>
      <w:r w:rsidR="00227A9A">
        <w:t xml:space="preserve"> – c'est-à-dire, étymologiquement, celui qui est oint par Dieu –</w:t>
      </w:r>
      <w:r w:rsidRPr="00C23413">
        <w:t>, ait lieu dans la maison de Simon le lépreux à Béthanie (</w:t>
      </w:r>
      <w:r w:rsidR="00AF46CF">
        <w:t xml:space="preserve">Mc </w:t>
      </w:r>
      <w:r w:rsidRPr="00C23413">
        <w:t>14,3-9) et non dans le temple. Durant toute la période de son enseignement dans le temple, Jésus ne séjourne pas à Jérusalem, mais bien à Béthanie (</w:t>
      </w:r>
      <w:r w:rsidR="00AF46CF">
        <w:t xml:space="preserve">Mc </w:t>
      </w:r>
      <w:r w:rsidRPr="00C23413">
        <w:t>11,1.11.19). Dans le domaine de l'opposition sacré-profane, l'antithèse entre le temple</w:t>
      </w:r>
      <w:r w:rsidR="00227A9A">
        <w:t>, cœur de la ville sainte de Jérusalem,</w:t>
      </w:r>
      <w:r w:rsidRPr="00C23413">
        <w:t xml:space="preserve"> et la maison d'un lépreux</w:t>
      </w:r>
      <w:r w:rsidR="00227A9A">
        <w:t xml:space="preserve"> dans le bourg de Béthanie</w:t>
      </w:r>
      <w:r w:rsidRPr="00C23413">
        <w:t xml:space="preserve"> est très forte</w:t>
      </w:r>
      <w:r w:rsidRPr="00C23413">
        <w:rPr>
          <w:rStyle w:val="Appelnotedebasdep"/>
        </w:rPr>
        <w:footnoteReference w:id="44"/>
      </w:r>
      <w:r w:rsidRPr="00C23413">
        <w:t>. Dans cette maison, une femme anony</w:t>
      </w:r>
      <w:r w:rsidR="00227A9A">
        <w:t xml:space="preserve">me accomplit une bonne œuvre, une </w:t>
      </w:r>
      <w:r w:rsidRPr="00C23413">
        <w:t>onction qui anticipe la mort de Jésus. L'onguent coûteux qu'elle utilise dit la valeur précieuse de ce corps qui va mourir. Dans le contexte, ce sera en effet la mort du fils bien-aimé envoyé par le maître de la vigne (</w:t>
      </w:r>
      <w:r w:rsidR="00AF46CF">
        <w:t xml:space="preserve">Mc </w:t>
      </w:r>
      <w:r w:rsidRPr="00C23413">
        <w:t>12,6) et cette pierre rejetée deviendra la pierre d'angle (</w:t>
      </w:r>
      <w:r w:rsidR="00AF46CF">
        <w:t xml:space="preserve">Mc </w:t>
      </w:r>
      <w:r w:rsidRPr="00C23413">
        <w:t>12,10) d'une nouvelle maison de prière pour les nations (</w:t>
      </w:r>
      <w:r w:rsidR="00AF46CF">
        <w:t xml:space="preserve">Mc </w:t>
      </w:r>
      <w:r w:rsidRPr="00C23413">
        <w:t xml:space="preserve">11,17). L'importance du geste </w:t>
      </w:r>
      <w:r w:rsidRPr="00C23413">
        <w:lastRenderedPageBreak/>
        <w:t xml:space="preserve">symbolique pratiqué dans cette maison est soulignée par l'annonce qu'il sera raconté </w:t>
      </w:r>
      <w:r>
        <w:t>« </w:t>
      </w:r>
      <w:r w:rsidRPr="00C23413">
        <w:t>partout où sera proclamé l'Évangile dans le monde</w:t>
      </w:r>
      <w:r>
        <w:t xml:space="preserve"> entier »</w:t>
      </w:r>
      <w:r w:rsidRPr="00C23413">
        <w:t xml:space="preserve"> (</w:t>
      </w:r>
      <w:r w:rsidR="00AF46CF">
        <w:t xml:space="preserve">Mc </w:t>
      </w:r>
      <w:r w:rsidRPr="00C23413">
        <w:t>14,9).</w:t>
      </w:r>
    </w:p>
    <w:p w:rsidR="00D07544" w:rsidRDefault="00D07544" w:rsidP="00D07544">
      <w:pPr>
        <w:spacing w:line="320" w:lineRule="exact"/>
      </w:pPr>
      <w:r w:rsidRPr="00C23413">
        <w:tab/>
      </w:r>
      <w:r w:rsidR="00650DEC">
        <w:t>Un autre point intéressant à examiner est la façon dont</w:t>
      </w:r>
      <w:r w:rsidRPr="00C23413">
        <w:t xml:space="preserve"> fonctionne la relation entre le temple et le tombeau. Le fait qu'il ne soit pas arbitraire de parler de relation entre les deux est corroboré par les débats incessants entre Jésus et les autorités </w:t>
      </w:r>
      <w:r w:rsidR="006F0B6E">
        <w:t xml:space="preserve">religieuses </w:t>
      </w:r>
      <w:r w:rsidRPr="00C23413">
        <w:t>juives. Celles-ci n'ont cessé de comploter sa mort (</w:t>
      </w:r>
      <w:r w:rsidR="00AF46CF">
        <w:t xml:space="preserve">Mc </w:t>
      </w:r>
      <w:r w:rsidRPr="00C23413">
        <w:t>11,18 ; 12,12 ; 14,1-2), d'agir pour le faire condamner (</w:t>
      </w:r>
      <w:r w:rsidR="00AF46CF">
        <w:t xml:space="preserve">Mc </w:t>
      </w:r>
      <w:r w:rsidRPr="00C23413">
        <w:t>14,53-65 ; 15,3.10-11)</w:t>
      </w:r>
      <w:r>
        <w:t>,</w:t>
      </w:r>
      <w:r w:rsidRPr="00C23413">
        <w:t xml:space="preserve"> dans l'espoir que sa mise au tombeau mette un point final au défi qu'il avait lancé aux instituti</w:t>
      </w:r>
      <w:r>
        <w:t xml:space="preserve">ons sacrées. Et lui n'a pas hésité à </w:t>
      </w:r>
      <w:r w:rsidRPr="00C23413">
        <w:t xml:space="preserve">annoncer la fin de l'ordre sacral du temple. Il ne s'agit pas dans son chef de vouloir substituer un ordre sacral à un autre, mais plutôt de rompre avec l'opposition entre le profane et le sacré. Dans l'évangile de Marc, cette distinction est minée à la base par </w:t>
      </w:r>
      <w:r w:rsidR="00F41774">
        <w:t>le personnage principal du récit</w:t>
      </w:r>
      <w:r w:rsidRPr="00C23413">
        <w:t>.</w:t>
      </w:r>
    </w:p>
    <w:p w:rsidR="00F41774" w:rsidRDefault="00D07544" w:rsidP="00F41774">
      <w:pPr>
        <w:spacing w:line="320" w:lineRule="exact"/>
      </w:pPr>
      <w:r w:rsidRPr="00C23413">
        <w:tab/>
        <w:t>Normalement, dans le code architectural</w:t>
      </w:r>
      <w:r>
        <w:t xml:space="preserve"> de l’époque en Palestine</w:t>
      </w:r>
      <w:r w:rsidRPr="00C23413">
        <w:t xml:space="preserve">, le tombeau est un espace personnel et/ou familial et un lieu tabou. Aussi est-il l'objet d'une crainte révérencielle. Du fait que Jésus n'est pas resté prisonnier du tombeau, contrairement aux espoirs des autorités, sa mort remet en question les distinctions traditionnelles. Alors </w:t>
      </w:r>
      <w:r>
        <w:t xml:space="preserve">même </w:t>
      </w:r>
      <w:r w:rsidRPr="00C23413">
        <w:t>que les pierres du temple</w:t>
      </w:r>
      <w:r>
        <w:t xml:space="preserve"> censé abriter la présence de Dieu</w:t>
      </w:r>
      <w:r w:rsidRPr="00C23413">
        <w:t xml:space="preserve"> sont vouées à la destruction future et que la pierre du tombeau est roulée en signe de victoire sur la mort, Jésus est</w:t>
      </w:r>
      <w:r>
        <w:t>, lui,</w:t>
      </w:r>
      <w:r w:rsidRPr="00C23413">
        <w:t xml:space="preserve"> la pierre rejetée</w:t>
      </w:r>
      <w:r>
        <w:t>, mais</w:t>
      </w:r>
      <w:r w:rsidRPr="00C23413">
        <w:t xml:space="preserve"> devenue pierre d'angle au lieu d'avoir sombré dans la destruction. Il ne peut être </w:t>
      </w:r>
      <w:r>
        <w:t>maintenu</w:t>
      </w:r>
      <w:r w:rsidRPr="00C23413">
        <w:t xml:space="preserve"> à l'intérieur d'aucun espa</w:t>
      </w:r>
      <w:r>
        <w:t>ce, qu'il soit sacré ou profane ;</w:t>
      </w:r>
      <w:r w:rsidRPr="00C23413">
        <w:t xml:space="preserve"> il précède dorénavant ses disciples (</w:t>
      </w:r>
      <w:r w:rsidR="00AF46CF">
        <w:t xml:space="preserve">Mc </w:t>
      </w:r>
      <w:r w:rsidRPr="00C23413">
        <w:t>16,7), en vue de la proclamation de l'évangile à toutes les nations (</w:t>
      </w:r>
      <w:r w:rsidR="00AF46CF">
        <w:t xml:space="preserve">Mc </w:t>
      </w:r>
      <w:r w:rsidRPr="00C23413">
        <w:t xml:space="preserve">13,10). La subversion des valeurs liées aux lieux dans l'évangile de Marc va jusqu'à </w:t>
      </w:r>
      <w:r w:rsidR="00F41774">
        <w:t>la suggestion d'</w:t>
      </w:r>
      <w:r w:rsidRPr="00C23413">
        <w:t>une certaine connivence finale entre le temple et le tombeau : le premier est vide de la présence divine puisque le voile du sanctuaire est déchiré de haut en bas (</w:t>
      </w:r>
      <w:r w:rsidR="00AF46CF">
        <w:t xml:space="preserve">Mc </w:t>
      </w:r>
      <w:r w:rsidRPr="00C23413">
        <w:t xml:space="preserve">15,38) et le second est vide de la présence du Fils de Dieu qui </w:t>
      </w:r>
      <w:r>
        <w:t>« n'est pas ici »</w:t>
      </w:r>
      <w:r w:rsidRPr="00C23413">
        <w:t xml:space="preserve"> (</w:t>
      </w:r>
      <w:r w:rsidR="00AF46CF">
        <w:t xml:space="preserve">Mc </w:t>
      </w:r>
      <w:r w:rsidRPr="00C23413">
        <w:t>16,6).</w:t>
      </w:r>
    </w:p>
    <w:p w:rsidR="00D07544" w:rsidRDefault="00D07544" w:rsidP="00D07544">
      <w:pPr>
        <w:spacing w:line="320" w:lineRule="exact"/>
      </w:pPr>
    </w:p>
    <w:p w:rsidR="00D07544" w:rsidRPr="00843F93" w:rsidRDefault="00D07544" w:rsidP="00D07544">
      <w:pPr>
        <w:spacing w:line="320" w:lineRule="exact"/>
        <w:jc w:val="center"/>
        <w:rPr>
          <w:smallCaps/>
        </w:rPr>
      </w:pPr>
      <w:r w:rsidRPr="00843F93">
        <w:rPr>
          <w:smallCaps/>
        </w:rPr>
        <w:t>Conclusion</w:t>
      </w:r>
    </w:p>
    <w:p w:rsidR="00D07544" w:rsidRDefault="00D07544" w:rsidP="00D07544">
      <w:pPr>
        <w:spacing w:line="320" w:lineRule="exact"/>
      </w:pPr>
    </w:p>
    <w:p w:rsidR="00D07544" w:rsidRDefault="00D07544" w:rsidP="00D07544">
      <w:pPr>
        <w:spacing w:line="320" w:lineRule="exact"/>
        <w:ind w:firstLine="567"/>
      </w:pPr>
      <w:r>
        <w:t>Mon exposé a débuté par une introduction théorique ; elle a mis en relief les relations difficiles entre histoire et fiction dans l’exégèse biblique au fil des siècles ainsi que le parallélisme constant entre les méthodes de l’analyse littéraire et celles qu’utilisent les interprètes de la Bible. J’ai ensuite situé ma démarche d’interprétation aujourd’hui dans le cadre de la narratologie. La suite de l’exposé a illustré l’applica</w:t>
      </w:r>
      <w:r w:rsidR="00194EF1">
        <w:t xml:space="preserve">tion de la critique narrative </w:t>
      </w:r>
      <w:r>
        <w:t>à la manière dont le code architectural couramment admis à l’époque</w:t>
      </w:r>
      <w:r w:rsidR="00194EF1">
        <w:t xml:space="preserve"> est subverti dans l'évangile de Marc</w:t>
      </w:r>
      <w:r>
        <w:t>. J’espère avoir</w:t>
      </w:r>
      <w:r w:rsidR="00A82821">
        <w:t xml:space="preserve"> ainsi</w:t>
      </w:r>
      <w:r>
        <w:t xml:space="preserve"> mis en valeur l’apport de l’analyse littéraire pour une compréhension en profondeur de l’intention du texte</w:t>
      </w:r>
      <w:r w:rsidR="00194EF1">
        <w:t>, ce qui est le but de la narratologie selon Umberto Eco</w:t>
      </w:r>
      <w:r w:rsidR="00194EF1">
        <w:rPr>
          <w:rStyle w:val="Appelnotedebasdep"/>
        </w:rPr>
        <w:footnoteReference w:id="45"/>
      </w:r>
      <w:r>
        <w:t>.</w:t>
      </w:r>
    </w:p>
    <w:p w:rsidR="00D07544" w:rsidRDefault="00D07544" w:rsidP="00D07544">
      <w:pPr>
        <w:spacing w:line="320" w:lineRule="exact"/>
        <w:ind w:firstLine="567"/>
      </w:pPr>
      <w:r>
        <w:t>Pour en avoir pratiqué plusieurs, je reconnais volontiers que toute méthode</w:t>
      </w:r>
      <w:r w:rsidR="00194EF1">
        <w:t xml:space="preserve"> d'analyse de textes</w:t>
      </w:r>
      <w:r>
        <w:t xml:space="preserve"> est limitée. Le savoir et risquer sa créativité de lecteur dans l’acte d’interprétation, c’est accepter de mourir au fantasme de l’interprétation absolue, plénière, unique – fantasme qui se trouve à la base des lectures fondamentalistes. C’est un acte profondément humain, un acte d’homme qui reconnaît à la fois sa grandeur et sa limite.</w:t>
      </w:r>
    </w:p>
    <w:p w:rsidR="00D07544" w:rsidRDefault="00D07544" w:rsidP="00D07544">
      <w:pPr>
        <w:spacing w:line="320" w:lineRule="exact"/>
        <w:ind w:firstLine="567"/>
      </w:pPr>
      <w:r>
        <w:lastRenderedPageBreak/>
        <w:t>Comme toutes les œuvres du passé, le texte biblique ne parle que s’il est questionné.  Ce qu’illustre magnifiquement le poète Paul Valéry. Sur un des quatre frontons du Palais de Chaillot à Paris, on a gravé sa réflexion : « Il dépend de celui qui passe que je sois tombe ou trésor, que je parle ou que je me taise. Ceci ne tient qu’à toi. Ami, n’entre pas sans désir ».</w:t>
      </w:r>
    </w:p>
    <w:p w:rsidR="00D07544" w:rsidRDefault="00D07544" w:rsidP="00D07544">
      <w:pPr>
        <w:spacing w:line="320" w:lineRule="exact"/>
      </w:pPr>
    </w:p>
    <w:p w:rsidR="00D07544" w:rsidRDefault="00D07544" w:rsidP="00D07544">
      <w:pPr>
        <w:spacing w:line="320" w:lineRule="exact"/>
      </w:pPr>
    </w:p>
    <w:p w:rsidR="00D07544" w:rsidRDefault="00D07544" w:rsidP="00D07544">
      <w:pPr>
        <w:spacing w:line="320" w:lineRule="exact"/>
      </w:pPr>
      <w:r>
        <w:t>Camille Focant</w:t>
      </w:r>
    </w:p>
    <w:p w:rsidR="00D07544" w:rsidRDefault="00D07544" w:rsidP="00D07544">
      <w:pPr>
        <w:spacing w:line="320" w:lineRule="exact"/>
      </w:pPr>
    </w:p>
    <w:p w:rsidR="00D07544" w:rsidRDefault="00D07544" w:rsidP="00D07544">
      <w:pPr>
        <w:spacing w:line="320" w:lineRule="exact"/>
      </w:pPr>
    </w:p>
    <w:p w:rsidR="00D07544" w:rsidRDefault="00D07544" w:rsidP="00D07544">
      <w:pPr>
        <w:spacing w:line="320" w:lineRule="exact"/>
      </w:pPr>
    </w:p>
    <w:p w:rsidR="00397893" w:rsidRDefault="00397893"/>
    <w:sectPr w:rsidR="00397893" w:rsidSect="0059429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B59" w:rsidRDefault="00945B59" w:rsidP="00D07544">
      <w:r>
        <w:separator/>
      </w:r>
    </w:p>
  </w:endnote>
  <w:endnote w:type="continuationSeparator" w:id="0">
    <w:p w:rsidR="00945B59" w:rsidRDefault="00945B59" w:rsidP="00D07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uperGreek">
    <w:panose1 w:val="020005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D7" w:rsidRDefault="00D30BD7">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F" w:rsidRDefault="0019413F">
    <w:pPr>
      <w:pStyle w:val="Pieddepage"/>
      <w:jc w:val="right"/>
    </w:pPr>
    <w:r>
      <w:t xml:space="preserve">CF / Analyse littéraire et exégèse biblique / Académie </w:t>
    </w:r>
    <w:r w:rsidR="00D30BD7">
      <w:t>royale de Belgique / 3</w:t>
    </w:r>
    <w:r w:rsidR="008158C5">
      <w:t>1</w:t>
    </w:r>
    <w:r w:rsidR="00D30BD7">
      <w:t xml:space="preserve"> mars 2014</w:t>
    </w:r>
    <w:r>
      <w:t xml:space="preserve"> /     </w:t>
    </w:r>
    <w:sdt>
      <w:sdtPr>
        <w:id w:val="735822398"/>
        <w:docPartObj>
          <w:docPartGallery w:val="Page Numbers (Bottom of Page)"/>
          <w:docPartUnique/>
        </w:docPartObj>
      </w:sdtPr>
      <w:sdtEndPr/>
      <w:sdtContent>
        <w:r>
          <w:fldChar w:fldCharType="begin"/>
        </w:r>
        <w:r>
          <w:instrText>PAGE   \* MERGEFORMAT</w:instrText>
        </w:r>
        <w:r>
          <w:fldChar w:fldCharType="separate"/>
        </w:r>
        <w:r w:rsidR="00DE772F" w:rsidRPr="00DE772F">
          <w:rPr>
            <w:noProof/>
            <w:lang w:val="fr-FR"/>
          </w:rPr>
          <w:t>10</w:t>
        </w:r>
        <w:r>
          <w:fldChar w:fldCharType="end"/>
        </w:r>
      </w:sdtContent>
    </w:sdt>
  </w:p>
  <w:p w:rsidR="00CD0C6D" w:rsidRDefault="00945B5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D7" w:rsidRDefault="00D30BD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B59" w:rsidRDefault="00945B59" w:rsidP="00D07544">
      <w:r>
        <w:separator/>
      </w:r>
    </w:p>
  </w:footnote>
  <w:footnote w:type="continuationSeparator" w:id="0">
    <w:p w:rsidR="00945B59" w:rsidRDefault="00945B59" w:rsidP="00D07544">
      <w:r>
        <w:continuationSeparator/>
      </w:r>
    </w:p>
  </w:footnote>
  <w:footnote w:id="1">
    <w:p w:rsidR="008627A6" w:rsidRPr="00EC5018" w:rsidRDefault="008627A6">
      <w:pPr>
        <w:pStyle w:val="Notedebasdepage"/>
        <w:rPr>
          <w:lang w:val="de-DE"/>
        </w:rPr>
      </w:pPr>
      <w:r>
        <w:rPr>
          <w:rStyle w:val="Appelnotedebasdep"/>
        </w:rPr>
        <w:footnoteRef/>
      </w:r>
      <w:r>
        <w:t xml:space="preserve"> </w:t>
      </w:r>
      <w:r w:rsidR="00B11E33">
        <w:t xml:space="preserve">Pour une </w:t>
      </w:r>
      <w:r w:rsidR="00434DCA">
        <w:t>réflexion sur</w:t>
      </w:r>
      <w:r w:rsidR="00B11E33">
        <w:t xml:space="preserve"> la multiplicité des méthodes exégétiques, </w:t>
      </w:r>
      <w:r w:rsidR="00434DCA">
        <w:t>voir récemment :</w:t>
      </w:r>
      <w:r w:rsidR="00B11E33">
        <w:t xml:space="preserve"> Lars </w:t>
      </w:r>
      <w:proofErr w:type="spellStart"/>
      <w:r w:rsidR="00B11E33" w:rsidRPr="00B11E33">
        <w:rPr>
          <w:smallCaps/>
        </w:rPr>
        <w:t>Hartman</w:t>
      </w:r>
      <w:proofErr w:type="spellEnd"/>
      <w:r w:rsidR="00B11E33">
        <w:t>, « </w:t>
      </w:r>
      <w:proofErr w:type="spellStart"/>
      <w:r w:rsidR="00B11E33">
        <w:t>Exegetes</w:t>
      </w:r>
      <w:proofErr w:type="spellEnd"/>
      <w:r w:rsidR="00B11E33">
        <w:t xml:space="preserve"> – </w:t>
      </w:r>
      <w:proofErr w:type="spellStart"/>
      <w:r w:rsidR="00B11E33">
        <w:t>Interpreters</w:t>
      </w:r>
      <w:proofErr w:type="spellEnd"/>
      <w:r w:rsidR="00B11E33">
        <w:t xml:space="preserve"> ? », dans </w:t>
      </w:r>
      <w:r w:rsidR="00B11E33" w:rsidRPr="00B11E33">
        <w:rPr>
          <w:smallCaps/>
        </w:rPr>
        <w:t>Id</w:t>
      </w:r>
      <w:r w:rsidR="00B11E33">
        <w:t xml:space="preserve">., </w:t>
      </w:r>
      <w:proofErr w:type="spellStart"/>
      <w:r w:rsidR="00B11E33" w:rsidRPr="00B11E33">
        <w:rPr>
          <w:i/>
        </w:rPr>
        <w:t>Approaching</w:t>
      </w:r>
      <w:proofErr w:type="spellEnd"/>
      <w:r w:rsidR="00B11E33" w:rsidRPr="00B11E33">
        <w:rPr>
          <w:i/>
        </w:rPr>
        <w:t xml:space="preserve"> New Testament </w:t>
      </w:r>
      <w:proofErr w:type="spellStart"/>
      <w:r w:rsidR="00B11E33" w:rsidRPr="00B11E33">
        <w:rPr>
          <w:i/>
        </w:rPr>
        <w:t>Texts</w:t>
      </w:r>
      <w:proofErr w:type="spellEnd"/>
      <w:r w:rsidR="00B11E33" w:rsidRPr="00B11E33">
        <w:rPr>
          <w:i/>
        </w:rPr>
        <w:t xml:space="preserve"> and </w:t>
      </w:r>
      <w:proofErr w:type="spellStart"/>
      <w:r w:rsidR="00B11E33" w:rsidRPr="00B11E33">
        <w:rPr>
          <w:i/>
        </w:rPr>
        <w:t>Contexts</w:t>
      </w:r>
      <w:proofErr w:type="spellEnd"/>
      <w:r w:rsidR="00B11E33" w:rsidRPr="00B11E33">
        <w:rPr>
          <w:i/>
        </w:rPr>
        <w:t xml:space="preserve">. </w:t>
      </w:r>
      <w:proofErr w:type="spellStart"/>
      <w:r w:rsidR="00B11E33" w:rsidRPr="00EC5018">
        <w:rPr>
          <w:i/>
          <w:lang w:val="de-DE"/>
        </w:rPr>
        <w:t>Collected</w:t>
      </w:r>
      <w:proofErr w:type="spellEnd"/>
      <w:r w:rsidR="00B11E33" w:rsidRPr="00EC5018">
        <w:rPr>
          <w:i/>
          <w:lang w:val="de-DE"/>
        </w:rPr>
        <w:t xml:space="preserve"> Essays II</w:t>
      </w:r>
      <w:r w:rsidR="00B11E33" w:rsidRPr="00EC5018">
        <w:rPr>
          <w:lang w:val="de-DE"/>
        </w:rPr>
        <w:t xml:space="preserve"> (Wissenschaftliche Untersuchungen zum Neuen Testament, 311), Tübingen, Mohr Siebeck, 2013, p. 13-27.</w:t>
      </w:r>
    </w:p>
  </w:footnote>
  <w:footnote w:id="2">
    <w:p w:rsidR="00D07544" w:rsidRPr="008158C5" w:rsidRDefault="00D07544" w:rsidP="00D07544">
      <w:pPr>
        <w:pStyle w:val="Notedebasdepage"/>
        <w:tabs>
          <w:tab w:val="left" w:pos="2985"/>
        </w:tabs>
      </w:pPr>
      <w:r>
        <w:rPr>
          <w:rStyle w:val="Appelnotedebasdep"/>
        </w:rPr>
        <w:footnoteRef/>
      </w:r>
      <w:r w:rsidRPr="008158C5">
        <w:t xml:space="preserve"> Origène, </w:t>
      </w:r>
      <w:r w:rsidRPr="008158C5">
        <w:rPr>
          <w:i/>
        </w:rPr>
        <w:t xml:space="preserve">De </w:t>
      </w:r>
      <w:proofErr w:type="spellStart"/>
      <w:r w:rsidRPr="008158C5">
        <w:rPr>
          <w:i/>
        </w:rPr>
        <w:t>Principiis</w:t>
      </w:r>
      <w:proofErr w:type="spellEnd"/>
      <w:r w:rsidRPr="008158C5">
        <w:t>, IV</w:t>
      </w:r>
      <w:proofErr w:type="gramStart"/>
      <w:r w:rsidRPr="008158C5">
        <w:t>,1</w:t>
      </w:r>
      <w:proofErr w:type="gramEnd"/>
      <w:r w:rsidRPr="008158C5">
        <w:t>.</w:t>
      </w:r>
      <w:r w:rsidRPr="008158C5">
        <w:tab/>
      </w:r>
    </w:p>
  </w:footnote>
  <w:footnote w:id="3">
    <w:p w:rsidR="00D07544" w:rsidRDefault="00D07544" w:rsidP="00D07544">
      <w:pPr>
        <w:pStyle w:val="Notedebasdepage"/>
      </w:pPr>
      <w:r w:rsidRPr="00CA7760">
        <w:rPr>
          <w:rStyle w:val="Appelnotedebasdep"/>
        </w:rPr>
        <w:footnoteRef/>
      </w:r>
      <w:r w:rsidRPr="00CA7760">
        <w:t xml:space="preserve"> Origène, </w:t>
      </w:r>
      <w:r w:rsidRPr="00CA7760">
        <w:rPr>
          <w:i/>
        </w:rPr>
        <w:t xml:space="preserve">De </w:t>
      </w:r>
      <w:proofErr w:type="spellStart"/>
      <w:r w:rsidRPr="00CA7760">
        <w:rPr>
          <w:i/>
        </w:rPr>
        <w:t>Principiis</w:t>
      </w:r>
      <w:proofErr w:type="spellEnd"/>
      <w:r>
        <w:t>, IV</w:t>
      </w:r>
      <w:proofErr w:type="gramStart"/>
      <w:r>
        <w:t>,2,8</w:t>
      </w:r>
      <w:proofErr w:type="gramEnd"/>
      <w:r>
        <w:t>-9</w:t>
      </w:r>
      <w:r w:rsidRPr="00CA7760">
        <w:t>.</w:t>
      </w:r>
    </w:p>
  </w:footnote>
  <w:footnote w:id="4">
    <w:p w:rsidR="00D07544" w:rsidRDefault="00D07544" w:rsidP="00D07544">
      <w:pPr>
        <w:pStyle w:val="Notedebasdepage"/>
      </w:pPr>
      <w:r>
        <w:rPr>
          <w:rStyle w:val="Appelnotedebasdep"/>
        </w:rPr>
        <w:footnoteRef/>
      </w:r>
      <w:r>
        <w:t xml:space="preserve"> Voir Héraclite le </w:t>
      </w:r>
      <w:proofErr w:type="gramStart"/>
      <w:r>
        <w:t>Stoïque ,</w:t>
      </w:r>
      <w:proofErr w:type="gramEnd"/>
      <w:r>
        <w:t xml:space="preserve"> </w:t>
      </w:r>
      <w:proofErr w:type="spellStart"/>
      <w:r w:rsidRPr="002E6B46">
        <w:rPr>
          <w:i/>
        </w:rPr>
        <w:t>Quaestiones</w:t>
      </w:r>
      <w:proofErr w:type="spellEnd"/>
      <w:r w:rsidRPr="002E6B46">
        <w:rPr>
          <w:i/>
        </w:rPr>
        <w:t xml:space="preserve"> </w:t>
      </w:r>
      <w:proofErr w:type="spellStart"/>
      <w:r w:rsidRPr="002E6B46">
        <w:rPr>
          <w:i/>
        </w:rPr>
        <w:t>Homericae</w:t>
      </w:r>
      <w:proofErr w:type="spellEnd"/>
      <w:r>
        <w:t xml:space="preserve">, 53,2 ; 76,1. André </w:t>
      </w:r>
      <w:r w:rsidRPr="00D72D61">
        <w:rPr>
          <w:smallCaps/>
        </w:rPr>
        <w:t>Paul</w:t>
      </w:r>
      <w:r>
        <w:t xml:space="preserve">, « Inspiration biblique », dans </w:t>
      </w:r>
      <w:proofErr w:type="spellStart"/>
      <w:r w:rsidRPr="00434DCA">
        <w:rPr>
          <w:i/>
        </w:rPr>
        <w:t>Encycopaedia</w:t>
      </w:r>
      <w:proofErr w:type="spellEnd"/>
      <w:r w:rsidRPr="00434DCA">
        <w:rPr>
          <w:i/>
        </w:rPr>
        <w:t xml:space="preserve"> </w:t>
      </w:r>
      <w:proofErr w:type="spellStart"/>
      <w:r w:rsidRPr="00434DCA">
        <w:rPr>
          <w:i/>
        </w:rPr>
        <w:t>Universalis</w:t>
      </w:r>
      <w:proofErr w:type="spellEnd"/>
      <w:r>
        <w:t>, t. 8, 1972, 1058-1060 (1058) rappelle à juste titre l’invocation au début de l’Odyssée : « Muse, dis-moi…, déesse née de Zeus, conte ces aventures… ». Il cite aussi Platon (</w:t>
      </w:r>
      <w:r w:rsidRPr="00704BB4">
        <w:rPr>
          <w:i/>
        </w:rPr>
        <w:t>Ion</w:t>
      </w:r>
      <w:r>
        <w:t>), pour qui les bons poètes ne le sont pas par un effet de l’art, mais « parce qu’un Dieu est en eux et qu’il les possède (</w:t>
      </w:r>
      <w:proofErr w:type="spellStart"/>
      <w:r w:rsidRPr="00D72D61">
        <w:rPr>
          <w:i/>
        </w:rPr>
        <w:t>entheoi</w:t>
      </w:r>
      <w:proofErr w:type="spellEnd"/>
      <w:r w:rsidRPr="00D72D61">
        <w:rPr>
          <w:i/>
        </w:rPr>
        <w:t xml:space="preserve"> </w:t>
      </w:r>
      <w:proofErr w:type="spellStart"/>
      <w:r w:rsidRPr="00D72D61">
        <w:rPr>
          <w:i/>
        </w:rPr>
        <w:t>ontes</w:t>
      </w:r>
      <w:proofErr w:type="spellEnd"/>
      <w:r w:rsidRPr="00D72D61">
        <w:rPr>
          <w:i/>
        </w:rPr>
        <w:t xml:space="preserve"> </w:t>
      </w:r>
      <w:proofErr w:type="spellStart"/>
      <w:r w:rsidRPr="00D72D61">
        <w:rPr>
          <w:i/>
        </w:rPr>
        <w:t>kai</w:t>
      </w:r>
      <w:proofErr w:type="spellEnd"/>
      <w:r w:rsidRPr="00D72D61">
        <w:rPr>
          <w:i/>
        </w:rPr>
        <w:t xml:space="preserve"> </w:t>
      </w:r>
      <w:proofErr w:type="spellStart"/>
      <w:r w:rsidRPr="00D72D61">
        <w:rPr>
          <w:i/>
        </w:rPr>
        <w:t>katechomenoi</w:t>
      </w:r>
      <w:proofErr w:type="spellEnd"/>
      <w:r>
        <w:t xml:space="preserve">) ». </w:t>
      </w:r>
    </w:p>
  </w:footnote>
  <w:footnote w:id="5">
    <w:p w:rsidR="00D07544" w:rsidRDefault="00D07544" w:rsidP="00D07544">
      <w:pPr>
        <w:pStyle w:val="Notedebasdepage"/>
      </w:pPr>
      <w:r>
        <w:rPr>
          <w:rStyle w:val="Appelnotedebasdep"/>
        </w:rPr>
        <w:footnoteRef/>
      </w:r>
      <w:r>
        <w:t xml:space="preserve"> Pour plus de détails sur tout ceci, on consultera avec profit la première partie de l’article de Jean-Louis </w:t>
      </w:r>
      <w:r w:rsidRPr="00C3060A">
        <w:rPr>
          <w:smallCaps/>
        </w:rPr>
        <w:t>Ska</w:t>
      </w:r>
      <w:r>
        <w:t>, « Les récits bibliques en quête de lecteurs au cours des âges » (Actes du colloque du RRENAB à Louvain-la-Neuve, 24-26 mai 2012, à paraître).</w:t>
      </w:r>
    </w:p>
  </w:footnote>
  <w:footnote w:id="6">
    <w:p w:rsidR="00D07544" w:rsidRPr="00A25D2D" w:rsidRDefault="00D07544" w:rsidP="00D07544">
      <w:pPr>
        <w:pStyle w:val="Notedebasdepage"/>
      </w:pPr>
      <w:r>
        <w:rPr>
          <w:rStyle w:val="Appelnotedebasdep"/>
        </w:rPr>
        <w:footnoteRef/>
      </w:r>
      <w:r w:rsidRPr="003B0445">
        <w:rPr>
          <w:lang w:val="en-US"/>
        </w:rPr>
        <w:t xml:space="preserve"> De </w:t>
      </w:r>
      <w:proofErr w:type="spellStart"/>
      <w:r w:rsidRPr="003B0445">
        <w:rPr>
          <w:lang w:val="en-US"/>
        </w:rPr>
        <w:t>ce</w:t>
      </w:r>
      <w:proofErr w:type="spellEnd"/>
      <w:r w:rsidRPr="003B0445">
        <w:rPr>
          <w:lang w:val="en-US"/>
        </w:rPr>
        <w:t xml:space="preserve"> point de </w:t>
      </w:r>
      <w:proofErr w:type="spellStart"/>
      <w:r w:rsidRPr="003B0445">
        <w:rPr>
          <w:lang w:val="en-US"/>
        </w:rPr>
        <w:t>vue</w:t>
      </w:r>
      <w:proofErr w:type="spellEnd"/>
      <w:r w:rsidRPr="003B0445">
        <w:rPr>
          <w:lang w:val="en-US"/>
        </w:rPr>
        <w:t xml:space="preserve">, </w:t>
      </w:r>
      <w:proofErr w:type="spellStart"/>
      <w:r w:rsidRPr="003B0445">
        <w:rPr>
          <w:lang w:val="en-US"/>
        </w:rPr>
        <w:t>Folker</w:t>
      </w:r>
      <w:proofErr w:type="spellEnd"/>
      <w:r w:rsidRPr="003B0445">
        <w:rPr>
          <w:lang w:val="en-US"/>
        </w:rPr>
        <w:t xml:space="preserve"> </w:t>
      </w:r>
      <w:proofErr w:type="spellStart"/>
      <w:r w:rsidRPr="003B0445">
        <w:rPr>
          <w:smallCaps/>
          <w:lang w:val="en-US"/>
        </w:rPr>
        <w:t>Siegert</w:t>
      </w:r>
      <w:proofErr w:type="spellEnd"/>
      <w:r w:rsidRPr="003B0445">
        <w:rPr>
          <w:lang w:val="en-US"/>
        </w:rPr>
        <w:t>, « Early Jewish Interpretation in a Hellenistic Style »</w:t>
      </w:r>
      <w:r>
        <w:rPr>
          <w:lang w:val="en-US"/>
        </w:rPr>
        <w:t xml:space="preserve">, </w:t>
      </w:r>
      <w:proofErr w:type="spellStart"/>
      <w:r>
        <w:rPr>
          <w:lang w:val="en-US"/>
        </w:rPr>
        <w:t>dans</w:t>
      </w:r>
      <w:proofErr w:type="spellEnd"/>
      <w:r>
        <w:rPr>
          <w:lang w:val="en-US"/>
        </w:rPr>
        <w:t xml:space="preserve"> </w:t>
      </w:r>
      <w:proofErr w:type="spellStart"/>
      <w:r>
        <w:rPr>
          <w:lang w:val="en-US"/>
        </w:rPr>
        <w:t>Magne</w:t>
      </w:r>
      <w:proofErr w:type="spellEnd"/>
      <w:r w:rsidRPr="003B0445">
        <w:rPr>
          <w:lang w:val="en-US"/>
        </w:rPr>
        <w:t xml:space="preserve"> </w:t>
      </w:r>
      <w:proofErr w:type="spellStart"/>
      <w:r w:rsidRPr="003B0445">
        <w:rPr>
          <w:smallCaps/>
          <w:lang w:val="en-US"/>
        </w:rPr>
        <w:t>Sæbø</w:t>
      </w:r>
      <w:proofErr w:type="spellEnd"/>
      <w:r w:rsidRPr="003B0445">
        <w:rPr>
          <w:lang w:val="en-US"/>
        </w:rPr>
        <w:t xml:space="preserve">, </w:t>
      </w:r>
      <w:r w:rsidRPr="003B0445">
        <w:rPr>
          <w:i/>
          <w:lang w:val="en-US"/>
        </w:rPr>
        <w:t>Heb</w:t>
      </w:r>
      <w:r>
        <w:rPr>
          <w:i/>
          <w:lang w:val="en-US"/>
        </w:rPr>
        <w:t xml:space="preserve">rew Bible, Old </w:t>
      </w:r>
      <w:proofErr w:type="gramStart"/>
      <w:r>
        <w:rPr>
          <w:i/>
          <w:lang w:val="en-US"/>
        </w:rPr>
        <w:t>Testament :</w:t>
      </w:r>
      <w:proofErr w:type="gramEnd"/>
      <w:r>
        <w:rPr>
          <w:i/>
          <w:lang w:val="en-US"/>
        </w:rPr>
        <w:t xml:space="preserve"> the History of its Interpretation. 1, From the B</w:t>
      </w:r>
      <w:r w:rsidRPr="003B0445">
        <w:rPr>
          <w:i/>
          <w:lang w:val="en-US"/>
        </w:rPr>
        <w:t xml:space="preserve">eginnings to the </w:t>
      </w:r>
      <w:proofErr w:type="gramStart"/>
      <w:r w:rsidRPr="003B0445">
        <w:rPr>
          <w:i/>
          <w:lang w:val="en-US"/>
        </w:rPr>
        <w:t>Middle</w:t>
      </w:r>
      <w:proofErr w:type="gramEnd"/>
      <w:r w:rsidRPr="003B0445">
        <w:rPr>
          <w:i/>
          <w:lang w:val="en-US"/>
        </w:rPr>
        <w:t xml:space="preserve"> Ages (until 1300),</w:t>
      </w:r>
      <w:r w:rsidRPr="003B0445">
        <w:rPr>
          <w:lang w:val="en-US"/>
        </w:rPr>
        <w:t xml:space="preserve"> </w:t>
      </w:r>
      <w:proofErr w:type="spellStart"/>
      <w:r w:rsidRPr="003B0445">
        <w:rPr>
          <w:lang w:val="en-US"/>
        </w:rPr>
        <w:t>Göttingen</w:t>
      </w:r>
      <w:proofErr w:type="spellEnd"/>
      <w:r w:rsidRPr="003B0445">
        <w:rPr>
          <w:lang w:val="en-US"/>
        </w:rPr>
        <w:t xml:space="preserve">, </w:t>
      </w:r>
      <w:proofErr w:type="spellStart"/>
      <w:r w:rsidRPr="003B0445">
        <w:rPr>
          <w:lang w:val="en-US"/>
        </w:rPr>
        <w:t>Vand</w:t>
      </w:r>
      <w:r>
        <w:rPr>
          <w:lang w:val="en-US"/>
        </w:rPr>
        <w:t>enhoeck</w:t>
      </w:r>
      <w:proofErr w:type="spellEnd"/>
      <w:r>
        <w:rPr>
          <w:lang w:val="en-US"/>
        </w:rPr>
        <w:t xml:space="preserve"> &amp; </w:t>
      </w:r>
      <w:proofErr w:type="spellStart"/>
      <w:r>
        <w:rPr>
          <w:lang w:val="en-US"/>
        </w:rPr>
        <w:t>Ruprecht</w:t>
      </w:r>
      <w:proofErr w:type="spellEnd"/>
      <w:r>
        <w:rPr>
          <w:lang w:val="en-US"/>
        </w:rPr>
        <w:t>, 1996, t. 1 (</w:t>
      </w:r>
      <w:r w:rsidRPr="005401E7">
        <w:rPr>
          <w:i/>
          <w:lang w:val="en-US"/>
        </w:rPr>
        <w:t>Antiquity</w:t>
      </w:r>
      <w:r>
        <w:rPr>
          <w:lang w:val="en-US"/>
        </w:rPr>
        <w:t>), 130-</w:t>
      </w:r>
      <w:r w:rsidR="00AF46CF">
        <w:rPr>
          <w:lang w:val="en-US"/>
        </w:rPr>
        <w:t xml:space="preserve">198 (141), a raison </w:t>
      </w:r>
      <w:proofErr w:type="spellStart"/>
      <w:r w:rsidR="00AF46CF">
        <w:rPr>
          <w:lang w:val="en-US"/>
        </w:rPr>
        <w:t>d’écrire</w:t>
      </w:r>
      <w:proofErr w:type="spellEnd"/>
      <w:r w:rsidR="00AF46CF">
        <w:rPr>
          <w:lang w:val="en-US"/>
        </w:rPr>
        <w:t>: « </w:t>
      </w:r>
      <w:r>
        <w:rPr>
          <w:lang w:val="en-US"/>
        </w:rPr>
        <w:t>There is no hermeneutics which could be considered specifically or exclusively biblical ».</w:t>
      </w:r>
      <w:r w:rsidR="00A25D2D">
        <w:rPr>
          <w:lang w:val="en-US"/>
        </w:rPr>
        <w:t xml:space="preserve"> </w:t>
      </w:r>
      <w:r w:rsidR="00A25D2D" w:rsidRPr="00A25D2D">
        <w:t xml:space="preserve">Pour l'interprétation allégorique </w:t>
      </w:r>
      <w:proofErr w:type="gramStart"/>
      <w:r w:rsidR="00A25D2D" w:rsidRPr="00A25D2D">
        <w:t>de Homère</w:t>
      </w:r>
      <w:proofErr w:type="gramEnd"/>
      <w:r w:rsidR="00A25D2D" w:rsidRPr="00A25D2D">
        <w:t xml:space="preserve">, on pourra consulter, par exemple, Jean </w:t>
      </w:r>
      <w:r w:rsidR="00A25D2D" w:rsidRPr="00A25D2D">
        <w:rPr>
          <w:smallCaps/>
        </w:rPr>
        <w:t>Dorat</w:t>
      </w:r>
      <w:r w:rsidR="00A25D2D" w:rsidRPr="00A25D2D">
        <w:t xml:space="preserve">, </w:t>
      </w:r>
      <w:proofErr w:type="spellStart"/>
      <w:r w:rsidR="00A25D2D" w:rsidRPr="00A25D2D">
        <w:rPr>
          <w:i/>
        </w:rPr>
        <w:t>Mythologicum</w:t>
      </w:r>
      <w:proofErr w:type="spellEnd"/>
      <w:r w:rsidR="00A25D2D" w:rsidRPr="00A25D2D">
        <w:rPr>
          <w:i/>
        </w:rPr>
        <w:t xml:space="preserve"> ou interprétation allégorique de l'Odyssée X-XII et de l'Hymne à Aphrodite</w:t>
      </w:r>
      <w:r w:rsidR="00A25D2D" w:rsidRPr="00A25D2D">
        <w:t xml:space="preserve"> (texte présenté, établi et annoté par Philip </w:t>
      </w:r>
      <w:r w:rsidR="00A25D2D" w:rsidRPr="00A25D2D">
        <w:rPr>
          <w:smallCaps/>
        </w:rPr>
        <w:t>Ford</w:t>
      </w:r>
      <w:r w:rsidR="00A25D2D" w:rsidRPr="00A25D2D">
        <w:t>),</w:t>
      </w:r>
      <w:r w:rsidR="00A25D2D">
        <w:t xml:space="preserve"> Genève, Droz, 2000.</w:t>
      </w:r>
    </w:p>
  </w:footnote>
  <w:footnote w:id="7">
    <w:p w:rsidR="00D07544" w:rsidRPr="006A74DC" w:rsidRDefault="00D07544" w:rsidP="00D07544">
      <w:pPr>
        <w:pStyle w:val="Notedebasdepage"/>
        <w:rPr>
          <w:lang w:val="de-DE"/>
        </w:rPr>
      </w:pPr>
      <w:r>
        <w:rPr>
          <w:rStyle w:val="Appelnotedebasdep"/>
        </w:rPr>
        <w:footnoteRef/>
      </w:r>
      <w:r w:rsidRPr="006A74DC">
        <w:rPr>
          <w:lang w:val="de-DE"/>
        </w:rPr>
        <w:t xml:space="preserve"> Adolf </w:t>
      </w:r>
      <w:r w:rsidRPr="006A74DC">
        <w:rPr>
          <w:smallCaps/>
          <w:lang w:val="de-DE"/>
        </w:rPr>
        <w:t>Jülicher</w:t>
      </w:r>
      <w:r w:rsidRPr="006A74DC">
        <w:rPr>
          <w:lang w:val="de-DE"/>
        </w:rPr>
        <w:t xml:space="preserve">, </w:t>
      </w:r>
      <w:r w:rsidRPr="006A74DC">
        <w:rPr>
          <w:i/>
          <w:lang w:val="de-DE"/>
        </w:rPr>
        <w:t xml:space="preserve">Die </w:t>
      </w:r>
      <w:proofErr w:type="spellStart"/>
      <w:r w:rsidRPr="006A74DC">
        <w:rPr>
          <w:i/>
          <w:lang w:val="de-DE"/>
        </w:rPr>
        <w:t>Gleichnisreden</w:t>
      </w:r>
      <w:proofErr w:type="spellEnd"/>
      <w:r w:rsidRPr="006A74DC">
        <w:rPr>
          <w:i/>
          <w:lang w:val="de-DE"/>
        </w:rPr>
        <w:t xml:space="preserve"> Jesu</w:t>
      </w:r>
      <w:r w:rsidRPr="006A74DC">
        <w:rPr>
          <w:lang w:val="de-DE"/>
        </w:rPr>
        <w:t>, Freiburg im Breisgau, Mohr, 1899 (Darmstadt, Wissenschaftliche Buchgesellschaft, 1969).</w:t>
      </w:r>
    </w:p>
  </w:footnote>
  <w:footnote w:id="8">
    <w:p w:rsidR="00D07544" w:rsidRDefault="00D07544" w:rsidP="00D07544">
      <w:pPr>
        <w:pStyle w:val="Notedebasdepage"/>
      </w:pPr>
      <w:r>
        <w:rPr>
          <w:rStyle w:val="Appelnotedebasdep"/>
        </w:rPr>
        <w:footnoteRef/>
      </w:r>
      <w:r>
        <w:t xml:space="preserve"> Paul Claudel évoquait plaisamment les « maigres mamelles du sens littéral ».</w:t>
      </w:r>
    </w:p>
  </w:footnote>
  <w:footnote w:id="9">
    <w:p w:rsidR="00D07544" w:rsidRPr="006A74DC" w:rsidRDefault="00D07544" w:rsidP="00D07544">
      <w:pPr>
        <w:pStyle w:val="Notedebasdepage"/>
        <w:rPr>
          <w:lang w:val="de-DE"/>
        </w:rPr>
      </w:pPr>
      <w:r>
        <w:rPr>
          <w:rStyle w:val="Appelnotedebasdep"/>
        </w:rPr>
        <w:footnoteRef/>
      </w:r>
      <w:r>
        <w:t xml:space="preserve"> Cela a été mis en lumière dans le célèbre ouvrage d’Albert </w:t>
      </w:r>
      <w:r w:rsidRPr="00211916">
        <w:rPr>
          <w:smallCaps/>
        </w:rPr>
        <w:t>Schweitzer</w:t>
      </w:r>
      <w:r>
        <w:t xml:space="preserve">, </w:t>
      </w:r>
      <w:r>
        <w:rPr>
          <w:i/>
        </w:rPr>
        <w:t xml:space="preserve">Von Reimarus </w:t>
      </w:r>
      <w:proofErr w:type="spellStart"/>
      <w:r>
        <w:rPr>
          <w:i/>
        </w:rPr>
        <w:t>zu</w:t>
      </w:r>
      <w:proofErr w:type="spellEnd"/>
      <w:r>
        <w:rPr>
          <w:i/>
        </w:rPr>
        <w:t xml:space="preserve"> </w:t>
      </w:r>
      <w:proofErr w:type="spellStart"/>
      <w:r>
        <w:rPr>
          <w:i/>
        </w:rPr>
        <w:t>Wrede</w:t>
      </w:r>
      <w:proofErr w:type="spellEnd"/>
      <w:r>
        <w:rPr>
          <w:i/>
        </w:rPr>
        <w:t xml:space="preserve">. </w:t>
      </w:r>
      <w:r w:rsidRPr="006A74DC">
        <w:rPr>
          <w:i/>
          <w:lang w:val="de-DE"/>
        </w:rPr>
        <w:t>Eine Geschichte der Leben-Jesu-Forschung</w:t>
      </w:r>
      <w:r w:rsidRPr="006A74DC">
        <w:rPr>
          <w:lang w:val="de-DE"/>
        </w:rPr>
        <w:t>, Tübingen, Mohr Siebeck, 1906.</w:t>
      </w:r>
    </w:p>
  </w:footnote>
  <w:footnote w:id="10">
    <w:p w:rsidR="00D07544" w:rsidRPr="006A74DC" w:rsidRDefault="00D07544" w:rsidP="00D07544">
      <w:pPr>
        <w:pStyle w:val="Notedebasdepage"/>
        <w:rPr>
          <w:lang w:val="de-DE"/>
        </w:rPr>
      </w:pPr>
      <w:r>
        <w:rPr>
          <w:rStyle w:val="Appelnotedebasdep"/>
        </w:rPr>
        <w:footnoteRef/>
      </w:r>
      <w:r w:rsidRPr="006A74DC">
        <w:rPr>
          <w:lang w:val="de-DE"/>
        </w:rPr>
        <w:t xml:space="preserve"> </w:t>
      </w:r>
      <w:proofErr w:type="spellStart"/>
      <w:r w:rsidRPr="006A74DC">
        <w:rPr>
          <w:lang w:val="de-DE"/>
        </w:rPr>
        <w:t>Voir</w:t>
      </w:r>
      <w:proofErr w:type="spellEnd"/>
      <w:r w:rsidRPr="006A74DC">
        <w:rPr>
          <w:lang w:val="de-DE"/>
        </w:rPr>
        <w:t xml:space="preserve"> </w:t>
      </w:r>
      <w:proofErr w:type="spellStart"/>
      <w:r w:rsidRPr="006A74DC">
        <w:rPr>
          <w:lang w:val="de-DE"/>
        </w:rPr>
        <w:t>surtout</w:t>
      </w:r>
      <w:proofErr w:type="spellEnd"/>
      <w:r w:rsidRPr="006A74DC">
        <w:rPr>
          <w:lang w:val="de-DE"/>
        </w:rPr>
        <w:t xml:space="preserve"> </w:t>
      </w:r>
      <w:proofErr w:type="spellStart"/>
      <w:r w:rsidRPr="006A74DC">
        <w:rPr>
          <w:lang w:val="de-DE"/>
        </w:rPr>
        <w:t>son</w:t>
      </w:r>
      <w:proofErr w:type="spellEnd"/>
      <w:r w:rsidRPr="006A74DC">
        <w:rPr>
          <w:lang w:val="de-DE"/>
        </w:rPr>
        <w:t xml:space="preserve"> </w:t>
      </w:r>
      <w:proofErr w:type="spellStart"/>
      <w:r w:rsidRPr="006A74DC">
        <w:rPr>
          <w:lang w:val="de-DE"/>
        </w:rPr>
        <w:t>maître</w:t>
      </w:r>
      <w:proofErr w:type="spellEnd"/>
      <w:r w:rsidRPr="006A74DC">
        <w:rPr>
          <w:lang w:val="de-DE"/>
        </w:rPr>
        <w:t xml:space="preserve"> </w:t>
      </w:r>
      <w:proofErr w:type="spellStart"/>
      <w:proofErr w:type="gramStart"/>
      <w:r w:rsidRPr="006A74DC">
        <w:rPr>
          <w:lang w:val="de-DE"/>
        </w:rPr>
        <w:t>ouvrage</w:t>
      </w:r>
      <w:proofErr w:type="spellEnd"/>
      <w:r w:rsidRPr="006A74DC">
        <w:rPr>
          <w:lang w:val="de-DE"/>
        </w:rPr>
        <w:t> :</w:t>
      </w:r>
      <w:proofErr w:type="gramEnd"/>
      <w:r w:rsidRPr="006A74DC">
        <w:rPr>
          <w:lang w:val="de-DE"/>
        </w:rPr>
        <w:t xml:space="preserve"> </w:t>
      </w:r>
      <w:r w:rsidRPr="006A74DC">
        <w:rPr>
          <w:i/>
          <w:lang w:val="de-DE"/>
        </w:rPr>
        <w:t>Die Geschichte der synoptischen Tradition</w:t>
      </w:r>
      <w:r w:rsidRPr="006A74DC">
        <w:rPr>
          <w:lang w:val="de-DE"/>
        </w:rPr>
        <w:t xml:space="preserve"> (Forschungen zur Religion und Literatur des Alten und Neuen Testaments 12), Göttingen, </w:t>
      </w:r>
      <w:proofErr w:type="spellStart"/>
      <w:r w:rsidRPr="006A74DC">
        <w:rPr>
          <w:lang w:val="de-DE"/>
        </w:rPr>
        <w:t>Vandenhoeck</w:t>
      </w:r>
      <w:proofErr w:type="spellEnd"/>
      <w:r w:rsidRPr="006A74DC">
        <w:rPr>
          <w:lang w:val="de-DE"/>
        </w:rPr>
        <w:t xml:space="preserve"> &amp; Ruprecht, 1921.</w:t>
      </w:r>
    </w:p>
  </w:footnote>
  <w:footnote w:id="11">
    <w:p w:rsidR="00D07544" w:rsidRDefault="00D07544" w:rsidP="00D07544">
      <w:pPr>
        <w:pStyle w:val="Notedebasdepage"/>
      </w:pPr>
      <w:r>
        <w:rPr>
          <w:rStyle w:val="Appelnotedebasdep"/>
        </w:rPr>
        <w:footnoteRef/>
      </w:r>
      <w:r>
        <w:t xml:space="preserve"> Paul </w:t>
      </w:r>
      <w:r w:rsidRPr="00BB055D">
        <w:rPr>
          <w:smallCaps/>
        </w:rPr>
        <w:t>Ricœur</w:t>
      </w:r>
      <w:r>
        <w:t xml:space="preserve">, </w:t>
      </w:r>
      <w:r w:rsidRPr="00BB055D">
        <w:rPr>
          <w:i/>
        </w:rPr>
        <w:t>Préface</w:t>
      </w:r>
      <w:r>
        <w:t xml:space="preserve">, dans Rudolf </w:t>
      </w:r>
      <w:r w:rsidRPr="00BB055D">
        <w:rPr>
          <w:smallCaps/>
        </w:rPr>
        <w:t>Bultmann</w:t>
      </w:r>
      <w:r>
        <w:t xml:space="preserve">, </w:t>
      </w:r>
      <w:r w:rsidRPr="00BB055D">
        <w:rPr>
          <w:i/>
        </w:rPr>
        <w:t>Jésus. Mythologie et démythologisation</w:t>
      </w:r>
      <w:r>
        <w:t>, Paris, Seuil, 1958 (original allemand, 1926), 9-28 (17), qui précise ce qui est en jeu : « briser le faux scandale, constitué par l’absurdité de la représentation mythologique du monde pour un homme moderne, et faire apparaître le vrai scandale, la folie de Dieu en Jésus-Christ, qui est scandale pour tous les hommes dans tous les temps ».</w:t>
      </w:r>
    </w:p>
  </w:footnote>
  <w:footnote w:id="12">
    <w:p w:rsidR="00D07544" w:rsidRDefault="00D07544" w:rsidP="00D07544">
      <w:pPr>
        <w:pStyle w:val="Notedebasdepage"/>
      </w:pPr>
      <w:r>
        <w:rPr>
          <w:rStyle w:val="Appelnotedebasdep"/>
        </w:rPr>
        <w:footnoteRef/>
      </w:r>
      <w:r>
        <w:t xml:space="preserve"> </w:t>
      </w:r>
      <w:r w:rsidRPr="00612CAB">
        <w:rPr>
          <w:smallCaps/>
        </w:rPr>
        <w:t>Ricœur</w:t>
      </w:r>
      <w:r>
        <w:t xml:space="preserve">, </w:t>
      </w:r>
      <w:r w:rsidRPr="00612CAB">
        <w:rPr>
          <w:i/>
        </w:rPr>
        <w:t>Préface</w:t>
      </w:r>
      <w:r>
        <w:t>, 19, selon qui, cette interprétation existentiale « heurte de front la prétention – philosophique et non scientifique en elle-même – d’épuiser le sens de la réalité par la science et la technique » (19-20).</w:t>
      </w:r>
    </w:p>
  </w:footnote>
  <w:footnote w:id="13">
    <w:p w:rsidR="00D07544" w:rsidRDefault="00D07544" w:rsidP="00D07544">
      <w:pPr>
        <w:pStyle w:val="Notedebasdepage"/>
      </w:pPr>
      <w:r>
        <w:rPr>
          <w:rStyle w:val="Appelnotedebasdep"/>
        </w:rPr>
        <w:footnoteRef/>
      </w:r>
      <w:r>
        <w:t xml:space="preserve"> Eugen </w:t>
      </w:r>
      <w:proofErr w:type="spellStart"/>
      <w:r w:rsidRPr="00E467DD">
        <w:rPr>
          <w:smallCaps/>
        </w:rPr>
        <w:t>Drewermann</w:t>
      </w:r>
      <w:proofErr w:type="spellEnd"/>
      <w:r>
        <w:t xml:space="preserve">, </w:t>
      </w:r>
      <w:r w:rsidRPr="00E467DD">
        <w:rPr>
          <w:i/>
        </w:rPr>
        <w:t>De la naissance des dieux à la naissance du Christ. Une inter</w:t>
      </w:r>
      <w:r>
        <w:rPr>
          <w:i/>
        </w:rPr>
        <w:t>prétation des récits de la na</w:t>
      </w:r>
      <w:r w:rsidRPr="00E467DD">
        <w:rPr>
          <w:i/>
        </w:rPr>
        <w:t>tivité de Jésus d’après la psychologie des profondeurs</w:t>
      </w:r>
      <w:r>
        <w:t>, Paris, Seuil, 1992 (original allemand, 1986), 47.</w:t>
      </w:r>
    </w:p>
  </w:footnote>
  <w:footnote w:id="14">
    <w:p w:rsidR="00D07544" w:rsidRPr="006A74DC" w:rsidRDefault="00D07544" w:rsidP="00D07544">
      <w:pPr>
        <w:pStyle w:val="Notedebasdepage"/>
        <w:rPr>
          <w:lang w:val="de-DE"/>
        </w:rPr>
      </w:pPr>
      <w:r>
        <w:rPr>
          <w:rStyle w:val="Appelnotedebasdep"/>
        </w:rPr>
        <w:footnoteRef/>
      </w:r>
      <w:r w:rsidRPr="006A74DC">
        <w:rPr>
          <w:lang w:val="de-DE"/>
        </w:rPr>
        <w:t xml:space="preserve"> Kurt </w:t>
      </w:r>
      <w:r w:rsidRPr="006A74DC">
        <w:rPr>
          <w:smallCaps/>
          <w:lang w:val="de-DE"/>
        </w:rPr>
        <w:t>Hübner</w:t>
      </w:r>
      <w:r w:rsidRPr="006A74DC">
        <w:rPr>
          <w:lang w:val="de-DE"/>
        </w:rPr>
        <w:t xml:space="preserve">, </w:t>
      </w:r>
      <w:r w:rsidRPr="006A74DC">
        <w:rPr>
          <w:i/>
          <w:lang w:val="de-DE"/>
        </w:rPr>
        <w:t>Die Wahrheit des Mythos</w:t>
      </w:r>
      <w:r w:rsidRPr="006A74DC">
        <w:rPr>
          <w:lang w:val="de-DE"/>
        </w:rPr>
        <w:t>, München, Beck, 60.</w:t>
      </w:r>
    </w:p>
  </w:footnote>
  <w:footnote w:id="15">
    <w:p w:rsidR="00D07544" w:rsidRPr="00DE772F" w:rsidRDefault="00D07544" w:rsidP="00D07544">
      <w:pPr>
        <w:pStyle w:val="Notedebasdepage"/>
        <w:rPr>
          <w:lang w:val="de-DE"/>
        </w:rPr>
      </w:pPr>
      <w:r>
        <w:rPr>
          <w:rStyle w:val="Appelnotedebasdep"/>
        </w:rPr>
        <w:footnoteRef/>
      </w:r>
      <w:r>
        <w:t xml:space="preserve"> </w:t>
      </w:r>
      <w:proofErr w:type="spellStart"/>
      <w:r w:rsidRPr="00E467DD">
        <w:rPr>
          <w:smallCaps/>
        </w:rPr>
        <w:t>Drewermann</w:t>
      </w:r>
      <w:proofErr w:type="spellEnd"/>
      <w:r>
        <w:t xml:space="preserve">, </w:t>
      </w:r>
      <w:r w:rsidRPr="00E467DD">
        <w:rPr>
          <w:i/>
        </w:rPr>
        <w:t>De la naissance des dieux à la naissance du Christ</w:t>
      </w:r>
      <w:r>
        <w:t xml:space="preserve">, 48. De telles propositions vont susciter de nombreuses contre-attaques de la part des tenants de l’exégèse historico-critique « officielle ». </w:t>
      </w:r>
      <w:proofErr w:type="spellStart"/>
      <w:r w:rsidRPr="006A74DC">
        <w:rPr>
          <w:lang w:val="de-DE"/>
        </w:rPr>
        <w:t>L’ouvrage</w:t>
      </w:r>
      <w:proofErr w:type="spellEnd"/>
      <w:r w:rsidRPr="006A74DC">
        <w:rPr>
          <w:lang w:val="de-DE"/>
        </w:rPr>
        <w:t xml:space="preserve"> </w:t>
      </w:r>
      <w:proofErr w:type="spellStart"/>
      <w:r w:rsidRPr="006A74DC">
        <w:rPr>
          <w:lang w:val="de-DE"/>
        </w:rPr>
        <w:t>emblématique</w:t>
      </w:r>
      <w:proofErr w:type="spellEnd"/>
      <w:r w:rsidRPr="006A74DC">
        <w:rPr>
          <w:lang w:val="de-DE"/>
        </w:rPr>
        <w:t xml:space="preserve"> en </w:t>
      </w:r>
      <w:proofErr w:type="spellStart"/>
      <w:proofErr w:type="gramStart"/>
      <w:r w:rsidRPr="006A74DC">
        <w:rPr>
          <w:lang w:val="de-DE"/>
        </w:rPr>
        <w:t>est</w:t>
      </w:r>
      <w:proofErr w:type="spellEnd"/>
      <w:r w:rsidRPr="006A74DC">
        <w:rPr>
          <w:lang w:val="de-DE"/>
        </w:rPr>
        <w:t> :</w:t>
      </w:r>
      <w:proofErr w:type="gramEnd"/>
      <w:r w:rsidRPr="006A74DC">
        <w:rPr>
          <w:lang w:val="de-DE"/>
        </w:rPr>
        <w:t xml:space="preserve"> Gerhard </w:t>
      </w:r>
      <w:proofErr w:type="spellStart"/>
      <w:r w:rsidR="00AF46CF">
        <w:rPr>
          <w:smallCaps/>
          <w:lang w:val="de-DE"/>
        </w:rPr>
        <w:t>Lohfink</w:t>
      </w:r>
      <w:proofErr w:type="spellEnd"/>
      <w:r w:rsidR="00AF46CF">
        <w:rPr>
          <w:smallCaps/>
          <w:lang w:val="de-DE"/>
        </w:rPr>
        <w:t xml:space="preserve"> </w:t>
      </w:r>
      <w:r w:rsidR="00AF46CF" w:rsidRPr="00AF46CF">
        <w:rPr>
          <w:lang w:val="de-DE"/>
        </w:rPr>
        <w:t>und</w:t>
      </w:r>
      <w:r w:rsidRPr="006A74DC">
        <w:rPr>
          <w:smallCaps/>
          <w:lang w:val="de-DE"/>
        </w:rPr>
        <w:t xml:space="preserve"> R</w:t>
      </w:r>
      <w:r w:rsidRPr="006A74DC">
        <w:rPr>
          <w:lang w:val="de-DE"/>
        </w:rPr>
        <w:t xml:space="preserve">udolf </w:t>
      </w:r>
      <w:r w:rsidRPr="006A74DC">
        <w:rPr>
          <w:smallCaps/>
          <w:lang w:val="de-DE"/>
        </w:rPr>
        <w:t>Pesch</w:t>
      </w:r>
      <w:r w:rsidRPr="006A74DC">
        <w:rPr>
          <w:lang w:val="de-DE"/>
        </w:rPr>
        <w:t xml:space="preserve">, </w:t>
      </w:r>
      <w:r w:rsidRPr="006A74DC">
        <w:rPr>
          <w:i/>
          <w:lang w:val="de-DE"/>
        </w:rPr>
        <w:t xml:space="preserve">Tiefenpsychologie und keine Exegese. </w:t>
      </w:r>
      <w:r w:rsidRPr="00DE772F">
        <w:rPr>
          <w:i/>
          <w:lang w:val="de-DE"/>
        </w:rPr>
        <w:t>Eine Auseinandersetzung mit Eugen Drewermann</w:t>
      </w:r>
      <w:r w:rsidRPr="00DE772F">
        <w:rPr>
          <w:lang w:val="de-DE"/>
        </w:rPr>
        <w:t>, Stuttgart, Katholisches Bibelwerk, 1987.</w:t>
      </w:r>
    </w:p>
  </w:footnote>
  <w:footnote w:id="16">
    <w:p w:rsidR="00D07544" w:rsidRPr="00DE772F" w:rsidRDefault="00D07544" w:rsidP="00D07544">
      <w:pPr>
        <w:pStyle w:val="Notedebasdepage"/>
        <w:rPr>
          <w:lang w:val="de-DE"/>
        </w:rPr>
      </w:pPr>
      <w:r>
        <w:rPr>
          <w:rStyle w:val="Appelnotedebasdep"/>
        </w:rPr>
        <w:footnoteRef/>
      </w:r>
      <w:r w:rsidRPr="00DE772F">
        <w:rPr>
          <w:lang w:val="de-DE"/>
        </w:rPr>
        <w:t xml:space="preserve"> C’est le fameux déplacement mis en lumière par Umberto </w:t>
      </w:r>
      <w:r w:rsidRPr="00DE772F">
        <w:rPr>
          <w:smallCaps/>
          <w:lang w:val="de-DE"/>
        </w:rPr>
        <w:t>Eco</w:t>
      </w:r>
      <w:r w:rsidRPr="00DE772F">
        <w:rPr>
          <w:lang w:val="de-DE"/>
        </w:rPr>
        <w:t xml:space="preserve"> de l’« intentio auctoris » à l’ « intentio operis » et à l’ « intentio lectoris » (</w:t>
      </w:r>
      <w:r w:rsidRPr="00DE772F">
        <w:rPr>
          <w:i/>
          <w:lang w:val="de-DE"/>
        </w:rPr>
        <w:t xml:space="preserve">Interprétation et surinterprétation </w:t>
      </w:r>
      <w:r w:rsidRPr="00DE772F">
        <w:rPr>
          <w:lang w:val="de-DE"/>
        </w:rPr>
        <w:t>[Formes sémiotiques], Paris, PUF, 1992, 23).</w:t>
      </w:r>
    </w:p>
  </w:footnote>
  <w:footnote w:id="17">
    <w:p w:rsidR="00D07544" w:rsidRDefault="00D07544" w:rsidP="00D07544">
      <w:pPr>
        <w:pStyle w:val="Notedebasdepage"/>
      </w:pPr>
      <w:r>
        <w:rPr>
          <w:rStyle w:val="Appelnotedebasdep"/>
        </w:rPr>
        <w:footnoteRef/>
      </w:r>
      <w:r>
        <w:t xml:space="preserve"> A. </w:t>
      </w:r>
      <w:r>
        <w:rPr>
          <w:smallCaps/>
        </w:rPr>
        <w:t>Gesché</w:t>
      </w:r>
      <w:r>
        <w:t xml:space="preserve">, « Pour une identité narrative de Jésus », dans </w:t>
      </w:r>
      <w:r>
        <w:rPr>
          <w:i/>
        </w:rPr>
        <w:t>Revue théologique de Louvain</w:t>
      </w:r>
      <w:r>
        <w:t xml:space="preserve"> 30 (1999) 153-179 et 336-356 (349). Dans la note 166 (p. 350) du même article, A. Gesché rappelle judicieusement le jugement de Paul Ricœur dans </w:t>
      </w:r>
      <w:r>
        <w:rPr>
          <w:i/>
        </w:rPr>
        <w:t>Histoire et vérité</w:t>
      </w:r>
      <w:r>
        <w:t>, 53 : « L’histoire peut toujours devenir une sorte d’alibi pour la recherche de la vérité ; il est toujours possible de se retrancher derrière l’histoire pour ne rien affirmer de soi-même ». Dans un tel cadre de pensée, selon A. Gesché, « L’histoire garde ses droits et ses devoirs, mais ceux-ci deviennent moins désolés et plus sereins » (351).</w:t>
      </w:r>
    </w:p>
  </w:footnote>
  <w:footnote w:id="18">
    <w:p w:rsidR="00D07544" w:rsidRDefault="00D07544" w:rsidP="00D07544">
      <w:pPr>
        <w:pStyle w:val="Notedebasdepage"/>
      </w:pPr>
      <w:r>
        <w:rPr>
          <w:rStyle w:val="Appelnotedebasdep"/>
        </w:rPr>
        <w:footnoteRef/>
      </w:r>
      <w:r>
        <w:t xml:space="preserve"> Adolphe </w:t>
      </w:r>
      <w:r>
        <w:rPr>
          <w:smallCaps/>
        </w:rPr>
        <w:t>Gesché</w:t>
      </w:r>
      <w:r>
        <w:t>, « Le mal et l’imaginaire en théologie », dans Myriam </w:t>
      </w:r>
      <w:proofErr w:type="spellStart"/>
      <w:r>
        <w:t>W</w:t>
      </w:r>
      <w:r>
        <w:rPr>
          <w:smallCaps/>
        </w:rPr>
        <w:t>atthée</w:t>
      </w:r>
      <w:proofErr w:type="spellEnd"/>
      <w:r>
        <w:rPr>
          <w:smallCaps/>
        </w:rPr>
        <w:t xml:space="preserve">-Delmotte, </w:t>
      </w:r>
      <w:r w:rsidRPr="00CC2EFB">
        <w:t>Paul-Augustin</w:t>
      </w:r>
      <w:r>
        <w:rPr>
          <w:smallCaps/>
        </w:rPr>
        <w:t> </w:t>
      </w:r>
      <w:proofErr w:type="spellStart"/>
      <w:r>
        <w:rPr>
          <w:smallCaps/>
        </w:rPr>
        <w:t>Deproost</w:t>
      </w:r>
      <w:proofErr w:type="spellEnd"/>
      <w:r>
        <w:rPr>
          <w:smallCaps/>
        </w:rPr>
        <w:t xml:space="preserve"> (</w:t>
      </w:r>
      <w:proofErr w:type="spellStart"/>
      <w:r>
        <w:t>eds</w:t>
      </w:r>
      <w:proofErr w:type="spellEnd"/>
      <w:r>
        <w:t xml:space="preserve">), </w:t>
      </w:r>
      <w:r>
        <w:rPr>
          <w:i/>
        </w:rPr>
        <w:t>Imaginaires du mal</w:t>
      </w:r>
      <w:r>
        <w:t>, Louvain-la-Neuve, Presses universitaires de Louvain – Paris, Cerf, 2000, 13-19 (15-16).</w:t>
      </w:r>
    </w:p>
  </w:footnote>
  <w:footnote w:id="19">
    <w:p w:rsidR="00D07544" w:rsidRDefault="00D07544" w:rsidP="00D07544">
      <w:pPr>
        <w:pStyle w:val="Notedebasdepage"/>
      </w:pPr>
      <w:r>
        <w:rPr>
          <w:rStyle w:val="Appelnotedebasdep"/>
        </w:rPr>
        <w:footnoteRef/>
      </w:r>
      <w:r>
        <w:t xml:space="preserve"> </w:t>
      </w:r>
      <w:r>
        <w:rPr>
          <w:smallCaps/>
        </w:rPr>
        <w:t>Gesché</w:t>
      </w:r>
      <w:r>
        <w:t>, « Le mal et l’imaginaire en théologie », 16.</w:t>
      </w:r>
    </w:p>
  </w:footnote>
  <w:footnote w:id="20">
    <w:p w:rsidR="00D07544" w:rsidRDefault="00D07544" w:rsidP="00D07544">
      <w:pPr>
        <w:pStyle w:val="Notedebasdepage"/>
      </w:pPr>
      <w:r>
        <w:rPr>
          <w:rStyle w:val="Appelnotedebasdep"/>
        </w:rPr>
        <w:footnoteRef/>
      </w:r>
      <w:r>
        <w:t xml:space="preserve"> Paul </w:t>
      </w:r>
      <w:r>
        <w:rPr>
          <w:smallCaps/>
        </w:rPr>
        <w:t>Ricœur</w:t>
      </w:r>
      <w:r>
        <w:t xml:space="preserve">, </w:t>
      </w:r>
      <w:r>
        <w:rPr>
          <w:i/>
        </w:rPr>
        <w:t>Réflexion faite. Autobiographie intellectuelle</w:t>
      </w:r>
      <w:r>
        <w:t>, Paris, Esprit, 1995, 75.</w:t>
      </w:r>
    </w:p>
  </w:footnote>
  <w:footnote w:id="21">
    <w:p w:rsidR="00EC5018" w:rsidRDefault="00EC5018">
      <w:pPr>
        <w:pStyle w:val="Notedebasdepage"/>
      </w:pPr>
      <w:r>
        <w:rPr>
          <w:rStyle w:val="Appelnotedebasdep"/>
        </w:rPr>
        <w:footnoteRef/>
      </w:r>
      <w:r>
        <w:t xml:space="preserve"> L'histoire racontée (ou </w:t>
      </w:r>
      <w:r w:rsidRPr="00EC5018">
        <w:rPr>
          <w:i/>
        </w:rPr>
        <w:t>story</w:t>
      </w:r>
      <w:r>
        <w:t xml:space="preserve">) se situe au plan littéraire – et constitue un monde narratif (le </w:t>
      </w:r>
      <w:r w:rsidRPr="00EC5018">
        <w:rPr>
          <w:i/>
        </w:rPr>
        <w:t>story world</w:t>
      </w:r>
      <w:r>
        <w:t>)</w:t>
      </w:r>
      <w:r w:rsidR="00D02F9A">
        <w:t> –</w:t>
      </w:r>
      <w:r>
        <w:t xml:space="preserve"> à ne pas con</w:t>
      </w:r>
      <w:r w:rsidR="00D02F9A">
        <w:t>fondre avec le plan historique que les anglophones appellent "</w:t>
      </w:r>
      <w:proofErr w:type="spellStart"/>
      <w:r w:rsidR="00D02F9A" w:rsidRPr="00D02F9A">
        <w:rPr>
          <w:i/>
        </w:rPr>
        <w:t>history</w:t>
      </w:r>
      <w:proofErr w:type="spellEnd"/>
      <w:r w:rsidR="00D02F9A">
        <w:t>" pour bien distinguer ce niveau du premier.</w:t>
      </w:r>
    </w:p>
  </w:footnote>
  <w:footnote w:id="22">
    <w:p w:rsidR="00D02F9A" w:rsidRDefault="00D02F9A">
      <w:pPr>
        <w:pStyle w:val="Notedebasdepage"/>
      </w:pPr>
      <w:r>
        <w:rPr>
          <w:rStyle w:val="Appelnotedebasdep"/>
        </w:rPr>
        <w:footnoteRef/>
      </w:r>
      <w:r>
        <w:t xml:space="preserve"> Daniel </w:t>
      </w:r>
      <w:r w:rsidRPr="00D02F9A">
        <w:rPr>
          <w:smallCaps/>
        </w:rPr>
        <w:t>Marguerat</w:t>
      </w:r>
      <w:r>
        <w:t xml:space="preserve">, Yvan </w:t>
      </w:r>
      <w:r w:rsidRPr="00D02F9A">
        <w:rPr>
          <w:smallCaps/>
        </w:rPr>
        <w:t>Bourquin</w:t>
      </w:r>
      <w:r>
        <w:t xml:space="preserve">, </w:t>
      </w:r>
      <w:r w:rsidRPr="00D02F9A">
        <w:rPr>
          <w:i/>
        </w:rPr>
        <w:t>Pour lire les récits bibliques. Initiation à l'analyse narrative</w:t>
      </w:r>
      <w:r>
        <w:t xml:space="preserve">, Paris, Cerf – Genève, Labor et </w:t>
      </w:r>
      <w:proofErr w:type="spellStart"/>
      <w:r>
        <w:t>Fides</w:t>
      </w:r>
      <w:proofErr w:type="spellEnd"/>
      <w:r>
        <w:t xml:space="preserve">, </w:t>
      </w:r>
      <w:r w:rsidRPr="00D02F9A">
        <w:rPr>
          <w:vertAlign w:val="superscript"/>
        </w:rPr>
        <w:t>4</w:t>
      </w:r>
      <w:r>
        <w:t>2009, p. 29.</w:t>
      </w:r>
    </w:p>
  </w:footnote>
  <w:footnote w:id="23">
    <w:p w:rsidR="00F471E5" w:rsidRDefault="00F471E5">
      <w:pPr>
        <w:pStyle w:val="Notedebasdepage"/>
      </w:pPr>
      <w:r>
        <w:rPr>
          <w:rStyle w:val="Appelnotedebasdep"/>
        </w:rPr>
        <w:footnoteRef/>
      </w:r>
      <w:r>
        <w:t xml:space="preserve"> André </w:t>
      </w:r>
      <w:proofErr w:type="spellStart"/>
      <w:r w:rsidRPr="006B46F7">
        <w:rPr>
          <w:smallCaps/>
        </w:rPr>
        <w:t>Wénin</w:t>
      </w:r>
      <w:proofErr w:type="spellEnd"/>
      <w:r>
        <w:t xml:space="preserve">, </w:t>
      </w:r>
      <w:r w:rsidR="006B46F7">
        <w:t xml:space="preserve">« De l'analyse narrative à la théologie des récits bibliques », dans </w:t>
      </w:r>
      <w:r w:rsidR="006B46F7" w:rsidRPr="006B46F7">
        <w:rPr>
          <w:i/>
        </w:rPr>
        <w:t>Revue théologique de Louvain</w:t>
      </w:r>
      <w:r w:rsidR="006B46F7">
        <w:t xml:space="preserve"> 39 (2008) 369-393 (372).</w:t>
      </w:r>
    </w:p>
  </w:footnote>
  <w:footnote w:id="24">
    <w:p w:rsidR="00AF10D0" w:rsidRDefault="00AF10D0">
      <w:pPr>
        <w:pStyle w:val="Notedebasdepage"/>
      </w:pPr>
      <w:r>
        <w:rPr>
          <w:rStyle w:val="Appelnotedebasdep"/>
        </w:rPr>
        <w:footnoteRef/>
      </w:r>
      <w:r>
        <w:t xml:space="preserve"> Pour éviter toute ambiguïté, je précise que dorénavant, lorsque j'emploierai le mot « Jésus », j'entends par là le personnage littéraire de Jésus, l'acteur principal du récit tel qu'il est construit dans l'évangile de Marc. </w:t>
      </w:r>
    </w:p>
  </w:footnote>
  <w:footnote w:id="25">
    <w:p w:rsidR="00D07544" w:rsidRPr="007E3FB4" w:rsidRDefault="00D07544" w:rsidP="00D07544">
      <w:pPr>
        <w:pStyle w:val="Notedebasdepage"/>
      </w:pPr>
      <w:r>
        <w:rPr>
          <w:rStyle w:val="Appelnotedebasdep"/>
        </w:rPr>
        <w:footnoteRef/>
      </w:r>
      <w:r w:rsidRPr="007E3FB4">
        <w:t xml:space="preserve"> Voir à ce sujet Camille </w:t>
      </w:r>
      <w:r w:rsidRPr="007E3FB4">
        <w:rPr>
          <w:smallCaps/>
        </w:rPr>
        <w:t>Focant</w:t>
      </w:r>
      <w:r w:rsidRPr="007E3FB4">
        <w:t xml:space="preserve">, </w:t>
      </w:r>
      <w:r>
        <w:t>« </w:t>
      </w:r>
      <w:r w:rsidRPr="007E3FB4">
        <w:t>Une christologie de type 'mystique' (Mc 1.1–16.8)</w:t>
      </w:r>
      <w:r>
        <w:t> »</w:t>
      </w:r>
      <w:r w:rsidRPr="007E3FB4">
        <w:t>,</w:t>
      </w:r>
      <w:r w:rsidRPr="0040636D">
        <w:t xml:space="preserve"> </w:t>
      </w:r>
      <w:r>
        <w:t>dans</w:t>
      </w:r>
      <w:r w:rsidRPr="0040636D">
        <w:t xml:space="preserve"> </w:t>
      </w:r>
      <w:r w:rsidRPr="0040636D">
        <w:rPr>
          <w:i/>
        </w:rPr>
        <w:t xml:space="preserve">New Testament </w:t>
      </w:r>
      <w:proofErr w:type="spellStart"/>
      <w:r w:rsidRPr="0040636D">
        <w:rPr>
          <w:i/>
        </w:rPr>
        <w:t>Studies</w:t>
      </w:r>
      <w:proofErr w:type="spellEnd"/>
      <w:r>
        <w:t xml:space="preserve"> 55 (2009) 1-21.</w:t>
      </w:r>
    </w:p>
  </w:footnote>
  <w:footnote w:id="26">
    <w:p w:rsidR="00481710" w:rsidRPr="00481710" w:rsidRDefault="00481710">
      <w:pPr>
        <w:pStyle w:val="Notedebasdepage"/>
      </w:pPr>
      <w:r w:rsidRPr="00481710">
        <w:rPr>
          <w:rStyle w:val="Appelnotedebasdep"/>
        </w:rPr>
        <w:footnoteRef/>
      </w:r>
      <w:r w:rsidRPr="00481710">
        <w:t xml:space="preserve"> Mary T. </w:t>
      </w:r>
      <w:r w:rsidRPr="00481710">
        <w:rPr>
          <w:smallCaps/>
        </w:rPr>
        <w:t>Douglas</w:t>
      </w:r>
      <w:r w:rsidRPr="00481710">
        <w:t xml:space="preserve">, </w:t>
      </w:r>
      <w:r w:rsidRPr="00481710">
        <w:rPr>
          <w:i/>
        </w:rPr>
        <w:t>De la souillure. Essais sur les notions de pollution et de tabou</w:t>
      </w:r>
      <w:r>
        <w:t xml:space="preserve"> (Bibliothèque d’anthropologie)</w:t>
      </w:r>
      <w:r w:rsidRPr="00481710">
        <w:t xml:space="preserve">, </w:t>
      </w:r>
      <w:r>
        <w:t xml:space="preserve">Paris, François Maspero, </w:t>
      </w:r>
      <w:r w:rsidRPr="00481710">
        <w:t xml:space="preserve">1971 (trad. par Anne Guérin de </w:t>
      </w:r>
      <w:proofErr w:type="spellStart"/>
      <w:r w:rsidRPr="00481710">
        <w:rPr>
          <w:i/>
        </w:rPr>
        <w:t>Purity</w:t>
      </w:r>
      <w:proofErr w:type="spellEnd"/>
      <w:r w:rsidRPr="00481710">
        <w:rPr>
          <w:i/>
        </w:rPr>
        <w:t xml:space="preserve"> and Danger</w:t>
      </w:r>
      <w:r w:rsidRPr="00481710">
        <w:t xml:space="preserve">, London, </w:t>
      </w:r>
      <w:proofErr w:type="spellStart"/>
      <w:r w:rsidRPr="00481710">
        <w:t>Routledge</w:t>
      </w:r>
      <w:proofErr w:type="spellEnd"/>
      <w:r w:rsidRPr="00481710">
        <w:t xml:space="preserve"> and </w:t>
      </w:r>
      <w:proofErr w:type="spellStart"/>
      <w:r w:rsidRPr="00481710">
        <w:t>Kegan</w:t>
      </w:r>
      <w:proofErr w:type="spellEnd"/>
      <w:r w:rsidRPr="00481710">
        <w:t xml:space="preserve"> Paul, 1966) ; </w:t>
      </w:r>
      <w:r w:rsidRPr="00481710">
        <w:rPr>
          <w:smallCaps/>
        </w:rPr>
        <w:t>Id</w:t>
      </w:r>
      <w:r>
        <w:t>., « Pollution »</w:t>
      </w:r>
      <w:r w:rsidRPr="00481710">
        <w:t xml:space="preserve">, dans </w:t>
      </w:r>
      <w:r w:rsidRPr="00481710">
        <w:rPr>
          <w:i/>
        </w:rPr>
        <w:t xml:space="preserve">International </w:t>
      </w:r>
      <w:proofErr w:type="spellStart"/>
      <w:r w:rsidRPr="00481710">
        <w:rPr>
          <w:i/>
        </w:rPr>
        <w:t>Encyclopaedia</w:t>
      </w:r>
      <w:proofErr w:type="spellEnd"/>
      <w:r w:rsidRPr="00481710">
        <w:rPr>
          <w:i/>
        </w:rPr>
        <w:t xml:space="preserve"> of Social Sciences</w:t>
      </w:r>
      <w:r w:rsidR="00434DCA">
        <w:t xml:space="preserve">, t. XII, 1968, </w:t>
      </w:r>
      <w:r w:rsidRPr="00481710">
        <w:t xml:space="preserve">336-342 ; </w:t>
      </w:r>
      <w:r w:rsidRPr="00481710">
        <w:rPr>
          <w:smallCaps/>
        </w:rPr>
        <w:t>Id</w:t>
      </w:r>
      <w:r w:rsidRPr="00481710">
        <w:t xml:space="preserve">., </w:t>
      </w:r>
      <w:r w:rsidRPr="00481710">
        <w:rPr>
          <w:i/>
        </w:rPr>
        <w:t xml:space="preserve">Natural </w:t>
      </w:r>
      <w:proofErr w:type="spellStart"/>
      <w:r w:rsidRPr="00481710">
        <w:rPr>
          <w:i/>
        </w:rPr>
        <w:t>Symbols</w:t>
      </w:r>
      <w:proofErr w:type="spellEnd"/>
      <w:r w:rsidRPr="00481710">
        <w:t xml:space="preserve">, New York, </w:t>
      </w:r>
      <w:proofErr w:type="spellStart"/>
      <w:r w:rsidRPr="00481710">
        <w:t>Pantheon</w:t>
      </w:r>
      <w:proofErr w:type="spellEnd"/>
      <w:r w:rsidRPr="00481710">
        <w:t>, 1982.</w:t>
      </w:r>
    </w:p>
  </w:footnote>
  <w:footnote w:id="27">
    <w:p w:rsidR="00481710" w:rsidRPr="00481710" w:rsidRDefault="00481710">
      <w:pPr>
        <w:pStyle w:val="Notedebasdepage"/>
      </w:pPr>
      <w:r>
        <w:rPr>
          <w:rStyle w:val="Appelnotedebasdep"/>
        </w:rPr>
        <w:footnoteRef/>
      </w:r>
      <w:r w:rsidRPr="00481710">
        <w:t xml:space="preserve"> </w:t>
      </w:r>
      <w:r w:rsidRPr="00481710">
        <w:rPr>
          <w:smallCaps/>
        </w:rPr>
        <w:t>Douglas</w:t>
      </w:r>
      <w:r w:rsidRPr="00481710">
        <w:t xml:space="preserve">, </w:t>
      </w:r>
      <w:r w:rsidRPr="00481710">
        <w:rPr>
          <w:i/>
        </w:rPr>
        <w:t>De la souillure</w:t>
      </w:r>
      <w:r w:rsidR="00434DCA">
        <w:t xml:space="preserve">, </w:t>
      </w:r>
      <w:r w:rsidRPr="00481710">
        <w:t xml:space="preserve">55. On retrouve une position semblable dans </w:t>
      </w:r>
      <w:r w:rsidRPr="00481710">
        <w:rPr>
          <w:smallCaps/>
        </w:rPr>
        <w:t>Id</w:t>
      </w:r>
      <w:r w:rsidRPr="00481710">
        <w:t xml:space="preserve">., </w:t>
      </w:r>
      <w:proofErr w:type="spellStart"/>
      <w:r w:rsidRPr="00481710">
        <w:rPr>
          <w:i/>
        </w:rPr>
        <w:t>Implicit</w:t>
      </w:r>
      <w:proofErr w:type="spellEnd"/>
      <w:r w:rsidRPr="00481710">
        <w:rPr>
          <w:i/>
        </w:rPr>
        <w:t xml:space="preserve"> </w:t>
      </w:r>
      <w:proofErr w:type="spellStart"/>
      <w:r w:rsidRPr="00481710">
        <w:rPr>
          <w:i/>
        </w:rPr>
        <w:t>Meanings</w:t>
      </w:r>
      <w:proofErr w:type="spellEnd"/>
      <w:r w:rsidRPr="00481710">
        <w:t xml:space="preserve">, London, </w:t>
      </w:r>
      <w:proofErr w:type="spellStart"/>
      <w:r w:rsidRPr="00481710">
        <w:t>Rou</w:t>
      </w:r>
      <w:r w:rsidR="00434DCA">
        <w:t>tledge</w:t>
      </w:r>
      <w:proofErr w:type="spellEnd"/>
      <w:r w:rsidR="00434DCA">
        <w:t xml:space="preserve"> and </w:t>
      </w:r>
      <w:proofErr w:type="spellStart"/>
      <w:r w:rsidR="00434DCA">
        <w:t>Kegan</w:t>
      </w:r>
      <w:proofErr w:type="spellEnd"/>
      <w:r w:rsidR="00434DCA">
        <w:t xml:space="preserve"> Paul, 1975, </w:t>
      </w:r>
      <w:r w:rsidRPr="00481710">
        <w:t xml:space="preserve">51 : </w:t>
      </w:r>
      <w:r>
        <w:t>« </w:t>
      </w:r>
      <w:r w:rsidRPr="00481710">
        <w:t>L’idée de saleté implique une structure idéelle. Pour nous, la saleté est une sorte de raccourci couvrant tous les événements qui embuent, maculent, contredisent ou brouillent les classifications acceptées. Le sentiment sous-jacent est qu’un système de valeurs qui trouve son expression habituelle dans un ord</w:t>
      </w:r>
      <w:r w:rsidR="00434DCA">
        <w:t>re donné des choses a été violé »</w:t>
      </w:r>
      <w:r w:rsidRPr="00481710">
        <w:t>.</w:t>
      </w:r>
    </w:p>
  </w:footnote>
  <w:footnote w:id="28">
    <w:p w:rsidR="00481710" w:rsidRPr="00481710" w:rsidRDefault="00481710">
      <w:pPr>
        <w:pStyle w:val="Notedebasdepage"/>
      </w:pPr>
      <w:r w:rsidRPr="00481710">
        <w:rPr>
          <w:rStyle w:val="Appelnotedebasdep"/>
        </w:rPr>
        <w:footnoteRef/>
      </w:r>
      <w:r w:rsidRPr="00481710">
        <w:t xml:space="preserve"> </w:t>
      </w:r>
      <w:r w:rsidRPr="00481710">
        <w:rPr>
          <w:smallCaps/>
        </w:rPr>
        <w:t>Douglas</w:t>
      </w:r>
      <w:r w:rsidRPr="00481710">
        <w:t xml:space="preserve">, </w:t>
      </w:r>
      <w:r w:rsidRPr="00481710">
        <w:rPr>
          <w:i/>
        </w:rPr>
        <w:t>De la souillure</w:t>
      </w:r>
      <w:r w:rsidR="00434DCA">
        <w:t xml:space="preserve">, </w:t>
      </w:r>
      <w:r w:rsidRPr="00481710">
        <w:t xml:space="preserve">69-76. Pour les effets de la malédiction, voir, par exemple, </w:t>
      </w:r>
      <w:proofErr w:type="spellStart"/>
      <w:r w:rsidRPr="00481710">
        <w:t>Dt</w:t>
      </w:r>
      <w:proofErr w:type="spellEnd"/>
      <w:r w:rsidRPr="00481710">
        <w:t xml:space="preserve"> 28,15ss.</w:t>
      </w:r>
    </w:p>
  </w:footnote>
  <w:footnote w:id="29">
    <w:p w:rsidR="00481710" w:rsidRPr="00023E85" w:rsidRDefault="00481710">
      <w:pPr>
        <w:pStyle w:val="Notedebasdepage"/>
        <w:rPr>
          <w:lang w:val="en-US"/>
        </w:rPr>
      </w:pPr>
      <w:r w:rsidRPr="00023E85">
        <w:rPr>
          <w:rStyle w:val="Appelnotedebasdep"/>
        </w:rPr>
        <w:footnoteRef/>
      </w:r>
      <w:r w:rsidRPr="00023E85">
        <w:rPr>
          <w:lang w:val="en-US"/>
        </w:rPr>
        <w:t xml:space="preserve"> </w:t>
      </w:r>
      <w:r w:rsidR="00023E85" w:rsidRPr="00023E85">
        <w:rPr>
          <w:lang w:val="en-US"/>
        </w:rPr>
        <w:t xml:space="preserve">Jerome H. </w:t>
      </w:r>
      <w:r w:rsidRPr="00023E85">
        <w:rPr>
          <w:smallCaps/>
          <w:lang w:val="en-US"/>
        </w:rPr>
        <w:t>Neyrey</w:t>
      </w:r>
      <w:r w:rsidRPr="00023E85">
        <w:rPr>
          <w:lang w:val="en-US"/>
        </w:rPr>
        <w:t xml:space="preserve">, </w:t>
      </w:r>
      <w:r w:rsidR="00023E85">
        <w:rPr>
          <w:lang w:val="en-US"/>
        </w:rPr>
        <w:t>« </w:t>
      </w:r>
      <w:r w:rsidR="00023E85" w:rsidRPr="00023E85">
        <w:rPr>
          <w:lang w:val="en-US"/>
        </w:rPr>
        <w:t xml:space="preserve">The </w:t>
      </w:r>
      <w:r w:rsidR="00023E85">
        <w:rPr>
          <w:lang w:val="en-US"/>
        </w:rPr>
        <w:t>Idea of Purity in Mark’s Gospel »</w:t>
      </w:r>
      <w:r w:rsidR="00023E85" w:rsidRPr="00023E85">
        <w:rPr>
          <w:lang w:val="en-US"/>
        </w:rPr>
        <w:t xml:space="preserve">, </w:t>
      </w:r>
      <w:proofErr w:type="spellStart"/>
      <w:r w:rsidR="00023E85" w:rsidRPr="00023E85">
        <w:rPr>
          <w:lang w:val="en-US"/>
        </w:rPr>
        <w:t>dans</w:t>
      </w:r>
      <w:proofErr w:type="spellEnd"/>
      <w:r w:rsidR="00023E85" w:rsidRPr="00023E85">
        <w:rPr>
          <w:lang w:val="en-US"/>
        </w:rPr>
        <w:t xml:space="preserve"> </w:t>
      </w:r>
      <w:proofErr w:type="spellStart"/>
      <w:r w:rsidR="00023E85" w:rsidRPr="00A25D2D">
        <w:rPr>
          <w:i/>
          <w:lang w:val="en-US"/>
        </w:rPr>
        <w:t>Semeia</w:t>
      </w:r>
      <w:proofErr w:type="spellEnd"/>
      <w:r w:rsidR="00023E85">
        <w:rPr>
          <w:lang w:val="en-US"/>
        </w:rPr>
        <w:t xml:space="preserve"> 35 (1986)</w:t>
      </w:r>
      <w:r w:rsidR="00023E85" w:rsidRPr="00023E85">
        <w:rPr>
          <w:lang w:val="en-US"/>
        </w:rPr>
        <w:t xml:space="preserve"> 91-128</w:t>
      </w:r>
      <w:r w:rsidR="00434DCA">
        <w:rPr>
          <w:lang w:val="en-US"/>
        </w:rPr>
        <w:t xml:space="preserve"> (</w:t>
      </w:r>
      <w:r w:rsidRPr="00023E85">
        <w:rPr>
          <w:lang w:val="en-US"/>
        </w:rPr>
        <w:t>94</w:t>
      </w:r>
      <w:r w:rsidR="00023E85">
        <w:rPr>
          <w:lang w:val="en-US"/>
        </w:rPr>
        <w:t>)</w:t>
      </w:r>
      <w:r w:rsidRPr="00023E85">
        <w:rPr>
          <w:lang w:val="en-US"/>
        </w:rPr>
        <w:t xml:space="preserve">, </w:t>
      </w:r>
      <w:r w:rsidR="00023E85">
        <w:rPr>
          <w:lang w:val="en-US"/>
        </w:rPr>
        <w:t xml:space="preserve">qui </w:t>
      </w:r>
      <w:proofErr w:type="spellStart"/>
      <w:r w:rsidR="00023E85" w:rsidRPr="00023E85">
        <w:rPr>
          <w:lang w:val="en-US"/>
        </w:rPr>
        <w:t>s’appuie</w:t>
      </w:r>
      <w:proofErr w:type="spellEnd"/>
      <w:r w:rsidRPr="00023E85">
        <w:rPr>
          <w:lang w:val="en-US"/>
        </w:rPr>
        <w:t xml:space="preserve"> </w:t>
      </w:r>
      <w:proofErr w:type="spellStart"/>
      <w:r w:rsidRPr="00023E85">
        <w:rPr>
          <w:lang w:val="en-US"/>
        </w:rPr>
        <w:t>sur</w:t>
      </w:r>
      <w:proofErr w:type="spellEnd"/>
      <w:r w:rsidRPr="00023E85">
        <w:rPr>
          <w:lang w:val="en-US"/>
        </w:rPr>
        <w:t xml:space="preserve"> Jacob </w:t>
      </w:r>
      <w:proofErr w:type="spellStart"/>
      <w:r w:rsidRPr="00023E85">
        <w:rPr>
          <w:smallCaps/>
          <w:lang w:val="en-US"/>
        </w:rPr>
        <w:t>Neusner</w:t>
      </w:r>
      <w:proofErr w:type="spellEnd"/>
      <w:r w:rsidR="00023E85">
        <w:rPr>
          <w:lang w:val="en-US"/>
        </w:rPr>
        <w:t>, « </w:t>
      </w:r>
      <w:r w:rsidRPr="00023E85">
        <w:rPr>
          <w:lang w:val="en-US"/>
        </w:rPr>
        <w:t xml:space="preserve">Map Without </w:t>
      </w:r>
      <w:proofErr w:type="gramStart"/>
      <w:r w:rsidRPr="00023E85">
        <w:rPr>
          <w:lang w:val="en-US"/>
        </w:rPr>
        <w:t>Territory  :</w:t>
      </w:r>
      <w:proofErr w:type="gramEnd"/>
      <w:r w:rsidRPr="00023E85">
        <w:rPr>
          <w:lang w:val="en-US"/>
        </w:rPr>
        <w:t xml:space="preserve"> Mishnah’s Sy</w:t>
      </w:r>
      <w:r w:rsidR="00023E85">
        <w:rPr>
          <w:lang w:val="en-US"/>
        </w:rPr>
        <w:t>stem of Sacrifice and Sanctuary »</w:t>
      </w:r>
      <w:r w:rsidRPr="00023E85">
        <w:rPr>
          <w:lang w:val="en-US"/>
        </w:rPr>
        <w:t xml:space="preserve">, </w:t>
      </w:r>
      <w:proofErr w:type="spellStart"/>
      <w:r w:rsidRPr="00023E85">
        <w:rPr>
          <w:lang w:val="en-US"/>
        </w:rPr>
        <w:t>dans</w:t>
      </w:r>
      <w:proofErr w:type="spellEnd"/>
      <w:r w:rsidRPr="00023E85">
        <w:rPr>
          <w:lang w:val="en-US"/>
        </w:rPr>
        <w:t xml:space="preserve"> </w:t>
      </w:r>
      <w:r w:rsidRPr="00023E85">
        <w:rPr>
          <w:i/>
          <w:lang w:val="en-US"/>
        </w:rPr>
        <w:t>History of Religions</w:t>
      </w:r>
      <w:r w:rsidR="00023E85">
        <w:rPr>
          <w:lang w:val="en-US"/>
        </w:rPr>
        <w:t xml:space="preserve"> 19 (1979)</w:t>
      </w:r>
      <w:r w:rsidRPr="00023E85">
        <w:rPr>
          <w:lang w:val="en-US"/>
        </w:rPr>
        <w:t xml:space="preserve"> 103-127.</w:t>
      </w:r>
    </w:p>
  </w:footnote>
  <w:footnote w:id="30">
    <w:p w:rsidR="00D07544" w:rsidRPr="00C23413" w:rsidRDefault="00D07544" w:rsidP="00D07544">
      <w:pPr>
        <w:pStyle w:val="Notedebasdepage"/>
      </w:pPr>
      <w:r w:rsidRPr="00C23413">
        <w:rPr>
          <w:rStyle w:val="Appelnotedebasdep"/>
        </w:rPr>
        <w:footnoteRef/>
      </w:r>
      <w:r w:rsidRPr="00D07544">
        <w:rPr>
          <w:lang w:val="it-IT"/>
        </w:rPr>
        <w:t xml:space="preserve"> Giancarlo </w:t>
      </w:r>
      <w:r w:rsidRPr="00D07544">
        <w:rPr>
          <w:smallCaps/>
          <w:lang w:val="it-IT"/>
        </w:rPr>
        <w:t>Biguzzi</w:t>
      </w:r>
      <w:r w:rsidRPr="00D07544">
        <w:rPr>
          <w:lang w:val="it-IT"/>
        </w:rPr>
        <w:t xml:space="preserve">, </w:t>
      </w:r>
      <w:r w:rsidRPr="00D07544">
        <w:rPr>
          <w:i/>
          <w:iCs/>
          <w:lang w:val="it-IT"/>
        </w:rPr>
        <w:t>« Io distruggerò questo tempio</w:t>
      </w:r>
      <w:r w:rsidRPr="00D07544">
        <w:rPr>
          <w:lang w:val="it-IT"/>
        </w:rPr>
        <w:t xml:space="preserve"> »</w:t>
      </w:r>
      <w:r w:rsidRPr="00D07544">
        <w:rPr>
          <w:i/>
          <w:lang w:val="it-IT"/>
        </w:rPr>
        <w:t>. Il tempio e il giudaismo nel vangelo di Marco</w:t>
      </w:r>
      <w:r w:rsidRPr="00D07544">
        <w:rPr>
          <w:lang w:val="it-IT"/>
        </w:rPr>
        <w:t xml:space="preserve">, Roma, Pontificia università urbaniana, 1987, 173. </w:t>
      </w:r>
      <w:r>
        <w:t>Selon Jean-Yves</w:t>
      </w:r>
      <w:r w:rsidRPr="00C23413">
        <w:t xml:space="preserve"> </w:t>
      </w:r>
      <w:r w:rsidRPr="00C87C79">
        <w:rPr>
          <w:smallCaps/>
        </w:rPr>
        <w:t>Thériault</w:t>
      </w:r>
      <w:r w:rsidRPr="00C23413">
        <w:t xml:space="preserve">, </w:t>
      </w:r>
      <w:r>
        <w:t>« </w:t>
      </w:r>
      <w:r w:rsidRPr="009A711C">
        <w:t>Quelques notes pour la lecture de</w:t>
      </w:r>
      <w:r>
        <w:t xml:space="preserve"> Marc 11,12-14 »</w:t>
      </w:r>
      <w:r w:rsidRPr="00C23413">
        <w:t xml:space="preserve">, </w:t>
      </w:r>
      <w:r>
        <w:t>dans Louis</w:t>
      </w:r>
      <w:r w:rsidRPr="00C23413">
        <w:t xml:space="preserve"> </w:t>
      </w:r>
      <w:r w:rsidRPr="00C87C79">
        <w:rPr>
          <w:smallCaps/>
        </w:rPr>
        <w:t>Panier</w:t>
      </w:r>
      <w:r w:rsidRPr="00C23413">
        <w:t xml:space="preserve"> (éd.), </w:t>
      </w:r>
      <w:r w:rsidRPr="00C23413">
        <w:rPr>
          <w:i/>
          <w:iCs/>
        </w:rPr>
        <w:t xml:space="preserve">Le temps de la lecture. Exégèse et sémiotique. </w:t>
      </w:r>
      <w:r w:rsidRPr="005D6920">
        <w:rPr>
          <w:iCs/>
        </w:rPr>
        <w:t>Mélanges Jean Delorme</w:t>
      </w:r>
      <w:r>
        <w:rPr>
          <w:iCs/>
        </w:rPr>
        <w:t xml:space="preserve"> (</w:t>
      </w:r>
      <w:proofErr w:type="spellStart"/>
      <w:r>
        <w:t>Lectio</w:t>
      </w:r>
      <w:proofErr w:type="spellEnd"/>
      <w:r>
        <w:t xml:space="preserve"> Divina 155), Paris,</w:t>
      </w:r>
      <w:r w:rsidRPr="00C23413">
        <w:t xml:space="preserve"> </w:t>
      </w:r>
      <w:r>
        <w:t xml:space="preserve">Cerf, 1993, </w:t>
      </w:r>
      <w:r w:rsidRPr="00C23413">
        <w:t>203-214, la faute du temple est d'en être resté à son fonctionnement et sa propre programmation, sans s'accorder au programme de Jésus, ce qui l'a empêché de</w:t>
      </w:r>
      <w:r>
        <w:t xml:space="preserve"> </w:t>
      </w:r>
      <w:r w:rsidRPr="00C87C79">
        <w:rPr>
          <w:iCs/>
        </w:rPr>
        <w:t>« </w:t>
      </w:r>
      <w:r w:rsidRPr="00C23413">
        <w:t>donner les fruits requis lors de la venue de Jésus. La parole dite au figuier correspond au geste dans le Temple : si Jésus renverse et s'il élimine, c'est que le fonctionnement du Temple est désormais périmé : plus personne n'en recevra les fruits parce qu'il ne s'est pas ajusté à la venue de</w:t>
      </w:r>
      <w:r>
        <w:t xml:space="preserve"> Jésus »</w:t>
      </w:r>
      <w:r w:rsidRPr="00C23413">
        <w:t xml:space="preserve"> (208).</w:t>
      </w:r>
    </w:p>
  </w:footnote>
  <w:footnote w:id="31">
    <w:p w:rsidR="00D07544" w:rsidRPr="00C23413" w:rsidRDefault="00D07544" w:rsidP="00D07544">
      <w:pPr>
        <w:pStyle w:val="Notedebasdepage"/>
      </w:pPr>
      <w:r w:rsidRPr="00C23413">
        <w:rPr>
          <w:rStyle w:val="Appelnotedebasdep"/>
        </w:rPr>
        <w:footnoteRef/>
      </w:r>
      <w:r>
        <w:rPr>
          <w:lang w:val="de-DE"/>
        </w:rPr>
        <w:t xml:space="preserve"> Thomas</w:t>
      </w:r>
      <w:r w:rsidRPr="00C23413">
        <w:rPr>
          <w:lang w:val="de-DE"/>
        </w:rPr>
        <w:t xml:space="preserve"> </w:t>
      </w:r>
      <w:r w:rsidRPr="006A74DC">
        <w:rPr>
          <w:smallCaps/>
          <w:lang w:val="de-DE"/>
        </w:rPr>
        <w:t>Söding</w:t>
      </w:r>
      <w:r w:rsidRPr="00C23413">
        <w:rPr>
          <w:lang w:val="de-DE"/>
        </w:rPr>
        <w:t xml:space="preserve">, </w:t>
      </w:r>
      <w:r w:rsidRPr="006A74DC">
        <w:rPr>
          <w:lang w:val="de-DE"/>
        </w:rPr>
        <w:t xml:space="preserve">« </w:t>
      </w:r>
      <w:r w:rsidRPr="005F16F0">
        <w:rPr>
          <w:lang w:val="de-DE"/>
        </w:rPr>
        <w:t>Die Tempelaktion Jesu. Redaktionskritik, Überlieferungsgeschichte, historische Rückfrage (</w:t>
      </w:r>
      <w:proofErr w:type="spellStart"/>
      <w:r w:rsidRPr="005F16F0">
        <w:rPr>
          <w:lang w:val="de-DE"/>
        </w:rPr>
        <w:t>Mk</w:t>
      </w:r>
      <w:proofErr w:type="spellEnd"/>
      <w:r w:rsidRPr="005F16F0">
        <w:rPr>
          <w:lang w:val="de-DE"/>
        </w:rPr>
        <w:t xml:space="preserve"> 11,15-19 ; </w:t>
      </w:r>
      <w:proofErr w:type="spellStart"/>
      <w:r w:rsidRPr="005F16F0">
        <w:rPr>
          <w:lang w:val="de-DE"/>
        </w:rPr>
        <w:t>Mt</w:t>
      </w:r>
      <w:proofErr w:type="spellEnd"/>
      <w:r w:rsidRPr="005F16F0">
        <w:rPr>
          <w:lang w:val="de-DE"/>
        </w:rPr>
        <w:t xml:space="preserve"> 21,12-17 ; </w:t>
      </w:r>
      <w:proofErr w:type="spellStart"/>
      <w:r w:rsidRPr="005F16F0">
        <w:rPr>
          <w:lang w:val="de-DE"/>
        </w:rPr>
        <w:t>Lk</w:t>
      </w:r>
      <w:proofErr w:type="spellEnd"/>
      <w:r w:rsidRPr="005F16F0">
        <w:rPr>
          <w:lang w:val="de-DE"/>
        </w:rPr>
        <w:t xml:space="preserve"> 19,45-48 ; </w:t>
      </w:r>
      <w:proofErr w:type="spellStart"/>
      <w:r w:rsidRPr="005F16F0">
        <w:rPr>
          <w:lang w:val="de-DE"/>
        </w:rPr>
        <w:t>Joh</w:t>
      </w:r>
      <w:proofErr w:type="spellEnd"/>
      <w:r w:rsidRPr="005F16F0">
        <w:rPr>
          <w:lang w:val="de-DE"/>
        </w:rPr>
        <w:t xml:space="preserve"> 2,13-22)</w:t>
      </w:r>
      <w:r w:rsidRPr="00B90023">
        <w:rPr>
          <w:lang w:val="de-DE"/>
        </w:rPr>
        <w:t xml:space="preserve"> »</w:t>
      </w:r>
      <w:r>
        <w:rPr>
          <w:lang w:val="de-DE"/>
        </w:rPr>
        <w:t xml:space="preserve">, </w:t>
      </w:r>
      <w:proofErr w:type="spellStart"/>
      <w:r>
        <w:rPr>
          <w:lang w:val="de-DE"/>
        </w:rPr>
        <w:t>dans</w:t>
      </w:r>
      <w:proofErr w:type="spellEnd"/>
      <w:r w:rsidRPr="00C23413">
        <w:rPr>
          <w:lang w:val="de-DE"/>
        </w:rPr>
        <w:t xml:space="preserve"> </w:t>
      </w:r>
      <w:r w:rsidRPr="00C23413">
        <w:rPr>
          <w:i/>
          <w:lang w:val="de-DE"/>
        </w:rPr>
        <w:t>Trierer theologische Zeitschrift</w:t>
      </w:r>
      <w:r w:rsidRPr="00C23413">
        <w:rPr>
          <w:lang w:val="de-DE"/>
        </w:rPr>
        <w:t xml:space="preserve"> 101 (1992) 36-64, </w:t>
      </w:r>
      <w:proofErr w:type="spellStart"/>
      <w:r w:rsidRPr="00C23413">
        <w:rPr>
          <w:lang w:val="de-DE"/>
        </w:rPr>
        <w:t>présente</w:t>
      </w:r>
      <w:proofErr w:type="spellEnd"/>
      <w:r w:rsidRPr="00C23413">
        <w:rPr>
          <w:lang w:val="de-DE"/>
        </w:rPr>
        <w:t xml:space="preserve"> </w:t>
      </w:r>
      <w:proofErr w:type="spellStart"/>
      <w:r w:rsidRPr="00C23413">
        <w:rPr>
          <w:lang w:val="de-DE"/>
        </w:rPr>
        <w:t>l'action</w:t>
      </w:r>
      <w:proofErr w:type="spellEnd"/>
      <w:r w:rsidRPr="00C23413">
        <w:rPr>
          <w:lang w:val="de-DE"/>
        </w:rPr>
        <w:t xml:space="preserve"> de</w:t>
      </w:r>
      <w:r>
        <w:rPr>
          <w:lang w:val="de-DE"/>
        </w:rPr>
        <w:t xml:space="preserve"> Jésus « </w:t>
      </w:r>
      <w:r w:rsidRPr="00C23413">
        <w:rPr>
          <w:lang w:val="de-DE"/>
        </w:rPr>
        <w:t>als ein vollmächtiges Zeichen (vgl. 11,27-33) für das Strafgericht Gottes, der die Institution des Jerusalemer Heiligtums aufhebt und de</w:t>
      </w:r>
      <w:r>
        <w:rPr>
          <w:lang w:val="de-DE"/>
        </w:rPr>
        <w:t>r Tempel zerstört »</w:t>
      </w:r>
      <w:r w:rsidRPr="00C23413">
        <w:rPr>
          <w:lang w:val="de-DE"/>
        </w:rPr>
        <w:t xml:space="preserve"> (39). </w:t>
      </w:r>
      <w:r w:rsidRPr="00C23413">
        <w:t xml:space="preserve">C'est encore, pour lui, le signe de l'abolition du culte sacrificiel qui n'a pas la force expiatoire espérée (41). Pour sa part, </w:t>
      </w:r>
      <w:r>
        <w:t xml:space="preserve">Robert G. </w:t>
      </w:r>
      <w:proofErr w:type="spellStart"/>
      <w:r w:rsidRPr="00C87C79">
        <w:rPr>
          <w:smallCaps/>
        </w:rPr>
        <w:t>Hamerton</w:t>
      </w:r>
      <w:proofErr w:type="spellEnd"/>
      <w:r w:rsidRPr="00C87C79">
        <w:rPr>
          <w:smallCaps/>
        </w:rPr>
        <w:t>-Kelly</w:t>
      </w:r>
      <w:r w:rsidRPr="00C23413">
        <w:t xml:space="preserve">, </w:t>
      </w:r>
      <w:r w:rsidRPr="00C23413">
        <w:rPr>
          <w:i/>
          <w:iCs/>
        </w:rPr>
        <w:t>The Gospel</w:t>
      </w:r>
      <w:r>
        <w:rPr>
          <w:i/>
          <w:iCs/>
        </w:rPr>
        <w:t xml:space="preserve"> and the </w:t>
      </w:r>
      <w:proofErr w:type="spellStart"/>
      <w:r>
        <w:rPr>
          <w:i/>
          <w:iCs/>
        </w:rPr>
        <w:t>Sacred</w:t>
      </w:r>
      <w:proofErr w:type="spellEnd"/>
      <w:r>
        <w:rPr>
          <w:i/>
          <w:iCs/>
        </w:rPr>
        <w:t xml:space="preserve">: </w:t>
      </w:r>
      <w:proofErr w:type="spellStart"/>
      <w:r>
        <w:rPr>
          <w:i/>
          <w:iCs/>
        </w:rPr>
        <w:t>Poetics</w:t>
      </w:r>
      <w:proofErr w:type="spellEnd"/>
      <w:r>
        <w:rPr>
          <w:i/>
          <w:iCs/>
        </w:rPr>
        <w:t xml:space="preserve"> of Violence in Mark</w:t>
      </w:r>
      <w:r>
        <w:rPr>
          <w:iCs/>
        </w:rPr>
        <w:t xml:space="preserve">, </w:t>
      </w:r>
      <w:r w:rsidRPr="005F16F0">
        <w:rPr>
          <w:iCs/>
        </w:rPr>
        <w:t>Minneapolis</w:t>
      </w:r>
      <w:r>
        <w:rPr>
          <w:iCs/>
        </w:rPr>
        <w:t>, MN,</w:t>
      </w:r>
      <w:r w:rsidRPr="005F16F0">
        <w:rPr>
          <w:iCs/>
        </w:rPr>
        <w:t xml:space="preserve"> </w:t>
      </w:r>
      <w:proofErr w:type="spellStart"/>
      <w:r>
        <w:rPr>
          <w:iCs/>
        </w:rPr>
        <w:t>Fortress</w:t>
      </w:r>
      <w:proofErr w:type="spellEnd"/>
      <w:r>
        <w:rPr>
          <w:iCs/>
        </w:rPr>
        <w:t>, 1994,</w:t>
      </w:r>
      <w:r w:rsidRPr="005F16F0">
        <w:t xml:space="preserve"> 17</w:t>
      </w:r>
      <w:r w:rsidRPr="00C23413">
        <w:t>-19, voit dans l'action de Jésus un acte prophétique symbolisant la fin des sacr</w:t>
      </w:r>
      <w:r>
        <w:t xml:space="preserve">ifices rituels. L'appellation « </w:t>
      </w:r>
      <w:r w:rsidRPr="00C23413">
        <w:t>caverne de</w:t>
      </w:r>
      <w:r>
        <w:t xml:space="preserve"> bandits »</w:t>
      </w:r>
      <w:r w:rsidRPr="00C23413">
        <w:t xml:space="preserve"> lui paraît bien révéler la vrai</w:t>
      </w:r>
      <w:r>
        <w:t>e nature violente du temple et d</w:t>
      </w:r>
      <w:r w:rsidRPr="00C23413">
        <w:t xml:space="preserve">u système sacrificiel. </w:t>
      </w:r>
    </w:p>
  </w:footnote>
  <w:footnote w:id="32">
    <w:p w:rsidR="00D07544" w:rsidRPr="00C23413" w:rsidRDefault="00D07544" w:rsidP="00D07544">
      <w:pPr>
        <w:pStyle w:val="Notedebasdepage"/>
        <w:rPr>
          <w:lang w:val="it-IT"/>
        </w:rPr>
      </w:pPr>
      <w:r w:rsidRPr="00C23413">
        <w:rPr>
          <w:rStyle w:val="Appelnotedebasdep"/>
        </w:rPr>
        <w:footnoteRef/>
      </w:r>
      <w:r w:rsidRPr="00C23413">
        <w:rPr>
          <w:lang w:val="it-IT"/>
        </w:rPr>
        <w:t xml:space="preserve"> </w:t>
      </w:r>
      <w:r w:rsidRPr="00D07544">
        <w:rPr>
          <w:smallCaps/>
          <w:lang w:val="it-IT"/>
        </w:rPr>
        <w:t>Biguzzi</w:t>
      </w:r>
      <w:r w:rsidRPr="00C23413">
        <w:rPr>
          <w:lang w:val="it-IT"/>
        </w:rPr>
        <w:t xml:space="preserve">, </w:t>
      </w:r>
      <w:r>
        <w:rPr>
          <w:i/>
          <w:iCs/>
          <w:lang w:val="it-IT"/>
        </w:rPr>
        <w:t xml:space="preserve">« </w:t>
      </w:r>
      <w:r w:rsidRPr="00C23413">
        <w:rPr>
          <w:i/>
          <w:iCs/>
          <w:lang w:val="it-IT"/>
        </w:rPr>
        <w:t>Io distruggerò</w:t>
      </w:r>
      <w:r>
        <w:rPr>
          <w:lang w:val="it-IT"/>
        </w:rPr>
        <w:t xml:space="preserve"> »</w:t>
      </w:r>
      <w:r w:rsidRPr="00C23413">
        <w:rPr>
          <w:lang w:val="it-IT"/>
        </w:rPr>
        <w:t xml:space="preserve">, </w:t>
      </w:r>
      <w:r>
        <w:rPr>
          <w:lang w:val="it-IT"/>
        </w:rPr>
        <w:t xml:space="preserve">173 : « </w:t>
      </w:r>
      <w:r w:rsidRPr="00C23413">
        <w:rPr>
          <w:lang w:val="it-IT"/>
        </w:rPr>
        <w:t xml:space="preserve">Dello </w:t>
      </w:r>
      <w:r w:rsidRPr="00C23413">
        <w:rPr>
          <w:i/>
          <w:iCs/>
          <w:lang w:val="it-IT"/>
        </w:rPr>
        <w:t>hierón</w:t>
      </w:r>
      <w:r w:rsidRPr="00C23413">
        <w:rPr>
          <w:lang w:val="it-IT"/>
        </w:rPr>
        <w:t xml:space="preserve"> dunque Marco parla su di un registro prevalentem</w:t>
      </w:r>
      <w:r>
        <w:rPr>
          <w:lang w:val="it-IT"/>
        </w:rPr>
        <w:t>ente narrativo</w:t>
      </w:r>
      <w:r w:rsidRPr="00C23413">
        <w:rPr>
          <w:lang w:val="it-IT"/>
        </w:rPr>
        <w:t xml:space="preserve">; del </w:t>
      </w:r>
      <w:r w:rsidRPr="00C23413">
        <w:rPr>
          <w:i/>
          <w:iCs/>
          <w:lang w:val="it-IT"/>
        </w:rPr>
        <w:t>naós</w:t>
      </w:r>
      <w:r w:rsidRPr="00C23413">
        <w:rPr>
          <w:lang w:val="it-IT"/>
        </w:rPr>
        <w:t xml:space="preserve"> su di un regis</w:t>
      </w:r>
      <w:r>
        <w:rPr>
          <w:lang w:val="it-IT"/>
        </w:rPr>
        <w:t>tro esclusivamente ermeneutico »</w:t>
      </w:r>
      <w:r w:rsidRPr="00C23413">
        <w:rPr>
          <w:lang w:val="it-IT"/>
        </w:rPr>
        <w:t>.</w:t>
      </w:r>
    </w:p>
  </w:footnote>
  <w:footnote w:id="33">
    <w:p w:rsidR="00D07544" w:rsidRPr="006A74DC" w:rsidRDefault="00D07544" w:rsidP="00D07544">
      <w:pPr>
        <w:pStyle w:val="Notedebasdepage"/>
        <w:rPr>
          <w:lang w:val="it-IT"/>
        </w:rPr>
      </w:pPr>
      <w:r>
        <w:rPr>
          <w:rStyle w:val="Appelnotedebasdep"/>
        </w:rPr>
        <w:footnoteRef/>
      </w:r>
      <w:r w:rsidRPr="006A74DC">
        <w:rPr>
          <w:lang w:val="it-IT"/>
        </w:rPr>
        <w:t xml:space="preserve"> Dieter </w:t>
      </w:r>
      <w:r w:rsidRPr="006A74DC">
        <w:rPr>
          <w:smallCaps/>
          <w:lang w:val="it-IT"/>
        </w:rPr>
        <w:t>Lührmann</w:t>
      </w:r>
      <w:r w:rsidRPr="006A74DC">
        <w:rPr>
          <w:lang w:val="it-IT"/>
        </w:rPr>
        <w:t xml:space="preserve">, « Markus 14.55-64. Christologie und Zerstörung des Tempels im Markusevangelium », dans </w:t>
      </w:r>
      <w:r w:rsidRPr="006A74DC">
        <w:rPr>
          <w:i/>
          <w:lang w:val="it-IT"/>
        </w:rPr>
        <w:t>New Testament Studies</w:t>
      </w:r>
      <w:r w:rsidRPr="006A74DC">
        <w:rPr>
          <w:lang w:val="it-IT"/>
        </w:rPr>
        <w:t xml:space="preserve"> 27 (1981) 457-474 (459), cite les trois déformations que j'évoque.</w:t>
      </w:r>
    </w:p>
  </w:footnote>
  <w:footnote w:id="34">
    <w:p w:rsidR="00D07544" w:rsidRPr="00DE772F" w:rsidRDefault="00D07544" w:rsidP="00D07544">
      <w:pPr>
        <w:pStyle w:val="Notedebasdepage"/>
        <w:rPr>
          <w:lang w:val="de-DE"/>
        </w:rPr>
      </w:pPr>
      <w:r>
        <w:rPr>
          <w:rStyle w:val="Appelnotedebasdep"/>
        </w:rPr>
        <w:footnoteRef/>
      </w:r>
      <w:r>
        <w:t xml:space="preserve"> Il en va de même des moqueries des passants en </w:t>
      </w:r>
      <w:r w:rsidR="00FE1E50">
        <w:t xml:space="preserve">Mc </w:t>
      </w:r>
      <w:r>
        <w:t xml:space="preserve">15,29. Ils ne </w:t>
      </w:r>
      <w:r w:rsidRPr="00C23413">
        <w:t xml:space="preserve">se doutent pas que la mort de Jésus en croix va réaliser </w:t>
      </w:r>
      <w:r>
        <w:t xml:space="preserve">à la fois </w:t>
      </w:r>
      <w:r w:rsidRPr="00C23413">
        <w:t xml:space="preserve">l'abolition de l'ancien ordre religieux symbolisé par le sanctuaire </w:t>
      </w:r>
      <w:r>
        <w:t>et</w:t>
      </w:r>
      <w:r w:rsidRPr="00C23413">
        <w:t xml:space="preserve"> le rejet de celui qui deviendra la pierre d'angle</w:t>
      </w:r>
      <w:r>
        <w:t xml:space="preserve"> du nouveau sanctuaire (Donald H. </w:t>
      </w:r>
      <w:proofErr w:type="spellStart"/>
      <w:r w:rsidRPr="00C87C79">
        <w:rPr>
          <w:smallCaps/>
        </w:rPr>
        <w:t>Juel</w:t>
      </w:r>
      <w:proofErr w:type="spellEnd"/>
      <w:r>
        <w:t xml:space="preserve">, </w:t>
      </w:r>
      <w:proofErr w:type="spellStart"/>
      <w:r w:rsidRPr="006670B7">
        <w:rPr>
          <w:i/>
        </w:rPr>
        <w:t>Messiah</w:t>
      </w:r>
      <w:proofErr w:type="spellEnd"/>
      <w:r w:rsidRPr="006670B7">
        <w:rPr>
          <w:i/>
        </w:rPr>
        <w:t xml:space="preserve"> and Temple : The Trial of </w:t>
      </w:r>
      <w:proofErr w:type="spellStart"/>
      <w:r w:rsidRPr="006670B7">
        <w:rPr>
          <w:i/>
        </w:rPr>
        <w:t>Jesus</w:t>
      </w:r>
      <w:proofErr w:type="spellEnd"/>
      <w:r w:rsidRPr="006670B7">
        <w:rPr>
          <w:i/>
        </w:rPr>
        <w:t xml:space="preserve"> in the Gospel of Mark</w:t>
      </w:r>
      <w:r>
        <w:t xml:space="preserve"> [Society of </w:t>
      </w:r>
      <w:proofErr w:type="spellStart"/>
      <w:r>
        <w:t>Biblical</w:t>
      </w:r>
      <w:proofErr w:type="spellEnd"/>
      <w:r>
        <w:t xml:space="preserve"> </w:t>
      </w:r>
      <w:proofErr w:type="spellStart"/>
      <w:r>
        <w:t>Literature</w:t>
      </w:r>
      <w:proofErr w:type="spellEnd"/>
      <w:r>
        <w:t xml:space="preserve">. </w:t>
      </w:r>
      <w:r w:rsidRPr="00DE772F">
        <w:rPr>
          <w:lang w:val="de-DE"/>
        </w:rPr>
        <w:t>Dissertation Series 31], Missoula MT, Scholars, 1977, 206).</w:t>
      </w:r>
    </w:p>
  </w:footnote>
  <w:footnote w:id="35">
    <w:p w:rsidR="00D07544" w:rsidRPr="00C23413" w:rsidRDefault="00D07544" w:rsidP="00D07544">
      <w:pPr>
        <w:pStyle w:val="Notedebasdepage"/>
      </w:pPr>
      <w:r w:rsidRPr="00C23413">
        <w:rPr>
          <w:rStyle w:val="Appelnotedebasdep"/>
        </w:rPr>
        <w:footnoteRef/>
      </w:r>
      <w:r w:rsidRPr="00DE772F">
        <w:rPr>
          <w:lang w:val="de-DE"/>
        </w:rPr>
        <w:t xml:space="preserve"> Kurt </w:t>
      </w:r>
      <w:r w:rsidRPr="00DE772F">
        <w:rPr>
          <w:smallCaps/>
          <w:lang w:val="de-DE"/>
        </w:rPr>
        <w:t>Paesler</w:t>
      </w:r>
      <w:r w:rsidRPr="00DE772F">
        <w:rPr>
          <w:lang w:val="de-DE"/>
        </w:rPr>
        <w:t xml:space="preserve">, </w:t>
      </w:r>
      <w:r w:rsidRPr="00DE772F">
        <w:rPr>
          <w:i/>
          <w:iCs/>
          <w:lang w:val="de-DE"/>
        </w:rPr>
        <w:t xml:space="preserve">Das Tempelwort Jesu. </w:t>
      </w:r>
      <w:r w:rsidRPr="00390ABB">
        <w:rPr>
          <w:i/>
          <w:iCs/>
        </w:rPr>
        <w:t xml:space="preserve">Die </w:t>
      </w:r>
      <w:proofErr w:type="spellStart"/>
      <w:r w:rsidRPr="006A74DC">
        <w:rPr>
          <w:i/>
          <w:iCs/>
        </w:rPr>
        <w:t>Traditionen</w:t>
      </w:r>
      <w:proofErr w:type="spellEnd"/>
      <w:r w:rsidRPr="00390ABB">
        <w:rPr>
          <w:i/>
          <w:iCs/>
        </w:rPr>
        <w:t xml:space="preserve"> </w:t>
      </w:r>
      <w:proofErr w:type="spellStart"/>
      <w:r w:rsidRPr="006A74DC">
        <w:rPr>
          <w:i/>
          <w:iCs/>
        </w:rPr>
        <w:t>vom</w:t>
      </w:r>
      <w:proofErr w:type="spellEnd"/>
      <w:r w:rsidRPr="00390ABB">
        <w:rPr>
          <w:i/>
          <w:iCs/>
        </w:rPr>
        <w:t xml:space="preserve"> </w:t>
      </w:r>
      <w:proofErr w:type="spellStart"/>
      <w:r w:rsidRPr="006A74DC">
        <w:rPr>
          <w:i/>
          <w:iCs/>
        </w:rPr>
        <w:t>Tempelzerstörung</w:t>
      </w:r>
      <w:proofErr w:type="spellEnd"/>
      <w:r w:rsidRPr="00390ABB">
        <w:rPr>
          <w:i/>
          <w:iCs/>
        </w:rPr>
        <w:t xml:space="preserve"> </w:t>
      </w:r>
      <w:proofErr w:type="spellStart"/>
      <w:r w:rsidRPr="00390ABB">
        <w:rPr>
          <w:i/>
          <w:iCs/>
        </w:rPr>
        <w:t>und</w:t>
      </w:r>
      <w:proofErr w:type="spellEnd"/>
      <w:r w:rsidRPr="00390ABB">
        <w:rPr>
          <w:i/>
          <w:iCs/>
        </w:rPr>
        <w:t xml:space="preserve"> </w:t>
      </w:r>
      <w:proofErr w:type="spellStart"/>
      <w:r w:rsidRPr="006A74DC">
        <w:rPr>
          <w:i/>
          <w:iCs/>
        </w:rPr>
        <w:t>Tempelerneuerung</w:t>
      </w:r>
      <w:proofErr w:type="spellEnd"/>
      <w:r w:rsidRPr="00390ABB">
        <w:rPr>
          <w:i/>
          <w:iCs/>
        </w:rPr>
        <w:t xml:space="preserve"> </w:t>
      </w:r>
      <w:proofErr w:type="spellStart"/>
      <w:r w:rsidRPr="006A74DC">
        <w:rPr>
          <w:i/>
          <w:iCs/>
        </w:rPr>
        <w:t>im</w:t>
      </w:r>
      <w:proofErr w:type="spellEnd"/>
      <w:r w:rsidRPr="00390ABB">
        <w:rPr>
          <w:i/>
          <w:iCs/>
        </w:rPr>
        <w:t xml:space="preserve"> </w:t>
      </w:r>
      <w:proofErr w:type="spellStart"/>
      <w:r w:rsidRPr="006A74DC">
        <w:rPr>
          <w:i/>
          <w:iCs/>
        </w:rPr>
        <w:t>Neuen</w:t>
      </w:r>
      <w:proofErr w:type="spellEnd"/>
      <w:r w:rsidRPr="00390ABB">
        <w:rPr>
          <w:i/>
          <w:iCs/>
        </w:rPr>
        <w:t xml:space="preserve"> Testament</w:t>
      </w:r>
      <w:r w:rsidRPr="00390ABB">
        <w:rPr>
          <w:iCs/>
        </w:rPr>
        <w:t xml:space="preserve"> (</w:t>
      </w:r>
      <w:proofErr w:type="spellStart"/>
      <w:r>
        <w:rPr>
          <w:iCs/>
        </w:rPr>
        <w:t>Forschungen</w:t>
      </w:r>
      <w:proofErr w:type="spellEnd"/>
      <w:r>
        <w:rPr>
          <w:iCs/>
        </w:rPr>
        <w:t xml:space="preserve"> sur Religion </w:t>
      </w:r>
      <w:proofErr w:type="spellStart"/>
      <w:r>
        <w:rPr>
          <w:iCs/>
        </w:rPr>
        <w:t>und</w:t>
      </w:r>
      <w:proofErr w:type="spellEnd"/>
      <w:r>
        <w:rPr>
          <w:iCs/>
        </w:rPr>
        <w:t xml:space="preserve"> </w:t>
      </w:r>
      <w:proofErr w:type="spellStart"/>
      <w:r>
        <w:rPr>
          <w:iCs/>
        </w:rPr>
        <w:t>Literatur</w:t>
      </w:r>
      <w:proofErr w:type="spellEnd"/>
      <w:r>
        <w:rPr>
          <w:iCs/>
        </w:rPr>
        <w:t xml:space="preserve"> des </w:t>
      </w:r>
      <w:proofErr w:type="spellStart"/>
      <w:r>
        <w:rPr>
          <w:iCs/>
        </w:rPr>
        <w:t>Alten</w:t>
      </w:r>
      <w:proofErr w:type="spellEnd"/>
      <w:r>
        <w:rPr>
          <w:iCs/>
        </w:rPr>
        <w:t xml:space="preserve"> </w:t>
      </w:r>
      <w:proofErr w:type="spellStart"/>
      <w:r>
        <w:rPr>
          <w:iCs/>
        </w:rPr>
        <w:t>und</w:t>
      </w:r>
      <w:proofErr w:type="spellEnd"/>
      <w:r>
        <w:rPr>
          <w:iCs/>
        </w:rPr>
        <w:t xml:space="preserve"> </w:t>
      </w:r>
      <w:proofErr w:type="spellStart"/>
      <w:r>
        <w:rPr>
          <w:iCs/>
        </w:rPr>
        <w:t>Neuen</w:t>
      </w:r>
      <w:proofErr w:type="spellEnd"/>
      <w:r>
        <w:rPr>
          <w:iCs/>
        </w:rPr>
        <w:t xml:space="preserve"> Testaments 184),</w:t>
      </w:r>
      <w:r w:rsidRPr="00617FB1">
        <w:rPr>
          <w:iCs/>
        </w:rPr>
        <w:t xml:space="preserve"> G</w:t>
      </w:r>
      <w:r>
        <w:rPr>
          <w:iCs/>
        </w:rPr>
        <w:t xml:space="preserve">öttingen, </w:t>
      </w:r>
      <w:proofErr w:type="spellStart"/>
      <w:r>
        <w:rPr>
          <w:iCs/>
        </w:rPr>
        <w:t>Vandenhoeck</w:t>
      </w:r>
      <w:proofErr w:type="spellEnd"/>
      <w:r>
        <w:rPr>
          <w:iCs/>
        </w:rPr>
        <w:t xml:space="preserve"> &amp; </w:t>
      </w:r>
      <w:proofErr w:type="spellStart"/>
      <w:r>
        <w:rPr>
          <w:iCs/>
        </w:rPr>
        <w:t>Ruprecht</w:t>
      </w:r>
      <w:proofErr w:type="spellEnd"/>
      <w:r>
        <w:rPr>
          <w:iCs/>
        </w:rPr>
        <w:t>, 1999,</w:t>
      </w:r>
      <w:r w:rsidRPr="00C23413">
        <w:t xml:space="preserve"> 228, souligne que cette mention des trois jours ne permet pas de négliger la portée christologique de la phrase qui renvoie à la résurrection de Jésus. Ce qui reste allusif chez Marc sera explicité dans le texte parallèle de</w:t>
      </w:r>
      <w:r>
        <w:t xml:space="preserve"> Jean : « </w:t>
      </w:r>
      <w:r w:rsidRPr="00C23413">
        <w:t>Mais lui parlait du sanctuaire (</w:t>
      </w:r>
      <w:proofErr w:type="spellStart"/>
      <w:r w:rsidR="00AF10D0" w:rsidRPr="00AF10D0">
        <w:rPr>
          <w:rFonts w:ascii="SuperGreek" w:hAnsi="SuperGreek"/>
        </w:rPr>
        <w:t>naov</w:t>
      </w:r>
      <w:proofErr w:type="spellEnd"/>
      <w:r w:rsidR="00AF10D0" w:rsidRPr="00AF10D0">
        <w:rPr>
          <w:rFonts w:ascii="SuperGreek" w:hAnsi="SuperGreek"/>
        </w:rPr>
        <w:t>"</w:t>
      </w:r>
      <w:r>
        <w:t>)</w:t>
      </w:r>
      <w:r w:rsidRPr="00C23413">
        <w:t xml:space="preserve"> de</w:t>
      </w:r>
      <w:r>
        <w:t xml:space="preserve"> son corps »</w:t>
      </w:r>
      <w:r w:rsidRPr="00C23413">
        <w:t xml:space="preserve"> (Jn 2,21).</w:t>
      </w:r>
    </w:p>
  </w:footnote>
  <w:footnote w:id="36">
    <w:p w:rsidR="00D07544" w:rsidRPr="006D2D8F" w:rsidRDefault="00D07544" w:rsidP="00D07544">
      <w:pPr>
        <w:pStyle w:val="Notedebasdepage"/>
      </w:pPr>
      <w:r w:rsidRPr="009717AD">
        <w:rPr>
          <w:rStyle w:val="Appelnotedebasdep"/>
        </w:rPr>
        <w:footnoteRef/>
      </w:r>
      <w:r w:rsidRPr="006D2D8F">
        <w:t xml:space="preserve"> </w:t>
      </w:r>
      <w:proofErr w:type="spellStart"/>
      <w:r w:rsidRPr="006D2D8F">
        <w:rPr>
          <w:smallCaps/>
        </w:rPr>
        <w:t>Juel</w:t>
      </w:r>
      <w:proofErr w:type="spellEnd"/>
      <w:r w:rsidRPr="006D2D8F">
        <w:t xml:space="preserve">, </w:t>
      </w:r>
      <w:proofErr w:type="spellStart"/>
      <w:r w:rsidRPr="006D2D8F">
        <w:rPr>
          <w:i/>
          <w:iCs/>
        </w:rPr>
        <w:t>Messiah</w:t>
      </w:r>
      <w:proofErr w:type="spellEnd"/>
      <w:r w:rsidRPr="006D2D8F">
        <w:rPr>
          <w:i/>
          <w:iCs/>
        </w:rPr>
        <w:t xml:space="preserve"> and Temple</w:t>
      </w:r>
      <w:r w:rsidRPr="006D2D8F">
        <w:t>, 206.</w:t>
      </w:r>
    </w:p>
  </w:footnote>
  <w:footnote w:id="37">
    <w:p w:rsidR="00D07544" w:rsidRPr="00C23413" w:rsidRDefault="00D07544" w:rsidP="00D07544">
      <w:pPr>
        <w:pStyle w:val="Notedebasdepage"/>
        <w:rPr>
          <w:lang w:val="de-DE"/>
        </w:rPr>
      </w:pPr>
      <w:r w:rsidRPr="00C23413">
        <w:rPr>
          <w:rStyle w:val="Appelnotedebasdep"/>
        </w:rPr>
        <w:footnoteRef/>
      </w:r>
      <w:r w:rsidRPr="006A74DC">
        <w:rPr>
          <w:lang w:val="de-DE"/>
        </w:rPr>
        <w:t xml:space="preserve"> </w:t>
      </w:r>
      <w:proofErr w:type="spellStart"/>
      <w:r w:rsidRPr="006A74DC">
        <w:rPr>
          <w:lang w:val="de-DE"/>
        </w:rPr>
        <w:t>Ainsi</w:t>
      </w:r>
      <w:proofErr w:type="spellEnd"/>
      <w:r>
        <w:rPr>
          <w:lang w:val="de-DE"/>
        </w:rPr>
        <w:t xml:space="preserve"> Joachim</w:t>
      </w:r>
      <w:r w:rsidRPr="00C23413">
        <w:rPr>
          <w:lang w:val="de-DE"/>
        </w:rPr>
        <w:t xml:space="preserve"> </w:t>
      </w:r>
      <w:r w:rsidRPr="006A74DC">
        <w:rPr>
          <w:smallCaps/>
          <w:lang w:val="de-DE"/>
        </w:rPr>
        <w:t>Gnilka</w:t>
      </w:r>
      <w:r w:rsidRPr="00C23413">
        <w:rPr>
          <w:lang w:val="de-DE"/>
        </w:rPr>
        <w:t xml:space="preserve">, </w:t>
      </w:r>
      <w:r w:rsidRPr="00C23413">
        <w:rPr>
          <w:i/>
          <w:lang w:val="de-DE"/>
        </w:rPr>
        <w:t xml:space="preserve">Das Evangelium nach </w:t>
      </w:r>
      <w:r w:rsidRPr="00C23413">
        <w:rPr>
          <w:i/>
          <w:iCs/>
          <w:lang w:val="de-DE"/>
        </w:rPr>
        <w:t>Markus</w:t>
      </w:r>
      <w:r>
        <w:rPr>
          <w:iCs/>
          <w:lang w:val="de-DE"/>
        </w:rPr>
        <w:t xml:space="preserve"> (Evangelisch-Katholischer Kommentar zum Neuen Testament 2</w:t>
      </w:r>
      <w:r>
        <w:rPr>
          <w:lang w:val="de-DE"/>
        </w:rPr>
        <w:t xml:space="preserve">) Zürich, </w:t>
      </w:r>
      <w:proofErr w:type="spellStart"/>
      <w:r>
        <w:rPr>
          <w:lang w:val="de-DE"/>
        </w:rPr>
        <w:t>Benziger</w:t>
      </w:r>
      <w:proofErr w:type="spellEnd"/>
      <w:r>
        <w:rPr>
          <w:lang w:val="de-DE"/>
        </w:rPr>
        <w:t xml:space="preserve"> – Neukirchen-Vluyn, </w:t>
      </w:r>
      <w:proofErr w:type="spellStart"/>
      <w:r>
        <w:rPr>
          <w:lang w:val="de-DE"/>
        </w:rPr>
        <w:t>Neukirchener</w:t>
      </w:r>
      <w:proofErr w:type="spellEnd"/>
      <w:r>
        <w:rPr>
          <w:lang w:val="de-DE"/>
        </w:rPr>
        <w:t xml:space="preserve">, vol. 2, 1979, </w:t>
      </w:r>
      <w:proofErr w:type="gramStart"/>
      <w:r>
        <w:rPr>
          <w:lang w:val="de-DE"/>
        </w:rPr>
        <w:t>324 :</w:t>
      </w:r>
      <w:proofErr w:type="gramEnd"/>
      <w:r>
        <w:rPr>
          <w:lang w:val="de-DE"/>
        </w:rPr>
        <w:t xml:space="preserve"> </w:t>
      </w:r>
      <w:r w:rsidRPr="006A74DC">
        <w:rPr>
          <w:lang w:val="de-DE"/>
        </w:rPr>
        <w:t xml:space="preserve">« </w:t>
      </w:r>
      <w:r w:rsidRPr="00C23413">
        <w:rPr>
          <w:lang w:val="de-DE"/>
        </w:rPr>
        <w:t xml:space="preserve">Beide Interpretationen sind zusammenzunehmen und bilden keinen Gegensatz. Weil die Zerstörung des Tempels schon in Vers 29 zu verstehen gegeben war, </w:t>
      </w:r>
      <w:proofErr w:type="spellStart"/>
      <w:r w:rsidRPr="00C23413">
        <w:rPr>
          <w:lang w:val="de-DE"/>
        </w:rPr>
        <w:t>muß</w:t>
      </w:r>
      <w:proofErr w:type="spellEnd"/>
      <w:r w:rsidRPr="00C23413">
        <w:rPr>
          <w:lang w:val="de-DE"/>
        </w:rPr>
        <w:t xml:space="preserve"> das Zerreißen des </w:t>
      </w:r>
      <w:r>
        <w:rPr>
          <w:lang w:val="de-DE"/>
        </w:rPr>
        <w:t>Vorhangs etwas Neues einbringen ».</w:t>
      </w:r>
    </w:p>
  </w:footnote>
  <w:footnote w:id="38">
    <w:p w:rsidR="00D07544" w:rsidRPr="00C23413" w:rsidRDefault="00D07544" w:rsidP="00D07544">
      <w:pPr>
        <w:pStyle w:val="Notedebasdepage"/>
        <w:rPr>
          <w:lang w:val="en-GB"/>
        </w:rPr>
      </w:pPr>
      <w:r w:rsidRPr="00C23413">
        <w:rPr>
          <w:rStyle w:val="Appelnotedebasdep"/>
        </w:rPr>
        <w:footnoteRef/>
      </w:r>
      <w:r w:rsidRPr="00C23413">
        <w:rPr>
          <w:lang w:val="en-GB"/>
        </w:rPr>
        <w:t xml:space="preserve"> </w:t>
      </w:r>
      <w:r>
        <w:rPr>
          <w:lang w:val="en-GB"/>
        </w:rPr>
        <w:t xml:space="preserve">Harry L. </w:t>
      </w:r>
      <w:r w:rsidRPr="00C87C79">
        <w:rPr>
          <w:smallCaps/>
          <w:lang w:val="en-US"/>
        </w:rPr>
        <w:t>Chronis</w:t>
      </w:r>
      <w:r>
        <w:rPr>
          <w:lang w:val="en-GB"/>
        </w:rPr>
        <w:t xml:space="preserve">, « The </w:t>
      </w:r>
      <w:r w:rsidRPr="00C23413">
        <w:rPr>
          <w:lang w:val="en-GB"/>
        </w:rPr>
        <w:t>Torn Veil</w:t>
      </w:r>
      <w:r>
        <w:rPr>
          <w:lang w:val="en-GB"/>
        </w:rPr>
        <w:t xml:space="preserve">: </w:t>
      </w:r>
      <w:proofErr w:type="spellStart"/>
      <w:r>
        <w:rPr>
          <w:lang w:val="en-GB"/>
        </w:rPr>
        <w:t>Cultus</w:t>
      </w:r>
      <w:proofErr w:type="spellEnd"/>
      <w:r>
        <w:rPr>
          <w:lang w:val="en-GB"/>
        </w:rPr>
        <w:t xml:space="preserve"> and Christology in Mark 15:37-39</w:t>
      </w:r>
      <w:r>
        <w:rPr>
          <w:lang w:val="en-US"/>
        </w:rPr>
        <w:t xml:space="preserve"> »</w:t>
      </w:r>
      <w:r>
        <w:rPr>
          <w:lang w:val="en-GB"/>
        </w:rPr>
        <w:t xml:space="preserve">, </w:t>
      </w:r>
      <w:proofErr w:type="spellStart"/>
      <w:proofErr w:type="gramStart"/>
      <w:r>
        <w:rPr>
          <w:lang w:val="en-GB"/>
        </w:rPr>
        <w:t>dans</w:t>
      </w:r>
      <w:proofErr w:type="spellEnd"/>
      <w:r>
        <w:rPr>
          <w:lang w:val="en-GB"/>
        </w:rPr>
        <w:t xml:space="preserve">  </w:t>
      </w:r>
      <w:r>
        <w:rPr>
          <w:i/>
          <w:lang w:val="en-GB"/>
        </w:rPr>
        <w:t>Journal</w:t>
      </w:r>
      <w:proofErr w:type="gramEnd"/>
      <w:r>
        <w:rPr>
          <w:i/>
          <w:lang w:val="en-GB"/>
        </w:rPr>
        <w:t xml:space="preserve"> of Biblical Literature</w:t>
      </w:r>
      <w:r>
        <w:rPr>
          <w:lang w:val="en-GB"/>
        </w:rPr>
        <w:t xml:space="preserve"> 101 (1982) 97-114</w:t>
      </w:r>
      <w:r w:rsidRPr="00C23413">
        <w:rPr>
          <w:lang w:val="en-GB"/>
        </w:rPr>
        <w:t xml:space="preserve"> </w:t>
      </w:r>
      <w:r>
        <w:rPr>
          <w:lang w:val="en-GB"/>
        </w:rPr>
        <w:t>(</w:t>
      </w:r>
      <w:r w:rsidRPr="00C23413">
        <w:rPr>
          <w:lang w:val="en-GB"/>
        </w:rPr>
        <w:t>110</w:t>
      </w:r>
      <w:r>
        <w:rPr>
          <w:lang w:val="en-GB"/>
        </w:rPr>
        <w:t>)</w:t>
      </w:r>
      <w:r w:rsidRPr="00C23413">
        <w:rPr>
          <w:lang w:val="en-GB"/>
        </w:rPr>
        <w:t>.</w:t>
      </w:r>
    </w:p>
  </w:footnote>
  <w:footnote w:id="39">
    <w:p w:rsidR="00D07544" w:rsidRPr="00C23413" w:rsidRDefault="00D07544" w:rsidP="00D07544">
      <w:pPr>
        <w:pStyle w:val="Notedebasdepage"/>
        <w:rPr>
          <w:lang w:val="en-GB"/>
        </w:rPr>
      </w:pPr>
      <w:r w:rsidRPr="00C23413">
        <w:rPr>
          <w:rStyle w:val="Appelnotedebasdep"/>
        </w:rPr>
        <w:footnoteRef/>
      </w:r>
      <w:r w:rsidRPr="00C23413">
        <w:rPr>
          <w:lang w:val="en-GB"/>
        </w:rPr>
        <w:t xml:space="preserve"> </w:t>
      </w:r>
      <w:proofErr w:type="spellStart"/>
      <w:r w:rsidRPr="00C23413">
        <w:rPr>
          <w:lang w:val="en-GB"/>
        </w:rPr>
        <w:t>Selon</w:t>
      </w:r>
      <w:proofErr w:type="spellEnd"/>
      <w:r w:rsidRPr="00C23413">
        <w:rPr>
          <w:lang w:val="en-GB"/>
        </w:rPr>
        <w:t xml:space="preserve"> </w:t>
      </w:r>
      <w:proofErr w:type="spellStart"/>
      <w:r w:rsidRPr="00C87C79">
        <w:rPr>
          <w:smallCaps/>
          <w:lang w:val="en-US"/>
        </w:rPr>
        <w:t>Hamerton</w:t>
      </w:r>
      <w:proofErr w:type="spellEnd"/>
      <w:r w:rsidRPr="00C87C79">
        <w:rPr>
          <w:smallCaps/>
          <w:lang w:val="en-US"/>
        </w:rPr>
        <w:t>-Kelly</w:t>
      </w:r>
      <w:r w:rsidRPr="00C23413">
        <w:rPr>
          <w:lang w:val="en-GB"/>
        </w:rPr>
        <w:t xml:space="preserve">, </w:t>
      </w:r>
      <w:r w:rsidRPr="00C23413">
        <w:rPr>
          <w:i/>
          <w:iCs/>
          <w:lang w:val="en-GB"/>
        </w:rPr>
        <w:t>The Gospel</w:t>
      </w:r>
      <w:r w:rsidRPr="00C23413">
        <w:rPr>
          <w:lang w:val="en-GB"/>
        </w:rPr>
        <w:t xml:space="preserve">, 57, la </w:t>
      </w:r>
      <w:proofErr w:type="spellStart"/>
      <w:r w:rsidRPr="00C23413">
        <w:rPr>
          <w:lang w:val="en-GB"/>
        </w:rPr>
        <w:t>déchirure</w:t>
      </w:r>
      <w:proofErr w:type="spellEnd"/>
      <w:r w:rsidRPr="00C23413">
        <w:rPr>
          <w:lang w:val="en-GB"/>
        </w:rPr>
        <w:t xml:space="preserve"> du voile </w:t>
      </w:r>
      <w:proofErr w:type="spellStart"/>
      <w:r w:rsidRPr="00C23413">
        <w:rPr>
          <w:lang w:val="en-GB"/>
        </w:rPr>
        <w:t>révèle</w:t>
      </w:r>
      <w:proofErr w:type="spellEnd"/>
      <w:r w:rsidRPr="00C23413">
        <w:rPr>
          <w:lang w:val="en-GB"/>
        </w:rPr>
        <w:t xml:space="preserve"> </w:t>
      </w:r>
      <w:proofErr w:type="spellStart"/>
      <w:r w:rsidRPr="00C23413">
        <w:rPr>
          <w:lang w:val="en-GB"/>
        </w:rPr>
        <w:t>l'inefficacité</w:t>
      </w:r>
      <w:proofErr w:type="spellEnd"/>
      <w:r w:rsidRPr="00C23413">
        <w:rPr>
          <w:lang w:val="en-GB"/>
        </w:rPr>
        <w:t xml:space="preserve"> du </w:t>
      </w:r>
      <w:proofErr w:type="spellStart"/>
      <w:r w:rsidRPr="00C23413">
        <w:rPr>
          <w:lang w:val="en-GB"/>
        </w:rPr>
        <w:t>système</w:t>
      </w:r>
      <w:proofErr w:type="spellEnd"/>
      <w:r w:rsidRPr="00C23413">
        <w:rPr>
          <w:lang w:val="en-GB"/>
        </w:rPr>
        <w:t xml:space="preserve"> </w:t>
      </w:r>
      <w:proofErr w:type="spellStart"/>
      <w:r w:rsidRPr="00C23413">
        <w:rPr>
          <w:lang w:val="en-GB"/>
        </w:rPr>
        <w:t>s</w:t>
      </w:r>
      <w:r>
        <w:rPr>
          <w:lang w:val="en-GB"/>
        </w:rPr>
        <w:t>acrificiel</w:t>
      </w:r>
      <w:proofErr w:type="spellEnd"/>
      <w:r>
        <w:rPr>
          <w:lang w:val="en-GB"/>
        </w:rPr>
        <w:t> : « </w:t>
      </w:r>
      <w:r w:rsidRPr="00C23413">
        <w:rPr>
          <w:lang w:val="en-GB"/>
        </w:rPr>
        <w:t>The message, in any case, is clear : the holy of holies has been exposed to public view, its mystery has been removed ; the system has been demystified and so deprived of the efficacy that depended on its operating behind a veil. (...) The sacrifice of this innocent victim shows that</w:t>
      </w:r>
      <w:r>
        <w:rPr>
          <w:lang w:val="en-GB"/>
        </w:rPr>
        <w:t xml:space="preserve"> sacrifice is just plain murder</w:t>
      </w:r>
      <w:r>
        <w:rPr>
          <w:lang w:val="en-US"/>
        </w:rPr>
        <w:t xml:space="preserve"> »</w:t>
      </w:r>
      <w:r>
        <w:rPr>
          <w:lang w:val="en-GB"/>
        </w:rPr>
        <w:t>.</w:t>
      </w:r>
    </w:p>
  </w:footnote>
  <w:footnote w:id="40">
    <w:p w:rsidR="00D07544" w:rsidRPr="006A74DC" w:rsidRDefault="00D07544" w:rsidP="00D07544">
      <w:pPr>
        <w:pStyle w:val="Notedebasdepage"/>
        <w:rPr>
          <w:lang w:val="en-US"/>
        </w:rPr>
      </w:pPr>
      <w:r w:rsidRPr="00C23413">
        <w:rPr>
          <w:rStyle w:val="Appelnotedebasdep"/>
        </w:rPr>
        <w:footnoteRef/>
      </w:r>
      <w:r w:rsidRPr="00C23413">
        <w:rPr>
          <w:lang w:val="en-GB"/>
        </w:rPr>
        <w:t xml:space="preserve"> </w:t>
      </w:r>
      <w:r>
        <w:rPr>
          <w:lang w:val="en-GB"/>
        </w:rPr>
        <w:t xml:space="preserve">Elizabeth Struthers </w:t>
      </w:r>
      <w:proofErr w:type="spellStart"/>
      <w:r w:rsidRPr="00C87C79">
        <w:rPr>
          <w:smallCaps/>
          <w:lang w:val="en-US"/>
        </w:rPr>
        <w:t>Malbon</w:t>
      </w:r>
      <w:proofErr w:type="spellEnd"/>
      <w:r w:rsidRPr="00C23413">
        <w:rPr>
          <w:lang w:val="en-GB"/>
        </w:rPr>
        <w:t xml:space="preserve">, </w:t>
      </w:r>
      <w:r w:rsidRPr="00C23413">
        <w:rPr>
          <w:i/>
          <w:iCs/>
          <w:lang w:val="en-GB"/>
        </w:rPr>
        <w:t>Narrative Space</w:t>
      </w:r>
      <w:r>
        <w:rPr>
          <w:i/>
          <w:iCs/>
          <w:lang w:val="en-GB"/>
        </w:rPr>
        <w:t xml:space="preserve"> and Mythic Meaning in Mark</w:t>
      </w:r>
      <w:r>
        <w:rPr>
          <w:iCs/>
          <w:lang w:val="en-GB"/>
        </w:rPr>
        <w:t xml:space="preserve"> (The Biblical Seminar 13), Sheffield, JSOT, 1991</w:t>
      </w:r>
      <w:r>
        <w:rPr>
          <w:lang w:val="en-GB"/>
        </w:rPr>
        <w:t xml:space="preserve">, 135, </w:t>
      </w:r>
      <w:proofErr w:type="spellStart"/>
      <w:r>
        <w:rPr>
          <w:lang w:val="en-GB"/>
        </w:rPr>
        <w:t>estime</w:t>
      </w:r>
      <w:proofErr w:type="spellEnd"/>
      <w:r>
        <w:rPr>
          <w:lang w:val="en-GB"/>
        </w:rPr>
        <w:t xml:space="preserve"> </w:t>
      </w:r>
      <w:proofErr w:type="spellStart"/>
      <w:r>
        <w:rPr>
          <w:lang w:val="en-GB"/>
        </w:rPr>
        <w:t>que</w:t>
      </w:r>
      <w:proofErr w:type="spellEnd"/>
      <w:r>
        <w:rPr>
          <w:lang w:val="en-GB"/>
        </w:rPr>
        <w:t xml:space="preserve"> « </w:t>
      </w:r>
      <w:r w:rsidRPr="00C23413">
        <w:rPr>
          <w:lang w:val="en-GB"/>
        </w:rPr>
        <w:t>the evide</w:t>
      </w:r>
      <w:r>
        <w:rPr>
          <w:lang w:val="en-GB"/>
        </w:rPr>
        <w:t>nce for the temple ‘</w:t>
      </w:r>
      <w:r w:rsidRPr="00C23413">
        <w:rPr>
          <w:lang w:val="en-GB"/>
        </w:rPr>
        <w:t>not made</w:t>
      </w:r>
      <w:r>
        <w:rPr>
          <w:lang w:val="en-GB"/>
        </w:rPr>
        <w:t xml:space="preserve"> with hands’</w:t>
      </w:r>
      <w:r w:rsidRPr="00C23413">
        <w:rPr>
          <w:lang w:val="en-GB"/>
        </w:rPr>
        <w:t xml:space="preserve"> as a metaphor of the new community comes not from Mark but from New Testament letters and Qumran</w:t>
      </w:r>
      <w:r>
        <w:rPr>
          <w:lang w:val="en-GB"/>
        </w:rPr>
        <w:t xml:space="preserve"> documents ».</w:t>
      </w:r>
      <w:r w:rsidRPr="00C23413">
        <w:rPr>
          <w:lang w:val="en-GB"/>
        </w:rPr>
        <w:t xml:space="preserve"> </w:t>
      </w:r>
      <w:r w:rsidRPr="00C23413">
        <w:t xml:space="preserve">Elle a raison de souligner que, pour Marc, la vraie métaphore pour </w:t>
      </w:r>
      <w:r>
        <w:t>la communauté nouvelle est la « maison »</w:t>
      </w:r>
      <w:r w:rsidRPr="00C23413">
        <w:t xml:space="preserve"> et non le sanctuaire. </w:t>
      </w:r>
      <w:proofErr w:type="spellStart"/>
      <w:r w:rsidRPr="007E3FB4">
        <w:rPr>
          <w:lang w:val="en-US"/>
        </w:rPr>
        <w:t>Contre</w:t>
      </w:r>
      <w:proofErr w:type="spellEnd"/>
      <w:r w:rsidRPr="007E3FB4">
        <w:rPr>
          <w:lang w:val="en-US"/>
        </w:rPr>
        <w:t xml:space="preserve"> John R. </w:t>
      </w:r>
      <w:r w:rsidRPr="00C87C79">
        <w:rPr>
          <w:smallCaps/>
          <w:lang w:val="en-US"/>
        </w:rPr>
        <w:t>Donahue</w:t>
      </w:r>
      <w:r w:rsidRPr="007E3FB4">
        <w:rPr>
          <w:lang w:val="en-US"/>
        </w:rPr>
        <w:t xml:space="preserve">, </w:t>
      </w:r>
      <w:r w:rsidRPr="007E3FB4">
        <w:rPr>
          <w:i/>
          <w:iCs/>
          <w:lang w:val="en-US"/>
        </w:rPr>
        <w:t xml:space="preserve">Are You the </w:t>
      </w:r>
      <w:proofErr w:type="gramStart"/>
      <w:r w:rsidRPr="007E3FB4">
        <w:rPr>
          <w:i/>
          <w:iCs/>
          <w:lang w:val="en-US"/>
        </w:rPr>
        <w:t>Christ ?</w:t>
      </w:r>
      <w:proofErr w:type="gramEnd"/>
      <w:r w:rsidRPr="007E3FB4">
        <w:rPr>
          <w:i/>
          <w:iCs/>
          <w:lang w:val="en-US"/>
        </w:rPr>
        <w:t xml:space="preserve"> </w:t>
      </w:r>
      <w:proofErr w:type="gramStart"/>
      <w:r w:rsidRPr="00C23413">
        <w:rPr>
          <w:i/>
          <w:iCs/>
          <w:lang w:val="en-GB"/>
        </w:rPr>
        <w:t>The Trial Narrative in the Gospel of Mark</w:t>
      </w:r>
      <w:r>
        <w:rPr>
          <w:iCs/>
          <w:lang w:val="en-GB"/>
        </w:rPr>
        <w:t xml:space="preserve"> (</w:t>
      </w:r>
      <w:r>
        <w:rPr>
          <w:lang w:val="en-US"/>
        </w:rPr>
        <w:t>Society of Biblical Literature.</w:t>
      </w:r>
      <w:proofErr w:type="gramEnd"/>
      <w:r>
        <w:rPr>
          <w:lang w:val="en-US"/>
        </w:rPr>
        <w:t xml:space="preserve"> </w:t>
      </w:r>
      <w:r w:rsidRPr="006A74DC">
        <w:rPr>
          <w:lang w:val="en-US"/>
        </w:rPr>
        <w:t xml:space="preserve">Dissertation Series 10), Missoula, MT, SBL, 1973, 108-109; </w:t>
      </w:r>
      <w:proofErr w:type="spellStart"/>
      <w:r w:rsidRPr="006A74DC">
        <w:rPr>
          <w:smallCaps/>
          <w:lang w:val="en-US"/>
        </w:rPr>
        <w:t>Juel</w:t>
      </w:r>
      <w:proofErr w:type="spellEnd"/>
      <w:r w:rsidRPr="006A74DC">
        <w:rPr>
          <w:lang w:val="en-US"/>
        </w:rPr>
        <w:t xml:space="preserve">, </w:t>
      </w:r>
      <w:r w:rsidRPr="006A74DC">
        <w:rPr>
          <w:i/>
          <w:iCs/>
          <w:lang w:val="en-US"/>
        </w:rPr>
        <w:t>Messiah and Temple</w:t>
      </w:r>
      <w:r w:rsidRPr="006A74DC">
        <w:rPr>
          <w:lang w:val="en-US"/>
        </w:rPr>
        <w:t>, 57-58.</w:t>
      </w:r>
    </w:p>
  </w:footnote>
  <w:footnote w:id="41">
    <w:p w:rsidR="00D07544" w:rsidRPr="00C23413" w:rsidRDefault="00D07544" w:rsidP="00D07544">
      <w:pPr>
        <w:pStyle w:val="Notedebasdepage"/>
        <w:rPr>
          <w:lang w:val="de-DE"/>
        </w:rPr>
      </w:pPr>
      <w:r w:rsidRPr="00C23413">
        <w:rPr>
          <w:rStyle w:val="Appelnotedebasdep"/>
        </w:rPr>
        <w:footnoteRef/>
      </w:r>
      <w:r w:rsidRPr="002855AC">
        <w:rPr>
          <w:lang w:val="en-US"/>
        </w:rPr>
        <w:t xml:space="preserve"> </w:t>
      </w:r>
      <w:r w:rsidRPr="002855AC">
        <w:rPr>
          <w:smallCaps/>
          <w:lang w:val="en-US"/>
        </w:rPr>
        <w:t>Chronis</w:t>
      </w:r>
      <w:r w:rsidRPr="002855AC">
        <w:rPr>
          <w:lang w:val="en-US"/>
        </w:rPr>
        <w:t xml:space="preserve">, « The Torn Veil », 111. </w:t>
      </w:r>
      <w:proofErr w:type="gramStart"/>
      <w:r w:rsidRPr="00EC5018">
        <w:rPr>
          <w:lang w:val="en-US"/>
        </w:rPr>
        <w:t xml:space="preserve">Du point de </w:t>
      </w:r>
      <w:proofErr w:type="spellStart"/>
      <w:r w:rsidRPr="00EC5018">
        <w:rPr>
          <w:lang w:val="en-US"/>
        </w:rPr>
        <w:t>vue</w:t>
      </w:r>
      <w:proofErr w:type="spellEnd"/>
      <w:r w:rsidRPr="00EC5018">
        <w:rPr>
          <w:lang w:val="en-US"/>
        </w:rPr>
        <w:t xml:space="preserve"> du </w:t>
      </w:r>
      <w:proofErr w:type="spellStart"/>
      <w:r w:rsidRPr="00EC5018">
        <w:rPr>
          <w:lang w:val="en-US"/>
        </w:rPr>
        <w:t>rédacteur</w:t>
      </w:r>
      <w:proofErr w:type="spellEnd"/>
      <w:r w:rsidRPr="00EC5018">
        <w:rPr>
          <w:lang w:val="en-US"/>
        </w:rPr>
        <w:t xml:space="preserve">, </w:t>
      </w:r>
      <w:proofErr w:type="spellStart"/>
      <w:r w:rsidRPr="00EC5018">
        <w:rPr>
          <w:lang w:val="en-US"/>
        </w:rPr>
        <w:t>selon</w:t>
      </w:r>
      <w:proofErr w:type="spellEnd"/>
      <w:r w:rsidRPr="00EC5018">
        <w:rPr>
          <w:lang w:val="en-US"/>
        </w:rPr>
        <w:t xml:space="preserve"> Anton </w:t>
      </w:r>
      <w:proofErr w:type="spellStart"/>
      <w:r w:rsidRPr="00EC5018">
        <w:rPr>
          <w:smallCaps/>
          <w:lang w:val="en-US"/>
        </w:rPr>
        <w:t>Vögtle</w:t>
      </w:r>
      <w:proofErr w:type="spellEnd"/>
      <w:r w:rsidRPr="00EC5018">
        <w:rPr>
          <w:lang w:val="en-US"/>
        </w:rPr>
        <w:t xml:space="preserve">, « Das </w:t>
      </w:r>
      <w:proofErr w:type="spellStart"/>
      <w:r w:rsidRPr="00EC5018">
        <w:rPr>
          <w:lang w:val="en-US"/>
        </w:rPr>
        <w:t>markinische</w:t>
      </w:r>
      <w:proofErr w:type="spellEnd"/>
      <w:r w:rsidRPr="00EC5018">
        <w:rPr>
          <w:lang w:val="en-US"/>
        </w:rPr>
        <w:t xml:space="preserve"> </w:t>
      </w:r>
      <w:proofErr w:type="spellStart"/>
      <w:r w:rsidRPr="00EC5018">
        <w:rPr>
          <w:lang w:val="en-US"/>
        </w:rPr>
        <w:t>Verständnis</w:t>
      </w:r>
      <w:proofErr w:type="spellEnd"/>
      <w:r w:rsidRPr="00EC5018">
        <w:rPr>
          <w:lang w:val="en-US"/>
        </w:rPr>
        <w:t xml:space="preserve"> der </w:t>
      </w:r>
      <w:proofErr w:type="spellStart"/>
      <w:r w:rsidRPr="00EC5018">
        <w:rPr>
          <w:lang w:val="en-US"/>
        </w:rPr>
        <w:t>Tempelworte</w:t>
      </w:r>
      <w:proofErr w:type="spellEnd"/>
      <w:r w:rsidRPr="00EC5018">
        <w:rPr>
          <w:lang w:val="en-US"/>
        </w:rPr>
        <w:t xml:space="preserve"> », </w:t>
      </w:r>
      <w:proofErr w:type="spellStart"/>
      <w:r w:rsidRPr="00EC5018">
        <w:rPr>
          <w:lang w:val="en-US"/>
        </w:rPr>
        <w:t>dans</w:t>
      </w:r>
      <w:proofErr w:type="spellEnd"/>
      <w:r w:rsidRPr="00EC5018">
        <w:rPr>
          <w:lang w:val="en-US"/>
        </w:rPr>
        <w:t xml:space="preserve"> Ulrich </w:t>
      </w:r>
      <w:r w:rsidRPr="00EC5018">
        <w:rPr>
          <w:smallCaps/>
          <w:lang w:val="en-US"/>
        </w:rPr>
        <w:t>Luz</w:t>
      </w:r>
      <w:r w:rsidRPr="00EC5018">
        <w:rPr>
          <w:lang w:val="en-US"/>
        </w:rPr>
        <w:t xml:space="preserve">, Hans </w:t>
      </w:r>
      <w:proofErr w:type="spellStart"/>
      <w:r w:rsidRPr="00EC5018">
        <w:rPr>
          <w:smallCaps/>
          <w:lang w:val="en-US"/>
        </w:rPr>
        <w:t>Weder</w:t>
      </w:r>
      <w:proofErr w:type="spellEnd"/>
      <w:r w:rsidRPr="00EC5018">
        <w:rPr>
          <w:lang w:val="en-US"/>
        </w:rPr>
        <w:t xml:space="preserve"> (</w:t>
      </w:r>
      <w:proofErr w:type="spellStart"/>
      <w:r w:rsidRPr="00EC5018">
        <w:rPr>
          <w:lang w:val="en-US"/>
        </w:rPr>
        <w:t>éd</w:t>
      </w:r>
      <w:proofErr w:type="spellEnd"/>
      <w:r w:rsidRPr="00EC5018">
        <w:rPr>
          <w:lang w:val="en-US"/>
        </w:rPr>
        <w:t xml:space="preserve">.), </w:t>
      </w:r>
      <w:r w:rsidRPr="00EC5018">
        <w:rPr>
          <w:i/>
          <w:iCs/>
          <w:lang w:val="en-US"/>
        </w:rPr>
        <w:t xml:space="preserve">Die </w:t>
      </w:r>
      <w:proofErr w:type="spellStart"/>
      <w:r w:rsidRPr="00EC5018">
        <w:rPr>
          <w:i/>
          <w:iCs/>
          <w:lang w:val="en-US"/>
        </w:rPr>
        <w:t>Mitte</w:t>
      </w:r>
      <w:proofErr w:type="spellEnd"/>
      <w:r w:rsidRPr="00EC5018">
        <w:rPr>
          <w:i/>
          <w:iCs/>
          <w:lang w:val="en-US"/>
        </w:rPr>
        <w:t xml:space="preserve"> des </w:t>
      </w:r>
      <w:proofErr w:type="spellStart"/>
      <w:r w:rsidRPr="00EC5018">
        <w:rPr>
          <w:i/>
          <w:iCs/>
          <w:lang w:val="en-US"/>
        </w:rPr>
        <w:t>Neuen</w:t>
      </w:r>
      <w:proofErr w:type="spellEnd"/>
      <w:r w:rsidRPr="00EC5018">
        <w:rPr>
          <w:i/>
          <w:iCs/>
          <w:lang w:val="en-US"/>
        </w:rPr>
        <w:t xml:space="preserve"> Testaments.</w:t>
      </w:r>
      <w:proofErr w:type="gramEnd"/>
      <w:r w:rsidRPr="00EC5018">
        <w:rPr>
          <w:i/>
          <w:iCs/>
          <w:lang w:val="en-US"/>
        </w:rPr>
        <w:t xml:space="preserve"> </w:t>
      </w:r>
      <w:r w:rsidRPr="00C23413">
        <w:rPr>
          <w:i/>
          <w:iCs/>
          <w:lang w:val="de-DE"/>
        </w:rPr>
        <w:t>Einheit und Vielfalt neutestamentlicher Theologie</w:t>
      </w:r>
      <w:r>
        <w:rPr>
          <w:lang w:val="de-DE"/>
        </w:rPr>
        <w:t xml:space="preserve">. </w:t>
      </w:r>
      <w:r w:rsidRPr="00152CC3">
        <w:rPr>
          <w:lang w:val="de-DE"/>
        </w:rPr>
        <w:t>Festschrift Eduard Schweizer</w:t>
      </w:r>
      <w:r>
        <w:rPr>
          <w:lang w:val="de-DE"/>
        </w:rPr>
        <w:t xml:space="preserve">, Göttingen, </w:t>
      </w:r>
      <w:proofErr w:type="spellStart"/>
      <w:r>
        <w:rPr>
          <w:lang w:val="de-DE"/>
        </w:rPr>
        <w:t>Vandenhoeck</w:t>
      </w:r>
      <w:proofErr w:type="spellEnd"/>
      <w:r>
        <w:rPr>
          <w:lang w:val="de-DE"/>
        </w:rPr>
        <w:t xml:space="preserve"> &amp; Ruprecht, 1983, 362-383 (</w:t>
      </w:r>
      <w:r w:rsidRPr="00C23413">
        <w:rPr>
          <w:lang w:val="de-DE"/>
        </w:rPr>
        <w:t>378</w:t>
      </w:r>
      <w:r>
        <w:rPr>
          <w:lang w:val="de-DE"/>
        </w:rPr>
        <w:t>)</w:t>
      </w:r>
      <w:r w:rsidRPr="00C23413">
        <w:rPr>
          <w:lang w:val="de-DE"/>
        </w:rPr>
        <w:t>, le</w:t>
      </w:r>
      <w:r>
        <w:rPr>
          <w:lang w:val="de-DE"/>
        </w:rPr>
        <w:t xml:space="preserve"> </w:t>
      </w:r>
      <w:proofErr w:type="spellStart"/>
      <w:r>
        <w:rPr>
          <w:lang w:val="de-DE"/>
        </w:rPr>
        <w:t>déchirement</w:t>
      </w:r>
      <w:proofErr w:type="spellEnd"/>
      <w:r>
        <w:rPr>
          <w:lang w:val="de-DE"/>
        </w:rPr>
        <w:t xml:space="preserve"> du </w:t>
      </w:r>
      <w:proofErr w:type="spellStart"/>
      <w:r>
        <w:rPr>
          <w:lang w:val="de-DE"/>
        </w:rPr>
        <w:t>voile</w:t>
      </w:r>
      <w:proofErr w:type="spellEnd"/>
      <w:r>
        <w:rPr>
          <w:lang w:val="de-DE"/>
        </w:rPr>
        <w:t xml:space="preserve"> </w:t>
      </w:r>
      <w:proofErr w:type="spellStart"/>
      <w:r>
        <w:rPr>
          <w:lang w:val="de-DE"/>
        </w:rPr>
        <w:t>insinue</w:t>
      </w:r>
      <w:proofErr w:type="spellEnd"/>
      <w:r>
        <w:rPr>
          <w:lang w:val="de-DE"/>
        </w:rPr>
        <w:t xml:space="preserve"> « </w:t>
      </w:r>
      <w:r w:rsidRPr="00C23413">
        <w:rPr>
          <w:lang w:val="de-DE"/>
        </w:rPr>
        <w:t>die durch das bundstiftende Sühnesterben Jesu ermöglichte Gründung der endgültigen, Juden und Heiden umfassenden Heilsgemeinde, de</w:t>
      </w:r>
      <w:r>
        <w:rPr>
          <w:lang w:val="de-DE"/>
        </w:rPr>
        <w:t xml:space="preserve">ren effektive Konstituierung </w:t>
      </w:r>
      <w:r w:rsidRPr="006A0589">
        <w:rPr>
          <w:lang w:val="de-DE"/>
        </w:rPr>
        <w:t>‘</w:t>
      </w:r>
      <w:r>
        <w:rPr>
          <w:lang w:val="de-DE"/>
        </w:rPr>
        <w:t>binnen drei Tagen</w:t>
      </w:r>
      <w:r w:rsidRPr="006A0589">
        <w:rPr>
          <w:lang w:val="de-DE"/>
        </w:rPr>
        <w:t>’</w:t>
      </w:r>
      <w:r w:rsidRPr="00C23413">
        <w:rPr>
          <w:lang w:val="de-DE"/>
        </w:rPr>
        <w:t xml:space="preserve"> (= </w:t>
      </w:r>
      <w:r>
        <w:rPr>
          <w:lang w:val="de-DE"/>
        </w:rPr>
        <w:t>in kurzer Frist) erfolgen wird »</w:t>
      </w:r>
      <w:r w:rsidRPr="00C23413">
        <w:rPr>
          <w:lang w:val="de-DE"/>
        </w:rPr>
        <w:t>.</w:t>
      </w:r>
    </w:p>
  </w:footnote>
  <w:footnote w:id="42">
    <w:p w:rsidR="00D07544" w:rsidRPr="00C23413" w:rsidRDefault="00D07544" w:rsidP="00D07544">
      <w:pPr>
        <w:pStyle w:val="Notedebasdepage"/>
        <w:rPr>
          <w:lang w:val="de-DE"/>
        </w:rPr>
      </w:pPr>
      <w:r w:rsidRPr="00C23413">
        <w:rPr>
          <w:rStyle w:val="Appelnotedebasdep"/>
        </w:rPr>
        <w:footnoteRef/>
      </w:r>
      <w:r>
        <w:rPr>
          <w:lang w:val="de-DE"/>
        </w:rPr>
        <w:t xml:space="preserve"> Reinhardt</w:t>
      </w:r>
      <w:r w:rsidRPr="00C23413">
        <w:rPr>
          <w:lang w:val="de-DE"/>
        </w:rPr>
        <w:t xml:space="preserve"> </w:t>
      </w:r>
      <w:r w:rsidRPr="00AC6DF6">
        <w:rPr>
          <w:smallCaps/>
          <w:lang w:val="de-DE"/>
        </w:rPr>
        <w:t>Feldmeier</w:t>
      </w:r>
      <w:r w:rsidRPr="00C23413">
        <w:rPr>
          <w:lang w:val="de-DE"/>
        </w:rPr>
        <w:t xml:space="preserve">, </w:t>
      </w:r>
      <w:r>
        <w:rPr>
          <w:lang w:val="de-DE"/>
        </w:rPr>
        <w:t xml:space="preserve">« Der Gekreuzigte im </w:t>
      </w:r>
      <w:r w:rsidRPr="006A0589">
        <w:rPr>
          <w:lang w:val="de-DE"/>
        </w:rPr>
        <w:t>‘</w:t>
      </w:r>
      <w:r>
        <w:rPr>
          <w:lang w:val="de-DE"/>
        </w:rPr>
        <w:t>Gnadenstuhl</w:t>
      </w:r>
      <w:r w:rsidRPr="006A0589">
        <w:rPr>
          <w:lang w:val="de-DE"/>
        </w:rPr>
        <w:t>’</w:t>
      </w:r>
      <w:r w:rsidRPr="00054A79">
        <w:rPr>
          <w:lang w:val="de-DE"/>
        </w:rPr>
        <w:t xml:space="preserve">. Exegetische Überlegungen zu </w:t>
      </w:r>
      <w:proofErr w:type="spellStart"/>
      <w:r w:rsidRPr="00054A79">
        <w:rPr>
          <w:lang w:val="de-DE"/>
        </w:rPr>
        <w:t>Mk</w:t>
      </w:r>
      <w:proofErr w:type="spellEnd"/>
      <w:r w:rsidRPr="00054A79">
        <w:rPr>
          <w:lang w:val="de-DE"/>
        </w:rPr>
        <w:t xml:space="preserve"> 15,37-39 und deren  Bedeutung für die Vorstellung der göttlichen Gegenwart und Herrschaft</w:t>
      </w:r>
      <w:r>
        <w:rPr>
          <w:lang w:val="de-DE"/>
        </w:rPr>
        <w:t xml:space="preserve"> »</w:t>
      </w:r>
      <w:r w:rsidRPr="00C23413">
        <w:rPr>
          <w:lang w:val="de-DE"/>
        </w:rPr>
        <w:t xml:space="preserve">, </w:t>
      </w:r>
      <w:proofErr w:type="spellStart"/>
      <w:r>
        <w:rPr>
          <w:lang w:val="de-DE"/>
        </w:rPr>
        <w:t>dans</w:t>
      </w:r>
      <w:proofErr w:type="spellEnd"/>
      <w:r>
        <w:rPr>
          <w:lang w:val="de-DE"/>
        </w:rPr>
        <w:t xml:space="preserve"> Marc</w:t>
      </w:r>
      <w:r w:rsidRPr="00C23413">
        <w:rPr>
          <w:lang w:val="de-DE"/>
        </w:rPr>
        <w:t xml:space="preserve"> </w:t>
      </w:r>
      <w:proofErr w:type="spellStart"/>
      <w:r w:rsidRPr="00AC6DF6">
        <w:rPr>
          <w:smallCaps/>
          <w:lang w:val="de-DE"/>
        </w:rPr>
        <w:t>Philonenko</w:t>
      </w:r>
      <w:proofErr w:type="spellEnd"/>
      <w:r w:rsidRPr="00C23413">
        <w:rPr>
          <w:lang w:val="de-DE"/>
        </w:rPr>
        <w:t xml:space="preserve"> (</w:t>
      </w:r>
      <w:proofErr w:type="spellStart"/>
      <w:r w:rsidRPr="00C23413">
        <w:rPr>
          <w:lang w:val="de-DE"/>
        </w:rPr>
        <w:t>éd</w:t>
      </w:r>
      <w:proofErr w:type="spellEnd"/>
      <w:r w:rsidRPr="00C23413">
        <w:rPr>
          <w:lang w:val="de-DE"/>
        </w:rPr>
        <w:t xml:space="preserve">.), </w:t>
      </w:r>
      <w:r w:rsidRPr="00C23413">
        <w:rPr>
          <w:i/>
          <w:iCs/>
          <w:lang w:val="de-DE"/>
        </w:rPr>
        <w:t xml:space="preserve">Le </w:t>
      </w:r>
      <w:proofErr w:type="spellStart"/>
      <w:r w:rsidRPr="00C23413">
        <w:rPr>
          <w:i/>
          <w:iCs/>
          <w:lang w:val="de-DE"/>
        </w:rPr>
        <w:t>trône</w:t>
      </w:r>
      <w:proofErr w:type="spellEnd"/>
      <w:r w:rsidRPr="00C23413">
        <w:rPr>
          <w:i/>
          <w:iCs/>
          <w:lang w:val="de-DE"/>
        </w:rPr>
        <w:t xml:space="preserve"> de </w:t>
      </w:r>
      <w:proofErr w:type="spellStart"/>
      <w:r w:rsidRPr="00C23413">
        <w:rPr>
          <w:i/>
          <w:iCs/>
          <w:lang w:val="de-DE"/>
        </w:rPr>
        <w:t>Dieu</w:t>
      </w:r>
      <w:proofErr w:type="spellEnd"/>
      <w:r>
        <w:rPr>
          <w:lang w:val="de-DE"/>
        </w:rPr>
        <w:t xml:space="preserve"> (Wissenschaftliche Untersuchungen zum Neuen Testament 69), Tübingen,</w:t>
      </w:r>
      <w:r w:rsidRPr="00C23413">
        <w:rPr>
          <w:lang w:val="de-DE"/>
        </w:rPr>
        <w:t xml:space="preserve"> </w:t>
      </w:r>
      <w:r>
        <w:rPr>
          <w:lang w:val="de-DE"/>
        </w:rPr>
        <w:t>Mohr, 1993, 213-232 (</w:t>
      </w:r>
      <w:r w:rsidRPr="00C23413">
        <w:rPr>
          <w:lang w:val="de-DE"/>
        </w:rPr>
        <w:t>227 et 229</w:t>
      </w:r>
      <w:r>
        <w:rPr>
          <w:lang w:val="de-DE"/>
        </w:rPr>
        <w:t>)</w:t>
      </w:r>
      <w:r w:rsidRPr="00C23413">
        <w:rPr>
          <w:lang w:val="de-DE"/>
        </w:rPr>
        <w:t>.</w:t>
      </w:r>
    </w:p>
  </w:footnote>
  <w:footnote w:id="43">
    <w:p w:rsidR="00D07544" w:rsidRPr="00C23413" w:rsidRDefault="00D07544" w:rsidP="00D07544">
      <w:pPr>
        <w:pStyle w:val="Notedebasdepage"/>
      </w:pPr>
      <w:r w:rsidRPr="00C23413">
        <w:rPr>
          <w:rStyle w:val="Appelnotedebasdep"/>
        </w:rPr>
        <w:footnoteRef/>
      </w:r>
      <w:r w:rsidRPr="00C23413">
        <w:t xml:space="preserve"> </w:t>
      </w:r>
      <w:proofErr w:type="spellStart"/>
      <w:r w:rsidRPr="00C86B43">
        <w:t>Malbon</w:t>
      </w:r>
      <w:proofErr w:type="spellEnd"/>
      <w:r w:rsidRPr="00C23413">
        <w:t xml:space="preserve">, </w:t>
      </w:r>
      <w:r w:rsidRPr="00C23413">
        <w:rPr>
          <w:i/>
          <w:iCs/>
        </w:rPr>
        <w:t xml:space="preserve">Narrative </w:t>
      </w:r>
      <w:proofErr w:type="spellStart"/>
      <w:r w:rsidRPr="00C23413">
        <w:rPr>
          <w:i/>
          <w:iCs/>
        </w:rPr>
        <w:t>Space</w:t>
      </w:r>
      <w:proofErr w:type="spellEnd"/>
      <w:r w:rsidRPr="00C23413">
        <w:t>, 133.</w:t>
      </w:r>
    </w:p>
  </w:footnote>
  <w:footnote w:id="44">
    <w:p w:rsidR="00D07544" w:rsidRPr="00C23413" w:rsidRDefault="00D07544" w:rsidP="00D07544">
      <w:pPr>
        <w:pStyle w:val="Notedebasdepage"/>
      </w:pPr>
      <w:r w:rsidRPr="00C23413">
        <w:rPr>
          <w:rStyle w:val="Appelnotedebasdep"/>
        </w:rPr>
        <w:footnoteRef/>
      </w:r>
      <w:r w:rsidRPr="00C23413">
        <w:t xml:space="preserve"> La rivalité potentielle qui existe entre la synagogue et le temple n'est pas du tout actualisée en Marc. C'est plutôt la maison qui est opposée au temple dans la partie finale de l'évangile, comme elle l'était à la synagogue dans la première partie.</w:t>
      </w:r>
    </w:p>
  </w:footnote>
  <w:footnote w:id="45">
    <w:p w:rsidR="00194EF1" w:rsidRDefault="00194EF1">
      <w:pPr>
        <w:pStyle w:val="Notedebasdepage"/>
      </w:pPr>
      <w:r>
        <w:rPr>
          <w:rStyle w:val="Appelnotedebasdep"/>
        </w:rPr>
        <w:footnoteRef/>
      </w:r>
      <w:r>
        <w:t xml:space="preserve"> Cité ci-dessus, note 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D7" w:rsidRDefault="00D30BD7">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13F" w:rsidRDefault="0019413F">
    <w:pPr>
      <w:pStyle w:val="En-tte"/>
    </w:pPr>
  </w:p>
  <w:p w:rsidR="0019413F" w:rsidRDefault="0019413F">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BD7" w:rsidRDefault="00D30BD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C8BC86"/>
    <w:lvl w:ilvl="0">
      <w:start w:val="1"/>
      <w:numFmt w:val="bullet"/>
      <w:pStyle w:val="Listepuces"/>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544"/>
    <w:rsid w:val="00022064"/>
    <w:rsid w:val="00023E85"/>
    <w:rsid w:val="00054BFE"/>
    <w:rsid w:val="0006680B"/>
    <w:rsid w:val="000770D9"/>
    <w:rsid w:val="00086D0B"/>
    <w:rsid w:val="000C74E6"/>
    <w:rsid w:val="00111108"/>
    <w:rsid w:val="00111E26"/>
    <w:rsid w:val="0011690A"/>
    <w:rsid w:val="0012135D"/>
    <w:rsid w:val="00137542"/>
    <w:rsid w:val="001443E3"/>
    <w:rsid w:val="0014762F"/>
    <w:rsid w:val="00151E64"/>
    <w:rsid w:val="00163B98"/>
    <w:rsid w:val="001703D6"/>
    <w:rsid w:val="001742A1"/>
    <w:rsid w:val="00192A6C"/>
    <w:rsid w:val="0019413F"/>
    <w:rsid w:val="00194EF1"/>
    <w:rsid w:val="001A37CB"/>
    <w:rsid w:val="001A6FDC"/>
    <w:rsid w:val="001B6F92"/>
    <w:rsid w:val="001C2B8E"/>
    <w:rsid w:val="001C573A"/>
    <w:rsid w:val="001D54C0"/>
    <w:rsid w:val="00205F88"/>
    <w:rsid w:val="00213C62"/>
    <w:rsid w:val="00222AB4"/>
    <w:rsid w:val="00225DE7"/>
    <w:rsid w:val="00227A9A"/>
    <w:rsid w:val="00231188"/>
    <w:rsid w:val="0023450A"/>
    <w:rsid w:val="00234A9D"/>
    <w:rsid w:val="002416C5"/>
    <w:rsid w:val="0026697B"/>
    <w:rsid w:val="00282372"/>
    <w:rsid w:val="002855AC"/>
    <w:rsid w:val="00291752"/>
    <w:rsid w:val="00294A27"/>
    <w:rsid w:val="00295B4F"/>
    <w:rsid w:val="002A269A"/>
    <w:rsid w:val="002B0F8E"/>
    <w:rsid w:val="002E26DB"/>
    <w:rsid w:val="002F5A66"/>
    <w:rsid w:val="00332FF0"/>
    <w:rsid w:val="00364F4A"/>
    <w:rsid w:val="00365AC7"/>
    <w:rsid w:val="00390DB3"/>
    <w:rsid w:val="00397893"/>
    <w:rsid w:val="003D537C"/>
    <w:rsid w:val="003E5E37"/>
    <w:rsid w:val="0040726E"/>
    <w:rsid w:val="004173B8"/>
    <w:rsid w:val="00426A30"/>
    <w:rsid w:val="00434DCA"/>
    <w:rsid w:val="00441E61"/>
    <w:rsid w:val="00461961"/>
    <w:rsid w:val="004630E3"/>
    <w:rsid w:val="00466783"/>
    <w:rsid w:val="00466F06"/>
    <w:rsid w:val="00481710"/>
    <w:rsid w:val="00486517"/>
    <w:rsid w:val="00490EDA"/>
    <w:rsid w:val="004B0A03"/>
    <w:rsid w:val="004C0A47"/>
    <w:rsid w:val="004C0CAF"/>
    <w:rsid w:val="004D293D"/>
    <w:rsid w:val="004D76B4"/>
    <w:rsid w:val="004E09BE"/>
    <w:rsid w:val="004E46AF"/>
    <w:rsid w:val="004E54DA"/>
    <w:rsid w:val="004F2502"/>
    <w:rsid w:val="0050772F"/>
    <w:rsid w:val="00510F29"/>
    <w:rsid w:val="00515B79"/>
    <w:rsid w:val="00522962"/>
    <w:rsid w:val="005271F0"/>
    <w:rsid w:val="005372C0"/>
    <w:rsid w:val="00545914"/>
    <w:rsid w:val="00571A91"/>
    <w:rsid w:val="00573263"/>
    <w:rsid w:val="005B1CB8"/>
    <w:rsid w:val="005D7237"/>
    <w:rsid w:val="005F2E46"/>
    <w:rsid w:val="00600F92"/>
    <w:rsid w:val="00602CF9"/>
    <w:rsid w:val="00603FE1"/>
    <w:rsid w:val="00622E9E"/>
    <w:rsid w:val="00623D11"/>
    <w:rsid w:val="0064061C"/>
    <w:rsid w:val="00650DEC"/>
    <w:rsid w:val="00657E0C"/>
    <w:rsid w:val="00673700"/>
    <w:rsid w:val="00675AFB"/>
    <w:rsid w:val="006772DB"/>
    <w:rsid w:val="00686D93"/>
    <w:rsid w:val="006A5E5A"/>
    <w:rsid w:val="006A74DC"/>
    <w:rsid w:val="006B46F7"/>
    <w:rsid w:val="006C6248"/>
    <w:rsid w:val="006D7F6F"/>
    <w:rsid w:val="006E7073"/>
    <w:rsid w:val="006F0B6E"/>
    <w:rsid w:val="006F447D"/>
    <w:rsid w:val="0071310A"/>
    <w:rsid w:val="00727040"/>
    <w:rsid w:val="007327E4"/>
    <w:rsid w:val="00737245"/>
    <w:rsid w:val="00740496"/>
    <w:rsid w:val="00745DBC"/>
    <w:rsid w:val="007518F5"/>
    <w:rsid w:val="00754C1A"/>
    <w:rsid w:val="00756D35"/>
    <w:rsid w:val="00761DF1"/>
    <w:rsid w:val="00772ACB"/>
    <w:rsid w:val="007878E8"/>
    <w:rsid w:val="00796698"/>
    <w:rsid w:val="007B1B9E"/>
    <w:rsid w:val="007B4502"/>
    <w:rsid w:val="007C27C8"/>
    <w:rsid w:val="007E142A"/>
    <w:rsid w:val="007E529A"/>
    <w:rsid w:val="007E6D4B"/>
    <w:rsid w:val="007E7D9B"/>
    <w:rsid w:val="007F1F5C"/>
    <w:rsid w:val="007F244F"/>
    <w:rsid w:val="008158C5"/>
    <w:rsid w:val="00822259"/>
    <w:rsid w:val="00837909"/>
    <w:rsid w:val="00853396"/>
    <w:rsid w:val="00855B9B"/>
    <w:rsid w:val="0085764B"/>
    <w:rsid w:val="008627A6"/>
    <w:rsid w:val="008A21F2"/>
    <w:rsid w:val="008B7837"/>
    <w:rsid w:val="008C1B41"/>
    <w:rsid w:val="008C2058"/>
    <w:rsid w:val="008D3B3C"/>
    <w:rsid w:val="008E4DDD"/>
    <w:rsid w:val="008E51FA"/>
    <w:rsid w:val="008F28DB"/>
    <w:rsid w:val="008F4BC9"/>
    <w:rsid w:val="009245A8"/>
    <w:rsid w:val="00933C98"/>
    <w:rsid w:val="00940C7F"/>
    <w:rsid w:val="00945B59"/>
    <w:rsid w:val="00975EE0"/>
    <w:rsid w:val="0098350E"/>
    <w:rsid w:val="00984B89"/>
    <w:rsid w:val="00992C7D"/>
    <w:rsid w:val="00994326"/>
    <w:rsid w:val="009A0173"/>
    <w:rsid w:val="009A1A33"/>
    <w:rsid w:val="009B049B"/>
    <w:rsid w:val="009B5CB6"/>
    <w:rsid w:val="009B775F"/>
    <w:rsid w:val="009C178B"/>
    <w:rsid w:val="009D54F7"/>
    <w:rsid w:val="009E5DE9"/>
    <w:rsid w:val="009F4200"/>
    <w:rsid w:val="009F441A"/>
    <w:rsid w:val="00A01EAB"/>
    <w:rsid w:val="00A17D40"/>
    <w:rsid w:val="00A25D2D"/>
    <w:rsid w:val="00A40F93"/>
    <w:rsid w:val="00A57695"/>
    <w:rsid w:val="00A62E09"/>
    <w:rsid w:val="00A73BF4"/>
    <w:rsid w:val="00A73C27"/>
    <w:rsid w:val="00A82821"/>
    <w:rsid w:val="00A82D28"/>
    <w:rsid w:val="00A904D3"/>
    <w:rsid w:val="00A92EFC"/>
    <w:rsid w:val="00AA77E0"/>
    <w:rsid w:val="00AC45BA"/>
    <w:rsid w:val="00AC6020"/>
    <w:rsid w:val="00AF10D0"/>
    <w:rsid w:val="00AF46CF"/>
    <w:rsid w:val="00B0292E"/>
    <w:rsid w:val="00B11E33"/>
    <w:rsid w:val="00B13929"/>
    <w:rsid w:val="00B1551E"/>
    <w:rsid w:val="00B30E47"/>
    <w:rsid w:val="00B31962"/>
    <w:rsid w:val="00B46576"/>
    <w:rsid w:val="00B61FF9"/>
    <w:rsid w:val="00B65BAF"/>
    <w:rsid w:val="00B810EB"/>
    <w:rsid w:val="00B81C16"/>
    <w:rsid w:val="00BA6D81"/>
    <w:rsid w:val="00BB265E"/>
    <w:rsid w:val="00BC4F65"/>
    <w:rsid w:val="00BC5575"/>
    <w:rsid w:val="00BD454C"/>
    <w:rsid w:val="00BE21D9"/>
    <w:rsid w:val="00BE2E80"/>
    <w:rsid w:val="00BE3701"/>
    <w:rsid w:val="00BE3D15"/>
    <w:rsid w:val="00BE502C"/>
    <w:rsid w:val="00BE57B7"/>
    <w:rsid w:val="00C04C75"/>
    <w:rsid w:val="00C04FFF"/>
    <w:rsid w:val="00C11E30"/>
    <w:rsid w:val="00C21147"/>
    <w:rsid w:val="00C22189"/>
    <w:rsid w:val="00C330B4"/>
    <w:rsid w:val="00C430DC"/>
    <w:rsid w:val="00C77691"/>
    <w:rsid w:val="00C8309A"/>
    <w:rsid w:val="00C871BD"/>
    <w:rsid w:val="00C91859"/>
    <w:rsid w:val="00C92584"/>
    <w:rsid w:val="00C93F29"/>
    <w:rsid w:val="00C9673F"/>
    <w:rsid w:val="00CA12F4"/>
    <w:rsid w:val="00CA2D9B"/>
    <w:rsid w:val="00CB01C1"/>
    <w:rsid w:val="00CB570E"/>
    <w:rsid w:val="00CE6059"/>
    <w:rsid w:val="00CF1253"/>
    <w:rsid w:val="00D02F9A"/>
    <w:rsid w:val="00D04207"/>
    <w:rsid w:val="00D07544"/>
    <w:rsid w:val="00D222A8"/>
    <w:rsid w:val="00D30BD7"/>
    <w:rsid w:val="00D50950"/>
    <w:rsid w:val="00D67D5B"/>
    <w:rsid w:val="00D67F28"/>
    <w:rsid w:val="00D86A13"/>
    <w:rsid w:val="00D97A04"/>
    <w:rsid w:val="00DA45B0"/>
    <w:rsid w:val="00DA500A"/>
    <w:rsid w:val="00DB7EDC"/>
    <w:rsid w:val="00DC19DF"/>
    <w:rsid w:val="00DC7CBC"/>
    <w:rsid w:val="00DD09C4"/>
    <w:rsid w:val="00DE772F"/>
    <w:rsid w:val="00DF1E6F"/>
    <w:rsid w:val="00E43E62"/>
    <w:rsid w:val="00E631C7"/>
    <w:rsid w:val="00E63213"/>
    <w:rsid w:val="00E6525E"/>
    <w:rsid w:val="00E7081A"/>
    <w:rsid w:val="00E71195"/>
    <w:rsid w:val="00E862DF"/>
    <w:rsid w:val="00E92C2D"/>
    <w:rsid w:val="00EC5018"/>
    <w:rsid w:val="00ED1FA3"/>
    <w:rsid w:val="00EE3877"/>
    <w:rsid w:val="00EF433E"/>
    <w:rsid w:val="00EF5273"/>
    <w:rsid w:val="00F02896"/>
    <w:rsid w:val="00F06847"/>
    <w:rsid w:val="00F07709"/>
    <w:rsid w:val="00F11B60"/>
    <w:rsid w:val="00F207A4"/>
    <w:rsid w:val="00F268FD"/>
    <w:rsid w:val="00F35785"/>
    <w:rsid w:val="00F41774"/>
    <w:rsid w:val="00F471E5"/>
    <w:rsid w:val="00F61317"/>
    <w:rsid w:val="00F63811"/>
    <w:rsid w:val="00F73076"/>
    <w:rsid w:val="00F966CF"/>
    <w:rsid w:val="00FC241A"/>
    <w:rsid w:val="00FC412D"/>
    <w:rsid w:val="00FD1881"/>
    <w:rsid w:val="00FD353C"/>
    <w:rsid w:val="00FD5060"/>
    <w:rsid w:val="00FE1C78"/>
    <w:rsid w:val="00FE1E50"/>
    <w:rsid w:val="00FF2395"/>
    <w:rsid w:val="00FF47E8"/>
    <w:rsid w:val="00FF5323"/>
    <w:rsid w:val="00FF56C4"/>
    <w:rsid w:val="00FF61F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44"/>
    <w:pPr>
      <w:spacing w:after="0" w:line="240" w:lineRule="auto"/>
      <w:jc w:val="both"/>
    </w:pPr>
    <w:rPr>
      <w:rFonts w:ascii="Times New Roman" w:eastAsia="Calibri"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D07544"/>
    <w:rPr>
      <w:sz w:val="20"/>
      <w:szCs w:val="20"/>
    </w:rPr>
  </w:style>
  <w:style w:type="character" w:customStyle="1" w:styleId="NotedebasdepageCar">
    <w:name w:val="Note de bas de page Car"/>
    <w:basedOn w:val="Policepardfaut"/>
    <w:link w:val="Notedebasdepage"/>
    <w:semiHidden/>
    <w:rsid w:val="00D07544"/>
    <w:rPr>
      <w:rFonts w:ascii="Times New Roman" w:eastAsia="Calibri" w:hAnsi="Times New Roman" w:cs="Times New Roman"/>
      <w:sz w:val="20"/>
      <w:szCs w:val="20"/>
    </w:rPr>
  </w:style>
  <w:style w:type="character" w:styleId="Appelnotedebasdep">
    <w:name w:val="footnote reference"/>
    <w:semiHidden/>
    <w:rsid w:val="00D07544"/>
    <w:rPr>
      <w:rFonts w:cs="Times New Roman"/>
      <w:vertAlign w:val="superscript"/>
    </w:rPr>
  </w:style>
  <w:style w:type="paragraph" w:styleId="Retraitcorpsdetexte">
    <w:name w:val="Body Text Indent"/>
    <w:basedOn w:val="Normal"/>
    <w:link w:val="RetraitcorpsdetexteCar"/>
    <w:rsid w:val="00D07544"/>
    <w:pPr>
      <w:ind w:left="4500"/>
    </w:pPr>
    <w:rPr>
      <w:rFonts w:eastAsia="Times New Roman"/>
      <w:color w:val="0000FF"/>
      <w:lang w:eastAsia="fr-FR" w:bidi="he-IL"/>
    </w:rPr>
  </w:style>
  <w:style w:type="character" w:customStyle="1" w:styleId="RetraitcorpsdetexteCar">
    <w:name w:val="Retrait corps de texte Car"/>
    <w:basedOn w:val="Policepardfaut"/>
    <w:link w:val="Retraitcorpsdetexte"/>
    <w:rsid w:val="00D07544"/>
    <w:rPr>
      <w:rFonts w:ascii="Times New Roman" w:eastAsia="Times New Roman" w:hAnsi="Times New Roman" w:cs="Times New Roman"/>
      <w:color w:val="0000FF"/>
      <w:sz w:val="24"/>
      <w:szCs w:val="24"/>
      <w:lang w:eastAsia="fr-FR" w:bidi="he-IL"/>
    </w:rPr>
  </w:style>
  <w:style w:type="paragraph" w:styleId="Retraitcorpsdetexte2">
    <w:name w:val="Body Text Indent 2"/>
    <w:basedOn w:val="Normal"/>
    <w:link w:val="Retraitcorpsdetexte2Car"/>
    <w:rsid w:val="00D07544"/>
    <w:pPr>
      <w:spacing w:after="120" w:line="480" w:lineRule="auto"/>
      <w:ind w:left="283"/>
      <w:jc w:val="left"/>
    </w:pPr>
    <w:rPr>
      <w:rFonts w:eastAsia="Times New Roman"/>
      <w:lang w:val="fr-FR" w:eastAsia="fr-FR"/>
    </w:rPr>
  </w:style>
  <w:style w:type="character" w:customStyle="1" w:styleId="Retraitcorpsdetexte2Car">
    <w:name w:val="Retrait corps de texte 2 Car"/>
    <w:basedOn w:val="Policepardfaut"/>
    <w:link w:val="Retraitcorpsdetexte2"/>
    <w:rsid w:val="00D07544"/>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D07544"/>
    <w:pPr>
      <w:tabs>
        <w:tab w:val="center" w:pos="4536"/>
        <w:tab w:val="right" w:pos="9072"/>
      </w:tabs>
    </w:pPr>
  </w:style>
  <w:style w:type="character" w:customStyle="1" w:styleId="PieddepageCar">
    <w:name w:val="Pied de page Car"/>
    <w:basedOn w:val="Policepardfaut"/>
    <w:link w:val="Pieddepage"/>
    <w:uiPriority w:val="99"/>
    <w:rsid w:val="00D07544"/>
    <w:rPr>
      <w:rFonts w:ascii="Times New Roman" w:eastAsia="Calibri" w:hAnsi="Times New Roman" w:cs="Times New Roman"/>
      <w:sz w:val="24"/>
      <w:szCs w:val="24"/>
    </w:rPr>
  </w:style>
  <w:style w:type="paragraph" w:styleId="En-tte">
    <w:name w:val="header"/>
    <w:basedOn w:val="Normal"/>
    <w:link w:val="En-tteCar"/>
    <w:uiPriority w:val="99"/>
    <w:unhideWhenUsed/>
    <w:rsid w:val="00D07544"/>
    <w:pPr>
      <w:tabs>
        <w:tab w:val="center" w:pos="4536"/>
        <w:tab w:val="right" w:pos="9072"/>
      </w:tabs>
    </w:pPr>
  </w:style>
  <w:style w:type="character" w:customStyle="1" w:styleId="En-tteCar">
    <w:name w:val="En-tête Car"/>
    <w:basedOn w:val="Policepardfaut"/>
    <w:link w:val="En-tte"/>
    <w:uiPriority w:val="99"/>
    <w:rsid w:val="00D07544"/>
    <w:rPr>
      <w:rFonts w:ascii="Times New Roman" w:eastAsia="Calibri" w:hAnsi="Times New Roman" w:cs="Times New Roman"/>
      <w:sz w:val="24"/>
      <w:szCs w:val="24"/>
    </w:rPr>
  </w:style>
  <w:style w:type="paragraph" w:styleId="Textedebulles">
    <w:name w:val="Balloon Text"/>
    <w:basedOn w:val="Normal"/>
    <w:link w:val="TextedebullesCar"/>
    <w:uiPriority w:val="99"/>
    <w:semiHidden/>
    <w:unhideWhenUsed/>
    <w:rsid w:val="0019413F"/>
    <w:rPr>
      <w:rFonts w:ascii="Tahoma" w:hAnsi="Tahoma" w:cs="Tahoma"/>
      <w:sz w:val="16"/>
      <w:szCs w:val="16"/>
    </w:rPr>
  </w:style>
  <w:style w:type="character" w:customStyle="1" w:styleId="TextedebullesCar">
    <w:name w:val="Texte de bulles Car"/>
    <w:basedOn w:val="Policepardfaut"/>
    <w:link w:val="Textedebulles"/>
    <w:uiPriority w:val="99"/>
    <w:semiHidden/>
    <w:rsid w:val="0019413F"/>
    <w:rPr>
      <w:rFonts w:ascii="Tahoma" w:eastAsia="Calibri" w:hAnsi="Tahoma" w:cs="Tahoma"/>
      <w:sz w:val="16"/>
      <w:szCs w:val="16"/>
    </w:rPr>
  </w:style>
  <w:style w:type="paragraph" w:styleId="Notedefin">
    <w:name w:val="endnote text"/>
    <w:basedOn w:val="Normal"/>
    <w:link w:val="NotedefinCar"/>
    <w:semiHidden/>
    <w:rsid w:val="002855AC"/>
    <w:pPr>
      <w:jc w:val="left"/>
    </w:pPr>
    <w:rPr>
      <w:rFonts w:ascii="Times" w:eastAsia="Times New Roman" w:hAnsi="Times"/>
      <w:sz w:val="20"/>
      <w:szCs w:val="20"/>
      <w:lang w:val="fr-FR" w:eastAsia="fr-FR"/>
    </w:rPr>
  </w:style>
  <w:style w:type="character" w:customStyle="1" w:styleId="NotedefinCar">
    <w:name w:val="Note de fin Car"/>
    <w:basedOn w:val="Policepardfaut"/>
    <w:link w:val="Notedefin"/>
    <w:semiHidden/>
    <w:rsid w:val="002855AC"/>
    <w:rPr>
      <w:rFonts w:ascii="Times" w:eastAsia="Times New Roman" w:hAnsi="Times" w:cs="Times New Roman"/>
      <w:sz w:val="20"/>
      <w:szCs w:val="20"/>
      <w:lang w:val="fr-FR" w:eastAsia="fr-FR"/>
    </w:rPr>
  </w:style>
  <w:style w:type="character" w:styleId="Appeldenotedefin">
    <w:name w:val="endnote reference"/>
    <w:basedOn w:val="Policepardfaut"/>
    <w:semiHidden/>
    <w:rsid w:val="002855AC"/>
    <w:rPr>
      <w:vertAlign w:val="superscript"/>
    </w:rPr>
  </w:style>
  <w:style w:type="paragraph" w:styleId="Listepuces">
    <w:name w:val="List Bullet"/>
    <w:basedOn w:val="Normal"/>
    <w:uiPriority w:val="99"/>
    <w:unhideWhenUsed/>
    <w:rsid w:val="00D02F9A"/>
    <w:pPr>
      <w:numPr>
        <w:numId w:val="1"/>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544"/>
    <w:pPr>
      <w:spacing w:after="0" w:line="240" w:lineRule="auto"/>
      <w:jc w:val="both"/>
    </w:pPr>
    <w:rPr>
      <w:rFonts w:ascii="Times New Roman" w:eastAsia="Calibri"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D07544"/>
    <w:rPr>
      <w:sz w:val="20"/>
      <w:szCs w:val="20"/>
    </w:rPr>
  </w:style>
  <w:style w:type="character" w:customStyle="1" w:styleId="NotedebasdepageCar">
    <w:name w:val="Note de bas de page Car"/>
    <w:basedOn w:val="Policepardfaut"/>
    <w:link w:val="Notedebasdepage"/>
    <w:semiHidden/>
    <w:rsid w:val="00D07544"/>
    <w:rPr>
      <w:rFonts w:ascii="Times New Roman" w:eastAsia="Calibri" w:hAnsi="Times New Roman" w:cs="Times New Roman"/>
      <w:sz w:val="20"/>
      <w:szCs w:val="20"/>
    </w:rPr>
  </w:style>
  <w:style w:type="character" w:styleId="Appelnotedebasdep">
    <w:name w:val="footnote reference"/>
    <w:semiHidden/>
    <w:rsid w:val="00D07544"/>
    <w:rPr>
      <w:rFonts w:cs="Times New Roman"/>
      <w:vertAlign w:val="superscript"/>
    </w:rPr>
  </w:style>
  <w:style w:type="paragraph" w:styleId="Retraitcorpsdetexte">
    <w:name w:val="Body Text Indent"/>
    <w:basedOn w:val="Normal"/>
    <w:link w:val="RetraitcorpsdetexteCar"/>
    <w:rsid w:val="00D07544"/>
    <w:pPr>
      <w:ind w:left="4500"/>
    </w:pPr>
    <w:rPr>
      <w:rFonts w:eastAsia="Times New Roman"/>
      <w:color w:val="0000FF"/>
      <w:lang w:eastAsia="fr-FR" w:bidi="he-IL"/>
    </w:rPr>
  </w:style>
  <w:style w:type="character" w:customStyle="1" w:styleId="RetraitcorpsdetexteCar">
    <w:name w:val="Retrait corps de texte Car"/>
    <w:basedOn w:val="Policepardfaut"/>
    <w:link w:val="Retraitcorpsdetexte"/>
    <w:rsid w:val="00D07544"/>
    <w:rPr>
      <w:rFonts w:ascii="Times New Roman" w:eastAsia="Times New Roman" w:hAnsi="Times New Roman" w:cs="Times New Roman"/>
      <w:color w:val="0000FF"/>
      <w:sz w:val="24"/>
      <w:szCs w:val="24"/>
      <w:lang w:eastAsia="fr-FR" w:bidi="he-IL"/>
    </w:rPr>
  </w:style>
  <w:style w:type="paragraph" w:styleId="Retraitcorpsdetexte2">
    <w:name w:val="Body Text Indent 2"/>
    <w:basedOn w:val="Normal"/>
    <w:link w:val="Retraitcorpsdetexte2Car"/>
    <w:rsid w:val="00D07544"/>
    <w:pPr>
      <w:spacing w:after="120" w:line="480" w:lineRule="auto"/>
      <w:ind w:left="283"/>
      <w:jc w:val="left"/>
    </w:pPr>
    <w:rPr>
      <w:rFonts w:eastAsia="Times New Roman"/>
      <w:lang w:val="fr-FR" w:eastAsia="fr-FR"/>
    </w:rPr>
  </w:style>
  <w:style w:type="character" w:customStyle="1" w:styleId="Retraitcorpsdetexte2Car">
    <w:name w:val="Retrait corps de texte 2 Car"/>
    <w:basedOn w:val="Policepardfaut"/>
    <w:link w:val="Retraitcorpsdetexte2"/>
    <w:rsid w:val="00D07544"/>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unhideWhenUsed/>
    <w:rsid w:val="00D07544"/>
    <w:pPr>
      <w:tabs>
        <w:tab w:val="center" w:pos="4536"/>
        <w:tab w:val="right" w:pos="9072"/>
      </w:tabs>
    </w:pPr>
  </w:style>
  <w:style w:type="character" w:customStyle="1" w:styleId="PieddepageCar">
    <w:name w:val="Pied de page Car"/>
    <w:basedOn w:val="Policepardfaut"/>
    <w:link w:val="Pieddepage"/>
    <w:uiPriority w:val="99"/>
    <w:rsid w:val="00D07544"/>
    <w:rPr>
      <w:rFonts w:ascii="Times New Roman" w:eastAsia="Calibri" w:hAnsi="Times New Roman" w:cs="Times New Roman"/>
      <w:sz w:val="24"/>
      <w:szCs w:val="24"/>
    </w:rPr>
  </w:style>
  <w:style w:type="paragraph" w:styleId="En-tte">
    <w:name w:val="header"/>
    <w:basedOn w:val="Normal"/>
    <w:link w:val="En-tteCar"/>
    <w:uiPriority w:val="99"/>
    <w:unhideWhenUsed/>
    <w:rsid w:val="00D07544"/>
    <w:pPr>
      <w:tabs>
        <w:tab w:val="center" w:pos="4536"/>
        <w:tab w:val="right" w:pos="9072"/>
      </w:tabs>
    </w:pPr>
  </w:style>
  <w:style w:type="character" w:customStyle="1" w:styleId="En-tteCar">
    <w:name w:val="En-tête Car"/>
    <w:basedOn w:val="Policepardfaut"/>
    <w:link w:val="En-tte"/>
    <w:uiPriority w:val="99"/>
    <w:rsid w:val="00D07544"/>
    <w:rPr>
      <w:rFonts w:ascii="Times New Roman" w:eastAsia="Calibri" w:hAnsi="Times New Roman" w:cs="Times New Roman"/>
      <w:sz w:val="24"/>
      <w:szCs w:val="24"/>
    </w:rPr>
  </w:style>
  <w:style w:type="paragraph" w:styleId="Textedebulles">
    <w:name w:val="Balloon Text"/>
    <w:basedOn w:val="Normal"/>
    <w:link w:val="TextedebullesCar"/>
    <w:uiPriority w:val="99"/>
    <w:semiHidden/>
    <w:unhideWhenUsed/>
    <w:rsid w:val="0019413F"/>
    <w:rPr>
      <w:rFonts w:ascii="Tahoma" w:hAnsi="Tahoma" w:cs="Tahoma"/>
      <w:sz w:val="16"/>
      <w:szCs w:val="16"/>
    </w:rPr>
  </w:style>
  <w:style w:type="character" w:customStyle="1" w:styleId="TextedebullesCar">
    <w:name w:val="Texte de bulles Car"/>
    <w:basedOn w:val="Policepardfaut"/>
    <w:link w:val="Textedebulles"/>
    <w:uiPriority w:val="99"/>
    <w:semiHidden/>
    <w:rsid w:val="0019413F"/>
    <w:rPr>
      <w:rFonts w:ascii="Tahoma" w:eastAsia="Calibri" w:hAnsi="Tahoma" w:cs="Tahoma"/>
      <w:sz w:val="16"/>
      <w:szCs w:val="16"/>
    </w:rPr>
  </w:style>
  <w:style w:type="paragraph" w:styleId="Notedefin">
    <w:name w:val="endnote text"/>
    <w:basedOn w:val="Normal"/>
    <w:link w:val="NotedefinCar"/>
    <w:semiHidden/>
    <w:rsid w:val="002855AC"/>
    <w:pPr>
      <w:jc w:val="left"/>
    </w:pPr>
    <w:rPr>
      <w:rFonts w:ascii="Times" w:eastAsia="Times New Roman" w:hAnsi="Times"/>
      <w:sz w:val="20"/>
      <w:szCs w:val="20"/>
      <w:lang w:val="fr-FR" w:eastAsia="fr-FR"/>
    </w:rPr>
  </w:style>
  <w:style w:type="character" w:customStyle="1" w:styleId="NotedefinCar">
    <w:name w:val="Note de fin Car"/>
    <w:basedOn w:val="Policepardfaut"/>
    <w:link w:val="Notedefin"/>
    <w:semiHidden/>
    <w:rsid w:val="002855AC"/>
    <w:rPr>
      <w:rFonts w:ascii="Times" w:eastAsia="Times New Roman" w:hAnsi="Times" w:cs="Times New Roman"/>
      <w:sz w:val="20"/>
      <w:szCs w:val="20"/>
      <w:lang w:val="fr-FR" w:eastAsia="fr-FR"/>
    </w:rPr>
  </w:style>
  <w:style w:type="character" w:styleId="Appeldenotedefin">
    <w:name w:val="endnote reference"/>
    <w:basedOn w:val="Policepardfaut"/>
    <w:semiHidden/>
    <w:rsid w:val="002855AC"/>
    <w:rPr>
      <w:vertAlign w:val="superscript"/>
    </w:rPr>
  </w:style>
  <w:style w:type="paragraph" w:styleId="Listepuces">
    <w:name w:val="List Bullet"/>
    <w:basedOn w:val="Normal"/>
    <w:uiPriority w:val="99"/>
    <w:unhideWhenUsed/>
    <w:rsid w:val="00D02F9A"/>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13</Pages>
  <Words>5110</Words>
  <Characters>28107</Characters>
  <Application>Microsoft Office Word</Application>
  <DocSecurity>0</DocSecurity>
  <Lines>234</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Camille Focant</dc:creator>
  <cp:lastModifiedBy>Camille</cp:lastModifiedBy>
  <cp:revision>31</cp:revision>
  <dcterms:created xsi:type="dcterms:W3CDTF">2013-07-04T07:32:00Z</dcterms:created>
  <dcterms:modified xsi:type="dcterms:W3CDTF">2014-11-21T07:59:00Z</dcterms:modified>
</cp:coreProperties>
</file>