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28CAAC" w14:textId="412D91F5" w:rsidR="007535B6" w:rsidRDefault="007535B6" w:rsidP="007535B6">
      <w:pPr>
        <w:pStyle w:val="Abstract"/>
      </w:pPr>
      <w:bookmarkStart w:id="0" w:name="_Hlk42854188"/>
      <w:r>
        <w:t>The Version of Record of this manuscript has been published and is available in the International Journal of Multilingualism, accepted on April 1</w:t>
      </w:r>
      <w:r w:rsidRPr="007535B6">
        <w:rPr>
          <w:vertAlign w:val="superscript"/>
        </w:rPr>
        <w:t>st</w:t>
      </w:r>
      <w:r>
        <w:t xml:space="preserve"> 2021, https://www.tandfonline.com</w:t>
      </w:r>
      <w:r w:rsidRPr="007535B6">
        <w:t>/</w:t>
      </w:r>
      <w:bookmarkStart w:id="1" w:name="_GoBack"/>
      <w:bookmarkEnd w:id="1"/>
      <w:r w:rsidRPr="007535B6">
        <w:t>10.1080/14790718.2021.1915318</w:t>
      </w:r>
    </w:p>
    <w:p w14:paraId="0B0A88AC" w14:textId="7AC81DB6" w:rsidR="00C73CA4" w:rsidRDefault="00C73CA4" w:rsidP="00C73CA4">
      <w:pPr>
        <w:pStyle w:val="Articletitle"/>
      </w:pPr>
      <w:r w:rsidRPr="00C73CA4">
        <w:t xml:space="preserve">Language </w:t>
      </w:r>
      <w:r w:rsidR="002D11E1">
        <w:t>p</w:t>
      </w:r>
      <w:r w:rsidRPr="00C73CA4">
        <w:t xml:space="preserve">reference in </w:t>
      </w:r>
      <w:r w:rsidR="002D11E1">
        <w:t>c</w:t>
      </w:r>
      <w:r w:rsidRPr="00C73CA4">
        <w:t xml:space="preserve">itations: A </w:t>
      </w:r>
      <w:r w:rsidR="002D11E1">
        <w:t>q</w:t>
      </w:r>
      <w:r w:rsidRPr="00C73CA4">
        <w:t xml:space="preserve">uantitative </w:t>
      </w:r>
      <w:r w:rsidR="00821811">
        <w:t>a</w:t>
      </w:r>
      <w:r w:rsidRPr="00C73CA4">
        <w:t xml:space="preserve">nalysis of MA </w:t>
      </w:r>
      <w:r w:rsidR="002D11E1">
        <w:t>t</w:t>
      </w:r>
      <w:r w:rsidRPr="00C73CA4">
        <w:t xml:space="preserve">heses at a French-speaking </w:t>
      </w:r>
      <w:r w:rsidR="002D11E1">
        <w:t>u</w:t>
      </w:r>
      <w:r w:rsidRPr="00C73CA4">
        <w:t>niversity</w:t>
      </w:r>
      <w:bookmarkEnd w:id="0"/>
    </w:p>
    <w:p w14:paraId="2E29D693" w14:textId="0D155F3A" w:rsidR="00C73CA4" w:rsidRDefault="00C73CA4" w:rsidP="00C73CA4">
      <w:pPr>
        <w:pStyle w:val="Authornames"/>
      </w:pPr>
      <w:r>
        <w:t>Natacha Buntinx</w:t>
      </w:r>
      <w:r w:rsidRPr="00394920">
        <w:rPr>
          <w:vertAlign w:val="superscript"/>
        </w:rPr>
        <w:t>a</w:t>
      </w:r>
      <w:r>
        <w:t>*</w:t>
      </w:r>
    </w:p>
    <w:p w14:paraId="16197FB3" w14:textId="37B195B5" w:rsidR="00C73CA4" w:rsidRDefault="00C73CA4" w:rsidP="00C73CA4">
      <w:pPr>
        <w:pStyle w:val="Affiliation"/>
      </w:pPr>
      <w:r w:rsidRPr="00394920">
        <w:rPr>
          <w:vertAlign w:val="superscript"/>
        </w:rPr>
        <w:t>a</w:t>
      </w:r>
      <w:r>
        <w:t>Teaching and Acquiring Multilingualism and Multiliteracies, Institute for Language and Communication, Université catholique de Louvain, Louvain-la-Neuve, Belgium</w:t>
      </w:r>
    </w:p>
    <w:p w14:paraId="6B44B5A4" w14:textId="7C663253" w:rsidR="00C73CA4" w:rsidRDefault="00C73CA4" w:rsidP="00C73CA4">
      <w:pPr>
        <w:pStyle w:val="Correspondencedetails"/>
      </w:pPr>
      <w:r>
        <w:t>*corresponding author: Natacha Buntinx, natacha.buntinx@uclouvain.be, Institute for Language and Communication, Place Blaise Pascal 1/L3.03.33, 1348 Louvain-la-Neuve, Belgium</w:t>
      </w:r>
      <w:r w:rsidR="002D11E1">
        <w:t xml:space="preserve">, </w:t>
      </w:r>
      <w:r w:rsidR="002D11E1" w:rsidRPr="002D11E1">
        <w:t>https://uclouvain-be.proxy.bib.ucl.ac.be:2443/en/directories/natacha.buntinx</w:t>
      </w:r>
      <w:r w:rsidR="002D11E1">
        <w:t xml:space="preserve">, </w:t>
      </w:r>
      <w:r w:rsidR="002D11E1" w:rsidRPr="002D11E1">
        <w:t>https://www.researchgate.net/profile/Natacha_Buntinx</w:t>
      </w:r>
    </w:p>
    <w:p w14:paraId="45F93696" w14:textId="5DE37C01" w:rsidR="00C73CA4" w:rsidRPr="007535B6" w:rsidRDefault="00C73CA4" w:rsidP="00C73CA4">
      <w:pPr>
        <w:pStyle w:val="Notesoncontributors"/>
        <w:rPr>
          <w:lang w:val="en-US"/>
        </w:rPr>
      </w:pPr>
      <w:r w:rsidRPr="007535B6">
        <w:rPr>
          <w:lang w:val="en-US"/>
        </w:rPr>
        <w:t>Natacha Buntinx is a doctoral student in linguistics at the Institute for Language and Communication of the UCLouvain in Belgium. Her research focuses on writing processes and multilingualism, and she is more specifically interested in monolingual writing based on sources in several languages. She specialises in the use of mixed methods to explore her topics of interest from various perspectives, including textual, cognitive, and socio-affective approaches.</w:t>
      </w:r>
    </w:p>
    <w:p w14:paraId="0EE9CB0B" w14:textId="77777777" w:rsidR="00F257B7" w:rsidRDefault="00F257B7" w:rsidP="00F257B7">
      <w:pPr>
        <w:pStyle w:val="Style1"/>
      </w:pPr>
      <w:r>
        <w:t>Acknowledgments</w:t>
      </w:r>
    </w:p>
    <w:p w14:paraId="3A1F1F5E" w14:textId="77777777" w:rsidR="00F257B7" w:rsidRDefault="00F257B7" w:rsidP="00F257B7">
      <w:pPr>
        <w:pStyle w:val="Paragraph"/>
        <w:spacing w:line="480" w:lineRule="auto"/>
      </w:pPr>
      <w:r>
        <w:t>This research has benefitted from the statistical consult with Statistical Methodology and Computing Service, technological platform at UCLouvain – SMCS/LIDAM, UCLouvain.</w:t>
      </w:r>
    </w:p>
    <w:p w14:paraId="574B272A" w14:textId="57031FBB" w:rsidR="00C73CA4" w:rsidRDefault="00C73CA4" w:rsidP="00C73CA4">
      <w:pPr>
        <w:spacing w:before="240" w:after="0" w:line="360" w:lineRule="auto"/>
        <w:contextualSpacing/>
        <w:rPr>
          <w:rFonts w:ascii="Times New Roman" w:hAnsi="Times New Roman" w:cs="Times New Roman"/>
          <w:sz w:val="24"/>
          <w:szCs w:val="24"/>
        </w:rPr>
      </w:pPr>
    </w:p>
    <w:p w14:paraId="2DE526D2" w14:textId="77777777" w:rsidR="00F257B7" w:rsidRDefault="00F257B7" w:rsidP="00C73CA4">
      <w:pPr>
        <w:spacing w:before="240" w:after="0" w:line="360" w:lineRule="auto"/>
        <w:contextualSpacing/>
        <w:rPr>
          <w:rFonts w:ascii="Times New Roman" w:hAnsi="Times New Roman" w:cs="Times New Roman"/>
          <w:sz w:val="24"/>
          <w:szCs w:val="24"/>
        </w:rPr>
      </w:pPr>
    </w:p>
    <w:p w14:paraId="6839E640" w14:textId="77777777" w:rsidR="00C73CA4" w:rsidRDefault="00C73CA4" w:rsidP="00C73CA4">
      <w:pPr>
        <w:spacing w:before="240" w:after="0" w:line="360" w:lineRule="auto"/>
        <w:contextualSpacing/>
        <w:rPr>
          <w:rFonts w:ascii="Times New Roman" w:hAnsi="Times New Roman" w:cs="Times New Roman"/>
          <w:sz w:val="24"/>
          <w:szCs w:val="24"/>
        </w:rPr>
      </w:pPr>
    </w:p>
    <w:p w14:paraId="7723D14C" w14:textId="77777777" w:rsidR="00C73CA4" w:rsidRDefault="00C73CA4" w:rsidP="00C73CA4">
      <w:pPr>
        <w:spacing w:before="240" w:after="0" w:line="360" w:lineRule="auto"/>
        <w:contextualSpacing/>
        <w:rPr>
          <w:rFonts w:ascii="Times New Roman" w:hAnsi="Times New Roman" w:cs="Times New Roman"/>
          <w:sz w:val="24"/>
          <w:szCs w:val="24"/>
        </w:rPr>
      </w:pPr>
    </w:p>
    <w:p w14:paraId="7CCFD130" w14:textId="77777777" w:rsidR="00C73CA4" w:rsidRDefault="00C73CA4" w:rsidP="00C73CA4">
      <w:pPr>
        <w:spacing w:before="240" w:after="0" w:line="360" w:lineRule="auto"/>
        <w:contextualSpacing/>
        <w:rPr>
          <w:rFonts w:ascii="Times New Roman" w:hAnsi="Times New Roman" w:cs="Times New Roman"/>
          <w:sz w:val="24"/>
          <w:szCs w:val="24"/>
        </w:rPr>
      </w:pPr>
    </w:p>
    <w:p w14:paraId="48BB5378" w14:textId="77777777" w:rsidR="00C73CA4" w:rsidRDefault="00C73CA4" w:rsidP="00C73CA4">
      <w:pPr>
        <w:spacing w:before="240" w:after="0" w:line="360" w:lineRule="auto"/>
        <w:contextualSpacing/>
        <w:rPr>
          <w:rFonts w:ascii="Times New Roman" w:hAnsi="Times New Roman" w:cs="Times New Roman"/>
          <w:sz w:val="24"/>
          <w:szCs w:val="24"/>
        </w:rPr>
      </w:pPr>
    </w:p>
    <w:p w14:paraId="5F9185BE" w14:textId="77777777" w:rsidR="00C73CA4" w:rsidRDefault="00C73CA4" w:rsidP="00C73CA4">
      <w:pPr>
        <w:spacing w:before="240" w:after="0" w:line="360" w:lineRule="auto"/>
        <w:contextualSpacing/>
        <w:rPr>
          <w:rFonts w:ascii="Times New Roman" w:hAnsi="Times New Roman" w:cs="Times New Roman"/>
          <w:sz w:val="24"/>
          <w:szCs w:val="24"/>
        </w:rPr>
      </w:pPr>
    </w:p>
    <w:p w14:paraId="4FDA7AEE" w14:textId="77777777" w:rsidR="00C73CA4" w:rsidRDefault="00C73CA4" w:rsidP="00C73CA4">
      <w:pPr>
        <w:spacing w:before="240" w:after="0" w:line="360" w:lineRule="auto"/>
        <w:contextualSpacing/>
        <w:rPr>
          <w:rFonts w:ascii="Times New Roman" w:hAnsi="Times New Roman" w:cs="Times New Roman"/>
          <w:sz w:val="24"/>
          <w:szCs w:val="24"/>
        </w:rPr>
      </w:pPr>
    </w:p>
    <w:p w14:paraId="33EC19A5" w14:textId="110AF029" w:rsidR="00C73CA4" w:rsidRDefault="00C73CA4" w:rsidP="00C73CA4">
      <w:pPr>
        <w:spacing w:before="240" w:after="0" w:line="360" w:lineRule="auto"/>
        <w:contextualSpacing/>
        <w:rPr>
          <w:rFonts w:ascii="Times New Roman" w:hAnsi="Times New Roman" w:cs="Times New Roman"/>
          <w:sz w:val="24"/>
          <w:szCs w:val="24"/>
        </w:rPr>
      </w:pPr>
    </w:p>
    <w:p w14:paraId="6BAC0E10" w14:textId="42A46C5B" w:rsidR="00991CCA" w:rsidRDefault="00991CCA" w:rsidP="00C73CA4">
      <w:pPr>
        <w:spacing w:before="240" w:after="0" w:line="360" w:lineRule="auto"/>
        <w:contextualSpacing/>
        <w:rPr>
          <w:rFonts w:ascii="Times New Roman" w:hAnsi="Times New Roman" w:cs="Times New Roman"/>
          <w:sz w:val="24"/>
          <w:szCs w:val="24"/>
        </w:rPr>
      </w:pPr>
    </w:p>
    <w:p w14:paraId="2C0E2C9C" w14:textId="77777777" w:rsidR="00991CCA" w:rsidRDefault="00991CCA" w:rsidP="00991CCA">
      <w:pPr>
        <w:pStyle w:val="Articletitle"/>
      </w:pPr>
      <w:r w:rsidRPr="00C73CA4">
        <w:t xml:space="preserve">Language </w:t>
      </w:r>
      <w:r>
        <w:t>p</w:t>
      </w:r>
      <w:r w:rsidRPr="00C73CA4">
        <w:t xml:space="preserve">reference in </w:t>
      </w:r>
      <w:r>
        <w:t>c</w:t>
      </w:r>
      <w:r w:rsidRPr="00C73CA4">
        <w:t xml:space="preserve">itations: A </w:t>
      </w:r>
      <w:r>
        <w:t>q</w:t>
      </w:r>
      <w:r w:rsidRPr="00C73CA4">
        <w:t xml:space="preserve">uantitative </w:t>
      </w:r>
      <w:r>
        <w:t>a</w:t>
      </w:r>
      <w:r w:rsidRPr="00C73CA4">
        <w:t xml:space="preserve">nalysis of MA </w:t>
      </w:r>
      <w:r>
        <w:t>t</w:t>
      </w:r>
      <w:r w:rsidRPr="00C73CA4">
        <w:t xml:space="preserve">heses at a French-speaking </w:t>
      </w:r>
      <w:r>
        <w:t>u</w:t>
      </w:r>
      <w:r w:rsidRPr="00C73CA4">
        <w:t>niversity</w:t>
      </w:r>
    </w:p>
    <w:p w14:paraId="36D22115" w14:textId="77777777" w:rsidR="00991CCA" w:rsidRDefault="00991CCA" w:rsidP="00991CCA">
      <w:pPr>
        <w:pStyle w:val="Abstract"/>
      </w:pPr>
      <w:r w:rsidRPr="001A3F25">
        <w:t>Pluriliterate academic practices offer students who are literate in both their L1 and English the possibility of relying on sources in multiple languages. Surprisingly, there is little research on the factors playing a role in students' choice of sources and whether this choice is related solely or partly to the language of the source. This study examines whether students from a French-speaking Belgian university use pluriliterate strategies when writing their master thesis (n=240). The objective is to investigate to which extent the selection of sources written in English rather than in other languages depends on the language of writing and on the faculty where the thesis was submitted. This study shows that students writing in English tend to have a more pronounced preference for sources in English in their readings, with estimated proportions above 93.6% across faculties</w:t>
      </w:r>
      <w:r w:rsidRPr="00ED68BE">
        <w:t>, compared with</w:t>
      </w:r>
      <w:r w:rsidRPr="001A3F25">
        <w:t xml:space="preserve"> </w:t>
      </w:r>
      <w:r>
        <w:t xml:space="preserve">students </w:t>
      </w:r>
      <w:r w:rsidRPr="001A3F25">
        <w:t xml:space="preserve">writing </w:t>
      </w:r>
      <w:r>
        <w:t xml:space="preserve">in French </w:t>
      </w:r>
      <w:r w:rsidRPr="001A3F25">
        <w:t>on fairly similar topics</w:t>
      </w:r>
      <w:r>
        <w:t>,</w:t>
      </w:r>
      <w:r w:rsidRPr="001A3F25">
        <w:t xml:space="preserve"> especially in the social sciences. For example, theses</w:t>
      </w:r>
      <w:r>
        <w:t xml:space="preserve"> in Management</w:t>
      </w:r>
      <w:r w:rsidRPr="001A3F25">
        <w:t xml:space="preserve"> have an estimated proportion of sources in English between 90.1% and 96.5% when written in English and between 35% and 61.1% when written in French. These findings highlight the </w:t>
      </w:r>
      <w:r w:rsidRPr="00ED68BE">
        <w:t>need for investigation</w:t>
      </w:r>
      <w:r>
        <w:t>s</w:t>
      </w:r>
      <w:r w:rsidRPr="00ED68BE">
        <w:t xml:space="preserve"> on</w:t>
      </w:r>
      <w:r w:rsidRPr="001A3F25">
        <w:t xml:space="preserve"> students' attitudes towards pluriliteracy.</w:t>
      </w:r>
    </w:p>
    <w:p w14:paraId="364BF640" w14:textId="77777777" w:rsidR="00991CCA" w:rsidRPr="0020415E" w:rsidRDefault="00991CCA" w:rsidP="00991CCA">
      <w:pPr>
        <w:pStyle w:val="Keywords"/>
      </w:pPr>
      <w:r>
        <w:t>Keywords: biliteracy; pluriliteracy; academic writing; citation; multilingualism</w:t>
      </w:r>
    </w:p>
    <w:p w14:paraId="1B32C401" w14:textId="77777777" w:rsidR="00991CCA" w:rsidRPr="002B1B1A" w:rsidRDefault="00991CCA" w:rsidP="00991CCA">
      <w:pPr>
        <w:pStyle w:val="Subjectcodes"/>
      </w:pPr>
    </w:p>
    <w:p w14:paraId="05960A2C" w14:textId="77777777" w:rsidR="00991CCA" w:rsidRPr="00C73CA4" w:rsidRDefault="00991CCA" w:rsidP="00991CCA">
      <w:pPr>
        <w:pStyle w:val="Style1"/>
      </w:pPr>
      <w:bookmarkStart w:id="2" w:name="_Hlk42855396"/>
      <w:r>
        <w:t>Introduction</w:t>
      </w:r>
      <w:bookmarkEnd w:id="2"/>
    </w:p>
    <w:p w14:paraId="6810E91D" w14:textId="77777777" w:rsidR="00991CCA" w:rsidRDefault="00991CCA" w:rsidP="00991CCA">
      <w:pPr>
        <w:pStyle w:val="Paragraph"/>
        <w:spacing w:line="480" w:lineRule="auto"/>
      </w:pPr>
      <w:r w:rsidRPr="00C73CA4">
        <w:t>As English becomes ever more dominant, students in non-anglophone universities are likely to read an increasing number of English</w:t>
      </w:r>
      <w:r>
        <w:t xml:space="preserve"> </w:t>
      </w:r>
      <w:r w:rsidRPr="00C73CA4">
        <w:t xml:space="preserve">resources, notably as they experience the world of research for the first time while writing their Master thesis. In other words, academic writing, albeit producing monolingual texts, is a multilingual practice </w:t>
      </w:r>
      <w:r w:rsidRPr="00C73CA4">
        <w:lastRenderedPageBreak/>
        <w:t xml:space="preserve">involving reading in various languages. Based on the terminology in use (Seloni, 2014; Moore, 2006; Hornberger, 2003), I define pluriliterate academic practices as instances where individuals who are highly literate in more than one language rely on multiple linguistic repertoires as they interact with source texts to learn and position themselves in their academic compositions. Even though pluriliterate academic practices have the potential to be widespread, writers, even at an expert level, sometimes tend to avoid reading in multiple languages, leading to an impoverishment of their research work (Horner et al., 2011). This impoverishment is largely due to the reproduction of dominant epistemologies (Chevrier, 2016, p. 120; Laslier 2016; Ammon, 2012, p. 334; Cornut &amp; Roussel, 2011). </w:t>
      </w:r>
    </w:p>
    <w:p w14:paraId="6BCBE10A" w14:textId="77777777" w:rsidR="00991CCA" w:rsidRDefault="00991CCA" w:rsidP="00991CCA">
      <w:pPr>
        <w:pStyle w:val="Newparagraph"/>
        <w:spacing w:line="480" w:lineRule="auto"/>
      </w:pPr>
      <w:r>
        <w:t xml:space="preserve">Students are tomorrow's researchers and professionals, and need to be aware of works published in more than one language. As argued by Dion (2012, p. 152), the composition of a thesis is often a first and formative opportunity for students to report on their scientific approach. As such, this exercise requires students to take an 'expert' role in their field and to integrate their work into the body of knowledge they have acquired through their studies and readings. From a positivist perspective, citations allow students to present the state of knowledge in their subdiscipline. In that sense, the cited works are introduced as representative of the (sub)disciplinary norm (Roth et al., 2012, p. 113). This argument has been confirmed by scientometric studies, such as the analysis of bibliographical clusters in education science by Lund et al. (2017), which show that citation networks can be explored to identify subdisciplines and their central references. Moreover, citing has a symbolic value, in that this action is a rite of allegiance to authors who have reference value in the tradition of the subdiscipline (Chevrier, 2016, p. 17). In other words, MA students' choice of references helps them </w:t>
      </w:r>
      <w:r>
        <w:lastRenderedPageBreak/>
        <w:t>gain legitimacy through the definition of a respected disciplinary framework around their research topic.</w:t>
      </w:r>
    </w:p>
    <w:p w14:paraId="07851EDE" w14:textId="77777777" w:rsidR="00991CCA" w:rsidRPr="005E1C91" w:rsidRDefault="00991CCA" w:rsidP="00991CCA">
      <w:pPr>
        <w:pStyle w:val="Newparagraph"/>
        <w:spacing w:line="480" w:lineRule="auto"/>
        <w:rPr>
          <w:color w:val="FF0000"/>
        </w:rPr>
      </w:pPr>
      <w:r>
        <w:t>Students have the advantage to remain unexposed to pressures experienced by scholars. These pressures may include the policy of journals they seek to publish in, reviewers' requests that authors limit themselves to references in English or references known by their audience (Chevrier, 2016; Anderson-Levitt, 2014, p. 350; Curry &amp; Lillis, 2010, p. 143), or the positive influence of English-medium references on the article's research impact, as is observed in the case of Chinese papers (Gong et al., 2019). The originality of this study is to report on students' practices and examine if their citing practices reproduce the preference for English references observed in the publishing world.</w:t>
      </w:r>
    </w:p>
    <w:p w14:paraId="18FDE339" w14:textId="77777777" w:rsidR="00991CCA" w:rsidRDefault="00991CCA" w:rsidP="00991CCA">
      <w:pPr>
        <w:pStyle w:val="Newparagraph"/>
        <w:spacing w:line="480" w:lineRule="auto"/>
      </w:pPr>
      <w:r>
        <w:t>There is little research to date as to the factors playing a role in students' choice of sources and if this choice might be related to the source language. This study attempts to fill in this gap by investigating the extent to which students engage in pluriliterate academic practices and the factors that might influence them. To this purpose, I analysed the citations of 240 MA theses in a generalized linear mixed model (henceforth, GLMM), considering whether these are written in French or in English, and the faculty in which they are published, i.e. Engineering, Management, Social Sciences, and Arts and letters. The MA theses under study have been published at a Belgian university, whose student community is essentially composed of French-speaking students. In what follows, I present the results of this investigation and discuss them with an emphasis on the effect of the language of writing on the choice of sources, as well as the potential consequences on the quality of the research conducted by students.</w:t>
      </w:r>
    </w:p>
    <w:p w14:paraId="5F02BA80" w14:textId="77777777" w:rsidR="00991CCA" w:rsidRDefault="00991CCA" w:rsidP="00991CCA">
      <w:pPr>
        <w:pStyle w:val="Style1"/>
      </w:pPr>
      <w:r>
        <w:lastRenderedPageBreak/>
        <w:t>Previous research on language preference in citations</w:t>
      </w:r>
    </w:p>
    <w:p w14:paraId="06B9B491" w14:textId="77777777" w:rsidR="00991CCA" w:rsidRPr="007C5ACB" w:rsidRDefault="00991CCA" w:rsidP="00991CCA">
      <w:pPr>
        <w:pStyle w:val="Paragraph"/>
        <w:spacing w:line="480" w:lineRule="auto"/>
      </w:pPr>
      <w:r>
        <w:t>Even though there has not been, to the best of my knowledge, any study on language representation in reference lists of MA theses</w:t>
      </w:r>
      <w:r w:rsidRPr="007C5ACB">
        <w:t>, research has been conducted on the references cited in scholarly articles. In 1998, Yitzhaki introduces a measure of language preference, the relative own-language preference (also known as ROLP), to estimate the language bias of scholars in sociological journals published in the United States, the United Kingdom, Germany, and France. This measure compares the proportion of articles cited in one language to the expected proportion, based on an estimation of the proportion of articles published in that language in the field thanks to bibliometric data</w:t>
      </w:r>
      <w:r w:rsidRPr="007C5ACB">
        <w:rPr>
          <w:rStyle w:val="FootnoteReference"/>
        </w:rPr>
        <w:footnoteReference w:id="1"/>
      </w:r>
      <w:r w:rsidRPr="007C5ACB">
        <w:t>. His analysis is based on 50 to 60 articles from each journal, written in the journal's language by authors affiliated to universities from the country of publication. The results of this study lead the author to conclude that there is a language bias, which is stronger for German scholars than for French scholars, and which is weak for English and American scholars. However, it is unclear whether the language bias is due to the language of composition of the articles or to a preference for references originating from scholars in the same national context, similar to the country self-citation preference (e.g. Bakare &amp; Lewison, 2017). It is also unclear whether these conclusions are equally applicable across fields or whether they concern social sciences solely, given that this discipline is characterized by strong national traditions (Heilbron, 2008). Nevertheless, Yitzhaki</w:t>
      </w:r>
      <w:r>
        <w:t>'s</w:t>
      </w:r>
      <w:r w:rsidRPr="007C5ACB">
        <w:t xml:space="preserve"> (1998) use of the ROLP highlights two factors for the choice of references: the language of writing, corresponding to the author's mother tongue or work language, and the availability of works published in this language in the field.</w:t>
      </w:r>
    </w:p>
    <w:p w14:paraId="1D50E004" w14:textId="77777777" w:rsidR="00991CCA" w:rsidRPr="006F6D86" w:rsidRDefault="00991CCA" w:rsidP="00991CCA">
      <w:pPr>
        <w:spacing w:line="480" w:lineRule="auto"/>
        <w:contextualSpacing/>
        <w:rPr>
          <w:rFonts w:ascii="Times New Roman" w:hAnsi="Times New Roman" w:cs="Times New Roman"/>
          <w:sz w:val="24"/>
          <w:szCs w:val="24"/>
        </w:rPr>
      </w:pPr>
      <w:r w:rsidRPr="007C5ACB">
        <w:rPr>
          <w:rFonts w:ascii="Times New Roman" w:hAnsi="Times New Roman" w:cs="Times New Roman"/>
          <w:sz w:val="24"/>
          <w:szCs w:val="24"/>
        </w:rPr>
        <w:lastRenderedPageBreak/>
        <w:t>The proportions of articles available in English and in other languages differ considerably between disciplines, despite a common tendency towards a growing dominance of English-medium publications, which is not predicted to stop any time soon (Stockemer &amp; Wigginton, 2019; Flowerdew &amp; Li, 2009). Research shows that the natural sciences demonstrate a very marked preference for English as the language of publication (Ammon, 2006). Even though the preference for English as the language of publication is less marked in the social sciences and the humanities, this preference is comparatively stronger in the social sciences than in the humanities, where papers in other languages still have an important role (Liu, 2016</w:t>
      </w:r>
      <w:r w:rsidRPr="006F6D86">
        <w:rPr>
          <w:rFonts w:ascii="Times New Roman" w:hAnsi="Times New Roman" w:cs="Times New Roman"/>
          <w:sz w:val="24"/>
          <w:szCs w:val="24"/>
        </w:rPr>
        <w:t xml:space="preserve">), notably thanks to national scientific journals. Despite the greater visibility of English-medium </w:t>
      </w:r>
      <w:r>
        <w:rPr>
          <w:rFonts w:ascii="Times New Roman" w:hAnsi="Times New Roman" w:cs="Times New Roman"/>
          <w:sz w:val="24"/>
          <w:szCs w:val="24"/>
        </w:rPr>
        <w:t>'</w:t>
      </w:r>
      <w:r w:rsidRPr="006F6D86">
        <w:rPr>
          <w:rFonts w:ascii="Times New Roman" w:hAnsi="Times New Roman" w:cs="Times New Roman"/>
          <w:sz w:val="24"/>
          <w:szCs w:val="24"/>
        </w:rPr>
        <w:t>international</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2"/>
      </w:r>
      <w:r w:rsidRPr="006F6D86">
        <w:rPr>
          <w:rFonts w:ascii="Times New Roman" w:hAnsi="Times New Roman" w:cs="Times New Roman"/>
          <w:sz w:val="24"/>
          <w:szCs w:val="24"/>
        </w:rPr>
        <w:t xml:space="preserve"> journals (Godin, 2002), both in terms of audience and impact, Larivière (2018, p. 15) argues that national journals in the social sciences and the humanities remain important, in part because they allow publications related to local topics.</w:t>
      </w:r>
    </w:p>
    <w:p w14:paraId="42AEBBEA" w14:textId="77777777" w:rsidR="00991CCA" w:rsidRDefault="00991CCA" w:rsidP="00991CCA">
      <w:pPr>
        <w:pStyle w:val="Newparagraph"/>
        <w:spacing w:line="480" w:lineRule="auto"/>
      </w:pPr>
      <w:r>
        <w:t xml:space="preserve">In fact, it has been shown that scholars publish in their local languages and journals partly because they believe 'international' venues are not interested in their local topics (Curry &amp; Lillis, 2004). Their locality is perceived as marked by (Anglophone) publishers and thus valued more negatively than knowledge made in Anglophone-centre contexts that are often considered as 'default' contexts (Lillis &amp; Curry, 2010, p. 141). In some fields, this belief, combined with pressures for academic productivism and highly valued quantitative metrics, leads researchers to focus on contexts that offer easier access to higher research impact journals. For example, in the field of economics, Laslier (2016) points out that there is a movement towards the uniformization of research data and topics in the journals with the highest research </w:t>
      </w:r>
      <w:r>
        <w:lastRenderedPageBreak/>
        <w:t>impacts, which are US-based. Indeed, publications tend to focus on the US instead of exploring more diverse contexts, neglecting data from a large part of the world (Laslier, 2016). Similarly, in sociology, Warren (2014) notes that a large part of Canadian studies in sociology focus on the US nowadays, leading to a decline in country self-citations, also observed in other countries, and to the increasing invisibility of French sociology, despite its strong national tradition (Warren, 2014, p. 100). These observations in the social sciences are well summarized by Ammon (2012, p. 334)'s statement that 'knowledge produced and published in non-Anglophone countries or language communities is neglected and knowledge produced and published in Anglophone countries or language communities gets an over-proportional share of attention', notably because of the positive effect of English-medium publications on the research impact (Stockemer &amp; Wigginton, 2019). This phenomenon strengthens the reinforcement of dominant epistemologies and the loss of the plurality of perspectives (Cornut &amp; Roussel, 2011). This contributes to 'bibliographical amnesia' (Chevrier, 2016, p. 20), making local contexts and traditions ever more invisible, especially as papers published in other languages than English tend to be less cited (Liu, 2016, p. 120). This phenomenon reflects the textual ideologies at stake in knowledge production, which attribute differential values to languages as media of knowledge dissemination (Lillis &amp; Curry, 2010, p. 162).</w:t>
      </w:r>
    </w:p>
    <w:p w14:paraId="446BDE45" w14:textId="77777777" w:rsidR="00991CCA" w:rsidRDefault="00991CCA" w:rsidP="00991CCA">
      <w:pPr>
        <w:pStyle w:val="Newparagraph"/>
        <w:spacing w:line="480" w:lineRule="auto"/>
      </w:pPr>
      <w:r>
        <w:t xml:space="preserve">To fight the potential bibliographical amnesia, authors who are literate in more than one language have the possibility of reading sources published in several languages, thereby diversifying their knowledge of perspectives and epistemologies that may deviate from the disciplinary norm (Chevrier, 2016, p. 20) and enhancing the value of specific languages as vehicles for knowledge. As suggested by Canagarajah (2002), multilinguals have the opportunity to create a dialogue between discourses from </w:t>
      </w:r>
      <w:r>
        <w:lastRenderedPageBreak/>
        <w:t>different communities to develop a personal position. For this reason, it is beneficial for students who are bi- or pluriliterate to read in two or more languages for the composition of their MA thesis, especially in the social sciences and the humanities. Reading in multiple languages provides students with a dual knowledge of their field: they become familiar with the norm as well as with works that may deviate from this norm, allowing the development of original positions and methods. Pluriliterate academic practices allow for comparisons between specificities of national traditions (Heilbron, 2008, p. 8), data from different contexts, as well as combinations of local data and 'normal' disciplinary approaches or methods, and of non-local data and 'deviant' approaches or methods. The choice of references written in other languages than English also sends a message about the valuable nature of these languages as vehicles of knowledge and of these contexts and methods as research settings and epistemologies.</w:t>
      </w:r>
    </w:p>
    <w:p w14:paraId="793AC3DF" w14:textId="77777777" w:rsidR="00991CCA" w:rsidRDefault="00991CCA" w:rsidP="00991CCA">
      <w:pPr>
        <w:pStyle w:val="Newparagraph"/>
        <w:spacing w:line="480" w:lineRule="auto"/>
      </w:pPr>
      <w:r>
        <w:t xml:space="preserve">To sum up, in this section, I examined several pragmatic factors which are likely to play a role in students' choice of references based on works on scholarly writing. The factors playing a role in the choice of references in English or in other languages are the following: the author's working language (or L1), and the availability of references in different languages, which seems highly dependent on the discipline and the geographical scope of the topic. In the following analysis, the language of writing of the thesis is preferred to the working language or L1 as there is no metadata with regard to authors' working language(s) and L1(s), and as academic pluriliterate practices imply high levels of literacy in multiple languages, irrespective of the L1. This study thus aims to determine to what extent students use different languages in their readings and to what extent the language of writing influences their choices, knowing that the effect of </w:t>
      </w:r>
      <w:r>
        <w:lastRenderedPageBreak/>
        <w:t>the language of writing might be mediated by the discipline and/or the geographical scope of the topic.</w:t>
      </w:r>
    </w:p>
    <w:p w14:paraId="5E7934CD" w14:textId="77777777" w:rsidR="00991CCA" w:rsidRDefault="00991CCA" w:rsidP="00991CCA">
      <w:pPr>
        <w:pStyle w:val="Style1"/>
      </w:pPr>
      <w:r>
        <w:t>Methodology</w:t>
      </w:r>
    </w:p>
    <w:p w14:paraId="6AEB80CD" w14:textId="77777777" w:rsidR="00991CCA" w:rsidRDefault="00991CCA" w:rsidP="00991CCA">
      <w:pPr>
        <w:pStyle w:val="Style2"/>
      </w:pPr>
      <w:r>
        <w:t>Data collection and analysis</w:t>
      </w:r>
    </w:p>
    <w:p w14:paraId="67B91AA0" w14:textId="77777777" w:rsidR="00991CCA" w:rsidRDefault="00991CCA" w:rsidP="00991CCA">
      <w:pPr>
        <w:pStyle w:val="Paragraph"/>
        <w:spacing w:line="480" w:lineRule="auto"/>
        <w:rPr>
          <w:i/>
        </w:rPr>
      </w:pPr>
      <w:r w:rsidRPr="00C73CA4">
        <w:t xml:space="preserve">The results presented in the next section are based on the analysis of </w:t>
      </w:r>
      <w:r>
        <w:t xml:space="preserve">the references coming from </w:t>
      </w:r>
      <w:r w:rsidRPr="00C73CA4">
        <w:t>a sample of 240 theses written at the university under study between 2017 and 2019. The theses were</w:t>
      </w:r>
      <w:r>
        <w:t xml:space="preserve"> selected randomly</w:t>
      </w:r>
      <w:r w:rsidRPr="00C73CA4">
        <w:t xml:space="preserve"> from the</w:t>
      </w:r>
      <w:r>
        <w:t>ses released in open access in the</w:t>
      </w:r>
      <w:r w:rsidRPr="00C73CA4">
        <w:t xml:space="preserve"> institutional repository, in which all MA theses are published provided that the authors </w:t>
      </w:r>
      <w:r>
        <w:t xml:space="preserve">succeeded with honours, so as to obtain </w:t>
      </w:r>
      <w:r w:rsidRPr="00C73CA4">
        <w:t>30 theses in English and 30 theses in French per faculty.</w:t>
      </w:r>
      <w:r>
        <w:t xml:space="preserve"> </w:t>
      </w:r>
      <w:r w:rsidRPr="00EE6153">
        <w:rPr>
          <w:rFonts w:cstheme="minorHAnsi"/>
          <w:lang w:val="en-US"/>
        </w:rPr>
        <w:t>One thesis has been excluded because it did not include a bibliography (probably a mistake in the submission process).</w:t>
      </w:r>
      <w:r>
        <w:rPr>
          <w:rFonts w:cstheme="minorHAnsi"/>
          <w:lang w:val="en-US"/>
        </w:rPr>
        <w:t xml:space="preserve"> </w:t>
      </w:r>
      <w:r w:rsidRPr="00EE6153">
        <w:rPr>
          <w:rFonts w:cstheme="minorHAnsi"/>
          <w:lang w:val="en-US"/>
        </w:rPr>
        <w:t>This thesis was a French-written thesis from the faculty of Management.</w:t>
      </w:r>
      <w:r w:rsidRPr="00C73CA4">
        <w:t xml:space="preserve"> </w:t>
      </w:r>
    </w:p>
    <w:p w14:paraId="433F6A87" w14:textId="77777777" w:rsidR="00991CCA" w:rsidRDefault="00991CCA" w:rsidP="00991CCA">
      <w:pPr>
        <w:pStyle w:val="Paragraph"/>
        <w:spacing w:line="480" w:lineRule="auto"/>
      </w:pPr>
      <w:r>
        <w:t>Three disciplines are present</w:t>
      </w:r>
      <w:r w:rsidRPr="007C5ACB">
        <w:t xml:space="preserve"> in the data. </w:t>
      </w:r>
      <w:r>
        <w:t>T</w:t>
      </w:r>
      <w:r w:rsidRPr="007C5ACB">
        <w:t>he humanities are represented by the faculty of Arts and letters</w:t>
      </w:r>
      <w:r>
        <w:t xml:space="preserve">; </w:t>
      </w:r>
      <w:r w:rsidRPr="007C5ACB">
        <w:t xml:space="preserve">the social sciences </w:t>
      </w:r>
      <w:r>
        <w:t>by</w:t>
      </w:r>
      <w:r w:rsidRPr="007C5ACB">
        <w:t xml:space="preserve"> the faculty of Economic, social and political sciences and communication (henceforth, ESPSC</w:t>
      </w:r>
      <w:r>
        <w:t xml:space="preserve">) and by </w:t>
      </w:r>
      <w:r w:rsidRPr="007C5ACB">
        <w:t>the faculty of Management</w:t>
      </w:r>
      <w:r>
        <w:t xml:space="preserve">; and </w:t>
      </w:r>
      <w:r w:rsidRPr="007C5ACB">
        <w:t>the natural sciences are illustrated by the faculty of Engineering.</w:t>
      </w:r>
      <w:r w:rsidRPr="00151ED2">
        <w:t xml:space="preserve"> </w:t>
      </w:r>
      <w:r w:rsidRPr="00C73CA4">
        <w:t>The analysis consisted in a manual count of sources in different languages in the reference lists of the 2</w:t>
      </w:r>
      <w:r>
        <w:t>39</w:t>
      </w:r>
      <w:r w:rsidRPr="00C73CA4">
        <w:t xml:space="preserve"> theses and in the coding of each thesis for language, based on the language of the title and of the abstract, and faculty.</w:t>
      </w:r>
    </w:p>
    <w:p w14:paraId="72E6A74A" w14:textId="77777777" w:rsidR="00991CCA" w:rsidRDefault="00991CCA" w:rsidP="00991CCA">
      <w:pPr>
        <w:pStyle w:val="Paragraph"/>
        <w:spacing w:line="480" w:lineRule="auto"/>
      </w:pPr>
      <w:r w:rsidRPr="00151ED2">
        <w:t xml:space="preserve">Insofar as the topic of a thesis can potentially influence the language of the references (e.g. a dissertation on a topic in English literature is likely to feature numerous references in English), it seemed essential to analyse the results from the point of view of the geographical scope of the topic. </w:t>
      </w:r>
      <w:r>
        <w:t>On the basis of their title and abstract</w:t>
      </w:r>
      <w:r w:rsidRPr="00151ED2">
        <w:t xml:space="preserve">, all the theses were categorized according to whether they dealt with local francophone topics </w:t>
      </w:r>
      <w:r w:rsidRPr="00151ED2">
        <w:lastRenderedPageBreak/>
        <w:t>(e.g. French literature, French linguistics, Belgian or French context), local anglophone topics (e.g. English literature, Brexit), local 'other' topics (e.g. Spanish literature, Brazilian economy), international</w:t>
      </w:r>
      <w:r>
        <w:rPr>
          <w:rStyle w:val="FootnoteReference"/>
        </w:rPr>
        <w:footnoteReference w:id="3"/>
      </w:r>
      <w:r w:rsidRPr="00151ED2">
        <w:t xml:space="preserve"> topics (e.g. comparisons between countries</w:t>
      </w:r>
      <w:r>
        <w:t xml:space="preserve"> or languages</w:t>
      </w:r>
      <w:r w:rsidRPr="00151ED2">
        <w:t>), and global or universal topics, which are believed to be context-free (e.g. artificial intelligence).</w:t>
      </w:r>
      <w:r w:rsidRPr="007E0DC7">
        <w:t xml:space="preserve"> </w:t>
      </w:r>
      <w:r w:rsidRPr="00C73CA4">
        <w:t>Table 1 illustrates the distribution of data across the studied categories.</w:t>
      </w:r>
    </w:p>
    <w:p w14:paraId="15ACB174" w14:textId="77777777" w:rsidR="00991CCA" w:rsidRDefault="00991CCA" w:rsidP="00991CCA">
      <w:pPr>
        <w:pStyle w:val="Tabletitle"/>
        <w:spacing w:line="480" w:lineRule="auto"/>
      </w:pPr>
      <w:r>
        <w:t xml:space="preserve">Table 1. </w:t>
      </w:r>
      <w:r w:rsidRPr="00C73CA4">
        <w:t>Distribution of data by category</w:t>
      </w:r>
      <w:r>
        <w:t>.</w:t>
      </w:r>
    </w:p>
    <w:p w14:paraId="1D207474" w14:textId="77777777" w:rsidR="00991CCA" w:rsidRPr="00AD4639" w:rsidRDefault="00991CCA" w:rsidP="00991CCA">
      <w:pPr>
        <w:rPr>
          <w:i/>
          <w:lang w:eastAsia="en-GB"/>
        </w:rPr>
      </w:pPr>
      <w:r>
        <w:rPr>
          <w:i/>
          <w:lang w:eastAsia="en-GB"/>
        </w:rPr>
        <w:t>[Add table 1 here]</w:t>
      </w:r>
    </w:p>
    <w:p w14:paraId="01203A4B" w14:textId="77777777" w:rsidR="00991CCA" w:rsidRPr="00151ED2" w:rsidRDefault="00991CCA" w:rsidP="00991CCA">
      <w:pPr>
        <w:pStyle w:val="Newparagraph"/>
        <w:spacing w:line="480" w:lineRule="auto"/>
      </w:pPr>
      <w:r>
        <w:t>As the data set</w:t>
      </w:r>
      <w:r w:rsidRPr="007C5ACB">
        <w:t xml:space="preserve"> is not balanced across topic scopes</w:t>
      </w:r>
      <w:r>
        <w:t xml:space="preserve"> and some topics are absent in some faculties, this factor has not been included in the GLMM.</w:t>
      </w:r>
      <w:r w:rsidRPr="007C5ACB">
        <w:t xml:space="preserve"> Despite providing a general overview of the types of topics addressed in MA theses in different faculties and languages, this </w:t>
      </w:r>
      <w:r>
        <w:t xml:space="preserve">unbalance </w:t>
      </w:r>
      <w:r w:rsidRPr="007C5ACB">
        <w:t>should be kept in mind to interpret the results</w:t>
      </w:r>
      <w:r>
        <w:t xml:space="preserve"> and </w:t>
      </w:r>
      <w:r w:rsidRPr="007C5ACB">
        <w:t>the topic scope is only used for exploratory explanatory purposes.</w:t>
      </w:r>
    </w:p>
    <w:p w14:paraId="4C6912E8" w14:textId="77777777" w:rsidR="00991CCA" w:rsidRDefault="00991CCA" w:rsidP="00991CCA">
      <w:pPr>
        <w:pStyle w:val="Style2"/>
      </w:pPr>
      <w:r>
        <w:t>Statistical method</w:t>
      </w:r>
    </w:p>
    <w:p w14:paraId="760728F1" w14:textId="77777777" w:rsidR="00991CCA" w:rsidRPr="00C65214" w:rsidRDefault="00991CCA" w:rsidP="00991CCA">
      <w:pPr>
        <w:pStyle w:val="Paragraph"/>
        <w:spacing w:line="480" w:lineRule="auto"/>
      </w:pPr>
      <w:r>
        <w:t>The analysis was conducted with SPSS 26. Its goal is to analyse the language of references chosen by students (in English vs. in another language) through a GLMM in order to include both fixed and random effects, i.e. a measure of the impact of the predictors as well as the individual variability. As the response variable, i.e. the language of the source, is a binary variable, a logistic link function is used. T</w:t>
      </w:r>
      <w:r w:rsidRPr="007C5ACB">
        <w:t xml:space="preserve">he model </w:t>
      </w:r>
      <w:r>
        <w:t xml:space="preserve">includes </w:t>
      </w:r>
      <w:r w:rsidRPr="007C5ACB">
        <w:t xml:space="preserve">two </w:t>
      </w:r>
      <w:r>
        <w:t>fixed main effects</w:t>
      </w:r>
      <w:r w:rsidRPr="007C5ACB">
        <w:t>, i.e. the language of the thesis and the faculty in which the thesis was submitted, as well as their interaction, i.e. the effect of the faculty on the way the language of writing influences the preference for English sources.</w:t>
      </w:r>
      <w:r>
        <w:t xml:space="preserve"> </w:t>
      </w:r>
      <w:r w:rsidRPr="007C5ACB">
        <w:t xml:space="preserve">A random </w:t>
      </w:r>
      <w:r>
        <w:t>intercept for students</w:t>
      </w:r>
      <w:r w:rsidRPr="007C5ACB">
        <w:t xml:space="preserve"> is</w:t>
      </w:r>
      <w:r>
        <w:t xml:space="preserve"> </w:t>
      </w:r>
      <w:r w:rsidRPr="007C5ACB">
        <w:t xml:space="preserve">included to account for the individual variability among authors. </w:t>
      </w:r>
      <w:r>
        <w:lastRenderedPageBreak/>
        <w:t>Analyses were</w:t>
      </w:r>
      <w:r w:rsidRPr="007C5ACB">
        <w:t xml:space="preserve"> run on a sample of </w:t>
      </w:r>
      <w:r>
        <w:t>16959 sources</w:t>
      </w:r>
      <w:r w:rsidRPr="007C5ACB">
        <w:t xml:space="preserve">, </w:t>
      </w:r>
      <w:r>
        <w:t xml:space="preserve">from 239 </w:t>
      </w:r>
      <w:r w:rsidRPr="007C5ACB">
        <w:t xml:space="preserve">sources, and </w:t>
      </w:r>
      <w:r>
        <w:t xml:space="preserve">the model </w:t>
      </w:r>
      <w:r w:rsidRPr="007C5ACB">
        <w:t xml:space="preserve">met all the assumptions of a </w:t>
      </w:r>
      <w:r>
        <w:t>GLMM</w:t>
      </w:r>
      <w:r w:rsidRPr="007C5ACB">
        <w:t>.</w:t>
      </w:r>
      <w:r>
        <w:t xml:space="preserve"> For further information, the data and syntax of the model are available online</w:t>
      </w:r>
      <w:r>
        <w:rPr>
          <w:rStyle w:val="FootnoteReference"/>
        </w:rPr>
        <w:footnoteReference w:id="4"/>
      </w:r>
      <w:r>
        <w:t>.</w:t>
      </w:r>
    </w:p>
    <w:p w14:paraId="0BBAA8FB" w14:textId="77777777" w:rsidR="00991CCA" w:rsidRDefault="00991CCA" w:rsidP="00991CCA">
      <w:pPr>
        <w:pStyle w:val="Style1"/>
      </w:pPr>
      <w:r>
        <w:t>Results</w:t>
      </w:r>
    </w:p>
    <w:p w14:paraId="12F14961" w14:textId="77777777" w:rsidR="00991CCA" w:rsidRPr="00B32CF1" w:rsidRDefault="00991CCA" w:rsidP="00991CCA">
      <w:pPr>
        <w:pStyle w:val="Paragraph"/>
        <w:spacing w:line="480" w:lineRule="auto"/>
      </w:pPr>
      <w:r w:rsidRPr="007C5ACB">
        <w:t xml:space="preserve">Among the 16959 sources, 63.5% are in English, 34.3% in French, and 2.2% in another language. </w:t>
      </w:r>
      <w:r>
        <w:t xml:space="preserve">The GLMM was run on the language of the source with the language of the thesis and the faculty where the thesis was submitted, as well as their interaction, as fixed effects. </w:t>
      </w:r>
      <w:r w:rsidRPr="007C5ACB">
        <w:t>The</w:t>
      </w:r>
      <w:r>
        <w:t xml:space="preserve"> model</w:t>
      </w:r>
      <w:r w:rsidRPr="007C5ACB">
        <w:t xml:space="preserve"> converges and is significant (F (7,</w:t>
      </w:r>
      <w:r>
        <w:t xml:space="preserve"> </w:t>
      </w:r>
      <w:r w:rsidRPr="007C5ACB">
        <w:t xml:space="preserve">231) = 63.64, p &lt; </w:t>
      </w:r>
      <w:r>
        <w:t>0</w:t>
      </w:r>
      <w:r w:rsidRPr="007C5ACB">
        <w:t>.00</w:t>
      </w:r>
      <w:r>
        <w:t>1</w:t>
      </w:r>
      <w:r w:rsidRPr="007C5ACB">
        <w:t xml:space="preserve">). The random intercept </w:t>
      </w:r>
      <w:r>
        <w:t xml:space="preserve">included in the model contributes significantly to the variance even when the writing language and the faculty of the students are included in the model to explain the language of the sources. This result shows the importance of including a random intercept for students in the model </w:t>
      </w:r>
      <w:r w:rsidRPr="00287DC2">
        <w:rPr>
          <w:lang w:val="en-US"/>
        </w:rPr>
        <w:t>(var=2.01, chi²=8.62, p&lt;0.001)</w:t>
      </w:r>
      <w:r w:rsidRPr="00287DC2">
        <w:rPr>
          <w:rFonts w:ascii="AdvGulliv-R" w:hAnsi="AdvGulliv-R" w:cs="AdvGulliv-R"/>
          <w:sz w:val="16"/>
          <w:szCs w:val="16"/>
          <w:lang w:val="en-US"/>
        </w:rPr>
        <w:t>.</w:t>
      </w:r>
      <w:r>
        <w:rPr>
          <w:rFonts w:ascii="AdvGulliv-R" w:hAnsi="AdvGulliv-R" w:cs="AdvGulliv-R"/>
          <w:sz w:val="16"/>
          <w:szCs w:val="16"/>
          <w:lang w:val="en-US"/>
        </w:rPr>
        <w:t xml:space="preserve"> </w:t>
      </w:r>
      <w:r w:rsidRPr="007C5ACB">
        <w:t xml:space="preserve">All the </w:t>
      </w:r>
      <w:r>
        <w:t xml:space="preserve">fixed </w:t>
      </w:r>
      <w:r w:rsidRPr="007C5ACB">
        <w:t xml:space="preserve">factors included in the model have a significant effect on the probability of a source being English-medium. </w:t>
      </w:r>
      <w:r>
        <w:t>T</w:t>
      </w:r>
      <w:r w:rsidRPr="007C5ACB">
        <w:t xml:space="preserve">he </w:t>
      </w:r>
      <w:r>
        <w:t>GLMM</w:t>
      </w:r>
      <w:r w:rsidRPr="007C5ACB">
        <w:t xml:space="preserve"> includes sufficient information and has a good predictive power</w:t>
      </w:r>
      <w:r>
        <w:t xml:space="preserve">, as shown by </w:t>
      </w:r>
      <w:r w:rsidRPr="007C5ACB">
        <w:t xml:space="preserve">the confusion matrix in </w:t>
      </w:r>
      <w:r>
        <w:t>the Appendix (Table A)</w:t>
      </w:r>
      <w:r w:rsidRPr="007C5ACB">
        <w:t>.</w:t>
      </w:r>
    </w:p>
    <w:p w14:paraId="4D98B773" w14:textId="77777777" w:rsidR="00991CCA" w:rsidRDefault="00991CCA" w:rsidP="00991CCA">
      <w:pPr>
        <w:pStyle w:val="Paragraph"/>
        <w:spacing w:line="480" w:lineRule="auto"/>
      </w:pPr>
      <w:r>
        <w:t xml:space="preserve">The language of the text is a significant predictor of the language of the source (F(1, 231)=326.098, p &lt; 0.001). This effect of the language of writing indicates that theses written in English cite proportionally more references written in English. As can be seen in table 2, the mean proportion of sources in English estimated on the basis of the model (i.e. taking into account the individual variability across students) is 95.8% in English-written theses, against 36.2% in French-written theses. </w:t>
      </w:r>
      <w:r w:rsidRPr="00553B49">
        <w:t>English-written and French-written theses differ significantly at p &lt; .000 level.</w:t>
      </w:r>
      <w:r>
        <w:t xml:space="preserve"> In other words, English-written theses are more likely to cite sources in English than French-written theses and this </w:t>
      </w:r>
      <w:r>
        <w:lastRenderedPageBreak/>
        <w:t>effect is significant in the population.</w:t>
      </w:r>
    </w:p>
    <w:p w14:paraId="76C28CDE" w14:textId="77777777" w:rsidR="00991CCA" w:rsidRPr="00774705" w:rsidRDefault="00991CCA" w:rsidP="00991CCA">
      <w:pPr>
        <w:pStyle w:val="Newparagraph"/>
      </w:pPr>
      <w:r>
        <w:t>Table 2. Mean estimated proportions of English-written sources per language of writing.</w:t>
      </w:r>
    </w:p>
    <w:p w14:paraId="20A3158A" w14:textId="77777777" w:rsidR="00991CCA" w:rsidRPr="003502C2" w:rsidRDefault="00991CCA" w:rsidP="00991CCA">
      <w:pPr>
        <w:autoSpaceDE w:val="0"/>
        <w:autoSpaceDN w:val="0"/>
        <w:adjustRightInd w:val="0"/>
        <w:spacing w:after="0" w:line="240" w:lineRule="auto"/>
        <w:rPr>
          <w:rFonts w:ascii="Times New Roman" w:hAnsi="Times New Roman" w:cs="Times New Roman"/>
          <w:sz w:val="24"/>
          <w:szCs w:val="24"/>
          <w:lang w:val="en-US"/>
        </w:rPr>
      </w:pPr>
    </w:p>
    <w:p w14:paraId="2B7E1066" w14:textId="77777777" w:rsidR="00991CCA" w:rsidRPr="00AD4639" w:rsidRDefault="00991CCA" w:rsidP="00991CCA">
      <w:pPr>
        <w:autoSpaceDE w:val="0"/>
        <w:autoSpaceDN w:val="0"/>
        <w:adjustRightInd w:val="0"/>
        <w:spacing w:after="0" w:line="240" w:lineRule="auto"/>
        <w:rPr>
          <w:rFonts w:ascii="Times New Roman" w:hAnsi="Times New Roman" w:cs="Times New Roman"/>
          <w:i/>
          <w:sz w:val="24"/>
          <w:szCs w:val="24"/>
          <w:lang w:val="en-US"/>
        </w:rPr>
      </w:pPr>
      <w:r>
        <w:rPr>
          <w:rFonts w:ascii="Times New Roman" w:hAnsi="Times New Roman" w:cs="Times New Roman"/>
          <w:i/>
          <w:sz w:val="24"/>
          <w:szCs w:val="24"/>
          <w:lang w:val="en-US"/>
        </w:rPr>
        <w:t>[Add table 2 here]</w:t>
      </w:r>
    </w:p>
    <w:p w14:paraId="1E47D48D" w14:textId="77777777" w:rsidR="00991CCA" w:rsidRDefault="00991CCA" w:rsidP="00991CCA">
      <w:pPr>
        <w:pStyle w:val="Paragraph"/>
        <w:spacing w:line="480" w:lineRule="auto"/>
      </w:pPr>
      <w:r>
        <w:t>The faculty in which the thesis was submitted impacts significantly the language of the source (F(3, 231)=24.048, p &lt; 0.001) as well. Table 3 reports the estimated proportions of references in English for each faculty. The faculty of Engineering shows the highest estimated proportion of sources in English with an estimated mean at 92.1%. The faculty of Arts &amp; letters, on the other hand, shows the lowest estimated proportion of sources in English with 50.1%. The faculties of Management and of ESPSC are somewhere in the middle and are the only faculties that do not seem to differ from each other with each an estimated proportion of 79.3% sources in English. In fact, all faculties except the latter pair differ significantly from each other according to pairwise comparisons with a sequential Bonferroni correction at (at least) the p &lt; 0.005 level. These results show that all students tend to cite a large proportion of sources in English, except for students in Arts and letters, for whom this tendency is less marked and who are, consequently, as likely to cite sources in English as in other languages. In contrast, students at the faculty of Engineering are likely to cite an overwhelming proportion of sources in English in their thesis. These two faculties constitute the ends of the continuum, and the faculties of Management and ESPSC are somewhere between these ends, with a tendency to cite more English sources than sources in other languages.</w:t>
      </w:r>
    </w:p>
    <w:p w14:paraId="44B1E13E" w14:textId="77777777" w:rsidR="00991CCA" w:rsidRPr="00774705" w:rsidRDefault="00991CCA" w:rsidP="00991CCA">
      <w:pPr>
        <w:pStyle w:val="Newparagraph"/>
      </w:pPr>
      <w:r>
        <w:t>Table 3. Mean estimated proportions of English-written sources per faculty.</w:t>
      </w:r>
    </w:p>
    <w:p w14:paraId="771ACDF4" w14:textId="77777777" w:rsidR="00991CCA" w:rsidRPr="003502C2" w:rsidRDefault="00991CCA" w:rsidP="00991CCA">
      <w:pPr>
        <w:autoSpaceDE w:val="0"/>
        <w:autoSpaceDN w:val="0"/>
        <w:adjustRightInd w:val="0"/>
        <w:spacing w:after="0" w:line="240" w:lineRule="auto"/>
        <w:rPr>
          <w:rFonts w:ascii="Times New Roman" w:hAnsi="Times New Roman" w:cs="Times New Roman"/>
          <w:sz w:val="24"/>
          <w:szCs w:val="24"/>
          <w:lang w:val="en-US"/>
        </w:rPr>
      </w:pPr>
    </w:p>
    <w:p w14:paraId="5A5BFFF3" w14:textId="77777777" w:rsidR="00991CCA" w:rsidRPr="00AD4639" w:rsidRDefault="00991CCA" w:rsidP="00991CCA">
      <w:pPr>
        <w:autoSpaceDE w:val="0"/>
        <w:autoSpaceDN w:val="0"/>
        <w:adjustRightInd w:val="0"/>
        <w:spacing w:after="0" w:line="400" w:lineRule="atLeast"/>
        <w:rPr>
          <w:rFonts w:ascii="Times New Roman" w:hAnsi="Times New Roman" w:cs="Times New Roman"/>
          <w:i/>
          <w:sz w:val="24"/>
          <w:szCs w:val="24"/>
          <w:lang w:val="en-US"/>
        </w:rPr>
      </w:pPr>
      <w:r>
        <w:rPr>
          <w:rFonts w:ascii="Times New Roman" w:hAnsi="Times New Roman" w:cs="Times New Roman"/>
          <w:i/>
          <w:sz w:val="24"/>
          <w:szCs w:val="24"/>
          <w:lang w:val="en-US"/>
        </w:rPr>
        <w:t>[Add table 3 here]</w:t>
      </w:r>
    </w:p>
    <w:p w14:paraId="1677064A" w14:textId="77777777" w:rsidR="00991CCA" w:rsidRPr="00AE1C13" w:rsidRDefault="00991CCA" w:rsidP="00991CCA">
      <w:pPr>
        <w:autoSpaceDE w:val="0"/>
        <w:autoSpaceDN w:val="0"/>
        <w:adjustRightInd w:val="0"/>
        <w:spacing w:after="0" w:line="240" w:lineRule="auto"/>
        <w:rPr>
          <w:rFonts w:ascii="Times New Roman" w:hAnsi="Times New Roman" w:cs="Times New Roman"/>
          <w:sz w:val="24"/>
          <w:szCs w:val="24"/>
          <w:lang w:val="en-US"/>
        </w:rPr>
      </w:pPr>
    </w:p>
    <w:p w14:paraId="6F3905C5" w14:textId="77777777" w:rsidR="00991CCA" w:rsidRDefault="00991CCA" w:rsidP="00991CCA">
      <w:pPr>
        <w:pStyle w:val="Paragraph"/>
        <w:spacing w:line="480" w:lineRule="auto"/>
      </w:pPr>
      <w:r>
        <w:t xml:space="preserve">Finally, the interaction between the effects of the faculty and of the language of the text is also significant (F(3, 231)=16.903, p &lt; 0.001). This interaction has its origin in the </w:t>
      </w:r>
      <w:r>
        <w:lastRenderedPageBreak/>
        <w:t>fact that proportions do not differ significantly between faculties when theses are written in English, whereas they significantly differ when theses are written in French at the p &lt; .000 level for all pairs and at the p &lt; .01 and p &lt; .005 levels for Management - ESPSC and ESPSC - Arts and letters respectively. This is illustrated on Figure 1. Theses written in English feature an overwhelming proportion of sources in English, without distinction between faculties. In contrast, the proportion of sources in English in theses written in French vary considerably across faculties. The differences between theses in English and in French per faculty are all significant, despite the contrasted variations of their range.</w:t>
      </w:r>
    </w:p>
    <w:p w14:paraId="799F3BF1" w14:textId="77777777" w:rsidR="00991CCA" w:rsidRPr="00AD4639" w:rsidRDefault="00991CCA" w:rsidP="00991CCA">
      <w:pPr>
        <w:pStyle w:val="Newparagraph"/>
        <w:rPr>
          <w:i/>
        </w:rPr>
      </w:pPr>
      <w:r>
        <w:rPr>
          <w:i/>
          <w:noProof/>
        </w:rPr>
        <w:t xml:space="preserve">[Add Figure 1 here] </w:t>
      </w:r>
    </w:p>
    <w:p w14:paraId="6CCB839C" w14:textId="77777777" w:rsidR="00991CCA" w:rsidRDefault="00991CCA" w:rsidP="00991CCA">
      <w:pPr>
        <w:pStyle w:val="Newparagraph"/>
      </w:pPr>
      <w:r>
        <w:t>Figure 1. Contrasts between estimated proportions of English-written sources per language of writing and faculty</w:t>
      </w:r>
    </w:p>
    <w:p w14:paraId="5684E9A3" w14:textId="77777777" w:rsidR="00991CCA" w:rsidRDefault="00991CCA" w:rsidP="00991CCA">
      <w:pPr>
        <w:pStyle w:val="Newparagraph"/>
        <w:spacing w:line="480" w:lineRule="auto"/>
      </w:pPr>
    </w:p>
    <w:p w14:paraId="4403F6B2" w14:textId="77777777" w:rsidR="00991CCA" w:rsidRDefault="00991CCA" w:rsidP="00991CCA">
      <w:pPr>
        <w:pStyle w:val="Newparagraph"/>
        <w:spacing w:line="480" w:lineRule="auto"/>
      </w:pPr>
      <w:r>
        <w:t xml:space="preserve">It is surprising to note that theses written in the same faculties display such significant differences in terms of their preferences for anglophone or non-anglophone sources. This leads to the conclusion that, within a same discipline, the language of writing significantly impacts on the choice of sources, even in Engineering where the preference for English sources remains nonetheless strong. Does it mean that students writing on the same issues tend to cite different works depending on the language in which they write? This is what the data seems to indicate so far. However, this statement would neglect the diversity in the topics addressed by students in different faculties, as the faculty does not completely overlap with the topics addressed, especially as regards their geographic scopes. Figure 2 </w:t>
      </w:r>
      <w:r w:rsidRPr="007C5ACB">
        <w:t>shows that the data distribution is balanced across languages of writing and across faculties,</w:t>
      </w:r>
      <w:r>
        <w:t xml:space="preserve"> but not across topic scopes.</w:t>
      </w:r>
    </w:p>
    <w:p w14:paraId="671BD464" w14:textId="77777777" w:rsidR="00991CCA" w:rsidRPr="00AD4639" w:rsidRDefault="00991CCA" w:rsidP="00991CCA">
      <w:pPr>
        <w:pStyle w:val="Figurecaption"/>
        <w:spacing w:line="480" w:lineRule="auto"/>
        <w:rPr>
          <w:i/>
        </w:rPr>
      </w:pPr>
      <w:r>
        <w:rPr>
          <w:i/>
          <w:noProof/>
          <w:lang w:eastAsia="fr-BE"/>
        </w:rPr>
        <w:t>[Add figure 2 here]</w:t>
      </w:r>
    </w:p>
    <w:p w14:paraId="31AFF657" w14:textId="77777777" w:rsidR="00991CCA" w:rsidRDefault="00991CCA" w:rsidP="00991CCA">
      <w:pPr>
        <w:pStyle w:val="Figurecaption"/>
        <w:spacing w:line="480" w:lineRule="auto"/>
      </w:pPr>
      <w:r w:rsidRPr="00C73CA4">
        <w:t xml:space="preserve">Figure </w:t>
      </w:r>
      <w:r>
        <w:t>2</w:t>
      </w:r>
      <w:r w:rsidRPr="00C73CA4">
        <w:t>. Topics among MA theses by language of writing by faculty</w:t>
      </w:r>
    </w:p>
    <w:p w14:paraId="468A44AB" w14:textId="77777777" w:rsidR="00991CCA" w:rsidRPr="007C5ACB" w:rsidRDefault="00991CCA" w:rsidP="00991CCA">
      <w:pPr>
        <w:pStyle w:val="Paragraph"/>
        <w:spacing w:line="480" w:lineRule="auto"/>
      </w:pPr>
      <w:r w:rsidRPr="006024CF">
        <w:lastRenderedPageBreak/>
        <w:t xml:space="preserve">When looking at Figure </w:t>
      </w:r>
      <w:r>
        <w:t>2</w:t>
      </w:r>
      <w:r w:rsidRPr="006024CF">
        <w:t xml:space="preserve">, it becomes clear that the topics addressed in MA theses written in French and in English tend to differ. French-written theses display considerable variations between faculties in this regard. Students in Philosophy and Letters write about topics related to the francophone context. Students in ESPSC write equally about the francophone context and about global subjects, but their works also sometimes feature several countries. Students in Management tend to write mainly about global topics, and this tendency is even more acute for students in Engineering. In contrast, students writing in English all tend to focus on global and/or international contexts, with the exception of students in Arts and letters, who write mainly about anglophone contexts. This factor appears to account for the contrast found between French- and English-written theses in the </w:t>
      </w:r>
      <w:r>
        <w:t>GLMM</w:t>
      </w:r>
      <w:r w:rsidRPr="006024CF">
        <w:t>.</w:t>
      </w:r>
    </w:p>
    <w:p w14:paraId="41791E86" w14:textId="77777777" w:rsidR="00991CCA" w:rsidRDefault="00991CCA" w:rsidP="00991CCA">
      <w:pPr>
        <w:pStyle w:val="Style1"/>
      </w:pPr>
      <w:r>
        <w:t>Discussion</w:t>
      </w:r>
    </w:p>
    <w:p w14:paraId="5E94E2AE" w14:textId="77777777" w:rsidR="00991CCA" w:rsidRDefault="00991CCA" w:rsidP="00991CCA">
      <w:pPr>
        <w:pStyle w:val="Paragraph"/>
        <w:spacing w:line="480" w:lineRule="auto"/>
      </w:pPr>
      <w:r w:rsidRPr="006024CF">
        <w:t>The results presented above show that</w:t>
      </w:r>
      <w:r>
        <w:t xml:space="preserve"> </w:t>
      </w:r>
      <w:r w:rsidRPr="006024CF">
        <w:t>English-written sources are dominant</w:t>
      </w:r>
      <w:r>
        <w:t xml:space="preserve"> in the reference lists of MA theses, showing that the English language is highly valued by students as medium of knowledge. </w:t>
      </w:r>
      <w:r w:rsidRPr="009638C1">
        <w:t>This is unsurprising,</w:t>
      </w:r>
      <w:r>
        <w:t xml:space="preserve"> </w:t>
      </w:r>
      <w:r w:rsidRPr="006024CF">
        <w:t xml:space="preserve">as </w:t>
      </w:r>
      <w:r>
        <w:t>English</w:t>
      </w:r>
      <w:r w:rsidRPr="006024CF">
        <w:t xml:space="preserve"> prevail</w:t>
      </w:r>
      <w:r>
        <w:t>s</w:t>
      </w:r>
      <w:r w:rsidRPr="006024CF">
        <w:t xml:space="preserve"> in the world of scientific publication across disciplines (Stockemer &amp; Wigginton, 2019; Ammon, 2006). The significant share of sources in French</w:t>
      </w:r>
      <w:r>
        <w:t xml:space="preserve"> (34.3%)</w:t>
      </w:r>
      <w:r w:rsidRPr="006024CF">
        <w:t xml:space="preserve"> might lead to the conclusion that students are biliterate in both French and English and tend to read in both languages for the composition of their MA thesis. Yet, the results of the </w:t>
      </w:r>
      <w:r>
        <w:t>GLMM</w:t>
      </w:r>
      <w:r w:rsidRPr="006024CF">
        <w:t xml:space="preserve"> convey a different and much more nuanced impression of the mono- and pluriliterate strategies used by students, highlighting the role of different factors in the probability of citing sources in English or in other languages.</w:t>
      </w:r>
    </w:p>
    <w:p w14:paraId="10C90B8D" w14:textId="77777777" w:rsidR="00991CCA" w:rsidRDefault="00991CCA" w:rsidP="00991CCA">
      <w:pPr>
        <w:pStyle w:val="Newparagraph"/>
        <w:spacing w:line="480" w:lineRule="auto"/>
      </w:pPr>
      <w:r>
        <w:t xml:space="preserve">Faculty and language of writing both have a significant effect on the probability of choosing sources written in English or in other languages. More importantly, the analysis shows that the combination of these factors, i.e. their interactions, has a </w:t>
      </w:r>
      <w:r>
        <w:lastRenderedPageBreak/>
        <w:t>significant effect as well. This significant interaction results in a contrast between the effects observed in English-written theses and those observed in French-written theses. The fact the effects on the probability of choosing a reference in English or in another language differ according to the language of writing shows that the language biases described by Yitzhaki (1998) might be nuanced if his analyses included works written in English by authors from different countries. Indeed, it would be interesting to investigate whether language biases are preserved when authors write in English or whether the relative own-language preference becomes more similar to the one observed among British and American authors. The own-language preference might in fact greatly vary depending on the language in which an author writes.</w:t>
      </w:r>
    </w:p>
    <w:p w14:paraId="0BCCC7A3" w14:textId="77777777" w:rsidR="00991CCA" w:rsidRDefault="00991CCA" w:rsidP="00991CCA">
      <w:pPr>
        <w:pStyle w:val="Newparagraph"/>
        <w:spacing w:line="480" w:lineRule="auto"/>
      </w:pPr>
      <w:r>
        <w:t xml:space="preserve">As a result of the significant interaction between the factors under analysis, authors of English-written theses show a strong preference for English-written sources across faculties. In contrast, the effects of all faculties on the choice of sources differs significantly in theses written in French. Instead of a marked preference for English or other languages, the strength of the preference differs across faculties. At one end of the continuum, students in Arts and letters display a strong preference for other languages, while, at the other end, students in Engineering display an even stronger preference for English, which remains significantly weaker than if the language of writing was English. Compared to them, students in the social sciences, i.e. ESPSC and Management, do not show very strong preferences for one language against the other. </w:t>
      </w:r>
    </w:p>
    <w:p w14:paraId="4A138085" w14:textId="77777777" w:rsidR="00991CCA" w:rsidRDefault="00991CCA" w:rsidP="00991CCA">
      <w:pPr>
        <w:pStyle w:val="Newparagraph"/>
        <w:spacing w:line="480" w:lineRule="auto"/>
      </w:pPr>
      <w:r>
        <w:t xml:space="preserve">The answers to the initial research question, namely ‘Do students draw on pluriliterate strategies when writing their MA theses?’, are polarized into two groups: students writing in English tend to draw on a monoliterate strategy, reading essentially in English, while students writing in French are situated on a continuum from those drawing on a primarily monoliterate strategy in Arts &amp; Letters, assuming they read in </w:t>
      </w:r>
      <w:r>
        <w:lastRenderedPageBreak/>
        <w:t>French and not in another language, to those who rely essentially on English sources in Engineering. Writing in English thus seems to induce a language bias in students' choice of sources. The contrasted results for theses written in French and theses written in English is reminiscent of Lillis &amp; Curry's (2010, p. 131) observation that the movement of global to local knowledge tends to be unidirectional: while researchers who are not anglophone-centre-based will include reference to 'international' knowledge in their local publications, anglophone-centre-based researchers will rarely draw connections with local publications. In the present study, students who write in English arguably focus on centre-based literature and ignore knowledge created in non-centre-based settings, even though their own context is francophone. On the other hand, students who write in French are open to English-written references, even though the results vary across faculties.</w:t>
      </w:r>
    </w:p>
    <w:p w14:paraId="69365305" w14:textId="77777777" w:rsidR="00991CCA" w:rsidRDefault="00991CCA" w:rsidP="00991CCA">
      <w:pPr>
        <w:pStyle w:val="Newparagraph"/>
        <w:spacing w:line="480" w:lineRule="auto"/>
      </w:pPr>
      <w:r>
        <w:t xml:space="preserve"> However, the effect of English as a language of writing might be related to the topics chosen by students. This phenomenon seems particularly powerful as regards students writing in English in the humanities who deal primarily with topics linked to anglophone contexts. Topics and data related to these contexts are likely be considered as unmarked by English-medium publications and, hence, be well documented in those venues (Lillis &amp; Curry, 2010, p. 116). Depending on the locality associated with topics, students are likely to consider sources in English as an (un)marked choice, making sources in other languages (ir)relevant. Writers may consider, in this case, that their topic is anchored in anglophone contexts and that references in the local language, i.e. English, are, therefore, more relevant. Conversely, students writing in French in the humanities choose topics related to francophone contexts. Following the same pattern, they are likely to be primarily exposed to sources published in other languages than English, as anglophone-centre-based publications may value this type of topics and data </w:t>
      </w:r>
      <w:r>
        <w:lastRenderedPageBreak/>
        <w:t>less,  and their preference for French sources may be reinforced by the fact their locality will be perceived as the default, and perhaps even as a more valuable vehicle of knowledge. In the social sciences, the topic also seems to play a role, albeit to a lesser extent, as students are less polarized between topics in the two languages of writing. Finally, in the natural sciences this phenomenon is unlikely to play a role as students write on universal topics regardless of their language of writing. The influence of the locality and geolinguistic origin of the sources is thus likely to be masked by the claim of necessary universalism in the field, which has also led English to be the default choice for scholars seeking to publish.</w:t>
      </w:r>
    </w:p>
    <w:p w14:paraId="641BC573" w14:textId="77777777" w:rsidR="00991CCA" w:rsidRDefault="00991CCA" w:rsidP="00991CCA">
      <w:pPr>
        <w:pStyle w:val="Newparagraph"/>
        <w:spacing w:line="480" w:lineRule="auto"/>
      </w:pPr>
      <w:r>
        <w:t xml:space="preserve">The language bias towards English sources does not seem very problematic for students writing in English in the natural sciences, as it is also present in French-written theses. Obviously, ignoring works published in other languages than English may induce the neglect of a part of the knowledge, but the field is so strongly dominated by the English languages that this is unlikely to cause issues. This can nevertheless be described as a missed opportunity to include works that might deviate from the dominant norm (Flowerdew, 2001), for example texts targeting local professional audiences in more applied subdisciplines (cf. Petersen &amp; Shaw, 2002). In the humanities, the analogous missed opportunity has a bitter taste as the language bias towards the language of writing occurs in both English- and French-written theses. Furthermore, students in Arts and letters are very likely to have developed high levels of literacy in at least two languages, especially if enrolled in a language degree (in the present data for Arts and letters, n = 30/60). In other words, these results show that students who are highly literate in multiple languages and who have developed expertises related to multiple cultures tend to focus on one language or culture at a time, instead of carrying on research transcending boundaries between languages and cultures </w:t>
      </w:r>
      <w:r>
        <w:lastRenderedPageBreak/>
        <w:t xml:space="preserve">and of adopting contrastive and comparative approaches. Finally, in theses written in English in the social sciences, the language bias towards English sources leads to both missed opportunities to conduct comparative research on different national traditions, as deplored by Heilbron (2008, p. 8), and to the neglect of a plurality of perspectives (Chevrier, 2016; Laslier, 2016; Warren, 2014; Cornut &amp; Roussel, 2011), especially in the field of Management. </w:t>
      </w:r>
    </w:p>
    <w:p w14:paraId="1872B66E" w14:textId="77777777" w:rsidR="00991CCA" w:rsidRDefault="00991CCA" w:rsidP="00991CCA">
      <w:pPr>
        <w:pStyle w:val="Newparagraph"/>
        <w:spacing w:line="480" w:lineRule="auto"/>
      </w:pPr>
      <w:r w:rsidRPr="009638C1">
        <w:t>In sum,</w:t>
      </w:r>
      <w:r>
        <w:t xml:space="preserve"> the language bias towards monoliteracy in theses written in English shows that, despite studying in a French-speaking university, students are likely to be impacted by the 'bibliographical amnesia' described by Chevrier (2016) as they ignore a significant amount of research conducted in other languages than English, among which French, in which they are likely to be highly literate. Research published outside anglophone contexts, especially in the humanities and the social sciences, might deal with non-dominant contexts, feature non-dominant epistemologies, and thus use different methods. In other words, adopting a monoliterate strategy may lead students to reduce their possibilities, present as new knowledge that is in fact old, miss a chance to compare contexts and to diversify their approaches. The remaining question is what induces this language bias, resulting in an epistemological bias. As noted by Lillis &amp; Curry (2010, p. 20), '[a]cademic writing is rarely an individual process or product but is mediated in a number of ways at both immediate and more distant levels' and students' practices are likely to reflect and reproduce teachers' and supervisors' ideologies about what counts as a valuable medium for knowledge dissemination. Possible hypotheses trace this bias to curricula featuring essentially sources in one language. Students may indeed inherit their citation patterns from their teachers, who are scholars trained for research publication. Scholars may reproduce, in the reading lists and bibliographies communicated to students, the dominance of one language on their field by teaching </w:t>
      </w:r>
      <w:r>
        <w:lastRenderedPageBreak/>
        <w:t xml:space="preserve">what is most valued according to the dominant norm in the research world rather than by opening the door to a larger understanding of their fields, including works related to more local issues that would be published in national journals and languages. It has also been shown that the language bias is partly due to difficulties encountered to translate terminology from one language into the other, as noted by Dion (2012, p. 161) and Gentil (2005) in the Canadian context, albeit exclusively concerning translation from English to French. In the humanities and the social sciences, translating concepts from research tradition in one language to another language nonetheless means recontextualizing research traditions and creating new contextually relevant meanings (Horner et al., 2011), maybe giving writers more freedom to re-interpret and adapt research conducted in different contexts and languages. </w:t>
      </w:r>
      <w:r w:rsidRPr="00C73CA4">
        <w:t>Yet, researchers in the field do not make concrete suggestions, nor propose designs as regards the incorporation of pluriliterate academic practices in writing instruction (see Gentil, 2019, for an exception).</w:t>
      </w:r>
    </w:p>
    <w:p w14:paraId="03CD51C9" w14:textId="77777777" w:rsidR="00991CCA" w:rsidRDefault="00991CCA" w:rsidP="00991CCA">
      <w:pPr>
        <w:pStyle w:val="Style1"/>
      </w:pPr>
      <w:r>
        <w:t>Conclusion</w:t>
      </w:r>
    </w:p>
    <w:p w14:paraId="76C74BDB" w14:textId="77777777" w:rsidR="00991CCA" w:rsidRDefault="00991CCA" w:rsidP="00991CCA">
      <w:pPr>
        <w:pStyle w:val="Paragraph"/>
        <w:spacing w:line="480" w:lineRule="auto"/>
      </w:pPr>
      <w:r w:rsidRPr="007C5ACB">
        <w:t>In this study, I investigated whether student</w:t>
      </w:r>
      <w:r>
        <w:t>s</w:t>
      </w:r>
      <w:r w:rsidRPr="007C5ACB">
        <w:t xml:space="preserve"> employ pluriliterate strategies when writing their MA theses, as well as the factors influencing their use of languages as regards their choice of sources. These initial interrogations are of particular interest in an era in which scientific communication tends to become linguistically uniform, i.e. dominated by resources written in English (e.g. Stockemer &amp; Wigginton, 2019; Ammon, 2012, 2006). In contrast with the natural sciences, the social and human sciences still feature, in a significant amount, resources in other languages (Liu, 2016; Ammon, 2006). If students are very likely to cite English-written references, neglecting references published in other languages may prove problematic. This may signal that students, tomorrow's researchers and professionals, are unaware of non-anglophone </w:t>
      </w:r>
      <w:r w:rsidRPr="007C5ACB">
        <w:lastRenderedPageBreak/>
        <w:t xml:space="preserve">research traditions and, furthermore, this reflects the fact they overlook the diversity of perspectives available in the literature (Cornut &amp; Roussel, 2011; Horner et al., 2011). Yet, the fusion of works from different traditions offers the opportunity for disciplines to evolve and for debates to be livelier (Warren, 2014, p. 102). The analysis of the 240 theses under study consisted in a </w:t>
      </w:r>
      <w:r>
        <w:t>GLMM</w:t>
      </w:r>
      <w:r w:rsidRPr="007C5ACB">
        <w:t xml:space="preserve">, aiming to estimate the probability of a source to be in English, which included two predictive factors: the faculty in which the thesis was submitted (Arts and letters/ ESPSC/ Management/ Engineering) and the language in which the thesis was written (English/ French). </w:t>
      </w:r>
    </w:p>
    <w:p w14:paraId="56B60778" w14:textId="77777777" w:rsidR="00991CCA" w:rsidRDefault="00991CCA" w:rsidP="00991CCA">
      <w:pPr>
        <w:pStyle w:val="Newparagraph"/>
        <w:spacing w:line="480" w:lineRule="auto"/>
      </w:pPr>
      <w:r>
        <w:t>To sum up the results, students writing in French appear to make greater use of pluriliterate strategies, except in the faculty of Arts and letters in which students focus mainly on topics related to francophone contexts and would seem to read essentially in French. By contrast, students writing in English overwhelmingly settle for a monoliterate strategy, i.e. they read mainly anglophone sources. This confirms what has been observed in studies relating to scholars' citing preferences and shows that this behaviour is reproduced by students, even though they are not subject to pressure by the publishing world. The preference for the pluriliterate strategy in French-written theses is explained to some extent by the topics addressed in the theses, which seem more diverse than those addressed in English-written theses where global and international topics are dominant. However, the differences in topics between English- and French-written theses are limited, especially in the faculty of Management and of Engineering.</w:t>
      </w:r>
    </w:p>
    <w:p w14:paraId="20496AA0" w14:textId="77777777" w:rsidR="00991CCA" w:rsidRDefault="00991CCA" w:rsidP="00991CCA">
      <w:pPr>
        <w:pStyle w:val="Newparagraph"/>
        <w:spacing w:line="480" w:lineRule="auto"/>
      </w:pPr>
      <w:r w:rsidRPr="00060D02">
        <w:t>The findings of this study have to be seen in light of some limitations.</w:t>
      </w:r>
      <w:r>
        <w:t xml:space="preserve"> Firstly, the geographic scope has been coded on the basis of the titles and abstracts of the theses, while the context might sometimes be made explicit elsewhere in the thesis (e.g. in the Method section). Due to this, there might be an overestimation of the presence of 'global topics' in students' works. Secondly, the impact of the geographic scope has not </w:t>
      </w:r>
      <w:r>
        <w:lastRenderedPageBreak/>
        <w:t xml:space="preserve">been estimated by the GLMM because of the unbalanced distribution of its levels in the data under investigation. This could be addressed in future research by sampling data according to the topic scope of the theses rather than according to the faculty and the language of writing solely. </w:t>
      </w:r>
    </w:p>
    <w:p w14:paraId="3B8C4269" w14:textId="77777777" w:rsidR="00991CCA" w:rsidRDefault="00991CCA" w:rsidP="00991CCA">
      <w:pPr>
        <w:pStyle w:val="Newparagraph"/>
        <w:spacing w:line="480" w:lineRule="auto"/>
      </w:pPr>
      <w:r>
        <w:t>This study constitutes but a first step in the exploration of students' pluriliterate academic practices. In spite of the lack of metadata and the limited focus, as the titles and abstracts of theses only were taken into account, the results highlight the dominance of monoliterate practices, more specifically in English-written theses, and call into question the beliefs about languages and enunciative modalities and relevance (Lillis &amp; Curry, 2010, p. 162)  that are at stake during students' research (writing) process, well ahead of the final products that have been analysed in this study. Such issues require researchers to adopt research methods focusing on the researching and writing processes rather than on the final texts and would benefit from qualitative perspectives. To this day, further studies have been initiated to explore students' researching process in more details, as well as to uncover students' and teachers' beliefs about the relation between languages and valuable knowledge in MA theses. In doing so, the elements that (dis)favour pluriliterate academic practices will be highlighted and educators will be able to implement strategies encouraging their use with a view to fostering students' creativity, as well as the development of research fields by training more aware young researchers, and the visibility of a plurality of epistemologies and contexts. Research describing the pluriliterate academic practices of writers remains rare, and experts highlight the necessity of exploring the challenges faced by multilinguals who want to diversify their bibliographies and the benefits of doing so (Horner et al., 2011). It is of paramount importance that students take advantage of all their linguistic resources to access knowledge, and it is the role of instruction to support them (Gentil, 2017).</w:t>
      </w:r>
    </w:p>
    <w:p w14:paraId="0EDC7829" w14:textId="77777777" w:rsidR="00991CCA" w:rsidRDefault="00991CCA" w:rsidP="00991CCA">
      <w:pPr>
        <w:pStyle w:val="Style1"/>
      </w:pPr>
      <w:r>
        <w:lastRenderedPageBreak/>
        <w:t>Reference list</w:t>
      </w:r>
    </w:p>
    <w:p w14:paraId="3AFA7158" w14:textId="77777777" w:rsidR="00991CCA" w:rsidRPr="00F25539" w:rsidRDefault="00991CCA" w:rsidP="00991CCA">
      <w:pPr>
        <w:pStyle w:val="References"/>
      </w:pPr>
      <w:r w:rsidRPr="00F25539">
        <w:t xml:space="preserve">Ammon, U. (2006). Language planning for international scientific communication: An overview of questions and potential solutions. </w:t>
      </w:r>
      <w:r w:rsidRPr="00F25539">
        <w:rPr>
          <w:i/>
        </w:rPr>
        <w:t>Current Issues in Language Planning, 7</w:t>
      </w:r>
      <w:r w:rsidRPr="00F25539">
        <w:t>(1), 1-30. https://doi.org/10.2167/cilp088.0</w:t>
      </w:r>
    </w:p>
    <w:p w14:paraId="34DB1C81" w14:textId="77777777" w:rsidR="00991CCA" w:rsidRPr="00F25539" w:rsidRDefault="00991CCA" w:rsidP="00991CCA">
      <w:pPr>
        <w:pStyle w:val="References"/>
      </w:pPr>
      <w:r w:rsidRPr="00F25539">
        <w:t xml:space="preserve">Ammon, U. (2012). Linguistic inequality and its effects on participation in scientific discourse and on global knowledge accumulation - With a closer look at the problems of the second-rank language communities. </w:t>
      </w:r>
      <w:r w:rsidRPr="00F25539">
        <w:rPr>
          <w:i/>
        </w:rPr>
        <w:t>Applied Linguistics Review, 3</w:t>
      </w:r>
      <w:r w:rsidRPr="00F25539">
        <w:t>(2), 333-55. https://doi.org/10.1515/applirev-2012-0016</w:t>
      </w:r>
    </w:p>
    <w:p w14:paraId="54E14B0B" w14:textId="77777777" w:rsidR="00991CCA" w:rsidRPr="00F25539" w:rsidRDefault="00991CCA" w:rsidP="00991CCA">
      <w:pPr>
        <w:pStyle w:val="References"/>
      </w:pPr>
      <w:r w:rsidRPr="00F25539">
        <w:t xml:space="preserve">Anderson-Levitt, K. M. (2014). Significance: Recognizing the value of research across national and linguistic boundaries. </w:t>
      </w:r>
      <w:r w:rsidRPr="00F25539">
        <w:rPr>
          <w:i/>
        </w:rPr>
        <w:t>Asia Pacific Education Review, 15</w:t>
      </w:r>
      <w:r w:rsidRPr="00F25539">
        <w:t>, 347-54. https://doi.org/10.1007/s12564-014-9322-0</w:t>
      </w:r>
    </w:p>
    <w:p w14:paraId="6208B817" w14:textId="77777777" w:rsidR="00991CCA" w:rsidRPr="00F25539" w:rsidRDefault="00991CCA" w:rsidP="00991CCA">
      <w:pPr>
        <w:pStyle w:val="References"/>
      </w:pPr>
      <w:r w:rsidRPr="00F25539">
        <w:t xml:space="preserve">Bakare, V., &amp; Lewison, G. (2017). Country over-citation ratios. </w:t>
      </w:r>
      <w:r w:rsidRPr="00F25539">
        <w:rPr>
          <w:i/>
        </w:rPr>
        <w:t>Scientometrics, 113</w:t>
      </w:r>
      <w:r w:rsidRPr="00F25539">
        <w:t>, 1199-207. https://doi.org/10.1007/s11192-017-2490-z</w:t>
      </w:r>
    </w:p>
    <w:p w14:paraId="038B350F" w14:textId="77777777" w:rsidR="00991CCA" w:rsidRPr="00287DC2" w:rsidRDefault="00991CCA" w:rsidP="00991CCA">
      <w:pPr>
        <w:pStyle w:val="References"/>
        <w:rPr>
          <w:lang w:val="fr-BE"/>
        </w:rPr>
      </w:pPr>
      <w:r w:rsidRPr="00F25539">
        <w:t xml:space="preserve">Bookstein, A., &amp; Yitzhaki, M. (1999). Own-language preference: A new measure of 'relative language self-citation'. </w:t>
      </w:r>
      <w:r w:rsidRPr="00287DC2">
        <w:rPr>
          <w:i/>
          <w:lang w:val="fr-BE"/>
        </w:rPr>
        <w:t>Scientometrics, 46</w:t>
      </w:r>
      <w:r w:rsidRPr="00287DC2">
        <w:rPr>
          <w:lang w:val="fr-BE"/>
        </w:rPr>
        <w:t>(2), 337-48. https://doi.org/10.1007/BF02464782</w:t>
      </w:r>
    </w:p>
    <w:p w14:paraId="0E7F26BE" w14:textId="77777777" w:rsidR="00991CCA" w:rsidRPr="00287DC2" w:rsidRDefault="00991CCA" w:rsidP="00991CCA">
      <w:pPr>
        <w:pStyle w:val="References"/>
        <w:rPr>
          <w:lang w:val="fr-BE"/>
        </w:rPr>
      </w:pPr>
      <w:r w:rsidRPr="00287DC2">
        <w:rPr>
          <w:lang w:val="fr-BE"/>
        </w:rPr>
        <w:t xml:space="preserve">Chevrier, S. (2016). Table ronde n°1: Quel avenir pour la recherche et la publication en français? </w:t>
      </w:r>
      <w:r w:rsidRPr="00287DC2">
        <w:rPr>
          <w:i/>
          <w:lang w:val="fr-BE"/>
        </w:rPr>
        <w:t>La Revue des Sciences de Gestion, 277</w:t>
      </w:r>
      <w:r w:rsidRPr="00287DC2">
        <w:rPr>
          <w:lang w:val="fr-BE"/>
        </w:rPr>
        <w:t>(1), 13-26. https://doi.org/10.3917/rsg.277.0013</w:t>
      </w:r>
    </w:p>
    <w:p w14:paraId="3EFDF388" w14:textId="77777777" w:rsidR="00991CCA" w:rsidRPr="00287DC2" w:rsidRDefault="00991CCA" w:rsidP="00991CCA">
      <w:pPr>
        <w:pStyle w:val="References"/>
        <w:rPr>
          <w:lang w:val="fr-BE"/>
        </w:rPr>
      </w:pPr>
      <w:r w:rsidRPr="00287DC2">
        <w:rPr>
          <w:lang w:val="fr-BE"/>
        </w:rPr>
        <w:t xml:space="preserve">Cornut, J., &amp; Roussel, S. (2011). Un champ et deux univers? Les francophones dans l'étude de la politique étrangère canadienne. </w:t>
      </w:r>
      <w:r w:rsidRPr="00287DC2">
        <w:rPr>
          <w:i/>
          <w:lang w:val="fr-BE"/>
        </w:rPr>
        <w:t>Politique et Sociétés, 30</w:t>
      </w:r>
      <w:r w:rsidRPr="00287DC2">
        <w:rPr>
          <w:lang w:val="fr-BE"/>
        </w:rPr>
        <w:t>(1), 139-64. https://doi.org/10.7202/1006063ar</w:t>
      </w:r>
    </w:p>
    <w:p w14:paraId="2F747E33" w14:textId="77777777" w:rsidR="00991CCA" w:rsidRPr="00287DC2" w:rsidRDefault="00991CCA" w:rsidP="00991CCA">
      <w:pPr>
        <w:pStyle w:val="References"/>
        <w:rPr>
          <w:lang w:val="fr-BE"/>
        </w:rPr>
      </w:pPr>
      <w:r w:rsidRPr="00287DC2">
        <w:rPr>
          <w:lang w:val="fr-BE"/>
        </w:rPr>
        <w:t xml:space="preserve">Curry, M. J., &amp; Lillis, T. (2004). </w:t>
      </w:r>
      <w:r w:rsidRPr="00F25539">
        <w:t xml:space="preserve">Multilingual scholars and the imperative to publish in English: Negotiating interests, demands, and rewards. </w:t>
      </w:r>
      <w:r w:rsidRPr="00287DC2">
        <w:rPr>
          <w:i/>
          <w:lang w:val="fr-BE"/>
        </w:rPr>
        <w:t>TESOL Quarterly, 38</w:t>
      </w:r>
      <w:r w:rsidRPr="00287DC2">
        <w:rPr>
          <w:lang w:val="fr-BE"/>
        </w:rPr>
        <w:t>(4), 663-88. https://doi.org/10.2307/3588284</w:t>
      </w:r>
    </w:p>
    <w:p w14:paraId="231A438B" w14:textId="77777777" w:rsidR="00991CCA" w:rsidRPr="00287DC2" w:rsidRDefault="00991CCA" w:rsidP="00991CCA">
      <w:pPr>
        <w:pStyle w:val="References"/>
        <w:rPr>
          <w:lang w:val="fr-BE"/>
        </w:rPr>
      </w:pPr>
      <w:r w:rsidRPr="00287DC2">
        <w:rPr>
          <w:lang w:val="fr-BE"/>
        </w:rPr>
        <w:t xml:space="preserve">Dion, J. (2012). </w:t>
      </w:r>
      <w:r w:rsidRPr="00287DC2">
        <w:rPr>
          <w:i/>
          <w:lang w:val="fr-BE"/>
        </w:rPr>
        <w:t>Le défi de former une relève scientifique d'expression française. L'usage du français et de l'anglais dans la formation universitaire aux cycles supérieurs au Québec</w:t>
      </w:r>
      <w:r w:rsidRPr="00287DC2">
        <w:rPr>
          <w:lang w:val="fr-BE"/>
        </w:rPr>
        <w:t>. Conseil Supérieur de la Langue française. http://www.cslf.gouv.qc.ca/publications/pubf321/f321.pdf</w:t>
      </w:r>
    </w:p>
    <w:p w14:paraId="419DFD3E" w14:textId="77777777" w:rsidR="00991CCA" w:rsidRPr="00F25539" w:rsidRDefault="00991CCA" w:rsidP="00991CCA">
      <w:pPr>
        <w:pStyle w:val="References"/>
      </w:pPr>
      <w:r w:rsidRPr="00F25539">
        <w:t xml:space="preserve">Flowerdew, J. (2001). Attitudes of Journal Editors to nonnative speaker contributions. </w:t>
      </w:r>
      <w:r w:rsidRPr="00F25539">
        <w:rPr>
          <w:i/>
        </w:rPr>
        <w:t>TESOL Quarterly, 35</w:t>
      </w:r>
      <w:r w:rsidRPr="00F25539">
        <w:t>(1), 121-50. https://doi.org/10.2307/3587862</w:t>
      </w:r>
    </w:p>
    <w:p w14:paraId="650913E1" w14:textId="77777777" w:rsidR="00991CCA" w:rsidRPr="00F25539" w:rsidRDefault="00991CCA" w:rsidP="00991CCA">
      <w:pPr>
        <w:pStyle w:val="References"/>
      </w:pPr>
      <w:r w:rsidRPr="00F25539">
        <w:t xml:space="preserve">Flowerdew, J., &amp; Li, Y. (2009). English or Chinese? The trade-off between local and international publication among Chinese academics in the humanities and social </w:t>
      </w:r>
      <w:r w:rsidRPr="00F25539">
        <w:lastRenderedPageBreak/>
        <w:t xml:space="preserve">sciences. </w:t>
      </w:r>
      <w:r w:rsidRPr="00F25539">
        <w:rPr>
          <w:i/>
        </w:rPr>
        <w:t>Journal of Second Language Writing, 18</w:t>
      </w:r>
      <w:r w:rsidRPr="00F25539">
        <w:t>, 1-16. https://doi.org/10.1016/j.jslw.2008.09.005</w:t>
      </w:r>
    </w:p>
    <w:p w14:paraId="284C8F35" w14:textId="77777777" w:rsidR="00991CCA" w:rsidRPr="00F25539" w:rsidRDefault="00991CCA" w:rsidP="00991CCA">
      <w:pPr>
        <w:pStyle w:val="References"/>
      </w:pPr>
      <w:r w:rsidRPr="00F25539">
        <w:t xml:space="preserve">Gentil, G. (2005). Commitments to academic biliteracy. Case studies of francophone university writers. </w:t>
      </w:r>
      <w:r w:rsidRPr="00F25539">
        <w:rPr>
          <w:i/>
        </w:rPr>
        <w:t>Written Communication, 22</w:t>
      </w:r>
      <w:r w:rsidRPr="00F25539">
        <w:t>(4), 421-71. https://doi.org/10.1177/0741088305280350</w:t>
      </w:r>
    </w:p>
    <w:p w14:paraId="1C1EB062" w14:textId="77777777" w:rsidR="00991CCA" w:rsidRPr="00287DC2" w:rsidRDefault="00991CCA" w:rsidP="00991CCA">
      <w:pPr>
        <w:pStyle w:val="References"/>
        <w:rPr>
          <w:lang w:val="fr-BE"/>
        </w:rPr>
      </w:pPr>
      <w:r w:rsidRPr="00F25539">
        <w:t xml:space="preserve">Gentil, G. (2017). Multilingualism as a writing resource. In J. I. Liontas (Ed.), </w:t>
      </w:r>
      <w:r w:rsidRPr="00F25539">
        <w:rPr>
          <w:i/>
        </w:rPr>
        <w:t>The TESOL Encyclopedia of English Language Teaching</w:t>
      </w:r>
      <w:r w:rsidRPr="00F25539">
        <w:t xml:space="preserve"> (9p). </w:t>
      </w:r>
      <w:r w:rsidRPr="00287DC2">
        <w:rPr>
          <w:lang w:val="fr-BE"/>
        </w:rPr>
        <w:t>Wiley &amp; Sons. https://doi.org/10.1002/9781118784235.eelt0537</w:t>
      </w:r>
    </w:p>
    <w:p w14:paraId="6061680E" w14:textId="77777777" w:rsidR="00991CCA" w:rsidRPr="00287DC2" w:rsidRDefault="00991CCA" w:rsidP="00991CCA">
      <w:pPr>
        <w:pStyle w:val="References"/>
        <w:rPr>
          <w:lang w:val="fr-BE"/>
        </w:rPr>
      </w:pPr>
      <w:r w:rsidRPr="00287DC2">
        <w:rPr>
          <w:lang w:val="fr-BE"/>
        </w:rPr>
        <w:t xml:space="preserve">Gentil, G. (2019). D'une langue à l'autre: pour une didactique plurilingue et translangagière de l'écrit. </w:t>
      </w:r>
      <w:r w:rsidRPr="00287DC2">
        <w:rPr>
          <w:i/>
          <w:lang w:val="fr-BE"/>
        </w:rPr>
        <w:t>The Canadian Modern Language Review/La Revue canadienne des langues vivantes, 75</w:t>
      </w:r>
      <w:r w:rsidRPr="00287DC2">
        <w:rPr>
          <w:lang w:val="fr-BE"/>
        </w:rPr>
        <w:t>(1), 65-83. https://doi.org/10.3138/cmlr.2018-0168</w:t>
      </w:r>
    </w:p>
    <w:p w14:paraId="13E1D3BB" w14:textId="77777777" w:rsidR="00991CCA" w:rsidRPr="00287DC2" w:rsidRDefault="00991CCA" w:rsidP="00991CCA">
      <w:pPr>
        <w:pStyle w:val="References"/>
        <w:rPr>
          <w:lang w:val="fr-BE"/>
        </w:rPr>
      </w:pPr>
      <w:r w:rsidRPr="00287DC2">
        <w:rPr>
          <w:lang w:val="fr-BE"/>
        </w:rPr>
        <w:t xml:space="preserve">Godin, B. (2002). Les pratiques de publication des chercheurs: Les revues savantes québecoises entre impact national et visibilité internationale. </w:t>
      </w:r>
      <w:r w:rsidRPr="00287DC2">
        <w:rPr>
          <w:i/>
          <w:lang w:val="fr-BE"/>
        </w:rPr>
        <w:t>Recherches Sociographiques, 43</w:t>
      </w:r>
      <w:r w:rsidRPr="00287DC2">
        <w:rPr>
          <w:lang w:val="fr-BE"/>
        </w:rPr>
        <w:t>(3), 465-98. https://doi.org/10.7202/000608ar</w:t>
      </w:r>
    </w:p>
    <w:p w14:paraId="59845CF6" w14:textId="77777777" w:rsidR="00991CCA" w:rsidRPr="00287DC2" w:rsidRDefault="00991CCA" w:rsidP="00991CCA">
      <w:pPr>
        <w:pStyle w:val="References"/>
        <w:rPr>
          <w:lang w:val="fr-BE"/>
        </w:rPr>
      </w:pPr>
      <w:r w:rsidRPr="00287DC2">
        <w:rPr>
          <w:lang w:val="fr-BE"/>
        </w:rPr>
        <w:t xml:space="preserve">Gong, K., Xie, J., Cheng, Y., Larivière, V., &amp; Sugimoto, C. (2019). </w:t>
      </w:r>
      <w:r w:rsidRPr="00F25539">
        <w:t xml:space="preserve">The citation advantage of foreign language references for Chinese social science papers. </w:t>
      </w:r>
      <w:r w:rsidRPr="00287DC2">
        <w:rPr>
          <w:i/>
          <w:lang w:val="fr-BE"/>
        </w:rPr>
        <w:t>Scientometrics, 120</w:t>
      </w:r>
      <w:r w:rsidRPr="00287DC2">
        <w:rPr>
          <w:lang w:val="fr-BE"/>
        </w:rPr>
        <w:t>, 1439-60. https://doi.org/10.1007/s11192-019-03146-4</w:t>
      </w:r>
    </w:p>
    <w:p w14:paraId="45EF33C4" w14:textId="77777777" w:rsidR="00991CCA" w:rsidRPr="00287DC2" w:rsidRDefault="00991CCA" w:rsidP="00991CCA">
      <w:pPr>
        <w:pStyle w:val="References"/>
        <w:rPr>
          <w:lang w:val="fr-BE"/>
        </w:rPr>
      </w:pPr>
      <w:r w:rsidRPr="00287DC2">
        <w:rPr>
          <w:lang w:val="fr-BE"/>
        </w:rPr>
        <w:t xml:space="preserve">Heilbron, J. (2008). Qu'est-ce qu'une tradition nationale en sciences sociales? </w:t>
      </w:r>
      <w:r w:rsidRPr="00287DC2">
        <w:rPr>
          <w:i/>
          <w:lang w:val="fr-BE"/>
        </w:rPr>
        <w:t>Revue d'Histoire des Sciences Humaines, 18</w:t>
      </w:r>
      <w:r w:rsidRPr="00287DC2">
        <w:rPr>
          <w:lang w:val="fr-BE"/>
        </w:rPr>
        <w:t>, 3-16. https://doi.org/10.3917/rhsh.018.0003</w:t>
      </w:r>
    </w:p>
    <w:p w14:paraId="04A1BD59" w14:textId="77777777" w:rsidR="00991CCA" w:rsidRPr="00F25539" w:rsidRDefault="00991CCA" w:rsidP="00991CCA">
      <w:pPr>
        <w:pStyle w:val="References"/>
      </w:pPr>
      <w:r w:rsidRPr="00287DC2">
        <w:rPr>
          <w:lang w:val="fr-BE"/>
        </w:rPr>
        <w:t xml:space="preserve">Hornberger, N. (Ed.). </w:t>
      </w:r>
      <w:r w:rsidRPr="00F25539">
        <w:t xml:space="preserve">(2003). </w:t>
      </w:r>
      <w:r w:rsidRPr="00F25539">
        <w:rPr>
          <w:i/>
        </w:rPr>
        <w:t>Continua of biliteracy</w:t>
      </w:r>
      <w:r w:rsidRPr="00F25539">
        <w:t xml:space="preserve">. Multilingual Matters. </w:t>
      </w:r>
    </w:p>
    <w:p w14:paraId="4BE9BC53" w14:textId="77777777" w:rsidR="00991CCA" w:rsidRPr="00F25539" w:rsidRDefault="00991CCA" w:rsidP="00991CCA">
      <w:pPr>
        <w:pStyle w:val="References"/>
      </w:pPr>
      <w:r w:rsidRPr="00F25539">
        <w:t xml:space="preserve">Horner, B., NeCamp, S., &amp; Donahue, C. (2011). Toward a multilingual composition scholarship: From English only to a translingual norm. </w:t>
      </w:r>
      <w:r w:rsidRPr="00F25539">
        <w:rPr>
          <w:i/>
        </w:rPr>
        <w:t>CCC, 63</w:t>
      </w:r>
      <w:r w:rsidRPr="00F25539">
        <w:t>(2), 269-300. Retrieved May 20, 2020, from www.jstor.org/stable/23131585</w:t>
      </w:r>
    </w:p>
    <w:p w14:paraId="60EA9072" w14:textId="77777777" w:rsidR="00991CCA" w:rsidRPr="00F25539" w:rsidRDefault="00991CCA" w:rsidP="00991CCA">
      <w:pPr>
        <w:pStyle w:val="References"/>
      </w:pPr>
      <w:r w:rsidRPr="00F25539">
        <w:t xml:space="preserve">Larivière, V. (2018). </w:t>
      </w:r>
      <w:r w:rsidRPr="00287DC2">
        <w:rPr>
          <w:lang w:val="fr-BE"/>
        </w:rPr>
        <w:t>Le français, langue seconde? De l'évolution des lieux et langues de publications des chercheurs au Q</w:t>
      </w:r>
      <w:r>
        <w:rPr>
          <w:lang w:val="fr-BE"/>
        </w:rPr>
        <w:t>u</w:t>
      </w:r>
      <w:r w:rsidRPr="00287DC2">
        <w:rPr>
          <w:lang w:val="fr-BE"/>
        </w:rPr>
        <w:t xml:space="preserve">ébec, en France et en Allemagne. </w:t>
      </w:r>
      <w:r w:rsidRPr="00F25539">
        <w:rPr>
          <w:i/>
        </w:rPr>
        <w:t>Recherches Sociographiques, 59</w:t>
      </w:r>
      <w:r w:rsidRPr="00F25539">
        <w:t>(3), 339-63. https://doi.org/10.7202/1058718ar</w:t>
      </w:r>
    </w:p>
    <w:p w14:paraId="21B44C84" w14:textId="77777777" w:rsidR="00991CCA" w:rsidRDefault="00991CCA" w:rsidP="00991CCA">
      <w:pPr>
        <w:pStyle w:val="References"/>
      </w:pPr>
      <w:r w:rsidRPr="00F25539">
        <w:t xml:space="preserve">Laslier, J-F. (2016). The consequences of internationalization on research topics in economics. </w:t>
      </w:r>
      <w:r w:rsidRPr="00F25539">
        <w:rPr>
          <w:i/>
        </w:rPr>
        <w:t>European Consortium for Political Research</w:t>
      </w:r>
      <w:r w:rsidRPr="00F25539">
        <w:t>, 1-9. https://doi.org/10.1057/eps.2016.8</w:t>
      </w:r>
    </w:p>
    <w:p w14:paraId="1CE83B66" w14:textId="77777777" w:rsidR="00991CCA" w:rsidRPr="00C5642D" w:rsidRDefault="00991CCA" w:rsidP="00991CCA">
      <w:pPr>
        <w:spacing w:before="120" w:after="0" w:line="360" w:lineRule="auto"/>
        <w:ind w:left="720" w:hanging="720"/>
        <w:rPr>
          <w:rFonts w:ascii="Times New Roman" w:eastAsia="Times New Roman" w:hAnsi="Times New Roman" w:cs="Times New Roman"/>
          <w:sz w:val="24"/>
          <w:szCs w:val="24"/>
          <w:lang w:val="en-US"/>
        </w:rPr>
      </w:pPr>
      <w:r w:rsidRPr="00C5642D">
        <w:rPr>
          <w:rFonts w:ascii="Times New Roman" w:eastAsia="Times New Roman" w:hAnsi="Times New Roman" w:cs="Times New Roman"/>
          <w:sz w:val="24"/>
          <w:szCs w:val="24"/>
          <w:lang w:val="en-US"/>
        </w:rPr>
        <w:t xml:space="preserve">Lillis, T. M., &amp; Curry, M. J. (2010). </w:t>
      </w:r>
      <w:r w:rsidRPr="00C5642D">
        <w:rPr>
          <w:rFonts w:ascii="Times New Roman" w:eastAsia="Times New Roman" w:hAnsi="Times New Roman" w:cs="Times New Roman"/>
          <w:i/>
          <w:iCs/>
          <w:sz w:val="24"/>
          <w:szCs w:val="24"/>
          <w:lang w:val="en-US"/>
        </w:rPr>
        <w:t>Academic writing in global context: The politics and practices of publishing in English</w:t>
      </w:r>
      <w:r w:rsidRPr="00C5642D">
        <w:rPr>
          <w:rFonts w:ascii="Times New Roman" w:eastAsia="Times New Roman" w:hAnsi="Times New Roman" w:cs="Times New Roman"/>
          <w:sz w:val="24"/>
          <w:szCs w:val="24"/>
          <w:lang w:val="en-US"/>
        </w:rPr>
        <w:t>. Routledge.</w:t>
      </w:r>
    </w:p>
    <w:p w14:paraId="143B6A8F" w14:textId="77777777" w:rsidR="00991CCA" w:rsidRPr="00F25539" w:rsidRDefault="00991CCA" w:rsidP="00991CCA">
      <w:pPr>
        <w:pStyle w:val="References"/>
      </w:pPr>
      <w:r w:rsidRPr="00F25539">
        <w:lastRenderedPageBreak/>
        <w:t xml:space="preserve">Liu, W. (2016). The changing role of non-English papers in scholarly communication: Evidence from Web of Science's three journal citation indexes. </w:t>
      </w:r>
      <w:r w:rsidRPr="00F25539">
        <w:rPr>
          <w:i/>
        </w:rPr>
        <w:t>Learned Publishing, 30</w:t>
      </w:r>
      <w:r w:rsidRPr="00F25539">
        <w:t>, 115-23. https://doi.org/10.1002/leap.1089</w:t>
      </w:r>
    </w:p>
    <w:p w14:paraId="4673B3C2" w14:textId="77777777" w:rsidR="00991CCA" w:rsidRPr="00287DC2" w:rsidRDefault="00991CCA" w:rsidP="00991CCA">
      <w:pPr>
        <w:pStyle w:val="References"/>
        <w:rPr>
          <w:lang w:val="fr-BE"/>
        </w:rPr>
      </w:pPr>
      <w:r w:rsidRPr="00F25539">
        <w:t xml:space="preserve">Lund, K., Jeong, H., Grauwin, S., &amp; Jensen, P. (2017). </w:t>
      </w:r>
      <w:r w:rsidRPr="00287DC2">
        <w:rPr>
          <w:lang w:val="fr-BE"/>
        </w:rPr>
        <w:t xml:space="preserve">Une carte scientométrique de la recherche en éducation vue par la base de données internationales 'Scopus'. </w:t>
      </w:r>
      <w:r w:rsidRPr="00287DC2">
        <w:rPr>
          <w:i/>
          <w:lang w:val="fr-BE"/>
        </w:rPr>
        <w:t>Les Sciences de l'Education - Pour l'Ere Nouvelle, 50</w:t>
      </w:r>
      <w:r w:rsidRPr="00287DC2">
        <w:rPr>
          <w:lang w:val="fr-BE"/>
        </w:rPr>
        <w:t>(1), 67-84. https://doi.org/10.3917/lsdle.501.0067</w:t>
      </w:r>
    </w:p>
    <w:p w14:paraId="5FC40213" w14:textId="77777777" w:rsidR="00991CCA" w:rsidRPr="00F25539" w:rsidRDefault="00991CCA" w:rsidP="00991CCA">
      <w:pPr>
        <w:pStyle w:val="References"/>
      </w:pPr>
      <w:r w:rsidRPr="00287DC2">
        <w:rPr>
          <w:lang w:val="fr-BE"/>
        </w:rPr>
        <w:t xml:space="preserve">Moore D. (2006). </w:t>
      </w:r>
      <w:r w:rsidRPr="00287DC2">
        <w:rPr>
          <w:i/>
          <w:lang w:val="fr-BE"/>
        </w:rPr>
        <w:t>Plurilinguismes et école</w:t>
      </w:r>
      <w:r w:rsidRPr="00287DC2">
        <w:rPr>
          <w:lang w:val="fr-BE"/>
        </w:rPr>
        <w:t xml:space="preserve">. </w:t>
      </w:r>
      <w:r w:rsidRPr="00F25539">
        <w:t xml:space="preserve">Didier. </w:t>
      </w:r>
    </w:p>
    <w:p w14:paraId="7D90829E" w14:textId="77777777" w:rsidR="00991CCA" w:rsidRPr="00F25539" w:rsidRDefault="00991CCA" w:rsidP="00991CCA">
      <w:pPr>
        <w:pStyle w:val="References"/>
      </w:pPr>
      <w:r w:rsidRPr="00F25539">
        <w:t xml:space="preserve">Petersen, M., &amp; Shaw, P. (2002). Language and disciplinary differences in a biliterate context. </w:t>
      </w:r>
      <w:r w:rsidRPr="00F25539">
        <w:rPr>
          <w:i/>
        </w:rPr>
        <w:t>World Englishes, 21</w:t>
      </w:r>
      <w:r w:rsidRPr="00F25539">
        <w:t>(3), 357-74. https://doi.org/10.1111/1467-971X.00255</w:t>
      </w:r>
    </w:p>
    <w:p w14:paraId="2BEFE0EF" w14:textId="77777777" w:rsidR="00991CCA" w:rsidRPr="00F25539" w:rsidRDefault="00991CCA" w:rsidP="00991CCA">
      <w:pPr>
        <w:pStyle w:val="References"/>
      </w:pPr>
      <w:r w:rsidRPr="00F25539">
        <w:t xml:space="preserve">Roth, C., Wu, J., &amp; Lozano, S. (2012). Assessing impact and quality from local dynamics of citation networks. </w:t>
      </w:r>
      <w:r w:rsidRPr="00F25539">
        <w:rPr>
          <w:i/>
        </w:rPr>
        <w:t>Journal of Informetrics, 6</w:t>
      </w:r>
      <w:r w:rsidRPr="00F25539">
        <w:t>(1), 111-120. https://doi.org/10.1016/j.joi.2011.08.005</w:t>
      </w:r>
    </w:p>
    <w:p w14:paraId="2C94FC47" w14:textId="77777777" w:rsidR="00991CCA" w:rsidRPr="00F25539" w:rsidRDefault="00991CCA" w:rsidP="00991CCA">
      <w:pPr>
        <w:pStyle w:val="References"/>
      </w:pPr>
      <w:r w:rsidRPr="00F25539">
        <w:t xml:space="preserve">Seloni, L. (2014). 'I'm an artist and a scholar who is trying to find a middle point': A textographic analysis of a Colombian art historian's thesis writing. </w:t>
      </w:r>
      <w:r w:rsidRPr="00F25539">
        <w:rPr>
          <w:i/>
        </w:rPr>
        <w:t>Journal of Second Language Writing, 25</w:t>
      </w:r>
      <w:r w:rsidRPr="00F25539">
        <w:t>, 79-99. https://doi.org/10.1016/j.jslw.2014.06.001</w:t>
      </w:r>
    </w:p>
    <w:p w14:paraId="6A9F0642" w14:textId="77777777" w:rsidR="00991CCA" w:rsidRPr="00F25539" w:rsidRDefault="00991CCA" w:rsidP="00991CCA">
      <w:pPr>
        <w:pStyle w:val="References"/>
      </w:pPr>
      <w:r w:rsidRPr="00F25539">
        <w:t xml:space="preserve">Stockemer, D., &amp; Wigginton, M. J. (2019). Publishing in English or another language: An inclusive study of scholar's language publication preferences in the natural, social and interdisciplinary sciences. </w:t>
      </w:r>
      <w:r w:rsidRPr="00F25539">
        <w:rPr>
          <w:i/>
        </w:rPr>
        <w:t>Scientometrics, 118</w:t>
      </w:r>
      <w:r w:rsidRPr="00F25539">
        <w:t>, 645-52. https://doi.org/10.1007/s11192-018-2987-0</w:t>
      </w:r>
    </w:p>
    <w:p w14:paraId="71C00357" w14:textId="77777777" w:rsidR="00991CCA" w:rsidRPr="00287DC2" w:rsidRDefault="00991CCA" w:rsidP="00991CCA">
      <w:pPr>
        <w:pStyle w:val="References"/>
        <w:rPr>
          <w:lang w:val="fr-BE"/>
        </w:rPr>
      </w:pPr>
      <w:r w:rsidRPr="00F25539">
        <w:t xml:space="preserve">Warren, J.-P. (2014). The end of national sociological traditions? The fate of sociology in English Canada and French Quebec in a globalized field of science. </w:t>
      </w:r>
      <w:r w:rsidRPr="00287DC2">
        <w:rPr>
          <w:i/>
          <w:lang w:val="fr-BE"/>
        </w:rPr>
        <w:t>International Journal of Canadian Studies / Revue internationale d'études canadiennes, 50</w:t>
      </w:r>
      <w:r w:rsidRPr="00287DC2">
        <w:rPr>
          <w:lang w:val="fr-BE"/>
        </w:rPr>
        <w:t>, 87-108. https://doi.org/10.3138/ijcs.2014.006</w:t>
      </w:r>
    </w:p>
    <w:p w14:paraId="6E4D19FD" w14:textId="77777777" w:rsidR="00991CCA" w:rsidRPr="00287DC2" w:rsidRDefault="00991CCA" w:rsidP="00991CCA">
      <w:pPr>
        <w:pStyle w:val="References"/>
        <w:rPr>
          <w:lang w:val="fr-BE"/>
        </w:rPr>
      </w:pPr>
      <w:r w:rsidRPr="00F25539">
        <w:t xml:space="preserve">Yitzhaki, M. (1998). The 'Language preference' in sociology: Measures of 'language self-citation', 'relative own-language preference indicator', and 'mutual use of languages'. </w:t>
      </w:r>
      <w:r w:rsidRPr="00287DC2">
        <w:rPr>
          <w:i/>
          <w:lang w:val="fr-BE"/>
        </w:rPr>
        <w:t>Scientometrics, 41</w:t>
      </w:r>
      <w:r w:rsidRPr="00287DC2">
        <w:rPr>
          <w:lang w:val="fr-BE"/>
        </w:rPr>
        <w:t>(1-2), 243-54. https://doi.org/10.1007/BF02457981</w:t>
      </w:r>
    </w:p>
    <w:p w14:paraId="1EEAE2A4" w14:textId="77777777" w:rsidR="00991CCA" w:rsidRPr="00287DC2" w:rsidRDefault="00991CCA" w:rsidP="00991CCA">
      <w:pPr>
        <w:pStyle w:val="References"/>
        <w:rPr>
          <w:lang w:val="fr-BE"/>
        </w:rPr>
      </w:pPr>
    </w:p>
    <w:p w14:paraId="34057E6D" w14:textId="77777777" w:rsidR="00991CCA" w:rsidRPr="00287DC2" w:rsidRDefault="00991CCA" w:rsidP="00991CCA">
      <w:pPr>
        <w:pStyle w:val="References"/>
        <w:rPr>
          <w:lang w:val="fr-BE"/>
        </w:rPr>
      </w:pPr>
    </w:p>
    <w:p w14:paraId="51CFF510" w14:textId="77777777" w:rsidR="00991CCA" w:rsidRPr="00287DC2" w:rsidRDefault="00991CCA" w:rsidP="00991CCA">
      <w:pPr>
        <w:pStyle w:val="Style1"/>
        <w:rPr>
          <w:lang w:val="fr-BE"/>
        </w:rPr>
      </w:pPr>
      <w:r w:rsidRPr="00287DC2">
        <w:rPr>
          <w:lang w:val="fr-BE"/>
        </w:rPr>
        <w:t>Appendix</w:t>
      </w:r>
    </w:p>
    <w:p w14:paraId="31F93C02" w14:textId="77777777" w:rsidR="00991CCA" w:rsidRPr="00287DC2" w:rsidRDefault="00991CCA" w:rsidP="00991CCA">
      <w:pPr>
        <w:pStyle w:val="Tabletitle"/>
        <w:rPr>
          <w:lang w:val="fr-BE"/>
        </w:rPr>
      </w:pPr>
      <w:r w:rsidRPr="00287DC2">
        <w:rPr>
          <w:lang w:val="fr-BE"/>
        </w:rPr>
        <w:t>Table A. Confusion matrix.</w:t>
      </w:r>
    </w:p>
    <w:p w14:paraId="417FE05C" w14:textId="77777777" w:rsidR="00991CCA" w:rsidRPr="007C5ACB" w:rsidRDefault="00991CCA" w:rsidP="00991CCA">
      <w:pPr>
        <w:rPr>
          <w:rFonts w:ascii="Times New Roman" w:hAnsi="Times New Roman" w:cs="Times New Roman"/>
          <w:sz w:val="24"/>
          <w:szCs w:val="24"/>
        </w:rPr>
      </w:pPr>
      <w:r>
        <w:rPr>
          <w:rFonts w:ascii="Times New Roman" w:hAnsi="Times New Roman" w:cs="Times New Roman"/>
          <w:i/>
          <w:sz w:val="24"/>
          <w:lang w:eastAsia="en-GB"/>
        </w:rPr>
        <w:lastRenderedPageBreak/>
        <w:t>[Add table A here]</w:t>
      </w:r>
    </w:p>
    <w:p w14:paraId="61CEF5C6" w14:textId="77777777" w:rsidR="00991CCA" w:rsidRPr="007C5ACB" w:rsidRDefault="00991CCA" w:rsidP="00991CCA">
      <w:pPr>
        <w:pStyle w:val="Style1"/>
      </w:pPr>
      <w:r w:rsidRPr="007C5ACB">
        <w:t>Tables and figures</w:t>
      </w:r>
      <w:r>
        <w:t xml:space="preserve"> to be added in the text</w:t>
      </w:r>
    </w:p>
    <w:p w14:paraId="5BB78A4A" w14:textId="77777777" w:rsidR="00991CCA" w:rsidRPr="007C5ACB" w:rsidRDefault="00991CCA" w:rsidP="00991CCA">
      <w:pPr>
        <w:contextualSpacing/>
        <w:rPr>
          <w:rFonts w:ascii="Times New Roman" w:hAnsi="Times New Roman" w:cs="Times New Roman"/>
          <w:sz w:val="24"/>
          <w:szCs w:val="24"/>
        </w:rPr>
      </w:pPr>
      <w:r w:rsidRPr="007C5ACB">
        <w:rPr>
          <w:rFonts w:ascii="Times New Roman" w:hAnsi="Times New Roman" w:cs="Times New Roman"/>
          <w:sz w:val="24"/>
          <w:szCs w:val="24"/>
        </w:rPr>
        <w:t>[Table 1]</w:t>
      </w:r>
    </w:p>
    <w:tbl>
      <w:tblPr>
        <w:tblStyle w:val="TableGrid"/>
        <w:tblW w:w="0" w:type="auto"/>
        <w:tblBorders>
          <w:top w:val="single" w:sz="8"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1756"/>
        <w:gridCol w:w="749"/>
        <w:gridCol w:w="777"/>
        <w:gridCol w:w="749"/>
        <w:gridCol w:w="777"/>
        <w:gridCol w:w="749"/>
        <w:gridCol w:w="777"/>
        <w:gridCol w:w="749"/>
        <w:gridCol w:w="777"/>
        <w:gridCol w:w="644"/>
      </w:tblGrid>
      <w:tr w:rsidR="00991CCA" w:rsidRPr="00385B6F" w14:paraId="430A22F3" w14:textId="77777777" w:rsidTr="00AA1B82">
        <w:trPr>
          <w:trHeight w:val="576"/>
        </w:trPr>
        <w:tc>
          <w:tcPr>
            <w:tcW w:w="1838" w:type="dxa"/>
            <w:noWrap/>
          </w:tcPr>
          <w:p w14:paraId="2B411F29" w14:textId="77777777" w:rsidR="00991CCA" w:rsidRPr="00385B6F" w:rsidRDefault="00991CCA" w:rsidP="00AA1B82">
            <w:pPr>
              <w:spacing w:line="276" w:lineRule="auto"/>
              <w:jc w:val="right"/>
              <w:rPr>
                <w:rFonts w:ascii="Arial" w:hAnsi="Arial" w:cs="Arial"/>
                <w:sz w:val="18"/>
                <w:szCs w:val="18"/>
                <w:lang w:val="en-US"/>
              </w:rPr>
            </w:pPr>
          </w:p>
        </w:tc>
        <w:tc>
          <w:tcPr>
            <w:tcW w:w="6607" w:type="dxa"/>
            <w:gridSpan w:val="8"/>
            <w:tcBorders>
              <w:top w:val="single" w:sz="8" w:space="0" w:color="auto"/>
              <w:bottom w:val="single" w:sz="8" w:space="0" w:color="auto"/>
            </w:tcBorders>
          </w:tcPr>
          <w:p w14:paraId="7C553F68" w14:textId="77777777" w:rsidR="00991CCA" w:rsidRPr="00350077" w:rsidRDefault="00991CCA" w:rsidP="00AA1B82">
            <w:pPr>
              <w:spacing w:line="276" w:lineRule="auto"/>
              <w:jc w:val="center"/>
              <w:rPr>
                <w:rFonts w:ascii="Arial" w:hAnsi="Arial" w:cs="Arial"/>
                <w:sz w:val="18"/>
                <w:szCs w:val="18"/>
                <w:lang w:val="en-US"/>
              </w:rPr>
            </w:pPr>
            <w:r w:rsidRPr="00350077">
              <w:rPr>
                <w:rFonts w:ascii="Arial" w:hAnsi="Arial" w:cs="Arial"/>
                <w:sz w:val="18"/>
                <w:szCs w:val="18"/>
                <w:lang w:val="en-US"/>
              </w:rPr>
              <w:t>Faculty</w:t>
            </w:r>
          </w:p>
        </w:tc>
        <w:tc>
          <w:tcPr>
            <w:tcW w:w="617" w:type="dxa"/>
            <w:tcBorders>
              <w:top w:val="single" w:sz="8" w:space="0" w:color="auto"/>
              <w:bottom w:val="nil"/>
            </w:tcBorders>
          </w:tcPr>
          <w:p w14:paraId="6D6E7EFA" w14:textId="77777777" w:rsidR="00991CCA" w:rsidRPr="00385B6F" w:rsidRDefault="00991CCA" w:rsidP="00AA1B82">
            <w:pPr>
              <w:spacing w:line="276" w:lineRule="auto"/>
              <w:rPr>
                <w:rFonts w:ascii="Arial" w:hAnsi="Arial" w:cs="Arial"/>
                <w:sz w:val="18"/>
                <w:szCs w:val="18"/>
              </w:rPr>
            </w:pPr>
          </w:p>
        </w:tc>
      </w:tr>
      <w:tr w:rsidR="00991CCA" w:rsidRPr="00385B6F" w14:paraId="7AA3668C" w14:textId="77777777" w:rsidTr="00AA1B82">
        <w:trPr>
          <w:trHeight w:val="576"/>
        </w:trPr>
        <w:tc>
          <w:tcPr>
            <w:tcW w:w="1838" w:type="dxa"/>
            <w:noWrap/>
            <w:hideMark/>
          </w:tcPr>
          <w:p w14:paraId="76EB8DEE" w14:textId="77777777" w:rsidR="00991CCA" w:rsidRPr="00385B6F" w:rsidRDefault="00991CCA" w:rsidP="00AA1B82">
            <w:pPr>
              <w:jc w:val="right"/>
              <w:rPr>
                <w:rFonts w:ascii="Arial" w:hAnsi="Arial" w:cs="Arial"/>
                <w:sz w:val="18"/>
                <w:szCs w:val="18"/>
              </w:rPr>
            </w:pPr>
          </w:p>
        </w:tc>
        <w:tc>
          <w:tcPr>
            <w:tcW w:w="1855" w:type="dxa"/>
            <w:gridSpan w:val="2"/>
            <w:tcBorders>
              <w:top w:val="single" w:sz="8" w:space="0" w:color="auto"/>
              <w:bottom w:val="single" w:sz="8" w:space="0" w:color="auto"/>
            </w:tcBorders>
            <w:hideMark/>
          </w:tcPr>
          <w:p w14:paraId="45B0D281" w14:textId="77777777" w:rsidR="00991CCA" w:rsidRPr="00385B6F" w:rsidRDefault="00991CCA" w:rsidP="00AA1B82">
            <w:pPr>
              <w:rPr>
                <w:rFonts w:ascii="Arial" w:hAnsi="Arial" w:cs="Arial"/>
                <w:sz w:val="18"/>
                <w:szCs w:val="18"/>
              </w:rPr>
            </w:pPr>
            <w:r>
              <w:rPr>
                <w:rFonts w:ascii="Arial" w:hAnsi="Arial" w:cs="Arial"/>
                <w:sz w:val="18"/>
                <w:szCs w:val="18"/>
              </w:rPr>
              <w:t>Arts</w:t>
            </w:r>
            <w:r w:rsidRPr="00385B6F">
              <w:rPr>
                <w:rFonts w:ascii="Arial" w:hAnsi="Arial" w:cs="Arial"/>
                <w:sz w:val="18"/>
                <w:szCs w:val="18"/>
              </w:rPr>
              <w:t xml:space="preserve"> &amp; </w:t>
            </w:r>
            <w:r w:rsidRPr="00350077">
              <w:rPr>
                <w:rFonts w:ascii="Arial" w:hAnsi="Arial" w:cs="Arial"/>
                <w:sz w:val="18"/>
                <w:szCs w:val="18"/>
                <w:lang w:val="en-US"/>
              </w:rPr>
              <w:t>letters</w:t>
            </w:r>
          </w:p>
        </w:tc>
        <w:tc>
          <w:tcPr>
            <w:tcW w:w="1584" w:type="dxa"/>
            <w:gridSpan w:val="2"/>
            <w:tcBorders>
              <w:top w:val="single" w:sz="8" w:space="0" w:color="auto"/>
              <w:bottom w:val="single" w:sz="8" w:space="0" w:color="auto"/>
            </w:tcBorders>
            <w:hideMark/>
          </w:tcPr>
          <w:p w14:paraId="2B888032" w14:textId="77777777" w:rsidR="00991CCA" w:rsidRPr="00385B6F" w:rsidRDefault="00991CCA" w:rsidP="00AA1B82">
            <w:pPr>
              <w:rPr>
                <w:rFonts w:ascii="Arial" w:hAnsi="Arial" w:cs="Arial"/>
                <w:sz w:val="18"/>
                <w:szCs w:val="18"/>
              </w:rPr>
            </w:pPr>
            <w:r w:rsidRPr="00385B6F">
              <w:rPr>
                <w:rFonts w:ascii="Arial" w:hAnsi="Arial" w:cs="Arial"/>
                <w:sz w:val="18"/>
                <w:szCs w:val="18"/>
              </w:rPr>
              <w:t>ESPSC</w:t>
            </w:r>
          </w:p>
        </w:tc>
        <w:tc>
          <w:tcPr>
            <w:tcW w:w="1584" w:type="dxa"/>
            <w:gridSpan w:val="2"/>
            <w:tcBorders>
              <w:top w:val="single" w:sz="8" w:space="0" w:color="auto"/>
              <w:bottom w:val="single" w:sz="8" w:space="0" w:color="auto"/>
            </w:tcBorders>
            <w:hideMark/>
          </w:tcPr>
          <w:p w14:paraId="2EAAD622" w14:textId="77777777" w:rsidR="00991CCA" w:rsidRPr="00385B6F" w:rsidRDefault="00991CCA" w:rsidP="00AA1B82">
            <w:pPr>
              <w:rPr>
                <w:rFonts w:ascii="Arial" w:hAnsi="Arial" w:cs="Arial"/>
                <w:sz w:val="18"/>
                <w:szCs w:val="18"/>
              </w:rPr>
            </w:pPr>
            <w:r w:rsidRPr="00385B6F">
              <w:rPr>
                <w:rFonts w:ascii="Arial" w:hAnsi="Arial" w:cs="Arial"/>
                <w:sz w:val="18"/>
                <w:szCs w:val="18"/>
              </w:rPr>
              <w:t>Management</w:t>
            </w:r>
          </w:p>
        </w:tc>
        <w:tc>
          <w:tcPr>
            <w:tcW w:w="1584" w:type="dxa"/>
            <w:gridSpan w:val="2"/>
            <w:tcBorders>
              <w:top w:val="single" w:sz="8" w:space="0" w:color="auto"/>
              <w:bottom w:val="single" w:sz="8" w:space="0" w:color="auto"/>
            </w:tcBorders>
            <w:hideMark/>
          </w:tcPr>
          <w:p w14:paraId="6AE59344" w14:textId="77777777" w:rsidR="00991CCA" w:rsidRPr="00385B6F" w:rsidRDefault="00991CCA" w:rsidP="00AA1B82">
            <w:pPr>
              <w:rPr>
                <w:rFonts w:ascii="Arial" w:hAnsi="Arial" w:cs="Arial"/>
                <w:sz w:val="18"/>
                <w:szCs w:val="18"/>
              </w:rPr>
            </w:pPr>
            <w:r w:rsidRPr="00385B6F">
              <w:rPr>
                <w:rFonts w:ascii="Arial" w:hAnsi="Arial" w:cs="Arial"/>
                <w:sz w:val="18"/>
                <w:szCs w:val="18"/>
              </w:rPr>
              <w:t>Engineering</w:t>
            </w:r>
          </w:p>
        </w:tc>
        <w:tc>
          <w:tcPr>
            <w:tcW w:w="617" w:type="dxa"/>
            <w:tcBorders>
              <w:top w:val="nil"/>
            </w:tcBorders>
            <w:hideMark/>
          </w:tcPr>
          <w:p w14:paraId="044F8B65" w14:textId="77777777" w:rsidR="00991CCA" w:rsidRPr="00385B6F" w:rsidRDefault="00991CCA" w:rsidP="00AA1B82">
            <w:pPr>
              <w:rPr>
                <w:rFonts w:ascii="Arial" w:hAnsi="Arial" w:cs="Arial"/>
                <w:sz w:val="18"/>
                <w:szCs w:val="18"/>
              </w:rPr>
            </w:pPr>
          </w:p>
        </w:tc>
      </w:tr>
      <w:tr w:rsidR="00991CCA" w:rsidRPr="00385B6F" w14:paraId="74178E86" w14:textId="77777777" w:rsidTr="00AA1B82">
        <w:trPr>
          <w:trHeight w:val="288"/>
        </w:trPr>
        <w:tc>
          <w:tcPr>
            <w:tcW w:w="1838" w:type="dxa"/>
            <w:tcBorders>
              <w:bottom w:val="nil"/>
            </w:tcBorders>
            <w:noWrap/>
            <w:hideMark/>
          </w:tcPr>
          <w:p w14:paraId="69A2064A"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 xml:space="preserve">Language </w:t>
            </w:r>
            <w:r w:rsidRPr="00385B6F">
              <w:rPr>
                <w:rFonts w:ascii="Arial" w:hAnsi="Arial" w:cs="Arial"/>
                <w:sz w:val="18"/>
                <w:szCs w:val="18"/>
              </w:rPr>
              <w:br/>
              <w:t>of writing</w:t>
            </w:r>
          </w:p>
        </w:tc>
        <w:tc>
          <w:tcPr>
            <w:tcW w:w="1048" w:type="dxa"/>
            <w:tcBorders>
              <w:top w:val="single" w:sz="8" w:space="0" w:color="auto"/>
              <w:bottom w:val="nil"/>
            </w:tcBorders>
            <w:hideMark/>
          </w:tcPr>
          <w:p w14:paraId="07D8216C"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French</w:t>
            </w:r>
          </w:p>
        </w:tc>
        <w:tc>
          <w:tcPr>
            <w:tcW w:w="807" w:type="dxa"/>
            <w:tcBorders>
              <w:top w:val="single" w:sz="8" w:space="0" w:color="auto"/>
              <w:bottom w:val="nil"/>
            </w:tcBorders>
            <w:hideMark/>
          </w:tcPr>
          <w:p w14:paraId="0986EC3A"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English</w:t>
            </w:r>
          </w:p>
        </w:tc>
        <w:tc>
          <w:tcPr>
            <w:tcW w:w="777" w:type="dxa"/>
            <w:tcBorders>
              <w:top w:val="single" w:sz="8" w:space="0" w:color="auto"/>
              <w:bottom w:val="nil"/>
            </w:tcBorders>
            <w:hideMark/>
          </w:tcPr>
          <w:p w14:paraId="18212532"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French</w:t>
            </w:r>
          </w:p>
        </w:tc>
        <w:tc>
          <w:tcPr>
            <w:tcW w:w="807" w:type="dxa"/>
            <w:tcBorders>
              <w:top w:val="single" w:sz="8" w:space="0" w:color="auto"/>
              <w:bottom w:val="nil"/>
            </w:tcBorders>
            <w:hideMark/>
          </w:tcPr>
          <w:p w14:paraId="4A9CA483"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English</w:t>
            </w:r>
          </w:p>
        </w:tc>
        <w:tc>
          <w:tcPr>
            <w:tcW w:w="777" w:type="dxa"/>
            <w:tcBorders>
              <w:top w:val="single" w:sz="8" w:space="0" w:color="auto"/>
              <w:bottom w:val="nil"/>
            </w:tcBorders>
            <w:hideMark/>
          </w:tcPr>
          <w:p w14:paraId="76601C04"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French</w:t>
            </w:r>
          </w:p>
        </w:tc>
        <w:tc>
          <w:tcPr>
            <w:tcW w:w="807" w:type="dxa"/>
            <w:tcBorders>
              <w:top w:val="single" w:sz="8" w:space="0" w:color="auto"/>
              <w:bottom w:val="nil"/>
            </w:tcBorders>
            <w:hideMark/>
          </w:tcPr>
          <w:p w14:paraId="601FAAE8"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English</w:t>
            </w:r>
          </w:p>
        </w:tc>
        <w:tc>
          <w:tcPr>
            <w:tcW w:w="777" w:type="dxa"/>
            <w:tcBorders>
              <w:top w:val="single" w:sz="8" w:space="0" w:color="auto"/>
              <w:bottom w:val="nil"/>
            </w:tcBorders>
            <w:hideMark/>
          </w:tcPr>
          <w:p w14:paraId="39EC5E06"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French</w:t>
            </w:r>
          </w:p>
        </w:tc>
        <w:tc>
          <w:tcPr>
            <w:tcW w:w="807" w:type="dxa"/>
            <w:tcBorders>
              <w:top w:val="single" w:sz="8" w:space="0" w:color="auto"/>
              <w:bottom w:val="nil"/>
            </w:tcBorders>
            <w:hideMark/>
          </w:tcPr>
          <w:p w14:paraId="3BDFDA8E"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English</w:t>
            </w:r>
          </w:p>
        </w:tc>
        <w:tc>
          <w:tcPr>
            <w:tcW w:w="617" w:type="dxa"/>
            <w:tcBorders>
              <w:bottom w:val="nil"/>
            </w:tcBorders>
            <w:hideMark/>
          </w:tcPr>
          <w:p w14:paraId="15D05347"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 Total</w:t>
            </w:r>
          </w:p>
        </w:tc>
      </w:tr>
      <w:tr w:rsidR="00991CCA" w:rsidRPr="00385B6F" w14:paraId="4B0D20FE" w14:textId="77777777" w:rsidTr="00AA1B82">
        <w:trPr>
          <w:trHeight w:val="288"/>
        </w:trPr>
        <w:tc>
          <w:tcPr>
            <w:tcW w:w="1838" w:type="dxa"/>
            <w:tcBorders>
              <w:top w:val="nil"/>
              <w:bottom w:val="single" w:sz="8" w:space="0" w:color="auto"/>
            </w:tcBorders>
            <w:noWrap/>
            <w:vAlign w:val="bottom"/>
            <w:hideMark/>
          </w:tcPr>
          <w:p w14:paraId="46C3B2AD" w14:textId="77777777" w:rsidR="00991CCA" w:rsidRPr="00385B6F" w:rsidRDefault="00991CCA" w:rsidP="00AA1B82">
            <w:pPr>
              <w:rPr>
                <w:rFonts w:ascii="Arial" w:hAnsi="Arial" w:cs="Arial"/>
                <w:sz w:val="18"/>
                <w:szCs w:val="18"/>
              </w:rPr>
            </w:pPr>
            <w:r w:rsidRPr="00385B6F">
              <w:rPr>
                <w:rFonts w:ascii="Arial" w:hAnsi="Arial" w:cs="Arial"/>
                <w:sz w:val="18"/>
                <w:szCs w:val="18"/>
              </w:rPr>
              <w:t>Topic scope</w:t>
            </w:r>
          </w:p>
        </w:tc>
        <w:tc>
          <w:tcPr>
            <w:tcW w:w="6607" w:type="dxa"/>
            <w:gridSpan w:val="8"/>
            <w:tcBorders>
              <w:top w:val="nil"/>
              <w:bottom w:val="single" w:sz="8" w:space="0" w:color="auto"/>
            </w:tcBorders>
            <w:hideMark/>
          </w:tcPr>
          <w:p w14:paraId="5CAA6466"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 </w:t>
            </w:r>
          </w:p>
        </w:tc>
        <w:tc>
          <w:tcPr>
            <w:tcW w:w="617" w:type="dxa"/>
            <w:tcBorders>
              <w:top w:val="nil"/>
              <w:bottom w:val="single" w:sz="8" w:space="0" w:color="auto"/>
            </w:tcBorders>
            <w:hideMark/>
          </w:tcPr>
          <w:p w14:paraId="0FDA76D2"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 </w:t>
            </w:r>
          </w:p>
        </w:tc>
      </w:tr>
      <w:tr w:rsidR="00991CCA" w:rsidRPr="00385B6F" w14:paraId="5CB15866" w14:textId="77777777" w:rsidTr="00AA1B82">
        <w:trPr>
          <w:trHeight w:val="288"/>
        </w:trPr>
        <w:tc>
          <w:tcPr>
            <w:tcW w:w="1838" w:type="dxa"/>
            <w:tcBorders>
              <w:top w:val="single" w:sz="8" w:space="0" w:color="auto"/>
              <w:bottom w:val="single" w:sz="8" w:space="0" w:color="auto"/>
            </w:tcBorders>
            <w:noWrap/>
            <w:vAlign w:val="bottom"/>
            <w:hideMark/>
          </w:tcPr>
          <w:p w14:paraId="51B78DC8" w14:textId="77777777" w:rsidR="00991CCA" w:rsidRPr="00385B6F" w:rsidRDefault="00991CCA" w:rsidP="00AA1B82">
            <w:pPr>
              <w:rPr>
                <w:rFonts w:ascii="Arial" w:hAnsi="Arial" w:cs="Arial"/>
                <w:sz w:val="18"/>
                <w:szCs w:val="18"/>
              </w:rPr>
            </w:pPr>
            <w:r w:rsidRPr="00385B6F">
              <w:rPr>
                <w:rFonts w:ascii="Arial" w:hAnsi="Arial" w:cs="Arial"/>
                <w:sz w:val="18"/>
                <w:szCs w:val="18"/>
              </w:rPr>
              <w:t>Local francophone</w:t>
            </w:r>
          </w:p>
        </w:tc>
        <w:tc>
          <w:tcPr>
            <w:tcW w:w="1048" w:type="dxa"/>
            <w:tcBorders>
              <w:top w:val="single" w:sz="8" w:space="0" w:color="auto"/>
            </w:tcBorders>
            <w:vAlign w:val="bottom"/>
            <w:hideMark/>
          </w:tcPr>
          <w:p w14:paraId="09C725E0"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23</w:t>
            </w:r>
          </w:p>
        </w:tc>
        <w:tc>
          <w:tcPr>
            <w:tcW w:w="807" w:type="dxa"/>
            <w:tcBorders>
              <w:top w:val="single" w:sz="8" w:space="0" w:color="auto"/>
            </w:tcBorders>
            <w:vAlign w:val="bottom"/>
            <w:hideMark/>
          </w:tcPr>
          <w:p w14:paraId="3804AB49"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1</w:t>
            </w:r>
          </w:p>
        </w:tc>
        <w:tc>
          <w:tcPr>
            <w:tcW w:w="777" w:type="dxa"/>
            <w:tcBorders>
              <w:top w:val="single" w:sz="8" w:space="0" w:color="auto"/>
            </w:tcBorders>
            <w:vAlign w:val="bottom"/>
            <w:hideMark/>
          </w:tcPr>
          <w:p w14:paraId="262BF01B"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10</w:t>
            </w:r>
          </w:p>
        </w:tc>
        <w:tc>
          <w:tcPr>
            <w:tcW w:w="807" w:type="dxa"/>
            <w:tcBorders>
              <w:top w:val="single" w:sz="8" w:space="0" w:color="auto"/>
            </w:tcBorders>
            <w:vAlign w:val="bottom"/>
            <w:hideMark/>
          </w:tcPr>
          <w:p w14:paraId="7EA6F473"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2</w:t>
            </w:r>
          </w:p>
        </w:tc>
        <w:tc>
          <w:tcPr>
            <w:tcW w:w="777" w:type="dxa"/>
            <w:tcBorders>
              <w:top w:val="single" w:sz="8" w:space="0" w:color="auto"/>
            </w:tcBorders>
            <w:vAlign w:val="bottom"/>
            <w:hideMark/>
          </w:tcPr>
          <w:p w14:paraId="65FCEC44"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6</w:t>
            </w:r>
          </w:p>
        </w:tc>
        <w:tc>
          <w:tcPr>
            <w:tcW w:w="807" w:type="dxa"/>
            <w:tcBorders>
              <w:top w:val="single" w:sz="8" w:space="0" w:color="auto"/>
            </w:tcBorders>
            <w:vAlign w:val="bottom"/>
            <w:hideMark/>
          </w:tcPr>
          <w:p w14:paraId="3300DCB9"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3</w:t>
            </w:r>
          </w:p>
        </w:tc>
        <w:tc>
          <w:tcPr>
            <w:tcW w:w="777" w:type="dxa"/>
            <w:tcBorders>
              <w:top w:val="single" w:sz="8" w:space="0" w:color="auto"/>
            </w:tcBorders>
            <w:vAlign w:val="bottom"/>
            <w:hideMark/>
          </w:tcPr>
          <w:p w14:paraId="43206DE3"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2</w:t>
            </w:r>
          </w:p>
        </w:tc>
        <w:tc>
          <w:tcPr>
            <w:tcW w:w="807" w:type="dxa"/>
            <w:tcBorders>
              <w:top w:val="single" w:sz="8" w:space="0" w:color="auto"/>
            </w:tcBorders>
            <w:vAlign w:val="bottom"/>
            <w:hideMark/>
          </w:tcPr>
          <w:p w14:paraId="4E247EA5"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2</w:t>
            </w:r>
          </w:p>
        </w:tc>
        <w:tc>
          <w:tcPr>
            <w:tcW w:w="617" w:type="dxa"/>
            <w:tcBorders>
              <w:top w:val="single" w:sz="8" w:space="0" w:color="auto"/>
            </w:tcBorders>
            <w:vAlign w:val="bottom"/>
            <w:hideMark/>
          </w:tcPr>
          <w:p w14:paraId="691B7055"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49</w:t>
            </w:r>
          </w:p>
        </w:tc>
      </w:tr>
      <w:tr w:rsidR="00991CCA" w:rsidRPr="00385B6F" w14:paraId="078F6E06" w14:textId="77777777" w:rsidTr="00AA1B82">
        <w:trPr>
          <w:trHeight w:val="288"/>
        </w:trPr>
        <w:tc>
          <w:tcPr>
            <w:tcW w:w="1838" w:type="dxa"/>
            <w:tcBorders>
              <w:top w:val="single" w:sz="8" w:space="0" w:color="auto"/>
              <w:bottom w:val="single" w:sz="8" w:space="0" w:color="auto"/>
            </w:tcBorders>
            <w:noWrap/>
            <w:vAlign w:val="bottom"/>
            <w:hideMark/>
          </w:tcPr>
          <w:p w14:paraId="1A9933FF" w14:textId="77777777" w:rsidR="00991CCA" w:rsidRPr="00385B6F" w:rsidRDefault="00991CCA" w:rsidP="00AA1B82">
            <w:pPr>
              <w:rPr>
                <w:rFonts w:ascii="Arial" w:hAnsi="Arial" w:cs="Arial"/>
                <w:sz w:val="18"/>
                <w:szCs w:val="18"/>
              </w:rPr>
            </w:pPr>
            <w:r w:rsidRPr="00385B6F">
              <w:rPr>
                <w:rFonts w:ascii="Arial" w:hAnsi="Arial" w:cs="Arial"/>
                <w:sz w:val="18"/>
                <w:szCs w:val="18"/>
              </w:rPr>
              <w:t>Local anglophone</w:t>
            </w:r>
          </w:p>
        </w:tc>
        <w:tc>
          <w:tcPr>
            <w:tcW w:w="1048" w:type="dxa"/>
            <w:vAlign w:val="bottom"/>
            <w:hideMark/>
          </w:tcPr>
          <w:p w14:paraId="026C898B"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0</w:t>
            </w:r>
          </w:p>
        </w:tc>
        <w:tc>
          <w:tcPr>
            <w:tcW w:w="807" w:type="dxa"/>
            <w:vAlign w:val="bottom"/>
            <w:hideMark/>
          </w:tcPr>
          <w:p w14:paraId="18E54D0D"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18</w:t>
            </w:r>
          </w:p>
        </w:tc>
        <w:tc>
          <w:tcPr>
            <w:tcW w:w="777" w:type="dxa"/>
            <w:vAlign w:val="bottom"/>
            <w:hideMark/>
          </w:tcPr>
          <w:p w14:paraId="2FC99E01"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0</w:t>
            </w:r>
          </w:p>
        </w:tc>
        <w:tc>
          <w:tcPr>
            <w:tcW w:w="807" w:type="dxa"/>
            <w:vAlign w:val="bottom"/>
            <w:hideMark/>
          </w:tcPr>
          <w:p w14:paraId="64BF5245"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1</w:t>
            </w:r>
          </w:p>
        </w:tc>
        <w:tc>
          <w:tcPr>
            <w:tcW w:w="777" w:type="dxa"/>
            <w:vAlign w:val="bottom"/>
            <w:hideMark/>
          </w:tcPr>
          <w:p w14:paraId="1AC40CF7"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0</w:t>
            </w:r>
          </w:p>
        </w:tc>
        <w:tc>
          <w:tcPr>
            <w:tcW w:w="807" w:type="dxa"/>
            <w:vAlign w:val="bottom"/>
            <w:hideMark/>
          </w:tcPr>
          <w:p w14:paraId="6E3228C8"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2</w:t>
            </w:r>
          </w:p>
        </w:tc>
        <w:tc>
          <w:tcPr>
            <w:tcW w:w="777" w:type="dxa"/>
            <w:vAlign w:val="bottom"/>
            <w:hideMark/>
          </w:tcPr>
          <w:p w14:paraId="155384AF"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0</w:t>
            </w:r>
          </w:p>
        </w:tc>
        <w:tc>
          <w:tcPr>
            <w:tcW w:w="807" w:type="dxa"/>
            <w:vAlign w:val="bottom"/>
            <w:hideMark/>
          </w:tcPr>
          <w:p w14:paraId="4015E326"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2</w:t>
            </w:r>
          </w:p>
        </w:tc>
        <w:tc>
          <w:tcPr>
            <w:tcW w:w="617" w:type="dxa"/>
            <w:vAlign w:val="bottom"/>
            <w:hideMark/>
          </w:tcPr>
          <w:p w14:paraId="22B7FDC7"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23</w:t>
            </w:r>
          </w:p>
        </w:tc>
      </w:tr>
      <w:tr w:rsidR="00991CCA" w:rsidRPr="00385B6F" w14:paraId="6B4F7AB6" w14:textId="77777777" w:rsidTr="00AA1B82">
        <w:trPr>
          <w:trHeight w:val="288"/>
        </w:trPr>
        <w:tc>
          <w:tcPr>
            <w:tcW w:w="1838" w:type="dxa"/>
            <w:tcBorders>
              <w:top w:val="single" w:sz="8" w:space="0" w:color="auto"/>
              <w:bottom w:val="single" w:sz="8" w:space="0" w:color="auto"/>
            </w:tcBorders>
            <w:noWrap/>
            <w:vAlign w:val="bottom"/>
            <w:hideMark/>
          </w:tcPr>
          <w:p w14:paraId="247C8E89" w14:textId="77777777" w:rsidR="00991CCA" w:rsidRPr="00385B6F" w:rsidRDefault="00991CCA" w:rsidP="00AA1B82">
            <w:pPr>
              <w:rPr>
                <w:rFonts w:ascii="Arial" w:hAnsi="Arial" w:cs="Arial"/>
                <w:sz w:val="18"/>
                <w:szCs w:val="18"/>
              </w:rPr>
            </w:pPr>
            <w:r w:rsidRPr="00385B6F">
              <w:rPr>
                <w:rFonts w:ascii="Arial" w:hAnsi="Arial" w:cs="Arial"/>
                <w:sz w:val="18"/>
                <w:szCs w:val="18"/>
              </w:rPr>
              <w:t>Local other</w:t>
            </w:r>
          </w:p>
        </w:tc>
        <w:tc>
          <w:tcPr>
            <w:tcW w:w="1048" w:type="dxa"/>
            <w:vAlign w:val="bottom"/>
            <w:hideMark/>
          </w:tcPr>
          <w:p w14:paraId="5974D3A4"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4</w:t>
            </w:r>
          </w:p>
        </w:tc>
        <w:tc>
          <w:tcPr>
            <w:tcW w:w="807" w:type="dxa"/>
            <w:vAlign w:val="bottom"/>
            <w:hideMark/>
          </w:tcPr>
          <w:p w14:paraId="71E82B6B"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2</w:t>
            </w:r>
          </w:p>
        </w:tc>
        <w:tc>
          <w:tcPr>
            <w:tcW w:w="777" w:type="dxa"/>
            <w:vAlign w:val="bottom"/>
            <w:hideMark/>
          </w:tcPr>
          <w:p w14:paraId="72D696D6"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3</w:t>
            </w:r>
          </w:p>
        </w:tc>
        <w:tc>
          <w:tcPr>
            <w:tcW w:w="807" w:type="dxa"/>
            <w:vAlign w:val="bottom"/>
            <w:hideMark/>
          </w:tcPr>
          <w:p w14:paraId="2D659065"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6</w:t>
            </w:r>
          </w:p>
        </w:tc>
        <w:tc>
          <w:tcPr>
            <w:tcW w:w="777" w:type="dxa"/>
            <w:vAlign w:val="bottom"/>
            <w:hideMark/>
          </w:tcPr>
          <w:p w14:paraId="2C6147E3"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1</w:t>
            </w:r>
          </w:p>
        </w:tc>
        <w:tc>
          <w:tcPr>
            <w:tcW w:w="807" w:type="dxa"/>
            <w:vAlign w:val="bottom"/>
            <w:hideMark/>
          </w:tcPr>
          <w:p w14:paraId="2B0F9719"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2</w:t>
            </w:r>
          </w:p>
        </w:tc>
        <w:tc>
          <w:tcPr>
            <w:tcW w:w="777" w:type="dxa"/>
            <w:vAlign w:val="bottom"/>
            <w:hideMark/>
          </w:tcPr>
          <w:p w14:paraId="10246670"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0</w:t>
            </w:r>
          </w:p>
        </w:tc>
        <w:tc>
          <w:tcPr>
            <w:tcW w:w="807" w:type="dxa"/>
            <w:vAlign w:val="bottom"/>
            <w:hideMark/>
          </w:tcPr>
          <w:p w14:paraId="5F7A8DAF"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0</w:t>
            </w:r>
          </w:p>
        </w:tc>
        <w:tc>
          <w:tcPr>
            <w:tcW w:w="617" w:type="dxa"/>
            <w:vAlign w:val="bottom"/>
            <w:hideMark/>
          </w:tcPr>
          <w:p w14:paraId="7B9A58D9"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18</w:t>
            </w:r>
          </w:p>
        </w:tc>
      </w:tr>
      <w:tr w:rsidR="00991CCA" w:rsidRPr="00385B6F" w14:paraId="6250D4B2" w14:textId="77777777" w:rsidTr="00AA1B82">
        <w:trPr>
          <w:trHeight w:val="288"/>
        </w:trPr>
        <w:tc>
          <w:tcPr>
            <w:tcW w:w="1838" w:type="dxa"/>
            <w:tcBorders>
              <w:top w:val="single" w:sz="8" w:space="0" w:color="auto"/>
              <w:bottom w:val="single" w:sz="8" w:space="0" w:color="auto"/>
            </w:tcBorders>
            <w:noWrap/>
            <w:vAlign w:val="bottom"/>
            <w:hideMark/>
          </w:tcPr>
          <w:p w14:paraId="632377F3" w14:textId="77777777" w:rsidR="00991CCA" w:rsidRPr="00385B6F" w:rsidRDefault="00991CCA" w:rsidP="00AA1B82">
            <w:pPr>
              <w:rPr>
                <w:rFonts w:ascii="Arial" w:hAnsi="Arial" w:cs="Arial"/>
                <w:sz w:val="18"/>
                <w:szCs w:val="18"/>
              </w:rPr>
            </w:pPr>
            <w:r w:rsidRPr="00385B6F">
              <w:rPr>
                <w:rFonts w:ascii="Arial" w:hAnsi="Arial" w:cs="Arial"/>
                <w:sz w:val="18"/>
                <w:szCs w:val="18"/>
              </w:rPr>
              <w:t>International</w:t>
            </w:r>
          </w:p>
        </w:tc>
        <w:tc>
          <w:tcPr>
            <w:tcW w:w="1048" w:type="dxa"/>
            <w:vAlign w:val="bottom"/>
            <w:hideMark/>
          </w:tcPr>
          <w:p w14:paraId="62BD8B67"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1</w:t>
            </w:r>
          </w:p>
        </w:tc>
        <w:tc>
          <w:tcPr>
            <w:tcW w:w="807" w:type="dxa"/>
            <w:vAlign w:val="bottom"/>
            <w:hideMark/>
          </w:tcPr>
          <w:p w14:paraId="1C99DE5D"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8</w:t>
            </w:r>
          </w:p>
        </w:tc>
        <w:tc>
          <w:tcPr>
            <w:tcW w:w="777" w:type="dxa"/>
            <w:vAlign w:val="bottom"/>
            <w:hideMark/>
          </w:tcPr>
          <w:p w14:paraId="55F4577F"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7</w:t>
            </w:r>
          </w:p>
        </w:tc>
        <w:tc>
          <w:tcPr>
            <w:tcW w:w="807" w:type="dxa"/>
            <w:vAlign w:val="bottom"/>
            <w:hideMark/>
          </w:tcPr>
          <w:p w14:paraId="19CD8871"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7</w:t>
            </w:r>
          </w:p>
        </w:tc>
        <w:tc>
          <w:tcPr>
            <w:tcW w:w="777" w:type="dxa"/>
            <w:vAlign w:val="bottom"/>
            <w:hideMark/>
          </w:tcPr>
          <w:p w14:paraId="7CF820B4"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4</w:t>
            </w:r>
          </w:p>
        </w:tc>
        <w:tc>
          <w:tcPr>
            <w:tcW w:w="807" w:type="dxa"/>
            <w:vAlign w:val="bottom"/>
            <w:hideMark/>
          </w:tcPr>
          <w:p w14:paraId="560B886F"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7</w:t>
            </w:r>
          </w:p>
        </w:tc>
        <w:tc>
          <w:tcPr>
            <w:tcW w:w="777" w:type="dxa"/>
            <w:vAlign w:val="bottom"/>
            <w:hideMark/>
          </w:tcPr>
          <w:p w14:paraId="137DEBA9"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0</w:t>
            </w:r>
          </w:p>
        </w:tc>
        <w:tc>
          <w:tcPr>
            <w:tcW w:w="807" w:type="dxa"/>
            <w:vAlign w:val="bottom"/>
            <w:hideMark/>
          </w:tcPr>
          <w:p w14:paraId="60C663FF"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2</w:t>
            </w:r>
          </w:p>
        </w:tc>
        <w:tc>
          <w:tcPr>
            <w:tcW w:w="617" w:type="dxa"/>
            <w:vAlign w:val="bottom"/>
            <w:hideMark/>
          </w:tcPr>
          <w:p w14:paraId="35F710EB"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36</w:t>
            </w:r>
          </w:p>
        </w:tc>
      </w:tr>
      <w:tr w:rsidR="00991CCA" w:rsidRPr="00385B6F" w14:paraId="77377926" w14:textId="77777777" w:rsidTr="00AA1B82">
        <w:trPr>
          <w:trHeight w:val="288"/>
        </w:trPr>
        <w:tc>
          <w:tcPr>
            <w:tcW w:w="1838" w:type="dxa"/>
            <w:tcBorders>
              <w:top w:val="single" w:sz="8" w:space="0" w:color="auto"/>
              <w:bottom w:val="single" w:sz="8" w:space="0" w:color="auto"/>
            </w:tcBorders>
            <w:noWrap/>
            <w:vAlign w:val="bottom"/>
            <w:hideMark/>
          </w:tcPr>
          <w:p w14:paraId="51FC9BE3" w14:textId="77777777" w:rsidR="00991CCA" w:rsidRPr="00385B6F" w:rsidRDefault="00991CCA" w:rsidP="00AA1B82">
            <w:pPr>
              <w:rPr>
                <w:rFonts w:ascii="Arial" w:hAnsi="Arial" w:cs="Arial"/>
                <w:sz w:val="18"/>
                <w:szCs w:val="18"/>
              </w:rPr>
            </w:pPr>
            <w:r w:rsidRPr="00385B6F">
              <w:rPr>
                <w:rFonts w:ascii="Arial" w:hAnsi="Arial" w:cs="Arial"/>
                <w:sz w:val="18"/>
                <w:szCs w:val="18"/>
              </w:rPr>
              <w:t>Global</w:t>
            </w:r>
          </w:p>
        </w:tc>
        <w:tc>
          <w:tcPr>
            <w:tcW w:w="1048" w:type="dxa"/>
            <w:tcBorders>
              <w:bottom w:val="nil"/>
            </w:tcBorders>
            <w:vAlign w:val="bottom"/>
            <w:hideMark/>
          </w:tcPr>
          <w:p w14:paraId="62F52A88"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2</w:t>
            </w:r>
          </w:p>
        </w:tc>
        <w:tc>
          <w:tcPr>
            <w:tcW w:w="807" w:type="dxa"/>
            <w:tcBorders>
              <w:bottom w:val="nil"/>
            </w:tcBorders>
            <w:vAlign w:val="bottom"/>
            <w:hideMark/>
          </w:tcPr>
          <w:p w14:paraId="726D7FCA"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1</w:t>
            </w:r>
          </w:p>
        </w:tc>
        <w:tc>
          <w:tcPr>
            <w:tcW w:w="777" w:type="dxa"/>
            <w:tcBorders>
              <w:bottom w:val="nil"/>
            </w:tcBorders>
            <w:vAlign w:val="bottom"/>
            <w:hideMark/>
          </w:tcPr>
          <w:p w14:paraId="6DCC6729"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10</w:t>
            </w:r>
          </w:p>
        </w:tc>
        <w:tc>
          <w:tcPr>
            <w:tcW w:w="807" w:type="dxa"/>
            <w:tcBorders>
              <w:bottom w:val="nil"/>
            </w:tcBorders>
            <w:vAlign w:val="bottom"/>
            <w:hideMark/>
          </w:tcPr>
          <w:p w14:paraId="559E769F"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14</w:t>
            </w:r>
          </w:p>
        </w:tc>
        <w:tc>
          <w:tcPr>
            <w:tcW w:w="777" w:type="dxa"/>
            <w:tcBorders>
              <w:bottom w:val="nil"/>
            </w:tcBorders>
            <w:vAlign w:val="bottom"/>
            <w:hideMark/>
          </w:tcPr>
          <w:p w14:paraId="3B398CCD"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19</w:t>
            </w:r>
          </w:p>
        </w:tc>
        <w:tc>
          <w:tcPr>
            <w:tcW w:w="807" w:type="dxa"/>
            <w:tcBorders>
              <w:bottom w:val="nil"/>
            </w:tcBorders>
            <w:vAlign w:val="bottom"/>
            <w:hideMark/>
          </w:tcPr>
          <w:p w14:paraId="29DB628D"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16</w:t>
            </w:r>
          </w:p>
        </w:tc>
        <w:tc>
          <w:tcPr>
            <w:tcW w:w="777" w:type="dxa"/>
            <w:tcBorders>
              <w:bottom w:val="nil"/>
            </w:tcBorders>
            <w:vAlign w:val="bottom"/>
            <w:hideMark/>
          </w:tcPr>
          <w:p w14:paraId="60607909"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28</w:t>
            </w:r>
          </w:p>
        </w:tc>
        <w:tc>
          <w:tcPr>
            <w:tcW w:w="807" w:type="dxa"/>
            <w:tcBorders>
              <w:bottom w:val="nil"/>
            </w:tcBorders>
            <w:vAlign w:val="bottom"/>
            <w:hideMark/>
          </w:tcPr>
          <w:p w14:paraId="701048D9"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24</w:t>
            </w:r>
          </w:p>
        </w:tc>
        <w:tc>
          <w:tcPr>
            <w:tcW w:w="617" w:type="dxa"/>
            <w:tcBorders>
              <w:bottom w:val="nil"/>
            </w:tcBorders>
            <w:vAlign w:val="bottom"/>
            <w:hideMark/>
          </w:tcPr>
          <w:p w14:paraId="3BC7B354"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114</w:t>
            </w:r>
          </w:p>
        </w:tc>
      </w:tr>
      <w:tr w:rsidR="00991CCA" w:rsidRPr="00385B6F" w14:paraId="0C414B7A" w14:textId="77777777" w:rsidTr="00AA1B82">
        <w:trPr>
          <w:trHeight w:val="288"/>
        </w:trPr>
        <w:tc>
          <w:tcPr>
            <w:tcW w:w="1838" w:type="dxa"/>
            <w:tcBorders>
              <w:top w:val="single" w:sz="8" w:space="0" w:color="auto"/>
              <w:bottom w:val="single" w:sz="8" w:space="0" w:color="auto"/>
            </w:tcBorders>
            <w:noWrap/>
            <w:vAlign w:val="bottom"/>
            <w:hideMark/>
          </w:tcPr>
          <w:p w14:paraId="262FACA1" w14:textId="77777777" w:rsidR="00991CCA" w:rsidRPr="00385B6F" w:rsidRDefault="00991CCA" w:rsidP="00AA1B82">
            <w:pPr>
              <w:rPr>
                <w:rFonts w:ascii="Arial" w:hAnsi="Arial" w:cs="Arial"/>
                <w:sz w:val="18"/>
                <w:szCs w:val="18"/>
              </w:rPr>
            </w:pPr>
            <w:r w:rsidRPr="00385B6F">
              <w:rPr>
                <w:rFonts w:ascii="Arial" w:hAnsi="Arial" w:cs="Arial"/>
                <w:sz w:val="18"/>
                <w:szCs w:val="18"/>
              </w:rPr>
              <w:t>Total</w:t>
            </w:r>
          </w:p>
        </w:tc>
        <w:tc>
          <w:tcPr>
            <w:tcW w:w="1048" w:type="dxa"/>
            <w:tcBorders>
              <w:top w:val="nil"/>
              <w:bottom w:val="single" w:sz="8" w:space="0" w:color="auto"/>
            </w:tcBorders>
            <w:vAlign w:val="bottom"/>
            <w:hideMark/>
          </w:tcPr>
          <w:p w14:paraId="0DFE5FDA"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30</w:t>
            </w:r>
          </w:p>
        </w:tc>
        <w:tc>
          <w:tcPr>
            <w:tcW w:w="807" w:type="dxa"/>
            <w:tcBorders>
              <w:top w:val="nil"/>
              <w:bottom w:val="single" w:sz="8" w:space="0" w:color="auto"/>
            </w:tcBorders>
            <w:vAlign w:val="bottom"/>
            <w:hideMark/>
          </w:tcPr>
          <w:p w14:paraId="72AFECFC"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30</w:t>
            </w:r>
          </w:p>
        </w:tc>
        <w:tc>
          <w:tcPr>
            <w:tcW w:w="777" w:type="dxa"/>
            <w:tcBorders>
              <w:top w:val="nil"/>
              <w:bottom w:val="single" w:sz="8" w:space="0" w:color="auto"/>
            </w:tcBorders>
            <w:vAlign w:val="bottom"/>
            <w:hideMark/>
          </w:tcPr>
          <w:p w14:paraId="622361A0"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30</w:t>
            </w:r>
          </w:p>
        </w:tc>
        <w:tc>
          <w:tcPr>
            <w:tcW w:w="807" w:type="dxa"/>
            <w:tcBorders>
              <w:top w:val="nil"/>
              <w:bottom w:val="single" w:sz="8" w:space="0" w:color="auto"/>
            </w:tcBorders>
            <w:vAlign w:val="bottom"/>
            <w:hideMark/>
          </w:tcPr>
          <w:p w14:paraId="02652E7D"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30</w:t>
            </w:r>
          </w:p>
        </w:tc>
        <w:tc>
          <w:tcPr>
            <w:tcW w:w="777" w:type="dxa"/>
            <w:tcBorders>
              <w:top w:val="nil"/>
              <w:bottom w:val="single" w:sz="8" w:space="0" w:color="auto"/>
            </w:tcBorders>
            <w:vAlign w:val="bottom"/>
            <w:hideMark/>
          </w:tcPr>
          <w:p w14:paraId="7EB53272"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30</w:t>
            </w:r>
          </w:p>
        </w:tc>
        <w:tc>
          <w:tcPr>
            <w:tcW w:w="807" w:type="dxa"/>
            <w:tcBorders>
              <w:top w:val="nil"/>
              <w:bottom w:val="single" w:sz="8" w:space="0" w:color="auto"/>
            </w:tcBorders>
            <w:vAlign w:val="bottom"/>
            <w:hideMark/>
          </w:tcPr>
          <w:p w14:paraId="085D32BC"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30</w:t>
            </w:r>
          </w:p>
        </w:tc>
        <w:tc>
          <w:tcPr>
            <w:tcW w:w="777" w:type="dxa"/>
            <w:tcBorders>
              <w:top w:val="nil"/>
              <w:bottom w:val="single" w:sz="8" w:space="0" w:color="auto"/>
            </w:tcBorders>
            <w:vAlign w:val="bottom"/>
            <w:hideMark/>
          </w:tcPr>
          <w:p w14:paraId="7A700F50"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30</w:t>
            </w:r>
          </w:p>
        </w:tc>
        <w:tc>
          <w:tcPr>
            <w:tcW w:w="807" w:type="dxa"/>
            <w:tcBorders>
              <w:top w:val="nil"/>
              <w:bottom w:val="single" w:sz="8" w:space="0" w:color="auto"/>
            </w:tcBorders>
            <w:vAlign w:val="bottom"/>
            <w:hideMark/>
          </w:tcPr>
          <w:p w14:paraId="38087908"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30</w:t>
            </w:r>
          </w:p>
        </w:tc>
        <w:tc>
          <w:tcPr>
            <w:tcW w:w="617" w:type="dxa"/>
            <w:tcBorders>
              <w:top w:val="nil"/>
              <w:bottom w:val="single" w:sz="8" w:space="0" w:color="auto"/>
            </w:tcBorders>
            <w:vAlign w:val="bottom"/>
            <w:hideMark/>
          </w:tcPr>
          <w:p w14:paraId="3818033F" w14:textId="77777777" w:rsidR="00991CCA" w:rsidRPr="00385B6F" w:rsidRDefault="00991CCA" w:rsidP="00AA1B82">
            <w:pPr>
              <w:jc w:val="right"/>
              <w:rPr>
                <w:rFonts w:ascii="Arial" w:hAnsi="Arial" w:cs="Arial"/>
                <w:sz w:val="18"/>
                <w:szCs w:val="18"/>
              </w:rPr>
            </w:pPr>
            <w:r w:rsidRPr="00385B6F">
              <w:rPr>
                <w:rFonts w:ascii="Arial" w:hAnsi="Arial" w:cs="Arial"/>
                <w:sz w:val="18"/>
                <w:szCs w:val="18"/>
              </w:rPr>
              <w:t>240</w:t>
            </w:r>
          </w:p>
        </w:tc>
      </w:tr>
    </w:tbl>
    <w:p w14:paraId="3FF934A7" w14:textId="77777777" w:rsidR="00991CCA" w:rsidRPr="007C5ACB" w:rsidRDefault="00991CCA" w:rsidP="00991CCA">
      <w:pPr>
        <w:contextualSpacing/>
        <w:rPr>
          <w:rFonts w:ascii="Times New Roman" w:hAnsi="Times New Roman" w:cs="Times New Roman"/>
          <w:sz w:val="24"/>
          <w:szCs w:val="24"/>
        </w:rPr>
      </w:pPr>
    </w:p>
    <w:p w14:paraId="5665C063" w14:textId="352514A0" w:rsidR="00991CCA" w:rsidRDefault="00991CCA" w:rsidP="00991CCA">
      <w:pPr>
        <w:contextualSpacing/>
        <w:rPr>
          <w:rFonts w:ascii="Times New Roman" w:hAnsi="Times New Roman" w:cs="Times New Roman"/>
          <w:sz w:val="24"/>
          <w:szCs w:val="24"/>
        </w:rPr>
      </w:pPr>
      <w:r w:rsidRPr="007C5ACB">
        <w:rPr>
          <w:rFonts w:ascii="Times New Roman" w:hAnsi="Times New Roman" w:cs="Times New Roman"/>
          <w:sz w:val="24"/>
          <w:szCs w:val="24"/>
        </w:rPr>
        <w:t>[Table 2]</w:t>
      </w:r>
    </w:p>
    <w:p w14:paraId="6A95102B" w14:textId="77777777" w:rsidR="00E677D6" w:rsidRPr="007C5ACB" w:rsidRDefault="00E677D6" w:rsidP="00991CCA">
      <w:pPr>
        <w:contextualSpacing/>
        <w:rPr>
          <w:rFonts w:ascii="Times New Roman" w:hAnsi="Times New Roman" w:cs="Times New Roman"/>
          <w:sz w:val="24"/>
          <w:szCs w:val="24"/>
        </w:rPr>
      </w:pPr>
    </w:p>
    <w:tbl>
      <w:tblPr>
        <w:tblW w:w="65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67"/>
        <w:gridCol w:w="1029"/>
        <w:gridCol w:w="1153"/>
        <w:gridCol w:w="1215"/>
        <w:gridCol w:w="1215"/>
      </w:tblGrid>
      <w:tr w:rsidR="00991CCA" w:rsidRPr="003502C2" w14:paraId="43AD10F5" w14:textId="77777777" w:rsidTr="00AA1B82">
        <w:trPr>
          <w:cantSplit/>
        </w:trPr>
        <w:tc>
          <w:tcPr>
            <w:tcW w:w="6579" w:type="dxa"/>
            <w:gridSpan w:val="5"/>
            <w:tcBorders>
              <w:top w:val="nil"/>
              <w:left w:val="nil"/>
              <w:bottom w:val="nil"/>
              <w:right w:val="nil"/>
            </w:tcBorders>
            <w:shd w:val="clear" w:color="auto" w:fill="FFFFFF"/>
            <w:vAlign w:val="center"/>
          </w:tcPr>
          <w:p w14:paraId="18926804" w14:textId="77777777" w:rsidR="00991CCA" w:rsidRPr="003502C2" w:rsidRDefault="00991CCA" w:rsidP="00AA1B82">
            <w:pPr>
              <w:autoSpaceDE w:val="0"/>
              <w:autoSpaceDN w:val="0"/>
              <w:adjustRightInd w:val="0"/>
              <w:spacing w:after="0" w:line="320" w:lineRule="atLeast"/>
              <w:ind w:left="60" w:right="60"/>
              <w:rPr>
                <w:rFonts w:ascii="Arial" w:hAnsi="Arial" w:cs="Arial"/>
                <w:color w:val="000000"/>
                <w:sz w:val="18"/>
                <w:szCs w:val="18"/>
                <w:lang w:val="en-US"/>
              </w:rPr>
            </w:pPr>
            <w:r w:rsidRPr="003502C2">
              <w:rPr>
                <w:rFonts w:ascii="Arial" w:hAnsi="Arial" w:cs="Arial"/>
                <w:i/>
                <w:iCs/>
                <w:color w:val="000000"/>
                <w:sz w:val="18"/>
                <w:szCs w:val="18"/>
                <w:lang w:val="en-US"/>
              </w:rPr>
              <w:t>Estimates</w:t>
            </w:r>
          </w:p>
        </w:tc>
      </w:tr>
      <w:tr w:rsidR="00991CCA" w:rsidRPr="003502C2" w14:paraId="4A8F434D" w14:textId="77777777" w:rsidTr="00AA1B82">
        <w:trPr>
          <w:cantSplit/>
        </w:trPr>
        <w:tc>
          <w:tcPr>
            <w:tcW w:w="1967" w:type="dxa"/>
            <w:vMerge w:val="restart"/>
            <w:tcBorders>
              <w:left w:val="nil"/>
              <w:bottom w:val="nil"/>
              <w:right w:val="nil"/>
            </w:tcBorders>
            <w:shd w:val="clear" w:color="auto" w:fill="FFFFFF"/>
            <w:vAlign w:val="bottom"/>
          </w:tcPr>
          <w:p w14:paraId="617066FC" w14:textId="77777777" w:rsidR="00991CCA" w:rsidRPr="003502C2" w:rsidRDefault="00991CCA" w:rsidP="00AA1B82">
            <w:pPr>
              <w:autoSpaceDE w:val="0"/>
              <w:autoSpaceDN w:val="0"/>
              <w:adjustRightInd w:val="0"/>
              <w:spacing w:after="0" w:line="320" w:lineRule="atLeast"/>
              <w:ind w:left="60" w:right="60"/>
              <w:rPr>
                <w:rFonts w:ascii="Arial" w:hAnsi="Arial" w:cs="Arial"/>
                <w:color w:val="000000"/>
                <w:sz w:val="18"/>
                <w:szCs w:val="18"/>
                <w:lang w:val="en-US"/>
              </w:rPr>
            </w:pPr>
            <w:r w:rsidRPr="003502C2">
              <w:rPr>
                <w:rFonts w:ascii="Arial" w:hAnsi="Arial" w:cs="Arial"/>
                <w:color w:val="000000"/>
                <w:sz w:val="18"/>
                <w:szCs w:val="18"/>
                <w:lang w:val="en-US"/>
              </w:rPr>
              <w:t>Language of thesis</w:t>
            </w:r>
          </w:p>
        </w:tc>
        <w:tc>
          <w:tcPr>
            <w:tcW w:w="1029" w:type="dxa"/>
            <w:vMerge w:val="restart"/>
            <w:tcBorders>
              <w:left w:val="nil"/>
              <w:right w:val="nil"/>
            </w:tcBorders>
            <w:shd w:val="clear" w:color="auto" w:fill="FFFFFF"/>
            <w:vAlign w:val="bottom"/>
          </w:tcPr>
          <w:p w14:paraId="302BC58A" w14:textId="77777777" w:rsidR="00991CCA" w:rsidRPr="003502C2" w:rsidRDefault="00991CCA" w:rsidP="00AA1B82">
            <w:pPr>
              <w:autoSpaceDE w:val="0"/>
              <w:autoSpaceDN w:val="0"/>
              <w:adjustRightInd w:val="0"/>
              <w:spacing w:after="0" w:line="320" w:lineRule="atLeast"/>
              <w:ind w:left="60" w:right="60"/>
              <w:jc w:val="center"/>
              <w:rPr>
                <w:rFonts w:ascii="Arial" w:hAnsi="Arial" w:cs="Arial"/>
                <w:color w:val="000000"/>
                <w:sz w:val="18"/>
                <w:szCs w:val="18"/>
                <w:lang w:val="en-US"/>
              </w:rPr>
            </w:pPr>
            <w:r w:rsidRPr="003502C2">
              <w:rPr>
                <w:rFonts w:ascii="Arial" w:hAnsi="Arial" w:cs="Arial"/>
                <w:color w:val="000000"/>
                <w:sz w:val="18"/>
                <w:szCs w:val="18"/>
                <w:lang w:val="en-US"/>
              </w:rPr>
              <w:t>Mean</w:t>
            </w:r>
          </w:p>
        </w:tc>
        <w:tc>
          <w:tcPr>
            <w:tcW w:w="1153" w:type="dxa"/>
            <w:vMerge w:val="restart"/>
            <w:tcBorders>
              <w:left w:val="nil"/>
              <w:right w:val="nil"/>
            </w:tcBorders>
            <w:shd w:val="clear" w:color="auto" w:fill="FFFFFF"/>
            <w:vAlign w:val="bottom"/>
          </w:tcPr>
          <w:p w14:paraId="1A45F981" w14:textId="77777777" w:rsidR="00991CCA" w:rsidRPr="003502C2" w:rsidRDefault="00991CCA" w:rsidP="00AA1B82">
            <w:pPr>
              <w:autoSpaceDE w:val="0"/>
              <w:autoSpaceDN w:val="0"/>
              <w:adjustRightInd w:val="0"/>
              <w:spacing w:after="0" w:line="320" w:lineRule="atLeast"/>
              <w:ind w:left="60" w:right="60"/>
              <w:jc w:val="center"/>
              <w:rPr>
                <w:rFonts w:ascii="Arial" w:hAnsi="Arial" w:cs="Arial"/>
                <w:color w:val="000000"/>
                <w:sz w:val="18"/>
                <w:szCs w:val="18"/>
                <w:lang w:val="en-US"/>
              </w:rPr>
            </w:pPr>
            <w:r w:rsidRPr="003502C2">
              <w:rPr>
                <w:rFonts w:ascii="Arial" w:hAnsi="Arial" w:cs="Arial"/>
                <w:color w:val="000000"/>
                <w:sz w:val="18"/>
                <w:szCs w:val="18"/>
                <w:lang w:val="en-US"/>
              </w:rPr>
              <w:t>Std. Error</w:t>
            </w:r>
          </w:p>
        </w:tc>
        <w:tc>
          <w:tcPr>
            <w:tcW w:w="2430" w:type="dxa"/>
            <w:gridSpan w:val="2"/>
            <w:tcBorders>
              <w:left w:val="nil"/>
              <w:right w:val="nil"/>
            </w:tcBorders>
            <w:shd w:val="clear" w:color="auto" w:fill="FFFFFF"/>
            <w:vAlign w:val="bottom"/>
          </w:tcPr>
          <w:p w14:paraId="09819073" w14:textId="77777777" w:rsidR="00991CCA" w:rsidRPr="003502C2" w:rsidRDefault="00991CCA" w:rsidP="00AA1B82">
            <w:pPr>
              <w:autoSpaceDE w:val="0"/>
              <w:autoSpaceDN w:val="0"/>
              <w:adjustRightInd w:val="0"/>
              <w:spacing w:after="0" w:line="320" w:lineRule="atLeast"/>
              <w:ind w:left="60" w:right="60"/>
              <w:jc w:val="center"/>
              <w:rPr>
                <w:rFonts w:ascii="Arial" w:hAnsi="Arial" w:cs="Arial"/>
                <w:color w:val="000000"/>
                <w:sz w:val="18"/>
                <w:szCs w:val="18"/>
                <w:lang w:val="en-US"/>
              </w:rPr>
            </w:pPr>
            <w:r w:rsidRPr="003502C2">
              <w:rPr>
                <w:rFonts w:ascii="Arial" w:hAnsi="Arial" w:cs="Arial"/>
                <w:color w:val="000000"/>
                <w:sz w:val="18"/>
                <w:szCs w:val="18"/>
                <w:lang w:val="en-US"/>
              </w:rPr>
              <w:t>95% Confidence Interval</w:t>
            </w:r>
          </w:p>
        </w:tc>
      </w:tr>
      <w:tr w:rsidR="00991CCA" w:rsidRPr="003502C2" w14:paraId="79A6DE22" w14:textId="77777777" w:rsidTr="00AA1B82">
        <w:trPr>
          <w:cantSplit/>
        </w:trPr>
        <w:tc>
          <w:tcPr>
            <w:tcW w:w="1967" w:type="dxa"/>
            <w:vMerge/>
            <w:tcBorders>
              <w:left w:val="nil"/>
              <w:bottom w:val="nil"/>
              <w:right w:val="nil"/>
            </w:tcBorders>
            <w:shd w:val="clear" w:color="auto" w:fill="FFFFFF"/>
            <w:vAlign w:val="bottom"/>
          </w:tcPr>
          <w:p w14:paraId="7515AB4C" w14:textId="77777777" w:rsidR="00991CCA" w:rsidRPr="003502C2" w:rsidRDefault="00991CCA" w:rsidP="00AA1B82">
            <w:pPr>
              <w:autoSpaceDE w:val="0"/>
              <w:autoSpaceDN w:val="0"/>
              <w:adjustRightInd w:val="0"/>
              <w:spacing w:after="0" w:line="240" w:lineRule="auto"/>
              <w:rPr>
                <w:rFonts w:ascii="Arial" w:hAnsi="Arial" w:cs="Arial"/>
                <w:color w:val="000000"/>
                <w:sz w:val="18"/>
                <w:szCs w:val="18"/>
                <w:lang w:val="en-US"/>
              </w:rPr>
            </w:pPr>
          </w:p>
        </w:tc>
        <w:tc>
          <w:tcPr>
            <w:tcW w:w="1029" w:type="dxa"/>
            <w:vMerge/>
            <w:tcBorders>
              <w:left w:val="nil"/>
              <w:right w:val="nil"/>
            </w:tcBorders>
            <w:shd w:val="clear" w:color="auto" w:fill="FFFFFF"/>
            <w:vAlign w:val="bottom"/>
          </w:tcPr>
          <w:p w14:paraId="5B598A01" w14:textId="77777777" w:rsidR="00991CCA" w:rsidRPr="003502C2" w:rsidRDefault="00991CCA" w:rsidP="00AA1B82">
            <w:pPr>
              <w:autoSpaceDE w:val="0"/>
              <w:autoSpaceDN w:val="0"/>
              <w:adjustRightInd w:val="0"/>
              <w:spacing w:after="0" w:line="240" w:lineRule="auto"/>
              <w:rPr>
                <w:rFonts w:ascii="Arial" w:hAnsi="Arial" w:cs="Arial"/>
                <w:color w:val="000000"/>
                <w:sz w:val="18"/>
                <w:szCs w:val="18"/>
                <w:lang w:val="en-US"/>
              </w:rPr>
            </w:pPr>
          </w:p>
        </w:tc>
        <w:tc>
          <w:tcPr>
            <w:tcW w:w="1153" w:type="dxa"/>
            <w:vMerge/>
            <w:tcBorders>
              <w:left w:val="nil"/>
              <w:right w:val="nil"/>
            </w:tcBorders>
            <w:shd w:val="clear" w:color="auto" w:fill="FFFFFF"/>
            <w:vAlign w:val="bottom"/>
          </w:tcPr>
          <w:p w14:paraId="15102AE6" w14:textId="77777777" w:rsidR="00991CCA" w:rsidRPr="003502C2" w:rsidRDefault="00991CCA" w:rsidP="00AA1B82">
            <w:pPr>
              <w:autoSpaceDE w:val="0"/>
              <w:autoSpaceDN w:val="0"/>
              <w:adjustRightInd w:val="0"/>
              <w:spacing w:after="0" w:line="240" w:lineRule="auto"/>
              <w:rPr>
                <w:rFonts w:ascii="Arial" w:hAnsi="Arial" w:cs="Arial"/>
                <w:color w:val="000000"/>
                <w:sz w:val="18"/>
                <w:szCs w:val="18"/>
                <w:lang w:val="en-US"/>
              </w:rPr>
            </w:pPr>
          </w:p>
        </w:tc>
        <w:tc>
          <w:tcPr>
            <w:tcW w:w="1215" w:type="dxa"/>
            <w:tcBorders>
              <w:left w:val="nil"/>
              <w:right w:val="nil"/>
            </w:tcBorders>
            <w:shd w:val="clear" w:color="auto" w:fill="FFFFFF"/>
            <w:vAlign w:val="bottom"/>
          </w:tcPr>
          <w:p w14:paraId="284A6790" w14:textId="77777777" w:rsidR="00991CCA" w:rsidRPr="003502C2" w:rsidRDefault="00991CCA" w:rsidP="00AA1B82">
            <w:pPr>
              <w:autoSpaceDE w:val="0"/>
              <w:autoSpaceDN w:val="0"/>
              <w:adjustRightInd w:val="0"/>
              <w:spacing w:after="0" w:line="320" w:lineRule="atLeast"/>
              <w:ind w:left="60" w:right="60"/>
              <w:jc w:val="center"/>
              <w:rPr>
                <w:rFonts w:ascii="Arial" w:hAnsi="Arial" w:cs="Arial"/>
                <w:color w:val="000000"/>
                <w:sz w:val="18"/>
                <w:szCs w:val="18"/>
                <w:lang w:val="en-US"/>
              </w:rPr>
            </w:pPr>
            <w:r w:rsidRPr="003502C2">
              <w:rPr>
                <w:rFonts w:ascii="Arial" w:hAnsi="Arial" w:cs="Arial"/>
                <w:color w:val="000000"/>
                <w:sz w:val="18"/>
                <w:szCs w:val="18"/>
                <w:lang w:val="en-US"/>
              </w:rPr>
              <w:t>Lower</w:t>
            </w:r>
          </w:p>
        </w:tc>
        <w:tc>
          <w:tcPr>
            <w:tcW w:w="1215" w:type="dxa"/>
            <w:tcBorders>
              <w:left w:val="nil"/>
              <w:right w:val="nil"/>
            </w:tcBorders>
            <w:shd w:val="clear" w:color="auto" w:fill="FFFFFF"/>
            <w:vAlign w:val="bottom"/>
          </w:tcPr>
          <w:p w14:paraId="4973C705" w14:textId="77777777" w:rsidR="00991CCA" w:rsidRPr="003502C2" w:rsidRDefault="00991CCA" w:rsidP="00AA1B82">
            <w:pPr>
              <w:autoSpaceDE w:val="0"/>
              <w:autoSpaceDN w:val="0"/>
              <w:adjustRightInd w:val="0"/>
              <w:spacing w:after="0" w:line="320" w:lineRule="atLeast"/>
              <w:ind w:left="60" w:right="60"/>
              <w:jc w:val="center"/>
              <w:rPr>
                <w:rFonts w:ascii="Arial" w:hAnsi="Arial" w:cs="Arial"/>
                <w:color w:val="000000"/>
                <w:sz w:val="18"/>
                <w:szCs w:val="18"/>
                <w:lang w:val="en-US"/>
              </w:rPr>
            </w:pPr>
            <w:r w:rsidRPr="003502C2">
              <w:rPr>
                <w:rFonts w:ascii="Arial" w:hAnsi="Arial" w:cs="Arial"/>
                <w:color w:val="000000"/>
                <w:sz w:val="18"/>
                <w:szCs w:val="18"/>
                <w:lang w:val="en-US"/>
              </w:rPr>
              <w:t>Upper</w:t>
            </w:r>
          </w:p>
        </w:tc>
      </w:tr>
      <w:tr w:rsidR="00991CCA" w:rsidRPr="003502C2" w14:paraId="61503A83" w14:textId="77777777" w:rsidTr="00AA1B82">
        <w:trPr>
          <w:cantSplit/>
        </w:trPr>
        <w:tc>
          <w:tcPr>
            <w:tcW w:w="1967" w:type="dxa"/>
            <w:tcBorders>
              <w:left w:val="nil"/>
              <w:bottom w:val="nil"/>
              <w:right w:val="nil"/>
            </w:tcBorders>
            <w:shd w:val="clear" w:color="auto" w:fill="FFFFFF"/>
          </w:tcPr>
          <w:p w14:paraId="11A4BDF5" w14:textId="77777777" w:rsidR="00991CCA" w:rsidRPr="003502C2" w:rsidRDefault="00991CCA" w:rsidP="00AA1B82">
            <w:pPr>
              <w:autoSpaceDE w:val="0"/>
              <w:autoSpaceDN w:val="0"/>
              <w:adjustRightInd w:val="0"/>
              <w:spacing w:after="0" w:line="320" w:lineRule="atLeast"/>
              <w:ind w:left="60" w:right="60"/>
              <w:rPr>
                <w:rFonts w:ascii="Arial" w:hAnsi="Arial" w:cs="Arial"/>
                <w:color w:val="000000"/>
                <w:sz w:val="18"/>
                <w:szCs w:val="18"/>
                <w:lang w:val="en-US"/>
              </w:rPr>
            </w:pPr>
            <w:r w:rsidRPr="003502C2">
              <w:rPr>
                <w:rFonts w:ascii="Arial" w:hAnsi="Arial" w:cs="Arial"/>
                <w:color w:val="000000"/>
                <w:sz w:val="18"/>
                <w:szCs w:val="18"/>
                <w:lang w:val="en-US"/>
              </w:rPr>
              <w:t>English</w:t>
            </w:r>
          </w:p>
        </w:tc>
        <w:tc>
          <w:tcPr>
            <w:tcW w:w="1029" w:type="dxa"/>
            <w:tcBorders>
              <w:left w:val="nil"/>
              <w:bottom w:val="nil"/>
              <w:right w:val="nil"/>
            </w:tcBorders>
            <w:shd w:val="clear" w:color="auto" w:fill="FFFFFF"/>
          </w:tcPr>
          <w:p w14:paraId="7818205D"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,958</w:t>
            </w:r>
          </w:p>
        </w:tc>
        <w:tc>
          <w:tcPr>
            <w:tcW w:w="1153" w:type="dxa"/>
            <w:tcBorders>
              <w:left w:val="nil"/>
              <w:bottom w:val="nil"/>
              <w:right w:val="nil"/>
            </w:tcBorders>
            <w:shd w:val="clear" w:color="auto" w:fill="FFFFFF"/>
          </w:tcPr>
          <w:p w14:paraId="509E911C"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,006</w:t>
            </w:r>
          </w:p>
        </w:tc>
        <w:tc>
          <w:tcPr>
            <w:tcW w:w="1215" w:type="dxa"/>
            <w:tcBorders>
              <w:left w:val="nil"/>
              <w:bottom w:val="nil"/>
              <w:right w:val="nil"/>
            </w:tcBorders>
            <w:shd w:val="clear" w:color="auto" w:fill="FFFFFF"/>
          </w:tcPr>
          <w:p w14:paraId="6E31CCCA"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,945</w:t>
            </w:r>
          </w:p>
        </w:tc>
        <w:tc>
          <w:tcPr>
            <w:tcW w:w="1215" w:type="dxa"/>
            <w:tcBorders>
              <w:left w:val="nil"/>
              <w:bottom w:val="nil"/>
              <w:right w:val="nil"/>
            </w:tcBorders>
            <w:shd w:val="clear" w:color="auto" w:fill="FFFFFF"/>
          </w:tcPr>
          <w:p w14:paraId="078A57A0"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,969</w:t>
            </w:r>
          </w:p>
        </w:tc>
      </w:tr>
      <w:tr w:rsidR="00991CCA" w:rsidRPr="003502C2" w14:paraId="746C223E" w14:textId="77777777" w:rsidTr="00AA1B82">
        <w:trPr>
          <w:cantSplit/>
        </w:trPr>
        <w:tc>
          <w:tcPr>
            <w:tcW w:w="1967" w:type="dxa"/>
            <w:tcBorders>
              <w:top w:val="nil"/>
              <w:left w:val="nil"/>
              <w:right w:val="nil"/>
            </w:tcBorders>
            <w:shd w:val="clear" w:color="auto" w:fill="FFFFFF"/>
          </w:tcPr>
          <w:p w14:paraId="5DE1A5EE" w14:textId="77777777" w:rsidR="00991CCA" w:rsidRPr="003502C2" w:rsidRDefault="00991CCA" w:rsidP="00AA1B82">
            <w:pPr>
              <w:autoSpaceDE w:val="0"/>
              <w:autoSpaceDN w:val="0"/>
              <w:adjustRightInd w:val="0"/>
              <w:spacing w:after="0" w:line="320" w:lineRule="atLeast"/>
              <w:ind w:left="60" w:right="60"/>
              <w:rPr>
                <w:rFonts w:ascii="Arial" w:hAnsi="Arial" w:cs="Arial"/>
                <w:color w:val="000000"/>
                <w:sz w:val="18"/>
                <w:szCs w:val="18"/>
                <w:lang w:val="en-US"/>
              </w:rPr>
            </w:pPr>
            <w:r w:rsidRPr="003502C2">
              <w:rPr>
                <w:rFonts w:ascii="Arial" w:hAnsi="Arial" w:cs="Arial"/>
                <w:color w:val="000000"/>
                <w:sz w:val="18"/>
                <w:szCs w:val="18"/>
                <w:lang w:val="en-US"/>
              </w:rPr>
              <w:t>French</w:t>
            </w:r>
          </w:p>
        </w:tc>
        <w:tc>
          <w:tcPr>
            <w:tcW w:w="1029" w:type="dxa"/>
            <w:tcBorders>
              <w:top w:val="nil"/>
              <w:left w:val="nil"/>
              <w:right w:val="nil"/>
            </w:tcBorders>
            <w:shd w:val="clear" w:color="auto" w:fill="FFFFFF"/>
          </w:tcPr>
          <w:p w14:paraId="34A77C58"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,362</w:t>
            </w:r>
          </w:p>
        </w:tc>
        <w:tc>
          <w:tcPr>
            <w:tcW w:w="1153" w:type="dxa"/>
            <w:tcBorders>
              <w:top w:val="nil"/>
              <w:left w:val="nil"/>
              <w:right w:val="nil"/>
            </w:tcBorders>
            <w:shd w:val="clear" w:color="auto" w:fill="FFFFFF"/>
          </w:tcPr>
          <w:p w14:paraId="185A107E"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,032</w:t>
            </w:r>
          </w:p>
        </w:tc>
        <w:tc>
          <w:tcPr>
            <w:tcW w:w="1215" w:type="dxa"/>
            <w:tcBorders>
              <w:top w:val="nil"/>
              <w:left w:val="nil"/>
              <w:right w:val="nil"/>
            </w:tcBorders>
            <w:shd w:val="clear" w:color="auto" w:fill="FFFFFF"/>
          </w:tcPr>
          <w:p w14:paraId="5237610D"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,302</w:t>
            </w:r>
          </w:p>
        </w:tc>
        <w:tc>
          <w:tcPr>
            <w:tcW w:w="1215" w:type="dxa"/>
            <w:tcBorders>
              <w:top w:val="nil"/>
              <w:left w:val="nil"/>
              <w:right w:val="nil"/>
            </w:tcBorders>
            <w:shd w:val="clear" w:color="auto" w:fill="FFFFFF"/>
          </w:tcPr>
          <w:p w14:paraId="3193212A"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,427</w:t>
            </w:r>
          </w:p>
        </w:tc>
      </w:tr>
    </w:tbl>
    <w:p w14:paraId="736AAA7E" w14:textId="77777777" w:rsidR="00991CCA" w:rsidRPr="007C5ACB" w:rsidRDefault="00991CCA" w:rsidP="00991CCA">
      <w:pPr>
        <w:contextualSpacing/>
        <w:rPr>
          <w:rFonts w:ascii="Times New Roman" w:hAnsi="Times New Roman" w:cs="Times New Roman"/>
          <w:sz w:val="24"/>
          <w:szCs w:val="24"/>
        </w:rPr>
      </w:pPr>
    </w:p>
    <w:p w14:paraId="5E1B9B48" w14:textId="77777777" w:rsidR="00991CCA" w:rsidRPr="007C5ACB" w:rsidRDefault="00991CCA" w:rsidP="00991CCA">
      <w:pPr>
        <w:contextualSpacing/>
        <w:rPr>
          <w:rFonts w:ascii="Times New Roman" w:hAnsi="Times New Roman" w:cs="Times New Roman"/>
          <w:sz w:val="24"/>
          <w:szCs w:val="24"/>
        </w:rPr>
      </w:pPr>
      <w:r w:rsidRPr="007C5ACB">
        <w:rPr>
          <w:rFonts w:ascii="Times New Roman" w:hAnsi="Times New Roman" w:cs="Times New Roman"/>
          <w:sz w:val="24"/>
          <w:szCs w:val="24"/>
        </w:rPr>
        <w:t>[Table 3]</w:t>
      </w:r>
    </w:p>
    <w:p w14:paraId="64210E91" w14:textId="77777777" w:rsidR="00991CCA" w:rsidRPr="007C5ACB" w:rsidRDefault="00991CCA" w:rsidP="00991CCA">
      <w:pPr>
        <w:contextualSpacing/>
        <w:rPr>
          <w:rFonts w:ascii="Times New Roman" w:hAnsi="Times New Roman" w:cs="Times New Roman"/>
          <w:sz w:val="24"/>
          <w:szCs w:val="24"/>
        </w:rPr>
      </w:pPr>
      <w:r w:rsidRPr="007C5ACB">
        <w:rPr>
          <w:rFonts w:ascii="Times New Roman" w:hAnsi="Times New Roman" w:cs="Times New Roman"/>
          <w:sz w:val="24"/>
          <w:szCs w:val="24"/>
        </w:rPr>
        <w:t xml:space="preserve"> </w:t>
      </w:r>
    </w:p>
    <w:tbl>
      <w:tblPr>
        <w:tblW w:w="60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75"/>
        <w:gridCol w:w="1029"/>
        <w:gridCol w:w="1153"/>
        <w:gridCol w:w="1215"/>
        <w:gridCol w:w="1215"/>
      </w:tblGrid>
      <w:tr w:rsidR="00991CCA" w:rsidRPr="003502C2" w14:paraId="1392D1DB" w14:textId="77777777" w:rsidTr="00AA1B82">
        <w:trPr>
          <w:cantSplit/>
        </w:trPr>
        <w:tc>
          <w:tcPr>
            <w:tcW w:w="6084" w:type="dxa"/>
            <w:gridSpan w:val="5"/>
            <w:tcBorders>
              <w:top w:val="nil"/>
              <w:left w:val="nil"/>
              <w:bottom w:val="nil"/>
              <w:right w:val="nil"/>
            </w:tcBorders>
            <w:shd w:val="clear" w:color="auto" w:fill="FFFFFF"/>
            <w:vAlign w:val="center"/>
          </w:tcPr>
          <w:p w14:paraId="6338C2B7" w14:textId="77777777" w:rsidR="00991CCA" w:rsidRPr="003502C2" w:rsidRDefault="00991CCA" w:rsidP="00AA1B82">
            <w:pPr>
              <w:autoSpaceDE w:val="0"/>
              <w:autoSpaceDN w:val="0"/>
              <w:adjustRightInd w:val="0"/>
              <w:spacing w:after="0" w:line="320" w:lineRule="atLeast"/>
              <w:ind w:left="60" w:right="60"/>
              <w:rPr>
                <w:rFonts w:ascii="Arial" w:hAnsi="Arial" w:cs="Arial"/>
                <w:color w:val="000000"/>
                <w:sz w:val="18"/>
                <w:szCs w:val="18"/>
                <w:lang w:val="en-US"/>
              </w:rPr>
            </w:pPr>
            <w:r w:rsidRPr="003502C2">
              <w:rPr>
                <w:rFonts w:ascii="Arial" w:hAnsi="Arial" w:cs="Arial"/>
                <w:i/>
                <w:iCs/>
                <w:color w:val="000000"/>
                <w:sz w:val="18"/>
                <w:szCs w:val="18"/>
                <w:lang w:val="en-US"/>
              </w:rPr>
              <w:t>Estimates</w:t>
            </w:r>
          </w:p>
        </w:tc>
      </w:tr>
      <w:tr w:rsidR="00991CCA" w:rsidRPr="003502C2" w14:paraId="7C1EB931" w14:textId="77777777" w:rsidTr="00AA1B82">
        <w:trPr>
          <w:cantSplit/>
        </w:trPr>
        <w:tc>
          <w:tcPr>
            <w:tcW w:w="1475" w:type="dxa"/>
            <w:vMerge w:val="restart"/>
            <w:tcBorders>
              <w:left w:val="nil"/>
              <w:bottom w:val="nil"/>
              <w:right w:val="nil"/>
            </w:tcBorders>
            <w:shd w:val="clear" w:color="auto" w:fill="FFFFFF"/>
            <w:vAlign w:val="bottom"/>
          </w:tcPr>
          <w:p w14:paraId="02897D34" w14:textId="77777777" w:rsidR="00991CCA" w:rsidRPr="003502C2" w:rsidRDefault="00991CCA" w:rsidP="00AA1B82">
            <w:pPr>
              <w:autoSpaceDE w:val="0"/>
              <w:autoSpaceDN w:val="0"/>
              <w:adjustRightInd w:val="0"/>
              <w:spacing w:after="0" w:line="320" w:lineRule="atLeast"/>
              <w:ind w:left="60" w:right="60"/>
              <w:rPr>
                <w:rFonts w:ascii="Arial" w:hAnsi="Arial" w:cs="Arial"/>
                <w:color w:val="000000"/>
                <w:sz w:val="18"/>
                <w:szCs w:val="18"/>
                <w:lang w:val="en-US"/>
              </w:rPr>
            </w:pPr>
            <w:r w:rsidRPr="003502C2">
              <w:rPr>
                <w:rFonts w:ascii="Arial" w:hAnsi="Arial" w:cs="Arial"/>
                <w:color w:val="000000"/>
                <w:sz w:val="18"/>
                <w:szCs w:val="18"/>
                <w:lang w:val="en-US"/>
              </w:rPr>
              <w:t>Faculty</w:t>
            </w:r>
          </w:p>
        </w:tc>
        <w:tc>
          <w:tcPr>
            <w:tcW w:w="1029" w:type="dxa"/>
            <w:vMerge w:val="restart"/>
            <w:tcBorders>
              <w:left w:val="nil"/>
              <w:right w:val="nil"/>
            </w:tcBorders>
            <w:shd w:val="clear" w:color="auto" w:fill="FFFFFF"/>
            <w:vAlign w:val="bottom"/>
          </w:tcPr>
          <w:p w14:paraId="6F94E1AB" w14:textId="77777777" w:rsidR="00991CCA" w:rsidRPr="003502C2" w:rsidRDefault="00991CCA" w:rsidP="00AA1B82">
            <w:pPr>
              <w:autoSpaceDE w:val="0"/>
              <w:autoSpaceDN w:val="0"/>
              <w:adjustRightInd w:val="0"/>
              <w:spacing w:after="0" w:line="320" w:lineRule="atLeast"/>
              <w:ind w:left="60" w:right="60"/>
              <w:jc w:val="center"/>
              <w:rPr>
                <w:rFonts w:ascii="Arial" w:hAnsi="Arial" w:cs="Arial"/>
                <w:color w:val="000000"/>
                <w:sz w:val="18"/>
                <w:szCs w:val="18"/>
                <w:lang w:val="en-US"/>
              </w:rPr>
            </w:pPr>
            <w:r w:rsidRPr="003502C2">
              <w:rPr>
                <w:rFonts w:ascii="Arial" w:hAnsi="Arial" w:cs="Arial"/>
                <w:color w:val="000000"/>
                <w:sz w:val="18"/>
                <w:szCs w:val="18"/>
                <w:lang w:val="en-US"/>
              </w:rPr>
              <w:t>Mean</w:t>
            </w:r>
          </w:p>
        </w:tc>
        <w:tc>
          <w:tcPr>
            <w:tcW w:w="1152" w:type="dxa"/>
            <w:vMerge w:val="restart"/>
            <w:tcBorders>
              <w:left w:val="nil"/>
              <w:right w:val="nil"/>
            </w:tcBorders>
            <w:shd w:val="clear" w:color="auto" w:fill="FFFFFF"/>
            <w:vAlign w:val="bottom"/>
          </w:tcPr>
          <w:p w14:paraId="3DA25CA7" w14:textId="77777777" w:rsidR="00991CCA" w:rsidRPr="003502C2" w:rsidRDefault="00991CCA" w:rsidP="00AA1B82">
            <w:pPr>
              <w:autoSpaceDE w:val="0"/>
              <w:autoSpaceDN w:val="0"/>
              <w:adjustRightInd w:val="0"/>
              <w:spacing w:after="0" w:line="320" w:lineRule="atLeast"/>
              <w:ind w:left="60" w:right="60"/>
              <w:jc w:val="center"/>
              <w:rPr>
                <w:rFonts w:ascii="Arial" w:hAnsi="Arial" w:cs="Arial"/>
                <w:color w:val="000000"/>
                <w:sz w:val="18"/>
                <w:szCs w:val="18"/>
                <w:lang w:val="en-US"/>
              </w:rPr>
            </w:pPr>
            <w:r w:rsidRPr="003502C2">
              <w:rPr>
                <w:rFonts w:ascii="Arial" w:hAnsi="Arial" w:cs="Arial"/>
                <w:color w:val="000000"/>
                <w:sz w:val="18"/>
                <w:szCs w:val="18"/>
                <w:lang w:val="en-US"/>
              </w:rPr>
              <w:t>Std. Error</w:t>
            </w:r>
          </w:p>
        </w:tc>
        <w:tc>
          <w:tcPr>
            <w:tcW w:w="2428" w:type="dxa"/>
            <w:gridSpan w:val="2"/>
            <w:tcBorders>
              <w:left w:val="nil"/>
              <w:right w:val="nil"/>
            </w:tcBorders>
            <w:shd w:val="clear" w:color="auto" w:fill="FFFFFF"/>
            <w:vAlign w:val="bottom"/>
          </w:tcPr>
          <w:p w14:paraId="18C94312" w14:textId="77777777" w:rsidR="00991CCA" w:rsidRPr="003502C2" w:rsidRDefault="00991CCA" w:rsidP="00AA1B82">
            <w:pPr>
              <w:autoSpaceDE w:val="0"/>
              <w:autoSpaceDN w:val="0"/>
              <w:adjustRightInd w:val="0"/>
              <w:spacing w:after="0" w:line="320" w:lineRule="atLeast"/>
              <w:ind w:left="60" w:right="60"/>
              <w:jc w:val="center"/>
              <w:rPr>
                <w:rFonts w:ascii="Arial" w:hAnsi="Arial" w:cs="Arial"/>
                <w:color w:val="000000"/>
                <w:sz w:val="18"/>
                <w:szCs w:val="18"/>
                <w:lang w:val="en-US"/>
              </w:rPr>
            </w:pPr>
            <w:r w:rsidRPr="003502C2">
              <w:rPr>
                <w:rFonts w:ascii="Arial" w:hAnsi="Arial" w:cs="Arial"/>
                <w:color w:val="000000"/>
                <w:sz w:val="18"/>
                <w:szCs w:val="18"/>
                <w:lang w:val="en-US"/>
              </w:rPr>
              <w:t>95% Confidence Interval</w:t>
            </w:r>
          </w:p>
        </w:tc>
      </w:tr>
      <w:tr w:rsidR="00991CCA" w:rsidRPr="003502C2" w14:paraId="28F94D21" w14:textId="77777777" w:rsidTr="00AA1B82">
        <w:trPr>
          <w:cantSplit/>
        </w:trPr>
        <w:tc>
          <w:tcPr>
            <w:tcW w:w="1475" w:type="dxa"/>
            <w:vMerge/>
            <w:tcBorders>
              <w:left w:val="nil"/>
              <w:bottom w:val="nil"/>
              <w:right w:val="nil"/>
            </w:tcBorders>
            <w:shd w:val="clear" w:color="auto" w:fill="FFFFFF"/>
            <w:vAlign w:val="bottom"/>
          </w:tcPr>
          <w:p w14:paraId="41B37AB9" w14:textId="77777777" w:rsidR="00991CCA" w:rsidRPr="003502C2" w:rsidRDefault="00991CCA" w:rsidP="00AA1B82">
            <w:pPr>
              <w:autoSpaceDE w:val="0"/>
              <w:autoSpaceDN w:val="0"/>
              <w:adjustRightInd w:val="0"/>
              <w:spacing w:after="0" w:line="240" w:lineRule="auto"/>
              <w:rPr>
                <w:rFonts w:ascii="Arial" w:hAnsi="Arial" w:cs="Arial"/>
                <w:color w:val="000000"/>
                <w:sz w:val="18"/>
                <w:szCs w:val="18"/>
                <w:lang w:val="en-US"/>
              </w:rPr>
            </w:pPr>
          </w:p>
        </w:tc>
        <w:tc>
          <w:tcPr>
            <w:tcW w:w="1029" w:type="dxa"/>
            <w:vMerge/>
            <w:tcBorders>
              <w:left w:val="nil"/>
              <w:right w:val="nil"/>
            </w:tcBorders>
            <w:shd w:val="clear" w:color="auto" w:fill="FFFFFF"/>
            <w:vAlign w:val="bottom"/>
          </w:tcPr>
          <w:p w14:paraId="1D77D0AB" w14:textId="77777777" w:rsidR="00991CCA" w:rsidRPr="003502C2" w:rsidRDefault="00991CCA" w:rsidP="00AA1B82">
            <w:pPr>
              <w:autoSpaceDE w:val="0"/>
              <w:autoSpaceDN w:val="0"/>
              <w:adjustRightInd w:val="0"/>
              <w:spacing w:after="0" w:line="240" w:lineRule="auto"/>
              <w:rPr>
                <w:rFonts w:ascii="Arial" w:hAnsi="Arial" w:cs="Arial"/>
                <w:color w:val="000000"/>
                <w:sz w:val="18"/>
                <w:szCs w:val="18"/>
                <w:lang w:val="en-US"/>
              </w:rPr>
            </w:pPr>
          </w:p>
        </w:tc>
        <w:tc>
          <w:tcPr>
            <w:tcW w:w="1152" w:type="dxa"/>
            <w:vMerge/>
            <w:tcBorders>
              <w:left w:val="nil"/>
              <w:right w:val="nil"/>
            </w:tcBorders>
            <w:shd w:val="clear" w:color="auto" w:fill="FFFFFF"/>
            <w:vAlign w:val="bottom"/>
          </w:tcPr>
          <w:p w14:paraId="188CF236" w14:textId="77777777" w:rsidR="00991CCA" w:rsidRPr="003502C2" w:rsidRDefault="00991CCA" w:rsidP="00AA1B82">
            <w:pPr>
              <w:autoSpaceDE w:val="0"/>
              <w:autoSpaceDN w:val="0"/>
              <w:adjustRightInd w:val="0"/>
              <w:spacing w:after="0" w:line="240" w:lineRule="auto"/>
              <w:rPr>
                <w:rFonts w:ascii="Arial" w:hAnsi="Arial" w:cs="Arial"/>
                <w:color w:val="000000"/>
                <w:sz w:val="18"/>
                <w:szCs w:val="18"/>
                <w:lang w:val="en-US"/>
              </w:rPr>
            </w:pPr>
          </w:p>
        </w:tc>
        <w:tc>
          <w:tcPr>
            <w:tcW w:w="1214" w:type="dxa"/>
            <w:tcBorders>
              <w:left w:val="nil"/>
              <w:right w:val="nil"/>
            </w:tcBorders>
            <w:shd w:val="clear" w:color="auto" w:fill="FFFFFF"/>
            <w:vAlign w:val="bottom"/>
          </w:tcPr>
          <w:p w14:paraId="7234BD08" w14:textId="77777777" w:rsidR="00991CCA" w:rsidRPr="003502C2" w:rsidRDefault="00991CCA" w:rsidP="00AA1B82">
            <w:pPr>
              <w:autoSpaceDE w:val="0"/>
              <w:autoSpaceDN w:val="0"/>
              <w:adjustRightInd w:val="0"/>
              <w:spacing w:after="0" w:line="320" w:lineRule="atLeast"/>
              <w:ind w:left="60" w:right="60"/>
              <w:jc w:val="center"/>
              <w:rPr>
                <w:rFonts w:ascii="Arial" w:hAnsi="Arial" w:cs="Arial"/>
                <w:color w:val="000000"/>
                <w:sz w:val="18"/>
                <w:szCs w:val="18"/>
                <w:lang w:val="en-US"/>
              </w:rPr>
            </w:pPr>
            <w:r w:rsidRPr="003502C2">
              <w:rPr>
                <w:rFonts w:ascii="Arial" w:hAnsi="Arial" w:cs="Arial"/>
                <w:color w:val="000000"/>
                <w:sz w:val="18"/>
                <w:szCs w:val="18"/>
                <w:lang w:val="en-US"/>
              </w:rPr>
              <w:t>Lower</w:t>
            </w:r>
          </w:p>
        </w:tc>
        <w:tc>
          <w:tcPr>
            <w:tcW w:w="1214" w:type="dxa"/>
            <w:tcBorders>
              <w:left w:val="nil"/>
              <w:right w:val="nil"/>
            </w:tcBorders>
            <w:shd w:val="clear" w:color="auto" w:fill="FFFFFF"/>
            <w:vAlign w:val="bottom"/>
          </w:tcPr>
          <w:p w14:paraId="6C44DDAE" w14:textId="77777777" w:rsidR="00991CCA" w:rsidRPr="003502C2" w:rsidRDefault="00991CCA" w:rsidP="00AA1B82">
            <w:pPr>
              <w:autoSpaceDE w:val="0"/>
              <w:autoSpaceDN w:val="0"/>
              <w:adjustRightInd w:val="0"/>
              <w:spacing w:after="0" w:line="320" w:lineRule="atLeast"/>
              <w:ind w:left="60" w:right="60"/>
              <w:jc w:val="center"/>
              <w:rPr>
                <w:rFonts w:ascii="Arial" w:hAnsi="Arial" w:cs="Arial"/>
                <w:color w:val="000000"/>
                <w:sz w:val="18"/>
                <w:szCs w:val="18"/>
                <w:lang w:val="en-US"/>
              </w:rPr>
            </w:pPr>
            <w:r w:rsidRPr="003502C2">
              <w:rPr>
                <w:rFonts w:ascii="Arial" w:hAnsi="Arial" w:cs="Arial"/>
                <w:color w:val="000000"/>
                <w:sz w:val="18"/>
                <w:szCs w:val="18"/>
                <w:lang w:val="en-US"/>
              </w:rPr>
              <w:t>Upper</w:t>
            </w:r>
          </w:p>
        </w:tc>
      </w:tr>
      <w:tr w:rsidR="00991CCA" w:rsidRPr="003502C2" w14:paraId="7CCAF265" w14:textId="77777777" w:rsidTr="00AA1B82">
        <w:trPr>
          <w:cantSplit/>
        </w:trPr>
        <w:tc>
          <w:tcPr>
            <w:tcW w:w="1475" w:type="dxa"/>
            <w:tcBorders>
              <w:left w:val="nil"/>
              <w:bottom w:val="nil"/>
              <w:right w:val="nil"/>
            </w:tcBorders>
            <w:shd w:val="clear" w:color="auto" w:fill="FFFFFF"/>
          </w:tcPr>
          <w:p w14:paraId="7F10BAA2" w14:textId="77777777" w:rsidR="00991CCA" w:rsidRPr="003502C2" w:rsidRDefault="00991CCA" w:rsidP="00AA1B82">
            <w:pPr>
              <w:autoSpaceDE w:val="0"/>
              <w:autoSpaceDN w:val="0"/>
              <w:adjustRightInd w:val="0"/>
              <w:spacing w:after="0" w:line="320" w:lineRule="atLeast"/>
              <w:ind w:left="60" w:right="60"/>
              <w:rPr>
                <w:rFonts w:ascii="Arial" w:hAnsi="Arial" w:cs="Arial"/>
                <w:color w:val="000000"/>
                <w:sz w:val="18"/>
                <w:szCs w:val="18"/>
                <w:lang w:val="en-US"/>
              </w:rPr>
            </w:pPr>
            <w:r w:rsidRPr="003502C2">
              <w:rPr>
                <w:rFonts w:ascii="Arial" w:hAnsi="Arial" w:cs="Arial"/>
                <w:color w:val="000000"/>
                <w:sz w:val="18"/>
                <w:szCs w:val="18"/>
                <w:lang w:val="en-US"/>
              </w:rPr>
              <w:t>Engineering</w:t>
            </w:r>
          </w:p>
        </w:tc>
        <w:tc>
          <w:tcPr>
            <w:tcW w:w="1029" w:type="dxa"/>
            <w:tcBorders>
              <w:left w:val="nil"/>
              <w:bottom w:val="nil"/>
              <w:right w:val="nil"/>
            </w:tcBorders>
            <w:shd w:val="clear" w:color="auto" w:fill="FFFFFF"/>
          </w:tcPr>
          <w:p w14:paraId="3FD4DC47"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,921</w:t>
            </w:r>
          </w:p>
        </w:tc>
        <w:tc>
          <w:tcPr>
            <w:tcW w:w="1152" w:type="dxa"/>
            <w:tcBorders>
              <w:left w:val="nil"/>
              <w:bottom w:val="nil"/>
              <w:right w:val="nil"/>
            </w:tcBorders>
            <w:shd w:val="clear" w:color="auto" w:fill="FFFFFF"/>
          </w:tcPr>
          <w:p w14:paraId="64135A58"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,015</w:t>
            </w:r>
          </w:p>
        </w:tc>
        <w:tc>
          <w:tcPr>
            <w:tcW w:w="1214" w:type="dxa"/>
            <w:tcBorders>
              <w:left w:val="nil"/>
              <w:bottom w:val="nil"/>
              <w:right w:val="nil"/>
            </w:tcBorders>
            <w:shd w:val="clear" w:color="auto" w:fill="FFFFFF"/>
          </w:tcPr>
          <w:p w14:paraId="557DD7E8"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,885</w:t>
            </w:r>
          </w:p>
        </w:tc>
        <w:tc>
          <w:tcPr>
            <w:tcW w:w="1214" w:type="dxa"/>
            <w:tcBorders>
              <w:left w:val="nil"/>
              <w:bottom w:val="nil"/>
              <w:right w:val="nil"/>
            </w:tcBorders>
            <w:shd w:val="clear" w:color="auto" w:fill="FFFFFF"/>
          </w:tcPr>
          <w:p w14:paraId="57D0B55F"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,946</w:t>
            </w:r>
          </w:p>
        </w:tc>
      </w:tr>
      <w:tr w:rsidR="00991CCA" w:rsidRPr="003502C2" w14:paraId="5CFA3B59" w14:textId="77777777" w:rsidTr="00AA1B82">
        <w:trPr>
          <w:cantSplit/>
        </w:trPr>
        <w:tc>
          <w:tcPr>
            <w:tcW w:w="1475" w:type="dxa"/>
            <w:tcBorders>
              <w:top w:val="nil"/>
              <w:left w:val="nil"/>
              <w:bottom w:val="nil"/>
              <w:right w:val="nil"/>
            </w:tcBorders>
            <w:shd w:val="clear" w:color="auto" w:fill="FFFFFF"/>
          </w:tcPr>
          <w:p w14:paraId="10C21AAF" w14:textId="77777777" w:rsidR="00991CCA" w:rsidRPr="003502C2" w:rsidRDefault="00991CCA" w:rsidP="00AA1B82">
            <w:pPr>
              <w:autoSpaceDE w:val="0"/>
              <w:autoSpaceDN w:val="0"/>
              <w:adjustRightInd w:val="0"/>
              <w:spacing w:after="0" w:line="320" w:lineRule="atLeast"/>
              <w:ind w:left="60" w:right="60"/>
              <w:rPr>
                <w:rFonts w:ascii="Arial" w:hAnsi="Arial" w:cs="Arial"/>
                <w:color w:val="000000"/>
                <w:sz w:val="18"/>
                <w:szCs w:val="18"/>
                <w:lang w:val="en-US"/>
              </w:rPr>
            </w:pPr>
            <w:r w:rsidRPr="003502C2">
              <w:rPr>
                <w:rFonts w:ascii="Arial" w:hAnsi="Arial" w:cs="Arial"/>
                <w:color w:val="000000"/>
                <w:sz w:val="18"/>
                <w:szCs w:val="18"/>
                <w:lang w:val="en-US"/>
              </w:rPr>
              <w:t>Management</w:t>
            </w:r>
          </w:p>
        </w:tc>
        <w:tc>
          <w:tcPr>
            <w:tcW w:w="1029" w:type="dxa"/>
            <w:tcBorders>
              <w:top w:val="nil"/>
              <w:left w:val="nil"/>
              <w:bottom w:val="nil"/>
              <w:right w:val="nil"/>
            </w:tcBorders>
            <w:shd w:val="clear" w:color="auto" w:fill="FFFFFF"/>
          </w:tcPr>
          <w:p w14:paraId="01866725"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,793</w:t>
            </w:r>
          </w:p>
        </w:tc>
        <w:tc>
          <w:tcPr>
            <w:tcW w:w="1152" w:type="dxa"/>
            <w:tcBorders>
              <w:top w:val="nil"/>
              <w:left w:val="nil"/>
              <w:bottom w:val="nil"/>
              <w:right w:val="nil"/>
            </w:tcBorders>
            <w:shd w:val="clear" w:color="auto" w:fill="FFFFFF"/>
          </w:tcPr>
          <w:p w14:paraId="1C2FB96E"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,032</w:t>
            </w:r>
          </w:p>
        </w:tc>
        <w:tc>
          <w:tcPr>
            <w:tcW w:w="1214" w:type="dxa"/>
            <w:tcBorders>
              <w:top w:val="nil"/>
              <w:left w:val="nil"/>
              <w:bottom w:val="nil"/>
              <w:right w:val="nil"/>
            </w:tcBorders>
            <w:shd w:val="clear" w:color="auto" w:fill="FFFFFF"/>
          </w:tcPr>
          <w:p w14:paraId="6DE97345"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,723</w:t>
            </w:r>
          </w:p>
        </w:tc>
        <w:tc>
          <w:tcPr>
            <w:tcW w:w="1214" w:type="dxa"/>
            <w:tcBorders>
              <w:top w:val="nil"/>
              <w:left w:val="nil"/>
              <w:bottom w:val="nil"/>
              <w:right w:val="nil"/>
            </w:tcBorders>
            <w:shd w:val="clear" w:color="auto" w:fill="FFFFFF"/>
          </w:tcPr>
          <w:p w14:paraId="2FF82041"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,849</w:t>
            </w:r>
          </w:p>
        </w:tc>
      </w:tr>
      <w:tr w:rsidR="00991CCA" w:rsidRPr="003502C2" w14:paraId="4CCE9A7A" w14:textId="77777777" w:rsidTr="00AA1B82">
        <w:trPr>
          <w:cantSplit/>
        </w:trPr>
        <w:tc>
          <w:tcPr>
            <w:tcW w:w="1475" w:type="dxa"/>
            <w:tcBorders>
              <w:top w:val="nil"/>
              <w:left w:val="nil"/>
              <w:bottom w:val="nil"/>
              <w:right w:val="nil"/>
            </w:tcBorders>
            <w:shd w:val="clear" w:color="auto" w:fill="FFFFFF"/>
          </w:tcPr>
          <w:p w14:paraId="06C3A817" w14:textId="77777777" w:rsidR="00991CCA" w:rsidRPr="003502C2" w:rsidRDefault="00991CCA" w:rsidP="00AA1B82">
            <w:pPr>
              <w:autoSpaceDE w:val="0"/>
              <w:autoSpaceDN w:val="0"/>
              <w:adjustRightInd w:val="0"/>
              <w:spacing w:after="0" w:line="320" w:lineRule="atLeast"/>
              <w:ind w:left="60" w:right="60"/>
              <w:rPr>
                <w:rFonts w:ascii="Arial" w:hAnsi="Arial" w:cs="Arial"/>
                <w:color w:val="000000"/>
                <w:sz w:val="18"/>
                <w:szCs w:val="18"/>
                <w:lang w:val="en-US"/>
              </w:rPr>
            </w:pPr>
            <w:r w:rsidRPr="003502C2">
              <w:rPr>
                <w:rFonts w:ascii="Arial" w:hAnsi="Arial" w:cs="Arial"/>
                <w:color w:val="000000"/>
                <w:sz w:val="18"/>
                <w:szCs w:val="18"/>
                <w:lang w:val="en-US"/>
              </w:rPr>
              <w:t>ESPSC</w:t>
            </w:r>
          </w:p>
        </w:tc>
        <w:tc>
          <w:tcPr>
            <w:tcW w:w="1029" w:type="dxa"/>
            <w:tcBorders>
              <w:top w:val="nil"/>
              <w:left w:val="nil"/>
              <w:bottom w:val="nil"/>
              <w:right w:val="nil"/>
            </w:tcBorders>
            <w:shd w:val="clear" w:color="auto" w:fill="FFFFFF"/>
          </w:tcPr>
          <w:p w14:paraId="1B143D45"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,793</w:t>
            </w:r>
          </w:p>
        </w:tc>
        <w:tc>
          <w:tcPr>
            <w:tcW w:w="1152" w:type="dxa"/>
            <w:tcBorders>
              <w:top w:val="nil"/>
              <w:left w:val="nil"/>
              <w:bottom w:val="nil"/>
              <w:right w:val="nil"/>
            </w:tcBorders>
            <w:shd w:val="clear" w:color="auto" w:fill="FFFFFF"/>
          </w:tcPr>
          <w:p w14:paraId="727F3B68"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,035</w:t>
            </w:r>
          </w:p>
        </w:tc>
        <w:tc>
          <w:tcPr>
            <w:tcW w:w="1214" w:type="dxa"/>
            <w:tcBorders>
              <w:top w:val="nil"/>
              <w:left w:val="nil"/>
              <w:bottom w:val="nil"/>
              <w:right w:val="nil"/>
            </w:tcBorders>
            <w:shd w:val="clear" w:color="auto" w:fill="FFFFFF"/>
          </w:tcPr>
          <w:p w14:paraId="1616FF97"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,715</w:t>
            </w:r>
          </w:p>
        </w:tc>
        <w:tc>
          <w:tcPr>
            <w:tcW w:w="1214" w:type="dxa"/>
            <w:tcBorders>
              <w:top w:val="nil"/>
              <w:left w:val="nil"/>
              <w:bottom w:val="nil"/>
              <w:right w:val="nil"/>
            </w:tcBorders>
            <w:shd w:val="clear" w:color="auto" w:fill="FFFFFF"/>
          </w:tcPr>
          <w:p w14:paraId="0B58129C"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,854</w:t>
            </w:r>
          </w:p>
        </w:tc>
      </w:tr>
      <w:tr w:rsidR="00991CCA" w:rsidRPr="003502C2" w14:paraId="6F449263" w14:textId="77777777" w:rsidTr="00AA1B82">
        <w:trPr>
          <w:cantSplit/>
        </w:trPr>
        <w:tc>
          <w:tcPr>
            <w:tcW w:w="1475" w:type="dxa"/>
            <w:tcBorders>
              <w:top w:val="nil"/>
              <w:left w:val="nil"/>
              <w:right w:val="nil"/>
            </w:tcBorders>
            <w:shd w:val="clear" w:color="auto" w:fill="FFFFFF"/>
          </w:tcPr>
          <w:p w14:paraId="2D090FD1" w14:textId="77777777" w:rsidR="00991CCA" w:rsidRPr="003502C2" w:rsidRDefault="00991CCA" w:rsidP="00AA1B82">
            <w:pPr>
              <w:autoSpaceDE w:val="0"/>
              <w:autoSpaceDN w:val="0"/>
              <w:adjustRightInd w:val="0"/>
              <w:spacing w:after="0" w:line="320" w:lineRule="atLeast"/>
              <w:ind w:left="60" w:right="60"/>
              <w:rPr>
                <w:rFonts w:ascii="Arial" w:hAnsi="Arial" w:cs="Arial"/>
                <w:color w:val="000000"/>
                <w:sz w:val="18"/>
                <w:szCs w:val="18"/>
                <w:lang w:val="en-US"/>
              </w:rPr>
            </w:pPr>
            <w:r w:rsidRPr="003502C2">
              <w:rPr>
                <w:rFonts w:ascii="Arial" w:hAnsi="Arial" w:cs="Arial"/>
                <w:color w:val="000000"/>
                <w:sz w:val="18"/>
                <w:szCs w:val="18"/>
                <w:lang w:val="en-US"/>
              </w:rPr>
              <w:t>Arts &amp; letters</w:t>
            </w:r>
          </w:p>
        </w:tc>
        <w:tc>
          <w:tcPr>
            <w:tcW w:w="1029" w:type="dxa"/>
            <w:tcBorders>
              <w:top w:val="nil"/>
              <w:left w:val="nil"/>
              <w:right w:val="nil"/>
            </w:tcBorders>
            <w:shd w:val="clear" w:color="auto" w:fill="FFFFFF"/>
          </w:tcPr>
          <w:p w14:paraId="4FB08211"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,501</w:t>
            </w:r>
          </w:p>
        </w:tc>
        <w:tc>
          <w:tcPr>
            <w:tcW w:w="1152" w:type="dxa"/>
            <w:tcBorders>
              <w:top w:val="nil"/>
              <w:left w:val="nil"/>
              <w:right w:val="nil"/>
            </w:tcBorders>
            <w:shd w:val="clear" w:color="auto" w:fill="FFFFFF"/>
          </w:tcPr>
          <w:p w14:paraId="417AA868"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,050</w:t>
            </w:r>
          </w:p>
        </w:tc>
        <w:tc>
          <w:tcPr>
            <w:tcW w:w="1214" w:type="dxa"/>
            <w:tcBorders>
              <w:top w:val="nil"/>
              <w:left w:val="nil"/>
              <w:right w:val="nil"/>
            </w:tcBorders>
            <w:shd w:val="clear" w:color="auto" w:fill="FFFFFF"/>
          </w:tcPr>
          <w:p w14:paraId="199B7CA5"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,404</w:t>
            </w:r>
          </w:p>
        </w:tc>
        <w:tc>
          <w:tcPr>
            <w:tcW w:w="1214" w:type="dxa"/>
            <w:tcBorders>
              <w:top w:val="nil"/>
              <w:left w:val="nil"/>
              <w:right w:val="nil"/>
            </w:tcBorders>
            <w:shd w:val="clear" w:color="auto" w:fill="FFFFFF"/>
          </w:tcPr>
          <w:p w14:paraId="7D0977C4" w14:textId="77777777" w:rsidR="00991CCA" w:rsidRPr="003502C2" w:rsidRDefault="00991CCA" w:rsidP="00AA1B82">
            <w:pPr>
              <w:autoSpaceDE w:val="0"/>
              <w:autoSpaceDN w:val="0"/>
              <w:adjustRightInd w:val="0"/>
              <w:spacing w:after="0" w:line="320" w:lineRule="atLeast"/>
              <w:ind w:left="60" w:right="60"/>
              <w:jc w:val="right"/>
              <w:rPr>
                <w:rFonts w:ascii="Arial" w:hAnsi="Arial" w:cs="Arial"/>
                <w:color w:val="000000"/>
                <w:sz w:val="18"/>
                <w:szCs w:val="18"/>
                <w:lang w:val="en-US"/>
              </w:rPr>
            </w:pPr>
            <w:r w:rsidRPr="003502C2">
              <w:rPr>
                <w:rFonts w:ascii="Arial" w:hAnsi="Arial" w:cs="Arial"/>
                <w:color w:val="000000"/>
                <w:sz w:val="18"/>
                <w:szCs w:val="18"/>
                <w:lang w:val="en-US"/>
              </w:rPr>
              <w:t>,599</w:t>
            </w:r>
          </w:p>
        </w:tc>
      </w:tr>
    </w:tbl>
    <w:p w14:paraId="34B0C74B" w14:textId="77777777" w:rsidR="00991CCA" w:rsidRPr="007C5ACB" w:rsidRDefault="00991CCA" w:rsidP="00991CCA">
      <w:pPr>
        <w:contextualSpacing/>
        <w:rPr>
          <w:rFonts w:ascii="Times New Roman" w:hAnsi="Times New Roman" w:cs="Times New Roman"/>
          <w:sz w:val="24"/>
          <w:szCs w:val="24"/>
        </w:rPr>
      </w:pPr>
    </w:p>
    <w:p w14:paraId="7CDA4E4D" w14:textId="77777777" w:rsidR="00991CCA" w:rsidRPr="007C5ACB" w:rsidRDefault="00991CCA" w:rsidP="00991CCA">
      <w:pPr>
        <w:contextualSpacing/>
        <w:rPr>
          <w:rFonts w:ascii="Times New Roman" w:hAnsi="Times New Roman" w:cs="Times New Roman"/>
          <w:sz w:val="24"/>
          <w:szCs w:val="24"/>
        </w:rPr>
      </w:pPr>
    </w:p>
    <w:p w14:paraId="5DFAD9CE" w14:textId="77777777" w:rsidR="00991CCA" w:rsidRDefault="00991CCA" w:rsidP="00991CCA">
      <w:pPr>
        <w:contextualSpacing/>
        <w:rPr>
          <w:rFonts w:ascii="Times New Roman" w:hAnsi="Times New Roman" w:cs="Times New Roman"/>
          <w:sz w:val="24"/>
          <w:szCs w:val="24"/>
        </w:rPr>
      </w:pPr>
      <w:r w:rsidRPr="007C5ACB">
        <w:rPr>
          <w:rFonts w:ascii="Times New Roman" w:hAnsi="Times New Roman" w:cs="Times New Roman"/>
          <w:sz w:val="24"/>
          <w:szCs w:val="24"/>
        </w:rPr>
        <w:t xml:space="preserve">[Figure </w:t>
      </w:r>
      <w:r>
        <w:rPr>
          <w:rFonts w:ascii="Times New Roman" w:hAnsi="Times New Roman" w:cs="Times New Roman"/>
          <w:sz w:val="24"/>
          <w:szCs w:val="24"/>
        </w:rPr>
        <w:t>1</w:t>
      </w:r>
      <w:r w:rsidRPr="007C5ACB">
        <w:rPr>
          <w:rFonts w:ascii="Times New Roman" w:hAnsi="Times New Roman" w:cs="Times New Roman"/>
          <w:sz w:val="24"/>
          <w:szCs w:val="24"/>
        </w:rPr>
        <w:t>]</w:t>
      </w:r>
    </w:p>
    <w:p w14:paraId="7B829B29" w14:textId="77777777" w:rsidR="00991CCA" w:rsidRDefault="00991CCA" w:rsidP="00991CCA">
      <w:pPr>
        <w:contextualSpacing/>
        <w:rPr>
          <w:rFonts w:ascii="Times New Roman" w:hAnsi="Times New Roman" w:cs="Times New Roman"/>
          <w:sz w:val="24"/>
          <w:szCs w:val="24"/>
        </w:rPr>
      </w:pPr>
      <w:r>
        <w:rPr>
          <w:noProof/>
          <w:lang w:val="fr-BE" w:eastAsia="fr-BE"/>
        </w:rPr>
        <w:lastRenderedPageBreak/>
        <w:drawing>
          <wp:inline distT="0" distB="0" distL="0" distR="0" wp14:anchorId="4BCDD351" wp14:editId="3230A76A">
            <wp:extent cx="5400040" cy="367855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400040" cy="3678555"/>
                    </a:xfrm>
                    <a:prstGeom prst="rect">
                      <a:avLst/>
                    </a:prstGeom>
                  </pic:spPr>
                </pic:pic>
              </a:graphicData>
            </a:graphic>
          </wp:inline>
        </w:drawing>
      </w:r>
    </w:p>
    <w:p w14:paraId="5C87603D" w14:textId="77777777" w:rsidR="00991CCA" w:rsidRPr="007C5ACB" w:rsidRDefault="00991CCA" w:rsidP="00991CCA">
      <w:pPr>
        <w:contextualSpacing/>
        <w:rPr>
          <w:rFonts w:ascii="Times New Roman" w:hAnsi="Times New Roman" w:cs="Times New Roman"/>
          <w:sz w:val="24"/>
          <w:szCs w:val="24"/>
        </w:rPr>
      </w:pPr>
      <w:r>
        <w:rPr>
          <w:rFonts w:ascii="Times New Roman" w:hAnsi="Times New Roman" w:cs="Times New Roman"/>
          <w:sz w:val="24"/>
          <w:szCs w:val="24"/>
        </w:rPr>
        <w:t>[Figure 2]</w:t>
      </w:r>
    </w:p>
    <w:p w14:paraId="5083F72D" w14:textId="77777777" w:rsidR="00991CCA" w:rsidRDefault="00991CCA" w:rsidP="00991CCA">
      <w:pPr>
        <w:contextualSpacing/>
        <w:rPr>
          <w:rFonts w:ascii="Times New Roman" w:hAnsi="Times New Roman" w:cs="Times New Roman"/>
          <w:sz w:val="24"/>
          <w:szCs w:val="24"/>
        </w:rPr>
      </w:pPr>
    </w:p>
    <w:p w14:paraId="71AE4C37" w14:textId="77777777" w:rsidR="00991CCA" w:rsidRPr="007C5ACB" w:rsidRDefault="00991CCA" w:rsidP="00991CCA">
      <w:pPr>
        <w:contextualSpacing/>
        <w:rPr>
          <w:rFonts w:ascii="Times New Roman" w:hAnsi="Times New Roman" w:cs="Times New Roman"/>
          <w:sz w:val="24"/>
          <w:szCs w:val="24"/>
        </w:rPr>
      </w:pPr>
      <w:r w:rsidRPr="007C5ACB">
        <w:rPr>
          <w:rFonts w:ascii="Times New Roman" w:hAnsi="Times New Roman" w:cs="Times New Roman"/>
          <w:noProof/>
          <w:sz w:val="24"/>
          <w:szCs w:val="24"/>
          <w:lang w:val="fr-BE" w:eastAsia="fr-BE"/>
        </w:rPr>
        <w:drawing>
          <wp:inline distT="0" distB="0" distL="0" distR="0" wp14:anchorId="0F9350F2" wp14:editId="219519AD">
            <wp:extent cx="5062873" cy="3604260"/>
            <wp:effectExtent l="0" t="0" r="444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r="46931" b="30194"/>
                    <a:stretch/>
                  </pic:blipFill>
                  <pic:spPr bwMode="auto">
                    <a:xfrm>
                      <a:off x="0" y="0"/>
                      <a:ext cx="5279694" cy="3758615"/>
                    </a:xfrm>
                    <a:prstGeom prst="rect">
                      <a:avLst/>
                    </a:prstGeom>
                    <a:ln>
                      <a:noFill/>
                    </a:ln>
                    <a:extLst>
                      <a:ext uri="{53640926-AAD7-44D8-BBD7-CCE9431645EC}">
                        <a14:shadowObscured xmlns:a14="http://schemas.microsoft.com/office/drawing/2010/main"/>
                      </a:ext>
                    </a:extLst>
                  </pic:spPr>
                </pic:pic>
              </a:graphicData>
            </a:graphic>
          </wp:inline>
        </w:drawing>
      </w:r>
    </w:p>
    <w:p w14:paraId="46AED623" w14:textId="77777777" w:rsidR="00991CCA" w:rsidRPr="007C5ACB" w:rsidRDefault="00991CCA" w:rsidP="00991CCA">
      <w:pPr>
        <w:contextualSpacing/>
        <w:rPr>
          <w:rFonts w:ascii="Times New Roman" w:hAnsi="Times New Roman" w:cs="Times New Roman"/>
          <w:sz w:val="24"/>
          <w:szCs w:val="24"/>
        </w:rPr>
      </w:pPr>
      <w:r w:rsidRPr="007C5ACB">
        <w:rPr>
          <w:rFonts w:ascii="Times New Roman" w:hAnsi="Times New Roman" w:cs="Times New Roman"/>
          <w:sz w:val="24"/>
          <w:szCs w:val="24"/>
        </w:rPr>
        <w:t>[Table A of the Appendix]</w:t>
      </w:r>
    </w:p>
    <w:p w14:paraId="692FFE37" w14:textId="77777777" w:rsidR="00E677D6" w:rsidRDefault="00E677D6" w:rsidP="00991CCA">
      <w:pPr>
        <w:contextualSpacing/>
        <w:rPr>
          <w:rFonts w:ascii="Times New Roman" w:hAnsi="Times New Roman" w:cs="Times New Roman"/>
          <w:sz w:val="24"/>
          <w:szCs w:val="24"/>
        </w:rPr>
      </w:pPr>
    </w:p>
    <w:tbl>
      <w:tblPr>
        <w:tblW w:w="529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83"/>
        <w:gridCol w:w="802"/>
        <w:gridCol w:w="1134"/>
        <w:gridCol w:w="2172"/>
      </w:tblGrid>
      <w:tr w:rsidR="00991CCA" w:rsidRPr="00385B6F" w14:paraId="119C3A59" w14:textId="77777777" w:rsidTr="00AA1B82">
        <w:trPr>
          <w:cantSplit/>
        </w:trPr>
        <w:tc>
          <w:tcPr>
            <w:tcW w:w="1985" w:type="dxa"/>
            <w:gridSpan w:val="2"/>
            <w:vMerge w:val="restart"/>
            <w:tcBorders>
              <w:left w:val="nil"/>
              <w:bottom w:val="nil"/>
              <w:right w:val="nil"/>
            </w:tcBorders>
            <w:shd w:val="clear" w:color="auto" w:fill="FFFFFF"/>
            <w:vAlign w:val="bottom"/>
          </w:tcPr>
          <w:p w14:paraId="5D6C188D" w14:textId="77777777" w:rsidR="00991CCA" w:rsidRPr="00385B6F" w:rsidRDefault="00991CCA" w:rsidP="00AA1B82">
            <w:pPr>
              <w:spacing w:line="276" w:lineRule="auto"/>
              <w:ind w:left="60" w:right="60"/>
              <w:rPr>
                <w:rFonts w:ascii="Arial" w:hAnsi="Arial" w:cs="Arial"/>
                <w:sz w:val="18"/>
                <w:szCs w:val="18"/>
              </w:rPr>
            </w:pPr>
            <w:r w:rsidRPr="00385B6F">
              <w:rPr>
                <w:rFonts w:ascii="Arial" w:hAnsi="Arial" w:cs="Arial"/>
                <w:sz w:val="18"/>
                <w:szCs w:val="18"/>
              </w:rPr>
              <w:t>Observed</w:t>
            </w:r>
          </w:p>
        </w:tc>
        <w:tc>
          <w:tcPr>
            <w:tcW w:w="3306" w:type="dxa"/>
            <w:gridSpan w:val="2"/>
            <w:tcBorders>
              <w:left w:val="nil"/>
              <w:right w:val="nil"/>
            </w:tcBorders>
            <w:shd w:val="clear" w:color="auto" w:fill="FFFFFF"/>
            <w:vAlign w:val="bottom"/>
          </w:tcPr>
          <w:p w14:paraId="16F6B576" w14:textId="77777777" w:rsidR="00991CCA" w:rsidRPr="00385B6F" w:rsidRDefault="00991CCA" w:rsidP="00AA1B82">
            <w:pPr>
              <w:spacing w:line="276" w:lineRule="auto"/>
              <w:ind w:left="60" w:right="60"/>
              <w:jc w:val="center"/>
              <w:rPr>
                <w:rFonts w:ascii="Arial" w:hAnsi="Arial" w:cs="Arial"/>
                <w:sz w:val="18"/>
                <w:szCs w:val="18"/>
              </w:rPr>
            </w:pPr>
            <w:r w:rsidRPr="00385B6F">
              <w:rPr>
                <w:rFonts w:ascii="Arial" w:hAnsi="Arial" w:cs="Arial"/>
                <w:sz w:val="18"/>
                <w:szCs w:val="18"/>
              </w:rPr>
              <w:t>Predicted</w:t>
            </w:r>
          </w:p>
        </w:tc>
      </w:tr>
      <w:tr w:rsidR="00991CCA" w:rsidRPr="00385B6F" w14:paraId="1CE7D7D3" w14:textId="77777777" w:rsidTr="00AA1B82">
        <w:trPr>
          <w:cantSplit/>
        </w:trPr>
        <w:tc>
          <w:tcPr>
            <w:tcW w:w="1985" w:type="dxa"/>
            <w:gridSpan w:val="2"/>
            <w:vMerge/>
            <w:tcBorders>
              <w:left w:val="nil"/>
              <w:bottom w:val="nil"/>
              <w:right w:val="nil"/>
            </w:tcBorders>
            <w:shd w:val="clear" w:color="auto" w:fill="FFFFFF"/>
            <w:vAlign w:val="bottom"/>
          </w:tcPr>
          <w:p w14:paraId="317730F0" w14:textId="77777777" w:rsidR="00991CCA" w:rsidRPr="00385B6F" w:rsidRDefault="00991CCA" w:rsidP="00AA1B82">
            <w:pPr>
              <w:rPr>
                <w:rFonts w:ascii="Arial" w:hAnsi="Arial" w:cs="Arial"/>
                <w:sz w:val="18"/>
                <w:szCs w:val="18"/>
              </w:rPr>
            </w:pPr>
          </w:p>
        </w:tc>
        <w:tc>
          <w:tcPr>
            <w:tcW w:w="1134" w:type="dxa"/>
            <w:tcBorders>
              <w:left w:val="nil"/>
              <w:right w:val="nil"/>
            </w:tcBorders>
            <w:shd w:val="clear" w:color="auto" w:fill="FFFFFF"/>
            <w:vAlign w:val="bottom"/>
          </w:tcPr>
          <w:p w14:paraId="449D4167" w14:textId="77777777" w:rsidR="00991CCA" w:rsidRPr="00385B6F" w:rsidRDefault="00991CCA" w:rsidP="00AA1B82">
            <w:pPr>
              <w:spacing w:line="320" w:lineRule="atLeast"/>
              <w:ind w:left="60" w:right="60"/>
              <w:rPr>
                <w:rFonts w:ascii="Arial" w:hAnsi="Arial" w:cs="Arial"/>
                <w:sz w:val="18"/>
                <w:szCs w:val="18"/>
              </w:rPr>
            </w:pPr>
            <w:r w:rsidRPr="00385B6F">
              <w:rPr>
                <w:rFonts w:ascii="Arial" w:hAnsi="Arial" w:cs="Arial"/>
                <w:sz w:val="18"/>
                <w:szCs w:val="18"/>
              </w:rPr>
              <w:t>Non-Event</w:t>
            </w:r>
          </w:p>
        </w:tc>
        <w:tc>
          <w:tcPr>
            <w:tcW w:w="2172" w:type="dxa"/>
            <w:tcBorders>
              <w:left w:val="nil"/>
              <w:right w:val="nil"/>
            </w:tcBorders>
            <w:shd w:val="clear" w:color="auto" w:fill="FFFFFF"/>
            <w:vAlign w:val="bottom"/>
          </w:tcPr>
          <w:p w14:paraId="5FE2DA91" w14:textId="77777777" w:rsidR="00991CCA" w:rsidRPr="00385B6F" w:rsidRDefault="00991CCA" w:rsidP="00AA1B82">
            <w:pPr>
              <w:spacing w:line="320" w:lineRule="atLeast"/>
              <w:ind w:left="60" w:right="60"/>
              <w:jc w:val="right"/>
              <w:rPr>
                <w:rFonts w:ascii="Arial" w:hAnsi="Arial" w:cs="Arial"/>
                <w:sz w:val="18"/>
                <w:szCs w:val="18"/>
              </w:rPr>
            </w:pPr>
            <w:r w:rsidRPr="00385B6F">
              <w:rPr>
                <w:rFonts w:ascii="Arial" w:hAnsi="Arial" w:cs="Arial"/>
                <w:sz w:val="18"/>
                <w:szCs w:val="18"/>
              </w:rPr>
              <w:t>Event</w:t>
            </w:r>
          </w:p>
        </w:tc>
      </w:tr>
      <w:tr w:rsidR="00991CCA" w:rsidRPr="00385B6F" w14:paraId="1BB60C99" w14:textId="77777777" w:rsidTr="00AA1B82">
        <w:trPr>
          <w:cantSplit/>
        </w:trPr>
        <w:tc>
          <w:tcPr>
            <w:tcW w:w="1183" w:type="dxa"/>
            <w:tcBorders>
              <w:left w:val="nil"/>
              <w:right w:val="nil"/>
            </w:tcBorders>
            <w:shd w:val="clear" w:color="auto" w:fill="FFFFFF"/>
          </w:tcPr>
          <w:p w14:paraId="054F89C1" w14:textId="77777777" w:rsidR="00991CCA" w:rsidRPr="00385B6F" w:rsidRDefault="00991CCA" w:rsidP="00AA1B82">
            <w:pPr>
              <w:spacing w:line="320" w:lineRule="atLeast"/>
              <w:ind w:left="60" w:right="60"/>
              <w:rPr>
                <w:rFonts w:ascii="Arial" w:hAnsi="Arial" w:cs="Arial"/>
                <w:sz w:val="18"/>
                <w:szCs w:val="18"/>
              </w:rPr>
            </w:pPr>
            <w:r w:rsidRPr="00385B6F">
              <w:rPr>
                <w:rFonts w:ascii="Arial" w:hAnsi="Arial" w:cs="Arial"/>
                <w:sz w:val="18"/>
                <w:szCs w:val="18"/>
              </w:rPr>
              <w:lastRenderedPageBreak/>
              <w:t>Non-Event</w:t>
            </w:r>
            <w:r>
              <w:rPr>
                <w:rStyle w:val="FootnoteReference"/>
                <w:rFonts w:ascii="Arial" w:hAnsi="Arial" w:cs="Arial"/>
                <w:sz w:val="18"/>
                <w:szCs w:val="18"/>
              </w:rPr>
              <w:footnoteReference w:id="5"/>
            </w:r>
          </w:p>
        </w:tc>
        <w:tc>
          <w:tcPr>
            <w:tcW w:w="802" w:type="dxa"/>
            <w:tcBorders>
              <w:left w:val="nil"/>
              <w:bottom w:val="nil"/>
              <w:right w:val="nil"/>
            </w:tcBorders>
            <w:shd w:val="clear" w:color="auto" w:fill="FFFFFF"/>
          </w:tcPr>
          <w:p w14:paraId="57646B42" w14:textId="77777777" w:rsidR="00991CCA" w:rsidRPr="00385B6F" w:rsidRDefault="00991CCA" w:rsidP="00AA1B82">
            <w:pPr>
              <w:spacing w:line="320" w:lineRule="atLeast"/>
              <w:ind w:left="60" w:right="60"/>
              <w:rPr>
                <w:rFonts w:ascii="Arial" w:hAnsi="Arial" w:cs="Arial"/>
                <w:sz w:val="18"/>
                <w:szCs w:val="18"/>
              </w:rPr>
            </w:pPr>
          </w:p>
        </w:tc>
        <w:tc>
          <w:tcPr>
            <w:tcW w:w="1134" w:type="dxa"/>
            <w:tcBorders>
              <w:left w:val="nil"/>
              <w:bottom w:val="nil"/>
              <w:right w:val="nil"/>
            </w:tcBorders>
            <w:shd w:val="clear" w:color="auto" w:fill="FFFFFF"/>
          </w:tcPr>
          <w:p w14:paraId="42739B04" w14:textId="77777777" w:rsidR="00991CCA" w:rsidRPr="00385B6F" w:rsidRDefault="00991CCA" w:rsidP="00AA1B82">
            <w:pPr>
              <w:spacing w:line="320" w:lineRule="atLeast"/>
              <w:ind w:left="60" w:right="60"/>
              <w:rPr>
                <w:rFonts w:ascii="Arial" w:hAnsi="Arial" w:cs="Arial"/>
                <w:sz w:val="18"/>
                <w:szCs w:val="18"/>
              </w:rPr>
            </w:pPr>
            <w:r w:rsidRPr="00385B6F">
              <w:rPr>
                <w:rFonts w:ascii="Arial" w:hAnsi="Arial" w:cs="Arial"/>
                <w:sz w:val="18"/>
                <w:szCs w:val="18"/>
              </w:rPr>
              <w:t>4901</w:t>
            </w:r>
          </w:p>
        </w:tc>
        <w:tc>
          <w:tcPr>
            <w:tcW w:w="2172" w:type="dxa"/>
            <w:tcBorders>
              <w:left w:val="nil"/>
              <w:bottom w:val="nil"/>
              <w:right w:val="nil"/>
            </w:tcBorders>
            <w:shd w:val="clear" w:color="auto" w:fill="FFFFFF"/>
          </w:tcPr>
          <w:p w14:paraId="680ED2B3" w14:textId="77777777" w:rsidR="00991CCA" w:rsidRPr="00385B6F" w:rsidRDefault="00991CCA" w:rsidP="00AA1B82">
            <w:pPr>
              <w:spacing w:line="320" w:lineRule="atLeast"/>
              <w:ind w:left="60" w:right="60"/>
              <w:jc w:val="right"/>
              <w:rPr>
                <w:rFonts w:ascii="Arial" w:hAnsi="Arial" w:cs="Arial"/>
                <w:sz w:val="18"/>
                <w:szCs w:val="18"/>
              </w:rPr>
            </w:pPr>
            <w:r w:rsidRPr="00385B6F">
              <w:rPr>
                <w:rFonts w:ascii="Arial" w:hAnsi="Arial" w:cs="Arial"/>
                <w:sz w:val="18"/>
                <w:szCs w:val="18"/>
              </w:rPr>
              <w:t>1288</w:t>
            </w:r>
          </w:p>
        </w:tc>
      </w:tr>
      <w:tr w:rsidR="00991CCA" w:rsidRPr="00385B6F" w14:paraId="52D85365" w14:textId="77777777" w:rsidTr="00AA1B82">
        <w:trPr>
          <w:cantSplit/>
        </w:trPr>
        <w:tc>
          <w:tcPr>
            <w:tcW w:w="1183" w:type="dxa"/>
            <w:tcBorders>
              <w:top w:val="nil"/>
              <w:left w:val="nil"/>
              <w:right w:val="nil"/>
            </w:tcBorders>
            <w:shd w:val="clear" w:color="auto" w:fill="FFFFFF"/>
          </w:tcPr>
          <w:p w14:paraId="320E0ED1" w14:textId="77777777" w:rsidR="00991CCA" w:rsidRPr="00385B6F" w:rsidRDefault="00991CCA" w:rsidP="00AA1B82">
            <w:pPr>
              <w:spacing w:line="320" w:lineRule="atLeast"/>
              <w:ind w:left="60" w:right="60"/>
              <w:rPr>
                <w:rFonts w:ascii="Arial" w:hAnsi="Arial" w:cs="Arial"/>
                <w:sz w:val="18"/>
                <w:szCs w:val="18"/>
              </w:rPr>
            </w:pPr>
            <w:r w:rsidRPr="00385B6F">
              <w:rPr>
                <w:rFonts w:ascii="Arial" w:hAnsi="Arial" w:cs="Arial"/>
                <w:sz w:val="18"/>
                <w:szCs w:val="18"/>
              </w:rPr>
              <w:t>Event</w:t>
            </w:r>
          </w:p>
        </w:tc>
        <w:tc>
          <w:tcPr>
            <w:tcW w:w="802" w:type="dxa"/>
            <w:tcBorders>
              <w:top w:val="nil"/>
              <w:left w:val="nil"/>
              <w:bottom w:val="single" w:sz="8" w:space="0" w:color="auto"/>
              <w:right w:val="nil"/>
            </w:tcBorders>
            <w:shd w:val="clear" w:color="auto" w:fill="FFFFFF"/>
          </w:tcPr>
          <w:p w14:paraId="605B3B78" w14:textId="77777777" w:rsidR="00991CCA" w:rsidRPr="00385B6F" w:rsidRDefault="00991CCA" w:rsidP="00AA1B82">
            <w:pPr>
              <w:spacing w:line="320" w:lineRule="atLeast"/>
              <w:ind w:left="60" w:right="60"/>
              <w:rPr>
                <w:rFonts w:ascii="Arial" w:hAnsi="Arial" w:cs="Arial"/>
                <w:sz w:val="18"/>
                <w:szCs w:val="18"/>
              </w:rPr>
            </w:pPr>
          </w:p>
        </w:tc>
        <w:tc>
          <w:tcPr>
            <w:tcW w:w="1134" w:type="dxa"/>
            <w:tcBorders>
              <w:top w:val="nil"/>
              <w:left w:val="nil"/>
              <w:bottom w:val="single" w:sz="8" w:space="0" w:color="auto"/>
              <w:right w:val="nil"/>
            </w:tcBorders>
            <w:shd w:val="clear" w:color="auto" w:fill="FFFFFF"/>
          </w:tcPr>
          <w:p w14:paraId="270558BD" w14:textId="77777777" w:rsidR="00991CCA" w:rsidRPr="00385B6F" w:rsidRDefault="00991CCA" w:rsidP="00AA1B82">
            <w:pPr>
              <w:spacing w:line="320" w:lineRule="atLeast"/>
              <w:ind w:left="60" w:right="60"/>
              <w:rPr>
                <w:rFonts w:ascii="Arial" w:hAnsi="Arial" w:cs="Arial"/>
                <w:sz w:val="18"/>
                <w:szCs w:val="18"/>
              </w:rPr>
            </w:pPr>
            <w:r w:rsidRPr="00385B6F">
              <w:rPr>
                <w:rFonts w:ascii="Arial" w:hAnsi="Arial" w:cs="Arial"/>
                <w:sz w:val="18"/>
                <w:szCs w:val="18"/>
              </w:rPr>
              <w:t>1059</w:t>
            </w:r>
          </w:p>
        </w:tc>
        <w:tc>
          <w:tcPr>
            <w:tcW w:w="2172" w:type="dxa"/>
            <w:tcBorders>
              <w:top w:val="nil"/>
              <w:left w:val="nil"/>
              <w:bottom w:val="single" w:sz="8" w:space="0" w:color="auto"/>
              <w:right w:val="nil"/>
            </w:tcBorders>
            <w:shd w:val="clear" w:color="auto" w:fill="FFFFFF"/>
          </w:tcPr>
          <w:p w14:paraId="132A24F4" w14:textId="77777777" w:rsidR="00991CCA" w:rsidRPr="00385B6F" w:rsidRDefault="00991CCA" w:rsidP="00AA1B82">
            <w:pPr>
              <w:spacing w:line="320" w:lineRule="atLeast"/>
              <w:ind w:left="60" w:right="60"/>
              <w:jc w:val="right"/>
              <w:rPr>
                <w:rFonts w:ascii="Arial" w:hAnsi="Arial" w:cs="Arial"/>
                <w:sz w:val="18"/>
                <w:szCs w:val="18"/>
              </w:rPr>
            </w:pPr>
            <w:r w:rsidRPr="00385B6F">
              <w:rPr>
                <w:rFonts w:ascii="Arial" w:hAnsi="Arial" w:cs="Arial"/>
                <w:sz w:val="18"/>
                <w:szCs w:val="18"/>
              </w:rPr>
              <w:t>9711</w:t>
            </w:r>
          </w:p>
        </w:tc>
      </w:tr>
    </w:tbl>
    <w:p w14:paraId="500430B8" w14:textId="77777777" w:rsidR="00991CCA" w:rsidRPr="007C5ACB" w:rsidRDefault="00991CCA" w:rsidP="00991CCA">
      <w:pPr>
        <w:contextualSpacing/>
        <w:rPr>
          <w:rFonts w:ascii="Times New Roman" w:hAnsi="Times New Roman" w:cs="Times New Roman"/>
          <w:sz w:val="24"/>
          <w:szCs w:val="24"/>
        </w:rPr>
      </w:pPr>
    </w:p>
    <w:p w14:paraId="38DDB24E" w14:textId="77777777" w:rsidR="00991CCA" w:rsidRDefault="00991CCA" w:rsidP="00C73CA4">
      <w:pPr>
        <w:spacing w:before="240" w:after="0" w:line="360" w:lineRule="auto"/>
        <w:contextualSpacing/>
        <w:rPr>
          <w:rFonts w:ascii="Times New Roman" w:hAnsi="Times New Roman" w:cs="Times New Roman"/>
          <w:sz w:val="24"/>
          <w:szCs w:val="24"/>
        </w:rPr>
      </w:pPr>
    </w:p>
    <w:sectPr w:rsidR="00991CCA" w:rsidSect="00C73CA4">
      <w:endnotePr>
        <w:numFmt w:val="decimal"/>
      </w:endnotePr>
      <w:pgSz w:w="11906" w:h="16838"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8DB2F2" w14:textId="77777777" w:rsidR="00875A1F" w:rsidRDefault="00875A1F" w:rsidP="00511914">
      <w:pPr>
        <w:spacing w:after="0" w:line="240" w:lineRule="auto"/>
      </w:pPr>
      <w:r>
        <w:separator/>
      </w:r>
    </w:p>
  </w:endnote>
  <w:endnote w:type="continuationSeparator" w:id="0">
    <w:p w14:paraId="278D24B9" w14:textId="77777777" w:rsidR="00875A1F" w:rsidRDefault="00875A1F" w:rsidP="005119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AdvGulliv-R">
    <w:altName w:val="Calibri"/>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CE06854" w14:textId="77777777" w:rsidR="00875A1F" w:rsidRDefault="00875A1F" w:rsidP="00511914">
      <w:pPr>
        <w:spacing w:after="0" w:line="240" w:lineRule="auto"/>
      </w:pPr>
      <w:r>
        <w:separator/>
      </w:r>
    </w:p>
  </w:footnote>
  <w:footnote w:type="continuationSeparator" w:id="0">
    <w:p w14:paraId="25EFC669" w14:textId="77777777" w:rsidR="00875A1F" w:rsidRDefault="00875A1F" w:rsidP="00511914">
      <w:pPr>
        <w:spacing w:after="0" w:line="240" w:lineRule="auto"/>
      </w:pPr>
      <w:r>
        <w:continuationSeparator/>
      </w:r>
    </w:p>
  </w:footnote>
  <w:footnote w:id="1">
    <w:p w14:paraId="7006B971" w14:textId="77777777" w:rsidR="00991CCA" w:rsidRPr="00EE6153" w:rsidRDefault="00991CCA" w:rsidP="00991CCA">
      <w:pPr>
        <w:pStyle w:val="FootnoteText"/>
        <w:contextualSpacing/>
        <w:rPr>
          <w:rFonts w:cstheme="minorHAnsi"/>
          <w:lang w:val="en-US"/>
        </w:rPr>
      </w:pPr>
      <w:r w:rsidRPr="00EE6153">
        <w:rPr>
          <w:rStyle w:val="FootnoteReference"/>
          <w:rFonts w:cstheme="minorHAnsi"/>
        </w:rPr>
        <w:footnoteRef/>
      </w:r>
      <w:r w:rsidRPr="00EE6153">
        <w:rPr>
          <w:rFonts w:cstheme="minorHAnsi"/>
          <w:lang w:val="en-US"/>
        </w:rPr>
        <w:t xml:space="preserve"> As international bibliographies are biased towards English sources, Yitzhaki (1998) suggests a correction: the estimated proportion of works in other languages is multiplied by 2. In 1999, Bookstein </w:t>
      </w:r>
      <w:r>
        <w:rPr>
          <w:rFonts w:cstheme="minorHAnsi"/>
          <w:lang w:val="en-US"/>
        </w:rPr>
        <w:t>and</w:t>
      </w:r>
      <w:r w:rsidRPr="00EE6153">
        <w:rPr>
          <w:rFonts w:cstheme="minorHAnsi"/>
          <w:lang w:val="en-US"/>
        </w:rPr>
        <w:t xml:space="preserve"> Yitzhaki propose yet another more complex correction. We refer to the latter article for more information on the subject.</w:t>
      </w:r>
    </w:p>
  </w:footnote>
  <w:footnote w:id="2">
    <w:p w14:paraId="4D051BB6" w14:textId="77777777" w:rsidR="00991CCA" w:rsidRPr="00082C06" w:rsidRDefault="00991CCA" w:rsidP="00991CCA">
      <w:pPr>
        <w:pStyle w:val="FootnoteText"/>
        <w:rPr>
          <w:lang w:val="en-US"/>
        </w:rPr>
      </w:pPr>
      <w:r>
        <w:rPr>
          <w:rStyle w:val="FootnoteReference"/>
        </w:rPr>
        <w:footnoteRef/>
      </w:r>
      <w:r>
        <w:t xml:space="preserve"> </w:t>
      </w:r>
      <w:r w:rsidRPr="00082C06">
        <w:rPr>
          <w:lang w:val="en-US"/>
        </w:rPr>
        <w:t>As noted by Lillis &amp; Curry (2010, p. 7), the term 'international' is ambivalent. In this context, 'international' is often used to refer to Anglophone-centre-based publications.</w:t>
      </w:r>
    </w:p>
  </w:footnote>
  <w:footnote w:id="3">
    <w:p w14:paraId="5804F21A" w14:textId="77777777" w:rsidR="00991CCA" w:rsidRPr="00082C06" w:rsidRDefault="00991CCA" w:rsidP="00991CCA">
      <w:pPr>
        <w:pStyle w:val="FootnoteText"/>
        <w:rPr>
          <w:lang w:val="en-US"/>
        </w:rPr>
      </w:pPr>
      <w:r>
        <w:rPr>
          <w:rStyle w:val="FootnoteReference"/>
        </w:rPr>
        <w:footnoteRef/>
      </w:r>
      <w:r>
        <w:t xml:space="preserve"> </w:t>
      </w:r>
      <w:r w:rsidRPr="00082C06">
        <w:rPr>
          <w:lang w:val="en-US"/>
        </w:rPr>
        <w:t>Here, the expression 'international topics' refers to topics in which more than one national or linguistic context is studied.</w:t>
      </w:r>
    </w:p>
  </w:footnote>
  <w:footnote w:id="4">
    <w:p w14:paraId="50C8B93E" w14:textId="77777777" w:rsidR="00991CCA" w:rsidRPr="00287DC2" w:rsidRDefault="00991CCA" w:rsidP="00991CCA">
      <w:pPr>
        <w:pStyle w:val="FootnoteText"/>
        <w:rPr>
          <w:lang w:val="en-US"/>
        </w:rPr>
      </w:pPr>
      <w:r>
        <w:rPr>
          <w:rStyle w:val="FootnoteReference"/>
        </w:rPr>
        <w:footnoteRef/>
      </w:r>
      <w:r>
        <w:t xml:space="preserve"> The data will be available on IRIS when the article is published. </w:t>
      </w:r>
    </w:p>
  </w:footnote>
  <w:footnote w:id="5">
    <w:p w14:paraId="3F776BA5" w14:textId="77777777" w:rsidR="00991CCA" w:rsidRPr="00287DC2" w:rsidRDefault="00991CCA" w:rsidP="00991CCA">
      <w:pPr>
        <w:pStyle w:val="FootnoteText"/>
        <w:rPr>
          <w:lang w:val="en-US"/>
        </w:rPr>
      </w:pPr>
      <w:r>
        <w:rPr>
          <w:rStyle w:val="FootnoteReference"/>
        </w:rPr>
        <w:footnoteRef/>
      </w:r>
      <w:r>
        <w:t xml:space="preserve"> In this table, 'Event' stands for English-medium source and 'Non-Event' for a source in another language.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FFD8892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3E8EA1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F4EE7D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A1D2844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D8A507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04A2030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8B0604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FAAFFC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B186D93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7354C5D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F4E1AED"/>
    <w:multiLevelType w:val="hybridMultilevel"/>
    <w:tmpl w:val="5A389BD4"/>
    <w:lvl w:ilvl="0" w:tplc="B5B69B80">
      <w:start w:val="1"/>
      <w:numFmt w:val="bullet"/>
      <w:lvlText w:val="•"/>
      <w:lvlJc w:val="left"/>
      <w:pPr>
        <w:tabs>
          <w:tab w:val="num" w:pos="720"/>
        </w:tabs>
        <w:ind w:left="720" w:hanging="360"/>
      </w:pPr>
      <w:rPr>
        <w:rFonts w:ascii="Arial" w:hAnsi="Arial" w:hint="default"/>
      </w:rPr>
    </w:lvl>
    <w:lvl w:ilvl="1" w:tplc="06CCFA6A" w:tentative="1">
      <w:start w:val="1"/>
      <w:numFmt w:val="bullet"/>
      <w:lvlText w:val="•"/>
      <w:lvlJc w:val="left"/>
      <w:pPr>
        <w:tabs>
          <w:tab w:val="num" w:pos="1440"/>
        </w:tabs>
        <w:ind w:left="1440" w:hanging="360"/>
      </w:pPr>
      <w:rPr>
        <w:rFonts w:ascii="Arial" w:hAnsi="Arial" w:hint="default"/>
      </w:rPr>
    </w:lvl>
    <w:lvl w:ilvl="2" w:tplc="42620086" w:tentative="1">
      <w:start w:val="1"/>
      <w:numFmt w:val="bullet"/>
      <w:lvlText w:val="•"/>
      <w:lvlJc w:val="left"/>
      <w:pPr>
        <w:tabs>
          <w:tab w:val="num" w:pos="2160"/>
        </w:tabs>
        <w:ind w:left="2160" w:hanging="360"/>
      </w:pPr>
      <w:rPr>
        <w:rFonts w:ascii="Arial" w:hAnsi="Arial" w:hint="default"/>
      </w:rPr>
    </w:lvl>
    <w:lvl w:ilvl="3" w:tplc="897CF390" w:tentative="1">
      <w:start w:val="1"/>
      <w:numFmt w:val="bullet"/>
      <w:lvlText w:val="•"/>
      <w:lvlJc w:val="left"/>
      <w:pPr>
        <w:tabs>
          <w:tab w:val="num" w:pos="2880"/>
        </w:tabs>
        <w:ind w:left="2880" w:hanging="360"/>
      </w:pPr>
      <w:rPr>
        <w:rFonts w:ascii="Arial" w:hAnsi="Arial" w:hint="default"/>
      </w:rPr>
    </w:lvl>
    <w:lvl w:ilvl="4" w:tplc="6AA254FE" w:tentative="1">
      <w:start w:val="1"/>
      <w:numFmt w:val="bullet"/>
      <w:lvlText w:val="•"/>
      <w:lvlJc w:val="left"/>
      <w:pPr>
        <w:tabs>
          <w:tab w:val="num" w:pos="3600"/>
        </w:tabs>
        <w:ind w:left="3600" w:hanging="360"/>
      </w:pPr>
      <w:rPr>
        <w:rFonts w:ascii="Arial" w:hAnsi="Arial" w:hint="default"/>
      </w:rPr>
    </w:lvl>
    <w:lvl w:ilvl="5" w:tplc="25580B3E" w:tentative="1">
      <w:start w:val="1"/>
      <w:numFmt w:val="bullet"/>
      <w:lvlText w:val="•"/>
      <w:lvlJc w:val="left"/>
      <w:pPr>
        <w:tabs>
          <w:tab w:val="num" w:pos="4320"/>
        </w:tabs>
        <w:ind w:left="4320" w:hanging="360"/>
      </w:pPr>
      <w:rPr>
        <w:rFonts w:ascii="Arial" w:hAnsi="Arial" w:hint="default"/>
      </w:rPr>
    </w:lvl>
    <w:lvl w:ilvl="6" w:tplc="855C79BA" w:tentative="1">
      <w:start w:val="1"/>
      <w:numFmt w:val="bullet"/>
      <w:lvlText w:val="•"/>
      <w:lvlJc w:val="left"/>
      <w:pPr>
        <w:tabs>
          <w:tab w:val="num" w:pos="5040"/>
        </w:tabs>
        <w:ind w:left="5040" w:hanging="360"/>
      </w:pPr>
      <w:rPr>
        <w:rFonts w:ascii="Arial" w:hAnsi="Arial" w:hint="default"/>
      </w:rPr>
    </w:lvl>
    <w:lvl w:ilvl="7" w:tplc="3EDE2A20" w:tentative="1">
      <w:start w:val="1"/>
      <w:numFmt w:val="bullet"/>
      <w:lvlText w:val="•"/>
      <w:lvlJc w:val="left"/>
      <w:pPr>
        <w:tabs>
          <w:tab w:val="num" w:pos="5760"/>
        </w:tabs>
        <w:ind w:left="5760" w:hanging="360"/>
      </w:pPr>
      <w:rPr>
        <w:rFonts w:ascii="Arial" w:hAnsi="Arial" w:hint="default"/>
      </w:rPr>
    </w:lvl>
    <w:lvl w:ilvl="8" w:tplc="8B409010"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33EA623A"/>
    <w:multiLevelType w:val="hybridMultilevel"/>
    <w:tmpl w:val="7154313C"/>
    <w:lvl w:ilvl="0" w:tplc="894CB53A">
      <w:start w:val="1"/>
      <w:numFmt w:val="bullet"/>
      <w:lvlText w:val="•"/>
      <w:lvlJc w:val="left"/>
      <w:pPr>
        <w:tabs>
          <w:tab w:val="num" w:pos="720"/>
        </w:tabs>
        <w:ind w:left="720" w:hanging="360"/>
      </w:pPr>
      <w:rPr>
        <w:rFonts w:ascii="Arial" w:hAnsi="Arial" w:hint="default"/>
      </w:rPr>
    </w:lvl>
    <w:lvl w:ilvl="1" w:tplc="0ED437F6" w:tentative="1">
      <w:start w:val="1"/>
      <w:numFmt w:val="bullet"/>
      <w:lvlText w:val="•"/>
      <w:lvlJc w:val="left"/>
      <w:pPr>
        <w:tabs>
          <w:tab w:val="num" w:pos="1440"/>
        </w:tabs>
        <w:ind w:left="1440" w:hanging="360"/>
      </w:pPr>
      <w:rPr>
        <w:rFonts w:ascii="Arial" w:hAnsi="Arial" w:hint="default"/>
      </w:rPr>
    </w:lvl>
    <w:lvl w:ilvl="2" w:tplc="6780FC92" w:tentative="1">
      <w:start w:val="1"/>
      <w:numFmt w:val="bullet"/>
      <w:lvlText w:val="•"/>
      <w:lvlJc w:val="left"/>
      <w:pPr>
        <w:tabs>
          <w:tab w:val="num" w:pos="2160"/>
        </w:tabs>
        <w:ind w:left="2160" w:hanging="360"/>
      </w:pPr>
      <w:rPr>
        <w:rFonts w:ascii="Arial" w:hAnsi="Arial" w:hint="default"/>
      </w:rPr>
    </w:lvl>
    <w:lvl w:ilvl="3" w:tplc="358E010E" w:tentative="1">
      <w:start w:val="1"/>
      <w:numFmt w:val="bullet"/>
      <w:lvlText w:val="•"/>
      <w:lvlJc w:val="left"/>
      <w:pPr>
        <w:tabs>
          <w:tab w:val="num" w:pos="2880"/>
        </w:tabs>
        <w:ind w:left="2880" w:hanging="360"/>
      </w:pPr>
      <w:rPr>
        <w:rFonts w:ascii="Arial" w:hAnsi="Arial" w:hint="default"/>
      </w:rPr>
    </w:lvl>
    <w:lvl w:ilvl="4" w:tplc="E51A9970" w:tentative="1">
      <w:start w:val="1"/>
      <w:numFmt w:val="bullet"/>
      <w:lvlText w:val="•"/>
      <w:lvlJc w:val="left"/>
      <w:pPr>
        <w:tabs>
          <w:tab w:val="num" w:pos="3600"/>
        </w:tabs>
        <w:ind w:left="3600" w:hanging="360"/>
      </w:pPr>
      <w:rPr>
        <w:rFonts w:ascii="Arial" w:hAnsi="Arial" w:hint="default"/>
      </w:rPr>
    </w:lvl>
    <w:lvl w:ilvl="5" w:tplc="C44AD328" w:tentative="1">
      <w:start w:val="1"/>
      <w:numFmt w:val="bullet"/>
      <w:lvlText w:val="•"/>
      <w:lvlJc w:val="left"/>
      <w:pPr>
        <w:tabs>
          <w:tab w:val="num" w:pos="4320"/>
        </w:tabs>
        <w:ind w:left="4320" w:hanging="360"/>
      </w:pPr>
      <w:rPr>
        <w:rFonts w:ascii="Arial" w:hAnsi="Arial" w:hint="default"/>
      </w:rPr>
    </w:lvl>
    <w:lvl w:ilvl="6" w:tplc="6498A8A0" w:tentative="1">
      <w:start w:val="1"/>
      <w:numFmt w:val="bullet"/>
      <w:lvlText w:val="•"/>
      <w:lvlJc w:val="left"/>
      <w:pPr>
        <w:tabs>
          <w:tab w:val="num" w:pos="5040"/>
        </w:tabs>
        <w:ind w:left="5040" w:hanging="360"/>
      </w:pPr>
      <w:rPr>
        <w:rFonts w:ascii="Arial" w:hAnsi="Arial" w:hint="default"/>
      </w:rPr>
    </w:lvl>
    <w:lvl w:ilvl="7" w:tplc="8304CAE0" w:tentative="1">
      <w:start w:val="1"/>
      <w:numFmt w:val="bullet"/>
      <w:lvlText w:val="•"/>
      <w:lvlJc w:val="left"/>
      <w:pPr>
        <w:tabs>
          <w:tab w:val="num" w:pos="5760"/>
        </w:tabs>
        <w:ind w:left="5760" w:hanging="360"/>
      </w:pPr>
      <w:rPr>
        <w:rFonts w:ascii="Arial" w:hAnsi="Arial" w:hint="default"/>
      </w:rPr>
    </w:lvl>
    <w:lvl w:ilvl="8" w:tplc="6EBED8D0"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10"/>
  </w:num>
  <w:num w:numId="3">
    <w:abstractNumId w:val="12"/>
  </w:num>
  <w:num w:numId="4">
    <w:abstractNumId w:val="13"/>
  </w:num>
  <w:num w:numId="5">
    <w:abstractNumId w:val="9"/>
  </w:num>
  <w:num w:numId="6">
    <w:abstractNumId w:val="7"/>
  </w:num>
  <w:num w:numId="7">
    <w:abstractNumId w:val="6"/>
  </w:num>
  <w:num w:numId="8">
    <w:abstractNumId w:val="5"/>
  </w:num>
  <w:num w:numId="9">
    <w:abstractNumId w:val="4"/>
  </w:num>
  <w:num w:numId="10">
    <w:abstractNumId w:val="8"/>
  </w:num>
  <w:num w:numId="11">
    <w:abstractNumId w:val="3"/>
  </w:num>
  <w:num w:numId="12">
    <w:abstractNumId w:val="2"/>
  </w:num>
  <w:num w:numId="13">
    <w:abstractNumId w:val="1"/>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1724" w:allStyles="0" w:customStyles="0" w:latentStyles="1" w:stylesInUse="0" w:headingStyles="1" w:numberingStyles="0" w:tableStyles="0" w:directFormattingOnRuns="1" w:directFormattingOnParagraphs="1" w:directFormattingOnNumbering="1" w:directFormattingOnTables="0" w:clearFormatting="1" w:top3HeadingStyles="0" w:visibleStyles="0" w:alternateStyleNames="0"/>
  <w:defaultTabStop w:val="708"/>
  <w:hyphenationZone w:val="425"/>
  <w:characterSpacingControl w:val="doNotCompress"/>
  <w:footnotePr>
    <w:footnote w:id="-1"/>
    <w:footnote w:id="0"/>
  </w:footnotePr>
  <w:endnotePr>
    <w:pos w:val="sectEnd"/>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4DB2"/>
    <w:rsid w:val="00017B72"/>
    <w:rsid w:val="000265A4"/>
    <w:rsid w:val="00027962"/>
    <w:rsid w:val="00031044"/>
    <w:rsid w:val="00037188"/>
    <w:rsid w:val="00074B02"/>
    <w:rsid w:val="000752D4"/>
    <w:rsid w:val="00082D7F"/>
    <w:rsid w:val="000958F3"/>
    <w:rsid w:val="000977F5"/>
    <w:rsid w:val="000A4CEA"/>
    <w:rsid w:val="000A52B4"/>
    <w:rsid w:val="000B49F5"/>
    <w:rsid w:val="000C2434"/>
    <w:rsid w:val="000C29FE"/>
    <w:rsid w:val="000C2D71"/>
    <w:rsid w:val="000E2E75"/>
    <w:rsid w:val="000E6608"/>
    <w:rsid w:val="00100640"/>
    <w:rsid w:val="001020AF"/>
    <w:rsid w:val="0011055C"/>
    <w:rsid w:val="00117FA9"/>
    <w:rsid w:val="00126CC3"/>
    <w:rsid w:val="0013647B"/>
    <w:rsid w:val="001500F0"/>
    <w:rsid w:val="00156647"/>
    <w:rsid w:val="00165ECD"/>
    <w:rsid w:val="00170D98"/>
    <w:rsid w:val="00176307"/>
    <w:rsid w:val="0018409D"/>
    <w:rsid w:val="001A77F9"/>
    <w:rsid w:val="001B457A"/>
    <w:rsid w:val="001B5E64"/>
    <w:rsid w:val="001B60A3"/>
    <w:rsid w:val="001B763C"/>
    <w:rsid w:val="001C1D1F"/>
    <w:rsid w:val="001C5006"/>
    <w:rsid w:val="001C62E3"/>
    <w:rsid w:val="001D4363"/>
    <w:rsid w:val="001D651F"/>
    <w:rsid w:val="001E0E13"/>
    <w:rsid w:val="001E29BD"/>
    <w:rsid w:val="001E3F19"/>
    <w:rsid w:val="002068D1"/>
    <w:rsid w:val="00210DA5"/>
    <w:rsid w:val="00227D9D"/>
    <w:rsid w:val="00230095"/>
    <w:rsid w:val="00231126"/>
    <w:rsid w:val="0023548C"/>
    <w:rsid w:val="002548FB"/>
    <w:rsid w:val="00260106"/>
    <w:rsid w:val="00273030"/>
    <w:rsid w:val="002764F4"/>
    <w:rsid w:val="002775C8"/>
    <w:rsid w:val="0029456B"/>
    <w:rsid w:val="002A6320"/>
    <w:rsid w:val="002B6355"/>
    <w:rsid w:val="002C22B2"/>
    <w:rsid w:val="002C28AA"/>
    <w:rsid w:val="002C2E35"/>
    <w:rsid w:val="002C50E3"/>
    <w:rsid w:val="002D11E1"/>
    <w:rsid w:val="002E2C8E"/>
    <w:rsid w:val="002E6BF6"/>
    <w:rsid w:val="002E7C6D"/>
    <w:rsid w:val="002F758E"/>
    <w:rsid w:val="0030178D"/>
    <w:rsid w:val="00301BFB"/>
    <w:rsid w:val="00302E8A"/>
    <w:rsid w:val="00316122"/>
    <w:rsid w:val="003414B2"/>
    <w:rsid w:val="00344F52"/>
    <w:rsid w:val="00350077"/>
    <w:rsid w:val="00350A9A"/>
    <w:rsid w:val="00355C60"/>
    <w:rsid w:val="003628C7"/>
    <w:rsid w:val="003638C2"/>
    <w:rsid w:val="0036442F"/>
    <w:rsid w:val="00371E78"/>
    <w:rsid w:val="00385B6F"/>
    <w:rsid w:val="003876B2"/>
    <w:rsid w:val="00390D57"/>
    <w:rsid w:val="003955D5"/>
    <w:rsid w:val="003A4234"/>
    <w:rsid w:val="003B0F66"/>
    <w:rsid w:val="003B43DF"/>
    <w:rsid w:val="003B5928"/>
    <w:rsid w:val="003D0D25"/>
    <w:rsid w:val="003D62F7"/>
    <w:rsid w:val="003D6958"/>
    <w:rsid w:val="003F18E0"/>
    <w:rsid w:val="003F195D"/>
    <w:rsid w:val="003F706F"/>
    <w:rsid w:val="00404AA9"/>
    <w:rsid w:val="00405673"/>
    <w:rsid w:val="004157BB"/>
    <w:rsid w:val="0044185C"/>
    <w:rsid w:val="0044751B"/>
    <w:rsid w:val="00453401"/>
    <w:rsid w:val="0045491F"/>
    <w:rsid w:val="00462756"/>
    <w:rsid w:val="00470744"/>
    <w:rsid w:val="00471015"/>
    <w:rsid w:val="00471D06"/>
    <w:rsid w:val="0047774E"/>
    <w:rsid w:val="00485A6C"/>
    <w:rsid w:val="00486B2B"/>
    <w:rsid w:val="0049228B"/>
    <w:rsid w:val="004A15C9"/>
    <w:rsid w:val="004A4A73"/>
    <w:rsid w:val="004B6116"/>
    <w:rsid w:val="004C6CE3"/>
    <w:rsid w:val="004D4A91"/>
    <w:rsid w:val="004D6AF5"/>
    <w:rsid w:val="004D71A1"/>
    <w:rsid w:val="004E41C0"/>
    <w:rsid w:val="004F0C25"/>
    <w:rsid w:val="004F3894"/>
    <w:rsid w:val="00502547"/>
    <w:rsid w:val="005037A5"/>
    <w:rsid w:val="00511914"/>
    <w:rsid w:val="0051433A"/>
    <w:rsid w:val="005348E1"/>
    <w:rsid w:val="0054261D"/>
    <w:rsid w:val="00542942"/>
    <w:rsid w:val="00553DBD"/>
    <w:rsid w:val="00554AFF"/>
    <w:rsid w:val="0056569D"/>
    <w:rsid w:val="005667D8"/>
    <w:rsid w:val="00573C08"/>
    <w:rsid w:val="00584EF7"/>
    <w:rsid w:val="005A5095"/>
    <w:rsid w:val="005A5A69"/>
    <w:rsid w:val="005C1499"/>
    <w:rsid w:val="005C57C3"/>
    <w:rsid w:val="005D0970"/>
    <w:rsid w:val="005D1E85"/>
    <w:rsid w:val="005D46F5"/>
    <w:rsid w:val="005D5912"/>
    <w:rsid w:val="005E19CD"/>
    <w:rsid w:val="005E7DAC"/>
    <w:rsid w:val="006024CF"/>
    <w:rsid w:val="006150FD"/>
    <w:rsid w:val="0061602A"/>
    <w:rsid w:val="00623B33"/>
    <w:rsid w:val="006330BF"/>
    <w:rsid w:val="00637617"/>
    <w:rsid w:val="0064077A"/>
    <w:rsid w:val="006440BA"/>
    <w:rsid w:val="00647757"/>
    <w:rsid w:val="006478F2"/>
    <w:rsid w:val="00654C62"/>
    <w:rsid w:val="0065649B"/>
    <w:rsid w:val="00663C4E"/>
    <w:rsid w:val="006756EE"/>
    <w:rsid w:val="00692ABC"/>
    <w:rsid w:val="006A2999"/>
    <w:rsid w:val="006B5BA7"/>
    <w:rsid w:val="006C36E5"/>
    <w:rsid w:val="006C7E1F"/>
    <w:rsid w:val="006E1DDD"/>
    <w:rsid w:val="006E3F3B"/>
    <w:rsid w:val="006E6522"/>
    <w:rsid w:val="006F1170"/>
    <w:rsid w:val="006F497D"/>
    <w:rsid w:val="006F7BFF"/>
    <w:rsid w:val="0070582A"/>
    <w:rsid w:val="007101C8"/>
    <w:rsid w:val="007166A7"/>
    <w:rsid w:val="00723D9F"/>
    <w:rsid w:val="00724029"/>
    <w:rsid w:val="007264D4"/>
    <w:rsid w:val="00731BC7"/>
    <w:rsid w:val="007371FF"/>
    <w:rsid w:val="007535B6"/>
    <w:rsid w:val="0075470D"/>
    <w:rsid w:val="00763980"/>
    <w:rsid w:val="00774216"/>
    <w:rsid w:val="0078760B"/>
    <w:rsid w:val="007961A5"/>
    <w:rsid w:val="00797034"/>
    <w:rsid w:val="007A51AE"/>
    <w:rsid w:val="007A6245"/>
    <w:rsid w:val="007B1018"/>
    <w:rsid w:val="007C1DCA"/>
    <w:rsid w:val="007C523D"/>
    <w:rsid w:val="007C5ACB"/>
    <w:rsid w:val="007E7214"/>
    <w:rsid w:val="007F5A12"/>
    <w:rsid w:val="00802864"/>
    <w:rsid w:val="00817E89"/>
    <w:rsid w:val="00820EAE"/>
    <w:rsid w:val="00821811"/>
    <w:rsid w:val="00823E33"/>
    <w:rsid w:val="008311ED"/>
    <w:rsid w:val="00835F3E"/>
    <w:rsid w:val="008436FB"/>
    <w:rsid w:val="0085243B"/>
    <w:rsid w:val="00862CAD"/>
    <w:rsid w:val="00875A1F"/>
    <w:rsid w:val="008C264D"/>
    <w:rsid w:val="008D464E"/>
    <w:rsid w:val="008D60F5"/>
    <w:rsid w:val="008E15DE"/>
    <w:rsid w:val="008E4DFC"/>
    <w:rsid w:val="008E6671"/>
    <w:rsid w:val="008F4675"/>
    <w:rsid w:val="008F5312"/>
    <w:rsid w:val="008F5656"/>
    <w:rsid w:val="008F6F6D"/>
    <w:rsid w:val="008F72AF"/>
    <w:rsid w:val="008F72FE"/>
    <w:rsid w:val="00922EDD"/>
    <w:rsid w:val="00925648"/>
    <w:rsid w:val="00946657"/>
    <w:rsid w:val="00952E7B"/>
    <w:rsid w:val="00954A42"/>
    <w:rsid w:val="00955DB8"/>
    <w:rsid w:val="009603BA"/>
    <w:rsid w:val="00960A3F"/>
    <w:rsid w:val="00961EAE"/>
    <w:rsid w:val="0096203A"/>
    <w:rsid w:val="00962F56"/>
    <w:rsid w:val="00972F1D"/>
    <w:rsid w:val="00973666"/>
    <w:rsid w:val="009771B9"/>
    <w:rsid w:val="009831DE"/>
    <w:rsid w:val="00983963"/>
    <w:rsid w:val="00991CCA"/>
    <w:rsid w:val="00992C33"/>
    <w:rsid w:val="009933DE"/>
    <w:rsid w:val="009B02C6"/>
    <w:rsid w:val="009B2C37"/>
    <w:rsid w:val="009C440E"/>
    <w:rsid w:val="009D1CC1"/>
    <w:rsid w:val="00A004B7"/>
    <w:rsid w:val="00A00BB0"/>
    <w:rsid w:val="00A024F4"/>
    <w:rsid w:val="00A03055"/>
    <w:rsid w:val="00A13C0D"/>
    <w:rsid w:val="00A330DB"/>
    <w:rsid w:val="00A341F6"/>
    <w:rsid w:val="00A54DB2"/>
    <w:rsid w:val="00A60F6A"/>
    <w:rsid w:val="00A61497"/>
    <w:rsid w:val="00A6236A"/>
    <w:rsid w:val="00A63B8F"/>
    <w:rsid w:val="00A6638D"/>
    <w:rsid w:val="00A71442"/>
    <w:rsid w:val="00A72C55"/>
    <w:rsid w:val="00A75741"/>
    <w:rsid w:val="00A8459A"/>
    <w:rsid w:val="00A8517B"/>
    <w:rsid w:val="00A86EB1"/>
    <w:rsid w:val="00A90535"/>
    <w:rsid w:val="00A90912"/>
    <w:rsid w:val="00A90A35"/>
    <w:rsid w:val="00A90ECB"/>
    <w:rsid w:val="00A919D8"/>
    <w:rsid w:val="00A94448"/>
    <w:rsid w:val="00AA0E78"/>
    <w:rsid w:val="00AA3A23"/>
    <w:rsid w:val="00AB1F88"/>
    <w:rsid w:val="00AB7395"/>
    <w:rsid w:val="00AC109A"/>
    <w:rsid w:val="00AC3313"/>
    <w:rsid w:val="00AC3728"/>
    <w:rsid w:val="00AD1F70"/>
    <w:rsid w:val="00AE38FF"/>
    <w:rsid w:val="00AE653C"/>
    <w:rsid w:val="00AF11BB"/>
    <w:rsid w:val="00AF1F13"/>
    <w:rsid w:val="00B0044D"/>
    <w:rsid w:val="00B009B9"/>
    <w:rsid w:val="00B0403A"/>
    <w:rsid w:val="00B41A14"/>
    <w:rsid w:val="00B4570B"/>
    <w:rsid w:val="00B671DB"/>
    <w:rsid w:val="00B76804"/>
    <w:rsid w:val="00B80625"/>
    <w:rsid w:val="00B93BDA"/>
    <w:rsid w:val="00B960DE"/>
    <w:rsid w:val="00BA6051"/>
    <w:rsid w:val="00BB2666"/>
    <w:rsid w:val="00BB5B5C"/>
    <w:rsid w:val="00BC5B84"/>
    <w:rsid w:val="00BE05B6"/>
    <w:rsid w:val="00BF2ED6"/>
    <w:rsid w:val="00C01508"/>
    <w:rsid w:val="00C0325E"/>
    <w:rsid w:val="00C1033B"/>
    <w:rsid w:val="00C14124"/>
    <w:rsid w:val="00C159EC"/>
    <w:rsid w:val="00C27749"/>
    <w:rsid w:val="00C27E51"/>
    <w:rsid w:val="00C3100F"/>
    <w:rsid w:val="00C55F53"/>
    <w:rsid w:val="00C62C81"/>
    <w:rsid w:val="00C73593"/>
    <w:rsid w:val="00C73CA4"/>
    <w:rsid w:val="00C83445"/>
    <w:rsid w:val="00C913D8"/>
    <w:rsid w:val="00C92156"/>
    <w:rsid w:val="00C92245"/>
    <w:rsid w:val="00CB62DF"/>
    <w:rsid w:val="00CC033B"/>
    <w:rsid w:val="00CC4A50"/>
    <w:rsid w:val="00CC7436"/>
    <w:rsid w:val="00CC7575"/>
    <w:rsid w:val="00CD0E93"/>
    <w:rsid w:val="00CD3705"/>
    <w:rsid w:val="00CD767B"/>
    <w:rsid w:val="00CE732A"/>
    <w:rsid w:val="00D016F3"/>
    <w:rsid w:val="00D02A47"/>
    <w:rsid w:val="00D12E7D"/>
    <w:rsid w:val="00D14AF6"/>
    <w:rsid w:val="00D155AB"/>
    <w:rsid w:val="00D21264"/>
    <w:rsid w:val="00D24C7C"/>
    <w:rsid w:val="00D3149F"/>
    <w:rsid w:val="00D43263"/>
    <w:rsid w:val="00D43C35"/>
    <w:rsid w:val="00D4664B"/>
    <w:rsid w:val="00D55AB8"/>
    <w:rsid w:val="00D5611D"/>
    <w:rsid w:val="00D76CFA"/>
    <w:rsid w:val="00D83A47"/>
    <w:rsid w:val="00DA16E7"/>
    <w:rsid w:val="00DB4DCC"/>
    <w:rsid w:val="00DB5296"/>
    <w:rsid w:val="00DB5ABA"/>
    <w:rsid w:val="00DC178E"/>
    <w:rsid w:val="00DC7029"/>
    <w:rsid w:val="00DD3CAF"/>
    <w:rsid w:val="00DD6BD3"/>
    <w:rsid w:val="00DE37ED"/>
    <w:rsid w:val="00DE40D0"/>
    <w:rsid w:val="00E05CE2"/>
    <w:rsid w:val="00E12BFE"/>
    <w:rsid w:val="00E1336C"/>
    <w:rsid w:val="00E21F1A"/>
    <w:rsid w:val="00E25E6C"/>
    <w:rsid w:val="00E2622D"/>
    <w:rsid w:val="00E457D0"/>
    <w:rsid w:val="00E534FC"/>
    <w:rsid w:val="00E60CC6"/>
    <w:rsid w:val="00E61EA3"/>
    <w:rsid w:val="00E6575E"/>
    <w:rsid w:val="00E677D6"/>
    <w:rsid w:val="00E72A54"/>
    <w:rsid w:val="00E914DD"/>
    <w:rsid w:val="00E9320B"/>
    <w:rsid w:val="00EA1229"/>
    <w:rsid w:val="00EA5394"/>
    <w:rsid w:val="00EB2695"/>
    <w:rsid w:val="00EB3632"/>
    <w:rsid w:val="00EB5BCB"/>
    <w:rsid w:val="00EC6907"/>
    <w:rsid w:val="00ED2F69"/>
    <w:rsid w:val="00EE5EA9"/>
    <w:rsid w:val="00EE6153"/>
    <w:rsid w:val="00EF1144"/>
    <w:rsid w:val="00F02A34"/>
    <w:rsid w:val="00F02E63"/>
    <w:rsid w:val="00F03B2D"/>
    <w:rsid w:val="00F06538"/>
    <w:rsid w:val="00F06540"/>
    <w:rsid w:val="00F14ABE"/>
    <w:rsid w:val="00F207B4"/>
    <w:rsid w:val="00F2523F"/>
    <w:rsid w:val="00F25539"/>
    <w:rsid w:val="00F257B7"/>
    <w:rsid w:val="00F42A19"/>
    <w:rsid w:val="00F43BBB"/>
    <w:rsid w:val="00F45696"/>
    <w:rsid w:val="00F52403"/>
    <w:rsid w:val="00F55748"/>
    <w:rsid w:val="00F56027"/>
    <w:rsid w:val="00F6332D"/>
    <w:rsid w:val="00F800FE"/>
    <w:rsid w:val="00F876DD"/>
    <w:rsid w:val="00F93BBD"/>
    <w:rsid w:val="00F94DF6"/>
    <w:rsid w:val="00FA0049"/>
    <w:rsid w:val="00FA4FD5"/>
    <w:rsid w:val="00FB2263"/>
    <w:rsid w:val="00FC0919"/>
    <w:rsid w:val="00FD1BBB"/>
    <w:rsid w:val="00FD28FA"/>
    <w:rsid w:val="00FE135C"/>
    <w:rsid w:val="00FE5801"/>
    <w:rsid w:val="00FF62B0"/>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B57763"/>
  <w15:chartTrackingRefBased/>
  <w15:docId w15:val="{617E19B1-49FC-43CB-BDBF-AD7807ABE4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73CA4"/>
    <w:rPr>
      <w:lang w:val="en-GB"/>
    </w:rPr>
  </w:style>
  <w:style w:type="paragraph" w:styleId="Heading1">
    <w:name w:val="heading 1"/>
    <w:basedOn w:val="Normal"/>
    <w:next w:val="Normal"/>
    <w:link w:val="Heading1Char"/>
    <w:uiPriority w:val="9"/>
    <w:qFormat/>
    <w:rsid w:val="0054294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54294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54294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54294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42942"/>
    <w:rPr>
      <w:rFonts w:asciiTheme="majorHAnsi" w:eastAsiaTheme="majorEastAsia" w:hAnsiTheme="majorHAnsi" w:cstheme="majorBidi"/>
      <w:spacing w:val="-10"/>
      <w:kern w:val="28"/>
      <w:sz w:val="56"/>
      <w:szCs w:val="56"/>
      <w:lang w:val="en-GB"/>
    </w:rPr>
  </w:style>
  <w:style w:type="character" w:customStyle="1" w:styleId="Heading1Char">
    <w:name w:val="Heading 1 Char"/>
    <w:basedOn w:val="DefaultParagraphFont"/>
    <w:link w:val="Heading1"/>
    <w:uiPriority w:val="9"/>
    <w:rsid w:val="00542942"/>
    <w:rPr>
      <w:rFonts w:asciiTheme="majorHAnsi" w:eastAsiaTheme="majorEastAsia" w:hAnsiTheme="majorHAnsi" w:cstheme="majorBidi"/>
      <w:color w:val="2F5496" w:themeColor="accent1" w:themeShade="BF"/>
      <w:sz w:val="32"/>
      <w:szCs w:val="32"/>
      <w:lang w:val="en-GB"/>
    </w:rPr>
  </w:style>
  <w:style w:type="character" w:customStyle="1" w:styleId="Heading2Char">
    <w:name w:val="Heading 2 Char"/>
    <w:basedOn w:val="DefaultParagraphFont"/>
    <w:link w:val="Heading2"/>
    <w:uiPriority w:val="9"/>
    <w:semiHidden/>
    <w:rsid w:val="00542942"/>
    <w:rPr>
      <w:rFonts w:asciiTheme="majorHAnsi" w:eastAsiaTheme="majorEastAsia" w:hAnsiTheme="majorHAnsi" w:cstheme="majorBidi"/>
      <w:color w:val="2F5496" w:themeColor="accent1" w:themeShade="BF"/>
      <w:sz w:val="26"/>
      <w:szCs w:val="26"/>
      <w:lang w:val="en-GB"/>
    </w:rPr>
  </w:style>
  <w:style w:type="character" w:customStyle="1" w:styleId="Heading3Char">
    <w:name w:val="Heading 3 Char"/>
    <w:basedOn w:val="DefaultParagraphFont"/>
    <w:link w:val="Heading3"/>
    <w:uiPriority w:val="9"/>
    <w:semiHidden/>
    <w:rsid w:val="00542942"/>
    <w:rPr>
      <w:rFonts w:asciiTheme="majorHAnsi" w:eastAsiaTheme="majorEastAsia" w:hAnsiTheme="majorHAnsi" w:cstheme="majorBidi"/>
      <w:color w:val="1F3763" w:themeColor="accent1" w:themeShade="7F"/>
      <w:sz w:val="24"/>
      <w:szCs w:val="24"/>
      <w:lang w:val="en-GB"/>
    </w:rPr>
  </w:style>
  <w:style w:type="paragraph" w:styleId="ListParagraph">
    <w:name w:val="List Paragraph"/>
    <w:basedOn w:val="Normal"/>
    <w:uiPriority w:val="34"/>
    <w:qFormat/>
    <w:rsid w:val="00802864"/>
    <w:pPr>
      <w:ind w:left="720"/>
      <w:contextualSpacing/>
    </w:pPr>
  </w:style>
  <w:style w:type="paragraph" w:styleId="FootnoteText">
    <w:name w:val="footnote text"/>
    <w:basedOn w:val="Normal"/>
    <w:link w:val="FootnoteTextChar"/>
    <w:uiPriority w:val="99"/>
    <w:semiHidden/>
    <w:unhideWhenUsed/>
    <w:rsid w:val="0051191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11914"/>
    <w:rPr>
      <w:sz w:val="20"/>
      <w:szCs w:val="20"/>
    </w:rPr>
  </w:style>
  <w:style w:type="character" w:styleId="FootnoteReference">
    <w:name w:val="footnote reference"/>
    <w:basedOn w:val="DefaultParagraphFont"/>
    <w:uiPriority w:val="99"/>
    <w:semiHidden/>
    <w:unhideWhenUsed/>
    <w:rsid w:val="00511914"/>
    <w:rPr>
      <w:vertAlign w:val="superscript"/>
    </w:rPr>
  </w:style>
  <w:style w:type="character" w:styleId="CommentReference">
    <w:name w:val="annotation reference"/>
    <w:basedOn w:val="DefaultParagraphFont"/>
    <w:uiPriority w:val="99"/>
    <w:semiHidden/>
    <w:unhideWhenUsed/>
    <w:rsid w:val="008F4675"/>
    <w:rPr>
      <w:sz w:val="16"/>
      <w:szCs w:val="16"/>
    </w:rPr>
  </w:style>
  <w:style w:type="paragraph" w:styleId="CommentText">
    <w:name w:val="annotation text"/>
    <w:basedOn w:val="Normal"/>
    <w:link w:val="CommentTextChar"/>
    <w:uiPriority w:val="99"/>
    <w:semiHidden/>
    <w:unhideWhenUsed/>
    <w:rsid w:val="008F4675"/>
    <w:pPr>
      <w:spacing w:line="240" w:lineRule="auto"/>
    </w:pPr>
    <w:rPr>
      <w:sz w:val="20"/>
      <w:szCs w:val="20"/>
    </w:rPr>
  </w:style>
  <w:style w:type="character" w:customStyle="1" w:styleId="CommentTextChar">
    <w:name w:val="Comment Text Char"/>
    <w:basedOn w:val="DefaultParagraphFont"/>
    <w:link w:val="CommentText"/>
    <w:uiPriority w:val="99"/>
    <w:semiHidden/>
    <w:rsid w:val="008F4675"/>
    <w:rPr>
      <w:sz w:val="20"/>
      <w:szCs w:val="20"/>
    </w:rPr>
  </w:style>
  <w:style w:type="paragraph" w:styleId="CommentSubject">
    <w:name w:val="annotation subject"/>
    <w:basedOn w:val="CommentText"/>
    <w:next w:val="CommentText"/>
    <w:link w:val="CommentSubjectChar"/>
    <w:uiPriority w:val="99"/>
    <w:semiHidden/>
    <w:unhideWhenUsed/>
    <w:rsid w:val="008F4675"/>
    <w:rPr>
      <w:b/>
      <w:bCs/>
    </w:rPr>
  </w:style>
  <w:style w:type="character" w:customStyle="1" w:styleId="CommentSubjectChar">
    <w:name w:val="Comment Subject Char"/>
    <w:basedOn w:val="CommentTextChar"/>
    <w:link w:val="CommentSubject"/>
    <w:uiPriority w:val="99"/>
    <w:semiHidden/>
    <w:rsid w:val="008F4675"/>
    <w:rPr>
      <w:b/>
      <w:bCs/>
      <w:sz w:val="20"/>
      <w:szCs w:val="20"/>
    </w:rPr>
  </w:style>
  <w:style w:type="paragraph" w:styleId="BalloonText">
    <w:name w:val="Balloon Text"/>
    <w:basedOn w:val="Normal"/>
    <w:link w:val="BalloonTextChar"/>
    <w:uiPriority w:val="99"/>
    <w:semiHidden/>
    <w:unhideWhenUsed/>
    <w:rsid w:val="008F467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F4675"/>
    <w:rPr>
      <w:rFonts w:ascii="Segoe UI" w:hAnsi="Segoe UI" w:cs="Segoe UI"/>
      <w:sz w:val="18"/>
      <w:szCs w:val="18"/>
    </w:rPr>
  </w:style>
  <w:style w:type="character" w:styleId="Hyperlink">
    <w:name w:val="Hyperlink"/>
    <w:basedOn w:val="DefaultParagraphFont"/>
    <w:uiPriority w:val="99"/>
    <w:unhideWhenUsed/>
    <w:rsid w:val="00F45696"/>
    <w:rPr>
      <w:color w:val="0000FF"/>
      <w:u w:val="single"/>
    </w:rPr>
  </w:style>
  <w:style w:type="character" w:styleId="FollowedHyperlink">
    <w:name w:val="FollowedHyperlink"/>
    <w:basedOn w:val="DefaultParagraphFont"/>
    <w:uiPriority w:val="99"/>
    <w:semiHidden/>
    <w:unhideWhenUsed/>
    <w:rsid w:val="00D24C7C"/>
    <w:rPr>
      <w:color w:val="954F72" w:themeColor="followedHyperlink"/>
      <w:u w:val="single"/>
    </w:rPr>
  </w:style>
  <w:style w:type="table" w:styleId="TableGrid">
    <w:name w:val="Table Grid"/>
    <w:basedOn w:val="TableNormal"/>
    <w:uiPriority w:val="39"/>
    <w:rsid w:val="00553D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uiPriority w:val="99"/>
    <w:semiHidden/>
    <w:unhideWhenUsed/>
    <w:rsid w:val="00385B6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85B6F"/>
    <w:rPr>
      <w:sz w:val="20"/>
      <w:szCs w:val="20"/>
    </w:rPr>
  </w:style>
  <w:style w:type="character" w:styleId="EndnoteReference">
    <w:name w:val="endnote reference"/>
    <w:basedOn w:val="DefaultParagraphFont"/>
    <w:uiPriority w:val="99"/>
    <w:semiHidden/>
    <w:unhideWhenUsed/>
    <w:rsid w:val="00385B6F"/>
    <w:rPr>
      <w:vertAlign w:val="superscript"/>
    </w:rPr>
  </w:style>
  <w:style w:type="paragraph" w:styleId="Header">
    <w:name w:val="header"/>
    <w:basedOn w:val="Normal"/>
    <w:link w:val="HeaderChar"/>
    <w:uiPriority w:val="99"/>
    <w:unhideWhenUsed/>
    <w:rsid w:val="006B5BA7"/>
    <w:pPr>
      <w:tabs>
        <w:tab w:val="center" w:pos="4703"/>
        <w:tab w:val="right" w:pos="9406"/>
      </w:tabs>
      <w:spacing w:after="0" w:line="240" w:lineRule="auto"/>
    </w:pPr>
  </w:style>
  <w:style w:type="character" w:customStyle="1" w:styleId="HeaderChar">
    <w:name w:val="Header Char"/>
    <w:basedOn w:val="DefaultParagraphFont"/>
    <w:link w:val="Header"/>
    <w:uiPriority w:val="99"/>
    <w:rsid w:val="006B5BA7"/>
  </w:style>
  <w:style w:type="paragraph" w:styleId="Footer">
    <w:name w:val="footer"/>
    <w:basedOn w:val="Normal"/>
    <w:link w:val="FooterChar"/>
    <w:uiPriority w:val="99"/>
    <w:unhideWhenUsed/>
    <w:rsid w:val="006B5BA7"/>
    <w:pPr>
      <w:tabs>
        <w:tab w:val="center" w:pos="4703"/>
        <w:tab w:val="right" w:pos="9406"/>
      </w:tabs>
      <w:spacing w:after="0" w:line="240" w:lineRule="auto"/>
    </w:pPr>
  </w:style>
  <w:style w:type="character" w:customStyle="1" w:styleId="FooterChar">
    <w:name w:val="Footer Char"/>
    <w:basedOn w:val="DefaultParagraphFont"/>
    <w:link w:val="Footer"/>
    <w:uiPriority w:val="99"/>
    <w:rsid w:val="006B5BA7"/>
  </w:style>
  <w:style w:type="paragraph" w:customStyle="1" w:styleId="Articletitle">
    <w:name w:val="Article title"/>
    <w:basedOn w:val="Normal"/>
    <w:next w:val="Normal"/>
    <w:qFormat/>
    <w:rsid w:val="00C73CA4"/>
    <w:pPr>
      <w:spacing w:after="120" w:line="360" w:lineRule="auto"/>
    </w:pPr>
    <w:rPr>
      <w:rFonts w:ascii="Times New Roman" w:eastAsia="Times New Roman" w:hAnsi="Times New Roman" w:cs="Times New Roman"/>
      <w:b/>
      <w:sz w:val="28"/>
      <w:szCs w:val="24"/>
      <w:lang w:eastAsia="en-GB"/>
    </w:rPr>
  </w:style>
  <w:style w:type="paragraph" w:customStyle="1" w:styleId="Authornames">
    <w:name w:val="Author names"/>
    <w:basedOn w:val="Normal"/>
    <w:next w:val="Normal"/>
    <w:qFormat/>
    <w:rsid w:val="00C73CA4"/>
    <w:pPr>
      <w:spacing w:before="240" w:after="0" w:line="360" w:lineRule="auto"/>
    </w:pPr>
    <w:rPr>
      <w:rFonts w:ascii="Times New Roman" w:eastAsia="Times New Roman" w:hAnsi="Times New Roman" w:cs="Times New Roman"/>
      <w:sz w:val="28"/>
      <w:szCs w:val="24"/>
      <w:lang w:eastAsia="en-GB"/>
    </w:rPr>
  </w:style>
  <w:style w:type="paragraph" w:customStyle="1" w:styleId="Affiliation">
    <w:name w:val="Affiliation"/>
    <w:basedOn w:val="Normal"/>
    <w:qFormat/>
    <w:rsid w:val="00C73CA4"/>
    <w:pPr>
      <w:spacing w:before="240" w:after="0" w:line="360" w:lineRule="auto"/>
    </w:pPr>
    <w:rPr>
      <w:rFonts w:ascii="Times New Roman" w:eastAsia="Times New Roman" w:hAnsi="Times New Roman" w:cs="Times New Roman"/>
      <w:i/>
      <w:sz w:val="24"/>
      <w:szCs w:val="24"/>
      <w:lang w:eastAsia="en-GB"/>
    </w:rPr>
  </w:style>
  <w:style w:type="paragraph" w:customStyle="1" w:styleId="Correspondencedetails">
    <w:name w:val="Correspondence details"/>
    <w:basedOn w:val="Normal"/>
    <w:qFormat/>
    <w:rsid w:val="00C73CA4"/>
    <w:pPr>
      <w:spacing w:before="240" w:after="0" w:line="360" w:lineRule="auto"/>
    </w:pPr>
    <w:rPr>
      <w:rFonts w:ascii="Times New Roman" w:eastAsia="Times New Roman" w:hAnsi="Times New Roman" w:cs="Times New Roman"/>
      <w:sz w:val="24"/>
      <w:szCs w:val="24"/>
      <w:lang w:eastAsia="en-GB"/>
    </w:rPr>
  </w:style>
  <w:style w:type="paragraph" w:customStyle="1" w:styleId="Notesoncontributors">
    <w:name w:val="Notes on contributors"/>
    <w:basedOn w:val="Normal"/>
    <w:qFormat/>
    <w:rsid w:val="00C73CA4"/>
    <w:pPr>
      <w:spacing w:before="240" w:after="0" w:line="360" w:lineRule="auto"/>
    </w:pPr>
    <w:rPr>
      <w:rFonts w:ascii="Times New Roman" w:eastAsia="Times New Roman" w:hAnsi="Times New Roman" w:cs="Times New Roman"/>
      <w:szCs w:val="24"/>
      <w:lang w:eastAsia="en-GB"/>
    </w:rPr>
  </w:style>
  <w:style w:type="paragraph" w:customStyle="1" w:styleId="Abstract">
    <w:name w:val="Abstract"/>
    <w:basedOn w:val="Normal"/>
    <w:next w:val="Keywords"/>
    <w:qFormat/>
    <w:rsid w:val="00C73CA4"/>
    <w:pPr>
      <w:spacing w:before="360" w:after="300" w:line="360" w:lineRule="auto"/>
      <w:ind w:left="720" w:right="567"/>
    </w:pPr>
    <w:rPr>
      <w:rFonts w:ascii="Times New Roman" w:eastAsia="Times New Roman" w:hAnsi="Times New Roman" w:cs="Times New Roman"/>
      <w:szCs w:val="24"/>
      <w:lang w:eastAsia="en-GB"/>
    </w:rPr>
  </w:style>
  <w:style w:type="paragraph" w:customStyle="1" w:styleId="Keywords">
    <w:name w:val="Keywords"/>
    <w:basedOn w:val="Normal"/>
    <w:next w:val="Paragraph"/>
    <w:qFormat/>
    <w:rsid w:val="00C73CA4"/>
    <w:pPr>
      <w:spacing w:before="240" w:after="240" w:line="360" w:lineRule="auto"/>
      <w:ind w:left="720" w:right="567"/>
    </w:pPr>
    <w:rPr>
      <w:rFonts w:ascii="Times New Roman" w:eastAsia="Times New Roman" w:hAnsi="Times New Roman" w:cs="Times New Roman"/>
      <w:szCs w:val="24"/>
      <w:lang w:eastAsia="en-GB"/>
    </w:rPr>
  </w:style>
  <w:style w:type="paragraph" w:customStyle="1" w:styleId="Displayedquotation">
    <w:name w:val="Displayed quotation"/>
    <w:basedOn w:val="Normal"/>
    <w:qFormat/>
    <w:rsid w:val="00C73CA4"/>
    <w:pPr>
      <w:tabs>
        <w:tab w:val="left" w:pos="1077"/>
        <w:tab w:val="left" w:pos="1440"/>
        <w:tab w:val="left" w:pos="1797"/>
        <w:tab w:val="left" w:pos="2155"/>
        <w:tab w:val="left" w:pos="2512"/>
      </w:tabs>
      <w:spacing w:before="240" w:after="360" w:line="360" w:lineRule="auto"/>
      <w:ind w:left="709" w:right="425"/>
      <w:contextualSpacing/>
    </w:pPr>
    <w:rPr>
      <w:rFonts w:ascii="Times New Roman" w:eastAsia="Times New Roman" w:hAnsi="Times New Roman" w:cs="Times New Roman"/>
      <w:szCs w:val="24"/>
      <w:lang w:eastAsia="en-GB"/>
    </w:rPr>
  </w:style>
  <w:style w:type="paragraph" w:customStyle="1" w:styleId="Numberedlist">
    <w:name w:val="Numbered list"/>
    <w:basedOn w:val="Paragraph"/>
    <w:next w:val="Paragraph"/>
    <w:qFormat/>
    <w:rsid w:val="00C73CA4"/>
    <w:pPr>
      <w:widowControl/>
      <w:numPr>
        <w:numId w:val="3"/>
      </w:numPr>
      <w:spacing w:after="240"/>
      <w:contextualSpacing/>
    </w:pPr>
  </w:style>
  <w:style w:type="paragraph" w:customStyle="1" w:styleId="Displayedequation">
    <w:name w:val="Displayed equation"/>
    <w:basedOn w:val="Normal"/>
    <w:next w:val="Paragraph"/>
    <w:qFormat/>
    <w:rsid w:val="00C73CA4"/>
    <w:pPr>
      <w:tabs>
        <w:tab w:val="center" w:pos="4253"/>
        <w:tab w:val="right" w:pos="8222"/>
      </w:tabs>
      <w:spacing w:before="240" w:after="240"/>
      <w:jc w:val="center"/>
    </w:pPr>
    <w:rPr>
      <w:rFonts w:ascii="Times New Roman" w:eastAsia="Times New Roman" w:hAnsi="Times New Roman" w:cs="Times New Roman"/>
      <w:sz w:val="24"/>
      <w:szCs w:val="24"/>
      <w:lang w:eastAsia="en-GB"/>
    </w:rPr>
  </w:style>
  <w:style w:type="paragraph" w:customStyle="1" w:styleId="Acknowledgements">
    <w:name w:val="Acknowledgements"/>
    <w:basedOn w:val="Normal"/>
    <w:next w:val="Normal"/>
    <w:qFormat/>
    <w:rsid w:val="00C73CA4"/>
    <w:pPr>
      <w:spacing w:before="120" w:after="0" w:line="360" w:lineRule="auto"/>
    </w:pPr>
    <w:rPr>
      <w:rFonts w:ascii="Times New Roman" w:eastAsia="Times New Roman" w:hAnsi="Times New Roman" w:cs="Times New Roman"/>
      <w:szCs w:val="24"/>
      <w:lang w:eastAsia="en-GB"/>
    </w:rPr>
  </w:style>
  <w:style w:type="paragraph" w:customStyle="1" w:styleId="Tabletitle">
    <w:name w:val="Table title"/>
    <w:basedOn w:val="Normal"/>
    <w:next w:val="Normal"/>
    <w:qFormat/>
    <w:rsid w:val="00C73CA4"/>
    <w:pPr>
      <w:spacing w:before="240" w:after="0" w:line="360" w:lineRule="auto"/>
    </w:pPr>
    <w:rPr>
      <w:rFonts w:ascii="Times New Roman" w:eastAsia="Times New Roman" w:hAnsi="Times New Roman" w:cs="Times New Roman"/>
      <w:sz w:val="24"/>
      <w:szCs w:val="24"/>
      <w:lang w:eastAsia="en-GB"/>
    </w:rPr>
  </w:style>
  <w:style w:type="paragraph" w:customStyle="1" w:styleId="Figurecaption">
    <w:name w:val="Figure caption"/>
    <w:basedOn w:val="Normal"/>
    <w:next w:val="Normal"/>
    <w:qFormat/>
    <w:rsid w:val="00C73CA4"/>
    <w:pPr>
      <w:spacing w:before="240" w:after="0" w:line="360" w:lineRule="auto"/>
    </w:pPr>
    <w:rPr>
      <w:rFonts w:ascii="Times New Roman" w:eastAsia="Times New Roman" w:hAnsi="Times New Roman" w:cs="Times New Roman"/>
      <w:sz w:val="24"/>
      <w:szCs w:val="24"/>
      <w:lang w:eastAsia="en-GB"/>
    </w:rPr>
  </w:style>
  <w:style w:type="paragraph" w:customStyle="1" w:styleId="Footnotes">
    <w:name w:val="Footnotes"/>
    <w:basedOn w:val="Normal"/>
    <w:qFormat/>
    <w:rsid w:val="00C73CA4"/>
    <w:pPr>
      <w:spacing w:before="120" w:after="0" w:line="360" w:lineRule="auto"/>
      <w:ind w:left="482" w:hanging="482"/>
      <w:contextualSpacing/>
    </w:pPr>
    <w:rPr>
      <w:rFonts w:ascii="Times New Roman" w:eastAsia="Times New Roman" w:hAnsi="Times New Roman" w:cs="Times New Roman"/>
      <w:szCs w:val="24"/>
      <w:lang w:eastAsia="en-GB"/>
    </w:rPr>
  </w:style>
  <w:style w:type="paragraph" w:customStyle="1" w:styleId="Paragraph">
    <w:name w:val="Paragraph"/>
    <w:basedOn w:val="Normal"/>
    <w:next w:val="Newparagraph"/>
    <w:qFormat/>
    <w:rsid w:val="00C73CA4"/>
    <w:pPr>
      <w:widowControl w:val="0"/>
      <w:spacing w:before="240" w:after="0"/>
    </w:pPr>
    <w:rPr>
      <w:rFonts w:ascii="Times New Roman" w:eastAsia="Times New Roman" w:hAnsi="Times New Roman" w:cs="Times New Roman"/>
      <w:sz w:val="24"/>
      <w:szCs w:val="24"/>
      <w:lang w:eastAsia="en-GB"/>
    </w:rPr>
  </w:style>
  <w:style w:type="paragraph" w:customStyle="1" w:styleId="Newparagraph">
    <w:name w:val="New paragraph"/>
    <w:basedOn w:val="Normal"/>
    <w:qFormat/>
    <w:rsid w:val="00C73CA4"/>
    <w:pPr>
      <w:spacing w:after="0"/>
      <w:ind w:firstLine="720"/>
    </w:pPr>
    <w:rPr>
      <w:rFonts w:ascii="Times New Roman" w:eastAsia="Times New Roman" w:hAnsi="Times New Roman" w:cs="Times New Roman"/>
      <w:sz w:val="24"/>
      <w:szCs w:val="24"/>
      <w:lang w:eastAsia="en-GB"/>
    </w:rPr>
  </w:style>
  <w:style w:type="paragraph" w:customStyle="1" w:styleId="References">
    <w:name w:val="References"/>
    <w:basedOn w:val="Normal"/>
    <w:qFormat/>
    <w:rsid w:val="00C73CA4"/>
    <w:pPr>
      <w:spacing w:before="120" w:after="0" w:line="360" w:lineRule="auto"/>
      <w:ind w:left="720" w:hanging="720"/>
      <w:contextualSpacing/>
    </w:pPr>
    <w:rPr>
      <w:rFonts w:ascii="Times New Roman" w:eastAsia="Times New Roman" w:hAnsi="Times New Roman" w:cs="Times New Roman"/>
      <w:sz w:val="24"/>
      <w:szCs w:val="24"/>
      <w:lang w:eastAsia="en-GB"/>
    </w:rPr>
  </w:style>
  <w:style w:type="paragraph" w:customStyle="1" w:styleId="Subjectcodes">
    <w:name w:val="Subject codes"/>
    <w:basedOn w:val="Keywords"/>
    <w:next w:val="Paragraph"/>
    <w:qFormat/>
    <w:rsid w:val="00C73CA4"/>
  </w:style>
  <w:style w:type="paragraph" w:customStyle="1" w:styleId="Bulletedlist">
    <w:name w:val="Bulleted list"/>
    <w:basedOn w:val="Paragraph"/>
    <w:next w:val="Paragraph"/>
    <w:qFormat/>
    <w:rsid w:val="00C73CA4"/>
    <w:pPr>
      <w:widowControl/>
      <w:numPr>
        <w:numId w:val="4"/>
      </w:numPr>
      <w:spacing w:after="240"/>
      <w:contextualSpacing/>
    </w:pPr>
  </w:style>
  <w:style w:type="paragraph" w:customStyle="1" w:styleId="Heading4Paragraph">
    <w:name w:val="Heading 4 + Paragraph"/>
    <w:basedOn w:val="Paragraph"/>
    <w:next w:val="Newparagraph"/>
    <w:qFormat/>
    <w:rsid w:val="00C73CA4"/>
    <w:pPr>
      <w:widowControl/>
      <w:spacing w:before="360"/>
    </w:pPr>
  </w:style>
  <w:style w:type="paragraph" w:customStyle="1" w:styleId="Style1">
    <w:name w:val="Style1"/>
    <w:basedOn w:val="Heading1"/>
    <w:link w:val="Style1Char"/>
    <w:qFormat/>
    <w:rsid w:val="00C73CA4"/>
    <w:rPr>
      <w:rFonts w:ascii="Times New Roman" w:hAnsi="Times New Roman" w:cs="Times New Roman"/>
      <w:b/>
      <w:color w:val="auto"/>
      <w:sz w:val="24"/>
      <w:szCs w:val="24"/>
    </w:rPr>
  </w:style>
  <w:style w:type="paragraph" w:customStyle="1" w:styleId="Style2">
    <w:name w:val="Style2"/>
    <w:basedOn w:val="Style1"/>
    <w:link w:val="Style2Char"/>
    <w:qFormat/>
    <w:rsid w:val="00C73CA4"/>
    <w:rPr>
      <w:i/>
    </w:rPr>
  </w:style>
  <w:style w:type="character" w:customStyle="1" w:styleId="Style1Char">
    <w:name w:val="Style1 Char"/>
    <w:basedOn w:val="Heading1Char"/>
    <w:link w:val="Style1"/>
    <w:rsid w:val="00C73CA4"/>
    <w:rPr>
      <w:rFonts w:ascii="Times New Roman" w:eastAsiaTheme="majorEastAsia" w:hAnsi="Times New Roman" w:cs="Times New Roman"/>
      <w:b/>
      <w:color w:val="2F5496" w:themeColor="accent1" w:themeShade="BF"/>
      <w:sz w:val="24"/>
      <w:szCs w:val="24"/>
      <w:lang w:val="en-GB"/>
    </w:rPr>
  </w:style>
  <w:style w:type="character" w:customStyle="1" w:styleId="Style2Char">
    <w:name w:val="Style2 Char"/>
    <w:basedOn w:val="Style1Char"/>
    <w:link w:val="Style2"/>
    <w:rsid w:val="00C73CA4"/>
    <w:rPr>
      <w:rFonts w:ascii="Times New Roman" w:eastAsiaTheme="majorEastAsia" w:hAnsi="Times New Roman" w:cs="Times New Roman"/>
      <w:b/>
      <w:i/>
      <w:color w:val="2F5496" w:themeColor="accent1" w:themeShade="BF"/>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4446686">
      <w:bodyDiv w:val="1"/>
      <w:marLeft w:val="0"/>
      <w:marRight w:val="0"/>
      <w:marTop w:val="0"/>
      <w:marBottom w:val="0"/>
      <w:divBdr>
        <w:top w:val="none" w:sz="0" w:space="0" w:color="auto"/>
        <w:left w:val="none" w:sz="0" w:space="0" w:color="auto"/>
        <w:bottom w:val="none" w:sz="0" w:space="0" w:color="auto"/>
        <w:right w:val="none" w:sz="0" w:space="0" w:color="auto"/>
      </w:divBdr>
    </w:div>
    <w:div w:id="789974678">
      <w:bodyDiv w:val="1"/>
      <w:marLeft w:val="0"/>
      <w:marRight w:val="0"/>
      <w:marTop w:val="0"/>
      <w:marBottom w:val="0"/>
      <w:divBdr>
        <w:top w:val="none" w:sz="0" w:space="0" w:color="auto"/>
        <w:left w:val="none" w:sz="0" w:space="0" w:color="auto"/>
        <w:bottom w:val="none" w:sz="0" w:space="0" w:color="auto"/>
        <w:right w:val="none" w:sz="0" w:space="0" w:color="auto"/>
      </w:divBdr>
      <w:divsChild>
        <w:div w:id="1786343160">
          <w:marLeft w:val="288"/>
          <w:marRight w:val="0"/>
          <w:marTop w:val="115"/>
          <w:marBottom w:val="0"/>
          <w:divBdr>
            <w:top w:val="none" w:sz="0" w:space="0" w:color="auto"/>
            <w:left w:val="none" w:sz="0" w:space="0" w:color="auto"/>
            <w:bottom w:val="none" w:sz="0" w:space="0" w:color="auto"/>
            <w:right w:val="none" w:sz="0" w:space="0" w:color="auto"/>
          </w:divBdr>
        </w:div>
        <w:div w:id="519586582">
          <w:marLeft w:val="288"/>
          <w:marRight w:val="0"/>
          <w:marTop w:val="115"/>
          <w:marBottom w:val="0"/>
          <w:divBdr>
            <w:top w:val="none" w:sz="0" w:space="0" w:color="auto"/>
            <w:left w:val="none" w:sz="0" w:space="0" w:color="auto"/>
            <w:bottom w:val="none" w:sz="0" w:space="0" w:color="auto"/>
            <w:right w:val="none" w:sz="0" w:space="0" w:color="auto"/>
          </w:divBdr>
        </w:div>
      </w:divsChild>
    </w:div>
    <w:div w:id="939336735">
      <w:bodyDiv w:val="1"/>
      <w:marLeft w:val="0"/>
      <w:marRight w:val="0"/>
      <w:marTop w:val="0"/>
      <w:marBottom w:val="0"/>
      <w:divBdr>
        <w:top w:val="none" w:sz="0" w:space="0" w:color="auto"/>
        <w:left w:val="none" w:sz="0" w:space="0" w:color="auto"/>
        <w:bottom w:val="none" w:sz="0" w:space="0" w:color="auto"/>
        <w:right w:val="none" w:sz="0" w:space="0" w:color="auto"/>
      </w:divBdr>
    </w:div>
    <w:div w:id="1298100654">
      <w:bodyDiv w:val="1"/>
      <w:marLeft w:val="0"/>
      <w:marRight w:val="0"/>
      <w:marTop w:val="0"/>
      <w:marBottom w:val="0"/>
      <w:divBdr>
        <w:top w:val="none" w:sz="0" w:space="0" w:color="auto"/>
        <w:left w:val="none" w:sz="0" w:space="0" w:color="auto"/>
        <w:bottom w:val="none" w:sz="0" w:space="0" w:color="auto"/>
        <w:right w:val="none" w:sz="0" w:space="0" w:color="auto"/>
      </w:divBdr>
    </w:div>
    <w:div w:id="1371879247">
      <w:bodyDiv w:val="1"/>
      <w:marLeft w:val="0"/>
      <w:marRight w:val="0"/>
      <w:marTop w:val="0"/>
      <w:marBottom w:val="0"/>
      <w:divBdr>
        <w:top w:val="none" w:sz="0" w:space="0" w:color="auto"/>
        <w:left w:val="none" w:sz="0" w:space="0" w:color="auto"/>
        <w:bottom w:val="none" w:sz="0" w:space="0" w:color="auto"/>
        <w:right w:val="none" w:sz="0" w:space="0" w:color="auto"/>
      </w:divBdr>
    </w:div>
    <w:div w:id="1405370091">
      <w:bodyDiv w:val="1"/>
      <w:marLeft w:val="0"/>
      <w:marRight w:val="0"/>
      <w:marTop w:val="0"/>
      <w:marBottom w:val="0"/>
      <w:divBdr>
        <w:top w:val="none" w:sz="0" w:space="0" w:color="auto"/>
        <w:left w:val="none" w:sz="0" w:space="0" w:color="auto"/>
        <w:bottom w:val="none" w:sz="0" w:space="0" w:color="auto"/>
        <w:right w:val="none" w:sz="0" w:space="0" w:color="auto"/>
      </w:divBdr>
    </w:div>
    <w:div w:id="1478112708">
      <w:bodyDiv w:val="1"/>
      <w:marLeft w:val="0"/>
      <w:marRight w:val="0"/>
      <w:marTop w:val="0"/>
      <w:marBottom w:val="0"/>
      <w:divBdr>
        <w:top w:val="none" w:sz="0" w:space="0" w:color="auto"/>
        <w:left w:val="none" w:sz="0" w:space="0" w:color="auto"/>
        <w:bottom w:val="none" w:sz="0" w:space="0" w:color="auto"/>
        <w:right w:val="none" w:sz="0" w:space="0" w:color="auto"/>
      </w:divBdr>
    </w:div>
    <w:div w:id="1511750163">
      <w:bodyDiv w:val="1"/>
      <w:marLeft w:val="0"/>
      <w:marRight w:val="0"/>
      <w:marTop w:val="0"/>
      <w:marBottom w:val="0"/>
      <w:divBdr>
        <w:top w:val="none" w:sz="0" w:space="0" w:color="auto"/>
        <w:left w:val="none" w:sz="0" w:space="0" w:color="auto"/>
        <w:bottom w:val="none" w:sz="0" w:space="0" w:color="auto"/>
        <w:right w:val="none" w:sz="0" w:space="0" w:color="auto"/>
      </w:divBdr>
      <w:divsChild>
        <w:div w:id="806553128">
          <w:marLeft w:val="288"/>
          <w:marRight w:val="0"/>
          <w:marTop w:val="115"/>
          <w:marBottom w:val="0"/>
          <w:divBdr>
            <w:top w:val="none" w:sz="0" w:space="0" w:color="auto"/>
            <w:left w:val="none" w:sz="0" w:space="0" w:color="auto"/>
            <w:bottom w:val="none" w:sz="0" w:space="0" w:color="auto"/>
            <w:right w:val="none" w:sz="0" w:space="0" w:color="auto"/>
          </w:divBdr>
        </w:div>
        <w:div w:id="1738162726">
          <w:marLeft w:val="288"/>
          <w:marRight w:val="0"/>
          <w:marTop w:val="115"/>
          <w:marBottom w:val="0"/>
          <w:divBdr>
            <w:top w:val="none" w:sz="0" w:space="0" w:color="auto"/>
            <w:left w:val="none" w:sz="0" w:space="0" w:color="auto"/>
            <w:bottom w:val="none" w:sz="0" w:space="0" w:color="auto"/>
            <w:right w:val="none" w:sz="0" w:space="0" w:color="auto"/>
          </w:divBdr>
        </w:div>
      </w:divsChild>
    </w:div>
    <w:div w:id="1571692265">
      <w:bodyDiv w:val="1"/>
      <w:marLeft w:val="0"/>
      <w:marRight w:val="0"/>
      <w:marTop w:val="0"/>
      <w:marBottom w:val="0"/>
      <w:divBdr>
        <w:top w:val="none" w:sz="0" w:space="0" w:color="auto"/>
        <w:left w:val="none" w:sz="0" w:space="0" w:color="auto"/>
        <w:bottom w:val="none" w:sz="0" w:space="0" w:color="auto"/>
        <w:right w:val="none" w:sz="0" w:space="0" w:color="auto"/>
      </w:divBdr>
    </w:div>
    <w:div w:id="1630471247">
      <w:bodyDiv w:val="1"/>
      <w:marLeft w:val="0"/>
      <w:marRight w:val="0"/>
      <w:marTop w:val="0"/>
      <w:marBottom w:val="0"/>
      <w:divBdr>
        <w:top w:val="none" w:sz="0" w:space="0" w:color="auto"/>
        <w:left w:val="none" w:sz="0" w:space="0" w:color="auto"/>
        <w:bottom w:val="none" w:sz="0" w:space="0" w:color="auto"/>
        <w:right w:val="none" w:sz="0" w:space="0" w:color="auto"/>
      </w:divBdr>
    </w:div>
    <w:div w:id="1726295964">
      <w:bodyDiv w:val="1"/>
      <w:marLeft w:val="0"/>
      <w:marRight w:val="0"/>
      <w:marTop w:val="0"/>
      <w:marBottom w:val="0"/>
      <w:divBdr>
        <w:top w:val="none" w:sz="0" w:space="0" w:color="auto"/>
        <w:left w:val="none" w:sz="0" w:space="0" w:color="auto"/>
        <w:bottom w:val="none" w:sz="0" w:space="0" w:color="auto"/>
        <w:right w:val="none" w:sz="0" w:space="0" w:color="auto"/>
      </w:divBdr>
    </w:div>
    <w:div w:id="2015263377">
      <w:bodyDiv w:val="1"/>
      <w:marLeft w:val="0"/>
      <w:marRight w:val="0"/>
      <w:marTop w:val="0"/>
      <w:marBottom w:val="0"/>
      <w:divBdr>
        <w:top w:val="none" w:sz="0" w:space="0" w:color="auto"/>
        <w:left w:val="none" w:sz="0" w:space="0" w:color="auto"/>
        <w:bottom w:val="none" w:sz="0" w:space="0" w:color="auto"/>
        <w:right w:val="none" w:sz="0" w:space="0" w:color="auto"/>
      </w:divBdr>
    </w:div>
    <w:div w:id="2118913130">
      <w:bodyDiv w:val="1"/>
      <w:marLeft w:val="0"/>
      <w:marRight w:val="0"/>
      <w:marTop w:val="0"/>
      <w:marBottom w:val="0"/>
      <w:divBdr>
        <w:top w:val="none" w:sz="0" w:space="0" w:color="auto"/>
        <w:left w:val="none" w:sz="0" w:space="0" w:color="auto"/>
        <w:bottom w:val="none" w:sz="0" w:space="0" w:color="auto"/>
        <w:right w:val="none" w:sz="0" w:space="0" w:color="auto"/>
      </w:divBdr>
      <w:divsChild>
        <w:div w:id="40982511">
          <w:marLeft w:val="288"/>
          <w:marRight w:val="0"/>
          <w:marTop w:val="10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37C31D-79C0-4284-B29A-94D135B550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1590</TotalTime>
  <Pages>27</Pages>
  <Words>7161</Words>
  <Characters>40818</Characters>
  <Application>Microsoft Office Word</Application>
  <DocSecurity>0</DocSecurity>
  <Lines>340</Lines>
  <Paragraphs>95</Paragraphs>
  <ScaleCrop>false</ScaleCrop>
  <HeadingPairs>
    <vt:vector size="6" baseType="variant">
      <vt:variant>
        <vt:lpstr>Title</vt:lpstr>
      </vt:variant>
      <vt:variant>
        <vt:i4>1</vt:i4>
      </vt:variant>
      <vt:variant>
        <vt:lpstr>Titre</vt:lpstr>
      </vt:variant>
      <vt:variant>
        <vt:i4>1</vt:i4>
      </vt:variant>
      <vt:variant>
        <vt:lpstr>Titres</vt:lpstr>
      </vt:variant>
      <vt:variant>
        <vt:i4>11</vt:i4>
      </vt:variant>
    </vt:vector>
  </HeadingPairs>
  <TitlesOfParts>
    <vt:vector size="13" baseType="lpstr">
      <vt:lpstr/>
      <vt:lpstr/>
      <vt:lpstr>Introduction</vt:lpstr>
      <vt:lpstr>Literature review </vt:lpstr>
      <vt:lpstr>Methodology</vt:lpstr>
      <vt:lpstr>    Data collection and analysis</vt:lpstr>
      <vt:lpstr>    Statistical method</vt:lpstr>
      <vt:lpstr>Results</vt:lpstr>
      <vt:lpstr>    Descriptive statistics</vt:lpstr>
      <vt:lpstr>    Logistic regression</vt:lpstr>
      <vt:lpstr>Discussion </vt:lpstr>
      <vt:lpstr>Conclusion</vt:lpstr>
      <vt:lpstr>Reference list</vt:lpstr>
    </vt:vector>
  </TitlesOfParts>
  <Company/>
  <LinksUpToDate>false</LinksUpToDate>
  <CharactersWithSpaces>47884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Natacha Buntinx</dc:creator>
  <cp:keywords/>
  <dc:description/>
  <cp:lastModifiedBy>Natacha Buntinx</cp:lastModifiedBy>
  <cp:revision>165</cp:revision>
  <dcterms:created xsi:type="dcterms:W3CDTF">2020-04-28T09:07:00Z</dcterms:created>
  <dcterms:modified xsi:type="dcterms:W3CDTF">2021-04-13T07:59:00Z</dcterms:modified>
</cp:coreProperties>
</file>